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0021C" w14:textId="77777777" w:rsidR="001C05D8" w:rsidRPr="000B33B9" w:rsidRDefault="001C05D8" w:rsidP="002B25FD">
      <w:pPr>
        <w:pStyle w:val="2Footnotes"/>
        <w:spacing w:before="0" w:after="0"/>
        <w:rPr>
          <w:sz w:val="20"/>
          <w:szCs w:val="20"/>
        </w:rPr>
      </w:pPr>
    </w:p>
    <w:p w14:paraId="399CC41C" w14:textId="77777777" w:rsidR="00F36E51" w:rsidRPr="000B33B9" w:rsidRDefault="00F36E51" w:rsidP="002B25FD">
      <w:pPr>
        <w:pStyle w:val="2Footnotes"/>
        <w:spacing w:before="0" w:after="0"/>
        <w:rPr>
          <w:sz w:val="20"/>
          <w:szCs w:val="20"/>
        </w:rPr>
      </w:pPr>
    </w:p>
    <w:p w14:paraId="1AADE422" w14:textId="77777777" w:rsidR="001C05D8" w:rsidRPr="000B33B9" w:rsidRDefault="001C05D8" w:rsidP="002B25FD">
      <w:pPr>
        <w:widowControl w:val="0"/>
        <w:adjustRightInd w:val="0"/>
        <w:spacing w:after="0" w:line="240" w:lineRule="auto"/>
        <w:jc w:val="center"/>
        <w:textAlignment w:val="baseline"/>
        <w:rPr>
          <w:rFonts w:ascii="Verdana" w:eastAsia="Calibri" w:hAnsi="Verdana" w:cs="Calibri"/>
          <w:b/>
          <w:sz w:val="20"/>
          <w:szCs w:val="20"/>
          <w:lang w:val="es-CR" w:eastAsia="es-CR"/>
        </w:rPr>
      </w:pPr>
    </w:p>
    <w:p w14:paraId="1C15BEC6" w14:textId="77777777" w:rsidR="001C05D8" w:rsidRPr="000B33B9" w:rsidRDefault="001C05D8" w:rsidP="002B25FD">
      <w:pPr>
        <w:widowControl w:val="0"/>
        <w:adjustRightInd w:val="0"/>
        <w:spacing w:after="0" w:line="240" w:lineRule="auto"/>
        <w:jc w:val="center"/>
        <w:textAlignment w:val="baseline"/>
        <w:rPr>
          <w:rFonts w:ascii="Verdana" w:eastAsia="Calibri" w:hAnsi="Verdana" w:cs="Calibri"/>
          <w:b/>
          <w:sz w:val="20"/>
          <w:szCs w:val="20"/>
          <w:lang w:val="es-ES" w:eastAsia="es-CR"/>
        </w:rPr>
      </w:pPr>
      <w:bookmarkStart w:id="0" w:name="_Hlk54603142"/>
      <w:r w:rsidRPr="000B33B9">
        <w:rPr>
          <w:rFonts w:ascii="Verdana" w:eastAsia="Calibri" w:hAnsi="Verdana" w:cs="Calibri"/>
          <w:b/>
          <w:sz w:val="20"/>
          <w:szCs w:val="20"/>
          <w:lang w:val="es-ES" w:eastAsia="es-CR"/>
        </w:rPr>
        <w:t>CORTE INTERAMERICANA DE DERECHOS HUMANOS</w:t>
      </w:r>
    </w:p>
    <w:p w14:paraId="09448448" w14:textId="77777777" w:rsidR="001C05D8" w:rsidRPr="000B33B9" w:rsidRDefault="001C05D8" w:rsidP="002B25FD">
      <w:pPr>
        <w:widowControl w:val="0"/>
        <w:tabs>
          <w:tab w:val="left" w:pos="720"/>
        </w:tabs>
        <w:adjustRightInd w:val="0"/>
        <w:spacing w:after="0" w:line="240" w:lineRule="auto"/>
        <w:jc w:val="center"/>
        <w:textAlignment w:val="baseline"/>
        <w:rPr>
          <w:rFonts w:ascii="Verdana" w:eastAsia="Calibri" w:hAnsi="Verdana" w:cs="Verdana"/>
          <w:bCs/>
          <w:caps/>
          <w:snapToGrid w:val="0"/>
          <w:sz w:val="20"/>
          <w:szCs w:val="20"/>
          <w:lang w:val="es-ES" w:eastAsia="es-ES"/>
        </w:rPr>
      </w:pPr>
    </w:p>
    <w:p w14:paraId="0EC0B8A2" w14:textId="77777777" w:rsidR="002B25FD" w:rsidRPr="000B33B9" w:rsidRDefault="002B25FD" w:rsidP="002B25FD">
      <w:pPr>
        <w:widowControl w:val="0"/>
        <w:tabs>
          <w:tab w:val="left" w:pos="720"/>
        </w:tabs>
        <w:adjustRightInd w:val="0"/>
        <w:spacing w:after="0" w:line="240" w:lineRule="auto"/>
        <w:jc w:val="center"/>
        <w:textAlignment w:val="baseline"/>
        <w:rPr>
          <w:rFonts w:ascii="Verdana" w:eastAsia="Calibri" w:hAnsi="Verdana" w:cs="Verdana"/>
          <w:bCs/>
          <w:caps/>
          <w:snapToGrid w:val="0"/>
          <w:sz w:val="20"/>
          <w:szCs w:val="20"/>
          <w:lang w:val="es-ES" w:eastAsia="es-ES"/>
        </w:rPr>
      </w:pPr>
    </w:p>
    <w:p w14:paraId="2493632C" w14:textId="56D5495D" w:rsidR="001C05D8" w:rsidRPr="000B33B9" w:rsidRDefault="001C05D8" w:rsidP="002B25FD">
      <w:pPr>
        <w:spacing w:after="0" w:line="240" w:lineRule="auto"/>
        <w:jc w:val="center"/>
        <w:rPr>
          <w:rFonts w:ascii="Verdana" w:eastAsia="Calibri" w:hAnsi="Verdana" w:cs="Calibri"/>
          <w:b/>
          <w:sz w:val="20"/>
          <w:szCs w:val="20"/>
          <w:lang w:val="es-CR" w:eastAsia="es-CR"/>
        </w:rPr>
      </w:pPr>
      <w:r w:rsidRPr="000B33B9">
        <w:rPr>
          <w:rFonts w:ascii="Verdana" w:eastAsia="Calibri" w:hAnsi="Verdana" w:cs="Calibri"/>
          <w:b/>
          <w:sz w:val="20"/>
          <w:szCs w:val="20"/>
          <w:lang w:val="es-CR" w:eastAsia="es-CR"/>
        </w:rPr>
        <w:t xml:space="preserve">CASO </w:t>
      </w:r>
      <w:r w:rsidR="00C87792" w:rsidRPr="000B33B9">
        <w:rPr>
          <w:rFonts w:ascii="Verdana" w:hAnsi="Verdana" w:cs="Arial"/>
          <w:b/>
          <w:color w:val="1A1A1A"/>
          <w:sz w:val="20"/>
          <w:szCs w:val="20"/>
          <w:lang w:val="es-CR" w:eastAsia="es-CR"/>
        </w:rPr>
        <w:t>ASOCIACIÓN NACIONAL DE CESANTES Y JUBILADOS DE LA SUPERINTENDENCIA NACIONAL DE ADMINISTRACIÓN TRIBUTARIA (ANCEJUB-SUNAT</w:t>
      </w:r>
      <w:r w:rsidR="00C87792" w:rsidRPr="000B33B9">
        <w:rPr>
          <w:rFonts w:ascii="Verdana" w:eastAsia="Calibri" w:hAnsi="Verdana" w:cs="Calibri"/>
          <w:b/>
          <w:sz w:val="20"/>
          <w:szCs w:val="20"/>
          <w:lang w:val="es-CR" w:eastAsia="es-CR"/>
        </w:rPr>
        <w:t xml:space="preserve">) </w:t>
      </w:r>
      <w:r w:rsidRPr="000B33B9">
        <w:rPr>
          <w:rFonts w:ascii="Verdana" w:eastAsia="Calibri" w:hAnsi="Verdana" w:cs="Calibri"/>
          <w:b/>
          <w:i/>
          <w:sz w:val="20"/>
          <w:szCs w:val="20"/>
          <w:lang w:val="es-CR" w:eastAsia="es-CR"/>
        </w:rPr>
        <w:t>VS.</w:t>
      </w:r>
      <w:r w:rsidRPr="000B33B9">
        <w:rPr>
          <w:rFonts w:ascii="Verdana" w:eastAsia="Calibri" w:hAnsi="Verdana" w:cs="Calibri"/>
          <w:b/>
          <w:sz w:val="20"/>
          <w:szCs w:val="20"/>
          <w:lang w:val="es-CR" w:eastAsia="es-CR"/>
        </w:rPr>
        <w:t xml:space="preserve"> </w:t>
      </w:r>
      <w:r w:rsidR="00E201D1" w:rsidRPr="000B33B9">
        <w:rPr>
          <w:rFonts w:ascii="Verdana" w:eastAsia="Calibri" w:hAnsi="Verdana" w:cs="Calibri"/>
          <w:b/>
          <w:sz w:val="20"/>
          <w:szCs w:val="20"/>
          <w:lang w:val="es-CR" w:eastAsia="es-CR"/>
        </w:rPr>
        <w:t>PERÚ</w:t>
      </w:r>
    </w:p>
    <w:p w14:paraId="45505E7C" w14:textId="77777777" w:rsidR="001C05D8" w:rsidRPr="000B33B9" w:rsidRDefault="001C05D8" w:rsidP="002B25FD">
      <w:pPr>
        <w:widowControl w:val="0"/>
        <w:tabs>
          <w:tab w:val="left" w:pos="720"/>
        </w:tabs>
        <w:adjustRightInd w:val="0"/>
        <w:spacing w:after="0" w:line="240" w:lineRule="auto"/>
        <w:jc w:val="center"/>
        <w:textAlignment w:val="baseline"/>
        <w:rPr>
          <w:rFonts w:ascii="Verdana" w:eastAsia="Calibri" w:hAnsi="Verdana" w:cs="Verdana"/>
          <w:bCs/>
          <w:caps/>
          <w:snapToGrid w:val="0"/>
          <w:sz w:val="20"/>
          <w:szCs w:val="20"/>
          <w:lang w:val="es-ES" w:eastAsia="es-ES"/>
        </w:rPr>
      </w:pPr>
    </w:p>
    <w:p w14:paraId="17AB1FAB" w14:textId="77777777" w:rsidR="002B25FD" w:rsidRPr="000B33B9" w:rsidRDefault="002B25FD" w:rsidP="002B25FD">
      <w:pPr>
        <w:widowControl w:val="0"/>
        <w:tabs>
          <w:tab w:val="left" w:pos="720"/>
        </w:tabs>
        <w:adjustRightInd w:val="0"/>
        <w:spacing w:after="0" w:line="240" w:lineRule="auto"/>
        <w:jc w:val="center"/>
        <w:textAlignment w:val="baseline"/>
        <w:rPr>
          <w:rFonts w:ascii="Verdana" w:eastAsia="Calibri" w:hAnsi="Verdana" w:cs="Verdana"/>
          <w:bCs/>
          <w:caps/>
          <w:snapToGrid w:val="0"/>
          <w:sz w:val="20"/>
          <w:szCs w:val="20"/>
          <w:lang w:val="es-ES" w:eastAsia="es-ES"/>
        </w:rPr>
      </w:pPr>
    </w:p>
    <w:p w14:paraId="37458A2C" w14:textId="2F450B64" w:rsidR="001C05D8" w:rsidRPr="000B33B9" w:rsidRDefault="001C05D8" w:rsidP="002B25FD">
      <w:pPr>
        <w:widowControl w:val="0"/>
        <w:tabs>
          <w:tab w:val="left" w:pos="720"/>
        </w:tabs>
        <w:adjustRightInd w:val="0"/>
        <w:spacing w:after="0" w:line="240" w:lineRule="auto"/>
        <w:jc w:val="center"/>
        <w:textAlignment w:val="baseline"/>
        <w:rPr>
          <w:rFonts w:ascii="Verdana" w:eastAsia="Calibri" w:hAnsi="Verdana" w:cs="Verdana"/>
          <w:b/>
          <w:bCs/>
          <w:snapToGrid w:val="0"/>
          <w:sz w:val="20"/>
          <w:szCs w:val="20"/>
          <w:lang w:val="es-ES" w:eastAsia="es-ES"/>
        </w:rPr>
      </w:pPr>
      <w:r w:rsidRPr="000B33B9">
        <w:rPr>
          <w:rFonts w:ascii="Verdana" w:eastAsia="Calibri" w:hAnsi="Verdana" w:cs="Verdana"/>
          <w:b/>
          <w:bCs/>
          <w:snapToGrid w:val="0"/>
          <w:sz w:val="20"/>
          <w:szCs w:val="20"/>
          <w:lang w:val="es-ES" w:eastAsia="es-ES"/>
        </w:rPr>
        <w:t xml:space="preserve">SENTENCIA DE </w:t>
      </w:r>
      <w:r w:rsidR="00863BC5" w:rsidRPr="000B33B9">
        <w:rPr>
          <w:rFonts w:ascii="Verdana" w:eastAsia="Calibri" w:hAnsi="Verdana" w:cs="Verdana"/>
          <w:b/>
          <w:bCs/>
          <w:snapToGrid w:val="0"/>
          <w:sz w:val="20"/>
          <w:szCs w:val="20"/>
          <w:lang w:val="es-ES" w:eastAsia="es-ES"/>
        </w:rPr>
        <w:t xml:space="preserve">21 </w:t>
      </w:r>
      <w:r w:rsidRPr="000B33B9">
        <w:rPr>
          <w:rFonts w:ascii="Verdana" w:eastAsia="Calibri" w:hAnsi="Verdana" w:cs="Verdana"/>
          <w:b/>
          <w:bCs/>
          <w:snapToGrid w:val="0"/>
          <w:sz w:val="20"/>
          <w:szCs w:val="20"/>
          <w:lang w:val="es-ES" w:eastAsia="es-ES"/>
        </w:rPr>
        <w:t xml:space="preserve">DE </w:t>
      </w:r>
      <w:r w:rsidR="00AA541A" w:rsidRPr="000B33B9">
        <w:rPr>
          <w:rFonts w:ascii="Verdana" w:eastAsia="Calibri" w:hAnsi="Verdana" w:cs="Verdana"/>
          <w:b/>
          <w:bCs/>
          <w:snapToGrid w:val="0"/>
          <w:sz w:val="20"/>
          <w:szCs w:val="20"/>
          <w:lang w:val="es-ES" w:eastAsia="es-ES"/>
        </w:rPr>
        <w:t>NOVIEMBRE</w:t>
      </w:r>
      <w:r w:rsidRPr="000B33B9">
        <w:rPr>
          <w:rFonts w:ascii="Verdana" w:eastAsia="Calibri" w:hAnsi="Verdana" w:cs="Verdana"/>
          <w:b/>
          <w:bCs/>
          <w:snapToGrid w:val="0"/>
          <w:sz w:val="20"/>
          <w:szCs w:val="20"/>
          <w:lang w:val="es-ES" w:eastAsia="es-ES"/>
        </w:rPr>
        <w:t xml:space="preserve"> DE 2019</w:t>
      </w:r>
    </w:p>
    <w:p w14:paraId="01D28CA2" w14:textId="77777777" w:rsidR="001C05D8" w:rsidRPr="000B33B9" w:rsidRDefault="001C05D8" w:rsidP="002B25FD">
      <w:pPr>
        <w:widowControl w:val="0"/>
        <w:tabs>
          <w:tab w:val="left" w:pos="720"/>
        </w:tabs>
        <w:adjustRightInd w:val="0"/>
        <w:spacing w:after="0" w:line="240" w:lineRule="auto"/>
        <w:jc w:val="center"/>
        <w:textAlignment w:val="baseline"/>
        <w:rPr>
          <w:rFonts w:ascii="Verdana" w:eastAsia="Calibri" w:hAnsi="Verdana" w:cs="Verdana"/>
          <w:bCs/>
          <w:caps/>
          <w:snapToGrid w:val="0"/>
          <w:sz w:val="20"/>
          <w:szCs w:val="20"/>
          <w:lang w:val="es-ES" w:eastAsia="es-ES"/>
        </w:rPr>
      </w:pPr>
    </w:p>
    <w:p w14:paraId="572A4FDD" w14:textId="77777777" w:rsidR="006C2CBA" w:rsidRPr="000B33B9" w:rsidRDefault="006C2CBA" w:rsidP="002B25FD">
      <w:pPr>
        <w:widowControl w:val="0"/>
        <w:tabs>
          <w:tab w:val="left" w:pos="720"/>
        </w:tabs>
        <w:adjustRightInd w:val="0"/>
        <w:spacing w:after="0" w:line="240" w:lineRule="auto"/>
        <w:jc w:val="center"/>
        <w:textAlignment w:val="baseline"/>
        <w:rPr>
          <w:rFonts w:ascii="Verdana" w:eastAsia="Calibri" w:hAnsi="Verdana" w:cs="Verdana"/>
          <w:bCs/>
          <w:caps/>
          <w:snapToGrid w:val="0"/>
          <w:sz w:val="20"/>
          <w:szCs w:val="20"/>
          <w:lang w:val="es-ES" w:eastAsia="es-ES"/>
        </w:rPr>
      </w:pPr>
    </w:p>
    <w:p w14:paraId="0569E3BE" w14:textId="4DD0B79F" w:rsidR="001C05D8" w:rsidRPr="000B33B9" w:rsidRDefault="001C05D8" w:rsidP="002B25FD">
      <w:pPr>
        <w:widowControl w:val="0"/>
        <w:tabs>
          <w:tab w:val="left" w:pos="720"/>
        </w:tabs>
        <w:adjustRightInd w:val="0"/>
        <w:spacing w:after="0" w:line="240" w:lineRule="auto"/>
        <w:jc w:val="center"/>
        <w:textAlignment w:val="baseline"/>
        <w:rPr>
          <w:rFonts w:ascii="Verdana" w:eastAsia="Calibri" w:hAnsi="Verdana" w:cs="Verdana"/>
          <w:b/>
          <w:bCs/>
          <w:i/>
          <w:iCs/>
          <w:snapToGrid w:val="0"/>
          <w:sz w:val="20"/>
          <w:szCs w:val="20"/>
          <w:lang w:val="es-ES" w:eastAsia="es-ES"/>
        </w:rPr>
      </w:pPr>
      <w:r w:rsidRPr="000B33B9">
        <w:rPr>
          <w:rFonts w:ascii="Verdana" w:eastAsia="Calibri" w:hAnsi="Verdana" w:cs="Verdana"/>
          <w:b/>
          <w:bCs/>
          <w:i/>
          <w:iCs/>
          <w:snapToGrid w:val="0"/>
          <w:sz w:val="20"/>
          <w:szCs w:val="20"/>
          <w:lang w:val="es-ES" w:eastAsia="es-ES"/>
        </w:rPr>
        <w:t>(</w:t>
      </w:r>
      <w:r w:rsidR="00706CF1" w:rsidRPr="000B33B9">
        <w:rPr>
          <w:rFonts w:ascii="Verdana" w:eastAsia="Calibri" w:hAnsi="Verdana" w:cs="Verdana"/>
          <w:b/>
          <w:bCs/>
          <w:i/>
          <w:iCs/>
          <w:snapToGrid w:val="0"/>
          <w:sz w:val="20"/>
          <w:szCs w:val="20"/>
          <w:lang w:val="es-ES" w:eastAsia="es-ES"/>
        </w:rPr>
        <w:t>Excepciones</w:t>
      </w:r>
      <w:r w:rsidR="00977ACB" w:rsidRPr="000B33B9">
        <w:rPr>
          <w:rFonts w:ascii="Verdana" w:eastAsia="Calibri" w:hAnsi="Verdana" w:cs="Verdana"/>
          <w:b/>
          <w:bCs/>
          <w:i/>
          <w:iCs/>
          <w:snapToGrid w:val="0"/>
          <w:sz w:val="20"/>
          <w:szCs w:val="20"/>
          <w:lang w:val="es-ES" w:eastAsia="es-ES"/>
        </w:rPr>
        <w:t xml:space="preserve"> Preliminar</w:t>
      </w:r>
      <w:r w:rsidR="00706CF1" w:rsidRPr="000B33B9">
        <w:rPr>
          <w:rFonts w:ascii="Verdana" w:eastAsia="Calibri" w:hAnsi="Verdana" w:cs="Verdana"/>
          <w:b/>
          <w:bCs/>
          <w:i/>
          <w:iCs/>
          <w:snapToGrid w:val="0"/>
          <w:sz w:val="20"/>
          <w:szCs w:val="20"/>
          <w:lang w:val="es-ES" w:eastAsia="es-ES"/>
        </w:rPr>
        <w:t>es</w:t>
      </w:r>
      <w:r w:rsidR="00977ACB" w:rsidRPr="000B33B9">
        <w:rPr>
          <w:rFonts w:ascii="Verdana" w:eastAsia="Calibri" w:hAnsi="Verdana" w:cs="Verdana"/>
          <w:b/>
          <w:bCs/>
          <w:i/>
          <w:iCs/>
          <w:snapToGrid w:val="0"/>
          <w:sz w:val="20"/>
          <w:szCs w:val="20"/>
          <w:lang w:val="es-ES" w:eastAsia="es-ES"/>
        </w:rPr>
        <w:t>, Fondo, Reparaciones y Costas</w:t>
      </w:r>
      <w:r w:rsidRPr="000B33B9">
        <w:rPr>
          <w:rFonts w:ascii="Verdana" w:eastAsia="Calibri" w:hAnsi="Verdana" w:cs="Verdana"/>
          <w:b/>
          <w:bCs/>
          <w:i/>
          <w:iCs/>
          <w:snapToGrid w:val="0"/>
          <w:sz w:val="20"/>
          <w:szCs w:val="20"/>
          <w:lang w:val="es-ES" w:eastAsia="es-ES"/>
        </w:rPr>
        <w:t>)</w:t>
      </w:r>
    </w:p>
    <w:p w14:paraId="4A52AF0A" w14:textId="77777777" w:rsidR="001C05D8" w:rsidRPr="000B33B9" w:rsidRDefault="001C05D8" w:rsidP="002B25FD">
      <w:pPr>
        <w:widowControl w:val="0"/>
        <w:tabs>
          <w:tab w:val="left" w:pos="720"/>
        </w:tabs>
        <w:adjustRightInd w:val="0"/>
        <w:spacing w:after="0" w:line="240" w:lineRule="auto"/>
        <w:jc w:val="both"/>
        <w:textAlignment w:val="baseline"/>
        <w:rPr>
          <w:rFonts w:ascii="Verdana" w:eastAsia="Calibri" w:hAnsi="Verdana" w:cs="Verdana"/>
          <w:bCs/>
          <w:caps/>
          <w:snapToGrid w:val="0"/>
          <w:sz w:val="20"/>
          <w:szCs w:val="20"/>
          <w:lang w:val="es-ES" w:eastAsia="es-ES"/>
        </w:rPr>
      </w:pPr>
    </w:p>
    <w:p w14:paraId="126A2237" w14:textId="77777777" w:rsidR="002B25FD" w:rsidRPr="000B33B9" w:rsidRDefault="002B25FD" w:rsidP="002B25FD">
      <w:pPr>
        <w:widowControl w:val="0"/>
        <w:tabs>
          <w:tab w:val="left" w:pos="720"/>
        </w:tabs>
        <w:adjustRightInd w:val="0"/>
        <w:spacing w:after="0" w:line="240" w:lineRule="auto"/>
        <w:jc w:val="both"/>
        <w:textAlignment w:val="baseline"/>
        <w:rPr>
          <w:rFonts w:ascii="Verdana" w:eastAsia="Calibri" w:hAnsi="Verdana" w:cs="Verdana"/>
          <w:bCs/>
          <w:caps/>
          <w:snapToGrid w:val="0"/>
          <w:sz w:val="20"/>
          <w:szCs w:val="20"/>
          <w:lang w:val="es-ES" w:eastAsia="es-ES"/>
        </w:rPr>
      </w:pPr>
    </w:p>
    <w:p w14:paraId="6111FA3F" w14:textId="77777777" w:rsidR="001C05D8" w:rsidRPr="000B33B9" w:rsidRDefault="001C05D8" w:rsidP="002B25FD">
      <w:pPr>
        <w:widowControl w:val="0"/>
        <w:adjustRightInd w:val="0"/>
        <w:spacing w:after="0" w:line="240" w:lineRule="auto"/>
        <w:jc w:val="both"/>
        <w:textAlignment w:val="baseline"/>
        <w:rPr>
          <w:rFonts w:ascii="Verdana" w:eastAsia="Calibri" w:hAnsi="Verdana" w:cs="Times New Roman"/>
          <w:sz w:val="20"/>
          <w:szCs w:val="20"/>
          <w:lang w:val="es-ES" w:eastAsia="es-CR"/>
        </w:rPr>
      </w:pPr>
    </w:p>
    <w:p w14:paraId="7B1E2A36" w14:textId="77777777" w:rsidR="002B25FD" w:rsidRPr="000B33B9" w:rsidRDefault="002B25FD" w:rsidP="002B25FD">
      <w:pPr>
        <w:widowControl w:val="0"/>
        <w:adjustRightInd w:val="0"/>
        <w:spacing w:after="0" w:line="240" w:lineRule="auto"/>
        <w:jc w:val="both"/>
        <w:textAlignment w:val="baseline"/>
        <w:rPr>
          <w:rFonts w:ascii="Verdana" w:eastAsia="Calibri" w:hAnsi="Verdana" w:cs="Times New Roman"/>
          <w:sz w:val="20"/>
          <w:szCs w:val="20"/>
          <w:lang w:val="es-ES" w:eastAsia="es-CR"/>
        </w:rPr>
      </w:pPr>
    </w:p>
    <w:p w14:paraId="09BA3BD3" w14:textId="52620B86" w:rsidR="001C05D8" w:rsidRPr="000B33B9" w:rsidRDefault="001C05D8" w:rsidP="002B25FD">
      <w:pPr>
        <w:widowControl w:val="0"/>
        <w:tabs>
          <w:tab w:val="left" w:pos="720"/>
        </w:tabs>
        <w:adjustRightInd w:val="0"/>
        <w:spacing w:after="0" w:line="240" w:lineRule="auto"/>
        <w:jc w:val="both"/>
        <w:textAlignment w:val="baseline"/>
        <w:rPr>
          <w:rFonts w:ascii="Verdana" w:eastAsia="Verdana" w:hAnsi="Verdana" w:cs="Verdana"/>
          <w:sz w:val="20"/>
          <w:szCs w:val="20"/>
          <w:lang w:val="es-ES" w:eastAsia="es-CR"/>
        </w:rPr>
      </w:pPr>
      <w:r w:rsidRPr="000B33B9">
        <w:rPr>
          <w:rFonts w:ascii="Verdana" w:eastAsia="Verdana" w:hAnsi="Verdana" w:cs="Verdana"/>
          <w:sz w:val="20"/>
          <w:szCs w:val="20"/>
          <w:lang w:val="es-ES" w:eastAsia="es-CR"/>
        </w:rPr>
        <w:t xml:space="preserve">En el caso </w:t>
      </w:r>
      <w:r w:rsidR="00AA541A" w:rsidRPr="000B33B9">
        <w:rPr>
          <w:rFonts w:ascii="Verdana" w:eastAsia="Verdana" w:hAnsi="Verdana" w:cs="Verdana"/>
          <w:i/>
          <w:sz w:val="20"/>
          <w:szCs w:val="20"/>
          <w:lang w:val="es-ES" w:eastAsia="es-CR"/>
        </w:rPr>
        <w:t>ANCEJUB-SUNAT</w:t>
      </w:r>
      <w:r w:rsidR="000965F4" w:rsidRPr="000B33B9">
        <w:rPr>
          <w:rFonts w:ascii="Verdana" w:eastAsia="Verdana" w:hAnsi="Verdana" w:cs="Verdana"/>
          <w:i/>
          <w:sz w:val="20"/>
          <w:szCs w:val="20"/>
          <w:lang w:val="es-ES" w:eastAsia="es-CR"/>
        </w:rPr>
        <w:t xml:space="preserve"> Vs. </w:t>
      </w:r>
      <w:r w:rsidR="00AA541A" w:rsidRPr="000B33B9">
        <w:rPr>
          <w:rFonts w:ascii="Verdana" w:eastAsia="Verdana" w:hAnsi="Verdana" w:cs="Verdana"/>
          <w:i/>
          <w:sz w:val="20"/>
          <w:szCs w:val="20"/>
          <w:lang w:val="es-ES" w:eastAsia="es-CR"/>
        </w:rPr>
        <w:t>Perú</w:t>
      </w:r>
      <w:r w:rsidRPr="000B33B9">
        <w:rPr>
          <w:rFonts w:ascii="Verdana" w:eastAsia="Verdana" w:hAnsi="Verdana" w:cs="Verdana"/>
          <w:sz w:val="20"/>
          <w:szCs w:val="20"/>
          <w:lang w:val="es-ES" w:eastAsia="es-CR"/>
        </w:rPr>
        <w:t>,</w:t>
      </w:r>
    </w:p>
    <w:p w14:paraId="4895C792" w14:textId="77777777" w:rsidR="001C05D8" w:rsidRPr="000B33B9" w:rsidRDefault="001C05D8" w:rsidP="002B25FD">
      <w:pPr>
        <w:widowControl w:val="0"/>
        <w:adjustRightInd w:val="0"/>
        <w:spacing w:after="0" w:line="240" w:lineRule="auto"/>
        <w:jc w:val="both"/>
        <w:textAlignment w:val="baseline"/>
        <w:rPr>
          <w:rFonts w:ascii="Verdana" w:eastAsia="Calibri" w:hAnsi="Verdana" w:cs="Times New Roman"/>
          <w:sz w:val="20"/>
          <w:szCs w:val="20"/>
          <w:lang w:val="es-ES" w:eastAsia="es-CR"/>
        </w:rPr>
      </w:pPr>
    </w:p>
    <w:p w14:paraId="4FA6A751" w14:textId="77777777" w:rsidR="006C2CBA" w:rsidRPr="000B33B9" w:rsidRDefault="006C2CBA" w:rsidP="002B25FD">
      <w:pPr>
        <w:widowControl w:val="0"/>
        <w:adjustRightInd w:val="0"/>
        <w:spacing w:after="0" w:line="240" w:lineRule="auto"/>
        <w:jc w:val="both"/>
        <w:textAlignment w:val="baseline"/>
        <w:rPr>
          <w:rFonts w:ascii="Verdana" w:eastAsia="Calibri" w:hAnsi="Verdana" w:cs="Times New Roman"/>
          <w:sz w:val="20"/>
          <w:szCs w:val="20"/>
          <w:lang w:val="es-ES" w:eastAsia="es-CR"/>
        </w:rPr>
      </w:pPr>
    </w:p>
    <w:p w14:paraId="3516158A" w14:textId="1CDD5898" w:rsidR="001C05D8" w:rsidRPr="000B33B9" w:rsidRDefault="001C05D8" w:rsidP="002B25FD">
      <w:pPr>
        <w:widowControl w:val="0"/>
        <w:adjustRightInd w:val="0"/>
        <w:spacing w:after="0" w:line="240" w:lineRule="auto"/>
        <w:jc w:val="both"/>
        <w:textAlignment w:val="baseline"/>
        <w:rPr>
          <w:rFonts w:ascii="Verdana" w:eastAsiaTheme="minorHAnsi" w:hAnsi="Verdana" w:cs="Times New Roman"/>
          <w:sz w:val="20"/>
          <w:szCs w:val="20"/>
          <w:lang w:val="es-CR" w:eastAsia="es-CR"/>
        </w:rPr>
      </w:pPr>
      <w:r w:rsidRPr="000B33B9">
        <w:rPr>
          <w:rFonts w:ascii="Verdana" w:eastAsia="Calibri" w:hAnsi="Verdana" w:cs="Verdana"/>
          <w:sz w:val="20"/>
          <w:szCs w:val="20"/>
          <w:lang w:val="es-ES" w:eastAsia="es-CR"/>
        </w:rPr>
        <w:t>la Corte Interamericana de Derechos Humanos (en adelante “la Corte Interamericana”, “la Corte” o “este Tribunal”), integrada por los siguientes jueces:</w:t>
      </w:r>
    </w:p>
    <w:p w14:paraId="2B451F62" w14:textId="77777777" w:rsidR="001C05D8" w:rsidRPr="000B33B9" w:rsidRDefault="001C05D8" w:rsidP="002B25FD">
      <w:pPr>
        <w:widowControl w:val="0"/>
        <w:adjustRightInd w:val="0"/>
        <w:spacing w:after="0" w:line="240" w:lineRule="auto"/>
        <w:jc w:val="both"/>
        <w:textAlignment w:val="baseline"/>
        <w:rPr>
          <w:rFonts w:ascii="Verdana" w:eastAsia="Calibri" w:hAnsi="Verdana" w:cs="Verdana"/>
          <w:sz w:val="20"/>
          <w:szCs w:val="20"/>
          <w:lang w:val="es-CR" w:eastAsia="es-CR"/>
        </w:rPr>
      </w:pPr>
    </w:p>
    <w:p w14:paraId="476DB7A0" w14:textId="77777777" w:rsidR="006C2CBA" w:rsidRPr="000B33B9" w:rsidRDefault="006C2CBA" w:rsidP="002B25FD">
      <w:pPr>
        <w:widowControl w:val="0"/>
        <w:adjustRightInd w:val="0"/>
        <w:spacing w:after="0" w:line="240" w:lineRule="auto"/>
        <w:jc w:val="both"/>
        <w:textAlignment w:val="baseline"/>
        <w:rPr>
          <w:rFonts w:ascii="Verdana" w:eastAsia="Calibri" w:hAnsi="Verdana" w:cs="Verdana"/>
          <w:sz w:val="20"/>
          <w:szCs w:val="20"/>
          <w:lang w:val="es-CR" w:eastAsia="es-CR"/>
        </w:rPr>
      </w:pPr>
    </w:p>
    <w:p w14:paraId="15D1BAAF" w14:textId="77777777" w:rsidR="001C05D8" w:rsidRPr="000B33B9" w:rsidRDefault="001C05D8" w:rsidP="002B25FD">
      <w:pPr>
        <w:widowControl w:val="0"/>
        <w:tabs>
          <w:tab w:val="left" w:pos="720"/>
        </w:tabs>
        <w:adjustRightInd w:val="0"/>
        <w:spacing w:after="0" w:line="240" w:lineRule="auto"/>
        <w:ind w:left="720"/>
        <w:jc w:val="both"/>
        <w:textAlignment w:val="baseline"/>
        <w:rPr>
          <w:rFonts w:ascii="Verdana" w:eastAsia="Calibri" w:hAnsi="Verdana" w:cs="Verdana"/>
          <w:sz w:val="20"/>
          <w:szCs w:val="20"/>
          <w:lang w:val="pt-BR" w:eastAsia="es-CR"/>
        </w:rPr>
      </w:pPr>
      <w:r w:rsidRPr="000B33B9">
        <w:rPr>
          <w:rFonts w:ascii="Verdana" w:eastAsia="Calibri" w:hAnsi="Verdana" w:cs="Verdana"/>
          <w:sz w:val="20"/>
          <w:szCs w:val="20"/>
          <w:lang w:val="pt-BR" w:eastAsia="es-CR"/>
        </w:rPr>
        <w:t>Eduardo Ferrer Mac-Gregor Poisot, Presidente;</w:t>
      </w:r>
    </w:p>
    <w:p w14:paraId="29F39B60" w14:textId="7DD43E88" w:rsidR="001C05D8" w:rsidRPr="000B33B9" w:rsidRDefault="00E201D1" w:rsidP="002B25FD">
      <w:pPr>
        <w:widowControl w:val="0"/>
        <w:tabs>
          <w:tab w:val="left" w:pos="720"/>
        </w:tabs>
        <w:adjustRightInd w:val="0"/>
        <w:spacing w:after="0" w:line="240" w:lineRule="auto"/>
        <w:ind w:left="720"/>
        <w:jc w:val="both"/>
        <w:textAlignment w:val="baseline"/>
        <w:rPr>
          <w:rFonts w:ascii="Verdana" w:eastAsia="Calibri" w:hAnsi="Verdana" w:cs="Verdana"/>
          <w:sz w:val="20"/>
          <w:szCs w:val="20"/>
          <w:lang w:val="pt-BR" w:eastAsia="es-CR"/>
        </w:rPr>
      </w:pPr>
      <w:r w:rsidRPr="000B33B9">
        <w:rPr>
          <w:rFonts w:ascii="Verdana" w:eastAsia="Calibri" w:hAnsi="Verdana" w:cs="Verdana"/>
          <w:sz w:val="20"/>
          <w:szCs w:val="20"/>
          <w:lang w:val="pt-BR" w:eastAsia="es-CR"/>
        </w:rPr>
        <w:t>Eduardo Vio Grossi, Vicep</w:t>
      </w:r>
      <w:r w:rsidR="001C05D8" w:rsidRPr="000B33B9">
        <w:rPr>
          <w:rFonts w:ascii="Verdana" w:eastAsia="Calibri" w:hAnsi="Verdana" w:cs="Verdana"/>
          <w:sz w:val="20"/>
          <w:szCs w:val="20"/>
          <w:lang w:val="pt-BR" w:eastAsia="es-CR"/>
        </w:rPr>
        <w:t>residente;</w:t>
      </w:r>
    </w:p>
    <w:p w14:paraId="019C7683" w14:textId="64356F70" w:rsidR="001C05D8" w:rsidRPr="000B33B9" w:rsidRDefault="001C05D8" w:rsidP="002B25FD">
      <w:pPr>
        <w:widowControl w:val="0"/>
        <w:tabs>
          <w:tab w:val="left" w:pos="720"/>
        </w:tabs>
        <w:adjustRightInd w:val="0"/>
        <w:spacing w:after="0" w:line="240" w:lineRule="auto"/>
        <w:ind w:left="720"/>
        <w:jc w:val="both"/>
        <w:textAlignment w:val="baseline"/>
        <w:rPr>
          <w:rFonts w:ascii="Verdana" w:eastAsia="Calibri" w:hAnsi="Verdana" w:cs="Verdana"/>
          <w:sz w:val="20"/>
          <w:szCs w:val="20"/>
          <w:lang w:val="pt-BR" w:eastAsia="es-CR"/>
        </w:rPr>
      </w:pPr>
      <w:r w:rsidRPr="000B33B9">
        <w:rPr>
          <w:rFonts w:ascii="Verdana" w:eastAsia="Calibri" w:hAnsi="Verdana" w:cs="Verdana"/>
          <w:sz w:val="20"/>
          <w:szCs w:val="20"/>
          <w:lang w:val="pt-BR" w:eastAsia="es-CR"/>
        </w:rPr>
        <w:t>Humberto Antonio Sierra Porto</w:t>
      </w:r>
      <w:r w:rsidR="00067313" w:rsidRPr="000B33B9">
        <w:rPr>
          <w:rFonts w:ascii="Verdana" w:eastAsia="Calibri" w:hAnsi="Verdana" w:cs="Verdana"/>
          <w:sz w:val="20"/>
          <w:szCs w:val="20"/>
          <w:lang w:val="pt-BR" w:eastAsia="es-CR"/>
        </w:rPr>
        <w:t>, Juez</w:t>
      </w:r>
      <w:r w:rsidRPr="000B33B9">
        <w:rPr>
          <w:rFonts w:ascii="Verdana" w:eastAsia="Calibri" w:hAnsi="Verdana" w:cs="Verdana"/>
          <w:sz w:val="20"/>
          <w:szCs w:val="20"/>
          <w:lang w:val="pt-BR" w:eastAsia="es-CR"/>
        </w:rPr>
        <w:t>;</w:t>
      </w:r>
    </w:p>
    <w:p w14:paraId="6A7B41C0" w14:textId="77777777" w:rsidR="001C05D8" w:rsidRPr="000B33B9" w:rsidRDefault="001C05D8" w:rsidP="002B25FD">
      <w:pPr>
        <w:widowControl w:val="0"/>
        <w:tabs>
          <w:tab w:val="left" w:pos="720"/>
        </w:tabs>
        <w:adjustRightInd w:val="0"/>
        <w:spacing w:after="0" w:line="240" w:lineRule="auto"/>
        <w:ind w:left="720"/>
        <w:jc w:val="both"/>
        <w:textAlignment w:val="baseline"/>
        <w:rPr>
          <w:rFonts w:ascii="Verdana" w:eastAsia="Calibri" w:hAnsi="Verdana" w:cs="Verdana"/>
          <w:sz w:val="20"/>
          <w:szCs w:val="20"/>
          <w:lang w:val="pt-BR" w:eastAsia="es-CR"/>
        </w:rPr>
      </w:pPr>
      <w:r w:rsidRPr="000B33B9">
        <w:rPr>
          <w:rFonts w:ascii="Verdana" w:eastAsia="Calibri" w:hAnsi="Verdana" w:cs="Verdana"/>
          <w:sz w:val="20"/>
          <w:szCs w:val="20"/>
          <w:lang w:val="pt-BR" w:eastAsia="es-CR"/>
        </w:rPr>
        <w:t>Elizabeth Odio Benito, Jueza;</w:t>
      </w:r>
    </w:p>
    <w:p w14:paraId="09AE1491" w14:textId="1B1443BA" w:rsidR="00E201D1" w:rsidRPr="000B33B9" w:rsidRDefault="00E201D1" w:rsidP="002B25FD">
      <w:pPr>
        <w:widowControl w:val="0"/>
        <w:tabs>
          <w:tab w:val="left" w:pos="720"/>
        </w:tabs>
        <w:adjustRightInd w:val="0"/>
        <w:spacing w:after="0" w:line="240" w:lineRule="auto"/>
        <w:ind w:left="720"/>
        <w:jc w:val="both"/>
        <w:textAlignment w:val="baseline"/>
        <w:rPr>
          <w:rFonts w:ascii="Verdana" w:eastAsia="Calibri" w:hAnsi="Verdana" w:cs="Verdana"/>
          <w:sz w:val="20"/>
          <w:szCs w:val="20"/>
          <w:lang w:val="pt-BR" w:eastAsia="es-CR"/>
        </w:rPr>
      </w:pPr>
      <w:r w:rsidRPr="000B33B9">
        <w:rPr>
          <w:rFonts w:ascii="Verdana" w:eastAsia="Calibri" w:hAnsi="Verdana" w:cs="Verdana"/>
          <w:sz w:val="20"/>
          <w:szCs w:val="20"/>
          <w:lang w:val="pt-BR" w:eastAsia="es-CR"/>
        </w:rPr>
        <w:t>Eugenio Raúl Zaffaroni, Juez;</w:t>
      </w:r>
    </w:p>
    <w:p w14:paraId="15964B81" w14:textId="07B4F1D3" w:rsidR="001C05D8" w:rsidRPr="000B33B9" w:rsidRDefault="001C05D8" w:rsidP="004732FB">
      <w:pPr>
        <w:widowControl w:val="0"/>
        <w:tabs>
          <w:tab w:val="left" w:pos="720"/>
          <w:tab w:val="left" w:pos="4800"/>
        </w:tabs>
        <w:adjustRightInd w:val="0"/>
        <w:spacing w:after="0" w:line="240" w:lineRule="auto"/>
        <w:ind w:left="720"/>
        <w:jc w:val="both"/>
        <w:textAlignment w:val="baseline"/>
        <w:rPr>
          <w:rFonts w:ascii="Verdana" w:eastAsia="Calibri" w:hAnsi="Verdana" w:cs="Verdana"/>
          <w:sz w:val="20"/>
          <w:szCs w:val="20"/>
          <w:lang w:val="pt-BR" w:eastAsia="es-CR"/>
        </w:rPr>
      </w:pPr>
      <w:r w:rsidRPr="000B33B9">
        <w:rPr>
          <w:rFonts w:ascii="Verdana" w:eastAsia="Calibri" w:hAnsi="Verdana" w:cs="Verdana"/>
          <w:sz w:val="20"/>
          <w:szCs w:val="20"/>
          <w:lang w:val="pt-BR" w:eastAsia="es-CR"/>
        </w:rPr>
        <w:t>L. Patricio Pazmiño Freire, Juez, y</w:t>
      </w:r>
      <w:r w:rsidR="004732FB" w:rsidRPr="000B33B9">
        <w:rPr>
          <w:rFonts w:ascii="Verdana" w:eastAsia="Calibri" w:hAnsi="Verdana" w:cs="Verdana"/>
          <w:sz w:val="20"/>
          <w:szCs w:val="20"/>
          <w:lang w:val="pt-BR" w:eastAsia="es-CR"/>
        </w:rPr>
        <w:tab/>
      </w:r>
    </w:p>
    <w:p w14:paraId="41DB5041" w14:textId="10E8013F" w:rsidR="001C05D8" w:rsidRPr="000B33B9" w:rsidRDefault="00067313" w:rsidP="002B25FD">
      <w:pPr>
        <w:widowControl w:val="0"/>
        <w:tabs>
          <w:tab w:val="left" w:pos="720"/>
        </w:tabs>
        <w:adjustRightInd w:val="0"/>
        <w:spacing w:after="0" w:line="240" w:lineRule="auto"/>
        <w:ind w:left="720"/>
        <w:jc w:val="both"/>
        <w:textAlignment w:val="baseline"/>
        <w:rPr>
          <w:rFonts w:ascii="Verdana" w:eastAsia="Calibri" w:hAnsi="Verdana" w:cs="Verdana"/>
          <w:sz w:val="20"/>
          <w:szCs w:val="20"/>
          <w:lang w:val="es-ES" w:eastAsia="es-CR"/>
        </w:rPr>
      </w:pPr>
      <w:r w:rsidRPr="000B33B9">
        <w:rPr>
          <w:rFonts w:ascii="Verdana" w:eastAsia="Calibri" w:hAnsi="Verdana" w:cs="Verdana"/>
          <w:sz w:val="20"/>
          <w:szCs w:val="20"/>
          <w:lang w:val="es-ES" w:eastAsia="es-CR"/>
        </w:rPr>
        <w:t>Ricardo Pérez Manrique, Juez</w:t>
      </w:r>
      <w:r w:rsidR="001C05D8" w:rsidRPr="000B33B9">
        <w:rPr>
          <w:rFonts w:ascii="Verdana" w:eastAsia="Calibri" w:hAnsi="Verdana" w:cs="Verdana"/>
          <w:sz w:val="20"/>
          <w:szCs w:val="20"/>
          <w:lang w:val="es-ES" w:eastAsia="es-CR"/>
        </w:rPr>
        <w:t xml:space="preserve"> </w:t>
      </w:r>
    </w:p>
    <w:p w14:paraId="15A2B6E4" w14:textId="77777777" w:rsidR="001C05D8" w:rsidRPr="000B33B9" w:rsidRDefault="001C05D8" w:rsidP="002B25FD">
      <w:pPr>
        <w:widowControl w:val="0"/>
        <w:tabs>
          <w:tab w:val="left" w:pos="720"/>
        </w:tabs>
        <w:adjustRightInd w:val="0"/>
        <w:spacing w:after="0" w:line="240" w:lineRule="auto"/>
        <w:jc w:val="both"/>
        <w:textAlignment w:val="baseline"/>
        <w:rPr>
          <w:rFonts w:ascii="Verdana" w:eastAsia="Calibri" w:hAnsi="Verdana" w:cs="Verdana"/>
          <w:sz w:val="20"/>
          <w:szCs w:val="20"/>
          <w:lang w:val="es-ES" w:eastAsia="es-CR"/>
        </w:rPr>
      </w:pPr>
    </w:p>
    <w:p w14:paraId="3679D158" w14:textId="77777777" w:rsidR="002B25FD" w:rsidRPr="000B33B9" w:rsidRDefault="002B25FD" w:rsidP="002B25FD">
      <w:pPr>
        <w:widowControl w:val="0"/>
        <w:tabs>
          <w:tab w:val="left" w:pos="720"/>
        </w:tabs>
        <w:adjustRightInd w:val="0"/>
        <w:spacing w:after="0" w:line="240" w:lineRule="auto"/>
        <w:jc w:val="both"/>
        <w:textAlignment w:val="baseline"/>
        <w:rPr>
          <w:rFonts w:ascii="Verdana" w:eastAsia="Calibri" w:hAnsi="Verdana" w:cs="Verdana"/>
          <w:sz w:val="20"/>
          <w:szCs w:val="20"/>
          <w:lang w:val="es-ES" w:eastAsia="es-CR"/>
        </w:rPr>
      </w:pPr>
    </w:p>
    <w:p w14:paraId="1E4F042C" w14:textId="77777777" w:rsidR="001C05D8" w:rsidRPr="000B33B9" w:rsidRDefault="0006055E" w:rsidP="002B25FD">
      <w:pPr>
        <w:widowControl w:val="0"/>
        <w:tabs>
          <w:tab w:val="left" w:pos="720"/>
        </w:tabs>
        <w:adjustRightInd w:val="0"/>
        <w:spacing w:after="0" w:line="240" w:lineRule="auto"/>
        <w:jc w:val="both"/>
        <w:textAlignment w:val="baseline"/>
        <w:rPr>
          <w:rFonts w:ascii="Verdana" w:eastAsia="Calibri" w:hAnsi="Verdana" w:cs="Verdana"/>
          <w:sz w:val="20"/>
          <w:szCs w:val="20"/>
          <w:lang w:val="es-ES" w:eastAsia="es-CR"/>
        </w:rPr>
      </w:pPr>
      <w:r w:rsidRPr="000B33B9">
        <w:rPr>
          <w:rFonts w:ascii="Verdana" w:eastAsia="Calibri" w:hAnsi="Verdana" w:cs="Verdana"/>
          <w:sz w:val="20"/>
          <w:szCs w:val="20"/>
          <w:lang w:val="es-ES" w:eastAsia="es-CR"/>
        </w:rPr>
        <w:t>presente</w:t>
      </w:r>
      <w:r w:rsidR="001C05D8" w:rsidRPr="000B33B9">
        <w:rPr>
          <w:rFonts w:ascii="Verdana" w:eastAsia="Calibri" w:hAnsi="Verdana" w:cs="Verdana"/>
          <w:sz w:val="20"/>
          <w:szCs w:val="20"/>
          <w:lang w:val="es-ES" w:eastAsia="es-CR"/>
        </w:rPr>
        <w:t xml:space="preserve"> además,</w:t>
      </w:r>
    </w:p>
    <w:p w14:paraId="585FE06D" w14:textId="77777777" w:rsidR="001C05D8" w:rsidRPr="000B33B9" w:rsidRDefault="001C05D8" w:rsidP="002B25FD">
      <w:pPr>
        <w:widowControl w:val="0"/>
        <w:tabs>
          <w:tab w:val="left" w:pos="720"/>
        </w:tabs>
        <w:adjustRightInd w:val="0"/>
        <w:spacing w:after="0" w:line="240" w:lineRule="auto"/>
        <w:jc w:val="both"/>
        <w:textAlignment w:val="baseline"/>
        <w:rPr>
          <w:rFonts w:ascii="Verdana" w:eastAsia="Calibri" w:hAnsi="Verdana" w:cs="Verdana"/>
          <w:sz w:val="20"/>
          <w:szCs w:val="20"/>
          <w:lang w:val="es-ES" w:eastAsia="es-CR"/>
        </w:rPr>
      </w:pPr>
    </w:p>
    <w:p w14:paraId="5C91AEA3" w14:textId="77777777" w:rsidR="002B25FD" w:rsidRPr="000B33B9" w:rsidRDefault="002B25FD" w:rsidP="002B25FD">
      <w:pPr>
        <w:widowControl w:val="0"/>
        <w:tabs>
          <w:tab w:val="left" w:pos="720"/>
        </w:tabs>
        <w:adjustRightInd w:val="0"/>
        <w:spacing w:after="0" w:line="240" w:lineRule="auto"/>
        <w:jc w:val="both"/>
        <w:textAlignment w:val="baseline"/>
        <w:rPr>
          <w:rFonts w:ascii="Verdana" w:eastAsia="Calibri" w:hAnsi="Verdana" w:cs="Verdana"/>
          <w:sz w:val="20"/>
          <w:szCs w:val="20"/>
          <w:lang w:val="es-ES" w:eastAsia="es-CR"/>
        </w:rPr>
      </w:pPr>
    </w:p>
    <w:p w14:paraId="7131AAA2" w14:textId="23CFE5F4" w:rsidR="001C05D8" w:rsidRPr="000B33B9" w:rsidRDefault="00851757" w:rsidP="002B25FD">
      <w:pPr>
        <w:widowControl w:val="0"/>
        <w:tabs>
          <w:tab w:val="left" w:pos="720"/>
        </w:tabs>
        <w:adjustRightInd w:val="0"/>
        <w:spacing w:after="0" w:line="240" w:lineRule="auto"/>
        <w:jc w:val="both"/>
        <w:textAlignment w:val="baseline"/>
        <w:rPr>
          <w:rFonts w:ascii="Verdana" w:eastAsia="Calibri" w:hAnsi="Verdana" w:cs="Verdana"/>
          <w:sz w:val="20"/>
          <w:szCs w:val="20"/>
          <w:lang w:val="es-ES" w:eastAsia="es-CR"/>
        </w:rPr>
      </w:pPr>
      <w:r w:rsidRPr="000B33B9">
        <w:rPr>
          <w:rFonts w:ascii="Verdana" w:eastAsia="Calibri" w:hAnsi="Verdana" w:cs="Verdana"/>
          <w:sz w:val="20"/>
          <w:szCs w:val="20"/>
          <w:lang w:val="es-ES" w:eastAsia="es-CR"/>
        </w:rPr>
        <w:tab/>
      </w:r>
      <w:r w:rsidR="001C05D8" w:rsidRPr="000B33B9">
        <w:rPr>
          <w:rFonts w:ascii="Verdana" w:eastAsia="Calibri" w:hAnsi="Verdana" w:cs="Verdana"/>
          <w:sz w:val="20"/>
          <w:szCs w:val="20"/>
          <w:lang w:val="es-ES" w:eastAsia="es-CR"/>
        </w:rPr>
        <w:t xml:space="preserve">Pablo </w:t>
      </w:r>
      <w:r w:rsidR="0006055E" w:rsidRPr="000B33B9">
        <w:rPr>
          <w:rFonts w:ascii="Verdana" w:eastAsia="Calibri" w:hAnsi="Verdana" w:cs="Verdana"/>
          <w:sz w:val="20"/>
          <w:szCs w:val="20"/>
          <w:lang w:val="es-ES" w:eastAsia="es-CR"/>
        </w:rPr>
        <w:t>Saavedra Alessandri, Secretario,</w:t>
      </w:r>
    </w:p>
    <w:p w14:paraId="196BFE6B" w14:textId="77777777" w:rsidR="008379B6" w:rsidRPr="000B33B9" w:rsidRDefault="008379B6" w:rsidP="002B25FD">
      <w:pPr>
        <w:widowControl w:val="0"/>
        <w:tabs>
          <w:tab w:val="left" w:pos="720"/>
        </w:tabs>
        <w:adjustRightInd w:val="0"/>
        <w:spacing w:after="0" w:line="240" w:lineRule="auto"/>
        <w:jc w:val="both"/>
        <w:textAlignment w:val="baseline"/>
        <w:rPr>
          <w:rFonts w:ascii="Verdana" w:eastAsia="Calibri" w:hAnsi="Verdana" w:cs="Verdana"/>
          <w:sz w:val="20"/>
          <w:szCs w:val="20"/>
          <w:lang w:val="es-ES" w:eastAsia="es-CR"/>
        </w:rPr>
      </w:pPr>
    </w:p>
    <w:p w14:paraId="4B3D02A5" w14:textId="77777777" w:rsidR="002B25FD" w:rsidRPr="000B33B9" w:rsidRDefault="002B25FD" w:rsidP="002B25FD">
      <w:pPr>
        <w:widowControl w:val="0"/>
        <w:tabs>
          <w:tab w:val="left" w:pos="720"/>
        </w:tabs>
        <w:adjustRightInd w:val="0"/>
        <w:spacing w:after="0" w:line="240" w:lineRule="auto"/>
        <w:jc w:val="both"/>
        <w:textAlignment w:val="baseline"/>
        <w:rPr>
          <w:rFonts w:ascii="Verdana" w:eastAsia="Calibri" w:hAnsi="Verdana" w:cs="Verdana"/>
          <w:sz w:val="20"/>
          <w:szCs w:val="20"/>
          <w:lang w:val="es-ES" w:eastAsia="es-CR"/>
        </w:rPr>
      </w:pPr>
    </w:p>
    <w:p w14:paraId="5F0C0232" w14:textId="0F9E8F77" w:rsidR="001C05D8" w:rsidRPr="000B33B9" w:rsidRDefault="00851757" w:rsidP="002B25FD">
      <w:pPr>
        <w:widowControl w:val="0"/>
        <w:tabs>
          <w:tab w:val="left" w:pos="720"/>
        </w:tabs>
        <w:adjustRightInd w:val="0"/>
        <w:spacing w:after="0" w:line="240" w:lineRule="auto"/>
        <w:jc w:val="both"/>
        <w:textAlignment w:val="baseline"/>
        <w:rPr>
          <w:rFonts w:ascii="Verdana" w:eastAsia="Calibri" w:hAnsi="Verdana" w:cs="Verdana"/>
          <w:sz w:val="20"/>
          <w:szCs w:val="20"/>
          <w:lang w:val="es-ES" w:eastAsia="es-CR"/>
        </w:rPr>
      </w:pPr>
      <w:r w:rsidRPr="000B33B9">
        <w:rPr>
          <w:rFonts w:ascii="Verdana" w:eastAsia="Calibri" w:hAnsi="Verdana" w:cs="Verdana"/>
          <w:sz w:val="20"/>
          <w:szCs w:val="20"/>
          <w:lang w:val="es-ES" w:eastAsia="es-CR"/>
        </w:rPr>
        <w:t>d</w:t>
      </w:r>
      <w:r w:rsidR="0006055E" w:rsidRPr="000B33B9">
        <w:rPr>
          <w:rFonts w:ascii="Verdana" w:eastAsia="Calibri" w:hAnsi="Verdana" w:cs="Verdana"/>
          <w:sz w:val="20"/>
          <w:szCs w:val="20"/>
          <w:lang w:val="es-ES" w:eastAsia="es-CR"/>
        </w:rPr>
        <w:t>e</w:t>
      </w:r>
      <w:r w:rsidR="001C05D8" w:rsidRPr="000B33B9">
        <w:rPr>
          <w:rFonts w:ascii="Verdana" w:eastAsia="Calibri" w:hAnsi="Verdana" w:cs="Verdana"/>
          <w:sz w:val="20"/>
          <w:szCs w:val="20"/>
          <w:lang w:val="es-ES" w:eastAsia="es-CR"/>
        </w:rPr>
        <w:t xml:space="preserve"> conformidad con los artículos 62.3 y 63.1 de la Convención Americana sobre Derechos Humanos (en adelante “la Convención Americana” o “la Convención”) y con los artículos 31, 32,</w:t>
      </w:r>
      <w:r w:rsidR="00713E16" w:rsidRPr="000B33B9">
        <w:rPr>
          <w:rFonts w:ascii="Verdana" w:eastAsia="Calibri" w:hAnsi="Verdana" w:cs="Verdana"/>
          <w:sz w:val="20"/>
          <w:szCs w:val="20"/>
          <w:lang w:val="es-ES" w:eastAsia="es-CR"/>
        </w:rPr>
        <w:t xml:space="preserve"> 42,</w:t>
      </w:r>
      <w:r w:rsidR="001C05D8" w:rsidRPr="000B33B9">
        <w:rPr>
          <w:rFonts w:ascii="Verdana" w:eastAsia="Calibri" w:hAnsi="Verdana" w:cs="Verdana"/>
          <w:sz w:val="20"/>
          <w:szCs w:val="20"/>
          <w:lang w:val="es-ES" w:eastAsia="es-CR"/>
        </w:rPr>
        <w:t xml:space="preserve"> 65 y 67 del Reglamento de la Corte (en adelante “el Reglamento” o “Reglamento de la Corte”), dicta la presente Sentencia, que se estructura en el siguiente orden:</w:t>
      </w:r>
    </w:p>
    <w:bookmarkEnd w:id="0"/>
    <w:p w14:paraId="6ABD2243" w14:textId="77777777" w:rsidR="001C05D8" w:rsidRPr="000B33B9" w:rsidRDefault="001C05D8" w:rsidP="002B25FD">
      <w:pPr>
        <w:widowControl w:val="0"/>
        <w:adjustRightInd w:val="0"/>
        <w:spacing w:after="0" w:line="240" w:lineRule="auto"/>
        <w:ind w:left="100" w:right="-1085"/>
        <w:jc w:val="both"/>
        <w:textAlignment w:val="baseline"/>
        <w:rPr>
          <w:rFonts w:ascii="Verdana" w:eastAsia="Verdana" w:hAnsi="Verdana" w:cs="Verdana"/>
          <w:position w:val="-1"/>
          <w:sz w:val="20"/>
          <w:szCs w:val="20"/>
          <w:lang w:val="es-ES" w:eastAsia="es-CR"/>
        </w:rPr>
      </w:pPr>
    </w:p>
    <w:p w14:paraId="6A25DFCF" w14:textId="77777777" w:rsidR="00433345" w:rsidRDefault="00433345" w:rsidP="002B25FD">
      <w:pPr>
        <w:widowControl w:val="0"/>
        <w:adjustRightInd w:val="0"/>
        <w:spacing w:after="0" w:line="240" w:lineRule="auto"/>
        <w:jc w:val="both"/>
        <w:textAlignment w:val="baseline"/>
        <w:rPr>
          <w:rFonts w:ascii="Verdana" w:eastAsia="Verdana" w:hAnsi="Verdana" w:cs="Verdana"/>
          <w:position w:val="-1"/>
          <w:sz w:val="20"/>
          <w:szCs w:val="20"/>
          <w:lang w:val="es-ES" w:eastAsia="es-CR"/>
        </w:rPr>
      </w:pPr>
    </w:p>
    <w:p w14:paraId="74D845F8" w14:textId="129E9E26" w:rsidR="001C05D8" w:rsidRPr="000B33B9" w:rsidRDefault="001C05D8" w:rsidP="002B25FD">
      <w:pPr>
        <w:widowControl w:val="0"/>
        <w:adjustRightInd w:val="0"/>
        <w:spacing w:after="0" w:line="240" w:lineRule="auto"/>
        <w:jc w:val="both"/>
        <w:textAlignment w:val="baseline"/>
        <w:rPr>
          <w:rFonts w:ascii="Verdana" w:eastAsia="Verdana" w:hAnsi="Verdana" w:cs="Verdana"/>
          <w:position w:val="-1"/>
          <w:sz w:val="20"/>
          <w:szCs w:val="20"/>
          <w:lang w:val="es-ES" w:eastAsia="es-CR"/>
        </w:rPr>
      </w:pPr>
      <w:r w:rsidRPr="000B33B9">
        <w:rPr>
          <w:rFonts w:ascii="Verdana" w:eastAsia="Verdana" w:hAnsi="Verdana" w:cs="Verdana"/>
          <w:position w:val="-1"/>
          <w:sz w:val="20"/>
          <w:szCs w:val="20"/>
          <w:lang w:val="es-ES" w:eastAsia="es-CR"/>
        </w:rPr>
        <w:br w:type="page"/>
      </w:r>
    </w:p>
    <w:p w14:paraId="450CB61C" w14:textId="77777777" w:rsidR="00FA2965" w:rsidRPr="000B33B9" w:rsidRDefault="00FA2965" w:rsidP="002B063D">
      <w:pPr>
        <w:pStyle w:val="TDC1"/>
        <w:rPr>
          <w:rFonts w:eastAsia="Calibri"/>
        </w:rPr>
      </w:pPr>
      <w:bookmarkStart w:id="1" w:name="_Toc390328152"/>
    </w:p>
    <w:p w14:paraId="4D7C468D" w14:textId="63DB8C78" w:rsidR="002B063D" w:rsidRPr="000B33B9" w:rsidRDefault="002F20D8" w:rsidP="002B063D">
      <w:pPr>
        <w:pStyle w:val="TDC1"/>
        <w:rPr>
          <w:rFonts w:eastAsiaTheme="minorEastAsia" w:cstheme="minorBidi"/>
          <w:b w:val="0"/>
          <w:bCs w:val="0"/>
          <w:caps w:val="0"/>
          <w:snapToGrid/>
          <w:lang w:val="es-CR" w:eastAsia="es-CR"/>
        </w:rPr>
      </w:pPr>
      <w:r w:rsidRPr="000B33B9">
        <w:rPr>
          <w:rFonts w:eastAsia="Calibri"/>
        </w:rPr>
        <w:fldChar w:fldCharType="begin"/>
      </w:r>
      <w:r w:rsidR="001C05D8" w:rsidRPr="000B33B9">
        <w:rPr>
          <w:rFonts w:eastAsia="Calibri"/>
        </w:rPr>
        <w:instrText xml:space="preserve"> TOC \o "1-5" \h \z \u </w:instrText>
      </w:r>
      <w:r w:rsidRPr="000B33B9">
        <w:rPr>
          <w:rFonts w:eastAsia="Calibri"/>
        </w:rPr>
        <w:fldChar w:fldCharType="separate"/>
      </w:r>
      <w:hyperlink w:anchor="_Toc27329737" w:history="1">
        <w:r w:rsidR="002B063D" w:rsidRPr="000B33B9">
          <w:rPr>
            <w:rStyle w:val="Hipervnculo"/>
          </w:rPr>
          <w:t>I INTRODUCCIÓN DE LA CAUSA Y OBJETO DE LA CONTROVERSIA</w:t>
        </w:r>
        <w:r w:rsidR="002B063D" w:rsidRPr="000B33B9">
          <w:rPr>
            <w:webHidden/>
          </w:rPr>
          <w:tab/>
        </w:r>
        <w:r w:rsidR="002B063D" w:rsidRPr="000B33B9">
          <w:rPr>
            <w:webHidden/>
          </w:rPr>
          <w:fldChar w:fldCharType="begin"/>
        </w:r>
        <w:r w:rsidR="002B063D" w:rsidRPr="000B33B9">
          <w:rPr>
            <w:webHidden/>
          </w:rPr>
          <w:instrText xml:space="preserve"> PAGEREF _Toc27329737 \h </w:instrText>
        </w:r>
        <w:r w:rsidR="002B063D" w:rsidRPr="000B33B9">
          <w:rPr>
            <w:webHidden/>
          </w:rPr>
        </w:r>
        <w:r w:rsidR="002B063D" w:rsidRPr="000B33B9">
          <w:rPr>
            <w:webHidden/>
          </w:rPr>
          <w:fldChar w:fldCharType="separate"/>
        </w:r>
        <w:r w:rsidR="00EC2233">
          <w:rPr>
            <w:webHidden/>
          </w:rPr>
          <w:t>4</w:t>
        </w:r>
        <w:r w:rsidR="002B063D" w:rsidRPr="000B33B9">
          <w:rPr>
            <w:webHidden/>
          </w:rPr>
          <w:fldChar w:fldCharType="end"/>
        </w:r>
      </w:hyperlink>
    </w:p>
    <w:p w14:paraId="33AB6637" w14:textId="5DE40C95" w:rsidR="002B063D" w:rsidRPr="000B33B9" w:rsidRDefault="009E3EED" w:rsidP="002B063D">
      <w:pPr>
        <w:pStyle w:val="TDC1"/>
        <w:rPr>
          <w:rFonts w:eastAsiaTheme="minorEastAsia" w:cstheme="minorBidi"/>
          <w:b w:val="0"/>
          <w:bCs w:val="0"/>
          <w:caps w:val="0"/>
          <w:snapToGrid/>
          <w:lang w:val="es-CR" w:eastAsia="es-CR"/>
        </w:rPr>
      </w:pPr>
      <w:hyperlink w:anchor="_Toc27329738" w:history="1">
        <w:r w:rsidR="002B063D" w:rsidRPr="000B33B9">
          <w:rPr>
            <w:rStyle w:val="Hipervnculo"/>
          </w:rPr>
          <w:t>II PROCEDIMIENTO ANTE LA CORTE</w:t>
        </w:r>
        <w:r w:rsidR="002B063D" w:rsidRPr="000B33B9">
          <w:rPr>
            <w:webHidden/>
          </w:rPr>
          <w:tab/>
        </w:r>
        <w:r w:rsidR="002B063D" w:rsidRPr="000B33B9">
          <w:rPr>
            <w:webHidden/>
          </w:rPr>
          <w:fldChar w:fldCharType="begin"/>
        </w:r>
        <w:r w:rsidR="002B063D" w:rsidRPr="000B33B9">
          <w:rPr>
            <w:webHidden/>
          </w:rPr>
          <w:instrText xml:space="preserve"> PAGEREF _Toc27329738 \h </w:instrText>
        </w:r>
        <w:r w:rsidR="002B063D" w:rsidRPr="000B33B9">
          <w:rPr>
            <w:webHidden/>
          </w:rPr>
        </w:r>
        <w:r w:rsidR="002B063D" w:rsidRPr="000B33B9">
          <w:rPr>
            <w:webHidden/>
          </w:rPr>
          <w:fldChar w:fldCharType="separate"/>
        </w:r>
        <w:r w:rsidR="00EC2233">
          <w:rPr>
            <w:webHidden/>
          </w:rPr>
          <w:t>5</w:t>
        </w:r>
        <w:r w:rsidR="002B063D" w:rsidRPr="000B33B9">
          <w:rPr>
            <w:webHidden/>
          </w:rPr>
          <w:fldChar w:fldCharType="end"/>
        </w:r>
      </w:hyperlink>
    </w:p>
    <w:p w14:paraId="517D2166" w14:textId="3B510115" w:rsidR="002B063D" w:rsidRPr="000B33B9" w:rsidRDefault="009E3EED" w:rsidP="002B063D">
      <w:pPr>
        <w:pStyle w:val="TDC1"/>
        <w:rPr>
          <w:rFonts w:eastAsiaTheme="minorEastAsia" w:cstheme="minorBidi"/>
          <w:b w:val="0"/>
          <w:bCs w:val="0"/>
          <w:caps w:val="0"/>
          <w:snapToGrid/>
          <w:lang w:val="es-CR" w:eastAsia="es-CR"/>
        </w:rPr>
      </w:pPr>
      <w:hyperlink w:anchor="_Toc27329739" w:history="1">
        <w:r w:rsidR="002B063D" w:rsidRPr="000B33B9">
          <w:rPr>
            <w:rStyle w:val="Hipervnculo"/>
          </w:rPr>
          <w:t>III COMPETENCIA</w:t>
        </w:r>
        <w:r w:rsidR="002B063D" w:rsidRPr="000B33B9">
          <w:rPr>
            <w:webHidden/>
          </w:rPr>
          <w:tab/>
        </w:r>
        <w:r w:rsidR="002B063D" w:rsidRPr="000B33B9">
          <w:rPr>
            <w:webHidden/>
          </w:rPr>
          <w:fldChar w:fldCharType="begin"/>
        </w:r>
        <w:r w:rsidR="002B063D" w:rsidRPr="000B33B9">
          <w:rPr>
            <w:webHidden/>
          </w:rPr>
          <w:instrText xml:space="preserve"> PAGEREF _Toc27329739 \h </w:instrText>
        </w:r>
        <w:r w:rsidR="002B063D" w:rsidRPr="000B33B9">
          <w:rPr>
            <w:webHidden/>
          </w:rPr>
        </w:r>
        <w:r w:rsidR="002B063D" w:rsidRPr="000B33B9">
          <w:rPr>
            <w:webHidden/>
          </w:rPr>
          <w:fldChar w:fldCharType="separate"/>
        </w:r>
        <w:r w:rsidR="00EC2233">
          <w:rPr>
            <w:webHidden/>
          </w:rPr>
          <w:t>6</w:t>
        </w:r>
        <w:r w:rsidR="002B063D" w:rsidRPr="000B33B9">
          <w:rPr>
            <w:webHidden/>
          </w:rPr>
          <w:fldChar w:fldCharType="end"/>
        </w:r>
      </w:hyperlink>
    </w:p>
    <w:p w14:paraId="48772297" w14:textId="6D396F1F" w:rsidR="002B063D" w:rsidRPr="000B33B9" w:rsidRDefault="009E3EED" w:rsidP="002B063D">
      <w:pPr>
        <w:pStyle w:val="TDC1"/>
        <w:rPr>
          <w:rFonts w:eastAsiaTheme="minorEastAsia" w:cstheme="minorBidi"/>
          <w:b w:val="0"/>
          <w:bCs w:val="0"/>
          <w:caps w:val="0"/>
          <w:snapToGrid/>
          <w:lang w:val="es-CR" w:eastAsia="es-CR"/>
        </w:rPr>
      </w:pPr>
      <w:hyperlink w:anchor="_Toc27329740" w:history="1">
        <w:r w:rsidR="002B063D" w:rsidRPr="000B33B9">
          <w:rPr>
            <w:rStyle w:val="Hipervnculo"/>
          </w:rPr>
          <w:t>IV EXCEPCIONES PRELIMINARES</w:t>
        </w:r>
        <w:r w:rsidR="002B063D" w:rsidRPr="000B33B9">
          <w:rPr>
            <w:webHidden/>
          </w:rPr>
          <w:tab/>
        </w:r>
        <w:r w:rsidR="002B063D" w:rsidRPr="000B33B9">
          <w:rPr>
            <w:webHidden/>
          </w:rPr>
          <w:fldChar w:fldCharType="begin"/>
        </w:r>
        <w:r w:rsidR="002B063D" w:rsidRPr="000B33B9">
          <w:rPr>
            <w:webHidden/>
          </w:rPr>
          <w:instrText xml:space="preserve"> PAGEREF _Toc27329740 \h </w:instrText>
        </w:r>
        <w:r w:rsidR="002B063D" w:rsidRPr="000B33B9">
          <w:rPr>
            <w:webHidden/>
          </w:rPr>
        </w:r>
        <w:r w:rsidR="002B063D" w:rsidRPr="000B33B9">
          <w:rPr>
            <w:webHidden/>
          </w:rPr>
          <w:fldChar w:fldCharType="separate"/>
        </w:r>
        <w:r w:rsidR="00EC2233">
          <w:rPr>
            <w:webHidden/>
          </w:rPr>
          <w:t>6</w:t>
        </w:r>
        <w:r w:rsidR="002B063D" w:rsidRPr="000B33B9">
          <w:rPr>
            <w:webHidden/>
          </w:rPr>
          <w:fldChar w:fldCharType="end"/>
        </w:r>
      </w:hyperlink>
    </w:p>
    <w:p w14:paraId="1D76E136" w14:textId="0422D7AE" w:rsidR="002B063D" w:rsidRPr="000B33B9" w:rsidRDefault="009E3EED" w:rsidP="002B063D">
      <w:pPr>
        <w:pStyle w:val="TDC2"/>
        <w:rPr>
          <w:rFonts w:eastAsiaTheme="minorEastAsia" w:cstheme="minorBidi"/>
          <w:bCs w:val="0"/>
          <w:i w:val="0"/>
          <w:smallCaps w:val="0"/>
          <w:lang w:val="es-CR"/>
        </w:rPr>
      </w:pPr>
      <w:hyperlink w:anchor="_Toc27329741" w:history="1">
        <w:r w:rsidR="002B063D" w:rsidRPr="000B33B9">
          <w:rPr>
            <w:rStyle w:val="Hipervnculo"/>
          </w:rPr>
          <w:t>A.</w:t>
        </w:r>
        <w:r w:rsidR="002B063D" w:rsidRPr="000B33B9">
          <w:rPr>
            <w:rFonts w:eastAsiaTheme="minorEastAsia" w:cstheme="minorBidi"/>
            <w:bCs w:val="0"/>
            <w:i w:val="0"/>
            <w:smallCaps w:val="0"/>
            <w:lang w:val="es-CR"/>
          </w:rPr>
          <w:tab/>
        </w:r>
        <w:r w:rsidR="002B063D" w:rsidRPr="000B33B9">
          <w:rPr>
            <w:rStyle w:val="Hipervnculo"/>
          </w:rPr>
          <w:t>Excepción por falta de agotamiento de los recursos internos</w:t>
        </w:r>
        <w:r w:rsidR="002B063D" w:rsidRPr="000B33B9">
          <w:rPr>
            <w:webHidden/>
          </w:rPr>
          <w:tab/>
        </w:r>
        <w:r w:rsidR="002B063D" w:rsidRPr="000B33B9">
          <w:rPr>
            <w:webHidden/>
          </w:rPr>
          <w:fldChar w:fldCharType="begin"/>
        </w:r>
        <w:r w:rsidR="002B063D" w:rsidRPr="000B33B9">
          <w:rPr>
            <w:webHidden/>
          </w:rPr>
          <w:instrText xml:space="preserve"> PAGEREF _Toc27329741 \h </w:instrText>
        </w:r>
        <w:r w:rsidR="002B063D" w:rsidRPr="000B33B9">
          <w:rPr>
            <w:webHidden/>
          </w:rPr>
        </w:r>
        <w:r w:rsidR="002B063D" w:rsidRPr="000B33B9">
          <w:rPr>
            <w:webHidden/>
          </w:rPr>
          <w:fldChar w:fldCharType="separate"/>
        </w:r>
        <w:r w:rsidR="00EC2233">
          <w:rPr>
            <w:webHidden/>
          </w:rPr>
          <w:t>6</w:t>
        </w:r>
        <w:r w:rsidR="002B063D" w:rsidRPr="000B33B9">
          <w:rPr>
            <w:webHidden/>
          </w:rPr>
          <w:fldChar w:fldCharType="end"/>
        </w:r>
      </w:hyperlink>
    </w:p>
    <w:p w14:paraId="74AA8CBC" w14:textId="1B8E84EA" w:rsidR="002B063D" w:rsidRPr="000B33B9" w:rsidRDefault="009E3EED" w:rsidP="002B063D">
      <w:pPr>
        <w:pStyle w:val="TDC3"/>
        <w:tabs>
          <w:tab w:val="right" w:leader="dot" w:pos="9792"/>
        </w:tabs>
        <w:spacing w:line="240" w:lineRule="auto"/>
        <w:rPr>
          <w:rFonts w:ascii="Verdana" w:eastAsiaTheme="minorEastAsia" w:hAnsi="Verdana"/>
          <w:i w:val="0"/>
          <w:iCs w:val="0"/>
          <w:noProof/>
          <w:sz w:val="18"/>
          <w:szCs w:val="18"/>
          <w:lang w:val="es-CR" w:eastAsia="es-CR"/>
        </w:rPr>
      </w:pPr>
      <w:hyperlink w:anchor="_Toc27329742" w:history="1">
        <w:r w:rsidR="002B063D" w:rsidRPr="000B33B9">
          <w:rPr>
            <w:rStyle w:val="Hipervnculo"/>
            <w:rFonts w:ascii="Verdana" w:hAnsi="Verdana"/>
            <w:noProof/>
            <w:sz w:val="18"/>
            <w:szCs w:val="18"/>
          </w:rPr>
          <w:t>A.1. Alegatos del Estado y observaciones de la Comisión y de los representantes</w:t>
        </w:r>
        <w:r w:rsidR="002B063D" w:rsidRPr="000B33B9">
          <w:rPr>
            <w:rFonts w:ascii="Verdana" w:hAnsi="Verdana"/>
            <w:noProof/>
            <w:webHidden/>
            <w:sz w:val="18"/>
            <w:szCs w:val="18"/>
          </w:rPr>
          <w:tab/>
        </w:r>
        <w:r w:rsidR="002B063D" w:rsidRPr="000B33B9">
          <w:rPr>
            <w:rFonts w:ascii="Verdana" w:hAnsi="Verdana"/>
            <w:noProof/>
            <w:webHidden/>
            <w:sz w:val="18"/>
            <w:szCs w:val="18"/>
          </w:rPr>
          <w:fldChar w:fldCharType="begin"/>
        </w:r>
        <w:r w:rsidR="002B063D" w:rsidRPr="000B33B9">
          <w:rPr>
            <w:rFonts w:ascii="Verdana" w:hAnsi="Verdana"/>
            <w:noProof/>
            <w:webHidden/>
            <w:sz w:val="18"/>
            <w:szCs w:val="18"/>
          </w:rPr>
          <w:instrText xml:space="preserve"> PAGEREF _Toc27329742 \h </w:instrText>
        </w:r>
        <w:r w:rsidR="002B063D" w:rsidRPr="000B33B9">
          <w:rPr>
            <w:rFonts w:ascii="Verdana" w:hAnsi="Verdana"/>
            <w:noProof/>
            <w:webHidden/>
            <w:sz w:val="18"/>
            <w:szCs w:val="18"/>
          </w:rPr>
        </w:r>
        <w:r w:rsidR="002B063D" w:rsidRPr="000B33B9">
          <w:rPr>
            <w:rFonts w:ascii="Verdana" w:hAnsi="Verdana"/>
            <w:noProof/>
            <w:webHidden/>
            <w:sz w:val="18"/>
            <w:szCs w:val="18"/>
          </w:rPr>
          <w:fldChar w:fldCharType="separate"/>
        </w:r>
        <w:r w:rsidR="00EC2233">
          <w:rPr>
            <w:rFonts w:ascii="Verdana" w:hAnsi="Verdana"/>
            <w:noProof/>
            <w:webHidden/>
            <w:sz w:val="18"/>
            <w:szCs w:val="18"/>
          </w:rPr>
          <w:t>6</w:t>
        </w:r>
        <w:r w:rsidR="002B063D" w:rsidRPr="000B33B9">
          <w:rPr>
            <w:rFonts w:ascii="Verdana" w:hAnsi="Verdana"/>
            <w:noProof/>
            <w:webHidden/>
            <w:sz w:val="18"/>
            <w:szCs w:val="18"/>
          </w:rPr>
          <w:fldChar w:fldCharType="end"/>
        </w:r>
      </w:hyperlink>
    </w:p>
    <w:p w14:paraId="4DE60A5F" w14:textId="6886A33E" w:rsidR="002B063D" w:rsidRPr="000B33B9" w:rsidRDefault="009E3EED" w:rsidP="002B063D">
      <w:pPr>
        <w:pStyle w:val="TDC3"/>
        <w:tabs>
          <w:tab w:val="right" w:leader="dot" w:pos="9792"/>
        </w:tabs>
        <w:spacing w:line="240" w:lineRule="auto"/>
        <w:rPr>
          <w:rFonts w:ascii="Verdana" w:eastAsiaTheme="minorEastAsia" w:hAnsi="Verdana"/>
          <w:i w:val="0"/>
          <w:iCs w:val="0"/>
          <w:noProof/>
          <w:sz w:val="18"/>
          <w:szCs w:val="18"/>
          <w:lang w:val="es-CR" w:eastAsia="es-CR"/>
        </w:rPr>
      </w:pPr>
      <w:hyperlink w:anchor="_Toc27329743" w:history="1">
        <w:r w:rsidR="002B063D" w:rsidRPr="000B33B9">
          <w:rPr>
            <w:rStyle w:val="Hipervnculo"/>
            <w:rFonts w:ascii="Verdana" w:hAnsi="Verdana"/>
            <w:noProof/>
            <w:sz w:val="18"/>
            <w:szCs w:val="18"/>
          </w:rPr>
          <w:t>A.2. Consideraciones de la Corte</w:t>
        </w:r>
        <w:r w:rsidR="002B063D" w:rsidRPr="000B33B9">
          <w:rPr>
            <w:rFonts w:ascii="Verdana" w:hAnsi="Verdana"/>
            <w:noProof/>
            <w:webHidden/>
            <w:sz w:val="18"/>
            <w:szCs w:val="18"/>
          </w:rPr>
          <w:tab/>
        </w:r>
        <w:r w:rsidR="002B063D" w:rsidRPr="000B33B9">
          <w:rPr>
            <w:rFonts w:ascii="Verdana" w:hAnsi="Verdana"/>
            <w:noProof/>
            <w:webHidden/>
            <w:sz w:val="18"/>
            <w:szCs w:val="18"/>
          </w:rPr>
          <w:fldChar w:fldCharType="begin"/>
        </w:r>
        <w:r w:rsidR="002B063D" w:rsidRPr="000B33B9">
          <w:rPr>
            <w:rFonts w:ascii="Verdana" w:hAnsi="Verdana"/>
            <w:noProof/>
            <w:webHidden/>
            <w:sz w:val="18"/>
            <w:szCs w:val="18"/>
          </w:rPr>
          <w:instrText xml:space="preserve"> PAGEREF _Toc27329743 \h </w:instrText>
        </w:r>
        <w:r w:rsidR="002B063D" w:rsidRPr="000B33B9">
          <w:rPr>
            <w:rFonts w:ascii="Verdana" w:hAnsi="Verdana"/>
            <w:noProof/>
            <w:webHidden/>
            <w:sz w:val="18"/>
            <w:szCs w:val="18"/>
          </w:rPr>
        </w:r>
        <w:r w:rsidR="002B063D" w:rsidRPr="000B33B9">
          <w:rPr>
            <w:rFonts w:ascii="Verdana" w:hAnsi="Verdana"/>
            <w:noProof/>
            <w:webHidden/>
            <w:sz w:val="18"/>
            <w:szCs w:val="18"/>
          </w:rPr>
          <w:fldChar w:fldCharType="separate"/>
        </w:r>
        <w:r w:rsidR="00EC2233">
          <w:rPr>
            <w:rFonts w:ascii="Verdana" w:hAnsi="Verdana"/>
            <w:noProof/>
            <w:webHidden/>
            <w:sz w:val="18"/>
            <w:szCs w:val="18"/>
          </w:rPr>
          <w:t>7</w:t>
        </w:r>
        <w:r w:rsidR="002B063D" w:rsidRPr="000B33B9">
          <w:rPr>
            <w:rFonts w:ascii="Verdana" w:hAnsi="Verdana"/>
            <w:noProof/>
            <w:webHidden/>
            <w:sz w:val="18"/>
            <w:szCs w:val="18"/>
          </w:rPr>
          <w:fldChar w:fldCharType="end"/>
        </w:r>
      </w:hyperlink>
    </w:p>
    <w:p w14:paraId="0D28C4F1" w14:textId="54D7BEED" w:rsidR="002B063D" w:rsidRPr="000B33B9" w:rsidRDefault="009E3EED" w:rsidP="002B063D">
      <w:pPr>
        <w:pStyle w:val="TDC2"/>
        <w:rPr>
          <w:rFonts w:eastAsiaTheme="minorEastAsia" w:cstheme="minorBidi"/>
          <w:bCs w:val="0"/>
          <w:i w:val="0"/>
          <w:smallCaps w:val="0"/>
          <w:lang w:val="es-CR"/>
        </w:rPr>
      </w:pPr>
      <w:hyperlink w:anchor="_Toc27329744" w:history="1">
        <w:r w:rsidR="002B063D" w:rsidRPr="000B33B9">
          <w:rPr>
            <w:rStyle w:val="Hipervnculo"/>
          </w:rPr>
          <w:t>B.</w:t>
        </w:r>
        <w:r w:rsidR="002B063D" w:rsidRPr="000B33B9">
          <w:rPr>
            <w:rFonts w:eastAsiaTheme="minorEastAsia" w:cstheme="minorBidi"/>
            <w:bCs w:val="0"/>
            <w:i w:val="0"/>
            <w:smallCaps w:val="0"/>
            <w:lang w:val="es-CR"/>
          </w:rPr>
          <w:tab/>
        </w:r>
        <w:r w:rsidR="002B063D" w:rsidRPr="000B33B9">
          <w:rPr>
            <w:rStyle w:val="Hipervnculo"/>
          </w:rPr>
          <w:t>Excepción por “cuarta instancia”</w:t>
        </w:r>
        <w:r w:rsidR="002B063D" w:rsidRPr="000B33B9">
          <w:rPr>
            <w:webHidden/>
          </w:rPr>
          <w:tab/>
        </w:r>
        <w:r w:rsidR="002B063D" w:rsidRPr="000B33B9">
          <w:rPr>
            <w:webHidden/>
          </w:rPr>
          <w:fldChar w:fldCharType="begin"/>
        </w:r>
        <w:r w:rsidR="002B063D" w:rsidRPr="000B33B9">
          <w:rPr>
            <w:webHidden/>
          </w:rPr>
          <w:instrText xml:space="preserve"> PAGEREF _Toc27329744 \h </w:instrText>
        </w:r>
        <w:r w:rsidR="002B063D" w:rsidRPr="000B33B9">
          <w:rPr>
            <w:webHidden/>
          </w:rPr>
        </w:r>
        <w:r w:rsidR="002B063D" w:rsidRPr="000B33B9">
          <w:rPr>
            <w:webHidden/>
          </w:rPr>
          <w:fldChar w:fldCharType="separate"/>
        </w:r>
        <w:r w:rsidR="00EC2233">
          <w:rPr>
            <w:webHidden/>
          </w:rPr>
          <w:t>8</w:t>
        </w:r>
        <w:r w:rsidR="002B063D" w:rsidRPr="000B33B9">
          <w:rPr>
            <w:webHidden/>
          </w:rPr>
          <w:fldChar w:fldCharType="end"/>
        </w:r>
      </w:hyperlink>
    </w:p>
    <w:p w14:paraId="701810A3" w14:textId="4F57AA13" w:rsidR="002B063D" w:rsidRPr="000B33B9" w:rsidRDefault="009E3EED" w:rsidP="002B063D">
      <w:pPr>
        <w:pStyle w:val="TDC3"/>
        <w:tabs>
          <w:tab w:val="right" w:leader="dot" w:pos="9792"/>
        </w:tabs>
        <w:spacing w:line="240" w:lineRule="auto"/>
        <w:rPr>
          <w:rFonts w:ascii="Verdana" w:eastAsiaTheme="minorEastAsia" w:hAnsi="Verdana"/>
          <w:i w:val="0"/>
          <w:iCs w:val="0"/>
          <w:noProof/>
          <w:sz w:val="18"/>
          <w:szCs w:val="18"/>
          <w:lang w:val="es-CR" w:eastAsia="es-CR"/>
        </w:rPr>
      </w:pPr>
      <w:hyperlink w:anchor="_Toc27329745" w:history="1">
        <w:r w:rsidR="002B063D" w:rsidRPr="000B33B9">
          <w:rPr>
            <w:rStyle w:val="Hipervnculo"/>
            <w:rFonts w:ascii="Verdana" w:hAnsi="Verdana"/>
            <w:noProof/>
            <w:sz w:val="18"/>
            <w:szCs w:val="18"/>
          </w:rPr>
          <w:t>B.1. Alegatos del Estado y observaciones de la Comisión y de los representantes</w:t>
        </w:r>
        <w:r w:rsidR="002B063D" w:rsidRPr="000B33B9">
          <w:rPr>
            <w:rFonts w:ascii="Verdana" w:hAnsi="Verdana"/>
            <w:noProof/>
            <w:webHidden/>
            <w:sz w:val="18"/>
            <w:szCs w:val="18"/>
          </w:rPr>
          <w:tab/>
        </w:r>
        <w:r w:rsidR="002B063D" w:rsidRPr="000B33B9">
          <w:rPr>
            <w:rFonts w:ascii="Verdana" w:hAnsi="Verdana"/>
            <w:noProof/>
            <w:webHidden/>
            <w:sz w:val="18"/>
            <w:szCs w:val="18"/>
          </w:rPr>
          <w:fldChar w:fldCharType="begin"/>
        </w:r>
        <w:r w:rsidR="002B063D" w:rsidRPr="000B33B9">
          <w:rPr>
            <w:rFonts w:ascii="Verdana" w:hAnsi="Verdana"/>
            <w:noProof/>
            <w:webHidden/>
            <w:sz w:val="18"/>
            <w:szCs w:val="18"/>
          </w:rPr>
          <w:instrText xml:space="preserve"> PAGEREF _Toc27329745 \h </w:instrText>
        </w:r>
        <w:r w:rsidR="002B063D" w:rsidRPr="000B33B9">
          <w:rPr>
            <w:rFonts w:ascii="Verdana" w:hAnsi="Verdana"/>
            <w:noProof/>
            <w:webHidden/>
            <w:sz w:val="18"/>
            <w:szCs w:val="18"/>
          </w:rPr>
        </w:r>
        <w:r w:rsidR="002B063D" w:rsidRPr="000B33B9">
          <w:rPr>
            <w:rFonts w:ascii="Verdana" w:hAnsi="Verdana"/>
            <w:noProof/>
            <w:webHidden/>
            <w:sz w:val="18"/>
            <w:szCs w:val="18"/>
          </w:rPr>
          <w:fldChar w:fldCharType="separate"/>
        </w:r>
        <w:r w:rsidR="00EC2233">
          <w:rPr>
            <w:rFonts w:ascii="Verdana" w:hAnsi="Verdana"/>
            <w:noProof/>
            <w:webHidden/>
            <w:sz w:val="18"/>
            <w:szCs w:val="18"/>
          </w:rPr>
          <w:t>8</w:t>
        </w:r>
        <w:r w:rsidR="002B063D" w:rsidRPr="000B33B9">
          <w:rPr>
            <w:rFonts w:ascii="Verdana" w:hAnsi="Verdana"/>
            <w:noProof/>
            <w:webHidden/>
            <w:sz w:val="18"/>
            <w:szCs w:val="18"/>
          </w:rPr>
          <w:fldChar w:fldCharType="end"/>
        </w:r>
      </w:hyperlink>
    </w:p>
    <w:p w14:paraId="66433B2B" w14:textId="215CCF24" w:rsidR="002B063D" w:rsidRPr="000B33B9" w:rsidRDefault="009E3EED" w:rsidP="002B063D">
      <w:pPr>
        <w:pStyle w:val="TDC3"/>
        <w:tabs>
          <w:tab w:val="right" w:leader="dot" w:pos="9792"/>
        </w:tabs>
        <w:spacing w:line="240" w:lineRule="auto"/>
        <w:rPr>
          <w:rFonts w:ascii="Verdana" w:eastAsiaTheme="minorEastAsia" w:hAnsi="Verdana"/>
          <w:i w:val="0"/>
          <w:iCs w:val="0"/>
          <w:noProof/>
          <w:sz w:val="18"/>
          <w:szCs w:val="18"/>
          <w:lang w:val="es-CR" w:eastAsia="es-CR"/>
        </w:rPr>
      </w:pPr>
      <w:hyperlink w:anchor="_Toc27329746" w:history="1">
        <w:r w:rsidR="002B063D" w:rsidRPr="000B33B9">
          <w:rPr>
            <w:rStyle w:val="Hipervnculo"/>
            <w:rFonts w:ascii="Verdana" w:hAnsi="Verdana"/>
            <w:noProof/>
            <w:sz w:val="18"/>
            <w:szCs w:val="18"/>
          </w:rPr>
          <w:t>B.2. Consideraciones de la Corte</w:t>
        </w:r>
        <w:r w:rsidR="002B063D" w:rsidRPr="000B33B9">
          <w:rPr>
            <w:rFonts w:ascii="Verdana" w:hAnsi="Verdana"/>
            <w:noProof/>
            <w:webHidden/>
            <w:sz w:val="18"/>
            <w:szCs w:val="18"/>
          </w:rPr>
          <w:tab/>
        </w:r>
        <w:r w:rsidR="002B063D" w:rsidRPr="000B33B9">
          <w:rPr>
            <w:rFonts w:ascii="Verdana" w:hAnsi="Verdana"/>
            <w:noProof/>
            <w:webHidden/>
            <w:sz w:val="18"/>
            <w:szCs w:val="18"/>
          </w:rPr>
          <w:fldChar w:fldCharType="begin"/>
        </w:r>
        <w:r w:rsidR="002B063D" w:rsidRPr="000B33B9">
          <w:rPr>
            <w:rFonts w:ascii="Verdana" w:hAnsi="Verdana"/>
            <w:noProof/>
            <w:webHidden/>
            <w:sz w:val="18"/>
            <w:szCs w:val="18"/>
          </w:rPr>
          <w:instrText xml:space="preserve"> PAGEREF _Toc27329746 \h </w:instrText>
        </w:r>
        <w:r w:rsidR="002B063D" w:rsidRPr="000B33B9">
          <w:rPr>
            <w:rFonts w:ascii="Verdana" w:hAnsi="Verdana"/>
            <w:noProof/>
            <w:webHidden/>
            <w:sz w:val="18"/>
            <w:szCs w:val="18"/>
          </w:rPr>
        </w:r>
        <w:r w:rsidR="002B063D" w:rsidRPr="000B33B9">
          <w:rPr>
            <w:rFonts w:ascii="Verdana" w:hAnsi="Verdana"/>
            <w:noProof/>
            <w:webHidden/>
            <w:sz w:val="18"/>
            <w:szCs w:val="18"/>
          </w:rPr>
          <w:fldChar w:fldCharType="separate"/>
        </w:r>
        <w:r w:rsidR="00EC2233">
          <w:rPr>
            <w:rFonts w:ascii="Verdana" w:hAnsi="Verdana"/>
            <w:noProof/>
            <w:webHidden/>
            <w:sz w:val="18"/>
            <w:szCs w:val="18"/>
          </w:rPr>
          <w:t>9</w:t>
        </w:r>
        <w:r w:rsidR="002B063D" w:rsidRPr="000B33B9">
          <w:rPr>
            <w:rFonts w:ascii="Verdana" w:hAnsi="Verdana"/>
            <w:noProof/>
            <w:webHidden/>
            <w:sz w:val="18"/>
            <w:szCs w:val="18"/>
          </w:rPr>
          <w:fldChar w:fldCharType="end"/>
        </w:r>
      </w:hyperlink>
    </w:p>
    <w:p w14:paraId="3C41C780" w14:textId="4C742487" w:rsidR="002B063D" w:rsidRPr="000B33B9" w:rsidRDefault="009E3EED" w:rsidP="002B063D">
      <w:pPr>
        <w:pStyle w:val="TDC2"/>
        <w:rPr>
          <w:rFonts w:eastAsiaTheme="minorEastAsia" w:cstheme="minorBidi"/>
          <w:bCs w:val="0"/>
          <w:i w:val="0"/>
          <w:smallCaps w:val="0"/>
          <w:lang w:val="es-CR"/>
        </w:rPr>
      </w:pPr>
      <w:hyperlink w:anchor="_Toc27329747" w:history="1">
        <w:r w:rsidR="002B063D" w:rsidRPr="000B33B9">
          <w:rPr>
            <w:rStyle w:val="Hipervnculo"/>
          </w:rPr>
          <w:t>C.</w:t>
        </w:r>
        <w:r w:rsidR="002B063D" w:rsidRPr="000B33B9">
          <w:rPr>
            <w:rFonts w:eastAsiaTheme="minorEastAsia" w:cstheme="minorBidi"/>
            <w:bCs w:val="0"/>
            <w:i w:val="0"/>
            <w:smallCaps w:val="0"/>
            <w:lang w:val="es-CR"/>
          </w:rPr>
          <w:tab/>
        </w:r>
        <w:r w:rsidR="002B063D" w:rsidRPr="000B33B9">
          <w:rPr>
            <w:rStyle w:val="Hipervnculo"/>
          </w:rPr>
          <w:t>Excepción por inclusión de los artículos 26 y 4 por parte de los representantes</w:t>
        </w:r>
        <w:r w:rsidR="002B063D" w:rsidRPr="000B33B9">
          <w:rPr>
            <w:webHidden/>
          </w:rPr>
          <w:tab/>
        </w:r>
        <w:r w:rsidR="002B063D" w:rsidRPr="000B33B9">
          <w:rPr>
            <w:webHidden/>
          </w:rPr>
          <w:fldChar w:fldCharType="begin"/>
        </w:r>
        <w:r w:rsidR="002B063D" w:rsidRPr="000B33B9">
          <w:rPr>
            <w:webHidden/>
          </w:rPr>
          <w:instrText xml:space="preserve"> PAGEREF _Toc27329747 \h </w:instrText>
        </w:r>
        <w:r w:rsidR="002B063D" w:rsidRPr="000B33B9">
          <w:rPr>
            <w:webHidden/>
          </w:rPr>
        </w:r>
        <w:r w:rsidR="002B063D" w:rsidRPr="000B33B9">
          <w:rPr>
            <w:webHidden/>
          </w:rPr>
          <w:fldChar w:fldCharType="separate"/>
        </w:r>
        <w:r w:rsidR="00EC2233">
          <w:rPr>
            <w:webHidden/>
          </w:rPr>
          <w:t>10</w:t>
        </w:r>
        <w:r w:rsidR="002B063D" w:rsidRPr="000B33B9">
          <w:rPr>
            <w:webHidden/>
          </w:rPr>
          <w:fldChar w:fldCharType="end"/>
        </w:r>
      </w:hyperlink>
    </w:p>
    <w:p w14:paraId="428F3C09" w14:textId="010C01F3" w:rsidR="002B063D" w:rsidRPr="000B33B9" w:rsidRDefault="009E3EED" w:rsidP="002B063D">
      <w:pPr>
        <w:pStyle w:val="TDC3"/>
        <w:tabs>
          <w:tab w:val="right" w:leader="dot" w:pos="9792"/>
        </w:tabs>
        <w:spacing w:line="240" w:lineRule="auto"/>
        <w:rPr>
          <w:rFonts w:ascii="Verdana" w:eastAsiaTheme="minorEastAsia" w:hAnsi="Verdana"/>
          <w:i w:val="0"/>
          <w:iCs w:val="0"/>
          <w:noProof/>
          <w:sz w:val="18"/>
          <w:szCs w:val="18"/>
          <w:lang w:val="es-CR" w:eastAsia="es-CR"/>
        </w:rPr>
      </w:pPr>
      <w:hyperlink w:anchor="_Toc27329748" w:history="1">
        <w:r w:rsidR="002B063D" w:rsidRPr="000B33B9">
          <w:rPr>
            <w:rStyle w:val="Hipervnculo"/>
            <w:rFonts w:ascii="Verdana" w:hAnsi="Verdana"/>
            <w:noProof/>
            <w:sz w:val="18"/>
            <w:szCs w:val="18"/>
          </w:rPr>
          <w:t>C.1. Alegatos del Estado y observaciones de la Comisión y de los representantes</w:t>
        </w:r>
        <w:r w:rsidR="002B063D" w:rsidRPr="000B33B9">
          <w:rPr>
            <w:rFonts w:ascii="Verdana" w:hAnsi="Verdana"/>
            <w:noProof/>
            <w:webHidden/>
            <w:sz w:val="18"/>
            <w:szCs w:val="18"/>
          </w:rPr>
          <w:tab/>
        </w:r>
        <w:r w:rsidR="002B063D" w:rsidRPr="000B33B9">
          <w:rPr>
            <w:rFonts w:ascii="Verdana" w:hAnsi="Verdana"/>
            <w:noProof/>
            <w:webHidden/>
            <w:sz w:val="18"/>
            <w:szCs w:val="18"/>
          </w:rPr>
          <w:fldChar w:fldCharType="begin"/>
        </w:r>
        <w:r w:rsidR="002B063D" w:rsidRPr="000B33B9">
          <w:rPr>
            <w:rFonts w:ascii="Verdana" w:hAnsi="Verdana"/>
            <w:noProof/>
            <w:webHidden/>
            <w:sz w:val="18"/>
            <w:szCs w:val="18"/>
          </w:rPr>
          <w:instrText xml:space="preserve"> PAGEREF _Toc27329748 \h </w:instrText>
        </w:r>
        <w:r w:rsidR="002B063D" w:rsidRPr="000B33B9">
          <w:rPr>
            <w:rFonts w:ascii="Verdana" w:hAnsi="Verdana"/>
            <w:noProof/>
            <w:webHidden/>
            <w:sz w:val="18"/>
            <w:szCs w:val="18"/>
          </w:rPr>
        </w:r>
        <w:r w:rsidR="002B063D" w:rsidRPr="000B33B9">
          <w:rPr>
            <w:rFonts w:ascii="Verdana" w:hAnsi="Verdana"/>
            <w:noProof/>
            <w:webHidden/>
            <w:sz w:val="18"/>
            <w:szCs w:val="18"/>
          </w:rPr>
          <w:fldChar w:fldCharType="separate"/>
        </w:r>
        <w:r w:rsidR="00EC2233">
          <w:rPr>
            <w:rFonts w:ascii="Verdana" w:hAnsi="Verdana"/>
            <w:noProof/>
            <w:webHidden/>
            <w:sz w:val="18"/>
            <w:szCs w:val="18"/>
          </w:rPr>
          <w:t>10</w:t>
        </w:r>
        <w:r w:rsidR="002B063D" w:rsidRPr="000B33B9">
          <w:rPr>
            <w:rFonts w:ascii="Verdana" w:hAnsi="Verdana"/>
            <w:noProof/>
            <w:webHidden/>
            <w:sz w:val="18"/>
            <w:szCs w:val="18"/>
          </w:rPr>
          <w:fldChar w:fldCharType="end"/>
        </w:r>
      </w:hyperlink>
    </w:p>
    <w:p w14:paraId="0BFF0A80" w14:textId="32C70351" w:rsidR="002B063D" w:rsidRPr="000B33B9" w:rsidRDefault="009E3EED" w:rsidP="002B063D">
      <w:pPr>
        <w:pStyle w:val="TDC3"/>
        <w:tabs>
          <w:tab w:val="right" w:leader="dot" w:pos="9792"/>
        </w:tabs>
        <w:spacing w:line="240" w:lineRule="auto"/>
        <w:rPr>
          <w:rFonts w:ascii="Verdana" w:eastAsiaTheme="minorEastAsia" w:hAnsi="Verdana"/>
          <w:i w:val="0"/>
          <w:iCs w:val="0"/>
          <w:noProof/>
          <w:sz w:val="18"/>
          <w:szCs w:val="18"/>
          <w:lang w:val="es-CR" w:eastAsia="es-CR"/>
        </w:rPr>
      </w:pPr>
      <w:hyperlink w:anchor="_Toc27329749" w:history="1">
        <w:r w:rsidR="002B063D" w:rsidRPr="000B33B9">
          <w:rPr>
            <w:rStyle w:val="Hipervnculo"/>
            <w:rFonts w:ascii="Verdana" w:hAnsi="Verdana"/>
            <w:noProof/>
            <w:sz w:val="18"/>
            <w:szCs w:val="18"/>
          </w:rPr>
          <w:t>C.2. Consideraciones de la Corte</w:t>
        </w:r>
        <w:r w:rsidR="002B063D" w:rsidRPr="000B33B9">
          <w:rPr>
            <w:rFonts w:ascii="Verdana" w:hAnsi="Verdana"/>
            <w:noProof/>
            <w:webHidden/>
            <w:sz w:val="18"/>
            <w:szCs w:val="18"/>
          </w:rPr>
          <w:tab/>
        </w:r>
        <w:r w:rsidR="002B063D" w:rsidRPr="000B33B9">
          <w:rPr>
            <w:rFonts w:ascii="Verdana" w:hAnsi="Verdana"/>
            <w:noProof/>
            <w:webHidden/>
            <w:sz w:val="18"/>
            <w:szCs w:val="18"/>
          </w:rPr>
          <w:fldChar w:fldCharType="begin"/>
        </w:r>
        <w:r w:rsidR="002B063D" w:rsidRPr="000B33B9">
          <w:rPr>
            <w:rFonts w:ascii="Verdana" w:hAnsi="Verdana"/>
            <w:noProof/>
            <w:webHidden/>
            <w:sz w:val="18"/>
            <w:szCs w:val="18"/>
          </w:rPr>
          <w:instrText xml:space="preserve"> PAGEREF _Toc27329749 \h </w:instrText>
        </w:r>
        <w:r w:rsidR="002B063D" w:rsidRPr="000B33B9">
          <w:rPr>
            <w:rFonts w:ascii="Verdana" w:hAnsi="Verdana"/>
            <w:noProof/>
            <w:webHidden/>
            <w:sz w:val="18"/>
            <w:szCs w:val="18"/>
          </w:rPr>
        </w:r>
        <w:r w:rsidR="002B063D" w:rsidRPr="000B33B9">
          <w:rPr>
            <w:rFonts w:ascii="Verdana" w:hAnsi="Verdana"/>
            <w:noProof/>
            <w:webHidden/>
            <w:sz w:val="18"/>
            <w:szCs w:val="18"/>
          </w:rPr>
          <w:fldChar w:fldCharType="separate"/>
        </w:r>
        <w:r w:rsidR="00EC2233">
          <w:rPr>
            <w:rFonts w:ascii="Verdana" w:hAnsi="Verdana"/>
            <w:noProof/>
            <w:webHidden/>
            <w:sz w:val="18"/>
            <w:szCs w:val="18"/>
          </w:rPr>
          <w:t>10</w:t>
        </w:r>
        <w:r w:rsidR="002B063D" w:rsidRPr="000B33B9">
          <w:rPr>
            <w:rFonts w:ascii="Verdana" w:hAnsi="Verdana"/>
            <w:noProof/>
            <w:webHidden/>
            <w:sz w:val="18"/>
            <w:szCs w:val="18"/>
          </w:rPr>
          <w:fldChar w:fldCharType="end"/>
        </w:r>
      </w:hyperlink>
    </w:p>
    <w:p w14:paraId="5242932F" w14:textId="2E5CE6F7" w:rsidR="002B063D" w:rsidRPr="000B33B9" w:rsidRDefault="009E3EED" w:rsidP="002B063D">
      <w:pPr>
        <w:pStyle w:val="TDC1"/>
        <w:rPr>
          <w:rFonts w:eastAsiaTheme="minorEastAsia" w:cstheme="minorBidi"/>
          <w:b w:val="0"/>
          <w:bCs w:val="0"/>
          <w:caps w:val="0"/>
          <w:snapToGrid/>
          <w:lang w:val="es-CR" w:eastAsia="es-CR"/>
        </w:rPr>
      </w:pPr>
      <w:hyperlink w:anchor="_Toc27329750" w:history="1">
        <w:r w:rsidR="002B063D" w:rsidRPr="000B33B9">
          <w:rPr>
            <w:rStyle w:val="Hipervnculo"/>
          </w:rPr>
          <w:t xml:space="preserve">V </w:t>
        </w:r>
        <w:r w:rsidR="002B063D" w:rsidRPr="000B33B9">
          <w:rPr>
            <w:rStyle w:val="Hipervnculo"/>
            <w:rFonts w:cs="Times New Roman"/>
          </w:rPr>
          <w:t>ConsideraciÓN previa</w:t>
        </w:r>
        <w:r w:rsidR="002B063D" w:rsidRPr="000B33B9">
          <w:rPr>
            <w:webHidden/>
          </w:rPr>
          <w:tab/>
        </w:r>
        <w:r w:rsidR="002B063D" w:rsidRPr="000B33B9">
          <w:rPr>
            <w:webHidden/>
          </w:rPr>
          <w:fldChar w:fldCharType="begin"/>
        </w:r>
        <w:r w:rsidR="002B063D" w:rsidRPr="000B33B9">
          <w:rPr>
            <w:webHidden/>
          </w:rPr>
          <w:instrText xml:space="preserve"> PAGEREF _Toc27329750 \h </w:instrText>
        </w:r>
        <w:r w:rsidR="002B063D" w:rsidRPr="000B33B9">
          <w:rPr>
            <w:webHidden/>
          </w:rPr>
        </w:r>
        <w:r w:rsidR="002B063D" w:rsidRPr="000B33B9">
          <w:rPr>
            <w:webHidden/>
          </w:rPr>
          <w:fldChar w:fldCharType="separate"/>
        </w:r>
        <w:r w:rsidR="00EC2233">
          <w:rPr>
            <w:webHidden/>
          </w:rPr>
          <w:t>12</w:t>
        </w:r>
        <w:r w:rsidR="002B063D" w:rsidRPr="000B33B9">
          <w:rPr>
            <w:webHidden/>
          </w:rPr>
          <w:fldChar w:fldCharType="end"/>
        </w:r>
      </w:hyperlink>
    </w:p>
    <w:p w14:paraId="5F15653D" w14:textId="7A22CDD4" w:rsidR="002B063D" w:rsidRPr="000B33B9" w:rsidRDefault="009E3EED" w:rsidP="002B063D">
      <w:pPr>
        <w:pStyle w:val="TDC2"/>
        <w:rPr>
          <w:rFonts w:eastAsiaTheme="minorEastAsia" w:cstheme="minorBidi"/>
          <w:bCs w:val="0"/>
          <w:i w:val="0"/>
          <w:smallCaps w:val="0"/>
          <w:lang w:val="es-CR"/>
        </w:rPr>
      </w:pPr>
      <w:hyperlink w:anchor="_Toc27329751" w:history="1">
        <w:r w:rsidR="002B063D" w:rsidRPr="000B33B9">
          <w:rPr>
            <w:rStyle w:val="Hipervnculo"/>
            <w:rFonts w:eastAsia="Times New Roman"/>
          </w:rPr>
          <w:t>A.</w:t>
        </w:r>
        <w:r w:rsidR="002B063D" w:rsidRPr="000B33B9">
          <w:rPr>
            <w:rFonts w:eastAsiaTheme="minorEastAsia" w:cstheme="minorBidi"/>
            <w:bCs w:val="0"/>
            <w:i w:val="0"/>
            <w:smallCaps w:val="0"/>
            <w:lang w:val="es-CR"/>
          </w:rPr>
          <w:tab/>
        </w:r>
        <w:r w:rsidR="002B063D" w:rsidRPr="000B33B9">
          <w:rPr>
            <w:rStyle w:val="Hipervnculo"/>
          </w:rPr>
          <w:t>Determinación de víctimas</w:t>
        </w:r>
        <w:r w:rsidR="002B063D" w:rsidRPr="000B33B9">
          <w:rPr>
            <w:webHidden/>
          </w:rPr>
          <w:tab/>
        </w:r>
        <w:r w:rsidR="002B063D" w:rsidRPr="000B33B9">
          <w:rPr>
            <w:webHidden/>
          </w:rPr>
          <w:fldChar w:fldCharType="begin"/>
        </w:r>
        <w:r w:rsidR="002B063D" w:rsidRPr="000B33B9">
          <w:rPr>
            <w:webHidden/>
          </w:rPr>
          <w:instrText xml:space="preserve"> PAGEREF _Toc27329751 \h </w:instrText>
        </w:r>
        <w:r w:rsidR="002B063D" w:rsidRPr="000B33B9">
          <w:rPr>
            <w:webHidden/>
          </w:rPr>
        </w:r>
        <w:r w:rsidR="002B063D" w:rsidRPr="000B33B9">
          <w:rPr>
            <w:webHidden/>
          </w:rPr>
          <w:fldChar w:fldCharType="separate"/>
        </w:r>
        <w:r w:rsidR="00EC2233">
          <w:rPr>
            <w:webHidden/>
          </w:rPr>
          <w:t>12</w:t>
        </w:r>
        <w:r w:rsidR="002B063D" w:rsidRPr="000B33B9">
          <w:rPr>
            <w:webHidden/>
          </w:rPr>
          <w:fldChar w:fldCharType="end"/>
        </w:r>
      </w:hyperlink>
    </w:p>
    <w:p w14:paraId="52D9B5F7" w14:textId="27E9CB9D" w:rsidR="002B063D" w:rsidRPr="000B33B9" w:rsidRDefault="009E3EED" w:rsidP="002B063D">
      <w:pPr>
        <w:pStyle w:val="TDC3"/>
        <w:tabs>
          <w:tab w:val="left" w:pos="1100"/>
          <w:tab w:val="right" w:leader="dot" w:pos="9792"/>
        </w:tabs>
        <w:spacing w:line="240" w:lineRule="auto"/>
        <w:rPr>
          <w:rFonts w:ascii="Verdana" w:eastAsiaTheme="minorEastAsia" w:hAnsi="Verdana"/>
          <w:i w:val="0"/>
          <w:iCs w:val="0"/>
          <w:noProof/>
          <w:sz w:val="18"/>
          <w:szCs w:val="18"/>
          <w:lang w:val="es-CR" w:eastAsia="es-CR"/>
        </w:rPr>
      </w:pPr>
      <w:hyperlink w:anchor="_Toc27329752" w:history="1">
        <w:r w:rsidR="002B063D" w:rsidRPr="000B33B9">
          <w:rPr>
            <w:rStyle w:val="Hipervnculo"/>
            <w:rFonts w:ascii="Verdana" w:hAnsi="Verdana"/>
            <w:noProof/>
            <w:sz w:val="18"/>
            <w:szCs w:val="18"/>
          </w:rPr>
          <w:t>A.1</w:t>
        </w:r>
        <w:r w:rsidR="002B063D" w:rsidRPr="000B33B9">
          <w:rPr>
            <w:rFonts w:ascii="Verdana" w:eastAsiaTheme="minorEastAsia" w:hAnsi="Verdana"/>
            <w:i w:val="0"/>
            <w:iCs w:val="0"/>
            <w:noProof/>
            <w:sz w:val="18"/>
            <w:szCs w:val="18"/>
            <w:lang w:val="es-CR" w:eastAsia="es-CR"/>
          </w:rPr>
          <w:tab/>
        </w:r>
        <w:r w:rsidR="002B063D" w:rsidRPr="000B33B9">
          <w:rPr>
            <w:rStyle w:val="Hipervnculo"/>
            <w:rFonts w:ascii="Verdana" w:hAnsi="Verdana"/>
            <w:noProof/>
            <w:sz w:val="18"/>
            <w:szCs w:val="18"/>
          </w:rPr>
          <w:t>Alegatos del Estado y observaciones de la Comisión y de los representantes</w:t>
        </w:r>
        <w:r w:rsidR="002B063D" w:rsidRPr="000B33B9">
          <w:rPr>
            <w:rFonts w:ascii="Verdana" w:hAnsi="Verdana"/>
            <w:noProof/>
            <w:webHidden/>
            <w:sz w:val="18"/>
            <w:szCs w:val="18"/>
          </w:rPr>
          <w:tab/>
        </w:r>
        <w:r w:rsidR="002B063D" w:rsidRPr="000B33B9">
          <w:rPr>
            <w:rFonts w:ascii="Verdana" w:hAnsi="Verdana"/>
            <w:noProof/>
            <w:webHidden/>
            <w:sz w:val="18"/>
            <w:szCs w:val="18"/>
          </w:rPr>
          <w:fldChar w:fldCharType="begin"/>
        </w:r>
        <w:r w:rsidR="002B063D" w:rsidRPr="000B33B9">
          <w:rPr>
            <w:rFonts w:ascii="Verdana" w:hAnsi="Verdana"/>
            <w:noProof/>
            <w:webHidden/>
            <w:sz w:val="18"/>
            <w:szCs w:val="18"/>
          </w:rPr>
          <w:instrText xml:space="preserve"> PAGEREF _Toc27329752 \h </w:instrText>
        </w:r>
        <w:r w:rsidR="002B063D" w:rsidRPr="000B33B9">
          <w:rPr>
            <w:rFonts w:ascii="Verdana" w:hAnsi="Verdana"/>
            <w:noProof/>
            <w:webHidden/>
            <w:sz w:val="18"/>
            <w:szCs w:val="18"/>
          </w:rPr>
        </w:r>
        <w:r w:rsidR="002B063D" w:rsidRPr="000B33B9">
          <w:rPr>
            <w:rFonts w:ascii="Verdana" w:hAnsi="Verdana"/>
            <w:noProof/>
            <w:webHidden/>
            <w:sz w:val="18"/>
            <w:szCs w:val="18"/>
          </w:rPr>
          <w:fldChar w:fldCharType="separate"/>
        </w:r>
        <w:r w:rsidR="00EC2233">
          <w:rPr>
            <w:rFonts w:ascii="Verdana" w:hAnsi="Verdana"/>
            <w:noProof/>
            <w:webHidden/>
            <w:sz w:val="18"/>
            <w:szCs w:val="18"/>
          </w:rPr>
          <w:t>12</w:t>
        </w:r>
        <w:r w:rsidR="002B063D" w:rsidRPr="000B33B9">
          <w:rPr>
            <w:rFonts w:ascii="Verdana" w:hAnsi="Verdana"/>
            <w:noProof/>
            <w:webHidden/>
            <w:sz w:val="18"/>
            <w:szCs w:val="18"/>
          </w:rPr>
          <w:fldChar w:fldCharType="end"/>
        </w:r>
      </w:hyperlink>
    </w:p>
    <w:p w14:paraId="0526B8A6" w14:textId="3EAE0441" w:rsidR="002B063D" w:rsidRPr="000B33B9" w:rsidRDefault="009E3EED" w:rsidP="002B063D">
      <w:pPr>
        <w:pStyle w:val="TDC3"/>
        <w:tabs>
          <w:tab w:val="left" w:pos="1100"/>
          <w:tab w:val="right" w:leader="dot" w:pos="9792"/>
        </w:tabs>
        <w:spacing w:line="240" w:lineRule="auto"/>
        <w:rPr>
          <w:rFonts w:ascii="Verdana" w:eastAsiaTheme="minorEastAsia" w:hAnsi="Verdana"/>
          <w:i w:val="0"/>
          <w:iCs w:val="0"/>
          <w:noProof/>
          <w:sz w:val="18"/>
          <w:szCs w:val="18"/>
          <w:lang w:val="es-CR" w:eastAsia="es-CR"/>
        </w:rPr>
      </w:pPr>
      <w:hyperlink w:anchor="_Toc27329753" w:history="1">
        <w:r w:rsidR="002B063D" w:rsidRPr="000B33B9">
          <w:rPr>
            <w:rStyle w:val="Hipervnculo"/>
            <w:rFonts w:ascii="Verdana" w:hAnsi="Verdana"/>
            <w:noProof/>
            <w:sz w:val="18"/>
            <w:szCs w:val="18"/>
          </w:rPr>
          <w:t>A.2</w:t>
        </w:r>
        <w:r w:rsidR="002B063D" w:rsidRPr="000B33B9">
          <w:rPr>
            <w:rFonts w:ascii="Verdana" w:eastAsiaTheme="minorEastAsia" w:hAnsi="Verdana"/>
            <w:i w:val="0"/>
            <w:iCs w:val="0"/>
            <w:noProof/>
            <w:sz w:val="18"/>
            <w:szCs w:val="18"/>
            <w:lang w:val="es-CR" w:eastAsia="es-CR"/>
          </w:rPr>
          <w:tab/>
        </w:r>
        <w:r w:rsidR="002B063D" w:rsidRPr="000B33B9">
          <w:rPr>
            <w:rStyle w:val="Hipervnculo"/>
            <w:rFonts w:ascii="Verdana" w:hAnsi="Verdana"/>
            <w:noProof/>
            <w:sz w:val="18"/>
            <w:szCs w:val="18"/>
          </w:rPr>
          <w:t>Consideraciones de la Corte</w:t>
        </w:r>
        <w:r w:rsidR="002B063D" w:rsidRPr="000B33B9">
          <w:rPr>
            <w:rFonts w:ascii="Verdana" w:hAnsi="Verdana"/>
            <w:noProof/>
            <w:webHidden/>
            <w:sz w:val="18"/>
            <w:szCs w:val="18"/>
          </w:rPr>
          <w:tab/>
        </w:r>
        <w:r w:rsidR="002B063D" w:rsidRPr="000B33B9">
          <w:rPr>
            <w:rFonts w:ascii="Verdana" w:hAnsi="Verdana"/>
            <w:noProof/>
            <w:webHidden/>
            <w:sz w:val="18"/>
            <w:szCs w:val="18"/>
          </w:rPr>
          <w:fldChar w:fldCharType="begin"/>
        </w:r>
        <w:r w:rsidR="002B063D" w:rsidRPr="000B33B9">
          <w:rPr>
            <w:rFonts w:ascii="Verdana" w:hAnsi="Verdana"/>
            <w:noProof/>
            <w:webHidden/>
            <w:sz w:val="18"/>
            <w:szCs w:val="18"/>
          </w:rPr>
          <w:instrText xml:space="preserve"> PAGEREF _Toc27329753 \h </w:instrText>
        </w:r>
        <w:r w:rsidR="002B063D" w:rsidRPr="000B33B9">
          <w:rPr>
            <w:rFonts w:ascii="Verdana" w:hAnsi="Verdana"/>
            <w:noProof/>
            <w:webHidden/>
            <w:sz w:val="18"/>
            <w:szCs w:val="18"/>
          </w:rPr>
        </w:r>
        <w:r w:rsidR="002B063D" w:rsidRPr="000B33B9">
          <w:rPr>
            <w:rFonts w:ascii="Verdana" w:hAnsi="Verdana"/>
            <w:noProof/>
            <w:webHidden/>
            <w:sz w:val="18"/>
            <w:szCs w:val="18"/>
          </w:rPr>
          <w:fldChar w:fldCharType="separate"/>
        </w:r>
        <w:r w:rsidR="00EC2233">
          <w:rPr>
            <w:rFonts w:ascii="Verdana" w:hAnsi="Verdana"/>
            <w:noProof/>
            <w:webHidden/>
            <w:sz w:val="18"/>
            <w:szCs w:val="18"/>
          </w:rPr>
          <w:t>13</w:t>
        </w:r>
        <w:r w:rsidR="002B063D" w:rsidRPr="000B33B9">
          <w:rPr>
            <w:rFonts w:ascii="Verdana" w:hAnsi="Verdana"/>
            <w:noProof/>
            <w:webHidden/>
            <w:sz w:val="18"/>
            <w:szCs w:val="18"/>
          </w:rPr>
          <w:fldChar w:fldCharType="end"/>
        </w:r>
      </w:hyperlink>
    </w:p>
    <w:p w14:paraId="39866BB5" w14:textId="765B2971" w:rsidR="002B063D" w:rsidRPr="000B33B9" w:rsidRDefault="009E3EED" w:rsidP="002B063D">
      <w:pPr>
        <w:pStyle w:val="TDC1"/>
        <w:rPr>
          <w:rFonts w:eastAsiaTheme="minorEastAsia" w:cstheme="minorBidi"/>
          <w:b w:val="0"/>
          <w:bCs w:val="0"/>
          <w:caps w:val="0"/>
          <w:snapToGrid/>
          <w:lang w:val="es-CR" w:eastAsia="es-CR"/>
        </w:rPr>
      </w:pPr>
      <w:hyperlink w:anchor="_Toc27329754" w:history="1">
        <w:r w:rsidR="002B063D" w:rsidRPr="000B33B9">
          <w:rPr>
            <w:rStyle w:val="Hipervnculo"/>
          </w:rPr>
          <w:t>VI PRUEBA</w:t>
        </w:r>
        <w:r w:rsidR="002B063D" w:rsidRPr="000B33B9">
          <w:rPr>
            <w:webHidden/>
          </w:rPr>
          <w:tab/>
        </w:r>
        <w:r w:rsidR="002B063D" w:rsidRPr="000B33B9">
          <w:rPr>
            <w:webHidden/>
          </w:rPr>
          <w:fldChar w:fldCharType="begin"/>
        </w:r>
        <w:r w:rsidR="002B063D" w:rsidRPr="000B33B9">
          <w:rPr>
            <w:webHidden/>
          </w:rPr>
          <w:instrText xml:space="preserve"> PAGEREF _Toc27329754 \h </w:instrText>
        </w:r>
        <w:r w:rsidR="002B063D" w:rsidRPr="000B33B9">
          <w:rPr>
            <w:webHidden/>
          </w:rPr>
        </w:r>
        <w:r w:rsidR="002B063D" w:rsidRPr="000B33B9">
          <w:rPr>
            <w:webHidden/>
          </w:rPr>
          <w:fldChar w:fldCharType="separate"/>
        </w:r>
        <w:r w:rsidR="00EC2233">
          <w:rPr>
            <w:webHidden/>
          </w:rPr>
          <w:t>13</w:t>
        </w:r>
        <w:r w:rsidR="002B063D" w:rsidRPr="000B33B9">
          <w:rPr>
            <w:webHidden/>
          </w:rPr>
          <w:fldChar w:fldCharType="end"/>
        </w:r>
      </w:hyperlink>
    </w:p>
    <w:p w14:paraId="74DEC974" w14:textId="370F4188" w:rsidR="002B063D" w:rsidRPr="000B33B9" w:rsidRDefault="009E3EED" w:rsidP="002B063D">
      <w:pPr>
        <w:pStyle w:val="TDC2"/>
        <w:rPr>
          <w:rFonts w:eastAsiaTheme="minorEastAsia" w:cstheme="minorBidi"/>
          <w:bCs w:val="0"/>
          <w:i w:val="0"/>
          <w:smallCaps w:val="0"/>
          <w:lang w:val="es-CR"/>
        </w:rPr>
      </w:pPr>
      <w:hyperlink w:anchor="_Toc27329755" w:history="1">
        <w:r w:rsidR="002B063D" w:rsidRPr="000B33B9">
          <w:rPr>
            <w:rStyle w:val="Hipervnculo"/>
          </w:rPr>
          <w:t>A.</w:t>
        </w:r>
        <w:r w:rsidR="002B063D" w:rsidRPr="000B33B9">
          <w:rPr>
            <w:rFonts w:eastAsiaTheme="minorEastAsia" w:cstheme="minorBidi"/>
            <w:bCs w:val="0"/>
            <w:i w:val="0"/>
            <w:smallCaps w:val="0"/>
            <w:lang w:val="es-CR"/>
          </w:rPr>
          <w:tab/>
        </w:r>
        <w:r w:rsidR="002B063D" w:rsidRPr="000B33B9">
          <w:rPr>
            <w:rStyle w:val="Hipervnculo"/>
          </w:rPr>
          <w:t>Admisibilidad de la prueba documental</w:t>
        </w:r>
        <w:r w:rsidR="002B063D" w:rsidRPr="000B33B9">
          <w:rPr>
            <w:webHidden/>
          </w:rPr>
          <w:tab/>
        </w:r>
        <w:r w:rsidR="002B063D" w:rsidRPr="000B33B9">
          <w:rPr>
            <w:webHidden/>
          </w:rPr>
          <w:fldChar w:fldCharType="begin"/>
        </w:r>
        <w:r w:rsidR="002B063D" w:rsidRPr="000B33B9">
          <w:rPr>
            <w:webHidden/>
          </w:rPr>
          <w:instrText xml:space="preserve"> PAGEREF _Toc27329755 \h </w:instrText>
        </w:r>
        <w:r w:rsidR="002B063D" w:rsidRPr="000B33B9">
          <w:rPr>
            <w:webHidden/>
          </w:rPr>
        </w:r>
        <w:r w:rsidR="002B063D" w:rsidRPr="000B33B9">
          <w:rPr>
            <w:webHidden/>
          </w:rPr>
          <w:fldChar w:fldCharType="separate"/>
        </w:r>
        <w:r w:rsidR="00EC2233">
          <w:rPr>
            <w:webHidden/>
          </w:rPr>
          <w:t>13</w:t>
        </w:r>
        <w:r w:rsidR="002B063D" w:rsidRPr="000B33B9">
          <w:rPr>
            <w:webHidden/>
          </w:rPr>
          <w:fldChar w:fldCharType="end"/>
        </w:r>
      </w:hyperlink>
    </w:p>
    <w:p w14:paraId="21E36B04" w14:textId="623AD68C" w:rsidR="002B063D" w:rsidRPr="000B33B9" w:rsidRDefault="009E3EED" w:rsidP="002B063D">
      <w:pPr>
        <w:pStyle w:val="TDC2"/>
        <w:rPr>
          <w:rFonts w:eastAsiaTheme="minorEastAsia" w:cstheme="minorBidi"/>
          <w:bCs w:val="0"/>
          <w:i w:val="0"/>
          <w:smallCaps w:val="0"/>
          <w:lang w:val="es-CR"/>
        </w:rPr>
      </w:pPr>
      <w:hyperlink w:anchor="_Toc27329756" w:history="1">
        <w:r w:rsidR="002B063D" w:rsidRPr="000B33B9">
          <w:rPr>
            <w:rStyle w:val="Hipervnculo"/>
          </w:rPr>
          <w:t>B.</w:t>
        </w:r>
        <w:r w:rsidR="002B063D" w:rsidRPr="000B33B9">
          <w:rPr>
            <w:rFonts w:eastAsiaTheme="minorEastAsia" w:cstheme="minorBidi"/>
            <w:bCs w:val="0"/>
            <w:i w:val="0"/>
            <w:smallCaps w:val="0"/>
            <w:lang w:val="es-CR"/>
          </w:rPr>
          <w:tab/>
        </w:r>
        <w:r w:rsidR="002B063D" w:rsidRPr="000B33B9">
          <w:rPr>
            <w:rStyle w:val="Hipervnculo"/>
          </w:rPr>
          <w:t>Admisibilidad de la prueba testimonial y pericial</w:t>
        </w:r>
        <w:r w:rsidR="002B063D" w:rsidRPr="000B33B9">
          <w:rPr>
            <w:webHidden/>
          </w:rPr>
          <w:tab/>
        </w:r>
        <w:r w:rsidR="002B063D" w:rsidRPr="000B33B9">
          <w:rPr>
            <w:webHidden/>
          </w:rPr>
          <w:fldChar w:fldCharType="begin"/>
        </w:r>
        <w:r w:rsidR="002B063D" w:rsidRPr="000B33B9">
          <w:rPr>
            <w:webHidden/>
          </w:rPr>
          <w:instrText xml:space="preserve"> PAGEREF _Toc27329756 \h </w:instrText>
        </w:r>
        <w:r w:rsidR="002B063D" w:rsidRPr="000B33B9">
          <w:rPr>
            <w:webHidden/>
          </w:rPr>
        </w:r>
        <w:r w:rsidR="002B063D" w:rsidRPr="000B33B9">
          <w:rPr>
            <w:webHidden/>
          </w:rPr>
          <w:fldChar w:fldCharType="separate"/>
        </w:r>
        <w:r w:rsidR="00EC2233">
          <w:rPr>
            <w:webHidden/>
          </w:rPr>
          <w:t>14</w:t>
        </w:r>
        <w:r w:rsidR="002B063D" w:rsidRPr="000B33B9">
          <w:rPr>
            <w:webHidden/>
          </w:rPr>
          <w:fldChar w:fldCharType="end"/>
        </w:r>
      </w:hyperlink>
    </w:p>
    <w:p w14:paraId="2C8D464E" w14:textId="39E2631E" w:rsidR="002B063D" w:rsidRPr="000B33B9" w:rsidRDefault="009E3EED" w:rsidP="002B063D">
      <w:pPr>
        <w:pStyle w:val="TDC1"/>
        <w:rPr>
          <w:rFonts w:eastAsiaTheme="minorEastAsia" w:cstheme="minorBidi"/>
          <w:b w:val="0"/>
          <w:bCs w:val="0"/>
          <w:caps w:val="0"/>
          <w:snapToGrid/>
          <w:lang w:val="es-CR" w:eastAsia="es-CR"/>
        </w:rPr>
      </w:pPr>
      <w:hyperlink w:anchor="_Toc27329757" w:history="1">
        <w:r w:rsidR="002B063D" w:rsidRPr="000B33B9">
          <w:rPr>
            <w:rStyle w:val="Hipervnculo"/>
          </w:rPr>
          <w:t>VII HECHOS</w:t>
        </w:r>
        <w:r w:rsidR="002B063D" w:rsidRPr="000B33B9">
          <w:rPr>
            <w:webHidden/>
          </w:rPr>
          <w:tab/>
        </w:r>
        <w:r w:rsidR="002B063D" w:rsidRPr="000B33B9">
          <w:rPr>
            <w:webHidden/>
          </w:rPr>
          <w:fldChar w:fldCharType="begin"/>
        </w:r>
        <w:r w:rsidR="002B063D" w:rsidRPr="000B33B9">
          <w:rPr>
            <w:webHidden/>
          </w:rPr>
          <w:instrText xml:space="preserve"> PAGEREF _Toc27329757 \h </w:instrText>
        </w:r>
        <w:r w:rsidR="002B063D" w:rsidRPr="000B33B9">
          <w:rPr>
            <w:webHidden/>
          </w:rPr>
        </w:r>
        <w:r w:rsidR="002B063D" w:rsidRPr="000B33B9">
          <w:rPr>
            <w:webHidden/>
          </w:rPr>
          <w:fldChar w:fldCharType="separate"/>
        </w:r>
        <w:r w:rsidR="00EC2233">
          <w:rPr>
            <w:webHidden/>
          </w:rPr>
          <w:t>14</w:t>
        </w:r>
        <w:r w:rsidR="002B063D" w:rsidRPr="000B33B9">
          <w:rPr>
            <w:webHidden/>
          </w:rPr>
          <w:fldChar w:fldCharType="end"/>
        </w:r>
      </w:hyperlink>
    </w:p>
    <w:p w14:paraId="42CEED9C" w14:textId="7523856D" w:rsidR="002B063D" w:rsidRPr="000B33B9" w:rsidRDefault="009E3EED" w:rsidP="002B063D">
      <w:pPr>
        <w:pStyle w:val="TDC2"/>
        <w:rPr>
          <w:rFonts w:eastAsiaTheme="minorEastAsia" w:cstheme="minorBidi"/>
          <w:bCs w:val="0"/>
          <w:i w:val="0"/>
          <w:smallCaps w:val="0"/>
          <w:lang w:val="es-CR"/>
        </w:rPr>
      </w:pPr>
      <w:hyperlink w:anchor="_Toc27329758" w:history="1">
        <w:r w:rsidR="002B063D" w:rsidRPr="000B33B9">
          <w:rPr>
            <w:rStyle w:val="Hipervnculo"/>
          </w:rPr>
          <w:t>A.</w:t>
        </w:r>
        <w:r w:rsidR="002B063D" w:rsidRPr="000B33B9">
          <w:rPr>
            <w:rFonts w:eastAsiaTheme="minorEastAsia" w:cstheme="minorBidi"/>
            <w:bCs w:val="0"/>
            <w:i w:val="0"/>
            <w:smallCaps w:val="0"/>
            <w:lang w:val="es-CR"/>
          </w:rPr>
          <w:tab/>
        </w:r>
        <w:r w:rsidR="002B063D" w:rsidRPr="000B33B9">
          <w:rPr>
            <w:rStyle w:val="Hipervnculo"/>
          </w:rPr>
          <w:t>Antecedentes</w:t>
        </w:r>
        <w:r w:rsidR="002B063D" w:rsidRPr="000B33B9">
          <w:rPr>
            <w:webHidden/>
          </w:rPr>
          <w:tab/>
        </w:r>
        <w:r w:rsidR="002B063D" w:rsidRPr="000B33B9">
          <w:rPr>
            <w:webHidden/>
          </w:rPr>
          <w:fldChar w:fldCharType="begin"/>
        </w:r>
        <w:r w:rsidR="002B063D" w:rsidRPr="000B33B9">
          <w:rPr>
            <w:webHidden/>
          </w:rPr>
          <w:instrText xml:space="preserve"> PAGEREF _Toc27329758 \h </w:instrText>
        </w:r>
        <w:r w:rsidR="002B063D" w:rsidRPr="000B33B9">
          <w:rPr>
            <w:webHidden/>
          </w:rPr>
        </w:r>
        <w:r w:rsidR="002B063D" w:rsidRPr="000B33B9">
          <w:rPr>
            <w:webHidden/>
          </w:rPr>
          <w:fldChar w:fldCharType="separate"/>
        </w:r>
        <w:r w:rsidR="00EC2233">
          <w:rPr>
            <w:webHidden/>
          </w:rPr>
          <w:t>15</w:t>
        </w:r>
        <w:r w:rsidR="002B063D" w:rsidRPr="000B33B9">
          <w:rPr>
            <w:webHidden/>
          </w:rPr>
          <w:fldChar w:fldCharType="end"/>
        </w:r>
      </w:hyperlink>
    </w:p>
    <w:p w14:paraId="177E5A42" w14:textId="3AC84C31" w:rsidR="002B063D" w:rsidRPr="000B33B9" w:rsidRDefault="009E3EED" w:rsidP="002B063D">
      <w:pPr>
        <w:pStyle w:val="TDC2"/>
        <w:rPr>
          <w:rFonts w:eastAsiaTheme="minorEastAsia" w:cstheme="minorBidi"/>
          <w:bCs w:val="0"/>
          <w:i w:val="0"/>
          <w:smallCaps w:val="0"/>
          <w:lang w:val="es-CR"/>
        </w:rPr>
      </w:pPr>
      <w:hyperlink w:anchor="_Toc27329759" w:history="1">
        <w:r w:rsidR="002B063D" w:rsidRPr="000B33B9">
          <w:rPr>
            <w:rStyle w:val="Hipervnculo"/>
          </w:rPr>
          <w:t>B.</w:t>
        </w:r>
        <w:r w:rsidR="002B063D" w:rsidRPr="000B33B9">
          <w:rPr>
            <w:rFonts w:eastAsiaTheme="minorEastAsia" w:cstheme="minorBidi"/>
            <w:bCs w:val="0"/>
            <w:i w:val="0"/>
            <w:smallCaps w:val="0"/>
            <w:lang w:val="es-CR"/>
          </w:rPr>
          <w:tab/>
        </w:r>
        <w:r w:rsidR="002B063D" w:rsidRPr="000B33B9">
          <w:rPr>
            <w:rStyle w:val="Hipervnculo"/>
          </w:rPr>
          <w:t>Primera acción de amparo</w:t>
        </w:r>
        <w:r w:rsidR="002B063D" w:rsidRPr="000B33B9">
          <w:rPr>
            <w:webHidden/>
          </w:rPr>
          <w:tab/>
        </w:r>
        <w:r w:rsidR="002B063D" w:rsidRPr="000B33B9">
          <w:rPr>
            <w:webHidden/>
          </w:rPr>
          <w:fldChar w:fldCharType="begin"/>
        </w:r>
        <w:r w:rsidR="002B063D" w:rsidRPr="000B33B9">
          <w:rPr>
            <w:webHidden/>
          </w:rPr>
          <w:instrText xml:space="preserve"> PAGEREF _Toc27329759 \h </w:instrText>
        </w:r>
        <w:r w:rsidR="002B063D" w:rsidRPr="000B33B9">
          <w:rPr>
            <w:webHidden/>
          </w:rPr>
        </w:r>
        <w:r w:rsidR="002B063D" w:rsidRPr="000B33B9">
          <w:rPr>
            <w:webHidden/>
          </w:rPr>
          <w:fldChar w:fldCharType="separate"/>
        </w:r>
        <w:r w:rsidR="00EC2233">
          <w:rPr>
            <w:webHidden/>
          </w:rPr>
          <w:t>17</w:t>
        </w:r>
        <w:r w:rsidR="002B063D" w:rsidRPr="000B33B9">
          <w:rPr>
            <w:webHidden/>
          </w:rPr>
          <w:fldChar w:fldCharType="end"/>
        </w:r>
      </w:hyperlink>
    </w:p>
    <w:p w14:paraId="65594E9F" w14:textId="2A0FF60C" w:rsidR="002B063D" w:rsidRPr="000B33B9" w:rsidRDefault="009E3EED" w:rsidP="002B063D">
      <w:pPr>
        <w:pStyle w:val="TDC2"/>
        <w:rPr>
          <w:rFonts w:eastAsiaTheme="minorEastAsia" w:cstheme="minorBidi"/>
          <w:bCs w:val="0"/>
          <w:i w:val="0"/>
          <w:smallCaps w:val="0"/>
          <w:lang w:val="es-CR"/>
        </w:rPr>
      </w:pPr>
      <w:hyperlink w:anchor="_Toc27329760" w:history="1">
        <w:r w:rsidR="002B063D" w:rsidRPr="000B33B9">
          <w:rPr>
            <w:rStyle w:val="Hipervnculo"/>
          </w:rPr>
          <w:t>C.</w:t>
        </w:r>
        <w:r w:rsidR="002B063D" w:rsidRPr="000B33B9">
          <w:rPr>
            <w:rFonts w:eastAsiaTheme="minorEastAsia" w:cstheme="minorBidi"/>
            <w:bCs w:val="0"/>
            <w:i w:val="0"/>
            <w:smallCaps w:val="0"/>
            <w:lang w:val="es-CR"/>
          </w:rPr>
          <w:tab/>
        </w:r>
        <w:r w:rsidR="002B063D" w:rsidRPr="000B33B9">
          <w:rPr>
            <w:rStyle w:val="Hipervnculo"/>
          </w:rPr>
          <w:t>Segunda acción de amparo</w:t>
        </w:r>
        <w:r w:rsidR="002B063D" w:rsidRPr="000B33B9">
          <w:rPr>
            <w:webHidden/>
          </w:rPr>
          <w:tab/>
        </w:r>
        <w:r w:rsidR="002B063D" w:rsidRPr="000B33B9">
          <w:rPr>
            <w:webHidden/>
          </w:rPr>
          <w:fldChar w:fldCharType="begin"/>
        </w:r>
        <w:r w:rsidR="002B063D" w:rsidRPr="000B33B9">
          <w:rPr>
            <w:webHidden/>
          </w:rPr>
          <w:instrText xml:space="preserve"> PAGEREF _Toc27329760 \h </w:instrText>
        </w:r>
        <w:r w:rsidR="002B063D" w:rsidRPr="000B33B9">
          <w:rPr>
            <w:webHidden/>
          </w:rPr>
        </w:r>
        <w:r w:rsidR="002B063D" w:rsidRPr="000B33B9">
          <w:rPr>
            <w:webHidden/>
          </w:rPr>
          <w:fldChar w:fldCharType="separate"/>
        </w:r>
        <w:r w:rsidR="00EC2233">
          <w:rPr>
            <w:webHidden/>
          </w:rPr>
          <w:t>20</w:t>
        </w:r>
        <w:r w:rsidR="002B063D" w:rsidRPr="000B33B9">
          <w:rPr>
            <w:webHidden/>
          </w:rPr>
          <w:fldChar w:fldCharType="end"/>
        </w:r>
      </w:hyperlink>
    </w:p>
    <w:p w14:paraId="2E2A0FE4" w14:textId="73C6BA7E" w:rsidR="002B063D" w:rsidRPr="000B33B9" w:rsidRDefault="009E3EED" w:rsidP="002B063D">
      <w:pPr>
        <w:pStyle w:val="TDC2"/>
        <w:rPr>
          <w:rFonts w:eastAsiaTheme="minorEastAsia" w:cstheme="minorBidi"/>
          <w:bCs w:val="0"/>
          <w:i w:val="0"/>
          <w:smallCaps w:val="0"/>
          <w:lang w:val="es-CR"/>
        </w:rPr>
      </w:pPr>
      <w:hyperlink w:anchor="_Toc27329761" w:history="1">
        <w:r w:rsidR="002B063D" w:rsidRPr="000B33B9">
          <w:rPr>
            <w:rStyle w:val="Hipervnculo"/>
          </w:rPr>
          <w:t>D.</w:t>
        </w:r>
        <w:r w:rsidR="002B063D" w:rsidRPr="000B33B9">
          <w:rPr>
            <w:rFonts w:eastAsiaTheme="minorEastAsia" w:cstheme="minorBidi"/>
            <w:bCs w:val="0"/>
            <w:i w:val="0"/>
            <w:smallCaps w:val="0"/>
            <w:lang w:val="es-CR"/>
          </w:rPr>
          <w:tab/>
        </w:r>
        <w:r w:rsidR="002B063D" w:rsidRPr="000B33B9">
          <w:rPr>
            <w:rStyle w:val="Hipervnculo"/>
          </w:rPr>
          <w:t>Tercera acción de amparo</w:t>
        </w:r>
        <w:r w:rsidR="002B063D" w:rsidRPr="000B33B9">
          <w:rPr>
            <w:webHidden/>
          </w:rPr>
          <w:tab/>
        </w:r>
        <w:r w:rsidR="002B063D" w:rsidRPr="000B33B9">
          <w:rPr>
            <w:webHidden/>
          </w:rPr>
          <w:fldChar w:fldCharType="begin"/>
        </w:r>
        <w:r w:rsidR="002B063D" w:rsidRPr="000B33B9">
          <w:rPr>
            <w:webHidden/>
          </w:rPr>
          <w:instrText xml:space="preserve"> PAGEREF _Toc27329761 \h </w:instrText>
        </w:r>
        <w:r w:rsidR="002B063D" w:rsidRPr="000B33B9">
          <w:rPr>
            <w:webHidden/>
          </w:rPr>
        </w:r>
        <w:r w:rsidR="002B063D" w:rsidRPr="000B33B9">
          <w:rPr>
            <w:webHidden/>
          </w:rPr>
          <w:fldChar w:fldCharType="separate"/>
        </w:r>
        <w:r w:rsidR="00EC2233">
          <w:rPr>
            <w:webHidden/>
          </w:rPr>
          <w:t>27</w:t>
        </w:r>
        <w:r w:rsidR="002B063D" w:rsidRPr="000B33B9">
          <w:rPr>
            <w:webHidden/>
          </w:rPr>
          <w:fldChar w:fldCharType="end"/>
        </w:r>
      </w:hyperlink>
    </w:p>
    <w:p w14:paraId="1EB06769" w14:textId="12C9AF20" w:rsidR="002B063D" w:rsidRPr="000B33B9" w:rsidRDefault="009E3EED" w:rsidP="002B063D">
      <w:pPr>
        <w:pStyle w:val="TDC2"/>
        <w:rPr>
          <w:rFonts w:eastAsiaTheme="minorEastAsia" w:cstheme="minorBidi"/>
          <w:bCs w:val="0"/>
          <w:i w:val="0"/>
          <w:smallCaps w:val="0"/>
          <w:lang w:val="es-CR"/>
        </w:rPr>
      </w:pPr>
      <w:hyperlink w:anchor="_Toc27329762" w:history="1">
        <w:r w:rsidR="002B063D" w:rsidRPr="000B33B9">
          <w:rPr>
            <w:rStyle w:val="Hipervnculo"/>
          </w:rPr>
          <w:t>E.</w:t>
        </w:r>
        <w:r w:rsidR="002B063D" w:rsidRPr="000B33B9">
          <w:rPr>
            <w:rFonts w:eastAsiaTheme="minorEastAsia" w:cstheme="minorBidi"/>
            <w:bCs w:val="0"/>
            <w:i w:val="0"/>
            <w:smallCaps w:val="0"/>
            <w:lang w:val="es-CR"/>
          </w:rPr>
          <w:tab/>
        </w:r>
        <w:r w:rsidR="002B063D" w:rsidRPr="000B33B9">
          <w:rPr>
            <w:rStyle w:val="Hipervnculo"/>
          </w:rPr>
          <w:t>Recursos intentados por el señor Ipanaqué</w:t>
        </w:r>
        <w:r w:rsidR="002B063D" w:rsidRPr="000B33B9">
          <w:rPr>
            <w:webHidden/>
          </w:rPr>
          <w:tab/>
        </w:r>
        <w:r w:rsidR="002B063D" w:rsidRPr="000B33B9">
          <w:rPr>
            <w:webHidden/>
          </w:rPr>
          <w:fldChar w:fldCharType="begin"/>
        </w:r>
        <w:r w:rsidR="002B063D" w:rsidRPr="000B33B9">
          <w:rPr>
            <w:webHidden/>
          </w:rPr>
          <w:instrText xml:space="preserve"> PAGEREF _Toc27329762 \h </w:instrText>
        </w:r>
        <w:r w:rsidR="002B063D" w:rsidRPr="000B33B9">
          <w:rPr>
            <w:webHidden/>
          </w:rPr>
        </w:r>
        <w:r w:rsidR="002B063D" w:rsidRPr="000B33B9">
          <w:rPr>
            <w:webHidden/>
          </w:rPr>
          <w:fldChar w:fldCharType="separate"/>
        </w:r>
        <w:r w:rsidR="00EC2233">
          <w:rPr>
            <w:webHidden/>
          </w:rPr>
          <w:t>28</w:t>
        </w:r>
        <w:r w:rsidR="002B063D" w:rsidRPr="000B33B9">
          <w:rPr>
            <w:webHidden/>
          </w:rPr>
          <w:fldChar w:fldCharType="end"/>
        </w:r>
      </w:hyperlink>
    </w:p>
    <w:p w14:paraId="707BE8DB" w14:textId="4303C7E6" w:rsidR="002B063D" w:rsidRPr="000B33B9" w:rsidRDefault="009E3EED" w:rsidP="002B063D">
      <w:pPr>
        <w:pStyle w:val="TDC1"/>
        <w:rPr>
          <w:rFonts w:eastAsiaTheme="minorEastAsia" w:cstheme="minorBidi"/>
          <w:b w:val="0"/>
          <w:bCs w:val="0"/>
          <w:caps w:val="0"/>
          <w:snapToGrid/>
          <w:lang w:val="es-CR" w:eastAsia="es-CR"/>
        </w:rPr>
      </w:pPr>
      <w:hyperlink w:anchor="_Toc27329763" w:history="1">
        <w:r w:rsidR="002B063D" w:rsidRPr="000B33B9">
          <w:rPr>
            <w:rStyle w:val="Hipervnculo"/>
          </w:rPr>
          <w:t>VIII FONDO</w:t>
        </w:r>
        <w:r w:rsidR="002B063D" w:rsidRPr="000B33B9">
          <w:rPr>
            <w:webHidden/>
          </w:rPr>
          <w:tab/>
        </w:r>
        <w:r w:rsidR="002B063D" w:rsidRPr="000B33B9">
          <w:rPr>
            <w:webHidden/>
          </w:rPr>
          <w:fldChar w:fldCharType="begin"/>
        </w:r>
        <w:r w:rsidR="002B063D" w:rsidRPr="000B33B9">
          <w:rPr>
            <w:webHidden/>
          </w:rPr>
          <w:instrText xml:space="preserve"> PAGEREF _Toc27329763 \h </w:instrText>
        </w:r>
        <w:r w:rsidR="002B063D" w:rsidRPr="000B33B9">
          <w:rPr>
            <w:webHidden/>
          </w:rPr>
        </w:r>
        <w:r w:rsidR="002B063D" w:rsidRPr="000B33B9">
          <w:rPr>
            <w:webHidden/>
          </w:rPr>
          <w:fldChar w:fldCharType="separate"/>
        </w:r>
        <w:r w:rsidR="00EC2233">
          <w:rPr>
            <w:webHidden/>
          </w:rPr>
          <w:t>30</w:t>
        </w:r>
        <w:r w:rsidR="002B063D" w:rsidRPr="000B33B9">
          <w:rPr>
            <w:webHidden/>
          </w:rPr>
          <w:fldChar w:fldCharType="end"/>
        </w:r>
      </w:hyperlink>
    </w:p>
    <w:p w14:paraId="5CA0FEDC" w14:textId="6270FDA5" w:rsidR="002B063D" w:rsidRPr="000B33B9" w:rsidRDefault="009E3EED" w:rsidP="002B063D">
      <w:pPr>
        <w:pStyle w:val="TDC1"/>
        <w:rPr>
          <w:rFonts w:eastAsiaTheme="minorEastAsia" w:cstheme="minorBidi"/>
          <w:b w:val="0"/>
          <w:bCs w:val="0"/>
          <w:caps w:val="0"/>
          <w:snapToGrid/>
          <w:lang w:val="es-CR" w:eastAsia="es-CR"/>
        </w:rPr>
      </w:pPr>
      <w:hyperlink w:anchor="_Toc27329764" w:history="1">
        <w:r w:rsidR="002B063D" w:rsidRPr="000B33B9">
          <w:rPr>
            <w:rStyle w:val="Hipervnculo"/>
          </w:rPr>
          <w:t>VIII DERECHOS A LAS GARANTÍAS JUDICIALES, LA PROTECCIÓN JUDICIAL, LA SEGURIDAD SOCIAL, LA VIDA DIGNA, LA PROPIEDAD PRIVADA Y EL DEBER DE ADOPTAR DISPOSICIONES DE DERECHO INTERNO</w:t>
        </w:r>
        <w:r w:rsidR="002B063D" w:rsidRPr="000B33B9">
          <w:rPr>
            <w:webHidden/>
          </w:rPr>
          <w:tab/>
        </w:r>
        <w:r w:rsidR="002B063D" w:rsidRPr="000B33B9">
          <w:rPr>
            <w:webHidden/>
          </w:rPr>
          <w:fldChar w:fldCharType="begin"/>
        </w:r>
        <w:r w:rsidR="002B063D" w:rsidRPr="000B33B9">
          <w:rPr>
            <w:webHidden/>
          </w:rPr>
          <w:instrText xml:space="preserve"> PAGEREF _Toc27329764 \h </w:instrText>
        </w:r>
        <w:r w:rsidR="002B063D" w:rsidRPr="000B33B9">
          <w:rPr>
            <w:webHidden/>
          </w:rPr>
        </w:r>
        <w:r w:rsidR="002B063D" w:rsidRPr="000B33B9">
          <w:rPr>
            <w:webHidden/>
          </w:rPr>
          <w:fldChar w:fldCharType="separate"/>
        </w:r>
        <w:r w:rsidR="00EC2233">
          <w:rPr>
            <w:webHidden/>
          </w:rPr>
          <w:t>31</w:t>
        </w:r>
        <w:r w:rsidR="002B063D" w:rsidRPr="000B33B9">
          <w:rPr>
            <w:webHidden/>
          </w:rPr>
          <w:fldChar w:fldCharType="end"/>
        </w:r>
      </w:hyperlink>
    </w:p>
    <w:p w14:paraId="275E2DF1" w14:textId="0858DCD6" w:rsidR="002B063D" w:rsidRPr="000B33B9" w:rsidRDefault="009E3EED" w:rsidP="002B063D">
      <w:pPr>
        <w:pStyle w:val="TDC2"/>
        <w:rPr>
          <w:rFonts w:eastAsiaTheme="minorEastAsia" w:cstheme="minorBidi"/>
          <w:bCs w:val="0"/>
          <w:i w:val="0"/>
          <w:smallCaps w:val="0"/>
          <w:lang w:val="es-CR"/>
        </w:rPr>
      </w:pPr>
      <w:hyperlink w:anchor="_Toc27329765" w:history="1">
        <w:r w:rsidR="002B063D" w:rsidRPr="000B33B9">
          <w:rPr>
            <w:rStyle w:val="Hipervnculo"/>
          </w:rPr>
          <w:t>A.</w:t>
        </w:r>
        <w:r w:rsidR="002B063D" w:rsidRPr="000B33B9">
          <w:rPr>
            <w:rFonts w:eastAsiaTheme="minorEastAsia" w:cstheme="minorBidi"/>
            <w:bCs w:val="0"/>
            <w:i w:val="0"/>
            <w:smallCaps w:val="0"/>
            <w:lang w:val="es-CR"/>
          </w:rPr>
          <w:tab/>
        </w:r>
        <w:r w:rsidR="002B063D" w:rsidRPr="000B33B9">
          <w:rPr>
            <w:rStyle w:val="Hipervnculo"/>
          </w:rPr>
          <w:t>Derecho a la protección judicial</w:t>
        </w:r>
        <w:r w:rsidR="002B063D" w:rsidRPr="000B33B9">
          <w:rPr>
            <w:webHidden/>
          </w:rPr>
          <w:tab/>
        </w:r>
        <w:r w:rsidR="002B063D" w:rsidRPr="000B33B9">
          <w:rPr>
            <w:webHidden/>
          </w:rPr>
          <w:fldChar w:fldCharType="begin"/>
        </w:r>
        <w:r w:rsidR="002B063D" w:rsidRPr="000B33B9">
          <w:rPr>
            <w:webHidden/>
          </w:rPr>
          <w:instrText xml:space="preserve"> PAGEREF _Toc27329765 \h </w:instrText>
        </w:r>
        <w:r w:rsidR="002B063D" w:rsidRPr="000B33B9">
          <w:rPr>
            <w:webHidden/>
          </w:rPr>
        </w:r>
        <w:r w:rsidR="002B063D" w:rsidRPr="000B33B9">
          <w:rPr>
            <w:webHidden/>
          </w:rPr>
          <w:fldChar w:fldCharType="separate"/>
        </w:r>
        <w:r w:rsidR="00EC2233">
          <w:rPr>
            <w:webHidden/>
          </w:rPr>
          <w:t>31</w:t>
        </w:r>
        <w:r w:rsidR="002B063D" w:rsidRPr="000B33B9">
          <w:rPr>
            <w:webHidden/>
          </w:rPr>
          <w:fldChar w:fldCharType="end"/>
        </w:r>
      </w:hyperlink>
    </w:p>
    <w:p w14:paraId="63153F3B" w14:textId="6E7963FA" w:rsidR="002B063D" w:rsidRPr="000B33B9" w:rsidRDefault="009E3EED" w:rsidP="002B063D">
      <w:pPr>
        <w:pStyle w:val="TDC3"/>
        <w:tabs>
          <w:tab w:val="right" w:leader="dot" w:pos="9792"/>
        </w:tabs>
        <w:spacing w:line="240" w:lineRule="auto"/>
        <w:rPr>
          <w:rFonts w:ascii="Verdana" w:eastAsiaTheme="minorEastAsia" w:hAnsi="Verdana"/>
          <w:i w:val="0"/>
          <w:iCs w:val="0"/>
          <w:noProof/>
          <w:sz w:val="18"/>
          <w:szCs w:val="18"/>
          <w:lang w:val="es-CR" w:eastAsia="es-CR"/>
        </w:rPr>
      </w:pPr>
      <w:hyperlink w:anchor="_Toc27329766" w:history="1">
        <w:r w:rsidR="002B063D" w:rsidRPr="000B33B9">
          <w:rPr>
            <w:rStyle w:val="Hipervnculo"/>
            <w:rFonts w:ascii="Verdana" w:hAnsi="Verdana"/>
            <w:noProof/>
            <w:sz w:val="18"/>
            <w:szCs w:val="18"/>
            <w:lang w:val="es-DO"/>
          </w:rPr>
          <w:t>A.1. Argumentos de la Comisión y de las partes</w:t>
        </w:r>
        <w:r w:rsidR="002B063D" w:rsidRPr="000B33B9">
          <w:rPr>
            <w:rFonts w:ascii="Verdana" w:hAnsi="Verdana"/>
            <w:noProof/>
            <w:webHidden/>
            <w:sz w:val="18"/>
            <w:szCs w:val="18"/>
          </w:rPr>
          <w:tab/>
        </w:r>
        <w:r w:rsidR="002B063D" w:rsidRPr="000B33B9">
          <w:rPr>
            <w:rFonts w:ascii="Verdana" w:hAnsi="Verdana"/>
            <w:noProof/>
            <w:webHidden/>
            <w:sz w:val="18"/>
            <w:szCs w:val="18"/>
          </w:rPr>
          <w:fldChar w:fldCharType="begin"/>
        </w:r>
        <w:r w:rsidR="002B063D" w:rsidRPr="000B33B9">
          <w:rPr>
            <w:rFonts w:ascii="Verdana" w:hAnsi="Verdana"/>
            <w:noProof/>
            <w:webHidden/>
            <w:sz w:val="18"/>
            <w:szCs w:val="18"/>
          </w:rPr>
          <w:instrText xml:space="preserve"> PAGEREF _Toc27329766 \h </w:instrText>
        </w:r>
        <w:r w:rsidR="002B063D" w:rsidRPr="000B33B9">
          <w:rPr>
            <w:rFonts w:ascii="Verdana" w:hAnsi="Verdana"/>
            <w:noProof/>
            <w:webHidden/>
            <w:sz w:val="18"/>
            <w:szCs w:val="18"/>
          </w:rPr>
        </w:r>
        <w:r w:rsidR="002B063D" w:rsidRPr="000B33B9">
          <w:rPr>
            <w:rFonts w:ascii="Verdana" w:hAnsi="Verdana"/>
            <w:noProof/>
            <w:webHidden/>
            <w:sz w:val="18"/>
            <w:szCs w:val="18"/>
          </w:rPr>
          <w:fldChar w:fldCharType="separate"/>
        </w:r>
        <w:r w:rsidR="00EC2233">
          <w:rPr>
            <w:rFonts w:ascii="Verdana" w:hAnsi="Verdana"/>
            <w:noProof/>
            <w:webHidden/>
            <w:sz w:val="18"/>
            <w:szCs w:val="18"/>
          </w:rPr>
          <w:t>31</w:t>
        </w:r>
        <w:r w:rsidR="002B063D" w:rsidRPr="000B33B9">
          <w:rPr>
            <w:rFonts w:ascii="Verdana" w:hAnsi="Verdana"/>
            <w:noProof/>
            <w:webHidden/>
            <w:sz w:val="18"/>
            <w:szCs w:val="18"/>
          </w:rPr>
          <w:fldChar w:fldCharType="end"/>
        </w:r>
      </w:hyperlink>
    </w:p>
    <w:p w14:paraId="41279B9E" w14:textId="2DE3A26F" w:rsidR="002B063D" w:rsidRPr="000B33B9" w:rsidRDefault="009E3EED" w:rsidP="002B063D">
      <w:pPr>
        <w:pStyle w:val="TDC3"/>
        <w:tabs>
          <w:tab w:val="right" w:leader="dot" w:pos="9792"/>
        </w:tabs>
        <w:spacing w:line="240" w:lineRule="auto"/>
        <w:rPr>
          <w:rFonts w:ascii="Verdana" w:eastAsiaTheme="minorEastAsia" w:hAnsi="Verdana"/>
          <w:i w:val="0"/>
          <w:iCs w:val="0"/>
          <w:noProof/>
          <w:sz w:val="18"/>
          <w:szCs w:val="18"/>
          <w:lang w:val="es-CR" w:eastAsia="es-CR"/>
        </w:rPr>
      </w:pPr>
      <w:hyperlink w:anchor="_Toc27329767" w:history="1">
        <w:r w:rsidR="002B063D" w:rsidRPr="000B33B9">
          <w:rPr>
            <w:rStyle w:val="Hipervnculo"/>
            <w:rFonts w:ascii="Verdana" w:hAnsi="Verdana"/>
            <w:noProof/>
            <w:sz w:val="18"/>
            <w:szCs w:val="18"/>
            <w:lang w:val="es-DO"/>
          </w:rPr>
          <w:t>A.2. Consideraciones de la Corte</w:t>
        </w:r>
        <w:r w:rsidR="002B063D" w:rsidRPr="000B33B9">
          <w:rPr>
            <w:rFonts w:ascii="Verdana" w:hAnsi="Verdana"/>
            <w:noProof/>
            <w:webHidden/>
            <w:sz w:val="18"/>
            <w:szCs w:val="18"/>
          </w:rPr>
          <w:tab/>
        </w:r>
        <w:r w:rsidR="002B063D" w:rsidRPr="000B33B9">
          <w:rPr>
            <w:rFonts w:ascii="Verdana" w:hAnsi="Verdana"/>
            <w:noProof/>
            <w:webHidden/>
            <w:sz w:val="18"/>
            <w:szCs w:val="18"/>
          </w:rPr>
          <w:fldChar w:fldCharType="begin"/>
        </w:r>
        <w:r w:rsidR="002B063D" w:rsidRPr="000B33B9">
          <w:rPr>
            <w:rFonts w:ascii="Verdana" w:hAnsi="Verdana"/>
            <w:noProof/>
            <w:webHidden/>
            <w:sz w:val="18"/>
            <w:szCs w:val="18"/>
          </w:rPr>
          <w:instrText xml:space="preserve"> PAGEREF _Toc27329767 \h </w:instrText>
        </w:r>
        <w:r w:rsidR="002B063D" w:rsidRPr="000B33B9">
          <w:rPr>
            <w:rFonts w:ascii="Verdana" w:hAnsi="Verdana"/>
            <w:noProof/>
            <w:webHidden/>
            <w:sz w:val="18"/>
            <w:szCs w:val="18"/>
          </w:rPr>
        </w:r>
        <w:r w:rsidR="002B063D" w:rsidRPr="000B33B9">
          <w:rPr>
            <w:rFonts w:ascii="Verdana" w:hAnsi="Verdana"/>
            <w:noProof/>
            <w:webHidden/>
            <w:sz w:val="18"/>
            <w:szCs w:val="18"/>
          </w:rPr>
          <w:fldChar w:fldCharType="separate"/>
        </w:r>
        <w:r w:rsidR="00EC2233">
          <w:rPr>
            <w:rFonts w:ascii="Verdana" w:hAnsi="Verdana"/>
            <w:noProof/>
            <w:webHidden/>
            <w:sz w:val="18"/>
            <w:szCs w:val="18"/>
          </w:rPr>
          <w:t>32</w:t>
        </w:r>
        <w:r w:rsidR="002B063D" w:rsidRPr="000B33B9">
          <w:rPr>
            <w:rFonts w:ascii="Verdana" w:hAnsi="Verdana"/>
            <w:noProof/>
            <w:webHidden/>
            <w:sz w:val="18"/>
            <w:szCs w:val="18"/>
          </w:rPr>
          <w:fldChar w:fldCharType="end"/>
        </w:r>
      </w:hyperlink>
    </w:p>
    <w:p w14:paraId="2789C66E" w14:textId="48464949" w:rsidR="002B063D" w:rsidRPr="000B33B9" w:rsidRDefault="009E3EED" w:rsidP="002B063D">
      <w:pPr>
        <w:pStyle w:val="TDC4"/>
        <w:tabs>
          <w:tab w:val="right" w:leader="dot" w:pos="9792"/>
        </w:tabs>
        <w:spacing w:line="240" w:lineRule="auto"/>
        <w:rPr>
          <w:rFonts w:ascii="Verdana" w:eastAsiaTheme="minorEastAsia" w:hAnsi="Verdana"/>
          <w:noProof/>
          <w:lang w:val="es-CR" w:eastAsia="es-CR"/>
        </w:rPr>
      </w:pPr>
      <w:hyperlink w:anchor="_Toc27329768" w:history="1">
        <w:r w:rsidR="002B063D" w:rsidRPr="000B33B9">
          <w:rPr>
            <w:rStyle w:val="Hipervnculo"/>
            <w:rFonts w:ascii="Verdana" w:hAnsi="Verdana"/>
            <w:noProof/>
          </w:rPr>
          <w:t>A.2.1. El alegado cumplimiento de la sentencia de 25 de octubre de 1993</w:t>
        </w:r>
        <w:r w:rsidR="002B063D" w:rsidRPr="000B33B9">
          <w:rPr>
            <w:rFonts w:ascii="Verdana" w:hAnsi="Verdana"/>
            <w:noProof/>
            <w:webHidden/>
          </w:rPr>
          <w:tab/>
        </w:r>
        <w:r w:rsidR="002B063D" w:rsidRPr="000B33B9">
          <w:rPr>
            <w:rFonts w:ascii="Verdana" w:hAnsi="Verdana"/>
            <w:noProof/>
            <w:webHidden/>
          </w:rPr>
          <w:fldChar w:fldCharType="begin"/>
        </w:r>
        <w:r w:rsidR="002B063D" w:rsidRPr="000B33B9">
          <w:rPr>
            <w:rFonts w:ascii="Verdana" w:hAnsi="Verdana"/>
            <w:noProof/>
            <w:webHidden/>
          </w:rPr>
          <w:instrText xml:space="preserve"> PAGEREF _Toc27329768 \h </w:instrText>
        </w:r>
        <w:r w:rsidR="002B063D" w:rsidRPr="000B33B9">
          <w:rPr>
            <w:rFonts w:ascii="Verdana" w:hAnsi="Verdana"/>
            <w:noProof/>
            <w:webHidden/>
          </w:rPr>
        </w:r>
        <w:r w:rsidR="002B063D" w:rsidRPr="000B33B9">
          <w:rPr>
            <w:rFonts w:ascii="Verdana" w:hAnsi="Verdana"/>
            <w:noProof/>
            <w:webHidden/>
          </w:rPr>
          <w:fldChar w:fldCharType="separate"/>
        </w:r>
        <w:r w:rsidR="00EC2233">
          <w:rPr>
            <w:rFonts w:ascii="Verdana" w:hAnsi="Verdana"/>
            <w:noProof/>
            <w:webHidden/>
          </w:rPr>
          <w:t>34</w:t>
        </w:r>
        <w:r w:rsidR="002B063D" w:rsidRPr="000B33B9">
          <w:rPr>
            <w:rFonts w:ascii="Verdana" w:hAnsi="Verdana"/>
            <w:noProof/>
            <w:webHidden/>
          </w:rPr>
          <w:fldChar w:fldCharType="end"/>
        </w:r>
      </w:hyperlink>
    </w:p>
    <w:p w14:paraId="6B8E2F1E" w14:textId="144DF3EB" w:rsidR="002B063D" w:rsidRPr="000B33B9" w:rsidRDefault="009E3EED" w:rsidP="002B063D">
      <w:pPr>
        <w:pStyle w:val="TDC4"/>
        <w:tabs>
          <w:tab w:val="right" w:leader="dot" w:pos="9792"/>
        </w:tabs>
        <w:spacing w:line="240" w:lineRule="auto"/>
        <w:rPr>
          <w:rFonts w:ascii="Verdana" w:eastAsiaTheme="minorEastAsia" w:hAnsi="Verdana"/>
          <w:noProof/>
          <w:lang w:val="es-CR" w:eastAsia="es-CR"/>
        </w:rPr>
      </w:pPr>
      <w:hyperlink w:anchor="_Toc27329769" w:history="1">
        <w:r w:rsidR="002B063D" w:rsidRPr="000B33B9">
          <w:rPr>
            <w:rStyle w:val="Hipervnculo"/>
            <w:rFonts w:ascii="Verdana" w:hAnsi="Verdana"/>
            <w:noProof/>
          </w:rPr>
          <w:t xml:space="preserve">A.2.2. </w:t>
        </w:r>
        <w:r w:rsidR="002B063D" w:rsidRPr="000B33B9">
          <w:rPr>
            <w:rStyle w:val="Hipervnculo"/>
            <w:rFonts w:ascii="Verdana" w:hAnsi="Verdana"/>
            <w:noProof/>
            <w:lang w:eastAsia="ja-JP"/>
          </w:rPr>
          <w:t>La inejecución del pago de los reintegros por concepto de la nivelación de las pensiones</w:t>
        </w:r>
        <w:r w:rsidR="002B063D" w:rsidRPr="000B33B9">
          <w:rPr>
            <w:rFonts w:ascii="Verdana" w:hAnsi="Verdana"/>
            <w:noProof/>
            <w:webHidden/>
          </w:rPr>
          <w:tab/>
        </w:r>
        <w:r w:rsidR="002B063D" w:rsidRPr="000B33B9">
          <w:rPr>
            <w:rFonts w:ascii="Verdana" w:hAnsi="Verdana"/>
            <w:noProof/>
            <w:webHidden/>
          </w:rPr>
          <w:fldChar w:fldCharType="begin"/>
        </w:r>
        <w:r w:rsidR="002B063D" w:rsidRPr="000B33B9">
          <w:rPr>
            <w:rFonts w:ascii="Verdana" w:hAnsi="Verdana"/>
            <w:noProof/>
            <w:webHidden/>
          </w:rPr>
          <w:instrText xml:space="preserve"> PAGEREF _Toc27329769 \h </w:instrText>
        </w:r>
        <w:r w:rsidR="002B063D" w:rsidRPr="000B33B9">
          <w:rPr>
            <w:rFonts w:ascii="Verdana" w:hAnsi="Verdana"/>
            <w:noProof/>
            <w:webHidden/>
          </w:rPr>
        </w:r>
        <w:r w:rsidR="002B063D" w:rsidRPr="000B33B9">
          <w:rPr>
            <w:rFonts w:ascii="Verdana" w:hAnsi="Verdana"/>
            <w:noProof/>
            <w:webHidden/>
          </w:rPr>
          <w:fldChar w:fldCharType="separate"/>
        </w:r>
        <w:r w:rsidR="00EC2233">
          <w:rPr>
            <w:rFonts w:ascii="Verdana" w:hAnsi="Verdana"/>
            <w:noProof/>
            <w:webHidden/>
          </w:rPr>
          <w:t>39</w:t>
        </w:r>
        <w:r w:rsidR="002B063D" w:rsidRPr="000B33B9">
          <w:rPr>
            <w:rFonts w:ascii="Verdana" w:hAnsi="Verdana"/>
            <w:noProof/>
            <w:webHidden/>
          </w:rPr>
          <w:fldChar w:fldCharType="end"/>
        </w:r>
      </w:hyperlink>
    </w:p>
    <w:p w14:paraId="48B284D7" w14:textId="61E68F45" w:rsidR="002B063D" w:rsidRPr="000B33B9" w:rsidRDefault="009E3EED" w:rsidP="002B063D">
      <w:pPr>
        <w:pStyle w:val="TDC4"/>
        <w:tabs>
          <w:tab w:val="right" w:leader="dot" w:pos="9792"/>
        </w:tabs>
        <w:spacing w:line="240" w:lineRule="auto"/>
        <w:rPr>
          <w:rFonts w:ascii="Verdana" w:eastAsiaTheme="minorEastAsia" w:hAnsi="Verdana"/>
          <w:noProof/>
          <w:lang w:val="es-CR" w:eastAsia="es-CR"/>
        </w:rPr>
      </w:pPr>
      <w:hyperlink w:anchor="_Toc27329770" w:history="1">
        <w:r w:rsidR="002B063D" w:rsidRPr="000B33B9">
          <w:rPr>
            <w:rStyle w:val="Hipervnculo"/>
            <w:rFonts w:ascii="Verdana" w:hAnsi="Verdana"/>
            <w:noProof/>
          </w:rPr>
          <w:t>A.2.3. Las dilaciones propiciadas por el Estado que incidieron en la falta de ejecución de la sentencia de 25 de octubre de 1993</w:t>
        </w:r>
        <w:r w:rsidR="002B063D" w:rsidRPr="000B33B9">
          <w:rPr>
            <w:rFonts w:ascii="Verdana" w:hAnsi="Verdana"/>
            <w:noProof/>
            <w:webHidden/>
          </w:rPr>
          <w:tab/>
        </w:r>
        <w:r w:rsidR="002B063D" w:rsidRPr="000B33B9">
          <w:rPr>
            <w:rFonts w:ascii="Verdana" w:hAnsi="Verdana"/>
            <w:noProof/>
            <w:webHidden/>
          </w:rPr>
          <w:fldChar w:fldCharType="begin"/>
        </w:r>
        <w:r w:rsidR="002B063D" w:rsidRPr="000B33B9">
          <w:rPr>
            <w:rFonts w:ascii="Verdana" w:hAnsi="Verdana"/>
            <w:noProof/>
            <w:webHidden/>
          </w:rPr>
          <w:instrText xml:space="preserve"> PAGEREF _Toc27329770 \h </w:instrText>
        </w:r>
        <w:r w:rsidR="002B063D" w:rsidRPr="000B33B9">
          <w:rPr>
            <w:rFonts w:ascii="Verdana" w:hAnsi="Verdana"/>
            <w:noProof/>
            <w:webHidden/>
          </w:rPr>
        </w:r>
        <w:r w:rsidR="002B063D" w:rsidRPr="000B33B9">
          <w:rPr>
            <w:rFonts w:ascii="Verdana" w:hAnsi="Verdana"/>
            <w:noProof/>
            <w:webHidden/>
          </w:rPr>
          <w:fldChar w:fldCharType="separate"/>
        </w:r>
        <w:r w:rsidR="00EC2233">
          <w:rPr>
            <w:rFonts w:ascii="Verdana" w:hAnsi="Verdana"/>
            <w:noProof/>
            <w:webHidden/>
          </w:rPr>
          <w:t>41</w:t>
        </w:r>
        <w:r w:rsidR="002B063D" w:rsidRPr="000B33B9">
          <w:rPr>
            <w:rFonts w:ascii="Verdana" w:hAnsi="Verdana"/>
            <w:noProof/>
            <w:webHidden/>
          </w:rPr>
          <w:fldChar w:fldCharType="end"/>
        </w:r>
      </w:hyperlink>
    </w:p>
    <w:p w14:paraId="039EF829" w14:textId="2EB93A63" w:rsidR="002B063D" w:rsidRPr="000B33B9" w:rsidRDefault="009E3EED" w:rsidP="002B063D">
      <w:pPr>
        <w:pStyle w:val="TDC2"/>
        <w:rPr>
          <w:rFonts w:eastAsiaTheme="minorEastAsia" w:cstheme="minorBidi"/>
          <w:bCs w:val="0"/>
          <w:i w:val="0"/>
          <w:smallCaps w:val="0"/>
          <w:lang w:val="es-CR"/>
        </w:rPr>
      </w:pPr>
      <w:hyperlink w:anchor="_Toc27329771" w:history="1">
        <w:r w:rsidR="002B063D" w:rsidRPr="000B33B9">
          <w:rPr>
            <w:rStyle w:val="Hipervnculo"/>
          </w:rPr>
          <w:t xml:space="preserve">B. </w:t>
        </w:r>
        <w:r w:rsidR="008166FA" w:rsidRPr="000B33B9">
          <w:rPr>
            <w:rStyle w:val="Hipervnculo"/>
          </w:rPr>
          <w:tab/>
        </w:r>
        <w:r w:rsidR="002B063D" w:rsidRPr="000B33B9">
          <w:rPr>
            <w:rStyle w:val="Hipervnculo"/>
          </w:rPr>
          <w:t>Plazo razonable</w:t>
        </w:r>
        <w:r w:rsidR="002B063D" w:rsidRPr="000B33B9">
          <w:rPr>
            <w:webHidden/>
          </w:rPr>
          <w:tab/>
        </w:r>
        <w:r w:rsidR="002B063D" w:rsidRPr="000B33B9">
          <w:rPr>
            <w:webHidden/>
          </w:rPr>
          <w:fldChar w:fldCharType="begin"/>
        </w:r>
        <w:r w:rsidR="002B063D" w:rsidRPr="000B33B9">
          <w:rPr>
            <w:webHidden/>
          </w:rPr>
          <w:instrText xml:space="preserve"> PAGEREF _Toc27329771 \h </w:instrText>
        </w:r>
        <w:r w:rsidR="002B063D" w:rsidRPr="000B33B9">
          <w:rPr>
            <w:webHidden/>
          </w:rPr>
        </w:r>
        <w:r w:rsidR="002B063D" w:rsidRPr="000B33B9">
          <w:rPr>
            <w:webHidden/>
          </w:rPr>
          <w:fldChar w:fldCharType="separate"/>
        </w:r>
        <w:r w:rsidR="00EC2233">
          <w:rPr>
            <w:webHidden/>
          </w:rPr>
          <w:t>42</w:t>
        </w:r>
        <w:r w:rsidR="002B063D" w:rsidRPr="000B33B9">
          <w:rPr>
            <w:webHidden/>
          </w:rPr>
          <w:fldChar w:fldCharType="end"/>
        </w:r>
      </w:hyperlink>
    </w:p>
    <w:p w14:paraId="04A2FE63" w14:textId="4560AE6A" w:rsidR="002B063D" w:rsidRPr="000B33B9" w:rsidRDefault="009E3EED" w:rsidP="002B063D">
      <w:pPr>
        <w:pStyle w:val="TDC3"/>
        <w:tabs>
          <w:tab w:val="right" w:leader="dot" w:pos="9792"/>
        </w:tabs>
        <w:spacing w:line="240" w:lineRule="auto"/>
        <w:rPr>
          <w:rFonts w:ascii="Verdana" w:eastAsiaTheme="minorEastAsia" w:hAnsi="Verdana"/>
          <w:i w:val="0"/>
          <w:iCs w:val="0"/>
          <w:noProof/>
          <w:sz w:val="18"/>
          <w:szCs w:val="18"/>
          <w:lang w:val="es-CR" w:eastAsia="es-CR"/>
        </w:rPr>
      </w:pPr>
      <w:hyperlink w:anchor="_Toc27329772" w:history="1">
        <w:r w:rsidR="002B063D" w:rsidRPr="000B33B9">
          <w:rPr>
            <w:rStyle w:val="Hipervnculo"/>
            <w:rFonts w:ascii="Verdana" w:hAnsi="Verdana"/>
            <w:noProof/>
            <w:sz w:val="18"/>
            <w:szCs w:val="18"/>
            <w:lang w:val="es-DO"/>
          </w:rPr>
          <w:t>B.1. Argumentos de la Comisión y las partes</w:t>
        </w:r>
        <w:r w:rsidR="002B063D" w:rsidRPr="000B33B9">
          <w:rPr>
            <w:rFonts w:ascii="Verdana" w:hAnsi="Verdana"/>
            <w:noProof/>
            <w:webHidden/>
            <w:sz w:val="18"/>
            <w:szCs w:val="18"/>
          </w:rPr>
          <w:tab/>
        </w:r>
        <w:r w:rsidR="002B063D" w:rsidRPr="000B33B9">
          <w:rPr>
            <w:rFonts w:ascii="Verdana" w:hAnsi="Verdana"/>
            <w:noProof/>
            <w:webHidden/>
            <w:sz w:val="18"/>
            <w:szCs w:val="18"/>
          </w:rPr>
          <w:fldChar w:fldCharType="begin"/>
        </w:r>
        <w:r w:rsidR="002B063D" w:rsidRPr="000B33B9">
          <w:rPr>
            <w:rFonts w:ascii="Verdana" w:hAnsi="Verdana"/>
            <w:noProof/>
            <w:webHidden/>
            <w:sz w:val="18"/>
            <w:szCs w:val="18"/>
          </w:rPr>
          <w:instrText xml:space="preserve"> PAGEREF _Toc27329772 \h </w:instrText>
        </w:r>
        <w:r w:rsidR="002B063D" w:rsidRPr="000B33B9">
          <w:rPr>
            <w:rFonts w:ascii="Verdana" w:hAnsi="Verdana"/>
            <w:noProof/>
            <w:webHidden/>
            <w:sz w:val="18"/>
            <w:szCs w:val="18"/>
          </w:rPr>
        </w:r>
        <w:r w:rsidR="002B063D" w:rsidRPr="000B33B9">
          <w:rPr>
            <w:rFonts w:ascii="Verdana" w:hAnsi="Verdana"/>
            <w:noProof/>
            <w:webHidden/>
            <w:sz w:val="18"/>
            <w:szCs w:val="18"/>
          </w:rPr>
          <w:fldChar w:fldCharType="separate"/>
        </w:r>
        <w:r w:rsidR="00EC2233">
          <w:rPr>
            <w:rFonts w:ascii="Verdana" w:hAnsi="Verdana"/>
            <w:noProof/>
            <w:webHidden/>
            <w:sz w:val="18"/>
            <w:szCs w:val="18"/>
          </w:rPr>
          <w:t>42</w:t>
        </w:r>
        <w:r w:rsidR="002B063D" w:rsidRPr="000B33B9">
          <w:rPr>
            <w:rFonts w:ascii="Verdana" w:hAnsi="Verdana"/>
            <w:noProof/>
            <w:webHidden/>
            <w:sz w:val="18"/>
            <w:szCs w:val="18"/>
          </w:rPr>
          <w:fldChar w:fldCharType="end"/>
        </w:r>
      </w:hyperlink>
    </w:p>
    <w:p w14:paraId="7C05C5FF" w14:textId="6252C334" w:rsidR="002B063D" w:rsidRPr="000B33B9" w:rsidRDefault="009E3EED" w:rsidP="002B063D">
      <w:pPr>
        <w:pStyle w:val="TDC3"/>
        <w:tabs>
          <w:tab w:val="right" w:leader="dot" w:pos="9792"/>
        </w:tabs>
        <w:spacing w:line="240" w:lineRule="auto"/>
        <w:rPr>
          <w:rFonts w:ascii="Verdana" w:eastAsiaTheme="minorEastAsia" w:hAnsi="Verdana"/>
          <w:i w:val="0"/>
          <w:iCs w:val="0"/>
          <w:noProof/>
          <w:sz w:val="18"/>
          <w:szCs w:val="18"/>
          <w:lang w:val="es-CR" w:eastAsia="es-CR"/>
        </w:rPr>
      </w:pPr>
      <w:hyperlink w:anchor="_Toc27329773" w:history="1">
        <w:r w:rsidR="002B063D" w:rsidRPr="000B33B9">
          <w:rPr>
            <w:rStyle w:val="Hipervnculo"/>
            <w:rFonts w:ascii="Verdana" w:hAnsi="Verdana"/>
            <w:noProof/>
            <w:sz w:val="18"/>
            <w:szCs w:val="18"/>
            <w:lang w:val="es-DO"/>
          </w:rPr>
          <w:t>B.2. Consideraciones de la Corte</w:t>
        </w:r>
        <w:r w:rsidR="002B063D" w:rsidRPr="000B33B9">
          <w:rPr>
            <w:rFonts w:ascii="Verdana" w:hAnsi="Verdana"/>
            <w:noProof/>
            <w:webHidden/>
            <w:sz w:val="18"/>
            <w:szCs w:val="18"/>
          </w:rPr>
          <w:tab/>
        </w:r>
        <w:r w:rsidR="002B063D" w:rsidRPr="000B33B9">
          <w:rPr>
            <w:rFonts w:ascii="Verdana" w:hAnsi="Verdana"/>
            <w:noProof/>
            <w:webHidden/>
            <w:sz w:val="18"/>
            <w:szCs w:val="18"/>
          </w:rPr>
          <w:fldChar w:fldCharType="begin"/>
        </w:r>
        <w:r w:rsidR="002B063D" w:rsidRPr="000B33B9">
          <w:rPr>
            <w:rFonts w:ascii="Verdana" w:hAnsi="Verdana"/>
            <w:noProof/>
            <w:webHidden/>
            <w:sz w:val="18"/>
            <w:szCs w:val="18"/>
          </w:rPr>
          <w:instrText xml:space="preserve"> PAGEREF _Toc27329773 \h </w:instrText>
        </w:r>
        <w:r w:rsidR="002B063D" w:rsidRPr="000B33B9">
          <w:rPr>
            <w:rFonts w:ascii="Verdana" w:hAnsi="Verdana"/>
            <w:noProof/>
            <w:webHidden/>
            <w:sz w:val="18"/>
            <w:szCs w:val="18"/>
          </w:rPr>
        </w:r>
        <w:r w:rsidR="002B063D" w:rsidRPr="000B33B9">
          <w:rPr>
            <w:rFonts w:ascii="Verdana" w:hAnsi="Verdana"/>
            <w:noProof/>
            <w:webHidden/>
            <w:sz w:val="18"/>
            <w:szCs w:val="18"/>
          </w:rPr>
          <w:fldChar w:fldCharType="separate"/>
        </w:r>
        <w:r w:rsidR="00EC2233">
          <w:rPr>
            <w:rFonts w:ascii="Verdana" w:hAnsi="Verdana"/>
            <w:noProof/>
            <w:webHidden/>
            <w:sz w:val="18"/>
            <w:szCs w:val="18"/>
          </w:rPr>
          <w:t>43</w:t>
        </w:r>
        <w:r w:rsidR="002B063D" w:rsidRPr="000B33B9">
          <w:rPr>
            <w:rFonts w:ascii="Verdana" w:hAnsi="Verdana"/>
            <w:noProof/>
            <w:webHidden/>
            <w:sz w:val="18"/>
            <w:szCs w:val="18"/>
          </w:rPr>
          <w:fldChar w:fldCharType="end"/>
        </w:r>
      </w:hyperlink>
    </w:p>
    <w:p w14:paraId="0489C406" w14:textId="4D87D45F" w:rsidR="002B063D" w:rsidRPr="000B33B9" w:rsidRDefault="009E3EED" w:rsidP="002B063D">
      <w:pPr>
        <w:pStyle w:val="TDC4"/>
        <w:tabs>
          <w:tab w:val="right" w:leader="dot" w:pos="9792"/>
        </w:tabs>
        <w:spacing w:line="240" w:lineRule="auto"/>
        <w:rPr>
          <w:rFonts w:ascii="Verdana" w:eastAsiaTheme="minorEastAsia" w:hAnsi="Verdana"/>
          <w:noProof/>
          <w:lang w:val="es-CR" w:eastAsia="es-CR"/>
        </w:rPr>
      </w:pPr>
      <w:hyperlink w:anchor="_Toc27329774" w:history="1">
        <w:r w:rsidR="002B063D" w:rsidRPr="000B33B9">
          <w:rPr>
            <w:rStyle w:val="Hipervnculo"/>
            <w:rFonts w:ascii="Verdana" w:hAnsi="Verdana"/>
            <w:noProof/>
            <w:lang w:val="es-ES" w:eastAsia="es-MX"/>
          </w:rPr>
          <w:t>B.2.1. Complejidad del asunto</w:t>
        </w:r>
        <w:r w:rsidR="002B063D" w:rsidRPr="000B33B9">
          <w:rPr>
            <w:rFonts w:ascii="Verdana" w:hAnsi="Verdana"/>
            <w:noProof/>
            <w:webHidden/>
          </w:rPr>
          <w:tab/>
        </w:r>
        <w:r w:rsidR="002B063D" w:rsidRPr="000B33B9">
          <w:rPr>
            <w:rFonts w:ascii="Verdana" w:hAnsi="Verdana"/>
            <w:noProof/>
            <w:webHidden/>
          </w:rPr>
          <w:fldChar w:fldCharType="begin"/>
        </w:r>
        <w:r w:rsidR="002B063D" w:rsidRPr="000B33B9">
          <w:rPr>
            <w:rFonts w:ascii="Verdana" w:hAnsi="Verdana"/>
            <w:noProof/>
            <w:webHidden/>
          </w:rPr>
          <w:instrText xml:space="preserve"> PAGEREF _Toc27329774 \h </w:instrText>
        </w:r>
        <w:r w:rsidR="002B063D" w:rsidRPr="000B33B9">
          <w:rPr>
            <w:rFonts w:ascii="Verdana" w:hAnsi="Verdana"/>
            <w:noProof/>
            <w:webHidden/>
          </w:rPr>
        </w:r>
        <w:r w:rsidR="002B063D" w:rsidRPr="000B33B9">
          <w:rPr>
            <w:rFonts w:ascii="Verdana" w:hAnsi="Verdana"/>
            <w:noProof/>
            <w:webHidden/>
          </w:rPr>
          <w:fldChar w:fldCharType="separate"/>
        </w:r>
        <w:r w:rsidR="00EC2233">
          <w:rPr>
            <w:rFonts w:ascii="Verdana" w:hAnsi="Verdana"/>
            <w:noProof/>
            <w:webHidden/>
          </w:rPr>
          <w:t>44</w:t>
        </w:r>
        <w:r w:rsidR="002B063D" w:rsidRPr="000B33B9">
          <w:rPr>
            <w:rFonts w:ascii="Verdana" w:hAnsi="Verdana"/>
            <w:noProof/>
            <w:webHidden/>
          </w:rPr>
          <w:fldChar w:fldCharType="end"/>
        </w:r>
      </w:hyperlink>
    </w:p>
    <w:p w14:paraId="3431BB60" w14:textId="4B75EAD8" w:rsidR="002B063D" w:rsidRPr="000B33B9" w:rsidRDefault="009E3EED" w:rsidP="002B063D">
      <w:pPr>
        <w:pStyle w:val="TDC4"/>
        <w:tabs>
          <w:tab w:val="right" w:leader="dot" w:pos="9792"/>
        </w:tabs>
        <w:spacing w:line="240" w:lineRule="auto"/>
        <w:rPr>
          <w:rFonts w:ascii="Verdana" w:eastAsiaTheme="minorEastAsia" w:hAnsi="Verdana"/>
          <w:noProof/>
          <w:lang w:val="es-CR" w:eastAsia="es-CR"/>
        </w:rPr>
      </w:pPr>
      <w:hyperlink w:anchor="_Toc27329775" w:history="1">
        <w:r w:rsidR="002B063D" w:rsidRPr="000B33B9">
          <w:rPr>
            <w:rStyle w:val="Hipervnculo"/>
            <w:rFonts w:ascii="Verdana" w:hAnsi="Verdana"/>
            <w:noProof/>
            <w:lang w:val="es-ES" w:eastAsia="es-MX"/>
          </w:rPr>
          <w:t>B.2.2. Actividad procesal de los interesados</w:t>
        </w:r>
        <w:r w:rsidR="002B063D" w:rsidRPr="000B33B9">
          <w:rPr>
            <w:rFonts w:ascii="Verdana" w:hAnsi="Verdana"/>
            <w:noProof/>
            <w:webHidden/>
          </w:rPr>
          <w:tab/>
        </w:r>
        <w:r w:rsidR="002B063D" w:rsidRPr="000B33B9">
          <w:rPr>
            <w:rFonts w:ascii="Verdana" w:hAnsi="Verdana"/>
            <w:noProof/>
            <w:webHidden/>
          </w:rPr>
          <w:fldChar w:fldCharType="begin"/>
        </w:r>
        <w:r w:rsidR="002B063D" w:rsidRPr="000B33B9">
          <w:rPr>
            <w:rFonts w:ascii="Verdana" w:hAnsi="Verdana"/>
            <w:noProof/>
            <w:webHidden/>
          </w:rPr>
          <w:instrText xml:space="preserve"> PAGEREF _Toc27329775 \h </w:instrText>
        </w:r>
        <w:r w:rsidR="002B063D" w:rsidRPr="000B33B9">
          <w:rPr>
            <w:rFonts w:ascii="Verdana" w:hAnsi="Verdana"/>
            <w:noProof/>
            <w:webHidden/>
          </w:rPr>
        </w:r>
        <w:r w:rsidR="002B063D" w:rsidRPr="000B33B9">
          <w:rPr>
            <w:rFonts w:ascii="Verdana" w:hAnsi="Verdana"/>
            <w:noProof/>
            <w:webHidden/>
          </w:rPr>
          <w:fldChar w:fldCharType="separate"/>
        </w:r>
        <w:r w:rsidR="00EC2233">
          <w:rPr>
            <w:rFonts w:ascii="Verdana" w:hAnsi="Verdana"/>
            <w:noProof/>
            <w:webHidden/>
          </w:rPr>
          <w:t>44</w:t>
        </w:r>
        <w:r w:rsidR="002B063D" w:rsidRPr="000B33B9">
          <w:rPr>
            <w:rFonts w:ascii="Verdana" w:hAnsi="Verdana"/>
            <w:noProof/>
            <w:webHidden/>
          </w:rPr>
          <w:fldChar w:fldCharType="end"/>
        </w:r>
      </w:hyperlink>
    </w:p>
    <w:p w14:paraId="72EE1741" w14:textId="12668ECF" w:rsidR="002B063D" w:rsidRPr="000B33B9" w:rsidRDefault="009E3EED" w:rsidP="002B063D">
      <w:pPr>
        <w:pStyle w:val="TDC4"/>
        <w:tabs>
          <w:tab w:val="right" w:leader="dot" w:pos="9792"/>
        </w:tabs>
        <w:spacing w:line="240" w:lineRule="auto"/>
        <w:rPr>
          <w:rFonts w:ascii="Verdana" w:eastAsiaTheme="minorEastAsia" w:hAnsi="Verdana"/>
          <w:noProof/>
          <w:lang w:val="es-CR" w:eastAsia="es-CR"/>
        </w:rPr>
      </w:pPr>
      <w:hyperlink w:anchor="_Toc27329776" w:history="1">
        <w:r w:rsidR="002B063D" w:rsidRPr="000B33B9">
          <w:rPr>
            <w:rStyle w:val="Hipervnculo"/>
            <w:rFonts w:ascii="Verdana" w:hAnsi="Verdana"/>
            <w:noProof/>
          </w:rPr>
          <w:t>B.2.3. Actuación de las autoridades judiciales</w:t>
        </w:r>
        <w:r w:rsidR="002B063D" w:rsidRPr="000B33B9">
          <w:rPr>
            <w:rFonts w:ascii="Verdana" w:hAnsi="Verdana"/>
            <w:noProof/>
            <w:webHidden/>
          </w:rPr>
          <w:tab/>
        </w:r>
        <w:r w:rsidR="002B063D" w:rsidRPr="000B33B9">
          <w:rPr>
            <w:rFonts w:ascii="Verdana" w:hAnsi="Verdana"/>
            <w:noProof/>
            <w:webHidden/>
          </w:rPr>
          <w:fldChar w:fldCharType="begin"/>
        </w:r>
        <w:r w:rsidR="002B063D" w:rsidRPr="000B33B9">
          <w:rPr>
            <w:rFonts w:ascii="Verdana" w:hAnsi="Verdana"/>
            <w:noProof/>
            <w:webHidden/>
          </w:rPr>
          <w:instrText xml:space="preserve"> PAGEREF _Toc27329776 \h </w:instrText>
        </w:r>
        <w:r w:rsidR="002B063D" w:rsidRPr="000B33B9">
          <w:rPr>
            <w:rFonts w:ascii="Verdana" w:hAnsi="Verdana"/>
            <w:noProof/>
            <w:webHidden/>
          </w:rPr>
        </w:r>
        <w:r w:rsidR="002B063D" w:rsidRPr="000B33B9">
          <w:rPr>
            <w:rFonts w:ascii="Verdana" w:hAnsi="Verdana"/>
            <w:noProof/>
            <w:webHidden/>
          </w:rPr>
          <w:fldChar w:fldCharType="separate"/>
        </w:r>
        <w:r w:rsidR="00EC2233">
          <w:rPr>
            <w:rFonts w:ascii="Verdana" w:hAnsi="Verdana"/>
            <w:noProof/>
            <w:webHidden/>
          </w:rPr>
          <w:t>45</w:t>
        </w:r>
        <w:r w:rsidR="002B063D" w:rsidRPr="000B33B9">
          <w:rPr>
            <w:rFonts w:ascii="Verdana" w:hAnsi="Verdana"/>
            <w:noProof/>
            <w:webHidden/>
          </w:rPr>
          <w:fldChar w:fldCharType="end"/>
        </w:r>
      </w:hyperlink>
    </w:p>
    <w:p w14:paraId="32FF2076" w14:textId="127A971C" w:rsidR="002B063D" w:rsidRPr="000B33B9" w:rsidRDefault="009E3EED" w:rsidP="002B063D">
      <w:pPr>
        <w:pStyle w:val="TDC4"/>
        <w:tabs>
          <w:tab w:val="right" w:leader="dot" w:pos="9792"/>
        </w:tabs>
        <w:spacing w:line="240" w:lineRule="auto"/>
        <w:rPr>
          <w:rFonts w:ascii="Verdana" w:eastAsiaTheme="minorEastAsia" w:hAnsi="Verdana"/>
          <w:noProof/>
          <w:lang w:val="es-CR" w:eastAsia="es-CR"/>
        </w:rPr>
      </w:pPr>
      <w:hyperlink w:anchor="_Toc27329777" w:history="1">
        <w:r w:rsidR="002B063D" w:rsidRPr="000B33B9">
          <w:rPr>
            <w:rStyle w:val="Hipervnculo"/>
            <w:rFonts w:ascii="Verdana" w:hAnsi="Verdana"/>
            <w:noProof/>
            <w:lang w:val="es-DO"/>
          </w:rPr>
          <w:t>B.2.4. Afectación generada</w:t>
        </w:r>
        <w:r w:rsidR="002B063D" w:rsidRPr="000B33B9">
          <w:rPr>
            <w:rFonts w:ascii="Verdana" w:hAnsi="Verdana"/>
            <w:noProof/>
            <w:webHidden/>
          </w:rPr>
          <w:tab/>
        </w:r>
        <w:r w:rsidR="002B063D" w:rsidRPr="000B33B9">
          <w:rPr>
            <w:rFonts w:ascii="Verdana" w:hAnsi="Verdana"/>
            <w:noProof/>
            <w:webHidden/>
          </w:rPr>
          <w:fldChar w:fldCharType="begin"/>
        </w:r>
        <w:r w:rsidR="002B063D" w:rsidRPr="000B33B9">
          <w:rPr>
            <w:rFonts w:ascii="Verdana" w:hAnsi="Verdana"/>
            <w:noProof/>
            <w:webHidden/>
          </w:rPr>
          <w:instrText xml:space="preserve"> PAGEREF _Toc27329777 \h </w:instrText>
        </w:r>
        <w:r w:rsidR="002B063D" w:rsidRPr="000B33B9">
          <w:rPr>
            <w:rFonts w:ascii="Verdana" w:hAnsi="Verdana"/>
            <w:noProof/>
            <w:webHidden/>
          </w:rPr>
        </w:r>
        <w:r w:rsidR="002B063D" w:rsidRPr="000B33B9">
          <w:rPr>
            <w:rFonts w:ascii="Verdana" w:hAnsi="Verdana"/>
            <w:noProof/>
            <w:webHidden/>
          </w:rPr>
          <w:fldChar w:fldCharType="separate"/>
        </w:r>
        <w:r w:rsidR="00EC2233">
          <w:rPr>
            <w:rFonts w:ascii="Verdana" w:hAnsi="Verdana"/>
            <w:noProof/>
            <w:webHidden/>
          </w:rPr>
          <w:t>47</w:t>
        </w:r>
        <w:r w:rsidR="002B063D" w:rsidRPr="000B33B9">
          <w:rPr>
            <w:rFonts w:ascii="Verdana" w:hAnsi="Verdana"/>
            <w:noProof/>
            <w:webHidden/>
          </w:rPr>
          <w:fldChar w:fldCharType="end"/>
        </w:r>
      </w:hyperlink>
    </w:p>
    <w:p w14:paraId="008D0E7C" w14:textId="1FCBA8ED" w:rsidR="002B063D" w:rsidRPr="000B33B9" w:rsidRDefault="009E3EED" w:rsidP="002B063D">
      <w:pPr>
        <w:pStyle w:val="TDC3"/>
        <w:tabs>
          <w:tab w:val="right" w:leader="dot" w:pos="9792"/>
        </w:tabs>
        <w:spacing w:line="240" w:lineRule="auto"/>
        <w:rPr>
          <w:rFonts w:ascii="Verdana" w:eastAsiaTheme="minorEastAsia" w:hAnsi="Verdana"/>
          <w:i w:val="0"/>
          <w:iCs w:val="0"/>
          <w:noProof/>
          <w:sz w:val="18"/>
          <w:szCs w:val="18"/>
          <w:lang w:val="es-CR" w:eastAsia="es-CR"/>
        </w:rPr>
      </w:pPr>
      <w:hyperlink w:anchor="_Toc27329778" w:history="1">
        <w:r w:rsidR="002B063D" w:rsidRPr="000B33B9">
          <w:rPr>
            <w:rStyle w:val="Hipervnculo"/>
            <w:rFonts w:ascii="Verdana" w:hAnsi="Verdana"/>
            <w:noProof/>
            <w:sz w:val="18"/>
            <w:szCs w:val="18"/>
          </w:rPr>
          <w:t>B.3. Conclusión</w:t>
        </w:r>
        <w:r w:rsidR="002B063D" w:rsidRPr="000B33B9">
          <w:rPr>
            <w:rFonts w:ascii="Verdana" w:hAnsi="Verdana"/>
            <w:noProof/>
            <w:webHidden/>
            <w:sz w:val="18"/>
            <w:szCs w:val="18"/>
          </w:rPr>
          <w:tab/>
        </w:r>
        <w:r w:rsidR="002B063D" w:rsidRPr="000B33B9">
          <w:rPr>
            <w:rFonts w:ascii="Verdana" w:hAnsi="Verdana"/>
            <w:noProof/>
            <w:webHidden/>
            <w:sz w:val="18"/>
            <w:szCs w:val="18"/>
          </w:rPr>
          <w:fldChar w:fldCharType="begin"/>
        </w:r>
        <w:r w:rsidR="002B063D" w:rsidRPr="000B33B9">
          <w:rPr>
            <w:rFonts w:ascii="Verdana" w:hAnsi="Verdana"/>
            <w:noProof/>
            <w:webHidden/>
            <w:sz w:val="18"/>
            <w:szCs w:val="18"/>
          </w:rPr>
          <w:instrText xml:space="preserve"> PAGEREF _Toc27329778 \h </w:instrText>
        </w:r>
        <w:r w:rsidR="002B063D" w:rsidRPr="000B33B9">
          <w:rPr>
            <w:rFonts w:ascii="Verdana" w:hAnsi="Verdana"/>
            <w:noProof/>
            <w:webHidden/>
            <w:sz w:val="18"/>
            <w:szCs w:val="18"/>
          </w:rPr>
        </w:r>
        <w:r w:rsidR="002B063D" w:rsidRPr="000B33B9">
          <w:rPr>
            <w:rFonts w:ascii="Verdana" w:hAnsi="Verdana"/>
            <w:noProof/>
            <w:webHidden/>
            <w:sz w:val="18"/>
            <w:szCs w:val="18"/>
          </w:rPr>
          <w:fldChar w:fldCharType="separate"/>
        </w:r>
        <w:r w:rsidR="00EC2233">
          <w:rPr>
            <w:rFonts w:ascii="Verdana" w:hAnsi="Verdana"/>
            <w:noProof/>
            <w:webHidden/>
            <w:sz w:val="18"/>
            <w:szCs w:val="18"/>
          </w:rPr>
          <w:t>48</w:t>
        </w:r>
        <w:r w:rsidR="002B063D" w:rsidRPr="000B33B9">
          <w:rPr>
            <w:rFonts w:ascii="Verdana" w:hAnsi="Verdana"/>
            <w:noProof/>
            <w:webHidden/>
            <w:sz w:val="18"/>
            <w:szCs w:val="18"/>
          </w:rPr>
          <w:fldChar w:fldCharType="end"/>
        </w:r>
      </w:hyperlink>
    </w:p>
    <w:p w14:paraId="3E7166B1" w14:textId="50719D09" w:rsidR="002B063D" w:rsidRPr="000B33B9" w:rsidRDefault="009E3EED" w:rsidP="002B063D">
      <w:pPr>
        <w:pStyle w:val="TDC2"/>
        <w:rPr>
          <w:rFonts w:eastAsiaTheme="minorEastAsia" w:cstheme="minorBidi"/>
          <w:bCs w:val="0"/>
          <w:i w:val="0"/>
          <w:smallCaps w:val="0"/>
          <w:lang w:val="es-CR"/>
        </w:rPr>
      </w:pPr>
      <w:hyperlink w:anchor="_Toc27329779" w:history="1">
        <w:r w:rsidR="002B063D" w:rsidRPr="000B33B9">
          <w:rPr>
            <w:rStyle w:val="Hipervnculo"/>
          </w:rPr>
          <w:t xml:space="preserve">C. </w:t>
        </w:r>
        <w:r w:rsidR="008166FA" w:rsidRPr="000B33B9">
          <w:rPr>
            <w:rStyle w:val="Hipervnculo"/>
          </w:rPr>
          <w:tab/>
        </w:r>
        <w:r w:rsidR="002B063D" w:rsidRPr="000B33B9">
          <w:rPr>
            <w:rStyle w:val="Hipervnculo"/>
          </w:rPr>
          <w:t>Derechos a la seguridad social, a la vida digna y a la propiedad</w:t>
        </w:r>
        <w:r w:rsidR="002B063D" w:rsidRPr="000B33B9">
          <w:rPr>
            <w:webHidden/>
          </w:rPr>
          <w:tab/>
        </w:r>
        <w:r w:rsidR="002B063D" w:rsidRPr="000B33B9">
          <w:rPr>
            <w:webHidden/>
          </w:rPr>
          <w:fldChar w:fldCharType="begin"/>
        </w:r>
        <w:r w:rsidR="002B063D" w:rsidRPr="000B33B9">
          <w:rPr>
            <w:webHidden/>
          </w:rPr>
          <w:instrText xml:space="preserve"> PAGEREF _Toc27329779 \h </w:instrText>
        </w:r>
        <w:r w:rsidR="002B063D" w:rsidRPr="000B33B9">
          <w:rPr>
            <w:webHidden/>
          </w:rPr>
        </w:r>
        <w:r w:rsidR="002B063D" w:rsidRPr="000B33B9">
          <w:rPr>
            <w:webHidden/>
          </w:rPr>
          <w:fldChar w:fldCharType="separate"/>
        </w:r>
        <w:r w:rsidR="00EC2233">
          <w:rPr>
            <w:webHidden/>
          </w:rPr>
          <w:t>48</w:t>
        </w:r>
        <w:r w:rsidR="002B063D" w:rsidRPr="000B33B9">
          <w:rPr>
            <w:webHidden/>
          </w:rPr>
          <w:fldChar w:fldCharType="end"/>
        </w:r>
      </w:hyperlink>
    </w:p>
    <w:p w14:paraId="1F7D5E42" w14:textId="39198223" w:rsidR="002B063D" w:rsidRPr="000B33B9" w:rsidRDefault="009E3EED" w:rsidP="002B063D">
      <w:pPr>
        <w:pStyle w:val="TDC3"/>
        <w:tabs>
          <w:tab w:val="right" w:leader="dot" w:pos="9792"/>
        </w:tabs>
        <w:spacing w:line="240" w:lineRule="auto"/>
        <w:rPr>
          <w:rFonts w:ascii="Verdana" w:eastAsiaTheme="minorEastAsia" w:hAnsi="Verdana"/>
          <w:i w:val="0"/>
          <w:iCs w:val="0"/>
          <w:noProof/>
          <w:sz w:val="18"/>
          <w:szCs w:val="18"/>
          <w:lang w:val="es-CR" w:eastAsia="es-CR"/>
        </w:rPr>
      </w:pPr>
      <w:hyperlink w:anchor="_Toc27329780" w:history="1">
        <w:r w:rsidR="002B063D" w:rsidRPr="000B33B9">
          <w:rPr>
            <w:rStyle w:val="Hipervnculo"/>
            <w:rFonts w:ascii="Verdana" w:hAnsi="Verdana"/>
            <w:noProof/>
            <w:sz w:val="18"/>
            <w:szCs w:val="18"/>
          </w:rPr>
          <w:t>C.1. Argumentos de la Comisión y de las partes</w:t>
        </w:r>
        <w:r w:rsidR="002B063D" w:rsidRPr="000B33B9">
          <w:rPr>
            <w:rFonts w:ascii="Verdana" w:hAnsi="Verdana"/>
            <w:noProof/>
            <w:webHidden/>
            <w:sz w:val="18"/>
            <w:szCs w:val="18"/>
          </w:rPr>
          <w:tab/>
        </w:r>
        <w:r w:rsidR="002B063D" w:rsidRPr="000B33B9">
          <w:rPr>
            <w:rFonts w:ascii="Verdana" w:hAnsi="Verdana"/>
            <w:noProof/>
            <w:webHidden/>
            <w:sz w:val="18"/>
            <w:szCs w:val="18"/>
          </w:rPr>
          <w:fldChar w:fldCharType="begin"/>
        </w:r>
        <w:r w:rsidR="002B063D" w:rsidRPr="000B33B9">
          <w:rPr>
            <w:rFonts w:ascii="Verdana" w:hAnsi="Verdana"/>
            <w:noProof/>
            <w:webHidden/>
            <w:sz w:val="18"/>
            <w:szCs w:val="18"/>
          </w:rPr>
          <w:instrText xml:space="preserve"> PAGEREF _Toc27329780 \h </w:instrText>
        </w:r>
        <w:r w:rsidR="002B063D" w:rsidRPr="000B33B9">
          <w:rPr>
            <w:rFonts w:ascii="Verdana" w:hAnsi="Verdana"/>
            <w:noProof/>
            <w:webHidden/>
            <w:sz w:val="18"/>
            <w:szCs w:val="18"/>
          </w:rPr>
        </w:r>
        <w:r w:rsidR="002B063D" w:rsidRPr="000B33B9">
          <w:rPr>
            <w:rFonts w:ascii="Verdana" w:hAnsi="Verdana"/>
            <w:noProof/>
            <w:webHidden/>
            <w:sz w:val="18"/>
            <w:szCs w:val="18"/>
          </w:rPr>
          <w:fldChar w:fldCharType="separate"/>
        </w:r>
        <w:r w:rsidR="00EC2233">
          <w:rPr>
            <w:rFonts w:ascii="Verdana" w:hAnsi="Verdana"/>
            <w:noProof/>
            <w:webHidden/>
            <w:sz w:val="18"/>
            <w:szCs w:val="18"/>
          </w:rPr>
          <w:t>48</w:t>
        </w:r>
        <w:r w:rsidR="002B063D" w:rsidRPr="000B33B9">
          <w:rPr>
            <w:rFonts w:ascii="Verdana" w:hAnsi="Verdana"/>
            <w:noProof/>
            <w:webHidden/>
            <w:sz w:val="18"/>
            <w:szCs w:val="18"/>
          </w:rPr>
          <w:fldChar w:fldCharType="end"/>
        </w:r>
      </w:hyperlink>
    </w:p>
    <w:p w14:paraId="2795D3A2" w14:textId="45FB7DA4" w:rsidR="002B063D" w:rsidRPr="000B33B9" w:rsidRDefault="009E3EED" w:rsidP="002B063D">
      <w:pPr>
        <w:pStyle w:val="TDC3"/>
        <w:tabs>
          <w:tab w:val="right" w:leader="dot" w:pos="9792"/>
        </w:tabs>
        <w:spacing w:line="240" w:lineRule="auto"/>
        <w:rPr>
          <w:rFonts w:ascii="Verdana" w:eastAsiaTheme="minorEastAsia" w:hAnsi="Verdana"/>
          <w:i w:val="0"/>
          <w:iCs w:val="0"/>
          <w:noProof/>
          <w:sz w:val="18"/>
          <w:szCs w:val="18"/>
          <w:lang w:val="es-CR" w:eastAsia="es-CR"/>
        </w:rPr>
      </w:pPr>
      <w:hyperlink w:anchor="_Toc27329781" w:history="1">
        <w:r w:rsidR="002B063D" w:rsidRPr="000B33B9">
          <w:rPr>
            <w:rStyle w:val="Hipervnculo"/>
            <w:rFonts w:ascii="Verdana" w:hAnsi="Verdana"/>
            <w:noProof/>
            <w:sz w:val="18"/>
            <w:szCs w:val="18"/>
          </w:rPr>
          <w:t>C.2. Consideraciones de la Corte</w:t>
        </w:r>
        <w:r w:rsidR="002B063D" w:rsidRPr="000B33B9">
          <w:rPr>
            <w:rFonts w:ascii="Verdana" w:hAnsi="Verdana"/>
            <w:noProof/>
            <w:webHidden/>
            <w:sz w:val="18"/>
            <w:szCs w:val="18"/>
          </w:rPr>
          <w:tab/>
        </w:r>
        <w:r w:rsidR="002B063D" w:rsidRPr="000B33B9">
          <w:rPr>
            <w:rFonts w:ascii="Verdana" w:hAnsi="Verdana"/>
            <w:noProof/>
            <w:webHidden/>
            <w:sz w:val="18"/>
            <w:szCs w:val="18"/>
          </w:rPr>
          <w:fldChar w:fldCharType="begin"/>
        </w:r>
        <w:r w:rsidR="002B063D" w:rsidRPr="000B33B9">
          <w:rPr>
            <w:rFonts w:ascii="Verdana" w:hAnsi="Verdana"/>
            <w:noProof/>
            <w:webHidden/>
            <w:sz w:val="18"/>
            <w:szCs w:val="18"/>
          </w:rPr>
          <w:instrText xml:space="preserve"> PAGEREF _Toc27329781 \h </w:instrText>
        </w:r>
        <w:r w:rsidR="002B063D" w:rsidRPr="000B33B9">
          <w:rPr>
            <w:rFonts w:ascii="Verdana" w:hAnsi="Verdana"/>
            <w:noProof/>
            <w:webHidden/>
            <w:sz w:val="18"/>
            <w:szCs w:val="18"/>
          </w:rPr>
        </w:r>
        <w:r w:rsidR="002B063D" w:rsidRPr="000B33B9">
          <w:rPr>
            <w:rFonts w:ascii="Verdana" w:hAnsi="Verdana"/>
            <w:noProof/>
            <w:webHidden/>
            <w:sz w:val="18"/>
            <w:szCs w:val="18"/>
          </w:rPr>
          <w:fldChar w:fldCharType="separate"/>
        </w:r>
        <w:r w:rsidR="00EC2233">
          <w:rPr>
            <w:rFonts w:ascii="Verdana" w:hAnsi="Verdana"/>
            <w:noProof/>
            <w:webHidden/>
            <w:sz w:val="18"/>
            <w:szCs w:val="18"/>
          </w:rPr>
          <w:t>49</w:t>
        </w:r>
        <w:r w:rsidR="002B063D" w:rsidRPr="000B33B9">
          <w:rPr>
            <w:rFonts w:ascii="Verdana" w:hAnsi="Verdana"/>
            <w:noProof/>
            <w:webHidden/>
            <w:sz w:val="18"/>
            <w:szCs w:val="18"/>
          </w:rPr>
          <w:fldChar w:fldCharType="end"/>
        </w:r>
      </w:hyperlink>
    </w:p>
    <w:p w14:paraId="39E4B688" w14:textId="6611DF02" w:rsidR="002B063D" w:rsidRPr="000B33B9" w:rsidRDefault="009E3EED" w:rsidP="002B063D">
      <w:pPr>
        <w:pStyle w:val="TDC4"/>
        <w:tabs>
          <w:tab w:val="right" w:leader="dot" w:pos="9792"/>
        </w:tabs>
        <w:spacing w:line="240" w:lineRule="auto"/>
        <w:rPr>
          <w:rFonts w:ascii="Verdana" w:eastAsiaTheme="minorEastAsia" w:hAnsi="Verdana"/>
          <w:noProof/>
          <w:lang w:val="es-CR" w:eastAsia="es-CR"/>
        </w:rPr>
      </w:pPr>
      <w:hyperlink w:anchor="_Toc27329782" w:history="1">
        <w:r w:rsidR="002B063D" w:rsidRPr="000B33B9">
          <w:rPr>
            <w:rStyle w:val="Hipervnculo"/>
            <w:rFonts w:ascii="Verdana" w:hAnsi="Verdana"/>
            <w:noProof/>
          </w:rPr>
          <w:t>C.2.1. El derecho a la seguridad social como derecho autónomo y justiciable</w:t>
        </w:r>
        <w:r w:rsidR="002B063D" w:rsidRPr="000B33B9">
          <w:rPr>
            <w:rFonts w:ascii="Verdana" w:hAnsi="Verdana"/>
            <w:noProof/>
            <w:webHidden/>
          </w:rPr>
          <w:tab/>
        </w:r>
        <w:r w:rsidR="002B063D" w:rsidRPr="000B33B9">
          <w:rPr>
            <w:rFonts w:ascii="Verdana" w:hAnsi="Verdana"/>
            <w:noProof/>
            <w:webHidden/>
          </w:rPr>
          <w:fldChar w:fldCharType="begin"/>
        </w:r>
        <w:r w:rsidR="002B063D" w:rsidRPr="000B33B9">
          <w:rPr>
            <w:rFonts w:ascii="Verdana" w:hAnsi="Verdana"/>
            <w:noProof/>
            <w:webHidden/>
          </w:rPr>
          <w:instrText xml:space="preserve"> PAGEREF _Toc27329782 \h </w:instrText>
        </w:r>
        <w:r w:rsidR="002B063D" w:rsidRPr="000B33B9">
          <w:rPr>
            <w:rFonts w:ascii="Verdana" w:hAnsi="Verdana"/>
            <w:noProof/>
            <w:webHidden/>
          </w:rPr>
        </w:r>
        <w:r w:rsidR="002B063D" w:rsidRPr="000B33B9">
          <w:rPr>
            <w:rFonts w:ascii="Verdana" w:hAnsi="Verdana"/>
            <w:noProof/>
            <w:webHidden/>
          </w:rPr>
          <w:fldChar w:fldCharType="separate"/>
        </w:r>
        <w:r w:rsidR="00EC2233">
          <w:rPr>
            <w:rFonts w:ascii="Verdana" w:hAnsi="Verdana"/>
            <w:noProof/>
            <w:webHidden/>
          </w:rPr>
          <w:t>50</w:t>
        </w:r>
        <w:r w:rsidR="002B063D" w:rsidRPr="000B33B9">
          <w:rPr>
            <w:rFonts w:ascii="Verdana" w:hAnsi="Verdana"/>
            <w:noProof/>
            <w:webHidden/>
          </w:rPr>
          <w:fldChar w:fldCharType="end"/>
        </w:r>
      </w:hyperlink>
    </w:p>
    <w:p w14:paraId="163B6097" w14:textId="1B49598E" w:rsidR="002B063D" w:rsidRPr="000B33B9" w:rsidRDefault="009E3EED" w:rsidP="002B063D">
      <w:pPr>
        <w:pStyle w:val="TDC4"/>
        <w:tabs>
          <w:tab w:val="right" w:leader="dot" w:pos="9792"/>
        </w:tabs>
        <w:spacing w:line="240" w:lineRule="auto"/>
        <w:rPr>
          <w:rFonts w:ascii="Verdana" w:eastAsiaTheme="minorEastAsia" w:hAnsi="Verdana"/>
          <w:noProof/>
          <w:lang w:val="es-CR" w:eastAsia="es-CR"/>
        </w:rPr>
      </w:pPr>
      <w:hyperlink w:anchor="_Toc27329783" w:history="1">
        <w:r w:rsidR="002B063D" w:rsidRPr="000B33B9">
          <w:rPr>
            <w:rStyle w:val="Hipervnculo"/>
            <w:rFonts w:ascii="Verdana" w:hAnsi="Verdana"/>
            <w:noProof/>
            <w:lang w:val="es-PE"/>
          </w:rPr>
          <w:t>C.2.2. El contenido del derecho a la seguridad social</w:t>
        </w:r>
        <w:r w:rsidR="002B063D" w:rsidRPr="000B33B9">
          <w:rPr>
            <w:rFonts w:ascii="Verdana" w:hAnsi="Verdana"/>
            <w:noProof/>
            <w:webHidden/>
          </w:rPr>
          <w:tab/>
        </w:r>
        <w:r w:rsidR="002B063D" w:rsidRPr="000B33B9">
          <w:rPr>
            <w:rFonts w:ascii="Verdana" w:hAnsi="Verdana"/>
            <w:noProof/>
            <w:webHidden/>
          </w:rPr>
          <w:fldChar w:fldCharType="begin"/>
        </w:r>
        <w:r w:rsidR="002B063D" w:rsidRPr="000B33B9">
          <w:rPr>
            <w:rFonts w:ascii="Verdana" w:hAnsi="Verdana"/>
            <w:noProof/>
            <w:webHidden/>
          </w:rPr>
          <w:instrText xml:space="preserve"> PAGEREF _Toc27329783 \h </w:instrText>
        </w:r>
        <w:r w:rsidR="002B063D" w:rsidRPr="000B33B9">
          <w:rPr>
            <w:rFonts w:ascii="Verdana" w:hAnsi="Verdana"/>
            <w:noProof/>
            <w:webHidden/>
          </w:rPr>
        </w:r>
        <w:r w:rsidR="002B063D" w:rsidRPr="000B33B9">
          <w:rPr>
            <w:rFonts w:ascii="Verdana" w:hAnsi="Verdana"/>
            <w:noProof/>
            <w:webHidden/>
          </w:rPr>
          <w:fldChar w:fldCharType="separate"/>
        </w:r>
        <w:r w:rsidR="00EC2233">
          <w:rPr>
            <w:rFonts w:ascii="Verdana" w:hAnsi="Verdana"/>
            <w:noProof/>
            <w:webHidden/>
          </w:rPr>
          <w:t>52</w:t>
        </w:r>
        <w:r w:rsidR="002B063D" w:rsidRPr="000B33B9">
          <w:rPr>
            <w:rFonts w:ascii="Verdana" w:hAnsi="Verdana"/>
            <w:noProof/>
            <w:webHidden/>
          </w:rPr>
          <w:fldChar w:fldCharType="end"/>
        </w:r>
      </w:hyperlink>
    </w:p>
    <w:p w14:paraId="7EF54AE2" w14:textId="7D3CF8BD" w:rsidR="002B063D" w:rsidRPr="000B33B9" w:rsidRDefault="009E3EED" w:rsidP="002B063D">
      <w:pPr>
        <w:pStyle w:val="TDC4"/>
        <w:tabs>
          <w:tab w:val="right" w:leader="dot" w:pos="9792"/>
        </w:tabs>
        <w:spacing w:line="240" w:lineRule="auto"/>
        <w:rPr>
          <w:rFonts w:ascii="Verdana" w:eastAsiaTheme="minorEastAsia" w:hAnsi="Verdana"/>
          <w:noProof/>
          <w:lang w:val="es-CR" w:eastAsia="es-CR"/>
        </w:rPr>
      </w:pPr>
      <w:hyperlink w:anchor="_Toc27329784" w:history="1">
        <w:r w:rsidR="002B063D" w:rsidRPr="000B33B9">
          <w:rPr>
            <w:rStyle w:val="Hipervnculo"/>
            <w:rFonts w:ascii="Verdana" w:hAnsi="Verdana"/>
            <w:noProof/>
            <w:lang w:val="es-PE"/>
          </w:rPr>
          <w:t>C.2.3. La afectación de la seguridad social y la vida digna en el caso concreto</w:t>
        </w:r>
        <w:r w:rsidR="002B063D" w:rsidRPr="000B33B9">
          <w:rPr>
            <w:rFonts w:ascii="Verdana" w:hAnsi="Verdana"/>
            <w:noProof/>
            <w:webHidden/>
          </w:rPr>
          <w:tab/>
        </w:r>
        <w:r w:rsidR="002B063D" w:rsidRPr="000B33B9">
          <w:rPr>
            <w:rFonts w:ascii="Verdana" w:hAnsi="Verdana"/>
            <w:noProof/>
            <w:webHidden/>
          </w:rPr>
          <w:fldChar w:fldCharType="begin"/>
        </w:r>
        <w:r w:rsidR="002B063D" w:rsidRPr="000B33B9">
          <w:rPr>
            <w:rFonts w:ascii="Verdana" w:hAnsi="Verdana"/>
            <w:noProof/>
            <w:webHidden/>
          </w:rPr>
          <w:instrText xml:space="preserve"> PAGEREF _Toc27329784 \h </w:instrText>
        </w:r>
        <w:r w:rsidR="002B063D" w:rsidRPr="000B33B9">
          <w:rPr>
            <w:rFonts w:ascii="Verdana" w:hAnsi="Verdana"/>
            <w:noProof/>
            <w:webHidden/>
          </w:rPr>
        </w:r>
        <w:r w:rsidR="002B063D" w:rsidRPr="000B33B9">
          <w:rPr>
            <w:rFonts w:ascii="Verdana" w:hAnsi="Verdana"/>
            <w:noProof/>
            <w:webHidden/>
          </w:rPr>
          <w:fldChar w:fldCharType="separate"/>
        </w:r>
        <w:r w:rsidR="00EC2233">
          <w:rPr>
            <w:rFonts w:ascii="Verdana" w:hAnsi="Verdana"/>
            <w:noProof/>
            <w:webHidden/>
          </w:rPr>
          <w:t>58</w:t>
        </w:r>
        <w:r w:rsidR="002B063D" w:rsidRPr="000B33B9">
          <w:rPr>
            <w:rFonts w:ascii="Verdana" w:hAnsi="Verdana"/>
            <w:noProof/>
            <w:webHidden/>
          </w:rPr>
          <w:fldChar w:fldCharType="end"/>
        </w:r>
      </w:hyperlink>
    </w:p>
    <w:p w14:paraId="2346ABA0" w14:textId="79D8031A" w:rsidR="002B063D" w:rsidRPr="000B33B9" w:rsidRDefault="009E3EED" w:rsidP="002B063D">
      <w:pPr>
        <w:pStyle w:val="TDC4"/>
        <w:tabs>
          <w:tab w:val="right" w:leader="dot" w:pos="9792"/>
        </w:tabs>
        <w:spacing w:line="240" w:lineRule="auto"/>
        <w:rPr>
          <w:rFonts w:ascii="Verdana" w:eastAsiaTheme="minorEastAsia" w:hAnsi="Verdana"/>
          <w:noProof/>
          <w:lang w:val="es-CR" w:eastAsia="es-CR"/>
        </w:rPr>
      </w:pPr>
      <w:hyperlink w:anchor="_Toc27329785" w:history="1">
        <w:r w:rsidR="002B063D" w:rsidRPr="000B33B9">
          <w:rPr>
            <w:rStyle w:val="Hipervnculo"/>
            <w:rFonts w:ascii="Verdana" w:hAnsi="Verdana"/>
            <w:noProof/>
            <w:lang w:val="es-PE"/>
          </w:rPr>
          <w:t>C.2.4. La afectación del derecho a la propiedad en el caso concreto</w:t>
        </w:r>
        <w:r w:rsidR="002B063D" w:rsidRPr="000B33B9">
          <w:rPr>
            <w:rFonts w:ascii="Verdana" w:hAnsi="Verdana"/>
            <w:noProof/>
            <w:webHidden/>
          </w:rPr>
          <w:tab/>
        </w:r>
        <w:r w:rsidR="002B063D" w:rsidRPr="000B33B9">
          <w:rPr>
            <w:rFonts w:ascii="Verdana" w:hAnsi="Verdana"/>
            <w:noProof/>
            <w:webHidden/>
          </w:rPr>
          <w:fldChar w:fldCharType="begin"/>
        </w:r>
        <w:r w:rsidR="002B063D" w:rsidRPr="000B33B9">
          <w:rPr>
            <w:rFonts w:ascii="Verdana" w:hAnsi="Verdana"/>
            <w:noProof/>
            <w:webHidden/>
          </w:rPr>
          <w:instrText xml:space="preserve"> PAGEREF _Toc27329785 \h </w:instrText>
        </w:r>
        <w:r w:rsidR="002B063D" w:rsidRPr="000B33B9">
          <w:rPr>
            <w:rFonts w:ascii="Verdana" w:hAnsi="Verdana"/>
            <w:noProof/>
            <w:webHidden/>
          </w:rPr>
        </w:r>
        <w:r w:rsidR="002B063D" w:rsidRPr="000B33B9">
          <w:rPr>
            <w:rFonts w:ascii="Verdana" w:hAnsi="Verdana"/>
            <w:noProof/>
            <w:webHidden/>
          </w:rPr>
          <w:fldChar w:fldCharType="separate"/>
        </w:r>
        <w:r w:rsidR="00EC2233">
          <w:rPr>
            <w:rFonts w:ascii="Verdana" w:hAnsi="Verdana"/>
            <w:noProof/>
            <w:webHidden/>
          </w:rPr>
          <w:t>63</w:t>
        </w:r>
        <w:r w:rsidR="002B063D" w:rsidRPr="000B33B9">
          <w:rPr>
            <w:rFonts w:ascii="Verdana" w:hAnsi="Verdana"/>
            <w:noProof/>
            <w:webHidden/>
          </w:rPr>
          <w:fldChar w:fldCharType="end"/>
        </w:r>
      </w:hyperlink>
    </w:p>
    <w:p w14:paraId="6932E5C6" w14:textId="505B0931" w:rsidR="002B063D" w:rsidRPr="000B33B9" w:rsidRDefault="009E3EED" w:rsidP="002B063D">
      <w:pPr>
        <w:pStyle w:val="TDC3"/>
        <w:tabs>
          <w:tab w:val="right" w:leader="dot" w:pos="9792"/>
        </w:tabs>
        <w:spacing w:line="240" w:lineRule="auto"/>
        <w:rPr>
          <w:rFonts w:ascii="Verdana" w:eastAsiaTheme="minorEastAsia" w:hAnsi="Verdana"/>
          <w:i w:val="0"/>
          <w:iCs w:val="0"/>
          <w:noProof/>
          <w:sz w:val="18"/>
          <w:szCs w:val="18"/>
          <w:lang w:val="es-CR" w:eastAsia="es-CR"/>
        </w:rPr>
      </w:pPr>
      <w:hyperlink w:anchor="_Toc27329786" w:history="1">
        <w:r w:rsidR="002B063D" w:rsidRPr="000B33B9">
          <w:rPr>
            <w:rStyle w:val="Hipervnculo"/>
            <w:rFonts w:ascii="Verdana" w:hAnsi="Verdana"/>
            <w:noProof/>
            <w:sz w:val="18"/>
            <w:szCs w:val="18"/>
            <w:lang w:val="es-PE"/>
          </w:rPr>
          <w:t>C.3. Conclusión</w:t>
        </w:r>
        <w:r w:rsidR="002B063D" w:rsidRPr="000B33B9">
          <w:rPr>
            <w:rFonts w:ascii="Verdana" w:hAnsi="Verdana"/>
            <w:noProof/>
            <w:webHidden/>
            <w:sz w:val="18"/>
            <w:szCs w:val="18"/>
          </w:rPr>
          <w:tab/>
        </w:r>
        <w:r w:rsidR="002B063D" w:rsidRPr="000B33B9">
          <w:rPr>
            <w:rFonts w:ascii="Verdana" w:hAnsi="Verdana"/>
            <w:noProof/>
            <w:webHidden/>
            <w:sz w:val="18"/>
            <w:szCs w:val="18"/>
          </w:rPr>
          <w:fldChar w:fldCharType="begin"/>
        </w:r>
        <w:r w:rsidR="002B063D" w:rsidRPr="000B33B9">
          <w:rPr>
            <w:rFonts w:ascii="Verdana" w:hAnsi="Verdana"/>
            <w:noProof/>
            <w:webHidden/>
            <w:sz w:val="18"/>
            <w:szCs w:val="18"/>
          </w:rPr>
          <w:instrText xml:space="preserve"> PAGEREF _Toc27329786 \h </w:instrText>
        </w:r>
        <w:r w:rsidR="002B063D" w:rsidRPr="000B33B9">
          <w:rPr>
            <w:rFonts w:ascii="Verdana" w:hAnsi="Verdana"/>
            <w:noProof/>
            <w:webHidden/>
            <w:sz w:val="18"/>
            <w:szCs w:val="18"/>
          </w:rPr>
        </w:r>
        <w:r w:rsidR="002B063D" w:rsidRPr="000B33B9">
          <w:rPr>
            <w:rFonts w:ascii="Verdana" w:hAnsi="Verdana"/>
            <w:noProof/>
            <w:webHidden/>
            <w:sz w:val="18"/>
            <w:szCs w:val="18"/>
          </w:rPr>
          <w:fldChar w:fldCharType="separate"/>
        </w:r>
        <w:r w:rsidR="00EC2233">
          <w:rPr>
            <w:rFonts w:ascii="Verdana" w:hAnsi="Verdana"/>
            <w:noProof/>
            <w:webHidden/>
            <w:sz w:val="18"/>
            <w:szCs w:val="18"/>
          </w:rPr>
          <w:t>64</w:t>
        </w:r>
        <w:r w:rsidR="002B063D" w:rsidRPr="000B33B9">
          <w:rPr>
            <w:rFonts w:ascii="Verdana" w:hAnsi="Verdana"/>
            <w:noProof/>
            <w:webHidden/>
            <w:sz w:val="18"/>
            <w:szCs w:val="18"/>
          </w:rPr>
          <w:fldChar w:fldCharType="end"/>
        </w:r>
      </w:hyperlink>
    </w:p>
    <w:p w14:paraId="60A5D629" w14:textId="75983AF8" w:rsidR="002B063D" w:rsidRPr="000B33B9" w:rsidRDefault="009E3EED" w:rsidP="002B063D">
      <w:pPr>
        <w:pStyle w:val="TDC2"/>
        <w:rPr>
          <w:rFonts w:eastAsiaTheme="minorEastAsia" w:cstheme="minorBidi"/>
          <w:bCs w:val="0"/>
          <w:i w:val="0"/>
          <w:smallCaps w:val="0"/>
          <w:lang w:val="es-CR"/>
        </w:rPr>
      </w:pPr>
      <w:hyperlink w:anchor="_Toc27329787" w:history="1">
        <w:r w:rsidR="002B063D" w:rsidRPr="000B33B9">
          <w:rPr>
            <w:rStyle w:val="Hipervnculo"/>
          </w:rPr>
          <w:t>D.</w:t>
        </w:r>
        <w:r w:rsidR="002B063D" w:rsidRPr="000B33B9">
          <w:rPr>
            <w:rFonts w:eastAsiaTheme="minorEastAsia" w:cstheme="minorBidi"/>
            <w:bCs w:val="0"/>
            <w:i w:val="0"/>
            <w:smallCaps w:val="0"/>
            <w:lang w:val="es-CR"/>
          </w:rPr>
          <w:tab/>
        </w:r>
        <w:r w:rsidR="002B063D" w:rsidRPr="000B33B9">
          <w:rPr>
            <w:rStyle w:val="Hipervnculo"/>
          </w:rPr>
          <w:t>Deber de adoptar disposiciones de derecho interno</w:t>
        </w:r>
        <w:r w:rsidR="002B063D" w:rsidRPr="000B33B9">
          <w:rPr>
            <w:webHidden/>
          </w:rPr>
          <w:tab/>
        </w:r>
        <w:r w:rsidR="002B063D" w:rsidRPr="000B33B9">
          <w:rPr>
            <w:webHidden/>
          </w:rPr>
          <w:fldChar w:fldCharType="begin"/>
        </w:r>
        <w:r w:rsidR="002B063D" w:rsidRPr="000B33B9">
          <w:rPr>
            <w:webHidden/>
          </w:rPr>
          <w:instrText xml:space="preserve"> PAGEREF _Toc27329787 \h </w:instrText>
        </w:r>
        <w:r w:rsidR="002B063D" w:rsidRPr="000B33B9">
          <w:rPr>
            <w:webHidden/>
          </w:rPr>
        </w:r>
        <w:r w:rsidR="002B063D" w:rsidRPr="000B33B9">
          <w:rPr>
            <w:webHidden/>
          </w:rPr>
          <w:fldChar w:fldCharType="separate"/>
        </w:r>
        <w:r w:rsidR="00EC2233">
          <w:rPr>
            <w:webHidden/>
          </w:rPr>
          <w:t>64</w:t>
        </w:r>
        <w:r w:rsidR="002B063D" w:rsidRPr="000B33B9">
          <w:rPr>
            <w:webHidden/>
          </w:rPr>
          <w:fldChar w:fldCharType="end"/>
        </w:r>
      </w:hyperlink>
    </w:p>
    <w:p w14:paraId="5515DF0D" w14:textId="6C8BB9DA" w:rsidR="002B063D" w:rsidRPr="000B33B9" w:rsidRDefault="009E3EED" w:rsidP="002B063D">
      <w:pPr>
        <w:pStyle w:val="TDC2"/>
        <w:rPr>
          <w:rFonts w:eastAsiaTheme="minorEastAsia" w:cstheme="minorBidi"/>
          <w:bCs w:val="0"/>
          <w:i w:val="0"/>
          <w:smallCaps w:val="0"/>
          <w:lang w:val="es-CR"/>
        </w:rPr>
      </w:pPr>
      <w:hyperlink w:anchor="_Toc27329788" w:history="1">
        <w:r w:rsidR="002B063D" w:rsidRPr="000B33B9">
          <w:rPr>
            <w:rStyle w:val="Hipervnculo"/>
          </w:rPr>
          <w:t>E. Conclusión del capítulo</w:t>
        </w:r>
        <w:r w:rsidR="002B063D" w:rsidRPr="000B33B9">
          <w:rPr>
            <w:webHidden/>
          </w:rPr>
          <w:tab/>
        </w:r>
        <w:r w:rsidR="002B063D" w:rsidRPr="000B33B9">
          <w:rPr>
            <w:webHidden/>
          </w:rPr>
          <w:fldChar w:fldCharType="begin"/>
        </w:r>
        <w:r w:rsidR="002B063D" w:rsidRPr="000B33B9">
          <w:rPr>
            <w:webHidden/>
          </w:rPr>
          <w:instrText xml:space="preserve"> PAGEREF _Toc27329788 \h </w:instrText>
        </w:r>
        <w:r w:rsidR="002B063D" w:rsidRPr="000B33B9">
          <w:rPr>
            <w:webHidden/>
          </w:rPr>
        </w:r>
        <w:r w:rsidR="002B063D" w:rsidRPr="000B33B9">
          <w:rPr>
            <w:webHidden/>
          </w:rPr>
          <w:fldChar w:fldCharType="separate"/>
        </w:r>
        <w:r w:rsidR="00EC2233">
          <w:rPr>
            <w:webHidden/>
          </w:rPr>
          <w:t>66</w:t>
        </w:r>
        <w:r w:rsidR="002B063D" w:rsidRPr="000B33B9">
          <w:rPr>
            <w:webHidden/>
          </w:rPr>
          <w:fldChar w:fldCharType="end"/>
        </w:r>
      </w:hyperlink>
    </w:p>
    <w:p w14:paraId="431ACEBD" w14:textId="2A083EAF" w:rsidR="002B063D" w:rsidRPr="000B33B9" w:rsidRDefault="009E3EED" w:rsidP="002B063D">
      <w:pPr>
        <w:pStyle w:val="TDC1"/>
        <w:rPr>
          <w:rFonts w:eastAsiaTheme="minorEastAsia" w:cstheme="minorBidi"/>
          <w:b w:val="0"/>
          <w:bCs w:val="0"/>
          <w:caps w:val="0"/>
          <w:snapToGrid/>
          <w:lang w:val="es-CR" w:eastAsia="es-CR"/>
        </w:rPr>
      </w:pPr>
      <w:hyperlink w:anchor="_Toc27329789" w:history="1">
        <w:r w:rsidR="002B063D" w:rsidRPr="000B33B9">
          <w:rPr>
            <w:rStyle w:val="Hipervnculo"/>
          </w:rPr>
          <w:t>IX reparaciones</w:t>
        </w:r>
        <w:r w:rsidR="002B063D" w:rsidRPr="000B33B9">
          <w:rPr>
            <w:webHidden/>
          </w:rPr>
          <w:tab/>
        </w:r>
        <w:r w:rsidR="002B063D" w:rsidRPr="000B33B9">
          <w:rPr>
            <w:webHidden/>
          </w:rPr>
          <w:fldChar w:fldCharType="begin"/>
        </w:r>
        <w:r w:rsidR="002B063D" w:rsidRPr="000B33B9">
          <w:rPr>
            <w:webHidden/>
          </w:rPr>
          <w:instrText xml:space="preserve"> PAGEREF _Toc27329789 \h </w:instrText>
        </w:r>
        <w:r w:rsidR="002B063D" w:rsidRPr="000B33B9">
          <w:rPr>
            <w:webHidden/>
          </w:rPr>
        </w:r>
        <w:r w:rsidR="002B063D" w:rsidRPr="000B33B9">
          <w:rPr>
            <w:webHidden/>
          </w:rPr>
          <w:fldChar w:fldCharType="separate"/>
        </w:r>
        <w:r w:rsidR="00EC2233">
          <w:rPr>
            <w:webHidden/>
          </w:rPr>
          <w:t>67</w:t>
        </w:r>
        <w:r w:rsidR="002B063D" w:rsidRPr="000B33B9">
          <w:rPr>
            <w:webHidden/>
          </w:rPr>
          <w:fldChar w:fldCharType="end"/>
        </w:r>
      </w:hyperlink>
    </w:p>
    <w:p w14:paraId="7679FA67" w14:textId="19E15167" w:rsidR="002B063D" w:rsidRPr="000B33B9" w:rsidRDefault="009E3EED" w:rsidP="002B063D">
      <w:pPr>
        <w:pStyle w:val="TDC2"/>
        <w:rPr>
          <w:rFonts w:eastAsiaTheme="minorEastAsia" w:cstheme="minorBidi"/>
          <w:bCs w:val="0"/>
          <w:i w:val="0"/>
          <w:smallCaps w:val="0"/>
          <w:lang w:val="es-CR"/>
        </w:rPr>
      </w:pPr>
      <w:hyperlink w:anchor="_Toc27329790" w:history="1">
        <w:r w:rsidR="002B063D" w:rsidRPr="000B33B9">
          <w:rPr>
            <w:rStyle w:val="Hipervnculo"/>
          </w:rPr>
          <w:t>A.</w:t>
        </w:r>
        <w:r w:rsidR="002B063D" w:rsidRPr="000B33B9">
          <w:rPr>
            <w:rFonts w:eastAsiaTheme="minorEastAsia" w:cstheme="minorBidi"/>
            <w:bCs w:val="0"/>
            <w:i w:val="0"/>
            <w:smallCaps w:val="0"/>
            <w:lang w:val="es-CR"/>
          </w:rPr>
          <w:tab/>
        </w:r>
        <w:r w:rsidR="002B063D" w:rsidRPr="000B33B9">
          <w:rPr>
            <w:rStyle w:val="Hipervnculo"/>
          </w:rPr>
          <w:t>Parte Lesionada</w:t>
        </w:r>
        <w:r w:rsidR="002B063D" w:rsidRPr="000B33B9">
          <w:rPr>
            <w:webHidden/>
          </w:rPr>
          <w:tab/>
        </w:r>
        <w:r w:rsidR="002B063D" w:rsidRPr="000B33B9">
          <w:rPr>
            <w:webHidden/>
          </w:rPr>
          <w:fldChar w:fldCharType="begin"/>
        </w:r>
        <w:r w:rsidR="002B063D" w:rsidRPr="000B33B9">
          <w:rPr>
            <w:webHidden/>
          </w:rPr>
          <w:instrText xml:space="preserve"> PAGEREF _Toc27329790 \h </w:instrText>
        </w:r>
        <w:r w:rsidR="002B063D" w:rsidRPr="000B33B9">
          <w:rPr>
            <w:webHidden/>
          </w:rPr>
        </w:r>
        <w:r w:rsidR="002B063D" w:rsidRPr="000B33B9">
          <w:rPr>
            <w:webHidden/>
          </w:rPr>
          <w:fldChar w:fldCharType="separate"/>
        </w:r>
        <w:r w:rsidR="00EC2233">
          <w:rPr>
            <w:webHidden/>
          </w:rPr>
          <w:t>68</w:t>
        </w:r>
        <w:r w:rsidR="002B063D" w:rsidRPr="000B33B9">
          <w:rPr>
            <w:webHidden/>
          </w:rPr>
          <w:fldChar w:fldCharType="end"/>
        </w:r>
      </w:hyperlink>
    </w:p>
    <w:p w14:paraId="40884824" w14:textId="3D709B9C" w:rsidR="002B063D" w:rsidRPr="000B33B9" w:rsidRDefault="009E3EED" w:rsidP="002B063D">
      <w:pPr>
        <w:pStyle w:val="TDC2"/>
        <w:rPr>
          <w:rFonts w:eastAsiaTheme="minorEastAsia" w:cstheme="minorBidi"/>
          <w:bCs w:val="0"/>
          <w:i w:val="0"/>
          <w:smallCaps w:val="0"/>
          <w:lang w:val="es-CR"/>
        </w:rPr>
      </w:pPr>
      <w:hyperlink w:anchor="_Toc27329791" w:history="1">
        <w:r w:rsidR="002B063D" w:rsidRPr="000B33B9">
          <w:rPr>
            <w:rStyle w:val="Hipervnculo"/>
            <w:rFonts w:cs="Arial"/>
          </w:rPr>
          <w:t>B.</w:t>
        </w:r>
        <w:r w:rsidR="002B063D" w:rsidRPr="000B33B9">
          <w:rPr>
            <w:rFonts w:eastAsiaTheme="minorEastAsia" w:cstheme="minorBidi"/>
            <w:bCs w:val="0"/>
            <w:i w:val="0"/>
            <w:smallCaps w:val="0"/>
            <w:lang w:val="es-CR"/>
          </w:rPr>
          <w:tab/>
        </w:r>
        <w:r w:rsidR="002B063D" w:rsidRPr="000B33B9">
          <w:rPr>
            <w:rStyle w:val="Hipervnculo"/>
            <w:rFonts w:cs="Arial"/>
          </w:rPr>
          <w:t>Medidas de restitución, satisfacción y garantías de no repetición</w:t>
        </w:r>
        <w:r w:rsidR="002B063D" w:rsidRPr="000B33B9">
          <w:rPr>
            <w:webHidden/>
          </w:rPr>
          <w:tab/>
        </w:r>
        <w:r w:rsidR="002B063D" w:rsidRPr="000B33B9">
          <w:rPr>
            <w:webHidden/>
          </w:rPr>
          <w:fldChar w:fldCharType="begin"/>
        </w:r>
        <w:r w:rsidR="002B063D" w:rsidRPr="000B33B9">
          <w:rPr>
            <w:webHidden/>
          </w:rPr>
          <w:instrText xml:space="preserve"> PAGEREF _Toc27329791 \h </w:instrText>
        </w:r>
        <w:r w:rsidR="002B063D" w:rsidRPr="000B33B9">
          <w:rPr>
            <w:webHidden/>
          </w:rPr>
        </w:r>
        <w:r w:rsidR="002B063D" w:rsidRPr="000B33B9">
          <w:rPr>
            <w:webHidden/>
          </w:rPr>
          <w:fldChar w:fldCharType="separate"/>
        </w:r>
        <w:r w:rsidR="00EC2233">
          <w:rPr>
            <w:webHidden/>
          </w:rPr>
          <w:t>68</w:t>
        </w:r>
        <w:r w:rsidR="002B063D" w:rsidRPr="000B33B9">
          <w:rPr>
            <w:webHidden/>
          </w:rPr>
          <w:fldChar w:fldCharType="end"/>
        </w:r>
      </w:hyperlink>
    </w:p>
    <w:p w14:paraId="47445755" w14:textId="5DCC6C1B" w:rsidR="002B063D" w:rsidRPr="000B33B9" w:rsidRDefault="009E3EED" w:rsidP="002B063D">
      <w:pPr>
        <w:pStyle w:val="TDC3"/>
        <w:tabs>
          <w:tab w:val="right" w:leader="dot" w:pos="9792"/>
        </w:tabs>
        <w:spacing w:line="240" w:lineRule="auto"/>
        <w:rPr>
          <w:rFonts w:ascii="Verdana" w:eastAsiaTheme="minorEastAsia" w:hAnsi="Verdana"/>
          <w:i w:val="0"/>
          <w:iCs w:val="0"/>
          <w:noProof/>
          <w:sz w:val="18"/>
          <w:szCs w:val="18"/>
          <w:lang w:val="es-CR" w:eastAsia="es-CR"/>
        </w:rPr>
      </w:pPr>
      <w:hyperlink w:anchor="_Toc27329792" w:history="1">
        <w:r w:rsidR="002B063D" w:rsidRPr="000B33B9">
          <w:rPr>
            <w:rStyle w:val="Hipervnculo"/>
            <w:rFonts w:ascii="Verdana" w:hAnsi="Verdana" w:cs="Arial"/>
            <w:noProof/>
            <w:sz w:val="18"/>
            <w:szCs w:val="18"/>
            <w:lang w:val="es-CR"/>
          </w:rPr>
          <w:t>B.1 Medidas de restitución</w:t>
        </w:r>
        <w:r w:rsidR="002B063D" w:rsidRPr="000B33B9">
          <w:rPr>
            <w:rFonts w:ascii="Verdana" w:hAnsi="Verdana"/>
            <w:noProof/>
            <w:webHidden/>
            <w:sz w:val="18"/>
            <w:szCs w:val="18"/>
          </w:rPr>
          <w:tab/>
        </w:r>
        <w:r w:rsidR="002B063D" w:rsidRPr="000B33B9">
          <w:rPr>
            <w:rFonts w:ascii="Verdana" w:hAnsi="Verdana"/>
            <w:noProof/>
            <w:webHidden/>
            <w:sz w:val="18"/>
            <w:szCs w:val="18"/>
          </w:rPr>
          <w:fldChar w:fldCharType="begin"/>
        </w:r>
        <w:r w:rsidR="002B063D" w:rsidRPr="000B33B9">
          <w:rPr>
            <w:rFonts w:ascii="Verdana" w:hAnsi="Verdana"/>
            <w:noProof/>
            <w:webHidden/>
            <w:sz w:val="18"/>
            <w:szCs w:val="18"/>
          </w:rPr>
          <w:instrText xml:space="preserve"> PAGEREF _Toc27329792 \h </w:instrText>
        </w:r>
        <w:r w:rsidR="002B063D" w:rsidRPr="000B33B9">
          <w:rPr>
            <w:rFonts w:ascii="Verdana" w:hAnsi="Verdana"/>
            <w:noProof/>
            <w:webHidden/>
            <w:sz w:val="18"/>
            <w:szCs w:val="18"/>
          </w:rPr>
        </w:r>
        <w:r w:rsidR="002B063D" w:rsidRPr="000B33B9">
          <w:rPr>
            <w:rFonts w:ascii="Verdana" w:hAnsi="Verdana"/>
            <w:noProof/>
            <w:webHidden/>
            <w:sz w:val="18"/>
            <w:szCs w:val="18"/>
          </w:rPr>
          <w:fldChar w:fldCharType="separate"/>
        </w:r>
        <w:r w:rsidR="00EC2233">
          <w:rPr>
            <w:rFonts w:ascii="Verdana" w:hAnsi="Verdana"/>
            <w:noProof/>
            <w:webHidden/>
            <w:sz w:val="18"/>
            <w:szCs w:val="18"/>
          </w:rPr>
          <w:t>68</w:t>
        </w:r>
        <w:r w:rsidR="002B063D" w:rsidRPr="000B33B9">
          <w:rPr>
            <w:rFonts w:ascii="Verdana" w:hAnsi="Verdana"/>
            <w:noProof/>
            <w:webHidden/>
            <w:sz w:val="18"/>
            <w:szCs w:val="18"/>
          </w:rPr>
          <w:fldChar w:fldCharType="end"/>
        </w:r>
      </w:hyperlink>
    </w:p>
    <w:p w14:paraId="23D731F2" w14:textId="16E2B639" w:rsidR="002B063D" w:rsidRPr="000B33B9" w:rsidRDefault="009E3EED" w:rsidP="002B063D">
      <w:pPr>
        <w:pStyle w:val="TDC3"/>
        <w:tabs>
          <w:tab w:val="right" w:leader="dot" w:pos="9792"/>
        </w:tabs>
        <w:spacing w:line="240" w:lineRule="auto"/>
        <w:rPr>
          <w:rFonts w:ascii="Verdana" w:eastAsiaTheme="minorEastAsia" w:hAnsi="Verdana"/>
          <w:i w:val="0"/>
          <w:iCs w:val="0"/>
          <w:noProof/>
          <w:sz w:val="18"/>
          <w:szCs w:val="18"/>
          <w:lang w:val="es-CR" w:eastAsia="es-CR"/>
        </w:rPr>
      </w:pPr>
      <w:hyperlink w:anchor="_Toc27329793" w:history="1">
        <w:r w:rsidR="002B063D" w:rsidRPr="000B33B9">
          <w:rPr>
            <w:rStyle w:val="Hipervnculo"/>
            <w:rFonts w:ascii="Verdana" w:hAnsi="Verdana" w:cs="Arial"/>
            <w:noProof/>
            <w:sz w:val="18"/>
            <w:szCs w:val="18"/>
            <w:lang w:val="es-CR"/>
          </w:rPr>
          <w:t>B.2 Medida de satisfacción</w:t>
        </w:r>
        <w:r w:rsidR="002B063D" w:rsidRPr="000B33B9">
          <w:rPr>
            <w:rFonts w:ascii="Verdana" w:hAnsi="Verdana"/>
            <w:noProof/>
            <w:webHidden/>
            <w:sz w:val="18"/>
            <w:szCs w:val="18"/>
          </w:rPr>
          <w:tab/>
        </w:r>
        <w:r w:rsidR="002B063D" w:rsidRPr="000B33B9">
          <w:rPr>
            <w:rFonts w:ascii="Verdana" w:hAnsi="Verdana"/>
            <w:noProof/>
            <w:webHidden/>
            <w:sz w:val="18"/>
            <w:szCs w:val="18"/>
          </w:rPr>
          <w:fldChar w:fldCharType="begin"/>
        </w:r>
        <w:r w:rsidR="002B063D" w:rsidRPr="000B33B9">
          <w:rPr>
            <w:rFonts w:ascii="Verdana" w:hAnsi="Verdana"/>
            <w:noProof/>
            <w:webHidden/>
            <w:sz w:val="18"/>
            <w:szCs w:val="18"/>
          </w:rPr>
          <w:instrText xml:space="preserve"> PAGEREF _Toc27329793 \h </w:instrText>
        </w:r>
        <w:r w:rsidR="002B063D" w:rsidRPr="000B33B9">
          <w:rPr>
            <w:rFonts w:ascii="Verdana" w:hAnsi="Verdana"/>
            <w:noProof/>
            <w:webHidden/>
            <w:sz w:val="18"/>
            <w:szCs w:val="18"/>
          </w:rPr>
        </w:r>
        <w:r w:rsidR="002B063D" w:rsidRPr="000B33B9">
          <w:rPr>
            <w:rFonts w:ascii="Verdana" w:hAnsi="Verdana"/>
            <w:noProof/>
            <w:webHidden/>
            <w:sz w:val="18"/>
            <w:szCs w:val="18"/>
          </w:rPr>
          <w:fldChar w:fldCharType="separate"/>
        </w:r>
        <w:r w:rsidR="00EC2233">
          <w:rPr>
            <w:rFonts w:ascii="Verdana" w:hAnsi="Verdana"/>
            <w:noProof/>
            <w:webHidden/>
            <w:sz w:val="18"/>
            <w:szCs w:val="18"/>
          </w:rPr>
          <w:t>70</w:t>
        </w:r>
        <w:r w:rsidR="002B063D" w:rsidRPr="000B33B9">
          <w:rPr>
            <w:rFonts w:ascii="Verdana" w:hAnsi="Verdana"/>
            <w:noProof/>
            <w:webHidden/>
            <w:sz w:val="18"/>
            <w:szCs w:val="18"/>
          </w:rPr>
          <w:fldChar w:fldCharType="end"/>
        </w:r>
      </w:hyperlink>
    </w:p>
    <w:p w14:paraId="11A3D121" w14:textId="3B64087D" w:rsidR="002B063D" w:rsidRPr="000B33B9" w:rsidRDefault="009E3EED" w:rsidP="002B063D">
      <w:pPr>
        <w:pStyle w:val="TDC3"/>
        <w:tabs>
          <w:tab w:val="right" w:leader="dot" w:pos="9792"/>
        </w:tabs>
        <w:spacing w:line="240" w:lineRule="auto"/>
        <w:rPr>
          <w:rFonts w:ascii="Verdana" w:eastAsiaTheme="minorEastAsia" w:hAnsi="Verdana"/>
          <w:i w:val="0"/>
          <w:iCs w:val="0"/>
          <w:noProof/>
          <w:sz w:val="18"/>
          <w:szCs w:val="18"/>
          <w:lang w:val="es-CR" w:eastAsia="es-CR"/>
        </w:rPr>
      </w:pPr>
      <w:hyperlink w:anchor="_Toc27329794" w:history="1">
        <w:r w:rsidR="002B063D" w:rsidRPr="000B33B9">
          <w:rPr>
            <w:rStyle w:val="Hipervnculo"/>
            <w:rFonts w:ascii="Verdana" w:hAnsi="Verdana" w:cs="Arial"/>
            <w:noProof/>
            <w:sz w:val="18"/>
            <w:szCs w:val="18"/>
            <w:lang w:val="es-CR"/>
          </w:rPr>
          <w:t>B.3 Garantías de no repetición</w:t>
        </w:r>
        <w:r w:rsidR="002B063D" w:rsidRPr="000B33B9">
          <w:rPr>
            <w:rFonts w:ascii="Verdana" w:hAnsi="Verdana"/>
            <w:noProof/>
            <w:webHidden/>
            <w:sz w:val="18"/>
            <w:szCs w:val="18"/>
          </w:rPr>
          <w:tab/>
        </w:r>
        <w:r w:rsidR="002B063D" w:rsidRPr="000B33B9">
          <w:rPr>
            <w:rFonts w:ascii="Verdana" w:hAnsi="Verdana"/>
            <w:noProof/>
            <w:webHidden/>
            <w:sz w:val="18"/>
            <w:szCs w:val="18"/>
          </w:rPr>
          <w:fldChar w:fldCharType="begin"/>
        </w:r>
        <w:r w:rsidR="002B063D" w:rsidRPr="000B33B9">
          <w:rPr>
            <w:rFonts w:ascii="Verdana" w:hAnsi="Verdana"/>
            <w:noProof/>
            <w:webHidden/>
            <w:sz w:val="18"/>
            <w:szCs w:val="18"/>
          </w:rPr>
          <w:instrText xml:space="preserve"> PAGEREF _Toc27329794 \h </w:instrText>
        </w:r>
        <w:r w:rsidR="002B063D" w:rsidRPr="000B33B9">
          <w:rPr>
            <w:rFonts w:ascii="Verdana" w:hAnsi="Verdana"/>
            <w:noProof/>
            <w:webHidden/>
            <w:sz w:val="18"/>
            <w:szCs w:val="18"/>
          </w:rPr>
        </w:r>
        <w:r w:rsidR="002B063D" w:rsidRPr="000B33B9">
          <w:rPr>
            <w:rFonts w:ascii="Verdana" w:hAnsi="Verdana"/>
            <w:noProof/>
            <w:webHidden/>
            <w:sz w:val="18"/>
            <w:szCs w:val="18"/>
          </w:rPr>
          <w:fldChar w:fldCharType="separate"/>
        </w:r>
        <w:r w:rsidR="00EC2233">
          <w:rPr>
            <w:rFonts w:ascii="Verdana" w:hAnsi="Verdana"/>
            <w:noProof/>
            <w:webHidden/>
            <w:sz w:val="18"/>
            <w:szCs w:val="18"/>
          </w:rPr>
          <w:t>70</w:t>
        </w:r>
        <w:r w:rsidR="002B063D" w:rsidRPr="000B33B9">
          <w:rPr>
            <w:rFonts w:ascii="Verdana" w:hAnsi="Verdana"/>
            <w:noProof/>
            <w:webHidden/>
            <w:sz w:val="18"/>
            <w:szCs w:val="18"/>
          </w:rPr>
          <w:fldChar w:fldCharType="end"/>
        </w:r>
      </w:hyperlink>
    </w:p>
    <w:p w14:paraId="549AAC03" w14:textId="17D260ED" w:rsidR="002B063D" w:rsidRPr="000B33B9" w:rsidRDefault="009E3EED" w:rsidP="002B063D">
      <w:pPr>
        <w:pStyle w:val="TDC2"/>
        <w:rPr>
          <w:rFonts w:eastAsiaTheme="minorEastAsia" w:cstheme="minorBidi"/>
          <w:bCs w:val="0"/>
          <w:i w:val="0"/>
          <w:smallCaps w:val="0"/>
          <w:lang w:val="es-CR"/>
        </w:rPr>
      </w:pPr>
      <w:hyperlink w:anchor="_Toc27329795" w:history="1">
        <w:r w:rsidR="002B063D" w:rsidRPr="000B33B9">
          <w:rPr>
            <w:rStyle w:val="Hipervnculo"/>
            <w:rFonts w:cs="Arial"/>
          </w:rPr>
          <w:t>C.</w:t>
        </w:r>
        <w:r w:rsidR="002B063D" w:rsidRPr="000B33B9">
          <w:rPr>
            <w:rFonts w:eastAsiaTheme="minorEastAsia" w:cstheme="minorBidi"/>
            <w:bCs w:val="0"/>
            <w:i w:val="0"/>
            <w:smallCaps w:val="0"/>
            <w:lang w:val="es-CR"/>
          </w:rPr>
          <w:tab/>
        </w:r>
        <w:r w:rsidR="002B063D" w:rsidRPr="000B33B9">
          <w:rPr>
            <w:rStyle w:val="Hipervnculo"/>
            <w:rFonts w:cs="Arial"/>
          </w:rPr>
          <w:t>Indemnizaciones compensatorias</w:t>
        </w:r>
        <w:r w:rsidR="002B063D" w:rsidRPr="000B33B9">
          <w:rPr>
            <w:webHidden/>
          </w:rPr>
          <w:tab/>
        </w:r>
        <w:r w:rsidR="002B063D" w:rsidRPr="000B33B9">
          <w:rPr>
            <w:webHidden/>
          </w:rPr>
          <w:fldChar w:fldCharType="begin"/>
        </w:r>
        <w:r w:rsidR="002B063D" w:rsidRPr="000B33B9">
          <w:rPr>
            <w:webHidden/>
          </w:rPr>
          <w:instrText xml:space="preserve"> PAGEREF _Toc27329795 \h </w:instrText>
        </w:r>
        <w:r w:rsidR="002B063D" w:rsidRPr="000B33B9">
          <w:rPr>
            <w:webHidden/>
          </w:rPr>
        </w:r>
        <w:r w:rsidR="002B063D" w:rsidRPr="000B33B9">
          <w:rPr>
            <w:webHidden/>
          </w:rPr>
          <w:fldChar w:fldCharType="separate"/>
        </w:r>
        <w:r w:rsidR="00EC2233">
          <w:rPr>
            <w:webHidden/>
          </w:rPr>
          <w:t>72</w:t>
        </w:r>
        <w:r w:rsidR="002B063D" w:rsidRPr="000B33B9">
          <w:rPr>
            <w:webHidden/>
          </w:rPr>
          <w:fldChar w:fldCharType="end"/>
        </w:r>
      </w:hyperlink>
    </w:p>
    <w:p w14:paraId="4CC5E4CD" w14:textId="4B735654" w:rsidR="002B063D" w:rsidRPr="000B33B9" w:rsidRDefault="009E3EED" w:rsidP="002B063D">
      <w:pPr>
        <w:pStyle w:val="TDC3"/>
        <w:tabs>
          <w:tab w:val="right" w:leader="dot" w:pos="9792"/>
        </w:tabs>
        <w:spacing w:line="240" w:lineRule="auto"/>
        <w:rPr>
          <w:rFonts w:ascii="Verdana" w:eastAsiaTheme="minorEastAsia" w:hAnsi="Verdana"/>
          <w:i w:val="0"/>
          <w:iCs w:val="0"/>
          <w:noProof/>
          <w:sz w:val="18"/>
          <w:szCs w:val="18"/>
          <w:lang w:val="es-CR" w:eastAsia="es-CR"/>
        </w:rPr>
      </w:pPr>
      <w:hyperlink w:anchor="_Toc27329796" w:history="1">
        <w:r w:rsidR="002B063D" w:rsidRPr="000B33B9">
          <w:rPr>
            <w:rStyle w:val="Hipervnculo"/>
            <w:rFonts w:ascii="Verdana" w:hAnsi="Verdana" w:cs="Arial"/>
            <w:noProof/>
            <w:sz w:val="18"/>
            <w:szCs w:val="18"/>
            <w:lang w:val="es-CR"/>
          </w:rPr>
          <w:t>C.1 Daño material</w:t>
        </w:r>
        <w:r w:rsidR="002B063D" w:rsidRPr="000B33B9">
          <w:rPr>
            <w:rFonts w:ascii="Verdana" w:hAnsi="Verdana"/>
            <w:noProof/>
            <w:webHidden/>
            <w:sz w:val="18"/>
            <w:szCs w:val="18"/>
          </w:rPr>
          <w:tab/>
        </w:r>
        <w:r w:rsidR="002B063D" w:rsidRPr="000B33B9">
          <w:rPr>
            <w:rFonts w:ascii="Verdana" w:hAnsi="Verdana"/>
            <w:noProof/>
            <w:webHidden/>
            <w:sz w:val="18"/>
            <w:szCs w:val="18"/>
          </w:rPr>
          <w:fldChar w:fldCharType="begin"/>
        </w:r>
        <w:r w:rsidR="002B063D" w:rsidRPr="000B33B9">
          <w:rPr>
            <w:rFonts w:ascii="Verdana" w:hAnsi="Verdana"/>
            <w:noProof/>
            <w:webHidden/>
            <w:sz w:val="18"/>
            <w:szCs w:val="18"/>
          </w:rPr>
          <w:instrText xml:space="preserve"> PAGEREF _Toc27329796 \h </w:instrText>
        </w:r>
        <w:r w:rsidR="002B063D" w:rsidRPr="000B33B9">
          <w:rPr>
            <w:rFonts w:ascii="Verdana" w:hAnsi="Verdana"/>
            <w:noProof/>
            <w:webHidden/>
            <w:sz w:val="18"/>
            <w:szCs w:val="18"/>
          </w:rPr>
        </w:r>
        <w:r w:rsidR="002B063D" w:rsidRPr="000B33B9">
          <w:rPr>
            <w:rFonts w:ascii="Verdana" w:hAnsi="Verdana"/>
            <w:noProof/>
            <w:webHidden/>
            <w:sz w:val="18"/>
            <w:szCs w:val="18"/>
          </w:rPr>
          <w:fldChar w:fldCharType="separate"/>
        </w:r>
        <w:r w:rsidR="00EC2233">
          <w:rPr>
            <w:rFonts w:ascii="Verdana" w:hAnsi="Verdana"/>
            <w:noProof/>
            <w:webHidden/>
            <w:sz w:val="18"/>
            <w:szCs w:val="18"/>
          </w:rPr>
          <w:t>72</w:t>
        </w:r>
        <w:r w:rsidR="002B063D" w:rsidRPr="000B33B9">
          <w:rPr>
            <w:rFonts w:ascii="Verdana" w:hAnsi="Verdana"/>
            <w:noProof/>
            <w:webHidden/>
            <w:sz w:val="18"/>
            <w:szCs w:val="18"/>
          </w:rPr>
          <w:fldChar w:fldCharType="end"/>
        </w:r>
      </w:hyperlink>
    </w:p>
    <w:p w14:paraId="5EE77406" w14:textId="49A2981B" w:rsidR="002B063D" w:rsidRPr="000B33B9" w:rsidRDefault="009E3EED" w:rsidP="002B063D">
      <w:pPr>
        <w:pStyle w:val="TDC3"/>
        <w:tabs>
          <w:tab w:val="right" w:leader="dot" w:pos="9792"/>
        </w:tabs>
        <w:spacing w:line="240" w:lineRule="auto"/>
        <w:rPr>
          <w:rFonts w:ascii="Verdana" w:eastAsiaTheme="minorEastAsia" w:hAnsi="Verdana"/>
          <w:i w:val="0"/>
          <w:iCs w:val="0"/>
          <w:noProof/>
          <w:sz w:val="18"/>
          <w:szCs w:val="18"/>
          <w:lang w:val="es-CR" w:eastAsia="es-CR"/>
        </w:rPr>
      </w:pPr>
      <w:hyperlink w:anchor="_Toc27329797" w:history="1">
        <w:r w:rsidR="002B063D" w:rsidRPr="000B33B9">
          <w:rPr>
            <w:rStyle w:val="Hipervnculo"/>
            <w:rFonts w:ascii="Verdana" w:hAnsi="Verdana" w:cs="Arial"/>
            <w:noProof/>
            <w:sz w:val="18"/>
            <w:szCs w:val="18"/>
            <w:lang w:val="es-CR"/>
          </w:rPr>
          <w:t>C.2 Daño inmaterial</w:t>
        </w:r>
        <w:r w:rsidR="002B063D" w:rsidRPr="000B33B9">
          <w:rPr>
            <w:rFonts w:ascii="Verdana" w:hAnsi="Verdana"/>
            <w:noProof/>
            <w:webHidden/>
            <w:sz w:val="18"/>
            <w:szCs w:val="18"/>
          </w:rPr>
          <w:tab/>
        </w:r>
        <w:r w:rsidR="002B063D" w:rsidRPr="000B33B9">
          <w:rPr>
            <w:rFonts w:ascii="Verdana" w:hAnsi="Verdana"/>
            <w:noProof/>
            <w:webHidden/>
            <w:sz w:val="18"/>
            <w:szCs w:val="18"/>
          </w:rPr>
          <w:fldChar w:fldCharType="begin"/>
        </w:r>
        <w:r w:rsidR="002B063D" w:rsidRPr="000B33B9">
          <w:rPr>
            <w:rFonts w:ascii="Verdana" w:hAnsi="Verdana"/>
            <w:noProof/>
            <w:webHidden/>
            <w:sz w:val="18"/>
            <w:szCs w:val="18"/>
          </w:rPr>
          <w:instrText xml:space="preserve"> PAGEREF _Toc27329797 \h </w:instrText>
        </w:r>
        <w:r w:rsidR="002B063D" w:rsidRPr="000B33B9">
          <w:rPr>
            <w:rFonts w:ascii="Verdana" w:hAnsi="Verdana"/>
            <w:noProof/>
            <w:webHidden/>
            <w:sz w:val="18"/>
            <w:szCs w:val="18"/>
          </w:rPr>
        </w:r>
        <w:r w:rsidR="002B063D" w:rsidRPr="000B33B9">
          <w:rPr>
            <w:rFonts w:ascii="Verdana" w:hAnsi="Verdana"/>
            <w:noProof/>
            <w:webHidden/>
            <w:sz w:val="18"/>
            <w:szCs w:val="18"/>
          </w:rPr>
          <w:fldChar w:fldCharType="separate"/>
        </w:r>
        <w:r w:rsidR="00EC2233">
          <w:rPr>
            <w:rFonts w:ascii="Verdana" w:hAnsi="Verdana"/>
            <w:noProof/>
            <w:webHidden/>
            <w:sz w:val="18"/>
            <w:szCs w:val="18"/>
          </w:rPr>
          <w:t>72</w:t>
        </w:r>
        <w:r w:rsidR="002B063D" w:rsidRPr="000B33B9">
          <w:rPr>
            <w:rFonts w:ascii="Verdana" w:hAnsi="Verdana"/>
            <w:noProof/>
            <w:webHidden/>
            <w:sz w:val="18"/>
            <w:szCs w:val="18"/>
          </w:rPr>
          <w:fldChar w:fldCharType="end"/>
        </w:r>
      </w:hyperlink>
    </w:p>
    <w:p w14:paraId="705AE511" w14:textId="3824D894" w:rsidR="002B063D" w:rsidRPr="000B33B9" w:rsidRDefault="009E3EED" w:rsidP="002B063D">
      <w:pPr>
        <w:pStyle w:val="TDC2"/>
        <w:rPr>
          <w:rFonts w:eastAsiaTheme="minorEastAsia" w:cstheme="minorBidi"/>
          <w:bCs w:val="0"/>
          <w:i w:val="0"/>
          <w:smallCaps w:val="0"/>
          <w:lang w:val="es-CR"/>
        </w:rPr>
      </w:pPr>
      <w:hyperlink w:anchor="_Toc27329798" w:history="1">
        <w:r w:rsidR="002B063D" w:rsidRPr="000B33B9">
          <w:rPr>
            <w:rStyle w:val="Hipervnculo"/>
            <w:rFonts w:cs="Arial"/>
          </w:rPr>
          <w:t>D.</w:t>
        </w:r>
        <w:r w:rsidR="002B063D" w:rsidRPr="000B33B9">
          <w:rPr>
            <w:rFonts w:eastAsiaTheme="minorEastAsia" w:cstheme="minorBidi"/>
            <w:bCs w:val="0"/>
            <w:i w:val="0"/>
            <w:smallCaps w:val="0"/>
            <w:lang w:val="es-CR"/>
          </w:rPr>
          <w:tab/>
        </w:r>
        <w:r w:rsidR="002B063D" w:rsidRPr="000B33B9">
          <w:rPr>
            <w:rStyle w:val="Hipervnculo"/>
            <w:rFonts w:cs="Arial"/>
          </w:rPr>
          <w:t>Costas y gastos</w:t>
        </w:r>
        <w:r w:rsidR="002B063D" w:rsidRPr="000B33B9">
          <w:rPr>
            <w:webHidden/>
          </w:rPr>
          <w:tab/>
        </w:r>
        <w:r w:rsidR="002B063D" w:rsidRPr="000B33B9">
          <w:rPr>
            <w:webHidden/>
          </w:rPr>
          <w:fldChar w:fldCharType="begin"/>
        </w:r>
        <w:r w:rsidR="002B063D" w:rsidRPr="000B33B9">
          <w:rPr>
            <w:webHidden/>
          </w:rPr>
          <w:instrText xml:space="preserve"> PAGEREF _Toc27329798 \h </w:instrText>
        </w:r>
        <w:r w:rsidR="002B063D" w:rsidRPr="000B33B9">
          <w:rPr>
            <w:webHidden/>
          </w:rPr>
        </w:r>
        <w:r w:rsidR="002B063D" w:rsidRPr="000B33B9">
          <w:rPr>
            <w:webHidden/>
          </w:rPr>
          <w:fldChar w:fldCharType="separate"/>
        </w:r>
        <w:r w:rsidR="00EC2233">
          <w:rPr>
            <w:webHidden/>
          </w:rPr>
          <w:t>74</w:t>
        </w:r>
        <w:r w:rsidR="002B063D" w:rsidRPr="000B33B9">
          <w:rPr>
            <w:webHidden/>
          </w:rPr>
          <w:fldChar w:fldCharType="end"/>
        </w:r>
      </w:hyperlink>
    </w:p>
    <w:p w14:paraId="6A12A3AD" w14:textId="16EED5C8" w:rsidR="002B063D" w:rsidRPr="000B33B9" w:rsidRDefault="009E3EED" w:rsidP="002B063D">
      <w:pPr>
        <w:pStyle w:val="TDC2"/>
        <w:rPr>
          <w:rFonts w:eastAsiaTheme="minorEastAsia" w:cstheme="minorBidi"/>
          <w:bCs w:val="0"/>
          <w:i w:val="0"/>
          <w:smallCaps w:val="0"/>
          <w:lang w:val="es-CR"/>
        </w:rPr>
      </w:pPr>
      <w:hyperlink w:anchor="_Toc27329799" w:history="1">
        <w:r w:rsidR="002B063D" w:rsidRPr="000B33B9">
          <w:rPr>
            <w:rStyle w:val="Hipervnculo"/>
            <w:rFonts w:cs="Arial"/>
          </w:rPr>
          <w:t>E.</w:t>
        </w:r>
        <w:r w:rsidR="002B063D" w:rsidRPr="000B33B9">
          <w:rPr>
            <w:rFonts w:eastAsiaTheme="minorEastAsia" w:cstheme="minorBidi"/>
            <w:bCs w:val="0"/>
            <w:i w:val="0"/>
            <w:smallCaps w:val="0"/>
            <w:lang w:val="es-CR"/>
          </w:rPr>
          <w:tab/>
        </w:r>
        <w:r w:rsidR="002B063D" w:rsidRPr="000B33B9">
          <w:rPr>
            <w:rStyle w:val="Hipervnculo"/>
            <w:rFonts w:cs="Arial"/>
          </w:rPr>
          <w:t>Modalidad de cumplimiento de los pagos ordenados</w:t>
        </w:r>
        <w:r w:rsidR="002B063D" w:rsidRPr="000B33B9">
          <w:rPr>
            <w:webHidden/>
          </w:rPr>
          <w:tab/>
        </w:r>
        <w:r w:rsidR="002B063D" w:rsidRPr="000B33B9">
          <w:rPr>
            <w:webHidden/>
          </w:rPr>
          <w:fldChar w:fldCharType="begin"/>
        </w:r>
        <w:r w:rsidR="002B063D" w:rsidRPr="000B33B9">
          <w:rPr>
            <w:webHidden/>
          </w:rPr>
          <w:instrText xml:space="preserve"> PAGEREF _Toc27329799 \h </w:instrText>
        </w:r>
        <w:r w:rsidR="002B063D" w:rsidRPr="000B33B9">
          <w:rPr>
            <w:webHidden/>
          </w:rPr>
        </w:r>
        <w:r w:rsidR="002B063D" w:rsidRPr="000B33B9">
          <w:rPr>
            <w:webHidden/>
          </w:rPr>
          <w:fldChar w:fldCharType="separate"/>
        </w:r>
        <w:r w:rsidR="00EC2233">
          <w:rPr>
            <w:webHidden/>
          </w:rPr>
          <w:t>75</w:t>
        </w:r>
        <w:r w:rsidR="002B063D" w:rsidRPr="000B33B9">
          <w:rPr>
            <w:webHidden/>
          </w:rPr>
          <w:fldChar w:fldCharType="end"/>
        </w:r>
      </w:hyperlink>
    </w:p>
    <w:p w14:paraId="681E1044" w14:textId="1022948B" w:rsidR="002B063D" w:rsidRPr="000B33B9" w:rsidRDefault="009E3EED" w:rsidP="002B063D">
      <w:pPr>
        <w:pStyle w:val="TDC1"/>
        <w:rPr>
          <w:rFonts w:eastAsiaTheme="minorEastAsia" w:cstheme="minorBidi"/>
          <w:b w:val="0"/>
          <w:bCs w:val="0"/>
          <w:caps w:val="0"/>
          <w:snapToGrid/>
          <w:lang w:val="es-CR" w:eastAsia="es-CR"/>
        </w:rPr>
      </w:pPr>
      <w:hyperlink w:anchor="_Toc27329800" w:history="1">
        <w:r w:rsidR="002B063D" w:rsidRPr="000B33B9">
          <w:rPr>
            <w:rStyle w:val="Hipervnculo"/>
          </w:rPr>
          <w:t>X PUNTOS RESOLUTIVOS</w:t>
        </w:r>
        <w:r w:rsidR="002B063D" w:rsidRPr="000B33B9">
          <w:rPr>
            <w:webHidden/>
          </w:rPr>
          <w:tab/>
        </w:r>
        <w:r w:rsidR="002B063D" w:rsidRPr="000B33B9">
          <w:rPr>
            <w:webHidden/>
          </w:rPr>
          <w:fldChar w:fldCharType="begin"/>
        </w:r>
        <w:r w:rsidR="002B063D" w:rsidRPr="000B33B9">
          <w:rPr>
            <w:webHidden/>
          </w:rPr>
          <w:instrText xml:space="preserve"> PAGEREF _Toc27329800 \h </w:instrText>
        </w:r>
        <w:r w:rsidR="002B063D" w:rsidRPr="000B33B9">
          <w:rPr>
            <w:webHidden/>
          </w:rPr>
        </w:r>
        <w:r w:rsidR="002B063D" w:rsidRPr="000B33B9">
          <w:rPr>
            <w:webHidden/>
          </w:rPr>
          <w:fldChar w:fldCharType="separate"/>
        </w:r>
        <w:r w:rsidR="00EC2233">
          <w:rPr>
            <w:webHidden/>
          </w:rPr>
          <w:t>76</w:t>
        </w:r>
        <w:r w:rsidR="002B063D" w:rsidRPr="000B33B9">
          <w:rPr>
            <w:webHidden/>
          </w:rPr>
          <w:fldChar w:fldCharType="end"/>
        </w:r>
      </w:hyperlink>
    </w:p>
    <w:p w14:paraId="6462FA89" w14:textId="0E9523FA" w:rsidR="002B063D" w:rsidRPr="000B33B9" w:rsidRDefault="009E3EED" w:rsidP="002B063D">
      <w:pPr>
        <w:pStyle w:val="TDC1"/>
        <w:rPr>
          <w:rFonts w:eastAsiaTheme="minorEastAsia" w:cstheme="minorBidi"/>
          <w:b w:val="0"/>
          <w:bCs w:val="0"/>
          <w:caps w:val="0"/>
          <w:snapToGrid/>
          <w:lang w:val="es-CR" w:eastAsia="es-CR"/>
        </w:rPr>
      </w:pPr>
      <w:hyperlink r:id="rId11" w:anchor="_Toc27329801" w:history="1">
        <w:r w:rsidR="002B063D" w:rsidRPr="000B33B9">
          <w:rPr>
            <w:rStyle w:val="Hipervnculo"/>
          </w:rPr>
          <w:t>ANEXO 1. LISTADO DE PRESUNTAS VÍCTIMAS REMITIDO POR LA CIDH</w:t>
        </w:r>
        <w:r w:rsidR="002B063D" w:rsidRPr="000B33B9">
          <w:rPr>
            <w:webHidden/>
          </w:rPr>
          <w:tab/>
        </w:r>
        <w:r w:rsidR="002B063D" w:rsidRPr="000B33B9">
          <w:rPr>
            <w:webHidden/>
          </w:rPr>
          <w:fldChar w:fldCharType="begin"/>
        </w:r>
        <w:r w:rsidR="002B063D" w:rsidRPr="000B33B9">
          <w:rPr>
            <w:webHidden/>
          </w:rPr>
          <w:instrText xml:space="preserve"> PAGEREF _Toc27329801 \h </w:instrText>
        </w:r>
        <w:r w:rsidR="002B063D" w:rsidRPr="000B33B9">
          <w:rPr>
            <w:webHidden/>
          </w:rPr>
        </w:r>
        <w:r w:rsidR="002B063D" w:rsidRPr="000B33B9">
          <w:rPr>
            <w:webHidden/>
          </w:rPr>
          <w:fldChar w:fldCharType="separate"/>
        </w:r>
        <w:r w:rsidR="00EC2233">
          <w:rPr>
            <w:webHidden/>
          </w:rPr>
          <w:t>77</w:t>
        </w:r>
        <w:r w:rsidR="002B063D" w:rsidRPr="000B33B9">
          <w:rPr>
            <w:webHidden/>
          </w:rPr>
          <w:fldChar w:fldCharType="end"/>
        </w:r>
      </w:hyperlink>
    </w:p>
    <w:p w14:paraId="443240F2" w14:textId="1B825B01" w:rsidR="002B063D" w:rsidRPr="000B33B9" w:rsidRDefault="009E3EED" w:rsidP="002B063D">
      <w:pPr>
        <w:pStyle w:val="TDC1"/>
        <w:rPr>
          <w:rFonts w:eastAsiaTheme="minorEastAsia" w:cstheme="minorBidi"/>
          <w:b w:val="0"/>
          <w:bCs w:val="0"/>
          <w:caps w:val="0"/>
          <w:snapToGrid/>
          <w:lang w:val="es-CR" w:eastAsia="es-CR"/>
        </w:rPr>
      </w:pPr>
      <w:hyperlink r:id="rId12" w:anchor="_Toc27329802" w:history="1">
        <w:r w:rsidR="002B063D" w:rsidRPr="000B33B9">
          <w:rPr>
            <w:rStyle w:val="Hipervnculo"/>
          </w:rPr>
          <w:t>ANEXO 2. LISTADO DE VÍCTIMAS DEL CASO</w:t>
        </w:r>
        <w:r w:rsidR="002B063D" w:rsidRPr="000B33B9">
          <w:rPr>
            <w:webHidden/>
          </w:rPr>
          <w:tab/>
        </w:r>
        <w:r w:rsidR="002B063D" w:rsidRPr="000B33B9">
          <w:rPr>
            <w:webHidden/>
          </w:rPr>
          <w:fldChar w:fldCharType="begin"/>
        </w:r>
        <w:r w:rsidR="002B063D" w:rsidRPr="000B33B9">
          <w:rPr>
            <w:webHidden/>
          </w:rPr>
          <w:instrText xml:space="preserve"> PAGEREF _Toc27329802 \h </w:instrText>
        </w:r>
        <w:r w:rsidR="002B063D" w:rsidRPr="000B33B9">
          <w:rPr>
            <w:webHidden/>
          </w:rPr>
        </w:r>
        <w:r w:rsidR="002B063D" w:rsidRPr="000B33B9">
          <w:rPr>
            <w:webHidden/>
          </w:rPr>
          <w:fldChar w:fldCharType="separate"/>
        </w:r>
        <w:r w:rsidR="00EC2233">
          <w:rPr>
            <w:webHidden/>
          </w:rPr>
          <w:t>77</w:t>
        </w:r>
        <w:r w:rsidR="002B063D" w:rsidRPr="000B33B9">
          <w:rPr>
            <w:webHidden/>
          </w:rPr>
          <w:fldChar w:fldCharType="end"/>
        </w:r>
      </w:hyperlink>
    </w:p>
    <w:p w14:paraId="48A843EC" w14:textId="3DC9A735" w:rsidR="001C05D8" w:rsidRPr="000B33B9" w:rsidRDefault="002F20D8" w:rsidP="002B063D">
      <w:pPr>
        <w:pStyle w:val="TDC1"/>
        <w:jc w:val="both"/>
        <w:rPr>
          <w:rFonts w:eastAsia="Calibri"/>
        </w:rPr>
      </w:pPr>
      <w:r w:rsidRPr="000B33B9">
        <w:rPr>
          <w:rFonts w:eastAsia="Calibri"/>
        </w:rPr>
        <w:fldChar w:fldCharType="end"/>
      </w:r>
      <w:r w:rsidR="001C05D8" w:rsidRPr="000B33B9">
        <w:rPr>
          <w:rFonts w:eastAsia="Calibri"/>
        </w:rPr>
        <w:br w:type="page"/>
      </w:r>
    </w:p>
    <w:p w14:paraId="7A428CC6" w14:textId="77777777" w:rsidR="001C05D8" w:rsidRPr="000B33B9" w:rsidRDefault="001C05D8" w:rsidP="003C0487">
      <w:pPr>
        <w:pStyle w:val="Ttulo1"/>
        <w:rPr>
          <w:rFonts w:eastAsia="Times New Roman" w:cs="Verdana"/>
          <w:bCs/>
          <w:caps/>
          <w:snapToGrid w:val="0"/>
          <w:lang w:val="es-ES_tradnl"/>
        </w:rPr>
      </w:pPr>
      <w:bookmarkStart w:id="2" w:name="_Toc494123963"/>
      <w:bookmarkStart w:id="3" w:name="_Toc27329737"/>
      <w:r w:rsidRPr="000B33B9">
        <w:rPr>
          <w:rFonts w:eastAsia="Times New Roman" w:cs="Verdana"/>
          <w:bCs/>
          <w:caps/>
          <w:snapToGrid w:val="0"/>
          <w:lang w:val="es-ES_tradnl"/>
        </w:rPr>
        <w:t>I</w:t>
      </w:r>
      <w:r w:rsidRPr="000B33B9">
        <w:rPr>
          <w:rFonts w:eastAsia="Times New Roman" w:cs="Verdana"/>
          <w:bCs/>
          <w:caps/>
          <w:snapToGrid w:val="0"/>
          <w:lang w:val="es-ES_tradnl"/>
        </w:rPr>
        <w:br/>
      </w:r>
      <w:bookmarkEnd w:id="1"/>
      <w:r w:rsidRPr="000B33B9">
        <w:rPr>
          <w:rFonts w:eastAsia="Times New Roman" w:cs="Verdana"/>
          <w:bCs/>
          <w:caps/>
          <w:snapToGrid w:val="0"/>
          <w:lang w:val="es-ES_tradnl"/>
        </w:rPr>
        <w:t>INTRODUCCIÓN DE LA CAUSA Y OBJETO DE LA CONTROVERSIA</w:t>
      </w:r>
      <w:bookmarkEnd w:id="2"/>
      <w:bookmarkEnd w:id="3"/>
    </w:p>
    <w:p w14:paraId="161AA85B" w14:textId="77777777" w:rsidR="008A351B" w:rsidRPr="000B33B9" w:rsidRDefault="008A351B" w:rsidP="00C962FE">
      <w:pPr>
        <w:spacing w:after="0" w:line="240" w:lineRule="auto"/>
        <w:rPr>
          <w:rFonts w:ascii="Verdana" w:hAnsi="Verdana"/>
          <w:sz w:val="20"/>
          <w:szCs w:val="20"/>
          <w:lang w:val="es-ES_tradnl"/>
        </w:rPr>
      </w:pPr>
    </w:p>
    <w:p w14:paraId="661F722D" w14:textId="7459AE05" w:rsidR="009C600B" w:rsidRPr="000B33B9" w:rsidRDefault="001C05D8" w:rsidP="007B74B8">
      <w:pPr>
        <w:widowControl w:val="0"/>
        <w:numPr>
          <w:ilvl w:val="0"/>
          <w:numId w:val="10"/>
        </w:numPr>
        <w:tabs>
          <w:tab w:val="left" w:pos="567"/>
          <w:tab w:val="num" w:pos="12305"/>
        </w:tabs>
        <w:adjustRightInd w:val="0"/>
        <w:spacing w:after="0" w:line="240" w:lineRule="auto"/>
        <w:ind w:left="0" w:firstLine="0"/>
        <w:jc w:val="both"/>
        <w:textAlignment w:val="baseline"/>
        <w:rPr>
          <w:rFonts w:ascii="Verdana" w:hAnsi="Verdana"/>
          <w:color w:val="151515"/>
          <w:sz w:val="20"/>
          <w:szCs w:val="20"/>
          <w:lang w:val="es-CR" w:eastAsia="es-CR"/>
        </w:rPr>
      </w:pPr>
      <w:r w:rsidRPr="000B33B9">
        <w:rPr>
          <w:rFonts w:ascii="Verdana" w:eastAsia="Verdana" w:hAnsi="Verdana" w:cs="Verdana"/>
          <w:i/>
          <w:sz w:val="20"/>
          <w:szCs w:val="20"/>
          <w:lang w:val="es-ES" w:eastAsia="es-CR"/>
        </w:rPr>
        <w:t xml:space="preserve">El caso sometido a la Corte. – </w:t>
      </w:r>
      <w:r w:rsidRPr="000B33B9">
        <w:rPr>
          <w:rFonts w:ascii="Verdana" w:eastAsia="Verdana" w:hAnsi="Verdana" w:cs="Verdana"/>
          <w:sz w:val="20"/>
          <w:szCs w:val="20"/>
          <w:lang w:val="es-ES" w:eastAsia="es-CR"/>
        </w:rPr>
        <w:t xml:space="preserve">El </w:t>
      </w:r>
      <w:r w:rsidR="00E17AE9" w:rsidRPr="000B33B9">
        <w:rPr>
          <w:rFonts w:ascii="Verdana" w:eastAsia="Verdana" w:hAnsi="Verdana" w:cs="Verdana"/>
          <w:sz w:val="20"/>
          <w:szCs w:val="20"/>
          <w:lang w:val="es-ES" w:eastAsia="es-CR"/>
        </w:rPr>
        <w:t>15 de septiembre de 2017</w:t>
      </w:r>
      <w:r w:rsidRPr="000B33B9">
        <w:rPr>
          <w:rFonts w:ascii="Verdana" w:eastAsia="Verdana" w:hAnsi="Verdana" w:cs="Verdana"/>
          <w:sz w:val="20"/>
          <w:szCs w:val="20"/>
          <w:lang w:val="es-ES" w:eastAsia="es-CR"/>
        </w:rPr>
        <w:t xml:space="preserve"> la Comisión Interamericana de Derechos Humanos (en adelante “la Comisión Interamericana” o “la Comisión”) sometió a la jurisdicción de la Corte el caso </w:t>
      </w:r>
      <w:r w:rsidR="00E17AE9" w:rsidRPr="000B33B9">
        <w:rPr>
          <w:rFonts w:ascii="Verdana" w:eastAsia="Verdana" w:hAnsi="Verdana" w:cs="Verdana"/>
          <w:i/>
          <w:sz w:val="20"/>
          <w:szCs w:val="20"/>
          <w:lang w:val="es-ES" w:eastAsia="es-CR"/>
        </w:rPr>
        <w:t>Asociación Nacional de Cesantes y Jubilados de la Superintendencia Nacional de Administración Tributaria (ANCEJUB-SUNAT)</w:t>
      </w:r>
      <w:r w:rsidRPr="000B33B9">
        <w:rPr>
          <w:rFonts w:ascii="Verdana" w:eastAsia="Verdana" w:hAnsi="Verdana" w:cs="Verdana"/>
          <w:sz w:val="20"/>
          <w:szCs w:val="20"/>
          <w:lang w:val="es-ES" w:eastAsia="es-CR"/>
        </w:rPr>
        <w:t xml:space="preserve"> contra la República de</w:t>
      </w:r>
      <w:r w:rsidR="00E17AE9" w:rsidRPr="000B33B9">
        <w:rPr>
          <w:rFonts w:ascii="Verdana" w:eastAsia="Verdana" w:hAnsi="Verdana" w:cs="Verdana"/>
          <w:sz w:val="20"/>
          <w:szCs w:val="20"/>
          <w:lang w:val="es-ES" w:eastAsia="es-CR"/>
        </w:rPr>
        <w:t>l Perú</w:t>
      </w:r>
      <w:r w:rsidRPr="000B33B9">
        <w:rPr>
          <w:rFonts w:ascii="Verdana" w:eastAsia="Verdana" w:hAnsi="Verdana" w:cs="Verdana"/>
          <w:sz w:val="20"/>
          <w:szCs w:val="20"/>
          <w:lang w:val="es-ES" w:eastAsia="es-CR"/>
        </w:rPr>
        <w:t xml:space="preserve"> (en adelante “el Estado </w:t>
      </w:r>
      <w:r w:rsidR="00E17AE9" w:rsidRPr="000B33B9">
        <w:rPr>
          <w:rFonts w:ascii="Verdana" w:eastAsia="Verdana" w:hAnsi="Verdana" w:cs="Verdana"/>
          <w:sz w:val="20"/>
          <w:szCs w:val="20"/>
          <w:lang w:val="es-ES" w:eastAsia="es-CR"/>
        </w:rPr>
        <w:t>peruano</w:t>
      </w:r>
      <w:r w:rsidRPr="000B33B9">
        <w:rPr>
          <w:rFonts w:ascii="Verdana" w:eastAsia="Verdana" w:hAnsi="Verdana" w:cs="Verdana"/>
          <w:sz w:val="20"/>
          <w:szCs w:val="20"/>
          <w:lang w:val="es-ES" w:eastAsia="es-CR"/>
        </w:rPr>
        <w:t>”, “el Estado” o “</w:t>
      </w:r>
      <w:r w:rsidR="00E17AE9" w:rsidRPr="000B33B9">
        <w:rPr>
          <w:rFonts w:ascii="Verdana" w:eastAsia="Verdana" w:hAnsi="Verdana" w:cs="Verdana"/>
          <w:sz w:val="20"/>
          <w:szCs w:val="20"/>
          <w:lang w:val="es-ES" w:eastAsia="es-CR"/>
        </w:rPr>
        <w:t>Perú</w:t>
      </w:r>
      <w:r w:rsidRPr="000B33B9">
        <w:rPr>
          <w:rFonts w:ascii="Verdana" w:eastAsia="Verdana" w:hAnsi="Verdana" w:cs="Verdana"/>
          <w:sz w:val="20"/>
          <w:szCs w:val="20"/>
          <w:lang w:val="es-ES" w:eastAsia="es-CR"/>
        </w:rPr>
        <w:t xml:space="preserve">”). De acuerdo con lo indicado por la Comisión, el caso </w:t>
      </w:r>
      <w:r w:rsidR="00130BEF" w:rsidRPr="000B33B9">
        <w:rPr>
          <w:rFonts w:ascii="Verdana" w:eastAsia="Verdana" w:hAnsi="Verdana" w:cs="Verdana"/>
          <w:sz w:val="20"/>
          <w:szCs w:val="20"/>
          <w:lang w:val="es-ES" w:eastAsia="es-CR"/>
        </w:rPr>
        <w:t xml:space="preserve">se </w:t>
      </w:r>
      <w:r w:rsidRPr="000B33B9">
        <w:rPr>
          <w:rFonts w:ascii="Verdana" w:hAnsi="Verdana"/>
          <w:sz w:val="20"/>
          <w:szCs w:val="20"/>
          <w:lang w:val="es-CR" w:eastAsia="es-CR"/>
        </w:rPr>
        <w:t xml:space="preserve">relaciona </w:t>
      </w:r>
      <w:r w:rsidRPr="000B33B9">
        <w:rPr>
          <w:rFonts w:ascii="Verdana" w:hAnsi="Verdana" w:cs="Arial"/>
          <w:color w:val="1A1A1A"/>
          <w:sz w:val="20"/>
          <w:szCs w:val="20"/>
          <w:lang w:val="es-CR" w:eastAsia="es-CR"/>
        </w:rPr>
        <w:t xml:space="preserve">con </w:t>
      </w:r>
      <w:r w:rsidR="00E17AE9" w:rsidRPr="000B33B9">
        <w:rPr>
          <w:rFonts w:ascii="Verdana" w:hAnsi="Verdana" w:cs="Arial"/>
          <w:color w:val="1A1A1A"/>
          <w:sz w:val="20"/>
          <w:szCs w:val="20"/>
          <w:lang w:val="es-CR" w:eastAsia="es-CR"/>
        </w:rPr>
        <w:t>la vulneración del derecho a la protección judicial por la falta de cumplimiento de una sentencia de la Corte Suprema de Justicia del Perú, de</w:t>
      </w:r>
      <w:r w:rsidR="0049488A" w:rsidRPr="000B33B9">
        <w:rPr>
          <w:rFonts w:ascii="Verdana" w:hAnsi="Verdana" w:cs="Arial"/>
          <w:color w:val="1A1A1A"/>
          <w:sz w:val="20"/>
          <w:szCs w:val="20"/>
          <w:lang w:val="es-CR" w:eastAsia="es-CR"/>
        </w:rPr>
        <w:t xml:space="preserve"> 25 de</w:t>
      </w:r>
      <w:r w:rsidR="00E17AE9" w:rsidRPr="000B33B9">
        <w:rPr>
          <w:rFonts w:ascii="Verdana" w:hAnsi="Verdana" w:cs="Arial"/>
          <w:color w:val="1A1A1A"/>
          <w:sz w:val="20"/>
          <w:szCs w:val="20"/>
          <w:lang w:val="es-CR" w:eastAsia="es-CR"/>
        </w:rPr>
        <w:t xml:space="preserve"> octubre de 1993, que reconocía derechos pensionarios a </w:t>
      </w:r>
      <w:r w:rsidR="00E3367A" w:rsidRPr="000B33B9">
        <w:rPr>
          <w:rFonts w:ascii="Verdana" w:hAnsi="Verdana" w:cs="Arial"/>
          <w:color w:val="1A1A1A"/>
          <w:sz w:val="20"/>
          <w:szCs w:val="20"/>
          <w:lang w:val="es-CR" w:eastAsia="es-CR"/>
        </w:rPr>
        <w:t xml:space="preserve">la </w:t>
      </w:r>
      <w:r w:rsidR="00E3367A" w:rsidRPr="000B33B9">
        <w:rPr>
          <w:rFonts w:ascii="Verdana" w:hAnsi="Verdana"/>
          <w:sz w:val="20"/>
          <w:szCs w:val="20"/>
          <w:lang w:val="es-DO"/>
        </w:rPr>
        <w:t>Asociación Nacional de Cesantes y Jubilados de la Superintendencia Nacional de Administración Tributaria (en adelante “ANCEJUB-SUNAT”)</w:t>
      </w:r>
      <w:r w:rsidR="00E17AE9" w:rsidRPr="000B33B9">
        <w:rPr>
          <w:rFonts w:ascii="Verdana" w:hAnsi="Verdana" w:cs="Arial"/>
          <w:color w:val="1A1A1A"/>
          <w:sz w:val="20"/>
          <w:szCs w:val="20"/>
          <w:lang w:val="es-CR" w:eastAsia="es-CR"/>
        </w:rPr>
        <w:t>. La Comisión consideró que el Poder Judicial peruano no ha aplicado las medidas necesarias para la implementación de un fallo judicial favorable a un grupo de pensionistas</w:t>
      </w:r>
      <w:r w:rsidR="009C6E35" w:rsidRPr="000B33B9">
        <w:rPr>
          <w:rFonts w:ascii="Verdana" w:hAnsi="Verdana" w:cs="Arial"/>
          <w:color w:val="1A1A1A"/>
          <w:sz w:val="20"/>
          <w:szCs w:val="20"/>
          <w:lang w:val="es-CR" w:eastAsia="es-CR"/>
        </w:rPr>
        <w:t>. La C</w:t>
      </w:r>
      <w:r w:rsidR="002F36FF" w:rsidRPr="000B33B9">
        <w:rPr>
          <w:rFonts w:ascii="Verdana" w:hAnsi="Verdana" w:cs="Arial"/>
          <w:color w:val="1A1A1A"/>
          <w:sz w:val="20"/>
          <w:szCs w:val="20"/>
          <w:lang w:val="es-CR" w:eastAsia="es-CR"/>
        </w:rPr>
        <w:t>omisión agregó que</w:t>
      </w:r>
      <w:r w:rsidR="000106BD" w:rsidRPr="000B33B9">
        <w:rPr>
          <w:rFonts w:ascii="Verdana" w:hAnsi="Verdana" w:cs="Arial"/>
          <w:color w:val="1A1A1A"/>
          <w:sz w:val="20"/>
          <w:szCs w:val="20"/>
          <w:lang w:val="es-CR" w:eastAsia="es-CR"/>
        </w:rPr>
        <w:t xml:space="preserve"> el lapso de más de 23 años sin que se ejecute la sentencia de la Corte Suprema de octubre de 1993 sobrepasa un plazo que pueda considerarse razonable. Finalmente, la Comisión</w:t>
      </w:r>
      <w:r w:rsidR="000B07EF" w:rsidRPr="000B33B9">
        <w:rPr>
          <w:rFonts w:ascii="Verdana" w:hAnsi="Verdana" w:cs="Arial"/>
          <w:color w:val="1A1A1A"/>
          <w:sz w:val="20"/>
          <w:szCs w:val="20"/>
          <w:lang w:val="es-CR" w:eastAsia="es-CR"/>
        </w:rPr>
        <w:t xml:space="preserve"> concluyó que el Estado violó el derecho a la propiedad de las </w:t>
      </w:r>
      <w:r w:rsidR="0049488A" w:rsidRPr="000B33B9">
        <w:rPr>
          <w:rFonts w:ascii="Verdana" w:hAnsi="Verdana" w:cs="Arial"/>
          <w:color w:val="1A1A1A"/>
          <w:sz w:val="20"/>
          <w:szCs w:val="20"/>
          <w:lang w:val="es-CR" w:eastAsia="es-CR"/>
        </w:rPr>
        <w:t xml:space="preserve">presuntas </w:t>
      </w:r>
      <w:r w:rsidR="000B07EF" w:rsidRPr="000B33B9">
        <w:rPr>
          <w:rFonts w:ascii="Verdana" w:hAnsi="Verdana" w:cs="Arial"/>
          <w:color w:val="1A1A1A"/>
          <w:sz w:val="20"/>
          <w:szCs w:val="20"/>
          <w:lang w:val="es-CR" w:eastAsia="es-CR"/>
        </w:rPr>
        <w:t>víctimas puesto que estas no pudieron gozar integralmente de los efectos patrimoniales</w:t>
      </w:r>
      <w:r w:rsidR="00CD6B75" w:rsidRPr="000B33B9">
        <w:rPr>
          <w:rFonts w:ascii="Verdana" w:hAnsi="Verdana" w:cs="Arial"/>
          <w:color w:val="1A1A1A"/>
          <w:sz w:val="20"/>
          <w:szCs w:val="20"/>
          <w:lang w:val="es-CR" w:eastAsia="es-CR"/>
        </w:rPr>
        <w:t xml:space="preserve"> </w:t>
      </w:r>
      <w:r w:rsidR="000B07EF" w:rsidRPr="000B33B9">
        <w:rPr>
          <w:rFonts w:ascii="Verdana" w:hAnsi="Verdana" w:cs="Arial"/>
          <w:color w:val="1A1A1A"/>
          <w:sz w:val="20"/>
          <w:szCs w:val="20"/>
          <w:lang w:val="es-CR" w:eastAsia="es-CR"/>
        </w:rPr>
        <w:t>de su pensión conforme a lo establecido por la sentencia de</w:t>
      </w:r>
      <w:r w:rsidR="0049488A" w:rsidRPr="000B33B9">
        <w:rPr>
          <w:rFonts w:ascii="Verdana" w:hAnsi="Verdana" w:cs="Arial"/>
          <w:color w:val="1A1A1A"/>
          <w:sz w:val="20"/>
          <w:szCs w:val="20"/>
          <w:lang w:val="es-CR" w:eastAsia="es-CR"/>
        </w:rPr>
        <w:t xml:space="preserve"> 25 de</w:t>
      </w:r>
      <w:r w:rsidR="000B07EF" w:rsidRPr="000B33B9">
        <w:rPr>
          <w:rFonts w:ascii="Verdana" w:hAnsi="Verdana" w:cs="Arial"/>
          <w:color w:val="1A1A1A"/>
          <w:sz w:val="20"/>
          <w:szCs w:val="20"/>
          <w:lang w:val="es-CR" w:eastAsia="es-CR"/>
        </w:rPr>
        <w:t xml:space="preserve"> octubre de 1993.</w:t>
      </w:r>
    </w:p>
    <w:p w14:paraId="10ACB23D" w14:textId="77777777" w:rsidR="008A351B" w:rsidRPr="000B33B9" w:rsidRDefault="008A351B" w:rsidP="00C962FE">
      <w:pPr>
        <w:widowControl w:val="0"/>
        <w:tabs>
          <w:tab w:val="left" w:pos="567"/>
        </w:tabs>
        <w:adjustRightInd w:val="0"/>
        <w:spacing w:after="0" w:line="240" w:lineRule="auto"/>
        <w:jc w:val="both"/>
        <w:textAlignment w:val="baseline"/>
        <w:rPr>
          <w:rFonts w:ascii="Verdana" w:hAnsi="Verdana"/>
          <w:color w:val="151515"/>
          <w:sz w:val="20"/>
          <w:szCs w:val="20"/>
          <w:lang w:val="es-CR" w:eastAsia="es-CR"/>
        </w:rPr>
      </w:pPr>
    </w:p>
    <w:p w14:paraId="5F6C1810" w14:textId="77777777" w:rsidR="001C05D8" w:rsidRPr="000B33B9" w:rsidRDefault="001C05D8" w:rsidP="007B74B8">
      <w:pPr>
        <w:widowControl w:val="0"/>
        <w:numPr>
          <w:ilvl w:val="0"/>
          <w:numId w:val="10"/>
        </w:numPr>
        <w:tabs>
          <w:tab w:val="left" w:pos="567"/>
          <w:tab w:val="num" w:pos="12305"/>
        </w:tabs>
        <w:adjustRightInd w:val="0"/>
        <w:spacing w:after="0" w:line="240" w:lineRule="auto"/>
        <w:ind w:left="0" w:firstLine="0"/>
        <w:jc w:val="both"/>
        <w:textAlignment w:val="baseline"/>
        <w:rPr>
          <w:rFonts w:ascii="Verdana" w:eastAsia="Calibri" w:hAnsi="Verdana" w:cs="Arial"/>
          <w:sz w:val="20"/>
          <w:szCs w:val="20"/>
          <w:lang w:val="es-ES" w:eastAsia="es-CR"/>
        </w:rPr>
      </w:pPr>
      <w:r w:rsidRPr="000B33B9">
        <w:rPr>
          <w:rFonts w:ascii="Verdana" w:eastAsia="Verdana" w:hAnsi="Verdana" w:cs="Verdana"/>
          <w:i/>
          <w:sz w:val="20"/>
          <w:szCs w:val="20"/>
          <w:lang w:val="es-ES" w:eastAsia="es-CR"/>
        </w:rPr>
        <w:t xml:space="preserve">Trámite ante la Comisión. – </w:t>
      </w:r>
      <w:r w:rsidRPr="000B33B9">
        <w:rPr>
          <w:rFonts w:ascii="Verdana" w:eastAsia="Verdana" w:hAnsi="Verdana" w:cs="Verdana"/>
          <w:sz w:val="20"/>
          <w:szCs w:val="20"/>
          <w:lang w:val="es-ES" w:eastAsia="es-CR"/>
        </w:rPr>
        <w:t>El trámite ante la Comisión fue el siguiente:</w:t>
      </w:r>
    </w:p>
    <w:p w14:paraId="379E38EE" w14:textId="77777777" w:rsidR="008A351B" w:rsidRPr="000B33B9" w:rsidRDefault="008A351B" w:rsidP="00C962FE">
      <w:pPr>
        <w:widowControl w:val="0"/>
        <w:tabs>
          <w:tab w:val="left" w:pos="567"/>
        </w:tabs>
        <w:adjustRightInd w:val="0"/>
        <w:spacing w:after="0" w:line="240" w:lineRule="auto"/>
        <w:jc w:val="both"/>
        <w:textAlignment w:val="baseline"/>
        <w:rPr>
          <w:rFonts w:ascii="Verdana" w:eastAsia="Calibri" w:hAnsi="Verdana" w:cs="Arial"/>
          <w:sz w:val="20"/>
          <w:szCs w:val="20"/>
          <w:lang w:val="es-ES" w:eastAsia="es-CR"/>
        </w:rPr>
      </w:pPr>
    </w:p>
    <w:p w14:paraId="50E41758" w14:textId="47046E93" w:rsidR="00C06400" w:rsidRPr="000B33B9" w:rsidRDefault="001C05D8" w:rsidP="007B74B8">
      <w:pPr>
        <w:widowControl w:val="0"/>
        <w:numPr>
          <w:ilvl w:val="0"/>
          <w:numId w:val="11"/>
        </w:numPr>
        <w:adjustRightInd w:val="0"/>
        <w:spacing w:after="0" w:line="240" w:lineRule="auto"/>
        <w:ind w:left="816" w:right="142" w:hanging="357"/>
        <w:jc w:val="both"/>
        <w:textAlignment w:val="baseline"/>
        <w:rPr>
          <w:rFonts w:ascii="Verdana" w:eastAsia="Verdana" w:hAnsi="Verdana" w:cs="Verdana"/>
          <w:sz w:val="20"/>
          <w:szCs w:val="20"/>
          <w:lang w:val="es-ES" w:eastAsia="es-CR"/>
        </w:rPr>
      </w:pPr>
      <w:r w:rsidRPr="000B33B9">
        <w:rPr>
          <w:rFonts w:ascii="Verdana" w:eastAsia="Verdana" w:hAnsi="Verdana" w:cs="Verdana"/>
          <w:i/>
          <w:sz w:val="20"/>
          <w:szCs w:val="20"/>
          <w:lang w:val="es-ES" w:eastAsia="es-CR"/>
        </w:rPr>
        <w:t xml:space="preserve">Petición. – </w:t>
      </w:r>
      <w:r w:rsidR="00C27650" w:rsidRPr="000B33B9">
        <w:rPr>
          <w:rFonts w:ascii="Verdana" w:eastAsia="Verdana" w:hAnsi="Verdana" w:cs="Verdana"/>
          <w:sz w:val="20"/>
          <w:szCs w:val="20"/>
          <w:lang w:val="es-ES" w:eastAsia="es-CR"/>
        </w:rPr>
        <w:t>El 11 de noviembre de 1998, el 27 de agosto de 2003 y el 8 de octubre de 2004</w:t>
      </w:r>
      <w:r w:rsidR="00C06400" w:rsidRPr="000B33B9">
        <w:rPr>
          <w:rFonts w:ascii="Verdana" w:eastAsia="Verdana" w:hAnsi="Verdana" w:cs="Verdana"/>
          <w:sz w:val="20"/>
          <w:szCs w:val="20"/>
          <w:lang w:val="es-ES" w:eastAsia="es-CR"/>
        </w:rPr>
        <w:t xml:space="preserve"> </w:t>
      </w:r>
      <w:r w:rsidR="00C27650" w:rsidRPr="000B33B9">
        <w:rPr>
          <w:rFonts w:ascii="Verdana" w:eastAsia="Verdana" w:hAnsi="Verdana" w:cs="Verdana"/>
          <w:sz w:val="20"/>
          <w:szCs w:val="20"/>
          <w:lang w:val="es-ES" w:eastAsia="es-CR"/>
        </w:rPr>
        <w:t>se</w:t>
      </w:r>
      <w:r w:rsidR="00C06400" w:rsidRPr="000B33B9">
        <w:rPr>
          <w:rFonts w:ascii="Verdana" w:eastAsia="Verdana" w:hAnsi="Verdana" w:cs="Verdana"/>
          <w:sz w:val="20"/>
          <w:szCs w:val="20"/>
          <w:lang w:val="es-ES" w:eastAsia="es-CR"/>
        </w:rPr>
        <w:t xml:space="preserve"> presentaron </w:t>
      </w:r>
      <w:r w:rsidR="00C27650" w:rsidRPr="000B33B9">
        <w:rPr>
          <w:rFonts w:ascii="Verdana" w:eastAsia="Verdana" w:hAnsi="Verdana" w:cs="Verdana"/>
          <w:sz w:val="20"/>
          <w:szCs w:val="20"/>
          <w:lang w:val="es-ES" w:eastAsia="es-CR"/>
        </w:rPr>
        <w:t>tres</w:t>
      </w:r>
      <w:r w:rsidR="002219CE" w:rsidRPr="000B33B9">
        <w:rPr>
          <w:rFonts w:ascii="Verdana" w:eastAsia="Verdana" w:hAnsi="Verdana" w:cs="Verdana"/>
          <w:sz w:val="20"/>
          <w:szCs w:val="20"/>
          <w:lang w:val="es-ES" w:eastAsia="es-CR"/>
        </w:rPr>
        <w:t xml:space="preserve"> peticiones</w:t>
      </w:r>
      <w:r w:rsidR="00C06400" w:rsidRPr="000B33B9">
        <w:rPr>
          <w:rFonts w:ascii="Verdana" w:eastAsia="Verdana" w:hAnsi="Verdana" w:cs="Verdana"/>
          <w:sz w:val="20"/>
          <w:szCs w:val="20"/>
          <w:lang w:val="es-ES" w:eastAsia="es-CR"/>
        </w:rPr>
        <w:t xml:space="preserve"> ante la Comisión</w:t>
      </w:r>
      <w:r w:rsidR="00C27650" w:rsidRPr="000B33B9">
        <w:rPr>
          <w:rFonts w:ascii="Verdana" w:eastAsia="Verdana" w:hAnsi="Verdana" w:cs="Verdana"/>
          <w:sz w:val="20"/>
          <w:szCs w:val="20"/>
          <w:lang w:val="es-ES" w:eastAsia="es-CR"/>
        </w:rPr>
        <w:t xml:space="preserve"> a favor de 703 personas</w:t>
      </w:r>
      <w:r w:rsidR="00C06400" w:rsidRPr="000B33B9">
        <w:rPr>
          <w:rFonts w:ascii="Verdana" w:eastAsia="Verdana" w:hAnsi="Verdana" w:cs="Verdana"/>
          <w:sz w:val="20"/>
          <w:szCs w:val="20"/>
          <w:lang w:val="es-ES" w:eastAsia="es-CR"/>
        </w:rPr>
        <w:t>.</w:t>
      </w:r>
    </w:p>
    <w:p w14:paraId="2334FF2A" w14:textId="77777777" w:rsidR="008A351B" w:rsidRPr="000B33B9" w:rsidRDefault="008A351B" w:rsidP="00C962FE">
      <w:pPr>
        <w:widowControl w:val="0"/>
        <w:adjustRightInd w:val="0"/>
        <w:spacing w:after="0" w:line="240" w:lineRule="auto"/>
        <w:ind w:left="816" w:right="142"/>
        <w:jc w:val="both"/>
        <w:textAlignment w:val="baseline"/>
        <w:rPr>
          <w:rFonts w:ascii="Verdana" w:eastAsia="Verdana" w:hAnsi="Verdana" w:cs="Verdana"/>
          <w:sz w:val="20"/>
          <w:szCs w:val="20"/>
          <w:lang w:val="es-ES" w:eastAsia="es-CR"/>
        </w:rPr>
      </w:pPr>
    </w:p>
    <w:p w14:paraId="59607CA2" w14:textId="77FE6B90" w:rsidR="001C05D8" w:rsidRPr="000B33B9" w:rsidRDefault="001C05D8" w:rsidP="007B74B8">
      <w:pPr>
        <w:widowControl w:val="0"/>
        <w:numPr>
          <w:ilvl w:val="0"/>
          <w:numId w:val="11"/>
        </w:numPr>
        <w:adjustRightInd w:val="0"/>
        <w:spacing w:after="0" w:line="240" w:lineRule="auto"/>
        <w:ind w:left="816" w:right="142" w:hanging="357"/>
        <w:jc w:val="both"/>
        <w:textAlignment w:val="baseline"/>
        <w:rPr>
          <w:rFonts w:ascii="Verdana" w:eastAsia="Verdana" w:hAnsi="Verdana" w:cs="Verdana"/>
          <w:sz w:val="20"/>
          <w:szCs w:val="20"/>
          <w:lang w:val="es-ES" w:eastAsia="es-CR"/>
        </w:rPr>
      </w:pPr>
      <w:r w:rsidRPr="000B33B9">
        <w:rPr>
          <w:rFonts w:ascii="Verdana" w:eastAsia="Verdana" w:hAnsi="Verdana" w:cs="Verdana"/>
          <w:i/>
          <w:sz w:val="20"/>
          <w:szCs w:val="20"/>
          <w:lang w:val="es-ES" w:eastAsia="es-CR"/>
        </w:rPr>
        <w:t xml:space="preserve">Informe de Admisibilidad. – </w:t>
      </w:r>
      <w:r w:rsidRPr="000B33B9">
        <w:rPr>
          <w:rFonts w:ascii="Verdana" w:eastAsia="Verdana" w:hAnsi="Verdana" w:cs="Verdana"/>
          <w:sz w:val="20"/>
          <w:szCs w:val="20"/>
          <w:lang w:val="es-ES" w:eastAsia="es-CR"/>
        </w:rPr>
        <w:t xml:space="preserve">El </w:t>
      </w:r>
      <w:r w:rsidR="00CD6B75" w:rsidRPr="000B33B9">
        <w:rPr>
          <w:rFonts w:ascii="Verdana" w:eastAsia="Verdana" w:hAnsi="Verdana" w:cs="Verdana"/>
          <w:sz w:val="20"/>
          <w:szCs w:val="20"/>
          <w:lang w:val="es-ES" w:eastAsia="es-CR"/>
        </w:rPr>
        <w:t>19</w:t>
      </w:r>
      <w:r w:rsidR="002219CE" w:rsidRPr="000B33B9">
        <w:rPr>
          <w:rFonts w:ascii="Verdana" w:eastAsia="Verdana" w:hAnsi="Verdana" w:cs="Verdana"/>
          <w:sz w:val="20"/>
          <w:szCs w:val="20"/>
          <w:lang w:val="es-ES" w:eastAsia="es-CR"/>
        </w:rPr>
        <w:t xml:space="preserve"> de </w:t>
      </w:r>
      <w:r w:rsidR="00CD6B75" w:rsidRPr="000B33B9">
        <w:rPr>
          <w:rFonts w:ascii="Verdana" w:eastAsia="Verdana" w:hAnsi="Verdana" w:cs="Verdana"/>
          <w:sz w:val="20"/>
          <w:szCs w:val="20"/>
          <w:lang w:val="es-ES" w:eastAsia="es-CR"/>
        </w:rPr>
        <w:t>marzo</w:t>
      </w:r>
      <w:r w:rsidR="002219CE" w:rsidRPr="000B33B9">
        <w:rPr>
          <w:rFonts w:ascii="Verdana" w:eastAsia="Verdana" w:hAnsi="Verdana" w:cs="Verdana"/>
          <w:sz w:val="20"/>
          <w:szCs w:val="20"/>
          <w:lang w:val="es-ES" w:eastAsia="es-CR"/>
        </w:rPr>
        <w:t xml:space="preserve"> de 2009</w:t>
      </w:r>
      <w:r w:rsidRPr="000B33B9">
        <w:rPr>
          <w:rFonts w:ascii="Verdana" w:eastAsia="Verdana" w:hAnsi="Verdana" w:cs="Verdana"/>
          <w:sz w:val="20"/>
          <w:szCs w:val="20"/>
          <w:lang w:val="es-ES" w:eastAsia="es-CR"/>
        </w:rPr>
        <w:t xml:space="preserve"> la Comisión aprobó el Informe de </w:t>
      </w:r>
      <w:r w:rsidR="002219CE" w:rsidRPr="000B33B9">
        <w:rPr>
          <w:rFonts w:ascii="Verdana" w:eastAsia="Verdana" w:hAnsi="Verdana" w:cs="Verdana"/>
          <w:position w:val="-1"/>
          <w:sz w:val="20"/>
          <w:szCs w:val="20"/>
          <w:lang w:val="es-ES" w:eastAsia="es-CR"/>
        </w:rPr>
        <w:t>Admisibilidad No. 21/09</w:t>
      </w:r>
      <w:r w:rsidRPr="000B33B9">
        <w:rPr>
          <w:rStyle w:val="Refdenotaalpie"/>
          <w:rFonts w:ascii="Verdana" w:eastAsia="Verdana" w:hAnsi="Verdana" w:cs="Verdana"/>
          <w:position w:val="-1"/>
          <w:sz w:val="20"/>
          <w:szCs w:val="20"/>
          <w:lang w:val="es-ES" w:eastAsia="es-CR"/>
        </w:rPr>
        <w:footnoteReference w:id="2"/>
      </w:r>
      <w:r w:rsidR="00AA5948" w:rsidRPr="000B33B9">
        <w:rPr>
          <w:rFonts w:ascii="Verdana" w:eastAsia="Verdana" w:hAnsi="Verdana" w:cs="Verdana"/>
          <w:position w:val="-1"/>
          <w:sz w:val="20"/>
          <w:szCs w:val="20"/>
          <w:lang w:val="es-ES" w:eastAsia="es-CR"/>
        </w:rPr>
        <w:t>.</w:t>
      </w:r>
    </w:p>
    <w:p w14:paraId="1E9CB7BA" w14:textId="77777777" w:rsidR="008A351B" w:rsidRPr="000B33B9" w:rsidRDefault="008A351B" w:rsidP="00C962FE">
      <w:pPr>
        <w:widowControl w:val="0"/>
        <w:adjustRightInd w:val="0"/>
        <w:spacing w:after="0" w:line="240" w:lineRule="auto"/>
        <w:ind w:right="142"/>
        <w:jc w:val="both"/>
        <w:textAlignment w:val="baseline"/>
        <w:rPr>
          <w:rFonts w:ascii="Verdana" w:eastAsia="Verdana" w:hAnsi="Verdana" w:cs="Verdana"/>
          <w:sz w:val="20"/>
          <w:szCs w:val="20"/>
          <w:lang w:val="es-ES" w:eastAsia="es-CR"/>
        </w:rPr>
      </w:pPr>
    </w:p>
    <w:p w14:paraId="659A41BE" w14:textId="74986BA4" w:rsidR="001C05D8" w:rsidRPr="000B33B9" w:rsidRDefault="001C05D8" w:rsidP="007B74B8">
      <w:pPr>
        <w:widowControl w:val="0"/>
        <w:numPr>
          <w:ilvl w:val="0"/>
          <w:numId w:val="11"/>
        </w:numPr>
        <w:adjustRightInd w:val="0"/>
        <w:spacing w:after="0" w:line="240" w:lineRule="auto"/>
        <w:ind w:left="816" w:right="142" w:hanging="357"/>
        <w:jc w:val="both"/>
        <w:textAlignment w:val="baseline"/>
        <w:rPr>
          <w:rFonts w:ascii="Verdana" w:eastAsia="Verdana" w:hAnsi="Verdana" w:cs="Verdana"/>
          <w:sz w:val="20"/>
          <w:szCs w:val="20"/>
          <w:lang w:val="es-ES" w:eastAsia="es-CR"/>
        </w:rPr>
      </w:pPr>
      <w:r w:rsidRPr="000B33B9">
        <w:rPr>
          <w:rFonts w:ascii="Verdana" w:eastAsia="Verdana" w:hAnsi="Verdana" w:cs="Verdana"/>
          <w:i/>
          <w:sz w:val="20"/>
          <w:szCs w:val="20"/>
          <w:lang w:val="es-ES" w:eastAsia="es-CR"/>
        </w:rPr>
        <w:t xml:space="preserve">Informe de Fondo. – </w:t>
      </w:r>
      <w:r w:rsidRPr="000B33B9">
        <w:rPr>
          <w:rFonts w:ascii="Verdana" w:eastAsia="Verdana" w:hAnsi="Verdana" w:cs="Verdana"/>
          <w:sz w:val="20"/>
          <w:szCs w:val="20"/>
          <w:lang w:val="es-ES" w:eastAsia="es-CR"/>
        </w:rPr>
        <w:t xml:space="preserve">El </w:t>
      </w:r>
      <w:r w:rsidR="00654EBF" w:rsidRPr="000B33B9">
        <w:rPr>
          <w:rFonts w:ascii="Verdana" w:eastAsia="Verdana" w:hAnsi="Verdana" w:cs="Verdana"/>
          <w:sz w:val="20"/>
          <w:szCs w:val="20"/>
          <w:lang w:val="es-ES" w:eastAsia="es-CR"/>
        </w:rPr>
        <w:t>23</w:t>
      </w:r>
      <w:r w:rsidR="00637034" w:rsidRPr="000B33B9">
        <w:rPr>
          <w:rFonts w:ascii="Verdana" w:eastAsia="Verdana" w:hAnsi="Verdana" w:cs="Verdana"/>
          <w:sz w:val="20"/>
          <w:szCs w:val="20"/>
          <w:lang w:val="es-ES" w:eastAsia="es-CR"/>
        </w:rPr>
        <w:t xml:space="preserve"> de mayo</w:t>
      </w:r>
      <w:r w:rsidR="005D5ED8" w:rsidRPr="000B33B9">
        <w:rPr>
          <w:rFonts w:ascii="Verdana" w:eastAsia="Verdana" w:hAnsi="Verdana" w:cs="Verdana"/>
          <w:sz w:val="20"/>
          <w:szCs w:val="20"/>
          <w:lang w:val="es-ES" w:eastAsia="es-CR"/>
        </w:rPr>
        <w:t xml:space="preserve"> de 2017</w:t>
      </w:r>
      <w:r w:rsidRPr="000B33B9">
        <w:rPr>
          <w:rFonts w:ascii="Verdana" w:eastAsia="Verdana" w:hAnsi="Verdana" w:cs="Verdana"/>
          <w:sz w:val="20"/>
          <w:szCs w:val="20"/>
          <w:lang w:val="es-ES" w:eastAsia="es-CR"/>
        </w:rPr>
        <w:t xml:space="preserve"> la Comisión </w:t>
      </w:r>
      <w:r w:rsidR="005D5ED8" w:rsidRPr="000B33B9">
        <w:rPr>
          <w:rFonts w:ascii="Verdana" w:eastAsia="Verdana" w:hAnsi="Verdana" w:cs="Verdana"/>
          <w:sz w:val="20"/>
          <w:szCs w:val="20"/>
          <w:lang w:val="es-ES" w:eastAsia="es-CR"/>
        </w:rPr>
        <w:t>a</w:t>
      </w:r>
      <w:r w:rsidR="00637034" w:rsidRPr="000B33B9">
        <w:rPr>
          <w:rFonts w:ascii="Verdana" w:eastAsia="Verdana" w:hAnsi="Verdana" w:cs="Verdana"/>
          <w:sz w:val="20"/>
          <w:szCs w:val="20"/>
          <w:lang w:val="es-ES" w:eastAsia="es-CR"/>
        </w:rPr>
        <w:t>probó el Informe de Fondo No. 41</w:t>
      </w:r>
      <w:r w:rsidRPr="000B33B9">
        <w:rPr>
          <w:rFonts w:ascii="Verdana" w:eastAsia="Verdana" w:hAnsi="Verdana" w:cs="Verdana"/>
          <w:sz w:val="20"/>
          <w:szCs w:val="20"/>
          <w:lang w:val="es-ES" w:eastAsia="es-CR"/>
        </w:rPr>
        <w:t xml:space="preserve">/17, de conformidad con el artículo 50 de la Convención (en adelante también “el Informe de Fondo” o “el Informe No. </w:t>
      </w:r>
      <w:r w:rsidR="00637034" w:rsidRPr="000B33B9">
        <w:rPr>
          <w:rFonts w:ascii="Verdana" w:eastAsia="Verdana" w:hAnsi="Verdana" w:cs="Verdana"/>
          <w:sz w:val="20"/>
          <w:szCs w:val="20"/>
          <w:lang w:val="es-ES" w:eastAsia="es-CR"/>
        </w:rPr>
        <w:t>41</w:t>
      </w:r>
      <w:r w:rsidRPr="000B33B9">
        <w:rPr>
          <w:rFonts w:ascii="Verdana" w:eastAsia="Verdana" w:hAnsi="Verdana" w:cs="Verdana"/>
          <w:sz w:val="20"/>
          <w:szCs w:val="20"/>
          <w:lang w:val="es-ES" w:eastAsia="es-CR"/>
        </w:rPr>
        <w:t>/1</w:t>
      </w:r>
      <w:r w:rsidR="00E05FB3" w:rsidRPr="000B33B9">
        <w:rPr>
          <w:rFonts w:ascii="Verdana" w:eastAsia="Verdana" w:hAnsi="Verdana" w:cs="Verdana"/>
          <w:sz w:val="20"/>
          <w:szCs w:val="20"/>
          <w:lang w:val="es-ES" w:eastAsia="es-CR"/>
        </w:rPr>
        <w:t>7</w:t>
      </w:r>
      <w:r w:rsidRPr="000B33B9">
        <w:rPr>
          <w:rFonts w:ascii="Verdana" w:eastAsia="Verdana" w:hAnsi="Verdana" w:cs="Verdana"/>
          <w:sz w:val="20"/>
          <w:szCs w:val="20"/>
          <w:lang w:val="es-ES" w:eastAsia="es-CR"/>
        </w:rPr>
        <w:t>”), en el cual llegó a una serie de conclusiones y formuló varias recomendaciones al Estado</w:t>
      </w:r>
      <w:r w:rsidR="00BF5893" w:rsidRPr="000B33B9">
        <w:rPr>
          <w:rFonts w:ascii="Verdana" w:eastAsia="Verdana" w:hAnsi="Verdana" w:cs="Verdana"/>
          <w:sz w:val="20"/>
          <w:szCs w:val="20"/>
          <w:lang w:val="es-ES" w:eastAsia="es-CR"/>
        </w:rPr>
        <w:t>.</w:t>
      </w:r>
    </w:p>
    <w:p w14:paraId="6FFABE4A" w14:textId="77777777" w:rsidR="008A351B" w:rsidRPr="000B33B9" w:rsidRDefault="008A351B" w:rsidP="00C962FE">
      <w:pPr>
        <w:widowControl w:val="0"/>
        <w:adjustRightInd w:val="0"/>
        <w:spacing w:after="0" w:line="240" w:lineRule="auto"/>
        <w:ind w:right="142"/>
        <w:jc w:val="both"/>
        <w:textAlignment w:val="baseline"/>
        <w:rPr>
          <w:rFonts w:ascii="Verdana" w:eastAsia="Verdana" w:hAnsi="Verdana" w:cs="Verdana"/>
          <w:sz w:val="20"/>
          <w:szCs w:val="20"/>
          <w:lang w:val="es-ES" w:eastAsia="es-CR"/>
        </w:rPr>
      </w:pPr>
    </w:p>
    <w:p w14:paraId="69D90FA1" w14:textId="053067F4" w:rsidR="001C05D8" w:rsidRPr="000B33B9" w:rsidRDefault="001C05D8" w:rsidP="007B74B8">
      <w:pPr>
        <w:widowControl w:val="0"/>
        <w:numPr>
          <w:ilvl w:val="0"/>
          <w:numId w:val="11"/>
        </w:numPr>
        <w:adjustRightInd w:val="0"/>
        <w:spacing w:after="0" w:line="240" w:lineRule="auto"/>
        <w:ind w:left="816" w:right="142" w:hanging="357"/>
        <w:jc w:val="both"/>
        <w:textAlignment w:val="baseline"/>
        <w:rPr>
          <w:rFonts w:ascii="Verdana" w:eastAsia="Verdana" w:hAnsi="Verdana" w:cs="Verdana"/>
          <w:sz w:val="20"/>
          <w:szCs w:val="20"/>
          <w:lang w:val="es-ES" w:eastAsia="es-CR"/>
        </w:rPr>
      </w:pPr>
      <w:r w:rsidRPr="000B33B9">
        <w:rPr>
          <w:rFonts w:ascii="Verdana" w:eastAsia="Verdana" w:hAnsi="Verdana" w:cs="Verdana"/>
          <w:i/>
          <w:sz w:val="20"/>
          <w:szCs w:val="20"/>
          <w:lang w:val="es-ES" w:eastAsia="es-CR"/>
        </w:rPr>
        <w:t xml:space="preserve">Notificación al Estado. – </w:t>
      </w:r>
      <w:r w:rsidRPr="000B33B9">
        <w:rPr>
          <w:rFonts w:ascii="Verdana" w:eastAsia="Verdana" w:hAnsi="Verdana" w:cs="Verdana"/>
          <w:sz w:val="20"/>
          <w:szCs w:val="20"/>
          <w:lang w:val="es-ES" w:eastAsia="es-CR"/>
        </w:rPr>
        <w:t xml:space="preserve">El </w:t>
      </w:r>
      <w:r w:rsidR="00E176B2" w:rsidRPr="000B33B9">
        <w:rPr>
          <w:rFonts w:ascii="Verdana" w:eastAsia="Verdana" w:hAnsi="Verdana" w:cs="Verdana"/>
          <w:sz w:val="20"/>
          <w:szCs w:val="20"/>
          <w:lang w:val="es-ES" w:eastAsia="es-CR"/>
        </w:rPr>
        <w:t>15</w:t>
      </w:r>
      <w:r w:rsidR="00D17468" w:rsidRPr="000B33B9">
        <w:rPr>
          <w:rFonts w:ascii="Verdana" w:eastAsia="Verdana" w:hAnsi="Verdana" w:cs="Verdana"/>
          <w:sz w:val="20"/>
          <w:szCs w:val="20"/>
          <w:lang w:val="es-ES" w:eastAsia="es-CR"/>
        </w:rPr>
        <w:t xml:space="preserve"> de </w:t>
      </w:r>
      <w:r w:rsidR="00E176B2" w:rsidRPr="000B33B9">
        <w:rPr>
          <w:rFonts w:ascii="Verdana" w:eastAsia="Verdana" w:hAnsi="Verdana" w:cs="Verdana"/>
          <w:sz w:val="20"/>
          <w:szCs w:val="20"/>
          <w:lang w:val="es-ES" w:eastAsia="es-CR"/>
        </w:rPr>
        <w:t>junio</w:t>
      </w:r>
      <w:r w:rsidRPr="000B33B9">
        <w:rPr>
          <w:rFonts w:ascii="Verdana" w:eastAsia="Verdana" w:hAnsi="Verdana" w:cs="Verdana"/>
          <w:sz w:val="20"/>
          <w:szCs w:val="20"/>
          <w:lang w:val="es-ES" w:eastAsia="es-CR"/>
        </w:rPr>
        <w:t xml:space="preserve"> de 2017 fue notifi</w:t>
      </w:r>
      <w:r w:rsidR="00D17468" w:rsidRPr="000B33B9">
        <w:rPr>
          <w:rFonts w:ascii="Verdana" w:eastAsia="Verdana" w:hAnsi="Verdana" w:cs="Verdana"/>
          <w:sz w:val="20"/>
          <w:szCs w:val="20"/>
          <w:lang w:val="es-ES" w:eastAsia="es-CR"/>
        </w:rPr>
        <w:t>cado al Estado el Informe No. 41</w:t>
      </w:r>
      <w:r w:rsidRPr="000B33B9">
        <w:rPr>
          <w:rFonts w:ascii="Verdana" w:eastAsia="Verdana" w:hAnsi="Verdana" w:cs="Verdana"/>
          <w:sz w:val="20"/>
          <w:szCs w:val="20"/>
          <w:lang w:val="es-ES" w:eastAsia="es-CR"/>
        </w:rPr>
        <w:t>/17, otorgándole un plazo de dos meses para informar sobre el cumpl</w:t>
      </w:r>
      <w:r w:rsidR="00BF5893" w:rsidRPr="000B33B9">
        <w:rPr>
          <w:rFonts w:ascii="Verdana" w:eastAsia="Verdana" w:hAnsi="Verdana" w:cs="Verdana"/>
          <w:sz w:val="20"/>
          <w:szCs w:val="20"/>
          <w:lang w:val="es-ES" w:eastAsia="es-CR"/>
        </w:rPr>
        <w:t>imiento de las recomendaciones.</w:t>
      </w:r>
    </w:p>
    <w:p w14:paraId="7FCD368E" w14:textId="77777777" w:rsidR="008A351B" w:rsidRPr="000B33B9" w:rsidRDefault="008A351B" w:rsidP="00C962FE">
      <w:pPr>
        <w:widowControl w:val="0"/>
        <w:adjustRightInd w:val="0"/>
        <w:spacing w:after="0" w:line="240" w:lineRule="auto"/>
        <w:ind w:right="142"/>
        <w:jc w:val="both"/>
        <w:textAlignment w:val="baseline"/>
        <w:rPr>
          <w:rFonts w:ascii="Verdana" w:eastAsia="Verdana" w:hAnsi="Verdana" w:cs="Verdana"/>
          <w:sz w:val="20"/>
          <w:szCs w:val="20"/>
          <w:lang w:val="es-ES" w:eastAsia="es-CR"/>
        </w:rPr>
      </w:pPr>
    </w:p>
    <w:p w14:paraId="47398C1F" w14:textId="28D58ECC" w:rsidR="001C05D8" w:rsidRPr="000B33B9" w:rsidRDefault="001C05D8" w:rsidP="007B74B8">
      <w:pPr>
        <w:widowControl w:val="0"/>
        <w:numPr>
          <w:ilvl w:val="0"/>
          <w:numId w:val="11"/>
        </w:numPr>
        <w:adjustRightInd w:val="0"/>
        <w:spacing w:after="0" w:line="240" w:lineRule="auto"/>
        <w:ind w:left="816" w:right="142" w:hanging="357"/>
        <w:jc w:val="both"/>
        <w:textAlignment w:val="baseline"/>
        <w:rPr>
          <w:rFonts w:ascii="Verdana" w:eastAsia="Verdana" w:hAnsi="Verdana" w:cs="Verdana"/>
          <w:sz w:val="20"/>
          <w:szCs w:val="20"/>
          <w:lang w:val="es-ES" w:eastAsia="es-CR"/>
        </w:rPr>
      </w:pPr>
      <w:r w:rsidRPr="000B33B9">
        <w:rPr>
          <w:rFonts w:ascii="Verdana" w:eastAsia="Verdana" w:hAnsi="Verdana" w:cs="Verdana"/>
          <w:i/>
          <w:sz w:val="20"/>
          <w:szCs w:val="20"/>
          <w:lang w:val="es-ES" w:eastAsia="es-CR"/>
        </w:rPr>
        <w:t xml:space="preserve">Informes sobre las recomendaciones de la Comisión. – </w:t>
      </w:r>
      <w:r w:rsidRPr="000B33B9">
        <w:rPr>
          <w:rFonts w:ascii="Verdana" w:eastAsia="Verdana" w:hAnsi="Verdana" w:cs="Verdana"/>
          <w:sz w:val="20"/>
          <w:szCs w:val="20"/>
          <w:lang w:val="es-ES" w:eastAsia="es-CR"/>
        </w:rPr>
        <w:t xml:space="preserve">El Estado </w:t>
      </w:r>
      <w:r w:rsidR="00E176B2" w:rsidRPr="000B33B9">
        <w:rPr>
          <w:rFonts w:ascii="Verdana" w:eastAsia="Verdana" w:hAnsi="Verdana" w:cs="Verdana"/>
          <w:sz w:val="20"/>
          <w:szCs w:val="20"/>
          <w:lang w:val="es-ES" w:eastAsia="es-CR"/>
        </w:rPr>
        <w:t>presentó un informe mediante el cual señaló que no incurrió en las violaciones establecidas en el Informe No. 41/17.</w:t>
      </w:r>
    </w:p>
    <w:p w14:paraId="6E238413" w14:textId="77777777" w:rsidR="008A351B" w:rsidRPr="000B33B9" w:rsidRDefault="008A351B" w:rsidP="00C962FE">
      <w:pPr>
        <w:widowControl w:val="0"/>
        <w:adjustRightInd w:val="0"/>
        <w:spacing w:after="0" w:line="240" w:lineRule="auto"/>
        <w:ind w:right="142"/>
        <w:jc w:val="both"/>
        <w:textAlignment w:val="baseline"/>
        <w:rPr>
          <w:rFonts w:ascii="Verdana" w:eastAsia="Verdana" w:hAnsi="Verdana" w:cs="Verdana"/>
          <w:sz w:val="20"/>
          <w:szCs w:val="20"/>
          <w:lang w:val="es-ES" w:eastAsia="es-CR"/>
        </w:rPr>
      </w:pPr>
    </w:p>
    <w:p w14:paraId="14E5FC6F" w14:textId="6ABE5CCC" w:rsidR="008A351B" w:rsidRPr="000B33B9" w:rsidRDefault="001C05D8" w:rsidP="007B74B8">
      <w:pPr>
        <w:widowControl w:val="0"/>
        <w:numPr>
          <w:ilvl w:val="0"/>
          <w:numId w:val="11"/>
        </w:numPr>
        <w:adjustRightInd w:val="0"/>
        <w:spacing w:after="0" w:line="240" w:lineRule="auto"/>
        <w:ind w:left="816" w:right="142" w:hanging="357"/>
        <w:jc w:val="both"/>
        <w:textAlignment w:val="baseline"/>
        <w:rPr>
          <w:rFonts w:ascii="Verdana" w:eastAsia="Times New Roman" w:hAnsi="Verdana" w:cs="Arial"/>
          <w:sz w:val="20"/>
          <w:szCs w:val="20"/>
          <w:lang w:val="es-ES" w:eastAsia="es-CR"/>
        </w:rPr>
      </w:pPr>
      <w:r w:rsidRPr="000B33B9">
        <w:rPr>
          <w:rFonts w:ascii="Verdana" w:eastAsia="Verdana" w:hAnsi="Verdana" w:cs="Verdana"/>
          <w:i/>
          <w:sz w:val="20"/>
          <w:szCs w:val="20"/>
          <w:lang w:val="es-ES" w:eastAsia="es-CR"/>
        </w:rPr>
        <w:t>Sometimiento a la Corte. –</w:t>
      </w:r>
      <w:r w:rsidRPr="000B33B9">
        <w:rPr>
          <w:rFonts w:ascii="Verdana" w:eastAsia="Verdana" w:hAnsi="Verdana" w:cs="Verdana"/>
          <w:sz w:val="20"/>
          <w:szCs w:val="20"/>
          <w:lang w:val="es-ES" w:eastAsia="es-CR"/>
        </w:rPr>
        <w:t xml:space="preserve"> El </w:t>
      </w:r>
      <w:r w:rsidR="00D17468" w:rsidRPr="000B33B9">
        <w:rPr>
          <w:rFonts w:ascii="Verdana" w:eastAsia="Verdana" w:hAnsi="Verdana" w:cs="Verdana"/>
          <w:sz w:val="20"/>
          <w:szCs w:val="20"/>
          <w:lang w:val="es-ES" w:eastAsia="es-CR"/>
        </w:rPr>
        <w:t>15</w:t>
      </w:r>
      <w:r w:rsidR="00EE634C" w:rsidRPr="000B33B9">
        <w:rPr>
          <w:rFonts w:ascii="Verdana" w:eastAsia="Verdana" w:hAnsi="Verdana" w:cs="Verdana"/>
          <w:sz w:val="20"/>
          <w:szCs w:val="20"/>
          <w:lang w:val="es-ES" w:eastAsia="es-CR"/>
        </w:rPr>
        <w:t xml:space="preserve"> d</w:t>
      </w:r>
      <w:r w:rsidR="00D17468" w:rsidRPr="000B33B9">
        <w:rPr>
          <w:rFonts w:ascii="Verdana" w:eastAsia="Verdana" w:hAnsi="Verdana" w:cs="Verdana"/>
          <w:sz w:val="20"/>
          <w:szCs w:val="20"/>
          <w:lang w:val="es-ES" w:eastAsia="es-CR"/>
        </w:rPr>
        <w:t>e septiembre de 2017</w:t>
      </w:r>
      <w:r w:rsidR="00E87C57" w:rsidRPr="000B33B9">
        <w:rPr>
          <w:rFonts w:ascii="Verdana" w:eastAsia="Verdana" w:hAnsi="Verdana" w:cs="Verdana"/>
          <w:sz w:val="20"/>
          <w:szCs w:val="20"/>
          <w:lang w:val="es-ES" w:eastAsia="es-CR"/>
        </w:rPr>
        <w:t xml:space="preserve"> </w:t>
      </w:r>
      <w:r w:rsidRPr="000B33B9">
        <w:rPr>
          <w:rFonts w:ascii="Verdana" w:eastAsia="Verdana" w:hAnsi="Verdana" w:cs="Verdana"/>
          <w:sz w:val="20"/>
          <w:szCs w:val="20"/>
          <w:lang w:val="es-ES" w:eastAsia="es-CR"/>
        </w:rPr>
        <w:t>la Comisión sometió a la jurisdicción de la Corte Interamericana la totalidad de los hechos y violaciones de derechos humanos descritos en el Informe de Fondo</w:t>
      </w:r>
      <w:r w:rsidRPr="000B33B9">
        <w:rPr>
          <w:rFonts w:ascii="Verdana" w:eastAsia="Verdana" w:hAnsi="Verdana" w:cs="Verdana"/>
          <w:sz w:val="20"/>
          <w:szCs w:val="20"/>
          <w:vertAlign w:val="superscript"/>
          <w:lang w:val="es-ES" w:eastAsia="es-CR"/>
        </w:rPr>
        <w:footnoteReference w:id="3"/>
      </w:r>
      <w:r w:rsidR="00BF5893" w:rsidRPr="000B33B9">
        <w:rPr>
          <w:rFonts w:ascii="Verdana" w:eastAsia="Verdana" w:hAnsi="Verdana" w:cs="Verdana"/>
          <w:sz w:val="20"/>
          <w:szCs w:val="20"/>
          <w:lang w:val="es-ES" w:eastAsia="es-CR"/>
        </w:rPr>
        <w:t>.</w:t>
      </w:r>
    </w:p>
    <w:p w14:paraId="3839BBAD" w14:textId="77777777" w:rsidR="008A351B" w:rsidRPr="000B33B9" w:rsidRDefault="008A351B" w:rsidP="00C962FE">
      <w:pPr>
        <w:widowControl w:val="0"/>
        <w:adjustRightInd w:val="0"/>
        <w:spacing w:after="0" w:line="240" w:lineRule="auto"/>
        <w:ind w:right="142"/>
        <w:jc w:val="both"/>
        <w:textAlignment w:val="baseline"/>
        <w:rPr>
          <w:rFonts w:ascii="Verdana" w:eastAsia="Times New Roman" w:hAnsi="Verdana" w:cs="Arial"/>
          <w:sz w:val="20"/>
          <w:szCs w:val="20"/>
          <w:lang w:val="es-ES" w:eastAsia="es-CR"/>
        </w:rPr>
      </w:pPr>
    </w:p>
    <w:p w14:paraId="685A68E3" w14:textId="25DACD6F" w:rsidR="001C05D8" w:rsidRPr="000B33B9" w:rsidRDefault="001C05D8" w:rsidP="007B74B8">
      <w:pPr>
        <w:widowControl w:val="0"/>
        <w:numPr>
          <w:ilvl w:val="0"/>
          <w:numId w:val="10"/>
        </w:numPr>
        <w:tabs>
          <w:tab w:val="left" w:pos="567"/>
          <w:tab w:val="num" w:pos="12305"/>
        </w:tabs>
        <w:adjustRightInd w:val="0"/>
        <w:spacing w:after="0" w:line="240" w:lineRule="auto"/>
        <w:ind w:left="0" w:firstLine="0"/>
        <w:jc w:val="both"/>
        <w:textAlignment w:val="baseline"/>
        <w:rPr>
          <w:rFonts w:ascii="Verdana" w:eastAsia="Verdana" w:hAnsi="Verdana" w:cs="Verdana"/>
          <w:sz w:val="20"/>
          <w:szCs w:val="20"/>
          <w:lang w:val="es-ES" w:eastAsia="es-CR"/>
        </w:rPr>
      </w:pPr>
      <w:r w:rsidRPr="000B33B9">
        <w:rPr>
          <w:rFonts w:ascii="Verdana" w:eastAsia="Verdana" w:hAnsi="Verdana" w:cs="Verdana"/>
          <w:i/>
          <w:sz w:val="20"/>
          <w:szCs w:val="20"/>
          <w:lang w:val="es-ES" w:eastAsia="es-CR"/>
        </w:rPr>
        <w:t>Solicitudes de la Comisión Interamericana. –</w:t>
      </w:r>
      <w:r w:rsidR="00604B8A" w:rsidRPr="000B33B9">
        <w:rPr>
          <w:rFonts w:ascii="Verdana" w:eastAsia="Verdana" w:hAnsi="Verdana" w:cs="Verdana"/>
          <w:i/>
          <w:sz w:val="20"/>
          <w:szCs w:val="20"/>
          <w:lang w:val="es-ES" w:eastAsia="es-CR"/>
        </w:rPr>
        <w:t xml:space="preserve"> </w:t>
      </w:r>
      <w:r w:rsidR="00604B8A" w:rsidRPr="000B33B9">
        <w:rPr>
          <w:rFonts w:ascii="Verdana" w:eastAsia="Verdana" w:hAnsi="Verdana" w:cs="Verdana"/>
          <w:sz w:val="20"/>
          <w:szCs w:val="20"/>
          <w:lang w:val="es-ES" w:eastAsia="es-CR"/>
        </w:rPr>
        <w:t>L</w:t>
      </w:r>
      <w:r w:rsidRPr="000B33B9">
        <w:rPr>
          <w:rFonts w:ascii="Verdana" w:eastAsia="Verdana" w:hAnsi="Verdana" w:cs="Verdana"/>
          <w:sz w:val="20"/>
          <w:szCs w:val="20"/>
          <w:lang w:val="es-ES" w:eastAsia="es-CR"/>
        </w:rPr>
        <w:t xml:space="preserve">a Comisión solicitó a </w:t>
      </w:r>
      <w:r w:rsidR="00604B8A" w:rsidRPr="000B33B9">
        <w:rPr>
          <w:rFonts w:ascii="Verdana" w:eastAsia="Verdana" w:hAnsi="Verdana" w:cs="Verdana"/>
          <w:sz w:val="20"/>
          <w:szCs w:val="20"/>
          <w:lang w:val="es-ES" w:eastAsia="es-CR"/>
        </w:rPr>
        <w:t>este Tribunal</w:t>
      </w:r>
      <w:r w:rsidRPr="000B33B9">
        <w:rPr>
          <w:rFonts w:ascii="Verdana" w:eastAsia="Verdana" w:hAnsi="Verdana" w:cs="Verdana"/>
          <w:sz w:val="20"/>
          <w:szCs w:val="20"/>
          <w:lang w:val="es-ES" w:eastAsia="es-CR"/>
        </w:rPr>
        <w:t xml:space="preserve"> que </w:t>
      </w:r>
      <w:r w:rsidR="00604B8A" w:rsidRPr="000B33B9">
        <w:rPr>
          <w:rFonts w:ascii="Verdana" w:eastAsia="Verdana" w:hAnsi="Verdana" w:cs="Verdana"/>
          <w:sz w:val="20"/>
          <w:szCs w:val="20"/>
          <w:lang w:val="es-ES" w:eastAsia="es-CR"/>
        </w:rPr>
        <w:t xml:space="preserve">concluya y </w:t>
      </w:r>
      <w:r w:rsidRPr="000B33B9">
        <w:rPr>
          <w:rFonts w:ascii="Verdana" w:eastAsia="Verdana" w:hAnsi="Verdana" w:cs="Verdana"/>
          <w:sz w:val="20"/>
          <w:szCs w:val="20"/>
          <w:lang w:val="es-ES" w:eastAsia="es-CR"/>
        </w:rPr>
        <w:t>declar</w:t>
      </w:r>
      <w:r w:rsidR="00604B8A" w:rsidRPr="000B33B9">
        <w:rPr>
          <w:rFonts w:ascii="Verdana" w:eastAsia="Verdana" w:hAnsi="Verdana" w:cs="Verdana"/>
          <w:sz w:val="20"/>
          <w:szCs w:val="20"/>
          <w:lang w:val="es-ES" w:eastAsia="es-CR"/>
        </w:rPr>
        <w:t>e</w:t>
      </w:r>
      <w:r w:rsidRPr="000B33B9">
        <w:rPr>
          <w:rFonts w:ascii="Verdana" w:eastAsia="Verdana" w:hAnsi="Verdana" w:cs="Verdana"/>
          <w:sz w:val="20"/>
          <w:szCs w:val="20"/>
          <w:lang w:val="es-ES" w:eastAsia="es-CR"/>
        </w:rPr>
        <w:t xml:space="preserve"> la responsabilidad internacional del Estado por las violaciones </w:t>
      </w:r>
      <w:r w:rsidR="00604B8A" w:rsidRPr="000B33B9">
        <w:rPr>
          <w:rFonts w:ascii="Verdana" w:eastAsia="Verdana" w:hAnsi="Verdana" w:cs="Verdana"/>
          <w:sz w:val="20"/>
          <w:szCs w:val="20"/>
          <w:lang w:val="es-ES" w:eastAsia="es-CR"/>
        </w:rPr>
        <w:t>contenidas en el Informe d</w:t>
      </w:r>
      <w:r w:rsidR="00D17468" w:rsidRPr="000B33B9">
        <w:rPr>
          <w:rFonts w:ascii="Verdana" w:eastAsia="Verdana" w:hAnsi="Verdana" w:cs="Verdana"/>
          <w:sz w:val="20"/>
          <w:szCs w:val="20"/>
          <w:lang w:val="es-ES" w:eastAsia="es-CR"/>
        </w:rPr>
        <w:t>e Fondo y que ordene a Perú</w:t>
      </w:r>
      <w:r w:rsidR="00604B8A" w:rsidRPr="000B33B9">
        <w:rPr>
          <w:rFonts w:ascii="Verdana" w:eastAsia="Verdana" w:hAnsi="Verdana" w:cs="Verdana"/>
          <w:sz w:val="20"/>
          <w:szCs w:val="20"/>
          <w:lang w:val="es-ES" w:eastAsia="es-CR"/>
        </w:rPr>
        <w:t>, como me</w:t>
      </w:r>
      <w:r w:rsidR="00A7367D" w:rsidRPr="000B33B9">
        <w:rPr>
          <w:rFonts w:ascii="Verdana" w:eastAsia="Verdana" w:hAnsi="Verdana" w:cs="Verdana"/>
          <w:sz w:val="20"/>
          <w:szCs w:val="20"/>
          <w:lang w:val="es-ES" w:eastAsia="es-CR"/>
        </w:rPr>
        <w:t>didas de reparación, las recomendaciones incluidas en el mismo (</w:t>
      </w:r>
      <w:r w:rsidR="00904755" w:rsidRPr="000B33B9">
        <w:rPr>
          <w:rFonts w:ascii="Verdana" w:eastAsia="Verdana" w:hAnsi="Verdana" w:cs="Verdana"/>
          <w:i/>
          <w:sz w:val="20"/>
          <w:szCs w:val="20"/>
          <w:lang w:val="es-ES" w:eastAsia="es-CR"/>
        </w:rPr>
        <w:t>supra</w:t>
      </w:r>
      <w:r w:rsidR="00A7367D" w:rsidRPr="000B33B9">
        <w:rPr>
          <w:rFonts w:ascii="Verdana" w:eastAsia="Verdana" w:hAnsi="Verdana" w:cs="Verdana"/>
          <w:i/>
          <w:sz w:val="20"/>
          <w:szCs w:val="20"/>
          <w:lang w:val="es-ES" w:eastAsia="es-CR"/>
        </w:rPr>
        <w:t xml:space="preserve"> </w:t>
      </w:r>
      <w:r w:rsidR="00397A38" w:rsidRPr="000B33B9">
        <w:rPr>
          <w:rFonts w:ascii="Verdana" w:eastAsia="Verdana" w:hAnsi="Verdana" w:cs="Verdana"/>
          <w:sz w:val="20"/>
          <w:szCs w:val="20"/>
          <w:lang w:val="es-ES" w:eastAsia="es-CR"/>
        </w:rPr>
        <w:t>párr. 2.c</w:t>
      </w:r>
      <w:r w:rsidR="00A7367D" w:rsidRPr="000B33B9">
        <w:rPr>
          <w:rFonts w:ascii="Verdana" w:eastAsia="Verdana" w:hAnsi="Verdana" w:cs="Verdana"/>
          <w:sz w:val="20"/>
          <w:szCs w:val="20"/>
          <w:lang w:val="es-ES" w:eastAsia="es-CR"/>
        </w:rPr>
        <w:t>)</w:t>
      </w:r>
      <w:r w:rsidR="00397A38" w:rsidRPr="000B33B9">
        <w:rPr>
          <w:rFonts w:ascii="Verdana" w:eastAsia="Verdana" w:hAnsi="Verdana" w:cs="Verdana"/>
          <w:sz w:val="20"/>
          <w:szCs w:val="20"/>
          <w:lang w:val="es-ES" w:eastAsia="es-CR"/>
        </w:rPr>
        <w:t>.</w:t>
      </w:r>
    </w:p>
    <w:p w14:paraId="6E41B393" w14:textId="77777777" w:rsidR="00AE50C3" w:rsidRPr="000B33B9" w:rsidRDefault="00AE50C3" w:rsidP="00AE50C3">
      <w:pPr>
        <w:widowControl w:val="0"/>
        <w:tabs>
          <w:tab w:val="left" w:pos="567"/>
        </w:tabs>
        <w:adjustRightInd w:val="0"/>
        <w:spacing w:after="0" w:line="240" w:lineRule="auto"/>
        <w:jc w:val="both"/>
        <w:textAlignment w:val="baseline"/>
        <w:rPr>
          <w:rFonts w:ascii="Verdana" w:eastAsia="Verdana" w:hAnsi="Verdana" w:cs="Verdana"/>
          <w:sz w:val="20"/>
          <w:szCs w:val="20"/>
          <w:lang w:val="es-ES" w:eastAsia="es-CR"/>
        </w:rPr>
      </w:pPr>
    </w:p>
    <w:p w14:paraId="6F76C193" w14:textId="77777777" w:rsidR="001C05D8" w:rsidRPr="000B33B9" w:rsidRDefault="001C05D8" w:rsidP="003C0487">
      <w:pPr>
        <w:pStyle w:val="Ttulo1"/>
        <w:rPr>
          <w:rFonts w:eastAsia="Times New Roman" w:cs="Verdana"/>
          <w:b w:val="0"/>
          <w:bCs/>
          <w:caps/>
          <w:snapToGrid w:val="0"/>
          <w:lang w:val="es-ES_tradnl"/>
        </w:rPr>
      </w:pPr>
      <w:bookmarkStart w:id="4" w:name="_Toc494123964"/>
      <w:bookmarkStart w:id="5" w:name="_Toc27329738"/>
      <w:r w:rsidRPr="000B33B9">
        <w:rPr>
          <w:rFonts w:eastAsia="Times New Roman" w:cs="Verdana"/>
          <w:bCs/>
          <w:caps/>
          <w:snapToGrid w:val="0"/>
          <w:lang w:val="es-ES_tradnl"/>
        </w:rPr>
        <w:t>II</w:t>
      </w:r>
      <w:r w:rsidRPr="000B33B9">
        <w:rPr>
          <w:rFonts w:eastAsia="Times New Roman" w:cs="Verdana"/>
          <w:bCs/>
          <w:caps/>
          <w:snapToGrid w:val="0"/>
          <w:lang w:val="es-ES_tradnl"/>
        </w:rPr>
        <w:br/>
        <w:t>PROCEDIMIENTO ANTE LA CORTE</w:t>
      </w:r>
      <w:bookmarkEnd w:id="4"/>
      <w:bookmarkEnd w:id="5"/>
    </w:p>
    <w:p w14:paraId="0BABF6FA" w14:textId="77777777" w:rsidR="008A351B" w:rsidRPr="000B33B9" w:rsidRDefault="008A351B" w:rsidP="00C962FE">
      <w:pPr>
        <w:keepNext/>
        <w:keepLines/>
        <w:tabs>
          <w:tab w:val="left" w:pos="851"/>
        </w:tabs>
        <w:spacing w:after="0" w:line="240" w:lineRule="auto"/>
        <w:jc w:val="center"/>
        <w:outlineLvl w:val="0"/>
        <w:rPr>
          <w:rFonts w:ascii="Verdana" w:eastAsia="Times New Roman" w:hAnsi="Verdana" w:cs="Verdana"/>
          <w:b/>
          <w:bCs/>
          <w:caps/>
          <w:snapToGrid w:val="0"/>
          <w:sz w:val="20"/>
          <w:szCs w:val="20"/>
          <w:lang w:val="es-ES_tradnl"/>
        </w:rPr>
      </w:pPr>
    </w:p>
    <w:p w14:paraId="39ED20EF" w14:textId="4C394596" w:rsidR="001C05D8" w:rsidRPr="000B33B9" w:rsidRDefault="001C05D8" w:rsidP="007B74B8">
      <w:pPr>
        <w:widowControl w:val="0"/>
        <w:numPr>
          <w:ilvl w:val="0"/>
          <w:numId w:val="10"/>
        </w:numPr>
        <w:tabs>
          <w:tab w:val="left" w:pos="567"/>
          <w:tab w:val="num" w:pos="12305"/>
        </w:tabs>
        <w:adjustRightInd w:val="0"/>
        <w:spacing w:after="0" w:line="240" w:lineRule="auto"/>
        <w:ind w:left="0" w:firstLine="0"/>
        <w:jc w:val="both"/>
        <w:textAlignment w:val="baseline"/>
        <w:rPr>
          <w:rFonts w:ascii="Verdana" w:eastAsia="Verdana" w:hAnsi="Verdana" w:cs="Verdana"/>
          <w:sz w:val="20"/>
          <w:szCs w:val="20"/>
          <w:lang w:val="es-ES" w:eastAsia="es-CR"/>
        </w:rPr>
      </w:pPr>
      <w:r w:rsidRPr="000B33B9">
        <w:rPr>
          <w:rFonts w:ascii="Verdana" w:eastAsia="Verdana" w:hAnsi="Verdana" w:cs="Verdana"/>
          <w:i/>
          <w:sz w:val="20"/>
          <w:szCs w:val="20"/>
          <w:lang w:val="es-ES" w:eastAsia="es-CR"/>
        </w:rPr>
        <w:t>Notificación a</w:t>
      </w:r>
      <w:r w:rsidR="00654EBF" w:rsidRPr="000B33B9">
        <w:rPr>
          <w:rFonts w:ascii="Verdana" w:eastAsia="Verdana" w:hAnsi="Verdana" w:cs="Verdana"/>
          <w:i/>
          <w:sz w:val="20"/>
          <w:szCs w:val="20"/>
          <w:lang w:val="es-ES" w:eastAsia="es-CR"/>
        </w:rPr>
        <w:t xml:space="preserve"> </w:t>
      </w:r>
      <w:r w:rsidRPr="000B33B9">
        <w:rPr>
          <w:rFonts w:ascii="Verdana" w:eastAsia="Verdana" w:hAnsi="Verdana" w:cs="Verdana"/>
          <w:i/>
          <w:sz w:val="20"/>
          <w:szCs w:val="20"/>
          <w:lang w:val="es-ES" w:eastAsia="es-CR"/>
        </w:rPr>
        <w:t>l</w:t>
      </w:r>
      <w:r w:rsidR="00654EBF" w:rsidRPr="000B33B9">
        <w:rPr>
          <w:rFonts w:ascii="Verdana" w:eastAsia="Verdana" w:hAnsi="Verdana" w:cs="Verdana"/>
          <w:i/>
          <w:sz w:val="20"/>
          <w:szCs w:val="20"/>
          <w:lang w:val="es-ES" w:eastAsia="es-CR"/>
        </w:rPr>
        <w:t>os</w:t>
      </w:r>
      <w:r w:rsidRPr="000B33B9">
        <w:rPr>
          <w:rFonts w:ascii="Verdana" w:eastAsia="Verdana" w:hAnsi="Verdana" w:cs="Verdana"/>
          <w:i/>
          <w:sz w:val="20"/>
          <w:szCs w:val="20"/>
          <w:lang w:val="es-ES" w:eastAsia="es-CR"/>
        </w:rPr>
        <w:t xml:space="preserve"> representante</w:t>
      </w:r>
      <w:r w:rsidR="00654EBF" w:rsidRPr="000B33B9">
        <w:rPr>
          <w:rFonts w:ascii="Verdana" w:eastAsia="Verdana" w:hAnsi="Verdana" w:cs="Verdana"/>
          <w:i/>
          <w:sz w:val="20"/>
          <w:szCs w:val="20"/>
          <w:lang w:val="es-ES" w:eastAsia="es-CR"/>
        </w:rPr>
        <w:t>s</w:t>
      </w:r>
      <w:r w:rsidRPr="000B33B9">
        <w:rPr>
          <w:rFonts w:ascii="Verdana" w:eastAsia="Verdana" w:hAnsi="Verdana" w:cs="Verdana"/>
          <w:i/>
          <w:sz w:val="20"/>
          <w:szCs w:val="20"/>
          <w:lang w:val="es-ES" w:eastAsia="es-CR"/>
        </w:rPr>
        <w:t xml:space="preserve"> y al Estado. – </w:t>
      </w:r>
      <w:r w:rsidRPr="000B33B9">
        <w:rPr>
          <w:rFonts w:ascii="Verdana" w:eastAsia="Verdana" w:hAnsi="Verdana" w:cs="Verdana"/>
          <w:sz w:val="20"/>
          <w:szCs w:val="20"/>
          <w:lang w:val="es-ES" w:eastAsia="es-CR"/>
        </w:rPr>
        <w:t>El sometimiento del caso por parte de la Comisión fue notificado por la Corte a</w:t>
      </w:r>
      <w:r w:rsidR="002B6281" w:rsidRPr="000B33B9">
        <w:rPr>
          <w:rFonts w:ascii="Verdana" w:eastAsia="Verdana" w:hAnsi="Verdana" w:cs="Verdana"/>
          <w:sz w:val="20"/>
          <w:szCs w:val="20"/>
          <w:lang w:val="es-ES" w:eastAsia="es-CR"/>
        </w:rPr>
        <w:t xml:space="preserve"> los</w:t>
      </w:r>
      <w:r w:rsidRPr="000B33B9">
        <w:rPr>
          <w:rFonts w:ascii="Verdana" w:eastAsia="Verdana" w:hAnsi="Verdana" w:cs="Verdana"/>
          <w:sz w:val="20"/>
          <w:szCs w:val="20"/>
          <w:lang w:val="es-ES" w:eastAsia="es-CR"/>
        </w:rPr>
        <w:t xml:space="preserve"> representante</w:t>
      </w:r>
      <w:r w:rsidR="002B6281" w:rsidRPr="000B33B9">
        <w:rPr>
          <w:rFonts w:ascii="Verdana" w:eastAsia="Verdana" w:hAnsi="Verdana" w:cs="Verdana"/>
          <w:sz w:val="20"/>
          <w:szCs w:val="20"/>
          <w:lang w:val="es-ES" w:eastAsia="es-CR"/>
        </w:rPr>
        <w:t>s de la</w:t>
      </w:r>
      <w:r w:rsidR="00A56DA6" w:rsidRPr="000B33B9">
        <w:rPr>
          <w:rFonts w:ascii="Verdana" w:eastAsia="Verdana" w:hAnsi="Verdana" w:cs="Verdana"/>
          <w:sz w:val="20"/>
          <w:szCs w:val="20"/>
          <w:lang w:val="es-ES" w:eastAsia="es-CR"/>
        </w:rPr>
        <w:t>s</w:t>
      </w:r>
      <w:r w:rsidRPr="000B33B9">
        <w:rPr>
          <w:rFonts w:ascii="Verdana" w:eastAsia="Verdana" w:hAnsi="Verdana" w:cs="Verdana"/>
          <w:sz w:val="20"/>
          <w:szCs w:val="20"/>
          <w:lang w:val="es-ES" w:eastAsia="es-CR"/>
        </w:rPr>
        <w:t xml:space="preserve"> presuntas víctimas (en adelante “l</w:t>
      </w:r>
      <w:r w:rsidR="00C70633" w:rsidRPr="000B33B9">
        <w:rPr>
          <w:rFonts w:ascii="Verdana" w:eastAsia="Verdana" w:hAnsi="Verdana" w:cs="Verdana"/>
          <w:sz w:val="20"/>
          <w:szCs w:val="20"/>
          <w:lang w:val="es-ES" w:eastAsia="es-CR"/>
        </w:rPr>
        <w:t>o</w:t>
      </w:r>
      <w:r w:rsidRPr="000B33B9">
        <w:rPr>
          <w:rFonts w:ascii="Verdana" w:eastAsia="Verdana" w:hAnsi="Verdana" w:cs="Verdana"/>
          <w:sz w:val="20"/>
          <w:szCs w:val="20"/>
          <w:lang w:val="es-ES" w:eastAsia="es-CR"/>
        </w:rPr>
        <w:t xml:space="preserve">s representantes”) </w:t>
      </w:r>
      <w:r w:rsidR="00F017FC" w:rsidRPr="000B33B9">
        <w:rPr>
          <w:rFonts w:ascii="Verdana" w:eastAsia="Verdana" w:hAnsi="Verdana" w:cs="Verdana"/>
          <w:sz w:val="20"/>
          <w:szCs w:val="20"/>
          <w:lang w:val="es-ES" w:eastAsia="es-CR"/>
        </w:rPr>
        <w:t>el 26 de febrero</w:t>
      </w:r>
      <w:r w:rsidRPr="000B33B9">
        <w:rPr>
          <w:rFonts w:ascii="Verdana" w:eastAsia="Verdana" w:hAnsi="Verdana" w:cs="Verdana"/>
          <w:sz w:val="20"/>
          <w:szCs w:val="20"/>
          <w:lang w:val="es-ES" w:eastAsia="es-CR"/>
        </w:rPr>
        <w:t xml:space="preserve"> de 2018</w:t>
      </w:r>
      <w:r w:rsidR="00406957" w:rsidRPr="000B33B9">
        <w:rPr>
          <w:rFonts w:ascii="Verdana" w:eastAsia="Verdana" w:hAnsi="Verdana" w:cs="Verdana"/>
          <w:sz w:val="20"/>
          <w:szCs w:val="20"/>
          <w:lang w:val="es-ES" w:eastAsia="es-CR"/>
        </w:rPr>
        <w:t>.</w:t>
      </w:r>
    </w:p>
    <w:p w14:paraId="2F6712C5" w14:textId="77777777" w:rsidR="008A351B" w:rsidRPr="000B33B9" w:rsidRDefault="008A351B" w:rsidP="00C962FE">
      <w:pPr>
        <w:widowControl w:val="0"/>
        <w:tabs>
          <w:tab w:val="left" w:pos="567"/>
        </w:tabs>
        <w:adjustRightInd w:val="0"/>
        <w:spacing w:after="0" w:line="240" w:lineRule="auto"/>
        <w:jc w:val="both"/>
        <w:textAlignment w:val="baseline"/>
        <w:rPr>
          <w:rFonts w:ascii="Verdana" w:eastAsia="Verdana" w:hAnsi="Verdana" w:cs="Verdana"/>
          <w:sz w:val="20"/>
          <w:szCs w:val="20"/>
          <w:lang w:val="es-ES" w:eastAsia="es-CR"/>
        </w:rPr>
      </w:pPr>
    </w:p>
    <w:p w14:paraId="59154677" w14:textId="7EE1B243" w:rsidR="001C05D8" w:rsidRPr="000B33B9" w:rsidRDefault="001C05D8" w:rsidP="007B74B8">
      <w:pPr>
        <w:widowControl w:val="0"/>
        <w:numPr>
          <w:ilvl w:val="0"/>
          <w:numId w:val="10"/>
        </w:numPr>
        <w:tabs>
          <w:tab w:val="left" w:pos="567"/>
          <w:tab w:val="num" w:pos="12305"/>
        </w:tabs>
        <w:adjustRightInd w:val="0"/>
        <w:spacing w:after="0" w:line="240" w:lineRule="auto"/>
        <w:ind w:left="0" w:firstLine="0"/>
        <w:jc w:val="both"/>
        <w:textAlignment w:val="baseline"/>
        <w:rPr>
          <w:rFonts w:ascii="Verdana" w:eastAsia="Verdana" w:hAnsi="Verdana" w:cs="Verdana"/>
          <w:sz w:val="20"/>
          <w:szCs w:val="20"/>
          <w:u w:val="single"/>
          <w:lang w:val="es-ES" w:eastAsia="es-CR"/>
        </w:rPr>
      </w:pPr>
      <w:r w:rsidRPr="000B33B9">
        <w:rPr>
          <w:rFonts w:ascii="Verdana" w:eastAsia="Verdana" w:hAnsi="Verdana" w:cs="Verdana"/>
          <w:i/>
          <w:sz w:val="20"/>
          <w:szCs w:val="20"/>
          <w:lang w:val="es-ES" w:eastAsia="es-CR"/>
        </w:rPr>
        <w:t xml:space="preserve">Escrito de solicitudes, argumentos y pruebas. – </w:t>
      </w:r>
      <w:r w:rsidRPr="000B33B9">
        <w:rPr>
          <w:rFonts w:ascii="Verdana" w:eastAsia="Verdana" w:hAnsi="Verdana" w:cs="Verdana"/>
          <w:sz w:val="20"/>
          <w:szCs w:val="20"/>
          <w:lang w:val="es-ES" w:eastAsia="es-CR"/>
        </w:rPr>
        <w:t xml:space="preserve">El </w:t>
      </w:r>
      <w:r w:rsidR="00E934D6" w:rsidRPr="000B33B9">
        <w:rPr>
          <w:rFonts w:ascii="Verdana" w:eastAsia="Verdana" w:hAnsi="Verdana" w:cs="Verdana"/>
          <w:sz w:val="20"/>
          <w:szCs w:val="20"/>
          <w:lang w:val="es-ES" w:eastAsia="es-CR"/>
        </w:rPr>
        <w:t>26 de abril</w:t>
      </w:r>
      <w:r w:rsidRPr="000B33B9">
        <w:rPr>
          <w:rFonts w:ascii="Verdana" w:eastAsia="Verdana" w:hAnsi="Verdana" w:cs="Verdana"/>
          <w:sz w:val="20"/>
          <w:szCs w:val="20"/>
          <w:lang w:val="es-ES" w:eastAsia="es-CR"/>
        </w:rPr>
        <w:t xml:space="preserve"> </w:t>
      </w:r>
      <w:r w:rsidR="004933DC" w:rsidRPr="000B33B9">
        <w:rPr>
          <w:rFonts w:ascii="Verdana" w:eastAsia="Verdana" w:hAnsi="Verdana" w:cs="Verdana"/>
          <w:sz w:val="20"/>
          <w:szCs w:val="20"/>
          <w:lang w:val="es-ES" w:eastAsia="es-CR"/>
        </w:rPr>
        <w:t xml:space="preserve">y del 12 de junio </w:t>
      </w:r>
      <w:r w:rsidRPr="000B33B9">
        <w:rPr>
          <w:rFonts w:ascii="Verdana" w:eastAsia="Verdana" w:hAnsi="Verdana" w:cs="Verdana"/>
          <w:sz w:val="20"/>
          <w:szCs w:val="20"/>
          <w:lang w:val="es-ES" w:eastAsia="es-CR"/>
        </w:rPr>
        <w:t>de 2018</w:t>
      </w:r>
      <w:r w:rsidR="004933DC" w:rsidRPr="000B33B9">
        <w:rPr>
          <w:rStyle w:val="Refdenotaalpie"/>
          <w:rFonts w:ascii="Verdana" w:eastAsia="Verdana" w:hAnsi="Verdana" w:cs="Verdana"/>
          <w:sz w:val="20"/>
          <w:szCs w:val="20"/>
          <w:lang w:val="es-ES" w:eastAsia="es-CR"/>
        </w:rPr>
        <w:footnoteReference w:id="4"/>
      </w:r>
      <w:r w:rsidRPr="000B33B9">
        <w:rPr>
          <w:rFonts w:ascii="Verdana" w:eastAsia="Verdana" w:hAnsi="Verdana" w:cs="Verdana"/>
          <w:sz w:val="20"/>
          <w:szCs w:val="20"/>
          <w:lang w:val="es-ES" w:eastAsia="es-CR"/>
        </w:rPr>
        <w:t xml:space="preserve"> </w:t>
      </w:r>
      <w:r w:rsidR="00C27C71" w:rsidRPr="000B33B9">
        <w:rPr>
          <w:rFonts w:ascii="Verdana" w:eastAsia="Verdana" w:hAnsi="Verdana" w:cs="Verdana"/>
          <w:sz w:val="20"/>
          <w:szCs w:val="20"/>
          <w:lang w:val="es-ES" w:eastAsia="es-CR"/>
        </w:rPr>
        <w:t>los</w:t>
      </w:r>
      <w:r w:rsidRPr="000B33B9">
        <w:rPr>
          <w:rFonts w:ascii="Verdana" w:eastAsia="Verdana" w:hAnsi="Verdana" w:cs="Verdana"/>
          <w:sz w:val="20"/>
          <w:szCs w:val="20"/>
          <w:lang w:val="es-ES" w:eastAsia="es-CR"/>
        </w:rPr>
        <w:t xml:space="preserve"> </w:t>
      </w:r>
      <w:r w:rsidRPr="000B33B9">
        <w:rPr>
          <w:rFonts w:ascii="Verdana" w:eastAsia="Calibri" w:hAnsi="Verdana" w:cs="Arial"/>
          <w:sz w:val="20"/>
          <w:szCs w:val="20"/>
          <w:lang w:val="es-ES" w:eastAsia="es-CR"/>
        </w:rPr>
        <w:t>representantes</w:t>
      </w:r>
      <w:r w:rsidRPr="000B33B9">
        <w:rPr>
          <w:rFonts w:ascii="Verdana" w:eastAsia="Verdana" w:hAnsi="Verdana" w:cs="Verdana"/>
          <w:sz w:val="20"/>
          <w:szCs w:val="20"/>
          <w:lang w:val="es-ES" w:eastAsia="es-CR"/>
        </w:rPr>
        <w:t xml:space="preserve"> presentaron ante la Corte su escrito de solicitudes, argumentos y pruebas (en adelante “escrito de solicitudes y argumentos” o </w:t>
      </w:r>
      <w:r w:rsidR="00E05FB3" w:rsidRPr="000B33B9">
        <w:rPr>
          <w:rFonts w:ascii="Verdana" w:eastAsia="Verdana" w:hAnsi="Verdana" w:cs="Verdana"/>
          <w:sz w:val="20"/>
          <w:szCs w:val="20"/>
          <w:lang w:val="es-ES" w:eastAsia="es-CR"/>
        </w:rPr>
        <w:t>“</w:t>
      </w:r>
      <w:r w:rsidRPr="000B33B9">
        <w:rPr>
          <w:rFonts w:ascii="Verdana" w:eastAsia="Verdana" w:hAnsi="Verdana" w:cs="Verdana"/>
          <w:sz w:val="20"/>
          <w:szCs w:val="20"/>
          <w:lang w:val="es-ES" w:eastAsia="es-CR"/>
        </w:rPr>
        <w:t>ESAP</w:t>
      </w:r>
      <w:r w:rsidR="00E05FB3" w:rsidRPr="000B33B9">
        <w:rPr>
          <w:rFonts w:ascii="Verdana" w:eastAsia="Verdana" w:hAnsi="Verdana" w:cs="Verdana"/>
          <w:sz w:val="20"/>
          <w:szCs w:val="20"/>
          <w:lang w:val="es-ES" w:eastAsia="es-CR"/>
        </w:rPr>
        <w:t>”</w:t>
      </w:r>
      <w:r w:rsidRPr="000B33B9">
        <w:rPr>
          <w:rFonts w:ascii="Verdana" w:eastAsia="Verdana" w:hAnsi="Verdana" w:cs="Verdana"/>
          <w:sz w:val="20"/>
          <w:szCs w:val="20"/>
          <w:lang w:val="es-ES" w:eastAsia="es-CR"/>
        </w:rPr>
        <w:t>). Los representantes</w:t>
      </w:r>
      <w:r w:rsidR="00130BEF" w:rsidRPr="000B33B9">
        <w:rPr>
          <w:rFonts w:ascii="Verdana" w:eastAsia="Verdana" w:hAnsi="Verdana" w:cs="Verdana"/>
          <w:sz w:val="20"/>
          <w:szCs w:val="20"/>
          <w:lang w:val="es-ES" w:eastAsia="es-CR"/>
        </w:rPr>
        <w:t xml:space="preserve"> </w:t>
      </w:r>
      <w:r w:rsidRPr="000B33B9">
        <w:rPr>
          <w:rFonts w:ascii="Verdana" w:eastAsia="Verdana" w:hAnsi="Verdana" w:cs="Verdana"/>
          <w:sz w:val="20"/>
          <w:szCs w:val="20"/>
          <w:lang w:val="es-ES" w:eastAsia="es-CR"/>
        </w:rPr>
        <w:t xml:space="preserve">remitieron </w:t>
      </w:r>
      <w:r w:rsidR="00130BEF" w:rsidRPr="000B33B9">
        <w:rPr>
          <w:rFonts w:ascii="Verdana" w:eastAsia="Verdana" w:hAnsi="Verdana" w:cs="Verdana"/>
          <w:sz w:val="20"/>
          <w:szCs w:val="20"/>
          <w:lang w:val="es-ES" w:eastAsia="es-CR"/>
        </w:rPr>
        <w:t xml:space="preserve">y </w:t>
      </w:r>
      <w:r w:rsidR="00654EBF" w:rsidRPr="000B33B9">
        <w:rPr>
          <w:rFonts w:ascii="Verdana" w:eastAsia="Verdana" w:hAnsi="Verdana" w:cs="Verdana"/>
          <w:sz w:val="20"/>
          <w:szCs w:val="20"/>
          <w:lang w:val="es-ES" w:eastAsia="es-CR"/>
        </w:rPr>
        <w:t xml:space="preserve">se </w:t>
      </w:r>
      <w:r w:rsidR="00130BEF" w:rsidRPr="000B33B9">
        <w:rPr>
          <w:rFonts w:ascii="Verdana" w:eastAsia="Verdana" w:hAnsi="Verdana" w:cs="Verdana"/>
          <w:sz w:val="20"/>
          <w:szCs w:val="20"/>
          <w:lang w:val="es-ES" w:eastAsia="es-CR"/>
        </w:rPr>
        <w:t>adhirieron</w:t>
      </w:r>
      <w:r w:rsidR="00654EBF" w:rsidRPr="000B33B9">
        <w:rPr>
          <w:rFonts w:ascii="Verdana" w:eastAsia="Verdana" w:hAnsi="Verdana" w:cs="Verdana"/>
          <w:sz w:val="20"/>
          <w:szCs w:val="20"/>
          <w:lang w:val="es-ES" w:eastAsia="es-CR"/>
        </w:rPr>
        <w:t xml:space="preserve"> a</w:t>
      </w:r>
      <w:r w:rsidRPr="000B33B9">
        <w:rPr>
          <w:rFonts w:ascii="Verdana" w:eastAsia="Verdana" w:hAnsi="Verdana" w:cs="Verdana"/>
          <w:sz w:val="20"/>
          <w:szCs w:val="20"/>
          <w:lang w:val="es-ES" w:eastAsia="es-CR"/>
        </w:rPr>
        <w:t xml:space="preserve"> la descripción de hechos efectuada por la Comisión. De igual manera, se adhirieron a los alegatos de la Comisión en cuanto a la</w:t>
      </w:r>
      <w:r w:rsidR="001B2451" w:rsidRPr="000B33B9">
        <w:rPr>
          <w:rFonts w:ascii="Verdana" w:eastAsia="Verdana" w:hAnsi="Verdana" w:cs="Verdana"/>
          <w:sz w:val="20"/>
          <w:szCs w:val="20"/>
          <w:lang w:val="es-ES" w:eastAsia="es-CR"/>
        </w:rPr>
        <w:t>s</w:t>
      </w:r>
      <w:r w:rsidRPr="000B33B9">
        <w:rPr>
          <w:rFonts w:ascii="Verdana" w:eastAsia="Verdana" w:hAnsi="Verdana" w:cs="Verdana"/>
          <w:sz w:val="20"/>
          <w:szCs w:val="20"/>
          <w:lang w:val="es-ES" w:eastAsia="es-CR"/>
        </w:rPr>
        <w:t xml:space="preserve"> </w:t>
      </w:r>
      <w:r w:rsidR="001B2451" w:rsidRPr="000B33B9">
        <w:rPr>
          <w:rFonts w:ascii="Verdana" w:eastAsia="Verdana" w:hAnsi="Verdana" w:cs="Verdana"/>
          <w:sz w:val="20"/>
          <w:szCs w:val="20"/>
          <w:lang w:val="es-ES" w:eastAsia="es-CR"/>
        </w:rPr>
        <w:t>excepciones</w:t>
      </w:r>
      <w:r w:rsidR="00B075C4" w:rsidRPr="000B33B9">
        <w:rPr>
          <w:rFonts w:ascii="Verdana" w:eastAsia="Verdana" w:hAnsi="Verdana" w:cs="Verdana"/>
          <w:sz w:val="20"/>
          <w:szCs w:val="20"/>
          <w:lang w:val="es-ES" w:eastAsia="es-CR"/>
        </w:rPr>
        <w:t xml:space="preserve"> preliminar</w:t>
      </w:r>
      <w:r w:rsidR="001B2451" w:rsidRPr="000B33B9">
        <w:rPr>
          <w:rFonts w:ascii="Verdana" w:eastAsia="Verdana" w:hAnsi="Verdana" w:cs="Verdana"/>
          <w:sz w:val="20"/>
          <w:szCs w:val="20"/>
          <w:lang w:val="es-ES" w:eastAsia="es-CR"/>
        </w:rPr>
        <w:t>es</w:t>
      </w:r>
      <w:r w:rsidRPr="000B33B9">
        <w:rPr>
          <w:rFonts w:ascii="Verdana" w:eastAsia="Verdana" w:hAnsi="Verdana" w:cs="Verdana"/>
          <w:sz w:val="20"/>
          <w:szCs w:val="20"/>
          <w:lang w:val="es-ES" w:eastAsia="es-CR"/>
        </w:rPr>
        <w:t xml:space="preserve"> y el fondo del asunto.</w:t>
      </w:r>
      <w:r w:rsidR="007F6256" w:rsidRPr="000B33B9">
        <w:rPr>
          <w:rFonts w:ascii="Verdana" w:eastAsia="Verdana" w:hAnsi="Verdana" w:cs="Verdana"/>
          <w:sz w:val="20"/>
          <w:szCs w:val="20"/>
          <w:lang w:val="es-ES" w:eastAsia="es-CR"/>
        </w:rPr>
        <w:t xml:space="preserve"> Además, alegaron la violación a los derechos a la vida digna, la propiedad, la seguridad social y a tomar medidas para hacerlos efectivos en términos de los artículos </w:t>
      </w:r>
      <w:r w:rsidR="009038C8" w:rsidRPr="000B33B9">
        <w:rPr>
          <w:rFonts w:ascii="Verdana" w:eastAsia="Verdana" w:hAnsi="Verdana" w:cs="Verdana"/>
          <w:sz w:val="20"/>
          <w:szCs w:val="20"/>
          <w:lang w:val="es-ES" w:eastAsia="es-CR"/>
        </w:rPr>
        <w:t>4.1, 21, 26 y</w:t>
      </w:r>
      <w:r w:rsidR="00654EBF" w:rsidRPr="000B33B9">
        <w:rPr>
          <w:rFonts w:ascii="Verdana" w:eastAsia="Verdana" w:hAnsi="Verdana" w:cs="Verdana"/>
          <w:sz w:val="20"/>
          <w:szCs w:val="20"/>
          <w:lang w:val="es-ES" w:eastAsia="es-CR"/>
        </w:rPr>
        <w:t xml:space="preserve"> 2</w:t>
      </w:r>
      <w:r w:rsidR="009038C8" w:rsidRPr="000B33B9">
        <w:rPr>
          <w:rFonts w:ascii="Verdana" w:eastAsia="Verdana" w:hAnsi="Verdana" w:cs="Verdana"/>
          <w:sz w:val="20"/>
          <w:szCs w:val="20"/>
          <w:lang w:val="es-ES" w:eastAsia="es-CR"/>
        </w:rPr>
        <w:t xml:space="preserve"> de la Convención Americana, en perjuicio de las presuntas víctimas.</w:t>
      </w:r>
      <w:r w:rsidRPr="000B33B9">
        <w:rPr>
          <w:rFonts w:ascii="Verdana" w:eastAsia="Verdana" w:hAnsi="Verdana" w:cs="Verdana"/>
          <w:sz w:val="20"/>
          <w:szCs w:val="20"/>
          <w:lang w:val="es-ES" w:eastAsia="es-CR"/>
        </w:rPr>
        <w:t xml:space="preserve"> Finalmente, solicitaron a la Corte que ordenara al Estado la adopción de diversas medidas de reparación y e</w:t>
      </w:r>
      <w:r w:rsidR="00406957" w:rsidRPr="000B33B9">
        <w:rPr>
          <w:rFonts w:ascii="Verdana" w:eastAsia="Verdana" w:hAnsi="Verdana" w:cs="Verdana"/>
          <w:sz w:val="20"/>
          <w:szCs w:val="20"/>
          <w:lang w:val="es-ES" w:eastAsia="es-CR"/>
        </w:rPr>
        <w:t>l reintegro de costas y gastos.</w:t>
      </w:r>
    </w:p>
    <w:p w14:paraId="02EAF623" w14:textId="77777777" w:rsidR="008A351B" w:rsidRPr="000B33B9" w:rsidRDefault="008A351B" w:rsidP="00C962FE">
      <w:pPr>
        <w:widowControl w:val="0"/>
        <w:tabs>
          <w:tab w:val="left" w:pos="567"/>
        </w:tabs>
        <w:adjustRightInd w:val="0"/>
        <w:spacing w:after="0" w:line="240" w:lineRule="auto"/>
        <w:jc w:val="both"/>
        <w:textAlignment w:val="baseline"/>
        <w:rPr>
          <w:rFonts w:ascii="Verdana" w:eastAsia="Verdana" w:hAnsi="Verdana" w:cs="Verdana"/>
          <w:sz w:val="20"/>
          <w:szCs w:val="20"/>
          <w:u w:val="single"/>
          <w:lang w:val="es-ES" w:eastAsia="es-CR"/>
        </w:rPr>
      </w:pPr>
    </w:p>
    <w:p w14:paraId="203D34AD" w14:textId="5548E67C" w:rsidR="001C05D8" w:rsidRPr="000B33B9" w:rsidRDefault="001C05D8" w:rsidP="007B74B8">
      <w:pPr>
        <w:widowControl w:val="0"/>
        <w:numPr>
          <w:ilvl w:val="0"/>
          <w:numId w:val="10"/>
        </w:numPr>
        <w:tabs>
          <w:tab w:val="left" w:pos="567"/>
          <w:tab w:val="num" w:pos="12305"/>
        </w:tabs>
        <w:adjustRightInd w:val="0"/>
        <w:spacing w:after="0" w:line="240" w:lineRule="auto"/>
        <w:ind w:left="0" w:firstLine="0"/>
        <w:jc w:val="both"/>
        <w:textAlignment w:val="baseline"/>
        <w:rPr>
          <w:rFonts w:ascii="Verdana" w:eastAsia="Verdana" w:hAnsi="Verdana" w:cs="Verdana"/>
          <w:i/>
          <w:sz w:val="20"/>
          <w:szCs w:val="20"/>
          <w:lang w:val="es-ES" w:eastAsia="es-CR"/>
        </w:rPr>
      </w:pPr>
      <w:r w:rsidRPr="000B33B9">
        <w:rPr>
          <w:rFonts w:ascii="Verdana" w:eastAsia="Verdana" w:hAnsi="Verdana" w:cs="Verdana"/>
          <w:i/>
          <w:sz w:val="20"/>
          <w:szCs w:val="20"/>
          <w:lang w:val="es-ES" w:eastAsia="es-CR"/>
        </w:rPr>
        <w:t xml:space="preserve">Escrito de contestación. – </w:t>
      </w:r>
      <w:r w:rsidRPr="000B33B9">
        <w:rPr>
          <w:rFonts w:ascii="Verdana" w:eastAsia="Verdana" w:hAnsi="Verdana" w:cs="Verdana"/>
          <w:sz w:val="20"/>
          <w:szCs w:val="20"/>
          <w:lang w:val="es-ES" w:eastAsia="es-CR"/>
        </w:rPr>
        <w:t xml:space="preserve">El </w:t>
      </w:r>
      <w:r w:rsidR="00E02A5C" w:rsidRPr="000B33B9">
        <w:rPr>
          <w:rFonts w:ascii="Verdana" w:eastAsia="Verdana" w:hAnsi="Verdana" w:cs="Verdana"/>
          <w:sz w:val="20"/>
          <w:szCs w:val="20"/>
          <w:lang w:val="es-ES" w:eastAsia="es-CR"/>
        </w:rPr>
        <w:t>29</w:t>
      </w:r>
      <w:r w:rsidR="006B0067" w:rsidRPr="000B33B9">
        <w:rPr>
          <w:rFonts w:ascii="Verdana" w:eastAsia="Verdana" w:hAnsi="Verdana" w:cs="Verdana"/>
          <w:sz w:val="20"/>
          <w:szCs w:val="20"/>
          <w:lang w:val="es-ES" w:eastAsia="es-CR"/>
        </w:rPr>
        <w:t xml:space="preserve"> de agosto</w:t>
      </w:r>
      <w:r w:rsidRPr="000B33B9">
        <w:rPr>
          <w:rFonts w:ascii="Verdana" w:eastAsia="Verdana" w:hAnsi="Verdana" w:cs="Verdana"/>
          <w:sz w:val="20"/>
          <w:szCs w:val="20"/>
          <w:lang w:val="es-ES" w:eastAsia="es-CR"/>
        </w:rPr>
        <w:t xml:space="preserve"> de 2018 el Estado</w:t>
      </w:r>
      <w:r w:rsidRPr="000B33B9">
        <w:rPr>
          <w:rFonts w:ascii="Verdana" w:eastAsia="Verdana" w:hAnsi="Verdana" w:cs="Verdana"/>
          <w:sz w:val="20"/>
          <w:szCs w:val="20"/>
          <w:vertAlign w:val="superscript"/>
          <w:lang w:val="es-ES" w:eastAsia="es-CR"/>
        </w:rPr>
        <w:footnoteReference w:id="5"/>
      </w:r>
      <w:r w:rsidRPr="000B33B9">
        <w:rPr>
          <w:rFonts w:ascii="Verdana" w:eastAsia="Verdana" w:hAnsi="Verdana" w:cs="Verdana"/>
          <w:sz w:val="20"/>
          <w:szCs w:val="20"/>
          <w:lang w:val="es-ES" w:eastAsia="es-CR"/>
        </w:rPr>
        <w:t xml:space="preserve"> presentó ante la Corte su </w:t>
      </w:r>
      <w:r w:rsidRPr="000B33B9">
        <w:rPr>
          <w:rFonts w:ascii="Verdana" w:eastAsia="Calibri" w:hAnsi="Verdana" w:cs="Arial"/>
          <w:sz w:val="20"/>
          <w:szCs w:val="20"/>
          <w:lang w:val="es-ES" w:eastAsia="es-CR"/>
        </w:rPr>
        <w:t>escrito</w:t>
      </w:r>
      <w:r w:rsidRPr="000B33B9">
        <w:rPr>
          <w:rFonts w:ascii="Verdana" w:eastAsia="Verdana" w:hAnsi="Verdana" w:cs="Verdana"/>
          <w:sz w:val="20"/>
          <w:szCs w:val="20"/>
          <w:lang w:val="es-ES" w:eastAsia="es-CR"/>
        </w:rPr>
        <w:t xml:space="preserve"> de contestación (en adelante “escrito de contestación”) al sometimiento e Informe de Fondo de la Comisión y al escrito de solicitudes y argumentos. </w:t>
      </w:r>
      <w:r w:rsidRPr="000B33B9">
        <w:rPr>
          <w:rFonts w:ascii="Verdana" w:eastAsia="Verdana" w:hAnsi="Verdana" w:cs="Verdana"/>
          <w:sz w:val="20"/>
          <w:szCs w:val="20"/>
          <w:lang w:val="es-CR" w:eastAsia="es-CR"/>
        </w:rPr>
        <w:t xml:space="preserve">El Estado presentó </w:t>
      </w:r>
      <w:r w:rsidR="00E60821" w:rsidRPr="000B33B9">
        <w:rPr>
          <w:rFonts w:ascii="Verdana" w:eastAsia="Verdana" w:hAnsi="Verdana" w:cs="Verdana"/>
          <w:sz w:val="20"/>
          <w:szCs w:val="20"/>
          <w:lang w:val="es-CR" w:eastAsia="es-CR"/>
        </w:rPr>
        <w:t>excepciones</w:t>
      </w:r>
      <w:r w:rsidR="006B0067" w:rsidRPr="000B33B9">
        <w:rPr>
          <w:rFonts w:ascii="Verdana" w:eastAsia="Verdana" w:hAnsi="Verdana" w:cs="Verdana"/>
          <w:sz w:val="20"/>
          <w:szCs w:val="20"/>
          <w:lang w:val="es-CR" w:eastAsia="es-CR"/>
        </w:rPr>
        <w:t xml:space="preserve"> preliminar</w:t>
      </w:r>
      <w:r w:rsidR="00E60821" w:rsidRPr="000B33B9">
        <w:rPr>
          <w:rFonts w:ascii="Verdana" w:eastAsia="Verdana" w:hAnsi="Verdana" w:cs="Verdana"/>
          <w:sz w:val="20"/>
          <w:szCs w:val="20"/>
          <w:lang w:val="es-CR" w:eastAsia="es-CR"/>
        </w:rPr>
        <w:t>es</w:t>
      </w:r>
      <w:r w:rsidRPr="000B33B9">
        <w:rPr>
          <w:rFonts w:ascii="Verdana" w:eastAsia="Verdana" w:hAnsi="Verdana" w:cs="Verdana"/>
          <w:sz w:val="20"/>
          <w:szCs w:val="20"/>
          <w:lang w:val="es-CR" w:eastAsia="es-CR"/>
        </w:rPr>
        <w:t>. D</w:t>
      </w:r>
      <w:r w:rsidR="00E02A5C" w:rsidRPr="000B33B9">
        <w:rPr>
          <w:rFonts w:ascii="Verdana" w:eastAsia="Verdana" w:hAnsi="Verdana" w:cs="Verdana"/>
          <w:sz w:val="20"/>
          <w:szCs w:val="20"/>
          <w:lang w:val="es-CR" w:eastAsia="es-CR"/>
        </w:rPr>
        <w:t>icho escrito fue notificado a los representantes</w:t>
      </w:r>
      <w:r w:rsidR="00A7367D" w:rsidRPr="000B33B9">
        <w:rPr>
          <w:rFonts w:ascii="Verdana" w:eastAsia="Verdana" w:hAnsi="Verdana" w:cs="Verdana"/>
          <w:sz w:val="20"/>
          <w:szCs w:val="20"/>
          <w:lang w:val="es-CR" w:eastAsia="es-CR"/>
        </w:rPr>
        <w:t xml:space="preserve"> y a la Comisión</w:t>
      </w:r>
      <w:r w:rsidRPr="000B33B9">
        <w:rPr>
          <w:rFonts w:ascii="Verdana" w:eastAsia="Verdana" w:hAnsi="Verdana" w:cs="Verdana"/>
          <w:sz w:val="20"/>
          <w:szCs w:val="20"/>
          <w:lang w:val="es-CR" w:eastAsia="es-CR"/>
        </w:rPr>
        <w:t xml:space="preserve"> el </w:t>
      </w:r>
      <w:r w:rsidR="00E02A5C" w:rsidRPr="000B33B9">
        <w:rPr>
          <w:rFonts w:ascii="Verdana" w:eastAsia="Verdana" w:hAnsi="Verdana" w:cs="Verdana"/>
          <w:sz w:val="20"/>
          <w:szCs w:val="20"/>
          <w:lang w:val="es-CR" w:eastAsia="es-CR"/>
        </w:rPr>
        <w:t>25 de octubre</w:t>
      </w:r>
      <w:r w:rsidR="00406957" w:rsidRPr="000B33B9">
        <w:rPr>
          <w:rFonts w:ascii="Verdana" w:eastAsia="Verdana" w:hAnsi="Verdana" w:cs="Verdana"/>
          <w:sz w:val="20"/>
          <w:szCs w:val="20"/>
          <w:lang w:val="es-CR" w:eastAsia="es-CR"/>
        </w:rPr>
        <w:t xml:space="preserve"> de 2018.</w:t>
      </w:r>
    </w:p>
    <w:p w14:paraId="3DB2BC9D" w14:textId="77777777" w:rsidR="008A351B" w:rsidRPr="000B33B9" w:rsidRDefault="008A351B" w:rsidP="00C962FE">
      <w:pPr>
        <w:widowControl w:val="0"/>
        <w:tabs>
          <w:tab w:val="left" w:pos="567"/>
        </w:tabs>
        <w:adjustRightInd w:val="0"/>
        <w:spacing w:after="0" w:line="240" w:lineRule="auto"/>
        <w:jc w:val="both"/>
        <w:textAlignment w:val="baseline"/>
        <w:rPr>
          <w:rFonts w:ascii="Verdana" w:eastAsia="Verdana" w:hAnsi="Verdana" w:cs="Verdana"/>
          <w:sz w:val="20"/>
          <w:szCs w:val="20"/>
          <w:lang w:val="es-ES" w:eastAsia="es-CR"/>
        </w:rPr>
      </w:pPr>
    </w:p>
    <w:p w14:paraId="671A8479" w14:textId="0F4BFBAC" w:rsidR="001C05D8" w:rsidRPr="000B33B9" w:rsidRDefault="001C05D8" w:rsidP="007B74B8">
      <w:pPr>
        <w:widowControl w:val="0"/>
        <w:numPr>
          <w:ilvl w:val="0"/>
          <w:numId w:val="10"/>
        </w:numPr>
        <w:tabs>
          <w:tab w:val="left" w:pos="567"/>
          <w:tab w:val="num" w:pos="12305"/>
        </w:tabs>
        <w:adjustRightInd w:val="0"/>
        <w:spacing w:after="0" w:line="240" w:lineRule="auto"/>
        <w:ind w:left="0" w:firstLine="0"/>
        <w:jc w:val="both"/>
        <w:textAlignment w:val="baseline"/>
        <w:rPr>
          <w:rFonts w:ascii="Verdana" w:eastAsia="Verdana" w:hAnsi="Verdana" w:cs="Verdana"/>
          <w:i/>
          <w:sz w:val="20"/>
          <w:szCs w:val="20"/>
          <w:lang w:val="es-ES" w:eastAsia="es-CR"/>
        </w:rPr>
      </w:pPr>
      <w:r w:rsidRPr="000B33B9">
        <w:rPr>
          <w:rFonts w:ascii="Verdana" w:eastAsia="Verdana" w:hAnsi="Verdana" w:cs="Verdana"/>
          <w:i/>
          <w:sz w:val="20"/>
          <w:szCs w:val="20"/>
          <w:lang w:val="es-ES" w:eastAsia="es-CR"/>
        </w:rPr>
        <w:t>Observaciones a la</w:t>
      </w:r>
      <w:r w:rsidR="00E60821" w:rsidRPr="000B33B9">
        <w:rPr>
          <w:rFonts w:ascii="Verdana" w:eastAsia="Verdana" w:hAnsi="Verdana" w:cs="Verdana"/>
          <w:i/>
          <w:sz w:val="20"/>
          <w:szCs w:val="20"/>
          <w:lang w:val="es-ES" w:eastAsia="es-CR"/>
        </w:rPr>
        <w:t>s excepcio</w:t>
      </w:r>
      <w:r w:rsidR="00E327EC" w:rsidRPr="000B33B9">
        <w:rPr>
          <w:rFonts w:ascii="Verdana" w:eastAsia="Verdana" w:hAnsi="Verdana" w:cs="Verdana"/>
          <w:i/>
          <w:sz w:val="20"/>
          <w:szCs w:val="20"/>
          <w:lang w:val="es-ES" w:eastAsia="es-CR"/>
        </w:rPr>
        <w:t>n</w:t>
      </w:r>
      <w:r w:rsidR="00E60821" w:rsidRPr="000B33B9">
        <w:rPr>
          <w:rFonts w:ascii="Verdana" w:eastAsia="Verdana" w:hAnsi="Verdana" w:cs="Verdana"/>
          <w:i/>
          <w:sz w:val="20"/>
          <w:szCs w:val="20"/>
          <w:lang w:val="es-ES" w:eastAsia="es-CR"/>
        </w:rPr>
        <w:t>es</w:t>
      </w:r>
      <w:r w:rsidR="00E327EC" w:rsidRPr="000B33B9">
        <w:rPr>
          <w:rFonts w:ascii="Verdana" w:eastAsia="Verdana" w:hAnsi="Verdana" w:cs="Verdana"/>
          <w:i/>
          <w:sz w:val="20"/>
          <w:szCs w:val="20"/>
          <w:lang w:val="es-ES" w:eastAsia="es-CR"/>
        </w:rPr>
        <w:t xml:space="preserve"> preliminar</w:t>
      </w:r>
      <w:r w:rsidR="00E60821" w:rsidRPr="000B33B9">
        <w:rPr>
          <w:rFonts w:ascii="Verdana" w:eastAsia="Verdana" w:hAnsi="Verdana" w:cs="Verdana"/>
          <w:i/>
          <w:sz w:val="20"/>
          <w:szCs w:val="20"/>
          <w:lang w:val="es-ES" w:eastAsia="es-CR"/>
        </w:rPr>
        <w:t>es</w:t>
      </w:r>
      <w:r w:rsidRPr="000B33B9">
        <w:rPr>
          <w:rFonts w:ascii="Verdana" w:eastAsia="Verdana" w:hAnsi="Verdana" w:cs="Verdana"/>
          <w:i/>
          <w:sz w:val="20"/>
          <w:szCs w:val="20"/>
          <w:lang w:val="es-ES" w:eastAsia="es-CR"/>
        </w:rPr>
        <w:t xml:space="preserve">. – </w:t>
      </w:r>
      <w:r w:rsidRPr="000B33B9">
        <w:rPr>
          <w:rFonts w:ascii="Verdana" w:eastAsia="Verdana" w:hAnsi="Verdana" w:cs="Verdana"/>
          <w:sz w:val="20"/>
          <w:szCs w:val="20"/>
          <w:lang w:val="es-ES" w:eastAsia="es-CR"/>
        </w:rPr>
        <w:t xml:space="preserve">El </w:t>
      </w:r>
      <w:r w:rsidR="00E60821" w:rsidRPr="000B33B9">
        <w:rPr>
          <w:rFonts w:ascii="Verdana" w:eastAsia="Verdana" w:hAnsi="Verdana" w:cs="Verdana"/>
          <w:sz w:val="20"/>
          <w:szCs w:val="20"/>
          <w:lang w:val="es-ES" w:eastAsia="es-CR"/>
        </w:rPr>
        <w:t>23 y 26 de noviembre de 2018, los representantes de las presuntas víctimas y la Comisión</w:t>
      </w:r>
      <w:r w:rsidRPr="000B33B9">
        <w:rPr>
          <w:rFonts w:ascii="Verdana" w:eastAsia="Verdana" w:hAnsi="Verdana" w:cs="Verdana"/>
          <w:sz w:val="20"/>
          <w:szCs w:val="20"/>
          <w:lang w:val="es-ES" w:eastAsia="es-CR"/>
        </w:rPr>
        <w:t xml:space="preserve"> pre</w:t>
      </w:r>
      <w:r w:rsidR="00E33DF4" w:rsidRPr="000B33B9">
        <w:rPr>
          <w:rFonts w:ascii="Verdana" w:eastAsia="Verdana" w:hAnsi="Verdana" w:cs="Verdana"/>
          <w:sz w:val="20"/>
          <w:szCs w:val="20"/>
          <w:lang w:val="es-ES" w:eastAsia="es-CR"/>
        </w:rPr>
        <w:t>sentaron</w:t>
      </w:r>
      <w:r w:rsidR="00654EBF" w:rsidRPr="000B33B9">
        <w:rPr>
          <w:rFonts w:ascii="Verdana" w:eastAsia="Verdana" w:hAnsi="Verdana" w:cs="Verdana"/>
          <w:sz w:val="20"/>
          <w:szCs w:val="20"/>
          <w:lang w:val="es-ES" w:eastAsia="es-CR"/>
        </w:rPr>
        <w:t>, respectivamente,</w:t>
      </w:r>
      <w:r w:rsidR="00E33DF4" w:rsidRPr="000B33B9">
        <w:rPr>
          <w:rFonts w:ascii="Verdana" w:eastAsia="Verdana" w:hAnsi="Verdana" w:cs="Verdana"/>
          <w:sz w:val="20"/>
          <w:szCs w:val="20"/>
          <w:lang w:val="es-ES" w:eastAsia="es-CR"/>
        </w:rPr>
        <w:t xml:space="preserve"> sus observaciones a la</w:t>
      </w:r>
      <w:r w:rsidR="00F30664" w:rsidRPr="000B33B9">
        <w:rPr>
          <w:rFonts w:ascii="Verdana" w:eastAsia="Verdana" w:hAnsi="Verdana" w:cs="Verdana"/>
          <w:sz w:val="20"/>
          <w:szCs w:val="20"/>
          <w:lang w:val="es-ES" w:eastAsia="es-CR"/>
        </w:rPr>
        <w:t>s excepciones</w:t>
      </w:r>
      <w:r w:rsidR="00E33DF4" w:rsidRPr="000B33B9">
        <w:rPr>
          <w:rFonts w:ascii="Verdana" w:eastAsia="Verdana" w:hAnsi="Verdana" w:cs="Verdana"/>
          <w:sz w:val="20"/>
          <w:szCs w:val="20"/>
          <w:lang w:val="es-ES" w:eastAsia="es-CR"/>
        </w:rPr>
        <w:t xml:space="preserve"> preliminar</w:t>
      </w:r>
      <w:r w:rsidR="00F30664" w:rsidRPr="000B33B9">
        <w:rPr>
          <w:rFonts w:ascii="Verdana" w:eastAsia="Verdana" w:hAnsi="Verdana" w:cs="Verdana"/>
          <w:sz w:val="20"/>
          <w:szCs w:val="20"/>
          <w:lang w:val="es-ES" w:eastAsia="es-CR"/>
        </w:rPr>
        <w:t>es</w:t>
      </w:r>
      <w:r w:rsidR="008A351B" w:rsidRPr="000B33B9">
        <w:rPr>
          <w:rFonts w:ascii="Verdana" w:eastAsia="Verdana" w:hAnsi="Verdana" w:cs="Verdana"/>
          <w:sz w:val="20"/>
          <w:szCs w:val="20"/>
          <w:lang w:val="es-ES" w:eastAsia="es-CR"/>
        </w:rPr>
        <w:t xml:space="preserve"> interpuesta</w:t>
      </w:r>
      <w:r w:rsidR="00F30664" w:rsidRPr="000B33B9">
        <w:rPr>
          <w:rFonts w:ascii="Verdana" w:eastAsia="Verdana" w:hAnsi="Verdana" w:cs="Verdana"/>
          <w:sz w:val="20"/>
          <w:szCs w:val="20"/>
          <w:lang w:val="es-ES" w:eastAsia="es-CR"/>
        </w:rPr>
        <w:t>s</w:t>
      </w:r>
      <w:r w:rsidR="008A351B" w:rsidRPr="000B33B9">
        <w:rPr>
          <w:rFonts w:ascii="Verdana" w:eastAsia="Verdana" w:hAnsi="Verdana" w:cs="Verdana"/>
          <w:sz w:val="20"/>
          <w:szCs w:val="20"/>
          <w:lang w:val="es-ES" w:eastAsia="es-CR"/>
        </w:rPr>
        <w:t xml:space="preserve"> por el Estado.</w:t>
      </w:r>
    </w:p>
    <w:p w14:paraId="45F82EFB" w14:textId="77777777" w:rsidR="008A351B" w:rsidRPr="000B33B9" w:rsidRDefault="008A351B" w:rsidP="00C962FE">
      <w:pPr>
        <w:widowControl w:val="0"/>
        <w:tabs>
          <w:tab w:val="left" w:pos="567"/>
        </w:tabs>
        <w:adjustRightInd w:val="0"/>
        <w:spacing w:after="0" w:line="240" w:lineRule="auto"/>
        <w:jc w:val="both"/>
        <w:textAlignment w:val="baseline"/>
        <w:rPr>
          <w:rFonts w:ascii="Verdana" w:eastAsia="Verdana" w:hAnsi="Verdana" w:cs="Verdana"/>
          <w:sz w:val="20"/>
          <w:szCs w:val="20"/>
          <w:lang w:val="es-ES" w:eastAsia="es-CR"/>
        </w:rPr>
      </w:pPr>
    </w:p>
    <w:p w14:paraId="7F58F590" w14:textId="6F336A0B" w:rsidR="001C05D8" w:rsidRPr="000B33B9" w:rsidRDefault="001C05D8" w:rsidP="007B74B8">
      <w:pPr>
        <w:widowControl w:val="0"/>
        <w:numPr>
          <w:ilvl w:val="0"/>
          <w:numId w:val="10"/>
        </w:numPr>
        <w:tabs>
          <w:tab w:val="left" w:pos="567"/>
          <w:tab w:val="num" w:pos="12305"/>
        </w:tabs>
        <w:adjustRightInd w:val="0"/>
        <w:spacing w:after="0" w:line="240" w:lineRule="auto"/>
        <w:ind w:left="0" w:firstLine="0"/>
        <w:jc w:val="both"/>
        <w:textAlignment w:val="baseline"/>
        <w:rPr>
          <w:rFonts w:ascii="Verdana" w:eastAsia="Verdana" w:hAnsi="Verdana" w:cs="Verdana"/>
          <w:sz w:val="20"/>
          <w:szCs w:val="20"/>
          <w:lang w:val="es-ES" w:eastAsia="es-CR"/>
        </w:rPr>
      </w:pPr>
      <w:r w:rsidRPr="000B33B9">
        <w:rPr>
          <w:rFonts w:ascii="Verdana" w:eastAsia="Verdana" w:hAnsi="Verdana" w:cs="Verdana"/>
          <w:i/>
          <w:position w:val="-1"/>
          <w:sz w:val="20"/>
          <w:szCs w:val="20"/>
          <w:lang w:val="es-ES" w:eastAsia="es-CR"/>
        </w:rPr>
        <w:t>Audiencia Pública</w:t>
      </w:r>
      <w:r w:rsidR="00A533E5" w:rsidRPr="000B33B9">
        <w:rPr>
          <w:rFonts w:ascii="Verdana" w:eastAsia="Verdana" w:hAnsi="Verdana" w:cs="Verdana"/>
          <w:i/>
          <w:position w:val="-1"/>
          <w:sz w:val="20"/>
          <w:szCs w:val="20"/>
          <w:lang w:val="es-ES" w:eastAsia="es-CR"/>
        </w:rPr>
        <w:t>.</w:t>
      </w:r>
      <w:r w:rsidRPr="000B33B9">
        <w:rPr>
          <w:rFonts w:ascii="Verdana" w:eastAsia="Verdana" w:hAnsi="Verdana" w:cs="Verdana"/>
          <w:i/>
          <w:position w:val="-1"/>
          <w:sz w:val="20"/>
          <w:szCs w:val="20"/>
          <w:lang w:val="es-ES" w:eastAsia="es-CR"/>
        </w:rPr>
        <w:t xml:space="preserve"> - </w:t>
      </w:r>
      <w:r w:rsidRPr="000B33B9">
        <w:rPr>
          <w:rFonts w:ascii="Verdana" w:eastAsia="Verdana" w:hAnsi="Verdana" w:cs="Verdana"/>
          <w:position w:val="-1"/>
          <w:sz w:val="20"/>
          <w:szCs w:val="20"/>
          <w:lang w:val="es-ES" w:eastAsia="es-CR"/>
        </w:rPr>
        <w:t xml:space="preserve">Mediante </w:t>
      </w:r>
      <w:r w:rsidR="00130BEF" w:rsidRPr="000B33B9">
        <w:rPr>
          <w:rFonts w:ascii="Verdana" w:eastAsia="Verdana" w:hAnsi="Verdana" w:cs="Verdana"/>
          <w:position w:val="-1"/>
          <w:sz w:val="20"/>
          <w:szCs w:val="20"/>
          <w:lang w:val="es-ES" w:eastAsia="es-CR"/>
        </w:rPr>
        <w:t>r</w:t>
      </w:r>
      <w:r w:rsidR="00E33DF4" w:rsidRPr="000B33B9">
        <w:rPr>
          <w:rFonts w:ascii="Verdana" w:eastAsia="Verdana" w:hAnsi="Verdana" w:cs="Verdana"/>
          <w:position w:val="-1"/>
          <w:sz w:val="20"/>
          <w:szCs w:val="20"/>
          <w:lang w:val="es-ES" w:eastAsia="es-CR"/>
        </w:rPr>
        <w:t>esolución</w:t>
      </w:r>
      <w:r w:rsidR="00E327EC" w:rsidRPr="000B33B9">
        <w:rPr>
          <w:rFonts w:ascii="Verdana" w:eastAsia="Verdana" w:hAnsi="Verdana" w:cs="Verdana"/>
          <w:position w:val="-1"/>
          <w:sz w:val="20"/>
          <w:szCs w:val="20"/>
          <w:lang w:val="es-ES" w:eastAsia="es-CR"/>
        </w:rPr>
        <w:t xml:space="preserve"> del Presidente</w:t>
      </w:r>
      <w:r w:rsidR="00A56DA6" w:rsidRPr="000B33B9">
        <w:rPr>
          <w:rFonts w:ascii="Verdana" w:eastAsia="Verdana" w:hAnsi="Verdana" w:cs="Verdana"/>
          <w:position w:val="-1"/>
          <w:sz w:val="20"/>
          <w:szCs w:val="20"/>
          <w:lang w:val="es-ES" w:eastAsia="es-CR"/>
        </w:rPr>
        <w:t xml:space="preserve"> de la Corte</w:t>
      </w:r>
      <w:r w:rsidRPr="000B33B9">
        <w:rPr>
          <w:rFonts w:ascii="Verdana" w:eastAsia="Verdana" w:hAnsi="Verdana" w:cs="Verdana"/>
          <w:position w:val="-1"/>
          <w:sz w:val="20"/>
          <w:szCs w:val="20"/>
          <w:lang w:val="es-ES" w:eastAsia="es-CR"/>
        </w:rPr>
        <w:t xml:space="preserve"> de </w:t>
      </w:r>
      <w:r w:rsidR="007C64DA" w:rsidRPr="000B33B9">
        <w:rPr>
          <w:rFonts w:ascii="Verdana" w:eastAsia="Verdana" w:hAnsi="Verdana" w:cs="Verdana"/>
          <w:position w:val="-1"/>
          <w:sz w:val="20"/>
          <w:szCs w:val="20"/>
          <w:lang w:val="es-ES" w:eastAsia="es-CR"/>
        </w:rPr>
        <w:t>21</w:t>
      </w:r>
      <w:r w:rsidR="00E33DF4" w:rsidRPr="000B33B9">
        <w:rPr>
          <w:rFonts w:ascii="Verdana" w:eastAsia="Verdana" w:hAnsi="Verdana" w:cs="Verdana"/>
          <w:position w:val="-1"/>
          <w:sz w:val="20"/>
          <w:szCs w:val="20"/>
          <w:lang w:val="es-ES" w:eastAsia="es-CR"/>
        </w:rPr>
        <w:t xml:space="preserve"> de marzo</w:t>
      </w:r>
      <w:r w:rsidR="00BB6280" w:rsidRPr="000B33B9">
        <w:rPr>
          <w:rFonts w:ascii="Verdana" w:eastAsia="Verdana" w:hAnsi="Verdana" w:cs="Verdana"/>
          <w:position w:val="-1"/>
          <w:sz w:val="20"/>
          <w:szCs w:val="20"/>
          <w:lang w:val="es-ES" w:eastAsia="es-CR"/>
        </w:rPr>
        <w:t xml:space="preserve"> de 2019</w:t>
      </w:r>
      <w:r w:rsidRPr="000B33B9">
        <w:rPr>
          <w:rFonts w:ascii="Verdana" w:eastAsia="Verdana" w:hAnsi="Verdana" w:cs="Verdana"/>
          <w:position w:val="-1"/>
          <w:sz w:val="20"/>
          <w:szCs w:val="20"/>
          <w:vertAlign w:val="superscript"/>
          <w:lang w:val="es-ES" w:eastAsia="es-CR"/>
        </w:rPr>
        <w:footnoteReference w:id="6"/>
      </w:r>
      <w:r w:rsidRPr="000B33B9">
        <w:rPr>
          <w:rFonts w:ascii="Verdana" w:eastAsia="Verdana" w:hAnsi="Verdana" w:cs="Verdana"/>
          <w:position w:val="-1"/>
          <w:sz w:val="20"/>
          <w:szCs w:val="20"/>
          <w:lang w:val="es-ES" w:eastAsia="es-CR"/>
        </w:rPr>
        <w:t xml:space="preserve"> se convocó a las partes y a la Comisión Interamericana a una audiencia pública para recibir sus observaciones finales orales sobre</w:t>
      </w:r>
      <w:r w:rsidR="00E33DF4" w:rsidRPr="000B33B9">
        <w:rPr>
          <w:rFonts w:ascii="Verdana" w:eastAsia="Verdana" w:hAnsi="Verdana" w:cs="Verdana"/>
          <w:position w:val="-1"/>
          <w:sz w:val="20"/>
          <w:szCs w:val="20"/>
          <w:lang w:val="es-ES" w:eastAsia="es-CR"/>
        </w:rPr>
        <w:t xml:space="preserve"> la</w:t>
      </w:r>
      <w:r w:rsidR="001B2451" w:rsidRPr="000B33B9">
        <w:rPr>
          <w:rFonts w:ascii="Verdana" w:eastAsia="Verdana" w:hAnsi="Verdana" w:cs="Verdana"/>
          <w:position w:val="-1"/>
          <w:sz w:val="20"/>
          <w:szCs w:val="20"/>
          <w:lang w:val="es-ES" w:eastAsia="es-CR"/>
        </w:rPr>
        <w:t>s excepciones</w:t>
      </w:r>
      <w:r w:rsidR="00E33DF4" w:rsidRPr="000B33B9">
        <w:rPr>
          <w:rFonts w:ascii="Verdana" w:eastAsia="Verdana" w:hAnsi="Verdana" w:cs="Verdana"/>
          <w:position w:val="-1"/>
          <w:sz w:val="20"/>
          <w:szCs w:val="20"/>
          <w:lang w:val="es-ES" w:eastAsia="es-CR"/>
        </w:rPr>
        <w:t xml:space="preserve"> preliminar</w:t>
      </w:r>
      <w:r w:rsidR="001B2451" w:rsidRPr="000B33B9">
        <w:rPr>
          <w:rFonts w:ascii="Verdana" w:eastAsia="Verdana" w:hAnsi="Verdana" w:cs="Verdana"/>
          <w:position w:val="-1"/>
          <w:sz w:val="20"/>
          <w:szCs w:val="20"/>
          <w:lang w:val="es-ES" w:eastAsia="es-CR"/>
        </w:rPr>
        <w:t>es</w:t>
      </w:r>
      <w:r w:rsidRPr="000B33B9">
        <w:rPr>
          <w:rFonts w:ascii="Verdana" w:eastAsia="Verdana" w:hAnsi="Verdana" w:cs="Verdana"/>
          <w:position w:val="-1"/>
          <w:sz w:val="20"/>
          <w:szCs w:val="20"/>
          <w:lang w:val="es-ES" w:eastAsia="es-CR"/>
        </w:rPr>
        <w:t xml:space="preserve">, el fondo y eventuales reparaciones y costas, así como para recibir la declaración </w:t>
      </w:r>
      <w:r w:rsidR="00663E14" w:rsidRPr="000B33B9">
        <w:rPr>
          <w:rFonts w:ascii="Verdana" w:eastAsia="Verdana" w:hAnsi="Verdana" w:cs="Verdana"/>
          <w:sz w:val="20"/>
          <w:szCs w:val="20"/>
          <w:lang w:val="es-ES" w:eastAsia="es-CR"/>
        </w:rPr>
        <w:t>de una víctima, una perita y dos peritos</w:t>
      </w:r>
      <w:r w:rsidRPr="000B33B9">
        <w:rPr>
          <w:rFonts w:ascii="Verdana" w:eastAsia="Verdana" w:hAnsi="Verdana" w:cs="Verdana"/>
          <w:position w:val="-1"/>
          <w:sz w:val="20"/>
          <w:szCs w:val="20"/>
          <w:lang w:val="es-ES" w:eastAsia="es-CR"/>
        </w:rPr>
        <w:t xml:space="preserve">. </w:t>
      </w:r>
      <w:r w:rsidRPr="000B33B9">
        <w:rPr>
          <w:rFonts w:ascii="Verdana" w:eastAsia="Verdana" w:hAnsi="Verdana" w:cs="Verdana"/>
          <w:sz w:val="20"/>
          <w:szCs w:val="20"/>
          <w:lang w:val="es-ES" w:eastAsia="es-CR"/>
        </w:rPr>
        <w:t xml:space="preserve">La audiencia pública fue celebrada el </w:t>
      </w:r>
      <w:r w:rsidR="00663E14" w:rsidRPr="000B33B9">
        <w:rPr>
          <w:rFonts w:ascii="Verdana" w:eastAsia="Verdana" w:hAnsi="Verdana" w:cs="Verdana"/>
          <w:sz w:val="20"/>
          <w:szCs w:val="20"/>
          <w:lang w:val="es-ES" w:eastAsia="es-CR"/>
        </w:rPr>
        <w:t>7</w:t>
      </w:r>
      <w:r w:rsidR="00DA6263" w:rsidRPr="000B33B9">
        <w:rPr>
          <w:rFonts w:ascii="Verdana" w:eastAsia="Verdana" w:hAnsi="Verdana" w:cs="Verdana"/>
          <w:sz w:val="20"/>
          <w:szCs w:val="20"/>
          <w:lang w:val="es-ES" w:eastAsia="es-CR"/>
        </w:rPr>
        <w:t xml:space="preserve"> de mayo de 2019, durante el 60° Período Extrao</w:t>
      </w:r>
      <w:r w:rsidRPr="000B33B9">
        <w:rPr>
          <w:rFonts w:ascii="Verdana" w:eastAsia="Verdana" w:hAnsi="Verdana" w:cs="Verdana"/>
          <w:sz w:val="20"/>
          <w:szCs w:val="20"/>
          <w:lang w:val="es-ES" w:eastAsia="es-CR"/>
        </w:rPr>
        <w:t xml:space="preserve">rdinario de Sesiones de la Corte, llevado a cabo en </w:t>
      </w:r>
      <w:r w:rsidR="00DA6263" w:rsidRPr="000B33B9">
        <w:rPr>
          <w:rFonts w:ascii="Verdana" w:eastAsia="Verdana" w:hAnsi="Verdana" w:cs="Verdana"/>
          <w:sz w:val="20"/>
          <w:szCs w:val="20"/>
          <w:lang w:val="es-ES" w:eastAsia="es-CR"/>
        </w:rPr>
        <w:t>Montevideo, Uruguay</w:t>
      </w:r>
      <w:r w:rsidRPr="000B33B9">
        <w:rPr>
          <w:rFonts w:ascii="Verdana" w:eastAsia="Verdana" w:hAnsi="Verdana" w:cs="Verdana"/>
          <w:sz w:val="20"/>
          <w:szCs w:val="20"/>
          <w:vertAlign w:val="superscript"/>
          <w:lang w:val="es-ES" w:eastAsia="es-CR"/>
        </w:rPr>
        <w:footnoteReference w:id="7"/>
      </w:r>
      <w:r w:rsidR="008A351B" w:rsidRPr="000B33B9">
        <w:rPr>
          <w:rFonts w:ascii="Verdana" w:eastAsia="Verdana" w:hAnsi="Verdana" w:cs="Verdana"/>
          <w:sz w:val="20"/>
          <w:szCs w:val="20"/>
          <w:lang w:val="es-ES" w:eastAsia="es-CR"/>
        </w:rPr>
        <w:t>.</w:t>
      </w:r>
    </w:p>
    <w:p w14:paraId="12E7B14A" w14:textId="77777777" w:rsidR="008A351B" w:rsidRPr="000B33B9" w:rsidRDefault="008A351B" w:rsidP="00C962FE">
      <w:pPr>
        <w:widowControl w:val="0"/>
        <w:tabs>
          <w:tab w:val="left" w:pos="567"/>
        </w:tabs>
        <w:adjustRightInd w:val="0"/>
        <w:spacing w:after="0" w:line="240" w:lineRule="auto"/>
        <w:jc w:val="both"/>
        <w:textAlignment w:val="baseline"/>
        <w:rPr>
          <w:rFonts w:ascii="Verdana" w:eastAsia="Verdana" w:hAnsi="Verdana" w:cs="Verdana"/>
          <w:sz w:val="20"/>
          <w:szCs w:val="20"/>
          <w:lang w:val="es-ES" w:eastAsia="es-CR"/>
        </w:rPr>
      </w:pPr>
    </w:p>
    <w:p w14:paraId="12D18CD4" w14:textId="02980B68" w:rsidR="00A533E5" w:rsidRPr="000B33B9" w:rsidRDefault="00A533E5" w:rsidP="007B74B8">
      <w:pPr>
        <w:widowControl w:val="0"/>
        <w:numPr>
          <w:ilvl w:val="0"/>
          <w:numId w:val="10"/>
        </w:numPr>
        <w:tabs>
          <w:tab w:val="left" w:pos="567"/>
          <w:tab w:val="num" w:pos="12305"/>
        </w:tabs>
        <w:adjustRightInd w:val="0"/>
        <w:spacing w:after="0" w:line="240" w:lineRule="auto"/>
        <w:ind w:left="0" w:firstLine="0"/>
        <w:jc w:val="both"/>
        <w:textAlignment w:val="baseline"/>
        <w:rPr>
          <w:rFonts w:ascii="Verdana" w:eastAsia="Verdana" w:hAnsi="Verdana" w:cs="Verdana"/>
          <w:sz w:val="20"/>
          <w:szCs w:val="20"/>
          <w:lang w:val="es-ES" w:eastAsia="es-CR"/>
        </w:rPr>
      </w:pPr>
      <w:r w:rsidRPr="000B33B9">
        <w:rPr>
          <w:rFonts w:ascii="Verdana" w:eastAsia="Verdana" w:hAnsi="Verdana" w:cs="Verdana"/>
          <w:i/>
          <w:position w:val="-1"/>
          <w:sz w:val="20"/>
          <w:szCs w:val="20"/>
          <w:lang w:val="es-ES" w:eastAsia="es-CR"/>
        </w:rPr>
        <w:t xml:space="preserve">Amicus curiae. – </w:t>
      </w:r>
      <w:r w:rsidR="00CE7982" w:rsidRPr="000B33B9">
        <w:rPr>
          <w:rFonts w:ascii="Verdana" w:eastAsia="Verdana" w:hAnsi="Verdana" w:cs="Verdana"/>
          <w:position w:val="-1"/>
          <w:sz w:val="20"/>
          <w:szCs w:val="20"/>
          <w:lang w:val="es-ES" w:eastAsia="es-CR"/>
        </w:rPr>
        <w:t xml:space="preserve">El Tribunal recibió </w:t>
      </w:r>
      <w:r w:rsidR="00B948EF" w:rsidRPr="000B33B9">
        <w:rPr>
          <w:rFonts w:ascii="Verdana" w:eastAsia="Verdana" w:hAnsi="Verdana" w:cs="Verdana"/>
          <w:position w:val="-1"/>
          <w:sz w:val="20"/>
          <w:szCs w:val="20"/>
          <w:lang w:val="es-ES" w:eastAsia="es-CR"/>
        </w:rPr>
        <w:t xml:space="preserve">dos </w:t>
      </w:r>
      <w:r w:rsidRPr="000B33B9">
        <w:rPr>
          <w:rFonts w:ascii="Verdana" w:eastAsia="Verdana" w:hAnsi="Verdana" w:cs="Verdana"/>
          <w:position w:val="-1"/>
          <w:sz w:val="20"/>
          <w:szCs w:val="20"/>
          <w:lang w:val="es-ES" w:eastAsia="es-CR"/>
        </w:rPr>
        <w:t xml:space="preserve">escritos en calidad de </w:t>
      </w:r>
      <w:r w:rsidRPr="000B33B9">
        <w:rPr>
          <w:rFonts w:ascii="Verdana" w:eastAsia="Verdana" w:hAnsi="Verdana" w:cs="Verdana"/>
          <w:i/>
          <w:position w:val="-1"/>
          <w:sz w:val="20"/>
          <w:szCs w:val="20"/>
          <w:lang w:val="es-ES" w:eastAsia="es-CR"/>
        </w:rPr>
        <w:t>amicus curiae</w:t>
      </w:r>
      <w:r w:rsidRPr="000B33B9">
        <w:rPr>
          <w:rFonts w:ascii="Verdana" w:eastAsia="Verdana" w:hAnsi="Verdana" w:cs="Verdana"/>
          <w:position w:val="-1"/>
          <w:sz w:val="20"/>
          <w:szCs w:val="20"/>
          <w:lang w:val="es-ES" w:eastAsia="es-CR"/>
        </w:rPr>
        <w:t xml:space="preserve"> presentados por: i)</w:t>
      </w:r>
      <w:r w:rsidR="00DE45AC" w:rsidRPr="000B33B9">
        <w:rPr>
          <w:rFonts w:ascii="Verdana" w:eastAsia="Verdana" w:hAnsi="Verdana" w:cs="Verdana"/>
          <w:position w:val="-1"/>
          <w:sz w:val="20"/>
          <w:szCs w:val="20"/>
          <w:lang w:val="es-ES" w:eastAsia="es-CR"/>
        </w:rPr>
        <w:t xml:space="preserve"> </w:t>
      </w:r>
      <w:r w:rsidR="00B948EF" w:rsidRPr="000B33B9">
        <w:rPr>
          <w:rFonts w:ascii="Verdana" w:eastAsia="Verdana" w:hAnsi="Verdana" w:cs="Verdana"/>
          <w:position w:val="-1"/>
          <w:sz w:val="20"/>
          <w:szCs w:val="20"/>
          <w:lang w:val="es-ES" w:eastAsia="es-CR"/>
        </w:rPr>
        <w:t>la Asociación Latinoamericana de Abogados Laboralistas (ALAL)</w:t>
      </w:r>
      <w:r w:rsidR="0051368E" w:rsidRPr="000B33B9">
        <w:rPr>
          <w:rStyle w:val="Refdenotaalpie"/>
          <w:rFonts w:ascii="Verdana" w:eastAsia="Verdana" w:hAnsi="Verdana" w:cs="Verdana"/>
          <w:position w:val="-1"/>
          <w:sz w:val="20"/>
          <w:szCs w:val="20"/>
          <w:lang w:val="es-ES" w:eastAsia="es-CR"/>
        </w:rPr>
        <w:footnoteReference w:id="8"/>
      </w:r>
      <w:r w:rsidR="00DE45AC" w:rsidRPr="000B33B9">
        <w:rPr>
          <w:rFonts w:ascii="Verdana" w:eastAsia="Verdana" w:hAnsi="Verdana" w:cs="Verdana"/>
          <w:position w:val="-1"/>
          <w:sz w:val="20"/>
          <w:szCs w:val="20"/>
          <w:lang w:val="es-ES" w:eastAsia="es-CR"/>
        </w:rPr>
        <w:t>,</w:t>
      </w:r>
      <w:r w:rsidR="00B948EF" w:rsidRPr="000B33B9">
        <w:rPr>
          <w:rFonts w:ascii="Verdana" w:eastAsia="Verdana" w:hAnsi="Verdana" w:cs="Verdana"/>
          <w:position w:val="-1"/>
          <w:sz w:val="20"/>
          <w:szCs w:val="20"/>
          <w:lang w:val="es-ES" w:eastAsia="es-CR"/>
        </w:rPr>
        <w:t xml:space="preserve"> y</w:t>
      </w:r>
      <w:r w:rsidR="00DE45AC" w:rsidRPr="000B33B9">
        <w:rPr>
          <w:rFonts w:ascii="Verdana" w:eastAsia="Verdana" w:hAnsi="Verdana" w:cs="Verdana"/>
          <w:position w:val="-1"/>
          <w:sz w:val="20"/>
          <w:szCs w:val="20"/>
          <w:lang w:val="es-ES" w:eastAsia="es-CR"/>
        </w:rPr>
        <w:t xml:space="preserve"> ii) </w:t>
      </w:r>
      <w:r w:rsidR="00B948EF" w:rsidRPr="000B33B9">
        <w:rPr>
          <w:rFonts w:ascii="Verdana" w:eastAsia="Verdana" w:hAnsi="Verdana" w:cs="Verdana"/>
          <w:position w:val="-1"/>
          <w:sz w:val="20"/>
          <w:szCs w:val="20"/>
          <w:lang w:val="es-ES" w:eastAsia="es-CR"/>
        </w:rPr>
        <w:t>Carlos Rodríguez Mejía y Alberto León Gómez Zuluaga</w:t>
      </w:r>
      <w:r w:rsidR="00146232" w:rsidRPr="000B33B9">
        <w:rPr>
          <w:rStyle w:val="Refdenotaalpie"/>
          <w:rFonts w:ascii="Verdana" w:eastAsia="Verdana" w:hAnsi="Verdana" w:cs="Verdana"/>
          <w:position w:val="-1"/>
          <w:sz w:val="20"/>
          <w:szCs w:val="20"/>
          <w:lang w:val="es-ES" w:eastAsia="es-CR"/>
        </w:rPr>
        <w:footnoteReference w:id="9"/>
      </w:r>
      <w:r w:rsidRPr="000B33B9">
        <w:rPr>
          <w:rFonts w:ascii="Verdana" w:eastAsia="Verdana" w:hAnsi="Verdana" w:cs="Verdana"/>
          <w:position w:val="-1"/>
          <w:sz w:val="20"/>
          <w:szCs w:val="20"/>
          <w:lang w:val="es-ES" w:eastAsia="es-CR"/>
        </w:rPr>
        <w:t>.</w:t>
      </w:r>
    </w:p>
    <w:p w14:paraId="03241B61" w14:textId="77777777" w:rsidR="008A351B" w:rsidRPr="000B33B9" w:rsidRDefault="008A351B" w:rsidP="00C962FE">
      <w:pPr>
        <w:widowControl w:val="0"/>
        <w:tabs>
          <w:tab w:val="left" w:pos="567"/>
        </w:tabs>
        <w:adjustRightInd w:val="0"/>
        <w:spacing w:after="0" w:line="240" w:lineRule="auto"/>
        <w:jc w:val="both"/>
        <w:textAlignment w:val="baseline"/>
        <w:rPr>
          <w:rFonts w:ascii="Verdana" w:eastAsia="Verdana" w:hAnsi="Verdana" w:cs="Verdana"/>
          <w:sz w:val="20"/>
          <w:szCs w:val="20"/>
          <w:lang w:val="es-ES" w:eastAsia="es-CR"/>
        </w:rPr>
      </w:pPr>
    </w:p>
    <w:p w14:paraId="0C1449B5" w14:textId="140D5739" w:rsidR="001C05D8" w:rsidRPr="000B33B9" w:rsidRDefault="001C05D8" w:rsidP="007B74B8">
      <w:pPr>
        <w:widowControl w:val="0"/>
        <w:numPr>
          <w:ilvl w:val="0"/>
          <w:numId w:val="10"/>
        </w:numPr>
        <w:tabs>
          <w:tab w:val="left" w:pos="567"/>
          <w:tab w:val="num" w:pos="12305"/>
        </w:tabs>
        <w:adjustRightInd w:val="0"/>
        <w:spacing w:after="0" w:line="240" w:lineRule="auto"/>
        <w:ind w:left="0" w:firstLine="0"/>
        <w:jc w:val="both"/>
        <w:textAlignment w:val="baseline"/>
        <w:rPr>
          <w:rFonts w:ascii="Verdana" w:eastAsia="Times New Roman" w:hAnsi="Verdana" w:cs="Verdana"/>
          <w:snapToGrid w:val="0"/>
          <w:sz w:val="20"/>
          <w:szCs w:val="20"/>
          <w:lang w:val="es-ES" w:eastAsia="es-ES"/>
        </w:rPr>
      </w:pPr>
      <w:bookmarkStart w:id="6" w:name="_Ref354147731"/>
      <w:r w:rsidRPr="000B33B9">
        <w:rPr>
          <w:rFonts w:ascii="Verdana" w:eastAsia="Times New Roman" w:hAnsi="Verdana" w:cs="Verdana"/>
          <w:i/>
          <w:sz w:val="20"/>
          <w:szCs w:val="20"/>
          <w:lang w:val="es-ES" w:eastAsia="es-CR"/>
        </w:rPr>
        <w:t xml:space="preserve">Alegatos y observaciones finales escritas. </w:t>
      </w:r>
      <w:bookmarkEnd w:id="6"/>
      <w:r w:rsidRPr="000B33B9">
        <w:rPr>
          <w:rFonts w:ascii="Verdana" w:eastAsia="Times New Roman" w:hAnsi="Verdana" w:cs="Verdana"/>
          <w:i/>
          <w:sz w:val="20"/>
          <w:szCs w:val="20"/>
          <w:lang w:val="es-ES" w:eastAsia="es-CR"/>
        </w:rPr>
        <w:t xml:space="preserve">– </w:t>
      </w:r>
      <w:r w:rsidR="004E0B3D" w:rsidRPr="000B33B9">
        <w:rPr>
          <w:rFonts w:ascii="Verdana" w:eastAsia="Times New Roman" w:hAnsi="Verdana" w:cs="Verdana"/>
          <w:sz w:val="20"/>
          <w:szCs w:val="20"/>
          <w:lang w:val="es-ES" w:eastAsia="es-CR"/>
        </w:rPr>
        <w:t>Los días</w:t>
      </w:r>
      <w:r w:rsidRPr="000B33B9">
        <w:rPr>
          <w:rFonts w:ascii="Verdana" w:eastAsia="Times New Roman" w:hAnsi="Verdana" w:cs="Verdana"/>
          <w:sz w:val="20"/>
          <w:szCs w:val="20"/>
          <w:lang w:val="es-ES" w:eastAsia="es-CR"/>
        </w:rPr>
        <w:t xml:space="preserve"> </w:t>
      </w:r>
      <w:r w:rsidR="003D17B7" w:rsidRPr="000B33B9">
        <w:rPr>
          <w:rFonts w:ascii="Verdana" w:eastAsia="Times New Roman" w:hAnsi="Verdana" w:cs="Verdana"/>
          <w:sz w:val="20"/>
          <w:szCs w:val="20"/>
          <w:lang w:val="es-ES" w:eastAsia="es-CR"/>
        </w:rPr>
        <w:t>8 y 10</w:t>
      </w:r>
      <w:r w:rsidR="005D1D0B" w:rsidRPr="000B33B9">
        <w:rPr>
          <w:rFonts w:ascii="Verdana" w:eastAsia="Times New Roman" w:hAnsi="Verdana" w:cs="Verdana"/>
          <w:sz w:val="20"/>
          <w:szCs w:val="20"/>
          <w:lang w:val="es-ES" w:eastAsia="es-CR"/>
        </w:rPr>
        <w:t xml:space="preserve"> de junio</w:t>
      </w:r>
      <w:r w:rsidRPr="000B33B9">
        <w:rPr>
          <w:rFonts w:ascii="Verdana" w:eastAsia="Times New Roman" w:hAnsi="Verdana" w:cs="Verdana"/>
          <w:sz w:val="20"/>
          <w:szCs w:val="20"/>
          <w:lang w:val="es-ES" w:eastAsia="es-CR"/>
        </w:rPr>
        <w:t xml:space="preserve"> de 2019</w:t>
      </w:r>
      <w:r w:rsidR="00A7367D" w:rsidRPr="000B33B9">
        <w:rPr>
          <w:rFonts w:ascii="Verdana" w:eastAsia="Times New Roman" w:hAnsi="Verdana" w:cs="Verdana"/>
          <w:sz w:val="20"/>
          <w:szCs w:val="20"/>
          <w:lang w:val="es-ES" w:eastAsia="es-CR"/>
        </w:rPr>
        <w:t xml:space="preserve"> </w:t>
      </w:r>
      <w:r w:rsidR="004E0B3D" w:rsidRPr="000B33B9">
        <w:rPr>
          <w:rFonts w:ascii="Verdana" w:eastAsia="Times New Roman" w:hAnsi="Verdana" w:cs="Verdana"/>
          <w:sz w:val="20"/>
          <w:szCs w:val="20"/>
          <w:lang w:val="es-ES" w:eastAsia="es-CR"/>
        </w:rPr>
        <w:t>los representantes</w:t>
      </w:r>
      <w:r w:rsidR="005E5302" w:rsidRPr="000B33B9">
        <w:rPr>
          <w:rFonts w:ascii="Verdana" w:eastAsia="Times New Roman" w:hAnsi="Verdana" w:cs="Verdana"/>
          <w:sz w:val="20"/>
          <w:szCs w:val="20"/>
          <w:lang w:val="es-ES" w:eastAsia="es-CR"/>
        </w:rPr>
        <w:t xml:space="preserve"> y el Estado</w:t>
      </w:r>
      <w:r w:rsidR="00A7367D" w:rsidRPr="000B33B9">
        <w:rPr>
          <w:rFonts w:ascii="Verdana" w:eastAsia="Times New Roman" w:hAnsi="Verdana" w:cs="Verdana"/>
          <w:sz w:val="20"/>
          <w:szCs w:val="20"/>
          <w:lang w:val="es-ES" w:eastAsia="es-CR"/>
        </w:rPr>
        <w:t>, respectivamente,</w:t>
      </w:r>
      <w:r w:rsidRPr="000B33B9">
        <w:rPr>
          <w:rFonts w:ascii="Verdana" w:eastAsia="Times New Roman" w:hAnsi="Verdana" w:cs="Verdana"/>
          <w:sz w:val="20"/>
          <w:szCs w:val="20"/>
          <w:lang w:val="es-ES" w:eastAsia="es-CR"/>
        </w:rPr>
        <w:t xml:space="preserve"> remitieron alegatos finales escritos, junto con sus anexos. El </w:t>
      </w:r>
      <w:r w:rsidR="003D17B7" w:rsidRPr="000B33B9">
        <w:rPr>
          <w:rFonts w:ascii="Verdana" w:eastAsia="Times New Roman" w:hAnsi="Verdana" w:cs="Verdana"/>
          <w:sz w:val="20"/>
          <w:szCs w:val="20"/>
          <w:lang w:val="es-ES" w:eastAsia="es-CR"/>
        </w:rPr>
        <w:t>10</w:t>
      </w:r>
      <w:r w:rsidR="005E5302" w:rsidRPr="000B33B9">
        <w:rPr>
          <w:rFonts w:ascii="Verdana" w:eastAsia="Times New Roman" w:hAnsi="Verdana" w:cs="Verdana"/>
          <w:sz w:val="20"/>
          <w:szCs w:val="20"/>
          <w:lang w:val="es-ES" w:eastAsia="es-CR"/>
        </w:rPr>
        <w:t xml:space="preserve"> de junio</w:t>
      </w:r>
      <w:r w:rsidRPr="000B33B9">
        <w:rPr>
          <w:rFonts w:ascii="Verdana" w:eastAsia="Times New Roman" w:hAnsi="Verdana" w:cs="Verdana"/>
          <w:sz w:val="20"/>
          <w:szCs w:val="20"/>
          <w:lang w:val="es-ES" w:eastAsia="es-CR"/>
        </w:rPr>
        <w:t xml:space="preserve"> de 2019 la Comisión presentó sus observaciones finales escritas.</w:t>
      </w:r>
    </w:p>
    <w:p w14:paraId="6C0EFD48" w14:textId="77777777" w:rsidR="008A351B" w:rsidRPr="000B33B9" w:rsidRDefault="008A351B" w:rsidP="00C962FE">
      <w:pPr>
        <w:widowControl w:val="0"/>
        <w:tabs>
          <w:tab w:val="left" w:pos="567"/>
        </w:tabs>
        <w:adjustRightInd w:val="0"/>
        <w:spacing w:after="0" w:line="240" w:lineRule="auto"/>
        <w:jc w:val="both"/>
        <w:textAlignment w:val="baseline"/>
        <w:rPr>
          <w:rFonts w:ascii="Verdana" w:eastAsia="Times New Roman" w:hAnsi="Verdana" w:cs="Verdana"/>
          <w:snapToGrid w:val="0"/>
          <w:sz w:val="20"/>
          <w:szCs w:val="20"/>
          <w:lang w:val="es-ES" w:eastAsia="es-ES"/>
        </w:rPr>
      </w:pPr>
    </w:p>
    <w:p w14:paraId="4C92598C" w14:textId="3D3D865C" w:rsidR="001C05D8" w:rsidRPr="000B33B9" w:rsidRDefault="001C05D8" w:rsidP="007B74B8">
      <w:pPr>
        <w:widowControl w:val="0"/>
        <w:numPr>
          <w:ilvl w:val="0"/>
          <w:numId w:val="10"/>
        </w:numPr>
        <w:tabs>
          <w:tab w:val="left" w:pos="567"/>
          <w:tab w:val="num" w:pos="12305"/>
        </w:tabs>
        <w:adjustRightInd w:val="0"/>
        <w:spacing w:after="0" w:line="240" w:lineRule="auto"/>
        <w:ind w:left="0" w:firstLine="0"/>
        <w:jc w:val="both"/>
        <w:textAlignment w:val="baseline"/>
        <w:rPr>
          <w:rFonts w:ascii="Verdana" w:eastAsia="Times New Roman" w:hAnsi="Verdana" w:cs="Verdana"/>
          <w:snapToGrid w:val="0"/>
          <w:sz w:val="20"/>
          <w:szCs w:val="20"/>
          <w:lang w:val="es-ES" w:eastAsia="es-ES"/>
        </w:rPr>
      </w:pPr>
      <w:r w:rsidRPr="000B33B9">
        <w:rPr>
          <w:rFonts w:ascii="Verdana" w:eastAsia="Times New Roman" w:hAnsi="Verdana" w:cs="Verdana"/>
          <w:i/>
          <w:snapToGrid w:val="0"/>
          <w:sz w:val="20"/>
          <w:szCs w:val="20"/>
          <w:lang w:val="es-ES" w:eastAsia="es-ES"/>
        </w:rPr>
        <w:t>Observaciones de los anexos a los alegatos finales</w:t>
      </w:r>
      <w:r w:rsidR="00F2232F" w:rsidRPr="000B33B9">
        <w:rPr>
          <w:rFonts w:ascii="Verdana" w:eastAsia="Times New Roman" w:hAnsi="Verdana" w:cs="Verdana"/>
          <w:i/>
          <w:snapToGrid w:val="0"/>
          <w:sz w:val="20"/>
          <w:szCs w:val="20"/>
          <w:lang w:val="es-ES" w:eastAsia="es-ES"/>
        </w:rPr>
        <w:t xml:space="preserve">. </w:t>
      </w:r>
      <w:r w:rsidRPr="000B33B9">
        <w:rPr>
          <w:rFonts w:ascii="Verdana" w:eastAsia="Times New Roman" w:hAnsi="Verdana" w:cs="Verdana"/>
          <w:snapToGrid w:val="0"/>
          <w:sz w:val="20"/>
          <w:szCs w:val="20"/>
          <w:lang w:val="es-ES" w:eastAsia="es-ES"/>
        </w:rPr>
        <w:t xml:space="preserve">- </w:t>
      </w:r>
      <w:r w:rsidR="004E0B3D" w:rsidRPr="000B33B9">
        <w:rPr>
          <w:rFonts w:ascii="Verdana" w:eastAsia="Times New Roman" w:hAnsi="Verdana" w:cs="Verdana"/>
          <w:snapToGrid w:val="0"/>
          <w:sz w:val="20"/>
          <w:szCs w:val="20"/>
          <w:lang w:val="es-ES" w:eastAsia="es-ES"/>
        </w:rPr>
        <w:t>Los días</w:t>
      </w:r>
      <w:r w:rsidRPr="000B33B9">
        <w:rPr>
          <w:rFonts w:ascii="Verdana" w:eastAsia="Times New Roman" w:hAnsi="Verdana" w:cs="Verdana"/>
          <w:snapToGrid w:val="0"/>
          <w:sz w:val="20"/>
          <w:szCs w:val="20"/>
          <w:lang w:val="es-ES" w:eastAsia="es-ES"/>
        </w:rPr>
        <w:t xml:space="preserve"> </w:t>
      </w:r>
      <w:r w:rsidR="00493FF7" w:rsidRPr="000B33B9">
        <w:rPr>
          <w:rFonts w:ascii="Verdana" w:eastAsia="Times New Roman" w:hAnsi="Verdana" w:cs="Verdana"/>
          <w:snapToGrid w:val="0"/>
          <w:sz w:val="20"/>
          <w:szCs w:val="20"/>
          <w:lang w:val="es-ES" w:eastAsia="es-ES"/>
        </w:rPr>
        <w:t>21 y 25</w:t>
      </w:r>
      <w:r w:rsidR="003636FF" w:rsidRPr="000B33B9">
        <w:rPr>
          <w:rFonts w:ascii="Verdana" w:eastAsia="Times New Roman" w:hAnsi="Verdana" w:cs="Verdana"/>
          <w:snapToGrid w:val="0"/>
          <w:sz w:val="20"/>
          <w:szCs w:val="20"/>
          <w:lang w:val="es-ES" w:eastAsia="es-ES"/>
        </w:rPr>
        <w:t xml:space="preserve"> </w:t>
      </w:r>
      <w:r w:rsidRPr="000B33B9">
        <w:rPr>
          <w:rFonts w:ascii="Verdana" w:eastAsia="Times New Roman" w:hAnsi="Verdana" w:cs="Verdana"/>
          <w:snapToGrid w:val="0"/>
          <w:sz w:val="20"/>
          <w:szCs w:val="20"/>
          <w:lang w:val="es-ES" w:eastAsia="es-ES"/>
        </w:rPr>
        <w:t xml:space="preserve">de </w:t>
      </w:r>
      <w:r w:rsidR="005E5302" w:rsidRPr="000B33B9">
        <w:rPr>
          <w:rFonts w:ascii="Verdana" w:eastAsia="Times New Roman" w:hAnsi="Verdana" w:cs="Verdana"/>
          <w:snapToGrid w:val="0"/>
          <w:sz w:val="20"/>
          <w:szCs w:val="20"/>
          <w:lang w:val="es-ES" w:eastAsia="es-ES"/>
        </w:rPr>
        <w:t>junio</w:t>
      </w:r>
      <w:r w:rsidRPr="000B33B9">
        <w:rPr>
          <w:rFonts w:ascii="Verdana" w:eastAsia="Times New Roman" w:hAnsi="Verdana" w:cs="Verdana"/>
          <w:snapToGrid w:val="0"/>
          <w:sz w:val="20"/>
          <w:szCs w:val="20"/>
          <w:lang w:val="es-ES" w:eastAsia="es-ES"/>
        </w:rPr>
        <w:t xml:space="preserve"> de 2019, respectivamente, </w:t>
      </w:r>
      <w:r w:rsidR="004E0B3D" w:rsidRPr="000B33B9">
        <w:rPr>
          <w:rFonts w:ascii="Verdana" w:eastAsia="Times New Roman" w:hAnsi="Verdana" w:cs="Verdana"/>
          <w:snapToGrid w:val="0"/>
          <w:sz w:val="20"/>
          <w:szCs w:val="20"/>
          <w:lang w:val="es-ES" w:eastAsia="es-ES"/>
        </w:rPr>
        <w:t>los representantes</w:t>
      </w:r>
      <w:r w:rsidR="00493FF7" w:rsidRPr="000B33B9">
        <w:rPr>
          <w:rFonts w:ascii="Verdana" w:eastAsia="Times New Roman" w:hAnsi="Verdana" w:cs="Verdana"/>
          <w:snapToGrid w:val="0"/>
          <w:sz w:val="20"/>
          <w:szCs w:val="20"/>
          <w:lang w:val="es-ES" w:eastAsia="es-ES"/>
        </w:rPr>
        <w:t xml:space="preserve"> y el Estado</w:t>
      </w:r>
      <w:r w:rsidR="004E0B3D" w:rsidRPr="000B33B9">
        <w:rPr>
          <w:rFonts w:ascii="Verdana" w:eastAsia="Times New Roman" w:hAnsi="Verdana" w:cs="Verdana"/>
          <w:snapToGrid w:val="0"/>
          <w:sz w:val="20"/>
          <w:szCs w:val="20"/>
          <w:lang w:val="es-ES" w:eastAsia="es-ES"/>
        </w:rPr>
        <w:t xml:space="preserve"> </w:t>
      </w:r>
      <w:r w:rsidR="00F2232F" w:rsidRPr="000B33B9">
        <w:rPr>
          <w:rFonts w:ascii="Verdana" w:eastAsia="Times New Roman" w:hAnsi="Verdana" w:cs="Verdana"/>
          <w:snapToGrid w:val="0"/>
          <w:sz w:val="20"/>
          <w:szCs w:val="20"/>
          <w:lang w:val="es-ES" w:eastAsia="es-ES"/>
        </w:rPr>
        <w:t>presentaron</w:t>
      </w:r>
      <w:r w:rsidRPr="000B33B9">
        <w:rPr>
          <w:rFonts w:ascii="Verdana" w:eastAsia="Times New Roman" w:hAnsi="Verdana" w:cs="Verdana"/>
          <w:snapToGrid w:val="0"/>
          <w:sz w:val="20"/>
          <w:szCs w:val="20"/>
          <w:lang w:val="es-ES" w:eastAsia="es-ES"/>
        </w:rPr>
        <w:t xml:space="preserve"> sus observaciones a los anexos remitidos junto a los alegatos finales escritos.</w:t>
      </w:r>
      <w:r w:rsidR="00DD6C38" w:rsidRPr="000B33B9">
        <w:rPr>
          <w:rFonts w:ascii="Verdana" w:eastAsia="Times New Roman" w:hAnsi="Verdana" w:cs="Verdana"/>
          <w:snapToGrid w:val="0"/>
          <w:sz w:val="20"/>
          <w:szCs w:val="20"/>
          <w:lang w:val="es-ES" w:eastAsia="es-ES"/>
        </w:rPr>
        <w:t xml:space="preserve"> </w:t>
      </w:r>
      <w:r w:rsidR="00493FF7" w:rsidRPr="000B33B9">
        <w:rPr>
          <w:rFonts w:ascii="Verdana" w:eastAsia="Times New Roman" w:hAnsi="Verdana" w:cs="Verdana"/>
          <w:snapToGrid w:val="0"/>
          <w:sz w:val="20"/>
          <w:szCs w:val="20"/>
          <w:lang w:val="es-ES" w:eastAsia="es-ES"/>
        </w:rPr>
        <w:t>El día 24 de junio de 2019 la Comisión informó que no tenía observaciones respecto a los anexos de los alegatos finales escritos presentados por el Estado y los representantes.</w:t>
      </w:r>
    </w:p>
    <w:p w14:paraId="766EAFC1" w14:textId="77777777" w:rsidR="008A351B" w:rsidRPr="000B33B9" w:rsidRDefault="008A351B" w:rsidP="00C962FE">
      <w:pPr>
        <w:widowControl w:val="0"/>
        <w:tabs>
          <w:tab w:val="left" w:pos="567"/>
        </w:tabs>
        <w:adjustRightInd w:val="0"/>
        <w:spacing w:after="0" w:line="240" w:lineRule="auto"/>
        <w:jc w:val="both"/>
        <w:textAlignment w:val="baseline"/>
        <w:rPr>
          <w:rFonts w:ascii="Verdana" w:eastAsia="Times New Roman" w:hAnsi="Verdana" w:cs="Verdana"/>
          <w:snapToGrid w:val="0"/>
          <w:sz w:val="20"/>
          <w:szCs w:val="20"/>
          <w:lang w:val="es-ES" w:eastAsia="es-ES"/>
        </w:rPr>
      </w:pPr>
    </w:p>
    <w:p w14:paraId="258234DE" w14:textId="33EF2493" w:rsidR="001C05D8" w:rsidRPr="000B33B9" w:rsidRDefault="001C05D8" w:rsidP="007B74B8">
      <w:pPr>
        <w:widowControl w:val="0"/>
        <w:numPr>
          <w:ilvl w:val="0"/>
          <w:numId w:val="10"/>
        </w:numPr>
        <w:tabs>
          <w:tab w:val="left" w:pos="567"/>
          <w:tab w:val="num" w:pos="12305"/>
        </w:tabs>
        <w:adjustRightInd w:val="0"/>
        <w:spacing w:after="0" w:line="240" w:lineRule="auto"/>
        <w:ind w:left="0" w:firstLine="0"/>
        <w:jc w:val="both"/>
        <w:textAlignment w:val="baseline"/>
        <w:rPr>
          <w:rFonts w:ascii="Verdana" w:eastAsia="Times New Roman" w:hAnsi="Verdana" w:cs="Verdana"/>
          <w:snapToGrid w:val="0"/>
          <w:sz w:val="20"/>
          <w:szCs w:val="20"/>
          <w:lang w:val="es-ES" w:eastAsia="es-ES"/>
        </w:rPr>
      </w:pPr>
      <w:r w:rsidRPr="000B33B9">
        <w:rPr>
          <w:rFonts w:ascii="Verdana" w:eastAsia="Times New Roman" w:hAnsi="Verdana" w:cs="Verdana"/>
          <w:i/>
          <w:snapToGrid w:val="0"/>
          <w:sz w:val="20"/>
          <w:szCs w:val="20"/>
          <w:lang w:val="es-ES" w:eastAsia="es-ES"/>
        </w:rPr>
        <w:t>Deliberación</w:t>
      </w:r>
      <w:r w:rsidRPr="000B33B9">
        <w:rPr>
          <w:rFonts w:ascii="Verdana" w:eastAsia="Times New Roman" w:hAnsi="Verdana" w:cs="Verdana"/>
          <w:i/>
          <w:iCs/>
          <w:snapToGrid w:val="0"/>
          <w:sz w:val="20"/>
          <w:szCs w:val="20"/>
          <w:lang w:val="es-ES" w:eastAsia="es-ES"/>
        </w:rPr>
        <w:t xml:space="preserve"> del presente caso. - </w:t>
      </w:r>
      <w:r w:rsidRPr="000B33B9">
        <w:rPr>
          <w:rFonts w:ascii="Verdana" w:eastAsia="Times New Roman" w:hAnsi="Verdana" w:cs="Verdana"/>
          <w:snapToGrid w:val="0"/>
          <w:sz w:val="20"/>
          <w:szCs w:val="20"/>
          <w:lang w:val="es-ES" w:eastAsia="es-ES"/>
        </w:rPr>
        <w:t>La Corte inició la deliberación de la presente Sentencia el</w:t>
      </w:r>
      <w:r w:rsidR="00D64AF7" w:rsidRPr="000B33B9">
        <w:rPr>
          <w:rFonts w:ascii="Verdana" w:eastAsia="Times New Roman" w:hAnsi="Verdana" w:cs="Verdana"/>
          <w:snapToGrid w:val="0"/>
          <w:sz w:val="20"/>
          <w:szCs w:val="20"/>
          <w:lang w:val="es-ES" w:eastAsia="es-ES"/>
        </w:rPr>
        <w:t xml:space="preserve"> </w:t>
      </w:r>
      <w:r w:rsidR="00F2232F" w:rsidRPr="000B33B9">
        <w:rPr>
          <w:rFonts w:ascii="Verdana" w:eastAsia="Times New Roman" w:hAnsi="Verdana" w:cs="Verdana"/>
          <w:snapToGrid w:val="0"/>
          <w:sz w:val="20"/>
          <w:szCs w:val="20"/>
          <w:lang w:val="es-ES" w:eastAsia="es-ES"/>
        </w:rPr>
        <w:t>18</w:t>
      </w:r>
      <w:r w:rsidR="00DD6C38" w:rsidRPr="000B33B9">
        <w:rPr>
          <w:rFonts w:ascii="Verdana" w:eastAsia="Times New Roman" w:hAnsi="Verdana" w:cs="Verdana"/>
          <w:snapToGrid w:val="0"/>
          <w:sz w:val="20"/>
          <w:szCs w:val="20"/>
          <w:lang w:val="es-ES" w:eastAsia="es-ES"/>
        </w:rPr>
        <w:t xml:space="preserve"> </w:t>
      </w:r>
      <w:r w:rsidR="00D64AF7" w:rsidRPr="000B33B9">
        <w:rPr>
          <w:rFonts w:ascii="Verdana" w:eastAsia="Times New Roman" w:hAnsi="Verdana" w:cs="Verdana"/>
          <w:snapToGrid w:val="0"/>
          <w:sz w:val="20"/>
          <w:szCs w:val="20"/>
          <w:lang w:val="es-ES" w:eastAsia="es-ES"/>
        </w:rPr>
        <w:t xml:space="preserve">de </w:t>
      </w:r>
      <w:r w:rsidR="0038654D" w:rsidRPr="000B33B9">
        <w:rPr>
          <w:rFonts w:ascii="Verdana" w:eastAsia="Times New Roman" w:hAnsi="Verdana" w:cs="Verdana"/>
          <w:snapToGrid w:val="0"/>
          <w:sz w:val="20"/>
          <w:szCs w:val="20"/>
          <w:lang w:val="es-ES" w:eastAsia="es-ES"/>
        </w:rPr>
        <w:t>noviembre</w:t>
      </w:r>
      <w:r w:rsidRPr="000B33B9">
        <w:rPr>
          <w:rFonts w:ascii="Verdana" w:eastAsia="Times New Roman" w:hAnsi="Verdana" w:cs="Verdana"/>
          <w:snapToGrid w:val="0"/>
          <w:sz w:val="20"/>
          <w:szCs w:val="20"/>
          <w:lang w:val="es-ES" w:eastAsia="es-ES"/>
        </w:rPr>
        <w:t xml:space="preserve"> de 2019.</w:t>
      </w:r>
    </w:p>
    <w:p w14:paraId="68F38D14" w14:textId="77777777" w:rsidR="008A351B" w:rsidRPr="000B33B9" w:rsidRDefault="008A351B" w:rsidP="00C962FE">
      <w:pPr>
        <w:widowControl w:val="0"/>
        <w:tabs>
          <w:tab w:val="left" w:pos="567"/>
        </w:tabs>
        <w:adjustRightInd w:val="0"/>
        <w:spacing w:after="0" w:line="240" w:lineRule="auto"/>
        <w:jc w:val="both"/>
        <w:textAlignment w:val="baseline"/>
        <w:rPr>
          <w:rFonts w:ascii="Verdana" w:eastAsia="Times New Roman" w:hAnsi="Verdana" w:cs="Verdana"/>
          <w:snapToGrid w:val="0"/>
          <w:sz w:val="20"/>
          <w:szCs w:val="20"/>
          <w:lang w:val="es-ES" w:eastAsia="es-ES"/>
        </w:rPr>
      </w:pPr>
    </w:p>
    <w:p w14:paraId="0F32E1E6" w14:textId="77777777" w:rsidR="001C05D8" w:rsidRPr="000B33B9" w:rsidRDefault="001C05D8" w:rsidP="003C0487">
      <w:pPr>
        <w:pStyle w:val="Ttulo1"/>
        <w:rPr>
          <w:rFonts w:eastAsia="Times New Roman" w:cs="Verdana"/>
          <w:b w:val="0"/>
          <w:bCs/>
          <w:caps/>
          <w:snapToGrid w:val="0"/>
          <w:lang w:val="es-ES_tradnl"/>
        </w:rPr>
      </w:pPr>
      <w:bookmarkStart w:id="7" w:name="_Toc437960385"/>
      <w:bookmarkStart w:id="8" w:name="_Toc494123965"/>
      <w:bookmarkStart w:id="9" w:name="_Toc27329739"/>
      <w:r w:rsidRPr="000B33B9">
        <w:rPr>
          <w:rFonts w:eastAsia="Times New Roman" w:cs="Verdana"/>
          <w:bCs/>
          <w:caps/>
          <w:snapToGrid w:val="0"/>
          <w:lang w:val="es-ES_tradnl"/>
        </w:rPr>
        <w:t>III</w:t>
      </w:r>
      <w:r w:rsidRPr="000B33B9">
        <w:rPr>
          <w:rFonts w:eastAsia="Times New Roman" w:cs="Verdana"/>
          <w:bCs/>
          <w:caps/>
          <w:snapToGrid w:val="0"/>
          <w:lang w:val="es-ES_tradnl"/>
        </w:rPr>
        <w:br/>
        <w:t>COMPETENCIA</w:t>
      </w:r>
      <w:bookmarkEnd w:id="7"/>
      <w:bookmarkEnd w:id="8"/>
      <w:bookmarkEnd w:id="9"/>
    </w:p>
    <w:p w14:paraId="39C32394" w14:textId="77777777" w:rsidR="008A351B" w:rsidRPr="000B33B9" w:rsidRDefault="008A351B" w:rsidP="00C962FE">
      <w:pPr>
        <w:keepNext/>
        <w:keepLines/>
        <w:tabs>
          <w:tab w:val="left" w:pos="851"/>
        </w:tabs>
        <w:spacing w:after="0" w:line="240" w:lineRule="auto"/>
        <w:jc w:val="center"/>
        <w:outlineLvl w:val="0"/>
        <w:rPr>
          <w:rFonts w:ascii="Verdana" w:eastAsia="Times New Roman" w:hAnsi="Verdana" w:cs="Verdana"/>
          <w:b/>
          <w:bCs/>
          <w:caps/>
          <w:snapToGrid w:val="0"/>
          <w:sz w:val="20"/>
          <w:szCs w:val="20"/>
          <w:lang w:val="es-ES_tradnl"/>
        </w:rPr>
      </w:pPr>
    </w:p>
    <w:p w14:paraId="09284725" w14:textId="03D60383" w:rsidR="00C25FED" w:rsidRPr="000B33B9" w:rsidRDefault="001C05D8" w:rsidP="007B74B8">
      <w:pPr>
        <w:widowControl w:val="0"/>
        <w:numPr>
          <w:ilvl w:val="0"/>
          <w:numId w:val="10"/>
        </w:numPr>
        <w:tabs>
          <w:tab w:val="left" w:pos="567"/>
          <w:tab w:val="num" w:pos="12305"/>
        </w:tabs>
        <w:adjustRightInd w:val="0"/>
        <w:spacing w:after="0" w:line="240" w:lineRule="auto"/>
        <w:ind w:left="0" w:firstLine="0"/>
        <w:jc w:val="both"/>
        <w:textAlignment w:val="baseline"/>
        <w:rPr>
          <w:rFonts w:ascii="Verdana" w:eastAsia="Times New Roman" w:hAnsi="Verdana" w:cs="Times New Roman"/>
          <w:sz w:val="20"/>
          <w:szCs w:val="20"/>
          <w:lang w:val="es-ES" w:eastAsia="es-CR"/>
        </w:rPr>
      </w:pPr>
      <w:r w:rsidRPr="000B33B9">
        <w:rPr>
          <w:rFonts w:ascii="Verdana" w:eastAsia="Times New Roman" w:hAnsi="Verdana" w:cs="Times New Roman"/>
          <w:sz w:val="20"/>
          <w:szCs w:val="20"/>
          <w:lang w:val="es-ES" w:eastAsia="es-CR"/>
        </w:rPr>
        <w:t>La Corte Interamericana es competente</w:t>
      </w:r>
      <w:r w:rsidR="00C25FED" w:rsidRPr="000B33B9">
        <w:rPr>
          <w:rFonts w:ascii="Verdana" w:eastAsia="Times New Roman" w:hAnsi="Verdana" w:cs="Times New Roman"/>
          <w:sz w:val="20"/>
          <w:szCs w:val="20"/>
          <w:lang w:val="es-ES" w:eastAsia="es-CR"/>
        </w:rPr>
        <w:t xml:space="preserve"> para conocer del presente caso</w:t>
      </w:r>
      <w:r w:rsidRPr="000B33B9">
        <w:rPr>
          <w:rFonts w:ascii="Verdana" w:eastAsia="Times New Roman" w:hAnsi="Verdana" w:cs="Times New Roman"/>
          <w:sz w:val="20"/>
          <w:szCs w:val="20"/>
          <w:lang w:val="es-ES" w:eastAsia="es-CR"/>
        </w:rPr>
        <w:t xml:space="preserve"> en los términos del artículo 62.3 de la Convención Americana, en</w:t>
      </w:r>
      <w:r w:rsidR="00F2232F" w:rsidRPr="000B33B9">
        <w:rPr>
          <w:rFonts w:ascii="Verdana" w:eastAsia="Times New Roman" w:hAnsi="Verdana" w:cs="Times New Roman"/>
          <w:sz w:val="20"/>
          <w:szCs w:val="20"/>
          <w:lang w:val="es-ES" w:eastAsia="es-CR"/>
        </w:rPr>
        <w:t xml:space="preserve"> razón de que</w:t>
      </w:r>
      <w:r w:rsidR="00C25FED" w:rsidRPr="000B33B9">
        <w:rPr>
          <w:rFonts w:ascii="Verdana" w:eastAsia="Times New Roman" w:hAnsi="Verdana" w:cs="Times New Roman"/>
          <w:sz w:val="20"/>
          <w:szCs w:val="20"/>
          <w:lang w:val="es-ES" w:eastAsia="es-CR"/>
        </w:rPr>
        <w:t xml:space="preserve"> Perú</w:t>
      </w:r>
      <w:r w:rsidRPr="000B33B9">
        <w:rPr>
          <w:rFonts w:ascii="Verdana" w:eastAsia="Times New Roman" w:hAnsi="Verdana" w:cs="Times New Roman"/>
          <w:sz w:val="20"/>
          <w:szCs w:val="20"/>
          <w:lang w:val="es-ES" w:eastAsia="es-CR"/>
        </w:rPr>
        <w:t xml:space="preserve"> </w:t>
      </w:r>
      <w:r w:rsidR="00C25FED" w:rsidRPr="000B33B9">
        <w:rPr>
          <w:rFonts w:ascii="Verdana" w:eastAsia="Times New Roman" w:hAnsi="Verdana" w:cs="Times New Roman"/>
          <w:sz w:val="20"/>
          <w:szCs w:val="20"/>
          <w:lang w:val="es-ES" w:eastAsia="es-CR"/>
        </w:rPr>
        <w:t xml:space="preserve">ratificó la Convención Americana el 28 de julio de 1978, </w:t>
      </w:r>
      <w:r w:rsidRPr="000B33B9">
        <w:rPr>
          <w:rFonts w:ascii="Verdana" w:eastAsia="Times New Roman" w:hAnsi="Verdana" w:cs="Times New Roman"/>
          <w:sz w:val="20"/>
          <w:szCs w:val="20"/>
          <w:lang w:val="es-ES" w:eastAsia="es-CR"/>
        </w:rPr>
        <w:t xml:space="preserve">y reconoció la competencia contenciosa de </w:t>
      </w:r>
      <w:r w:rsidR="00C25FED" w:rsidRPr="000B33B9">
        <w:rPr>
          <w:rFonts w:ascii="Verdana" w:eastAsia="Times New Roman" w:hAnsi="Verdana" w:cs="Times New Roman"/>
          <w:sz w:val="20"/>
          <w:szCs w:val="20"/>
          <w:lang w:val="es-ES" w:eastAsia="es-CR"/>
        </w:rPr>
        <w:t>la Corte el 21 de enero de 1981.</w:t>
      </w:r>
    </w:p>
    <w:p w14:paraId="11531BF6" w14:textId="77777777" w:rsidR="008A351B" w:rsidRPr="000B33B9" w:rsidRDefault="008A351B" w:rsidP="00C962FE">
      <w:pPr>
        <w:widowControl w:val="0"/>
        <w:tabs>
          <w:tab w:val="left" w:pos="567"/>
        </w:tabs>
        <w:adjustRightInd w:val="0"/>
        <w:spacing w:after="0" w:line="240" w:lineRule="auto"/>
        <w:jc w:val="both"/>
        <w:textAlignment w:val="baseline"/>
        <w:rPr>
          <w:rFonts w:ascii="Verdana" w:eastAsia="Times New Roman" w:hAnsi="Verdana" w:cs="Times New Roman"/>
          <w:sz w:val="20"/>
          <w:szCs w:val="20"/>
          <w:lang w:val="es-ES" w:eastAsia="es-CR"/>
        </w:rPr>
      </w:pPr>
    </w:p>
    <w:p w14:paraId="18DC2806" w14:textId="6CEB8692" w:rsidR="0038654D" w:rsidRPr="000B33B9" w:rsidRDefault="0038654D" w:rsidP="00640C2A">
      <w:pPr>
        <w:pStyle w:val="Ttulo1"/>
        <w:rPr>
          <w:snapToGrid w:val="0"/>
          <w:lang w:val="es-ES_tradnl"/>
        </w:rPr>
      </w:pPr>
      <w:bookmarkStart w:id="10" w:name="_Toc437960386"/>
      <w:bookmarkStart w:id="11" w:name="_Toc494123966"/>
      <w:bookmarkStart w:id="12" w:name="_Toc12726708"/>
      <w:bookmarkStart w:id="13" w:name="_Toc19024929"/>
      <w:bookmarkStart w:id="14" w:name="_Toc27329740"/>
      <w:r w:rsidRPr="000B33B9">
        <w:rPr>
          <w:rFonts w:cs="Verdana"/>
          <w:snapToGrid w:val="0"/>
          <w:lang w:val="es-ES_tradnl"/>
        </w:rPr>
        <w:t>IV</w:t>
      </w:r>
      <w:r w:rsidRPr="000B33B9">
        <w:rPr>
          <w:rFonts w:cs="Verdana"/>
          <w:snapToGrid w:val="0"/>
          <w:lang w:val="es-ES_tradnl"/>
        </w:rPr>
        <w:br/>
      </w:r>
      <w:r w:rsidRPr="000B33B9">
        <w:rPr>
          <w:snapToGrid w:val="0"/>
          <w:lang w:val="es-ES_tradnl"/>
        </w:rPr>
        <w:t>EXCEPCI</w:t>
      </w:r>
      <w:r w:rsidR="00640C2A" w:rsidRPr="000B33B9">
        <w:rPr>
          <w:snapToGrid w:val="0"/>
          <w:lang w:val="es-ES_tradnl"/>
        </w:rPr>
        <w:t>ONES</w:t>
      </w:r>
      <w:r w:rsidRPr="000B33B9">
        <w:rPr>
          <w:snapToGrid w:val="0"/>
          <w:lang w:val="es-ES_tradnl"/>
        </w:rPr>
        <w:t xml:space="preserve"> PRELIMINAR</w:t>
      </w:r>
      <w:bookmarkEnd w:id="10"/>
      <w:bookmarkEnd w:id="11"/>
      <w:bookmarkEnd w:id="12"/>
      <w:bookmarkEnd w:id="13"/>
      <w:r w:rsidR="00640C2A" w:rsidRPr="000B33B9">
        <w:rPr>
          <w:snapToGrid w:val="0"/>
          <w:lang w:val="es-ES_tradnl"/>
        </w:rPr>
        <w:t>ES</w:t>
      </w:r>
      <w:bookmarkEnd w:id="14"/>
    </w:p>
    <w:p w14:paraId="50F83CA1" w14:textId="77777777" w:rsidR="0038654D" w:rsidRPr="000B33B9" w:rsidRDefault="0038654D" w:rsidP="0038654D">
      <w:pPr>
        <w:keepNext/>
        <w:keepLines/>
        <w:tabs>
          <w:tab w:val="left" w:pos="851"/>
        </w:tabs>
        <w:spacing w:after="0" w:line="240" w:lineRule="auto"/>
        <w:jc w:val="center"/>
        <w:outlineLvl w:val="0"/>
        <w:rPr>
          <w:rFonts w:ascii="Verdana" w:eastAsia="Times New Roman" w:hAnsi="Verdana" w:cs="Times New Roman"/>
          <w:bCs/>
          <w:caps/>
          <w:snapToGrid w:val="0"/>
          <w:sz w:val="20"/>
          <w:szCs w:val="20"/>
          <w:lang w:val="es-ES_tradnl"/>
        </w:rPr>
      </w:pPr>
    </w:p>
    <w:p w14:paraId="544B3397" w14:textId="7AAB9330" w:rsidR="00962281" w:rsidRPr="000B33B9" w:rsidRDefault="00962281" w:rsidP="007B74B8">
      <w:pPr>
        <w:pStyle w:val="NormalNumbered"/>
        <w:numPr>
          <w:ilvl w:val="0"/>
          <w:numId w:val="10"/>
        </w:numPr>
        <w:ind w:left="0" w:firstLine="0"/>
        <w:rPr>
          <w:snapToGrid w:val="0"/>
          <w:lang w:val="es-ES_tradnl"/>
        </w:rPr>
      </w:pPr>
      <w:r w:rsidRPr="000B33B9">
        <w:rPr>
          <w:snapToGrid w:val="0"/>
          <w:lang w:val="es-ES_tradnl"/>
        </w:rPr>
        <w:t>El Estado presentó cuatro</w:t>
      </w:r>
      <w:r w:rsidR="00157A51" w:rsidRPr="000B33B9">
        <w:rPr>
          <w:snapToGrid w:val="0"/>
          <w:lang w:val="es-ES_tradnl"/>
        </w:rPr>
        <w:t xml:space="preserve"> “cuestionamientos procesales” en relación con la competencia de este Tribunal y dos “observaciones preliminares” con el </w:t>
      </w:r>
      <w:r w:rsidR="00B12AAE" w:rsidRPr="000B33B9">
        <w:rPr>
          <w:snapToGrid w:val="0"/>
          <w:lang w:val="es-ES_tradnl"/>
        </w:rPr>
        <w:t>propósito</w:t>
      </w:r>
      <w:r w:rsidR="00157A51" w:rsidRPr="000B33B9">
        <w:rPr>
          <w:snapToGrid w:val="0"/>
          <w:lang w:val="es-ES_tradnl"/>
        </w:rPr>
        <w:t xml:space="preserve"> de realizar ciertas aclaraciones y precisiones sobre el objeto de la controversia y la delimitación de las presuntas víctimas del caso. En el presente </w:t>
      </w:r>
      <w:r w:rsidR="00E87C57" w:rsidRPr="000B33B9">
        <w:rPr>
          <w:snapToGrid w:val="0"/>
          <w:lang w:val="es-ES_tradnl"/>
        </w:rPr>
        <w:t xml:space="preserve">apartado la Corte </w:t>
      </w:r>
      <w:r w:rsidR="00157A51" w:rsidRPr="000B33B9">
        <w:rPr>
          <w:snapToGrid w:val="0"/>
          <w:lang w:val="es-ES_tradnl"/>
        </w:rPr>
        <w:t>analizará los argumentos dirigidos a cuestionar la competencia de este Tribunal por razón de: a) la falta de agotamiento de los recursos internos</w:t>
      </w:r>
      <w:r w:rsidR="00C61306" w:rsidRPr="000B33B9">
        <w:rPr>
          <w:snapToGrid w:val="0"/>
          <w:lang w:val="es-ES_tradnl"/>
        </w:rPr>
        <w:t xml:space="preserve"> por parte de las presuntas víctimas</w:t>
      </w:r>
      <w:r w:rsidR="00157A51" w:rsidRPr="000B33B9">
        <w:rPr>
          <w:snapToGrid w:val="0"/>
          <w:lang w:val="es-ES_tradnl"/>
        </w:rPr>
        <w:t>; b) la imposibilidad</w:t>
      </w:r>
      <w:r w:rsidR="00C61306" w:rsidRPr="000B33B9">
        <w:rPr>
          <w:snapToGrid w:val="0"/>
          <w:lang w:val="es-ES_tradnl"/>
        </w:rPr>
        <w:t xml:space="preserve"> del Tribunal</w:t>
      </w:r>
      <w:r w:rsidR="00157A51" w:rsidRPr="000B33B9">
        <w:rPr>
          <w:snapToGrid w:val="0"/>
          <w:lang w:val="es-ES_tradnl"/>
        </w:rPr>
        <w:t xml:space="preserve"> para act</w:t>
      </w:r>
      <w:r w:rsidR="00912E28" w:rsidRPr="000B33B9">
        <w:rPr>
          <w:snapToGrid w:val="0"/>
          <w:lang w:val="es-ES_tradnl"/>
        </w:rPr>
        <w:t>uar como una “cuarta instancia”,</w:t>
      </w:r>
      <w:r w:rsidR="00157A51" w:rsidRPr="000B33B9">
        <w:rPr>
          <w:snapToGrid w:val="0"/>
          <w:lang w:val="es-ES_tradnl"/>
        </w:rPr>
        <w:t xml:space="preserve"> y c) </w:t>
      </w:r>
      <w:r w:rsidR="00C61306" w:rsidRPr="000B33B9">
        <w:rPr>
          <w:snapToGrid w:val="0"/>
          <w:lang w:val="es-ES_tradnl"/>
        </w:rPr>
        <w:t xml:space="preserve">la indebida inclusión por parte de los representantes de alegatos relacionados con la violación a los artículos 26 y 4 de la Convención Americana. Las observaciones preliminares del Estado serán tomadas en consideración, en lo pertinente, en el </w:t>
      </w:r>
      <w:r w:rsidR="00CB7833" w:rsidRPr="000B33B9">
        <w:rPr>
          <w:snapToGrid w:val="0"/>
          <w:lang w:val="es-ES_tradnl"/>
        </w:rPr>
        <w:t xml:space="preserve">siguiente apartado y en el </w:t>
      </w:r>
      <w:r w:rsidR="00C61306" w:rsidRPr="000B33B9">
        <w:rPr>
          <w:snapToGrid w:val="0"/>
          <w:lang w:val="es-ES_tradnl"/>
        </w:rPr>
        <w:t>análisis de fondo del caso.</w:t>
      </w:r>
    </w:p>
    <w:p w14:paraId="34F32A13" w14:textId="77777777" w:rsidR="00C61306" w:rsidRPr="000B33B9" w:rsidRDefault="00C61306" w:rsidP="0038654D">
      <w:pPr>
        <w:keepNext/>
        <w:keepLines/>
        <w:tabs>
          <w:tab w:val="left" w:pos="851"/>
        </w:tabs>
        <w:spacing w:after="0" w:line="240" w:lineRule="auto"/>
        <w:jc w:val="center"/>
        <w:outlineLvl w:val="0"/>
        <w:rPr>
          <w:rFonts w:ascii="Verdana" w:eastAsia="Times New Roman" w:hAnsi="Verdana" w:cs="Times New Roman"/>
          <w:bCs/>
          <w:caps/>
          <w:snapToGrid w:val="0"/>
          <w:sz w:val="20"/>
          <w:szCs w:val="20"/>
          <w:lang w:val="es-ES_tradnl"/>
        </w:rPr>
      </w:pPr>
    </w:p>
    <w:p w14:paraId="5E3ACD25" w14:textId="77777777" w:rsidR="0038654D" w:rsidRPr="000B33B9" w:rsidRDefault="0038654D" w:rsidP="007B74B8">
      <w:pPr>
        <w:pStyle w:val="Ttulo2"/>
        <w:keepLines w:val="0"/>
        <w:widowControl/>
        <w:numPr>
          <w:ilvl w:val="0"/>
          <w:numId w:val="15"/>
        </w:numPr>
        <w:adjustRightInd/>
        <w:ind w:hanging="720"/>
        <w:textAlignment w:val="auto"/>
      </w:pPr>
      <w:bookmarkStart w:id="15" w:name="_Toc19024930"/>
      <w:bookmarkStart w:id="16" w:name="_Toc27329741"/>
      <w:r w:rsidRPr="000B33B9">
        <w:t>Excepción por falta de agotamiento de los recursos internos</w:t>
      </w:r>
      <w:bookmarkEnd w:id="15"/>
      <w:bookmarkEnd w:id="16"/>
    </w:p>
    <w:p w14:paraId="10DCEA6C" w14:textId="77777777" w:rsidR="0038654D" w:rsidRPr="000B33B9" w:rsidRDefault="0038654D" w:rsidP="00F46836">
      <w:pPr>
        <w:pStyle w:val="Ttulo3"/>
        <w:numPr>
          <w:ilvl w:val="0"/>
          <w:numId w:val="0"/>
        </w:numPr>
        <w:ind w:left="993"/>
        <w:rPr>
          <w:b w:val="0"/>
          <w:i w:val="0"/>
          <w:lang w:val="es-CR"/>
        </w:rPr>
      </w:pPr>
    </w:p>
    <w:p w14:paraId="0619ECE2" w14:textId="77777777" w:rsidR="0038654D" w:rsidRPr="000B33B9" w:rsidRDefault="0038654D" w:rsidP="00F46836">
      <w:pPr>
        <w:pStyle w:val="Ttulo3"/>
        <w:numPr>
          <w:ilvl w:val="0"/>
          <w:numId w:val="0"/>
        </w:numPr>
        <w:ind w:left="1353"/>
      </w:pPr>
      <w:bookmarkStart w:id="17" w:name="_Toc27329742"/>
      <w:r w:rsidRPr="000B33B9">
        <w:t>A.1. Alegatos del Estado y observaciones de la Comisión y de los representantes</w:t>
      </w:r>
      <w:bookmarkEnd w:id="17"/>
    </w:p>
    <w:p w14:paraId="2BA13DB2" w14:textId="77777777" w:rsidR="0038654D" w:rsidRPr="000B33B9" w:rsidRDefault="0038654D" w:rsidP="0038654D">
      <w:pPr>
        <w:spacing w:after="0" w:line="240" w:lineRule="auto"/>
        <w:rPr>
          <w:rFonts w:ascii="Verdana" w:hAnsi="Verdana"/>
          <w:sz w:val="20"/>
          <w:szCs w:val="20"/>
        </w:rPr>
      </w:pPr>
    </w:p>
    <w:p w14:paraId="63C893DA" w14:textId="73F13247" w:rsidR="0038654D" w:rsidRPr="000B33B9" w:rsidRDefault="0038654D" w:rsidP="007B74B8">
      <w:pPr>
        <w:pStyle w:val="Prrafodelista"/>
        <w:numPr>
          <w:ilvl w:val="0"/>
          <w:numId w:val="10"/>
        </w:numPr>
        <w:spacing w:after="0" w:line="240" w:lineRule="auto"/>
        <w:ind w:left="0" w:firstLine="0"/>
        <w:jc w:val="both"/>
        <w:rPr>
          <w:rFonts w:ascii="Verdana" w:hAnsi="Verdana"/>
          <w:sz w:val="20"/>
          <w:szCs w:val="20"/>
        </w:rPr>
      </w:pPr>
      <w:r w:rsidRPr="000B33B9">
        <w:rPr>
          <w:rFonts w:ascii="Verdana" w:hAnsi="Verdana"/>
          <w:sz w:val="20"/>
          <w:szCs w:val="20"/>
        </w:rPr>
        <w:t xml:space="preserve">El </w:t>
      </w:r>
      <w:r w:rsidRPr="000B33B9">
        <w:rPr>
          <w:rFonts w:ascii="Verdana" w:hAnsi="Verdana"/>
          <w:b/>
          <w:i/>
          <w:sz w:val="20"/>
          <w:szCs w:val="20"/>
        </w:rPr>
        <w:t>Estado</w:t>
      </w:r>
      <w:r w:rsidRPr="000B33B9">
        <w:rPr>
          <w:rFonts w:ascii="Verdana" w:hAnsi="Verdana"/>
          <w:sz w:val="20"/>
          <w:szCs w:val="20"/>
        </w:rPr>
        <w:t xml:space="preserve"> alegó que las presuntas víctimas no agotaron los recursos judiciales internos, puesto que al momento en que se </w:t>
      </w:r>
      <w:r w:rsidR="0044343A" w:rsidRPr="000B33B9">
        <w:rPr>
          <w:rFonts w:ascii="Verdana" w:hAnsi="Verdana"/>
          <w:sz w:val="20"/>
          <w:szCs w:val="20"/>
        </w:rPr>
        <w:t xml:space="preserve">presentaron </w:t>
      </w:r>
      <w:r w:rsidRPr="000B33B9">
        <w:rPr>
          <w:rFonts w:ascii="Verdana" w:hAnsi="Verdana"/>
          <w:sz w:val="20"/>
          <w:szCs w:val="20"/>
        </w:rPr>
        <w:t>las peticiones de los días 11 de noviembre de 1998, 27 de agosto de 2003 y 8 de octubre de 2004, el proceso de ejecución de sentencia aún se encontraba abierto y pendiente de decisión. Asimismo, manifestó que presentó de forma oportuna la excepción preliminar por falta de agotamiento de los recursos de la jurisdicción interna conforme lo establece el artículo 46.1.a). Adicionalmente, el Estado alegó que el cumplimiento del agotamiento de los recursos internos debe ser verificado al momento de la presentación de la petición y no cuando la Comisión se pronuncia sobre la admisibilidad de la misma.</w:t>
      </w:r>
    </w:p>
    <w:p w14:paraId="20DD0942" w14:textId="77777777" w:rsidR="0038654D" w:rsidRPr="000B33B9" w:rsidRDefault="0038654D" w:rsidP="0038654D">
      <w:pPr>
        <w:pStyle w:val="Prrafodelista"/>
        <w:spacing w:after="0" w:line="240" w:lineRule="auto"/>
        <w:ind w:left="0"/>
        <w:jc w:val="both"/>
        <w:rPr>
          <w:rFonts w:ascii="Verdana" w:hAnsi="Verdana"/>
          <w:sz w:val="20"/>
          <w:szCs w:val="20"/>
        </w:rPr>
      </w:pPr>
    </w:p>
    <w:p w14:paraId="5AB8F481" w14:textId="6CA3D796" w:rsidR="0038654D" w:rsidRPr="000B33B9" w:rsidRDefault="0038654D" w:rsidP="007B74B8">
      <w:pPr>
        <w:pStyle w:val="Prrafodelista"/>
        <w:numPr>
          <w:ilvl w:val="0"/>
          <w:numId w:val="10"/>
        </w:numPr>
        <w:spacing w:after="0" w:line="240" w:lineRule="auto"/>
        <w:ind w:left="0" w:firstLine="0"/>
        <w:jc w:val="both"/>
        <w:rPr>
          <w:rFonts w:ascii="Verdana" w:hAnsi="Verdana"/>
          <w:sz w:val="20"/>
          <w:szCs w:val="20"/>
        </w:rPr>
      </w:pPr>
      <w:r w:rsidRPr="000B33B9">
        <w:rPr>
          <w:rFonts w:ascii="Verdana" w:hAnsi="Verdana"/>
          <w:sz w:val="20"/>
          <w:szCs w:val="20"/>
        </w:rPr>
        <w:t xml:space="preserve">Los </w:t>
      </w:r>
      <w:r w:rsidRPr="000B33B9">
        <w:rPr>
          <w:rFonts w:ascii="Verdana" w:hAnsi="Verdana"/>
          <w:b/>
          <w:i/>
          <w:sz w:val="20"/>
          <w:szCs w:val="20"/>
        </w:rPr>
        <w:t xml:space="preserve">representantes </w:t>
      </w:r>
      <w:r w:rsidRPr="000B33B9">
        <w:rPr>
          <w:rFonts w:ascii="Verdana" w:hAnsi="Verdana"/>
          <w:sz w:val="20"/>
          <w:szCs w:val="20"/>
        </w:rPr>
        <w:t>alegaron que al no haberse indicado los supuestos recursos que debían ser agotados</w:t>
      </w:r>
      <w:r w:rsidR="0044343A" w:rsidRPr="000B33B9">
        <w:rPr>
          <w:rFonts w:ascii="Verdana" w:hAnsi="Verdana"/>
          <w:sz w:val="20"/>
          <w:szCs w:val="20"/>
        </w:rPr>
        <w:t xml:space="preserve"> por parte del Estado</w:t>
      </w:r>
      <w:r w:rsidRPr="000B33B9">
        <w:rPr>
          <w:rFonts w:ascii="Verdana" w:hAnsi="Verdana"/>
          <w:sz w:val="20"/>
          <w:szCs w:val="20"/>
        </w:rPr>
        <w:t xml:space="preserve">, se debe seguir lo indicado por la Comisión en su Informe de Fondo. Asimismo, alegaron que el Estado debió probar que estos </w:t>
      </w:r>
      <w:r w:rsidR="00E87C57" w:rsidRPr="000B33B9">
        <w:rPr>
          <w:rFonts w:ascii="Verdana" w:hAnsi="Verdana"/>
          <w:sz w:val="20"/>
          <w:szCs w:val="20"/>
        </w:rPr>
        <w:t xml:space="preserve">recursos </w:t>
      </w:r>
      <w:r w:rsidRPr="000B33B9">
        <w:rPr>
          <w:rFonts w:ascii="Verdana" w:hAnsi="Verdana"/>
          <w:sz w:val="20"/>
          <w:szCs w:val="20"/>
        </w:rPr>
        <w:t xml:space="preserve">eran idóneos y efectivos. </w:t>
      </w:r>
      <w:r w:rsidR="0044343A" w:rsidRPr="000B33B9">
        <w:rPr>
          <w:rFonts w:ascii="Verdana" w:hAnsi="Verdana"/>
          <w:sz w:val="20"/>
          <w:szCs w:val="20"/>
        </w:rPr>
        <w:t>L</w:t>
      </w:r>
      <w:r w:rsidRPr="000B33B9">
        <w:rPr>
          <w:rFonts w:ascii="Verdana" w:hAnsi="Verdana"/>
          <w:sz w:val="20"/>
          <w:szCs w:val="20"/>
        </w:rPr>
        <w:t xml:space="preserve">os representantes alegaron que la Corte debe apegarse a lo establecido en la sentencia en el caso </w:t>
      </w:r>
      <w:r w:rsidRPr="000B33B9">
        <w:rPr>
          <w:rFonts w:ascii="Verdana" w:hAnsi="Verdana"/>
          <w:i/>
          <w:sz w:val="20"/>
          <w:szCs w:val="20"/>
        </w:rPr>
        <w:t>Wong Ho Wing Vs. Perú</w:t>
      </w:r>
      <w:r w:rsidR="00E87C57" w:rsidRPr="000B33B9">
        <w:rPr>
          <w:rFonts w:ascii="Verdana" w:hAnsi="Verdana"/>
          <w:sz w:val="20"/>
          <w:szCs w:val="20"/>
        </w:rPr>
        <w:t>,</w:t>
      </w:r>
      <w:r w:rsidRPr="000B33B9">
        <w:rPr>
          <w:rFonts w:ascii="Verdana" w:hAnsi="Verdana"/>
          <w:i/>
          <w:sz w:val="20"/>
          <w:szCs w:val="20"/>
        </w:rPr>
        <w:t xml:space="preserve"> </w:t>
      </w:r>
      <w:r w:rsidRPr="000B33B9">
        <w:rPr>
          <w:rFonts w:ascii="Verdana" w:hAnsi="Verdana"/>
          <w:sz w:val="20"/>
          <w:szCs w:val="20"/>
        </w:rPr>
        <w:t xml:space="preserve">en el sentido que los recursos intentados deben ser agotados al momento del pronunciamiento sobre admisibilidad. Sin perjuicio de lo anterior, </w:t>
      </w:r>
      <w:r w:rsidR="0044343A" w:rsidRPr="000B33B9">
        <w:rPr>
          <w:rFonts w:ascii="Verdana" w:hAnsi="Verdana"/>
          <w:sz w:val="20"/>
          <w:szCs w:val="20"/>
        </w:rPr>
        <w:t xml:space="preserve">sostuvieron </w:t>
      </w:r>
      <w:r w:rsidRPr="000B33B9">
        <w:rPr>
          <w:rFonts w:ascii="Verdana" w:hAnsi="Verdana"/>
          <w:sz w:val="20"/>
          <w:szCs w:val="20"/>
        </w:rPr>
        <w:t>que se cumplió con lo dispuesto en el artículo 46.1.a) en tanto que dicho agotamiento se logró con la sentencia de fecha 25 de octubre de 19</w:t>
      </w:r>
      <w:r w:rsidR="00572A0B" w:rsidRPr="000B33B9">
        <w:rPr>
          <w:rFonts w:ascii="Verdana" w:hAnsi="Verdana"/>
          <w:sz w:val="20"/>
          <w:szCs w:val="20"/>
        </w:rPr>
        <w:t>93, la cual no admitía recursos</w:t>
      </w:r>
      <w:r w:rsidRPr="000B33B9">
        <w:rPr>
          <w:rFonts w:ascii="Verdana" w:hAnsi="Verdana"/>
          <w:sz w:val="20"/>
          <w:szCs w:val="20"/>
        </w:rPr>
        <w:t>.</w:t>
      </w:r>
    </w:p>
    <w:p w14:paraId="0488D64E" w14:textId="77777777" w:rsidR="0038654D" w:rsidRPr="000B33B9" w:rsidRDefault="0038654D" w:rsidP="0038654D">
      <w:pPr>
        <w:pStyle w:val="Prrafodelista"/>
        <w:spacing w:after="0" w:line="240" w:lineRule="auto"/>
        <w:ind w:left="0"/>
        <w:jc w:val="both"/>
        <w:rPr>
          <w:rFonts w:ascii="Verdana" w:hAnsi="Verdana"/>
          <w:sz w:val="20"/>
          <w:szCs w:val="20"/>
        </w:rPr>
      </w:pPr>
    </w:p>
    <w:p w14:paraId="10920EDC" w14:textId="67AEFD7A" w:rsidR="0038654D" w:rsidRPr="000B33B9" w:rsidRDefault="0038654D" w:rsidP="007B74B8">
      <w:pPr>
        <w:pStyle w:val="Prrafodelista"/>
        <w:numPr>
          <w:ilvl w:val="0"/>
          <w:numId w:val="10"/>
        </w:numPr>
        <w:spacing w:after="0" w:line="240" w:lineRule="auto"/>
        <w:ind w:left="0" w:firstLine="0"/>
        <w:jc w:val="both"/>
        <w:rPr>
          <w:rFonts w:ascii="Verdana" w:hAnsi="Verdana"/>
          <w:sz w:val="20"/>
          <w:szCs w:val="20"/>
        </w:rPr>
      </w:pPr>
      <w:r w:rsidRPr="000B33B9">
        <w:rPr>
          <w:rFonts w:ascii="Verdana" w:hAnsi="Verdana"/>
          <w:sz w:val="20"/>
          <w:szCs w:val="20"/>
        </w:rPr>
        <w:t xml:space="preserve">La </w:t>
      </w:r>
      <w:r w:rsidRPr="000B33B9">
        <w:rPr>
          <w:rFonts w:ascii="Verdana" w:hAnsi="Verdana"/>
          <w:b/>
          <w:i/>
          <w:sz w:val="20"/>
          <w:szCs w:val="20"/>
        </w:rPr>
        <w:t xml:space="preserve">Comisión </w:t>
      </w:r>
      <w:r w:rsidRPr="000B33B9">
        <w:rPr>
          <w:rFonts w:ascii="Verdana" w:hAnsi="Verdana"/>
          <w:sz w:val="20"/>
          <w:szCs w:val="20"/>
        </w:rPr>
        <w:t>s</w:t>
      </w:r>
      <w:r w:rsidR="009C4B15" w:rsidRPr="000B33B9">
        <w:rPr>
          <w:rFonts w:ascii="Verdana" w:hAnsi="Verdana"/>
          <w:sz w:val="20"/>
          <w:szCs w:val="20"/>
        </w:rPr>
        <w:t>ostuvo</w:t>
      </w:r>
      <w:r w:rsidRPr="000B33B9">
        <w:rPr>
          <w:rFonts w:ascii="Verdana" w:hAnsi="Verdana"/>
          <w:sz w:val="20"/>
          <w:szCs w:val="20"/>
        </w:rPr>
        <w:t xml:space="preserve"> que “en situaciones en las cuales la evolución de los hechos inicialmente presentados a nivel interno, implica un cambio en el cumplimiento o incumplimiento de los requisitos de admisibilidad, la Comisión ha señalado que su análisis debe hacerse a partir de la situación vigente al momento del pronunciamiento d</w:t>
      </w:r>
      <w:r w:rsidR="00C343F4" w:rsidRPr="000B33B9">
        <w:rPr>
          <w:rFonts w:ascii="Verdana" w:hAnsi="Verdana"/>
          <w:sz w:val="20"/>
          <w:szCs w:val="20"/>
        </w:rPr>
        <w:t>e admisibilidad”</w:t>
      </w:r>
      <w:r w:rsidRPr="000B33B9">
        <w:rPr>
          <w:rFonts w:ascii="Verdana" w:hAnsi="Verdana"/>
          <w:sz w:val="20"/>
          <w:szCs w:val="20"/>
        </w:rPr>
        <w:t>. En el mismo sentido, señaló que los recursos internos deben estar agotados al momento del pronunciamiento de admisibilidad y no necesariamente al momento de la presentación de la petición</w:t>
      </w:r>
      <w:r w:rsidR="009C4B15" w:rsidRPr="000B33B9">
        <w:rPr>
          <w:rFonts w:ascii="Verdana" w:hAnsi="Verdana"/>
          <w:sz w:val="20"/>
          <w:szCs w:val="20"/>
        </w:rPr>
        <w:t>,</w:t>
      </w:r>
      <w:r w:rsidRPr="000B33B9">
        <w:rPr>
          <w:rFonts w:ascii="Verdana" w:hAnsi="Verdana"/>
          <w:sz w:val="20"/>
          <w:szCs w:val="20"/>
        </w:rPr>
        <w:t xml:space="preserve"> criterio recogido en el caso </w:t>
      </w:r>
      <w:r w:rsidRPr="000B33B9">
        <w:rPr>
          <w:rFonts w:ascii="Verdana" w:hAnsi="Verdana"/>
          <w:i/>
          <w:sz w:val="20"/>
          <w:szCs w:val="20"/>
        </w:rPr>
        <w:t>Wong Ho Wing Vs. Perú</w:t>
      </w:r>
      <w:r w:rsidRPr="000B33B9">
        <w:rPr>
          <w:rFonts w:ascii="Verdana" w:hAnsi="Verdana"/>
          <w:sz w:val="20"/>
          <w:szCs w:val="20"/>
        </w:rPr>
        <w:t xml:space="preserve">. En virtud de ello, </w:t>
      </w:r>
      <w:r w:rsidR="00C343F4" w:rsidRPr="000B33B9">
        <w:rPr>
          <w:rFonts w:ascii="Verdana" w:hAnsi="Verdana"/>
          <w:sz w:val="20"/>
          <w:szCs w:val="20"/>
        </w:rPr>
        <w:t>solicitó</w:t>
      </w:r>
      <w:r w:rsidRPr="000B33B9">
        <w:rPr>
          <w:rFonts w:ascii="Verdana" w:hAnsi="Verdana"/>
          <w:sz w:val="20"/>
          <w:szCs w:val="20"/>
        </w:rPr>
        <w:t xml:space="preserve"> que se declare improcedente </w:t>
      </w:r>
      <w:r w:rsidR="00C343F4" w:rsidRPr="000B33B9">
        <w:rPr>
          <w:rFonts w:ascii="Verdana" w:hAnsi="Verdana"/>
          <w:sz w:val="20"/>
          <w:szCs w:val="20"/>
        </w:rPr>
        <w:t>este componente de la excepción</w:t>
      </w:r>
      <w:r w:rsidRPr="000B33B9">
        <w:rPr>
          <w:rFonts w:ascii="Verdana" w:hAnsi="Verdana"/>
          <w:sz w:val="20"/>
          <w:szCs w:val="20"/>
        </w:rPr>
        <w:t xml:space="preserve">. Asimismo, la Comisión reiteró su criterio expresado en el informe de admisibilidad en el sentido </w:t>
      </w:r>
      <w:r w:rsidR="004E103A" w:rsidRPr="000B33B9">
        <w:rPr>
          <w:rFonts w:ascii="Verdana" w:hAnsi="Verdana"/>
          <w:sz w:val="20"/>
          <w:szCs w:val="20"/>
        </w:rPr>
        <w:t xml:space="preserve">de </w:t>
      </w:r>
      <w:r w:rsidRPr="000B33B9">
        <w:rPr>
          <w:rFonts w:ascii="Verdana" w:hAnsi="Verdana"/>
          <w:sz w:val="20"/>
          <w:szCs w:val="20"/>
        </w:rPr>
        <w:t>que res</w:t>
      </w:r>
      <w:r w:rsidR="00C343F4" w:rsidRPr="000B33B9">
        <w:rPr>
          <w:rFonts w:ascii="Verdana" w:hAnsi="Verdana"/>
          <w:sz w:val="20"/>
          <w:szCs w:val="20"/>
        </w:rPr>
        <w:t>ultaba aplicable la excepción del</w:t>
      </w:r>
      <w:r w:rsidRPr="000B33B9">
        <w:rPr>
          <w:rFonts w:ascii="Verdana" w:hAnsi="Verdana"/>
          <w:sz w:val="20"/>
          <w:szCs w:val="20"/>
        </w:rPr>
        <w:t xml:space="preserve"> artículo 46.2.c) debido a los recursos interpuestos por las autoridades demandadas, la demora de las autoridades judiciales en la resolución de los recursos, y la falta de claridad respecto a la vía idónea para logr</w:t>
      </w:r>
      <w:r w:rsidR="00C343F4" w:rsidRPr="000B33B9">
        <w:rPr>
          <w:rFonts w:ascii="Verdana" w:hAnsi="Verdana"/>
          <w:sz w:val="20"/>
          <w:szCs w:val="20"/>
        </w:rPr>
        <w:t>ar la ejecución de la sentencia</w:t>
      </w:r>
      <w:r w:rsidRPr="000B33B9">
        <w:rPr>
          <w:rFonts w:ascii="Verdana" w:hAnsi="Verdana"/>
          <w:sz w:val="20"/>
          <w:szCs w:val="20"/>
        </w:rPr>
        <w:t>.</w:t>
      </w:r>
    </w:p>
    <w:p w14:paraId="4E50BAF4" w14:textId="77777777" w:rsidR="0038654D" w:rsidRPr="000B33B9" w:rsidRDefault="0038654D" w:rsidP="0038654D">
      <w:pPr>
        <w:spacing w:after="0" w:line="240" w:lineRule="auto"/>
        <w:jc w:val="both"/>
        <w:rPr>
          <w:rFonts w:ascii="Verdana" w:hAnsi="Verdana"/>
          <w:sz w:val="20"/>
          <w:szCs w:val="20"/>
        </w:rPr>
      </w:pPr>
    </w:p>
    <w:p w14:paraId="0A2102DA" w14:textId="77777777" w:rsidR="0038654D" w:rsidRPr="000B33B9" w:rsidRDefault="0038654D" w:rsidP="00F46836">
      <w:pPr>
        <w:pStyle w:val="Ttulo3"/>
        <w:numPr>
          <w:ilvl w:val="0"/>
          <w:numId w:val="0"/>
        </w:numPr>
        <w:ind w:left="1353"/>
      </w:pPr>
      <w:bookmarkStart w:id="18" w:name="_Toc27329743"/>
      <w:r w:rsidRPr="000B33B9">
        <w:t>A.2. Consideraciones de la Corte</w:t>
      </w:r>
      <w:bookmarkEnd w:id="18"/>
    </w:p>
    <w:p w14:paraId="2F77215D" w14:textId="77777777" w:rsidR="0038654D" w:rsidRPr="000B33B9" w:rsidRDefault="0038654D" w:rsidP="0038654D">
      <w:pPr>
        <w:spacing w:after="0" w:line="240" w:lineRule="auto"/>
        <w:jc w:val="both"/>
        <w:rPr>
          <w:rFonts w:ascii="Verdana" w:hAnsi="Verdana"/>
          <w:sz w:val="20"/>
          <w:szCs w:val="20"/>
        </w:rPr>
      </w:pPr>
    </w:p>
    <w:p w14:paraId="0847C128" w14:textId="356E6458" w:rsidR="0038654D" w:rsidRPr="000B33B9" w:rsidRDefault="0038654D" w:rsidP="007B74B8">
      <w:pPr>
        <w:pStyle w:val="Prrafodelista"/>
        <w:numPr>
          <w:ilvl w:val="0"/>
          <w:numId w:val="10"/>
        </w:numPr>
        <w:spacing w:after="0" w:line="240" w:lineRule="auto"/>
        <w:ind w:left="0" w:firstLine="0"/>
        <w:jc w:val="both"/>
        <w:rPr>
          <w:rFonts w:ascii="Verdana" w:hAnsi="Verdana" w:cs="Times"/>
          <w:sz w:val="20"/>
          <w:szCs w:val="20"/>
          <w:lang w:eastAsia="es-ES"/>
        </w:rPr>
      </w:pPr>
      <w:r w:rsidRPr="000B33B9">
        <w:rPr>
          <w:rFonts w:ascii="Verdana" w:eastAsia="Times New Roman" w:hAnsi="Verdana"/>
          <w:color w:val="000000"/>
          <w:sz w:val="20"/>
          <w:szCs w:val="20"/>
          <w:lang w:val="es-ES"/>
        </w:rPr>
        <w:t>El artículo 46.1</w:t>
      </w:r>
      <w:r w:rsidR="00E87C57" w:rsidRPr="000B33B9">
        <w:rPr>
          <w:rFonts w:ascii="Verdana" w:eastAsia="Times New Roman" w:hAnsi="Verdana"/>
          <w:color w:val="000000"/>
          <w:sz w:val="20"/>
          <w:szCs w:val="20"/>
          <w:lang w:val="es-ES"/>
        </w:rPr>
        <w:t xml:space="preserve">.a) de la Convención Americana </w:t>
      </w:r>
      <w:r w:rsidRPr="000B33B9">
        <w:rPr>
          <w:rFonts w:ascii="Verdana" w:eastAsia="Times New Roman" w:hAnsi="Verdana"/>
          <w:color w:val="000000"/>
          <w:sz w:val="20"/>
          <w:szCs w:val="20"/>
          <w:lang w:val="es-ES"/>
        </w:rPr>
        <w:t>dispone que, para determinar la admisibilidad de una petición o comunicación presentada ante la Comisión Interamericana, de conformidad con los artículos 44 o 45 de la Convención, es necesario que se hayan interpuesto y agotado los recursos de la jurisdicción interna, según los principios del Derecho Internacional generalmente reconocidos</w:t>
      </w:r>
      <w:bookmarkStart w:id="19" w:name="_Ref317495849"/>
      <w:r w:rsidRPr="000B33B9">
        <w:rPr>
          <w:rFonts w:ascii="Verdana" w:hAnsi="Verdana"/>
          <w:sz w:val="20"/>
          <w:szCs w:val="20"/>
          <w:vertAlign w:val="superscript"/>
          <w:lang w:val="es-ES"/>
        </w:rPr>
        <w:footnoteReference w:id="10"/>
      </w:r>
      <w:bookmarkEnd w:id="19"/>
      <w:r w:rsidR="00C343F4" w:rsidRPr="000B33B9">
        <w:rPr>
          <w:rFonts w:ascii="Verdana" w:eastAsia="Times New Roman" w:hAnsi="Verdana"/>
          <w:color w:val="000000"/>
          <w:sz w:val="20"/>
          <w:szCs w:val="20"/>
          <w:lang w:val="es-ES"/>
        </w:rPr>
        <w:t>.</w:t>
      </w:r>
    </w:p>
    <w:p w14:paraId="43C9E33D" w14:textId="77777777" w:rsidR="0038654D" w:rsidRPr="000B33B9" w:rsidRDefault="0038654D" w:rsidP="0038654D">
      <w:pPr>
        <w:spacing w:after="0" w:line="240" w:lineRule="auto"/>
        <w:jc w:val="both"/>
        <w:rPr>
          <w:rFonts w:ascii="Verdana" w:hAnsi="Verdana" w:cs="Times"/>
          <w:sz w:val="20"/>
          <w:szCs w:val="20"/>
          <w:lang w:eastAsia="es-ES"/>
        </w:rPr>
      </w:pPr>
    </w:p>
    <w:p w14:paraId="331F6E7B" w14:textId="2CF38C4B" w:rsidR="0038654D" w:rsidRPr="000B33B9" w:rsidRDefault="0038654D" w:rsidP="007B74B8">
      <w:pPr>
        <w:numPr>
          <w:ilvl w:val="0"/>
          <w:numId w:val="10"/>
        </w:numPr>
        <w:tabs>
          <w:tab w:val="num" w:pos="0"/>
        </w:tabs>
        <w:spacing w:after="0" w:line="240" w:lineRule="auto"/>
        <w:ind w:left="0" w:firstLine="0"/>
        <w:jc w:val="both"/>
        <w:rPr>
          <w:rFonts w:ascii="Verdana" w:hAnsi="Verdana" w:cs="Times"/>
          <w:sz w:val="20"/>
          <w:szCs w:val="20"/>
          <w:lang w:eastAsia="es-ES"/>
        </w:rPr>
      </w:pPr>
      <w:r w:rsidRPr="000B33B9">
        <w:rPr>
          <w:rFonts w:ascii="Verdana" w:hAnsi="Verdana"/>
          <w:sz w:val="20"/>
          <w:szCs w:val="20"/>
        </w:rPr>
        <w:t>Lo primero que procede determinar, en relación con una excepción preliminar de esta naturaleza, es si fue presentada en el momento procesal oportuno</w:t>
      </w:r>
      <w:r w:rsidRPr="000B33B9">
        <w:rPr>
          <w:rFonts w:ascii="Verdana" w:hAnsi="Verdana" w:cs="Verdana"/>
          <w:sz w:val="20"/>
          <w:szCs w:val="20"/>
          <w:vertAlign w:val="superscript"/>
        </w:rPr>
        <w:footnoteReference w:id="11"/>
      </w:r>
      <w:r w:rsidRPr="000B33B9">
        <w:rPr>
          <w:rFonts w:ascii="Verdana" w:hAnsi="Verdana"/>
          <w:sz w:val="20"/>
          <w:szCs w:val="20"/>
        </w:rPr>
        <w:t>. La Corte ha reiterado que el Estado debe precisar con claridad ante la Comisión, durante la etapa de admisibilidad, los recursos que en su criterio no se habían agotado</w:t>
      </w:r>
      <w:r w:rsidRPr="000B33B9">
        <w:rPr>
          <w:rFonts w:ascii="Verdana" w:hAnsi="Verdana" w:cs="Verdana"/>
          <w:sz w:val="20"/>
          <w:szCs w:val="20"/>
          <w:vertAlign w:val="superscript"/>
        </w:rPr>
        <w:footnoteReference w:id="12"/>
      </w:r>
      <w:r w:rsidRPr="000B33B9">
        <w:rPr>
          <w:rFonts w:ascii="Verdana" w:hAnsi="Verdana"/>
          <w:sz w:val="20"/>
          <w:szCs w:val="20"/>
        </w:rPr>
        <w:t>.</w:t>
      </w:r>
      <w:r w:rsidRPr="000B33B9">
        <w:rPr>
          <w:rFonts w:ascii="Verdana" w:hAnsi="Verdana" w:cs="Times"/>
          <w:sz w:val="20"/>
          <w:szCs w:val="20"/>
          <w:lang w:eastAsia="es-ES"/>
        </w:rPr>
        <w:t xml:space="preserve"> </w:t>
      </w:r>
      <w:r w:rsidRPr="000B33B9">
        <w:rPr>
          <w:rFonts w:ascii="Verdana" w:hAnsi="Verdana"/>
          <w:sz w:val="20"/>
          <w:szCs w:val="20"/>
        </w:rPr>
        <w:t>Por otra parte, los argumentos que dan contenido a la excepción preliminar interpuesta por el Estado ante la Comisión durante la etapa de admisibilidad, deben corresponder a aquellos esgrimidos ante la Corte</w:t>
      </w:r>
      <w:r w:rsidRPr="000B33B9">
        <w:rPr>
          <w:rFonts w:ascii="Verdana" w:hAnsi="Verdana" w:cs="Verdana"/>
          <w:sz w:val="20"/>
          <w:szCs w:val="20"/>
          <w:vertAlign w:val="superscript"/>
        </w:rPr>
        <w:footnoteReference w:id="13"/>
      </w:r>
      <w:r w:rsidRPr="000B33B9">
        <w:rPr>
          <w:rFonts w:ascii="Verdana" w:hAnsi="Verdana"/>
          <w:sz w:val="20"/>
          <w:szCs w:val="20"/>
        </w:rPr>
        <w:t>. La Corte constata que el Estado respondió a la comunicación de la Comisión de 29 de marzo de 2005, solicitando la inadmisibilidad de la petición por falta de agotamiento de los recursos internos. Específicamente, el Estado manifestó que “se debe tener presente que los supuestos hechos violatorios y peticiones que se formula</w:t>
      </w:r>
      <w:r w:rsidR="009A1DDB" w:rsidRPr="000B33B9">
        <w:rPr>
          <w:rFonts w:ascii="Verdana" w:hAnsi="Verdana"/>
          <w:sz w:val="20"/>
          <w:szCs w:val="20"/>
        </w:rPr>
        <w:t>[</w:t>
      </w:r>
      <w:r w:rsidRPr="000B33B9">
        <w:rPr>
          <w:rFonts w:ascii="Verdana" w:hAnsi="Verdana"/>
          <w:sz w:val="20"/>
          <w:szCs w:val="20"/>
        </w:rPr>
        <w:t>n</w:t>
      </w:r>
      <w:r w:rsidR="009A1DDB" w:rsidRPr="000B33B9">
        <w:rPr>
          <w:rFonts w:ascii="Verdana" w:hAnsi="Verdana"/>
          <w:sz w:val="20"/>
          <w:szCs w:val="20"/>
        </w:rPr>
        <w:t>]</w:t>
      </w:r>
      <w:r w:rsidRPr="000B33B9">
        <w:rPr>
          <w:rFonts w:ascii="Verdana" w:hAnsi="Verdana"/>
          <w:sz w:val="20"/>
          <w:szCs w:val="20"/>
        </w:rPr>
        <w:t xml:space="preserve"> se refieren a un proceso judicial en pleno trámite”, y que “la demanda se encuentra actualmente en etapa de Ejecución de Sentencia producto de lo dispuesto por Sentencia dictada el 10 de mayo de 2001 por el Tribunal Constitucional</w:t>
      </w:r>
      <w:r w:rsidR="00C343F4" w:rsidRPr="000B33B9">
        <w:rPr>
          <w:rFonts w:ascii="Verdana" w:hAnsi="Verdana"/>
          <w:sz w:val="20"/>
          <w:szCs w:val="20"/>
        </w:rPr>
        <w:t>”</w:t>
      </w:r>
      <w:r w:rsidRPr="000B33B9">
        <w:rPr>
          <w:rFonts w:ascii="Verdana" w:hAnsi="Verdana"/>
          <w:sz w:val="20"/>
          <w:szCs w:val="20"/>
        </w:rPr>
        <w:t>.</w:t>
      </w:r>
    </w:p>
    <w:p w14:paraId="57DE3DEC" w14:textId="77777777" w:rsidR="0038654D" w:rsidRPr="000B33B9" w:rsidRDefault="0038654D" w:rsidP="0038654D">
      <w:pPr>
        <w:spacing w:after="0" w:line="240" w:lineRule="auto"/>
        <w:jc w:val="both"/>
        <w:rPr>
          <w:rFonts w:ascii="Verdana" w:hAnsi="Verdana" w:cs="Times"/>
          <w:sz w:val="20"/>
          <w:szCs w:val="20"/>
          <w:lang w:eastAsia="es-ES"/>
        </w:rPr>
      </w:pPr>
    </w:p>
    <w:p w14:paraId="03FA6D64" w14:textId="0E7643D3" w:rsidR="0038654D" w:rsidRPr="000B33B9" w:rsidRDefault="0038654D" w:rsidP="007B74B8">
      <w:pPr>
        <w:numPr>
          <w:ilvl w:val="0"/>
          <w:numId w:val="10"/>
        </w:numPr>
        <w:tabs>
          <w:tab w:val="num" w:pos="0"/>
        </w:tabs>
        <w:spacing w:after="0" w:line="240" w:lineRule="auto"/>
        <w:ind w:left="0" w:firstLine="0"/>
        <w:jc w:val="both"/>
        <w:rPr>
          <w:rFonts w:ascii="Verdana" w:hAnsi="Verdana" w:cs="Times"/>
          <w:sz w:val="20"/>
          <w:szCs w:val="20"/>
          <w:lang w:eastAsia="es-ES"/>
        </w:rPr>
      </w:pPr>
      <w:r w:rsidRPr="000B33B9">
        <w:rPr>
          <w:rFonts w:ascii="Verdana" w:hAnsi="Verdana" w:cs="Times"/>
          <w:sz w:val="20"/>
          <w:szCs w:val="20"/>
          <w:lang w:eastAsia="es-ES"/>
        </w:rPr>
        <w:t>De lo anterior se desprende que el Estado identificó con claridad suficiente que no habían sido agotados los recursos conforme a la jurisdicción interna. Asimismo, la Corte advierte que los argumentos presentados por parte del Estado durante la etapa de admisibilidad corresponden a aquellos esgrimidos ante la Corte</w:t>
      </w:r>
      <w:r w:rsidR="00CA7747" w:rsidRPr="000B33B9">
        <w:rPr>
          <w:rFonts w:ascii="Verdana" w:hAnsi="Verdana" w:cs="Times"/>
          <w:sz w:val="20"/>
          <w:szCs w:val="20"/>
          <w:lang w:eastAsia="es-ES"/>
        </w:rPr>
        <w:t xml:space="preserve">, pues </w:t>
      </w:r>
      <w:r w:rsidRPr="000B33B9">
        <w:rPr>
          <w:rFonts w:ascii="Verdana" w:hAnsi="Verdana" w:cs="Times"/>
          <w:sz w:val="20"/>
          <w:szCs w:val="20"/>
          <w:lang w:eastAsia="es-ES"/>
        </w:rPr>
        <w:t>ha argumentado que al momento en que fue presentada la petición por parte de los representantes ante la Comisión, el proceso de ejecución de sentencia a nivel interno se encontraba abierto, y que no opera ninguna de las causales previstas como excepciones al requisito del agota</w:t>
      </w:r>
      <w:r w:rsidR="009A1DDB" w:rsidRPr="000B33B9">
        <w:rPr>
          <w:rFonts w:ascii="Verdana" w:hAnsi="Verdana" w:cs="Times"/>
          <w:sz w:val="20"/>
          <w:szCs w:val="20"/>
          <w:lang w:eastAsia="es-ES"/>
        </w:rPr>
        <w:t>miento de los recursos internos</w:t>
      </w:r>
      <w:r w:rsidRPr="000B33B9">
        <w:rPr>
          <w:rFonts w:ascii="Verdana" w:hAnsi="Verdana" w:cs="Times"/>
          <w:sz w:val="20"/>
          <w:szCs w:val="20"/>
          <w:lang w:eastAsia="es-ES"/>
        </w:rPr>
        <w:t>. En ese sentido, el Estado alega que no se ha configurado un retardo injustificado, tal como</w:t>
      </w:r>
      <w:r w:rsidR="00CA7747" w:rsidRPr="000B33B9">
        <w:rPr>
          <w:rFonts w:ascii="Verdana" w:hAnsi="Verdana" w:cs="Times"/>
          <w:sz w:val="20"/>
          <w:szCs w:val="20"/>
          <w:lang w:eastAsia="es-ES"/>
        </w:rPr>
        <w:t xml:space="preserve"> sostuvo</w:t>
      </w:r>
      <w:r w:rsidRPr="000B33B9">
        <w:rPr>
          <w:rFonts w:ascii="Verdana" w:hAnsi="Verdana" w:cs="Times"/>
          <w:sz w:val="20"/>
          <w:szCs w:val="20"/>
          <w:lang w:eastAsia="es-ES"/>
        </w:rPr>
        <w:t xml:space="preserve"> la Comisión en su informe de admisibilidad.</w:t>
      </w:r>
    </w:p>
    <w:p w14:paraId="36A68925" w14:textId="77777777" w:rsidR="0038654D" w:rsidRPr="000B33B9" w:rsidRDefault="0038654D" w:rsidP="0038654D">
      <w:pPr>
        <w:spacing w:after="0" w:line="240" w:lineRule="auto"/>
        <w:jc w:val="both"/>
        <w:rPr>
          <w:rFonts w:ascii="Verdana" w:hAnsi="Verdana" w:cs="Times"/>
          <w:sz w:val="20"/>
          <w:szCs w:val="20"/>
          <w:lang w:eastAsia="es-ES"/>
        </w:rPr>
      </w:pPr>
    </w:p>
    <w:p w14:paraId="5626084D" w14:textId="5D6EE7A1" w:rsidR="0038654D" w:rsidRPr="000B33B9" w:rsidRDefault="00A56DA6" w:rsidP="007B74B8">
      <w:pPr>
        <w:numPr>
          <w:ilvl w:val="0"/>
          <w:numId w:val="10"/>
        </w:numPr>
        <w:tabs>
          <w:tab w:val="num" w:pos="0"/>
        </w:tabs>
        <w:spacing w:after="0" w:line="240" w:lineRule="auto"/>
        <w:ind w:left="0" w:firstLine="0"/>
        <w:jc w:val="both"/>
        <w:rPr>
          <w:rFonts w:ascii="Verdana" w:hAnsi="Verdana" w:cs="Times"/>
          <w:sz w:val="20"/>
          <w:szCs w:val="20"/>
          <w:lang w:eastAsia="es-ES"/>
        </w:rPr>
      </w:pPr>
      <w:r w:rsidRPr="000B33B9">
        <w:rPr>
          <w:rFonts w:ascii="Verdana" w:hAnsi="Verdana" w:cs="Times"/>
          <w:sz w:val="20"/>
          <w:szCs w:val="20"/>
          <w:lang w:eastAsia="es-ES"/>
        </w:rPr>
        <w:t>L</w:t>
      </w:r>
      <w:r w:rsidR="0038654D" w:rsidRPr="000B33B9">
        <w:rPr>
          <w:rFonts w:ascii="Verdana" w:hAnsi="Verdana" w:cs="Times"/>
          <w:sz w:val="20"/>
          <w:szCs w:val="20"/>
          <w:lang w:eastAsia="es-ES"/>
        </w:rPr>
        <w:t xml:space="preserve">a Corte recuerda que una de las controversias principales del presente caso es si el Estado es responsable por la violación a la garantía del plazo razonable por el tiempo de ejecución de la sentencia del Tribunal Constitucional </w:t>
      </w:r>
      <w:r w:rsidR="009A1DDB" w:rsidRPr="000B33B9">
        <w:rPr>
          <w:rFonts w:ascii="Verdana" w:hAnsi="Verdana" w:cs="Times"/>
          <w:sz w:val="20"/>
          <w:szCs w:val="20"/>
          <w:lang w:eastAsia="es-ES"/>
        </w:rPr>
        <w:t>de</w:t>
      </w:r>
      <w:r w:rsidR="00CA7747" w:rsidRPr="000B33B9">
        <w:rPr>
          <w:rFonts w:ascii="Verdana" w:hAnsi="Verdana" w:cs="Times"/>
          <w:sz w:val="20"/>
          <w:szCs w:val="20"/>
          <w:lang w:eastAsia="es-ES"/>
        </w:rPr>
        <w:t xml:space="preserve"> 25 de junio de 1996 en la que indicó que “las resoluciones favorables a la parte </w:t>
      </w:r>
      <w:r w:rsidR="00326CF7" w:rsidRPr="000B33B9">
        <w:rPr>
          <w:rFonts w:ascii="Verdana" w:hAnsi="Verdana" w:cs="Times"/>
          <w:sz w:val="20"/>
          <w:szCs w:val="20"/>
          <w:lang w:eastAsia="es-ES"/>
        </w:rPr>
        <w:t>[</w:t>
      </w:r>
      <w:r w:rsidR="00CA7747" w:rsidRPr="000B33B9">
        <w:rPr>
          <w:rFonts w:ascii="Verdana" w:hAnsi="Verdana" w:cs="Times"/>
          <w:sz w:val="20"/>
          <w:szCs w:val="20"/>
          <w:lang w:eastAsia="es-ES"/>
        </w:rPr>
        <w:t>demandada</w:t>
      </w:r>
      <w:r w:rsidR="00326CF7" w:rsidRPr="000B33B9">
        <w:rPr>
          <w:rFonts w:ascii="Verdana" w:hAnsi="Verdana" w:cs="Times"/>
          <w:sz w:val="20"/>
          <w:szCs w:val="20"/>
          <w:lang w:eastAsia="es-ES"/>
        </w:rPr>
        <w:t>]</w:t>
      </w:r>
      <w:r w:rsidR="00CA7747" w:rsidRPr="000B33B9">
        <w:rPr>
          <w:rFonts w:ascii="Verdana" w:hAnsi="Verdana" w:cs="Times"/>
          <w:sz w:val="20"/>
          <w:szCs w:val="20"/>
          <w:lang w:eastAsia="es-ES"/>
        </w:rPr>
        <w:t xml:space="preserve"> recaídas en los procesos de amparo en que el Estado es parte, y que estuvieran pendientes de casación por el Tribunal de Garantías Constitucionales se conside</w:t>
      </w:r>
      <w:r w:rsidR="00326CF7" w:rsidRPr="000B33B9">
        <w:rPr>
          <w:rFonts w:ascii="Verdana" w:hAnsi="Verdana" w:cs="Times"/>
          <w:sz w:val="20"/>
          <w:szCs w:val="20"/>
          <w:lang w:eastAsia="es-ES"/>
        </w:rPr>
        <w:t>ran firmes y ejecutables”</w:t>
      </w:r>
      <w:r w:rsidR="0038654D" w:rsidRPr="000B33B9">
        <w:rPr>
          <w:rFonts w:ascii="Verdana" w:hAnsi="Verdana" w:cs="Times"/>
          <w:sz w:val="20"/>
          <w:szCs w:val="20"/>
          <w:lang w:eastAsia="es-ES"/>
        </w:rPr>
        <w:t>. En ese sentido, el Tribunal considera que determinar si el tiempo transcurrido entre la sentencia del Tribunal Constitucional de 25 de junio de 1996 y la adopción del Informe de Admisibilidad de 19 de marzo de 2009 constituyó un retraso injustificado, en términos del artículo 46.2.c) de la Convención Americana, es un debate que está directamente relacionado con la controversia de fondo relativa a los art</w:t>
      </w:r>
      <w:r w:rsidR="00E87C57" w:rsidRPr="000B33B9">
        <w:rPr>
          <w:rFonts w:ascii="Verdana" w:hAnsi="Verdana" w:cs="Times"/>
          <w:sz w:val="20"/>
          <w:szCs w:val="20"/>
          <w:lang w:eastAsia="es-ES"/>
        </w:rPr>
        <w:t>ículos 8 y 25 de la Convención.</w:t>
      </w:r>
    </w:p>
    <w:p w14:paraId="0C1959C0" w14:textId="77777777" w:rsidR="0038654D" w:rsidRPr="000B33B9" w:rsidRDefault="0038654D" w:rsidP="0038654D">
      <w:pPr>
        <w:spacing w:after="0" w:line="240" w:lineRule="auto"/>
        <w:jc w:val="both"/>
        <w:rPr>
          <w:rFonts w:ascii="Verdana" w:hAnsi="Verdana" w:cs="Times"/>
          <w:sz w:val="20"/>
          <w:szCs w:val="20"/>
          <w:lang w:eastAsia="es-ES"/>
        </w:rPr>
      </w:pPr>
    </w:p>
    <w:p w14:paraId="1489D62F" w14:textId="0ED76937" w:rsidR="008E7DF5" w:rsidRPr="000B33B9" w:rsidRDefault="00CA7747" w:rsidP="007B74B8">
      <w:pPr>
        <w:numPr>
          <w:ilvl w:val="0"/>
          <w:numId w:val="10"/>
        </w:numPr>
        <w:tabs>
          <w:tab w:val="num" w:pos="0"/>
        </w:tabs>
        <w:spacing w:after="0" w:line="240" w:lineRule="auto"/>
        <w:ind w:left="0" w:firstLine="0"/>
        <w:jc w:val="both"/>
        <w:rPr>
          <w:rFonts w:ascii="Verdana" w:hAnsi="Verdana" w:cs="Times"/>
          <w:sz w:val="20"/>
          <w:szCs w:val="20"/>
          <w:lang w:eastAsia="es-ES"/>
        </w:rPr>
      </w:pPr>
      <w:r w:rsidRPr="000B33B9">
        <w:rPr>
          <w:rFonts w:ascii="Verdana" w:hAnsi="Verdana" w:cs="Times"/>
          <w:sz w:val="20"/>
          <w:szCs w:val="20"/>
          <w:lang w:eastAsia="es-ES"/>
        </w:rPr>
        <w:t>Por otra parte</w:t>
      </w:r>
      <w:r w:rsidR="00326CF7" w:rsidRPr="000B33B9">
        <w:rPr>
          <w:rFonts w:ascii="Verdana" w:hAnsi="Verdana" w:cs="Times"/>
          <w:sz w:val="20"/>
          <w:szCs w:val="20"/>
          <w:lang w:eastAsia="es-ES"/>
        </w:rPr>
        <w:t>,</w:t>
      </w:r>
      <w:r w:rsidRPr="000B33B9">
        <w:rPr>
          <w:rFonts w:ascii="Verdana" w:hAnsi="Verdana" w:cs="Times"/>
          <w:sz w:val="20"/>
          <w:szCs w:val="20"/>
          <w:lang w:eastAsia="es-ES"/>
        </w:rPr>
        <w:t xml:space="preserve"> e</w:t>
      </w:r>
      <w:r w:rsidR="008E7DF5" w:rsidRPr="000B33B9">
        <w:rPr>
          <w:rFonts w:ascii="Verdana" w:hAnsi="Verdana" w:cs="Times"/>
          <w:sz w:val="20"/>
          <w:szCs w:val="20"/>
          <w:lang w:eastAsia="es-ES"/>
        </w:rPr>
        <w:t>l Estado alegó en su escrito de contestación que la verificación del agotamiento de los recursos internos por parte de la Comisión se debió realizar al momento de la presentación de la petición inicial de los representantes, y no al momento en que se pronunció sobre la admisibilidad. Sin embargo, la Corte ya ha señalado que el hecho de que el análisis del cumplimiento del requisito de agotamiento de recursos internos se realice de acuerdo con la situación al momento de decidir sobre la admisibilidad de la petición no afecta el carácter</w:t>
      </w:r>
      <w:r w:rsidR="0093785A" w:rsidRPr="000B33B9">
        <w:rPr>
          <w:rFonts w:ascii="Verdana" w:hAnsi="Verdana" w:cs="Times"/>
          <w:sz w:val="20"/>
          <w:szCs w:val="20"/>
          <w:lang w:eastAsia="es-ES"/>
        </w:rPr>
        <w:t xml:space="preserve"> subsidiario del Sistema I</w:t>
      </w:r>
      <w:r w:rsidR="008E7DF5" w:rsidRPr="000B33B9">
        <w:rPr>
          <w:rFonts w:ascii="Verdana" w:hAnsi="Verdana" w:cs="Times"/>
          <w:sz w:val="20"/>
          <w:szCs w:val="20"/>
          <w:lang w:eastAsia="es-ES"/>
        </w:rPr>
        <w:t>nteramericano, y de hecho le permite al Estado solucionar la situación alegada durante la etapa de admisibilidad</w:t>
      </w:r>
      <w:r w:rsidR="008E7DF5" w:rsidRPr="000B33B9">
        <w:rPr>
          <w:rStyle w:val="Refdenotaalpie"/>
          <w:rFonts w:ascii="Verdana" w:hAnsi="Verdana" w:cs="Times"/>
          <w:sz w:val="20"/>
          <w:szCs w:val="20"/>
          <w:lang w:eastAsia="es-ES"/>
        </w:rPr>
        <w:footnoteReference w:id="14"/>
      </w:r>
      <w:r w:rsidR="008E7DF5" w:rsidRPr="000B33B9">
        <w:rPr>
          <w:rFonts w:ascii="Verdana" w:hAnsi="Verdana" w:cs="Times"/>
          <w:sz w:val="20"/>
          <w:szCs w:val="20"/>
          <w:lang w:eastAsia="es-ES"/>
        </w:rPr>
        <w:t>. Este Tribunal no encuentra razones para apartarse del mencionado criterio.</w:t>
      </w:r>
    </w:p>
    <w:p w14:paraId="6644FE8E" w14:textId="77777777" w:rsidR="008E7DF5" w:rsidRPr="000B33B9" w:rsidRDefault="008E7DF5" w:rsidP="0038654D">
      <w:pPr>
        <w:spacing w:after="0" w:line="240" w:lineRule="auto"/>
        <w:jc w:val="both"/>
        <w:rPr>
          <w:rFonts w:ascii="Verdana" w:hAnsi="Verdana" w:cs="Times"/>
          <w:sz w:val="20"/>
          <w:szCs w:val="20"/>
          <w:lang w:eastAsia="es-ES"/>
        </w:rPr>
      </w:pPr>
    </w:p>
    <w:p w14:paraId="4394E42E" w14:textId="688FA530" w:rsidR="0038654D" w:rsidRPr="000B33B9" w:rsidRDefault="0038654D" w:rsidP="007B74B8">
      <w:pPr>
        <w:numPr>
          <w:ilvl w:val="0"/>
          <w:numId w:val="10"/>
        </w:numPr>
        <w:tabs>
          <w:tab w:val="num" w:pos="0"/>
        </w:tabs>
        <w:spacing w:after="0" w:line="240" w:lineRule="auto"/>
        <w:ind w:left="0" w:firstLine="0"/>
        <w:jc w:val="both"/>
        <w:rPr>
          <w:rFonts w:ascii="Verdana" w:hAnsi="Verdana" w:cs="Times"/>
          <w:sz w:val="20"/>
          <w:szCs w:val="20"/>
          <w:lang w:eastAsia="es-ES"/>
        </w:rPr>
      </w:pPr>
      <w:r w:rsidRPr="000B33B9">
        <w:rPr>
          <w:rFonts w:ascii="Verdana" w:hAnsi="Verdana" w:cs="Times"/>
          <w:sz w:val="20"/>
          <w:szCs w:val="20"/>
          <w:lang w:eastAsia="es-ES"/>
        </w:rPr>
        <w:t>En consecuencia, al existir una íntima relación entre la excepción preliminar del Estado y el análisis de fondo de la controversia, la Corte desestima la excepción preliminar del Estado.</w:t>
      </w:r>
    </w:p>
    <w:p w14:paraId="420292DA" w14:textId="77777777" w:rsidR="0038654D" w:rsidRPr="000B33B9" w:rsidRDefault="0038654D" w:rsidP="0038654D">
      <w:pPr>
        <w:spacing w:after="0" w:line="240" w:lineRule="auto"/>
        <w:rPr>
          <w:rFonts w:ascii="Verdana" w:hAnsi="Verdana"/>
          <w:sz w:val="20"/>
          <w:szCs w:val="20"/>
        </w:rPr>
      </w:pPr>
    </w:p>
    <w:p w14:paraId="77C87C60" w14:textId="40D3952A" w:rsidR="0038654D" w:rsidRPr="000B33B9" w:rsidRDefault="0038654D" w:rsidP="007B74B8">
      <w:pPr>
        <w:pStyle w:val="Ttulo2"/>
        <w:keepNext w:val="0"/>
        <w:keepLines w:val="0"/>
        <w:widowControl/>
        <w:numPr>
          <w:ilvl w:val="0"/>
          <w:numId w:val="15"/>
        </w:numPr>
        <w:adjustRightInd/>
        <w:contextualSpacing/>
        <w:jc w:val="left"/>
        <w:textAlignment w:val="auto"/>
      </w:pPr>
      <w:bookmarkStart w:id="20" w:name="_Toc27329744"/>
      <w:r w:rsidRPr="000B33B9">
        <w:t xml:space="preserve">Excepción por </w:t>
      </w:r>
      <w:r w:rsidR="00A56DA6" w:rsidRPr="000B33B9">
        <w:t>“</w:t>
      </w:r>
      <w:r w:rsidRPr="000B33B9">
        <w:t>cuarta instancia</w:t>
      </w:r>
      <w:r w:rsidR="00A56DA6" w:rsidRPr="000B33B9">
        <w:t>”</w:t>
      </w:r>
      <w:bookmarkEnd w:id="20"/>
    </w:p>
    <w:p w14:paraId="61585E24" w14:textId="77777777" w:rsidR="0038654D" w:rsidRPr="000B33B9" w:rsidRDefault="0038654D" w:rsidP="0038654D">
      <w:pPr>
        <w:spacing w:after="0" w:line="240" w:lineRule="auto"/>
        <w:rPr>
          <w:rFonts w:ascii="Verdana" w:hAnsi="Verdana"/>
          <w:sz w:val="20"/>
          <w:szCs w:val="20"/>
        </w:rPr>
      </w:pPr>
    </w:p>
    <w:p w14:paraId="1620813E" w14:textId="77777777" w:rsidR="0038654D" w:rsidRPr="000B33B9" w:rsidRDefault="0038654D" w:rsidP="00B128F9">
      <w:pPr>
        <w:pStyle w:val="Ttulo3"/>
        <w:numPr>
          <w:ilvl w:val="0"/>
          <w:numId w:val="0"/>
        </w:numPr>
        <w:ind w:left="1353"/>
      </w:pPr>
      <w:bookmarkStart w:id="21" w:name="_Toc27329745"/>
      <w:r w:rsidRPr="000B33B9">
        <w:t>B.1. Alegatos del Estado y observaciones de la Comisión y de los representantes</w:t>
      </w:r>
      <w:bookmarkEnd w:id="21"/>
    </w:p>
    <w:p w14:paraId="780AEC28" w14:textId="77777777" w:rsidR="0038654D" w:rsidRPr="000B33B9" w:rsidRDefault="0038654D" w:rsidP="0038654D">
      <w:pPr>
        <w:spacing w:after="0" w:line="240" w:lineRule="auto"/>
        <w:rPr>
          <w:rFonts w:ascii="Verdana" w:hAnsi="Verdana"/>
          <w:sz w:val="20"/>
          <w:szCs w:val="20"/>
        </w:rPr>
      </w:pPr>
    </w:p>
    <w:p w14:paraId="5612A30E" w14:textId="761A0B8F" w:rsidR="0038654D" w:rsidRPr="000B33B9" w:rsidRDefault="0038654D" w:rsidP="007B74B8">
      <w:pPr>
        <w:pStyle w:val="Prrafodelista"/>
        <w:numPr>
          <w:ilvl w:val="0"/>
          <w:numId w:val="10"/>
        </w:numPr>
        <w:spacing w:after="0" w:line="240" w:lineRule="auto"/>
        <w:ind w:left="0" w:firstLine="0"/>
        <w:jc w:val="both"/>
        <w:rPr>
          <w:rFonts w:ascii="Verdana" w:hAnsi="Verdana"/>
          <w:sz w:val="20"/>
          <w:szCs w:val="20"/>
        </w:rPr>
      </w:pPr>
      <w:r w:rsidRPr="000B33B9">
        <w:rPr>
          <w:rFonts w:ascii="Verdana" w:hAnsi="Verdana"/>
          <w:sz w:val="20"/>
          <w:szCs w:val="20"/>
        </w:rPr>
        <w:t xml:space="preserve">El </w:t>
      </w:r>
      <w:r w:rsidRPr="000B33B9">
        <w:rPr>
          <w:rFonts w:ascii="Verdana" w:hAnsi="Verdana"/>
          <w:b/>
          <w:i/>
          <w:sz w:val="20"/>
          <w:szCs w:val="20"/>
        </w:rPr>
        <w:t>Estado</w:t>
      </w:r>
      <w:r w:rsidRPr="000B33B9">
        <w:rPr>
          <w:rFonts w:ascii="Verdana" w:hAnsi="Verdana"/>
          <w:sz w:val="20"/>
          <w:szCs w:val="20"/>
        </w:rPr>
        <w:t xml:space="preserve"> manifestó que habría formulado la excepción preliminar de </w:t>
      </w:r>
      <w:r w:rsidR="00A56DA6" w:rsidRPr="000B33B9">
        <w:rPr>
          <w:rFonts w:ascii="Verdana" w:hAnsi="Verdana"/>
          <w:sz w:val="20"/>
          <w:szCs w:val="20"/>
        </w:rPr>
        <w:t>“</w:t>
      </w:r>
      <w:r w:rsidRPr="000B33B9">
        <w:rPr>
          <w:rFonts w:ascii="Verdana" w:hAnsi="Verdana"/>
          <w:sz w:val="20"/>
          <w:szCs w:val="20"/>
        </w:rPr>
        <w:t>cuarta instancia</w:t>
      </w:r>
      <w:r w:rsidR="00A56DA6" w:rsidRPr="000B33B9">
        <w:rPr>
          <w:rFonts w:ascii="Verdana" w:hAnsi="Verdana"/>
          <w:sz w:val="20"/>
          <w:szCs w:val="20"/>
        </w:rPr>
        <w:t>”</w:t>
      </w:r>
      <w:r w:rsidRPr="000B33B9">
        <w:rPr>
          <w:rFonts w:ascii="Verdana" w:hAnsi="Verdana"/>
          <w:sz w:val="20"/>
          <w:szCs w:val="20"/>
        </w:rPr>
        <w:t xml:space="preserve"> en la etapa de admisibilidad ante la Comisión Interamericana, </w:t>
      </w:r>
      <w:r w:rsidR="00326CF7" w:rsidRPr="000B33B9">
        <w:rPr>
          <w:rFonts w:ascii="Verdana" w:hAnsi="Verdana"/>
          <w:sz w:val="20"/>
          <w:szCs w:val="20"/>
        </w:rPr>
        <w:t>mediante dos informes estatales</w:t>
      </w:r>
      <w:r w:rsidRPr="000B33B9">
        <w:rPr>
          <w:rFonts w:ascii="Verdana" w:hAnsi="Verdana"/>
          <w:sz w:val="20"/>
          <w:szCs w:val="20"/>
        </w:rPr>
        <w:t>. El Estado precisó que el caso en sede interna fue claramente resuelto mediante decisión judicial de fecha 8 de mayo de 2006 de la Sexta Sala Civil de la Corte Superior de Justicia de Lima en la cual se resolvió que “no era posible homologar las pensiones con las remuneraciones de los trabajadores activos que pertenecían al r</w:t>
      </w:r>
      <w:r w:rsidR="00326CF7" w:rsidRPr="000B33B9">
        <w:rPr>
          <w:rFonts w:ascii="Verdana" w:hAnsi="Verdana"/>
          <w:sz w:val="20"/>
          <w:szCs w:val="20"/>
        </w:rPr>
        <w:t>égimen de la actividad privada”</w:t>
      </w:r>
      <w:r w:rsidRPr="000B33B9">
        <w:rPr>
          <w:rFonts w:ascii="Verdana" w:hAnsi="Verdana"/>
          <w:sz w:val="20"/>
          <w:szCs w:val="20"/>
        </w:rPr>
        <w:t>. En tal medida, el Estado consideró que los representantes no tienen sustento que fundamente la tramitación</w:t>
      </w:r>
      <w:r w:rsidR="00326CF7" w:rsidRPr="000B33B9">
        <w:rPr>
          <w:rFonts w:ascii="Verdana" w:hAnsi="Verdana"/>
          <w:sz w:val="20"/>
          <w:szCs w:val="20"/>
        </w:rPr>
        <w:t xml:space="preserve"> del caso en sede internacional</w:t>
      </w:r>
      <w:r w:rsidRPr="000B33B9">
        <w:rPr>
          <w:rFonts w:ascii="Verdana" w:hAnsi="Verdana"/>
          <w:sz w:val="20"/>
          <w:szCs w:val="20"/>
        </w:rPr>
        <w:t>. En consecuencia, el Estado aseguró que ni la Comisión ni la Corte podrían sustituir su propia evaluación de los hechos por aqu</w:t>
      </w:r>
      <w:r w:rsidR="00326CF7" w:rsidRPr="000B33B9">
        <w:rPr>
          <w:rFonts w:ascii="Verdana" w:hAnsi="Verdana"/>
          <w:sz w:val="20"/>
          <w:szCs w:val="20"/>
        </w:rPr>
        <w:t>ella de los tribunales internos</w:t>
      </w:r>
      <w:r w:rsidRPr="000B33B9">
        <w:rPr>
          <w:rFonts w:ascii="Verdana" w:hAnsi="Verdana"/>
          <w:sz w:val="20"/>
          <w:szCs w:val="20"/>
        </w:rPr>
        <w:t>.</w:t>
      </w:r>
    </w:p>
    <w:p w14:paraId="240638EA" w14:textId="77777777" w:rsidR="0038654D" w:rsidRPr="000B33B9" w:rsidRDefault="0038654D" w:rsidP="0038654D">
      <w:pPr>
        <w:pStyle w:val="Prrafodelista"/>
        <w:spacing w:after="0" w:line="240" w:lineRule="auto"/>
        <w:ind w:left="0"/>
        <w:jc w:val="both"/>
        <w:rPr>
          <w:rFonts w:ascii="Verdana" w:hAnsi="Verdana"/>
          <w:sz w:val="20"/>
          <w:szCs w:val="20"/>
        </w:rPr>
      </w:pPr>
    </w:p>
    <w:p w14:paraId="1DC220E8" w14:textId="79F51EA5" w:rsidR="0038654D" w:rsidRPr="000B33B9" w:rsidRDefault="0038654D" w:rsidP="007B74B8">
      <w:pPr>
        <w:pStyle w:val="Prrafodelista"/>
        <w:numPr>
          <w:ilvl w:val="0"/>
          <w:numId w:val="10"/>
        </w:numPr>
        <w:spacing w:after="0" w:line="240" w:lineRule="auto"/>
        <w:ind w:left="0" w:firstLine="0"/>
        <w:jc w:val="both"/>
        <w:rPr>
          <w:rFonts w:ascii="Verdana" w:hAnsi="Verdana"/>
          <w:sz w:val="20"/>
          <w:szCs w:val="20"/>
        </w:rPr>
      </w:pPr>
      <w:r w:rsidRPr="000B33B9">
        <w:rPr>
          <w:rFonts w:ascii="Verdana" w:hAnsi="Verdana"/>
          <w:sz w:val="20"/>
          <w:szCs w:val="20"/>
        </w:rPr>
        <w:t xml:space="preserve">Los </w:t>
      </w:r>
      <w:r w:rsidRPr="000B33B9">
        <w:rPr>
          <w:rFonts w:ascii="Verdana" w:hAnsi="Verdana"/>
          <w:b/>
          <w:i/>
          <w:sz w:val="20"/>
          <w:szCs w:val="20"/>
        </w:rPr>
        <w:t xml:space="preserve">representantes </w:t>
      </w:r>
      <w:r w:rsidRPr="000B33B9">
        <w:rPr>
          <w:rFonts w:ascii="Verdana" w:hAnsi="Verdana"/>
          <w:sz w:val="20"/>
          <w:szCs w:val="20"/>
        </w:rPr>
        <w:t>alegaron que no pretenden ni han pretendido la revisión de fallos o decisiones de los tribunales internos, sino la determinación sobre si el incumplimiento por el Estado de la sentencia proferida por la Corte Suprema el 25 de octubre de 1993, y el Tribunal Constitucional el 10 de mayo de 2001, resulta violatorio o no de varios derechos protegidos por la Convención Americana, teniendo en cuenta que el Estado es internacionalmente responsable por los actos u omisiones de cualquiera de sus poderes u órganos, incluidos los tribunales. Por esta razón, alegaron que debía desestimarse l</w:t>
      </w:r>
      <w:r w:rsidR="00326CF7" w:rsidRPr="000B33B9">
        <w:rPr>
          <w:rFonts w:ascii="Verdana" w:hAnsi="Verdana"/>
          <w:sz w:val="20"/>
          <w:szCs w:val="20"/>
        </w:rPr>
        <w:t>a excepción de cuarta instancia</w:t>
      </w:r>
      <w:r w:rsidRPr="000B33B9">
        <w:rPr>
          <w:rFonts w:ascii="Verdana" w:hAnsi="Verdana"/>
          <w:sz w:val="20"/>
          <w:szCs w:val="20"/>
        </w:rPr>
        <w:t>.</w:t>
      </w:r>
    </w:p>
    <w:p w14:paraId="3B752B17" w14:textId="77777777" w:rsidR="0038654D" w:rsidRPr="000B33B9" w:rsidRDefault="0038654D" w:rsidP="0038654D">
      <w:pPr>
        <w:pStyle w:val="Prrafodelista"/>
        <w:spacing w:after="0" w:line="240" w:lineRule="auto"/>
        <w:ind w:left="0"/>
        <w:jc w:val="both"/>
        <w:rPr>
          <w:rFonts w:ascii="Verdana" w:hAnsi="Verdana"/>
          <w:sz w:val="20"/>
          <w:szCs w:val="20"/>
        </w:rPr>
      </w:pPr>
    </w:p>
    <w:p w14:paraId="1902DDC9" w14:textId="46AB4AB4" w:rsidR="0038654D" w:rsidRPr="000B33B9" w:rsidRDefault="0038654D" w:rsidP="007B74B8">
      <w:pPr>
        <w:pStyle w:val="Prrafodelista"/>
        <w:numPr>
          <w:ilvl w:val="0"/>
          <w:numId w:val="10"/>
        </w:numPr>
        <w:spacing w:after="0" w:line="240" w:lineRule="auto"/>
        <w:ind w:left="0" w:firstLine="0"/>
        <w:jc w:val="both"/>
        <w:rPr>
          <w:rFonts w:ascii="Verdana" w:hAnsi="Verdana"/>
          <w:sz w:val="20"/>
          <w:szCs w:val="20"/>
        </w:rPr>
      </w:pPr>
      <w:r w:rsidRPr="000B33B9">
        <w:rPr>
          <w:rFonts w:ascii="Verdana" w:hAnsi="Verdana"/>
          <w:sz w:val="20"/>
          <w:szCs w:val="20"/>
        </w:rPr>
        <w:t xml:space="preserve">La </w:t>
      </w:r>
      <w:r w:rsidRPr="000B33B9">
        <w:rPr>
          <w:rFonts w:ascii="Verdana" w:hAnsi="Verdana"/>
          <w:b/>
          <w:i/>
          <w:sz w:val="20"/>
          <w:szCs w:val="20"/>
        </w:rPr>
        <w:t xml:space="preserve">Comisión </w:t>
      </w:r>
      <w:r w:rsidRPr="000B33B9">
        <w:rPr>
          <w:rFonts w:ascii="Verdana" w:hAnsi="Verdana"/>
          <w:sz w:val="20"/>
          <w:szCs w:val="20"/>
        </w:rPr>
        <w:t>afirmó que corresponde calificar la responsabilidad internacional del Estado derivada del incumplimiento de fallos judiciales y de la inoperancia del poder judicial para lograr tal cumplimiento de manera efectiva y oportuna. En consecuencia, solicitó que se declare impro</w:t>
      </w:r>
      <w:r w:rsidR="00326CF7" w:rsidRPr="000B33B9">
        <w:rPr>
          <w:rFonts w:ascii="Verdana" w:hAnsi="Verdana"/>
          <w:sz w:val="20"/>
          <w:szCs w:val="20"/>
        </w:rPr>
        <w:t>cedente la solicitud del Estado</w:t>
      </w:r>
      <w:r w:rsidRPr="000B33B9">
        <w:rPr>
          <w:rFonts w:ascii="Verdana" w:hAnsi="Verdana"/>
          <w:sz w:val="20"/>
          <w:szCs w:val="20"/>
        </w:rPr>
        <w:t>.</w:t>
      </w:r>
    </w:p>
    <w:p w14:paraId="1E0325FD" w14:textId="77777777" w:rsidR="0038654D" w:rsidRPr="000B33B9" w:rsidRDefault="0038654D" w:rsidP="0038654D">
      <w:pPr>
        <w:spacing w:after="0" w:line="240" w:lineRule="auto"/>
        <w:jc w:val="both"/>
        <w:rPr>
          <w:rFonts w:ascii="Verdana" w:hAnsi="Verdana"/>
          <w:sz w:val="20"/>
          <w:szCs w:val="20"/>
        </w:rPr>
      </w:pPr>
    </w:p>
    <w:p w14:paraId="79D516B3" w14:textId="77777777" w:rsidR="0038654D" w:rsidRPr="000B33B9" w:rsidRDefault="0038654D" w:rsidP="00B128F9">
      <w:pPr>
        <w:pStyle w:val="Ttulo3"/>
        <w:numPr>
          <w:ilvl w:val="0"/>
          <w:numId w:val="0"/>
        </w:numPr>
        <w:ind w:left="1353"/>
      </w:pPr>
      <w:bookmarkStart w:id="22" w:name="_Toc27329746"/>
      <w:r w:rsidRPr="000B33B9">
        <w:t>B.2. Consideraciones de la Corte</w:t>
      </w:r>
      <w:bookmarkEnd w:id="22"/>
    </w:p>
    <w:p w14:paraId="5E5EB75D" w14:textId="77777777" w:rsidR="0038654D" w:rsidRPr="000B33B9" w:rsidRDefault="0038654D" w:rsidP="0038654D">
      <w:pPr>
        <w:pStyle w:val="Prrafodelista"/>
        <w:suppressAutoHyphens/>
        <w:spacing w:after="0" w:line="240" w:lineRule="auto"/>
        <w:ind w:left="0"/>
        <w:jc w:val="both"/>
        <w:rPr>
          <w:rFonts w:ascii="Verdana" w:hAnsi="Verdana"/>
          <w:sz w:val="20"/>
          <w:szCs w:val="20"/>
          <w:lang w:val="es-CR"/>
        </w:rPr>
      </w:pPr>
    </w:p>
    <w:p w14:paraId="72AD58A1" w14:textId="40A09FC1" w:rsidR="0038654D" w:rsidRPr="000B33B9" w:rsidRDefault="00E249C1" w:rsidP="007B74B8">
      <w:pPr>
        <w:pStyle w:val="Prrafodelista"/>
        <w:numPr>
          <w:ilvl w:val="0"/>
          <w:numId w:val="10"/>
        </w:numPr>
        <w:suppressAutoHyphens/>
        <w:spacing w:after="0" w:line="240" w:lineRule="auto"/>
        <w:ind w:left="0" w:firstLine="0"/>
        <w:jc w:val="both"/>
        <w:rPr>
          <w:rFonts w:ascii="Verdana" w:hAnsi="Verdana"/>
          <w:sz w:val="20"/>
          <w:szCs w:val="20"/>
          <w:lang w:val="es-CR"/>
        </w:rPr>
      </w:pPr>
      <w:r w:rsidRPr="000B33B9">
        <w:rPr>
          <w:rFonts w:ascii="Verdana" w:hAnsi="Verdana" w:cs="Arial"/>
          <w:sz w:val="20"/>
          <w:szCs w:val="20"/>
          <w:lang w:val="es-CR"/>
        </w:rPr>
        <w:t>L</w:t>
      </w:r>
      <w:r w:rsidR="0038654D" w:rsidRPr="000B33B9">
        <w:rPr>
          <w:rFonts w:ascii="Verdana" w:hAnsi="Verdana" w:cs="Arial"/>
          <w:sz w:val="20"/>
          <w:szCs w:val="20"/>
          <w:lang w:val="es-CR"/>
        </w:rPr>
        <w:t>a Corte ha indicado que para que la excepción de cuarta instancia sea procedente sería necesario que el solicitante busque que la Corte revise el fallo de un tribunal interno</w:t>
      </w:r>
      <w:r w:rsidR="0038654D" w:rsidRPr="000B33B9">
        <w:rPr>
          <w:rFonts w:ascii="Verdana" w:hAnsi="Verdana" w:cs="Arial"/>
          <w:b/>
          <w:sz w:val="20"/>
          <w:szCs w:val="20"/>
          <w:lang w:val="es-CR"/>
        </w:rPr>
        <w:t xml:space="preserve"> </w:t>
      </w:r>
      <w:r w:rsidR="0038654D" w:rsidRPr="000B33B9">
        <w:rPr>
          <w:rFonts w:ascii="Verdana" w:hAnsi="Verdana" w:cs="Arial"/>
          <w:sz w:val="20"/>
          <w:szCs w:val="20"/>
          <w:lang w:val="es-CR"/>
        </w:rPr>
        <w:t>en virtud de su incorrecta apreciación de la prueba, los hechos o el derecho interno, sin que, a la vez, se alegue que tal fallo incurrió en una violación de tratados internacionales respecto de los que tenga competencia el Tribunal</w:t>
      </w:r>
      <w:r w:rsidR="0038654D" w:rsidRPr="000B33B9">
        <w:rPr>
          <w:rStyle w:val="Smbolodenotaalpie"/>
          <w:rFonts w:ascii="Verdana" w:hAnsi="Verdana"/>
          <w:sz w:val="20"/>
          <w:lang w:val="es-CR"/>
        </w:rPr>
        <w:footnoteReference w:id="15"/>
      </w:r>
      <w:r w:rsidR="0038654D" w:rsidRPr="000B33B9">
        <w:rPr>
          <w:rFonts w:ascii="Verdana" w:hAnsi="Verdana" w:cs="Arial"/>
          <w:sz w:val="20"/>
          <w:szCs w:val="20"/>
          <w:lang w:val="es-CR"/>
        </w:rPr>
        <w:t>.</w:t>
      </w:r>
      <w:r w:rsidR="0038654D" w:rsidRPr="000B33B9">
        <w:rPr>
          <w:rFonts w:ascii="Verdana" w:hAnsi="Verdana"/>
          <w:sz w:val="20"/>
          <w:szCs w:val="20"/>
        </w:rPr>
        <w:t xml:space="preserve"> Ello, en el marco de lo señalado por la jurisprudencia reiterada del Tribunal, que ha advertido que la determinación de si las actuaciones de órganos judiciales constituyen o no una violación de las obligaciones internacionales del Estado, puede conducir a que la Corte deba ocuparse de examinar los respectivos procesos internos para establecer su compatibilidad con la Convención Americana</w:t>
      </w:r>
      <w:r w:rsidR="0038654D" w:rsidRPr="000B33B9">
        <w:rPr>
          <w:rStyle w:val="Refdenotaalpie"/>
          <w:rFonts w:ascii="Verdana" w:hAnsi="Verdana"/>
          <w:sz w:val="20"/>
          <w:szCs w:val="20"/>
        </w:rPr>
        <w:footnoteReference w:id="16"/>
      </w:r>
      <w:r w:rsidR="00E50ABE" w:rsidRPr="000B33B9">
        <w:rPr>
          <w:rFonts w:ascii="Verdana" w:hAnsi="Verdana"/>
          <w:sz w:val="20"/>
          <w:szCs w:val="20"/>
        </w:rPr>
        <w:t>.</w:t>
      </w:r>
    </w:p>
    <w:p w14:paraId="7F2DFD43" w14:textId="77777777" w:rsidR="0038654D" w:rsidRPr="000B33B9" w:rsidRDefault="0038654D" w:rsidP="0038654D">
      <w:pPr>
        <w:pStyle w:val="Prrafodelista"/>
        <w:spacing w:after="0" w:line="240" w:lineRule="auto"/>
        <w:ind w:left="0"/>
        <w:rPr>
          <w:rFonts w:ascii="Verdana" w:hAnsi="Verdana"/>
          <w:sz w:val="20"/>
          <w:szCs w:val="20"/>
          <w:lang w:val="es-CR"/>
        </w:rPr>
      </w:pPr>
    </w:p>
    <w:p w14:paraId="2259FF62" w14:textId="30CE6442" w:rsidR="0038654D" w:rsidRPr="000B33B9" w:rsidRDefault="0038654D" w:rsidP="007B74B8">
      <w:pPr>
        <w:pStyle w:val="Prrafodelista"/>
        <w:numPr>
          <w:ilvl w:val="0"/>
          <w:numId w:val="10"/>
        </w:numPr>
        <w:suppressAutoHyphens/>
        <w:spacing w:after="0" w:line="240" w:lineRule="auto"/>
        <w:ind w:left="0" w:firstLine="0"/>
        <w:jc w:val="both"/>
        <w:rPr>
          <w:rFonts w:ascii="Verdana" w:hAnsi="Verdana"/>
          <w:sz w:val="20"/>
          <w:szCs w:val="20"/>
          <w:lang w:val="es-CR"/>
        </w:rPr>
      </w:pPr>
      <w:r w:rsidRPr="000B33B9">
        <w:rPr>
          <w:rFonts w:ascii="Verdana" w:hAnsi="Verdana"/>
          <w:sz w:val="20"/>
          <w:szCs w:val="20"/>
          <w:lang w:val="es-CR"/>
        </w:rPr>
        <w:t>En el presente caso, la Corte constata que el Estado manifestó ante la Comisión, durante la etapa de admisibilidad, que “la pretensión de los peticionarios actualmente está siendo sometida a la competencia y decisión de los órganos jurisdiccionales internos del Estado denunciado, por lo que un análisis de fondo de la presente petición, como pretenden los denunciantes, convertiría a la Comisión en una cuarta instancia”</w:t>
      </w:r>
      <w:r w:rsidRPr="000B33B9">
        <w:rPr>
          <w:rStyle w:val="Refdenotaalpie"/>
          <w:rFonts w:ascii="Verdana" w:hAnsi="Verdana"/>
          <w:sz w:val="20"/>
          <w:szCs w:val="20"/>
        </w:rPr>
        <w:footnoteReference w:id="17"/>
      </w:r>
      <w:r w:rsidRPr="000B33B9">
        <w:rPr>
          <w:rFonts w:ascii="Verdana" w:hAnsi="Verdana"/>
          <w:sz w:val="20"/>
          <w:szCs w:val="20"/>
          <w:lang w:val="es-CR"/>
        </w:rPr>
        <w:t>. Asimismo, el Estado expresó que “al parecer lo que pretenden a través de la presente denuncia es más bien desconocer el debido proceso al que se encuentra sujeta la ejecución de la sentencia emitida por la Corte Suprema de la República, en fecha 25 de octubre de 1993, y cuestionar los fallos de la jurisdicción interna, pretendiendo indebidamente que la Corte actúe como una cuarta instancia”</w:t>
      </w:r>
      <w:r w:rsidRPr="000B33B9">
        <w:rPr>
          <w:rStyle w:val="Refdenotaalpie"/>
          <w:rFonts w:ascii="Verdana" w:hAnsi="Verdana"/>
          <w:sz w:val="20"/>
          <w:szCs w:val="20"/>
        </w:rPr>
        <w:footnoteReference w:id="18"/>
      </w:r>
      <w:r w:rsidRPr="000B33B9">
        <w:rPr>
          <w:rFonts w:ascii="Verdana" w:hAnsi="Verdana"/>
          <w:sz w:val="20"/>
          <w:szCs w:val="20"/>
          <w:lang w:val="es-CR"/>
        </w:rPr>
        <w:t>. En el mismo sentido, en su contestación expresó que no existen afectaciones al debido proceso en el m</w:t>
      </w:r>
      <w:r w:rsidR="00326CF7" w:rsidRPr="000B33B9">
        <w:rPr>
          <w:rFonts w:ascii="Verdana" w:hAnsi="Verdana"/>
          <w:sz w:val="20"/>
          <w:szCs w:val="20"/>
          <w:lang w:val="es-CR"/>
        </w:rPr>
        <w:t>arco del desarrollo del proceso</w:t>
      </w:r>
      <w:r w:rsidRPr="000B33B9">
        <w:rPr>
          <w:rFonts w:ascii="Verdana" w:hAnsi="Verdana"/>
          <w:sz w:val="20"/>
          <w:szCs w:val="20"/>
          <w:lang w:val="es-CR"/>
        </w:rPr>
        <w:t xml:space="preserve">. </w:t>
      </w:r>
    </w:p>
    <w:p w14:paraId="71A718CF" w14:textId="77777777" w:rsidR="0038654D" w:rsidRPr="000B33B9" w:rsidRDefault="0038654D" w:rsidP="0038654D">
      <w:pPr>
        <w:pStyle w:val="Prrafodelista"/>
        <w:suppressAutoHyphens/>
        <w:spacing w:after="0" w:line="240" w:lineRule="auto"/>
        <w:ind w:left="0"/>
        <w:jc w:val="both"/>
        <w:rPr>
          <w:rFonts w:ascii="Verdana" w:hAnsi="Verdana"/>
          <w:sz w:val="20"/>
          <w:szCs w:val="20"/>
          <w:lang w:val="es-CR"/>
        </w:rPr>
      </w:pPr>
    </w:p>
    <w:p w14:paraId="36324CAF" w14:textId="6625C975" w:rsidR="0038654D" w:rsidRPr="000B33B9" w:rsidRDefault="00B21367" w:rsidP="007B74B8">
      <w:pPr>
        <w:pStyle w:val="Prrafodelista"/>
        <w:numPr>
          <w:ilvl w:val="0"/>
          <w:numId w:val="10"/>
        </w:numPr>
        <w:suppressAutoHyphens/>
        <w:spacing w:after="0" w:line="240" w:lineRule="auto"/>
        <w:ind w:left="0" w:firstLine="0"/>
        <w:jc w:val="both"/>
        <w:rPr>
          <w:rFonts w:ascii="Verdana" w:hAnsi="Verdana"/>
          <w:sz w:val="20"/>
          <w:szCs w:val="20"/>
          <w:lang w:val="es-CR"/>
        </w:rPr>
      </w:pPr>
      <w:r w:rsidRPr="000B33B9">
        <w:rPr>
          <w:rFonts w:ascii="Verdana" w:hAnsi="Verdana"/>
          <w:sz w:val="20"/>
          <w:szCs w:val="20"/>
        </w:rPr>
        <w:t>L</w:t>
      </w:r>
      <w:r w:rsidR="0038654D" w:rsidRPr="000B33B9">
        <w:rPr>
          <w:rFonts w:ascii="Verdana" w:hAnsi="Verdana"/>
          <w:sz w:val="20"/>
          <w:szCs w:val="20"/>
        </w:rPr>
        <w:t>a Corte observa que la excepción preliminar presentada por el Estado toma como punto de partida que no ha existido ninguna violación de derechos humanos en el presente caso, cuando es precisamente ello lo que se debatirá en el fondo del asunto. Al valorar el mérito de la petición la Corte determinará si los procedimientos internos, tal como alega el Estado, respondieron a la totalidad de los actos reclamados por la Comisión y los representantes ante este Tribunal y si en ese ejercicio se respetaron las obligaciones internacionales del Estado. En consecuencia, la Corte desestima la excepción preliminar del Estado.</w:t>
      </w:r>
    </w:p>
    <w:p w14:paraId="42B4A36D" w14:textId="77777777" w:rsidR="0038654D" w:rsidRPr="000B33B9" w:rsidRDefault="0038654D" w:rsidP="0038654D">
      <w:pPr>
        <w:spacing w:after="0" w:line="240" w:lineRule="auto"/>
        <w:jc w:val="both"/>
        <w:rPr>
          <w:rFonts w:ascii="Verdana" w:hAnsi="Verdana"/>
          <w:sz w:val="20"/>
          <w:szCs w:val="20"/>
        </w:rPr>
      </w:pPr>
    </w:p>
    <w:p w14:paraId="26EE5BE0" w14:textId="77777777" w:rsidR="0038654D" w:rsidRPr="000B33B9" w:rsidRDefault="0038654D" w:rsidP="007B74B8">
      <w:pPr>
        <w:pStyle w:val="Ttulo2"/>
        <w:keepNext w:val="0"/>
        <w:keepLines w:val="0"/>
        <w:widowControl/>
        <w:numPr>
          <w:ilvl w:val="0"/>
          <w:numId w:val="15"/>
        </w:numPr>
        <w:adjustRightInd/>
        <w:contextualSpacing/>
        <w:textAlignment w:val="auto"/>
      </w:pPr>
      <w:bookmarkStart w:id="23" w:name="_Toc27329747"/>
      <w:r w:rsidRPr="000B33B9">
        <w:t>Excepción por inclusión de los artículos 26 y 4 por parte de los representantes</w:t>
      </w:r>
      <w:bookmarkEnd w:id="23"/>
    </w:p>
    <w:p w14:paraId="21475A99" w14:textId="77777777" w:rsidR="0038654D" w:rsidRPr="000B33B9" w:rsidRDefault="0038654D" w:rsidP="0038654D">
      <w:pPr>
        <w:spacing w:after="0" w:line="240" w:lineRule="auto"/>
        <w:rPr>
          <w:rFonts w:ascii="Verdana" w:hAnsi="Verdana"/>
          <w:sz w:val="20"/>
          <w:szCs w:val="20"/>
        </w:rPr>
      </w:pPr>
    </w:p>
    <w:p w14:paraId="496B583A" w14:textId="77777777" w:rsidR="0038654D" w:rsidRPr="000B33B9" w:rsidRDefault="0038654D" w:rsidP="00B128F9">
      <w:pPr>
        <w:pStyle w:val="Ttulo3"/>
        <w:numPr>
          <w:ilvl w:val="0"/>
          <w:numId w:val="0"/>
        </w:numPr>
        <w:ind w:left="1353"/>
      </w:pPr>
      <w:bookmarkStart w:id="24" w:name="_Toc27329748"/>
      <w:r w:rsidRPr="000B33B9">
        <w:t>C.1. Alegatos del Estado y observaciones de la Comisión y de los representantes</w:t>
      </w:r>
      <w:bookmarkEnd w:id="24"/>
    </w:p>
    <w:p w14:paraId="36248F33" w14:textId="77777777" w:rsidR="0038654D" w:rsidRPr="000B33B9" w:rsidRDefault="0038654D" w:rsidP="0038654D">
      <w:pPr>
        <w:spacing w:after="0" w:line="240" w:lineRule="auto"/>
        <w:rPr>
          <w:rFonts w:ascii="Verdana" w:hAnsi="Verdana"/>
          <w:sz w:val="20"/>
          <w:szCs w:val="20"/>
        </w:rPr>
      </w:pPr>
    </w:p>
    <w:p w14:paraId="5A183367" w14:textId="635D726C" w:rsidR="0038654D" w:rsidRPr="000B33B9" w:rsidRDefault="0038654D" w:rsidP="007B74B8">
      <w:pPr>
        <w:pStyle w:val="Prrafodelista"/>
        <w:numPr>
          <w:ilvl w:val="0"/>
          <w:numId w:val="10"/>
        </w:numPr>
        <w:spacing w:after="0" w:line="240" w:lineRule="auto"/>
        <w:ind w:left="0" w:firstLine="0"/>
        <w:jc w:val="both"/>
        <w:rPr>
          <w:rFonts w:ascii="Verdana" w:hAnsi="Verdana"/>
          <w:sz w:val="20"/>
          <w:szCs w:val="20"/>
        </w:rPr>
      </w:pPr>
      <w:r w:rsidRPr="000B33B9">
        <w:rPr>
          <w:rFonts w:ascii="Verdana" w:hAnsi="Verdana"/>
          <w:sz w:val="20"/>
          <w:szCs w:val="20"/>
        </w:rPr>
        <w:t xml:space="preserve">El </w:t>
      </w:r>
      <w:r w:rsidRPr="000B33B9">
        <w:rPr>
          <w:rFonts w:ascii="Verdana" w:hAnsi="Verdana"/>
          <w:b/>
          <w:i/>
          <w:sz w:val="20"/>
          <w:szCs w:val="20"/>
        </w:rPr>
        <w:t>Estado</w:t>
      </w:r>
      <w:r w:rsidRPr="000B33B9">
        <w:rPr>
          <w:rFonts w:ascii="Verdana" w:hAnsi="Verdana"/>
          <w:sz w:val="20"/>
          <w:szCs w:val="20"/>
        </w:rPr>
        <w:t xml:space="preserve"> alegó que de conformidad con el artículo 19.6 del Protocolo Adicional a la Convención Americana sobre Derechos Humanos en materia de Derechos Económicos, Sociales y Culturales “Protocolo de San Salvador”, solo pueden ser objeto de análisis por medio del mecanismo de peticiones ante el Sistema Interamericano (ya sea directa o indirectamente) la protección de los derechos a la libertad sindical o el derecho a la educación, pero no permite tal posibilidad respecto a</w:t>
      </w:r>
      <w:r w:rsidR="00326CF7" w:rsidRPr="000B33B9">
        <w:rPr>
          <w:rFonts w:ascii="Verdana" w:hAnsi="Verdana"/>
          <w:sz w:val="20"/>
          <w:szCs w:val="20"/>
        </w:rPr>
        <w:t>l derecho a la seguridad social</w:t>
      </w:r>
      <w:r w:rsidRPr="000B33B9">
        <w:rPr>
          <w:rFonts w:ascii="Verdana" w:hAnsi="Verdana"/>
          <w:sz w:val="20"/>
          <w:szCs w:val="20"/>
        </w:rPr>
        <w:t xml:space="preserve">. Asimismo, </w:t>
      </w:r>
      <w:r w:rsidR="006710A8" w:rsidRPr="000B33B9">
        <w:rPr>
          <w:rFonts w:ascii="Verdana" w:hAnsi="Verdana"/>
          <w:sz w:val="20"/>
          <w:szCs w:val="20"/>
        </w:rPr>
        <w:t xml:space="preserve">solicitó </w:t>
      </w:r>
      <w:r w:rsidRPr="000B33B9">
        <w:rPr>
          <w:rFonts w:ascii="Verdana" w:hAnsi="Verdana"/>
          <w:sz w:val="20"/>
          <w:szCs w:val="20"/>
        </w:rPr>
        <w:t xml:space="preserve">que el Tribunal “realice un ejercicio prudente de las competencias y atribuciones que la Convención le otorga como garante de la misma, ejerciendo su labor </w:t>
      </w:r>
      <w:r w:rsidR="00326CF7" w:rsidRPr="000B33B9">
        <w:rPr>
          <w:rFonts w:ascii="Verdana" w:hAnsi="Verdana"/>
          <w:sz w:val="20"/>
          <w:szCs w:val="20"/>
        </w:rPr>
        <w:t>(…)</w:t>
      </w:r>
      <w:r w:rsidRPr="000B33B9">
        <w:rPr>
          <w:rFonts w:ascii="Verdana" w:hAnsi="Verdana"/>
          <w:sz w:val="20"/>
          <w:szCs w:val="20"/>
        </w:rPr>
        <w:t xml:space="preserve"> en irrestricto respeto del orden materi</w:t>
      </w:r>
      <w:r w:rsidR="00326CF7" w:rsidRPr="000B33B9">
        <w:rPr>
          <w:rFonts w:ascii="Verdana" w:hAnsi="Verdana"/>
          <w:sz w:val="20"/>
          <w:szCs w:val="20"/>
        </w:rPr>
        <w:t>al que la Convención establece”</w:t>
      </w:r>
      <w:r w:rsidRPr="000B33B9">
        <w:rPr>
          <w:rFonts w:ascii="Verdana" w:hAnsi="Verdana"/>
          <w:sz w:val="20"/>
          <w:szCs w:val="20"/>
        </w:rPr>
        <w:t>. Finalmente, manifestó que la Comisión no planteó afectaciones al artículo 26 de la Convención, sino que se trata de un alegato exclusiv</w:t>
      </w:r>
      <w:r w:rsidR="00157CD7" w:rsidRPr="000B33B9">
        <w:rPr>
          <w:rFonts w:ascii="Verdana" w:hAnsi="Verdana"/>
          <w:sz w:val="20"/>
          <w:szCs w:val="20"/>
        </w:rPr>
        <w:t>o</w:t>
      </w:r>
      <w:r w:rsidRPr="000B33B9">
        <w:rPr>
          <w:rFonts w:ascii="Verdana" w:hAnsi="Verdana"/>
          <w:sz w:val="20"/>
          <w:szCs w:val="20"/>
        </w:rPr>
        <w:t xml:space="preserve"> de los representantes sobre la base de ale</w:t>
      </w:r>
      <w:r w:rsidR="00326CF7" w:rsidRPr="000B33B9">
        <w:rPr>
          <w:rFonts w:ascii="Verdana" w:hAnsi="Verdana"/>
          <w:sz w:val="20"/>
          <w:szCs w:val="20"/>
        </w:rPr>
        <w:t>gaciones carentes de fundamento</w:t>
      </w:r>
      <w:r w:rsidRPr="000B33B9">
        <w:rPr>
          <w:rFonts w:ascii="Verdana" w:hAnsi="Verdana"/>
          <w:sz w:val="20"/>
          <w:szCs w:val="20"/>
        </w:rPr>
        <w:t>. En consecuencia, consideró que no resulta pertinente realizar un análisis al derecho a la seguridad social y tal pretensión de</w:t>
      </w:r>
      <w:r w:rsidR="00326CF7" w:rsidRPr="000B33B9">
        <w:rPr>
          <w:rFonts w:ascii="Verdana" w:hAnsi="Verdana"/>
          <w:sz w:val="20"/>
          <w:szCs w:val="20"/>
        </w:rPr>
        <w:t>be ser desestimada por la Corte</w:t>
      </w:r>
      <w:r w:rsidRPr="000B33B9">
        <w:rPr>
          <w:rFonts w:ascii="Verdana" w:hAnsi="Verdana"/>
          <w:sz w:val="20"/>
          <w:szCs w:val="20"/>
        </w:rPr>
        <w:t>.</w:t>
      </w:r>
      <w:r w:rsidR="00415BB4" w:rsidRPr="000B33B9">
        <w:rPr>
          <w:rFonts w:ascii="Verdana" w:hAnsi="Verdana"/>
          <w:sz w:val="20"/>
          <w:szCs w:val="20"/>
        </w:rPr>
        <w:t xml:space="preserve"> </w:t>
      </w:r>
      <w:r w:rsidRPr="000B33B9">
        <w:rPr>
          <w:rFonts w:ascii="Verdana" w:hAnsi="Verdana"/>
          <w:sz w:val="20"/>
          <w:szCs w:val="20"/>
        </w:rPr>
        <w:t>Asimismo, el Estado</w:t>
      </w:r>
      <w:r w:rsidRPr="000B33B9">
        <w:rPr>
          <w:rFonts w:ascii="Verdana" w:hAnsi="Verdana"/>
          <w:b/>
          <w:i/>
          <w:sz w:val="20"/>
          <w:szCs w:val="20"/>
        </w:rPr>
        <w:t xml:space="preserve"> </w:t>
      </w:r>
      <w:r w:rsidRPr="000B33B9">
        <w:rPr>
          <w:rFonts w:ascii="Verdana" w:hAnsi="Verdana"/>
          <w:sz w:val="20"/>
          <w:szCs w:val="20"/>
        </w:rPr>
        <w:t xml:space="preserve">alegó que no existe sustento fáctico que permita fundamentar de forma adecuada las alegadas afectaciones al derecho a la vida, </w:t>
      </w:r>
      <w:r w:rsidR="006710A8" w:rsidRPr="000B33B9">
        <w:rPr>
          <w:rFonts w:ascii="Verdana" w:hAnsi="Verdana"/>
          <w:sz w:val="20"/>
          <w:szCs w:val="20"/>
        </w:rPr>
        <w:t xml:space="preserve">pues </w:t>
      </w:r>
      <w:r w:rsidRPr="000B33B9">
        <w:rPr>
          <w:rFonts w:ascii="Verdana" w:hAnsi="Verdana"/>
          <w:sz w:val="20"/>
          <w:szCs w:val="20"/>
        </w:rPr>
        <w:t>nunca se dejó de abonar las pensiones que correspondían conforme a l</w:t>
      </w:r>
      <w:r w:rsidR="00326CF7" w:rsidRPr="000B33B9">
        <w:rPr>
          <w:rFonts w:ascii="Verdana" w:hAnsi="Verdana"/>
          <w:sz w:val="20"/>
          <w:szCs w:val="20"/>
        </w:rPr>
        <w:t>a ley a las presuntas víctimas</w:t>
      </w:r>
      <w:r w:rsidRPr="000B33B9">
        <w:rPr>
          <w:rFonts w:ascii="Verdana" w:hAnsi="Verdana"/>
          <w:sz w:val="20"/>
          <w:szCs w:val="20"/>
        </w:rPr>
        <w:t>.</w:t>
      </w:r>
    </w:p>
    <w:p w14:paraId="6D78E66F" w14:textId="77777777" w:rsidR="0038654D" w:rsidRPr="000B33B9" w:rsidRDefault="0038654D" w:rsidP="0038654D">
      <w:pPr>
        <w:pStyle w:val="Prrafodelista"/>
        <w:spacing w:after="0" w:line="240" w:lineRule="auto"/>
        <w:ind w:left="0"/>
        <w:jc w:val="both"/>
        <w:rPr>
          <w:rFonts w:ascii="Verdana" w:hAnsi="Verdana"/>
          <w:sz w:val="20"/>
          <w:szCs w:val="20"/>
        </w:rPr>
      </w:pPr>
    </w:p>
    <w:p w14:paraId="6AE558A6" w14:textId="4BD66F17" w:rsidR="0038654D" w:rsidRPr="000B33B9" w:rsidRDefault="0038654D" w:rsidP="007B74B8">
      <w:pPr>
        <w:pStyle w:val="Prrafodelista"/>
        <w:numPr>
          <w:ilvl w:val="0"/>
          <w:numId w:val="10"/>
        </w:numPr>
        <w:spacing w:after="0" w:line="240" w:lineRule="auto"/>
        <w:ind w:left="0" w:firstLine="0"/>
        <w:jc w:val="both"/>
        <w:rPr>
          <w:rFonts w:ascii="Verdana" w:hAnsi="Verdana"/>
          <w:sz w:val="20"/>
          <w:szCs w:val="20"/>
        </w:rPr>
      </w:pPr>
      <w:r w:rsidRPr="000B33B9">
        <w:rPr>
          <w:rFonts w:ascii="Verdana" w:hAnsi="Verdana"/>
          <w:sz w:val="20"/>
          <w:szCs w:val="20"/>
        </w:rPr>
        <w:t xml:space="preserve">Los </w:t>
      </w:r>
      <w:r w:rsidRPr="000B33B9">
        <w:rPr>
          <w:rFonts w:ascii="Verdana" w:hAnsi="Verdana"/>
          <w:b/>
          <w:i/>
          <w:sz w:val="20"/>
          <w:szCs w:val="20"/>
        </w:rPr>
        <w:t xml:space="preserve">representantes </w:t>
      </w:r>
      <w:r w:rsidRPr="000B33B9">
        <w:rPr>
          <w:rFonts w:ascii="Verdana" w:hAnsi="Verdana"/>
          <w:sz w:val="20"/>
          <w:szCs w:val="20"/>
        </w:rPr>
        <w:t xml:space="preserve">alegaron que </w:t>
      </w:r>
      <w:r w:rsidR="00326CF7" w:rsidRPr="000B33B9">
        <w:rPr>
          <w:rFonts w:ascii="Verdana" w:hAnsi="Verdana"/>
          <w:sz w:val="20"/>
          <w:szCs w:val="20"/>
        </w:rPr>
        <w:t xml:space="preserve">la </w:t>
      </w:r>
      <w:r w:rsidRPr="000B33B9">
        <w:rPr>
          <w:rFonts w:ascii="Verdana" w:hAnsi="Verdana"/>
          <w:sz w:val="20"/>
          <w:szCs w:val="20"/>
        </w:rPr>
        <w:t>Corte ya ha señalado que los derechos económicos, sociales y culturales “deben ser entendidos integralmente y de manera conglobada como derechos humanos, sin jerarquía entre sí y exigibles en todos los casos ante aquellas autoridades que result</w:t>
      </w:r>
      <w:r w:rsidR="00326CF7" w:rsidRPr="000B33B9">
        <w:rPr>
          <w:rFonts w:ascii="Verdana" w:hAnsi="Verdana"/>
          <w:sz w:val="20"/>
          <w:szCs w:val="20"/>
        </w:rPr>
        <w:t>en competentes para ello”. Respecto a</w:t>
      </w:r>
      <w:r w:rsidRPr="000B33B9">
        <w:rPr>
          <w:rFonts w:ascii="Verdana" w:hAnsi="Verdana"/>
          <w:sz w:val="20"/>
          <w:szCs w:val="20"/>
        </w:rPr>
        <w:t xml:space="preserve"> los derechos protegidos en el presente caso, al</w:t>
      </w:r>
      <w:r w:rsidR="00326CF7" w:rsidRPr="000B33B9">
        <w:rPr>
          <w:rFonts w:ascii="Verdana" w:hAnsi="Verdana"/>
          <w:sz w:val="20"/>
          <w:szCs w:val="20"/>
        </w:rPr>
        <w:t>egaron que de la Carta de la Organización de Estados Americanos (en adelante, “Carta de la OEA”) puede</w:t>
      </w:r>
      <w:r w:rsidRPr="000B33B9">
        <w:rPr>
          <w:rFonts w:ascii="Verdana" w:hAnsi="Verdana"/>
          <w:sz w:val="20"/>
          <w:szCs w:val="20"/>
        </w:rPr>
        <w:t xml:space="preserve"> inferirse el derecho a salarios justos, condiciones dignas de trabajo, a la libertad sindical y a la huelga, a la alimentación adecuada, a una vivienda digna, y a participar </w:t>
      </w:r>
      <w:r w:rsidR="00326CF7" w:rsidRPr="000B33B9">
        <w:rPr>
          <w:rFonts w:ascii="Verdana" w:hAnsi="Verdana"/>
          <w:sz w:val="20"/>
          <w:szCs w:val="20"/>
        </w:rPr>
        <w:t>de los beneficios de la cultura</w:t>
      </w:r>
      <w:r w:rsidRPr="000B33B9">
        <w:rPr>
          <w:rFonts w:ascii="Verdana" w:hAnsi="Verdana"/>
          <w:sz w:val="20"/>
          <w:szCs w:val="20"/>
        </w:rPr>
        <w:t>. Asimismo, manifestaron que el derecho a la seguridad social se deriva de la Carta de OEA, lo que incluye no solo el derecho a recibir una pensión de cesantía o jubila</w:t>
      </w:r>
      <w:r w:rsidR="00326CF7" w:rsidRPr="000B33B9">
        <w:rPr>
          <w:rFonts w:ascii="Verdana" w:hAnsi="Verdana"/>
          <w:sz w:val="20"/>
          <w:szCs w:val="20"/>
        </w:rPr>
        <w:t>ción, sino una pensión nivelada</w:t>
      </w:r>
      <w:r w:rsidRPr="000B33B9">
        <w:rPr>
          <w:rFonts w:ascii="Verdana" w:hAnsi="Verdana"/>
          <w:sz w:val="20"/>
          <w:szCs w:val="20"/>
        </w:rPr>
        <w:t>. Asimismo, sostuviero</w:t>
      </w:r>
      <w:r w:rsidR="00935FF1" w:rsidRPr="000B33B9">
        <w:rPr>
          <w:rFonts w:ascii="Verdana" w:hAnsi="Verdana"/>
          <w:sz w:val="20"/>
          <w:szCs w:val="20"/>
        </w:rPr>
        <w:t>n que el Decreto Legislativo</w:t>
      </w:r>
      <w:r w:rsidRPr="000B33B9">
        <w:rPr>
          <w:rFonts w:ascii="Verdana" w:hAnsi="Verdana"/>
          <w:sz w:val="20"/>
          <w:szCs w:val="20"/>
        </w:rPr>
        <w:t xml:space="preserve"> 673 constituyó una regresividad normati</w:t>
      </w:r>
      <w:r w:rsidR="00326CF7" w:rsidRPr="000B33B9">
        <w:rPr>
          <w:rFonts w:ascii="Verdana" w:hAnsi="Verdana"/>
          <w:sz w:val="20"/>
          <w:szCs w:val="20"/>
        </w:rPr>
        <w:t>va en violación del artículo 26</w:t>
      </w:r>
      <w:r w:rsidRPr="000B33B9">
        <w:rPr>
          <w:rFonts w:ascii="Verdana" w:hAnsi="Verdana"/>
          <w:sz w:val="20"/>
          <w:szCs w:val="20"/>
        </w:rPr>
        <w:t>.</w:t>
      </w:r>
      <w:r w:rsidR="00415BB4" w:rsidRPr="000B33B9">
        <w:rPr>
          <w:rFonts w:ascii="Verdana" w:hAnsi="Verdana"/>
          <w:sz w:val="20"/>
          <w:szCs w:val="20"/>
        </w:rPr>
        <w:t xml:space="preserve"> </w:t>
      </w:r>
      <w:r w:rsidRPr="000B33B9">
        <w:rPr>
          <w:rFonts w:ascii="Verdana" w:hAnsi="Verdana"/>
          <w:sz w:val="20"/>
          <w:szCs w:val="20"/>
        </w:rPr>
        <w:t>En relación con el derecho a la vida, los representantes</w:t>
      </w:r>
      <w:r w:rsidRPr="000B33B9">
        <w:rPr>
          <w:rFonts w:ascii="Verdana" w:hAnsi="Verdana"/>
          <w:b/>
          <w:i/>
          <w:sz w:val="20"/>
          <w:szCs w:val="20"/>
        </w:rPr>
        <w:t xml:space="preserve"> </w:t>
      </w:r>
      <w:r w:rsidRPr="000B33B9">
        <w:rPr>
          <w:rFonts w:ascii="Verdana" w:hAnsi="Verdana"/>
          <w:sz w:val="20"/>
          <w:szCs w:val="20"/>
        </w:rPr>
        <w:t>alegaron que al ser el Estado responsable por privar a las presuntas víctimas de sus pensiones también lo es del riesgo que</w:t>
      </w:r>
      <w:r w:rsidR="00326CF7" w:rsidRPr="000B33B9">
        <w:rPr>
          <w:rFonts w:ascii="Verdana" w:hAnsi="Verdana"/>
          <w:sz w:val="20"/>
          <w:szCs w:val="20"/>
        </w:rPr>
        <w:t xml:space="preserve"> generó a la vida de las mismas.</w:t>
      </w:r>
    </w:p>
    <w:p w14:paraId="7B86BB95" w14:textId="77777777" w:rsidR="0038654D" w:rsidRPr="000B33B9" w:rsidRDefault="0038654D" w:rsidP="0038654D">
      <w:pPr>
        <w:pStyle w:val="Prrafodelista"/>
        <w:spacing w:after="0" w:line="240" w:lineRule="auto"/>
        <w:ind w:left="0"/>
        <w:jc w:val="both"/>
        <w:rPr>
          <w:rFonts w:ascii="Verdana" w:hAnsi="Verdana"/>
          <w:sz w:val="20"/>
          <w:szCs w:val="20"/>
        </w:rPr>
      </w:pPr>
    </w:p>
    <w:p w14:paraId="7AD736E4" w14:textId="025279AC" w:rsidR="0038654D" w:rsidRPr="000B33B9" w:rsidRDefault="0038654D" w:rsidP="00CA7A59">
      <w:pPr>
        <w:pStyle w:val="Prrafodelista"/>
        <w:numPr>
          <w:ilvl w:val="0"/>
          <w:numId w:val="10"/>
        </w:numPr>
        <w:spacing w:after="0" w:line="240" w:lineRule="auto"/>
        <w:ind w:left="0" w:firstLine="0"/>
        <w:jc w:val="both"/>
        <w:rPr>
          <w:rFonts w:ascii="Verdana" w:hAnsi="Verdana"/>
          <w:sz w:val="20"/>
          <w:szCs w:val="20"/>
        </w:rPr>
      </w:pPr>
      <w:r w:rsidRPr="000B33B9">
        <w:rPr>
          <w:rFonts w:ascii="Verdana" w:hAnsi="Verdana"/>
          <w:sz w:val="20"/>
          <w:szCs w:val="20"/>
        </w:rPr>
        <w:t xml:space="preserve">La </w:t>
      </w:r>
      <w:r w:rsidRPr="000B33B9">
        <w:rPr>
          <w:rFonts w:ascii="Verdana" w:hAnsi="Verdana"/>
          <w:b/>
          <w:i/>
          <w:sz w:val="20"/>
          <w:szCs w:val="20"/>
        </w:rPr>
        <w:t xml:space="preserve">Comisión </w:t>
      </w:r>
      <w:r w:rsidRPr="000B33B9">
        <w:rPr>
          <w:rFonts w:ascii="Verdana" w:hAnsi="Verdana"/>
          <w:sz w:val="20"/>
          <w:szCs w:val="20"/>
        </w:rPr>
        <w:t xml:space="preserve">observó que la Corte ya ha afirmado su competencia para conocer y resolver controversias relativas a su competencia para conocer violaciones al artículo 26 de la Convención. La Comisión resaltó los argumentos vertidos en las sentencias de los casos de </w:t>
      </w:r>
      <w:r w:rsidRPr="000B33B9">
        <w:rPr>
          <w:rFonts w:ascii="Verdana" w:hAnsi="Verdana"/>
          <w:i/>
          <w:sz w:val="20"/>
          <w:szCs w:val="20"/>
        </w:rPr>
        <w:t xml:space="preserve">Acevedo Buendía y otros Vs. Perú </w:t>
      </w:r>
      <w:r w:rsidRPr="000B33B9">
        <w:rPr>
          <w:rFonts w:ascii="Verdana" w:hAnsi="Verdana"/>
          <w:sz w:val="20"/>
          <w:szCs w:val="20"/>
        </w:rPr>
        <w:t xml:space="preserve">y </w:t>
      </w:r>
      <w:r w:rsidRPr="000B33B9">
        <w:rPr>
          <w:rFonts w:ascii="Verdana" w:hAnsi="Verdana"/>
          <w:i/>
          <w:sz w:val="20"/>
          <w:szCs w:val="20"/>
        </w:rPr>
        <w:t>Petroperú y otros Vs. Perú</w:t>
      </w:r>
      <w:r w:rsidRPr="000B33B9">
        <w:rPr>
          <w:rFonts w:ascii="Verdana" w:hAnsi="Verdana"/>
          <w:sz w:val="20"/>
          <w:szCs w:val="20"/>
        </w:rPr>
        <w:t xml:space="preserve"> en el sentido que la Corte “es competente para decidir si el Estado ha incurrido en una violación o incumplimiento de los derechos reconocidos en la Convención, inclusive en lo concerniente al artículo 26 de la misma”. En ese sentido, expresó que en el caso </w:t>
      </w:r>
      <w:r w:rsidRPr="000B33B9">
        <w:rPr>
          <w:rFonts w:ascii="Verdana" w:hAnsi="Verdana"/>
          <w:i/>
          <w:sz w:val="20"/>
          <w:szCs w:val="20"/>
        </w:rPr>
        <w:t xml:space="preserve">Cuscul Pivaral y otros Vs. Guatemala </w:t>
      </w:r>
      <w:r w:rsidRPr="000B33B9">
        <w:rPr>
          <w:rFonts w:ascii="Verdana" w:hAnsi="Verdana"/>
          <w:sz w:val="20"/>
          <w:szCs w:val="20"/>
        </w:rPr>
        <w:t xml:space="preserve">la Corte afirmó que el artículo 19.2 del </w:t>
      </w:r>
      <w:r w:rsidR="00CA7A59" w:rsidRPr="000B33B9">
        <w:rPr>
          <w:rFonts w:ascii="Verdana" w:hAnsi="Verdana"/>
          <w:sz w:val="20"/>
          <w:szCs w:val="20"/>
        </w:rPr>
        <w:t xml:space="preserve">Protocolo Adicional a la Convención Americana sobre Derechos Humanos en materia de Derechos Económicos, Sociales y Culturales “Protocolo de San Salvador” (en adelante “Protocolo de San Salvador”) </w:t>
      </w:r>
      <w:r w:rsidRPr="000B33B9">
        <w:rPr>
          <w:rFonts w:ascii="Verdana" w:hAnsi="Verdana"/>
          <w:sz w:val="20"/>
          <w:szCs w:val="20"/>
        </w:rPr>
        <w:t>no podía entenderse como una limitante del alcance de la competencia de la Corte respecto del artículo 26 de la Convención. La Comisión</w:t>
      </w:r>
      <w:r w:rsidRPr="000B33B9">
        <w:rPr>
          <w:rFonts w:ascii="Verdana" w:hAnsi="Verdana"/>
          <w:b/>
          <w:i/>
          <w:sz w:val="20"/>
          <w:szCs w:val="20"/>
        </w:rPr>
        <w:t xml:space="preserve"> </w:t>
      </w:r>
      <w:r w:rsidRPr="000B33B9">
        <w:rPr>
          <w:rFonts w:ascii="Verdana" w:hAnsi="Verdana"/>
          <w:sz w:val="20"/>
          <w:szCs w:val="20"/>
        </w:rPr>
        <w:t>no formuló argumentos respecto al alegato sobre la falta de competencia para conocer sobre violaciones al derecho a la vida.</w:t>
      </w:r>
    </w:p>
    <w:p w14:paraId="2D61BB18" w14:textId="77777777" w:rsidR="0038654D" w:rsidRPr="000B33B9" w:rsidRDefault="0038654D" w:rsidP="0038654D">
      <w:pPr>
        <w:spacing w:after="0" w:line="240" w:lineRule="auto"/>
        <w:rPr>
          <w:rFonts w:ascii="Verdana" w:hAnsi="Verdana"/>
          <w:sz w:val="20"/>
          <w:szCs w:val="20"/>
          <w:lang w:val="es-CR"/>
        </w:rPr>
      </w:pPr>
    </w:p>
    <w:p w14:paraId="195361B6" w14:textId="77777777" w:rsidR="0038654D" w:rsidRPr="000B33B9" w:rsidRDefault="0038654D" w:rsidP="00B128F9">
      <w:pPr>
        <w:pStyle w:val="Ttulo3"/>
        <w:numPr>
          <w:ilvl w:val="0"/>
          <w:numId w:val="0"/>
        </w:numPr>
        <w:ind w:left="1353"/>
      </w:pPr>
      <w:bookmarkStart w:id="25" w:name="_Toc27329749"/>
      <w:r w:rsidRPr="000B33B9">
        <w:t>C.2. Consideraciones de la Corte</w:t>
      </w:r>
      <w:bookmarkEnd w:id="25"/>
    </w:p>
    <w:p w14:paraId="2ED83C5D" w14:textId="77777777" w:rsidR="0038654D" w:rsidRPr="000B33B9" w:rsidRDefault="0038654D" w:rsidP="0038654D">
      <w:pPr>
        <w:spacing w:after="0" w:line="240" w:lineRule="auto"/>
        <w:rPr>
          <w:rFonts w:ascii="Verdana" w:hAnsi="Verdana"/>
          <w:sz w:val="20"/>
          <w:szCs w:val="20"/>
        </w:rPr>
      </w:pPr>
    </w:p>
    <w:p w14:paraId="38908CEF" w14:textId="2609C3EB" w:rsidR="0038654D" w:rsidRPr="000B33B9" w:rsidRDefault="0038654D" w:rsidP="007B74B8">
      <w:pPr>
        <w:pStyle w:val="Prrafodelista"/>
        <w:widowControl w:val="0"/>
        <w:numPr>
          <w:ilvl w:val="0"/>
          <w:numId w:val="10"/>
        </w:numPr>
        <w:autoSpaceDE w:val="0"/>
        <w:autoSpaceDN w:val="0"/>
        <w:adjustRightInd w:val="0"/>
        <w:spacing w:after="0" w:line="240" w:lineRule="auto"/>
        <w:ind w:left="0" w:firstLine="0"/>
        <w:jc w:val="both"/>
        <w:rPr>
          <w:rFonts w:ascii="Verdana" w:hAnsi="Verdana"/>
          <w:sz w:val="20"/>
          <w:szCs w:val="20"/>
        </w:rPr>
      </w:pPr>
      <w:r w:rsidRPr="000B33B9">
        <w:rPr>
          <w:rFonts w:ascii="Verdana" w:hAnsi="Verdana"/>
          <w:sz w:val="20"/>
          <w:szCs w:val="20"/>
        </w:rPr>
        <w:t>La Corte recuerda que, como todo órgano jurisdiccional, tiene el poder inherente a sus atribuciones para determinar el alcance de su propia competencia</w:t>
      </w:r>
      <w:r w:rsidRPr="000B33B9">
        <w:rPr>
          <w:rFonts w:ascii="Verdana" w:hAnsi="Verdana" w:cs="Verdana"/>
          <w:sz w:val="20"/>
          <w:szCs w:val="20"/>
        </w:rPr>
        <w:t xml:space="preserve"> </w:t>
      </w:r>
      <w:r w:rsidRPr="000B33B9">
        <w:rPr>
          <w:rFonts w:ascii="Verdana" w:eastAsia="Times" w:hAnsi="Verdana"/>
          <w:sz w:val="20"/>
          <w:szCs w:val="20"/>
        </w:rPr>
        <w:t>(</w:t>
      </w:r>
      <w:r w:rsidRPr="000B33B9">
        <w:rPr>
          <w:rFonts w:ascii="Verdana" w:eastAsia="Times" w:hAnsi="Verdana"/>
          <w:i/>
          <w:sz w:val="20"/>
          <w:szCs w:val="20"/>
        </w:rPr>
        <w:t>compétence de la compétence</w:t>
      </w:r>
      <w:r w:rsidRPr="000B33B9">
        <w:rPr>
          <w:rFonts w:ascii="Verdana" w:eastAsia="Times" w:hAnsi="Verdana"/>
          <w:sz w:val="20"/>
          <w:szCs w:val="20"/>
        </w:rPr>
        <w:t>)</w:t>
      </w:r>
      <w:r w:rsidRPr="000B33B9">
        <w:rPr>
          <w:rFonts w:ascii="Verdana" w:hAnsi="Verdana" w:cs="Verdana"/>
          <w:sz w:val="20"/>
          <w:szCs w:val="20"/>
        </w:rPr>
        <w:t>. Para hacer dicha determinación, la Corte debe tener en cuenta que los instrumentos de reconocimiento de la cláusula facultativa de la jurisdicción obligatoria (artículo 62.1 de la Convención) presuponen la admisión, por los Estados que la presentan, del derecho de la Corte a resolver cualquier controversia relativa a su jurisdicción</w:t>
      </w:r>
      <w:r w:rsidRPr="000B33B9">
        <w:rPr>
          <w:rStyle w:val="Refdenotaalpie"/>
          <w:rFonts w:ascii="Verdana" w:hAnsi="Verdana" w:cs="Verdana"/>
          <w:sz w:val="20"/>
          <w:szCs w:val="20"/>
        </w:rPr>
        <w:footnoteReference w:id="19"/>
      </w:r>
      <w:r w:rsidRPr="000B33B9">
        <w:rPr>
          <w:rFonts w:ascii="Verdana" w:hAnsi="Verdana" w:cs="Verdana"/>
          <w:sz w:val="20"/>
          <w:szCs w:val="20"/>
        </w:rPr>
        <w:t xml:space="preserve">. Además, el Tribunal </w:t>
      </w:r>
      <w:r w:rsidRPr="000B33B9">
        <w:rPr>
          <w:rFonts w:ascii="Verdana" w:hAnsi="Verdana"/>
          <w:sz w:val="20"/>
          <w:szCs w:val="20"/>
        </w:rPr>
        <w:t>ha afirmado su competencia para conocer y resolver controversias relativas al artículo 26 de la Convención Americana, como parte integrante de los derechos enumerados en la misma, respecto de los cuales el artículo 1.1 confiere obligaciones de respeto y garantía a los Estados</w:t>
      </w:r>
      <w:r w:rsidRPr="000B33B9">
        <w:rPr>
          <w:rFonts w:ascii="Verdana" w:hAnsi="Verdana"/>
          <w:bCs/>
          <w:sz w:val="20"/>
          <w:szCs w:val="20"/>
          <w:vertAlign w:val="superscript"/>
        </w:rPr>
        <w:footnoteReference w:id="20"/>
      </w:r>
      <w:r w:rsidRPr="000B33B9">
        <w:rPr>
          <w:rFonts w:ascii="Verdana" w:hAnsi="Verdana"/>
          <w:sz w:val="20"/>
          <w:szCs w:val="20"/>
        </w:rPr>
        <w:t>.</w:t>
      </w:r>
    </w:p>
    <w:p w14:paraId="1C7B7BCD" w14:textId="77777777" w:rsidR="0038654D" w:rsidRPr="000B33B9" w:rsidRDefault="0038654D" w:rsidP="0038654D">
      <w:pPr>
        <w:pStyle w:val="Prrafodelista"/>
        <w:widowControl w:val="0"/>
        <w:autoSpaceDE w:val="0"/>
        <w:autoSpaceDN w:val="0"/>
        <w:adjustRightInd w:val="0"/>
        <w:spacing w:after="0" w:line="240" w:lineRule="auto"/>
        <w:ind w:left="0"/>
        <w:jc w:val="both"/>
        <w:rPr>
          <w:rFonts w:ascii="Verdana" w:hAnsi="Verdana"/>
          <w:sz w:val="20"/>
          <w:szCs w:val="20"/>
        </w:rPr>
      </w:pPr>
    </w:p>
    <w:p w14:paraId="48492C2F" w14:textId="79EA6ADB" w:rsidR="0038654D" w:rsidRPr="000B33B9" w:rsidRDefault="0038654D" w:rsidP="007B74B8">
      <w:pPr>
        <w:pStyle w:val="Prrafodelista"/>
        <w:widowControl w:val="0"/>
        <w:numPr>
          <w:ilvl w:val="0"/>
          <w:numId w:val="10"/>
        </w:numPr>
        <w:autoSpaceDE w:val="0"/>
        <w:autoSpaceDN w:val="0"/>
        <w:adjustRightInd w:val="0"/>
        <w:spacing w:after="0" w:line="240" w:lineRule="auto"/>
        <w:ind w:left="0" w:firstLine="0"/>
        <w:jc w:val="both"/>
        <w:rPr>
          <w:rFonts w:ascii="Verdana" w:hAnsi="Verdana"/>
          <w:sz w:val="20"/>
          <w:szCs w:val="20"/>
        </w:rPr>
      </w:pPr>
      <w:r w:rsidRPr="000B33B9">
        <w:rPr>
          <w:rFonts w:ascii="Verdana" w:hAnsi="Verdana"/>
          <w:sz w:val="20"/>
          <w:szCs w:val="20"/>
        </w:rPr>
        <w:t xml:space="preserve">Este Tribunal ha señalado que </w:t>
      </w:r>
      <w:r w:rsidRPr="000B33B9">
        <w:rPr>
          <w:rFonts w:ascii="Verdana" w:hAnsi="Verdana" w:cs="Verdana"/>
          <w:sz w:val="20"/>
          <w:szCs w:val="20"/>
        </w:rPr>
        <w:t xml:space="preserve">una interpretación literal, </w:t>
      </w:r>
      <w:r w:rsidRPr="000B33B9">
        <w:rPr>
          <w:rFonts w:ascii="Verdana" w:hAnsi="Verdana"/>
          <w:sz w:val="20"/>
          <w:szCs w:val="20"/>
        </w:rPr>
        <w:t xml:space="preserve">sistemática, teleológica y evolutiva </w:t>
      </w:r>
      <w:r w:rsidRPr="000B33B9">
        <w:rPr>
          <w:rFonts w:ascii="Verdana" w:hAnsi="Verdana" w:cs="Verdana"/>
          <w:sz w:val="20"/>
          <w:szCs w:val="20"/>
        </w:rPr>
        <w:t>respecto al alcance de su competencia permite concluir que</w:t>
      </w:r>
      <w:r w:rsidRPr="000B33B9">
        <w:rPr>
          <w:rFonts w:ascii="Verdana" w:hAnsi="Verdana"/>
          <w:sz w:val="20"/>
          <w:szCs w:val="20"/>
        </w:rPr>
        <w:t xml:space="preserve"> </w:t>
      </w:r>
      <w:r w:rsidRPr="000B33B9">
        <w:rPr>
          <w:rFonts w:ascii="Verdana" w:eastAsia="Times" w:hAnsi="Verdana" w:cs="Arial"/>
          <w:sz w:val="20"/>
          <w:szCs w:val="20"/>
          <w:lang w:val="es-CR"/>
        </w:rPr>
        <w:t xml:space="preserve">“el artículo 26 de la Convención Americana protege aquellos derechos que derivan de las normas económicas, sociales y de educación, ciencia y cultura contenidas en la Carta de la OEA. Los alcances de estos derechos deben ser entendidos en relación con el resto de las demás cláusulas de la Convención Americana, por lo que están sujetos a las obligaciones generales contenidas en los artículos 1.1 y 2 de la Convención y pueden ser sujetos de supervisión por parte de este Tribunal en términos de los artículos 62 y 63 del mismo instrumento. Esta conclusión se fundamenta no sólo en cuestiones formales, sino que resulta de la interdependencia e indivisibilidad de los derechos civiles y políticos y los derechos económicos, sociales, culturales y ambientales, así como de su compatibilidad con el objeto y fin de la Convención, que es la protección de los derechos fundamentales de los seres humanos. </w:t>
      </w:r>
      <w:r w:rsidRPr="000B33B9">
        <w:rPr>
          <w:rFonts w:ascii="Verdana" w:eastAsia="Times" w:hAnsi="Verdana" w:cs="Arial"/>
          <w:sz w:val="20"/>
          <w:szCs w:val="20"/>
        </w:rPr>
        <w:t>Corresponderá, en cada caso concreto que requiera un análisis de DESCA, determinar si de la Carta de la OEA se deriva explícita o implícitamente un derecho humano protegido por el artículo 26 de la Convención Americana, así como los alcances de dicha protección”</w:t>
      </w:r>
      <w:r w:rsidRPr="000B33B9">
        <w:rPr>
          <w:rStyle w:val="Refdenotaalpie"/>
          <w:rFonts w:ascii="Verdana" w:eastAsia="Times" w:hAnsi="Verdana"/>
          <w:sz w:val="20"/>
          <w:szCs w:val="20"/>
        </w:rPr>
        <w:footnoteReference w:id="21"/>
      </w:r>
      <w:r w:rsidRPr="000B33B9">
        <w:rPr>
          <w:rFonts w:ascii="Verdana" w:eastAsia="Times" w:hAnsi="Verdana" w:cs="Arial"/>
          <w:sz w:val="20"/>
          <w:szCs w:val="20"/>
        </w:rPr>
        <w:t>.</w:t>
      </w:r>
    </w:p>
    <w:p w14:paraId="3A30D034" w14:textId="77777777" w:rsidR="0038654D" w:rsidRPr="000B33B9" w:rsidRDefault="0038654D" w:rsidP="0038654D">
      <w:pPr>
        <w:pStyle w:val="Prrafodelista"/>
        <w:widowControl w:val="0"/>
        <w:autoSpaceDE w:val="0"/>
        <w:autoSpaceDN w:val="0"/>
        <w:adjustRightInd w:val="0"/>
        <w:spacing w:after="0" w:line="240" w:lineRule="auto"/>
        <w:ind w:left="0"/>
        <w:jc w:val="both"/>
        <w:rPr>
          <w:rFonts w:ascii="Verdana" w:hAnsi="Verdana"/>
          <w:sz w:val="20"/>
          <w:szCs w:val="20"/>
        </w:rPr>
      </w:pPr>
    </w:p>
    <w:p w14:paraId="7DB03F84" w14:textId="2FD46849" w:rsidR="0038654D" w:rsidRPr="000B33B9" w:rsidRDefault="0038654D" w:rsidP="007B74B8">
      <w:pPr>
        <w:pStyle w:val="Prrafodelista"/>
        <w:widowControl w:val="0"/>
        <w:numPr>
          <w:ilvl w:val="0"/>
          <w:numId w:val="10"/>
        </w:numPr>
        <w:autoSpaceDE w:val="0"/>
        <w:autoSpaceDN w:val="0"/>
        <w:adjustRightInd w:val="0"/>
        <w:spacing w:after="0" w:line="240" w:lineRule="auto"/>
        <w:ind w:left="0" w:firstLine="0"/>
        <w:jc w:val="both"/>
        <w:rPr>
          <w:rFonts w:ascii="Verdana" w:hAnsi="Verdana"/>
          <w:sz w:val="20"/>
          <w:szCs w:val="20"/>
        </w:rPr>
      </w:pPr>
      <w:r w:rsidRPr="000B33B9">
        <w:rPr>
          <w:rFonts w:ascii="Verdana" w:hAnsi="Verdana"/>
          <w:sz w:val="20"/>
          <w:szCs w:val="20"/>
        </w:rPr>
        <w:t xml:space="preserve">En el caso </w:t>
      </w:r>
      <w:r w:rsidRPr="000B33B9">
        <w:rPr>
          <w:rFonts w:ascii="Verdana" w:hAnsi="Verdana"/>
          <w:i/>
          <w:sz w:val="20"/>
          <w:szCs w:val="20"/>
        </w:rPr>
        <w:t>Muelle Flores Vs. Perú</w:t>
      </w:r>
      <w:r w:rsidRPr="000B33B9">
        <w:rPr>
          <w:rFonts w:ascii="Verdana" w:hAnsi="Verdana"/>
          <w:sz w:val="20"/>
          <w:szCs w:val="20"/>
        </w:rPr>
        <w:t>, la Corte advirtió que el derecho a la seguridad social se deriva de una lectura integral de los artículos 3.j), 45.b), 45.h) y 46 de la Carta de la OEA</w:t>
      </w:r>
      <w:r w:rsidRPr="000B33B9">
        <w:rPr>
          <w:rStyle w:val="Refdenotaalpie"/>
          <w:rFonts w:ascii="Verdana" w:hAnsi="Verdana"/>
          <w:sz w:val="20"/>
          <w:szCs w:val="20"/>
        </w:rPr>
        <w:footnoteReference w:id="22"/>
      </w:r>
      <w:r w:rsidRPr="000B33B9">
        <w:rPr>
          <w:rFonts w:ascii="Verdana" w:hAnsi="Verdana"/>
          <w:sz w:val="20"/>
          <w:szCs w:val="20"/>
        </w:rPr>
        <w:t xml:space="preserve">. Adicionalmente, </w:t>
      </w:r>
      <w:r w:rsidRPr="000B33B9">
        <w:rPr>
          <w:rFonts w:ascii="Verdana" w:hAnsi="Verdana"/>
          <w:sz w:val="20"/>
          <w:szCs w:val="20"/>
          <w:lang w:val="es-CR"/>
        </w:rPr>
        <w:t xml:space="preserve">la Corte señaló que existe una referencia </w:t>
      </w:r>
      <w:r w:rsidR="005567D5" w:rsidRPr="000B33B9">
        <w:rPr>
          <w:rFonts w:ascii="Verdana" w:hAnsi="Verdana"/>
          <w:sz w:val="20"/>
          <w:szCs w:val="20"/>
          <w:lang w:val="es-CR"/>
        </w:rPr>
        <w:t>al</w:t>
      </w:r>
      <w:r w:rsidRPr="000B33B9">
        <w:rPr>
          <w:rFonts w:ascii="Verdana" w:hAnsi="Verdana"/>
          <w:sz w:val="20"/>
          <w:szCs w:val="20"/>
          <w:lang w:val="es-CR"/>
        </w:rPr>
        <w:t xml:space="preserve"> derecho a la seguridad social</w:t>
      </w:r>
      <w:r w:rsidR="005567D5" w:rsidRPr="000B33B9">
        <w:rPr>
          <w:rFonts w:ascii="Verdana" w:hAnsi="Verdana"/>
          <w:sz w:val="20"/>
          <w:szCs w:val="20"/>
          <w:lang w:val="es-CR"/>
        </w:rPr>
        <w:t xml:space="preserve"> con el suficiente grado de especificidad</w:t>
      </w:r>
      <w:r w:rsidRPr="000B33B9">
        <w:rPr>
          <w:rFonts w:ascii="Verdana" w:hAnsi="Verdana"/>
          <w:sz w:val="20"/>
          <w:szCs w:val="20"/>
          <w:lang w:val="es-CR"/>
        </w:rPr>
        <w:t xml:space="preserve"> para derivar su existencia y reconocimiento implícito en la Carta de la OEA. En particular, manifestó que de los distintos enunciados se deduce que el derecho a la seguridad social tiene como finalidad asegurar a las personas una vida, salud y niveles económicos decorosos en su vejez, o ante eventos que las priven de su posibilidad de trabajar, es decir en relación con eventos futuros que podrían afectar el nivel y calidad de sus vidas.</w:t>
      </w:r>
      <w:r w:rsidRPr="000B33B9">
        <w:rPr>
          <w:rFonts w:ascii="Verdana" w:eastAsia="Times" w:hAnsi="Verdana" w:cs="Arial"/>
          <w:sz w:val="20"/>
          <w:szCs w:val="20"/>
        </w:rPr>
        <w:t xml:space="preserve"> </w:t>
      </w:r>
      <w:r w:rsidRPr="000B33B9">
        <w:rPr>
          <w:rFonts w:ascii="Verdana" w:hAnsi="Verdana"/>
          <w:sz w:val="20"/>
          <w:szCs w:val="20"/>
        </w:rPr>
        <w:t>En vista de lo anterior, la Corte consideró que el derecho a la seguridad social es un derecho protegido por el artículo 26 de la Convención</w:t>
      </w:r>
      <w:r w:rsidRPr="000B33B9">
        <w:rPr>
          <w:rStyle w:val="Refdenotaalpie"/>
          <w:rFonts w:ascii="Verdana" w:hAnsi="Verdana"/>
          <w:sz w:val="20"/>
          <w:szCs w:val="20"/>
        </w:rPr>
        <w:footnoteReference w:id="23"/>
      </w:r>
      <w:r w:rsidRPr="000B33B9">
        <w:rPr>
          <w:rFonts w:ascii="Verdana" w:hAnsi="Verdana"/>
          <w:sz w:val="20"/>
          <w:szCs w:val="20"/>
        </w:rPr>
        <w:t>.</w:t>
      </w:r>
    </w:p>
    <w:p w14:paraId="6D81A8FB" w14:textId="77777777" w:rsidR="0038654D" w:rsidRPr="000B33B9" w:rsidRDefault="0038654D" w:rsidP="0038654D">
      <w:pPr>
        <w:pStyle w:val="Prrafodelista"/>
        <w:widowControl w:val="0"/>
        <w:autoSpaceDE w:val="0"/>
        <w:autoSpaceDN w:val="0"/>
        <w:adjustRightInd w:val="0"/>
        <w:spacing w:after="0" w:line="240" w:lineRule="auto"/>
        <w:ind w:left="0"/>
        <w:jc w:val="both"/>
        <w:rPr>
          <w:rFonts w:ascii="Verdana" w:hAnsi="Verdana"/>
          <w:sz w:val="20"/>
          <w:szCs w:val="20"/>
        </w:rPr>
      </w:pPr>
    </w:p>
    <w:p w14:paraId="223C931B" w14:textId="3B2A6CAE" w:rsidR="0038654D" w:rsidRPr="000B33B9" w:rsidRDefault="0038654D" w:rsidP="007B74B8">
      <w:pPr>
        <w:pStyle w:val="Prrafodelista"/>
        <w:widowControl w:val="0"/>
        <w:numPr>
          <w:ilvl w:val="0"/>
          <w:numId w:val="10"/>
        </w:numPr>
        <w:autoSpaceDE w:val="0"/>
        <w:autoSpaceDN w:val="0"/>
        <w:adjustRightInd w:val="0"/>
        <w:spacing w:after="0" w:line="240" w:lineRule="auto"/>
        <w:ind w:left="0" w:firstLine="0"/>
        <w:jc w:val="both"/>
        <w:rPr>
          <w:rFonts w:ascii="Verdana" w:hAnsi="Verdana"/>
          <w:sz w:val="20"/>
          <w:szCs w:val="20"/>
        </w:rPr>
      </w:pPr>
      <w:r w:rsidRPr="000B33B9">
        <w:rPr>
          <w:rFonts w:ascii="Verdana" w:hAnsi="Verdana"/>
          <w:sz w:val="20"/>
          <w:szCs w:val="20"/>
        </w:rPr>
        <w:t xml:space="preserve">En relación con </w:t>
      </w:r>
      <w:r w:rsidR="008C5235" w:rsidRPr="000B33B9">
        <w:rPr>
          <w:rFonts w:ascii="Verdana" w:hAnsi="Verdana"/>
          <w:sz w:val="20"/>
          <w:szCs w:val="20"/>
        </w:rPr>
        <w:t xml:space="preserve">el </w:t>
      </w:r>
      <w:r w:rsidRPr="000B33B9">
        <w:rPr>
          <w:rFonts w:ascii="Verdana" w:hAnsi="Verdana"/>
          <w:sz w:val="20"/>
          <w:szCs w:val="20"/>
        </w:rPr>
        <w:t xml:space="preserve">alegato del Estado sobre la falta de competencia para conocer sobre violaciones al derecho a la vida, la Corte advierte que uno de los </w:t>
      </w:r>
      <w:r w:rsidR="008C5235" w:rsidRPr="000B33B9">
        <w:rPr>
          <w:rFonts w:ascii="Verdana" w:hAnsi="Verdana"/>
          <w:sz w:val="20"/>
          <w:szCs w:val="20"/>
        </w:rPr>
        <w:t xml:space="preserve">argumentos </w:t>
      </w:r>
      <w:r w:rsidRPr="000B33B9">
        <w:rPr>
          <w:rFonts w:ascii="Verdana" w:hAnsi="Verdana"/>
          <w:sz w:val="20"/>
          <w:szCs w:val="20"/>
        </w:rPr>
        <w:t>de los representantes en el presente caso se dirige a cuestionar si la alegada falta de cumplimiento de la sentencia de 25 de octubre de 1993 generó una afectación al derecho a la vida digna en términos del artículo 4.1 de la Convención Americana. Asimismo, el Tribunal recuerda que las presuntas víctimas o sus representantes pueden invocar la violación de otros derechos distintos a los ya comprendidos en el Informe de Fondo, siempre que se deriven de los hechos presentados por la Comisión</w:t>
      </w:r>
      <w:r w:rsidR="00AF79A9" w:rsidRPr="000B33B9">
        <w:rPr>
          <w:rStyle w:val="Refdenotaalpie"/>
          <w:rFonts w:ascii="Verdana" w:hAnsi="Verdana"/>
          <w:sz w:val="20"/>
          <w:szCs w:val="20"/>
        </w:rPr>
        <w:footnoteReference w:id="24"/>
      </w:r>
      <w:r w:rsidRPr="000B33B9">
        <w:rPr>
          <w:rFonts w:ascii="Verdana" w:hAnsi="Verdana"/>
          <w:sz w:val="20"/>
          <w:szCs w:val="20"/>
        </w:rPr>
        <w:t xml:space="preserve">. De esta forma, por las razones expuestas anteriormente, la Corte considera que los alegatos del Estado no tienen el carácter de preliminar, por lo que su análisis corresponde a una cuestión de fondo. </w:t>
      </w:r>
    </w:p>
    <w:p w14:paraId="08E43845" w14:textId="77777777" w:rsidR="0038654D" w:rsidRPr="000B33B9" w:rsidRDefault="0038654D" w:rsidP="0038654D">
      <w:pPr>
        <w:pStyle w:val="Prrafodelista"/>
        <w:widowControl w:val="0"/>
        <w:autoSpaceDE w:val="0"/>
        <w:autoSpaceDN w:val="0"/>
        <w:adjustRightInd w:val="0"/>
        <w:spacing w:after="0" w:line="240" w:lineRule="auto"/>
        <w:ind w:left="0"/>
        <w:jc w:val="both"/>
        <w:rPr>
          <w:rFonts w:ascii="Verdana" w:hAnsi="Verdana"/>
          <w:sz w:val="20"/>
          <w:szCs w:val="20"/>
        </w:rPr>
      </w:pPr>
    </w:p>
    <w:p w14:paraId="364F7127" w14:textId="77777777" w:rsidR="0038654D" w:rsidRPr="000B33B9" w:rsidRDefault="0038654D" w:rsidP="007B74B8">
      <w:pPr>
        <w:pStyle w:val="Prrafodelista"/>
        <w:widowControl w:val="0"/>
        <w:numPr>
          <w:ilvl w:val="0"/>
          <w:numId w:val="10"/>
        </w:numPr>
        <w:autoSpaceDE w:val="0"/>
        <w:autoSpaceDN w:val="0"/>
        <w:adjustRightInd w:val="0"/>
        <w:spacing w:after="0" w:line="240" w:lineRule="auto"/>
        <w:ind w:left="0" w:firstLine="0"/>
        <w:jc w:val="both"/>
        <w:rPr>
          <w:rFonts w:ascii="Verdana" w:hAnsi="Verdana"/>
          <w:sz w:val="20"/>
          <w:szCs w:val="20"/>
        </w:rPr>
      </w:pPr>
      <w:r w:rsidRPr="000B33B9">
        <w:rPr>
          <w:rFonts w:ascii="Verdana" w:hAnsi="Verdana"/>
          <w:sz w:val="20"/>
          <w:szCs w:val="20"/>
          <w:lang w:val="es-CR"/>
        </w:rPr>
        <w:t>En razón de lo anteriormente expuesto,</w:t>
      </w:r>
      <w:r w:rsidRPr="000B33B9">
        <w:rPr>
          <w:rFonts w:ascii="Verdana" w:eastAsia="Verdana" w:hAnsi="Verdana" w:cs="Verdana"/>
          <w:sz w:val="20"/>
          <w:szCs w:val="20"/>
          <w:lang w:val="es-PE"/>
        </w:rPr>
        <w:t xml:space="preserve"> el Tribunal </w:t>
      </w:r>
      <w:r w:rsidRPr="000B33B9">
        <w:rPr>
          <w:rFonts w:ascii="Verdana" w:hAnsi="Verdana"/>
          <w:color w:val="000000"/>
          <w:sz w:val="20"/>
          <w:szCs w:val="20"/>
          <w:lang w:val="es-ES"/>
        </w:rPr>
        <w:t>desestima la excepción preliminar presentada por el Estado, por lo que se pronunciará sobre el fondo del asunto en el apartado correspondiente.</w:t>
      </w:r>
    </w:p>
    <w:p w14:paraId="5CBA51DE" w14:textId="35359362" w:rsidR="0038654D" w:rsidRPr="000B33B9" w:rsidRDefault="0038654D" w:rsidP="00196D41">
      <w:pPr>
        <w:pStyle w:val="Prrafodelista"/>
        <w:spacing w:after="0" w:line="240" w:lineRule="auto"/>
        <w:ind w:left="0" w:right="49"/>
        <w:jc w:val="both"/>
        <w:rPr>
          <w:rFonts w:ascii="Verdana" w:hAnsi="Verdana"/>
          <w:sz w:val="20"/>
          <w:szCs w:val="20"/>
        </w:rPr>
      </w:pPr>
    </w:p>
    <w:p w14:paraId="0745AA59" w14:textId="45BD22EB" w:rsidR="003A17A6" w:rsidRPr="000B33B9" w:rsidRDefault="003A17A6" w:rsidP="003A17A6">
      <w:pPr>
        <w:keepNext/>
        <w:keepLines/>
        <w:tabs>
          <w:tab w:val="left" w:pos="851"/>
        </w:tabs>
        <w:spacing w:after="0" w:line="240" w:lineRule="auto"/>
        <w:jc w:val="center"/>
        <w:outlineLvl w:val="0"/>
        <w:rPr>
          <w:rFonts w:ascii="Verdana" w:eastAsia="Times New Roman" w:hAnsi="Verdana" w:cs="Times New Roman"/>
          <w:b/>
          <w:bCs/>
          <w:caps/>
          <w:snapToGrid w:val="0"/>
          <w:sz w:val="20"/>
          <w:szCs w:val="20"/>
          <w:lang w:val="es-ES_tradnl"/>
        </w:rPr>
      </w:pPr>
      <w:bookmarkStart w:id="26" w:name="_Toc27329750"/>
      <w:r w:rsidRPr="000B33B9">
        <w:rPr>
          <w:rFonts w:ascii="Verdana" w:eastAsia="Times New Roman" w:hAnsi="Verdana" w:cs="Verdana"/>
          <w:b/>
          <w:bCs/>
          <w:caps/>
          <w:snapToGrid w:val="0"/>
          <w:sz w:val="20"/>
          <w:szCs w:val="20"/>
          <w:lang w:val="es-ES_tradnl"/>
        </w:rPr>
        <w:t>V</w:t>
      </w:r>
      <w:r w:rsidRPr="000B33B9">
        <w:rPr>
          <w:rFonts w:ascii="Verdana" w:eastAsia="Times New Roman" w:hAnsi="Verdana" w:cs="Verdana"/>
          <w:b/>
          <w:bCs/>
          <w:caps/>
          <w:snapToGrid w:val="0"/>
          <w:sz w:val="20"/>
          <w:szCs w:val="20"/>
          <w:lang w:val="es-ES_tradnl"/>
        </w:rPr>
        <w:br/>
      </w:r>
      <w:r w:rsidR="00CB7833" w:rsidRPr="000B33B9">
        <w:rPr>
          <w:rFonts w:ascii="Verdana" w:eastAsia="Times New Roman" w:hAnsi="Verdana" w:cs="Times New Roman"/>
          <w:b/>
          <w:bCs/>
          <w:caps/>
          <w:snapToGrid w:val="0"/>
          <w:sz w:val="20"/>
          <w:szCs w:val="20"/>
          <w:lang w:val="es-ES_tradnl"/>
        </w:rPr>
        <w:t>ConsideraciÓN previa</w:t>
      </w:r>
      <w:bookmarkEnd w:id="26"/>
    </w:p>
    <w:p w14:paraId="0DE643A9" w14:textId="77777777" w:rsidR="003A17A6" w:rsidRPr="000B33B9" w:rsidRDefault="003A17A6" w:rsidP="00196D41">
      <w:pPr>
        <w:pStyle w:val="Prrafodelista"/>
        <w:spacing w:after="0" w:line="240" w:lineRule="auto"/>
        <w:ind w:left="0" w:right="49"/>
        <w:jc w:val="both"/>
        <w:rPr>
          <w:rFonts w:ascii="Verdana" w:hAnsi="Verdana"/>
          <w:sz w:val="20"/>
          <w:szCs w:val="20"/>
        </w:rPr>
      </w:pPr>
    </w:p>
    <w:p w14:paraId="398845B8" w14:textId="77777777" w:rsidR="003A17A6" w:rsidRPr="000B33B9" w:rsidRDefault="003A17A6" w:rsidP="007B74B8">
      <w:pPr>
        <w:pStyle w:val="Ttulo2"/>
        <w:keepNext w:val="0"/>
        <w:keepLines w:val="0"/>
        <w:widowControl/>
        <w:numPr>
          <w:ilvl w:val="0"/>
          <w:numId w:val="18"/>
        </w:numPr>
        <w:adjustRightInd/>
        <w:contextualSpacing/>
        <w:jc w:val="left"/>
        <w:textAlignment w:val="auto"/>
        <w:rPr>
          <w:rFonts w:eastAsia="Times New Roman"/>
        </w:rPr>
      </w:pPr>
      <w:bookmarkStart w:id="27" w:name="_Toc27329751"/>
      <w:r w:rsidRPr="000B33B9">
        <w:t>Determinación de víctimas</w:t>
      </w:r>
      <w:bookmarkEnd w:id="27"/>
      <w:r w:rsidRPr="000B33B9">
        <w:t xml:space="preserve"> </w:t>
      </w:r>
    </w:p>
    <w:p w14:paraId="3BE781A8" w14:textId="77777777" w:rsidR="003A17A6" w:rsidRPr="000B33B9" w:rsidRDefault="003A17A6" w:rsidP="003A17A6">
      <w:pPr>
        <w:spacing w:after="0" w:line="240" w:lineRule="auto"/>
        <w:jc w:val="both"/>
        <w:rPr>
          <w:rFonts w:ascii="Verdana" w:hAnsi="Verdana"/>
          <w:sz w:val="20"/>
          <w:szCs w:val="20"/>
          <w:lang w:val="es-CR"/>
        </w:rPr>
      </w:pPr>
    </w:p>
    <w:p w14:paraId="3B65CD64" w14:textId="41827FF5" w:rsidR="003A17A6" w:rsidRPr="000B33B9" w:rsidRDefault="003A17A6" w:rsidP="003A17A6">
      <w:pPr>
        <w:pStyle w:val="Ttulo3"/>
      </w:pPr>
      <w:bookmarkStart w:id="28" w:name="_Toc27329752"/>
      <w:r w:rsidRPr="000B33B9">
        <w:t>Alegatos del Estado y observaciones de la Comisión y de los representantes</w:t>
      </w:r>
      <w:bookmarkEnd w:id="28"/>
    </w:p>
    <w:p w14:paraId="4B855A7B" w14:textId="77777777" w:rsidR="003A17A6" w:rsidRPr="000B33B9" w:rsidRDefault="003A17A6" w:rsidP="003A17A6">
      <w:pPr>
        <w:spacing w:after="0" w:line="240" w:lineRule="auto"/>
        <w:jc w:val="both"/>
        <w:rPr>
          <w:rFonts w:ascii="Verdana" w:hAnsi="Verdana"/>
          <w:sz w:val="20"/>
          <w:szCs w:val="20"/>
        </w:rPr>
      </w:pPr>
    </w:p>
    <w:p w14:paraId="55ED02C4" w14:textId="658BBA70" w:rsidR="003A17A6" w:rsidRPr="000B33B9" w:rsidRDefault="003A17A6" w:rsidP="007B74B8">
      <w:pPr>
        <w:pStyle w:val="Prrafodelista"/>
        <w:numPr>
          <w:ilvl w:val="0"/>
          <w:numId w:val="10"/>
        </w:numPr>
        <w:spacing w:after="0" w:line="240" w:lineRule="auto"/>
        <w:ind w:left="0" w:firstLine="0"/>
        <w:jc w:val="both"/>
        <w:rPr>
          <w:rFonts w:ascii="Verdana" w:hAnsi="Verdana"/>
          <w:sz w:val="20"/>
          <w:szCs w:val="20"/>
        </w:rPr>
      </w:pPr>
      <w:r w:rsidRPr="000B33B9">
        <w:rPr>
          <w:rFonts w:ascii="Verdana" w:hAnsi="Verdana"/>
          <w:sz w:val="20"/>
          <w:szCs w:val="20"/>
        </w:rPr>
        <w:t xml:space="preserve">El </w:t>
      </w:r>
      <w:r w:rsidRPr="000B33B9">
        <w:rPr>
          <w:rFonts w:ascii="Verdana" w:hAnsi="Verdana"/>
          <w:b/>
          <w:i/>
          <w:sz w:val="20"/>
          <w:szCs w:val="20"/>
        </w:rPr>
        <w:t>Estado</w:t>
      </w:r>
      <w:r w:rsidRPr="000B33B9">
        <w:rPr>
          <w:rFonts w:ascii="Verdana" w:hAnsi="Verdana"/>
          <w:sz w:val="20"/>
          <w:szCs w:val="20"/>
        </w:rPr>
        <w:t xml:space="preserve"> alegó que las presuntas víctimas del caso deben ser aquellas que resultaron beneficiadas con la Sentencia de la Corte Suprema de fecha 25 de octubre de 1993, en la cual se estableció a quienes resultaba de aplicación dicha decisión. El Estado precisó que en el año 2005 se determinó definitivamente el listado de beneficiarios de las decisiones emitidas en sede int</w:t>
      </w:r>
      <w:r w:rsidR="00935FF1" w:rsidRPr="000B33B9">
        <w:rPr>
          <w:rFonts w:ascii="Verdana" w:hAnsi="Verdana"/>
          <w:sz w:val="20"/>
          <w:szCs w:val="20"/>
        </w:rPr>
        <w:t xml:space="preserve">erna, pues en la resolución de </w:t>
      </w:r>
      <w:r w:rsidRPr="000B33B9">
        <w:rPr>
          <w:rFonts w:ascii="Verdana" w:hAnsi="Verdana"/>
          <w:sz w:val="20"/>
          <w:szCs w:val="20"/>
        </w:rPr>
        <w:t>3 de junio de 2005 se estableció que “solo deben considerarse como demandantes a quienes fueron asociados el tiempo en que se entabló el proceso, esto es, el 30 de diciembre de 1991”. Esta determinación difiere sustancialmente de aquella realizada por la Comisión en su Informe de Fondo. El Estado consideró que resulta inconsistente que tanto la CIDH como la ANCEJUB pretendan que sean consideradas como presuntas víctimas personas adicionales a la resolución de 3 de junio de 2005. Finalmente, el Estado manifestó que el párrafo 98 del Informe de Fondo no debe ser interpretado de forma tal que constituya una vía para ampliar la cantidad de víctimas del presente caso.</w:t>
      </w:r>
    </w:p>
    <w:p w14:paraId="008FEA21" w14:textId="77777777" w:rsidR="003A17A6" w:rsidRPr="000B33B9" w:rsidRDefault="003A17A6" w:rsidP="003A17A6">
      <w:pPr>
        <w:pStyle w:val="Prrafodelista"/>
        <w:spacing w:after="0" w:line="240" w:lineRule="auto"/>
        <w:ind w:left="0"/>
        <w:jc w:val="both"/>
        <w:rPr>
          <w:rFonts w:ascii="Verdana" w:hAnsi="Verdana"/>
          <w:sz w:val="20"/>
          <w:szCs w:val="20"/>
        </w:rPr>
      </w:pPr>
    </w:p>
    <w:p w14:paraId="2C15AE0F" w14:textId="607D0646" w:rsidR="003A17A6" w:rsidRPr="000B33B9" w:rsidRDefault="003A17A6" w:rsidP="007B74B8">
      <w:pPr>
        <w:pStyle w:val="Prrafodelista"/>
        <w:numPr>
          <w:ilvl w:val="0"/>
          <w:numId w:val="10"/>
        </w:numPr>
        <w:spacing w:after="0" w:line="240" w:lineRule="auto"/>
        <w:ind w:left="0" w:firstLine="0"/>
        <w:jc w:val="both"/>
        <w:rPr>
          <w:rFonts w:ascii="Verdana" w:hAnsi="Verdana"/>
          <w:sz w:val="20"/>
          <w:szCs w:val="20"/>
        </w:rPr>
      </w:pPr>
      <w:r w:rsidRPr="000B33B9">
        <w:rPr>
          <w:rFonts w:ascii="Verdana" w:hAnsi="Verdana"/>
          <w:sz w:val="20"/>
          <w:szCs w:val="20"/>
        </w:rPr>
        <w:t xml:space="preserve">Los </w:t>
      </w:r>
      <w:r w:rsidRPr="000B33B9">
        <w:rPr>
          <w:rFonts w:ascii="Verdana" w:hAnsi="Verdana"/>
          <w:b/>
          <w:i/>
          <w:sz w:val="20"/>
          <w:szCs w:val="20"/>
        </w:rPr>
        <w:t xml:space="preserve">representantes </w:t>
      </w:r>
      <w:r w:rsidRPr="000B33B9">
        <w:rPr>
          <w:rFonts w:ascii="Verdana" w:hAnsi="Verdana"/>
          <w:sz w:val="20"/>
          <w:szCs w:val="20"/>
        </w:rPr>
        <w:t xml:space="preserve">manifestaron que “no puede caber duda que los beneficiarios de la Sentencia de la Corte Suprema no pueden ser otros ni menos que todos los miembros de la asociación a quienes se aplicó arbitrariamente la Tercera Disposición Transitoria del Decreto </w:t>
      </w:r>
      <w:r w:rsidR="00935FF1" w:rsidRPr="000B33B9">
        <w:rPr>
          <w:rFonts w:ascii="Verdana" w:hAnsi="Verdana"/>
          <w:sz w:val="20"/>
          <w:szCs w:val="20"/>
        </w:rPr>
        <w:t xml:space="preserve">Legislativo </w:t>
      </w:r>
      <w:r w:rsidRPr="000B33B9">
        <w:rPr>
          <w:rFonts w:ascii="Verdana" w:hAnsi="Verdana"/>
          <w:sz w:val="20"/>
          <w:szCs w:val="20"/>
        </w:rPr>
        <w:t>673, y que han sido debidamente acreditados razonablemente por la Comisión en el número de 703 víctimas”. Adicionalmente, manifestaron que el número y relació</w:t>
      </w:r>
      <w:r w:rsidR="00935FF1" w:rsidRPr="000B33B9">
        <w:rPr>
          <w:rFonts w:ascii="Verdana" w:hAnsi="Verdana"/>
          <w:sz w:val="20"/>
          <w:szCs w:val="20"/>
        </w:rPr>
        <w:t xml:space="preserve">n fijados por la resolución </w:t>
      </w:r>
      <w:r w:rsidRPr="000B33B9">
        <w:rPr>
          <w:rFonts w:ascii="Verdana" w:hAnsi="Verdana"/>
          <w:sz w:val="20"/>
          <w:szCs w:val="20"/>
        </w:rPr>
        <w:t>80 del 3 de marzo de 2006 y la resolución de 3 de junio de 2005 “concluyeron en forma indebida y sin justificación objetiva a un número significativo de víctimas al pretender reducir su número a 566, a pesar del número mayor de los afiliados o asociados de la asociación a la fecha de interposición de la demanda”. Finalmente, manifestó que aun cuando las víctimas del presente caso son 704, la Comisión no incluyó 138 faltantes que deberán ser contempladas por el órgano independiente e imparcial que se con</w:t>
      </w:r>
      <w:r w:rsidR="00935FF1" w:rsidRPr="000B33B9">
        <w:rPr>
          <w:rFonts w:ascii="Verdana" w:hAnsi="Verdana"/>
          <w:sz w:val="20"/>
          <w:szCs w:val="20"/>
        </w:rPr>
        <w:t>stituya con motivo de este caso</w:t>
      </w:r>
      <w:r w:rsidRPr="000B33B9">
        <w:rPr>
          <w:rFonts w:ascii="Verdana" w:hAnsi="Verdana"/>
          <w:sz w:val="20"/>
          <w:szCs w:val="20"/>
        </w:rPr>
        <w:t>.</w:t>
      </w:r>
    </w:p>
    <w:p w14:paraId="56C34686" w14:textId="77777777" w:rsidR="003A17A6" w:rsidRPr="000B33B9" w:rsidRDefault="003A17A6" w:rsidP="003A17A6">
      <w:pPr>
        <w:pStyle w:val="Prrafodelista"/>
        <w:spacing w:after="0" w:line="240" w:lineRule="auto"/>
        <w:ind w:left="0"/>
        <w:jc w:val="both"/>
        <w:rPr>
          <w:rFonts w:ascii="Verdana" w:hAnsi="Verdana"/>
          <w:sz w:val="20"/>
          <w:szCs w:val="20"/>
        </w:rPr>
      </w:pPr>
    </w:p>
    <w:p w14:paraId="1C755631" w14:textId="2B96AB39" w:rsidR="003A17A6" w:rsidRPr="000B33B9" w:rsidRDefault="003A17A6" w:rsidP="007B74B8">
      <w:pPr>
        <w:pStyle w:val="Prrafodelista"/>
        <w:numPr>
          <w:ilvl w:val="0"/>
          <w:numId w:val="10"/>
        </w:numPr>
        <w:spacing w:after="0" w:line="240" w:lineRule="auto"/>
        <w:ind w:left="0" w:firstLine="0"/>
        <w:jc w:val="both"/>
        <w:rPr>
          <w:rFonts w:ascii="Verdana" w:hAnsi="Verdana"/>
          <w:sz w:val="20"/>
          <w:szCs w:val="20"/>
        </w:rPr>
      </w:pPr>
      <w:r w:rsidRPr="000B33B9">
        <w:rPr>
          <w:rFonts w:ascii="Verdana" w:hAnsi="Verdana"/>
          <w:sz w:val="20"/>
          <w:szCs w:val="20"/>
        </w:rPr>
        <w:t xml:space="preserve">La </w:t>
      </w:r>
      <w:r w:rsidRPr="000B33B9">
        <w:rPr>
          <w:rFonts w:ascii="Verdana" w:hAnsi="Verdana"/>
          <w:b/>
          <w:i/>
          <w:sz w:val="20"/>
          <w:szCs w:val="20"/>
        </w:rPr>
        <w:t xml:space="preserve">Comisión </w:t>
      </w:r>
      <w:r w:rsidRPr="000B33B9">
        <w:rPr>
          <w:rFonts w:ascii="Verdana" w:hAnsi="Verdana"/>
          <w:sz w:val="20"/>
          <w:szCs w:val="20"/>
        </w:rPr>
        <w:t xml:space="preserve">reiteró que desde la petición inicial se indicó como presuntas víctimas a 703 personas, sin perjuicio de los debates que en el proceso interno de ejecución de sentencias se han dado sobre la cantidad de personas beneficiarias. La Comisión </w:t>
      </w:r>
      <w:r w:rsidR="00935FF1" w:rsidRPr="000B33B9">
        <w:rPr>
          <w:rFonts w:ascii="Verdana" w:hAnsi="Verdana"/>
          <w:sz w:val="20"/>
          <w:szCs w:val="20"/>
        </w:rPr>
        <w:t>declaró</w:t>
      </w:r>
      <w:r w:rsidRPr="000B33B9">
        <w:rPr>
          <w:rFonts w:ascii="Verdana" w:hAnsi="Verdana"/>
          <w:sz w:val="20"/>
          <w:szCs w:val="20"/>
        </w:rPr>
        <w:t xml:space="preserve"> en su Informe de Fondo las violaciones correspondientes en perjuicio de las 703 personas, cumpliendo así con lo dispuesto en las normas reglamentarias de la Corte. En razón de lo anterior, y de que el alegato del Estado no tiene naturaleza preliminar, alegó que debe ser declarado improcedente. Finalmente, la Comisión expresó que debido a un error al momento de consignar el número de presuntas víctimas en el Informe de Fondo se omitió el conteo de una víctima, por lo q</w:t>
      </w:r>
      <w:r w:rsidR="00935FF1" w:rsidRPr="000B33B9">
        <w:rPr>
          <w:rFonts w:ascii="Verdana" w:hAnsi="Verdana"/>
          <w:sz w:val="20"/>
          <w:szCs w:val="20"/>
        </w:rPr>
        <w:t>ue deberán ser consideradas 704</w:t>
      </w:r>
      <w:r w:rsidRPr="000B33B9">
        <w:rPr>
          <w:rFonts w:ascii="Verdana" w:hAnsi="Verdana"/>
          <w:sz w:val="20"/>
          <w:szCs w:val="20"/>
        </w:rPr>
        <w:t>.</w:t>
      </w:r>
    </w:p>
    <w:p w14:paraId="5C7846F4" w14:textId="77777777" w:rsidR="003A17A6" w:rsidRPr="000B33B9" w:rsidRDefault="003A17A6" w:rsidP="003A17A6">
      <w:pPr>
        <w:pStyle w:val="Prrafodelista"/>
        <w:spacing w:after="0" w:line="240" w:lineRule="auto"/>
        <w:ind w:left="0"/>
        <w:jc w:val="both"/>
        <w:rPr>
          <w:rFonts w:ascii="Verdana" w:hAnsi="Verdana"/>
          <w:sz w:val="20"/>
          <w:szCs w:val="20"/>
        </w:rPr>
      </w:pPr>
    </w:p>
    <w:p w14:paraId="0D46DE7A" w14:textId="1AA0C5F7" w:rsidR="003A17A6" w:rsidRPr="000B33B9" w:rsidRDefault="003A17A6" w:rsidP="003A17A6">
      <w:pPr>
        <w:pStyle w:val="Ttulo3"/>
      </w:pPr>
      <w:bookmarkStart w:id="29" w:name="_Toc27329753"/>
      <w:r w:rsidRPr="000B33B9">
        <w:t>Consideraciones de la Corte</w:t>
      </w:r>
      <w:bookmarkEnd w:id="29"/>
    </w:p>
    <w:p w14:paraId="72D1AE02" w14:textId="77777777" w:rsidR="003A17A6" w:rsidRPr="000B33B9" w:rsidRDefault="003A17A6" w:rsidP="003A17A6">
      <w:pPr>
        <w:pStyle w:val="Prrafodelista"/>
        <w:spacing w:after="0" w:line="240" w:lineRule="auto"/>
        <w:ind w:left="0"/>
        <w:jc w:val="both"/>
        <w:rPr>
          <w:rFonts w:ascii="Verdana" w:hAnsi="Verdana"/>
          <w:sz w:val="20"/>
          <w:szCs w:val="20"/>
        </w:rPr>
      </w:pPr>
    </w:p>
    <w:p w14:paraId="685B95EE" w14:textId="27A71770" w:rsidR="00415BB4" w:rsidRPr="000B33B9" w:rsidRDefault="003A17A6" w:rsidP="007B74B8">
      <w:pPr>
        <w:pStyle w:val="Prrafodelista"/>
        <w:numPr>
          <w:ilvl w:val="0"/>
          <w:numId w:val="10"/>
        </w:numPr>
        <w:spacing w:after="0" w:line="240" w:lineRule="auto"/>
        <w:ind w:left="0" w:firstLine="0"/>
        <w:jc w:val="both"/>
        <w:rPr>
          <w:rFonts w:ascii="Verdana" w:hAnsi="Verdana"/>
          <w:sz w:val="20"/>
          <w:szCs w:val="20"/>
        </w:rPr>
      </w:pPr>
      <w:r w:rsidRPr="000B33B9">
        <w:rPr>
          <w:rFonts w:ascii="Verdana" w:hAnsi="Verdana"/>
          <w:sz w:val="20"/>
          <w:szCs w:val="20"/>
        </w:rPr>
        <w:t>En lo que respecta a la solicitud de la Comisión de modificar el número de presuntas víctimas como resultado de un error, la Corte recuerda que la seguridad jurídica exige, como regla general, que todas las presuntas víctimas estén debidamente identificadas en el Informe de Fondo y en la demanda, no siendo posible añadir nuevas presuntas víctimas en etapas posteriores, sin que ello conlleve un perjuicio al derecho a la defensa del Estado demandado</w:t>
      </w:r>
      <w:r w:rsidRPr="000B33B9">
        <w:rPr>
          <w:rStyle w:val="Refdenotaalpie"/>
          <w:rFonts w:ascii="Verdana" w:hAnsi="Verdana"/>
          <w:sz w:val="20"/>
          <w:szCs w:val="20"/>
        </w:rPr>
        <w:footnoteReference w:id="25"/>
      </w:r>
      <w:r w:rsidRPr="000B33B9">
        <w:rPr>
          <w:rFonts w:ascii="Verdana" w:hAnsi="Verdana"/>
          <w:sz w:val="20"/>
          <w:szCs w:val="20"/>
        </w:rPr>
        <w:t>. Esta regla no es absoluta y admite excepciones, como el supuesto previsto en el artículo 35.2 del Reglamento de la Corte, o en aquellos casos donde se alegue la existencia de un error material por parte de la Comisión</w:t>
      </w:r>
      <w:r w:rsidRPr="000B33B9">
        <w:rPr>
          <w:rStyle w:val="Refdenotaalpie"/>
          <w:rFonts w:ascii="Verdana" w:hAnsi="Verdana"/>
          <w:sz w:val="20"/>
          <w:szCs w:val="20"/>
        </w:rPr>
        <w:footnoteReference w:id="26"/>
      </w:r>
      <w:r w:rsidRPr="000B33B9">
        <w:rPr>
          <w:rFonts w:ascii="Verdana" w:hAnsi="Verdana"/>
          <w:sz w:val="20"/>
          <w:szCs w:val="20"/>
        </w:rPr>
        <w:t>. En el presente caso, la Corte advierte que el número de presuntas víctimas mencionadas en el “anexo único” de la Comisión en el Informe de Fondo es de 704, no 703 como indica la numeración reflejada en dicho anexo. La Corte advierte que dos presuntas víctimas se incluyeron en el número 591 del listado, lo que modificó la numeración total de presuntas víctimas. Lo anterior constituyó un error</w:t>
      </w:r>
      <w:r w:rsidRPr="000B33B9">
        <w:rPr>
          <w:rFonts w:ascii="Verdana" w:hAnsi="Verdana"/>
          <w:b/>
          <w:sz w:val="20"/>
          <w:szCs w:val="20"/>
        </w:rPr>
        <w:t xml:space="preserve"> </w:t>
      </w:r>
      <w:r w:rsidRPr="000B33B9">
        <w:rPr>
          <w:rFonts w:ascii="Verdana" w:hAnsi="Verdana"/>
          <w:sz w:val="20"/>
          <w:szCs w:val="20"/>
        </w:rPr>
        <w:t>que no altera la identificación de las presuntas víctimas por la Comisión en su Informe de Fondo.</w:t>
      </w:r>
    </w:p>
    <w:p w14:paraId="44FB1AEF" w14:textId="77777777" w:rsidR="00415BB4" w:rsidRPr="000B33B9" w:rsidRDefault="00415BB4" w:rsidP="00415BB4">
      <w:pPr>
        <w:pStyle w:val="Prrafodelista"/>
        <w:spacing w:after="0" w:line="240" w:lineRule="auto"/>
        <w:ind w:left="0"/>
        <w:jc w:val="both"/>
        <w:rPr>
          <w:rFonts w:ascii="Verdana" w:hAnsi="Verdana"/>
          <w:sz w:val="20"/>
          <w:szCs w:val="20"/>
        </w:rPr>
      </w:pPr>
    </w:p>
    <w:p w14:paraId="6B97E2B4" w14:textId="5FC9C4B2" w:rsidR="003A17A6" w:rsidRPr="000B33B9" w:rsidRDefault="003A17A6" w:rsidP="007B74B8">
      <w:pPr>
        <w:pStyle w:val="Prrafodelista"/>
        <w:numPr>
          <w:ilvl w:val="0"/>
          <w:numId w:val="10"/>
        </w:numPr>
        <w:spacing w:after="0" w:line="240" w:lineRule="auto"/>
        <w:ind w:left="0" w:firstLine="0"/>
        <w:jc w:val="both"/>
        <w:rPr>
          <w:rFonts w:ascii="Verdana" w:hAnsi="Verdana"/>
          <w:sz w:val="20"/>
          <w:szCs w:val="20"/>
        </w:rPr>
      </w:pPr>
      <w:r w:rsidRPr="000B33B9">
        <w:rPr>
          <w:rFonts w:ascii="Verdana" w:hAnsi="Verdana"/>
          <w:sz w:val="20"/>
          <w:szCs w:val="20"/>
        </w:rPr>
        <w:t xml:space="preserve">En el presente caso, la Corte constata que la Comisión identificó en su Informe de Fondo a 704 personas como presuntas víctimas del caso, las cuales fueron señaladas en un “anexo único”. El Estado alegó que el número de presuntas víctimas señalado por la Comisión no corresponde con </w:t>
      </w:r>
      <w:r w:rsidR="00F33F8D" w:rsidRPr="000B33B9">
        <w:rPr>
          <w:rFonts w:ascii="Verdana" w:hAnsi="Verdana"/>
          <w:sz w:val="20"/>
          <w:szCs w:val="20"/>
        </w:rPr>
        <w:t>la cantidad de personas señalados</w:t>
      </w:r>
      <w:r w:rsidRPr="000B33B9">
        <w:rPr>
          <w:rFonts w:ascii="Verdana" w:hAnsi="Verdana"/>
          <w:sz w:val="20"/>
          <w:szCs w:val="20"/>
        </w:rPr>
        <w:t xml:space="preserve"> como beneficiarios de la sentencia de la Corte Suprema de fecha 25 de octubre de 1993, quienes deberían ser las únicas consideradas como presuntas víctimas para efectos del presente caso. Al respecto, el Tribunal advierte que</w:t>
      </w:r>
      <w:r w:rsidR="00053A3B" w:rsidRPr="000B33B9">
        <w:rPr>
          <w:rFonts w:ascii="Verdana" w:hAnsi="Verdana"/>
          <w:sz w:val="20"/>
          <w:szCs w:val="20"/>
        </w:rPr>
        <w:t>,</w:t>
      </w:r>
      <w:r w:rsidR="00415BB4" w:rsidRPr="000B33B9">
        <w:rPr>
          <w:rFonts w:ascii="Verdana" w:hAnsi="Verdana"/>
          <w:sz w:val="20"/>
          <w:szCs w:val="20"/>
        </w:rPr>
        <w:t xml:space="preserve"> de conformidad con el artículo 35.2 del Reglamento, le corresponde a la Comisión identificar con precisión las presuntas víctimas de un caso, lo que ocurrió respecto a las 704 personas contempladas en el “anexo único” del Informe de Fondo.</w:t>
      </w:r>
      <w:r w:rsidRPr="000B33B9">
        <w:rPr>
          <w:rFonts w:ascii="Verdana" w:hAnsi="Verdana"/>
          <w:sz w:val="20"/>
          <w:szCs w:val="20"/>
        </w:rPr>
        <w:t xml:space="preserve"> </w:t>
      </w:r>
      <w:r w:rsidR="00053A3B" w:rsidRPr="000B33B9">
        <w:rPr>
          <w:rFonts w:ascii="Verdana" w:hAnsi="Verdana"/>
          <w:sz w:val="20"/>
          <w:szCs w:val="20"/>
        </w:rPr>
        <w:t>L</w:t>
      </w:r>
      <w:r w:rsidRPr="000B33B9">
        <w:rPr>
          <w:rFonts w:ascii="Verdana" w:hAnsi="Verdana"/>
          <w:sz w:val="20"/>
          <w:szCs w:val="20"/>
        </w:rPr>
        <w:t xml:space="preserve">a </w:t>
      </w:r>
      <w:r w:rsidR="00053A3B" w:rsidRPr="000B33B9">
        <w:rPr>
          <w:rFonts w:ascii="Verdana" w:hAnsi="Verdana"/>
          <w:sz w:val="20"/>
          <w:szCs w:val="20"/>
        </w:rPr>
        <w:t>pregunta sobre si existen violaciones a los derechos humanos de dichas personas</w:t>
      </w:r>
      <w:r w:rsidRPr="000B33B9">
        <w:rPr>
          <w:rFonts w:ascii="Verdana" w:hAnsi="Verdana"/>
          <w:sz w:val="20"/>
          <w:szCs w:val="20"/>
        </w:rPr>
        <w:t xml:space="preserve"> </w:t>
      </w:r>
      <w:r w:rsidR="00053A3B" w:rsidRPr="000B33B9">
        <w:rPr>
          <w:rFonts w:ascii="Verdana" w:hAnsi="Verdana"/>
          <w:sz w:val="20"/>
          <w:szCs w:val="20"/>
        </w:rPr>
        <w:t>es</w:t>
      </w:r>
      <w:r w:rsidRPr="000B33B9">
        <w:rPr>
          <w:rFonts w:ascii="Verdana" w:hAnsi="Verdana"/>
          <w:sz w:val="20"/>
          <w:szCs w:val="20"/>
        </w:rPr>
        <w:t xml:space="preserve"> una cuestión que debe ser analizada en el fondo de la controversia. </w:t>
      </w:r>
      <w:r w:rsidR="00F67EE3" w:rsidRPr="000B33B9">
        <w:rPr>
          <w:rFonts w:ascii="Verdana" w:hAnsi="Verdana"/>
          <w:sz w:val="20"/>
          <w:szCs w:val="20"/>
        </w:rPr>
        <w:t>Por consiguiente,</w:t>
      </w:r>
      <w:r w:rsidRPr="000B33B9">
        <w:rPr>
          <w:rFonts w:ascii="Verdana" w:hAnsi="Verdana"/>
          <w:sz w:val="20"/>
          <w:szCs w:val="20"/>
        </w:rPr>
        <w:t xml:space="preserve"> la Corte considera que los referidos alegatos del Estado deben ser analizados en el fondo de la controversia.</w:t>
      </w:r>
    </w:p>
    <w:p w14:paraId="3CE115EB" w14:textId="24018477" w:rsidR="003A17A6" w:rsidRPr="000B33B9" w:rsidRDefault="003A17A6" w:rsidP="00053A3B">
      <w:pPr>
        <w:pStyle w:val="Prrafodelista"/>
        <w:spacing w:after="0" w:line="240" w:lineRule="auto"/>
        <w:ind w:left="0"/>
        <w:jc w:val="both"/>
        <w:rPr>
          <w:rFonts w:ascii="Verdana" w:hAnsi="Verdana"/>
          <w:sz w:val="20"/>
          <w:szCs w:val="20"/>
        </w:rPr>
      </w:pPr>
    </w:p>
    <w:p w14:paraId="5D3BC57E" w14:textId="2E8D1639" w:rsidR="003A17A6" w:rsidRPr="000B33B9" w:rsidRDefault="003A17A6" w:rsidP="007B74B8">
      <w:pPr>
        <w:pStyle w:val="Prrafodelista"/>
        <w:numPr>
          <w:ilvl w:val="0"/>
          <w:numId w:val="10"/>
        </w:numPr>
        <w:spacing w:after="0" w:line="240" w:lineRule="auto"/>
        <w:ind w:left="0" w:firstLine="0"/>
        <w:jc w:val="both"/>
        <w:rPr>
          <w:rFonts w:ascii="Verdana" w:eastAsia="MS Mincho" w:hAnsi="Verdana"/>
          <w:sz w:val="20"/>
          <w:szCs w:val="20"/>
        </w:rPr>
      </w:pPr>
      <w:r w:rsidRPr="000B33B9">
        <w:rPr>
          <w:rFonts w:ascii="Verdana" w:hAnsi="Verdana"/>
          <w:sz w:val="20"/>
          <w:szCs w:val="20"/>
        </w:rPr>
        <w:t>En consecuencia, la Corte admite la solicitud de la Comisión respecto a la modificación del número de víctimas como resultado de un error, y rechaza la solicitud del Estado de recalificar las presuntas víctimas identificadas por la Comisión en su Informe de Fondo.</w:t>
      </w:r>
    </w:p>
    <w:p w14:paraId="2A75DD1D" w14:textId="77777777" w:rsidR="002B648D" w:rsidRPr="000B33B9" w:rsidRDefault="002B648D" w:rsidP="00C962FE">
      <w:pPr>
        <w:keepNext/>
        <w:keepLines/>
        <w:tabs>
          <w:tab w:val="left" w:pos="851"/>
        </w:tabs>
        <w:spacing w:after="0" w:line="240" w:lineRule="auto"/>
        <w:jc w:val="center"/>
        <w:outlineLvl w:val="0"/>
        <w:rPr>
          <w:rFonts w:ascii="Verdana" w:eastAsia="Times New Roman" w:hAnsi="Verdana" w:cs="Times New Roman"/>
          <w:b/>
          <w:bCs/>
          <w:caps/>
          <w:snapToGrid w:val="0"/>
          <w:sz w:val="20"/>
          <w:szCs w:val="20"/>
        </w:rPr>
      </w:pPr>
    </w:p>
    <w:p w14:paraId="09223EC8" w14:textId="608EABAA" w:rsidR="008549CC" w:rsidRPr="000B33B9" w:rsidRDefault="008549CC" w:rsidP="001335CC">
      <w:pPr>
        <w:pStyle w:val="Ttulo1"/>
        <w:rPr>
          <w:rFonts w:eastAsia="Times New Roman" w:cs="Verdana"/>
          <w:b w:val="0"/>
          <w:bCs/>
          <w:caps/>
          <w:snapToGrid w:val="0"/>
          <w:lang w:val="es-ES_tradnl"/>
        </w:rPr>
      </w:pPr>
      <w:bookmarkStart w:id="30" w:name="_Toc375517114"/>
      <w:bookmarkStart w:id="31" w:name="_Toc459158102"/>
      <w:bookmarkStart w:id="32" w:name="_Toc470180046"/>
      <w:bookmarkStart w:id="33" w:name="_Toc514172609"/>
      <w:bookmarkStart w:id="34" w:name="_Toc526774142"/>
      <w:bookmarkStart w:id="35" w:name="_Toc526777474"/>
      <w:bookmarkStart w:id="36" w:name="_Toc526783753"/>
      <w:bookmarkStart w:id="37" w:name="_Toc529192672"/>
      <w:bookmarkStart w:id="38" w:name="_Toc7020777"/>
      <w:bookmarkStart w:id="39" w:name="_Toc27329754"/>
      <w:r w:rsidRPr="000B33B9">
        <w:rPr>
          <w:rFonts w:eastAsia="Times New Roman" w:cs="Verdana"/>
          <w:bCs/>
          <w:caps/>
          <w:snapToGrid w:val="0"/>
          <w:lang w:val="es-ES_tradnl"/>
        </w:rPr>
        <w:t>V</w:t>
      </w:r>
      <w:r w:rsidR="003A17A6" w:rsidRPr="000B33B9">
        <w:rPr>
          <w:rFonts w:eastAsia="Times New Roman" w:cs="Verdana"/>
          <w:bCs/>
          <w:caps/>
          <w:snapToGrid w:val="0"/>
          <w:lang w:val="es-ES_tradnl"/>
        </w:rPr>
        <w:t>I</w:t>
      </w:r>
      <w:r w:rsidRPr="000B33B9">
        <w:rPr>
          <w:rFonts w:eastAsia="Times New Roman" w:cs="Verdana"/>
          <w:bCs/>
          <w:caps/>
          <w:snapToGrid w:val="0"/>
          <w:lang w:val="es-ES_tradnl"/>
        </w:rPr>
        <w:br/>
        <w:t>PRUEBA</w:t>
      </w:r>
      <w:bookmarkEnd w:id="30"/>
      <w:bookmarkEnd w:id="31"/>
      <w:bookmarkEnd w:id="32"/>
      <w:bookmarkEnd w:id="33"/>
      <w:bookmarkEnd w:id="34"/>
      <w:bookmarkEnd w:id="35"/>
      <w:bookmarkEnd w:id="36"/>
      <w:bookmarkEnd w:id="37"/>
      <w:bookmarkEnd w:id="38"/>
      <w:bookmarkEnd w:id="39"/>
    </w:p>
    <w:p w14:paraId="01CF422C" w14:textId="77777777" w:rsidR="008549CC" w:rsidRPr="000B33B9" w:rsidRDefault="008549CC" w:rsidP="00C962FE">
      <w:pPr>
        <w:keepNext/>
        <w:keepLines/>
        <w:tabs>
          <w:tab w:val="left" w:pos="851"/>
        </w:tabs>
        <w:spacing w:after="0" w:line="240" w:lineRule="auto"/>
        <w:jc w:val="both"/>
        <w:outlineLvl w:val="0"/>
        <w:rPr>
          <w:rFonts w:ascii="Verdana" w:eastAsia="Times New Roman" w:hAnsi="Verdana" w:cs="Times New Roman"/>
          <w:b/>
          <w:bCs/>
          <w:caps/>
          <w:snapToGrid w:val="0"/>
          <w:sz w:val="20"/>
          <w:szCs w:val="20"/>
        </w:rPr>
      </w:pPr>
    </w:p>
    <w:p w14:paraId="072A385A" w14:textId="77777777" w:rsidR="00500A60" w:rsidRPr="000B33B9" w:rsidRDefault="00500A60" w:rsidP="007B74B8">
      <w:pPr>
        <w:pStyle w:val="Ttulo2"/>
        <w:numPr>
          <w:ilvl w:val="0"/>
          <w:numId w:val="14"/>
        </w:numPr>
      </w:pPr>
      <w:bookmarkStart w:id="40" w:name="_Toc9511440"/>
      <w:bookmarkStart w:id="41" w:name="_Toc4402948"/>
      <w:bookmarkStart w:id="42" w:name="_Toc4402709"/>
      <w:bookmarkStart w:id="43" w:name="_Toc27329755"/>
      <w:r w:rsidRPr="000B33B9">
        <w:t>Admisibilidad de la prueba documental</w:t>
      </w:r>
      <w:bookmarkEnd w:id="40"/>
      <w:bookmarkEnd w:id="41"/>
      <w:bookmarkEnd w:id="42"/>
      <w:bookmarkEnd w:id="43"/>
    </w:p>
    <w:p w14:paraId="79C0882C" w14:textId="77777777" w:rsidR="00500A60" w:rsidRPr="000B33B9" w:rsidRDefault="00500A60" w:rsidP="00C962FE">
      <w:pPr>
        <w:pStyle w:val="PrrafodeSentencia"/>
        <w:contextualSpacing/>
        <w:rPr>
          <w:spacing w:val="0"/>
          <w:szCs w:val="20"/>
          <w:lang w:val="es-CR"/>
        </w:rPr>
      </w:pPr>
    </w:p>
    <w:p w14:paraId="31885D50" w14:textId="37A7FFB7" w:rsidR="005407F0" w:rsidRPr="000B33B9" w:rsidRDefault="00500A60" w:rsidP="007B74B8">
      <w:pPr>
        <w:widowControl w:val="0"/>
        <w:numPr>
          <w:ilvl w:val="0"/>
          <w:numId w:val="10"/>
        </w:numPr>
        <w:tabs>
          <w:tab w:val="left" w:pos="567"/>
          <w:tab w:val="num" w:pos="12305"/>
        </w:tabs>
        <w:adjustRightInd w:val="0"/>
        <w:spacing w:after="0" w:line="240" w:lineRule="auto"/>
        <w:ind w:left="0" w:firstLine="0"/>
        <w:jc w:val="both"/>
        <w:textAlignment w:val="baseline"/>
        <w:rPr>
          <w:rFonts w:ascii="Verdana" w:hAnsi="Verdana"/>
          <w:sz w:val="20"/>
          <w:szCs w:val="20"/>
          <w:lang w:val="es-CR" w:eastAsia="es-MX"/>
        </w:rPr>
      </w:pPr>
      <w:r w:rsidRPr="000B33B9">
        <w:rPr>
          <w:rFonts w:ascii="Verdana" w:hAnsi="Verdana"/>
          <w:sz w:val="20"/>
          <w:szCs w:val="20"/>
          <w:lang w:val="es-CR"/>
        </w:rPr>
        <w:t xml:space="preserve">El Tribunal </w:t>
      </w:r>
      <w:r w:rsidR="002632B5" w:rsidRPr="000B33B9">
        <w:rPr>
          <w:rFonts w:ascii="Verdana" w:hAnsi="Verdana"/>
          <w:sz w:val="20"/>
          <w:szCs w:val="20"/>
        </w:rPr>
        <w:t xml:space="preserve">recibió diversos documentos presentados como prueba por la Comisión, </w:t>
      </w:r>
      <w:r w:rsidR="0088656D" w:rsidRPr="000B33B9">
        <w:rPr>
          <w:rFonts w:ascii="Verdana" w:hAnsi="Verdana"/>
          <w:sz w:val="20"/>
          <w:szCs w:val="20"/>
        </w:rPr>
        <w:t xml:space="preserve">los </w:t>
      </w:r>
      <w:r w:rsidR="002632B5" w:rsidRPr="000B33B9">
        <w:rPr>
          <w:rFonts w:ascii="Verdana" w:hAnsi="Verdana"/>
          <w:sz w:val="20"/>
          <w:szCs w:val="20"/>
        </w:rPr>
        <w:t>representante</w:t>
      </w:r>
      <w:r w:rsidR="0088656D" w:rsidRPr="000B33B9">
        <w:rPr>
          <w:rFonts w:ascii="Verdana" w:hAnsi="Verdana"/>
          <w:sz w:val="20"/>
          <w:szCs w:val="20"/>
        </w:rPr>
        <w:t>s</w:t>
      </w:r>
      <w:r w:rsidR="002632B5" w:rsidRPr="000B33B9">
        <w:rPr>
          <w:rFonts w:ascii="Verdana" w:hAnsi="Verdana"/>
          <w:sz w:val="20"/>
          <w:szCs w:val="20"/>
        </w:rPr>
        <w:t xml:space="preserve"> y el Estado, adjuntos a sus escritos principales. En el presente caso, como en otros</w:t>
      </w:r>
      <w:r w:rsidR="002632B5" w:rsidRPr="000B33B9">
        <w:rPr>
          <w:rStyle w:val="Refdenotaalpie"/>
          <w:rFonts w:ascii="Verdana" w:hAnsi="Verdana"/>
          <w:sz w:val="20"/>
          <w:szCs w:val="20"/>
        </w:rPr>
        <w:footnoteReference w:id="27"/>
      </w:r>
      <w:r w:rsidR="002632B5" w:rsidRPr="000B33B9">
        <w:rPr>
          <w:rFonts w:ascii="Verdana" w:hAnsi="Verdana"/>
          <w:sz w:val="20"/>
          <w:szCs w:val="20"/>
        </w:rPr>
        <w:t xml:space="preserve">, el Tribunal admite el valor probatorio de aquellos documentos presentados por las partes y por la Comisión en la debida oportunidad procesal, que no fueron controvertidos ni objetados, y cuya autenticidad no fue puesta en duda. </w:t>
      </w:r>
    </w:p>
    <w:p w14:paraId="4880CE6F" w14:textId="77777777" w:rsidR="00E97455" w:rsidRPr="000B33B9" w:rsidRDefault="00E97455" w:rsidP="00E97455">
      <w:pPr>
        <w:widowControl w:val="0"/>
        <w:tabs>
          <w:tab w:val="left" w:pos="567"/>
        </w:tabs>
        <w:adjustRightInd w:val="0"/>
        <w:spacing w:after="0" w:line="240" w:lineRule="auto"/>
        <w:jc w:val="both"/>
        <w:textAlignment w:val="baseline"/>
        <w:rPr>
          <w:rFonts w:ascii="Verdana" w:hAnsi="Verdana"/>
          <w:sz w:val="20"/>
          <w:szCs w:val="20"/>
          <w:lang w:val="es-CR" w:eastAsia="es-MX"/>
        </w:rPr>
      </w:pPr>
    </w:p>
    <w:p w14:paraId="65FC39C7" w14:textId="2BE61194" w:rsidR="00140F0F" w:rsidRPr="000B33B9" w:rsidRDefault="00E97455" w:rsidP="007B74B8">
      <w:pPr>
        <w:widowControl w:val="0"/>
        <w:numPr>
          <w:ilvl w:val="0"/>
          <w:numId w:val="10"/>
        </w:numPr>
        <w:tabs>
          <w:tab w:val="left" w:pos="567"/>
          <w:tab w:val="num" w:pos="12305"/>
        </w:tabs>
        <w:adjustRightInd w:val="0"/>
        <w:spacing w:after="0" w:line="240" w:lineRule="auto"/>
        <w:ind w:left="0" w:firstLine="0"/>
        <w:jc w:val="both"/>
        <w:textAlignment w:val="baseline"/>
        <w:rPr>
          <w:rFonts w:ascii="Verdana" w:hAnsi="Verdana"/>
          <w:sz w:val="20"/>
          <w:szCs w:val="20"/>
        </w:rPr>
      </w:pPr>
      <w:r w:rsidRPr="000B33B9">
        <w:rPr>
          <w:rFonts w:ascii="Verdana" w:hAnsi="Verdana"/>
          <w:sz w:val="20"/>
          <w:szCs w:val="20"/>
        </w:rPr>
        <w:t xml:space="preserve">El </w:t>
      </w:r>
      <w:r w:rsidR="00FC6F25" w:rsidRPr="000B33B9">
        <w:rPr>
          <w:rFonts w:ascii="Verdana" w:hAnsi="Verdana"/>
          <w:sz w:val="20"/>
          <w:szCs w:val="20"/>
        </w:rPr>
        <w:t xml:space="preserve">16 de agosto de 2019 los representantes de las presuntas víctimas presentaron </w:t>
      </w:r>
      <w:r w:rsidR="00D37269" w:rsidRPr="000B33B9">
        <w:rPr>
          <w:rFonts w:ascii="Verdana" w:hAnsi="Verdana"/>
          <w:sz w:val="20"/>
          <w:szCs w:val="20"/>
        </w:rPr>
        <w:t xml:space="preserve">documentación en calidad de “prueba nueva”. El Estado alegó que esta prueba sería </w:t>
      </w:r>
      <w:r w:rsidR="00614120" w:rsidRPr="000B33B9">
        <w:rPr>
          <w:rFonts w:ascii="Verdana" w:hAnsi="Verdana"/>
          <w:sz w:val="20"/>
          <w:szCs w:val="20"/>
        </w:rPr>
        <w:t xml:space="preserve">extemporánea y no </w:t>
      </w:r>
      <w:r w:rsidR="0088656D" w:rsidRPr="000B33B9">
        <w:rPr>
          <w:rFonts w:ascii="Verdana" w:hAnsi="Verdana"/>
          <w:sz w:val="20"/>
          <w:szCs w:val="20"/>
        </w:rPr>
        <w:t xml:space="preserve">se </w:t>
      </w:r>
      <w:r w:rsidR="00614120" w:rsidRPr="000B33B9">
        <w:rPr>
          <w:rFonts w:ascii="Verdana" w:hAnsi="Verdana"/>
          <w:sz w:val="20"/>
          <w:szCs w:val="20"/>
        </w:rPr>
        <w:t>refiere a los hechos que son materia de controversia en el presente caso</w:t>
      </w:r>
      <w:r w:rsidR="00C219AA" w:rsidRPr="000B33B9">
        <w:rPr>
          <w:rFonts w:ascii="Verdana" w:hAnsi="Verdana"/>
          <w:sz w:val="20"/>
          <w:szCs w:val="20"/>
        </w:rPr>
        <w:t>.</w:t>
      </w:r>
      <w:r w:rsidR="006A5CC2" w:rsidRPr="000B33B9">
        <w:rPr>
          <w:rFonts w:ascii="Verdana" w:hAnsi="Verdana"/>
          <w:sz w:val="20"/>
          <w:szCs w:val="20"/>
        </w:rPr>
        <w:t xml:space="preserve"> En virtud de ello, solicitó a la Corte rechazar dicha prueba</w:t>
      </w:r>
      <w:r w:rsidR="00313EE5" w:rsidRPr="000B33B9">
        <w:rPr>
          <w:rFonts w:ascii="Verdana" w:hAnsi="Verdana"/>
          <w:b/>
          <w:sz w:val="20"/>
          <w:szCs w:val="20"/>
        </w:rPr>
        <w:t>.</w:t>
      </w:r>
      <w:r w:rsidR="00313EE5" w:rsidRPr="000B33B9">
        <w:rPr>
          <w:rFonts w:ascii="Verdana" w:hAnsi="Verdana"/>
          <w:sz w:val="20"/>
          <w:szCs w:val="20"/>
        </w:rPr>
        <w:t xml:space="preserve"> </w:t>
      </w:r>
      <w:r w:rsidR="00140F0F" w:rsidRPr="000B33B9">
        <w:rPr>
          <w:rFonts w:ascii="Verdana" w:hAnsi="Verdana"/>
          <w:sz w:val="20"/>
          <w:szCs w:val="20"/>
        </w:rPr>
        <w:t xml:space="preserve">Al respecto, </w:t>
      </w:r>
      <w:r w:rsidR="009726DC" w:rsidRPr="000B33B9">
        <w:rPr>
          <w:rFonts w:ascii="Verdana" w:hAnsi="Verdana"/>
          <w:sz w:val="20"/>
          <w:szCs w:val="20"/>
        </w:rPr>
        <w:t>l</w:t>
      </w:r>
      <w:r w:rsidR="00140F0F" w:rsidRPr="000B33B9">
        <w:rPr>
          <w:rFonts w:ascii="Verdana" w:hAnsi="Verdana"/>
          <w:sz w:val="20"/>
          <w:szCs w:val="20"/>
        </w:rPr>
        <w:t>a Corte recuerda</w:t>
      </w:r>
      <w:r w:rsidR="00F36E51" w:rsidRPr="000B33B9">
        <w:rPr>
          <w:rFonts w:ascii="Verdana" w:hAnsi="Verdana"/>
          <w:sz w:val="20"/>
          <w:szCs w:val="20"/>
        </w:rPr>
        <w:t xml:space="preserve"> que la prueba relacionada con hechos supervinientes puede ser </w:t>
      </w:r>
      <w:r w:rsidR="0088656D" w:rsidRPr="000B33B9">
        <w:rPr>
          <w:rFonts w:ascii="Verdana" w:hAnsi="Verdana"/>
          <w:sz w:val="20"/>
          <w:szCs w:val="20"/>
        </w:rPr>
        <w:t>presentada</w:t>
      </w:r>
      <w:r w:rsidR="00F36E51" w:rsidRPr="000B33B9">
        <w:rPr>
          <w:rFonts w:ascii="Verdana" w:hAnsi="Verdana"/>
          <w:sz w:val="20"/>
          <w:szCs w:val="20"/>
        </w:rPr>
        <w:t xml:space="preserve"> al </w:t>
      </w:r>
      <w:r w:rsidR="00140F0F" w:rsidRPr="000B33B9">
        <w:rPr>
          <w:rFonts w:ascii="Verdana" w:hAnsi="Verdana"/>
          <w:sz w:val="20"/>
          <w:szCs w:val="20"/>
        </w:rPr>
        <w:t>Tribunal por las partes en cualquier estado del proceso, antes de la sentencia, esto no quiere decir que cualquier situación o acontecimiento constituya un hecho superviniente para los efectos del proceso</w:t>
      </w:r>
      <w:r w:rsidR="00F36E51" w:rsidRPr="000B33B9">
        <w:rPr>
          <w:rFonts w:ascii="Verdana" w:hAnsi="Verdana"/>
          <w:sz w:val="20"/>
          <w:szCs w:val="20"/>
        </w:rPr>
        <w:t>, pues tales hechos deben tener relación directa</w:t>
      </w:r>
      <w:r w:rsidR="00140F0F" w:rsidRPr="000B33B9">
        <w:rPr>
          <w:rStyle w:val="Refdenotaalpie"/>
          <w:rFonts w:ascii="Verdana" w:hAnsi="Verdana"/>
        </w:rPr>
        <w:footnoteReference w:id="28"/>
      </w:r>
      <w:r w:rsidR="00140F0F" w:rsidRPr="000B33B9">
        <w:rPr>
          <w:rFonts w:ascii="Verdana" w:hAnsi="Verdana"/>
          <w:sz w:val="20"/>
          <w:szCs w:val="20"/>
        </w:rPr>
        <w:t>.</w:t>
      </w:r>
    </w:p>
    <w:p w14:paraId="66582A44" w14:textId="77777777" w:rsidR="00140F0F" w:rsidRPr="000B33B9" w:rsidRDefault="00140F0F" w:rsidP="004B204D">
      <w:pPr>
        <w:widowControl w:val="0"/>
        <w:tabs>
          <w:tab w:val="left" w:pos="567"/>
        </w:tabs>
        <w:adjustRightInd w:val="0"/>
        <w:spacing w:after="0" w:line="240" w:lineRule="auto"/>
        <w:jc w:val="right"/>
        <w:textAlignment w:val="baseline"/>
        <w:rPr>
          <w:rFonts w:ascii="Verdana" w:hAnsi="Verdana"/>
          <w:sz w:val="20"/>
          <w:szCs w:val="20"/>
        </w:rPr>
      </w:pPr>
    </w:p>
    <w:p w14:paraId="51FA68F8" w14:textId="2DA8C08B" w:rsidR="00140F0F" w:rsidRPr="000B33B9" w:rsidRDefault="00140F0F" w:rsidP="007B74B8">
      <w:pPr>
        <w:widowControl w:val="0"/>
        <w:numPr>
          <w:ilvl w:val="0"/>
          <w:numId w:val="10"/>
        </w:numPr>
        <w:tabs>
          <w:tab w:val="left" w:pos="567"/>
          <w:tab w:val="num" w:pos="12305"/>
        </w:tabs>
        <w:adjustRightInd w:val="0"/>
        <w:spacing w:after="0" w:line="240" w:lineRule="auto"/>
        <w:ind w:left="0" w:firstLine="0"/>
        <w:jc w:val="both"/>
        <w:textAlignment w:val="baseline"/>
        <w:rPr>
          <w:rFonts w:ascii="Verdana" w:hAnsi="Verdana"/>
          <w:sz w:val="20"/>
          <w:szCs w:val="20"/>
        </w:rPr>
      </w:pPr>
      <w:r w:rsidRPr="000B33B9">
        <w:rPr>
          <w:rFonts w:ascii="Verdana" w:hAnsi="Verdana"/>
          <w:sz w:val="20"/>
          <w:szCs w:val="20"/>
        </w:rPr>
        <w:t>En el presente caso, la Corte observa que la prueba ofrecida por los representantes consiste en: a) el mensaje rendido por el Presidente Constitucional de Perú el 28 de julio de 2018 respecto al “Sistema de Administración de Justicia en el Perú”</w:t>
      </w:r>
      <w:r w:rsidRPr="000B33B9">
        <w:rPr>
          <w:rStyle w:val="Refdenotaalpie"/>
          <w:rFonts w:ascii="Verdana" w:hAnsi="Verdana"/>
        </w:rPr>
        <w:footnoteReference w:id="29"/>
      </w:r>
      <w:r w:rsidRPr="000B33B9">
        <w:rPr>
          <w:rFonts w:ascii="Verdana" w:hAnsi="Verdana"/>
          <w:sz w:val="20"/>
          <w:szCs w:val="20"/>
        </w:rPr>
        <w:t>, y b) una carpeta de selección de notas periodísticas sobre el mismo tema</w:t>
      </w:r>
      <w:r w:rsidRPr="000B33B9">
        <w:rPr>
          <w:rStyle w:val="Refdenotaalpie"/>
          <w:rFonts w:ascii="Verdana" w:hAnsi="Verdana"/>
        </w:rPr>
        <w:footnoteReference w:id="30"/>
      </w:r>
      <w:r w:rsidRPr="000B33B9">
        <w:rPr>
          <w:rFonts w:ascii="Verdana" w:hAnsi="Verdana"/>
          <w:sz w:val="20"/>
          <w:szCs w:val="20"/>
        </w:rPr>
        <w:t>. Estos documentos, si bien tienen una relación con la situación general del sistema de administración de justicia en Perú, no se relaciona</w:t>
      </w:r>
      <w:r w:rsidR="0088656D" w:rsidRPr="000B33B9">
        <w:rPr>
          <w:rFonts w:ascii="Verdana" w:hAnsi="Verdana"/>
          <w:sz w:val="20"/>
          <w:szCs w:val="20"/>
        </w:rPr>
        <w:t>n</w:t>
      </w:r>
      <w:r w:rsidRPr="000B33B9">
        <w:rPr>
          <w:rFonts w:ascii="Verdana" w:hAnsi="Verdana"/>
          <w:sz w:val="20"/>
          <w:szCs w:val="20"/>
        </w:rPr>
        <w:t xml:space="preserve"> directamente con la controversia del presente caso. En virtud de ello, la Corte considera que los hechos a los que se refieren los representantes como “pruebas nuevas” no </w:t>
      </w:r>
      <w:r w:rsidR="00F36E51" w:rsidRPr="000B33B9">
        <w:rPr>
          <w:rFonts w:ascii="Verdana" w:hAnsi="Verdana"/>
          <w:sz w:val="20"/>
          <w:szCs w:val="20"/>
        </w:rPr>
        <w:t>se relaciona</w:t>
      </w:r>
      <w:r w:rsidR="0088656D" w:rsidRPr="000B33B9">
        <w:rPr>
          <w:rFonts w:ascii="Verdana" w:hAnsi="Verdana"/>
          <w:sz w:val="20"/>
          <w:szCs w:val="20"/>
        </w:rPr>
        <w:t>n</w:t>
      </w:r>
      <w:r w:rsidR="00F36E51" w:rsidRPr="000B33B9">
        <w:rPr>
          <w:rFonts w:ascii="Verdana" w:hAnsi="Verdana"/>
          <w:sz w:val="20"/>
          <w:szCs w:val="20"/>
        </w:rPr>
        <w:t xml:space="preserve"> con los hechos materia del presente caso ni se refieren a hechos </w:t>
      </w:r>
      <w:r w:rsidRPr="000B33B9">
        <w:rPr>
          <w:rFonts w:ascii="Verdana" w:hAnsi="Verdana"/>
          <w:sz w:val="20"/>
          <w:szCs w:val="20"/>
        </w:rPr>
        <w:t>supervinientes, por lo que, de conformidad con el artículo 57.2 del reglamento, tales documentos no son admitidos.</w:t>
      </w:r>
    </w:p>
    <w:p w14:paraId="0ACE0FC9" w14:textId="77777777" w:rsidR="007A5487" w:rsidRPr="000B33B9" w:rsidRDefault="007A5487" w:rsidP="00C962FE">
      <w:pPr>
        <w:widowControl w:val="0"/>
        <w:tabs>
          <w:tab w:val="left" w:pos="567"/>
        </w:tabs>
        <w:adjustRightInd w:val="0"/>
        <w:spacing w:after="0" w:line="240" w:lineRule="auto"/>
        <w:jc w:val="both"/>
        <w:textAlignment w:val="baseline"/>
        <w:rPr>
          <w:rFonts w:ascii="Verdana" w:hAnsi="Verdana"/>
          <w:sz w:val="20"/>
          <w:szCs w:val="20"/>
          <w:lang w:val="es-CR" w:eastAsia="es-MX"/>
        </w:rPr>
      </w:pPr>
    </w:p>
    <w:p w14:paraId="1E403F94" w14:textId="77777777" w:rsidR="007A5487" w:rsidRPr="000B33B9" w:rsidRDefault="00500A60" w:rsidP="00E112A2">
      <w:pPr>
        <w:pStyle w:val="Ttulo2"/>
      </w:pPr>
      <w:bookmarkStart w:id="44" w:name="_Toc9511441"/>
      <w:bookmarkStart w:id="45" w:name="_Toc4402949"/>
      <w:bookmarkStart w:id="46" w:name="_Toc4402710"/>
      <w:bookmarkStart w:id="47" w:name="_Toc27329756"/>
      <w:r w:rsidRPr="000B33B9">
        <w:t>Admisibilidad de la prueba testimonial y pericial</w:t>
      </w:r>
      <w:bookmarkEnd w:id="44"/>
      <w:bookmarkEnd w:id="45"/>
      <w:bookmarkEnd w:id="46"/>
      <w:bookmarkEnd w:id="47"/>
    </w:p>
    <w:p w14:paraId="21D3D507" w14:textId="1C7C98E7" w:rsidR="007A5487" w:rsidRPr="000B33B9" w:rsidRDefault="007A5487" w:rsidP="004B204D">
      <w:pPr>
        <w:tabs>
          <w:tab w:val="left" w:pos="7860"/>
        </w:tabs>
        <w:spacing w:after="0" w:line="240" w:lineRule="auto"/>
        <w:rPr>
          <w:rFonts w:ascii="Verdana" w:hAnsi="Verdana"/>
          <w:sz w:val="20"/>
          <w:szCs w:val="20"/>
          <w:lang w:val="es-CR" w:eastAsia="es-CR"/>
        </w:rPr>
      </w:pPr>
    </w:p>
    <w:p w14:paraId="56A0333A" w14:textId="548AFDEC" w:rsidR="006161CF" w:rsidRPr="000B33B9" w:rsidRDefault="006161CF" w:rsidP="007B74B8">
      <w:pPr>
        <w:widowControl w:val="0"/>
        <w:numPr>
          <w:ilvl w:val="0"/>
          <w:numId w:val="10"/>
        </w:numPr>
        <w:tabs>
          <w:tab w:val="left" w:pos="567"/>
          <w:tab w:val="num" w:pos="12305"/>
        </w:tabs>
        <w:adjustRightInd w:val="0"/>
        <w:spacing w:after="0" w:line="240" w:lineRule="auto"/>
        <w:ind w:left="0" w:firstLine="0"/>
        <w:jc w:val="both"/>
        <w:textAlignment w:val="baseline"/>
        <w:rPr>
          <w:rFonts w:ascii="Verdana" w:hAnsi="Verdana"/>
          <w:sz w:val="20"/>
          <w:szCs w:val="20"/>
          <w:lang w:val="es-CR" w:eastAsia="es-CR"/>
        </w:rPr>
      </w:pPr>
      <w:r w:rsidRPr="000B33B9">
        <w:rPr>
          <w:rFonts w:ascii="Verdana" w:hAnsi="Verdana"/>
          <w:sz w:val="20"/>
          <w:szCs w:val="20"/>
        </w:rPr>
        <w:t>Asimismo, la Corte estima pertinente admitir las declaraciones de la presunta víctima</w:t>
      </w:r>
      <w:r w:rsidR="005D4BD7" w:rsidRPr="000B33B9">
        <w:rPr>
          <w:rFonts w:ascii="Verdana" w:hAnsi="Verdana"/>
          <w:sz w:val="20"/>
          <w:szCs w:val="20"/>
        </w:rPr>
        <w:t xml:space="preserve"> y tres peritos, las declaraciones y </w:t>
      </w:r>
      <w:r w:rsidRPr="000B33B9">
        <w:rPr>
          <w:rFonts w:ascii="Verdana" w:hAnsi="Verdana"/>
          <w:sz w:val="20"/>
          <w:szCs w:val="20"/>
        </w:rPr>
        <w:t>dictámenes periciales rendidos ante fedatario público en el marco del presente caso</w:t>
      </w:r>
      <w:r w:rsidR="009506B4" w:rsidRPr="000B33B9">
        <w:rPr>
          <w:rFonts w:ascii="Verdana" w:hAnsi="Verdana"/>
          <w:sz w:val="20"/>
          <w:szCs w:val="20"/>
        </w:rPr>
        <w:t xml:space="preserve"> y el dictamen pericial rendido</w:t>
      </w:r>
      <w:r w:rsidRPr="000B33B9">
        <w:rPr>
          <w:rFonts w:ascii="Verdana" w:hAnsi="Verdana"/>
          <w:sz w:val="20"/>
          <w:szCs w:val="20"/>
        </w:rPr>
        <w:t xml:space="preserve"> por el señor </w:t>
      </w:r>
      <w:r w:rsidR="009506B4" w:rsidRPr="000B33B9">
        <w:rPr>
          <w:rFonts w:ascii="Verdana" w:hAnsi="Verdana"/>
          <w:sz w:val="20"/>
          <w:szCs w:val="20"/>
        </w:rPr>
        <w:t>Christian Courtis</w:t>
      </w:r>
      <w:r w:rsidRPr="000B33B9">
        <w:rPr>
          <w:rStyle w:val="Refdenotaalpie"/>
          <w:rFonts w:ascii="Verdana" w:hAnsi="Verdana"/>
          <w:sz w:val="20"/>
          <w:szCs w:val="20"/>
        </w:rPr>
        <w:footnoteReference w:id="31"/>
      </w:r>
      <w:r w:rsidRPr="000B33B9">
        <w:rPr>
          <w:rFonts w:ascii="Verdana" w:hAnsi="Verdana"/>
          <w:sz w:val="20"/>
          <w:szCs w:val="20"/>
        </w:rPr>
        <w:t xml:space="preserve"> en </w:t>
      </w:r>
      <w:r w:rsidR="009506B4" w:rsidRPr="000B33B9">
        <w:rPr>
          <w:rFonts w:ascii="Verdana" w:hAnsi="Verdana"/>
          <w:sz w:val="20"/>
          <w:szCs w:val="20"/>
        </w:rPr>
        <w:t>el caso</w:t>
      </w:r>
      <w:r w:rsidRPr="000B33B9">
        <w:rPr>
          <w:rFonts w:ascii="Verdana" w:hAnsi="Verdana"/>
          <w:sz w:val="20"/>
          <w:szCs w:val="20"/>
        </w:rPr>
        <w:t xml:space="preserve"> </w:t>
      </w:r>
      <w:r w:rsidR="009506B4" w:rsidRPr="000B33B9">
        <w:rPr>
          <w:rFonts w:ascii="Verdana" w:hAnsi="Verdana"/>
          <w:i/>
          <w:sz w:val="20"/>
          <w:szCs w:val="20"/>
        </w:rPr>
        <w:t>Muelle Flores Vs. Perú</w:t>
      </w:r>
      <w:r w:rsidRPr="000B33B9">
        <w:rPr>
          <w:rFonts w:ascii="Verdana" w:hAnsi="Verdana"/>
          <w:sz w:val="20"/>
          <w:szCs w:val="20"/>
        </w:rPr>
        <w:t xml:space="preserve">, </w:t>
      </w:r>
      <w:r w:rsidR="00FC76E0" w:rsidRPr="000B33B9">
        <w:rPr>
          <w:rFonts w:ascii="Verdana" w:hAnsi="Verdana"/>
          <w:sz w:val="20"/>
          <w:szCs w:val="20"/>
        </w:rPr>
        <w:t xml:space="preserve">en </w:t>
      </w:r>
      <w:r w:rsidR="00B05765" w:rsidRPr="000B33B9">
        <w:rPr>
          <w:rFonts w:ascii="Verdana" w:hAnsi="Verdana"/>
          <w:sz w:val="20"/>
          <w:szCs w:val="20"/>
        </w:rPr>
        <w:t xml:space="preserve">la medida en que </w:t>
      </w:r>
      <w:r w:rsidR="00FC76E0" w:rsidRPr="000B33B9">
        <w:rPr>
          <w:rFonts w:ascii="Verdana" w:hAnsi="Verdana"/>
          <w:sz w:val="20"/>
          <w:szCs w:val="20"/>
        </w:rPr>
        <w:t>se ajusten al objeto definido por el Presidente en la Resolución que ordenó recibirlos</w:t>
      </w:r>
      <w:r w:rsidR="00FC76E0" w:rsidRPr="000B33B9">
        <w:rPr>
          <w:rStyle w:val="Refdenotaalpie"/>
          <w:rFonts w:ascii="Verdana" w:hAnsi="Verdana"/>
          <w:sz w:val="20"/>
          <w:szCs w:val="20"/>
        </w:rPr>
        <w:footnoteReference w:id="32"/>
      </w:r>
      <w:r w:rsidRPr="000B33B9">
        <w:rPr>
          <w:rFonts w:ascii="Verdana" w:hAnsi="Verdana"/>
          <w:sz w:val="20"/>
          <w:szCs w:val="20"/>
        </w:rPr>
        <w:t>.</w:t>
      </w:r>
    </w:p>
    <w:p w14:paraId="5ADA0F10" w14:textId="77777777" w:rsidR="006161CF" w:rsidRPr="000B33B9" w:rsidRDefault="006161CF" w:rsidP="00C962FE">
      <w:pPr>
        <w:widowControl w:val="0"/>
        <w:tabs>
          <w:tab w:val="left" w:pos="567"/>
        </w:tabs>
        <w:adjustRightInd w:val="0"/>
        <w:spacing w:after="0" w:line="240" w:lineRule="auto"/>
        <w:jc w:val="both"/>
        <w:textAlignment w:val="baseline"/>
        <w:rPr>
          <w:rFonts w:ascii="Verdana" w:hAnsi="Verdana"/>
          <w:sz w:val="20"/>
          <w:szCs w:val="20"/>
          <w:lang w:val="es-CR" w:eastAsia="es-CR"/>
        </w:rPr>
      </w:pPr>
    </w:p>
    <w:p w14:paraId="18292EB4" w14:textId="6D9BBE43" w:rsidR="00B86B27" w:rsidRPr="000B33B9" w:rsidRDefault="00B86B27" w:rsidP="00640C2A">
      <w:pPr>
        <w:pStyle w:val="Ttulo1"/>
        <w:rPr>
          <w:snapToGrid w:val="0"/>
          <w:lang w:val="es-ES_tradnl"/>
        </w:rPr>
      </w:pPr>
      <w:bookmarkStart w:id="48" w:name="_Toc7020780"/>
      <w:bookmarkStart w:id="49" w:name="_Toc19533025"/>
      <w:bookmarkStart w:id="50" w:name="_Toc27329757"/>
      <w:r w:rsidRPr="000B33B9">
        <w:rPr>
          <w:snapToGrid w:val="0"/>
          <w:lang w:val="es-ES_tradnl"/>
        </w:rPr>
        <w:t>VI</w:t>
      </w:r>
      <w:r w:rsidR="003A17A6" w:rsidRPr="000B33B9">
        <w:rPr>
          <w:snapToGrid w:val="0"/>
          <w:lang w:val="es-ES_tradnl"/>
        </w:rPr>
        <w:t>I</w:t>
      </w:r>
      <w:r w:rsidRPr="000B33B9">
        <w:rPr>
          <w:snapToGrid w:val="0"/>
          <w:lang w:val="es-ES_tradnl"/>
        </w:rPr>
        <w:br/>
      </w:r>
      <w:bookmarkEnd w:id="48"/>
      <w:bookmarkEnd w:id="49"/>
      <w:r w:rsidR="00640C2A" w:rsidRPr="000B33B9">
        <w:rPr>
          <w:snapToGrid w:val="0"/>
          <w:lang w:val="es-ES_tradnl"/>
        </w:rPr>
        <w:t>HECHOS</w:t>
      </w:r>
      <w:bookmarkEnd w:id="50"/>
    </w:p>
    <w:p w14:paraId="49206FDC" w14:textId="77777777" w:rsidR="00B86B27" w:rsidRPr="000B33B9" w:rsidRDefault="00B86B27" w:rsidP="00B86B27">
      <w:pPr>
        <w:spacing w:after="0" w:line="240" w:lineRule="auto"/>
        <w:rPr>
          <w:rFonts w:ascii="Verdana" w:hAnsi="Verdana"/>
          <w:sz w:val="20"/>
          <w:szCs w:val="20"/>
          <w:lang w:val="es-DO"/>
        </w:rPr>
      </w:pPr>
    </w:p>
    <w:p w14:paraId="546D5609" w14:textId="2A90ABE5" w:rsidR="000C0D46" w:rsidRPr="000B33B9" w:rsidRDefault="000C0D46" w:rsidP="007B74B8">
      <w:pPr>
        <w:pStyle w:val="Prrafodelista"/>
        <w:numPr>
          <w:ilvl w:val="0"/>
          <w:numId w:val="10"/>
        </w:numPr>
        <w:spacing w:after="0" w:line="240" w:lineRule="auto"/>
        <w:ind w:left="0" w:firstLine="0"/>
        <w:jc w:val="both"/>
        <w:rPr>
          <w:rFonts w:ascii="Verdana" w:hAnsi="Verdana"/>
          <w:sz w:val="20"/>
          <w:szCs w:val="20"/>
          <w:lang w:val="es-DO"/>
        </w:rPr>
      </w:pPr>
      <w:r w:rsidRPr="000B33B9">
        <w:rPr>
          <w:rFonts w:ascii="Verdana" w:hAnsi="Verdana"/>
          <w:sz w:val="20"/>
          <w:szCs w:val="20"/>
          <w:lang w:val="es-DO"/>
        </w:rPr>
        <w:t xml:space="preserve">Los hechos del presente caso </w:t>
      </w:r>
      <w:r w:rsidR="007F0E38" w:rsidRPr="000B33B9">
        <w:rPr>
          <w:rFonts w:ascii="Verdana" w:hAnsi="Verdana"/>
          <w:sz w:val="20"/>
          <w:szCs w:val="20"/>
          <w:lang w:val="es-DO"/>
        </w:rPr>
        <w:t>se refieren a las acciones de amparo intentadas por los miembros de ANCEJUB-SUNAT</w:t>
      </w:r>
      <w:r w:rsidR="006B7C55" w:rsidRPr="000B33B9">
        <w:rPr>
          <w:rFonts w:ascii="Verdana" w:hAnsi="Verdana"/>
          <w:sz w:val="20"/>
          <w:szCs w:val="20"/>
          <w:lang w:val="es-DO"/>
        </w:rPr>
        <w:t>,</w:t>
      </w:r>
      <w:r w:rsidR="007F0E38" w:rsidRPr="000B33B9">
        <w:rPr>
          <w:rFonts w:ascii="Verdana" w:hAnsi="Verdana"/>
          <w:sz w:val="20"/>
          <w:szCs w:val="20"/>
          <w:lang w:val="es-DO"/>
        </w:rPr>
        <w:t xml:space="preserve"> a través de la</w:t>
      </w:r>
      <w:r w:rsidR="006B7C55" w:rsidRPr="000B33B9">
        <w:rPr>
          <w:rFonts w:ascii="Verdana" w:hAnsi="Verdana"/>
          <w:sz w:val="20"/>
          <w:szCs w:val="20"/>
          <w:lang w:val="es-DO"/>
        </w:rPr>
        <w:t>s</w:t>
      </w:r>
      <w:r w:rsidR="007F0E38" w:rsidRPr="000B33B9">
        <w:rPr>
          <w:rFonts w:ascii="Verdana" w:hAnsi="Verdana"/>
          <w:sz w:val="20"/>
          <w:szCs w:val="20"/>
          <w:lang w:val="es-DO"/>
        </w:rPr>
        <w:t xml:space="preserve"> cual</w:t>
      </w:r>
      <w:r w:rsidR="006B7C55" w:rsidRPr="000B33B9">
        <w:rPr>
          <w:rFonts w:ascii="Verdana" w:hAnsi="Verdana"/>
          <w:sz w:val="20"/>
          <w:szCs w:val="20"/>
          <w:lang w:val="es-DO"/>
        </w:rPr>
        <w:t>es</w:t>
      </w:r>
      <w:r w:rsidR="007F0E38" w:rsidRPr="000B33B9">
        <w:rPr>
          <w:rFonts w:ascii="Verdana" w:hAnsi="Verdana"/>
          <w:sz w:val="20"/>
          <w:szCs w:val="20"/>
          <w:lang w:val="es-DO"/>
        </w:rPr>
        <w:t xml:space="preserve"> </w:t>
      </w:r>
      <w:r w:rsidR="006B7C55" w:rsidRPr="000B33B9">
        <w:rPr>
          <w:rFonts w:ascii="Verdana" w:hAnsi="Verdana"/>
          <w:sz w:val="20"/>
          <w:szCs w:val="20"/>
          <w:lang w:val="es-DO"/>
        </w:rPr>
        <w:t>impugnaron la aplicación de la Tercera Disposición Transit</w:t>
      </w:r>
      <w:r w:rsidR="00356381" w:rsidRPr="000B33B9">
        <w:rPr>
          <w:rFonts w:ascii="Verdana" w:hAnsi="Verdana"/>
          <w:sz w:val="20"/>
          <w:szCs w:val="20"/>
          <w:lang w:val="es-DO"/>
        </w:rPr>
        <w:t>oria del Decreto Legislativo</w:t>
      </w:r>
      <w:r w:rsidR="006B7C55" w:rsidRPr="000B33B9">
        <w:rPr>
          <w:rFonts w:ascii="Verdana" w:hAnsi="Verdana"/>
          <w:sz w:val="20"/>
          <w:szCs w:val="20"/>
          <w:lang w:val="es-DO"/>
        </w:rPr>
        <w:t xml:space="preserve"> 673 de 23 de septiembre de 1991 y solicitaron la ejecución de la sentencia de la Sala de Derecho Constitucional y Social de la </w:t>
      </w:r>
      <w:r w:rsidR="00010CD8" w:rsidRPr="000B33B9">
        <w:rPr>
          <w:rFonts w:ascii="Verdana" w:hAnsi="Verdana"/>
          <w:sz w:val="20"/>
          <w:szCs w:val="20"/>
          <w:lang w:val="es-DO"/>
        </w:rPr>
        <w:t xml:space="preserve">Corte </w:t>
      </w:r>
      <w:r w:rsidR="006B7C55" w:rsidRPr="000B33B9">
        <w:rPr>
          <w:rFonts w:ascii="Verdana" w:hAnsi="Verdana"/>
          <w:sz w:val="20"/>
          <w:szCs w:val="20"/>
          <w:lang w:val="es-DO"/>
        </w:rPr>
        <w:t>Suprema de Justicia de la República de 25 de octubre de 1993. En este capítulo la Corte abordará los hechos que se tendrán por probados en el presente caso, con base en el acervo probatorio que ha sido admitido y según el marco fáctico establecido en el Informe de Fondo. Además, se incluirán los hechos expuestos por las partes que permitan explicar, aclarar o desestimar ese marco fáctico</w:t>
      </w:r>
      <w:r w:rsidR="006B7C55" w:rsidRPr="000B33B9">
        <w:rPr>
          <w:rStyle w:val="Refdenotaalpie"/>
          <w:rFonts w:ascii="Verdana" w:hAnsi="Verdana"/>
          <w:sz w:val="20"/>
          <w:szCs w:val="20"/>
          <w:lang w:val="es-DO"/>
        </w:rPr>
        <w:footnoteReference w:id="33"/>
      </w:r>
      <w:r w:rsidR="006B7C55" w:rsidRPr="000B33B9">
        <w:rPr>
          <w:rFonts w:ascii="Verdana" w:hAnsi="Verdana"/>
          <w:sz w:val="20"/>
          <w:szCs w:val="20"/>
          <w:lang w:val="es-DO"/>
        </w:rPr>
        <w:t>. En virtud de ello, se abordarán los hechos del caso concreto en el siguiente orden: a) antecedentes; b) primera acción de amparo; c) segunda acci</w:t>
      </w:r>
      <w:r w:rsidR="00640F74" w:rsidRPr="000B33B9">
        <w:rPr>
          <w:rFonts w:ascii="Verdana" w:hAnsi="Verdana"/>
          <w:sz w:val="20"/>
          <w:szCs w:val="20"/>
          <w:lang w:val="es-DO"/>
        </w:rPr>
        <w:t>ón de ampa</w:t>
      </w:r>
      <w:r w:rsidR="00E3367A" w:rsidRPr="000B33B9">
        <w:rPr>
          <w:rFonts w:ascii="Verdana" w:hAnsi="Verdana"/>
          <w:sz w:val="20"/>
          <w:szCs w:val="20"/>
          <w:lang w:val="es-DO"/>
        </w:rPr>
        <w:t>ro; d) tercera acción de amparo,</w:t>
      </w:r>
      <w:r w:rsidR="00640F74" w:rsidRPr="000B33B9">
        <w:rPr>
          <w:rFonts w:ascii="Verdana" w:hAnsi="Verdana"/>
          <w:sz w:val="20"/>
          <w:szCs w:val="20"/>
          <w:lang w:val="es-DO"/>
        </w:rPr>
        <w:t xml:space="preserve"> </w:t>
      </w:r>
      <w:r w:rsidR="00010CD8" w:rsidRPr="000B33B9">
        <w:rPr>
          <w:rFonts w:ascii="Verdana" w:hAnsi="Verdana"/>
          <w:sz w:val="20"/>
          <w:szCs w:val="20"/>
          <w:lang w:val="es-DO"/>
        </w:rPr>
        <w:t xml:space="preserve">y </w:t>
      </w:r>
      <w:r w:rsidR="00640F74" w:rsidRPr="000B33B9">
        <w:rPr>
          <w:rFonts w:ascii="Verdana" w:hAnsi="Verdana"/>
          <w:sz w:val="20"/>
          <w:szCs w:val="20"/>
          <w:lang w:val="es-DO"/>
        </w:rPr>
        <w:t>e) recursos intentados por el señor Ipanaqué.</w:t>
      </w:r>
    </w:p>
    <w:p w14:paraId="7638BA6B" w14:textId="77777777" w:rsidR="000C0D46" w:rsidRPr="000B33B9" w:rsidRDefault="000C0D46" w:rsidP="00B86B27">
      <w:pPr>
        <w:spacing w:after="0" w:line="240" w:lineRule="auto"/>
        <w:rPr>
          <w:rFonts w:ascii="Verdana" w:hAnsi="Verdana"/>
          <w:sz w:val="20"/>
          <w:szCs w:val="20"/>
          <w:lang w:val="es-DO"/>
        </w:rPr>
      </w:pPr>
    </w:p>
    <w:p w14:paraId="7EF17DD6" w14:textId="77777777" w:rsidR="00B86B27" w:rsidRPr="000B33B9" w:rsidRDefault="00B86B27" w:rsidP="007B74B8">
      <w:pPr>
        <w:pStyle w:val="Ttulo2"/>
        <w:numPr>
          <w:ilvl w:val="0"/>
          <w:numId w:val="16"/>
        </w:numPr>
      </w:pPr>
      <w:bookmarkStart w:id="51" w:name="_Toc27329758"/>
      <w:r w:rsidRPr="000B33B9">
        <w:t>Antecedentes</w:t>
      </w:r>
      <w:bookmarkEnd w:id="51"/>
    </w:p>
    <w:p w14:paraId="117581C4" w14:textId="77777777" w:rsidR="00B86B27" w:rsidRPr="000B33B9" w:rsidRDefault="00B86B27" w:rsidP="00B86B27">
      <w:pPr>
        <w:spacing w:after="0" w:line="240" w:lineRule="auto"/>
        <w:ind w:left="360"/>
        <w:jc w:val="both"/>
        <w:rPr>
          <w:rFonts w:ascii="Verdana" w:hAnsi="Verdana"/>
          <w:b/>
          <w:sz w:val="20"/>
          <w:szCs w:val="20"/>
          <w:lang w:val="es-DO"/>
        </w:rPr>
      </w:pPr>
    </w:p>
    <w:p w14:paraId="63FFFBF7" w14:textId="505D7B41" w:rsidR="00B86B27" w:rsidRPr="000B33B9" w:rsidRDefault="00B86B27" w:rsidP="007B74B8">
      <w:pPr>
        <w:pStyle w:val="Prrafodelista"/>
        <w:numPr>
          <w:ilvl w:val="0"/>
          <w:numId w:val="10"/>
        </w:numPr>
        <w:spacing w:after="0" w:line="240" w:lineRule="auto"/>
        <w:ind w:left="0" w:firstLine="0"/>
        <w:jc w:val="both"/>
        <w:rPr>
          <w:rFonts w:ascii="Verdana" w:hAnsi="Verdana"/>
          <w:sz w:val="20"/>
          <w:szCs w:val="20"/>
          <w:lang w:val="es-DO"/>
        </w:rPr>
      </w:pPr>
      <w:r w:rsidRPr="000B33B9">
        <w:rPr>
          <w:rFonts w:ascii="Verdana" w:hAnsi="Verdana"/>
          <w:sz w:val="20"/>
          <w:szCs w:val="20"/>
          <w:lang w:val="es-DO"/>
        </w:rPr>
        <w:t xml:space="preserve">La Superintendencia </w:t>
      </w:r>
      <w:r w:rsidR="00356381" w:rsidRPr="000B33B9">
        <w:rPr>
          <w:rFonts w:ascii="Verdana" w:hAnsi="Verdana"/>
          <w:sz w:val="20"/>
          <w:szCs w:val="20"/>
          <w:lang w:val="es-DO"/>
        </w:rPr>
        <w:t xml:space="preserve">Nacional </w:t>
      </w:r>
      <w:r w:rsidRPr="000B33B9">
        <w:rPr>
          <w:rFonts w:ascii="Verdana" w:hAnsi="Verdana"/>
          <w:sz w:val="20"/>
          <w:szCs w:val="20"/>
          <w:lang w:val="es-DO"/>
        </w:rPr>
        <w:t>de Adminis</w:t>
      </w:r>
      <w:r w:rsidR="00356381" w:rsidRPr="000B33B9">
        <w:rPr>
          <w:rFonts w:ascii="Verdana" w:hAnsi="Verdana"/>
          <w:sz w:val="20"/>
          <w:szCs w:val="20"/>
          <w:lang w:val="es-DO"/>
        </w:rPr>
        <w:t>tración Tributaria (en adelante</w:t>
      </w:r>
      <w:r w:rsidRPr="000B33B9">
        <w:rPr>
          <w:rFonts w:ascii="Verdana" w:hAnsi="Verdana"/>
          <w:sz w:val="20"/>
          <w:szCs w:val="20"/>
          <w:lang w:val="es-DO"/>
        </w:rPr>
        <w:t xml:space="preserve"> “SUNAT”) fue creada el 31 de mayo de 1988 por la Ley 24829 como un</w:t>
      </w:r>
      <w:r w:rsidR="00C219AA" w:rsidRPr="000B33B9">
        <w:rPr>
          <w:rFonts w:ascii="Verdana" w:hAnsi="Verdana"/>
          <w:sz w:val="20"/>
          <w:szCs w:val="20"/>
          <w:lang w:val="es-DO"/>
        </w:rPr>
        <w:t>a</w:t>
      </w:r>
      <w:r w:rsidR="00356381" w:rsidRPr="000B33B9">
        <w:rPr>
          <w:rFonts w:ascii="Verdana" w:hAnsi="Verdana"/>
          <w:sz w:val="20"/>
          <w:szCs w:val="20"/>
          <w:lang w:val="es-DO"/>
        </w:rPr>
        <w:t xml:space="preserve"> institución pública d</w:t>
      </w:r>
      <w:r w:rsidRPr="000B33B9">
        <w:rPr>
          <w:rFonts w:ascii="Verdana" w:hAnsi="Verdana"/>
          <w:sz w:val="20"/>
          <w:szCs w:val="20"/>
          <w:lang w:val="es-DO"/>
        </w:rPr>
        <w:t>escentralizada del Sector de Economía y Finanzas, con la finalidad de “administrar, aplicar, fiscalizar y recaudar los tributos internos con excepción de los municipales así como proponer y participar en la reglamentación de las normas tributarias”</w:t>
      </w:r>
      <w:r w:rsidRPr="000B33B9">
        <w:rPr>
          <w:rStyle w:val="Refdenotaalpie"/>
          <w:rFonts w:ascii="Verdana" w:hAnsi="Verdana"/>
          <w:sz w:val="20"/>
          <w:szCs w:val="20"/>
          <w:lang w:val="es-DO"/>
        </w:rPr>
        <w:footnoteReference w:id="34"/>
      </w:r>
      <w:r w:rsidRPr="000B33B9">
        <w:rPr>
          <w:rFonts w:ascii="Verdana" w:hAnsi="Verdana"/>
          <w:sz w:val="20"/>
          <w:szCs w:val="20"/>
          <w:lang w:val="es-DO"/>
        </w:rPr>
        <w:t>. Las presuntas víctimas del presente caso fueron servidores públicos de la SUNAT hasta el año 1991</w:t>
      </w:r>
      <w:r w:rsidRPr="000B33B9">
        <w:rPr>
          <w:rStyle w:val="Refdenotaalpie"/>
          <w:rFonts w:ascii="Verdana" w:hAnsi="Verdana"/>
          <w:sz w:val="20"/>
          <w:szCs w:val="20"/>
          <w:lang w:val="es-DO"/>
        </w:rPr>
        <w:footnoteReference w:id="35"/>
      </w:r>
      <w:r w:rsidRPr="000B33B9">
        <w:rPr>
          <w:rFonts w:ascii="Verdana" w:hAnsi="Verdana"/>
          <w:sz w:val="20"/>
          <w:szCs w:val="20"/>
          <w:lang w:val="es-DO"/>
        </w:rPr>
        <w:t>, y como trabajadores de dicha institución se encontraron sujetos al régimen de pensiones dispuesto en el Decreto Ley 20530</w:t>
      </w:r>
      <w:r w:rsidRPr="000B33B9">
        <w:rPr>
          <w:rStyle w:val="Refdenotaalpie"/>
          <w:rFonts w:ascii="Verdana" w:hAnsi="Verdana"/>
          <w:sz w:val="20"/>
          <w:szCs w:val="20"/>
          <w:lang w:val="es-DO"/>
        </w:rPr>
        <w:footnoteReference w:id="36"/>
      </w:r>
      <w:r w:rsidRPr="000B33B9">
        <w:rPr>
          <w:rFonts w:ascii="Verdana" w:hAnsi="Verdana"/>
          <w:sz w:val="20"/>
          <w:szCs w:val="20"/>
          <w:lang w:val="es-DO"/>
        </w:rPr>
        <w:t xml:space="preserve"> (Régimen de Pensiones y Compensaciones por Servicios Civiles Prestados al Estado no Comprendidos en el Decreto Ley 19990) y a la Disposición Transitoria Octava de la Constitución</w:t>
      </w:r>
      <w:r w:rsidR="00356381" w:rsidRPr="000B33B9">
        <w:rPr>
          <w:rFonts w:ascii="Verdana" w:hAnsi="Verdana"/>
          <w:sz w:val="20"/>
          <w:szCs w:val="20"/>
          <w:lang w:val="es-DO"/>
        </w:rPr>
        <w:t xml:space="preserve"> Política de 1979 (en adelante </w:t>
      </w:r>
      <w:r w:rsidRPr="000B33B9">
        <w:rPr>
          <w:rFonts w:ascii="Verdana" w:hAnsi="Verdana"/>
          <w:sz w:val="20"/>
          <w:szCs w:val="20"/>
          <w:lang w:val="es-DO"/>
        </w:rPr>
        <w:t xml:space="preserve">“Disposición Transitoria Octava”). El Decreto Ley 20530 </w:t>
      </w:r>
      <w:r w:rsidR="00E8134D" w:rsidRPr="000B33B9">
        <w:rPr>
          <w:rFonts w:ascii="Verdana" w:hAnsi="Verdana"/>
          <w:sz w:val="20"/>
          <w:szCs w:val="20"/>
          <w:lang w:val="es-DO"/>
        </w:rPr>
        <w:t>(</w:t>
      </w:r>
      <w:r w:rsidR="009856B4" w:rsidRPr="000B33B9">
        <w:rPr>
          <w:rFonts w:ascii="Verdana" w:hAnsi="Verdana"/>
          <w:sz w:val="20"/>
          <w:szCs w:val="20"/>
          <w:lang w:val="es-DO"/>
        </w:rPr>
        <w:t xml:space="preserve">en </w:t>
      </w:r>
      <w:r w:rsidR="00E8134D" w:rsidRPr="000B33B9">
        <w:rPr>
          <w:rFonts w:ascii="Verdana" w:hAnsi="Verdana"/>
          <w:sz w:val="20"/>
          <w:szCs w:val="20"/>
          <w:lang w:val="es-DO"/>
        </w:rPr>
        <w:t xml:space="preserve">adelante “Decreto 20530”) </w:t>
      </w:r>
      <w:r w:rsidRPr="000B33B9">
        <w:rPr>
          <w:rFonts w:ascii="Verdana" w:hAnsi="Verdana"/>
          <w:sz w:val="20"/>
          <w:szCs w:val="20"/>
          <w:lang w:val="es-DO"/>
        </w:rPr>
        <w:t>y la Disposición Transitoria Octava señalan que “</w:t>
      </w:r>
      <w:r w:rsidR="009346C0" w:rsidRPr="000B33B9">
        <w:rPr>
          <w:rFonts w:ascii="Verdana" w:hAnsi="Verdana"/>
          <w:sz w:val="20"/>
          <w:szCs w:val="20"/>
          <w:lang w:val="es-DO"/>
        </w:rPr>
        <w:t>(…) [</w:t>
      </w:r>
      <w:r w:rsidRPr="000B33B9">
        <w:rPr>
          <w:rFonts w:ascii="Verdana" w:hAnsi="Verdana"/>
          <w:sz w:val="20"/>
          <w:szCs w:val="20"/>
          <w:lang w:val="es-DO"/>
        </w:rPr>
        <w:t>l</w:t>
      </w:r>
      <w:r w:rsidR="009346C0" w:rsidRPr="000B33B9">
        <w:rPr>
          <w:rFonts w:ascii="Verdana" w:hAnsi="Verdana"/>
          <w:sz w:val="20"/>
          <w:szCs w:val="20"/>
          <w:lang w:val="es-DO"/>
        </w:rPr>
        <w:t>]</w:t>
      </w:r>
      <w:r w:rsidRPr="000B33B9">
        <w:rPr>
          <w:rFonts w:ascii="Verdana" w:hAnsi="Verdana"/>
          <w:sz w:val="20"/>
          <w:szCs w:val="20"/>
          <w:lang w:val="es-DO"/>
        </w:rPr>
        <w:t>as pensiones de los cesantes con más de veinte años de servicio y de los jubilados de la administración pública, no sometidas al régimen del Seguro Social del Perú o a otros regímenes especiales, se nivelan progresivamente con los haberes de los servidores públicos en actividad de las respectivas categorías”</w:t>
      </w:r>
      <w:r w:rsidRPr="000B33B9">
        <w:rPr>
          <w:rStyle w:val="Refdenotaalpie"/>
          <w:rFonts w:ascii="Verdana" w:hAnsi="Verdana"/>
          <w:sz w:val="20"/>
          <w:szCs w:val="20"/>
          <w:lang w:val="es-DO"/>
        </w:rPr>
        <w:footnoteReference w:id="37"/>
      </w:r>
      <w:r w:rsidRPr="000B33B9">
        <w:rPr>
          <w:rFonts w:ascii="Verdana" w:hAnsi="Verdana"/>
          <w:sz w:val="20"/>
          <w:szCs w:val="20"/>
          <w:lang w:val="es-DO"/>
        </w:rPr>
        <w:t>.</w:t>
      </w:r>
    </w:p>
    <w:p w14:paraId="6E7222AC" w14:textId="77777777" w:rsidR="00B86B27" w:rsidRPr="000B33B9" w:rsidRDefault="00B86B27" w:rsidP="00B86B27">
      <w:pPr>
        <w:pStyle w:val="Prrafodelista"/>
        <w:rPr>
          <w:rFonts w:ascii="Verdana" w:hAnsi="Verdana"/>
          <w:sz w:val="20"/>
          <w:szCs w:val="20"/>
          <w:lang w:val="es-DO"/>
        </w:rPr>
      </w:pPr>
    </w:p>
    <w:p w14:paraId="2BA90890" w14:textId="47739ABE" w:rsidR="00B86B27" w:rsidRPr="000B33B9" w:rsidRDefault="00B86B27" w:rsidP="007B74B8">
      <w:pPr>
        <w:pStyle w:val="Prrafodelista"/>
        <w:numPr>
          <w:ilvl w:val="0"/>
          <w:numId w:val="10"/>
        </w:numPr>
        <w:spacing w:after="0" w:line="240" w:lineRule="auto"/>
        <w:ind w:left="0" w:firstLine="0"/>
        <w:jc w:val="both"/>
        <w:rPr>
          <w:rFonts w:ascii="Verdana" w:hAnsi="Verdana"/>
          <w:sz w:val="20"/>
          <w:szCs w:val="20"/>
          <w:lang w:val="es-DO"/>
        </w:rPr>
      </w:pPr>
      <w:r w:rsidRPr="000B33B9">
        <w:rPr>
          <w:rFonts w:ascii="Verdana" w:hAnsi="Verdana"/>
          <w:sz w:val="20"/>
          <w:szCs w:val="20"/>
          <w:lang w:val="es-DO"/>
        </w:rPr>
        <w:t xml:space="preserve">El Decreto Ley 23495 de </w:t>
      </w:r>
      <w:r w:rsidR="009346C0" w:rsidRPr="000B33B9">
        <w:rPr>
          <w:rFonts w:ascii="Verdana" w:hAnsi="Verdana"/>
          <w:sz w:val="20"/>
          <w:szCs w:val="20"/>
          <w:lang w:val="es-DO"/>
        </w:rPr>
        <w:t>19</w:t>
      </w:r>
      <w:r w:rsidRPr="000B33B9">
        <w:rPr>
          <w:rFonts w:ascii="Verdana" w:hAnsi="Verdana"/>
          <w:sz w:val="20"/>
          <w:szCs w:val="20"/>
          <w:lang w:val="es-DO"/>
        </w:rPr>
        <w:t xml:space="preserve"> de noviembre de 1982 </w:t>
      </w:r>
      <w:r w:rsidR="003B7141" w:rsidRPr="000B33B9">
        <w:rPr>
          <w:rFonts w:ascii="Verdana" w:hAnsi="Verdana"/>
          <w:sz w:val="20"/>
          <w:szCs w:val="20"/>
          <w:lang w:val="es-DO"/>
        </w:rPr>
        <w:t xml:space="preserve">(en adelante “Ley 23495”) </w:t>
      </w:r>
      <w:r w:rsidRPr="000B33B9">
        <w:rPr>
          <w:rFonts w:ascii="Verdana" w:hAnsi="Verdana"/>
          <w:sz w:val="20"/>
          <w:szCs w:val="20"/>
          <w:lang w:val="es-DO"/>
        </w:rPr>
        <w:t xml:space="preserve">reguló el alcance de la Disposición Transitoria Octava, estableciendo las reglas sobre la nivelación progresiva de las pensiones de los cesantes con más de 20 años de servicio y de los jubilados de la Administración Pública. El artículo 1 de dicho </w:t>
      </w:r>
      <w:r w:rsidR="00C219AA" w:rsidRPr="000B33B9">
        <w:rPr>
          <w:rFonts w:ascii="Verdana" w:hAnsi="Verdana"/>
          <w:sz w:val="20"/>
          <w:szCs w:val="20"/>
          <w:lang w:val="es-DO"/>
        </w:rPr>
        <w:t>d</w:t>
      </w:r>
      <w:r w:rsidRPr="000B33B9">
        <w:rPr>
          <w:rFonts w:ascii="Verdana" w:hAnsi="Verdana"/>
          <w:sz w:val="20"/>
          <w:szCs w:val="20"/>
          <w:lang w:val="es-DO"/>
        </w:rPr>
        <w:t>ecreto señala que la nivelación progresiva se “</w:t>
      </w:r>
      <w:r w:rsidR="003B7141" w:rsidRPr="000B33B9">
        <w:rPr>
          <w:rFonts w:ascii="Verdana" w:hAnsi="Verdana"/>
          <w:sz w:val="20"/>
          <w:szCs w:val="20"/>
          <w:lang w:val="es-DO"/>
        </w:rPr>
        <w:t xml:space="preserve">(…) </w:t>
      </w:r>
      <w:r w:rsidRPr="000B33B9">
        <w:rPr>
          <w:rFonts w:ascii="Verdana" w:hAnsi="Verdana"/>
          <w:sz w:val="20"/>
          <w:szCs w:val="20"/>
          <w:lang w:val="es-DO"/>
        </w:rPr>
        <w:t>efectuará con los haberes de los servidores públicos en actividad d</w:t>
      </w:r>
      <w:r w:rsidR="003B7141" w:rsidRPr="000B33B9">
        <w:rPr>
          <w:rFonts w:ascii="Verdana" w:hAnsi="Verdana"/>
          <w:sz w:val="20"/>
          <w:szCs w:val="20"/>
          <w:lang w:val="es-DO"/>
        </w:rPr>
        <w:t>e las respectivas categorías</w:t>
      </w:r>
      <w:r w:rsidRPr="000B33B9">
        <w:rPr>
          <w:rFonts w:ascii="Verdana" w:hAnsi="Verdana"/>
          <w:sz w:val="20"/>
          <w:szCs w:val="20"/>
          <w:lang w:val="es-DO"/>
        </w:rPr>
        <w:t xml:space="preserve">”. El artículo 5 de dicho Decreto señala que “[c]ualquier incremento posterior a la nivelación que se otorgue a los servidores públicos en actividad que desempeñen el cargo u otro similar al último cargo en </w:t>
      </w:r>
      <w:r w:rsidR="0010301D" w:rsidRPr="000B33B9">
        <w:rPr>
          <w:rFonts w:ascii="Verdana" w:hAnsi="Verdana"/>
          <w:sz w:val="20"/>
          <w:szCs w:val="20"/>
          <w:lang w:val="es-DO"/>
        </w:rPr>
        <w:t xml:space="preserve">que </w:t>
      </w:r>
      <w:r w:rsidRPr="000B33B9">
        <w:rPr>
          <w:rFonts w:ascii="Verdana" w:hAnsi="Verdana"/>
          <w:sz w:val="20"/>
          <w:szCs w:val="20"/>
          <w:lang w:val="es-DO"/>
        </w:rPr>
        <w:t xml:space="preserve">prestó servicios </w:t>
      </w:r>
      <w:r w:rsidR="0010301D" w:rsidRPr="000B33B9">
        <w:rPr>
          <w:rFonts w:ascii="Verdana" w:hAnsi="Verdana"/>
          <w:sz w:val="20"/>
          <w:szCs w:val="20"/>
          <w:lang w:val="es-DO"/>
        </w:rPr>
        <w:t>el</w:t>
      </w:r>
      <w:r w:rsidRPr="000B33B9">
        <w:rPr>
          <w:rFonts w:ascii="Verdana" w:hAnsi="Verdana"/>
          <w:sz w:val="20"/>
          <w:szCs w:val="20"/>
          <w:lang w:val="es-DO"/>
        </w:rPr>
        <w:t xml:space="preserve"> cesante o jubilado, dará lugar al incremento de la pensión en igual monto que corresponde al servidor en actividad”</w:t>
      </w:r>
      <w:r w:rsidRPr="000B33B9">
        <w:rPr>
          <w:rStyle w:val="Refdenotaalpie"/>
          <w:rFonts w:ascii="Verdana" w:hAnsi="Verdana"/>
          <w:sz w:val="20"/>
          <w:szCs w:val="20"/>
          <w:lang w:val="es-DO"/>
        </w:rPr>
        <w:footnoteReference w:id="38"/>
      </w:r>
      <w:r w:rsidRPr="000B33B9">
        <w:rPr>
          <w:rFonts w:ascii="Verdana" w:hAnsi="Verdana"/>
          <w:sz w:val="20"/>
          <w:szCs w:val="20"/>
          <w:lang w:val="es-DO"/>
        </w:rPr>
        <w:t>. En forma complemen</w:t>
      </w:r>
      <w:r w:rsidR="003B7141" w:rsidRPr="000B33B9">
        <w:rPr>
          <w:rFonts w:ascii="Verdana" w:hAnsi="Verdana"/>
          <w:sz w:val="20"/>
          <w:szCs w:val="20"/>
          <w:lang w:val="es-DO"/>
        </w:rPr>
        <w:t>taria, el Reglamento de la</w:t>
      </w:r>
      <w:r w:rsidRPr="000B33B9">
        <w:rPr>
          <w:rFonts w:ascii="Verdana" w:hAnsi="Verdana"/>
          <w:sz w:val="20"/>
          <w:szCs w:val="20"/>
          <w:lang w:val="es-DO"/>
        </w:rPr>
        <w:t xml:space="preserve"> Ley 23495 señala que “</w:t>
      </w:r>
      <w:r w:rsidR="00E8134D" w:rsidRPr="000B33B9">
        <w:rPr>
          <w:rFonts w:ascii="Verdana" w:hAnsi="Verdana"/>
          <w:sz w:val="20"/>
          <w:szCs w:val="20"/>
          <w:lang w:val="es-DO"/>
        </w:rPr>
        <w:t xml:space="preserve">(…) </w:t>
      </w:r>
      <w:r w:rsidRPr="000B33B9">
        <w:rPr>
          <w:rFonts w:ascii="Verdana" w:hAnsi="Verdana"/>
          <w:sz w:val="20"/>
          <w:szCs w:val="20"/>
          <w:lang w:val="es-DO"/>
        </w:rPr>
        <w:t>para los efectos de la nivelación de pensiones de los cesantes a que se refiere la ley se consideran los servicios prestados bajo el régimen del Decreto Ley 20530, que unifica e integra las normas y disposiciones relativas al régimen de pensiones del personal de la administración pública”</w:t>
      </w:r>
      <w:r w:rsidRPr="000B33B9">
        <w:rPr>
          <w:rStyle w:val="Refdenotaalpie"/>
          <w:rFonts w:ascii="Verdana" w:hAnsi="Verdana"/>
          <w:sz w:val="20"/>
          <w:szCs w:val="20"/>
          <w:lang w:val="es-DO"/>
        </w:rPr>
        <w:footnoteReference w:id="39"/>
      </w:r>
      <w:r w:rsidRPr="000B33B9">
        <w:rPr>
          <w:rFonts w:ascii="Verdana" w:hAnsi="Verdana"/>
          <w:sz w:val="20"/>
          <w:szCs w:val="20"/>
          <w:lang w:val="es-DO"/>
        </w:rPr>
        <w:t>.</w:t>
      </w:r>
    </w:p>
    <w:p w14:paraId="0EBA3B55" w14:textId="77777777" w:rsidR="00B86B27" w:rsidRPr="000B33B9" w:rsidRDefault="00B86B27" w:rsidP="00B86B27">
      <w:pPr>
        <w:spacing w:after="0" w:line="240" w:lineRule="auto"/>
        <w:jc w:val="both"/>
        <w:rPr>
          <w:rFonts w:ascii="Verdana" w:hAnsi="Verdana"/>
          <w:sz w:val="20"/>
          <w:szCs w:val="20"/>
          <w:lang w:val="es-DO"/>
        </w:rPr>
      </w:pPr>
    </w:p>
    <w:p w14:paraId="1982D624" w14:textId="16753E78" w:rsidR="00B86B27" w:rsidRPr="000B33B9" w:rsidRDefault="00B86B27" w:rsidP="007B74B8">
      <w:pPr>
        <w:pStyle w:val="Prrafodelista"/>
        <w:numPr>
          <w:ilvl w:val="0"/>
          <w:numId w:val="10"/>
        </w:numPr>
        <w:spacing w:after="0" w:line="240" w:lineRule="auto"/>
        <w:ind w:left="0" w:firstLine="0"/>
        <w:jc w:val="both"/>
        <w:rPr>
          <w:rFonts w:ascii="Verdana" w:hAnsi="Verdana"/>
          <w:sz w:val="20"/>
          <w:szCs w:val="20"/>
          <w:lang w:val="es-DO"/>
        </w:rPr>
      </w:pPr>
      <w:r w:rsidRPr="000B33B9">
        <w:rPr>
          <w:rFonts w:ascii="Verdana" w:hAnsi="Verdana"/>
          <w:sz w:val="20"/>
          <w:szCs w:val="20"/>
          <w:lang w:val="es-DO"/>
        </w:rPr>
        <w:t>El Decreto Legislativo 639 de 20 d</w:t>
      </w:r>
      <w:r w:rsidR="009346C0" w:rsidRPr="000B33B9">
        <w:rPr>
          <w:rFonts w:ascii="Verdana" w:hAnsi="Verdana"/>
          <w:sz w:val="20"/>
          <w:szCs w:val="20"/>
          <w:lang w:val="es-DO"/>
        </w:rPr>
        <w:t>e junio de 1991 (en</w:t>
      </w:r>
      <w:r w:rsidR="00791A52" w:rsidRPr="000B33B9">
        <w:rPr>
          <w:rFonts w:ascii="Verdana" w:hAnsi="Verdana"/>
          <w:sz w:val="20"/>
          <w:szCs w:val="20"/>
          <w:lang w:val="es-DO"/>
        </w:rPr>
        <w:t xml:space="preserve"> adelante</w:t>
      </w:r>
      <w:r w:rsidRPr="000B33B9">
        <w:rPr>
          <w:rFonts w:ascii="Verdana" w:hAnsi="Verdana"/>
          <w:sz w:val="20"/>
          <w:szCs w:val="20"/>
          <w:lang w:val="es-DO"/>
        </w:rPr>
        <w:t xml:space="preserve"> “Decreto 639”) declaró en reorganización la SUNAT para que adoptara “</w:t>
      </w:r>
      <w:r w:rsidR="00E8134D" w:rsidRPr="000B33B9">
        <w:rPr>
          <w:rFonts w:ascii="Verdana" w:hAnsi="Verdana"/>
          <w:sz w:val="20"/>
          <w:szCs w:val="20"/>
          <w:lang w:val="es-DO"/>
        </w:rPr>
        <w:t xml:space="preserve">(…) </w:t>
      </w:r>
      <w:r w:rsidRPr="000B33B9">
        <w:rPr>
          <w:rFonts w:ascii="Verdana" w:hAnsi="Verdana"/>
          <w:sz w:val="20"/>
          <w:szCs w:val="20"/>
          <w:lang w:val="es-DO"/>
        </w:rPr>
        <w:t>medidas tendientes a la reestructuración orgánica y de racionalización de los recursos que cuenta”</w:t>
      </w:r>
      <w:r w:rsidRPr="000B33B9">
        <w:rPr>
          <w:rStyle w:val="Refdenotaalpie"/>
          <w:rFonts w:ascii="Verdana" w:hAnsi="Verdana"/>
          <w:sz w:val="20"/>
          <w:szCs w:val="20"/>
          <w:lang w:val="es-DO"/>
        </w:rPr>
        <w:footnoteReference w:id="40"/>
      </w:r>
      <w:r w:rsidR="003B7141" w:rsidRPr="000B33B9">
        <w:rPr>
          <w:rFonts w:ascii="Verdana" w:hAnsi="Verdana"/>
          <w:sz w:val="20"/>
          <w:szCs w:val="20"/>
          <w:lang w:val="es-DO"/>
        </w:rPr>
        <w:t>. En virtud de dicho d</w:t>
      </w:r>
      <w:r w:rsidRPr="000B33B9">
        <w:rPr>
          <w:rFonts w:ascii="Verdana" w:hAnsi="Verdana"/>
          <w:sz w:val="20"/>
          <w:szCs w:val="20"/>
          <w:lang w:val="es-DO"/>
        </w:rPr>
        <w:t>ecreto se estableció que</w:t>
      </w:r>
      <w:r w:rsidR="003B7141" w:rsidRPr="000B33B9">
        <w:rPr>
          <w:rFonts w:ascii="Verdana" w:hAnsi="Verdana"/>
          <w:sz w:val="20"/>
          <w:szCs w:val="20"/>
          <w:lang w:val="es-DO"/>
        </w:rPr>
        <w:t>,</w:t>
      </w:r>
      <w:r w:rsidRPr="000B33B9">
        <w:rPr>
          <w:rFonts w:ascii="Verdana" w:hAnsi="Verdana"/>
          <w:sz w:val="20"/>
          <w:szCs w:val="20"/>
          <w:lang w:val="es-DO"/>
        </w:rPr>
        <w:t xml:space="preserve"> una vez definida la estructura orgánica que tendría la SUNAT, el personal postularía para ser sometido a un proceso de selección y calificación. Los empleados que aprobaran dicho proceso serían considerados en un cuadro de asignación de personal. Aquellos que no calificaran, serían declarados “excedentes” y en ese caso “no habría obligación de reubicación en la misma dependencia o en otra</w:t>
      </w:r>
      <w:r w:rsidR="003B7141" w:rsidRPr="000B33B9">
        <w:rPr>
          <w:rFonts w:ascii="Verdana" w:hAnsi="Verdana"/>
          <w:sz w:val="20"/>
          <w:szCs w:val="20"/>
          <w:lang w:val="es-DO"/>
        </w:rPr>
        <w:t xml:space="preserve"> del Sector”. El mismo d</w:t>
      </w:r>
      <w:r w:rsidRPr="000B33B9">
        <w:rPr>
          <w:rFonts w:ascii="Verdana" w:hAnsi="Verdana"/>
          <w:sz w:val="20"/>
          <w:szCs w:val="20"/>
          <w:lang w:val="es-DO"/>
        </w:rPr>
        <w:t>ecreto estableció que aquel personal que no postulara tendría la posibilidad de acogerse al “Programa de Renuncias Voluntarias”, el cual ofrecía una serie de incentivos económicos a los servidores públicos que renunciaran a la carrera administrativa en la SUNAT</w:t>
      </w:r>
      <w:r w:rsidRPr="000B33B9">
        <w:rPr>
          <w:rStyle w:val="Refdenotaalpie"/>
          <w:rFonts w:ascii="Verdana" w:hAnsi="Verdana"/>
          <w:sz w:val="20"/>
          <w:szCs w:val="20"/>
          <w:lang w:val="es-DO"/>
        </w:rPr>
        <w:footnoteReference w:id="41"/>
      </w:r>
      <w:r w:rsidR="00860FB9" w:rsidRPr="000B33B9">
        <w:rPr>
          <w:rFonts w:ascii="Verdana" w:hAnsi="Verdana"/>
          <w:sz w:val="20"/>
          <w:szCs w:val="20"/>
          <w:lang w:val="es-DO"/>
        </w:rPr>
        <w:t xml:space="preserve">, tales como el cómputo de tres y cinco </w:t>
      </w:r>
      <w:r w:rsidRPr="000B33B9">
        <w:rPr>
          <w:rFonts w:ascii="Verdana" w:hAnsi="Verdana"/>
          <w:sz w:val="20"/>
          <w:szCs w:val="20"/>
          <w:lang w:val="es-DO"/>
        </w:rPr>
        <w:t>años adicionales para la compensación por el tiempo de servicio</w:t>
      </w:r>
      <w:r w:rsidRPr="000B33B9">
        <w:rPr>
          <w:rStyle w:val="Refdenotaalpie"/>
          <w:rFonts w:ascii="Verdana" w:hAnsi="Verdana"/>
          <w:sz w:val="20"/>
          <w:szCs w:val="20"/>
          <w:lang w:val="es-DO"/>
        </w:rPr>
        <w:footnoteReference w:id="42"/>
      </w:r>
      <w:r w:rsidRPr="000B33B9">
        <w:rPr>
          <w:rFonts w:ascii="Verdana" w:hAnsi="Verdana"/>
          <w:sz w:val="20"/>
          <w:szCs w:val="20"/>
          <w:lang w:val="es-DO"/>
        </w:rPr>
        <w:t>. En caso de no acogerse a dicho programa o de no aprobar el proceso de selección y calificación, el trabajador sería cesado por “causal de reorganización”</w:t>
      </w:r>
      <w:r w:rsidRPr="000B33B9">
        <w:rPr>
          <w:rStyle w:val="Refdenotaalpie"/>
          <w:rFonts w:ascii="Verdana" w:hAnsi="Verdana"/>
          <w:sz w:val="20"/>
          <w:szCs w:val="20"/>
          <w:lang w:val="es-DO"/>
        </w:rPr>
        <w:footnoteReference w:id="43"/>
      </w:r>
      <w:r w:rsidRPr="000B33B9">
        <w:rPr>
          <w:rFonts w:ascii="Verdana" w:hAnsi="Verdana"/>
          <w:sz w:val="20"/>
          <w:szCs w:val="20"/>
          <w:lang w:val="es-DO"/>
        </w:rPr>
        <w:t>.</w:t>
      </w:r>
    </w:p>
    <w:p w14:paraId="4B5DE7A3" w14:textId="77777777" w:rsidR="00B86B27" w:rsidRPr="000B33B9" w:rsidRDefault="00B86B27" w:rsidP="00B86B27">
      <w:pPr>
        <w:pStyle w:val="Prrafodelista"/>
        <w:rPr>
          <w:rFonts w:ascii="Verdana" w:hAnsi="Verdana"/>
          <w:sz w:val="20"/>
          <w:szCs w:val="20"/>
          <w:lang w:val="es-DO"/>
        </w:rPr>
      </w:pPr>
    </w:p>
    <w:p w14:paraId="6C8C39C5" w14:textId="1A8B625D" w:rsidR="00B86B27" w:rsidRPr="000B33B9" w:rsidRDefault="00B86B27" w:rsidP="007B74B8">
      <w:pPr>
        <w:pStyle w:val="Prrafodelista"/>
        <w:numPr>
          <w:ilvl w:val="0"/>
          <w:numId w:val="10"/>
        </w:numPr>
        <w:spacing w:after="0" w:line="240" w:lineRule="auto"/>
        <w:ind w:left="0" w:firstLine="0"/>
        <w:jc w:val="both"/>
        <w:rPr>
          <w:rFonts w:ascii="Verdana" w:hAnsi="Verdana"/>
          <w:sz w:val="20"/>
          <w:szCs w:val="20"/>
          <w:lang w:val="es-DO"/>
        </w:rPr>
      </w:pPr>
      <w:r w:rsidRPr="000B33B9">
        <w:rPr>
          <w:rFonts w:ascii="Verdana" w:hAnsi="Verdana"/>
          <w:sz w:val="20"/>
          <w:szCs w:val="20"/>
          <w:lang w:val="es-DO"/>
        </w:rPr>
        <w:t>En tanto empleados de la SUNAT sujetos al régimen pensionario del Decreto 20530, las presuntas víctimas del caso decidieron acogerse al Programa de Renuncias Voluntarias dispuesto por el Decreto 639 y, por consiguiente, al cesar de sus cargos les correspondía tanto los beneficios económicos del indicado programa como la nivelación de sus pensiones conforme los haberes de los servidores activos de dicha institución que ocuparan igual o similar posición. Al momento de emitirse el Decreto 639, los servidores de la SUNAT, incluidas las presuntas víctimas del caso, pertenecían al régimen laboral público contemplado por el Decreto Legislativo N</w:t>
      </w:r>
      <w:r w:rsidRPr="000B33B9">
        <w:rPr>
          <w:rFonts w:ascii="Verdana" w:hAnsi="Verdana"/>
          <w:sz w:val="20"/>
          <w:szCs w:val="20"/>
          <w:vertAlign w:val="superscript"/>
          <w:lang w:val="es-DO"/>
        </w:rPr>
        <w:t>o</w:t>
      </w:r>
      <w:r w:rsidRPr="000B33B9">
        <w:rPr>
          <w:rFonts w:ascii="Verdana" w:hAnsi="Verdana"/>
          <w:sz w:val="20"/>
          <w:szCs w:val="20"/>
          <w:lang w:val="es-DO"/>
        </w:rPr>
        <w:t xml:space="preserve"> 276</w:t>
      </w:r>
      <w:r w:rsidR="00E8134D" w:rsidRPr="000B33B9">
        <w:rPr>
          <w:rFonts w:ascii="Verdana" w:hAnsi="Verdana"/>
          <w:sz w:val="20"/>
          <w:szCs w:val="20"/>
          <w:lang w:val="es-DO"/>
        </w:rPr>
        <w:t xml:space="preserve"> (en adelante, “Decreto 276”)</w:t>
      </w:r>
      <w:r w:rsidRPr="000B33B9">
        <w:rPr>
          <w:rFonts w:ascii="Verdana" w:hAnsi="Verdana"/>
          <w:sz w:val="20"/>
          <w:szCs w:val="20"/>
          <w:lang w:val="es-DO"/>
        </w:rPr>
        <w:t xml:space="preserve">, por lo que la nivelación de las pensiones debía realizarse con arreglo a las remuneraciones percibidas bajo dicho régimen. </w:t>
      </w:r>
    </w:p>
    <w:p w14:paraId="5A912770" w14:textId="77777777" w:rsidR="00B86B27" w:rsidRPr="000B33B9" w:rsidRDefault="00B86B27" w:rsidP="00B86B27">
      <w:pPr>
        <w:pStyle w:val="Prrafodelista"/>
        <w:rPr>
          <w:rFonts w:ascii="Verdana" w:hAnsi="Verdana"/>
          <w:sz w:val="20"/>
          <w:szCs w:val="20"/>
          <w:lang w:val="es-DO"/>
        </w:rPr>
      </w:pPr>
    </w:p>
    <w:p w14:paraId="0DA2CAAF" w14:textId="1CDB190D" w:rsidR="00B86B27" w:rsidRPr="000B33B9" w:rsidRDefault="00B86B27" w:rsidP="007B74B8">
      <w:pPr>
        <w:pStyle w:val="Prrafodelista"/>
        <w:numPr>
          <w:ilvl w:val="0"/>
          <w:numId w:val="10"/>
        </w:numPr>
        <w:spacing w:after="0" w:line="240" w:lineRule="auto"/>
        <w:ind w:left="0" w:firstLine="0"/>
        <w:jc w:val="both"/>
        <w:rPr>
          <w:rFonts w:ascii="Verdana" w:hAnsi="Verdana"/>
          <w:sz w:val="20"/>
          <w:szCs w:val="20"/>
          <w:lang w:val="es-DO"/>
        </w:rPr>
      </w:pPr>
      <w:r w:rsidRPr="000B33B9">
        <w:rPr>
          <w:rFonts w:ascii="Verdana" w:hAnsi="Verdana"/>
          <w:sz w:val="20"/>
          <w:szCs w:val="20"/>
          <w:lang w:val="es-DO"/>
        </w:rPr>
        <w:t>Como parte de la “reestructuración orgánica” ordenada por el Decreto 639, el Decreto Legislativo 673 de 23 de septiembre de 1991 (en</w:t>
      </w:r>
      <w:r w:rsidR="00791A52" w:rsidRPr="000B33B9">
        <w:rPr>
          <w:rFonts w:ascii="Verdana" w:hAnsi="Verdana"/>
          <w:sz w:val="20"/>
          <w:szCs w:val="20"/>
          <w:lang w:val="es-DO"/>
        </w:rPr>
        <w:t xml:space="preserve"> adelante </w:t>
      </w:r>
      <w:r w:rsidRPr="000B33B9">
        <w:rPr>
          <w:rFonts w:ascii="Verdana" w:hAnsi="Verdana"/>
          <w:sz w:val="20"/>
          <w:szCs w:val="20"/>
          <w:lang w:val="es-DO"/>
        </w:rPr>
        <w:t xml:space="preserve">“Decreto 673”) modificó el régimen laboral correspondiente al personal de la SUNAT, disponiendo que a partir de su entrada en vigencia sería aplicable el régimen </w:t>
      </w:r>
      <w:r w:rsidR="00721095" w:rsidRPr="000B33B9">
        <w:rPr>
          <w:rFonts w:ascii="Verdana" w:hAnsi="Verdana"/>
          <w:sz w:val="20"/>
          <w:szCs w:val="20"/>
          <w:lang w:val="es-DO"/>
        </w:rPr>
        <w:t>laboral privado del Decreto 4916</w:t>
      </w:r>
      <w:r w:rsidRPr="000B33B9">
        <w:rPr>
          <w:rStyle w:val="Refdenotaalpie"/>
          <w:rFonts w:ascii="Verdana" w:hAnsi="Verdana"/>
          <w:sz w:val="20"/>
          <w:szCs w:val="20"/>
          <w:lang w:val="es-DO"/>
        </w:rPr>
        <w:footnoteReference w:id="44"/>
      </w:r>
      <w:r w:rsidRPr="000B33B9">
        <w:rPr>
          <w:rFonts w:ascii="Verdana" w:hAnsi="Verdana"/>
          <w:sz w:val="20"/>
          <w:szCs w:val="20"/>
          <w:lang w:val="es-DO"/>
        </w:rPr>
        <w:t>. En vista de que el régimen pensionario correspondiente a los trabajado</w:t>
      </w:r>
      <w:r w:rsidR="00721095" w:rsidRPr="000B33B9">
        <w:rPr>
          <w:rFonts w:ascii="Verdana" w:hAnsi="Verdana"/>
          <w:sz w:val="20"/>
          <w:szCs w:val="20"/>
          <w:lang w:val="es-DO"/>
        </w:rPr>
        <w:t>res incluidos en el Decreto 4916</w:t>
      </w:r>
      <w:r w:rsidRPr="000B33B9">
        <w:rPr>
          <w:rFonts w:ascii="Verdana" w:hAnsi="Verdana"/>
          <w:sz w:val="20"/>
          <w:szCs w:val="20"/>
          <w:lang w:val="es-DO"/>
        </w:rPr>
        <w:t xml:space="preserve"> era el Decreto Ley 19990</w:t>
      </w:r>
      <w:r w:rsidRPr="000B33B9">
        <w:rPr>
          <w:rStyle w:val="Refdenotaalpie"/>
          <w:rFonts w:ascii="Verdana" w:hAnsi="Verdana"/>
          <w:sz w:val="20"/>
          <w:szCs w:val="20"/>
          <w:lang w:val="es-DO"/>
        </w:rPr>
        <w:footnoteReference w:id="45"/>
      </w:r>
      <w:r w:rsidRPr="000B33B9">
        <w:rPr>
          <w:rFonts w:ascii="Verdana" w:hAnsi="Verdana"/>
          <w:sz w:val="20"/>
          <w:szCs w:val="20"/>
          <w:lang w:val="es-DO"/>
        </w:rPr>
        <w:t xml:space="preserve"> que, contrario al Decreto Ley 20530, no establecía el beneficio de la nivelación, a los servidores de la SUNAT que habían aprobado el proceso de selección y calificación impuesto por el Decreto 639 se les dio la opción de permanecer sujetos al régimen laboral público del Decreto 276</w:t>
      </w:r>
      <w:r w:rsidRPr="000B33B9">
        <w:rPr>
          <w:rStyle w:val="Refdenotaalpie"/>
          <w:rFonts w:ascii="Verdana" w:hAnsi="Verdana"/>
          <w:sz w:val="20"/>
          <w:szCs w:val="20"/>
          <w:lang w:val="es-DO"/>
        </w:rPr>
        <w:footnoteReference w:id="46"/>
      </w:r>
      <w:r w:rsidR="00E8134D" w:rsidRPr="000B33B9">
        <w:rPr>
          <w:rFonts w:ascii="Verdana" w:hAnsi="Verdana"/>
          <w:sz w:val="20"/>
          <w:szCs w:val="20"/>
          <w:lang w:val="es-DO"/>
        </w:rPr>
        <w:t>.</w:t>
      </w:r>
    </w:p>
    <w:p w14:paraId="39464AA1" w14:textId="77777777" w:rsidR="00B86B27" w:rsidRPr="000B33B9" w:rsidRDefault="00B86B27" w:rsidP="00B86B27">
      <w:pPr>
        <w:pStyle w:val="Prrafodelista"/>
        <w:rPr>
          <w:rFonts w:ascii="Verdana" w:hAnsi="Verdana"/>
          <w:sz w:val="20"/>
          <w:szCs w:val="20"/>
          <w:lang w:val="es-DO"/>
        </w:rPr>
      </w:pPr>
    </w:p>
    <w:p w14:paraId="58A9DF06" w14:textId="43ACCF48" w:rsidR="00B86B27" w:rsidRPr="000B33B9" w:rsidRDefault="00B86B27" w:rsidP="007B74B8">
      <w:pPr>
        <w:pStyle w:val="Prrafodelista"/>
        <w:numPr>
          <w:ilvl w:val="0"/>
          <w:numId w:val="10"/>
        </w:numPr>
        <w:spacing w:after="0" w:line="240" w:lineRule="auto"/>
        <w:ind w:left="0" w:firstLine="0"/>
        <w:jc w:val="both"/>
        <w:rPr>
          <w:rFonts w:ascii="Verdana" w:hAnsi="Verdana"/>
          <w:sz w:val="20"/>
          <w:szCs w:val="20"/>
          <w:lang w:val="es-DO"/>
        </w:rPr>
      </w:pPr>
      <w:r w:rsidRPr="000B33B9">
        <w:rPr>
          <w:rFonts w:ascii="Verdana" w:hAnsi="Verdana"/>
          <w:sz w:val="20"/>
          <w:szCs w:val="20"/>
          <w:lang w:val="es-DO"/>
        </w:rPr>
        <w:t>El artículo 3 d</w:t>
      </w:r>
      <w:r w:rsidR="009346C0" w:rsidRPr="000B33B9">
        <w:rPr>
          <w:rFonts w:ascii="Verdana" w:hAnsi="Verdana"/>
          <w:sz w:val="20"/>
          <w:szCs w:val="20"/>
          <w:lang w:val="es-DO"/>
        </w:rPr>
        <w:t xml:space="preserve">el Decreto 639 estableció que </w:t>
      </w:r>
      <w:r w:rsidRPr="000B33B9">
        <w:rPr>
          <w:rFonts w:ascii="Verdana" w:hAnsi="Verdana"/>
          <w:sz w:val="20"/>
          <w:szCs w:val="20"/>
          <w:lang w:val="es-DO"/>
        </w:rPr>
        <w:t>los servidores de la SUNAT que continuaran acogidos al Decreto 276 tendrían derecho a recibir la remuneración mensual dispuesta para el sector público más “</w:t>
      </w:r>
      <w:r w:rsidR="00A665AF" w:rsidRPr="000B33B9">
        <w:rPr>
          <w:rFonts w:ascii="Verdana" w:hAnsi="Verdana"/>
          <w:sz w:val="20"/>
          <w:szCs w:val="20"/>
          <w:lang w:val="es-DO"/>
        </w:rPr>
        <w:t xml:space="preserve">(…) </w:t>
      </w:r>
      <w:r w:rsidRPr="000B33B9">
        <w:rPr>
          <w:rFonts w:ascii="Verdana" w:hAnsi="Verdana"/>
          <w:sz w:val="20"/>
          <w:szCs w:val="20"/>
          <w:lang w:val="es-DO"/>
        </w:rPr>
        <w:t>la diferencia que existiese con la correspondiente a cargo de similar categoría o nivel remunerativo en la escala salarial establecida por la SUNAT para el personal comprendido en el régimen [privado] de la Ley 4916”. Sin embargo, estableció que “la mayor remuneración” que corresponda por efectos de dicha diferencia “</w:t>
      </w:r>
      <w:r w:rsidR="006B1EC8" w:rsidRPr="000B33B9">
        <w:rPr>
          <w:rFonts w:ascii="Verdana" w:hAnsi="Verdana"/>
          <w:sz w:val="20"/>
          <w:szCs w:val="20"/>
          <w:lang w:val="es-DO"/>
        </w:rPr>
        <w:t xml:space="preserve">(…) </w:t>
      </w:r>
      <w:r w:rsidRPr="000B33B9">
        <w:rPr>
          <w:rFonts w:ascii="Verdana" w:hAnsi="Verdana"/>
          <w:sz w:val="20"/>
          <w:szCs w:val="20"/>
          <w:lang w:val="es-DO"/>
        </w:rPr>
        <w:t>tendrá el carácter de no pensionable para aquellos trabajadores comprendidos en el régimen jubilatorio del Decreto Ley No. 20530”, por lo que “[e]l monto de la compensación por tiempo de servicios, y en su caso el de la pensión por jubilación o cesantía que conforme al Decreto Ley No. 20530 pudiera corresponder al trabajador, se determinarán en base a la remuneración que a la fecha de su cese le correspondería en el régimen laboral del sector público”</w:t>
      </w:r>
      <w:r w:rsidR="00E8134D" w:rsidRPr="000B33B9">
        <w:rPr>
          <w:rStyle w:val="Refdenotaalpie"/>
          <w:rFonts w:ascii="Verdana" w:hAnsi="Verdana"/>
          <w:sz w:val="20"/>
          <w:szCs w:val="20"/>
          <w:lang w:val="es-DO"/>
        </w:rPr>
        <w:footnoteReference w:id="47"/>
      </w:r>
      <w:r w:rsidRPr="000B33B9">
        <w:rPr>
          <w:rFonts w:ascii="Verdana" w:hAnsi="Verdana"/>
          <w:sz w:val="20"/>
          <w:szCs w:val="20"/>
          <w:lang w:val="es-DO"/>
        </w:rPr>
        <w:t xml:space="preserve">. </w:t>
      </w:r>
    </w:p>
    <w:p w14:paraId="07DDCF89" w14:textId="77777777" w:rsidR="00B86B27" w:rsidRPr="000B33B9" w:rsidRDefault="00B86B27" w:rsidP="00B86B27">
      <w:pPr>
        <w:pStyle w:val="Prrafodelista"/>
        <w:rPr>
          <w:rFonts w:ascii="Verdana" w:hAnsi="Verdana"/>
          <w:sz w:val="20"/>
          <w:szCs w:val="20"/>
          <w:lang w:val="es-DO"/>
        </w:rPr>
      </w:pPr>
    </w:p>
    <w:p w14:paraId="636F72E4" w14:textId="01A6B6F6" w:rsidR="00B86B27" w:rsidRPr="000B33B9" w:rsidRDefault="00B86B27" w:rsidP="007B74B8">
      <w:pPr>
        <w:pStyle w:val="Prrafodelista"/>
        <w:numPr>
          <w:ilvl w:val="0"/>
          <w:numId w:val="10"/>
        </w:numPr>
        <w:spacing w:after="0" w:line="240" w:lineRule="auto"/>
        <w:ind w:left="0" w:firstLine="0"/>
        <w:jc w:val="both"/>
        <w:rPr>
          <w:rFonts w:ascii="Verdana" w:hAnsi="Verdana"/>
          <w:sz w:val="20"/>
          <w:szCs w:val="20"/>
          <w:lang w:val="es-DO"/>
        </w:rPr>
      </w:pPr>
      <w:r w:rsidRPr="000B33B9">
        <w:rPr>
          <w:rFonts w:ascii="Verdana" w:hAnsi="Verdana"/>
          <w:sz w:val="20"/>
          <w:szCs w:val="20"/>
          <w:lang w:val="es-DO"/>
        </w:rPr>
        <w:t xml:space="preserve">De igual manera, la Tercera Disposición Transitoria del Decreto 673 transfirió al Ministerio de Economía y Finanzas </w:t>
      </w:r>
      <w:r w:rsidR="006B1EC8" w:rsidRPr="000B33B9">
        <w:rPr>
          <w:rFonts w:ascii="Verdana" w:hAnsi="Verdana"/>
          <w:sz w:val="20"/>
          <w:szCs w:val="20"/>
          <w:lang w:val="es-DO"/>
        </w:rPr>
        <w:t xml:space="preserve">(en adelante “MEF”) </w:t>
      </w:r>
      <w:r w:rsidRPr="000B33B9">
        <w:rPr>
          <w:rFonts w:ascii="Verdana" w:hAnsi="Verdana"/>
          <w:sz w:val="20"/>
          <w:szCs w:val="20"/>
          <w:lang w:val="es-DO"/>
        </w:rPr>
        <w:t>las atribuciones atinentes a “</w:t>
      </w:r>
      <w:r w:rsidR="006B1EC8" w:rsidRPr="000B33B9">
        <w:rPr>
          <w:rFonts w:ascii="Verdana" w:hAnsi="Verdana"/>
          <w:sz w:val="20"/>
          <w:szCs w:val="20"/>
          <w:lang w:val="es-DO"/>
        </w:rPr>
        <w:t xml:space="preserve">(…) </w:t>
      </w:r>
      <w:r w:rsidRPr="000B33B9">
        <w:rPr>
          <w:rFonts w:ascii="Verdana" w:hAnsi="Verdana"/>
          <w:sz w:val="20"/>
          <w:szCs w:val="20"/>
          <w:lang w:val="es-DO"/>
        </w:rPr>
        <w:t>la recaudación de las aportaciones y la atención de las pensiones, remuneraciones y/o similares que correspondería pagar a la SUNAT a sus pensionistas, jubilados y cesantes comprendidos en el régimen del Decreto Ley 20530, y aquellos servidores a que se refiere el inciso c) del artículo 3° del Decreto Legislativo 639”</w:t>
      </w:r>
      <w:r w:rsidRPr="000B33B9">
        <w:rPr>
          <w:rStyle w:val="Refdenotaalpie"/>
          <w:rFonts w:ascii="Verdana" w:hAnsi="Verdana"/>
          <w:sz w:val="20"/>
          <w:szCs w:val="20"/>
          <w:lang w:val="es-DO"/>
        </w:rPr>
        <w:footnoteReference w:id="48"/>
      </w:r>
      <w:r w:rsidRPr="000B33B9">
        <w:rPr>
          <w:rFonts w:ascii="Verdana" w:hAnsi="Verdana"/>
          <w:sz w:val="20"/>
          <w:szCs w:val="20"/>
          <w:lang w:val="es-DO"/>
        </w:rPr>
        <w:t>. Bajo el entendido de que el Decreto 673 modificaba tanto la entidad a cargo de la liquidación de las pensiones de los jubilados y cesantes del Decreto 20530 como el régimen laboral de los servidores activos de la SUNAT con base a cuyas remuneraciones se realizarían las nivelaciones correspondient</w:t>
      </w:r>
      <w:r w:rsidR="009346C0" w:rsidRPr="000B33B9">
        <w:rPr>
          <w:rFonts w:ascii="Verdana" w:hAnsi="Verdana"/>
          <w:sz w:val="20"/>
          <w:szCs w:val="20"/>
          <w:lang w:val="es-DO"/>
        </w:rPr>
        <w:t xml:space="preserve">es, </w:t>
      </w:r>
      <w:r w:rsidR="00630108" w:rsidRPr="000B33B9">
        <w:rPr>
          <w:rFonts w:ascii="Verdana" w:hAnsi="Verdana"/>
          <w:sz w:val="20"/>
          <w:szCs w:val="20"/>
          <w:lang w:val="es-DO"/>
        </w:rPr>
        <w:t xml:space="preserve">ANCEJUB-SUNAT </w:t>
      </w:r>
      <w:r w:rsidR="00F82A54" w:rsidRPr="000B33B9">
        <w:rPr>
          <w:rFonts w:ascii="Verdana" w:hAnsi="Verdana"/>
          <w:sz w:val="20"/>
          <w:szCs w:val="20"/>
          <w:lang w:val="es-DO"/>
        </w:rPr>
        <w:t xml:space="preserve">presentó </w:t>
      </w:r>
      <w:r w:rsidRPr="000B33B9">
        <w:rPr>
          <w:rFonts w:ascii="Verdana" w:hAnsi="Verdana"/>
          <w:sz w:val="20"/>
          <w:szCs w:val="20"/>
          <w:lang w:val="es-DO"/>
        </w:rPr>
        <w:t>una acc</w:t>
      </w:r>
      <w:r w:rsidR="00630108" w:rsidRPr="000B33B9">
        <w:rPr>
          <w:rFonts w:ascii="Verdana" w:hAnsi="Verdana"/>
          <w:sz w:val="20"/>
          <w:szCs w:val="20"/>
          <w:lang w:val="es-DO"/>
        </w:rPr>
        <w:t>ión de amparo contra el Estado.</w:t>
      </w:r>
    </w:p>
    <w:p w14:paraId="4597708A" w14:textId="77777777" w:rsidR="00B86B27" w:rsidRPr="000B33B9" w:rsidRDefault="00B86B27" w:rsidP="00B86B27">
      <w:pPr>
        <w:spacing w:after="0" w:line="240" w:lineRule="auto"/>
        <w:jc w:val="both"/>
        <w:rPr>
          <w:rFonts w:ascii="Verdana" w:hAnsi="Verdana"/>
          <w:b/>
          <w:sz w:val="20"/>
          <w:szCs w:val="20"/>
          <w:lang w:val="es-DO"/>
        </w:rPr>
      </w:pPr>
    </w:p>
    <w:p w14:paraId="5DC5448F" w14:textId="77777777" w:rsidR="00B86B27" w:rsidRPr="000B33B9" w:rsidRDefault="00B86B27" w:rsidP="007B74AD">
      <w:pPr>
        <w:pStyle w:val="Ttulo2"/>
      </w:pPr>
      <w:bookmarkStart w:id="52" w:name="_Toc27329759"/>
      <w:r w:rsidRPr="000B33B9">
        <w:t>Primera acción de amparo</w:t>
      </w:r>
      <w:bookmarkEnd w:id="52"/>
    </w:p>
    <w:p w14:paraId="73E40766" w14:textId="77777777" w:rsidR="00B86B27" w:rsidRPr="000B33B9" w:rsidRDefault="00B86B27" w:rsidP="00B86B27">
      <w:pPr>
        <w:spacing w:after="0" w:line="240" w:lineRule="auto"/>
        <w:rPr>
          <w:rFonts w:ascii="Verdana" w:hAnsi="Verdana"/>
          <w:b/>
          <w:sz w:val="20"/>
          <w:szCs w:val="20"/>
          <w:lang w:val="es-DO"/>
        </w:rPr>
      </w:pPr>
    </w:p>
    <w:p w14:paraId="0DFCD203" w14:textId="633BE352" w:rsidR="00B86B27" w:rsidRPr="000B33B9" w:rsidRDefault="00B86B27" w:rsidP="007B74B8">
      <w:pPr>
        <w:pStyle w:val="Prrafodelista"/>
        <w:numPr>
          <w:ilvl w:val="0"/>
          <w:numId w:val="10"/>
        </w:numPr>
        <w:spacing w:after="0" w:line="240" w:lineRule="auto"/>
        <w:ind w:left="0" w:firstLine="0"/>
        <w:jc w:val="both"/>
        <w:rPr>
          <w:rFonts w:ascii="Verdana" w:hAnsi="Verdana"/>
          <w:sz w:val="20"/>
          <w:szCs w:val="20"/>
          <w:lang w:val="es-DO"/>
        </w:rPr>
      </w:pPr>
      <w:r w:rsidRPr="000B33B9">
        <w:rPr>
          <w:rFonts w:ascii="Verdana" w:hAnsi="Verdana"/>
          <w:sz w:val="20"/>
          <w:szCs w:val="20"/>
          <w:lang w:val="es-DO"/>
        </w:rPr>
        <w:t xml:space="preserve">El 19 de diciembre de 1991, ANCEJUB-SUNAT interpuso una acción de amparo </w:t>
      </w:r>
      <w:r w:rsidR="006B1EC8" w:rsidRPr="000B33B9">
        <w:rPr>
          <w:rFonts w:ascii="Verdana" w:hAnsi="Verdana"/>
          <w:sz w:val="20"/>
          <w:szCs w:val="20"/>
          <w:lang w:val="es-DO"/>
        </w:rPr>
        <w:t xml:space="preserve">a fin de </w:t>
      </w:r>
      <w:r w:rsidRPr="000B33B9">
        <w:rPr>
          <w:rFonts w:ascii="Verdana" w:hAnsi="Verdana"/>
          <w:sz w:val="20"/>
          <w:szCs w:val="20"/>
          <w:lang w:val="es-DO"/>
        </w:rPr>
        <w:t xml:space="preserve">impugnar la Tercera Disposición Transitoria del Decreto 673. La demanda fue </w:t>
      </w:r>
      <w:r w:rsidR="00B05765" w:rsidRPr="000B33B9">
        <w:rPr>
          <w:rFonts w:ascii="Verdana" w:hAnsi="Verdana"/>
          <w:sz w:val="20"/>
          <w:szCs w:val="20"/>
          <w:lang w:val="es-DO"/>
        </w:rPr>
        <w:t xml:space="preserve">presentada </w:t>
      </w:r>
      <w:r w:rsidRPr="000B33B9">
        <w:rPr>
          <w:rFonts w:ascii="Verdana" w:hAnsi="Verdana"/>
          <w:sz w:val="20"/>
          <w:szCs w:val="20"/>
          <w:lang w:val="es-DO"/>
        </w:rPr>
        <w:t>con el objeto de garantizar los derechos de los miembros de ANCEJUB-SUNAT a una pensión de cesantía y jubilación reajustable y renovable en función de la remuneración de los servidores públicos en actividad, de forma tal que se reestableciera “</w:t>
      </w:r>
      <w:r w:rsidR="009346C0" w:rsidRPr="000B33B9">
        <w:rPr>
          <w:rFonts w:ascii="Verdana" w:hAnsi="Verdana"/>
          <w:sz w:val="20"/>
          <w:szCs w:val="20"/>
          <w:lang w:val="es-DO"/>
        </w:rPr>
        <w:t xml:space="preserve">(…) </w:t>
      </w:r>
      <w:r w:rsidRPr="000B33B9">
        <w:rPr>
          <w:rFonts w:ascii="Verdana" w:hAnsi="Verdana"/>
          <w:sz w:val="20"/>
          <w:szCs w:val="20"/>
          <w:lang w:val="es-DO"/>
        </w:rPr>
        <w:t>su derecho conculcado a la homologación de dichas pensiones con las remuneraciones de los servidores en actividad y ordenando el reintegro de las sumas indebidamente dejadas de abonar”</w:t>
      </w:r>
      <w:r w:rsidRPr="000B33B9">
        <w:rPr>
          <w:rStyle w:val="Refdenotaalpie"/>
          <w:rFonts w:ascii="Verdana" w:hAnsi="Verdana"/>
          <w:sz w:val="20"/>
          <w:szCs w:val="20"/>
          <w:lang w:val="es-DO"/>
        </w:rPr>
        <w:footnoteReference w:id="49"/>
      </w:r>
      <w:r w:rsidRPr="000B33B9">
        <w:rPr>
          <w:rFonts w:ascii="Verdana" w:hAnsi="Verdana"/>
          <w:sz w:val="20"/>
          <w:szCs w:val="20"/>
          <w:lang w:val="es-DO"/>
        </w:rPr>
        <w:t>. El Quinto Juzgado Especializado en lo Civil de Lima declaró improcedente la demanda por haber “</w:t>
      </w:r>
      <w:r w:rsidR="006B1EC8" w:rsidRPr="000B33B9">
        <w:rPr>
          <w:rFonts w:ascii="Verdana" w:hAnsi="Verdana"/>
          <w:sz w:val="20"/>
          <w:szCs w:val="20"/>
          <w:lang w:val="es-DO"/>
        </w:rPr>
        <w:t xml:space="preserve">(…) </w:t>
      </w:r>
      <w:r w:rsidRPr="000B33B9">
        <w:rPr>
          <w:rFonts w:ascii="Verdana" w:hAnsi="Verdana"/>
          <w:sz w:val="20"/>
          <w:szCs w:val="20"/>
          <w:lang w:val="es-DO"/>
        </w:rPr>
        <w:t>sido interpuesta extemporáneamente, al haber vencido el plazo que estipula la ley”, mediante resolución de fecha 7 de febrero de 1992</w:t>
      </w:r>
      <w:r w:rsidRPr="000B33B9">
        <w:rPr>
          <w:rStyle w:val="Refdenotaalpie"/>
          <w:rFonts w:ascii="Verdana" w:hAnsi="Verdana"/>
          <w:sz w:val="20"/>
          <w:szCs w:val="20"/>
          <w:lang w:val="es-DO"/>
        </w:rPr>
        <w:footnoteReference w:id="50"/>
      </w:r>
      <w:r w:rsidRPr="000B33B9">
        <w:rPr>
          <w:rFonts w:ascii="Verdana" w:hAnsi="Verdana"/>
          <w:sz w:val="20"/>
          <w:szCs w:val="20"/>
          <w:lang w:val="es-DO"/>
        </w:rPr>
        <w:t xml:space="preserve">. La decisión fue apelada por ANCEJUB-SUNAT, y el 11 de septiembre de 1992 la Segunda Sala Civil de la Corte Superior de Lima confirmó la sentencia </w:t>
      </w:r>
      <w:r w:rsidR="009346C0" w:rsidRPr="000B33B9">
        <w:rPr>
          <w:rFonts w:ascii="Verdana" w:hAnsi="Verdana"/>
          <w:sz w:val="20"/>
          <w:szCs w:val="20"/>
          <w:lang w:val="es-DO"/>
        </w:rPr>
        <w:t>impugnada</w:t>
      </w:r>
      <w:r w:rsidRPr="000B33B9">
        <w:rPr>
          <w:rStyle w:val="Refdenotaalpie"/>
          <w:rFonts w:ascii="Verdana" w:hAnsi="Verdana"/>
          <w:sz w:val="20"/>
          <w:szCs w:val="20"/>
          <w:lang w:val="es-DO"/>
        </w:rPr>
        <w:footnoteReference w:id="51"/>
      </w:r>
      <w:r w:rsidRPr="000B33B9">
        <w:rPr>
          <w:rFonts w:ascii="Verdana" w:hAnsi="Verdana"/>
          <w:sz w:val="20"/>
          <w:szCs w:val="20"/>
          <w:lang w:val="es-DO"/>
        </w:rPr>
        <w:t>.</w:t>
      </w:r>
    </w:p>
    <w:p w14:paraId="37117D9B" w14:textId="77777777" w:rsidR="00B86B27" w:rsidRPr="000B33B9" w:rsidRDefault="00B86B27" w:rsidP="00B86B27">
      <w:pPr>
        <w:pStyle w:val="Prrafodelista"/>
        <w:spacing w:after="0" w:line="240" w:lineRule="auto"/>
        <w:ind w:left="0"/>
        <w:jc w:val="both"/>
        <w:rPr>
          <w:rFonts w:ascii="Verdana" w:hAnsi="Verdana"/>
          <w:sz w:val="20"/>
          <w:szCs w:val="20"/>
          <w:lang w:val="es-DO"/>
        </w:rPr>
      </w:pPr>
    </w:p>
    <w:p w14:paraId="350C65D9" w14:textId="30EE508F" w:rsidR="00B86B27" w:rsidRPr="000B33B9" w:rsidRDefault="00B86B27" w:rsidP="007B74B8">
      <w:pPr>
        <w:pStyle w:val="Prrafodelista"/>
        <w:numPr>
          <w:ilvl w:val="0"/>
          <w:numId w:val="10"/>
        </w:numPr>
        <w:spacing w:after="0" w:line="240" w:lineRule="auto"/>
        <w:ind w:left="0" w:firstLine="0"/>
        <w:jc w:val="both"/>
        <w:rPr>
          <w:rFonts w:ascii="Verdana" w:hAnsi="Verdana"/>
          <w:sz w:val="20"/>
          <w:szCs w:val="20"/>
          <w:lang w:val="es-DO"/>
        </w:rPr>
      </w:pPr>
      <w:r w:rsidRPr="000B33B9">
        <w:rPr>
          <w:rFonts w:ascii="Verdana" w:hAnsi="Verdana"/>
          <w:sz w:val="20"/>
          <w:szCs w:val="20"/>
          <w:lang w:val="es-DO"/>
        </w:rPr>
        <w:t xml:space="preserve">ANCEJUB-SUNAT interpuso un recurso de nulidad, y el 25 de octubre de 1993 la Sala de Derecho Constitucional y Social de la Corte Suprema de Justicia </w:t>
      </w:r>
      <w:r w:rsidR="00791A52" w:rsidRPr="000B33B9">
        <w:rPr>
          <w:rFonts w:ascii="Verdana" w:hAnsi="Verdana"/>
          <w:sz w:val="20"/>
          <w:szCs w:val="20"/>
          <w:lang w:val="es-DO"/>
        </w:rPr>
        <w:t>de la República (en adelante “Corte</w:t>
      </w:r>
      <w:r w:rsidRPr="000B33B9">
        <w:rPr>
          <w:rFonts w:ascii="Verdana" w:hAnsi="Verdana"/>
          <w:sz w:val="20"/>
          <w:szCs w:val="20"/>
          <w:lang w:val="es-DO"/>
        </w:rPr>
        <w:t xml:space="preserve"> Suprema”) declaró fundada la acción de amparo</w:t>
      </w:r>
      <w:r w:rsidRPr="000B33B9">
        <w:rPr>
          <w:rFonts w:ascii="Verdana" w:hAnsi="Verdana"/>
          <w:sz w:val="20"/>
          <w:szCs w:val="20"/>
          <w:lang w:val="es-ES"/>
        </w:rPr>
        <w:t>. En su sentencia, reconoció que “</w:t>
      </w:r>
      <w:r w:rsidR="006B1EC8" w:rsidRPr="000B33B9">
        <w:rPr>
          <w:rFonts w:ascii="Verdana" w:hAnsi="Verdana"/>
          <w:sz w:val="20"/>
          <w:szCs w:val="20"/>
          <w:lang w:val="es-ES"/>
        </w:rPr>
        <w:t xml:space="preserve">(…) </w:t>
      </w:r>
      <w:r w:rsidRPr="000B33B9">
        <w:rPr>
          <w:rFonts w:ascii="Verdana" w:hAnsi="Verdana"/>
          <w:sz w:val="20"/>
          <w:szCs w:val="20"/>
          <w:lang w:val="es-ES"/>
        </w:rPr>
        <w:t>los miembros de la Asociación actora gozan del derecho reconocido a una pensión de jubilación o cesantía al amparo del Decreto Ley [20530]” y “</w:t>
      </w:r>
      <w:r w:rsidR="006B1EC8" w:rsidRPr="000B33B9">
        <w:rPr>
          <w:rFonts w:ascii="Verdana" w:hAnsi="Verdana"/>
          <w:sz w:val="20"/>
          <w:szCs w:val="20"/>
          <w:lang w:val="es-ES"/>
        </w:rPr>
        <w:t xml:space="preserve">(…) </w:t>
      </w:r>
      <w:r w:rsidRPr="000B33B9">
        <w:rPr>
          <w:rFonts w:ascii="Verdana" w:hAnsi="Verdana"/>
          <w:sz w:val="20"/>
          <w:szCs w:val="20"/>
          <w:lang w:val="es-ES"/>
        </w:rPr>
        <w:t>no solo adquirieron el derecho a que dicha pensión sea reajustable y renovable, sino a que tal reajuste se haga en relación a los servidores en actividad de la entidad en la que laboraron”</w:t>
      </w:r>
      <w:r w:rsidR="006B1EC8" w:rsidRPr="000B33B9">
        <w:rPr>
          <w:rStyle w:val="Refdenotaalpie"/>
          <w:rFonts w:ascii="Verdana" w:hAnsi="Verdana"/>
          <w:sz w:val="20"/>
          <w:szCs w:val="20"/>
          <w:lang w:val="es-DO"/>
        </w:rPr>
        <w:footnoteReference w:id="52"/>
      </w:r>
      <w:r w:rsidRPr="000B33B9">
        <w:rPr>
          <w:rFonts w:ascii="Verdana" w:hAnsi="Verdana"/>
          <w:sz w:val="20"/>
          <w:szCs w:val="20"/>
          <w:lang w:val="es-ES"/>
        </w:rPr>
        <w:t>. La parte dispositiva de la sentencia estableció lo siguiente:</w:t>
      </w:r>
    </w:p>
    <w:p w14:paraId="37ABF4B3" w14:textId="77777777" w:rsidR="00B86B27" w:rsidRPr="000B33B9" w:rsidRDefault="00B86B27" w:rsidP="00B86B27">
      <w:pPr>
        <w:spacing w:after="0" w:line="240" w:lineRule="auto"/>
        <w:jc w:val="both"/>
        <w:rPr>
          <w:rFonts w:ascii="Verdana" w:hAnsi="Verdana"/>
          <w:sz w:val="20"/>
          <w:szCs w:val="20"/>
          <w:lang w:val="es-DO"/>
        </w:rPr>
      </w:pPr>
    </w:p>
    <w:p w14:paraId="5AD739B6" w14:textId="09369D7B" w:rsidR="00B86B27" w:rsidRPr="000B33B9" w:rsidRDefault="00B86B27" w:rsidP="00B86B27">
      <w:pPr>
        <w:tabs>
          <w:tab w:val="left" w:pos="8505"/>
        </w:tabs>
        <w:spacing w:after="0" w:line="240" w:lineRule="auto"/>
        <w:ind w:left="720" w:right="855"/>
        <w:jc w:val="both"/>
        <w:rPr>
          <w:rFonts w:ascii="Verdana" w:hAnsi="Verdana"/>
          <w:sz w:val="18"/>
          <w:szCs w:val="18"/>
          <w:lang w:val="es-DO"/>
        </w:rPr>
      </w:pPr>
      <w:r w:rsidRPr="000B33B9">
        <w:rPr>
          <w:rFonts w:ascii="Verdana" w:hAnsi="Verdana"/>
          <w:sz w:val="18"/>
          <w:szCs w:val="18"/>
          <w:lang w:val="es-DO"/>
        </w:rPr>
        <w:t>“(…)</w:t>
      </w:r>
      <w:r w:rsidRPr="000B33B9">
        <w:rPr>
          <w:rFonts w:ascii="Verdana" w:hAnsi="Verdana"/>
          <w:sz w:val="18"/>
          <w:szCs w:val="18"/>
          <w:lang w:val="es-ES"/>
        </w:rPr>
        <w:t xml:space="preserve"> [Se declara]</w:t>
      </w:r>
      <w:r w:rsidRPr="000B33B9">
        <w:rPr>
          <w:rFonts w:ascii="Verdana" w:hAnsi="Verdana"/>
          <w:sz w:val="18"/>
          <w:szCs w:val="18"/>
          <w:lang w:val="es-DO"/>
        </w:rPr>
        <w:t xml:space="preserve"> FUNDADA la referida acción de amparo; en consecuencia inaplicable a los ex-servidores de la Superintendencia Nacional de Administración Tributaria miembros de la Asociación Actora con derecho a percibir pensión de jubilación o cesantía al amparo del Decreto Ley </w:t>
      </w:r>
      <w:r w:rsidRPr="000B33B9">
        <w:rPr>
          <w:rFonts w:ascii="Verdana" w:hAnsi="Verdana"/>
          <w:sz w:val="18"/>
          <w:szCs w:val="18"/>
          <w:lang w:val="es-ES"/>
        </w:rPr>
        <w:t>[20530]</w:t>
      </w:r>
      <w:r w:rsidRPr="000B33B9">
        <w:rPr>
          <w:rFonts w:ascii="Verdana" w:hAnsi="Verdana"/>
          <w:sz w:val="18"/>
          <w:szCs w:val="18"/>
          <w:lang w:val="es-DO"/>
        </w:rPr>
        <w:t xml:space="preserve">, cuyo derecho esté reconocido por la Tercera Disposición Transitoria del Decreto Legislativo </w:t>
      </w:r>
      <w:r w:rsidRPr="000B33B9">
        <w:rPr>
          <w:rFonts w:ascii="Verdana" w:hAnsi="Verdana"/>
          <w:sz w:val="18"/>
          <w:szCs w:val="18"/>
          <w:lang w:val="es-ES"/>
        </w:rPr>
        <w:t>[673]</w:t>
      </w:r>
      <w:r w:rsidRPr="000B33B9">
        <w:rPr>
          <w:rFonts w:ascii="Verdana" w:hAnsi="Verdana"/>
          <w:sz w:val="18"/>
          <w:szCs w:val="18"/>
          <w:lang w:val="es-DO"/>
        </w:rPr>
        <w:t xml:space="preserve">; ordenaron les sea repuesto el derecho a percibir la pensión que les corresponda, nivelada con las remuneraciones de los servidores activos de la Superintendencia Nacional de Administración Tributaria y se les reintegre los incrementos dejados de percibir como consecuencia de la aplicación de la mencionada Tercera Disposición Transitoria del Decreto Legislativo </w:t>
      </w:r>
      <w:r w:rsidRPr="000B33B9">
        <w:rPr>
          <w:rFonts w:ascii="Verdana" w:hAnsi="Verdana"/>
          <w:sz w:val="18"/>
          <w:szCs w:val="18"/>
          <w:lang w:val="es-ES"/>
        </w:rPr>
        <w:t>[673]”.</w:t>
      </w:r>
    </w:p>
    <w:p w14:paraId="0DCDEE49" w14:textId="77777777" w:rsidR="00B86B27" w:rsidRPr="000B33B9" w:rsidRDefault="00B86B27" w:rsidP="00B86B27">
      <w:pPr>
        <w:spacing w:after="0" w:line="240" w:lineRule="auto"/>
        <w:jc w:val="both"/>
        <w:rPr>
          <w:rFonts w:ascii="Verdana" w:hAnsi="Verdana"/>
          <w:sz w:val="20"/>
          <w:szCs w:val="20"/>
          <w:lang w:val="es-DO"/>
        </w:rPr>
      </w:pPr>
    </w:p>
    <w:p w14:paraId="303B20F7" w14:textId="0EF64F46" w:rsidR="00B86B27" w:rsidRPr="000B33B9" w:rsidRDefault="00B86B27" w:rsidP="007B74B8">
      <w:pPr>
        <w:pStyle w:val="Prrafodelista"/>
        <w:numPr>
          <w:ilvl w:val="0"/>
          <w:numId w:val="10"/>
        </w:numPr>
        <w:spacing w:after="0" w:line="240" w:lineRule="auto"/>
        <w:ind w:left="0" w:firstLine="0"/>
        <w:jc w:val="both"/>
        <w:rPr>
          <w:rFonts w:ascii="Verdana" w:hAnsi="Verdana"/>
          <w:sz w:val="20"/>
          <w:szCs w:val="20"/>
          <w:lang w:val="es-DO"/>
        </w:rPr>
      </w:pPr>
      <w:r w:rsidRPr="000B33B9">
        <w:rPr>
          <w:rFonts w:ascii="Verdana" w:hAnsi="Verdana"/>
          <w:sz w:val="20"/>
          <w:szCs w:val="20"/>
          <w:lang w:val="es-DO"/>
        </w:rPr>
        <w:t xml:space="preserve">El </w:t>
      </w:r>
      <w:r w:rsidR="00116681" w:rsidRPr="000B33B9">
        <w:rPr>
          <w:rFonts w:ascii="Verdana" w:hAnsi="Verdana"/>
          <w:sz w:val="20"/>
          <w:szCs w:val="20"/>
          <w:lang w:val="es-DO"/>
        </w:rPr>
        <w:t xml:space="preserve">MEF </w:t>
      </w:r>
      <w:r w:rsidRPr="000B33B9">
        <w:rPr>
          <w:rFonts w:ascii="Verdana" w:hAnsi="Verdana"/>
          <w:sz w:val="20"/>
          <w:szCs w:val="20"/>
          <w:lang w:val="es-DO"/>
        </w:rPr>
        <w:t>impugnó la decisión de la Corte Suprema mediante un recurso de casación. El 25 de junio de 1996, el Tribunal Constitucional emitió una resolución respecto a la sentencia de 25 de octubre de 1993, mediante la cual ordenó la devolución de los autos a la Corte Suprema para que dispusiera “</w:t>
      </w:r>
      <w:r w:rsidR="00116681" w:rsidRPr="000B33B9">
        <w:rPr>
          <w:rFonts w:ascii="Verdana" w:hAnsi="Verdana"/>
          <w:sz w:val="20"/>
          <w:szCs w:val="20"/>
          <w:lang w:val="es-DO"/>
        </w:rPr>
        <w:t xml:space="preserve">(…) </w:t>
      </w:r>
      <w:r w:rsidRPr="000B33B9">
        <w:rPr>
          <w:rFonts w:ascii="Verdana" w:hAnsi="Verdana"/>
          <w:sz w:val="20"/>
          <w:szCs w:val="20"/>
          <w:lang w:val="es-DO"/>
        </w:rPr>
        <w:t xml:space="preserve">su ejecución con arreglo a la ley”. En dicha resolución dispuso la ejecución de la sentencia de conformidad con la Sexta Disposición Transitoria de la Ley 26435, </w:t>
      </w:r>
      <w:r w:rsidR="00116681" w:rsidRPr="000B33B9">
        <w:rPr>
          <w:rFonts w:ascii="Verdana" w:hAnsi="Verdana"/>
          <w:sz w:val="20"/>
          <w:szCs w:val="20"/>
          <w:lang w:val="es-DO"/>
        </w:rPr>
        <w:t>la cual</w:t>
      </w:r>
      <w:r w:rsidRPr="000B33B9">
        <w:rPr>
          <w:rFonts w:ascii="Verdana" w:hAnsi="Verdana"/>
          <w:sz w:val="20"/>
          <w:szCs w:val="20"/>
          <w:lang w:val="es-DO"/>
        </w:rPr>
        <w:t xml:space="preserve"> dispone lo siguiente: “Las resoluciones favorables a la parte demandante recaídas en los procesos de amparo en que el Estado es parte, y que estuviesen pendientes de casación por el Tribunal de Garantías Constitucionales, se consideran firmes y ejecutables”</w:t>
      </w:r>
      <w:r w:rsidRPr="000B33B9">
        <w:rPr>
          <w:rStyle w:val="Refdenotaalpie"/>
          <w:rFonts w:ascii="Verdana" w:hAnsi="Verdana"/>
          <w:sz w:val="20"/>
          <w:szCs w:val="20"/>
          <w:lang w:val="es-DO"/>
        </w:rPr>
        <w:footnoteReference w:id="53"/>
      </w:r>
      <w:r w:rsidRPr="000B33B9">
        <w:rPr>
          <w:rFonts w:ascii="Verdana" w:hAnsi="Verdana"/>
          <w:sz w:val="20"/>
          <w:szCs w:val="20"/>
          <w:lang w:val="es-DO"/>
        </w:rPr>
        <w:t>.</w:t>
      </w:r>
    </w:p>
    <w:p w14:paraId="676C7147" w14:textId="77777777" w:rsidR="00B86B27" w:rsidRPr="000B33B9" w:rsidRDefault="00B86B27" w:rsidP="00B86B27">
      <w:pPr>
        <w:pStyle w:val="Prrafodelista"/>
        <w:spacing w:after="0" w:line="240" w:lineRule="auto"/>
        <w:ind w:left="0"/>
        <w:jc w:val="both"/>
        <w:rPr>
          <w:rFonts w:ascii="Verdana" w:hAnsi="Verdana"/>
          <w:sz w:val="20"/>
          <w:szCs w:val="20"/>
          <w:lang w:val="es-DO"/>
        </w:rPr>
      </w:pPr>
    </w:p>
    <w:p w14:paraId="078A1871" w14:textId="6D437F1E" w:rsidR="00B86B27" w:rsidRPr="000B33B9" w:rsidRDefault="00B86B27" w:rsidP="007B74B8">
      <w:pPr>
        <w:pStyle w:val="Prrafodelista"/>
        <w:numPr>
          <w:ilvl w:val="0"/>
          <w:numId w:val="10"/>
        </w:numPr>
        <w:spacing w:after="0" w:line="240" w:lineRule="auto"/>
        <w:ind w:left="0" w:firstLine="0"/>
        <w:jc w:val="both"/>
        <w:rPr>
          <w:rFonts w:ascii="Verdana" w:hAnsi="Verdana" w:cs="Times New Roman"/>
          <w:sz w:val="20"/>
          <w:szCs w:val="20"/>
          <w:lang w:val="es-DO"/>
        </w:rPr>
      </w:pPr>
      <w:r w:rsidRPr="000B33B9">
        <w:rPr>
          <w:rFonts w:ascii="Verdana" w:hAnsi="Verdana"/>
          <w:sz w:val="20"/>
          <w:szCs w:val="20"/>
          <w:lang w:val="es-DO"/>
        </w:rPr>
        <w:t xml:space="preserve">El 21 </w:t>
      </w:r>
      <w:r w:rsidR="008B00A1" w:rsidRPr="000B33B9">
        <w:rPr>
          <w:rFonts w:ascii="Verdana" w:hAnsi="Verdana"/>
          <w:sz w:val="20"/>
          <w:szCs w:val="20"/>
          <w:lang w:val="es-DO"/>
        </w:rPr>
        <w:t>de enero de 1997, el Juzgado Pre</w:t>
      </w:r>
      <w:r w:rsidRPr="000B33B9">
        <w:rPr>
          <w:rFonts w:ascii="Verdana" w:hAnsi="Verdana"/>
          <w:sz w:val="20"/>
          <w:szCs w:val="20"/>
          <w:lang w:val="es-DO"/>
        </w:rPr>
        <w:t xml:space="preserve">visional de Lima </w:t>
      </w:r>
      <w:r w:rsidR="008B00A1" w:rsidRPr="000B33B9">
        <w:rPr>
          <w:rFonts w:ascii="Verdana" w:hAnsi="Verdana"/>
          <w:sz w:val="20"/>
          <w:szCs w:val="20"/>
          <w:lang w:val="es-DO"/>
        </w:rPr>
        <w:t xml:space="preserve">(en adelante “Juzgado Previsional”) </w:t>
      </w:r>
      <w:r w:rsidRPr="000B33B9">
        <w:rPr>
          <w:rFonts w:ascii="Verdana" w:hAnsi="Verdana"/>
          <w:sz w:val="20"/>
          <w:szCs w:val="20"/>
          <w:lang w:val="es-DO"/>
        </w:rPr>
        <w:t>emitió una resolución mediante la cual ordenó notificar las sentencias dictadas por la Corte Suprema y el Tribunal Constitucional al Procurador Público de los asuntos relativos al MEF, a la Oficina de Normalización Previsional y al Ministro de Economía, a fin de que “</w:t>
      </w:r>
      <w:r w:rsidR="009346C0" w:rsidRPr="000B33B9">
        <w:rPr>
          <w:rFonts w:ascii="Verdana" w:hAnsi="Verdana"/>
          <w:sz w:val="20"/>
          <w:szCs w:val="20"/>
          <w:lang w:val="es-DO"/>
        </w:rPr>
        <w:t xml:space="preserve">(…) </w:t>
      </w:r>
      <w:r w:rsidRPr="000B33B9">
        <w:rPr>
          <w:rFonts w:ascii="Verdana" w:hAnsi="Verdana"/>
          <w:sz w:val="20"/>
          <w:szCs w:val="20"/>
          <w:lang w:val="es-DO"/>
        </w:rPr>
        <w:t>en el término de ley cumplan con lo ordenado”</w:t>
      </w:r>
      <w:r w:rsidRPr="000B33B9">
        <w:rPr>
          <w:rStyle w:val="Refdenotaalpie"/>
          <w:rFonts w:ascii="Verdana" w:hAnsi="Verdana"/>
          <w:sz w:val="20"/>
          <w:szCs w:val="20"/>
          <w:lang w:val="es-DO"/>
        </w:rPr>
        <w:footnoteReference w:id="54"/>
      </w:r>
      <w:r w:rsidRPr="000B33B9">
        <w:rPr>
          <w:rFonts w:ascii="Verdana" w:hAnsi="Verdana"/>
          <w:sz w:val="20"/>
          <w:szCs w:val="20"/>
          <w:lang w:val="es-DO"/>
        </w:rPr>
        <w:t>. El 18 de febrero de 1997</w:t>
      </w:r>
      <w:r w:rsidR="00116681" w:rsidRPr="000B33B9">
        <w:rPr>
          <w:rFonts w:ascii="Verdana" w:hAnsi="Verdana"/>
          <w:sz w:val="20"/>
          <w:szCs w:val="20"/>
          <w:lang w:val="es-DO"/>
        </w:rPr>
        <w:t>,</w:t>
      </w:r>
      <w:r w:rsidRPr="000B33B9">
        <w:rPr>
          <w:rFonts w:ascii="Verdana" w:hAnsi="Verdana"/>
          <w:sz w:val="20"/>
          <w:szCs w:val="20"/>
          <w:lang w:val="es-DO"/>
        </w:rPr>
        <w:t xml:space="preserve"> el Procurador Público a cargo de los asuntos judiciales del </w:t>
      </w:r>
      <w:r w:rsidR="00116681" w:rsidRPr="000B33B9">
        <w:rPr>
          <w:rFonts w:ascii="Verdana" w:hAnsi="Verdana"/>
          <w:sz w:val="20"/>
          <w:szCs w:val="20"/>
          <w:lang w:val="es-DO"/>
        </w:rPr>
        <w:t xml:space="preserve">MEF </w:t>
      </w:r>
      <w:r w:rsidRPr="000B33B9">
        <w:rPr>
          <w:rFonts w:ascii="Verdana" w:hAnsi="Verdana"/>
          <w:sz w:val="20"/>
          <w:szCs w:val="20"/>
          <w:lang w:val="es-DO"/>
        </w:rPr>
        <w:t>solicitó al Juzgado Previsional que declarara la nulidad de su resolución pues</w:t>
      </w:r>
      <w:r w:rsidR="00116681" w:rsidRPr="000B33B9">
        <w:rPr>
          <w:rFonts w:ascii="Verdana" w:hAnsi="Verdana"/>
          <w:sz w:val="20"/>
          <w:szCs w:val="20"/>
          <w:lang w:val="es-DO"/>
        </w:rPr>
        <w:t>,</w:t>
      </w:r>
      <w:r w:rsidRPr="000B33B9">
        <w:rPr>
          <w:rFonts w:ascii="Verdana" w:hAnsi="Verdana"/>
          <w:sz w:val="20"/>
          <w:szCs w:val="20"/>
          <w:lang w:val="es-DO"/>
        </w:rPr>
        <w:t xml:space="preserve"> debido a que la sentencia de 25 de octubre de 1993 dispuso la inaplicabilidad de la Tercera Disposición Transitoria del Decreto 673, “</w:t>
      </w:r>
      <w:r w:rsidR="00116681" w:rsidRPr="000B33B9">
        <w:rPr>
          <w:rFonts w:ascii="Verdana" w:hAnsi="Verdana"/>
          <w:sz w:val="20"/>
          <w:szCs w:val="20"/>
          <w:lang w:val="es-DO"/>
        </w:rPr>
        <w:t xml:space="preserve">(…) </w:t>
      </w:r>
      <w:r w:rsidRPr="000B33B9">
        <w:rPr>
          <w:rFonts w:ascii="Verdana" w:hAnsi="Verdana"/>
          <w:sz w:val="20"/>
          <w:szCs w:val="20"/>
          <w:lang w:val="es-DO"/>
        </w:rPr>
        <w:t xml:space="preserve">resulta un imposible jurídico que el Ministerio de Economía cumpla con efectuar pago alguno a los pensionistas demandantes, habida cuenta de que la misma resolución deja sin efecto la obligación del MEF de atender dichas pensiones, restituyendo la obligación de pago a la </w:t>
      </w:r>
      <w:r w:rsidR="009346C0" w:rsidRPr="000B33B9">
        <w:rPr>
          <w:rFonts w:ascii="Verdana" w:hAnsi="Verdana"/>
          <w:sz w:val="20"/>
          <w:szCs w:val="20"/>
          <w:lang w:val="es-DO"/>
        </w:rPr>
        <w:t>[SUNAT]</w:t>
      </w:r>
      <w:r w:rsidRPr="000B33B9">
        <w:rPr>
          <w:rFonts w:ascii="Verdana" w:hAnsi="Verdana"/>
          <w:sz w:val="20"/>
          <w:szCs w:val="20"/>
          <w:lang w:val="es-DO"/>
        </w:rPr>
        <w:t>”</w:t>
      </w:r>
      <w:r w:rsidRPr="000B33B9">
        <w:rPr>
          <w:rStyle w:val="Refdenotaalpie"/>
          <w:rFonts w:ascii="Verdana" w:hAnsi="Verdana"/>
          <w:sz w:val="20"/>
          <w:szCs w:val="20"/>
          <w:lang w:val="es-DO"/>
        </w:rPr>
        <w:footnoteReference w:id="55"/>
      </w:r>
      <w:r w:rsidRPr="000B33B9">
        <w:rPr>
          <w:rFonts w:ascii="Verdana" w:hAnsi="Verdana"/>
          <w:sz w:val="20"/>
          <w:szCs w:val="20"/>
          <w:lang w:val="es-ES"/>
        </w:rPr>
        <w:t>.</w:t>
      </w:r>
    </w:p>
    <w:p w14:paraId="772D3C4E" w14:textId="77777777" w:rsidR="00B128F9" w:rsidRPr="000B33B9" w:rsidRDefault="00B128F9" w:rsidP="00B128F9">
      <w:pPr>
        <w:pStyle w:val="Prrafodelista"/>
        <w:spacing w:after="0" w:line="240" w:lineRule="auto"/>
        <w:ind w:left="0"/>
        <w:jc w:val="both"/>
        <w:rPr>
          <w:rFonts w:ascii="Verdana" w:hAnsi="Verdana" w:cs="Times New Roman"/>
          <w:sz w:val="20"/>
          <w:szCs w:val="20"/>
          <w:lang w:val="es-DO"/>
        </w:rPr>
      </w:pPr>
    </w:p>
    <w:p w14:paraId="57D85E32" w14:textId="5386F82B" w:rsidR="00B86B27" w:rsidRPr="000B33B9" w:rsidRDefault="00B86B27" w:rsidP="007B74B8">
      <w:pPr>
        <w:pStyle w:val="Prrafodelista"/>
        <w:numPr>
          <w:ilvl w:val="0"/>
          <w:numId w:val="10"/>
        </w:numPr>
        <w:spacing w:after="0" w:line="240" w:lineRule="auto"/>
        <w:ind w:left="0" w:firstLine="0"/>
        <w:jc w:val="both"/>
        <w:rPr>
          <w:rFonts w:ascii="Verdana" w:hAnsi="Verdana" w:cs="Times New Roman"/>
          <w:sz w:val="20"/>
          <w:szCs w:val="20"/>
          <w:lang w:val="es-DO"/>
        </w:rPr>
      </w:pPr>
      <w:r w:rsidRPr="000B33B9">
        <w:rPr>
          <w:rFonts w:ascii="Verdana" w:hAnsi="Verdana"/>
          <w:sz w:val="20"/>
          <w:szCs w:val="20"/>
          <w:lang w:val="es-DO"/>
        </w:rPr>
        <w:t xml:space="preserve">El 8 de abril de 1997, el Juzgado Previsional acogió la nulidad solicitada por el Procurador Público del </w:t>
      </w:r>
      <w:r w:rsidR="00116681" w:rsidRPr="000B33B9">
        <w:rPr>
          <w:rFonts w:ascii="Verdana" w:hAnsi="Verdana"/>
          <w:sz w:val="20"/>
          <w:szCs w:val="20"/>
          <w:lang w:val="es-DO"/>
        </w:rPr>
        <w:t>MEF</w:t>
      </w:r>
      <w:r w:rsidRPr="000B33B9">
        <w:rPr>
          <w:rFonts w:ascii="Verdana" w:hAnsi="Verdana"/>
          <w:sz w:val="20"/>
          <w:szCs w:val="20"/>
          <w:lang w:val="es-DO"/>
        </w:rPr>
        <w:t xml:space="preserve">, requiriendo en su lugar que la </w:t>
      </w:r>
      <w:r w:rsidR="00116681" w:rsidRPr="000B33B9">
        <w:rPr>
          <w:rFonts w:ascii="Verdana" w:hAnsi="Verdana"/>
          <w:sz w:val="20"/>
          <w:szCs w:val="20"/>
          <w:lang w:val="es-DO"/>
        </w:rPr>
        <w:t>SUNAT</w:t>
      </w:r>
      <w:r w:rsidRPr="000B33B9">
        <w:rPr>
          <w:rFonts w:ascii="Verdana" w:hAnsi="Verdana"/>
          <w:sz w:val="20"/>
          <w:szCs w:val="20"/>
          <w:lang w:val="es-DO"/>
        </w:rPr>
        <w:t xml:space="preserve"> cumpliera con lo dispuesto por las sentencias de la Corte Suprema y el Tribunal Constitucional</w:t>
      </w:r>
      <w:r w:rsidRPr="000B33B9">
        <w:rPr>
          <w:rStyle w:val="Refdenotaalpie"/>
          <w:rFonts w:ascii="Verdana" w:hAnsi="Verdana"/>
          <w:sz w:val="20"/>
          <w:szCs w:val="20"/>
          <w:lang w:val="es-DO"/>
        </w:rPr>
        <w:footnoteReference w:id="56"/>
      </w:r>
      <w:r w:rsidRPr="000B33B9">
        <w:rPr>
          <w:rFonts w:ascii="Verdana" w:hAnsi="Verdana"/>
          <w:sz w:val="20"/>
          <w:szCs w:val="20"/>
          <w:lang w:val="es-DO"/>
        </w:rPr>
        <w:t>. Dicha resolu</w:t>
      </w:r>
      <w:r w:rsidR="00091F4B" w:rsidRPr="000B33B9">
        <w:rPr>
          <w:rFonts w:ascii="Verdana" w:hAnsi="Verdana"/>
          <w:sz w:val="20"/>
          <w:szCs w:val="20"/>
          <w:lang w:val="es-DO"/>
        </w:rPr>
        <w:t xml:space="preserve">ción fue anulada el 18 de agosto </w:t>
      </w:r>
      <w:r w:rsidRPr="000B33B9">
        <w:rPr>
          <w:rFonts w:ascii="Verdana" w:hAnsi="Verdana"/>
          <w:sz w:val="20"/>
          <w:szCs w:val="20"/>
          <w:lang w:val="es-DO"/>
        </w:rPr>
        <w:t>de 1997, pues la S</w:t>
      </w:r>
      <w:r w:rsidR="00091F4B" w:rsidRPr="000B33B9">
        <w:rPr>
          <w:rFonts w:ascii="Verdana" w:hAnsi="Verdana"/>
          <w:sz w:val="20"/>
          <w:szCs w:val="20"/>
          <w:lang w:val="es-DO"/>
        </w:rPr>
        <w:t>UNAT</w:t>
      </w:r>
      <w:r w:rsidRPr="000B33B9">
        <w:rPr>
          <w:rFonts w:ascii="Verdana" w:hAnsi="Verdana"/>
          <w:sz w:val="20"/>
          <w:szCs w:val="20"/>
          <w:lang w:val="es-DO"/>
        </w:rPr>
        <w:t xml:space="preserve"> no pudo ejercer su derecho de defensa dado que no le había sido notificada la solicitud de nulidad. En virtud de ello</w:t>
      </w:r>
      <w:r w:rsidR="00116681" w:rsidRPr="000B33B9">
        <w:rPr>
          <w:rFonts w:ascii="Verdana" w:hAnsi="Verdana"/>
          <w:sz w:val="20"/>
          <w:szCs w:val="20"/>
          <w:lang w:val="es-DO"/>
        </w:rPr>
        <w:t>,</w:t>
      </w:r>
      <w:r w:rsidRPr="000B33B9">
        <w:rPr>
          <w:rFonts w:ascii="Verdana" w:hAnsi="Verdana"/>
          <w:sz w:val="20"/>
          <w:szCs w:val="20"/>
          <w:lang w:val="es-DO"/>
        </w:rPr>
        <w:t xml:space="preserve"> se ordenó al tribunal </w:t>
      </w:r>
      <w:r w:rsidRPr="000B33B9">
        <w:rPr>
          <w:rFonts w:ascii="Verdana" w:hAnsi="Verdana"/>
          <w:i/>
          <w:sz w:val="20"/>
          <w:szCs w:val="20"/>
          <w:lang w:val="es-DO"/>
        </w:rPr>
        <w:t>a quo</w:t>
      </w:r>
      <w:r w:rsidRPr="000B33B9">
        <w:rPr>
          <w:rFonts w:ascii="Verdana" w:hAnsi="Verdana"/>
          <w:sz w:val="20"/>
          <w:szCs w:val="20"/>
          <w:lang w:val="es-DO"/>
        </w:rPr>
        <w:t xml:space="preserve"> comunicar el recurso presentado por el Procurador Público tanto a la referida institución como a ANCEJUB-SUNAT</w:t>
      </w:r>
      <w:r w:rsidRPr="000B33B9">
        <w:rPr>
          <w:rStyle w:val="Refdenotaalpie"/>
          <w:rFonts w:ascii="Verdana" w:hAnsi="Verdana"/>
          <w:sz w:val="20"/>
          <w:szCs w:val="20"/>
          <w:lang w:val="es-DO"/>
        </w:rPr>
        <w:footnoteReference w:id="57"/>
      </w:r>
      <w:r w:rsidRPr="000B33B9">
        <w:rPr>
          <w:rFonts w:ascii="Verdana" w:hAnsi="Verdana"/>
          <w:sz w:val="20"/>
          <w:szCs w:val="20"/>
          <w:lang w:val="es-DO"/>
        </w:rPr>
        <w:t xml:space="preserve">. </w:t>
      </w:r>
    </w:p>
    <w:p w14:paraId="22A29861" w14:textId="77777777" w:rsidR="00B86B27" w:rsidRPr="000B33B9" w:rsidRDefault="00B86B27" w:rsidP="00B86B27">
      <w:pPr>
        <w:pStyle w:val="Prrafodelista"/>
        <w:spacing w:after="0" w:line="240" w:lineRule="auto"/>
        <w:ind w:left="0"/>
        <w:jc w:val="both"/>
        <w:rPr>
          <w:rFonts w:ascii="Verdana" w:hAnsi="Verdana" w:cs="Times New Roman"/>
          <w:sz w:val="20"/>
          <w:szCs w:val="20"/>
          <w:lang w:val="es-DO"/>
        </w:rPr>
      </w:pPr>
    </w:p>
    <w:p w14:paraId="52BC9083" w14:textId="1A1947F8" w:rsidR="00B86B27" w:rsidRPr="000B33B9" w:rsidRDefault="00B86B27" w:rsidP="007B74B8">
      <w:pPr>
        <w:pStyle w:val="Prrafodelista"/>
        <w:numPr>
          <w:ilvl w:val="0"/>
          <w:numId w:val="10"/>
        </w:numPr>
        <w:spacing w:after="0" w:line="240" w:lineRule="auto"/>
        <w:ind w:left="0" w:firstLine="0"/>
        <w:jc w:val="both"/>
        <w:rPr>
          <w:rFonts w:ascii="Verdana" w:hAnsi="Verdana" w:cs="Times New Roman"/>
          <w:sz w:val="20"/>
          <w:szCs w:val="20"/>
          <w:lang w:val="es-DO"/>
        </w:rPr>
      </w:pPr>
      <w:r w:rsidRPr="000B33B9">
        <w:rPr>
          <w:rFonts w:ascii="Verdana" w:hAnsi="Verdana"/>
          <w:sz w:val="20"/>
          <w:szCs w:val="20"/>
          <w:lang w:val="es-DO"/>
        </w:rPr>
        <w:t>El 16 de febrero de 1998, el Primer Juzgado Corporativo Transitorio Especializado en Derecho Público (en adelante “Primer Juzgado Corporativo”) revocó la resolución de 18 de abril de 1997 y declaró “</w:t>
      </w:r>
      <w:r w:rsidR="00FC4350" w:rsidRPr="000B33B9">
        <w:rPr>
          <w:rFonts w:ascii="Verdana" w:hAnsi="Verdana"/>
          <w:sz w:val="20"/>
          <w:szCs w:val="20"/>
          <w:lang w:val="es-DO"/>
        </w:rPr>
        <w:t xml:space="preserve">(…) </w:t>
      </w:r>
      <w:r w:rsidRPr="000B33B9">
        <w:rPr>
          <w:rFonts w:ascii="Verdana" w:hAnsi="Verdana"/>
          <w:sz w:val="20"/>
          <w:szCs w:val="20"/>
          <w:lang w:val="es-DO"/>
        </w:rPr>
        <w:t>infundada la nulidad deducida por el Ministerio de Economía y Finanzas”, ordenándole “</w:t>
      </w:r>
      <w:r w:rsidR="00FC4350" w:rsidRPr="000B33B9">
        <w:rPr>
          <w:rFonts w:ascii="Verdana" w:hAnsi="Verdana"/>
          <w:sz w:val="20"/>
          <w:szCs w:val="20"/>
          <w:lang w:val="es-DO"/>
        </w:rPr>
        <w:t xml:space="preserve">(…) </w:t>
      </w:r>
      <w:r w:rsidRPr="000B33B9">
        <w:rPr>
          <w:rFonts w:ascii="Verdana" w:hAnsi="Verdana"/>
          <w:sz w:val="20"/>
          <w:szCs w:val="20"/>
          <w:lang w:val="es-DO"/>
        </w:rPr>
        <w:t>proseguir el proceso, según su estado”</w:t>
      </w:r>
      <w:r w:rsidRPr="000B33B9">
        <w:rPr>
          <w:rFonts w:ascii="Verdana" w:hAnsi="Verdana"/>
          <w:sz w:val="20"/>
          <w:szCs w:val="20"/>
          <w:lang w:val="es-ES"/>
        </w:rPr>
        <w:t>.</w:t>
      </w:r>
      <w:r w:rsidRPr="000B33B9">
        <w:rPr>
          <w:rFonts w:ascii="Verdana" w:hAnsi="Verdana"/>
          <w:b/>
          <w:sz w:val="20"/>
          <w:szCs w:val="20"/>
          <w:lang w:val="es-ES"/>
        </w:rPr>
        <w:t xml:space="preserve"> </w:t>
      </w:r>
      <w:r w:rsidRPr="000B33B9">
        <w:rPr>
          <w:rFonts w:ascii="Verdana" w:hAnsi="Verdana"/>
          <w:sz w:val="20"/>
          <w:szCs w:val="20"/>
          <w:lang w:val="es-ES"/>
        </w:rPr>
        <w:t xml:space="preserve">En su decisión, el </w:t>
      </w:r>
      <w:r w:rsidR="008745CC" w:rsidRPr="000B33B9">
        <w:rPr>
          <w:rFonts w:ascii="Verdana" w:hAnsi="Verdana"/>
          <w:sz w:val="20"/>
          <w:szCs w:val="20"/>
          <w:lang w:val="es-ES"/>
        </w:rPr>
        <w:t>Primer Juzgado Corporativo</w:t>
      </w:r>
      <w:r w:rsidRPr="000B33B9">
        <w:rPr>
          <w:rFonts w:ascii="Verdana" w:hAnsi="Verdana"/>
          <w:sz w:val="20"/>
          <w:szCs w:val="20"/>
          <w:lang w:val="es-ES"/>
        </w:rPr>
        <w:t xml:space="preserve"> consideró que, debido a que la Tercera Disposición Transitoria del Decreto 673 establecía tanto la transferencia del pago de las pensiones al MEF como su reajuste conforme las remuneraciones abonadas por dicha entidad, la sentencia de 25 de octubre de 1993 debía ejecutarse “</w:t>
      </w:r>
      <w:r w:rsidR="00FC4350" w:rsidRPr="000B33B9">
        <w:rPr>
          <w:rFonts w:ascii="Verdana" w:hAnsi="Verdana"/>
          <w:sz w:val="20"/>
          <w:szCs w:val="20"/>
          <w:lang w:val="es-ES"/>
        </w:rPr>
        <w:t xml:space="preserve">(…) </w:t>
      </w:r>
      <w:r w:rsidRPr="000B33B9">
        <w:rPr>
          <w:rFonts w:ascii="Verdana" w:hAnsi="Verdana"/>
          <w:sz w:val="20"/>
          <w:szCs w:val="20"/>
          <w:lang w:val="es-ES"/>
        </w:rPr>
        <w:t>sin calificar su contenido o sus fundamentos, restringir sus efectos o interpretar sus alcances, tal como lo señala el artículo cuarto de la Ley Orgánica del Poder Judicial”</w:t>
      </w:r>
      <w:r w:rsidRPr="000B33B9">
        <w:rPr>
          <w:rStyle w:val="Refdenotaalpie"/>
          <w:rFonts w:ascii="Verdana" w:hAnsi="Verdana"/>
          <w:sz w:val="20"/>
          <w:szCs w:val="20"/>
          <w:lang w:val="es-DO"/>
        </w:rPr>
        <w:footnoteReference w:id="58"/>
      </w:r>
      <w:r w:rsidRPr="000B33B9">
        <w:rPr>
          <w:rFonts w:ascii="Verdana" w:hAnsi="Verdana"/>
          <w:sz w:val="20"/>
          <w:szCs w:val="20"/>
          <w:lang w:val="es-ES"/>
        </w:rPr>
        <w:t>.</w:t>
      </w:r>
    </w:p>
    <w:p w14:paraId="2700D22D" w14:textId="77777777" w:rsidR="00B86B27" w:rsidRPr="000B33B9" w:rsidRDefault="00B86B27" w:rsidP="00B86B27">
      <w:pPr>
        <w:pStyle w:val="Prrafodelista"/>
        <w:rPr>
          <w:rFonts w:ascii="Verdana" w:hAnsi="Verdana"/>
          <w:sz w:val="20"/>
          <w:szCs w:val="20"/>
          <w:lang w:val="es-ES"/>
        </w:rPr>
      </w:pPr>
    </w:p>
    <w:p w14:paraId="658BC0FE" w14:textId="4F86A093" w:rsidR="00B86B27" w:rsidRPr="000B33B9" w:rsidRDefault="00B86B27" w:rsidP="007B74B8">
      <w:pPr>
        <w:pStyle w:val="Prrafodelista"/>
        <w:numPr>
          <w:ilvl w:val="0"/>
          <w:numId w:val="10"/>
        </w:numPr>
        <w:spacing w:after="0" w:line="240" w:lineRule="auto"/>
        <w:ind w:left="0" w:firstLine="0"/>
        <w:jc w:val="both"/>
        <w:rPr>
          <w:rFonts w:ascii="Verdana" w:hAnsi="Verdana" w:cs="Times New Roman"/>
          <w:sz w:val="20"/>
          <w:szCs w:val="20"/>
          <w:lang w:val="es-DO"/>
        </w:rPr>
      </w:pPr>
      <w:r w:rsidRPr="000B33B9">
        <w:rPr>
          <w:rFonts w:ascii="Verdana" w:hAnsi="Verdana"/>
          <w:sz w:val="20"/>
          <w:szCs w:val="20"/>
          <w:lang w:val="es-ES"/>
        </w:rPr>
        <w:t xml:space="preserve">El 27 de agosto de 1998, la Sala Corporativa Transitoria Especializada de Derecho Público (en adelante “Sala Corporativa”): a) revocó la resolución de 16 de febrero de 1998; b) declaró fundada la solicitud de nulidad incoada por el Procurador Público del MEF; c) declaró “nula e insubsistente” la resolución de 21 de enero de 1997, y d) dispuso que el tribunal </w:t>
      </w:r>
      <w:r w:rsidRPr="000B33B9">
        <w:rPr>
          <w:rFonts w:ascii="Verdana" w:hAnsi="Verdana"/>
          <w:i/>
          <w:sz w:val="20"/>
          <w:szCs w:val="20"/>
          <w:lang w:val="es-ES"/>
        </w:rPr>
        <w:t xml:space="preserve">a quo </w:t>
      </w:r>
      <w:r w:rsidRPr="000B33B9">
        <w:rPr>
          <w:rFonts w:ascii="Verdana" w:hAnsi="Verdana"/>
          <w:sz w:val="20"/>
          <w:szCs w:val="20"/>
          <w:lang w:val="es-ES"/>
        </w:rPr>
        <w:t>emitiera una nueva resolución conforme a las motivaciones dicta</w:t>
      </w:r>
      <w:r w:rsidR="008745CC" w:rsidRPr="000B33B9">
        <w:rPr>
          <w:rFonts w:ascii="Verdana" w:hAnsi="Verdana"/>
          <w:sz w:val="20"/>
          <w:szCs w:val="20"/>
          <w:lang w:val="es-ES"/>
        </w:rPr>
        <w:t xml:space="preserve">das. La Sala Corporativa </w:t>
      </w:r>
      <w:r w:rsidRPr="000B33B9">
        <w:rPr>
          <w:rFonts w:ascii="Verdana" w:hAnsi="Verdana"/>
          <w:sz w:val="20"/>
          <w:szCs w:val="20"/>
          <w:lang w:val="es-ES"/>
        </w:rPr>
        <w:t>señaló que el requerimiento realizado al MEF en cuanto al cumplimiento de la sentencia de 25 de octubre de 1993 “</w:t>
      </w:r>
      <w:r w:rsidR="00FC4350" w:rsidRPr="000B33B9">
        <w:rPr>
          <w:rFonts w:ascii="Verdana" w:hAnsi="Verdana"/>
          <w:sz w:val="20"/>
          <w:szCs w:val="20"/>
          <w:lang w:val="es-ES"/>
        </w:rPr>
        <w:t xml:space="preserve">(…) </w:t>
      </w:r>
      <w:r w:rsidRPr="000B33B9">
        <w:rPr>
          <w:rFonts w:ascii="Verdana" w:hAnsi="Verdana"/>
          <w:sz w:val="20"/>
          <w:szCs w:val="20"/>
          <w:lang w:val="es-ES"/>
        </w:rPr>
        <w:t>vulnera el principio de legalidad del proceso”, dado que dicha sentencia “constituye cosa juzgada” y dispuso el restablecimiento de “</w:t>
      </w:r>
      <w:r w:rsidR="00FC4350" w:rsidRPr="000B33B9">
        <w:rPr>
          <w:rFonts w:ascii="Verdana" w:hAnsi="Verdana"/>
          <w:sz w:val="20"/>
          <w:szCs w:val="20"/>
          <w:lang w:val="es-ES"/>
        </w:rPr>
        <w:t xml:space="preserve">(…) </w:t>
      </w:r>
      <w:r w:rsidRPr="000B33B9">
        <w:rPr>
          <w:rFonts w:ascii="Verdana" w:hAnsi="Verdana"/>
          <w:sz w:val="20"/>
          <w:szCs w:val="20"/>
          <w:lang w:val="es-ES"/>
        </w:rPr>
        <w:t>las cosas al estado anterior al de la demanda”. Asimismo, indicó que la acción de amparo fue interpuesta por ANCEJUB-SUNAT “</w:t>
      </w:r>
      <w:r w:rsidR="008745CC" w:rsidRPr="000B33B9">
        <w:rPr>
          <w:rFonts w:ascii="Verdana" w:hAnsi="Verdana"/>
          <w:sz w:val="20"/>
          <w:szCs w:val="20"/>
          <w:lang w:val="es-ES"/>
        </w:rPr>
        <w:t xml:space="preserve">(…) </w:t>
      </w:r>
      <w:r w:rsidRPr="000B33B9">
        <w:rPr>
          <w:rFonts w:ascii="Verdana" w:hAnsi="Verdana"/>
          <w:sz w:val="20"/>
          <w:szCs w:val="20"/>
          <w:lang w:val="es-ES"/>
        </w:rPr>
        <w:t>sin haber determinado e individualizado a sus integrantes” y fue “</w:t>
      </w:r>
      <w:r w:rsidR="008745CC" w:rsidRPr="000B33B9">
        <w:rPr>
          <w:rFonts w:ascii="Verdana" w:hAnsi="Verdana"/>
          <w:sz w:val="20"/>
          <w:szCs w:val="20"/>
          <w:lang w:val="es-ES"/>
        </w:rPr>
        <w:t xml:space="preserve">(…) </w:t>
      </w:r>
      <w:r w:rsidRPr="000B33B9">
        <w:rPr>
          <w:rFonts w:ascii="Verdana" w:hAnsi="Verdana"/>
          <w:sz w:val="20"/>
          <w:szCs w:val="20"/>
          <w:lang w:val="es-ES"/>
        </w:rPr>
        <w:t>dirigida de forma genérica contra el Estado”</w:t>
      </w:r>
      <w:r w:rsidR="00FC4350" w:rsidRPr="000B33B9">
        <w:rPr>
          <w:rStyle w:val="Refdenotaalpie"/>
          <w:rFonts w:ascii="Verdana" w:hAnsi="Verdana"/>
          <w:sz w:val="20"/>
          <w:szCs w:val="20"/>
          <w:lang w:val="es-ES"/>
        </w:rPr>
        <w:footnoteReference w:id="59"/>
      </w:r>
      <w:r w:rsidRPr="000B33B9">
        <w:rPr>
          <w:rFonts w:ascii="Verdana" w:hAnsi="Verdana"/>
          <w:sz w:val="20"/>
          <w:szCs w:val="20"/>
          <w:lang w:val="es-ES"/>
        </w:rPr>
        <w:t>, considerando además lo siguiente:</w:t>
      </w:r>
    </w:p>
    <w:p w14:paraId="3D77B667" w14:textId="77777777" w:rsidR="00B86B27" w:rsidRPr="000B33B9" w:rsidRDefault="00B86B27" w:rsidP="00B86B27">
      <w:pPr>
        <w:spacing w:after="0" w:line="240" w:lineRule="auto"/>
        <w:jc w:val="both"/>
        <w:rPr>
          <w:rFonts w:ascii="Verdana" w:hAnsi="Verdana"/>
          <w:b/>
          <w:sz w:val="20"/>
          <w:szCs w:val="20"/>
          <w:lang w:val="es-DO"/>
        </w:rPr>
      </w:pPr>
    </w:p>
    <w:p w14:paraId="349D5700" w14:textId="55E3A4F7" w:rsidR="00B86B27" w:rsidRPr="000B33B9" w:rsidRDefault="00B86B27" w:rsidP="00B86B27">
      <w:pPr>
        <w:spacing w:after="0" w:line="240" w:lineRule="auto"/>
        <w:ind w:left="706" w:right="1094"/>
        <w:jc w:val="both"/>
        <w:rPr>
          <w:rFonts w:ascii="Verdana" w:hAnsi="Verdana" w:cs="Times New Roman"/>
          <w:sz w:val="18"/>
          <w:szCs w:val="18"/>
          <w:lang w:val="es-DO"/>
        </w:rPr>
      </w:pPr>
      <w:r w:rsidRPr="000B33B9">
        <w:rPr>
          <w:rFonts w:ascii="Verdana" w:hAnsi="Verdana"/>
          <w:sz w:val="18"/>
          <w:szCs w:val="18"/>
          <w:lang w:val="es-ES"/>
        </w:rPr>
        <w:t xml:space="preserve"> “</w:t>
      </w:r>
      <w:r w:rsidR="008745CC" w:rsidRPr="000B33B9">
        <w:rPr>
          <w:rFonts w:ascii="Verdana" w:hAnsi="Verdana"/>
          <w:sz w:val="18"/>
          <w:szCs w:val="18"/>
          <w:lang w:val="es-ES"/>
        </w:rPr>
        <w:t xml:space="preserve">(…) </w:t>
      </w:r>
      <w:r w:rsidRPr="000B33B9">
        <w:rPr>
          <w:rFonts w:ascii="Verdana" w:hAnsi="Verdana"/>
          <w:sz w:val="18"/>
          <w:szCs w:val="18"/>
          <w:lang w:val="es-ES"/>
        </w:rPr>
        <w:t>Con este antecedente, al vializar la ejecución en el caso corresponde que cada uno de los agremiados de la actora, debidamente individualizados instrumenten ante la entidad administrativa que mantenga el acervo documentario de sus pensiones, los pertinentes procesos en los que idóneamente se permita el ajuste de liquidaciones y el cabal cumplimiento de sus derechos reconocidos jurisdiccionalmente en esta sede”.</w:t>
      </w:r>
    </w:p>
    <w:p w14:paraId="131F5CB7" w14:textId="77777777" w:rsidR="00B86B27" w:rsidRPr="000B33B9" w:rsidRDefault="00B86B27" w:rsidP="00B86B27">
      <w:pPr>
        <w:spacing w:after="0" w:line="240" w:lineRule="auto"/>
        <w:jc w:val="both"/>
        <w:rPr>
          <w:rFonts w:ascii="Verdana" w:hAnsi="Verdana"/>
          <w:b/>
          <w:sz w:val="20"/>
          <w:szCs w:val="20"/>
          <w:lang w:val="es-DO"/>
        </w:rPr>
      </w:pPr>
    </w:p>
    <w:p w14:paraId="3534976C" w14:textId="5FF73074" w:rsidR="00B86B27" w:rsidRPr="000B33B9" w:rsidRDefault="00B86B27" w:rsidP="007B74B8">
      <w:pPr>
        <w:pStyle w:val="Prrafodelista"/>
        <w:numPr>
          <w:ilvl w:val="0"/>
          <w:numId w:val="10"/>
        </w:numPr>
        <w:spacing w:after="0" w:line="240" w:lineRule="auto"/>
        <w:ind w:left="0" w:firstLine="0"/>
        <w:jc w:val="both"/>
        <w:rPr>
          <w:rFonts w:ascii="Verdana" w:hAnsi="Verdana"/>
          <w:sz w:val="20"/>
          <w:szCs w:val="20"/>
          <w:lang w:val="es-DO"/>
        </w:rPr>
      </w:pPr>
      <w:r w:rsidRPr="000B33B9">
        <w:rPr>
          <w:rFonts w:ascii="Verdana" w:hAnsi="Verdana"/>
          <w:sz w:val="20"/>
          <w:szCs w:val="20"/>
          <w:lang w:val="es-DO"/>
        </w:rPr>
        <w:t>El 2 de octubre de 1998, el Primer Juzgado Corporativo emitió una nueva resolución en la que declaró improcedente el requerimiento sobre la ejecución de pago y, “</w:t>
      </w:r>
      <w:r w:rsidR="008745CC" w:rsidRPr="000B33B9">
        <w:rPr>
          <w:rFonts w:ascii="Verdana" w:hAnsi="Verdana"/>
          <w:sz w:val="20"/>
          <w:szCs w:val="20"/>
          <w:lang w:val="es-DO"/>
        </w:rPr>
        <w:t xml:space="preserve">(…) </w:t>
      </w:r>
      <w:r w:rsidRPr="000B33B9">
        <w:rPr>
          <w:rFonts w:ascii="Verdana" w:hAnsi="Verdana"/>
          <w:sz w:val="20"/>
          <w:szCs w:val="20"/>
          <w:lang w:val="es-DO"/>
        </w:rPr>
        <w:t>dejando a salvo el derecho de los integrantes de [la] asociación demandante para que lo hagan valer en la forma y modo que correspond</w:t>
      </w:r>
      <w:r w:rsidR="009346C0" w:rsidRPr="000B33B9">
        <w:rPr>
          <w:rFonts w:ascii="Verdana" w:hAnsi="Verdana"/>
          <w:sz w:val="20"/>
          <w:szCs w:val="20"/>
          <w:lang w:val="es-DO"/>
        </w:rPr>
        <w:t>a</w:t>
      </w:r>
      <w:r w:rsidRPr="000B33B9">
        <w:rPr>
          <w:rFonts w:ascii="Verdana" w:hAnsi="Verdana"/>
          <w:sz w:val="20"/>
          <w:szCs w:val="20"/>
          <w:lang w:val="es-DO"/>
        </w:rPr>
        <w:t xml:space="preserve">”, juzgó que se imponía “la necesidad” de </w:t>
      </w:r>
      <w:r w:rsidR="00F82A54" w:rsidRPr="000B33B9">
        <w:rPr>
          <w:rFonts w:ascii="Verdana" w:hAnsi="Verdana"/>
          <w:sz w:val="20"/>
          <w:szCs w:val="20"/>
          <w:lang w:val="es-DO"/>
        </w:rPr>
        <w:t xml:space="preserve">que </w:t>
      </w:r>
      <w:r w:rsidRPr="000B33B9">
        <w:rPr>
          <w:rFonts w:ascii="Verdana" w:hAnsi="Verdana"/>
          <w:sz w:val="20"/>
          <w:szCs w:val="20"/>
          <w:lang w:val="es-DO"/>
        </w:rPr>
        <w:t>cada uno instaurara de modo individual “</w:t>
      </w:r>
      <w:r w:rsidR="008745CC" w:rsidRPr="000B33B9">
        <w:rPr>
          <w:rFonts w:ascii="Verdana" w:hAnsi="Verdana"/>
          <w:sz w:val="20"/>
          <w:szCs w:val="20"/>
          <w:lang w:val="es-DO"/>
        </w:rPr>
        <w:t xml:space="preserve">(…) </w:t>
      </w:r>
      <w:r w:rsidRPr="000B33B9">
        <w:rPr>
          <w:rFonts w:ascii="Verdana" w:hAnsi="Verdana"/>
          <w:sz w:val="20"/>
          <w:szCs w:val="20"/>
          <w:lang w:val="es-DO"/>
        </w:rPr>
        <w:t>el pertinente trámite administrativo y/o jurisdiccional en su caso, en el que con amplitud se pueda establecer el aspecto económico en cuestión”</w:t>
      </w:r>
      <w:r w:rsidRPr="000B33B9">
        <w:rPr>
          <w:rStyle w:val="Refdenotaalpie"/>
          <w:rFonts w:ascii="Verdana" w:hAnsi="Verdana"/>
          <w:sz w:val="20"/>
          <w:szCs w:val="20"/>
          <w:lang w:val="es-DO"/>
        </w:rPr>
        <w:footnoteReference w:id="60"/>
      </w:r>
      <w:r w:rsidRPr="000B33B9">
        <w:rPr>
          <w:rFonts w:ascii="Verdana" w:hAnsi="Verdana"/>
          <w:sz w:val="20"/>
          <w:szCs w:val="20"/>
          <w:lang w:val="es-ES"/>
        </w:rPr>
        <w:t>. Dicha resolución fue apelada por ANCEJUB-SUNAT</w:t>
      </w:r>
      <w:r w:rsidRPr="000B33B9">
        <w:rPr>
          <w:rStyle w:val="Refdenotaalpie"/>
          <w:rFonts w:ascii="Verdana" w:hAnsi="Verdana"/>
          <w:sz w:val="20"/>
          <w:szCs w:val="20"/>
          <w:lang w:val="es-ES"/>
        </w:rPr>
        <w:footnoteReference w:id="61"/>
      </w:r>
      <w:r w:rsidRPr="000B33B9">
        <w:rPr>
          <w:rFonts w:ascii="Verdana" w:hAnsi="Verdana"/>
          <w:sz w:val="20"/>
          <w:szCs w:val="20"/>
          <w:lang w:val="es-ES"/>
        </w:rPr>
        <w:t>. El 21 de ene</w:t>
      </w:r>
      <w:r w:rsidR="005A6DD6" w:rsidRPr="000B33B9">
        <w:rPr>
          <w:rFonts w:ascii="Verdana" w:hAnsi="Verdana"/>
          <w:sz w:val="20"/>
          <w:szCs w:val="20"/>
          <w:lang w:val="es-ES"/>
        </w:rPr>
        <w:t xml:space="preserve">ro de 1999, la Sala Corporativa </w:t>
      </w:r>
      <w:r w:rsidRPr="000B33B9">
        <w:rPr>
          <w:rFonts w:ascii="Verdana" w:hAnsi="Verdana"/>
          <w:sz w:val="20"/>
          <w:szCs w:val="20"/>
          <w:lang w:val="es-ES"/>
        </w:rPr>
        <w:t>confirmó la resolución apelada y declaró improcedente el requerimiento de ejecución en la modalidad propuesta por ANCEJUB-SUNAT por estimar que, “</w:t>
      </w:r>
      <w:r w:rsidR="008745CC" w:rsidRPr="000B33B9">
        <w:rPr>
          <w:rFonts w:ascii="Verdana" w:hAnsi="Verdana"/>
          <w:sz w:val="20"/>
          <w:szCs w:val="20"/>
          <w:lang w:val="es-ES"/>
        </w:rPr>
        <w:t xml:space="preserve">(…) </w:t>
      </w:r>
      <w:r w:rsidRPr="000B33B9">
        <w:rPr>
          <w:rFonts w:ascii="Verdana" w:hAnsi="Verdana"/>
          <w:sz w:val="20"/>
          <w:szCs w:val="20"/>
          <w:lang w:val="es-ES"/>
        </w:rPr>
        <w:t>si bien es cierto que los fallos finales emitidos en los procesos de garantía se ejecutarán siguiendo las pautas del ordenamiento adjetivo</w:t>
      </w:r>
      <w:r w:rsidR="009346C0" w:rsidRPr="000B33B9">
        <w:rPr>
          <w:rFonts w:ascii="Verdana" w:hAnsi="Verdana"/>
          <w:sz w:val="20"/>
          <w:szCs w:val="20"/>
          <w:lang w:val="es-ES"/>
        </w:rPr>
        <w:t xml:space="preserve"> civil</w:t>
      </w:r>
      <w:r w:rsidRPr="000B33B9">
        <w:rPr>
          <w:rFonts w:ascii="Verdana" w:hAnsi="Verdana"/>
          <w:sz w:val="20"/>
          <w:szCs w:val="20"/>
          <w:lang w:val="es-ES"/>
        </w:rPr>
        <w:t>”, en este caso “</w:t>
      </w:r>
      <w:r w:rsidR="008745CC" w:rsidRPr="000B33B9">
        <w:rPr>
          <w:rFonts w:ascii="Verdana" w:hAnsi="Verdana"/>
          <w:sz w:val="20"/>
          <w:szCs w:val="20"/>
          <w:lang w:val="es-ES"/>
        </w:rPr>
        <w:t xml:space="preserve">(…) </w:t>
      </w:r>
      <w:r w:rsidRPr="000B33B9">
        <w:rPr>
          <w:rFonts w:ascii="Verdana" w:hAnsi="Verdana"/>
          <w:sz w:val="20"/>
          <w:szCs w:val="20"/>
          <w:lang w:val="es-ES"/>
        </w:rPr>
        <w:t>no se cuenta con acervo documental ni otros elementos que permiten al Juzgador [ordenar] la ejecución que se pretende”</w:t>
      </w:r>
      <w:r w:rsidRPr="000B33B9">
        <w:rPr>
          <w:rStyle w:val="Refdenotaalpie"/>
          <w:rFonts w:ascii="Verdana" w:hAnsi="Verdana"/>
          <w:sz w:val="20"/>
          <w:szCs w:val="20"/>
          <w:lang w:val="es-ES"/>
        </w:rPr>
        <w:footnoteReference w:id="62"/>
      </w:r>
      <w:r w:rsidRPr="000B33B9">
        <w:rPr>
          <w:rFonts w:ascii="Verdana" w:hAnsi="Verdana"/>
          <w:sz w:val="20"/>
          <w:szCs w:val="20"/>
          <w:lang w:val="es-ES"/>
        </w:rPr>
        <w:t>.</w:t>
      </w:r>
    </w:p>
    <w:p w14:paraId="3DA1D3E4" w14:textId="77777777" w:rsidR="00B86B27" w:rsidRPr="000B33B9" w:rsidRDefault="00B86B27" w:rsidP="00B86B27">
      <w:pPr>
        <w:spacing w:after="0" w:line="240" w:lineRule="auto"/>
        <w:jc w:val="both"/>
        <w:rPr>
          <w:rFonts w:ascii="Verdana" w:hAnsi="Verdana"/>
          <w:sz w:val="20"/>
          <w:szCs w:val="20"/>
          <w:lang w:val="es-DO"/>
        </w:rPr>
      </w:pPr>
    </w:p>
    <w:p w14:paraId="044A9A83" w14:textId="77777777" w:rsidR="00B86B27" w:rsidRPr="000B33B9" w:rsidRDefault="00B86B27" w:rsidP="007B74AD">
      <w:pPr>
        <w:pStyle w:val="Ttulo2"/>
      </w:pPr>
      <w:bookmarkStart w:id="53" w:name="_Toc27329760"/>
      <w:r w:rsidRPr="000B33B9">
        <w:t>Segunda acción de amparo</w:t>
      </w:r>
      <w:bookmarkEnd w:id="53"/>
    </w:p>
    <w:p w14:paraId="3D164E69" w14:textId="77777777" w:rsidR="00B86B27" w:rsidRPr="000B33B9" w:rsidRDefault="00B86B27" w:rsidP="00B86B27">
      <w:pPr>
        <w:spacing w:after="0" w:line="240" w:lineRule="auto"/>
        <w:rPr>
          <w:rFonts w:ascii="Verdana" w:hAnsi="Verdana"/>
          <w:sz w:val="20"/>
          <w:szCs w:val="20"/>
          <w:lang w:val="es-DO"/>
        </w:rPr>
      </w:pPr>
    </w:p>
    <w:p w14:paraId="1BCADC2D" w14:textId="49BEC025" w:rsidR="00B86B27" w:rsidRPr="000B33B9" w:rsidRDefault="00B86B27" w:rsidP="007B74B8">
      <w:pPr>
        <w:pStyle w:val="Prrafodelista"/>
        <w:numPr>
          <w:ilvl w:val="0"/>
          <w:numId w:val="10"/>
        </w:numPr>
        <w:spacing w:after="0" w:line="240" w:lineRule="auto"/>
        <w:ind w:left="0" w:firstLine="0"/>
        <w:jc w:val="both"/>
        <w:rPr>
          <w:rFonts w:ascii="Verdana" w:hAnsi="Verdana"/>
          <w:sz w:val="20"/>
          <w:szCs w:val="20"/>
          <w:lang w:val="es-DO"/>
        </w:rPr>
      </w:pPr>
      <w:r w:rsidRPr="000B33B9">
        <w:rPr>
          <w:rFonts w:ascii="Verdana" w:hAnsi="Verdana"/>
          <w:sz w:val="20"/>
          <w:szCs w:val="20"/>
          <w:lang w:val="es-DO"/>
        </w:rPr>
        <w:t xml:space="preserve">El 23 de abril de 1999, ANCEJUB-SUNAT interpuso una acción de amparo contra los jueces de la </w:t>
      </w:r>
      <w:r w:rsidRPr="000B33B9">
        <w:rPr>
          <w:rFonts w:ascii="Verdana" w:hAnsi="Verdana"/>
          <w:sz w:val="20"/>
          <w:szCs w:val="20"/>
          <w:lang w:val="es-ES"/>
        </w:rPr>
        <w:t xml:space="preserve">Sala </w:t>
      </w:r>
      <w:r w:rsidR="005A6DD6" w:rsidRPr="000B33B9">
        <w:rPr>
          <w:rFonts w:ascii="Verdana" w:hAnsi="Verdana"/>
          <w:sz w:val="20"/>
          <w:szCs w:val="20"/>
          <w:lang w:val="es-ES"/>
        </w:rPr>
        <w:t>Corporativa</w:t>
      </w:r>
      <w:r w:rsidRPr="000B33B9">
        <w:rPr>
          <w:rStyle w:val="Refdenotaalpie"/>
          <w:rFonts w:ascii="Verdana" w:hAnsi="Verdana"/>
          <w:sz w:val="20"/>
          <w:szCs w:val="20"/>
          <w:lang w:val="es-ES"/>
        </w:rPr>
        <w:footnoteReference w:id="63"/>
      </w:r>
      <w:r w:rsidRPr="000B33B9">
        <w:rPr>
          <w:rFonts w:ascii="Verdana" w:hAnsi="Verdana"/>
          <w:sz w:val="20"/>
          <w:szCs w:val="20"/>
          <w:lang w:val="es-ES"/>
        </w:rPr>
        <w:t>, con el objeto de que se declararan inaplicables las resoluciones emitidas por dicho tribunal en fechas 27 de agosto de 1998 y 21 de enero de 1999</w:t>
      </w:r>
      <w:r w:rsidRPr="000B33B9">
        <w:rPr>
          <w:rFonts w:ascii="Verdana" w:hAnsi="Verdana"/>
          <w:sz w:val="20"/>
          <w:szCs w:val="20"/>
          <w:lang w:val="es-DO"/>
        </w:rPr>
        <w:t xml:space="preserve">. El 25 de noviembre de 1999, la </w:t>
      </w:r>
      <w:r w:rsidRPr="000B33B9">
        <w:rPr>
          <w:rFonts w:ascii="Verdana" w:hAnsi="Verdana"/>
          <w:sz w:val="20"/>
          <w:szCs w:val="20"/>
          <w:lang w:val="es-ES"/>
        </w:rPr>
        <w:t xml:space="preserve">Sala Corporativa </w:t>
      </w:r>
      <w:r w:rsidRPr="000B33B9">
        <w:rPr>
          <w:rFonts w:ascii="Verdana" w:hAnsi="Verdana"/>
          <w:sz w:val="20"/>
          <w:szCs w:val="20"/>
          <w:lang w:val="es-DO"/>
        </w:rPr>
        <w:t>declaró improcedente el amparo al considerar que la ejecución propuesta por ANCEJUB-SUNAT “</w:t>
      </w:r>
      <w:r w:rsidR="005A6DD6" w:rsidRPr="000B33B9">
        <w:rPr>
          <w:rFonts w:ascii="Verdana" w:hAnsi="Verdana"/>
          <w:sz w:val="20"/>
          <w:szCs w:val="20"/>
          <w:lang w:val="es-DO"/>
        </w:rPr>
        <w:t xml:space="preserve">(…) </w:t>
      </w:r>
      <w:r w:rsidRPr="000B33B9">
        <w:rPr>
          <w:rFonts w:ascii="Verdana" w:hAnsi="Verdana"/>
          <w:sz w:val="20"/>
          <w:szCs w:val="20"/>
          <w:lang w:val="es-DO"/>
        </w:rPr>
        <w:t>no resulta procedente, por cuanto la demanda fue planteada sin haberse determinado o individualizado sus integrantes”, de manera que es necesario que cada uno instrumente los “</w:t>
      </w:r>
      <w:r w:rsidR="009346C0" w:rsidRPr="000B33B9">
        <w:rPr>
          <w:rFonts w:ascii="Verdana" w:hAnsi="Verdana"/>
          <w:sz w:val="20"/>
          <w:szCs w:val="20"/>
          <w:lang w:val="es-DO"/>
        </w:rPr>
        <w:t>pertinentes procesos</w:t>
      </w:r>
      <w:r w:rsidRPr="000B33B9">
        <w:rPr>
          <w:rFonts w:ascii="Verdana" w:hAnsi="Verdana"/>
          <w:sz w:val="20"/>
          <w:szCs w:val="20"/>
          <w:lang w:val="es-DO"/>
        </w:rPr>
        <w:t>” ante “la entidad administrativa que mantenga el acervo documentario de sus pensiones” para que “</w:t>
      </w:r>
      <w:r w:rsidR="005A6DD6" w:rsidRPr="000B33B9">
        <w:rPr>
          <w:rFonts w:ascii="Verdana" w:hAnsi="Verdana"/>
          <w:sz w:val="20"/>
          <w:szCs w:val="20"/>
          <w:lang w:val="es-DO"/>
        </w:rPr>
        <w:t xml:space="preserve">(…) </w:t>
      </w:r>
      <w:r w:rsidRPr="000B33B9">
        <w:rPr>
          <w:rFonts w:ascii="Verdana" w:hAnsi="Verdana"/>
          <w:sz w:val="20"/>
          <w:szCs w:val="20"/>
          <w:lang w:val="es-DO"/>
        </w:rPr>
        <w:t>haciendo uso de todos los elementos de probanza, puedan viabilizar y concretizar sus derechos amparados” y que el amparo no es “la vía idónea para tal propósito” ni para solicitar el pago de los gastos y costas procesales, por “ser de naturaleza excepcional, careciendo de etapa probatoria”</w:t>
      </w:r>
      <w:r w:rsidR="005A6DD6" w:rsidRPr="000B33B9">
        <w:rPr>
          <w:rStyle w:val="Refdenotaalpie"/>
          <w:rFonts w:ascii="Verdana" w:hAnsi="Verdana"/>
          <w:sz w:val="20"/>
          <w:szCs w:val="20"/>
          <w:lang w:val="es-DO"/>
        </w:rPr>
        <w:footnoteReference w:id="64"/>
      </w:r>
      <w:r w:rsidRPr="000B33B9">
        <w:rPr>
          <w:rFonts w:ascii="Verdana" w:hAnsi="Verdana"/>
          <w:sz w:val="20"/>
          <w:szCs w:val="20"/>
          <w:lang w:val="es-DO"/>
        </w:rPr>
        <w:t>.</w:t>
      </w:r>
    </w:p>
    <w:p w14:paraId="506D6F81" w14:textId="77777777" w:rsidR="00B86B27" w:rsidRPr="000B33B9" w:rsidRDefault="00B86B27" w:rsidP="00B86B27">
      <w:pPr>
        <w:pStyle w:val="Prrafodelista"/>
        <w:spacing w:after="0" w:line="240" w:lineRule="auto"/>
        <w:ind w:left="0"/>
        <w:jc w:val="both"/>
        <w:rPr>
          <w:rFonts w:ascii="Verdana" w:hAnsi="Verdana"/>
          <w:sz w:val="20"/>
          <w:szCs w:val="20"/>
          <w:lang w:val="es-DO"/>
        </w:rPr>
      </w:pPr>
    </w:p>
    <w:p w14:paraId="115B9ACE" w14:textId="0F6FD0CB" w:rsidR="00B86B27" w:rsidRPr="000B33B9" w:rsidRDefault="00B86B27" w:rsidP="007B74B8">
      <w:pPr>
        <w:pStyle w:val="Prrafodelista"/>
        <w:numPr>
          <w:ilvl w:val="0"/>
          <w:numId w:val="10"/>
        </w:numPr>
        <w:spacing w:after="0" w:line="240" w:lineRule="auto"/>
        <w:ind w:left="0" w:firstLine="0"/>
        <w:jc w:val="both"/>
        <w:rPr>
          <w:rFonts w:ascii="Verdana" w:hAnsi="Verdana"/>
          <w:sz w:val="20"/>
          <w:szCs w:val="20"/>
          <w:lang w:val="es-DO"/>
        </w:rPr>
      </w:pPr>
      <w:r w:rsidRPr="000B33B9">
        <w:rPr>
          <w:rFonts w:ascii="Verdana" w:hAnsi="Verdana"/>
          <w:sz w:val="20"/>
          <w:szCs w:val="20"/>
          <w:lang w:val="es-DO"/>
        </w:rPr>
        <w:t>ANCEJUB-SUNAT apeló dicha resolución y, al respecto, la Fiscalía Suprema en lo Contencioso Administrativo emitió el dictamen 588-2000-MP-FN-FSCA, dirigido el 6 de abril de 2000 al presidente de la Corte Suprema, en el que estimó “fundada la demanda”</w:t>
      </w:r>
      <w:r w:rsidRPr="000B33B9">
        <w:rPr>
          <w:rStyle w:val="Refdenotaalpie"/>
          <w:rFonts w:ascii="Verdana" w:hAnsi="Verdana"/>
          <w:sz w:val="20"/>
          <w:szCs w:val="20"/>
          <w:lang w:val="es-DO"/>
        </w:rPr>
        <w:footnoteReference w:id="65"/>
      </w:r>
      <w:r w:rsidRPr="000B33B9">
        <w:rPr>
          <w:rFonts w:ascii="Verdana" w:hAnsi="Verdana"/>
          <w:sz w:val="20"/>
          <w:szCs w:val="20"/>
          <w:lang w:val="es-DO"/>
        </w:rPr>
        <w:t>. E</w:t>
      </w:r>
      <w:r w:rsidRPr="000B33B9">
        <w:rPr>
          <w:rFonts w:ascii="Verdana" w:hAnsi="Verdana"/>
          <w:sz w:val="20"/>
          <w:szCs w:val="20"/>
          <w:lang w:val="es-ES"/>
        </w:rPr>
        <w:t>l 25 de agosto de 2000, l</w:t>
      </w:r>
      <w:r w:rsidRPr="000B33B9">
        <w:rPr>
          <w:rFonts w:ascii="Verdana" w:hAnsi="Verdana"/>
          <w:sz w:val="20"/>
          <w:szCs w:val="20"/>
          <w:lang w:val="es-DO"/>
        </w:rPr>
        <w:t xml:space="preserve">a Corte Suprema confirmó la sentencia apelada y declaró improcedente la acción </w:t>
      </w:r>
      <w:r w:rsidR="00E14D45" w:rsidRPr="000B33B9">
        <w:rPr>
          <w:rFonts w:ascii="Verdana" w:hAnsi="Verdana"/>
          <w:sz w:val="20"/>
          <w:szCs w:val="20"/>
          <w:lang w:val="es-DO"/>
        </w:rPr>
        <w:t>de amparo, por considerar que: a</w:t>
      </w:r>
      <w:r w:rsidRPr="000B33B9">
        <w:rPr>
          <w:rFonts w:ascii="Verdana" w:hAnsi="Verdana"/>
          <w:sz w:val="20"/>
          <w:szCs w:val="20"/>
          <w:lang w:val="es-DO"/>
        </w:rPr>
        <w:t>) “</w:t>
      </w:r>
      <w:r w:rsidR="008B00A1" w:rsidRPr="000B33B9">
        <w:rPr>
          <w:rFonts w:ascii="Verdana" w:hAnsi="Verdana"/>
          <w:sz w:val="20"/>
          <w:szCs w:val="20"/>
          <w:lang w:val="es-DO"/>
        </w:rPr>
        <w:t xml:space="preserve">(…) </w:t>
      </w:r>
      <w:r w:rsidRPr="000B33B9">
        <w:rPr>
          <w:rFonts w:ascii="Verdana" w:hAnsi="Verdana"/>
          <w:sz w:val="20"/>
          <w:szCs w:val="20"/>
          <w:lang w:val="es-DO"/>
        </w:rPr>
        <w:t>la sentencia expedida en el proceso de amparo se limita a la pretensión ventilada (…) consistente en el derecho a la nivelación, mas no al pa</w:t>
      </w:r>
      <w:r w:rsidR="00E14D45" w:rsidRPr="000B33B9">
        <w:rPr>
          <w:rFonts w:ascii="Verdana" w:hAnsi="Verdana"/>
          <w:sz w:val="20"/>
          <w:szCs w:val="20"/>
          <w:lang w:val="es-DO"/>
        </w:rPr>
        <w:t>go de la obligación misma”, y b</w:t>
      </w:r>
      <w:r w:rsidRPr="000B33B9">
        <w:rPr>
          <w:rFonts w:ascii="Verdana" w:hAnsi="Verdana"/>
          <w:sz w:val="20"/>
          <w:szCs w:val="20"/>
          <w:lang w:val="es-DO"/>
        </w:rPr>
        <w:t>) “</w:t>
      </w:r>
      <w:r w:rsidR="008B00A1" w:rsidRPr="000B33B9">
        <w:rPr>
          <w:rFonts w:ascii="Verdana" w:hAnsi="Verdana"/>
          <w:sz w:val="20"/>
          <w:szCs w:val="20"/>
          <w:lang w:val="es-DO"/>
        </w:rPr>
        <w:t xml:space="preserve">(…) </w:t>
      </w:r>
      <w:r w:rsidRPr="000B33B9">
        <w:rPr>
          <w:rFonts w:ascii="Verdana" w:hAnsi="Verdana"/>
          <w:sz w:val="20"/>
          <w:szCs w:val="20"/>
          <w:lang w:val="es-DO"/>
        </w:rPr>
        <w:t>la liquidación debe practicarse de modo individual a favor de cada uno de los cesantes y jubilados (…) ante el órgano administrativo correspondiente”</w:t>
      </w:r>
      <w:r w:rsidRPr="000B33B9">
        <w:rPr>
          <w:rStyle w:val="Refdenotaalpie"/>
          <w:rFonts w:ascii="Verdana" w:hAnsi="Verdana"/>
          <w:sz w:val="20"/>
          <w:szCs w:val="20"/>
          <w:lang w:val="es-DO"/>
        </w:rPr>
        <w:footnoteReference w:id="66"/>
      </w:r>
      <w:r w:rsidRPr="000B33B9">
        <w:rPr>
          <w:rFonts w:ascii="Verdana" w:hAnsi="Verdana"/>
          <w:sz w:val="20"/>
          <w:szCs w:val="20"/>
          <w:lang w:val="es-DO"/>
        </w:rPr>
        <w:t xml:space="preserve">. </w:t>
      </w:r>
    </w:p>
    <w:p w14:paraId="024E9CBE" w14:textId="77777777" w:rsidR="00B86B27" w:rsidRPr="000B33B9" w:rsidRDefault="00B86B27" w:rsidP="00B86B27">
      <w:pPr>
        <w:pStyle w:val="Prrafodelista"/>
        <w:spacing w:after="0" w:line="240" w:lineRule="auto"/>
        <w:ind w:left="0"/>
        <w:jc w:val="both"/>
        <w:rPr>
          <w:rFonts w:ascii="Verdana" w:hAnsi="Verdana"/>
          <w:sz w:val="20"/>
          <w:szCs w:val="20"/>
          <w:lang w:val="es-DO"/>
        </w:rPr>
      </w:pPr>
    </w:p>
    <w:p w14:paraId="1CDFD894" w14:textId="632E71BC" w:rsidR="00B86B27" w:rsidRPr="000B33B9" w:rsidRDefault="00B86B27" w:rsidP="007B74B8">
      <w:pPr>
        <w:pStyle w:val="Prrafodelista"/>
        <w:numPr>
          <w:ilvl w:val="0"/>
          <w:numId w:val="10"/>
        </w:numPr>
        <w:spacing w:after="0" w:line="240" w:lineRule="auto"/>
        <w:ind w:left="0" w:firstLine="0"/>
        <w:jc w:val="both"/>
        <w:rPr>
          <w:rFonts w:ascii="Verdana" w:hAnsi="Verdana"/>
          <w:sz w:val="20"/>
          <w:szCs w:val="20"/>
          <w:lang w:val="es-DO"/>
        </w:rPr>
      </w:pPr>
      <w:r w:rsidRPr="000B33B9">
        <w:rPr>
          <w:rFonts w:ascii="Verdana" w:hAnsi="Verdana"/>
          <w:sz w:val="20"/>
          <w:szCs w:val="20"/>
          <w:lang w:val="es-DO"/>
        </w:rPr>
        <w:t>ANCEJUB-SUNAT presentó un recurso extraordinario ante el Tribunal Constitucional, que subsecuentemente expidió la sentencia de 10 de mayo de 2001. El Tribunal Constitucional revocó la decisión impugnada, declaró fundada la acción de amparo y dispuso la “plena validez y vigencia” de la resolución dictada por el Juzgado Previsional el 21 de enero de 1997. En sus motivaciones, el Tribunal Constitucional señaló que “</w:t>
      </w:r>
      <w:r w:rsidR="008B00A1" w:rsidRPr="000B33B9">
        <w:rPr>
          <w:rFonts w:ascii="Verdana" w:hAnsi="Verdana"/>
          <w:sz w:val="20"/>
          <w:szCs w:val="20"/>
          <w:lang w:val="es-DO"/>
        </w:rPr>
        <w:t xml:space="preserve">(…) </w:t>
      </w:r>
      <w:r w:rsidRPr="000B33B9">
        <w:rPr>
          <w:rFonts w:ascii="Verdana" w:hAnsi="Verdana"/>
          <w:sz w:val="20"/>
          <w:szCs w:val="20"/>
          <w:lang w:val="es-DO"/>
        </w:rPr>
        <w:t>la sentencia firme recaída en una acción de garantía, es una resolución final con autoridad de cosa juzgada inmutable, y es en virtud de ello que debe ser ejecutada en los términos</w:t>
      </w:r>
      <w:r w:rsidR="00E14D45" w:rsidRPr="000B33B9">
        <w:rPr>
          <w:rFonts w:ascii="Verdana" w:hAnsi="Verdana"/>
          <w:sz w:val="20"/>
          <w:szCs w:val="20"/>
          <w:lang w:val="es-DO"/>
        </w:rPr>
        <w:t xml:space="preserve"> que dicha resolución contenga”</w:t>
      </w:r>
      <w:r w:rsidRPr="000B33B9">
        <w:rPr>
          <w:rStyle w:val="Refdenotaalpie"/>
          <w:rFonts w:ascii="Verdana" w:hAnsi="Verdana"/>
          <w:sz w:val="20"/>
          <w:szCs w:val="20"/>
          <w:lang w:val="es-DO"/>
        </w:rPr>
        <w:footnoteReference w:id="67"/>
      </w:r>
      <w:r w:rsidR="009346C0" w:rsidRPr="000B33B9">
        <w:rPr>
          <w:rFonts w:ascii="Verdana" w:hAnsi="Verdana"/>
          <w:sz w:val="20"/>
          <w:szCs w:val="20"/>
          <w:lang w:val="es-ES"/>
        </w:rPr>
        <w:t>.</w:t>
      </w:r>
    </w:p>
    <w:p w14:paraId="5284580B" w14:textId="77777777" w:rsidR="00B86B27" w:rsidRPr="000B33B9" w:rsidRDefault="00B86B27" w:rsidP="00B86B27">
      <w:pPr>
        <w:pStyle w:val="Prrafodelista"/>
        <w:spacing w:after="0" w:line="240" w:lineRule="auto"/>
        <w:ind w:left="0"/>
        <w:jc w:val="both"/>
        <w:rPr>
          <w:rFonts w:ascii="Verdana" w:hAnsi="Verdana"/>
          <w:sz w:val="20"/>
          <w:szCs w:val="20"/>
          <w:lang w:val="es-DO"/>
        </w:rPr>
      </w:pPr>
    </w:p>
    <w:p w14:paraId="3A328A45" w14:textId="35B7A622" w:rsidR="00B86B27" w:rsidRPr="000B33B9" w:rsidRDefault="00B86B27" w:rsidP="007B74B8">
      <w:pPr>
        <w:pStyle w:val="Prrafodelista"/>
        <w:numPr>
          <w:ilvl w:val="0"/>
          <w:numId w:val="10"/>
        </w:numPr>
        <w:spacing w:after="0" w:line="240" w:lineRule="auto"/>
        <w:ind w:left="0" w:firstLine="0"/>
        <w:jc w:val="both"/>
        <w:rPr>
          <w:rFonts w:ascii="Verdana" w:hAnsi="Verdana"/>
          <w:sz w:val="20"/>
          <w:szCs w:val="20"/>
          <w:lang w:val="es-DO"/>
        </w:rPr>
      </w:pPr>
      <w:r w:rsidRPr="000B33B9">
        <w:rPr>
          <w:rFonts w:ascii="Verdana" w:hAnsi="Verdana"/>
          <w:sz w:val="20"/>
          <w:szCs w:val="20"/>
          <w:lang w:val="es-DO"/>
        </w:rPr>
        <w:t xml:space="preserve">El 25 de marzo de 2002, la Sexta Sala Civil de la Corte Superior de Justicia de Lima requirió </w:t>
      </w:r>
      <w:r w:rsidR="00031854" w:rsidRPr="000B33B9">
        <w:rPr>
          <w:rFonts w:ascii="Verdana" w:hAnsi="Verdana"/>
          <w:sz w:val="20"/>
          <w:szCs w:val="20"/>
          <w:lang w:val="es-DO"/>
        </w:rPr>
        <w:t>al</w:t>
      </w:r>
      <w:r w:rsidRPr="000B33B9">
        <w:rPr>
          <w:rFonts w:ascii="Verdana" w:hAnsi="Verdana"/>
          <w:sz w:val="20"/>
          <w:szCs w:val="20"/>
          <w:lang w:val="es-DO"/>
        </w:rPr>
        <w:t xml:space="preserve"> juez del Sexagésimo Tercer Juzgado Especializado en lo Civil de Lima </w:t>
      </w:r>
      <w:r w:rsidR="008B00A1" w:rsidRPr="000B33B9">
        <w:rPr>
          <w:rFonts w:ascii="Verdana" w:hAnsi="Verdana"/>
          <w:sz w:val="20"/>
          <w:szCs w:val="20"/>
          <w:lang w:val="es-DO"/>
        </w:rPr>
        <w:t>(en adelante “Sexagésimo Tercer Juzgado</w:t>
      </w:r>
      <w:r w:rsidR="00C66BDD" w:rsidRPr="000B33B9">
        <w:rPr>
          <w:rFonts w:ascii="Verdana" w:hAnsi="Verdana"/>
          <w:sz w:val="20"/>
          <w:szCs w:val="20"/>
          <w:lang w:val="es-DO"/>
        </w:rPr>
        <w:t>”</w:t>
      </w:r>
      <w:r w:rsidR="008B00A1" w:rsidRPr="000B33B9">
        <w:rPr>
          <w:rFonts w:ascii="Verdana" w:hAnsi="Verdana"/>
          <w:sz w:val="20"/>
          <w:szCs w:val="20"/>
          <w:lang w:val="es-DO"/>
        </w:rPr>
        <w:t xml:space="preserve">) </w:t>
      </w:r>
      <w:r w:rsidRPr="000B33B9">
        <w:rPr>
          <w:rFonts w:ascii="Verdana" w:hAnsi="Verdana"/>
          <w:sz w:val="20"/>
          <w:szCs w:val="20"/>
          <w:lang w:val="es-DO"/>
        </w:rPr>
        <w:t>que cumpliera “</w:t>
      </w:r>
      <w:r w:rsidR="00C66BDD" w:rsidRPr="000B33B9">
        <w:rPr>
          <w:rFonts w:ascii="Verdana" w:hAnsi="Verdana"/>
          <w:sz w:val="20"/>
          <w:szCs w:val="20"/>
          <w:lang w:val="es-DO"/>
        </w:rPr>
        <w:t xml:space="preserve">(…) </w:t>
      </w:r>
      <w:r w:rsidRPr="000B33B9">
        <w:rPr>
          <w:rFonts w:ascii="Verdana" w:hAnsi="Verdana"/>
          <w:sz w:val="20"/>
          <w:szCs w:val="20"/>
          <w:lang w:val="es-DO"/>
        </w:rPr>
        <w:t xml:space="preserve">con lo expresamente ordenado por el Tribunal Constitucional mediante resolución de fecha </w:t>
      </w:r>
      <w:r w:rsidRPr="000B33B9">
        <w:rPr>
          <w:rFonts w:ascii="Verdana" w:hAnsi="Verdana"/>
          <w:sz w:val="20"/>
          <w:szCs w:val="20"/>
          <w:lang w:val="es-ES"/>
        </w:rPr>
        <w:t>[10] de mayo de [2001]”</w:t>
      </w:r>
      <w:r w:rsidRPr="000B33B9">
        <w:rPr>
          <w:rStyle w:val="Refdenotaalpie"/>
          <w:rFonts w:ascii="Verdana" w:hAnsi="Verdana"/>
          <w:sz w:val="20"/>
          <w:szCs w:val="20"/>
          <w:lang w:val="es-ES"/>
        </w:rPr>
        <w:footnoteReference w:id="68"/>
      </w:r>
      <w:r w:rsidRPr="000B33B9">
        <w:rPr>
          <w:rFonts w:ascii="Verdana" w:hAnsi="Verdana"/>
          <w:sz w:val="20"/>
          <w:szCs w:val="20"/>
          <w:lang w:val="es-ES"/>
        </w:rPr>
        <w:t xml:space="preserve">. El 11 de abril de 2002, el </w:t>
      </w:r>
      <w:r w:rsidRPr="000B33B9">
        <w:rPr>
          <w:rFonts w:ascii="Verdana" w:hAnsi="Verdana"/>
          <w:sz w:val="20"/>
          <w:szCs w:val="20"/>
          <w:lang w:val="es-DO"/>
        </w:rPr>
        <w:t xml:space="preserve">Sexagésimo Tercer Juzgado emitió una resolución en la que ordenó tanto a la </w:t>
      </w:r>
      <w:r w:rsidR="00C66BDD" w:rsidRPr="000B33B9">
        <w:rPr>
          <w:rFonts w:ascii="Verdana" w:hAnsi="Verdana"/>
          <w:sz w:val="20"/>
          <w:szCs w:val="20"/>
          <w:lang w:val="es-DO"/>
        </w:rPr>
        <w:t>SUNAT</w:t>
      </w:r>
      <w:r w:rsidRPr="000B33B9">
        <w:rPr>
          <w:rFonts w:ascii="Verdana" w:hAnsi="Verdana"/>
          <w:sz w:val="20"/>
          <w:szCs w:val="20"/>
          <w:lang w:val="es-DO"/>
        </w:rPr>
        <w:t xml:space="preserve"> como al </w:t>
      </w:r>
      <w:r w:rsidR="00C66BDD" w:rsidRPr="000B33B9">
        <w:rPr>
          <w:rFonts w:ascii="Verdana" w:hAnsi="Verdana"/>
          <w:sz w:val="20"/>
          <w:szCs w:val="20"/>
          <w:lang w:val="es-DO"/>
        </w:rPr>
        <w:t>MEF</w:t>
      </w:r>
      <w:r w:rsidRPr="000B33B9">
        <w:rPr>
          <w:rFonts w:ascii="Verdana" w:hAnsi="Verdana"/>
          <w:sz w:val="20"/>
          <w:szCs w:val="20"/>
          <w:lang w:val="es-DO"/>
        </w:rPr>
        <w:t xml:space="preserve"> que dieran “estricto cumplimiento</w:t>
      </w:r>
      <w:r w:rsidR="00031854" w:rsidRPr="000B33B9">
        <w:rPr>
          <w:rFonts w:ascii="Verdana" w:hAnsi="Verdana"/>
          <w:sz w:val="20"/>
          <w:szCs w:val="20"/>
          <w:lang w:val="es-DO"/>
        </w:rPr>
        <w:t xml:space="preserve"> a la sentencia</w:t>
      </w:r>
      <w:r w:rsidRPr="000B33B9">
        <w:rPr>
          <w:rFonts w:ascii="Verdana" w:hAnsi="Verdana"/>
          <w:sz w:val="20"/>
          <w:szCs w:val="20"/>
          <w:lang w:val="es-DO"/>
        </w:rPr>
        <w:t xml:space="preserve"> del Tribunal Constitucional, de fecha </w:t>
      </w:r>
      <w:r w:rsidRPr="000B33B9">
        <w:rPr>
          <w:rFonts w:ascii="Verdana" w:hAnsi="Verdana"/>
          <w:sz w:val="20"/>
          <w:szCs w:val="20"/>
          <w:lang w:val="es-ES"/>
        </w:rPr>
        <w:t>[10] de mayo de [2001]”</w:t>
      </w:r>
      <w:r w:rsidRPr="000B33B9">
        <w:rPr>
          <w:rStyle w:val="Refdenotaalpie"/>
          <w:rFonts w:ascii="Verdana" w:hAnsi="Verdana"/>
          <w:sz w:val="20"/>
          <w:szCs w:val="20"/>
          <w:lang w:val="es-ES"/>
        </w:rPr>
        <w:footnoteReference w:id="69"/>
      </w:r>
      <w:r w:rsidRPr="000B33B9">
        <w:rPr>
          <w:rFonts w:ascii="Verdana" w:hAnsi="Verdana"/>
          <w:sz w:val="20"/>
          <w:szCs w:val="20"/>
          <w:lang w:val="es-ES"/>
        </w:rPr>
        <w:t xml:space="preserve">. El 15 de mayo de 2002, ANCEJUB-SUNAT presentó ante dicho juzgado </w:t>
      </w:r>
      <w:r w:rsidRPr="000B33B9">
        <w:rPr>
          <w:rFonts w:ascii="Verdana" w:hAnsi="Verdana"/>
          <w:sz w:val="20"/>
          <w:szCs w:val="20"/>
          <w:lang w:val="es-DO"/>
        </w:rPr>
        <w:t>un listado de descuentos de cesantes de la SUNAT y, el 24 de mayo de 2002, depositó el registro de sus asociados</w:t>
      </w:r>
      <w:r w:rsidRPr="000B33B9">
        <w:rPr>
          <w:rStyle w:val="Refdenotaalpie"/>
          <w:rFonts w:ascii="Verdana" w:hAnsi="Verdana"/>
          <w:sz w:val="20"/>
          <w:szCs w:val="20"/>
          <w:lang w:val="es-DO"/>
        </w:rPr>
        <w:footnoteReference w:id="70"/>
      </w:r>
      <w:r w:rsidRPr="000B33B9">
        <w:rPr>
          <w:rFonts w:ascii="Verdana" w:hAnsi="Verdana"/>
          <w:sz w:val="20"/>
          <w:szCs w:val="20"/>
          <w:lang w:val="es-ES"/>
        </w:rPr>
        <w:t xml:space="preserve"> y un informe pericial sobre “</w:t>
      </w:r>
      <w:r w:rsidR="00C66BDD" w:rsidRPr="000B33B9">
        <w:rPr>
          <w:rFonts w:ascii="Verdana" w:hAnsi="Verdana"/>
          <w:sz w:val="20"/>
          <w:szCs w:val="20"/>
          <w:lang w:val="es-ES"/>
        </w:rPr>
        <w:t xml:space="preserve">(…) </w:t>
      </w:r>
      <w:r w:rsidRPr="000B33B9">
        <w:rPr>
          <w:rFonts w:ascii="Verdana" w:hAnsi="Verdana"/>
          <w:sz w:val="20"/>
          <w:szCs w:val="20"/>
          <w:lang w:val="es-ES"/>
        </w:rPr>
        <w:t>la nivelación de las pensiones y reintegros no percibidos y las liquidaciones de reintegros de la totalidad de [sus] miembros”</w:t>
      </w:r>
      <w:r w:rsidRPr="000B33B9">
        <w:rPr>
          <w:rStyle w:val="Refdenotaalpie"/>
          <w:rFonts w:ascii="Verdana" w:hAnsi="Verdana"/>
          <w:sz w:val="20"/>
          <w:szCs w:val="20"/>
          <w:lang w:val="es-ES"/>
        </w:rPr>
        <w:footnoteReference w:id="71"/>
      </w:r>
      <w:r w:rsidRPr="000B33B9">
        <w:rPr>
          <w:rFonts w:ascii="Verdana" w:hAnsi="Verdana"/>
          <w:sz w:val="20"/>
          <w:szCs w:val="20"/>
          <w:lang w:val="es-ES"/>
        </w:rPr>
        <w:t>.</w:t>
      </w:r>
    </w:p>
    <w:p w14:paraId="3FEF3E9A" w14:textId="77777777" w:rsidR="00B86B27" w:rsidRPr="000B33B9" w:rsidRDefault="00B86B27" w:rsidP="00B86B27">
      <w:pPr>
        <w:pStyle w:val="Prrafodelista"/>
        <w:spacing w:after="0" w:line="240" w:lineRule="auto"/>
        <w:ind w:left="0"/>
        <w:jc w:val="both"/>
        <w:rPr>
          <w:rFonts w:ascii="Verdana" w:hAnsi="Verdana"/>
          <w:sz w:val="20"/>
          <w:szCs w:val="20"/>
          <w:lang w:val="es-DO"/>
        </w:rPr>
      </w:pPr>
    </w:p>
    <w:p w14:paraId="460E332F" w14:textId="233152BC" w:rsidR="00B86B27" w:rsidRPr="000B33B9" w:rsidRDefault="00B86B27" w:rsidP="007B74B8">
      <w:pPr>
        <w:pStyle w:val="Prrafodelista"/>
        <w:numPr>
          <w:ilvl w:val="0"/>
          <w:numId w:val="10"/>
        </w:numPr>
        <w:spacing w:after="0" w:line="240" w:lineRule="auto"/>
        <w:ind w:left="0" w:firstLine="0"/>
        <w:jc w:val="both"/>
        <w:rPr>
          <w:rFonts w:ascii="Verdana" w:hAnsi="Verdana"/>
          <w:sz w:val="20"/>
          <w:szCs w:val="20"/>
          <w:lang w:val="es-DO"/>
        </w:rPr>
      </w:pPr>
      <w:r w:rsidRPr="000B33B9">
        <w:rPr>
          <w:rFonts w:ascii="Verdana" w:hAnsi="Verdana"/>
          <w:sz w:val="20"/>
          <w:szCs w:val="20"/>
          <w:lang w:val="es-ES"/>
        </w:rPr>
        <w:t xml:space="preserve">El 24 de junio de 2002, el </w:t>
      </w:r>
      <w:r w:rsidRPr="000B33B9">
        <w:rPr>
          <w:rFonts w:ascii="Verdana" w:hAnsi="Verdana"/>
          <w:sz w:val="20"/>
          <w:szCs w:val="20"/>
          <w:lang w:val="es-DO"/>
        </w:rPr>
        <w:t>Sexagésimo Tercer Juzgado emitió una resolución en la que reconoció que, “</w:t>
      </w:r>
      <w:r w:rsidR="00C66BDD" w:rsidRPr="000B33B9">
        <w:rPr>
          <w:rFonts w:ascii="Verdana" w:hAnsi="Verdana"/>
          <w:sz w:val="20"/>
          <w:szCs w:val="20"/>
          <w:lang w:val="es-DO"/>
        </w:rPr>
        <w:t xml:space="preserve">(…) </w:t>
      </w:r>
      <w:r w:rsidRPr="000B33B9">
        <w:rPr>
          <w:rFonts w:ascii="Verdana" w:hAnsi="Verdana"/>
          <w:sz w:val="20"/>
          <w:szCs w:val="20"/>
          <w:lang w:val="es-DO"/>
        </w:rPr>
        <w:t>de la información y documentación contenida en el presente expediente”, resultaba “evidente” que “</w:t>
      </w:r>
      <w:r w:rsidR="00C66BDD" w:rsidRPr="000B33B9">
        <w:rPr>
          <w:rFonts w:ascii="Verdana" w:hAnsi="Verdana"/>
          <w:sz w:val="20"/>
          <w:szCs w:val="20"/>
          <w:lang w:val="es-DO"/>
        </w:rPr>
        <w:t xml:space="preserve">(…) </w:t>
      </w:r>
      <w:r w:rsidRPr="000B33B9">
        <w:rPr>
          <w:rFonts w:ascii="Verdana" w:hAnsi="Verdana"/>
          <w:sz w:val="20"/>
          <w:szCs w:val="20"/>
          <w:lang w:val="es-DO"/>
        </w:rPr>
        <w:t xml:space="preserve">la parte demandante en este proceso está constituida por todos los miembros integrantes de la </w:t>
      </w:r>
      <w:r w:rsidRPr="000B33B9">
        <w:rPr>
          <w:rFonts w:ascii="Verdana" w:hAnsi="Verdana"/>
          <w:sz w:val="20"/>
          <w:szCs w:val="20"/>
          <w:lang w:val="es-ES"/>
        </w:rPr>
        <w:t>[ANCEJUB-SUNAT]”</w:t>
      </w:r>
      <w:r w:rsidR="00C66BDD" w:rsidRPr="000B33B9">
        <w:rPr>
          <w:rStyle w:val="Refdenotaalpie"/>
          <w:rFonts w:ascii="Verdana" w:hAnsi="Verdana"/>
          <w:sz w:val="20"/>
          <w:szCs w:val="20"/>
          <w:lang w:val="es-DO"/>
        </w:rPr>
        <w:footnoteReference w:id="72"/>
      </w:r>
      <w:r w:rsidRPr="000B33B9">
        <w:rPr>
          <w:rFonts w:ascii="Verdana" w:hAnsi="Verdana"/>
          <w:sz w:val="20"/>
          <w:szCs w:val="20"/>
          <w:lang w:val="es-ES"/>
        </w:rPr>
        <w:t xml:space="preserve">. Mediante esta resolución, dicho juzgado requirió nuevamente a la SUNAT y al </w:t>
      </w:r>
      <w:r w:rsidR="00C66BDD" w:rsidRPr="000B33B9">
        <w:rPr>
          <w:rFonts w:ascii="Verdana" w:hAnsi="Verdana"/>
          <w:sz w:val="20"/>
          <w:szCs w:val="20"/>
          <w:lang w:val="es-ES"/>
        </w:rPr>
        <w:t>MEF</w:t>
      </w:r>
      <w:r w:rsidRPr="000B33B9">
        <w:rPr>
          <w:rFonts w:ascii="Verdana" w:hAnsi="Verdana"/>
          <w:sz w:val="20"/>
          <w:szCs w:val="20"/>
          <w:lang w:val="es-ES"/>
        </w:rPr>
        <w:t xml:space="preserve"> lo siguiente: </w:t>
      </w:r>
    </w:p>
    <w:p w14:paraId="29CE591C" w14:textId="77777777" w:rsidR="00B86B27" w:rsidRPr="000B33B9" w:rsidRDefault="00B86B27" w:rsidP="00B86B27">
      <w:pPr>
        <w:spacing w:after="0" w:line="240" w:lineRule="auto"/>
        <w:jc w:val="both"/>
        <w:rPr>
          <w:rFonts w:ascii="Verdana" w:hAnsi="Verdana"/>
          <w:sz w:val="20"/>
          <w:szCs w:val="20"/>
          <w:lang w:val="es-ES"/>
        </w:rPr>
      </w:pPr>
    </w:p>
    <w:p w14:paraId="6C3D4223" w14:textId="5A0A8AFC" w:rsidR="00B86B27" w:rsidRPr="000B33B9" w:rsidRDefault="00B86B27" w:rsidP="00B86B27">
      <w:pPr>
        <w:spacing w:after="0" w:line="240" w:lineRule="auto"/>
        <w:ind w:left="706" w:right="1094"/>
        <w:jc w:val="both"/>
        <w:rPr>
          <w:rFonts w:ascii="Verdana" w:hAnsi="Verdana"/>
          <w:sz w:val="18"/>
          <w:szCs w:val="18"/>
          <w:lang w:val="es-ES"/>
        </w:rPr>
      </w:pPr>
      <w:r w:rsidRPr="000B33B9">
        <w:rPr>
          <w:rFonts w:ascii="Verdana" w:hAnsi="Verdana"/>
          <w:sz w:val="18"/>
          <w:szCs w:val="18"/>
          <w:lang w:val="es-ES"/>
        </w:rPr>
        <w:t xml:space="preserve">“(…) que en el plazo de tres días cumpla[n] con efectuar el pago de la pensión que les corresponde, nivelada con las remuneraciones de los servidores activos de la </w:t>
      </w:r>
      <w:r w:rsidR="00031854" w:rsidRPr="000B33B9">
        <w:rPr>
          <w:rFonts w:ascii="Verdana" w:hAnsi="Verdana"/>
          <w:sz w:val="18"/>
          <w:szCs w:val="18"/>
          <w:lang w:val="es-ES"/>
        </w:rPr>
        <w:t>[SUNAT]</w:t>
      </w:r>
      <w:r w:rsidRPr="000B33B9">
        <w:rPr>
          <w:rFonts w:ascii="Verdana" w:hAnsi="Verdana"/>
          <w:sz w:val="18"/>
          <w:szCs w:val="18"/>
          <w:lang w:val="es-ES"/>
        </w:rPr>
        <w:t xml:space="preserve"> y se les reintegre los incrementos dejados de percibir como consecuencia de la aplicación de la mencionada Tercera Disposición Transitoria del Decreto Legislativo [673] a la TOTALIDAD DE ASOCIADOS de la demandante </w:t>
      </w:r>
      <w:r w:rsidR="00031854" w:rsidRPr="000B33B9">
        <w:rPr>
          <w:rFonts w:ascii="Verdana" w:hAnsi="Verdana"/>
          <w:sz w:val="18"/>
          <w:szCs w:val="18"/>
          <w:lang w:val="es-ES"/>
        </w:rPr>
        <w:t>[</w:t>
      </w:r>
      <w:r w:rsidRPr="000B33B9">
        <w:rPr>
          <w:rFonts w:ascii="Verdana" w:hAnsi="Verdana"/>
          <w:sz w:val="18"/>
          <w:szCs w:val="18"/>
          <w:lang w:val="es-ES"/>
        </w:rPr>
        <w:t>ANCEJUB-SUNAT</w:t>
      </w:r>
      <w:r w:rsidR="00031854" w:rsidRPr="000B33B9">
        <w:rPr>
          <w:rFonts w:ascii="Verdana" w:hAnsi="Verdana"/>
          <w:sz w:val="18"/>
          <w:szCs w:val="18"/>
          <w:lang w:val="es-ES"/>
        </w:rPr>
        <w:t>]</w:t>
      </w:r>
      <w:r w:rsidRPr="000B33B9">
        <w:rPr>
          <w:rFonts w:ascii="Verdana" w:hAnsi="Verdana"/>
          <w:sz w:val="18"/>
          <w:szCs w:val="18"/>
          <w:lang w:val="es-ES"/>
        </w:rPr>
        <w:t>, acreditados conforme a la copia legalizada del libro de registro de asociados y al listado de descue</w:t>
      </w:r>
      <w:r w:rsidR="00031854" w:rsidRPr="000B33B9">
        <w:rPr>
          <w:rFonts w:ascii="Verdana" w:hAnsi="Verdana"/>
          <w:sz w:val="18"/>
          <w:szCs w:val="18"/>
          <w:lang w:val="es-ES"/>
        </w:rPr>
        <w:t>ntos de cesantes de la [SUNAT]”</w:t>
      </w:r>
      <w:r w:rsidRPr="000B33B9">
        <w:rPr>
          <w:rFonts w:ascii="Verdana" w:hAnsi="Verdana"/>
          <w:sz w:val="18"/>
          <w:szCs w:val="18"/>
          <w:lang w:val="es-ES"/>
        </w:rPr>
        <w:t>.</w:t>
      </w:r>
    </w:p>
    <w:p w14:paraId="051F370C" w14:textId="77777777" w:rsidR="00B86B27" w:rsidRPr="000B33B9" w:rsidRDefault="00B86B27" w:rsidP="00B86B27">
      <w:pPr>
        <w:spacing w:after="0" w:line="240" w:lineRule="auto"/>
        <w:rPr>
          <w:rFonts w:ascii="Verdana" w:hAnsi="Verdana"/>
          <w:b/>
          <w:sz w:val="20"/>
          <w:szCs w:val="20"/>
          <w:lang w:val="es-ES"/>
        </w:rPr>
      </w:pPr>
    </w:p>
    <w:p w14:paraId="198F846E" w14:textId="03D0C023" w:rsidR="00B86B27" w:rsidRPr="000B33B9" w:rsidRDefault="00B86B27" w:rsidP="007B74B8">
      <w:pPr>
        <w:pStyle w:val="Prrafodelista"/>
        <w:numPr>
          <w:ilvl w:val="0"/>
          <w:numId w:val="10"/>
        </w:numPr>
        <w:spacing w:after="0" w:line="240" w:lineRule="auto"/>
        <w:ind w:left="0" w:firstLine="0"/>
        <w:jc w:val="both"/>
        <w:rPr>
          <w:rFonts w:ascii="Verdana" w:hAnsi="Verdana"/>
          <w:sz w:val="20"/>
          <w:szCs w:val="20"/>
          <w:lang w:val="es-ES"/>
        </w:rPr>
      </w:pPr>
      <w:r w:rsidRPr="000B33B9">
        <w:rPr>
          <w:rFonts w:ascii="Verdana" w:hAnsi="Verdana"/>
          <w:sz w:val="20"/>
          <w:szCs w:val="20"/>
          <w:lang w:val="es-ES"/>
        </w:rPr>
        <w:t>El 8 de julio de 2002, la SUNAT expidió la resolución 042-2002/SUNAT, en la cual indicó que, para dar cumplimiento al requerimiento de 24 de junio de 2002, resultaba “</w:t>
      </w:r>
      <w:r w:rsidR="00562EE0" w:rsidRPr="000B33B9">
        <w:rPr>
          <w:rFonts w:ascii="Verdana" w:hAnsi="Verdana"/>
          <w:sz w:val="20"/>
          <w:szCs w:val="20"/>
          <w:lang w:val="es-ES"/>
        </w:rPr>
        <w:t xml:space="preserve">(…) </w:t>
      </w:r>
      <w:r w:rsidRPr="000B33B9">
        <w:rPr>
          <w:rFonts w:ascii="Verdana" w:hAnsi="Verdana"/>
          <w:sz w:val="20"/>
          <w:szCs w:val="20"/>
          <w:lang w:val="es-ES"/>
        </w:rPr>
        <w:t xml:space="preserve">necesario determinar el monto de las pensiones de cada uno de los pensionistas considerados en las planillas elaboradas y remitidas por el </w:t>
      </w:r>
      <w:r w:rsidR="00031854" w:rsidRPr="000B33B9">
        <w:rPr>
          <w:rFonts w:ascii="Verdana" w:hAnsi="Verdana"/>
          <w:sz w:val="20"/>
          <w:szCs w:val="20"/>
          <w:lang w:val="es-ES"/>
        </w:rPr>
        <w:t>MEF</w:t>
      </w:r>
      <w:r w:rsidRPr="000B33B9">
        <w:rPr>
          <w:rFonts w:ascii="Verdana" w:hAnsi="Verdana"/>
          <w:sz w:val="20"/>
          <w:szCs w:val="20"/>
          <w:lang w:val="es-ES"/>
        </w:rPr>
        <w:t>” y que dicha “</w:t>
      </w:r>
      <w:r w:rsidR="00562EE0" w:rsidRPr="000B33B9">
        <w:rPr>
          <w:rFonts w:ascii="Verdana" w:hAnsi="Verdana"/>
          <w:sz w:val="20"/>
          <w:szCs w:val="20"/>
          <w:lang w:val="es-ES"/>
        </w:rPr>
        <w:t xml:space="preserve">(…) </w:t>
      </w:r>
      <w:r w:rsidRPr="000B33B9">
        <w:rPr>
          <w:rFonts w:ascii="Verdana" w:hAnsi="Verdana"/>
          <w:sz w:val="20"/>
          <w:szCs w:val="20"/>
          <w:lang w:val="es-ES"/>
        </w:rPr>
        <w:t>suma ha sido fijada tomando como referencia lo que perciben los trabajadores de la SUNAT comprendidos dentro del régimen laboral regul</w:t>
      </w:r>
      <w:r w:rsidR="00987A08" w:rsidRPr="000B33B9">
        <w:rPr>
          <w:rFonts w:ascii="Verdana" w:hAnsi="Verdana"/>
          <w:sz w:val="20"/>
          <w:szCs w:val="20"/>
          <w:lang w:val="es-ES"/>
        </w:rPr>
        <w:t>ado por el Decreto Legislativo No.</w:t>
      </w:r>
      <w:r w:rsidRPr="000B33B9">
        <w:rPr>
          <w:rFonts w:ascii="Verdana" w:hAnsi="Verdana"/>
          <w:sz w:val="20"/>
          <w:szCs w:val="20"/>
          <w:lang w:val="es-ES"/>
        </w:rPr>
        <w:t xml:space="preserve"> 276, sin considerar la ‘diferencia’ prevista por el artículo 3º del Decreto Legislativo No</w:t>
      </w:r>
      <w:r w:rsidR="00987A08" w:rsidRPr="000B33B9">
        <w:rPr>
          <w:rFonts w:ascii="Verdana" w:hAnsi="Verdana"/>
          <w:sz w:val="20"/>
          <w:szCs w:val="20"/>
          <w:lang w:val="es-ES"/>
        </w:rPr>
        <w:t>.</w:t>
      </w:r>
      <w:r w:rsidR="00031854" w:rsidRPr="000B33B9">
        <w:rPr>
          <w:rFonts w:ascii="Verdana" w:hAnsi="Verdana"/>
          <w:sz w:val="20"/>
          <w:szCs w:val="20"/>
          <w:lang w:val="es-ES"/>
        </w:rPr>
        <w:t xml:space="preserve"> 673 por tratarse é</w:t>
      </w:r>
      <w:r w:rsidRPr="000B33B9">
        <w:rPr>
          <w:rFonts w:ascii="Verdana" w:hAnsi="Verdana"/>
          <w:sz w:val="20"/>
          <w:szCs w:val="20"/>
          <w:lang w:val="es-ES"/>
        </w:rPr>
        <w:t>ste de un concepto no pensionable”</w:t>
      </w:r>
      <w:r w:rsidR="00562EE0" w:rsidRPr="000B33B9">
        <w:rPr>
          <w:rStyle w:val="Refdenotaalpie"/>
          <w:rFonts w:ascii="Verdana" w:hAnsi="Verdana"/>
          <w:sz w:val="20"/>
          <w:szCs w:val="20"/>
          <w:lang w:val="es-ES"/>
        </w:rPr>
        <w:footnoteReference w:id="73"/>
      </w:r>
      <w:r w:rsidRPr="000B33B9">
        <w:rPr>
          <w:rFonts w:ascii="Verdana" w:hAnsi="Verdana"/>
          <w:sz w:val="20"/>
          <w:szCs w:val="20"/>
          <w:lang w:val="es-ES"/>
        </w:rPr>
        <w:t>. En la referida resolución, la SUNAT dispuso lo siguiente:</w:t>
      </w:r>
    </w:p>
    <w:p w14:paraId="31D824DD" w14:textId="77777777" w:rsidR="00B86B27" w:rsidRPr="000B33B9" w:rsidRDefault="00B86B27" w:rsidP="00B86B27">
      <w:pPr>
        <w:spacing w:after="0" w:line="240" w:lineRule="auto"/>
        <w:jc w:val="both"/>
        <w:rPr>
          <w:rFonts w:ascii="Verdana" w:hAnsi="Verdana"/>
          <w:sz w:val="20"/>
          <w:szCs w:val="20"/>
          <w:lang w:val="es-ES"/>
        </w:rPr>
      </w:pPr>
    </w:p>
    <w:p w14:paraId="4C0AEEE7" w14:textId="76A77519" w:rsidR="00B86B27" w:rsidRPr="000B33B9" w:rsidRDefault="00B86B27" w:rsidP="00B86B27">
      <w:pPr>
        <w:spacing w:after="0" w:line="240" w:lineRule="auto"/>
        <w:ind w:left="706" w:right="1094"/>
        <w:jc w:val="both"/>
        <w:rPr>
          <w:rFonts w:ascii="Verdana" w:hAnsi="Verdana"/>
          <w:sz w:val="18"/>
          <w:szCs w:val="18"/>
          <w:lang w:val="es-ES"/>
        </w:rPr>
      </w:pPr>
      <w:r w:rsidRPr="000B33B9">
        <w:rPr>
          <w:rFonts w:ascii="Verdana" w:hAnsi="Verdana"/>
          <w:sz w:val="18"/>
          <w:szCs w:val="18"/>
          <w:lang w:val="es-ES"/>
        </w:rPr>
        <w:t>“Artículo 1.-Disponer que, a partir del mes de agosto de 2002 y en cumplimiento de la Ejecutoria Suprema del 25 de octubre de 1993, de lo resuelto por el Tribunal Constitucional el 10 de mayo de 2001, de lo ordenado por el Sexagésimo Tercer Juzgado Civil de Lima y de acuerdo a lo establecido en la Ley No</w:t>
      </w:r>
      <w:r w:rsidR="00031854" w:rsidRPr="000B33B9">
        <w:rPr>
          <w:rFonts w:ascii="Verdana" w:hAnsi="Verdana"/>
          <w:sz w:val="18"/>
          <w:szCs w:val="18"/>
          <w:lang w:val="es-ES"/>
        </w:rPr>
        <w:t>.</w:t>
      </w:r>
      <w:r w:rsidRPr="000B33B9">
        <w:rPr>
          <w:rFonts w:ascii="Verdana" w:hAnsi="Verdana"/>
          <w:sz w:val="18"/>
          <w:szCs w:val="18"/>
          <w:lang w:val="es-ES"/>
        </w:rPr>
        <w:t xml:space="preserve"> 27719, la SUNAT asuma el pago de las pensiones de cesantía o jubilación de los ex servidores que se indican en los documentos anexos a esta Resolución, de acuerdo a los montos detallados en los mismos. </w:t>
      </w:r>
    </w:p>
    <w:p w14:paraId="5A7BEBBC" w14:textId="77777777" w:rsidR="00B86B27" w:rsidRPr="000B33B9" w:rsidRDefault="00B86B27" w:rsidP="00B86B27">
      <w:pPr>
        <w:spacing w:after="0" w:line="240" w:lineRule="auto"/>
        <w:ind w:left="706" w:right="1094"/>
        <w:jc w:val="both"/>
        <w:rPr>
          <w:rFonts w:ascii="Verdana" w:hAnsi="Verdana"/>
          <w:sz w:val="18"/>
          <w:szCs w:val="18"/>
          <w:lang w:val="es-ES"/>
        </w:rPr>
      </w:pPr>
    </w:p>
    <w:p w14:paraId="5F0F60A3" w14:textId="29F95969" w:rsidR="00B86B27" w:rsidRPr="000B33B9" w:rsidRDefault="00B86B27" w:rsidP="00B86B27">
      <w:pPr>
        <w:spacing w:after="0" w:line="240" w:lineRule="auto"/>
        <w:ind w:left="706" w:right="1094"/>
        <w:jc w:val="both"/>
        <w:rPr>
          <w:rFonts w:ascii="Verdana" w:hAnsi="Verdana"/>
          <w:sz w:val="20"/>
          <w:szCs w:val="20"/>
          <w:lang w:val="es-ES"/>
        </w:rPr>
      </w:pPr>
      <w:r w:rsidRPr="000B33B9">
        <w:rPr>
          <w:rFonts w:ascii="Verdana" w:hAnsi="Verdana"/>
          <w:sz w:val="18"/>
          <w:szCs w:val="18"/>
          <w:lang w:val="es-ES"/>
        </w:rPr>
        <w:t xml:space="preserve">Artículo 2.- Determinar que, no existiendo diferencia en los montos de las pensiones a las que se refiere el artículo anterior y las que dichos ex servidores vienen percibiendo por parte del </w:t>
      </w:r>
      <w:r w:rsidR="00031854" w:rsidRPr="000B33B9">
        <w:rPr>
          <w:rFonts w:ascii="Verdana" w:hAnsi="Verdana"/>
          <w:sz w:val="18"/>
          <w:szCs w:val="18"/>
          <w:lang w:val="es-ES"/>
        </w:rPr>
        <w:t>MEF</w:t>
      </w:r>
      <w:r w:rsidRPr="000B33B9">
        <w:rPr>
          <w:rFonts w:ascii="Verdana" w:hAnsi="Verdana"/>
          <w:sz w:val="18"/>
          <w:szCs w:val="18"/>
          <w:lang w:val="es-ES"/>
        </w:rPr>
        <w:t>, no existe ningún rei</w:t>
      </w:r>
      <w:r w:rsidR="00031854" w:rsidRPr="000B33B9">
        <w:rPr>
          <w:rFonts w:ascii="Verdana" w:hAnsi="Verdana"/>
          <w:sz w:val="18"/>
          <w:szCs w:val="18"/>
          <w:lang w:val="es-ES"/>
        </w:rPr>
        <w:t>ntegro que efectuar a su favor”</w:t>
      </w:r>
      <w:r w:rsidRPr="000B33B9">
        <w:rPr>
          <w:rFonts w:ascii="Verdana" w:hAnsi="Verdana"/>
          <w:sz w:val="18"/>
          <w:szCs w:val="18"/>
          <w:lang w:val="es-ES"/>
        </w:rPr>
        <w:t>.</w:t>
      </w:r>
    </w:p>
    <w:p w14:paraId="6BFB4925" w14:textId="77777777" w:rsidR="00B86B27" w:rsidRPr="000B33B9" w:rsidRDefault="00B86B27" w:rsidP="00B86B27">
      <w:pPr>
        <w:spacing w:after="0" w:line="240" w:lineRule="auto"/>
        <w:jc w:val="both"/>
        <w:rPr>
          <w:rFonts w:ascii="Verdana" w:hAnsi="Verdana"/>
          <w:sz w:val="20"/>
          <w:szCs w:val="20"/>
          <w:lang w:val="es-ES"/>
        </w:rPr>
      </w:pPr>
    </w:p>
    <w:p w14:paraId="2231FAEB" w14:textId="49479429" w:rsidR="00B86B27" w:rsidRPr="000B33B9" w:rsidRDefault="00B86B27" w:rsidP="007B74B8">
      <w:pPr>
        <w:pStyle w:val="Prrafodelista"/>
        <w:numPr>
          <w:ilvl w:val="0"/>
          <w:numId w:val="10"/>
        </w:numPr>
        <w:spacing w:after="0" w:line="240" w:lineRule="auto"/>
        <w:ind w:left="0" w:firstLine="0"/>
        <w:jc w:val="both"/>
        <w:rPr>
          <w:rFonts w:ascii="Verdana" w:hAnsi="Verdana"/>
          <w:sz w:val="20"/>
          <w:szCs w:val="20"/>
          <w:lang w:val="es-DO"/>
        </w:rPr>
      </w:pPr>
      <w:r w:rsidRPr="000B33B9">
        <w:rPr>
          <w:rFonts w:ascii="Verdana" w:hAnsi="Verdana"/>
          <w:sz w:val="20"/>
          <w:szCs w:val="20"/>
          <w:lang w:val="es-ES"/>
        </w:rPr>
        <w:t xml:space="preserve">El 23 de septiembre de 2002, el </w:t>
      </w:r>
      <w:r w:rsidRPr="000B33B9">
        <w:rPr>
          <w:rFonts w:ascii="Verdana" w:hAnsi="Verdana"/>
          <w:sz w:val="20"/>
          <w:szCs w:val="20"/>
          <w:lang w:val="es-DO"/>
        </w:rPr>
        <w:t xml:space="preserve">Sexagésimo Tercer Juzgado dispuso el nombramiento de un perito contador por parte del Registro de Peritos Judiciales del Poder Judicial, con la finalidad de “(…) que practique una liquidación de pago adeudado a favor de cada uno de los asociados de la asociación demandante, a fin de determinar el monto de las pensiones niveladas con las remuneraciones de los servidores activos de la </w:t>
      </w:r>
      <w:r w:rsidR="00031854" w:rsidRPr="000B33B9">
        <w:rPr>
          <w:rFonts w:ascii="Verdana" w:hAnsi="Verdana"/>
          <w:sz w:val="20"/>
          <w:szCs w:val="20"/>
          <w:lang w:val="es-DO"/>
        </w:rPr>
        <w:t>[SUNAT]</w:t>
      </w:r>
      <w:r w:rsidRPr="000B33B9">
        <w:rPr>
          <w:rFonts w:ascii="Verdana" w:hAnsi="Verdana"/>
          <w:sz w:val="20"/>
          <w:szCs w:val="20"/>
          <w:lang w:val="es-DO"/>
        </w:rPr>
        <w:t xml:space="preserve"> y los reintegros de los incrementos dejados de percibir como consecuencia de la Tercera Disposición Trans</w:t>
      </w:r>
      <w:r w:rsidR="00031854" w:rsidRPr="000B33B9">
        <w:rPr>
          <w:rFonts w:ascii="Verdana" w:hAnsi="Verdana"/>
          <w:sz w:val="20"/>
          <w:szCs w:val="20"/>
          <w:lang w:val="es-DO"/>
        </w:rPr>
        <w:t>itoria del Decreto Legislativo No.</w:t>
      </w:r>
      <w:r w:rsidRPr="000B33B9">
        <w:rPr>
          <w:rFonts w:ascii="Verdana" w:hAnsi="Verdana"/>
          <w:sz w:val="20"/>
          <w:szCs w:val="20"/>
          <w:lang w:val="es-DO"/>
        </w:rPr>
        <w:t xml:space="preserve"> 673”</w:t>
      </w:r>
      <w:r w:rsidR="00D87AE1" w:rsidRPr="000B33B9">
        <w:rPr>
          <w:rStyle w:val="Refdenotaalpie"/>
          <w:rFonts w:ascii="Verdana" w:hAnsi="Verdana"/>
          <w:sz w:val="20"/>
          <w:szCs w:val="20"/>
          <w:lang w:val="es-DO"/>
        </w:rPr>
        <w:footnoteReference w:id="74"/>
      </w:r>
      <w:r w:rsidR="00D87AE1" w:rsidRPr="000B33B9">
        <w:rPr>
          <w:rFonts w:ascii="Verdana" w:hAnsi="Verdana"/>
          <w:sz w:val="20"/>
          <w:szCs w:val="20"/>
          <w:lang w:val="es-ES"/>
        </w:rPr>
        <w:t>.</w:t>
      </w:r>
    </w:p>
    <w:p w14:paraId="7273C131" w14:textId="77777777" w:rsidR="00B86B27" w:rsidRPr="000B33B9" w:rsidRDefault="00B86B27" w:rsidP="00B86B27">
      <w:pPr>
        <w:pStyle w:val="Prrafodelista"/>
        <w:spacing w:after="0" w:line="240" w:lineRule="auto"/>
        <w:ind w:left="0"/>
        <w:jc w:val="both"/>
        <w:rPr>
          <w:rFonts w:ascii="Verdana" w:hAnsi="Verdana"/>
          <w:sz w:val="20"/>
          <w:szCs w:val="20"/>
          <w:lang w:val="es-DO"/>
        </w:rPr>
      </w:pPr>
    </w:p>
    <w:p w14:paraId="5DC75B00" w14:textId="38C95C79" w:rsidR="00B86B27" w:rsidRPr="000B33B9" w:rsidRDefault="00B86B27" w:rsidP="007B74B8">
      <w:pPr>
        <w:pStyle w:val="Prrafodelista"/>
        <w:numPr>
          <w:ilvl w:val="0"/>
          <w:numId w:val="10"/>
        </w:numPr>
        <w:spacing w:after="0" w:line="240" w:lineRule="auto"/>
        <w:ind w:left="0" w:firstLine="0"/>
        <w:jc w:val="both"/>
        <w:rPr>
          <w:rFonts w:ascii="Verdana" w:hAnsi="Verdana"/>
          <w:sz w:val="20"/>
          <w:szCs w:val="20"/>
          <w:lang w:val="es-ES"/>
        </w:rPr>
      </w:pPr>
      <w:r w:rsidRPr="000B33B9">
        <w:rPr>
          <w:rFonts w:ascii="Verdana" w:hAnsi="Verdana"/>
          <w:sz w:val="20"/>
          <w:szCs w:val="20"/>
          <w:lang w:val="es-DO"/>
        </w:rPr>
        <w:t>El 3 de abril de 2003, el perito presentó su informe. El informe pericial concluyó que el total de “</w:t>
      </w:r>
      <w:r w:rsidR="00D87AE1" w:rsidRPr="000B33B9">
        <w:rPr>
          <w:rFonts w:ascii="Verdana" w:hAnsi="Verdana"/>
          <w:sz w:val="20"/>
          <w:szCs w:val="20"/>
          <w:lang w:val="es-DO"/>
        </w:rPr>
        <w:t xml:space="preserve">(…) </w:t>
      </w:r>
      <w:r w:rsidRPr="000B33B9">
        <w:rPr>
          <w:rFonts w:ascii="Verdana" w:hAnsi="Verdana"/>
          <w:sz w:val="20"/>
          <w:szCs w:val="20"/>
          <w:lang w:val="es-DO"/>
        </w:rPr>
        <w:t>los reintegros de los incrementos dejados de percibir como consecuencia de la aplicación de la Tercera Disposición Transitoria del Decreto Legislativo No. 673 (…) asciende a S/442,401,571”. Para realizar dicho cálculo desde 1992 a julio de 1994, el perito precisó haber tomado como referencia “</w:t>
      </w:r>
      <w:r w:rsidR="00D87AE1" w:rsidRPr="000B33B9">
        <w:rPr>
          <w:rFonts w:ascii="Verdana" w:hAnsi="Verdana"/>
          <w:sz w:val="20"/>
          <w:szCs w:val="20"/>
          <w:lang w:val="es-DO"/>
        </w:rPr>
        <w:t xml:space="preserve">(…) </w:t>
      </w:r>
      <w:r w:rsidRPr="000B33B9">
        <w:rPr>
          <w:rFonts w:ascii="Verdana" w:hAnsi="Verdana"/>
          <w:sz w:val="20"/>
          <w:szCs w:val="20"/>
          <w:lang w:val="es-DO"/>
        </w:rPr>
        <w:t xml:space="preserve">los aumentos que figuran en las planillas de sueldos bajo el rubro Decreto Legislativo No. 673 de los trabajadores activos de la </w:t>
      </w:r>
      <w:r w:rsidR="00D87AE1" w:rsidRPr="000B33B9">
        <w:rPr>
          <w:rFonts w:ascii="Verdana" w:hAnsi="Verdana"/>
          <w:sz w:val="20"/>
          <w:szCs w:val="20"/>
          <w:lang w:val="es-DO"/>
        </w:rPr>
        <w:t>SUNAT</w:t>
      </w:r>
      <w:r w:rsidRPr="000B33B9">
        <w:rPr>
          <w:rFonts w:ascii="Verdana" w:hAnsi="Verdana"/>
          <w:sz w:val="20"/>
          <w:szCs w:val="20"/>
          <w:lang w:val="es-DO"/>
        </w:rPr>
        <w:t xml:space="preserve"> comprendidos dentro del régimen laboral regulado por el Decreto Legislativo No. 276”; mientras que “para los años posteriores”, desde agosto de 1994 al 31 de diciembre de 2002, “</w:t>
      </w:r>
      <w:r w:rsidR="00D87AE1" w:rsidRPr="000B33B9">
        <w:rPr>
          <w:rFonts w:ascii="Verdana" w:hAnsi="Verdana"/>
          <w:sz w:val="20"/>
          <w:szCs w:val="20"/>
          <w:lang w:val="es-DO"/>
        </w:rPr>
        <w:t xml:space="preserve">(…) </w:t>
      </w:r>
      <w:r w:rsidR="00EA2621" w:rsidRPr="000B33B9">
        <w:rPr>
          <w:rFonts w:ascii="Verdana" w:hAnsi="Verdana"/>
          <w:sz w:val="20"/>
          <w:szCs w:val="20"/>
          <w:lang w:val="es-DO"/>
        </w:rPr>
        <w:t>[</w:t>
      </w:r>
      <w:r w:rsidRPr="000B33B9">
        <w:rPr>
          <w:rFonts w:ascii="Verdana" w:hAnsi="Verdana"/>
          <w:sz w:val="20"/>
          <w:szCs w:val="20"/>
          <w:lang w:val="es-DO"/>
        </w:rPr>
        <w:t>s</w:t>
      </w:r>
      <w:r w:rsidR="00EA2621" w:rsidRPr="000B33B9">
        <w:rPr>
          <w:rFonts w:ascii="Verdana" w:hAnsi="Verdana"/>
          <w:sz w:val="20"/>
          <w:szCs w:val="20"/>
          <w:lang w:val="es-DO"/>
        </w:rPr>
        <w:t>]</w:t>
      </w:r>
      <w:r w:rsidRPr="000B33B9">
        <w:rPr>
          <w:rFonts w:ascii="Verdana" w:hAnsi="Verdana"/>
          <w:sz w:val="20"/>
          <w:szCs w:val="20"/>
          <w:lang w:val="es-DO"/>
        </w:rPr>
        <w:t>e ha tenido en cuenta las escalas de remuneraciones c</w:t>
      </w:r>
      <w:r w:rsidR="00EA2621" w:rsidRPr="000B33B9">
        <w:rPr>
          <w:rFonts w:ascii="Verdana" w:hAnsi="Verdana"/>
          <w:sz w:val="20"/>
          <w:szCs w:val="20"/>
          <w:lang w:val="es-DO"/>
        </w:rPr>
        <w:t>ontenidas en las Resoluciones”</w:t>
      </w:r>
      <w:r w:rsidRPr="000B33B9">
        <w:rPr>
          <w:rFonts w:ascii="Verdana" w:hAnsi="Verdana"/>
          <w:sz w:val="20"/>
          <w:szCs w:val="20"/>
          <w:lang w:val="es-DO"/>
        </w:rPr>
        <w:t xml:space="preserve"> 109-94-EF de 12 de septiembre de 1994, 118-95-EF de 18 de octubre de 1995 y 225-98-EF de 5 de noviembre de 1998</w:t>
      </w:r>
      <w:r w:rsidR="00D87AE1" w:rsidRPr="000B33B9">
        <w:rPr>
          <w:rStyle w:val="Refdenotaalpie"/>
          <w:rFonts w:ascii="Verdana" w:hAnsi="Verdana"/>
          <w:sz w:val="20"/>
          <w:szCs w:val="20"/>
          <w:lang w:val="es-DO"/>
        </w:rPr>
        <w:footnoteReference w:id="75"/>
      </w:r>
      <w:r w:rsidRPr="000B33B9">
        <w:rPr>
          <w:rFonts w:ascii="Verdana" w:hAnsi="Verdana"/>
          <w:sz w:val="20"/>
          <w:szCs w:val="20"/>
          <w:lang w:val="es-ES"/>
        </w:rPr>
        <w:t xml:space="preserve">. Tanto </w:t>
      </w:r>
      <w:r w:rsidRPr="000B33B9">
        <w:rPr>
          <w:rFonts w:ascii="Verdana" w:hAnsi="Verdana"/>
          <w:sz w:val="20"/>
          <w:szCs w:val="20"/>
          <w:lang w:val="es-DO"/>
        </w:rPr>
        <w:t>ANCEJUB-SUNAT como la SUNAT presentaron sus observaciones al peritaje</w:t>
      </w:r>
      <w:r w:rsidRPr="000B33B9">
        <w:rPr>
          <w:rStyle w:val="Refdenotaalpie"/>
          <w:rFonts w:ascii="Verdana" w:hAnsi="Verdana"/>
          <w:sz w:val="20"/>
          <w:szCs w:val="20"/>
          <w:lang w:val="es-DO"/>
        </w:rPr>
        <w:footnoteReference w:id="76"/>
      </w:r>
      <w:r w:rsidRPr="000B33B9">
        <w:rPr>
          <w:rFonts w:ascii="Verdana" w:hAnsi="Verdana"/>
          <w:sz w:val="20"/>
          <w:szCs w:val="20"/>
          <w:lang w:val="es-DO"/>
        </w:rPr>
        <w:t>.</w:t>
      </w:r>
    </w:p>
    <w:p w14:paraId="43FB05E9" w14:textId="77777777" w:rsidR="00B86B27" w:rsidRPr="000B33B9" w:rsidRDefault="00B86B27" w:rsidP="00B86B27">
      <w:pPr>
        <w:pStyle w:val="Prrafodelista"/>
        <w:spacing w:after="0" w:line="240" w:lineRule="auto"/>
        <w:ind w:left="0"/>
        <w:jc w:val="both"/>
        <w:rPr>
          <w:rFonts w:ascii="Verdana" w:hAnsi="Verdana"/>
          <w:sz w:val="20"/>
          <w:szCs w:val="20"/>
          <w:lang w:val="es-ES"/>
        </w:rPr>
      </w:pPr>
    </w:p>
    <w:p w14:paraId="101E9F9A" w14:textId="1E4070C2" w:rsidR="00B86B27" w:rsidRPr="000B33B9" w:rsidRDefault="00B86B27" w:rsidP="007B74B8">
      <w:pPr>
        <w:pStyle w:val="Prrafodelista"/>
        <w:numPr>
          <w:ilvl w:val="0"/>
          <w:numId w:val="10"/>
        </w:numPr>
        <w:spacing w:after="0" w:line="240" w:lineRule="auto"/>
        <w:ind w:left="0" w:firstLine="0"/>
        <w:jc w:val="both"/>
        <w:rPr>
          <w:rFonts w:ascii="Verdana" w:eastAsia="Calibri" w:hAnsi="Verdana" w:cs="Times New Roman"/>
          <w:sz w:val="20"/>
          <w:szCs w:val="20"/>
          <w:lang w:val="es-ES" w:eastAsia="es-ES"/>
        </w:rPr>
      </w:pPr>
      <w:r w:rsidRPr="000B33B9">
        <w:rPr>
          <w:rFonts w:ascii="Verdana" w:hAnsi="Verdana"/>
          <w:sz w:val="20"/>
          <w:szCs w:val="20"/>
          <w:lang w:val="es-ES"/>
        </w:rPr>
        <w:t xml:space="preserve">El 21 de abril de 2004, el </w:t>
      </w:r>
      <w:r w:rsidRPr="000B33B9">
        <w:rPr>
          <w:rFonts w:ascii="Verdana" w:hAnsi="Verdana"/>
          <w:sz w:val="20"/>
          <w:szCs w:val="20"/>
          <w:lang w:val="es-DO"/>
        </w:rPr>
        <w:t>Sexagésimo Sexto Juzgado Especializado en lo Civil de Lima</w:t>
      </w:r>
      <w:r w:rsidR="00CE2829" w:rsidRPr="000B33B9">
        <w:rPr>
          <w:rFonts w:ascii="Verdana" w:hAnsi="Verdana"/>
          <w:sz w:val="20"/>
          <w:szCs w:val="20"/>
          <w:lang w:val="es-DO"/>
        </w:rPr>
        <w:t xml:space="preserve"> (en adelante “Sexagésimo Sexto Juzgado”)</w:t>
      </w:r>
      <w:r w:rsidRPr="000B33B9">
        <w:rPr>
          <w:rFonts w:ascii="Verdana" w:hAnsi="Verdana"/>
          <w:sz w:val="20"/>
          <w:szCs w:val="20"/>
          <w:lang w:val="es-DO"/>
        </w:rPr>
        <w:t xml:space="preserve"> requirió a las partes cumplir con lo siguiente: </w:t>
      </w:r>
      <w:r w:rsidRPr="000B33B9">
        <w:rPr>
          <w:rFonts w:ascii="Verdana" w:eastAsia="Calibri" w:hAnsi="Verdana" w:cs="Times New Roman"/>
          <w:sz w:val="20"/>
          <w:szCs w:val="20"/>
          <w:lang w:val="es-ES" w:eastAsia="es-ES"/>
        </w:rPr>
        <w:t xml:space="preserve">“(…) remitir documento idóneo que determine la identificación plena de todas las personas que al momento de la interposición de la demanda es decir </w:t>
      </w:r>
      <w:r w:rsidRPr="000B33B9">
        <w:rPr>
          <w:rFonts w:ascii="Verdana" w:hAnsi="Verdana"/>
          <w:sz w:val="20"/>
          <w:szCs w:val="20"/>
          <w:lang w:val="es-ES"/>
        </w:rPr>
        <w:t>[19] de diciembre de [1991], tenían la condición de miembros de la asociación demandante, debiendo además informar respecto al grado o cargo que ostentaban, categoría o nivel, así como el monto que percibe como pensión de jubilación dentro del Régimen de la Ley 20530”</w:t>
      </w:r>
      <w:r w:rsidR="00657DD2" w:rsidRPr="000B33B9">
        <w:rPr>
          <w:rStyle w:val="Refdenotaalpie"/>
          <w:rFonts w:ascii="Verdana" w:hAnsi="Verdana" w:cstheme="minorHAnsi"/>
          <w:sz w:val="20"/>
          <w:szCs w:val="20"/>
          <w:lang w:val="es-ES"/>
        </w:rPr>
        <w:footnoteReference w:id="77"/>
      </w:r>
      <w:r w:rsidRPr="000B33B9">
        <w:rPr>
          <w:rFonts w:ascii="Verdana" w:hAnsi="Verdana"/>
          <w:sz w:val="20"/>
          <w:szCs w:val="20"/>
          <w:lang w:val="es-ES"/>
        </w:rPr>
        <w:t xml:space="preserve">. </w:t>
      </w:r>
      <w:r w:rsidRPr="000B33B9">
        <w:rPr>
          <w:rFonts w:ascii="Verdana" w:eastAsia="Calibri" w:hAnsi="Verdana" w:cs="Times New Roman"/>
          <w:sz w:val="20"/>
          <w:szCs w:val="20"/>
          <w:lang w:val="es-ES" w:eastAsia="es-ES"/>
        </w:rPr>
        <w:t>El 17 de mayo de 2004, ANCEJUB-SUNAT solicitó la nulidad de la aludida resolución</w:t>
      </w:r>
      <w:r w:rsidRPr="000B33B9">
        <w:rPr>
          <w:rStyle w:val="Refdenotaalpie"/>
          <w:rFonts w:ascii="Verdana" w:eastAsia="Calibri" w:hAnsi="Verdana" w:cs="Times New Roman"/>
          <w:sz w:val="20"/>
          <w:szCs w:val="20"/>
          <w:lang w:val="es-ES" w:eastAsia="es-ES"/>
        </w:rPr>
        <w:footnoteReference w:id="78"/>
      </w:r>
      <w:r w:rsidRPr="000B33B9">
        <w:rPr>
          <w:rFonts w:ascii="Verdana" w:eastAsia="Calibri" w:hAnsi="Verdana" w:cs="Times New Roman"/>
          <w:sz w:val="20"/>
          <w:szCs w:val="20"/>
          <w:lang w:val="es-ES" w:eastAsia="es-ES"/>
        </w:rPr>
        <w:t>, alegando que ya había entregado lo solicitado el 24 de mayo de 2002, lo cual había sido reconocido por la re</w:t>
      </w:r>
      <w:r w:rsidR="00EA2621" w:rsidRPr="000B33B9">
        <w:rPr>
          <w:rFonts w:ascii="Verdana" w:eastAsia="Calibri" w:hAnsi="Verdana" w:cs="Times New Roman"/>
          <w:sz w:val="20"/>
          <w:szCs w:val="20"/>
          <w:lang w:val="es-ES" w:eastAsia="es-ES"/>
        </w:rPr>
        <w:t>solución de 24 de junio de 2002.</w:t>
      </w:r>
    </w:p>
    <w:p w14:paraId="01DD9644" w14:textId="77777777" w:rsidR="00B86B27" w:rsidRPr="000B33B9" w:rsidRDefault="00B86B27" w:rsidP="00B86B27">
      <w:pPr>
        <w:pStyle w:val="Prrafodelista"/>
        <w:spacing w:after="0" w:line="240" w:lineRule="auto"/>
        <w:ind w:left="0"/>
        <w:jc w:val="both"/>
        <w:rPr>
          <w:rFonts w:ascii="Verdana" w:eastAsia="Calibri" w:hAnsi="Verdana" w:cs="Times New Roman"/>
          <w:sz w:val="20"/>
          <w:szCs w:val="20"/>
          <w:lang w:val="es-ES" w:eastAsia="es-ES"/>
        </w:rPr>
      </w:pPr>
    </w:p>
    <w:p w14:paraId="38549969" w14:textId="0E7134F3" w:rsidR="000574C9" w:rsidRPr="000B33B9" w:rsidRDefault="00B86B27" w:rsidP="007B74B8">
      <w:pPr>
        <w:pStyle w:val="Prrafodelista"/>
        <w:numPr>
          <w:ilvl w:val="0"/>
          <w:numId w:val="10"/>
        </w:numPr>
        <w:spacing w:after="0" w:line="240" w:lineRule="auto"/>
        <w:ind w:left="0" w:firstLine="0"/>
        <w:jc w:val="both"/>
        <w:rPr>
          <w:rFonts w:ascii="Verdana" w:eastAsia="Calibri" w:hAnsi="Verdana" w:cs="Times New Roman"/>
          <w:sz w:val="20"/>
          <w:szCs w:val="20"/>
          <w:lang w:val="es-ES" w:eastAsia="es-ES"/>
        </w:rPr>
      </w:pPr>
      <w:r w:rsidRPr="000B33B9">
        <w:rPr>
          <w:rFonts w:ascii="Verdana" w:eastAsia="Calibri" w:hAnsi="Verdana" w:cs="Times New Roman"/>
          <w:sz w:val="20"/>
          <w:szCs w:val="20"/>
          <w:lang w:val="es-ES" w:eastAsia="es-ES"/>
        </w:rPr>
        <w:t>El 5 de mayo de 2005, el Sexagésimo Sext</w:t>
      </w:r>
      <w:r w:rsidR="00EA2621" w:rsidRPr="000B33B9">
        <w:rPr>
          <w:rFonts w:ascii="Verdana" w:eastAsia="Calibri" w:hAnsi="Verdana" w:cs="Times New Roman"/>
          <w:sz w:val="20"/>
          <w:szCs w:val="20"/>
          <w:lang w:val="es-ES" w:eastAsia="es-ES"/>
        </w:rPr>
        <w:t>o Juzgado expidió la resolución</w:t>
      </w:r>
      <w:r w:rsidRPr="000B33B9">
        <w:rPr>
          <w:rFonts w:ascii="Verdana" w:eastAsia="Calibri" w:hAnsi="Verdana" w:cs="Times New Roman"/>
          <w:sz w:val="20"/>
          <w:szCs w:val="20"/>
          <w:lang w:val="es-ES" w:eastAsia="es-ES"/>
        </w:rPr>
        <w:t xml:space="preserve"> 46, que desaprobó el peritaje de 3 de abril de 2003, acogiendo las observaciones realizadas por la SUNAT respecto a que los cálculos del informe pericial se habían basado en las planillas correspondientes a los trabajadores comprendidos en el régimen laboral privado “</w:t>
      </w:r>
      <w:r w:rsidR="00CE2829" w:rsidRPr="000B33B9">
        <w:rPr>
          <w:rFonts w:ascii="Verdana" w:eastAsia="Calibri" w:hAnsi="Verdana" w:cs="Times New Roman"/>
          <w:sz w:val="20"/>
          <w:szCs w:val="20"/>
          <w:lang w:val="es-ES" w:eastAsia="es-ES"/>
        </w:rPr>
        <w:t xml:space="preserve">(…) </w:t>
      </w:r>
      <w:r w:rsidRPr="000B33B9">
        <w:rPr>
          <w:rFonts w:ascii="Verdana" w:eastAsia="Calibri" w:hAnsi="Verdana" w:cs="Times New Roman"/>
          <w:sz w:val="20"/>
          <w:szCs w:val="20"/>
          <w:lang w:val="es-ES" w:eastAsia="es-ES"/>
        </w:rPr>
        <w:t>sin tener en cuenta que los cesantes (…) siempre laboraron bajo el régimen laboral público”</w:t>
      </w:r>
      <w:r w:rsidR="00CE2829" w:rsidRPr="000B33B9">
        <w:rPr>
          <w:rFonts w:ascii="Verdana" w:hAnsi="Verdana"/>
          <w:sz w:val="20"/>
          <w:szCs w:val="20"/>
          <w:vertAlign w:val="superscript"/>
          <w:lang w:val="es-ES" w:eastAsia="es-ES"/>
        </w:rPr>
        <w:footnoteReference w:id="79"/>
      </w:r>
      <w:r w:rsidR="000574C9" w:rsidRPr="000B33B9">
        <w:rPr>
          <w:rFonts w:ascii="Verdana" w:hAnsi="Verdana"/>
          <w:sz w:val="20"/>
          <w:szCs w:val="20"/>
          <w:lang w:val="es-ES"/>
        </w:rPr>
        <w:t>.</w:t>
      </w:r>
    </w:p>
    <w:p w14:paraId="071B2979" w14:textId="63761EE5" w:rsidR="00B86B27" w:rsidRPr="000B33B9" w:rsidRDefault="00B86B27" w:rsidP="00E14D45">
      <w:pPr>
        <w:pStyle w:val="Prrafodelista"/>
        <w:spacing w:after="0" w:line="240" w:lineRule="auto"/>
        <w:ind w:left="0"/>
        <w:jc w:val="both"/>
        <w:rPr>
          <w:rFonts w:ascii="Verdana" w:hAnsi="Verdana"/>
          <w:sz w:val="20"/>
          <w:szCs w:val="20"/>
          <w:lang w:val="es-ES"/>
        </w:rPr>
      </w:pPr>
      <w:r w:rsidRPr="000B33B9">
        <w:rPr>
          <w:rFonts w:ascii="Verdana" w:hAnsi="Verdana"/>
          <w:sz w:val="20"/>
          <w:szCs w:val="20"/>
          <w:lang w:val="es-ES"/>
        </w:rPr>
        <w:t xml:space="preserve"> </w:t>
      </w:r>
    </w:p>
    <w:p w14:paraId="50CDD078" w14:textId="0105BAF6" w:rsidR="000574C9" w:rsidRPr="000B33B9" w:rsidRDefault="003E4B02" w:rsidP="007B74B8">
      <w:pPr>
        <w:pStyle w:val="Prrafodelista"/>
        <w:numPr>
          <w:ilvl w:val="0"/>
          <w:numId w:val="10"/>
        </w:numPr>
        <w:spacing w:after="0" w:line="240" w:lineRule="auto"/>
        <w:ind w:left="0" w:firstLine="0"/>
        <w:contextualSpacing w:val="0"/>
        <w:jc w:val="both"/>
        <w:rPr>
          <w:rFonts w:ascii="Verdana" w:hAnsi="Verdana"/>
          <w:sz w:val="20"/>
          <w:szCs w:val="20"/>
          <w:lang w:val="es-DO"/>
        </w:rPr>
      </w:pPr>
      <w:r w:rsidRPr="000B33B9">
        <w:rPr>
          <w:rFonts w:ascii="Verdana" w:hAnsi="Verdana"/>
          <w:sz w:val="20"/>
          <w:szCs w:val="20"/>
        </w:rPr>
        <w:t xml:space="preserve">El 3 de junio de 2005, la Sexta Sala Civil de la Corte Superior de </w:t>
      </w:r>
      <w:r w:rsidR="00EA2621" w:rsidRPr="000B33B9">
        <w:rPr>
          <w:rFonts w:ascii="Verdana" w:hAnsi="Verdana"/>
          <w:sz w:val="20"/>
          <w:szCs w:val="20"/>
        </w:rPr>
        <w:t xml:space="preserve">Justicia de </w:t>
      </w:r>
      <w:r w:rsidRPr="000B33B9">
        <w:rPr>
          <w:rFonts w:ascii="Verdana" w:hAnsi="Verdana"/>
          <w:sz w:val="20"/>
          <w:szCs w:val="20"/>
        </w:rPr>
        <w:t xml:space="preserve">Lima </w:t>
      </w:r>
      <w:r w:rsidR="00CE2829" w:rsidRPr="000B33B9">
        <w:rPr>
          <w:rFonts w:ascii="Verdana" w:hAnsi="Verdana"/>
          <w:sz w:val="20"/>
          <w:szCs w:val="20"/>
        </w:rPr>
        <w:t xml:space="preserve">(en adelante “Sexta Sala Civil”) </w:t>
      </w:r>
      <w:r w:rsidRPr="000B33B9">
        <w:rPr>
          <w:rFonts w:ascii="Verdana" w:hAnsi="Verdana"/>
          <w:sz w:val="20"/>
          <w:szCs w:val="20"/>
        </w:rPr>
        <w:t>emitió una resolución mediante la cual dispuso que los únicos beneficiarios de la sentencia de 25 de octubre de 1993 eran las personas que habían sido miembros de ANCEJUB-SUNAT cuando se interpuso el recurs</w:t>
      </w:r>
      <w:r w:rsidR="00132173" w:rsidRPr="000B33B9">
        <w:rPr>
          <w:rFonts w:ascii="Verdana" w:hAnsi="Verdana"/>
          <w:sz w:val="20"/>
          <w:szCs w:val="20"/>
        </w:rPr>
        <w:t xml:space="preserve">o de amparo en diciembre de 1991 y, en tal sentido, identificó a </w:t>
      </w:r>
      <w:r w:rsidR="00C55B34">
        <w:rPr>
          <w:rFonts w:ascii="Verdana" w:hAnsi="Verdana"/>
          <w:sz w:val="20"/>
          <w:szCs w:val="20"/>
        </w:rPr>
        <w:t>603</w:t>
      </w:r>
      <w:r w:rsidR="00132173" w:rsidRPr="000B33B9">
        <w:rPr>
          <w:rFonts w:ascii="Verdana" w:hAnsi="Verdana"/>
          <w:sz w:val="20"/>
          <w:szCs w:val="20"/>
        </w:rPr>
        <w:t xml:space="preserve"> personas</w:t>
      </w:r>
      <w:r w:rsidR="00132173" w:rsidRPr="000B33B9">
        <w:rPr>
          <w:rStyle w:val="Refdenotaalpie"/>
          <w:rFonts w:ascii="Verdana" w:hAnsi="Verdana"/>
          <w:sz w:val="20"/>
          <w:szCs w:val="20"/>
        </w:rPr>
        <w:footnoteReference w:id="80"/>
      </w:r>
      <w:r w:rsidR="00132173" w:rsidRPr="000B33B9">
        <w:rPr>
          <w:rFonts w:ascii="Verdana" w:hAnsi="Verdana"/>
          <w:sz w:val="20"/>
          <w:szCs w:val="20"/>
        </w:rPr>
        <w:t xml:space="preserve">. </w:t>
      </w:r>
      <w:r w:rsidR="00B86B27" w:rsidRPr="000B33B9">
        <w:rPr>
          <w:rFonts w:ascii="Verdana" w:hAnsi="Verdana"/>
          <w:sz w:val="20"/>
          <w:szCs w:val="20"/>
          <w:lang w:val="es-ES"/>
        </w:rPr>
        <w:t>El 9 de noviembre de 2005 fue presentado un nuevo informe pericial.</w:t>
      </w:r>
      <w:r w:rsidR="00B86B27" w:rsidRPr="000B33B9">
        <w:rPr>
          <w:rFonts w:ascii="Verdana" w:eastAsia="Calibri" w:hAnsi="Verdana" w:cs="Times New Roman"/>
          <w:sz w:val="20"/>
          <w:szCs w:val="20"/>
          <w:lang w:val="es-ES" w:eastAsia="es-ES"/>
        </w:rPr>
        <w:t xml:space="preserve"> La SUNAT presentó sus observaciones al informe pericial y</w:t>
      </w:r>
      <w:r w:rsidR="00B86B27" w:rsidRPr="000B33B9">
        <w:rPr>
          <w:rFonts w:ascii="Verdana" w:hAnsi="Verdana"/>
          <w:sz w:val="20"/>
          <w:szCs w:val="20"/>
          <w:lang w:val="es-ES"/>
        </w:rPr>
        <w:t xml:space="preserve"> ANCEJU</w:t>
      </w:r>
      <w:r w:rsidR="008F0C15" w:rsidRPr="000B33B9">
        <w:rPr>
          <w:rFonts w:ascii="Verdana" w:hAnsi="Verdana"/>
          <w:sz w:val="20"/>
          <w:szCs w:val="20"/>
          <w:lang w:val="es-ES"/>
        </w:rPr>
        <w:t>B</w:t>
      </w:r>
      <w:r w:rsidR="00B86B27" w:rsidRPr="000B33B9">
        <w:rPr>
          <w:rFonts w:ascii="Verdana" w:hAnsi="Verdana"/>
          <w:sz w:val="20"/>
          <w:szCs w:val="20"/>
          <w:lang w:val="es-ES"/>
        </w:rPr>
        <w:t xml:space="preserve">-SUNAT expresó su conformidad con el mismo y solicitó que fuera aprobado. </w:t>
      </w:r>
      <w:r w:rsidR="00B86B27" w:rsidRPr="000B33B9">
        <w:rPr>
          <w:rFonts w:ascii="Verdana" w:hAnsi="Verdana"/>
          <w:sz w:val="20"/>
          <w:szCs w:val="20"/>
          <w:lang w:val="es-DO"/>
        </w:rPr>
        <w:t xml:space="preserve">El 3 de marzo de 2006, el </w:t>
      </w:r>
      <w:r w:rsidR="00B86B27" w:rsidRPr="000B33B9">
        <w:rPr>
          <w:rFonts w:ascii="Verdana" w:eastAsia="Calibri" w:hAnsi="Verdana" w:cs="Times New Roman"/>
          <w:sz w:val="20"/>
          <w:szCs w:val="20"/>
          <w:lang w:val="es-ES" w:eastAsia="es-ES"/>
        </w:rPr>
        <w:t>Sexagésimo Sexto</w:t>
      </w:r>
      <w:r w:rsidR="00EA2621" w:rsidRPr="000B33B9">
        <w:rPr>
          <w:rFonts w:ascii="Verdana" w:eastAsia="Calibri" w:hAnsi="Verdana" w:cs="Times New Roman"/>
          <w:sz w:val="20"/>
          <w:szCs w:val="20"/>
          <w:lang w:val="es-ES" w:eastAsia="es-ES"/>
        </w:rPr>
        <w:t xml:space="preserve"> Juzgado expidió la resolución </w:t>
      </w:r>
      <w:r w:rsidR="00B86B27" w:rsidRPr="000B33B9">
        <w:rPr>
          <w:rFonts w:ascii="Verdana" w:eastAsia="Calibri" w:hAnsi="Verdana" w:cs="Times New Roman"/>
          <w:sz w:val="20"/>
          <w:szCs w:val="20"/>
          <w:lang w:val="es-ES" w:eastAsia="es-ES"/>
        </w:rPr>
        <w:t>80, mediante la cual declaró infundadas las observaciones planteadas por la SUNAT, aprobó el nuevo informe pericial</w:t>
      </w:r>
      <w:r w:rsidR="00B86B27" w:rsidRPr="000B33B9">
        <w:rPr>
          <w:rFonts w:ascii="Verdana" w:hAnsi="Verdana"/>
          <w:sz w:val="20"/>
          <w:szCs w:val="20"/>
          <w:lang w:val="es-ES"/>
        </w:rPr>
        <w:t>,</w:t>
      </w:r>
      <w:r w:rsidR="00B86B27" w:rsidRPr="000B33B9">
        <w:rPr>
          <w:rFonts w:ascii="Verdana" w:eastAsia="Calibri" w:hAnsi="Verdana" w:cs="Times New Roman"/>
          <w:sz w:val="20"/>
          <w:szCs w:val="20"/>
          <w:lang w:val="es-ES" w:eastAsia="es-ES"/>
        </w:rPr>
        <w:t xml:space="preserve"> ordenó a la SUNAT proceder a nivelar las pensiones en beneficio de los </w:t>
      </w:r>
      <w:r w:rsidR="0029378E" w:rsidRPr="000B33B9">
        <w:rPr>
          <w:rFonts w:ascii="Verdana" w:eastAsia="Calibri" w:hAnsi="Verdana" w:cs="Times New Roman"/>
          <w:sz w:val="20"/>
          <w:szCs w:val="20"/>
          <w:lang w:val="es-ES" w:eastAsia="es-ES"/>
        </w:rPr>
        <w:t>60</w:t>
      </w:r>
      <w:r w:rsidR="00C55B34">
        <w:rPr>
          <w:rFonts w:ascii="Verdana" w:eastAsia="Calibri" w:hAnsi="Verdana" w:cs="Times New Roman"/>
          <w:sz w:val="20"/>
          <w:szCs w:val="20"/>
          <w:lang w:val="es-ES" w:eastAsia="es-ES"/>
        </w:rPr>
        <w:t>3</w:t>
      </w:r>
      <w:r w:rsidR="00B86B27" w:rsidRPr="000B33B9">
        <w:rPr>
          <w:rFonts w:ascii="Verdana" w:eastAsia="Calibri" w:hAnsi="Verdana" w:cs="Times New Roman"/>
          <w:sz w:val="20"/>
          <w:szCs w:val="20"/>
          <w:lang w:val="es-ES" w:eastAsia="es-ES"/>
        </w:rPr>
        <w:t xml:space="preserve"> integrantes de ANCEJUB-SUNAT con las mayores remuneraciones que perciben los trabajadores activos del régimen laboral del Decreto 276</w:t>
      </w:r>
      <w:r w:rsidR="00B86B27" w:rsidRPr="000B33B9">
        <w:rPr>
          <w:rFonts w:ascii="Verdana" w:hAnsi="Verdana"/>
          <w:sz w:val="20"/>
          <w:szCs w:val="20"/>
          <w:lang w:val="es-ES"/>
        </w:rPr>
        <w:t>, cuyo cumplimiento “</w:t>
      </w:r>
      <w:r w:rsidR="00CE2829" w:rsidRPr="000B33B9">
        <w:rPr>
          <w:rFonts w:ascii="Verdana" w:hAnsi="Verdana"/>
          <w:sz w:val="20"/>
          <w:szCs w:val="20"/>
          <w:lang w:val="es-ES"/>
        </w:rPr>
        <w:t xml:space="preserve">(…) </w:t>
      </w:r>
      <w:r w:rsidR="00B86B27" w:rsidRPr="000B33B9">
        <w:rPr>
          <w:rFonts w:ascii="Verdana" w:hAnsi="Verdana"/>
          <w:sz w:val="20"/>
          <w:szCs w:val="20"/>
          <w:lang w:val="es-ES"/>
        </w:rPr>
        <w:t>deberá acreditar con documento idóneo”. En dicha resolución también se ordenó a la SUNAT cumplir con el pago de los “reintegros dejados de percibir” durante los periodos comprendidos desde enero de 1992 hasta diciembre de 2004 y desde enero de 2005 hasta “la fecha de la nivelación”, cuyo cumplimiento “</w:t>
      </w:r>
      <w:r w:rsidR="00CE2829" w:rsidRPr="000B33B9">
        <w:rPr>
          <w:rFonts w:ascii="Verdana" w:hAnsi="Verdana"/>
          <w:sz w:val="20"/>
          <w:szCs w:val="20"/>
          <w:lang w:val="es-ES"/>
        </w:rPr>
        <w:t xml:space="preserve">(…) </w:t>
      </w:r>
      <w:r w:rsidR="00B86B27" w:rsidRPr="000B33B9">
        <w:rPr>
          <w:rFonts w:ascii="Verdana" w:hAnsi="Verdana"/>
          <w:sz w:val="20"/>
          <w:szCs w:val="20"/>
          <w:lang w:val="es-ES"/>
        </w:rPr>
        <w:t>deberá acreditar con documento idóneo”, y declaró “improcedente el pago de intereses, dejando a salvo el derecho de la parte demandante para que lo haga valer en la vía pertinente”</w:t>
      </w:r>
      <w:r w:rsidR="00CE2829" w:rsidRPr="000B33B9">
        <w:rPr>
          <w:rStyle w:val="Refdenotaalpie"/>
          <w:rFonts w:ascii="Verdana" w:eastAsia="Calibri" w:hAnsi="Verdana" w:cs="Times New Roman"/>
          <w:sz w:val="20"/>
          <w:szCs w:val="20"/>
          <w:lang w:val="es-ES" w:eastAsia="es-ES"/>
        </w:rPr>
        <w:footnoteReference w:id="81"/>
      </w:r>
      <w:r w:rsidR="00B86B27" w:rsidRPr="000B33B9">
        <w:rPr>
          <w:rFonts w:ascii="Verdana" w:hAnsi="Verdana"/>
          <w:sz w:val="20"/>
          <w:szCs w:val="20"/>
          <w:lang w:val="es-ES"/>
        </w:rPr>
        <w:t>.</w:t>
      </w:r>
    </w:p>
    <w:p w14:paraId="16AE02AF" w14:textId="6CCD9DEE" w:rsidR="00B86B27" w:rsidRPr="000B33B9" w:rsidRDefault="00B86B27" w:rsidP="00E14D45">
      <w:pPr>
        <w:pStyle w:val="Prrafodelista"/>
        <w:spacing w:after="0" w:line="240" w:lineRule="auto"/>
        <w:ind w:left="0"/>
        <w:contextualSpacing w:val="0"/>
        <w:jc w:val="both"/>
        <w:rPr>
          <w:rFonts w:ascii="Verdana" w:hAnsi="Verdana"/>
          <w:sz w:val="20"/>
          <w:szCs w:val="20"/>
          <w:lang w:val="es-ES"/>
        </w:rPr>
      </w:pPr>
    </w:p>
    <w:p w14:paraId="2CA9ADF2" w14:textId="65F813AB" w:rsidR="00B86B27" w:rsidRPr="000B33B9" w:rsidRDefault="00B86B27" w:rsidP="007B74B8">
      <w:pPr>
        <w:pStyle w:val="Prrafodelista"/>
        <w:numPr>
          <w:ilvl w:val="0"/>
          <w:numId w:val="10"/>
        </w:numPr>
        <w:spacing w:after="0" w:line="240" w:lineRule="auto"/>
        <w:ind w:left="0" w:firstLine="0"/>
        <w:jc w:val="both"/>
        <w:rPr>
          <w:rFonts w:ascii="Verdana" w:hAnsi="Verdana"/>
          <w:b/>
          <w:sz w:val="20"/>
          <w:szCs w:val="20"/>
          <w:lang w:val="es-ES"/>
        </w:rPr>
      </w:pPr>
      <w:r w:rsidRPr="000B33B9">
        <w:rPr>
          <w:rFonts w:ascii="Verdana" w:hAnsi="Verdana"/>
          <w:sz w:val="20"/>
          <w:szCs w:val="20"/>
          <w:lang w:val="es-ES"/>
        </w:rPr>
        <w:t xml:space="preserve">El 20 de marzo de 2006, el </w:t>
      </w:r>
      <w:r w:rsidRPr="000B33B9">
        <w:rPr>
          <w:rFonts w:ascii="Verdana" w:eastAsia="Calibri" w:hAnsi="Verdana" w:cs="Times New Roman"/>
          <w:sz w:val="20"/>
          <w:szCs w:val="20"/>
          <w:lang w:val="es-ES" w:eastAsia="es-ES"/>
        </w:rPr>
        <w:t>Sexagésimo Sexto</w:t>
      </w:r>
      <w:r w:rsidR="00EA2621" w:rsidRPr="000B33B9">
        <w:rPr>
          <w:rFonts w:ascii="Verdana" w:eastAsia="Calibri" w:hAnsi="Verdana" w:cs="Times New Roman"/>
          <w:sz w:val="20"/>
          <w:szCs w:val="20"/>
          <w:lang w:val="es-ES" w:eastAsia="es-ES"/>
        </w:rPr>
        <w:t xml:space="preserve"> Juzgado expidió la resolución </w:t>
      </w:r>
      <w:r w:rsidRPr="000B33B9">
        <w:rPr>
          <w:rFonts w:ascii="Verdana" w:eastAsia="Calibri" w:hAnsi="Verdana" w:cs="Times New Roman"/>
          <w:sz w:val="20"/>
          <w:szCs w:val="20"/>
          <w:lang w:val="es-ES" w:eastAsia="es-ES"/>
        </w:rPr>
        <w:t>81, mediante la cual concedió “sin efecto suspensivo” el recurso de apelación interpuesto por</w:t>
      </w:r>
      <w:r w:rsidR="00EA2621" w:rsidRPr="000B33B9">
        <w:rPr>
          <w:rFonts w:ascii="Verdana" w:eastAsia="Calibri" w:hAnsi="Verdana" w:cs="Times New Roman"/>
          <w:sz w:val="20"/>
          <w:szCs w:val="20"/>
          <w:lang w:val="es-ES" w:eastAsia="es-ES"/>
        </w:rPr>
        <w:t xml:space="preserve"> la SUNAT</w:t>
      </w:r>
      <w:r w:rsidRPr="000B33B9">
        <w:rPr>
          <w:rFonts w:ascii="Verdana" w:hAnsi="Verdana"/>
          <w:sz w:val="20"/>
          <w:szCs w:val="20"/>
          <w:lang w:val="es-ES"/>
        </w:rPr>
        <w:t xml:space="preserve"> </w:t>
      </w:r>
      <w:r w:rsidRPr="000B33B9">
        <w:rPr>
          <w:rFonts w:ascii="Verdana" w:eastAsia="Calibri" w:hAnsi="Verdana" w:cs="Times New Roman"/>
          <w:sz w:val="20"/>
          <w:szCs w:val="20"/>
          <w:lang w:val="es-ES" w:eastAsia="es-ES"/>
        </w:rPr>
        <w:t>y ordenó la remisión del expediente a la Sexta Sala Civil</w:t>
      </w:r>
      <w:r w:rsidR="008D454E" w:rsidRPr="000B33B9">
        <w:rPr>
          <w:rStyle w:val="Refdenotaalpie"/>
          <w:rFonts w:ascii="Verdana" w:eastAsia="Calibri" w:hAnsi="Verdana" w:cs="Times New Roman"/>
          <w:sz w:val="20"/>
          <w:szCs w:val="20"/>
          <w:lang w:val="es-ES" w:eastAsia="es-ES"/>
        </w:rPr>
        <w:footnoteReference w:id="82"/>
      </w:r>
      <w:r w:rsidRPr="000B33B9">
        <w:rPr>
          <w:rFonts w:ascii="Verdana" w:hAnsi="Verdana"/>
          <w:sz w:val="20"/>
          <w:szCs w:val="20"/>
          <w:lang w:val="es-ES"/>
        </w:rPr>
        <w:t>. E</w:t>
      </w:r>
      <w:r w:rsidRPr="000B33B9">
        <w:rPr>
          <w:rFonts w:ascii="Verdana" w:eastAsia="Calibri" w:hAnsi="Verdana" w:cs="Times New Roman"/>
          <w:sz w:val="20"/>
          <w:szCs w:val="20"/>
          <w:lang w:val="es-ES" w:eastAsia="es-ES"/>
        </w:rPr>
        <w:t>l 24 de julio de 2006, la Sexta Sala Civil anuló la resolución de 3 de marzo de 2006 y ordenó que se realizara un nuevo peritaje “</w:t>
      </w:r>
      <w:r w:rsidR="008D454E" w:rsidRPr="000B33B9">
        <w:rPr>
          <w:rFonts w:ascii="Verdana" w:eastAsia="Calibri" w:hAnsi="Verdana" w:cs="Times New Roman"/>
          <w:sz w:val="20"/>
          <w:szCs w:val="20"/>
          <w:lang w:val="es-ES" w:eastAsia="es-ES"/>
        </w:rPr>
        <w:t xml:space="preserve">(…) </w:t>
      </w:r>
      <w:r w:rsidRPr="000B33B9">
        <w:rPr>
          <w:rFonts w:ascii="Verdana" w:eastAsia="Calibri" w:hAnsi="Verdana" w:cs="Times New Roman"/>
          <w:sz w:val="20"/>
          <w:szCs w:val="20"/>
          <w:lang w:val="es-ES" w:eastAsia="es-ES"/>
        </w:rPr>
        <w:t>con observancia del inciso c) del artículo 3º del Decreto Legislativo 673”</w:t>
      </w:r>
      <w:r w:rsidRPr="000B33B9">
        <w:rPr>
          <w:rStyle w:val="Refdenotaalpie"/>
          <w:rFonts w:ascii="Verdana" w:eastAsia="Calibri" w:hAnsi="Verdana" w:cs="Times New Roman"/>
          <w:sz w:val="20"/>
          <w:szCs w:val="20"/>
          <w:lang w:val="es-ES" w:eastAsia="es-ES"/>
        </w:rPr>
        <w:footnoteReference w:id="83"/>
      </w:r>
      <w:r w:rsidRPr="000B33B9">
        <w:rPr>
          <w:rFonts w:ascii="Verdana" w:hAnsi="Verdana"/>
          <w:sz w:val="20"/>
          <w:szCs w:val="20"/>
          <w:lang w:val="es-ES"/>
        </w:rPr>
        <w:t>.</w:t>
      </w:r>
      <w:r w:rsidRPr="000B33B9">
        <w:rPr>
          <w:rFonts w:ascii="Verdana" w:hAnsi="Verdana"/>
          <w:b/>
          <w:sz w:val="20"/>
          <w:szCs w:val="20"/>
          <w:lang w:val="es-ES"/>
        </w:rPr>
        <w:t xml:space="preserve"> </w:t>
      </w:r>
      <w:r w:rsidRPr="000B33B9">
        <w:rPr>
          <w:rFonts w:ascii="Verdana" w:hAnsi="Verdana"/>
          <w:sz w:val="20"/>
          <w:szCs w:val="20"/>
          <w:lang w:val="es-ES"/>
        </w:rPr>
        <w:t>Esta resolución fue objeto de una tercera acción de amparo por parte de ANCEJUB-SUNAT, cuya instrucción se llevó a cabo de modo paralelo a los trámites procesales referidos en esta sección y la cual será abordada con detalle en el siguiente capítulo (</w:t>
      </w:r>
      <w:r w:rsidRPr="000B33B9">
        <w:rPr>
          <w:rFonts w:ascii="Verdana" w:hAnsi="Verdana"/>
          <w:i/>
          <w:sz w:val="20"/>
          <w:szCs w:val="20"/>
          <w:lang w:val="es-ES"/>
        </w:rPr>
        <w:t>infra</w:t>
      </w:r>
      <w:r w:rsidRPr="000B33B9">
        <w:rPr>
          <w:rFonts w:ascii="Verdana" w:hAnsi="Verdana"/>
          <w:sz w:val="20"/>
          <w:szCs w:val="20"/>
          <w:lang w:val="es-ES"/>
        </w:rPr>
        <w:t xml:space="preserve"> párr.</w:t>
      </w:r>
      <w:r w:rsidR="00EA2621" w:rsidRPr="000B33B9">
        <w:rPr>
          <w:rFonts w:ascii="Verdana" w:hAnsi="Verdana"/>
          <w:sz w:val="20"/>
          <w:szCs w:val="20"/>
          <w:lang w:val="es-ES"/>
        </w:rPr>
        <w:t xml:space="preserve"> 87</w:t>
      </w:r>
      <w:r w:rsidRPr="000B33B9">
        <w:rPr>
          <w:rFonts w:ascii="Verdana" w:hAnsi="Verdana"/>
          <w:sz w:val="20"/>
          <w:szCs w:val="20"/>
          <w:lang w:val="es-ES"/>
        </w:rPr>
        <w:t xml:space="preserve">). </w:t>
      </w:r>
    </w:p>
    <w:p w14:paraId="0482E380" w14:textId="77777777" w:rsidR="00B86B27" w:rsidRPr="000B33B9" w:rsidRDefault="00B86B27" w:rsidP="00B86B27">
      <w:pPr>
        <w:pStyle w:val="Prrafodelista"/>
        <w:spacing w:after="0" w:line="240" w:lineRule="auto"/>
        <w:ind w:left="0"/>
        <w:jc w:val="both"/>
        <w:rPr>
          <w:rFonts w:ascii="Verdana" w:hAnsi="Verdana"/>
          <w:b/>
          <w:sz w:val="20"/>
          <w:szCs w:val="20"/>
          <w:lang w:val="es-ES"/>
        </w:rPr>
      </w:pPr>
    </w:p>
    <w:p w14:paraId="2C5E5D06" w14:textId="63E9929A" w:rsidR="00B86B27" w:rsidRPr="000B33B9" w:rsidRDefault="00B86B27" w:rsidP="007B74B8">
      <w:pPr>
        <w:pStyle w:val="Prrafodelista"/>
        <w:numPr>
          <w:ilvl w:val="0"/>
          <w:numId w:val="10"/>
        </w:numPr>
        <w:spacing w:after="0" w:line="240" w:lineRule="auto"/>
        <w:ind w:left="0" w:firstLine="0"/>
        <w:jc w:val="both"/>
        <w:rPr>
          <w:rFonts w:ascii="Verdana" w:hAnsi="Verdana"/>
          <w:b/>
          <w:sz w:val="20"/>
          <w:szCs w:val="20"/>
          <w:lang w:val="es-ES"/>
        </w:rPr>
      </w:pPr>
      <w:r w:rsidRPr="000B33B9">
        <w:rPr>
          <w:rFonts w:ascii="Verdana" w:hAnsi="Verdana"/>
          <w:sz w:val="20"/>
          <w:szCs w:val="20"/>
          <w:lang w:val="es-ES"/>
        </w:rPr>
        <w:t xml:space="preserve">El 25 de octubre de 2006, el </w:t>
      </w:r>
      <w:r w:rsidRPr="000B33B9">
        <w:rPr>
          <w:rFonts w:ascii="Verdana" w:eastAsia="Calibri" w:hAnsi="Verdana" w:cs="Times New Roman"/>
          <w:sz w:val="20"/>
          <w:szCs w:val="20"/>
          <w:lang w:val="es-ES" w:eastAsia="es-ES"/>
        </w:rPr>
        <w:t>Sexagésimo Sexto Juzgado dispuso la elaboración de “</w:t>
      </w:r>
      <w:r w:rsidR="008D454E" w:rsidRPr="000B33B9">
        <w:rPr>
          <w:rFonts w:ascii="Verdana" w:eastAsia="Calibri" w:hAnsi="Verdana" w:cs="Times New Roman"/>
          <w:sz w:val="20"/>
          <w:szCs w:val="20"/>
          <w:lang w:val="es-ES" w:eastAsia="es-ES"/>
        </w:rPr>
        <w:t xml:space="preserve">(…) </w:t>
      </w:r>
      <w:r w:rsidRPr="000B33B9">
        <w:rPr>
          <w:rFonts w:ascii="Verdana" w:eastAsia="Calibri" w:hAnsi="Verdana" w:cs="Times New Roman"/>
          <w:sz w:val="20"/>
          <w:szCs w:val="20"/>
          <w:lang w:val="es-ES" w:eastAsia="es-ES"/>
        </w:rPr>
        <w:t>un nuevo Peritaje contable con observancia del inciso c) del art. 3º del Decreto Legislativo 673, siendo que la nivelación debe efectuarse con la remuneración del funcionario o trabajador act</w:t>
      </w:r>
      <w:r w:rsidR="00EA2621" w:rsidRPr="000B33B9">
        <w:rPr>
          <w:rFonts w:ascii="Verdana" w:eastAsia="Calibri" w:hAnsi="Verdana" w:cs="Times New Roman"/>
          <w:sz w:val="20"/>
          <w:szCs w:val="20"/>
          <w:lang w:val="es-ES" w:eastAsia="es-ES"/>
        </w:rPr>
        <w:t>ivo de la Administración Pública</w:t>
      </w:r>
      <w:r w:rsidRPr="000B33B9">
        <w:rPr>
          <w:rFonts w:ascii="Verdana" w:eastAsia="Calibri" w:hAnsi="Verdana" w:cs="Times New Roman"/>
          <w:sz w:val="20"/>
          <w:szCs w:val="20"/>
          <w:lang w:val="es-ES" w:eastAsia="es-ES"/>
        </w:rPr>
        <w:t xml:space="preserve"> del mismo nivel y categoría que ocu</w:t>
      </w:r>
      <w:r w:rsidR="00EA2621" w:rsidRPr="000B33B9">
        <w:rPr>
          <w:rFonts w:ascii="Verdana" w:eastAsia="Calibri" w:hAnsi="Verdana" w:cs="Times New Roman"/>
          <w:sz w:val="20"/>
          <w:szCs w:val="20"/>
          <w:lang w:val="es-ES" w:eastAsia="es-ES"/>
        </w:rPr>
        <w:t>pó el pensionista al momento de su</w:t>
      </w:r>
      <w:r w:rsidRPr="000B33B9">
        <w:rPr>
          <w:rFonts w:ascii="Verdana" w:eastAsia="Calibri" w:hAnsi="Verdana" w:cs="Times New Roman"/>
          <w:sz w:val="20"/>
          <w:szCs w:val="20"/>
          <w:lang w:val="es-ES" w:eastAsia="es-ES"/>
        </w:rPr>
        <w:t xml:space="preserve"> cese”. Conforme lo ordenado en la citada resolución, el informe sería rendido por un nuevo perito, designado por el Registro de Peritos Judiciales (</w:t>
      </w:r>
      <w:r w:rsidR="00EA2621" w:rsidRPr="000B33B9">
        <w:rPr>
          <w:rFonts w:ascii="Verdana" w:eastAsia="Calibri" w:hAnsi="Verdana" w:cs="Times New Roman"/>
          <w:sz w:val="20"/>
          <w:szCs w:val="20"/>
          <w:lang w:val="es-ES" w:eastAsia="es-ES"/>
        </w:rPr>
        <w:t>en adelante, “</w:t>
      </w:r>
      <w:r w:rsidRPr="000B33B9">
        <w:rPr>
          <w:rFonts w:ascii="Verdana" w:eastAsia="Calibri" w:hAnsi="Verdana" w:cs="Times New Roman"/>
          <w:sz w:val="20"/>
          <w:szCs w:val="20"/>
          <w:lang w:val="es-ES" w:eastAsia="es-ES"/>
        </w:rPr>
        <w:t>REPEJ</w:t>
      </w:r>
      <w:r w:rsidR="00EA2621" w:rsidRPr="000B33B9">
        <w:rPr>
          <w:rFonts w:ascii="Verdana" w:eastAsia="Calibri" w:hAnsi="Verdana" w:cs="Times New Roman"/>
          <w:sz w:val="20"/>
          <w:szCs w:val="20"/>
          <w:lang w:val="es-ES" w:eastAsia="es-ES"/>
        </w:rPr>
        <w:t>”</w:t>
      </w:r>
      <w:r w:rsidRPr="000B33B9">
        <w:rPr>
          <w:rFonts w:ascii="Verdana" w:eastAsia="Calibri" w:hAnsi="Verdana" w:cs="Times New Roman"/>
          <w:sz w:val="20"/>
          <w:szCs w:val="20"/>
          <w:lang w:val="es-ES" w:eastAsia="es-ES"/>
        </w:rPr>
        <w:t>)</w:t>
      </w:r>
      <w:r w:rsidR="008D454E" w:rsidRPr="000B33B9">
        <w:rPr>
          <w:rStyle w:val="Refdenotaalpie"/>
          <w:rFonts w:ascii="Verdana" w:eastAsia="Calibri" w:hAnsi="Verdana" w:cs="Times New Roman"/>
          <w:sz w:val="20"/>
          <w:szCs w:val="20"/>
          <w:lang w:val="es-ES" w:eastAsia="es-ES"/>
        </w:rPr>
        <w:footnoteReference w:id="84"/>
      </w:r>
      <w:r w:rsidRPr="000B33B9">
        <w:rPr>
          <w:rFonts w:ascii="Verdana" w:eastAsia="Calibri" w:hAnsi="Verdana" w:cs="Times New Roman"/>
          <w:sz w:val="20"/>
          <w:szCs w:val="20"/>
          <w:lang w:val="es-ES" w:eastAsia="es-ES"/>
        </w:rPr>
        <w:t xml:space="preserve">. </w:t>
      </w:r>
      <w:r w:rsidRPr="000B33B9">
        <w:rPr>
          <w:rFonts w:ascii="Verdana" w:hAnsi="Verdana"/>
          <w:sz w:val="20"/>
          <w:szCs w:val="20"/>
          <w:lang w:val="es-ES"/>
        </w:rPr>
        <w:t>En un escrito de 17 de mayo de 2007, ANCEJUB-SUNAT presentó su oposición a la tarifa de honorarios propuesta p</w:t>
      </w:r>
      <w:r w:rsidR="00EA2621" w:rsidRPr="000B33B9">
        <w:rPr>
          <w:rFonts w:ascii="Verdana" w:hAnsi="Verdana"/>
          <w:sz w:val="20"/>
          <w:szCs w:val="20"/>
          <w:lang w:val="es-ES"/>
        </w:rPr>
        <w:t>or el perito designado por REPEJ</w:t>
      </w:r>
      <w:r w:rsidRPr="000B33B9">
        <w:rPr>
          <w:rFonts w:ascii="Verdana" w:hAnsi="Verdana"/>
          <w:sz w:val="20"/>
          <w:szCs w:val="20"/>
          <w:lang w:val="es-ES"/>
        </w:rPr>
        <w:t>, al considerarla “una cantidad desproporcionada” y debido a que “ya había pagado los honorarios” del perito que elaboró el primer informe</w:t>
      </w:r>
      <w:r w:rsidRPr="000B33B9">
        <w:rPr>
          <w:rStyle w:val="Refdenotaalpie"/>
          <w:rFonts w:ascii="Verdana" w:hAnsi="Verdana"/>
          <w:sz w:val="20"/>
          <w:szCs w:val="20"/>
          <w:lang w:val="es-ES"/>
        </w:rPr>
        <w:footnoteReference w:id="85"/>
      </w:r>
      <w:r w:rsidRPr="000B33B9">
        <w:rPr>
          <w:rFonts w:ascii="Verdana" w:hAnsi="Verdana"/>
          <w:sz w:val="20"/>
          <w:szCs w:val="20"/>
          <w:lang w:val="es-ES"/>
        </w:rPr>
        <w:t>.</w:t>
      </w:r>
    </w:p>
    <w:p w14:paraId="3B237982" w14:textId="77777777" w:rsidR="00B86B27" w:rsidRPr="000B33B9" w:rsidRDefault="00B86B27" w:rsidP="00B86B27">
      <w:pPr>
        <w:pStyle w:val="Prrafodelista"/>
        <w:rPr>
          <w:rFonts w:ascii="Verdana" w:hAnsi="Verdana"/>
          <w:b/>
          <w:sz w:val="20"/>
          <w:szCs w:val="20"/>
          <w:lang w:val="es-ES"/>
        </w:rPr>
      </w:pPr>
    </w:p>
    <w:p w14:paraId="5AF95142" w14:textId="3DC40EB2" w:rsidR="00B86B27" w:rsidRPr="000B33B9" w:rsidRDefault="00B86B27" w:rsidP="007B74B8">
      <w:pPr>
        <w:pStyle w:val="Prrafodelista"/>
        <w:numPr>
          <w:ilvl w:val="0"/>
          <w:numId w:val="10"/>
        </w:numPr>
        <w:spacing w:after="0" w:line="240" w:lineRule="auto"/>
        <w:ind w:left="0" w:firstLine="0"/>
        <w:jc w:val="both"/>
        <w:rPr>
          <w:rFonts w:ascii="Verdana" w:hAnsi="Verdana"/>
          <w:sz w:val="20"/>
          <w:szCs w:val="20"/>
          <w:lang w:val="es-ES"/>
        </w:rPr>
      </w:pPr>
      <w:r w:rsidRPr="000B33B9">
        <w:rPr>
          <w:rFonts w:ascii="Verdana" w:hAnsi="Verdana"/>
          <w:sz w:val="20"/>
          <w:szCs w:val="20"/>
          <w:lang w:val="es-ES"/>
        </w:rPr>
        <w:t xml:space="preserve">El 30 de mayo de 2007, el </w:t>
      </w:r>
      <w:r w:rsidRPr="000B33B9">
        <w:rPr>
          <w:rFonts w:ascii="Verdana" w:eastAsia="Calibri" w:hAnsi="Verdana" w:cs="Times New Roman"/>
          <w:sz w:val="20"/>
          <w:szCs w:val="20"/>
          <w:lang w:val="es-ES" w:eastAsia="es-ES"/>
        </w:rPr>
        <w:t xml:space="preserve">Sexagésimo Sexto Juzgado ordenó la remisión del expediente a la Oficina de Pericias Judiciales para que elaborara </w:t>
      </w:r>
      <w:r w:rsidR="00EA2621" w:rsidRPr="000B33B9">
        <w:rPr>
          <w:rFonts w:ascii="Verdana" w:eastAsia="Calibri" w:hAnsi="Verdana" w:cs="Times New Roman"/>
          <w:sz w:val="20"/>
          <w:szCs w:val="20"/>
          <w:lang w:val="es-ES" w:eastAsia="es-ES"/>
        </w:rPr>
        <w:t>el</w:t>
      </w:r>
      <w:r w:rsidRPr="000B33B9">
        <w:rPr>
          <w:rFonts w:ascii="Verdana" w:eastAsia="Calibri" w:hAnsi="Verdana" w:cs="Times New Roman"/>
          <w:sz w:val="20"/>
          <w:szCs w:val="20"/>
          <w:lang w:val="es-ES" w:eastAsia="es-ES"/>
        </w:rPr>
        <w:t xml:space="preserve"> nuevo informe pericial</w:t>
      </w:r>
      <w:r w:rsidRPr="000B33B9">
        <w:rPr>
          <w:rStyle w:val="Refdenotaalpie"/>
          <w:rFonts w:ascii="Verdana" w:eastAsia="Calibri" w:hAnsi="Verdana" w:cs="Times New Roman"/>
          <w:sz w:val="20"/>
          <w:szCs w:val="20"/>
          <w:lang w:val="es-ES" w:eastAsia="es-ES"/>
        </w:rPr>
        <w:footnoteReference w:id="86"/>
      </w:r>
      <w:r w:rsidRPr="000B33B9">
        <w:rPr>
          <w:rFonts w:ascii="Verdana" w:eastAsia="Calibri" w:hAnsi="Verdana" w:cs="Times New Roman"/>
          <w:sz w:val="20"/>
          <w:szCs w:val="20"/>
          <w:lang w:val="es-ES" w:eastAsia="es-ES"/>
        </w:rPr>
        <w:t>. El</w:t>
      </w:r>
      <w:r w:rsidRPr="000B33B9">
        <w:rPr>
          <w:rFonts w:ascii="Verdana" w:hAnsi="Verdana"/>
          <w:sz w:val="20"/>
          <w:szCs w:val="20"/>
          <w:lang w:val="es-ES"/>
        </w:rPr>
        <w:t xml:space="preserve"> 13 de noviembre y 14 de diciembre de 2009</w:t>
      </w:r>
      <w:r w:rsidR="00875D1F" w:rsidRPr="000B33B9">
        <w:rPr>
          <w:rFonts w:ascii="Verdana" w:hAnsi="Verdana"/>
          <w:sz w:val="20"/>
          <w:szCs w:val="20"/>
          <w:lang w:val="es-ES"/>
        </w:rPr>
        <w:t>,</w:t>
      </w:r>
      <w:r w:rsidRPr="000B33B9">
        <w:rPr>
          <w:rFonts w:ascii="Verdana" w:hAnsi="Verdana"/>
          <w:sz w:val="20"/>
          <w:szCs w:val="20"/>
          <w:lang w:val="es-ES"/>
        </w:rPr>
        <w:t xml:space="preserve"> la SUNAT depositó dos peritajes de parte. El 14 de enero de 2010, el Vigésimo Tercer Juzgado Especializado en lo Civil de Lima </w:t>
      </w:r>
      <w:r w:rsidR="005A753A" w:rsidRPr="000B33B9">
        <w:rPr>
          <w:rFonts w:ascii="Verdana" w:hAnsi="Verdana"/>
          <w:sz w:val="20"/>
          <w:szCs w:val="20"/>
          <w:lang w:val="es-ES"/>
        </w:rPr>
        <w:t xml:space="preserve">(en adelante “Vigésimo Tercer Juzgado”) </w:t>
      </w:r>
      <w:r w:rsidRPr="000B33B9">
        <w:rPr>
          <w:rFonts w:ascii="Verdana" w:hAnsi="Verdana"/>
          <w:sz w:val="20"/>
          <w:szCs w:val="20"/>
          <w:lang w:val="es-ES"/>
        </w:rPr>
        <w:t>ordenó que ANCEJUB-SUNAT tomara conocimiento de ambos informes periciales y formulara sus observaciones</w:t>
      </w:r>
      <w:r w:rsidR="005A753A" w:rsidRPr="000B33B9">
        <w:rPr>
          <w:rStyle w:val="Refdenotaalpie"/>
          <w:rFonts w:ascii="Verdana" w:hAnsi="Verdana"/>
          <w:sz w:val="20"/>
          <w:szCs w:val="20"/>
          <w:lang w:val="es-ES"/>
        </w:rPr>
        <w:footnoteReference w:id="87"/>
      </w:r>
      <w:r w:rsidRPr="000B33B9">
        <w:rPr>
          <w:rFonts w:ascii="Verdana" w:hAnsi="Verdana"/>
          <w:sz w:val="20"/>
          <w:szCs w:val="20"/>
          <w:lang w:val="es-ES"/>
        </w:rPr>
        <w:t>.</w:t>
      </w:r>
    </w:p>
    <w:p w14:paraId="29AF336F" w14:textId="77777777" w:rsidR="00B86B27" w:rsidRPr="000B33B9" w:rsidRDefault="00B86B27" w:rsidP="00B86B27">
      <w:pPr>
        <w:pStyle w:val="Prrafodelista"/>
        <w:rPr>
          <w:rFonts w:ascii="Verdana" w:hAnsi="Verdana"/>
          <w:sz w:val="20"/>
          <w:szCs w:val="20"/>
          <w:lang w:val="es-ES"/>
        </w:rPr>
      </w:pPr>
    </w:p>
    <w:p w14:paraId="4154F6BA" w14:textId="35C24192" w:rsidR="00B86B27" w:rsidRPr="000B33B9" w:rsidRDefault="00B86B27" w:rsidP="007B74B8">
      <w:pPr>
        <w:pStyle w:val="Prrafodelista"/>
        <w:numPr>
          <w:ilvl w:val="0"/>
          <w:numId w:val="10"/>
        </w:numPr>
        <w:spacing w:after="0" w:line="240" w:lineRule="auto"/>
        <w:ind w:left="0" w:firstLine="0"/>
        <w:jc w:val="both"/>
        <w:rPr>
          <w:rFonts w:ascii="Verdana" w:hAnsi="Verdana"/>
          <w:sz w:val="20"/>
          <w:szCs w:val="20"/>
          <w:lang w:val="es-ES"/>
        </w:rPr>
      </w:pPr>
      <w:r w:rsidRPr="000B33B9">
        <w:rPr>
          <w:rFonts w:ascii="Verdana" w:hAnsi="Verdana"/>
          <w:sz w:val="20"/>
          <w:szCs w:val="20"/>
          <w:lang w:val="es-ES"/>
        </w:rPr>
        <w:t xml:space="preserve">El 22 de marzo de 2010, ANCEJUB-SUNAT solicitó la nulidad de la resolución </w:t>
      </w:r>
      <w:r w:rsidR="00C53912" w:rsidRPr="000B33B9">
        <w:rPr>
          <w:rFonts w:ascii="Verdana" w:hAnsi="Verdana"/>
          <w:sz w:val="20"/>
          <w:szCs w:val="20"/>
          <w:lang w:val="es-ES"/>
        </w:rPr>
        <w:t>No.</w:t>
      </w:r>
      <w:r w:rsidRPr="000B33B9">
        <w:rPr>
          <w:rFonts w:ascii="Verdana" w:hAnsi="Verdana"/>
          <w:sz w:val="20"/>
          <w:szCs w:val="20"/>
          <w:lang w:val="es-ES"/>
        </w:rPr>
        <w:t xml:space="preserve"> 174 de 14 de enero de 2010 por considerarla contraria a “</w:t>
      </w:r>
      <w:r w:rsidR="005A753A" w:rsidRPr="000B33B9">
        <w:rPr>
          <w:rFonts w:ascii="Verdana" w:hAnsi="Verdana"/>
          <w:sz w:val="20"/>
          <w:szCs w:val="20"/>
          <w:lang w:val="es-ES"/>
        </w:rPr>
        <w:t xml:space="preserve">(…) </w:t>
      </w:r>
      <w:r w:rsidRPr="000B33B9">
        <w:rPr>
          <w:rFonts w:ascii="Verdana" w:hAnsi="Verdana"/>
          <w:sz w:val="20"/>
          <w:szCs w:val="20"/>
          <w:lang w:val="es-ES"/>
        </w:rPr>
        <w:t>lo expresado en la Resolución No 1</w:t>
      </w:r>
      <w:r w:rsidR="00EA2621" w:rsidRPr="000B33B9">
        <w:rPr>
          <w:rFonts w:ascii="Verdana" w:hAnsi="Verdana"/>
          <w:sz w:val="20"/>
          <w:szCs w:val="20"/>
          <w:lang w:val="es-ES"/>
        </w:rPr>
        <w:t>56 de fecha 30 de mayo de 2007”</w:t>
      </w:r>
      <w:r w:rsidRPr="000B33B9">
        <w:rPr>
          <w:rFonts w:ascii="Verdana" w:hAnsi="Verdana"/>
          <w:bCs/>
          <w:sz w:val="20"/>
          <w:szCs w:val="20"/>
          <w:lang w:val="es-ES"/>
        </w:rPr>
        <w:t xml:space="preserve">. </w:t>
      </w:r>
      <w:r w:rsidRPr="000B33B9">
        <w:rPr>
          <w:rFonts w:ascii="Verdana" w:hAnsi="Verdana"/>
          <w:sz w:val="20"/>
          <w:szCs w:val="20"/>
          <w:lang w:val="es-ES"/>
        </w:rPr>
        <w:t>ANCEJUB-SUNAT puntualizó que, al disponer el traslado de los peritajes efectuados por la SUNAT, la resolución N</w:t>
      </w:r>
      <w:r w:rsidRPr="000B33B9">
        <w:rPr>
          <w:rFonts w:ascii="Verdana" w:hAnsi="Verdana"/>
          <w:sz w:val="20"/>
          <w:szCs w:val="20"/>
          <w:vertAlign w:val="superscript"/>
          <w:lang w:val="es-ES"/>
        </w:rPr>
        <w:t>o</w:t>
      </w:r>
      <w:r w:rsidRPr="000B33B9">
        <w:rPr>
          <w:rFonts w:ascii="Verdana" w:hAnsi="Verdana"/>
          <w:sz w:val="20"/>
          <w:szCs w:val="20"/>
          <w:lang w:val="es-ES"/>
        </w:rPr>
        <w:t xml:space="preserve"> 174 “</w:t>
      </w:r>
      <w:r w:rsidR="005A753A" w:rsidRPr="000B33B9">
        <w:rPr>
          <w:rFonts w:ascii="Verdana" w:hAnsi="Verdana"/>
          <w:sz w:val="20"/>
          <w:szCs w:val="20"/>
          <w:lang w:val="es-ES"/>
        </w:rPr>
        <w:t xml:space="preserve">(…) </w:t>
      </w:r>
      <w:r w:rsidRPr="000B33B9">
        <w:rPr>
          <w:rFonts w:ascii="Verdana" w:hAnsi="Verdana"/>
          <w:sz w:val="20"/>
          <w:szCs w:val="20"/>
          <w:lang w:val="es-ES"/>
        </w:rPr>
        <w:t>retarda innecesariamente la ejecución de la sentencia”, por lo que solicitó al Tribunal que “</w:t>
      </w:r>
      <w:r w:rsidR="005A753A" w:rsidRPr="000B33B9">
        <w:rPr>
          <w:rFonts w:ascii="Verdana" w:hAnsi="Verdana"/>
          <w:sz w:val="20"/>
          <w:szCs w:val="20"/>
          <w:lang w:val="es-ES"/>
        </w:rPr>
        <w:t xml:space="preserve">(…) </w:t>
      </w:r>
      <w:r w:rsidRPr="000B33B9">
        <w:rPr>
          <w:rFonts w:ascii="Verdana" w:hAnsi="Verdana"/>
          <w:sz w:val="20"/>
          <w:szCs w:val="20"/>
          <w:lang w:val="es-ES"/>
        </w:rPr>
        <w:t>ordene continuar con la ejecución de la Sentencia”</w:t>
      </w:r>
      <w:r w:rsidR="005A753A" w:rsidRPr="000B33B9">
        <w:rPr>
          <w:rStyle w:val="Refdenotaalpie"/>
          <w:rFonts w:ascii="Verdana" w:hAnsi="Verdana"/>
          <w:sz w:val="20"/>
          <w:szCs w:val="20"/>
          <w:lang w:val="es-ES"/>
        </w:rPr>
        <w:footnoteReference w:id="88"/>
      </w:r>
      <w:r w:rsidRPr="000B33B9">
        <w:rPr>
          <w:rFonts w:ascii="Verdana" w:hAnsi="Verdana"/>
          <w:sz w:val="20"/>
          <w:szCs w:val="20"/>
          <w:lang w:val="es-ES"/>
        </w:rPr>
        <w:t>.</w:t>
      </w:r>
    </w:p>
    <w:p w14:paraId="738A0965" w14:textId="77777777" w:rsidR="00B86B27" w:rsidRPr="000B33B9" w:rsidRDefault="00B86B27" w:rsidP="00B86B27">
      <w:pPr>
        <w:pStyle w:val="Prrafodelista"/>
        <w:rPr>
          <w:rFonts w:ascii="Verdana" w:eastAsia="Calibri" w:hAnsi="Verdana" w:cs="Times New Roman"/>
          <w:sz w:val="20"/>
          <w:szCs w:val="20"/>
          <w:lang w:val="es-ES" w:eastAsia="es-ES"/>
        </w:rPr>
      </w:pPr>
    </w:p>
    <w:p w14:paraId="11976101" w14:textId="73ACACC0" w:rsidR="00B86B27" w:rsidRPr="000B33B9" w:rsidRDefault="00B86B27" w:rsidP="007B74B8">
      <w:pPr>
        <w:pStyle w:val="Prrafodelista"/>
        <w:numPr>
          <w:ilvl w:val="0"/>
          <w:numId w:val="10"/>
        </w:numPr>
        <w:spacing w:after="0" w:line="240" w:lineRule="auto"/>
        <w:ind w:left="0" w:firstLine="0"/>
        <w:jc w:val="both"/>
        <w:rPr>
          <w:rFonts w:ascii="Verdana" w:eastAsia="Calibri" w:hAnsi="Verdana" w:cs="Times New Roman"/>
          <w:sz w:val="20"/>
          <w:szCs w:val="20"/>
          <w:lang w:val="es-ES" w:eastAsia="es-ES"/>
        </w:rPr>
      </w:pPr>
      <w:r w:rsidRPr="000B33B9">
        <w:rPr>
          <w:rFonts w:ascii="Verdana" w:eastAsia="Calibri" w:hAnsi="Verdana" w:cs="Times New Roman"/>
          <w:sz w:val="20"/>
          <w:szCs w:val="20"/>
          <w:lang w:val="es-ES" w:eastAsia="es-ES"/>
        </w:rPr>
        <w:t xml:space="preserve">El 26 de abril de 2010, ANCEJUB-SUNAT presentó sus observaciones a los peritajes elaborados por la SUNAT. El 2 de julio de 2010, la SUNAT objetó la solicitud de nulidad </w:t>
      </w:r>
      <w:r w:rsidR="00EA2621" w:rsidRPr="000B33B9">
        <w:rPr>
          <w:rFonts w:ascii="Verdana" w:eastAsia="Calibri" w:hAnsi="Verdana" w:cs="Times New Roman"/>
          <w:sz w:val="20"/>
          <w:szCs w:val="20"/>
          <w:lang w:val="es-ES" w:eastAsia="es-ES"/>
        </w:rPr>
        <w:t>presentada</w:t>
      </w:r>
      <w:r w:rsidRPr="000B33B9">
        <w:rPr>
          <w:rFonts w:ascii="Verdana" w:eastAsia="Calibri" w:hAnsi="Verdana" w:cs="Times New Roman"/>
          <w:sz w:val="20"/>
          <w:szCs w:val="20"/>
          <w:lang w:val="es-ES" w:eastAsia="es-ES"/>
        </w:rPr>
        <w:t xml:space="preserve"> por ANCEJUB-SUNAT</w:t>
      </w:r>
      <w:r w:rsidRPr="000B33B9">
        <w:rPr>
          <w:rStyle w:val="Refdenotaalpie"/>
          <w:rFonts w:ascii="Verdana" w:eastAsia="Calibri" w:hAnsi="Verdana" w:cs="Times New Roman"/>
          <w:sz w:val="20"/>
          <w:szCs w:val="20"/>
          <w:lang w:val="es-ES" w:eastAsia="es-ES"/>
        </w:rPr>
        <w:footnoteReference w:id="89"/>
      </w:r>
      <w:r w:rsidRPr="000B33B9">
        <w:rPr>
          <w:rFonts w:ascii="Verdana" w:eastAsia="Calibri" w:hAnsi="Verdana" w:cs="Times New Roman"/>
          <w:sz w:val="20"/>
          <w:szCs w:val="20"/>
          <w:lang w:val="es-ES" w:eastAsia="es-ES"/>
        </w:rPr>
        <w:t xml:space="preserve">. El 3 de agosto de 2010, el </w:t>
      </w:r>
      <w:r w:rsidRPr="000B33B9">
        <w:rPr>
          <w:rFonts w:ascii="Verdana" w:hAnsi="Verdana"/>
          <w:sz w:val="20"/>
          <w:szCs w:val="20"/>
          <w:lang w:val="es-ES"/>
        </w:rPr>
        <w:t xml:space="preserve">Vigésimo Tercer Juzgado </w:t>
      </w:r>
      <w:r w:rsidRPr="000B33B9">
        <w:rPr>
          <w:rFonts w:ascii="Verdana" w:eastAsia="Calibri" w:hAnsi="Verdana" w:cs="Times New Roman"/>
          <w:sz w:val="20"/>
          <w:szCs w:val="20"/>
          <w:lang w:val="es-ES" w:eastAsia="es-ES"/>
        </w:rPr>
        <w:t>declaró infundada la solicitud de nulidad, al juzgar que “no se había cometido ningún vicio de procedimiento”. E</w:t>
      </w:r>
      <w:r w:rsidRPr="000B33B9">
        <w:rPr>
          <w:rFonts w:ascii="Verdana" w:hAnsi="Verdana"/>
          <w:sz w:val="20"/>
          <w:szCs w:val="20"/>
          <w:lang w:val="es-ES"/>
        </w:rPr>
        <w:t xml:space="preserve">l Juzgado también dispuso la remisión de los autos a la Oficina de Pericias Judiciales- Equipo Técnico Pericial de la Corte Superior de Justicia de Lima </w:t>
      </w:r>
      <w:r w:rsidR="00C604E8" w:rsidRPr="000B33B9">
        <w:rPr>
          <w:rFonts w:ascii="Verdana" w:hAnsi="Verdana"/>
          <w:sz w:val="20"/>
          <w:szCs w:val="20"/>
          <w:lang w:val="es-ES"/>
        </w:rPr>
        <w:t xml:space="preserve">(en adelante “Equipo Técnico Pericial”) </w:t>
      </w:r>
      <w:r w:rsidRPr="000B33B9">
        <w:rPr>
          <w:rFonts w:ascii="Verdana" w:hAnsi="Verdana"/>
          <w:sz w:val="20"/>
          <w:szCs w:val="20"/>
          <w:lang w:val="es-ES"/>
        </w:rPr>
        <w:t>para que “</w:t>
      </w:r>
      <w:r w:rsidR="00EA2621" w:rsidRPr="000B33B9">
        <w:rPr>
          <w:rFonts w:ascii="Verdana" w:hAnsi="Verdana"/>
          <w:sz w:val="20"/>
          <w:szCs w:val="20"/>
          <w:lang w:val="es-ES"/>
        </w:rPr>
        <w:t xml:space="preserve">(…) </w:t>
      </w:r>
      <w:r w:rsidRPr="000B33B9">
        <w:rPr>
          <w:rFonts w:ascii="Verdana" w:hAnsi="Verdana"/>
          <w:sz w:val="20"/>
          <w:szCs w:val="20"/>
          <w:lang w:val="es-ES"/>
        </w:rPr>
        <w:t xml:space="preserve">cumplan con emitir el informe pericial conforme a los lineamientos ordenados por el Superior Jerárquico mediante resolución de vista de fecha [24] de julio de [2006]”, especificando que por ser “un caso especial” debían designarse cuatro peritos judiciales, los cuales dispondrían de un plazo de </w:t>
      </w:r>
      <w:r w:rsidR="005A753A" w:rsidRPr="000B33B9">
        <w:rPr>
          <w:rFonts w:ascii="Verdana" w:hAnsi="Verdana"/>
          <w:sz w:val="20"/>
          <w:szCs w:val="20"/>
          <w:lang w:val="es-ES"/>
        </w:rPr>
        <w:t>60</w:t>
      </w:r>
      <w:r w:rsidRPr="000B33B9">
        <w:rPr>
          <w:rFonts w:ascii="Verdana" w:hAnsi="Verdana"/>
          <w:sz w:val="20"/>
          <w:szCs w:val="20"/>
          <w:lang w:val="es-ES"/>
        </w:rPr>
        <w:t xml:space="preserve"> días para elaborar el peritaje</w:t>
      </w:r>
      <w:r w:rsidR="005A753A" w:rsidRPr="000B33B9">
        <w:rPr>
          <w:rFonts w:ascii="Verdana" w:hAnsi="Verdana" w:cstheme="minorHAnsi"/>
          <w:sz w:val="20"/>
          <w:szCs w:val="20"/>
          <w:vertAlign w:val="superscript"/>
          <w:lang w:val="es-ES" w:eastAsia="es-ES"/>
        </w:rPr>
        <w:footnoteReference w:id="90"/>
      </w:r>
      <w:r w:rsidRPr="000B33B9">
        <w:rPr>
          <w:rFonts w:ascii="Verdana" w:hAnsi="Verdana"/>
          <w:sz w:val="20"/>
          <w:szCs w:val="20"/>
          <w:lang w:val="es-ES"/>
        </w:rPr>
        <w:t>.</w:t>
      </w:r>
    </w:p>
    <w:p w14:paraId="777119D5" w14:textId="77777777" w:rsidR="00B86B27" w:rsidRPr="000B33B9" w:rsidRDefault="00B86B27" w:rsidP="00B86B27">
      <w:pPr>
        <w:pStyle w:val="Prrafodelista"/>
        <w:rPr>
          <w:rFonts w:ascii="Verdana" w:eastAsia="Calibri" w:hAnsi="Verdana" w:cs="Times New Roman"/>
          <w:sz w:val="20"/>
          <w:szCs w:val="20"/>
          <w:lang w:val="es-ES" w:eastAsia="es-ES"/>
        </w:rPr>
      </w:pPr>
    </w:p>
    <w:p w14:paraId="48F9029B" w14:textId="372E0461" w:rsidR="00B86B27" w:rsidRPr="000B33B9" w:rsidRDefault="00B86B27" w:rsidP="007B74B8">
      <w:pPr>
        <w:pStyle w:val="Prrafodelista"/>
        <w:numPr>
          <w:ilvl w:val="0"/>
          <w:numId w:val="10"/>
        </w:numPr>
        <w:spacing w:after="0" w:line="240" w:lineRule="auto"/>
        <w:ind w:left="0" w:firstLine="0"/>
        <w:jc w:val="both"/>
        <w:rPr>
          <w:rFonts w:ascii="Verdana" w:eastAsia="Calibri" w:hAnsi="Verdana" w:cs="Times New Roman"/>
          <w:sz w:val="20"/>
          <w:szCs w:val="20"/>
          <w:lang w:val="es-ES" w:eastAsia="es-ES"/>
        </w:rPr>
      </w:pPr>
      <w:r w:rsidRPr="000B33B9">
        <w:rPr>
          <w:rFonts w:ascii="Verdana" w:eastAsia="Calibri" w:hAnsi="Verdana" w:cs="Times New Roman"/>
          <w:sz w:val="20"/>
          <w:szCs w:val="20"/>
          <w:lang w:val="es-ES" w:eastAsia="es-ES"/>
        </w:rPr>
        <w:t xml:space="preserve">El 18 de octubre de 2011, el </w:t>
      </w:r>
      <w:r w:rsidRPr="000B33B9">
        <w:rPr>
          <w:rFonts w:ascii="Verdana" w:hAnsi="Verdana"/>
          <w:sz w:val="20"/>
          <w:szCs w:val="20"/>
          <w:lang w:val="es-ES"/>
        </w:rPr>
        <w:t xml:space="preserve">Equipo Técnico Pericial presentó su informe pericial. En el informe se hizo constar que por parte del </w:t>
      </w:r>
      <w:r w:rsidR="00C604E8" w:rsidRPr="000B33B9">
        <w:rPr>
          <w:rFonts w:ascii="Verdana" w:hAnsi="Verdana"/>
          <w:sz w:val="20"/>
          <w:szCs w:val="20"/>
          <w:lang w:val="es-ES"/>
        </w:rPr>
        <w:t xml:space="preserve">MEF </w:t>
      </w:r>
      <w:r w:rsidRPr="000B33B9">
        <w:rPr>
          <w:rFonts w:ascii="Verdana" w:hAnsi="Verdana"/>
          <w:sz w:val="20"/>
          <w:szCs w:val="20"/>
          <w:lang w:val="es-ES"/>
        </w:rPr>
        <w:t xml:space="preserve">hubo “entrega tardía” de la información correspondiente a </w:t>
      </w:r>
      <w:r w:rsidR="00EA2621" w:rsidRPr="000B33B9">
        <w:rPr>
          <w:rFonts w:ascii="Verdana" w:hAnsi="Verdana"/>
          <w:sz w:val="20"/>
          <w:szCs w:val="20"/>
          <w:lang w:val="es-ES"/>
        </w:rPr>
        <w:t>10</w:t>
      </w:r>
      <w:r w:rsidRPr="000B33B9">
        <w:rPr>
          <w:rFonts w:ascii="Verdana" w:hAnsi="Verdana"/>
          <w:sz w:val="20"/>
          <w:szCs w:val="20"/>
          <w:lang w:val="es-ES"/>
        </w:rPr>
        <w:t xml:space="preserve"> de los </w:t>
      </w:r>
      <w:r w:rsidR="00EA2621" w:rsidRPr="000B33B9">
        <w:rPr>
          <w:rFonts w:ascii="Verdana" w:hAnsi="Verdana"/>
          <w:sz w:val="20"/>
          <w:szCs w:val="20"/>
          <w:lang w:val="es-ES"/>
        </w:rPr>
        <w:t>13</w:t>
      </w:r>
      <w:r w:rsidRPr="000B33B9">
        <w:rPr>
          <w:rFonts w:ascii="Verdana" w:hAnsi="Verdana"/>
          <w:sz w:val="20"/>
          <w:szCs w:val="20"/>
          <w:lang w:val="es-ES"/>
        </w:rPr>
        <w:t xml:space="preserve"> años que abarcó el peritaje</w:t>
      </w:r>
      <w:r w:rsidR="00C604E8" w:rsidRPr="000B33B9">
        <w:rPr>
          <w:rStyle w:val="Refdenotaalpie"/>
          <w:rFonts w:ascii="Verdana" w:hAnsi="Verdana"/>
          <w:sz w:val="20"/>
          <w:szCs w:val="20"/>
          <w:lang w:val="es-ES"/>
        </w:rPr>
        <w:footnoteReference w:id="91"/>
      </w:r>
      <w:r w:rsidRPr="000B33B9">
        <w:rPr>
          <w:rFonts w:ascii="Verdana" w:hAnsi="Verdana"/>
          <w:sz w:val="20"/>
          <w:szCs w:val="20"/>
          <w:lang w:val="es-ES"/>
        </w:rPr>
        <w:t>. El peritaje arrojó las conclusiones siguientes:</w:t>
      </w:r>
    </w:p>
    <w:p w14:paraId="13E5C276" w14:textId="77777777" w:rsidR="00B86B27" w:rsidRPr="000B33B9" w:rsidRDefault="00B86B27" w:rsidP="00B86B27">
      <w:pPr>
        <w:spacing w:after="0" w:line="240" w:lineRule="auto"/>
        <w:rPr>
          <w:rFonts w:ascii="Verdana" w:hAnsi="Verdana"/>
          <w:sz w:val="20"/>
          <w:szCs w:val="20"/>
          <w:lang w:val="es-ES"/>
        </w:rPr>
      </w:pPr>
    </w:p>
    <w:p w14:paraId="7061EDA6" w14:textId="4135C1AA" w:rsidR="00B86B27" w:rsidRPr="000B33B9" w:rsidRDefault="00B86B27" w:rsidP="00B86B27">
      <w:pPr>
        <w:spacing w:after="0" w:line="240" w:lineRule="auto"/>
        <w:ind w:left="706" w:right="1094"/>
        <w:jc w:val="both"/>
        <w:rPr>
          <w:rFonts w:ascii="Verdana" w:hAnsi="Verdana"/>
          <w:sz w:val="18"/>
          <w:szCs w:val="18"/>
          <w:lang w:val="es-ES"/>
        </w:rPr>
      </w:pPr>
      <w:r w:rsidRPr="000B33B9">
        <w:rPr>
          <w:rFonts w:ascii="Verdana" w:hAnsi="Verdana"/>
          <w:sz w:val="18"/>
          <w:szCs w:val="18"/>
          <w:lang w:val="es-ES"/>
        </w:rPr>
        <w:t xml:space="preserve">“1.- Existencia de devengados por pagar a los cesantes de ANCEJUB-SUNAT, debido a la nivelación de sus pensiones respecto </w:t>
      </w:r>
      <w:r w:rsidR="00EA2621" w:rsidRPr="000B33B9">
        <w:rPr>
          <w:rFonts w:ascii="Verdana" w:hAnsi="Verdana"/>
          <w:sz w:val="18"/>
          <w:szCs w:val="18"/>
          <w:lang w:val="es-ES"/>
        </w:rPr>
        <w:t>de</w:t>
      </w:r>
      <w:r w:rsidRPr="000B33B9">
        <w:rPr>
          <w:rFonts w:ascii="Verdana" w:hAnsi="Verdana"/>
          <w:sz w:val="18"/>
          <w:szCs w:val="18"/>
          <w:lang w:val="es-ES"/>
        </w:rPr>
        <w:t xml:space="preserve"> su similar trabajado</w:t>
      </w:r>
      <w:r w:rsidR="008B78CD" w:rsidRPr="000B33B9">
        <w:rPr>
          <w:rFonts w:ascii="Verdana" w:hAnsi="Verdana"/>
          <w:sz w:val="18"/>
          <w:szCs w:val="18"/>
          <w:lang w:val="es-ES"/>
        </w:rPr>
        <w:t>r activo al momento de su cese.</w:t>
      </w:r>
    </w:p>
    <w:p w14:paraId="543CF2A7" w14:textId="77777777" w:rsidR="008B78CD" w:rsidRPr="000B33B9" w:rsidRDefault="008B78CD" w:rsidP="00B86B27">
      <w:pPr>
        <w:spacing w:after="0" w:line="240" w:lineRule="auto"/>
        <w:ind w:left="706" w:right="1094"/>
        <w:jc w:val="both"/>
        <w:rPr>
          <w:rFonts w:ascii="Verdana" w:hAnsi="Verdana"/>
          <w:sz w:val="18"/>
          <w:szCs w:val="18"/>
          <w:lang w:val="es-ES"/>
        </w:rPr>
      </w:pPr>
    </w:p>
    <w:p w14:paraId="77E6EFC3" w14:textId="77777777" w:rsidR="00B86B27" w:rsidRPr="000B33B9" w:rsidRDefault="00B86B27" w:rsidP="00B86B27">
      <w:pPr>
        <w:spacing w:after="0" w:line="240" w:lineRule="auto"/>
        <w:ind w:left="706" w:right="1094"/>
        <w:jc w:val="both"/>
        <w:rPr>
          <w:rFonts w:ascii="Verdana" w:hAnsi="Verdana"/>
          <w:sz w:val="18"/>
          <w:szCs w:val="18"/>
          <w:lang w:val="es-ES"/>
        </w:rPr>
      </w:pPr>
      <w:r w:rsidRPr="000B33B9">
        <w:rPr>
          <w:rFonts w:ascii="Verdana" w:hAnsi="Verdana"/>
          <w:sz w:val="18"/>
          <w:szCs w:val="18"/>
          <w:lang w:val="es-ES"/>
        </w:rPr>
        <w:t>2.- Los reintegros se han determinado comparando el ingreso comparando el ingreso homologable del servidor activo versus el ingreso total del cesante.</w:t>
      </w:r>
    </w:p>
    <w:p w14:paraId="00177728" w14:textId="77777777" w:rsidR="00FA2965" w:rsidRPr="000B33B9" w:rsidRDefault="00FA2965" w:rsidP="00B86B27">
      <w:pPr>
        <w:spacing w:after="0" w:line="240" w:lineRule="auto"/>
        <w:ind w:left="706" w:right="1094"/>
        <w:jc w:val="both"/>
        <w:rPr>
          <w:rFonts w:ascii="Verdana" w:hAnsi="Verdana"/>
          <w:sz w:val="18"/>
          <w:szCs w:val="18"/>
          <w:lang w:val="es-ES"/>
        </w:rPr>
      </w:pPr>
    </w:p>
    <w:p w14:paraId="718912C8" w14:textId="77777777" w:rsidR="00B86B27" w:rsidRPr="000B33B9" w:rsidRDefault="00B86B27" w:rsidP="00B86B27">
      <w:pPr>
        <w:spacing w:after="0" w:line="240" w:lineRule="auto"/>
        <w:ind w:left="706" w:right="1094"/>
        <w:jc w:val="both"/>
        <w:rPr>
          <w:rFonts w:ascii="Verdana" w:hAnsi="Verdana"/>
          <w:sz w:val="18"/>
          <w:szCs w:val="18"/>
          <w:lang w:val="es-ES"/>
        </w:rPr>
      </w:pPr>
      <w:r w:rsidRPr="000B33B9">
        <w:rPr>
          <w:rFonts w:ascii="Verdana" w:hAnsi="Verdana"/>
          <w:sz w:val="18"/>
          <w:szCs w:val="18"/>
          <w:lang w:val="es-ES"/>
        </w:rPr>
        <w:t xml:space="preserve">3.- Los totales mensuales y anuales por cada trabajador y el total final se detallan en los Cuadros de Homologación y Reintegro y en el Cuadro Consolidado Anual de Reintegro. </w:t>
      </w:r>
    </w:p>
    <w:p w14:paraId="0FD24329" w14:textId="77777777" w:rsidR="008B78CD" w:rsidRPr="000B33B9" w:rsidRDefault="008B78CD" w:rsidP="00B86B27">
      <w:pPr>
        <w:spacing w:after="0" w:line="240" w:lineRule="auto"/>
        <w:ind w:left="706" w:right="1094"/>
        <w:jc w:val="both"/>
        <w:rPr>
          <w:rFonts w:ascii="Verdana" w:hAnsi="Verdana"/>
          <w:sz w:val="18"/>
          <w:szCs w:val="18"/>
          <w:lang w:val="es-ES"/>
        </w:rPr>
      </w:pPr>
    </w:p>
    <w:p w14:paraId="32A2881B" w14:textId="77777777" w:rsidR="00B86B27" w:rsidRPr="000B33B9" w:rsidRDefault="00B86B27" w:rsidP="00B86B27">
      <w:pPr>
        <w:spacing w:after="0" w:line="240" w:lineRule="auto"/>
        <w:ind w:left="706" w:right="1094"/>
        <w:jc w:val="both"/>
        <w:rPr>
          <w:rFonts w:ascii="Verdana" w:hAnsi="Verdana"/>
          <w:sz w:val="18"/>
          <w:szCs w:val="18"/>
          <w:lang w:val="es-ES"/>
        </w:rPr>
      </w:pPr>
      <w:r w:rsidRPr="000B33B9">
        <w:rPr>
          <w:rFonts w:ascii="Verdana" w:hAnsi="Verdana"/>
          <w:sz w:val="18"/>
          <w:szCs w:val="18"/>
          <w:lang w:val="es-ES"/>
        </w:rPr>
        <w:t xml:space="preserve">4.- Los devengados correspondientes a los mayores montos encontrados, se deben principalmente a la posterior regularización a la entrada en vigencia, de los incrementos en las remuneraciones otorgados por el Gobierno Central; y a las pensiones provisionales que se diera a los trabajadores cuya identificación de su correspondiente nivel salarial no se encontraba en las planillas. </w:t>
      </w:r>
    </w:p>
    <w:p w14:paraId="1F42F926" w14:textId="77777777" w:rsidR="00FA2965" w:rsidRPr="000B33B9" w:rsidRDefault="00FA2965" w:rsidP="00B86B27">
      <w:pPr>
        <w:spacing w:after="0" w:line="240" w:lineRule="auto"/>
        <w:ind w:left="706" w:right="1094"/>
        <w:jc w:val="both"/>
        <w:rPr>
          <w:rFonts w:ascii="Verdana" w:hAnsi="Verdana"/>
          <w:sz w:val="18"/>
          <w:szCs w:val="18"/>
          <w:lang w:val="es-ES"/>
        </w:rPr>
      </w:pPr>
    </w:p>
    <w:p w14:paraId="204C3A9E" w14:textId="249FAA61" w:rsidR="00B86B27" w:rsidRPr="000B33B9" w:rsidRDefault="00B86B27" w:rsidP="00B86B27">
      <w:pPr>
        <w:spacing w:after="0" w:line="240" w:lineRule="auto"/>
        <w:ind w:left="706" w:right="1094"/>
        <w:jc w:val="both"/>
        <w:rPr>
          <w:rFonts w:ascii="Verdana" w:eastAsia="Calibri" w:hAnsi="Verdana" w:cs="Times New Roman"/>
          <w:sz w:val="20"/>
          <w:szCs w:val="20"/>
          <w:lang w:val="es-ES" w:eastAsia="es-ES"/>
        </w:rPr>
      </w:pPr>
      <w:r w:rsidRPr="000B33B9">
        <w:rPr>
          <w:rFonts w:ascii="Verdana" w:hAnsi="Verdana"/>
          <w:sz w:val="18"/>
          <w:szCs w:val="18"/>
          <w:lang w:val="es-ES"/>
        </w:rPr>
        <w:t>5.- Los devengados totales durante el período enero 1992- Diciembre 2004 corresponden a la suma de S/.193,751.69 nuevos soles”</w:t>
      </w:r>
      <w:r w:rsidR="008B78CD" w:rsidRPr="000B33B9">
        <w:rPr>
          <w:rFonts w:ascii="Verdana" w:hAnsi="Verdana"/>
          <w:sz w:val="18"/>
          <w:szCs w:val="18"/>
          <w:lang w:val="es-ES"/>
        </w:rPr>
        <w:t>.</w:t>
      </w:r>
    </w:p>
    <w:p w14:paraId="27718BD4" w14:textId="77777777" w:rsidR="00B86B27" w:rsidRPr="000B33B9" w:rsidRDefault="00B86B27" w:rsidP="00B86B27">
      <w:pPr>
        <w:spacing w:after="0" w:line="240" w:lineRule="auto"/>
        <w:rPr>
          <w:rFonts w:ascii="Verdana" w:eastAsia="Calibri" w:hAnsi="Verdana" w:cs="Times New Roman"/>
          <w:sz w:val="20"/>
          <w:szCs w:val="20"/>
          <w:lang w:val="es-ES" w:eastAsia="es-ES"/>
        </w:rPr>
      </w:pPr>
    </w:p>
    <w:p w14:paraId="4A0E01FB" w14:textId="47DAA62D" w:rsidR="00B86B27" w:rsidRPr="000B33B9" w:rsidRDefault="00B86B27" w:rsidP="007B74B8">
      <w:pPr>
        <w:pStyle w:val="Prrafodelista"/>
        <w:numPr>
          <w:ilvl w:val="0"/>
          <w:numId w:val="10"/>
        </w:numPr>
        <w:spacing w:after="0" w:line="240" w:lineRule="auto"/>
        <w:ind w:left="0" w:firstLine="0"/>
        <w:jc w:val="both"/>
        <w:rPr>
          <w:rFonts w:ascii="Verdana" w:eastAsia="Calibri" w:hAnsi="Verdana" w:cs="Times New Roman"/>
          <w:b/>
          <w:sz w:val="20"/>
          <w:szCs w:val="20"/>
          <w:lang w:val="es-ES" w:eastAsia="es-ES"/>
        </w:rPr>
      </w:pPr>
      <w:r w:rsidRPr="000B33B9">
        <w:rPr>
          <w:rFonts w:ascii="Verdana" w:eastAsia="Calibri" w:hAnsi="Verdana" w:cs="Times New Roman"/>
          <w:sz w:val="20"/>
          <w:szCs w:val="20"/>
          <w:lang w:val="es-ES" w:eastAsia="es-ES"/>
        </w:rPr>
        <w:t xml:space="preserve">El 21 de marzo de 2012, el Vigésimo Segundo Juzgado Especializado en lo Civil de Lima </w:t>
      </w:r>
      <w:r w:rsidR="00C604E8" w:rsidRPr="000B33B9">
        <w:rPr>
          <w:rFonts w:ascii="Verdana" w:eastAsia="Calibri" w:hAnsi="Verdana" w:cs="Times New Roman"/>
          <w:sz w:val="20"/>
          <w:szCs w:val="20"/>
          <w:lang w:val="es-ES" w:eastAsia="es-ES"/>
        </w:rPr>
        <w:t xml:space="preserve">(en adelante “Vigésimo Segundo Juzgado”) </w:t>
      </w:r>
      <w:r w:rsidRPr="000B33B9">
        <w:rPr>
          <w:rFonts w:ascii="Verdana" w:eastAsia="Calibri" w:hAnsi="Verdana" w:cs="Times New Roman"/>
          <w:sz w:val="20"/>
          <w:szCs w:val="20"/>
          <w:lang w:val="es-ES" w:eastAsia="es-ES"/>
        </w:rPr>
        <w:t>requirió a la SUNAT que pusiera a disposición de un perito designado por ANCEJUB-SUNAT las planillas originales de los trabajadores activos comprendidos en el Decreto 276, y las correspondientes a los cesantes desde enero de 1992 hasta diciembre de 2004</w:t>
      </w:r>
      <w:r w:rsidRPr="000B33B9">
        <w:rPr>
          <w:rStyle w:val="Refdenotaalpie"/>
          <w:rFonts w:ascii="Verdana" w:eastAsia="Calibri" w:hAnsi="Verdana" w:cs="Times New Roman"/>
          <w:sz w:val="20"/>
          <w:szCs w:val="20"/>
          <w:lang w:val="es-ES" w:eastAsia="es-ES"/>
        </w:rPr>
        <w:footnoteReference w:id="92"/>
      </w:r>
      <w:r w:rsidRPr="000B33B9">
        <w:rPr>
          <w:rFonts w:ascii="Verdana" w:eastAsia="Calibri" w:hAnsi="Verdana" w:cs="Times New Roman"/>
          <w:sz w:val="20"/>
          <w:szCs w:val="20"/>
          <w:lang w:val="es-ES" w:eastAsia="es-ES"/>
        </w:rPr>
        <w:t>. El 5 de septiembre de 2012, la SUNAT depositó un escrito ante el Vigésimo Segundo Juzgado, en el cual refirió los errores que identificó en el informe pericial presentado por el Equipo Técnico Pericial</w:t>
      </w:r>
      <w:r w:rsidRPr="000B33B9">
        <w:rPr>
          <w:rStyle w:val="Refdenotaalpie"/>
          <w:rFonts w:ascii="Verdana" w:eastAsia="Calibri" w:hAnsi="Verdana" w:cs="Times New Roman"/>
          <w:sz w:val="20"/>
          <w:szCs w:val="20"/>
          <w:lang w:val="es-ES" w:eastAsia="es-ES"/>
        </w:rPr>
        <w:footnoteReference w:id="93"/>
      </w:r>
      <w:r w:rsidRPr="000B33B9">
        <w:rPr>
          <w:rFonts w:ascii="Verdana" w:eastAsia="Calibri" w:hAnsi="Verdana" w:cs="Times New Roman"/>
          <w:sz w:val="20"/>
          <w:szCs w:val="20"/>
          <w:lang w:val="es-ES" w:eastAsia="es-ES"/>
        </w:rPr>
        <w:t xml:space="preserve">. </w:t>
      </w:r>
      <w:r w:rsidRPr="000B33B9">
        <w:rPr>
          <w:rFonts w:ascii="Verdana" w:hAnsi="Verdana"/>
          <w:sz w:val="20"/>
          <w:szCs w:val="20"/>
          <w:lang w:val="es-ES"/>
        </w:rPr>
        <w:t xml:space="preserve">El 21 de septiembre de 2012, el </w:t>
      </w:r>
      <w:r w:rsidRPr="000B33B9">
        <w:rPr>
          <w:rFonts w:ascii="Verdana" w:eastAsia="Calibri" w:hAnsi="Verdana" w:cs="Times New Roman"/>
          <w:sz w:val="20"/>
          <w:szCs w:val="20"/>
          <w:lang w:val="es-ES" w:eastAsia="es-ES"/>
        </w:rPr>
        <w:t>Vigésimo Segundo</w:t>
      </w:r>
      <w:r w:rsidR="00EA2621" w:rsidRPr="000B33B9">
        <w:rPr>
          <w:rFonts w:ascii="Verdana" w:eastAsia="Calibri" w:hAnsi="Verdana" w:cs="Times New Roman"/>
          <w:sz w:val="20"/>
          <w:szCs w:val="20"/>
          <w:lang w:val="es-ES" w:eastAsia="es-ES"/>
        </w:rPr>
        <w:t xml:space="preserve"> Juzgado expidió la resolución </w:t>
      </w:r>
      <w:r w:rsidRPr="000B33B9">
        <w:rPr>
          <w:rFonts w:ascii="Verdana" w:eastAsia="Calibri" w:hAnsi="Verdana" w:cs="Times New Roman"/>
          <w:sz w:val="20"/>
          <w:szCs w:val="20"/>
          <w:lang w:val="es-ES" w:eastAsia="es-ES"/>
        </w:rPr>
        <w:t>221, en la cual hizo constar que ANCEJUB-SUNAT había designado dos peritos</w:t>
      </w:r>
      <w:r w:rsidRPr="000B33B9">
        <w:rPr>
          <w:rStyle w:val="Refdenotaalpie"/>
          <w:rFonts w:ascii="Verdana" w:eastAsia="Calibri" w:hAnsi="Verdana" w:cs="Times New Roman"/>
          <w:sz w:val="20"/>
          <w:szCs w:val="20"/>
          <w:lang w:val="es-ES" w:eastAsia="es-ES"/>
        </w:rPr>
        <w:footnoteReference w:id="94"/>
      </w:r>
      <w:r w:rsidRPr="000B33B9">
        <w:rPr>
          <w:rFonts w:ascii="Verdana" w:eastAsia="Calibri" w:hAnsi="Verdana" w:cs="Times New Roman"/>
          <w:sz w:val="20"/>
          <w:szCs w:val="20"/>
          <w:lang w:val="es-ES" w:eastAsia="es-ES"/>
        </w:rPr>
        <w:t>. El 22 de agosto de 2013, los peritos de ANCEJUB-SUNAT concluyeron su informe</w:t>
      </w:r>
      <w:r w:rsidRPr="000B33B9">
        <w:rPr>
          <w:rFonts w:ascii="Verdana" w:hAnsi="Verdana"/>
          <w:sz w:val="20"/>
          <w:szCs w:val="20"/>
          <w:lang w:val="es-ES"/>
        </w:rPr>
        <w:t xml:space="preserve">. </w:t>
      </w:r>
      <w:r w:rsidRPr="000B33B9">
        <w:rPr>
          <w:rFonts w:ascii="Verdana" w:eastAsia="Calibri" w:hAnsi="Verdana" w:cs="Times New Roman"/>
          <w:sz w:val="20"/>
          <w:szCs w:val="20"/>
          <w:lang w:val="es-ES" w:eastAsia="es-ES"/>
        </w:rPr>
        <w:t>El 12 de septiembre de 2013, ANCEJUB-SUNAT presentó dicho peritaje al Vigésimo Segundo Juzgado</w:t>
      </w:r>
      <w:r w:rsidRPr="000B33B9">
        <w:rPr>
          <w:rStyle w:val="Refdenotaalpie"/>
          <w:rFonts w:ascii="Verdana" w:hAnsi="Verdana"/>
          <w:sz w:val="20"/>
          <w:szCs w:val="20"/>
          <w:lang w:val="es-ES"/>
        </w:rPr>
        <w:footnoteReference w:id="95"/>
      </w:r>
      <w:r w:rsidRPr="000B33B9">
        <w:rPr>
          <w:rFonts w:ascii="Verdana" w:hAnsi="Verdana"/>
          <w:sz w:val="20"/>
          <w:szCs w:val="20"/>
          <w:lang w:val="es-ES"/>
        </w:rPr>
        <w:t>.</w:t>
      </w:r>
    </w:p>
    <w:p w14:paraId="166EDC58" w14:textId="77777777" w:rsidR="00B86B27" w:rsidRPr="000B33B9" w:rsidRDefault="00B86B27" w:rsidP="00B86B27">
      <w:pPr>
        <w:pStyle w:val="Prrafodelista"/>
        <w:spacing w:after="0" w:line="240" w:lineRule="auto"/>
        <w:ind w:left="0"/>
        <w:jc w:val="both"/>
        <w:rPr>
          <w:rFonts w:ascii="Verdana" w:eastAsia="Calibri" w:hAnsi="Verdana" w:cs="Times New Roman"/>
          <w:b/>
          <w:sz w:val="20"/>
          <w:szCs w:val="20"/>
          <w:lang w:val="es-ES" w:eastAsia="es-ES"/>
        </w:rPr>
      </w:pPr>
    </w:p>
    <w:p w14:paraId="3607CD7F" w14:textId="7A6EEAF5" w:rsidR="00B86B27" w:rsidRPr="000B33B9" w:rsidRDefault="00B86B27" w:rsidP="007B74B8">
      <w:pPr>
        <w:pStyle w:val="Prrafodelista"/>
        <w:numPr>
          <w:ilvl w:val="0"/>
          <w:numId w:val="10"/>
        </w:numPr>
        <w:spacing w:after="0" w:line="240" w:lineRule="auto"/>
        <w:ind w:left="0" w:firstLine="0"/>
        <w:jc w:val="both"/>
        <w:rPr>
          <w:rFonts w:ascii="Verdana" w:hAnsi="Verdana"/>
          <w:b/>
          <w:sz w:val="20"/>
          <w:szCs w:val="20"/>
          <w:lang w:val="es-ES"/>
        </w:rPr>
      </w:pPr>
      <w:r w:rsidRPr="000B33B9">
        <w:rPr>
          <w:rFonts w:ascii="Verdana" w:eastAsia="Calibri" w:hAnsi="Verdana" w:cs="Times New Roman"/>
          <w:sz w:val="20"/>
          <w:szCs w:val="20"/>
          <w:lang w:val="es-ES" w:eastAsia="es-ES"/>
        </w:rPr>
        <w:t xml:space="preserve">El 18 de mayo de 2014, el Equipo Técnico Pericial </w:t>
      </w:r>
      <w:r w:rsidR="00EA2621" w:rsidRPr="000B33B9">
        <w:rPr>
          <w:rFonts w:ascii="Verdana" w:hAnsi="Verdana"/>
          <w:sz w:val="20"/>
          <w:szCs w:val="20"/>
          <w:lang w:val="es-ES"/>
        </w:rPr>
        <w:t xml:space="preserve">presentó el informe pericial </w:t>
      </w:r>
      <w:r w:rsidRPr="000B33B9">
        <w:rPr>
          <w:rFonts w:ascii="Verdana" w:hAnsi="Verdana"/>
          <w:sz w:val="20"/>
          <w:szCs w:val="20"/>
          <w:lang w:val="es-ES"/>
        </w:rPr>
        <w:t>092-2014-JAVM-PJ, con la finalidad de revisar y absolver las observaciones planteadas por las partes. Respecto a las observaciones realizadas por ANCEJUB-SUNAT, el informe señala que “</w:t>
      </w:r>
      <w:r w:rsidR="005704B1" w:rsidRPr="000B33B9">
        <w:rPr>
          <w:rFonts w:ascii="Verdana" w:hAnsi="Verdana"/>
          <w:sz w:val="20"/>
          <w:szCs w:val="20"/>
          <w:lang w:val="es-ES"/>
        </w:rPr>
        <w:t xml:space="preserve">(…) </w:t>
      </w:r>
      <w:r w:rsidRPr="000B33B9">
        <w:rPr>
          <w:rFonts w:ascii="Verdana" w:hAnsi="Verdana"/>
          <w:sz w:val="20"/>
          <w:szCs w:val="20"/>
          <w:lang w:val="es-ES"/>
        </w:rPr>
        <w:t>la nivelación presentada por la demandante contraviene lo desarrollado y determinado por el TC (…) al no tomar en consideración lo contenido en el artícu</w:t>
      </w:r>
      <w:r w:rsidR="00EA2621" w:rsidRPr="000B33B9">
        <w:rPr>
          <w:rFonts w:ascii="Verdana" w:hAnsi="Verdana"/>
          <w:sz w:val="20"/>
          <w:szCs w:val="20"/>
          <w:lang w:val="es-ES"/>
        </w:rPr>
        <w:t>lo 3) inciso c) del DL 673 (…)”</w:t>
      </w:r>
      <w:r w:rsidRPr="000B33B9">
        <w:rPr>
          <w:rFonts w:ascii="Verdana" w:hAnsi="Verdana"/>
          <w:sz w:val="20"/>
          <w:szCs w:val="20"/>
          <w:lang w:val="es-ES"/>
        </w:rPr>
        <w:t>. En el informe se concluye lo siguiente:</w:t>
      </w:r>
      <w:r w:rsidR="005704B1" w:rsidRPr="000B33B9">
        <w:rPr>
          <w:rFonts w:ascii="Verdana" w:hAnsi="Verdana"/>
          <w:sz w:val="20"/>
          <w:szCs w:val="20"/>
          <w:lang w:val="es-ES"/>
        </w:rPr>
        <w:t xml:space="preserve"> </w:t>
      </w:r>
      <w:r w:rsidRPr="000B33B9">
        <w:rPr>
          <w:rFonts w:ascii="Verdana" w:hAnsi="Verdana"/>
          <w:sz w:val="20"/>
          <w:szCs w:val="20"/>
          <w:lang w:val="es-ES"/>
        </w:rPr>
        <w:t>“(…) la pericia ha cumplido con aplicar lo determinado por la Corte Suprema de la República, la Sexta Sala Civil de la Corte de Lima y lo contenido en la sentencia del Tribunal Constitucional que fija la correcta interpretación de la sentencia de la Corte Suprema y zanja la controversia interpretativa presentada”</w:t>
      </w:r>
      <w:r w:rsidR="005704B1" w:rsidRPr="000B33B9">
        <w:rPr>
          <w:rStyle w:val="Refdenotaalpie"/>
          <w:rFonts w:ascii="Verdana" w:hAnsi="Verdana"/>
          <w:sz w:val="20"/>
          <w:szCs w:val="20"/>
          <w:lang w:val="es-ES"/>
        </w:rPr>
        <w:t xml:space="preserve"> </w:t>
      </w:r>
      <w:r w:rsidR="005704B1" w:rsidRPr="000B33B9">
        <w:rPr>
          <w:rStyle w:val="Refdenotaalpie"/>
          <w:rFonts w:ascii="Verdana" w:hAnsi="Verdana"/>
          <w:sz w:val="20"/>
          <w:szCs w:val="20"/>
          <w:lang w:val="es-ES"/>
        </w:rPr>
        <w:footnoteReference w:id="96"/>
      </w:r>
      <w:r w:rsidRPr="000B33B9">
        <w:rPr>
          <w:rFonts w:ascii="Verdana" w:hAnsi="Verdana"/>
          <w:sz w:val="20"/>
          <w:szCs w:val="20"/>
          <w:lang w:val="es-ES"/>
        </w:rPr>
        <w:t xml:space="preserve">. </w:t>
      </w:r>
      <w:r w:rsidRPr="000B33B9">
        <w:rPr>
          <w:rFonts w:ascii="Verdana" w:eastAsia="Calibri" w:hAnsi="Verdana" w:cs="Times New Roman"/>
          <w:sz w:val="20"/>
          <w:szCs w:val="20"/>
          <w:lang w:val="es-ES" w:eastAsia="es-ES"/>
        </w:rPr>
        <w:t>El 5 de agosto de 2014, el Vigésimo Segundo Juzgado ordenó que el referido peritaje fuera notificado a las partes</w:t>
      </w:r>
      <w:r w:rsidRPr="000B33B9">
        <w:rPr>
          <w:rStyle w:val="Refdenotaalpie"/>
          <w:rFonts w:ascii="Verdana" w:eastAsia="Calibri" w:hAnsi="Verdana" w:cs="Times New Roman"/>
          <w:sz w:val="20"/>
          <w:szCs w:val="20"/>
          <w:lang w:val="es-ES" w:eastAsia="es-ES"/>
        </w:rPr>
        <w:footnoteReference w:id="97"/>
      </w:r>
      <w:r w:rsidRPr="000B33B9">
        <w:rPr>
          <w:rFonts w:ascii="Verdana" w:eastAsia="Calibri" w:hAnsi="Verdana" w:cs="Times New Roman"/>
          <w:sz w:val="20"/>
          <w:szCs w:val="20"/>
          <w:lang w:val="es-ES" w:eastAsia="es-ES"/>
        </w:rPr>
        <w:t>. ANCEJUB-SUNAT presentó observaciones</w:t>
      </w:r>
      <w:r w:rsidRPr="000B33B9">
        <w:rPr>
          <w:rStyle w:val="Refdenotaalpie"/>
          <w:rFonts w:ascii="Verdana" w:eastAsia="Calibri" w:hAnsi="Verdana" w:cs="Times New Roman"/>
          <w:sz w:val="20"/>
          <w:szCs w:val="20"/>
          <w:lang w:val="es-ES" w:eastAsia="es-ES"/>
        </w:rPr>
        <w:footnoteReference w:id="98"/>
      </w:r>
      <w:r w:rsidRPr="000B33B9">
        <w:rPr>
          <w:rFonts w:ascii="Verdana" w:hAnsi="Verdana"/>
          <w:sz w:val="20"/>
          <w:szCs w:val="20"/>
          <w:lang w:val="es-ES"/>
        </w:rPr>
        <w:t>.</w:t>
      </w:r>
    </w:p>
    <w:p w14:paraId="64635D72" w14:textId="77777777" w:rsidR="00B86B27" w:rsidRPr="000B33B9" w:rsidRDefault="00B86B27" w:rsidP="00B86B27">
      <w:pPr>
        <w:pStyle w:val="Prrafodelista"/>
        <w:rPr>
          <w:rFonts w:ascii="Verdana" w:hAnsi="Verdana"/>
          <w:sz w:val="20"/>
          <w:szCs w:val="20"/>
          <w:lang w:val="es-ES"/>
        </w:rPr>
      </w:pPr>
    </w:p>
    <w:p w14:paraId="5304D639" w14:textId="689C0550" w:rsidR="00B86B27" w:rsidRPr="000B33B9" w:rsidRDefault="00B86B27" w:rsidP="007B74B8">
      <w:pPr>
        <w:pStyle w:val="Prrafodelista"/>
        <w:numPr>
          <w:ilvl w:val="0"/>
          <w:numId w:val="10"/>
        </w:numPr>
        <w:spacing w:after="0" w:line="240" w:lineRule="auto"/>
        <w:ind w:left="0" w:firstLine="0"/>
        <w:jc w:val="both"/>
        <w:rPr>
          <w:rFonts w:ascii="Verdana" w:hAnsi="Verdana"/>
          <w:b/>
          <w:sz w:val="20"/>
          <w:szCs w:val="20"/>
          <w:lang w:val="es-ES"/>
        </w:rPr>
      </w:pPr>
      <w:r w:rsidRPr="000B33B9">
        <w:rPr>
          <w:rFonts w:ascii="Verdana" w:hAnsi="Verdana"/>
          <w:sz w:val="20"/>
          <w:szCs w:val="20"/>
          <w:lang w:val="es-ES"/>
        </w:rPr>
        <w:t xml:space="preserve">El 5 de enero de 2015, el </w:t>
      </w:r>
      <w:r w:rsidRPr="000B33B9">
        <w:rPr>
          <w:rFonts w:ascii="Verdana" w:eastAsia="Calibri" w:hAnsi="Verdana" w:cs="Times New Roman"/>
          <w:sz w:val="20"/>
          <w:szCs w:val="20"/>
          <w:lang w:val="es-ES" w:eastAsia="es-ES"/>
        </w:rPr>
        <w:t xml:space="preserve">Equipo Técnico Pericial </w:t>
      </w:r>
      <w:r w:rsidR="008B78CD" w:rsidRPr="000B33B9">
        <w:rPr>
          <w:rFonts w:ascii="Verdana" w:hAnsi="Verdana"/>
          <w:sz w:val="20"/>
          <w:szCs w:val="20"/>
          <w:lang w:val="es-ES"/>
        </w:rPr>
        <w:t xml:space="preserve">emitió el informe pericial </w:t>
      </w:r>
      <w:r w:rsidRPr="000B33B9">
        <w:rPr>
          <w:rFonts w:ascii="Verdana" w:hAnsi="Verdana"/>
          <w:sz w:val="20"/>
          <w:szCs w:val="20"/>
          <w:lang w:val="es-ES"/>
        </w:rPr>
        <w:t>003-2015-ETP-JAVM-PJ, en el que puntualizó que las observaciones de ANCEJUB-SUNAT escapaban a su competencia por tratarse de “</w:t>
      </w:r>
      <w:r w:rsidR="008B78CD" w:rsidRPr="000B33B9">
        <w:rPr>
          <w:rFonts w:ascii="Verdana" w:hAnsi="Verdana"/>
          <w:sz w:val="20"/>
          <w:szCs w:val="20"/>
          <w:lang w:val="es-ES"/>
        </w:rPr>
        <w:t xml:space="preserve">(…) </w:t>
      </w:r>
      <w:r w:rsidRPr="000B33B9">
        <w:rPr>
          <w:rFonts w:ascii="Verdana" w:hAnsi="Verdana"/>
          <w:sz w:val="20"/>
          <w:szCs w:val="20"/>
          <w:lang w:val="es-ES"/>
        </w:rPr>
        <w:t>una controversia de puro derecho”</w:t>
      </w:r>
      <w:r w:rsidRPr="000B33B9">
        <w:rPr>
          <w:rStyle w:val="Refdenotaalpie"/>
          <w:rFonts w:ascii="Verdana" w:hAnsi="Verdana"/>
          <w:sz w:val="20"/>
          <w:szCs w:val="20"/>
          <w:lang w:val="es-ES"/>
        </w:rPr>
        <w:footnoteReference w:id="99"/>
      </w:r>
      <w:r w:rsidRPr="000B33B9">
        <w:rPr>
          <w:rFonts w:ascii="Verdana" w:hAnsi="Verdana"/>
          <w:sz w:val="20"/>
          <w:szCs w:val="20"/>
          <w:lang w:val="es-ES"/>
        </w:rPr>
        <w:t xml:space="preserve">. </w:t>
      </w:r>
      <w:r w:rsidRPr="000B33B9">
        <w:rPr>
          <w:rFonts w:ascii="Verdana" w:eastAsia="Calibri" w:hAnsi="Verdana" w:cs="Times New Roman"/>
          <w:sz w:val="20"/>
          <w:szCs w:val="20"/>
          <w:lang w:val="es-ES" w:eastAsia="es-ES"/>
        </w:rPr>
        <w:t xml:space="preserve">El 28 de </w:t>
      </w:r>
      <w:r w:rsidR="008B78CD" w:rsidRPr="000B33B9">
        <w:rPr>
          <w:rFonts w:ascii="Verdana" w:eastAsia="Calibri" w:hAnsi="Verdana" w:cs="Times New Roman"/>
          <w:sz w:val="20"/>
          <w:szCs w:val="20"/>
          <w:lang w:val="es-ES" w:eastAsia="es-ES"/>
        </w:rPr>
        <w:t>mayo</w:t>
      </w:r>
      <w:r w:rsidRPr="000B33B9">
        <w:rPr>
          <w:rFonts w:ascii="Verdana" w:eastAsia="Calibri" w:hAnsi="Verdana" w:cs="Times New Roman"/>
          <w:sz w:val="20"/>
          <w:szCs w:val="20"/>
          <w:lang w:val="es-ES" w:eastAsia="es-ES"/>
        </w:rPr>
        <w:t xml:space="preserve"> de 2015, el expediente de ejecución fue recibido por el Segundo Juzgado Especializado en lo Civil de Lima</w:t>
      </w:r>
      <w:r w:rsidR="005704B1" w:rsidRPr="000B33B9">
        <w:rPr>
          <w:rFonts w:ascii="Verdana" w:eastAsia="Calibri" w:hAnsi="Verdana" w:cs="Times New Roman"/>
          <w:sz w:val="20"/>
          <w:szCs w:val="20"/>
          <w:lang w:val="es-ES" w:eastAsia="es-ES"/>
        </w:rPr>
        <w:t xml:space="preserve"> (en adelante “Segundo Juzgado Civil”)</w:t>
      </w:r>
      <w:r w:rsidRPr="000B33B9">
        <w:rPr>
          <w:rFonts w:ascii="Verdana" w:eastAsia="Calibri" w:hAnsi="Verdana" w:cs="Times New Roman"/>
          <w:sz w:val="20"/>
          <w:szCs w:val="20"/>
          <w:lang w:val="es-ES" w:eastAsia="es-ES"/>
        </w:rPr>
        <w:t>, que resolvió avocarse a conocerlo</w:t>
      </w:r>
      <w:r w:rsidRPr="000B33B9">
        <w:rPr>
          <w:rStyle w:val="Refdenotaalpie"/>
          <w:rFonts w:ascii="Verdana" w:eastAsia="Calibri" w:hAnsi="Verdana" w:cs="Times New Roman"/>
          <w:sz w:val="20"/>
          <w:szCs w:val="20"/>
          <w:lang w:val="es-ES" w:eastAsia="es-ES"/>
        </w:rPr>
        <w:footnoteReference w:id="100"/>
      </w:r>
      <w:r w:rsidRPr="000B33B9">
        <w:rPr>
          <w:rFonts w:ascii="Verdana" w:eastAsia="Calibri" w:hAnsi="Verdana" w:cs="Times New Roman"/>
          <w:sz w:val="20"/>
          <w:szCs w:val="20"/>
          <w:lang w:val="es-ES" w:eastAsia="es-ES"/>
        </w:rPr>
        <w:t xml:space="preserve">. </w:t>
      </w:r>
      <w:r w:rsidR="008B78CD" w:rsidRPr="000B33B9">
        <w:rPr>
          <w:rFonts w:ascii="Verdana" w:eastAsia="Calibri" w:hAnsi="Verdana" w:cs="Times New Roman"/>
          <w:sz w:val="20"/>
          <w:szCs w:val="20"/>
          <w:lang w:val="es-ES" w:eastAsia="es-ES"/>
        </w:rPr>
        <w:t>Ese mismo día</w:t>
      </w:r>
      <w:r w:rsidRPr="000B33B9">
        <w:rPr>
          <w:rFonts w:ascii="Verdana" w:eastAsia="Calibri" w:hAnsi="Verdana" w:cs="Times New Roman"/>
          <w:sz w:val="20"/>
          <w:szCs w:val="20"/>
          <w:lang w:val="es-ES" w:eastAsia="es-ES"/>
        </w:rPr>
        <w:t>, la SUNAT solicitó al Segundo Juzgado Civil que continuara con la causa</w:t>
      </w:r>
      <w:r w:rsidR="008B78CD" w:rsidRPr="000B33B9">
        <w:rPr>
          <w:rFonts w:ascii="Verdana" w:eastAsia="Calibri" w:hAnsi="Verdana" w:cs="Times New Roman"/>
          <w:sz w:val="20"/>
          <w:szCs w:val="20"/>
          <w:lang w:val="es-ES" w:eastAsia="es-ES"/>
        </w:rPr>
        <w:t xml:space="preserve"> y aprobara el informe pericial</w:t>
      </w:r>
      <w:r w:rsidRPr="000B33B9">
        <w:rPr>
          <w:rFonts w:ascii="Verdana" w:hAnsi="Verdana"/>
          <w:sz w:val="20"/>
          <w:szCs w:val="20"/>
          <w:vertAlign w:val="superscript"/>
          <w:lang w:val="es-ES"/>
        </w:rPr>
        <w:t xml:space="preserve"> </w:t>
      </w:r>
      <w:r w:rsidRPr="000B33B9">
        <w:rPr>
          <w:rFonts w:ascii="Verdana" w:hAnsi="Verdana"/>
          <w:sz w:val="20"/>
          <w:szCs w:val="20"/>
          <w:lang w:val="es-ES"/>
        </w:rPr>
        <w:t>092-2014-JAVM-PJ de 18 de mayo de 2014</w:t>
      </w:r>
      <w:r w:rsidRPr="000B33B9">
        <w:rPr>
          <w:rStyle w:val="Refdenotaalpie"/>
          <w:rFonts w:ascii="Verdana" w:hAnsi="Verdana"/>
          <w:sz w:val="20"/>
          <w:szCs w:val="20"/>
          <w:lang w:val="es-ES"/>
        </w:rPr>
        <w:footnoteReference w:id="101"/>
      </w:r>
      <w:r w:rsidRPr="000B33B9">
        <w:rPr>
          <w:rFonts w:ascii="Verdana" w:hAnsi="Verdana"/>
          <w:sz w:val="20"/>
          <w:szCs w:val="20"/>
          <w:lang w:val="es-ES"/>
        </w:rPr>
        <w:t>.</w:t>
      </w:r>
    </w:p>
    <w:p w14:paraId="7B9B338D" w14:textId="77777777" w:rsidR="00B86B27" w:rsidRPr="000B33B9" w:rsidRDefault="00B86B27" w:rsidP="00B86B27">
      <w:pPr>
        <w:pStyle w:val="Prrafodelista"/>
        <w:rPr>
          <w:rFonts w:ascii="Verdana" w:hAnsi="Verdana"/>
          <w:sz w:val="20"/>
          <w:szCs w:val="20"/>
          <w:lang w:val="es-ES"/>
        </w:rPr>
      </w:pPr>
    </w:p>
    <w:p w14:paraId="0C15A92E" w14:textId="657AA148" w:rsidR="00B86B27" w:rsidRPr="000B33B9" w:rsidRDefault="00B86B27" w:rsidP="007B74B8">
      <w:pPr>
        <w:pStyle w:val="Prrafodelista"/>
        <w:numPr>
          <w:ilvl w:val="0"/>
          <w:numId w:val="10"/>
        </w:numPr>
        <w:spacing w:after="0" w:line="240" w:lineRule="auto"/>
        <w:ind w:left="0" w:firstLine="0"/>
        <w:jc w:val="both"/>
        <w:rPr>
          <w:rFonts w:ascii="Verdana" w:hAnsi="Verdana"/>
          <w:b/>
          <w:sz w:val="20"/>
          <w:szCs w:val="20"/>
          <w:lang w:val="es-ES"/>
        </w:rPr>
      </w:pPr>
      <w:r w:rsidRPr="000B33B9">
        <w:rPr>
          <w:rFonts w:ascii="Verdana" w:hAnsi="Verdana"/>
          <w:sz w:val="20"/>
          <w:szCs w:val="20"/>
          <w:lang w:val="es-ES"/>
        </w:rPr>
        <w:t>El 27 de julio de 2016, el Segundo Juzgado Civil dispuso la celebración de una audiencia especial a fin de que los peritos explicaran con detalle las conclusiones de su informe</w:t>
      </w:r>
      <w:r w:rsidRPr="000B33B9">
        <w:rPr>
          <w:rStyle w:val="Refdenotaalpie"/>
          <w:rFonts w:ascii="Verdana" w:hAnsi="Verdana"/>
          <w:sz w:val="20"/>
          <w:szCs w:val="20"/>
          <w:lang w:val="es-ES"/>
        </w:rPr>
        <w:footnoteReference w:id="102"/>
      </w:r>
      <w:r w:rsidRPr="000B33B9">
        <w:rPr>
          <w:rFonts w:ascii="Verdana" w:hAnsi="Verdana"/>
          <w:sz w:val="20"/>
          <w:szCs w:val="20"/>
          <w:lang w:val="es-ES"/>
        </w:rPr>
        <w:t>. El 26 de septiembre de 2016, se llevó a cabo a cabo la audiencia. Al día siguiente, ANCEJUB-SUNAT presentó sus observaciones por escrito en relación con el peritaje de 18 de octubre de 2011</w:t>
      </w:r>
      <w:r w:rsidRPr="000B33B9">
        <w:rPr>
          <w:rStyle w:val="Refdenotaalpie"/>
          <w:rFonts w:ascii="Verdana" w:hAnsi="Verdana"/>
          <w:sz w:val="20"/>
          <w:szCs w:val="20"/>
          <w:lang w:val="es-ES"/>
        </w:rPr>
        <w:footnoteReference w:id="103"/>
      </w:r>
      <w:r w:rsidRPr="000B33B9">
        <w:rPr>
          <w:rFonts w:ascii="Verdana" w:hAnsi="Verdana"/>
          <w:sz w:val="20"/>
          <w:szCs w:val="20"/>
          <w:lang w:val="es-ES"/>
        </w:rPr>
        <w:t>.El 28 de septiembre de 2016 la SUNAT depositó sus observaciones por escrito. El 13 de junio de 2017, el Segundo Juzgado Civil emitió la resolución N</w:t>
      </w:r>
      <w:r w:rsidRPr="000B33B9">
        <w:rPr>
          <w:rFonts w:ascii="Verdana" w:hAnsi="Verdana"/>
          <w:sz w:val="20"/>
          <w:szCs w:val="20"/>
          <w:vertAlign w:val="superscript"/>
          <w:lang w:val="es-ES"/>
        </w:rPr>
        <w:t>o</w:t>
      </w:r>
      <w:r w:rsidRPr="000B33B9">
        <w:rPr>
          <w:rFonts w:ascii="Verdana" w:hAnsi="Verdana"/>
          <w:sz w:val="20"/>
          <w:szCs w:val="20"/>
          <w:lang w:val="es-ES"/>
        </w:rPr>
        <w:t xml:space="preserve"> 247 que declaró infundadas las observaciones presentadas por ANCEJUB-SUNAT, y aprobó el informe pericial de 18 de octubre de 2011, cuyos resultados habían sido corroborados por el peritaje de 18 de mayo de 2014</w:t>
      </w:r>
      <w:r w:rsidRPr="000B33B9">
        <w:rPr>
          <w:rStyle w:val="Refdenotaalpie"/>
          <w:rFonts w:ascii="Verdana" w:hAnsi="Verdana"/>
          <w:sz w:val="20"/>
          <w:szCs w:val="20"/>
          <w:lang w:val="es-ES"/>
        </w:rPr>
        <w:footnoteReference w:id="104"/>
      </w:r>
      <w:r w:rsidRPr="000B33B9">
        <w:rPr>
          <w:rFonts w:ascii="Verdana" w:hAnsi="Verdana"/>
          <w:sz w:val="20"/>
          <w:szCs w:val="20"/>
          <w:lang w:val="es-ES"/>
        </w:rPr>
        <w:t>. El 13 de julio de 2017, ANCEJUB-SUNAT apeló la resoluci</w:t>
      </w:r>
      <w:r w:rsidRPr="000B33B9">
        <w:rPr>
          <w:rFonts w:ascii="Verdana" w:hAnsi="Verdana" w:cs="Arial"/>
          <w:sz w:val="20"/>
          <w:szCs w:val="20"/>
          <w:lang w:val="es-ES" w:eastAsia="ja-JP"/>
        </w:rPr>
        <w:t>ón N</w:t>
      </w:r>
      <w:r w:rsidRPr="000B33B9">
        <w:rPr>
          <w:rFonts w:ascii="Verdana" w:hAnsi="Verdana" w:cs="Arial"/>
          <w:sz w:val="20"/>
          <w:szCs w:val="20"/>
          <w:vertAlign w:val="superscript"/>
          <w:lang w:val="es-ES" w:eastAsia="ja-JP"/>
        </w:rPr>
        <w:t>o</w:t>
      </w:r>
      <w:r w:rsidRPr="000B33B9">
        <w:rPr>
          <w:rFonts w:ascii="Verdana" w:hAnsi="Verdana" w:cs="Arial"/>
          <w:sz w:val="20"/>
          <w:szCs w:val="20"/>
          <w:lang w:val="es-ES" w:eastAsia="ja-JP"/>
        </w:rPr>
        <w:t xml:space="preserve"> 247</w:t>
      </w:r>
      <w:r w:rsidRPr="000B33B9">
        <w:rPr>
          <w:rStyle w:val="Refdenotaalpie"/>
          <w:rFonts w:ascii="Verdana" w:hAnsi="Verdana" w:cs="Arial"/>
          <w:sz w:val="20"/>
          <w:szCs w:val="20"/>
          <w:lang w:val="es-ES" w:eastAsia="ja-JP"/>
        </w:rPr>
        <w:footnoteReference w:id="105"/>
      </w:r>
      <w:r w:rsidRPr="000B33B9">
        <w:rPr>
          <w:rFonts w:ascii="Verdana" w:hAnsi="Verdana" w:cs="Arial"/>
          <w:sz w:val="20"/>
          <w:szCs w:val="20"/>
          <w:lang w:val="es-ES" w:eastAsia="ja-JP"/>
        </w:rPr>
        <w:t xml:space="preserve">. </w:t>
      </w:r>
    </w:p>
    <w:p w14:paraId="3607EE0D" w14:textId="77777777" w:rsidR="00B86B27" w:rsidRPr="000B33B9" w:rsidRDefault="00B86B27" w:rsidP="00B86B27">
      <w:pPr>
        <w:spacing w:after="0" w:line="240" w:lineRule="auto"/>
        <w:jc w:val="both"/>
        <w:rPr>
          <w:rFonts w:ascii="Verdana" w:hAnsi="Verdana"/>
          <w:b/>
          <w:sz w:val="20"/>
          <w:szCs w:val="20"/>
          <w:lang w:val="es-ES"/>
        </w:rPr>
      </w:pPr>
    </w:p>
    <w:p w14:paraId="6944463B" w14:textId="4069F66F" w:rsidR="00B86B27" w:rsidRPr="000B33B9" w:rsidRDefault="00B86B27" w:rsidP="007B74B8">
      <w:pPr>
        <w:pStyle w:val="Prrafodelista"/>
        <w:numPr>
          <w:ilvl w:val="0"/>
          <w:numId w:val="10"/>
        </w:numPr>
        <w:spacing w:after="0" w:line="240" w:lineRule="auto"/>
        <w:ind w:left="0" w:firstLine="0"/>
        <w:jc w:val="both"/>
        <w:rPr>
          <w:rFonts w:ascii="Verdana" w:hAnsi="Verdana" w:cs="Arial"/>
          <w:sz w:val="20"/>
          <w:szCs w:val="20"/>
          <w:lang w:val="es-ES" w:eastAsia="ja-JP"/>
        </w:rPr>
      </w:pPr>
      <w:r w:rsidRPr="000B33B9">
        <w:rPr>
          <w:rFonts w:ascii="Verdana" w:hAnsi="Verdana" w:cs="Arial"/>
          <w:sz w:val="20"/>
          <w:szCs w:val="20"/>
          <w:lang w:val="es-ES" w:eastAsia="ja-JP"/>
        </w:rPr>
        <w:t xml:space="preserve">El 14 de agosto de 2017, la SUNAT consignó en el Banco de La Nación la suma de </w:t>
      </w:r>
      <w:r w:rsidRPr="000B33B9">
        <w:rPr>
          <w:rFonts w:ascii="Verdana" w:hAnsi="Verdana" w:cs="Arial"/>
          <w:color w:val="222222"/>
          <w:sz w:val="20"/>
          <w:szCs w:val="20"/>
          <w:shd w:val="clear" w:color="auto" w:fill="FFFFFF"/>
          <w:lang w:val="es-DO"/>
        </w:rPr>
        <w:t>S/</w:t>
      </w:r>
      <w:r w:rsidRPr="000B33B9">
        <w:rPr>
          <w:rFonts w:ascii="Verdana" w:hAnsi="Verdana" w:cs="Arial"/>
          <w:sz w:val="20"/>
          <w:szCs w:val="20"/>
          <w:lang w:val="es-ES" w:eastAsia="ja-JP"/>
        </w:rPr>
        <w:t>186,001.62 a favor de ANCEJUB-SUNAT por concepto de “pensiones devengadas”, lo cual se hizo constar en el certificado de depósito judicial</w:t>
      </w:r>
      <w:r w:rsidRPr="000B33B9">
        <w:rPr>
          <w:rStyle w:val="Refdenotaalpie"/>
          <w:rFonts w:ascii="Verdana" w:hAnsi="Verdana" w:cs="Arial"/>
          <w:sz w:val="20"/>
          <w:szCs w:val="20"/>
          <w:lang w:val="es-ES" w:eastAsia="ja-JP"/>
        </w:rPr>
        <w:footnoteReference w:id="106"/>
      </w:r>
      <w:r w:rsidRPr="000B33B9">
        <w:rPr>
          <w:rFonts w:ascii="Verdana" w:hAnsi="Verdana" w:cs="Arial"/>
          <w:sz w:val="20"/>
          <w:szCs w:val="20"/>
          <w:lang w:val="es-ES" w:eastAsia="ja-JP"/>
        </w:rPr>
        <w:t>. Ese mismo día, la SUNAT depositó dicho certificado ante el Segundo Juzgado Civil junto a la planilla de pago por mandato judicial</w:t>
      </w:r>
      <w:r w:rsidRPr="000B33B9">
        <w:rPr>
          <w:rStyle w:val="Refdenotaalpie"/>
          <w:rFonts w:ascii="Verdana" w:hAnsi="Verdana" w:cs="Arial"/>
          <w:sz w:val="20"/>
          <w:szCs w:val="20"/>
          <w:lang w:val="es-ES" w:eastAsia="ja-JP"/>
        </w:rPr>
        <w:footnoteReference w:id="107"/>
      </w:r>
      <w:r w:rsidRPr="000B33B9">
        <w:rPr>
          <w:rFonts w:ascii="Verdana" w:hAnsi="Verdana" w:cs="Arial"/>
          <w:sz w:val="20"/>
          <w:szCs w:val="20"/>
          <w:lang w:val="es-ES" w:eastAsia="ja-JP"/>
        </w:rPr>
        <w:t xml:space="preserve">. La SUNAT solicitó al Segundo Juzgado Civil que diera por cumplida la sentencia de 25 de octubre de 1993. Mediante resolución 250 de 15 de agosto de 2017, el Segundo Juzgado Civil dio por consignada la suma de </w:t>
      </w:r>
      <w:r w:rsidRPr="000B33B9">
        <w:rPr>
          <w:rFonts w:ascii="Verdana" w:hAnsi="Verdana" w:cs="Arial"/>
          <w:color w:val="222222"/>
          <w:sz w:val="20"/>
          <w:szCs w:val="20"/>
          <w:shd w:val="clear" w:color="auto" w:fill="FFFFFF"/>
          <w:lang w:val="es-DO"/>
        </w:rPr>
        <w:t>S/</w:t>
      </w:r>
      <w:r w:rsidRPr="000B33B9">
        <w:rPr>
          <w:rFonts w:ascii="Verdana" w:hAnsi="Verdana" w:cs="Arial"/>
          <w:sz w:val="20"/>
          <w:szCs w:val="20"/>
          <w:lang w:val="es-ES" w:eastAsia="ja-JP"/>
        </w:rPr>
        <w:t>186,001.62 a favor de ANCEJUB-SUNAT y ordenó ponerla en conocimiento al respecto</w:t>
      </w:r>
      <w:r w:rsidRPr="000B33B9">
        <w:rPr>
          <w:rStyle w:val="Refdenotaalpie"/>
          <w:rFonts w:ascii="Verdana" w:hAnsi="Verdana" w:cs="Arial"/>
          <w:sz w:val="20"/>
          <w:szCs w:val="20"/>
          <w:lang w:val="es-ES" w:eastAsia="ja-JP"/>
        </w:rPr>
        <w:footnoteReference w:id="108"/>
      </w:r>
      <w:r w:rsidRPr="000B33B9">
        <w:rPr>
          <w:rFonts w:ascii="Verdana" w:hAnsi="Verdana" w:cs="Arial"/>
          <w:sz w:val="20"/>
          <w:szCs w:val="20"/>
          <w:lang w:val="es-ES" w:eastAsia="ja-JP"/>
        </w:rPr>
        <w:t xml:space="preserve">. El 15 de noviembre de 2017, mediante resolución </w:t>
      </w:r>
      <w:r w:rsidR="008B78CD" w:rsidRPr="000B33B9">
        <w:rPr>
          <w:rFonts w:ascii="Verdana" w:hAnsi="Verdana" w:cs="Arial"/>
          <w:sz w:val="20"/>
          <w:szCs w:val="20"/>
          <w:lang w:val="es-ES" w:eastAsia="ja-JP"/>
        </w:rPr>
        <w:t>1</w:t>
      </w:r>
      <w:r w:rsidRPr="000B33B9">
        <w:rPr>
          <w:rFonts w:ascii="Verdana" w:hAnsi="Verdana" w:cs="Arial"/>
          <w:sz w:val="20"/>
          <w:szCs w:val="20"/>
          <w:lang w:val="es-ES" w:eastAsia="ja-JP"/>
        </w:rPr>
        <w:t>2, la Tercera Sala Civil de la Corte Superior de Justicia de Lima confirmó la resolución 247</w:t>
      </w:r>
      <w:r w:rsidRPr="000B33B9">
        <w:rPr>
          <w:rStyle w:val="Refdenotaalpie"/>
          <w:rFonts w:ascii="Verdana" w:hAnsi="Verdana" w:cs="Arial"/>
          <w:sz w:val="20"/>
          <w:szCs w:val="20"/>
          <w:lang w:val="es-ES" w:eastAsia="ja-JP"/>
        </w:rPr>
        <w:footnoteReference w:id="109"/>
      </w:r>
      <w:r w:rsidRPr="000B33B9">
        <w:rPr>
          <w:rFonts w:ascii="Verdana" w:hAnsi="Verdana" w:cs="Arial"/>
          <w:sz w:val="20"/>
          <w:szCs w:val="20"/>
          <w:lang w:val="es-ES" w:eastAsia="ja-JP"/>
        </w:rPr>
        <w:t xml:space="preserve">. </w:t>
      </w:r>
    </w:p>
    <w:p w14:paraId="7B4739A5" w14:textId="77777777" w:rsidR="00B86B27" w:rsidRPr="000B33B9" w:rsidRDefault="00B86B27" w:rsidP="00B86B27">
      <w:pPr>
        <w:pStyle w:val="Prrafodelista"/>
        <w:rPr>
          <w:rFonts w:ascii="Verdana" w:hAnsi="Verdana" w:cs="Arial"/>
          <w:sz w:val="20"/>
          <w:szCs w:val="20"/>
          <w:lang w:val="es-ES" w:eastAsia="ja-JP"/>
        </w:rPr>
      </w:pPr>
    </w:p>
    <w:p w14:paraId="767B6493" w14:textId="61D7299E" w:rsidR="00B86B27" w:rsidRPr="000B33B9" w:rsidRDefault="00B86B27" w:rsidP="007B74B8">
      <w:pPr>
        <w:pStyle w:val="Prrafodelista"/>
        <w:numPr>
          <w:ilvl w:val="0"/>
          <w:numId w:val="10"/>
        </w:numPr>
        <w:spacing w:after="0" w:line="240" w:lineRule="auto"/>
        <w:ind w:left="0" w:firstLine="0"/>
        <w:jc w:val="both"/>
        <w:rPr>
          <w:rFonts w:ascii="Verdana" w:hAnsi="Verdana" w:cs="Arial"/>
          <w:sz w:val="20"/>
          <w:szCs w:val="20"/>
          <w:lang w:val="es-ES" w:eastAsia="ja-JP"/>
        </w:rPr>
      </w:pPr>
      <w:r w:rsidRPr="000B33B9">
        <w:rPr>
          <w:rFonts w:ascii="Verdana" w:hAnsi="Verdana" w:cs="Arial"/>
          <w:sz w:val="20"/>
          <w:szCs w:val="20"/>
          <w:lang w:val="es-ES" w:eastAsia="ja-JP"/>
        </w:rPr>
        <w:t xml:space="preserve">El 19 de diciembre de 2017, ANCEJUB-SUNAT </w:t>
      </w:r>
      <w:r w:rsidR="00B05765" w:rsidRPr="000B33B9">
        <w:rPr>
          <w:rFonts w:ascii="Verdana" w:hAnsi="Verdana" w:cs="Arial"/>
          <w:sz w:val="20"/>
          <w:szCs w:val="20"/>
          <w:lang w:val="es-ES" w:eastAsia="ja-JP"/>
        </w:rPr>
        <w:t xml:space="preserve">presentó </w:t>
      </w:r>
      <w:r w:rsidRPr="000B33B9">
        <w:rPr>
          <w:rFonts w:ascii="Verdana" w:hAnsi="Verdana" w:cs="Arial"/>
          <w:sz w:val="20"/>
          <w:szCs w:val="20"/>
          <w:lang w:val="es-ES" w:eastAsia="ja-JP"/>
        </w:rPr>
        <w:t>un recurso de agravio constitucional contra la resolución</w:t>
      </w:r>
      <w:r w:rsidR="001B2E8D" w:rsidRPr="000B33B9">
        <w:rPr>
          <w:rFonts w:ascii="Verdana" w:hAnsi="Verdana" w:cs="Arial"/>
          <w:sz w:val="20"/>
          <w:szCs w:val="20"/>
          <w:lang w:val="es-ES" w:eastAsia="ja-JP"/>
        </w:rPr>
        <w:t xml:space="preserve"> </w:t>
      </w:r>
      <w:r w:rsidRPr="000B33B9">
        <w:rPr>
          <w:rFonts w:ascii="Verdana" w:hAnsi="Verdana" w:cs="Arial"/>
          <w:sz w:val="20"/>
          <w:szCs w:val="20"/>
          <w:lang w:val="es-ES" w:eastAsia="ja-JP"/>
        </w:rPr>
        <w:t>12</w:t>
      </w:r>
      <w:r w:rsidRPr="000B33B9">
        <w:rPr>
          <w:rStyle w:val="Refdenotaalpie"/>
          <w:rFonts w:ascii="Verdana" w:hAnsi="Verdana" w:cs="Arial"/>
          <w:sz w:val="20"/>
          <w:szCs w:val="20"/>
          <w:lang w:val="es-ES" w:eastAsia="ja-JP"/>
        </w:rPr>
        <w:footnoteReference w:id="110"/>
      </w:r>
      <w:r w:rsidRPr="000B33B9">
        <w:rPr>
          <w:rFonts w:ascii="Verdana" w:hAnsi="Verdana" w:cs="Arial"/>
          <w:sz w:val="20"/>
          <w:szCs w:val="20"/>
          <w:lang w:val="es-ES" w:eastAsia="ja-JP"/>
        </w:rPr>
        <w:t xml:space="preserve">. Este recurso fue decidido por el Tribunal Constitucional mediante </w:t>
      </w:r>
      <w:r w:rsidR="001913D3">
        <w:rPr>
          <w:rFonts w:ascii="Verdana" w:hAnsi="Verdana" w:cs="Arial"/>
          <w:sz w:val="20"/>
          <w:szCs w:val="20"/>
          <w:lang w:val="es-ES" w:eastAsia="ja-JP"/>
        </w:rPr>
        <w:t>resolución</w:t>
      </w:r>
      <w:r w:rsidRPr="000B33B9">
        <w:rPr>
          <w:rFonts w:ascii="Verdana" w:hAnsi="Verdana" w:cs="Arial"/>
          <w:sz w:val="20"/>
          <w:szCs w:val="20"/>
          <w:lang w:val="es-ES" w:eastAsia="ja-JP"/>
        </w:rPr>
        <w:t xml:space="preserve"> de 23 de abril de 2019, en la cual:</w:t>
      </w:r>
      <w:r w:rsidR="00E14D45" w:rsidRPr="000B33B9">
        <w:rPr>
          <w:rFonts w:ascii="Verdana" w:hAnsi="Verdana"/>
          <w:sz w:val="20"/>
          <w:szCs w:val="20"/>
          <w:lang w:val="es-DO"/>
        </w:rPr>
        <w:t xml:space="preserve"> a</w:t>
      </w:r>
      <w:r w:rsidRPr="000B33B9">
        <w:rPr>
          <w:rFonts w:ascii="Verdana" w:hAnsi="Verdana"/>
          <w:sz w:val="20"/>
          <w:szCs w:val="20"/>
          <w:lang w:val="es-DO"/>
        </w:rPr>
        <w:t>) confirmó la resolución de 15 de noviembre de 2017, que a su vez había confirmado la resolución de 13 de junio de 2017, mediante la cual se habían declarado infundadas las observaciones de ANCEJUB-SUNAT respecto al perit</w:t>
      </w:r>
      <w:r w:rsidR="00E14D45" w:rsidRPr="000B33B9">
        <w:rPr>
          <w:rFonts w:ascii="Verdana" w:hAnsi="Verdana"/>
          <w:sz w:val="20"/>
          <w:szCs w:val="20"/>
          <w:lang w:val="es-DO"/>
        </w:rPr>
        <w:t>aje de 18 de octubre de 2011; b</w:t>
      </w:r>
      <w:r w:rsidRPr="000B33B9">
        <w:rPr>
          <w:rFonts w:ascii="Verdana" w:hAnsi="Verdana"/>
          <w:sz w:val="20"/>
          <w:szCs w:val="20"/>
          <w:lang w:val="es-DO"/>
        </w:rPr>
        <w:t>) aprobó el informe pericial de 18 de octubre de 2011, que había sido ratificado por el peritaje de 18 de mayo de 2014, respecto al cálculo de la pensiones niveladas desde enero de 1</w:t>
      </w:r>
      <w:r w:rsidR="00E14D45" w:rsidRPr="000B33B9">
        <w:rPr>
          <w:rFonts w:ascii="Verdana" w:hAnsi="Verdana"/>
          <w:sz w:val="20"/>
          <w:szCs w:val="20"/>
          <w:lang w:val="es-DO"/>
        </w:rPr>
        <w:t xml:space="preserve">992 hasta diciembre de </w:t>
      </w:r>
      <w:r w:rsidR="008B78CD" w:rsidRPr="000B33B9">
        <w:rPr>
          <w:rFonts w:ascii="Verdana" w:hAnsi="Verdana"/>
          <w:sz w:val="20"/>
          <w:szCs w:val="20"/>
          <w:lang w:val="es-DO"/>
        </w:rPr>
        <w:t>2004, y</w:t>
      </w:r>
      <w:r w:rsidR="00E14D45" w:rsidRPr="000B33B9">
        <w:rPr>
          <w:rFonts w:ascii="Verdana" w:hAnsi="Verdana"/>
          <w:sz w:val="20"/>
          <w:szCs w:val="20"/>
          <w:lang w:val="es-DO"/>
        </w:rPr>
        <w:t xml:space="preserve"> c</w:t>
      </w:r>
      <w:r w:rsidRPr="000B33B9">
        <w:rPr>
          <w:rFonts w:ascii="Verdana" w:hAnsi="Verdana"/>
          <w:sz w:val="20"/>
          <w:szCs w:val="20"/>
          <w:lang w:val="es-DO"/>
        </w:rPr>
        <w:t>) dispuso que el Juez de la Ejecución impidiera “nuevas articulaciones dilatorias” y adoptara las “</w:t>
      </w:r>
      <w:r w:rsidR="006D4002" w:rsidRPr="000B33B9">
        <w:rPr>
          <w:rFonts w:ascii="Verdana" w:hAnsi="Verdana"/>
          <w:sz w:val="20"/>
          <w:szCs w:val="20"/>
          <w:lang w:val="es-DO"/>
        </w:rPr>
        <w:t xml:space="preserve">(…) </w:t>
      </w:r>
      <w:r w:rsidRPr="000B33B9">
        <w:rPr>
          <w:rFonts w:ascii="Verdana" w:hAnsi="Verdana"/>
          <w:sz w:val="20"/>
          <w:szCs w:val="20"/>
          <w:lang w:val="es-DO"/>
        </w:rPr>
        <w:t>acciones necesarias para que se haga efectiva la nivelación de las pensiones de los asociados de la demandante y el pago de los reintegros correspondientes”, en la modalidad establecida en el informe pericial de 18 de octubre de 2011</w:t>
      </w:r>
      <w:r w:rsidR="006D4002" w:rsidRPr="000B33B9">
        <w:rPr>
          <w:rStyle w:val="Refdenotaalpie"/>
          <w:rFonts w:ascii="Verdana" w:hAnsi="Verdana"/>
          <w:sz w:val="20"/>
          <w:szCs w:val="20"/>
          <w:lang w:val="es-DO"/>
        </w:rPr>
        <w:footnoteReference w:id="111"/>
      </w:r>
      <w:r w:rsidRPr="000B33B9">
        <w:rPr>
          <w:rFonts w:ascii="Verdana" w:hAnsi="Verdana"/>
          <w:sz w:val="20"/>
          <w:szCs w:val="20"/>
          <w:lang w:val="es-DO"/>
        </w:rPr>
        <w:t xml:space="preserve">. Para sustentar su fallo, el Tribunal Constitucional señaló, </w:t>
      </w:r>
      <w:r w:rsidRPr="000B33B9">
        <w:rPr>
          <w:rFonts w:ascii="Verdana" w:hAnsi="Verdana"/>
          <w:i/>
          <w:sz w:val="20"/>
          <w:szCs w:val="20"/>
          <w:lang w:val="es-DO"/>
        </w:rPr>
        <w:t>inter alia</w:t>
      </w:r>
      <w:r w:rsidRPr="000B33B9">
        <w:rPr>
          <w:rFonts w:ascii="Verdana" w:hAnsi="Verdana"/>
          <w:sz w:val="20"/>
          <w:szCs w:val="20"/>
          <w:lang w:val="es-DO"/>
        </w:rPr>
        <w:t>, lo siguiente:</w:t>
      </w:r>
    </w:p>
    <w:p w14:paraId="76CE627F" w14:textId="77777777" w:rsidR="00B86B27" w:rsidRPr="000B33B9" w:rsidRDefault="00B86B27" w:rsidP="00B86B27">
      <w:pPr>
        <w:spacing w:after="0" w:line="240" w:lineRule="auto"/>
        <w:jc w:val="both"/>
        <w:rPr>
          <w:rFonts w:ascii="Verdana" w:hAnsi="Verdana"/>
          <w:b/>
          <w:sz w:val="20"/>
          <w:szCs w:val="20"/>
          <w:lang w:val="es-DO"/>
        </w:rPr>
      </w:pPr>
    </w:p>
    <w:p w14:paraId="39B65DE6" w14:textId="77777777" w:rsidR="008B78CD" w:rsidRPr="000B33B9" w:rsidRDefault="00B86B27" w:rsidP="00B86B27">
      <w:pPr>
        <w:spacing w:after="0" w:line="240" w:lineRule="auto"/>
        <w:ind w:left="706" w:right="1094"/>
        <w:jc w:val="both"/>
        <w:rPr>
          <w:rFonts w:ascii="Verdana" w:hAnsi="Verdana"/>
          <w:sz w:val="18"/>
          <w:szCs w:val="18"/>
          <w:lang w:val="es-DO"/>
        </w:rPr>
      </w:pPr>
      <w:r w:rsidRPr="000B33B9">
        <w:rPr>
          <w:rFonts w:ascii="Verdana" w:hAnsi="Verdana"/>
          <w:sz w:val="18"/>
          <w:szCs w:val="18"/>
          <w:lang w:val="es-DO"/>
        </w:rPr>
        <w:t>“</w:t>
      </w:r>
      <w:r w:rsidR="008B78CD" w:rsidRPr="000B33B9">
        <w:rPr>
          <w:rFonts w:ascii="Verdana" w:hAnsi="Verdana"/>
          <w:sz w:val="18"/>
          <w:szCs w:val="18"/>
          <w:lang w:val="es-DO"/>
        </w:rPr>
        <w:t xml:space="preserve">(…) </w:t>
      </w:r>
      <w:r w:rsidRPr="000B33B9">
        <w:rPr>
          <w:rFonts w:ascii="Verdana" w:hAnsi="Verdana"/>
          <w:sz w:val="18"/>
          <w:szCs w:val="18"/>
          <w:lang w:val="es-DO"/>
        </w:rPr>
        <w:t xml:space="preserve">Respecto a los cuestionamientos que plantean las observaciones (…) formuladas por la asociación demandante (...) corresponde, como lo han hecho con acierto las instancias judiciales, reiterar el pronunciamiento efectuado por este Tribunal en la sentencia emitida en el Expediente 00649-2011-PA/TC, que tiene la calidad de cosa juzgada. En efecto, en dicha sentencia el Tribunal Constitucional (…) dilucidó de manera definitiva dichos cuestionamientos, concluyendo que la exclusión en la nivelación materia de autos de los incrementos por diferencial asistencial familiar, alimentación principal, Decreto Legislativo 673 y diferencial aguinaldo 276 (…) no importaba una interpretación arbitraria o restrictiva de la Ejecutoria Suprema materia de ejecución ni mucho menos dejarla sin efecto, por lo que no se vulneraron los derechos pensionarios de los miembros de la asociación demandante. </w:t>
      </w:r>
    </w:p>
    <w:p w14:paraId="514B7666" w14:textId="77777777" w:rsidR="008B78CD" w:rsidRPr="000B33B9" w:rsidRDefault="008B78CD" w:rsidP="00B86B27">
      <w:pPr>
        <w:spacing w:after="0" w:line="240" w:lineRule="auto"/>
        <w:ind w:left="706" w:right="1094"/>
        <w:jc w:val="both"/>
        <w:rPr>
          <w:rFonts w:ascii="Verdana" w:hAnsi="Verdana"/>
          <w:sz w:val="18"/>
          <w:szCs w:val="18"/>
          <w:lang w:val="es-DO"/>
        </w:rPr>
      </w:pPr>
    </w:p>
    <w:p w14:paraId="66A58F28" w14:textId="27B43510" w:rsidR="00B86B27" w:rsidRPr="000B33B9" w:rsidRDefault="00B86B27" w:rsidP="00B86B27">
      <w:pPr>
        <w:spacing w:after="0" w:line="240" w:lineRule="auto"/>
        <w:ind w:left="706" w:right="1094"/>
        <w:jc w:val="both"/>
        <w:rPr>
          <w:rFonts w:ascii="Verdana" w:hAnsi="Verdana"/>
          <w:sz w:val="18"/>
          <w:szCs w:val="18"/>
          <w:lang w:val="es-DO"/>
        </w:rPr>
      </w:pPr>
      <w:r w:rsidRPr="000B33B9">
        <w:rPr>
          <w:rFonts w:ascii="Verdana" w:hAnsi="Verdana"/>
          <w:sz w:val="18"/>
          <w:szCs w:val="18"/>
          <w:lang w:val="es-DO"/>
        </w:rPr>
        <w:t xml:space="preserve">Como se puede advertir (…) el Tribunal Constitucional, en pronunciamiento que data del mes de agosto de 2011, ha reconocido la constitucionalidad del inciso c) del artículo 3 del Decreto Legislativo 673 y la </w:t>
      </w:r>
      <w:r w:rsidR="008B78CD" w:rsidRPr="000B33B9">
        <w:rPr>
          <w:rFonts w:ascii="Verdana" w:hAnsi="Verdana"/>
          <w:sz w:val="18"/>
          <w:szCs w:val="18"/>
          <w:lang w:val="es-DO"/>
        </w:rPr>
        <w:t>legitimidad</w:t>
      </w:r>
      <w:r w:rsidRPr="000B33B9">
        <w:rPr>
          <w:rFonts w:ascii="Verdana" w:hAnsi="Verdana"/>
          <w:sz w:val="18"/>
          <w:szCs w:val="18"/>
          <w:lang w:val="es-DO"/>
        </w:rPr>
        <w:t xml:space="preserve"> de la exclusión de los incrementos que reclama la asociación demandante (…). </w:t>
      </w:r>
    </w:p>
    <w:p w14:paraId="7871D675" w14:textId="77777777" w:rsidR="00B86B27" w:rsidRPr="000B33B9" w:rsidRDefault="00B86B27" w:rsidP="00B86B27">
      <w:pPr>
        <w:spacing w:after="0" w:line="240" w:lineRule="auto"/>
        <w:ind w:left="706" w:right="1094"/>
        <w:jc w:val="both"/>
        <w:rPr>
          <w:rFonts w:ascii="Verdana" w:hAnsi="Verdana"/>
          <w:sz w:val="18"/>
          <w:szCs w:val="18"/>
          <w:lang w:val="es-DO"/>
        </w:rPr>
      </w:pPr>
    </w:p>
    <w:p w14:paraId="423D3A0B" w14:textId="77777777" w:rsidR="00B86B27" w:rsidRPr="000B33B9" w:rsidRDefault="00B86B27" w:rsidP="00B86B27">
      <w:pPr>
        <w:spacing w:after="0" w:line="240" w:lineRule="auto"/>
        <w:ind w:left="706" w:right="1094"/>
        <w:jc w:val="both"/>
        <w:rPr>
          <w:rFonts w:ascii="Verdana" w:hAnsi="Verdana"/>
          <w:sz w:val="18"/>
          <w:szCs w:val="18"/>
          <w:lang w:val="es-DO"/>
        </w:rPr>
      </w:pPr>
      <w:r w:rsidRPr="000B33B9">
        <w:rPr>
          <w:rFonts w:ascii="Verdana" w:hAnsi="Verdana"/>
          <w:sz w:val="18"/>
          <w:szCs w:val="18"/>
          <w:lang w:val="es-DO"/>
        </w:rPr>
        <w:t xml:space="preserve">(…) Del examen de lo actuado se desprende que la ejecución de la sentencia no ha culminado aún debido a la existencia de numerosos informes periciales contables, judiciales y de parte, y de las reiteradas observaciones formuladas por las partes contra dichos informes periciales. </w:t>
      </w:r>
    </w:p>
    <w:p w14:paraId="41E8956F" w14:textId="77777777" w:rsidR="00B86B27" w:rsidRPr="000B33B9" w:rsidRDefault="00B86B27" w:rsidP="00B86B27">
      <w:pPr>
        <w:spacing w:after="0" w:line="240" w:lineRule="auto"/>
        <w:ind w:left="706" w:right="1094"/>
        <w:jc w:val="both"/>
        <w:rPr>
          <w:rFonts w:ascii="Verdana" w:hAnsi="Verdana"/>
          <w:sz w:val="18"/>
          <w:szCs w:val="18"/>
          <w:lang w:val="es-DO"/>
        </w:rPr>
      </w:pPr>
    </w:p>
    <w:p w14:paraId="12B98A36" w14:textId="6E2CFA58" w:rsidR="00B86B27" w:rsidRPr="000B33B9" w:rsidRDefault="00B86B27" w:rsidP="00B86B27">
      <w:pPr>
        <w:spacing w:after="0" w:line="240" w:lineRule="auto"/>
        <w:ind w:left="706" w:right="1094"/>
        <w:jc w:val="both"/>
        <w:rPr>
          <w:rFonts w:ascii="Verdana" w:hAnsi="Verdana"/>
          <w:sz w:val="18"/>
          <w:szCs w:val="18"/>
          <w:lang w:val="es-DO"/>
        </w:rPr>
      </w:pPr>
      <w:r w:rsidRPr="000B33B9">
        <w:rPr>
          <w:rFonts w:ascii="Verdana" w:hAnsi="Verdana"/>
          <w:sz w:val="18"/>
          <w:szCs w:val="18"/>
          <w:lang w:val="es-DO"/>
        </w:rPr>
        <w:t>Particularmente relevante es la pretensión de la asociación demandante para que en la nivelación de las pensiones de sus asociados, y de los correspondientes reintegros, se comprendan los incrementos que han sido excluidos en el último informe pericial judicial contable contra el cual la parte demandante ha formulado la observación que es objeto del presente recurso de agravio, insistiendo en la misma, no obstan</w:t>
      </w:r>
      <w:r w:rsidR="008B78CD" w:rsidRPr="000B33B9">
        <w:rPr>
          <w:rFonts w:ascii="Verdana" w:hAnsi="Verdana"/>
          <w:sz w:val="18"/>
          <w:szCs w:val="18"/>
          <w:lang w:val="es-DO"/>
        </w:rPr>
        <w:t>te que, como se ha mencionado</w:t>
      </w:r>
      <w:r w:rsidRPr="000B33B9">
        <w:rPr>
          <w:rFonts w:ascii="Verdana" w:hAnsi="Verdana"/>
          <w:sz w:val="18"/>
          <w:szCs w:val="18"/>
          <w:lang w:val="es-DO"/>
        </w:rPr>
        <w:t xml:space="preserve"> líneas arriba, el Tribunal Constitucional ya había zanjado el asunto en el año 2011, concluyendo que dichos incrementos no tienen carácter pensionable para los trabajadores comprendidos en el régimen jubilatorio del Decreto Ley 20530, y que no se podía aceptar tal pretensión, porque hacerlo implicaría nivelar sus pensiones con las remuneraciones del personal de la SUNAT sujeto al régimen laboral de la actividad privada (…)”. </w:t>
      </w:r>
    </w:p>
    <w:p w14:paraId="72F7E6A5" w14:textId="77777777" w:rsidR="00B86B27" w:rsidRPr="000B33B9" w:rsidRDefault="00B86B27" w:rsidP="00B86B27">
      <w:pPr>
        <w:spacing w:after="0" w:line="240" w:lineRule="auto"/>
        <w:ind w:left="706" w:right="1094"/>
        <w:jc w:val="both"/>
        <w:rPr>
          <w:rFonts w:ascii="Verdana" w:eastAsia="Calibri" w:hAnsi="Verdana" w:cs="Times New Roman"/>
          <w:sz w:val="20"/>
          <w:szCs w:val="20"/>
          <w:lang w:val="es-ES" w:eastAsia="es-ES"/>
        </w:rPr>
      </w:pPr>
    </w:p>
    <w:p w14:paraId="2B584E84" w14:textId="77777777" w:rsidR="00B86B27" w:rsidRPr="000B33B9" w:rsidRDefault="00B86B27" w:rsidP="007B74AD">
      <w:pPr>
        <w:pStyle w:val="Ttulo2"/>
      </w:pPr>
      <w:bookmarkStart w:id="54" w:name="_Toc27329761"/>
      <w:r w:rsidRPr="000B33B9">
        <w:t>Tercera acción de amparo</w:t>
      </w:r>
      <w:bookmarkEnd w:id="54"/>
    </w:p>
    <w:p w14:paraId="75C8DA1E" w14:textId="77777777" w:rsidR="00B86B27" w:rsidRPr="000B33B9" w:rsidRDefault="00B86B27" w:rsidP="00B86B27">
      <w:pPr>
        <w:spacing w:after="0" w:line="240" w:lineRule="auto"/>
        <w:rPr>
          <w:rFonts w:ascii="Verdana" w:hAnsi="Verdana"/>
          <w:b/>
          <w:i/>
          <w:sz w:val="20"/>
          <w:szCs w:val="20"/>
          <w:lang w:val="es-DO"/>
        </w:rPr>
      </w:pPr>
    </w:p>
    <w:p w14:paraId="27B8F63D" w14:textId="671EF6F5" w:rsidR="00B86B27" w:rsidRPr="000B33B9" w:rsidRDefault="00B86B27" w:rsidP="007B74B8">
      <w:pPr>
        <w:pStyle w:val="Prrafodelista"/>
        <w:numPr>
          <w:ilvl w:val="0"/>
          <w:numId w:val="10"/>
        </w:numPr>
        <w:spacing w:after="0" w:line="240" w:lineRule="auto"/>
        <w:ind w:left="0" w:firstLine="0"/>
        <w:jc w:val="both"/>
        <w:rPr>
          <w:rFonts w:ascii="Verdana" w:eastAsia="Calibri" w:hAnsi="Verdana" w:cs="Times New Roman"/>
          <w:sz w:val="20"/>
          <w:szCs w:val="20"/>
          <w:lang w:val="es-ES" w:eastAsia="es-ES"/>
        </w:rPr>
      </w:pPr>
      <w:r w:rsidRPr="000B33B9">
        <w:rPr>
          <w:rFonts w:ascii="Verdana" w:eastAsia="Calibri" w:hAnsi="Verdana" w:cs="Times New Roman"/>
          <w:sz w:val="20"/>
          <w:szCs w:val="20"/>
          <w:lang w:val="es-DO" w:eastAsia="es-ES"/>
        </w:rPr>
        <w:t>E</w:t>
      </w:r>
      <w:r w:rsidRPr="000B33B9">
        <w:rPr>
          <w:rFonts w:ascii="Verdana" w:eastAsia="Calibri" w:hAnsi="Verdana" w:cs="Times New Roman"/>
          <w:sz w:val="20"/>
          <w:szCs w:val="20"/>
          <w:lang w:val="es-ES" w:eastAsia="es-ES"/>
        </w:rPr>
        <w:t>l 15 de diciembre de 2006</w:t>
      </w:r>
      <w:r w:rsidR="00465D9F" w:rsidRPr="000B33B9">
        <w:rPr>
          <w:rFonts w:ascii="Verdana" w:eastAsia="Calibri" w:hAnsi="Verdana" w:cs="Times New Roman"/>
          <w:sz w:val="20"/>
          <w:szCs w:val="20"/>
          <w:lang w:val="es-ES" w:eastAsia="es-ES"/>
        </w:rPr>
        <w:t>,</w:t>
      </w:r>
      <w:r w:rsidRPr="000B33B9">
        <w:rPr>
          <w:rFonts w:ascii="Verdana" w:eastAsia="Calibri" w:hAnsi="Verdana" w:cs="Times New Roman"/>
          <w:sz w:val="20"/>
          <w:szCs w:val="20"/>
          <w:lang w:val="es-ES" w:eastAsia="es-ES"/>
        </w:rPr>
        <w:t xml:space="preserve"> ANCEJUB-SUNAT </w:t>
      </w:r>
      <w:r w:rsidR="00F82A54" w:rsidRPr="000B33B9">
        <w:rPr>
          <w:rFonts w:ascii="Verdana" w:eastAsia="Calibri" w:hAnsi="Verdana" w:cs="Times New Roman"/>
          <w:sz w:val="20"/>
          <w:szCs w:val="20"/>
          <w:lang w:val="es-ES" w:eastAsia="es-ES"/>
        </w:rPr>
        <w:t xml:space="preserve">presentó </w:t>
      </w:r>
      <w:r w:rsidRPr="000B33B9">
        <w:rPr>
          <w:rFonts w:ascii="Verdana" w:eastAsia="Calibri" w:hAnsi="Verdana" w:cs="Times New Roman"/>
          <w:sz w:val="20"/>
          <w:szCs w:val="20"/>
          <w:lang w:val="es-ES" w:eastAsia="es-ES"/>
        </w:rPr>
        <w:t>una acción de amparo contra los dos jueces de la Sexta Sala Civil por cuyo voto mayoritario fue adoptada la resolución de 24 de julio de 2006</w:t>
      </w:r>
      <w:r w:rsidRPr="000B33B9">
        <w:rPr>
          <w:rStyle w:val="Refdenotaalpie"/>
          <w:rFonts w:ascii="Verdana" w:eastAsia="Calibri" w:hAnsi="Verdana" w:cs="Times New Roman"/>
          <w:sz w:val="20"/>
          <w:szCs w:val="20"/>
          <w:lang w:val="es-ES" w:eastAsia="es-ES"/>
        </w:rPr>
        <w:footnoteReference w:id="112"/>
      </w:r>
      <w:r w:rsidRPr="000B33B9">
        <w:rPr>
          <w:rFonts w:ascii="Verdana" w:eastAsia="Calibri" w:hAnsi="Verdana" w:cs="Times New Roman"/>
          <w:sz w:val="20"/>
          <w:szCs w:val="20"/>
          <w:lang w:val="es-ES" w:eastAsia="es-ES"/>
        </w:rPr>
        <w:t>, que ordenó la realización de un nuevo informe pericial (</w:t>
      </w:r>
      <w:r w:rsidRPr="000B33B9">
        <w:rPr>
          <w:rFonts w:ascii="Verdana" w:eastAsia="Calibri" w:hAnsi="Verdana" w:cs="Times New Roman"/>
          <w:i/>
          <w:sz w:val="20"/>
          <w:szCs w:val="20"/>
          <w:lang w:val="es-ES" w:eastAsia="es-ES"/>
        </w:rPr>
        <w:t>supra</w:t>
      </w:r>
      <w:r w:rsidRPr="000B33B9">
        <w:rPr>
          <w:rFonts w:ascii="Verdana" w:eastAsia="Calibri" w:hAnsi="Verdana" w:cs="Times New Roman"/>
          <w:sz w:val="20"/>
          <w:szCs w:val="20"/>
          <w:lang w:val="es-ES" w:eastAsia="es-ES"/>
        </w:rPr>
        <w:t xml:space="preserve"> párr.</w:t>
      </w:r>
      <w:r w:rsidR="00275D73" w:rsidRPr="000B33B9">
        <w:rPr>
          <w:rFonts w:ascii="Verdana" w:eastAsia="Calibri" w:hAnsi="Verdana" w:cs="Times New Roman"/>
          <w:sz w:val="20"/>
          <w:szCs w:val="20"/>
          <w:lang w:val="es-ES" w:eastAsia="es-ES"/>
        </w:rPr>
        <w:t xml:space="preserve"> 75</w:t>
      </w:r>
      <w:r w:rsidRPr="000B33B9">
        <w:rPr>
          <w:rFonts w:ascii="Verdana" w:eastAsia="Calibri" w:hAnsi="Verdana" w:cs="Times New Roman"/>
          <w:sz w:val="20"/>
          <w:szCs w:val="20"/>
          <w:lang w:val="es-ES" w:eastAsia="es-ES"/>
        </w:rPr>
        <w:t>)</w:t>
      </w:r>
      <w:r w:rsidRPr="000B33B9">
        <w:rPr>
          <w:rFonts w:ascii="Verdana" w:hAnsi="Verdana"/>
          <w:sz w:val="20"/>
          <w:szCs w:val="20"/>
          <w:lang w:val="es-ES"/>
        </w:rPr>
        <w:t>. En el amparo, ANCEJUB-SUNAT alegó que, al dictarse la resolución de 24 de julio de 2006, se habían vulnerado sus derechos a la tutela judicial efectiva, debido proceso y</w:t>
      </w:r>
      <w:r w:rsidR="00275D73" w:rsidRPr="000B33B9">
        <w:rPr>
          <w:rFonts w:ascii="Verdana" w:hAnsi="Verdana"/>
          <w:sz w:val="20"/>
          <w:szCs w:val="20"/>
          <w:lang w:val="es-ES"/>
        </w:rPr>
        <w:t xml:space="preserve"> la</w:t>
      </w:r>
      <w:r w:rsidRPr="000B33B9">
        <w:rPr>
          <w:rFonts w:ascii="Verdana" w:hAnsi="Verdana"/>
          <w:sz w:val="20"/>
          <w:szCs w:val="20"/>
          <w:lang w:val="es-ES"/>
        </w:rPr>
        <w:t xml:space="preserve"> efectividad de las decisiones judiciales</w:t>
      </w:r>
      <w:r w:rsidR="005F43C3" w:rsidRPr="000B33B9">
        <w:rPr>
          <w:rStyle w:val="Refdenotaalpie"/>
          <w:rFonts w:ascii="Verdana" w:eastAsia="Calibri" w:hAnsi="Verdana" w:cs="Times New Roman"/>
          <w:sz w:val="20"/>
          <w:szCs w:val="20"/>
          <w:lang w:val="es-ES" w:eastAsia="es-ES"/>
        </w:rPr>
        <w:footnoteReference w:id="113"/>
      </w:r>
      <w:r w:rsidRPr="000B33B9">
        <w:rPr>
          <w:rFonts w:ascii="Verdana" w:hAnsi="Verdana"/>
          <w:sz w:val="20"/>
          <w:szCs w:val="20"/>
          <w:lang w:val="es-ES"/>
        </w:rPr>
        <w:t xml:space="preserve">. </w:t>
      </w:r>
      <w:r w:rsidRPr="000B33B9">
        <w:rPr>
          <w:rFonts w:ascii="Verdana" w:eastAsia="Calibri" w:hAnsi="Verdana" w:cs="Times New Roman"/>
          <w:sz w:val="20"/>
          <w:szCs w:val="20"/>
          <w:lang w:val="es-ES" w:eastAsia="es-ES"/>
        </w:rPr>
        <w:t>El 28 de septiembre de 2009, la Séptima Sala Civil de la Corte Superior de Justicia de Lima declaró infundado el recurso de amparo interpuesto por ANCEJUB-SUNAT</w:t>
      </w:r>
      <w:r w:rsidR="005F43C3" w:rsidRPr="000B33B9">
        <w:rPr>
          <w:rFonts w:ascii="Verdana" w:eastAsia="Calibri" w:hAnsi="Verdana" w:cs="Times New Roman"/>
          <w:sz w:val="20"/>
          <w:szCs w:val="20"/>
          <w:vertAlign w:val="superscript"/>
          <w:lang w:val="es-ES" w:eastAsia="es-ES"/>
        </w:rPr>
        <w:footnoteReference w:id="114"/>
      </w:r>
      <w:r w:rsidR="00D73493" w:rsidRPr="000B33B9">
        <w:rPr>
          <w:rFonts w:ascii="Verdana" w:eastAsia="Calibri" w:hAnsi="Verdana" w:cs="Times New Roman"/>
          <w:sz w:val="20"/>
          <w:szCs w:val="20"/>
          <w:lang w:val="es-ES" w:eastAsia="es-ES"/>
        </w:rPr>
        <w:t>.</w:t>
      </w:r>
    </w:p>
    <w:p w14:paraId="4D8A3921" w14:textId="77777777" w:rsidR="00D73493" w:rsidRPr="000B33B9" w:rsidRDefault="00D73493" w:rsidP="00E14D45">
      <w:pPr>
        <w:pStyle w:val="Prrafodelista"/>
        <w:spacing w:after="0" w:line="240" w:lineRule="auto"/>
        <w:ind w:left="0"/>
        <w:jc w:val="both"/>
        <w:rPr>
          <w:rFonts w:ascii="Verdana" w:eastAsia="Calibri" w:hAnsi="Verdana" w:cs="Times New Roman"/>
          <w:sz w:val="20"/>
          <w:szCs w:val="20"/>
          <w:lang w:val="es-ES" w:eastAsia="es-ES"/>
        </w:rPr>
      </w:pPr>
    </w:p>
    <w:p w14:paraId="7DCB5122" w14:textId="5BE5C795" w:rsidR="00B86B27" w:rsidRPr="000B33B9" w:rsidRDefault="00B86B27" w:rsidP="007B74B8">
      <w:pPr>
        <w:pStyle w:val="Prrafodelista"/>
        <w:numPr>
          <w:ilvl w:val="0"/>
          <w:numId w:val="10"/>
        </w:numPr>
        <w:tabs>
          <w:tab w:val="left" w:pos="709"/>
        </w:tabs>
        <w:spacing w:after="0" w:line="240" w:lineRule="auto"/>
        <w:ind w:left="0" w:firstLine="0"/>
        <w:jc w:val="both"/>
        <w:rPr>
          <w:rFonts w:ascii="Verdana" w:eastAsia="Calibri" w:hAnsi="Verdana" w:cs="Times New Roman"/>
          <w:sz w:val="20"/>
          <w:szCs w:val="20"/>
          <w:lang w:val="es-ES" w:eastAsia="es-ES"/>
        </w:rPr>
      </w:pPr>
      <w:r w:rsidRPr="000B33B9">
        <w:rPr>
          <w:rFonts w:ascii="Verdana" w:eastAsia="Calibri" w:hAnsi="Verdana" w:cs="Times New Roman"/>
          <w:sz w:val="20"/>
          <w:szCs w:val="20"/>
          <w:lang w:val="es-ES" w:eastAsia="es-ES"/>
        </w:rPr>
        <w:t>El 2 de diciembre de 2009</w:t>
      </w:r>
      <w:r w:rsidR="00465D9F" w:rsidRPr="000B33B9">
        <w:rPr>
          <w:rFonts w:ascii="Verdana" w:eastAsia="Calibri" w:hAnsi="Verdana" w:cs="Times New Roman"/>
          <w:sz w:val="20"/>
          <w:szCs w:val="20"/>
          <w:lang w:val="es-ES" w:eastAsia="es-ES"/>
        </w:rPr>
        <w:t>,</w:t>
      </w:r>
      <w:r w:rsidRPr="000B33B9">
        <w:rPr>
          <w:rFonts w:ascii="Verdana" w:eastAsia="Calibri" w:hAnsi="Verdana" w:cs="Times New Roman"/>
          <w:sz w:val="20"/>
          <w:szCs w:val="20"/>
          <w:lang w:val="es-ES" w:eastAsia="es-ES"/>
        </w:rPr>
        <w:t xml:space="preserve"> ANCEJUB-SUNAT apeló dicha decisión</w:t>
      </w:r>
      <w:r w:rsidRPr="000B33B9">
        <w:rPr>
          <w:rFonts w:ascii="Verdana" w:hAnsi="Verdana"/>
          <w:sz w:val="20"/>
          <w:szCs w:val="20"/>
          <w:vertAlign w:val="superscript"/>
          <w:lang w:val="es-ES" w:eastAsia="es-ES"/>
        </w:rPr>
        <w:footnoteReference w:id="115"/>
      </w:r>
      <w:r w:rsidRPr="000B33B9">
        <w:rPr>
          <w:rFonts w:ascii="Verdana" w:eastAsia="Calibri" w:hAnsi="Verdana" w:cs="Times New Roman"/>
          <w:sz w:val="20"/>
          <w:szCs w:val="20"/>
          <w:lang w:val="es-ES" w:eastAsia="es-ES"/>
        </w:rPr>
        <w:t>.</w:t>
      </w:r>
      <w:r w:rsidRPr="000B33B9">
        <w:rPr>
          <w:rFonts w:ascii="Verdana" w:eastAsia="Calibri" w:hAnsi="Verdana" w:cs="Times New Roman"/>
          <w:b/>
          <w:sz w:val="20"/>
          <w:szCs w:val="20"/>
          <w:lang w:val="es-ES" w:eastAsia="es-ES"/>
        </w:rPr>
        <w:t xml:space="preserve"> </w:t>
      </w:r>
      <w:r w:rsidRPr="000B33B9">
        <w:rPr>
          <w:rFonts w:ascii="Verdana" w:eastAsia="Calibri" w:hAnsi="Verdana" w:cs="Times New Roman"/>
          <w:sz w:val="20"/>
          <w:szCs w:val="20"/>
          <w:lang w:val="es-ES" w:eastAsia="es-ES"/>
        </w:rPr>
        <w:t>El 22 de julio de 2010, la Corte Suprema confirmó la resolución de 28 de septiembre de 2009</w:t>
      </w:r>
      <w:r w:rsidRPr="000B33B9">
        <w:rPr>
          <w:rFonts w:ascii="Verdana" w:hAnsi="Verdana"/>
          <w:sz w:val="20"/>
          <w:szCs w:val="20"/>
          <w:vertAlign w:val="superscript"/>
          <w:lang w:val="es-ES" w:eastAsia="es-ES"/>
        </w:rPr>
        <w:footnoteReference w:id="116"/>
      </w:r>
      <w:r w:rsidRPr="000B33B9">
        <w:rPr>
          <w:rFonts w:ascii="Verdana" w:eastAsia="Calibri" w:hAnsi="Verdana" w:cs="Times New Roman"/>
          <w:sz w:val="20"/>
          <w:szCs w:val="20"/>
          <w:lang w:val="es-ES" w:eastAsia="es-ES"/>
        </w:rPr>
        <w:t>.</w:t>
      </w:r>
      <w:r w:rsidRPr="000B33B9">
        <w:rPr>
          <w:rFonts w:ascii="Verdana" w:hAnsi="Verdana"/>
          <w:sz w:val="20"/>
          <w:szCs w:val="20"/>
          <w:lang w:val="es-ES"/>
        </w:rPr>
        <w:t xml:space="preserve"> </w:t>
      </w:r>
      <w:r w:rsidRPr="000B33B9">
        <w:rPr>
          <w:rFonts w:ascii="Verdana" w:eastAsia="Calibri" w:hAnsi="Verdana" w:cs="Times New Roman"/>
          <w:sz w:val="20"/>
          <w:szCs w:val="20"/>
          <w:lang w:val="es-ES" w:eastAsia="es-ES"/>
        </w:rPr>
        <w:t>ANCEJUB-SUNAT presentó un recurso de agravio constitucional contra la sentencia de 22 de julio de 2010 y el 9 de agosto de 2011 el Tribunal Constitucional lo declaró infundado. El Tribunal Constitucional consideró que, en virtud de que el artículo 3, inciso c, del Decreto 673 prescribe que tiene el carácter de no pensionable la mayor remuneración dispuesta en los literales a y b de dicho artículo, “</w:t>
      </w:r>
      <w:r w:rsidR="005F43C3" w:rsidRPr="000B33B9">
        <w:rPr>
          <w:rFonts w:ascii="Verdana" w:eastAsia="Calibri" w:hAnsi="Verdana" w:cs="Times New Roman"/>
          <w:sz w:val="20"/>
          <w:szCs w:val="20"/>
          <w:lang w:val="es-ES" w:eastAsia="es-ES"/>
        </w:rPr>
        <w:t xml:space="preserve">(…) </w:t>
      </w:r>
      <w:r w:rsidRPr="000B33B9">
        <w:rPr>
          <w:rFonts w:ascii="Verdana" w:eastAsia="Calibri" w:hAnsi="Verdana" w:cs="Times New Roman"/>
          <w:sz w:val="20"/>
          <w:szCs w:val="20"/>
          <w:lang w:val="es-ES" w:eastAsia="es-ES"/>
        </w:rPr>
        <w:t>al no abonarse ésta a los asociados de la recurrente que gozan de pensión nivelable, no se vulnera sus derechos pensionarios”</w:t>
      </w:r>
      <w:r w:rsidRPr="000B33B9">
        <w:rPr>
          <w:rFonts w:ascii="Verdana" w:hAnsi="Verdana"/>
          <w:sz w:val="20"/>
          <w:szCs w:val="20"/>
          <w:lang w:val="es-ES"/>
        </w:rPr>
        <w:t xml:space="preserve">. </w:t>
      </w:r>
      <w:r w:rsidR="009257B3" w:rsidRPr="000B33B9">
        <w:rPr>
          <w:rFonts w:ascii="Verdana" w:hAnsi="Verdana"/>
          <w:sz w:val="20"/>
          <w:szCs w:val="20"/>
          <w:lang w:val="es-ES"/>
        </w:rPr>
        <w:t xml:space="preserve">Asimismo, el Tribunal Constitucional estimó que </w:t>
      </w:r>
      <w:r w:rsidR="00275D73" w:rsidRPr="000B33B9">
        <w:rPr>
          <w:rFonts w:ascii="Verdana" w:hAnsi="Verdana"/>
          <w:sz w:val="20"/>
          <w:szCs w:val="20"/>
          <w:lang w:val="es-ES"/>
        </w:rPr>
        <w:t xml:space="preserve">la “(…) </w:t>
      </w:r>
      <w:r w:rsidRPr="000B33B9">
        <w:rPr>
          <w:rFonts w:ascii="Verdana" w:eastAsia="Calibri" w:hAnsi="Verdana" w:cs="Times New Roman"/>
          <w:sz w:val="20"/>
          <w:szCs w:val="20"/>
          <w:lang w:val="es-ES"/>
        </w:rPr>
        <w:t xml:space="preserve">sentencia </w:t>
      </w:r>
      <w:r w:rsidR="009257B3" w:rsidRPr="000B33B9">
        <w:rPr>
          <w:rFonts w:ascii="Verdana" w:hAnsi="Verdana"/>
          <w:sz w:val="20"/>
          <w:szCs w:val="20"/>
          <w:lang w:val="es-ES"/>
        </w:rPr>
        <w:t>[de 25 de octubre de 1993]</w:t>
      </w:r>
      <w:r w:rsidR="009257B3" w:rsidRPr="000B33B9">
        <w:rPr>
          <w:rFonts w:ascii="Verdana" w:hAnsi="Verdana"/>
          <w:b/>
          <w:sz w:val="20"/>
          <w:szCs w:val="20"/>
          <w:lang w:val="es-ES"/>
        </w:rPr>
        <w:t xml:space="preserve"> </w:t>
      </w:r>
      <w:r w:rsidRPr="000B33B9">
        <w:rPr>
          <w:rFonts w:ascii="Verdana" w:eastAsia="Calibri" w:hAnsi="Verdana" w:cs="Times New Roman"/>
          <w:sz w:val="20"/>
          <w:szCs w:val="20"/>
          <w:lang w:val="es-ES"/>
        </w:rPr>
        <w:t xml:space="preserve">solo inaplicó a los asociados de </w:t>
      </w:r>
      <w:r w:rsidR="00275D73" w:rsidRPr="000B33B9">
        <w:rPr>
          <w:rFonts w:ascii="Verdana" w:eastAsia="Calibri" w:hAnsi="Verdana" w:cs="Times New Roman"/>
          <w:sz w:val="20"/>
          <w:szCs w:val="20"/>
          <w:lang w:val="es-ES"/>
        </w:rPr>
        <w:t>[</w:t>
      </w:r>
      <w:r w:rsidRPr="000B33B9">
        <w:rPr>
          <w:rFonts w:ascii="Verdana" w:eastAsia="Calibri" w:hAnsi="Verdana" w:cs="Times New Roman"/>
          <w:sz w:val="20"/>
          <w:szCs w:val="20"/>
          <w:lang w:val="es-ES"/>
        </w:rPr>
        <w:t>ANCEJUB-SUNAT</w:t>
      </w:r>
      <w:r w:rsidR="00275D73" w:rsidRPr="000B33B9">
        <w:rPr>
          <w:rFonts w:ascii="Verdana" w:eastAsia="Calibri" w:hAnsi="Verdana" w:cs="Times New Roman"/>
          <w:sz w:val="20"/>
          <w:szCs w:val="20"/>
          <w:lang w:val="es-ES"/>
        </w:rPr>
        <w:t>]</w:t>
      </w:r>
      <w:r w:rsidRPr="000B33B9">
        <w:rPr>
          <w:rFonts w:ascii="Verdana" w:eastAsia="Calibri" w:hAnsi="Verdana" w:cs="Times New Roman"/>
          <w:sz w:val="20"/>
          <w:szCs w:val="20"/>
          <w:lang w:val="es-ES"/>
        </w:rPr>
        <w:t xml:space="preserve"> la </w:t>
      </w:r>
      <w:r w:rsidR="00275D73" w:rsidRPr="000B33B9">
        <w:rPr>
          <w:rFonts w:ascii="Verdana" w:eastAsia="Calibri" w:hAnsi="Verdana" w:cs="Times New Roman"/>
          <w:sz w:val="20"/>
          <w:szCs w:val="20"/>
          <w:lang w:val="es-ES"/>
        </w:rPr>
        <w:t>Tercera Disposición Transitoria (…)</w:t>
      </w:r>
      <w:r w:rsidRPr="000B33B9">
        <w:rPr>
          <w:rFonts w:ascii="Verdana" w:eastAsia="Calibri" w:hAnsi="Verdana" w:cs="Times New Roman"/>
          <w:sz w:val="20"/>
          <w:szCs w:val="20"/>
          <w:lang w:val="es-ES"/>
        </w:rPr>
        <w:t xml:space="preserve"> pero</w:t>
      </w:r>
      <w:r w:rsidR="00275D73" w:rsidRPr="000B33B9">
        <w:rPr>
          <w:rFonts w:ascii="Verdana" w:eastAsia="Calibri" w:hAnsi="Verdana" w:cs="Times New Roman"/>
          <w:sz w:val="20"/>
          <w:szCs w:val="20"/>
          <w:lang w:val="es-ES"/>
        </w:rPr>
        <w:t xml:space="preserve"> no el inciso c) del artículo 3”</w:t>
      </w:r>
      <w:r w:rsidRPr="000B33B9">
        <w:rPr>
          <w:rFonts w:ascii="Verdana" w:eastAsia="Calibri" w:hAnsi="Verdana" w:cs="Times New Roman"/>
          <w:sz w:val="20"/>
          <w:szCs w:val="20"/>
          <w:lang w:val="es-ES"/>
        </w:rPr>
        <w:t xml:space="preserve">, el cual </w:t>
      </w:r>
      <w:r w:rsidR="00275D73" w:rsidRPr="000B33B9">
        <w:rPr>
          <w:rFonts w:ascii="Verdana" w:eastAsia="Calibri" w:hAnsi="Verdana" w:cs="Times New Roman"/>
          <w:sz w:val="20"/>
          <w:szCs w:val="20"/>
          <w:lang w:val="es-ES"/>
        </w:rPr>
        <w:t>“</w:t>
      </w:r>
      <w:r w:rsidRPr="000B33B9">
        <w:rPr>
          <w:rFonts w:ascii="Verdana" w:eastAsia="Calibri" w:hAnsi="Verdana" w:cs="Times New Roman"/>
          <w:sz w:val="20"/>
          <w:szCs w:val="20"/>
          <w:lang w:val="es-ES"/>
        </w:rPr>
        <w:t>no fue materia de conocimiento constitucional</w:t>
      </w:r>
      <w:r w:rsidR="009257B3" w:rsidRPr="000B33B9">
        <w:rPr>
          <w:rFonts w:ascii="Verdana" w:eastAsia="Calibri" w:hAnsi="Verdana" w:cs="Times New Roman"/>
          <w:sz w:val="20"/>
          <w:szCs w:val="20"/>
          <w:lang w:val="es-ES"/>
        </w:rPr>
        <w:t>”</w:t>
      </w:r>
      <w:r w:rsidR="005F43C3" w:rsidRPr="000B33B9">
        <w:rPr>
          <w:rFonts w:ascii="Verdana" w:eastAsia="Calibri" w:hAnsi="Verdana" w:cstheme="minorHAnsi"/>
          <w:sz w:val="20"/>
          <w:szCs w:val="20"/>
          <w:vertAlign w:val="superscript"/>
          <w:lang w:val="es-ES" w:eastAsia="es-ES"/>
        </w:rPr>
        <w:footnoteReference w:id="117"/>
      </w:r>
      <w:r w:rsidRPr="000B33B9">
        <w:rPr>
          <w:rFonts w:ascii="Verdana" w:eastAsia="Calibri" w:hAnsi="Verdana" w:cs="Times New Roman"/>
          <w:sz w:val="20"/>
          <w:szCs w:val="20"/>
          <w:lang w:val="es-ES"/>
        </w:rPr>
        <w:t xml:space="preserve">. </w:t>
      </w:r>
      <w:r w:rsidR="009257B3" w:rsidRPr="000B33B9">
        <w:rPr>
          <w:rFonts w:ascii="Verdana" w:eastAsia="Calibri" w:hAnsi="Verdana" w:cs="Times New Roman"/>
          <w:sz w:val="20"/>
          <w:szCs w:val="20"/>
          <w:lang w:val="es-ES"/>
        </w:rPr>
        <w:t>Adicionalmente</w:t>
      </w:r>
      <w:r w:rsidRPr="000B33B9">
        <w:rPr>
          <w:rFonts w:ascii="Verdana" w:eastAsia="Calibri" w:hAnsi="Verdana" w:cs="Times New Roman"/>
          <w:sz w:val="20"/>
          <w:szCs w:val="20"/>
          <w:lang w:val="es-ES"/>
        </w:rPr>
        <w:t>, señaló lo siguiente:</w:t>
      </w:r>
    </w:p>
    <w:p w14:paraId="7BF4706C" w14:textId="77777777" w:rsidR="00B86B27" w:rsidRPr="000B33B9" w:rsidRDefault="00B86B27" w:rsidP="00B86B27">
      <w:pPr>
        <w:spacing w:after="0" w:line="240" w:lineRule="auto"/>
        <w:ind w:left="706" w:right="1094"/>
        <w:jc w:val="both"/>
        <w:rPr>
          <w:rFonts w:ascii="Verdana" w:eastAsia="Calibri" w:hAnsi="Verdana" w:cs="Times New Roman"/>
          <w:sz w:val="20"/>
          <w:szCs w:val="20"/>
          <w:lang w:val="es-ES"/>
        </w:rPr>
      </w:pPr>
    </w:p>
    <w:p w14:paraId="6B89CECD" w14:textId="78292F1C" w:rsidR="00B86B27" w:rsidRPr="000B33B9" w:rsidRDefault="009257B3" w:rsidP="00B86B27">
      <w:pPr>
        <w:spacing w:after="0" w:line="240" w:lineRule="auto"/>
        <w:ind w:left="706" w:right="1094"/>
        <w:jc w:val="both"/>
        <w:rPr>
          <w:rFonts w:ascii="Verdana" w:eastAsia="Calibri" w:hAnsi="Verdana" w:cs="Times New Roman"/>
          <w:sz w:val="18"/>
          <w:szCs w:val="18"/>
          <w:lang w:val="es-CR"/>
        </w:rPr>
      </w:pPr>
      <w:r w:rsidRPr="000B33B9">
        <w:rPr>
          <w:rFonts w:ascii="Verdana" w:eastAsia="Calibri" w:hAnsi="Verdana" w:cs="Times New Roman"/>
          <w:sz w:val="18"/>
          <w:szCs w:val="18"/>
          <w:lang w:val="es-CR"/>
        </w:rPr>
        <w:t>“</w:t>
      </w:r>
      <w:r w:rsidR="005F43C3" w:rsidRPr="000B33B9">
        <w:rPr>
          <w:rFonts w:ascii="Verdana" w:eastAsia="Calibri" w:hAnsi="Verdana" w:cs="Times New Roman"/>
          <w:sz w:val="18"/>
          <w:szCs w:val="18"/>
          <w:lang w:val="es-CR"/>
        </w:rPr>
        <w:t>(…) S</w:t>
      </w:r>
      <w:r w:rsidR="00B86B27" w:rsidRPr="000B33B9">
        <w:rPr>
          <w:rFonts w:ascii="Verdana" w:eastAsia="Calibri" w:hAnsi="Verdana" w:cs="Times New Roman"/>
          <w:sz w:val="18"/>
          <w:szCs w:val="18"/>
          <w:lang w:val="es-CR"/>
        </w:rPr>
        <w:t>iendo esto así la demanda de autos implicaría nivelar las pensiones de los asociados de la recurrente con las remuneraciones del personal de la SUNAT comprendido en el régimen laboral de la actividad privada, lo que iría en contra de lo señalado por este Tribunal en reiterada jurisprudencia, conforme a la cual ‘la nivelación a que tienen derecho todos los pensionistas del Régimen del Decreto Ley N° 20530</w:t>
      </w:r>
      <w:r w:rsidR="00275D73" w:rsidRPr="000B33B9">
        <w:rPr>
          <w:rFonts w:ascii="Verdana" w:eastAsia="Calibri" w:hAnsi="Verdana" w:cs="Times New Roman"/>
          <w:sz w:val="18"/>
          <w:szCs w:val="18"/>
          <w:lang w:val="es-CR"/>
        </w:rPr>
        <w:t>,</w:t>
      </w:r>
      <w:r w:rsidR="00B86B27" w:rsidRPr="000B33B9">
        <w:rPr>
          <w:rFonts w:ascii="Verdana" w:eastAsia="Calibri" w:hAnsi="Verdana" w:cs="Times New Roman"/>
          <w:sz w:val="18"/>
          <w:szCs w:val="18"/>
          <w:lang w:val="es-CR"/>
        </w:rPr>
        <w:t xml:space="preserve"> debe efectuarse con los haberes del funcionario o trabajador que se encuentre en actividad en el mismo nivel, categoría y régimen laboral que ocupó el pensionista al momento de su cese, siendo inaplicable la nivelación entre regímenes previsionales distintos, así como en relación a trabajadores que a la fecha se encuentran en régimen laboral de la actividad privada’ </w:t>
      </w:r>
      <w:r w:rsidR="00B86B27" w:rsidRPr="000B33B9">
        <w:rPr>
          <w:rFonts w:ascii="Verdana" w:eastAsia="Calibri" w:hAnsi="Verdana" w:cs="Times New Roman"/>
          <w:sz w:val="18"/>
          <w:szCs w:val="18"/>
          <w:lang w:val="es-CO"/>
        </w:rPr>
        <w:t>(…)”</w:t>
      </w:r>
      <w:r w:rsidR="00B86B27" w:rsidRPr="000B33B9">
        <w:rPr>
          <w:rFonts w:ascii="Verdana" w:hAnsi="Verdana"/>
          <w:sz w:val="18"/>
          <w:szCs w:val="18"/>
          <w:lang w:val="es-ES"/>
        </w:rPr>
        <w:t>.</w:t>
      </w:r>
    </w:p>
    <w:p w14:paraId="20CF7A26" w14:textId="77777777" w:rsidR="00B86B27" w:rsidRPr="000B33B9" w:rsidRDefault="00B86B27" w:rsidP="00B86B27">
      <w:pPr>
        <w:spacing w:after="0" w:line="240" w:lineRule="auto"/>
        <w:ind w:left="720" w:right="540"/>
        <w:jc w:val="both"/>
        <w:rPr>
          <w:rFonts w:ascii="Verdana" w:eastAsia="Calibri" w:hAnsi="Verdana" w:cs="Times New Roman"/>
          <w:sz w:val="20"/>
          <w:szCs w:val="20"/>
          <w:lang w:val="es-CR"/>
        </w:rPr>
      </w:pPr>
    </w:p>
    <w:p w14:paraId="528DB807" w14:textId="79045F15" w:rsidR="00B86B27" w:rsidRPr="000B33B9" w:rsidRDefault="00B86B27" w:rsidP="007B74B8">
      <w:pPr>
        <w:pStyle w:val="Prrafodelista"/>
        <w:numPr>
          <w:ilvl w:val="0"/>
          <w:numId w:val="10"/>
        </w:numPr>
        <w:spacing w:after="0" w:line="240" w:lineRule="auto"/>
        <w:ind w:left="0" w:firstLine="0"/>
        <w:jc w:val="both"/>
        <w:rPr>
          <w:rFonts w:ascii="Verdana" w:hAnsi="Verdana"/>
          <w:sz w:val="20"/>
          <w:szCs w:val="20"/>
          <w:lang w:val="es-ES"/>
        </w:rPr>
      </w:pPr>
      <w:r w:rsidRPr="000B33B9">
        <w:rPr>
          <w:rFonts w:ascii="Verdana" w:eastAsia="Calibri" w:hAnsi="Verdana" w:cs="Times New Roman"/>
          <w:sz w:val="20"/>
          <w:szCs w:val="20"/>
          <w:lang w:val="es-ES" w:eastAsia="es-ES"/>
        </w:rPr>
        <w:t xml:space="preserve">El 1 de septiembre de 2011, ANCEJUB-SUNAT presentó una solicitud de aclaración de la referida sentencia. El 22 de septiembre de 2011, el Tribunal Constitucional declaró improcedente dicha </w:t>
      </w:r>
      <w:r w:rsidR="00BF7B40" w:rsidRPr="000B33B9">
        <w:rPr>
          <w:rFonts w:ascii="Verdana" w:eastAsia="Calibri" w:hAnsi="Verdana" w:cs="Times New Roman"/>
          <w:sz w:val="20"/>
          <w:szCs w:val="20"/>
          <w:lang w:val="es-ES" w:eastAsia="es-ES"/>
        </w:rPr>
        <w:t>solicitud</w:t>
      </w:r>
      <w:r w:rsidRPr="000B33B9">
        <w:rPr>
          <w:rFonts w:ascii="Verdana" w:hAnsi="Verdana"/>
          <w:sz w:val="20"/>
          <w:szCs w:val="20"/>
          <w:vertAlign w:val="superscript"/>
          <w:lang w:val="es-ES" w:eastAsia="es-ES"/>
        </w:rPr>
        <w:footnoteReference w:id="118"/>
      </w:r>
      <w:r w:rsidRPr="000B33B9">
        <w:rPr>
          <w:rFonts w:ascii="Verdana" w:hAnsi="Verdana"/>
          <w:sz w:val="20"/>
          <w:szCs w:val="20"/>
          <w:lang w:val="es-ES"/>
        </w:rPr>
        <w:t>.</w:t>
      </w:r>
    </w:p>
    <w:p w14:paraId="21D9D589" w14:textId="77777777" w:rsidR="00B86B27" w:rsidRPr="000B33B9" w:rsidRDefault="00B86B27" w:rsidP="00B86B27">
      <w:pPr>
        <w:spacing w:after="0" w:line="240" w:lineRule="auto"/>
        <w:jc w:val="both"/>
        <w:rPr>
          <w:rFonts w:ascii="Verdana" w:eastAsia="Calibri" w:hAnsi="Verdana" w:cs="Times New Roman"/>
          <w:b/>
          <w:sz w:val="20"/>
          <w:szCs w:val="20"/>
          <w:lang w:val="es-ES" w:eastAsia="es-ES"/>
        </w:rPr>
      </w:pPr>
    </w:p>
    <w:p w14:paraId="3CE1BF50" w14:textId="24C87036" w:rsidR="00B86B27" w:rsidRPr="000B33B9" w:rsidRDefault="00F27910" w:rsidP="007B74AD">
      <w:pPr>
        <w:pStyle w:val="Ttulo2"/>
      </w:pPr>
      <w:bookmarkStart w:id="55" w:name="_Toc27329762"/>
      <w:r w:rsidRPr="000B33B9">
        <w:t>R</w:t>
      </w:r>
      <w:r w:rsidR="00B86B27" w:rsidRPr="000B33B9">
        <w:t xml:space="preserve">ecursos </w:t>
      </w:r>
      <w:r w:rsidRPr="000B33B9">
        <w:t>intentados</w:t>
      </w:r>
      <w:r w:rsidR="00B86B27" w:rsidRPr="000B33B9">
        <w:t xml:space="preserve"> por el señor Ipanaqué</w:t>
      </w:r>
      <w:bookmarkEnd w:id="55"/>
    </w:p>
    <w:p w14:paraId="3B753209" w14:textId="77777777" w:rsidR="00B86B27" w:rsidRPr="000B33B9" w:rsidRDefault="00B86B27" w:rsidP="00B86B27">
      <w:pPr>
        <w:tabs>
          <w:tab w:val="left" w:pos="3710"/>
        </w:tabs>
        <w:spacing w:after="0" w:line="240" w:lineRule="auto"/>
        <w:rPr>
          <w:rFonts w:ascii="Verdana" w:hAnsi="Verdana"/>
          <w:sz w:val="20"/>
          <w:szCs w:val="20"/>
          <w:lang w:val="es-DO"/>
        </w:rPr>
      </w:pPr>
    </w:p>
    <w:p w14:paraId="1A0D522C" w14:textId="0A11A606" w:rsidR="00B86B27" w:rsidRPr="000B33B9" w:rsidRDefault="00B86B27" w:rsidP="007B74B8">
      <w:pPr>
        <w:pStyle w:val="Prrafodelista"/>
        <w:numPr>
          <w:ilvl w:val="0"/>
          <w:numId w:val="10"/>
        </w:numPr>
        <w:spacing w:after="0" w:line="240" w:lineRule="auto"/>
        <w:ind w:left="0" w:firstLine="0"/>
        <w:jc w:val="both"/>
        <w:rPr>
          <w:rFonts w:ascii="Verdana" w:hAnsi="Verdana"/>
          <w:sz w:val="20"/>
          <w:szCs w:val="20"/>
          <w:lang w:val="es-ES"/>
        </w:rPr>
      </w:pPr>
      <w:r w:rsidRPr="000B33B9">
        <w:rPr>
          <w:rFonts w:ascii="Verdana" w:eastAsia="Calibri" w:hAnsi="Verdana" w:cs="Times New Roman"/>
          <w:sz w:val="20"/>
          <w:szCs w:val="20"/>
          <w:lang w:val="es-ES" w:eastAsia="es-ES"/>
        </w:rPr>
        <w:t xml:space="preserve">El 10 de marzo de 1999, el señor Rafael Ipanaqué Centeno (en </w:t>
      </w:r>
      <w:r w:rsidR="00DC4147" w:rsidRPr="000B33B9">
        <w:rPr>
          <w:rFonts w:ascii="Verdana" w:eastAsia="Calibri" w:hAnsi="Verdana" w:cs="Times New Roman"/>
          <w:sz w:val="20"/>
          <w:szCs w:val="20"/>
          <w:lang w:val="es-ES" w:eastAsia="es-ES"/>
        </w:rPr>
        <w:t>adelante “</w:t>
      </w:r>
      <w:r w:rsidRPr="000B33B9">
        <w:rPr>
          <w:rFonts w:ascii="Verdana" w:eastAsia="Calibri" w:hAnsi="Verdana" w:cs="Times New Roman"/>
          <w:sz w:val="20"/>
          <w:szCs w:val="20"/>
          <w:lang w:val="es-ES" w:eastAsia="es-ES"/>
        </w:rPr>
        <w:t>señor Ipanaqué”), integrante de ANCEJUB-SUNAT, presentó a título personal un recurso ante el Primer Juzgado Corporativo para que ordenara a la SUNAT cumplir con lo dispuesto por la sentencia</w:t>
      </w:r>
      <w:r w:rsidR="00275D73" w:rsidRPr="000B33B9">
        <w:rPr>
          <w:rFonts w:ascii="Verdana" w:eastAsia="Calibri" w:hAnsi="Verdana" w:cs="Times New Roman"/>
          <w:sz w:val="20"/>
          <w:szCs w:val="20"/>
          <w:lang w:val="es-ES" w:eastAsia="es-ES"/>
        </w:rPr>
        <w:t xml:space="preserve"> de la Corte Suprema</w:t>
      </w:r>
      <w:r w:rsidRPr="000B33B9">
        <w:rPr>
          <w:rFonts w:ascii="Verdana" w:eastAsia="Calibri" w:hAnsi="Verdana" w:cs="Times New Roman"/>
          <w:sz w:val="20"/>
          <w:szCs w:val="20"/>
          <w:lang w:val="es-ES" w:eastAsia="es-ES"/>
        </w:rPr>
        <w:t xml:space="preserve"> de 25 de octubre de 1993</w:t>
      </w:r>
      <w:r w:rsidRPr="000B33B9">
        <w:rPr>
          <w:rFonts w:ascii="Verdana" w:hAnsi="Verdana"/>
          <w:sz w:val="20"/>
          <w:szCs w:val="20"/>
          <w:vertAlign w:val="superscript"/>
          <w:lang w:val="es-ES" w:eastAsia="es-ES"/>
        </w:rPr>
        <w:footnoteReference w:id="119"/>
      </w:r>
      <w:r w:rsidRPr="000B33B9">
        <w:rPr>
          <w:rFonts w:ascii="Verdana" w:hAnsi="Verdana"/>
          <w:sz w:val="20"/>
          <w:szCs w:val="20"/>
          <w:lang w:val="es-ES"/>
        </w:rPr>
        <w:t>.</w:t>
      </w:r>
      <w:r w:rsidR="00DC4147" w:rsidRPr="000B33B9">
        <w:rPr>
          <w:rFonts w:ascii="Verdana" w:hAnsi="Verdana"/>
          <w:sz w:val="20"/>
          <w:szCs w:val="20"/>
          <w:lang w:val="es-ES"/>
        </w:rPr>
        <w:t xml:space="preserve"> </w:t>
      </w:r>
      <w:r w:rsidRPr="000B33B9">
        <w:rPr>
          <w:rFonts w:ascii="Verdana" w:hAnsi="Verdana"/>
          <w:sz w:val="20"/>
          <w:szCs w:val="20"/>
          <w:lang w:val="es-ES"/>
        </w:rPr>
        <w:t>De modo concomitante y en la misma fecha, el señor Ipanaqué solicitó directamente a la SUNAT que diera cumplimiento a la sentencia</w:t>
      </w:r>
      <w:r w:rsidRPr="000B33B9">
        <w:rPr>
          <w:rStyle w:val="Refdenotaalpie"/>
          <w:rFonts w:ascii="Verdana" w:hAnsi="Verdana"/>
          <w:sz w:val="20"/>
          <w:szCs w:val="20"/>
          <w:lang w:val="es-ES"/>
        </w:rPr>
        <w:footnoteReference w:id="120"/>
      </w:r>
      <w:r w:rsidRPr="000B33B9">
        <w:rPr>
          <w:rFonts w:ascii="Verdana" w:hAnsi="Verdana"/>
          <w:sz w:val="20"/>
          <w:szCs w:val="20"/>
          <w:lang w:val="es-ES"/>
        </w:rPr>
        <w:t xml:space="preserve">. </w:t>
      </w:r>
      <w:r w:rsidRPr="000B33B9">
        <w:rPr>
          <w:rFonts w:ascii="Verdana" w:eastAsia="Calibri" w:hAnsi="Verdana" w:cs="Times New Roman"/>
          <w:sz w:val="20"/>
          <w:szCs w:val="20"/>
          <w:lang w:val="es-ES" w:eastAsia="es-ES"/>
        </w:rPr>
        <w:t>El 16 de marzo de 1999, el señor Ipanaqué remitió una comunicación al Superintendente Nacional de Administración Tributaria mediante la cual reiteró la solicitud anterior, requiriéndole además que agilizara su expediente</w:t>
      </w:r>
      <w:r w:rsidRPr="000B33B9">
        <w:rPr>
          <w:rStyle w:val="Refdenotaalpie"/>
          <w:rFonts w:ascii="Verdana" w:eastAsia="Calibri" w:hAnsi="Verdana" w:cs="Times New Roman"/>
          <w:sz w:val="20"/>
          <w:szCs w:val="20"/>
          <w:lang w:val="es-ES" w:eastAsia="es-ES"/>
        </w:rPr>
        <w:footnoteReference w:id="121"/>
      </w:r>
      <w:r w:rsidRPr="000B33B9">
        <w:rPr>
          <w:rFonts w:ascii="Verdana" w:eastAsia="Calibri" w:hAnsi="Verdana" w:cs="Times New Roman"/>
          <w:sz w:val="20"/>
          <w:szCs w:val="20"/>
          <w:lang w:val="es-ES" w:eastAsia="es-ES"/>
        </w:rPr>
        <w:t xml:space="preserve">. En la misma fecha, </w:t>
      </w:r>
      <w:r w:rsidRPr="000B33B9">
        <w:rPr>
          <w:rFonts w:ascii="Verdana" w:eastAsia="Calibri" w:hAnsi="Verdana" w:cs="Arial"/>
          <w:sz w:val="20"/>
          <w:szCs w:val="20"/>
          <w:lang w:val="es-DO" w:eastAsia="ko-KR"/>
        </w:rPr>
        <w:t xml:space="preserve">solicitó al </w:t>
      </w:r>
      <w:r w:rsidRPr="000B33B9">
        <w:rPr>
          <w:rFonts w:ascii="Verdana" w:eastAsia="Calibri" w:hAnsi="Verdana" w:cs="Times New Roman"/>
          <w:sz w:val="20"/>
          <w:szCs w:val="20"/>
          <w:lang w:val="es-ES" w:eastAsia="es-ES"/>
        </w:rPr>
        <w:t>Primer Juzgado Corporativo que oficiara a la SUNAT para que esta cumpliera con liquidar sus pensiones niveladas y reintegros</w:t>
      </w:r>
      <w:r w:rsidRPr="000B33B9">
        <w:rPr>
          <w:rStyle w:val="Refdenotaalpie"/>
          <w:rFonts w:ascii="Verdana" w:eastAsia="Calibri" w:hAnsi="Verdana" w:cs="Times New Roman"/>
          <w:sz w:val="20"/>
          <w:szCs w:val="20"/>
          <w:lang w:val="es-ES" w:eastAsia="es-ES"/>
        </w:rPr>
        <w:footnoteReference w:id="122"/>
      </w:r>
      <w:r w:rsidRPr="000B33B9">
        <w:rPr>
          <w:rFonts w:ascii="Verdana" w:eastAsia="Calibri" w:hAnsi="Verdana" w:cs="Times New Roman"/>
          <w:sz w:val="20"/>
          <w:szCs w:val="20"/>
          <w:lang w:val="es-ES" w:eastAsia="es-ES"/>
        </w:rPr>
        <w:t>. El 29 de marzo de 1999, el señor Ipanaqué plasmó en una carta notarial su solicitud de cumplimiento a la SUNAT, que fue recibida por dicha institución el 5 de abril de 1999</w:t>
      </w:r>
      <w:r w:rsidRPr="000B33B9">
        <w:rPr>
          <w:rStyle w:val="Refdenotaalpie"/>
          <w:rFonts w:ascii="Verdana" w:eastAsia="Calibri" w:hAnsi="Verdana" w:cs="Times New Roman"/>
          <w:sz w:val="20"/>
          <w:szCs w:val="20"/>
          <w:lang w:val="es-ES" w:eastAsia="es-ES"/>
        </w:rPr>
        <w:footnoteReference w:id="123"/>
      </w:r>
      <w:r w:rsidRPr="000B33B9">
        <w:rPr>
          <w:rFonts w:ascii="Verdana" w:eastAsia="Calibri" w:hAnsi="Verdana" w:cs="Times New Roman"/>
          <w:sz w:val="20"/>
          <w:szCs w:val="20"/>
          <w:lang w:val="es-ES" w:eastAsia="es-ES"/>
        </w:rPr>
        <w:t>.</w:t>
      </w:r>
    </w:p>
    <w:p w14:paraId="0C161FBB" w14:textId="77777777" w:rsidR="00B86B27" w:rsidRPr="000B33B9" w:rsidRDefault="00B86B27" w:rsidP="00B86B27">
      <w:pPr>
        <w:pStyle w:val="Prrafodelista"/>
        <w:spacing w:after="0" w:line="240" w:lineRule="auto"/>
        <w:ind w:left="0"/>
        <w:jc w:val="both"/>
        <w:rPr>
          <w:rFonts w:ascii="Verdana" w:hAnsi="Verdana"/>
          <w:sz w:val="20"/>
          <w:szCs w:val="20"/>
          <w:lang w:val="es-ES"/>
        </w:rPr>
      </w:pPr>
    </w:p>
    <w:p w14:paraId="47CBEFD2" w14:textId="601F7FD8" w:rsidR="00B86B27" w:rsidRPr="000B33B9" w:rsidRDefault="00B86B27" w:rsidP="007B74B8">
      <w:pPr>
        <w:pStyle w:val="Prrafodelista"/>
        <w:numPr>
          <w:ilvl w:val="0"/>
          <w:numId w:val="10"/>
        </w:numPr>
        <w:spacing w:after="0" w:line="240" w:lineRule="auto"/>
        <w:ind w:left="0" w:firstLine="0"/>
        <w:jc w:val="both"/>
        <w:rPr>
          <w:rFonts w:ascii="Verdana" w:hAnsi="Verdana"/>
          <w:sz w:val="20"/>
          <w:szCs w:val="20"/>
          <w:lang w:val="es-ES"/>
        </w:rPr>
      </w:pPr>
      <w:r w:rsidRPr="000B33B9">
        <w:rPr>
          <w:rFonts w:ascii="Verdana" w:eastAsia="Calibri" w:hAnsi="Verdana" w:cs="Times New Roman"/>
          <w:sz w:val="20"/>
          <w:szCs w:val="20"/>
          <w:lang w:val="es-ES" w:eastAsia="es-ES"/>
        </w:rPr>
        <w:t xml:space="preserve">El 30 de marzo de 1999, el Primer Juzgado Corporativo ordenó a la SUNAT que cumpliera cabalmente con la sentencia, en el plazo de </w:t>
      </w:r>
      <w:r w:rsidR="00057F15" w:rsidRPr="000B33B9">
        <w:rPr>
          <w:rFonts w:ascii="Verdana" w:eastAsia="Calibri" w:hAnsi="Verdana" w:cs="Times New Roman"/>
          <w:sz w:val="20"/>
          <w:szCs w:val="20"/>
          <w:lang w:val="es-ES" w:eastAsia="es-ES"/>
        </w:rPr>
        <w:t>10</w:t>
      </w:r>
      <w:r w:rsidRPr="000B33B9">
        <w:rPr>
          <w:rFonts w:ascii="Verdana" w:eastAsia="Calibri" w:hAnsi="Verdana" w:cs="Times New Roman"/>
          <w:sz w:val="20"/>
          <w:szCs w:val="20"/>
          <w:lang w:val="es-ES" w:eastAsia="es-ES"/>
        </w:rPr>
        <w:t xml:space="preserve"> días</w:t>
      </w:r>
      <w:r w:rsidRPr="000B33B9">
        <w:rPr>
          <w:rStyle w:val="Refdenotaalpie"/>
          <w:rFonts w:ascii="Verdana" w:eastAsia="Calibri" w:hAnsi="Verdana" w:cs="Times New Roman"/>
          <w:sz w:val="20"/>
          <w:szCs w:val="20"/>
          <w:lang w:val="es-ES" w:eastAsia="es-ES"/>
        </w:rPr>
        <w:footnoteReference w:id="124"/>
      </w:r>
      <w:r w:rsidRPr="000B33B9">
        <w:rPr>
          <w:rFonts w:ascii="Verdana" w:eastAsia="Calibri" w:hAnsi="Verdana" w:cs="Times New Roman"/>
          <w:sz w:val="20"/>
          <w:szCs w:val="20"/>
          <w:lang w:val="es-ES" w:eastAsia="es-ES"/>
        </w:rPr>
        <w:t>. El 5 de abril de 1999, la SUNAT contestó los requerimientos del señor Ipanaqué alegando que este debía presentar la solicitud ante “</w:t>
      </w:r>
      <w:r w:rsidR="0015446E" w:rsidRPr="000B33B9">
        <w:rPr>
          <w:rFonts w:ascii="Verdana" w:eastAsia="Calibri" w:hAnsi="Verdana" w:cs="Times New Roman"/>
          <w:sz w:val="20"/>
          <w:szCs w:val="20"/>
          <w:lang w:val="es-ES" w:eastAsia="es-ES"/>
        </w:rPr>
        <w:t xml:space="preserve">(…) </w:t>
      </w:r>
      <w:r w:rsidRPr="000B33B9">
        <w:rPr>
          <w:rFonts w:ascii="Verdana" w:eastAsia="Calibri" w:hAnsi="Verdana" w:cs="Times New Roman"/>
          <w:sz w:val="20"/>
          <w:szCs w:val="20"/>
          <w:lang w:val="es-ES" w:eastAsia="es-ES"/>
        </w:rPr>
        <w:t>la autoridad administrativa que mantenga su acervo documental, los cuales se encuentran en poder del Ministerio de Economía y Finanzas o en la Oficina de Normalización Previsional”</w:t>
      </w:r>
      <w:r w:rsidRPr="000B33B9">
        <w:rPr>
          <w:rStyle w:val="Refdenotaalpie"/>
          <w:rFonts w:ascii="Verdana" w:eastAsia="Calibri" w:hAnsi="Verdana" w:cs="Times New Roman"/>
          <w:sz w:val="20"/>
          <w:szCs w:val="20"/>
          <w:lang w:val="es-ES" w:eastAsia="es-ES"/>
        </w:rPr>
        <w:footnoteReference w:id="125"/>
      </w:r>
      <w:r w:rsidRPr="000B33B9">
        <w:rPr>
          <w:rFonts w:ascii="Verdana" w:eastAsia="Calibri" w:hAnsi="Verdana" w:cs="Times New Roman"/>
          <w:sz w:val="20"/>
          <w:szCs w:val="20"/>
          <w:lang w:val="es-ES" w:eastAsia="es-ES"/>
        </w:rPr>
        <w:t>. El 12 de abril de 1999, el señor Ipanaqué respondió a la SUNAT que su carta del 5 de abril era “ilegal e inaplicable”, por lo que le solicitó que la dejara sin efecto y en cambio cumpliera con lo dispuesto el 30 de marzo por el Primer Juzgado Corporativo</w:t>
      </w:r>
      <w:r w:rsidRPr="000B33B9">
        <w:rPr>
          <w:rStyle w:val="Refdenotaalpie"/>
          <w:rFonts w:ascii="Verdana" w:eastAsia="Calibri" w:hAnsi="Verdana" w:cs="Times New Roman"/>
          <w:sz w:val="20"/>
          <w:szCs w:val="20"/>
          <w:lang w:val="es-ES" w:eastAsia="es-ES"/>
        </w:rPr>
        <w:footnoteReference w:id="126"/>
      </w:r>
      <w:r w:rsidRPr="000B33B9">
        <w:rPr>
          <w:rFonts w:ascii="Verdana" w:hAnsi="Verdana"/>
          <w:sz w:val="20"/>
          <w:szCs w:val="20"/>
          <w:lang w:val="es-ES"/>
        </w:rPr>
        <w:t>.</w:t>
      </w:r>
    </w:p>
    <w:p w14:paraId="75BC2F8A" w14:textId="77777777" w:rsidR="00B86B27" w:rsidRPr="000B33B9" w:rsidRDefault="00B86B27" w:rsidP="00B86B27">
      <w:pPr>
        <w:pStyle w:val="Prrafodelista"/>
        <w:spacing w:after="0" w:line="240" w:lineRule="auto"/>
        <w:ind w:left="0"/>
        <w:jc w:val="both"/>
        <w:rPr>
          <w:rFonts w:ascii="Verdana" w:hAnsi="Verdana"/>
          <w:sz w:val="20"/>
          <w:szCs w:val="20"/>
          <w:lang w:val="es-ES"/>
        </w:rPr>
      </w:pPr>
    </w:p>
    <w:p w14:paraId="4F78C2AF" w14:textId="2B09CD32" w:rsidR="00B86B27" w:rsidRPr="000B33B9" w:rsidRDefault="00B86B27" w:rsidP="007B74B8">
      <w:pPr>
        <w:pStyle w:val="Prrafodelista"/>
        <w:numPr>
          <w:ilvl w:val="0"/>
          <w:numId w:val="10"/>
        </w:numPr>
        <w:spacing w:after="0" w:line="240" w:lineRule="auto"/>
        <w:ind w:left="0" w:firstLine="0"/>
        <w:jc w:val="both"/>
        <w:rPr>
          <w:rFonts w:ascii="Verdana" w:hAnsi="Verdana"/>
          <w:sz w:val="20"/>
          <w:szCs w:val="20"/>
          <w:lang w:val="es-ES"/>
        </w:rPr>
      </w:pPr>
      <w:r w:rsidRPr="000B33B9">
        <w:rPr>
          <w:rFonts w:ascii="Verdana" w:eastAsia="Calibri" w:hAnsi="Verdana" w:cs="Times New Roman"/>
          <w:sz w:val="20"/>
          <w:szCs w:val="20"/>
          <w:lang w:val="es-ES" w:eastAsia="es-ES"/>
        </w:rPr>
        <w:t>El 26 de abril de 1999, el señor Ipanaqué dirigió otra comunicación a la SUNAT para exigirle “por quinta vez” que ejecutara la sentencia de 25 de octubre de 1993 y las posteriores resoluciones que la confirmaron</w:t>
      </w:r>
      <w:r w:rsidRPr="000B33B9">
        <w:rPr>
          <w:rStyle w:val="Refdenotaalpie"/>
          <w:rFonts w:ascii="Verdana" w:eastAsia="Calibri" w:hAnsi="Verdana" w:cs="Times New Roman"/>
          <w:sz w:val="20"/>
          <w:szCs w:val="20"/>
          <w:lang w:val="es-ES" w:eastAsia="es-ES"/>
        </w:rPr>
        <w:footnoteReference w:id="127"/>
      </w:r>
      <w:r w:rsidRPr="000B33B9">
        <w:rPr>
          <w:rFonts w:ascii="Verdana" w:hAnsi="Verdana"/>
          <w:sz w:val="20"/>
          <w:szCs w:val="20"/>
          <w:lang w:val="es-ES"/>
        </w:rPr>
        <w:t>.</w:t>
      </w:r>
      <w:r w:rsidR="00057F15" w:rsidRPr="000B33B9">
        <w:rPr>
          <w:rFonts w:ascii="Verdana" w:hAnsi="Verdana"/>
          <w:sz w:val="20"/>
          <w:szCs w:val="20"/>
          <w:lang w:val="es-ES"/>
        </w:rPr>
        <w:t xml:space="preserve"> </w:t>
      </w:r>
      <w:r w:rsidRPr="000B33B9">
        <w:rPr>
          <w:rFonts w:ascii="Verdana" w:hAnsi="Verdana"/>
          <w:sz w:val="20"/>
          <w:szCs w:val="20"/>
          <w:lang w:val="es-ES"/>
        </w:rPr>
        <w:t xml:space="preserve">El mismo día, el señor Ipanaqué solicitó nuevamente al </w:t>
      </w:r>
      <w:r w:rsidRPr="000B33B9">
        <w:rPr>
          <w:rFonts w:ascii="Verdana" w:eastAsia="Calibri" w:hAnsi="Verdana" w:cs="Times New Roman"/>
          <w:sz w:val="20"/>
          <w:szCs w:val="20"/>
          <w:lang w:val="es-ES" w:eastAsia="es-ES"/>
        </w:rPr>
        <w:t>Primer Juzgado Corporativo que ordenara a la SUNAT cumplir con la resolución de 30 de marzo de 1999 “</w:t>
      </w:r>
      <w:r w:rsidR="00275D73" w:rsidRPr="000B33B9">
        <w:rPr>
          <w:rFonts w:ascii="Verdana" w:eastAsia="Calibri" w:hAnsi="Verdana" w:cs="Times New Roman"/>
          <w:sz w:val="20"/>
          <w:szCs w:val="20"/>
          <w:lang w:val="es-ES" w:eastAsia="es-ES"/>
        </w:rPr>
        <w:t xml:space="preserve">(…) </w:t>
      </w:r>
      <w:r w:rsidRPr="000B33B9">
        <w:rPr>
          <w:rFonts w:ascii="Verdana" w:eastAsia="Calibri" w:hAnsi="Verdana" w:cs="Times New Roman"/>
          <w:sz w:val="20"/>
          <w:szCs w:val="20"/>
          <w:lang w:val="es-ES" w:eastAsia="es-ES"/>
        </w:rPr>
        <w:t>bajo apercibimiento de ejercitarse la acción penal pertinente”</w:t>
      </w:r>
      <w:r w:rsidRPr="000B33B9">
        <w:rPr>
          <w:rStyle w:val="Refdenotaalpie"/>
          <w:rFonts w:ascii="Verdana" w:eastAsia="Calibri" w:hAnsi="Verdana" w:cs="Times New Roman"/>
          <w:sz w:val="20"/>
          <w:szCs w:val="20"/>
          <w:lang w:val="es-ES" w:eastAsia="es-ES"/>
        </w:rPr>
        <w:footnoteReference w:id="128"/>
      </w:r>
      <w:r w:rsidRPr="000B33B9">
        <w:rPr>
          <w:rFonts w:ascii="Verdana" w:eastAsia="Calibri" w:hAnsi="Verdana" w:cs="Times New Roman"/>
          <w:sz w:val="20"/>
          <w:szCs w:val="20"/>
          <w:lang w:val="es-ES" w:eastAsia="es-ES"/>
        </w:rPr>
        <w:t xml:space="preserve">. </w:t>
      </w:r>
      <w:r w:rsidRPr="000B33B9">
        <w:rPr>
          <w:rFonts w:ascii="Verdana" w:hAnsi="Verdana"/>
          <w:sz w:val="20"/>
          <w:szCs w:val="20"/>
          <w:lang w:val="es-ES"/>
        </w:rPr>
        <w:t xml:space="preserve">El 29 de abril de 1999, el </w:t>
      </w:r>
      <w:r w:rsidRPr="000B33B9">
        <w:rPr>
          <w:rFonts w:ascii="Verdana" w:eastAsia="Calibri" w:hAnsi="Verdana" w:cs="Times New Roman"/>
          <w:sz w:val="20"/>
          <w:szCs w:val="20"/>
          <w:lang w:val="es-ES" w:eastAsia="es-ES"/>
        </w:rPr>
        <w:t>Primer Juzgado Corporativo anuló la resolución de 30 marzo de 1999, declaró “</w:t>
      </w:r>
      <w:r w:rsidR="0015446E" w:rsidRPr="000B33B9">
        <w:rPr>
          <w:rFonts w:ascii="Verdana" w:eastAsia="Calibri" w:hAnsi="Verdana" w:cs="Times New Roman"/>
          <w:sz w:val="20"/>
          <w:szCs w:val="20"/>
          <w:lang w:val="es-ES" w:eastAsia="es-ES"/>
        </w:rPr>
        <w:t xml:space="preserve">(…) </w:t>
      </w:r>
      <w:r w:rsidRPr="000B33B9">
        <w:rPr>
          <w:rFonts w:ascii="Verdana" w:eastAsia="Calibri" w:hAnsi="Verdana" w:cs="Times New Roman"/>
          <w:sz w:val="20"/>
          <w:szCs w:val="20"/>
          <w:lang w:val="es-ES" w:eastAsia="es-ES"/>
        </w:rPr>
        <w:t>insubsis</w:t>
      </w:r>
      <w:r w:rsidR="00B029D3" w:rsidRPr="000B33B9">
        <w:rPr>
          <w:rFonts w:ascii="Verdana" w:eastAsia="Calibri" w:hAnsi="Verdana" w:cs="Times New Roman"/>
          <w:sz w:val="20"/>
          <w:szCs w:val="20"/>
          <w:lang w:val="es-ES" w:eastAsia="es-ES"/>
        </w:rPr>
        <w:t>tente todo lo actuado respecto de</w:t>
      </w:r>
      <w:r w:rsidRPr="000B33B9">
        <w:rPr>
          <w:rFonts w:ascii="Verdana" w:eastAsia="Calibri" w:hAnsi="Verdana" w:cs="Times New Roman"/>
          <w:sz w:val="20"/>
          <w:szCs w:val="20"/>
          <w:lang w:val="es-ES" w:eastAsia="es-ES"/>
        </w:rPr>
        <w:t xml:space="preserve"> la intervención de don Rafael Ipanaqué Centeno”</w:t>
      </w:r>
      <w:r w:rsidR="0015446E" w:rsidRPr="000B33B9">
        <w:rPr>
          <w:rFonts w:ascii="Verdana" w:hAnsi="Verdana"/>
          <w:sz w:val="20"/>
          <w:szCs w:val="20"/>
          <w:vertAlign w:val="superscript"/>
          <w:lang w:val="es-ES" w:eastAsia="es-ES"/>
        </w:rPr>
        <w:footnoteReference w:id="129"/>
      </w:r>
      <w:r w:rsidRPr="000B33B9">
        <w:rPr>
          <w:rFonts w:ascii="Verdana" w:eastAsia="Calibri" w:hAnsi="Verdana" w:cs="Times New Roman"/>
          <w:sz w:val="20"/>
          <w:szCs w:val="20"/>
          <w:lang w:val="es-ES" w:eastAsia="es-ES"/>
        </w:rPr>
        <w:t xml:space="preserve"> y consideró lo siguiente:</w:t>
      </w:r>
    </w:p>
    <w:p w14:paraId="66D18FA9" w14:textId="77777777" w:rsidR="00B86B27" w:rsidRPr="000B33B9" w:rsidRDefault="00B86B27" w:rsidP="00B86B27">
      <w:pPr>
        <w:spacing w:after="0" w:line="240" w:lineRule="auto"/>
        <w:jc w:val="both"/>
        <w:rPr>
          <w:rFonts w:ascii="Verdana" w:eastAsia="Calibri" w:hAnsi="Verdana" w:cs="Times New Roman"/>
          <w:sz w:val="20"/>
          <w:szCs w:val="20"/>
          <w:lang w:val="es-ES" w:eastAsia="es-ES"/>
        </w:rPr>
      </w:pPr>
    </w:p>
    <w:p w14:paraId="1081294E" w14:textId="5979404A" w:rsidR="00B86B27" w:rsidRPr="000B33B9" w:rsidRDefault="00B86B27" w:rsidP="00B86B27">
      <w:pPr>
        <w:spacing w:after="0" w:line="240" w:lineRule="auto"/>
        <w:ind w:left="706" w:right="1094"/>
        <w:jc w:val="both"/>
        <w:rPr>
          <w:rFonts w:ascii="Verdana" w:eastAsia="Calibri" w:hAnsi="Verdana" w:cs="Times New Roman"/>
          <w:sz w:val="18"/>
          <w:szCs w:val="18"/>
          <w:lang w:val="es-ES" w:eastAsia="es-ES"/>
        </w:rPr>
      </w:pPr>
      <w:r w:rsidRPr="000B33B9">
        <w:rPr>
          <w:rFonts w:ascii="Verdana" w:eastAsia="Calibri" w:hAnsi="Verdana" w:cs="Times New Roman"/>
          <w:sz w:val="18"/>
          <w:szCs w:val="18"/>
          <w:lang w:val="es-ES" w:eastAsia="es-ES"/>
        </w:rPr>
        <w:t xml:space="preserve">“(...) </w:t>
      </w:r>
      <w:r w:rsidR="00B029D3" w:rsidRPr="000B33B9">
        <w:rPr>
          <w:rFonts w:ascii="Verdana" w:eastAsia="Calibri" w:hAnsi="Verdana" w:cs="Times New Roman"/>
          <w:sz w:val="18"/>
          <w:szCs w:val="18"/>
          <w:lang w:val="es-ES" w:eastAsia="es-ES"/>
        </w:rPr>
        <w:t>[</w:t>
      </w:r>
      <w:r w:rsidRPr="000B33B9">
        <w:rPr>
          <w:rFonts w:ascii="Verdana" w:eastAsia="Calibri" w:hAnsi="Verdana" w:cs="Times New Roman"/>
          <w:sz w:val="18"/>
          <w:szCs w:val="18"/>
          <w:lang w:val="es-ES" w:eastAsia="es-ES"/>
        </w:rPr>
        <w:t>S</w:t>
      </w:r>
      <w:r w:rsidR="00B029D3" w:rsidRPr="000B33B9">
        <w:rPr>
          <w:rFonts w:ascii="Verdana" w:eastAsia="Calibri" w:hAnsi="Verdana" w:cs="Times New Roman"/>
          <w:sz w:val="18"/>
          <w:szCs w:val="18"/>
          <w:lang w:val="es-ES" w:eastAsia="es-ES"/>
        </w:rPr>
        <w:t>]i bien es cierto</w:t>
      </w:r>
      <w:r w:rsidRPr="000B33B9">
        <w:rPr>
          <w:rFonts w:ascii="Verdana" w:eastAsia="Calibri" w:hAnsi="Verdana" w:cs="Times New Roman"/>
          <w:sz w:val="18"/>
          <w:szCs w:val="18"/>
          <w:lang w:val="es-ES" w:eastAsia="es-ES"/>
        </w:rPr>
        <w:t xml:space="preserve"> don Rafael Ipanaqué Centeno es socio integrante de la Asociación Nacional de Cesantes de la SUNAT, no ha acreditado la existencia de intereses para litigar por separado, tanto más si se tiene en cuenta que de apersonarse los numerosos miembros de la referida asociación, harían sumam</w:t>
      </w:r>
      <w:r w:rsidR="00B029D3" w:rsidRPr="000B33B9">
        <w:rPr>
          <w:rFonts w:ascii="Verdana" w:eastAsia="Calibri" w:hAnsi="Verdana" w:cs="Times New Roman"/>
          <w:sz w:val="18"/>
          <w:szCs w:val="18"/>
          <w:lang w:val="es-ES" w:eastAsia="es-ES"/>
        </w:rPr>
        <w:t>ente engorroso el trámite (...) [p]</w:t>
      </w:r>
      <w:r w:rsidRPr="000B33B9">
        <w:rPr>
          <w:rFonts w:ascii="Verdana" w:eastAsia="Calibri" w:hAnsi="Verdana" w:cs="Times New Roman"/>
          <w:sz w:val="18"/>
          <w:szCs w:val="18"/>
          <w:lang w:val="es-ES" w:eastAsia="es-ES"/>
        </w:rPr>
        <w:t>or resolución de [2] de octubre del año (...) pasado claramente se ha precisado que los demandantes con el antecedente jurisdiccional que constituye cosa juzgada, instauren individualmente el pertinente trámite administrativo y/o jurisdiccional en su caso, dirigiéndose ante la entidad que conserva el acervo documentario de sus pensiones y no en el present</w:t>
      </w:r>
      <w:r w:rsidR="00B029D3" w:rsidRPr="000B33B9">
        <w:rPr>
          <w:rFonts w:ascii="Verdana" w:eastAsia="Calibri" w:hAnsi="Verdana" w:cs="Times New Roman"/>
          <w:sz w:val="18"/>
          <w:szCs w:val="18"/>
          <w:lang w:val="es-ES" w:eastAsia="es-ES"/>
        </w:rPr>
        <w:t>e proceso que carece del mismo”</w:t>
      </w:r>
      <w:r w:rsidRPr="000B33B9">
        <w:rPr>
          <w:rFonts w:ascii="Verdana" w:hAnsi="Verdana"/>
          <w:sz w:val="18"/>
          <w:szCs w:val="18"/>
          <w:lang w:val="es-ES"/>
        </w:rPr>
        <w:t>.</w:t>
      </w:r>
    </w:p>
    <w:p w14:paraId="461A3FD2" w14:textId="77777777" w:rsidR="00B86B27" w:rsidRPr="000B33B9" w:rsidRDefault="00B86B27" w:rsidP="00B86B27">
      <w:pPr>
        <w:spacing w:after="0" w:line="240" w:lineRule="auto"/>
        <w:jc w:val="both"/>
        <w:rPr>
          <w:rFonts w:ascii="Verdana" w:hAnsi="Verdana"/>
          <w:sz w:val="20"/>
          <w:szCs w:val="20"/>
          <w:lang w:val="es-ES"/>
        </w:rPr>
      </w:pPr>
    </w:p>
    <w:p w14:paraId="780F34C0" w14:textId="2078491B" w:rsidR="00B86B27" w:rsidRPr="000B33B9" w:rsidRDefault="00B86B27" w:rsidP="007B74B8">
      <w:pPr>
        <w:pStyle w:val="Prrafodelista"/>
        <w:numPr>
          <w:ilvl w:val="0"/>
          <w:numId w:val="10"/>
        </w:numPr>
        <w:spacing w:after="0" w:line="240" w:lineRule="auto"/>
        <w:ind w:left="0" w:firstLine="0"/>
        <w:jc w:val="both"/>
        <w:rPr>
          <w:rFonts w:ascii="Verdana" w:hAnsi="Verdana"/>
          <w:sz w:val="20"/>
          <w:szCs w:val="20"/>
          <w:lang w:val="es-ES"/>
        </w:rPr>
      </w:pPr>
      <w:r w:rsidRPr="000B33B9">
        <w:rPr>
          <w:rFonts w:ascii="Verdana" w:hAnsi="Verdana"/>
          <w:sz w:val="20"/>
          <w:szCs w:val="20"/>
          <w:lang w:val="es-ES"/>
        </w:rPr>
        <w:t xml:space="preserve">El señor </w:t>
      </w:r>
      <w:r w:rsidR="00313979" w:rsidRPr="000B33B9">
        <w:rPr>
          <w:rFonts w:ascii="Verdana" w:hAnsi="Verdana"/>
          <w:sz w:val="20"/>
          <w:szCs w:val="20"/>
          <w:lang w:val="es-ES"/>
        </w:rPr>
        <w:t>Ipanaqué</w:t>
      </w:r>
      <w:r w:rsidRPr="000B33B9">
        <w:rPr>
          <w:rFonts w:ascii="Verdana" w:hAnsi="Verdana"/>
          <w:sz w:val="20"/>
          <w:szCs w:val="20"/>
          <w:lang w:val="es-ES"/>
        </w:rPr>
        <w:t xml:space="preserve"> apeló la resolución de 29 de abril de 1999, bajo el alegato de que “</w:t>
      </w:r>
      <w:r w:rsidR="00B029D3" w:rsidRPr="000B33B9">
        <w:rPr>
          <w:rFonts w:ascii="Verdana" w:hAnsi="Verdana"/>
          <w:sz w:val="20"/>
          <w:szCs w:val="20"/>
          <w:lang w:val="es-ES"/>
        </w:rPr>
        <w:t>(…) [</w:t>
      </w:r>
      <w:r w:rsidRPr="000B33B9">
        <w:rPr>
          <w:rFonts w:ascii="Verdana" w:hAnsi="Verdana"/>
          <w:sz w:val="20"/>
          <w:szCs w:val="20"/>
          <w:lang w:val="es-ES"/>
        </w:rPr>
        <w:t>l</w:t>
      </w:r>
      <w:r w:rsidR="00B029D3" w:rsidRPr="000B33B9">
        <w:rPr>
          <w:rFonts w:ascii="Verdana" w:hAnsi="Verdana"/>
          <w:sz w:val="20"/>
          <w:szCs w:val="20"/>
          <w:lang w:val="es-ES"/>
        </w:rPr>
        <w:t>]</w:t>
      </w:r>
      <w:r w:rsidRPr="000B33B9">
        <w:rPr>
          <w:rFonts w:ascii="Verdana" w:hAnsi="Verdana"/>
          <w:sz w:val="20"/>
          <w:szCs w:val="20"/>
          <w:lang w:val="es-ES"/>
        </w:rPr>
        <w:t>os jueces no tiene</w:t>
      </w:r>
      <w:r w:rsidRPr="000B33B9">
        <w:rPr>
          <w:rFonts w:ascii="Verdana" w:eastAsia="Calibri" w:hAnsi="Verdana" w:cs="Times New Roman"/>
          <w:sz w:val="20"/>
          <w:szCs w:val="20"/>
          <w:lang w:val="es-ES" w:eastAsia="es-ES"/>
        </w:rPr>
        <w:t xml:space="preserve">[n] </w:t>
      </w:r>
      <w:r w:rsidRPr="000B33B9">
        <w:rPr>
          <w:rFonts w:ascii="Verdana" w:hAnsi="Verdana"/>
          <w:sz w:val="20"/>
          <w:szCs w:val="20"/>
          <w:lang w:val="es-ES"/>
        </w:rPr>
        <w:t>facultad para anular sus propias resoluciones”</w:t>
      </w:r>
      <w:r w:rsidR="0015446E" w:rsidRPr="000B33B9">
        <w:rPr>
          <w:rStyle w:val="Refdenotaalpie"/>
          <w:rFonts w:ascii="Verdana" w:hAnsi="Verdana"/>
          <w:sz w:val="20"/>
          <w:szCs w:val="20"/>
          <w:lang w:val="es-ES"/>
        </w:rPr>
        <w:t xml:space="preserve"> </w:t>
      </w:r>
      <w:r w:rsidR="0015446E" w:rsidRPr="000B33B9">
        <w:rPr>
          <w:rStyle w:val="Refdenotaalpie"/>
          <w:rFonts w:ascii="Verdana" w:hAnsi="Verdana"/>
          <w:sz w:val="20"/>
          <w:szCs w:val="20"/>
          <w:lang w:val="es-ES"/>
        </w:rPr>
        <w:footnoteReference w:id="130"/>
      </w:r>
      <w:r w:rsidRPr="000B33B9">
        <w:rPr>
          <w:rFonts w:ascii="Verdana" w:hAnsi="Verdana"/>
          <w:sz w:val="20"/>
          <w:szCs w:val="20"/>
          <w:lang w:val="es-ES"/>
        </w:rPr>
        <w:t>. El 17 de mayo y 1 de junio de 1999, el señor Ipanaqué requirió nuevamente a la SUNAT la nivelación de su pensión y el abono de “los reintegros dejados de percibir”, so pena de interponer “las acciones legales pertinente</w:t>
      </w:r>
      <w:r w:rsidR="00B029D3" w:rsidRPr="000B33B9">
        <w:rPr>
          <w:rFonts w:ascii="Verdana" w:hAnsi="Verdana"/>
          <w:sz w:val="20"/>
          <w:szCs w:val="20"/>
          <w:lang w:val="es-ES"/>
        </w:rPr>
        <w:t>[</w:t>
      </w:r>
      <w:r w:rsidRPr="000B33B9">
        <w:rPr>
          <w:rFonts w:ascii="Verdana" w:hAnsi="Verdana"/>
          <w:sz w:val="20"/>
          <w:szCs w:val="20"/>
          <w:lang w:val="es-ES"/>
        </w:rPr>
        <w:t>s</w:t>
      </w:r>
      <w:r w:rsidR="00B029D3" w:rsidRPr="000B33B9">
        <w:rPr>
          <w:rFonts w:ascii="Verdana" w:hAnsi="Verdana"/>
          <w:sz w:val="20"/>
          <w:szCs w:val="20"/>
          <w:lang w:val="es-ES"/>
        </w:rPr>
        <w:t>]</w:t>
      </w:r>
      <w:r w:rsidRPr="000B33B9">
        <w:rPr>
          <w:rFonts w:ascii="Verdana" w:hAnsi="Verdana"/>
          <w:sz w:val="20"/>
          <w:szCs w:val="20"/>
          <w:lang w:val="es-ES"/>
        </w:rPr>
        <w:t>”</w:t>
      </w:r>
      <w:r w:rsidRPr="000B33B9">
        <w:rPr>
          <w:rStyle w:val="Refdenotaalpie"/>
          <w:rFonts w:ascii="Verdana" w:hAnsi="Verdana"/>
          <w:sz w:val="20"/>
          <w:szCs w:val="20"/>
          <w:lang w:val="es-ES"/>
        </w:rPr>
        <w:footnoteReference w:id="131"/>
      </w:r>
      <w:r w:rsidRPr="000B33B9">
        <w:rPr>
          <w:rFonts w:ascii="Verdana" w:hAnsi="Verdana"/>
          <w:sz w:val="20"/>
          <w:szCs w:val="20"/>
          <w:lang w:val="es-ES"/>
        </w:rPr>
        <w:t>. El 14 de junio de 1999, el señor Ipanaqué depositó un escrito ante la Sala Corporativa, por medio del cual ratificó los motivos de su recurso de apelación contra la resolución de 29 de abril de 1999</w:t>
      </w:r>
      <w:r w:rsidRPr="000B33B9">
        <w:rPr>
          <w:rStyle w:val="Refdenotaalpie"/>
          <w:rFonts w:ascii="Verdana" w:hAnsi="Verdana"/>
          <w:sz w:val="20"/>
          <w:szCs w:val="20"/>
          <w:lang w:val="es-ES"/>
        </w:rPr>
        <w:footnoteReference w:id="132"/>
      </w:r>
      <w:r w:rsidRPr="000B33B9">
        <w:rPr>
          <w:rFonts w:ascii="Verdana" w:hAnsi="Verdana"/>
          <w:sz w:val="20"/>
          <w:szCs w:val="20"/>
          <w:lang w:val="es-ES"/>
        </w:rPr>
        <w:t>.</w:t>
      </w:r>
    </w:p>
    <w:p w14:paraId="7A67A54E" w14:textId="77777777" w:rsidR="00B86B27" w:rsidRPr="000B33B9" w:rsidRDefault="00B86B27" w:rsidP="00B86B27">
      <w:pPr>
        <w:pStyle w:val="Prrafodelista"/>
        <w:spacing w:after="0" w:line="240" w:lineRule="auto"/>
        <w:ind w:left="0"/>
        <w:jc w:val="both"/>
        <w:rPr>
          <w:rFonts w:ascii="Verdana" w:hAnsi="Verdana"/>
          <w:sz w:val="20"/>
          <w:szCs w:val="20"/>
          <w:lang w:val="es-ES"/>
        </w:rPr>
      </w:pPr>
    </w:p>
    <w:p w14:paraId="753D8F67" w14:textId="38D419B6" w:rsidR="00B86B27" w:rsidRPr="000B33B9" w:rsidRDefault="00B86B27" w:rsidP="007B74B8">
      <w:pPr>
        <w:pStyle w:val="Prrafodelista"/>
        <w:numPr>
          <w:ilvl w:val="0"/>
          <w:numId w:val="10"/>
        </w:numPr>
        <w:spacing w:after="0" w:line="240" w:lineRule="auto"/>
        <w:ind w:left="0" w:firstLine="0"/>
        <w:jc w:val="both"/>
        <w:rPr>
          <w:rFonts w:ascii="Verdana" w:hAnsi="Verdana"/>
          <w:sz w:val="20"/>
          <w:szCs w:val="20"/>
          <w:lang w:val="es-ES"/>
        </w:rPr>
      </w:pPr>
      <w:r w:rsidRPr="000B33B9">
        <w:rPr>
          <w:rFonts w:ascii="Verdana" w:hAnsi="Verdana"/>
          <w:sz w:val="20"/>
          <w:szCs w:val="20"/>
          <w:lang w:val="es-ES"/>
        </w:rPr>
        <w:t>El 23 de junio de 1999, la SUNAT respondió al señor Ipanaqué que no era competente para atender su solicitud y que su documentación estaba en poder del MEF</w:t>
      </w:r>
      <w:r w:rsidRPr="000B33B9">
        <w:rPr>
          <w:rStyle w:val="Refdenotaalpie"/>
          <w:rFonts w:ascii="Verdana" w:hAnsi="Verdana"/>
          <w:sz w:val="20"/>
          <w:szCs w:val="20"/>
          <w:lang w:val="es-ES"/>
        </w:rPr>
        <w:footnoteReference w:id="133"/>
      </w:r>
      <w:r w:rsidRPr="000B33B9">
        <w:rPr>
          <w:rFonts w:ascii="Verdana" w:hAnsi="Verdana"/>
          <w:sz w:val="20"/>
          <w:szCs w:val="20"/>
          <w:lang w:val="es-ES"/>
        </w:rPr>
        <w:t>. El 5 y 26 de julio de 1999, el señor Ipanaqué reiteró a la SUNAT su solicitud inicial</w:t>
      </w:r>
      <w:r w:rsidRPr="000B33B9">
        <w:rPr>
          <w:rStyle w:val="Refdenotaalpie"/>
          <w:rFonts w:ascii="Verdana" w:hAnsi="Verdana"/>
          <w:sz w:val="20"/>
          <w:szCs w:val="20"/>
          <w:lang w:val="es-ES"/>
        </w:rPr>
        <w:footnoteReference w:id="134"/>
      </w:r>
      <w:r w:rsidRPr="000B33B9">
        <w:rPr>
          <w:rFonts w:ascii="Verdana" w:hAnsi="Verdana"/>
          <w:sz w:val="20"/>
          <w:szCs w:val="20"/>
          <w:lang w:val="es-ES"/>
        </w:rPr>
        <w:t>. La SUNAT le contestó mediante comunicación de 20 de agosto de 1999 que la reso</w:t>
      </w:r>
      <w:r w:rsidR="00B029D3" w:rsidRPr="000B33B9">
        <w:rPr>
          <w:rFonts w:ascii="Verdana" w:hAnsi="Verdana"/>
          <w:sz w:val="20"/>
          <w:szCs w:val="20"/>
          <w:lang w:val="es-ES"/>
        </w:rPr>
        <w:t xml:space="preserve">lución del 30 de marzo de 1999 </w:t>
      </w:r>
      <w:r w:rsidRPr="000B33B9">
        <w:rPr>
          <w:rFonts w:ascii="Verdana" w:hAnsi="Verdana"/>
          <w:sz w:val="20"/>
          <w:szCs w:val="20"/>
          <w:lang w:val="es-ES"/>
        </w:rPr>
        <w:t xml:space="preserve">no era </w:t>
      </w:r>
      <w:r w:rsidR="00B029D3" w:rsidRPr="000B33B9">
        <w:rPr>
          <w:rFonts w:ascii="Verdana" w:hAnsi="Verdana"/>
          <w:sz w:val="20"/>
          <w:szCs w:val="20"/>
          <w:lang w:val="es-ES"/>
        </w:rPr>
        <w:t>“</w:t>
      </w:r>
      <w:r w:rsidRPr="000B33B9">
        <w:rPr>
          <w:rFonts w:ascii="Verdana" w:hAnsi="Verdana"/>
          <w:sz w:val="20"/>
          <w:szCs w:val="20"/>
          <w:lang w:val="es-ES"/>
        </w:rPr>
        <w:t>susceptible de cumplimiento” porque había sido anulada por resolución de 29 de abril de 1999</w:t>
      </w:r>
      <w:r w:rsidRPr="000B33B9">
        <w:rPr>
          <w:rStyle w:val="Refdenotaalpie"/>
          <w:rFonts w:ascii="Verdana" w:hAnsi="Verdana"/>
          <w:sz w:val="20"/>
          <w:szCs w:val="20"/>
          <w:lang w:val="es-ES"/>
        </w:rPr>
        <w:footnoteReference w:id="135"/>
      </w:r>
      <w:r w:rsidRPr="000B33B9">
        <w:rPr>
          <w:rFonts w:ascii="Verdana" w:hAnsi="Verdana"/>
          <w:sz w:val="20"/>
          <w:szCs w:val="20"/>
          <w:lang w:val="es-ES"/>
        </w:rPr>
        <w:t>.</w:t>
      </w:r>
    </w:p>
    <w:p w14:paraId="55B35C2D" w14:textId="77777777" w:rsidR="00B86B27" w:rsidRPr="000B33B9" w:rsidRDefault="00B86B27" w:rsidP="00B86B27">
      <w:pPr>
        <w:pStyle w:val="Prrafodelista"/>
        <w:spacing w:after="0" w:line="240" w:lineRule="auto"/>
        <w:ind w:left="0"/>
        <w:jc w:val="both"/>
        <w:rPr>
          <w:rFonts w:ascii="Verdana" w:hAnsi="Verdana"/>
          <w:sz w:val="20"/>
          <w:szCs w:val="20"/>
          <w:lang w:val="es-ES"/>
        </w:rPr>
      </w:pPr>
    </w:p>
    <w:p w14:paraId="5CE40AA1" w14:textId="72E15B8A" w:rsidR="00B86B27" w:rsidRPr="000B33B9" w:rsidRDefault="00B86B27" w:rsidP="007B74B8">
      <w:pPr>
        <w:pStyle w:val="Prrafodelista"/>
        <w:numPr>
          <w:ilvl w:val="0"/>
          <w:numId w:val="10"/>
        </w:numPr>
        <w:spacing w:after="0" w:line="240" w:lineRule="auto"/>
        <w:ind w:left="0" w:firstLine="0"/>
        <w:jc w:val="both"/>
        <w:rPr>
          <w:rFonts w:ascii="Verdana" w:hAnsi="Verdana"/>
          <w:sz w:val="20"/>
          <w:szCs w:val="20"/>
          <w:lang w:val="es-ES"/>
        </w:rPr>
      </w:pPr>
      <w:r w:rsidRPr="000B33B9">
        <w:rPr>
          <w:rFonts w:ascii="Verdana" w:hAnsi="Verdana"/>
          <w:sz w:val="20"/>
          <w:szCs w:val="20"/>
          <w:lang w:val="es-ES"/>
        </w:rPr>
        <w:t>El 30 de septiembre de 1999, la Sala Corporativa confirmó la resolución de 29 de abril de 1999</w:t>
      </w:r>
      <w:r w:rsidRPr="000B33B9">
        <w:rPr>
          <w:rStyle w:val="Refdenotaalpie"/>
          <w:rFonts w:ascii="Verdana" w:hAnsi="Verdana"/>
          <w:sz w:val="20"/>
          <w:szCs w:val="20"/>
          <w:lang w:val="es-ES"/>
        </w:rPr>
        <w:footnoteReference w:id="136"/>
      </w:r>
      <w:r w:rsidRPr="000B33B9">
        <w:rPr>
          <w:rFonts w:ascii="Verdana" w:hAnsi="Verdana"/>
          <w:sz w:val="20"/>
          <w:szCs w:val="20"/>
          <w:lang w:val="es-ES"/>
        </w:rPr>
        <w:t>. El 21 de octubre de 1999, el señor Ipanaqué solicitó al Presidente de Perú que le concediera una audiencia a fin de explicarle su caso</w:t>
      </w:r>
      <w:r w:rsidRPr="000B33B9">
        <w:rPr>
          <w:rStyle w:val="Refdenotaalpie"/>
          <w:rFonts w:ascii="Verdana" w:hAnsi="Verdana"/>
          <w:sz w:val="20"/>
          <w:szCs w:val="20"/>
          <w:lang w:val="es-ES"/>
        </w:rPr>
        <w:footnoteReference w:id="137"/>
      </w:r>
      <w:r w:rsidRPr="000B33B9">
        <w:rPr>
          <w:rFonts w:ascii="Verdana" w:hAnsi="Verdana"/>
          <w:sz w:val="20"/>
          <w:szCs w:val="20"/>
          <w:lang w:val="es-ES"/>
        </w:rPr>
        <w:t xml:space="preserve"> y, al día siguiente, </w:t>
      </w:r>
      <w:r w:rsidRPr="000B33B9">
        <w:rPr>
          <w:rFonts w:ascii="Verdana" w:eastAsia="Calibri" w:hAnsi="Verdana" w:cs="Times New Roman"/>
          <w:sz w:val="20"/>
          <w:szCs w:val="20"/>
          <w:lang w:val="es-ES" w:eastAsia="es-ES"/>
        </w:rPr>
        <w:t>informó a la SUNAT que había interpuesto un recurso de apelación contra la resolución de 29 de abril de 1999</w:t>
      </w:r>
      <w:r w:rsidRPr="000B33B9">
        <w:rPr>
          <w:rStyle w:val="Refdenotaalpie"/>
          <w:rFonts w:ascii="Verdana" w:eastAsia="Calibri" w:hAnsi="Verdana" w:cs="Times New Roman"/>
          <w:sz w:val="20"/>
          <w:szCs w:val="20"/>
          <w:lang w:val="es-ES" w:eastAsia="es-ES"/>
        </w:rPr>
        <w:footnoteReference w:id="138"/>
      </w:r>
      <w:r w:rsidRPr="000B33B9">
        <w:rPr>
          <w:rFonts w:ascii="Verdana" w:eastAsia="Calibri" w:hAnsi="Verdana" w:cs="Times New Roman"/>
          <w:sz w:val="20"/>
          <w:szCs w:val="20"/>
          <w:lang w:val="es-ES" w:eastAsia="es-ES"/>
        </w:rPr>
        <w:t>. El 30 de octubre de 1999, el señor Ipanaqué reiteró al Presidente de Perú su solicitud para la concesión de una audiencia</w:t>
      </w:r>
      <w:r w:rsidRPr="000B33B9">
        <w:rPr>
          <w:rStyle w:val="Refdenotaalpie"/>
          <w:rFonts w:ascii="Verdana" w:eastAsia="Calibri" w:hAnsi="Verdana" w:cs="Times New Roman"/>
          <w:sz w:val="20"/>
          <w:szCs w:val="20"/>
          <w:lang w:val="es-ES" w:eastAsia="es-ES"/>
        </w:rPr>
        <w:footnoteReference w:id="139"/>
      </w:r>
      <w:r w:rsidRPr="000B33B9">
        <w:rPr>
          <w:rFonts w:ascii="Verdana" w:eastAsia="Calibri" w:hAnsi="Verdana" w:cs="Times New Roman"/>
          <w:sz w:val="20"/>
          <w:szCs w:val="20"/>
          <w:lang w:val="es-ES" w:eastAsia="es-ES"/>
        </w:rPr>
        <w:t xml:space="preserve"> </w:t>
      </w:r>
      <w:r w:rsidR="00F82A54" w:rsidRPr="000B33B9">
        <w:rPr>
          <w:rFonts w:ascii="Verdana" w:eastAsia="Calibri" w:hAnsi="Verdana" w:cs="Times New Roman"/>
          <w:sz w:val="20"/>
          <w:szCs w:val="20"/>
          <w:lang w:val="es-ES" w:eastAsia="es-ES"/>
        </w:rPr>
        <w:t xml:space="preserve">y presentó </w:t>
      </w:r>
      <w:r w:rsidRPr="000B33B9">
        <w:rPr>
          <w:rFonts w:ascii="Verdana" w:eastAsia="Calibri" w:hAnsi="Verdana" w:cs="Times New Roman"/>
          <w:sz w:val="20"/>
          <w:szCs w:val="20"/>
          <w:lang w:val="es-ES" w:eastAsia="es-ES"/>
        </w:rPr>
        <w:t>ante la SUNAT un recurso de reconsideración por silencio administrativo, al considerar denegadas sus peticiones “</w:t>
      </w:r>
      <w:r w:rsidR="00B029D3" w:rsidRPr="000B33B9">
        <w:rPr>
          <w:rFonts w:ascii="Verdana" w:eastAsia="Calibri" w:hAnsi="Verdana" w:cs="Times New Roman"/>
          <w:sz w:val="20"/>
          <w:szCs w:val="20"/>
          <w:lang w:val="es-ES" w:eastAsia="es-ES"/>
        </w:rPr>
        <w:t xml:space="preserve">(…) </w:t>
      </w:r>
      <w:r w:rsidRPr="000B33B9">
        <w:rPr>
          <w:rFonts w:ascii="Verdana" w:eastAsia="Calibri" w:hAnsi="Verdana" w:cs="Times New Roman"/>
          <w:sz w:val="20"/>
          <w:szCs w:val="20"/>
          <w:lang w:val="es-ES" w:eastAsia="es-ES"/>
        </w:rPr>
        <w:t xml:space="preserve">sin que hasta la fecha [se] haya expedido </w:t>
      </w:r>
      <w:r w:rsidR="00B029D3" w:rsidRPr="000B33B9">
        <w:rPr>
          <w:rFonts w:ascii="Verdana" w:eastAsia="Calibri" w:hAnsi="Verdana" w:cs="Times New Roman"/>
          <w:sz w:val="20"/>
          <w:szCs w:val="20"/>
          <w:lang w:val="es-ES" w:eastAsia="es-ES"/>
        </w:rPr>
        <w:t xml:space="preserve">la </w:t>
      </w:r>
      <w:r w:rsidRPr="000B33B9">
        <w:rPr>
          <w:rFonts w:ascii="Verdana" w:eastAsia="Calibri" w:hAnsi="Verdana" w:cs="Times New Roman"/>
          <w:sz w:val="20"/>
          <w:szCs w:val="20"/>
          <w:lang w:val="es-ES" w:eastAsia="es-ES"/>
        </w:rPr>
        <w:t>resolución que ponga fin al proceso”</w:t>
      </w:r>
      <w:r w:rsidRPr="000B33B9">
        <w:rPr>
          <w:rStyle w:val="Refdenotaalpie"/>
          <w:rFonts w:ascii="Verdana" w:eastAsia="Calibri" w:hAnsi="Verdana" w:cs="Times New Roman"/>
          <w:sz w:val="20"/>
          <w:szCs w:val="20"/>
          <w:lang w:val="es-ES" w:eastAsia="es-ES"/>
        </w:rPr>
        <w:footnoteReference w:id="140"/>
      </w:r>
      <w:r w:rsidRPr="000B33B9">
        <w:rPr>
          <w:rFonts w:ascii="Verdana" w:eastAsia="Calibri" w:hAnsi="Verdana" w:cs="Times New Roman"/>
          <w:sz w:val="20"/>
          <w:szCs w:val="20"/>
          <w:lang w:val="es-ES" w:eastAsia="es-ES"/>
        </w:rPr>
        <w:t xml:space="preserve">. </w:t>
      </w:r>
    </w:p>
    <w:p w14:paraId="3378ABFD" w14:textId="77777777" w:rsidR="00B86B27" w:rsidRPr="000B33B9" w:rsidRDefault="00B86B27" w:rsidP="00B86B27">
      <w:pPr>
        <w:pStyle w:val="Prrafodelista"/>
        <w:spacing w:after="0" w:line="240" w:lineRule="auto"/>
        <w:ind w:left="0"/>
        <w:jc w:val="both"/>
        <w:rPr>
          <w:rFonts w:ascii="Verdana" w:hAnsi="Verdana"/>
          <w:sz w:val="20"/>
          <w:szCs w:val="20"/>
          <w:lang w:val="es-ES"/>
        </w:rPr>
      </w:pPr>
    </w:p>
    <w:p w14:paraId="376AD929" w14:textId="77777777" w:rsidR="00B86B27" w:rsidRPr="000B33B9" w:rsidRDefault="00B86B27" w:rsidP="007B74B8">
      <w:pPr>
        <w:pStyle w:val="Prrafodelista"/>
        <w:numPr>
          <w:ilvl w:val="0"/>
          <w:numId w:val="10"/>
        </w:numPr>
        <w:spacing w:after="0" w:line="240" w:lineRule="auto"/>
        <w:ind w:left="0" w:firstLine="0"/>
        <w:jc w:val="both"/>
        <w:rPr>
          <w:rFonts w:ascii="Verdana" w:hAnsi="Verdana"/>
          <w:sz w:val="20"/>
          <w:szCs w:val="20"/>
          <w:lang w:val="es-ES"/>
        </w:rPr>
      </w:pPr>
      <w:r w:rsidRPr="000B33B9">
        <w:rPr>
          <w:rFonts w:ascii="Verdana" w:eastAsia="Calibri" w:hAnsi="Verdana" w:cs="Times New Roman"/>
          <w:sz w:val="20"/>
          <w:szCs w:val="20"/>
          <w:lang w:val="es-ES" w:eastAsia="es-ES"/>
        </w:rPr>
        <w:t>El 1 de diciembre de 1999, la SUNAT comunicó al señor Ipanaqué que, “contrariamente a lo que manifiesta”, la resolución “cuya ejecución solicita con insistencia” fue apelada y anulada</w:t>
      </w:r>
      <w:r w:rsidRPr="000B33B9">
        <w:rPr>
          <w:rStyle w:val="Refdenotaalpie"/>
          <w:rFonts w:ascii="Verdana" w:eastAsia="Calibri" w:hAnsi="Verdana" w:cs="Times New Roman"/>
          <w:sz w:val="20"/>
          <w:szCs w:val="20"/>
          <w:lang w:val="es-ES" w:eastAsia="es-ES"/>
        </w:rPr>
        <w:footnoteReference w:id="141"/>
      </w:r>
      <w:r w:rsidRPr="000B33B9">
        <w:rPr>
          <w:rFonts w:ascii="Verdana" w:eastAsia="Calibri" w:hAnsi="Verdana" w:cs="Times New Roman"/>
          <w:sz w:val="20"/>
          <w:szCs w:val="20"/>
          <w:lang w:val="es-ES" w:eastAsia="es-ES"/>
        </w:rPr>
        <w:t xml:space="preserve">. </w:t>
      </w:r>
    </w:p>
    <w:p w14:paraId="41EBC985" w14:textId="77777777" w:rsidR="00B86B27" w:rsidRPr="000B33B9" w:rsidRDefault="00B86B27" w:rsidP="00C962FE">
      <w:pPr>
        <w:widowControl w:val="0"/>
        <w:tabs>
          <w:tab w:val="left" w:pos="567"/>
        </w:tabs>
        <w:adjustRightInd w:val="0"/>
        <w:spacing w:after="0" w:line="240" w:lineRule="auto"/>
        <w:jc w:val="both"/>
        <w:textAlignment w:val="baseline"/>
        <w:rPr>
          <w:rFonts w:ascii="Verdana" w:hAnsi="Verdana"/>
          <w:sz w:val="20"/>
          <w:szCs w:val="20"/>
          <w:lang w:val="es-ES" w:eastAsia="es-CR"/>
        </w:rPr>
      </w:pPr>
    </w:p>
    <w:p w14:paraId="13741218" w14:textId="0471EBAA" w:rsidR="00B86B27" w:rsidRPr="000B33B9" w:rsidRDefault="00B86B27" w:rsidP="00640C2A">
      <w:pPr>
        <w:pStyle w:val="Ttulo1"/>
      </w:pPr>
      <w:bookmarkStart w:id="56" w:name="_Toc494123986"/>
      <w:bookmarkStart w:id="57" w:name="_Toc7020792"/>
      <w:bookmarkStart w:id="58" w:name="_Toc19533034"/>
      <w:bookmarkStart w:id="59" w:name="_Toc27329763"/>
      <w:r w:rsidRPr="000B33B9">
        <w:t>VIII</w:t>
      </w:r>
      <w:r w:rsidRPr="000B33B9">
        <w:br/>
      </w:r>
      <w:bookmarkEnd w:id="56"/>
      <w:bookmarkEnd w:id="57"/>
      <w:bookmarkEnd w:id="58"/>
      <w:r w:rsidR="00640C2A" w:rsidRPr="000B33B9">
        <w:t>FONDO</w:t>
      </w:r>
      <w:bookmarkEnd w:id="59"/>
    </w:p>
    <w:p w14:paraId="51A0C1EA" w14:textId="77777777" w:rsidR="00313EE5" w:rsidRPr="000B33B9" w:rsidRDefault="00313EE5" w:rsidP="001D7AA2">
      <w:pPr>
        <w:spacing w:after="0" w:line="240" w:lineRule="auto"/>
        <w:rPr>
          <w:rFonts w:ascii="Verdana" w:hAnsi="Verdana"/>
          <w:sz w:val="20"/>
          <w:szCs w:val="20"/>
        </w:rPr>
      </w:pPr>
    </w:p>
    <w:p w14:paraId="5576FB1B" w14:textId="4787F330" w:rsidR="002821B4" w:rsidRPr="000B33B9" w:rsidRDefault="00490472" w:rsidP="007B74B8">
      <w:pPr>
        <w:pStyle w:val="Prrafodelista"/>
        <w:numPr>
          <w:ilvl w:val="0"/>
          <w:numId w:val="10"/>
        </w:numPr>
        <w:spacing w:after="0" w:line="240" w:lineRule="auto"/>
        <w:ind w:left="0" w:firstLine="0"/>
        <w:jc w:val="both"/>
        <w:rPr>
          <w:rFonts w:ascii="Verdana" w:hAnsi="Verdana" w:cs="Times New Roman"/>
          <w:sz w:val="20"/>
          <w:szCs w:val="20"/>
        </w:rPr>
      </w:pPr>
      <w:r w:rsidRPr="000B33B9">
        <w:rPr>
          <w:rFonts w:ascii="Verdana" w:hAnsi="Verdana" w:cs="Times New Roman"/>
          <w:sz w:val="20"/>
          <w:szCs w:val="20"/>
        </w:rPr>
        <w:t>E</w:t>
      </w:r>
      <w:r w:rsidR="003D4670" w:rsidRPr="000B33B9">
        <w:rPr>
          <w:rFonts w:ascii="Verdana" w:hAnsi="Verdana" w:cs="Times New Roman"/>
          <w:sz w:val="20"/>
          <w:szCs w:val="20"/>
        </w:rPr>
        <w:t xml:space="preserve">l Tribunal procederá a analizar el fondo del caso. La Corte </w:t>
      </w:r>
      <w:r w:rsidR="00795BE5" w:rsidRPr="000B33B9">
        <w:rPr>
          <w:rFonts w:ascii="Verdana" w:hAnsi="Verdana" w:cs="Times New Roman"/>
          <w:sz w:val="20"/>
          <w:szCs w:val="20"/>
        </w:rPr>
        <w:t>procederá a</w:t>
      </w:r>
      <w:r w:rsidR="003D4670" w:rsidRPr="000B33B9">
        <w:rPr>
          <w:rFonts w:ascii="Verdana" w:hAnsi="Verdana" w:cs="Times New Roman"/>
          <w:sz w:val="20"/>
          <w:szCs w:val="20"/>
        </w:rPr>
        <w:t xml:space="preserve"> determinar si el Estado es responsable por la violación a las garantías judiciales y la protección judicial en perjuicio de las presuntas víctimas del caso con motivo de la</w:t>
      </w:r>
      <w:r w:rsidR="00795BE5" w:rsidRPr="000B33B9">
        <w:rPr>
          <w:rFonts w:ascii="Verdana" w:hAnsi="Verdana" w:cs="Times New Roman"/>
          <w:sz w:val="20"/>
          <w:szCs w:val="20"/>
        </w:rPr>
        <w:t xml:space="preserve"> alegada</w:t>
      </w:r>
      <w:r w:rsidR="003D4670" w:rsidRPr="000B33B9">
        <w:rPr>
          <w:rFonts w:ascii="Verdana" w:hAnsi="Verdana" w:cs="Times New Roman"/>
          <w:sz w:val="20"/>
          <w:szCs w:val="20"/>
        </w:rPr>
        <w:t xml:space="preserve"> falta de ejecución de la sentencia de la Corte Suprema de 25 de octubre de 1993, así como por los efectos que dicha </w:t>
      </w:r>
      <w:r w:rsidR="00EB5567" w:rsidRPr="000B33B9">
        <w:rPr>
          <w:rFonts w:ascii="Verdana" w:hAnsi="Verdana" w:cs="Times New Roman"/>
          <w:sz w:val="20"/>
          <w:szCs w:val="20"/>
        </w:rPr>
        <w:t>in</w:t>
      </w:r>
      <w:r w:rsidR="003D4670" w:rsidRPr="000B33B9">
        <w:rPr>
          <w:rFonts w:ascii="Verdana" w:hAnsi="Verdana" w:cs="Times New Roman"/>
          <w:sz w:val="20"/>
          <w:szCs w:val="20"/>
        </w:rPr>
        <w:t xml:space="preserve">ejecución </w:t>
      </w:r>
      <w:r w:rsidR="00EB5567" w:rsidRPr="000B33B9">
        <w:rPr>
          <w:rFonts w:ascii="Verdana" w:hAnsi="Verdana" w:cs="Times New Roman"/>
          <w:sz w:val="20"/>
          <w:szCs w:val="20"/>
        </w:rPr>
        <w:t xml:space="preserve">generó </w:t>
      </w:r>
      <w:r w:rsidR="003D4670" w:rsidRPr="000B33B9">
        <w:rPr>
          <w:rFonts w:ascii="Verdana" w:hAnsi="Verdana" w:cs="Times New Roman"/>
          <w:sz w:val="20"/>
          <w:szCs w:val="20"/>
        </w:rPr>
        <w:t xml:space="preserve">en otros derechos reconocidos por la Convención. </w:t>
      </w:r>
      <w:r w:rsidR="009270AB" w:rsidRPr="000B33B9">
        <w:rPr>
          <w:rFonts w:ascii="Verdana" w:hAnsi="Verdana" w:cs="Times New Roman"/>
          <w:sz w:val="20"/>
          <w:szCs w:val="20"/>
        </w:rPr>
        <w:t xml:space="preserve">No es un hecho controvertido que el Estado ha realizado el pago de pensiones de las presuntas víctimas, sino que la principal controversia </w:t>
      </w:r>
      <w:r w:rsidR="002821B4" w:rsidRPr="000B33B9">
        <w:rPr>
          <w:rFonts w:ascii="Verdana" w:hAnsi="Verdana" w:cs="Times New Roman"/>
          <w:sz w:val="20"/>
          <w:szCs w:val="20"/>
        </w:rPr>
        <w:t xml:space="preserve"> consiste en determinar si</w:t>
      </w:r>
      <w:r w:rsidR="009270AB" w:rsidRPr="000B33B9">
        <w:rPr>
          <w:rFonts w:ascii="Verdana" w:hAnsi="Verdana" w:cs="Times New Roman"/>
          <w:sz w:val="20"/>
          <w:szCs w:val="20"/>
        </w:rPr>
        <w:t xml:space="preserve"> ha cumplido con la ejecución integral </w:t>
      </w:r>
      <w:r w:rsidR="002821B4" w:rsidRPr="000B33B9">
        <w:rPr>
          <w:rFonts w:ascii="Verdana" w:hAnsi="Verdana" w:cs="Times New Roman"/>
          <w:sz w:val="20"/>
          <w:szCs w:val="20"/>
        </w:rPr>
        <w:t xml:space="preserve">de </w:t>
      </w:r>
      <w:r w:rsidR="0035743B" w:rsidRPr="000B33B9">
        <w:rPr>
          <w:rFonts w:ascii="Verdana" w:hAnsi="Verdana" w:cs="Times New Roman"/>
          <w:sz w:val="20"/>
          <w:szCs w:val="20"/>
        </w:rPr>
        <w:t>la sentencia de 25 de octubre de 1993</w:t>
      </w:r>
      <w:r w:rsidR="000853B4" w:rsidRPr="000B33B9">
        <w:rPr>
          <w:rFonts w:ascii="Verdana" w:hAnsi="Verdana" w:cs="Times New Roman"/>
          <w:sz w:val="20"/>
          <w:szCs w:val="20"/>
        </w:rPr>
        <w:t>, y el posible impacto que esto tuvo en otros derechos</w:t>
      </w:r>
      <w:r w:rsidR="009270AB" w:rsidRPr="000B33B9">
        <w:rPr>
          <w:rFonts w:ascii="Verdana" w:hAnsi="Verdana" w:cs="Times New Roman"/>
          <w:sz w:val="20"/>
          <w:szCs w:val="20"/>
        </w:rPr>
        <w:t xml:space="preserve">. </w:t>
      </w:r>
      <w:r w:rsidR="003D4670" w:rsidRPr="000B33B9">
        <w:rPr>
          <w:rFonts w:ascii="Verdana" w:hAnsi="Verdana" w:cs="Times New Roman"/>
          <w:sz w:val="20"/>
          <w:szCs w:val="20"/>
        </w:rPr>
        <w:t>Asimismo, el Tribunal recuerda que los hechos del caso sucedieron e</w:t>
      </w:r>
      <w:r w:rsidR="008F22E5" w:rsidRPr="000B33B9">
        <w:rPr>
          <w:rFonts w:ascii="Verdana" w:hAnsi="Verdana" w:cs="Times New Roman"/>
          <w:sz w:val="20"/>
          <w:szCs w:val="20"/>
        </w:rPr>
        <w:t xml:space="preserve">n el contexto de la reestructuración orgánica y de racionalización de recursos que inició la SUNAT en virtud de la entrada en vigor del Decreto 639 de 20 de junio de 1991, así como de la modificación del régimen laboral de los trabajadores de la SUNAT en virtud de la entrada en vigor del Decreto 673. </w:t>
      </w:r>
      <w:r w:rsidR="00855036" w:rsidRPr="000B33B9">
        <w:rPr>
          <w:rFonts w:ascii="Verdana" w:hAnsi="Verdana"/>
          <w:sz w:val="20"/>
          <w:szCs w:val="20"/>
        </w:rPr>
        <w:t>Esta situación habría impactado las remuneraciones percibidas por los servidores sujetos al régimen laboral del Decreto 276 y, con ello, las pensiones correspondientes a los cesantes del Decreto 20530, al cual pertenecían las presuntas víctimas del caso, lo cual dio lugar a la interposición del amparo cuya sentencia es motivo de análisis</w:t>
      </w:r>
      <w:r w:rsidR="00BC0595" w:rsidRPr="000B33B9">
        <w:rPr>
          <w:rFonts w:ascii="Verdana" w:hAnsi="Verdana" w:cs="Times New Roman"/>
          <w:sz w:val="20"/>
          <w:szCs w:val="20"/>
        </w:rPr>
        <w:t>.</w:t>
      </w:r>
    </w:p>
    <w:p w14:paraId="0D59FAB6" w14:textId="2B1FD41D" w:rsidR="00187F77" w:rsidRPr="000B33B9" w:rsidRDefault="00187F77" w:rsidP="004B204D">
      <w:pPr>
        <w:spacing w:after="0" w:line="240" w:lineRule="auto"/>
        <w:jc w:val="both"/>
        <w:rPr>
          <w:rFonts w:ascii="Verdana" w:hAnsi="Verdana" w:cs="Times New Roman"/>
          <w:sz w:val="20"/>
          <w:szCs w:val="20"/>
        </w:rPr>
      </w:pPr>
    </w:p>
    <w:p w14:paraId="2C3B1439" w14:textId="788033FF" w:rsidR="00187F77" w:rsidRPr="000B33B9" w:rsidRDefault="00187F77" w:rsidP="007B74B8">
      <w:pPr>
        <w:pStyle w:val="Prrafodelista"/>
        <w:numPr>
          <w:ilvl w:val="0"/>
          <w:numId w:val="10"/>
        </w:numPr>
        <w:spacing w:after="0" w:line="240" w:lineRule="auto"/>
        <w:ind w:left="0" w:firstLine="0"/>
        <w:jc w:val="both"/>
        <w:rPr>
          <w:rFonts w:ascii="Verdana" w:hAnsi="Verdana" w:cs="Times New Roman"/>
          <w:sz w:val="20"/>
          <w:szCs w:val="20"/>
        </w:rPr>
      </w:pPr>
      <w:r w:rsidRPr="000B33B9">
        <w:rPr>
          <w:rFonts w:ascii="Verdana" w:hAnsi="Verdana" w:cs="Times New Roman"/>
          <w:sz w:val="20"/>
          <w:szCs w:val="20"/>
        </w:rPr>
        <w:t>Por consiguiente, a fin de</w:t>
      </w:r>
      <w:r w:rsidR="00394732" w:rsidRPr="000B33B9">
        <w:rPr>
          <w:rFonts w:ascii="Verdana" w:hAnsi="Verdana" w:cs="Times New Roman"/>
          <w:sz w:val="20"/>
          <w:szCs w:val="20"/>
        </w:rPr>
        <w:t xml:space="preserve"> examinar</w:t>
      </w:r>
      <w:r w:rsidRPr="000B33B9">
        <w:rPr>
          <w:rFonts w:ascii="Verdana" w:hAnsi="Verdana" w:cs="Times New Roman"/>
          <w:sz w:val="20"/>
          <w:szCs w:val="20"/>
        </w:rPr>
        <w:t xml:space="preserve"> los alegatos presentados, la Corte</w:t>
      </w:r>
      <w:r w:rsidR="00394732" w:rsidRPr="000B33B9">
        <w:rPr>
          <w:rFonts w:ascii="Verdana" w:hAnsi="Verdana" w:cs="Times New Roman"/>
          <w:sz w:val="20"/>
          <w:szCs w:val="20"/>
        </w:rPr>
        <w:t xml:space="preserve"> los</w:t>
      </w:r>
      <w:r w:rsidRPr="000B33B9">
        <w:rPr>
          <w:rFonts w:ascii="Verdana" w:hAnsi="Verdana" w:cs="Times New Roman"/>
          <w:sz w:val="20"/>
          <w:szCs w:val="20"/>
        </w:rPr>
        <w:t xml:space="preserve"> analizará</w:t>
      </w:r>
      <w:r w:rsidR="00394732" w:rsidRPr="000B33B9">
        <w:rPr>
          <w:rFonts w:ascii="Verdana" w:hAnsi="Verdana" w:cs="Times New Roman"/>
          <w:sz w:val="20"/>
          <w:szCs w:val="20"/>
        </w:rPr>
        <w:t xml:space="preserve"> </w:t>
      </w:r>
      <w:r w:rsidR="00A53EE4" w:rsidRPr="000B33B9">
        <w:rPr>
          <w:rFonts w:ascii="Verdana" w:hAnsi="Verdana" w:cs="Times New Roman"/>
          <w:sz w:val="20"/>
          <w:szCs w:val="20"/>
        </w:rPr>
        <w:t>en un capítulo único</w:t>
      </w:r>
      <w:r w:rsidR="00394732" w:rsidRPr="000B33B9">
        <w:rPr>
          <w:rFonts w:ascii="Verdana" w:hAnsi="Verdana" w:cs="Times New Roman"/>
          <w:sz w:val="20"/>
          <w:szCs w:val="20"/>
        </w:rPr>
        <w:t>, en el siguiente orden</w:t>
      </w:r>
      <w:r w:rsidR="00A53EE4" w:rsidRPr="000B33B9">
        <w:rPr>
          <w:rFonts w:ascii="Verdana" w:hAnsi="Verdana" w:cs="Times New Roman"/>
          <w:sz w:val="20"/>
          <w:szCs w:val="20"/>
        </w:rPr>
        <w:t>:</w:t>
      </w:r>
      <w:r w:rsidRPr="000B33B9">
        <w:rPr>
          <w:rFonts w:ascii="Verdana" w:hAnsi="Verdana" w:cs="Times New Roman"/>
          <w:sz w:val="20"/>
          <w:szCs w:val="20"/>
        </w:rPr>
        <w:t xml:space="preserve"> </w:t>
      </w:r>
      <w:r w:rsidR="002821B4" w:rsidRPr="000B33B9">
        <w:rPr>
          <w:rFonts w:ascii="Verdana" w:hAnsi="Verdana" w:cs="Times New Roman"/>
          <w:sz w:val="20"/>
          <w:szCs w:val="20"/>
        </w:rPr>
        <w:t>a)</w:t>
      </w:r>
      <w:r w:rsidRPr="000B33B9">
        <w:rPr>
          <w:rFonts w:ascii="Verdana" w:hAnsi="Verdana" w:cs="Times New Roman"/>
          <w:sz w:val="20"/>
          <w:szCs w:val="20"/>
        </w:rPr>
        <w:t xml:space="preserve"> </w:t>
      </w:r>
      <w:r w:rsidR="00A53EE4" w:rsidRPr="000B33B9">
        <w:rPr>
          <w:rFonts w:ascii="Verdana" w:hAnsi="Verdana" w:cs="Times New Roman"/>
          <w:sz w:val="20"/>
          <w:szCs w:val="20"/>
        </w:rPr>
        <w:t>la alegada violación a la falta de acceso a un recurso judicial efectivo</w:t>
      </w:r>
      <w:r w:rsidR="002821B4" w:rsidRPr="000B33B9">
        <w:rPr>
          <w:rFonts w:ascii="Verdana" w:hAnsi="Verdana" w:cs="Times New Roman"/>
          <w:sz w:val="20"/>
          <w:szCs w:val="20"/>
        </w:rPr>
        <w:t xml:space="preserve"> (artículo 25.1 y 25.2.c)</w:t>
      </w:r>
      <w:r w:rsidR="00A53EE4" w:rsidRPr="000B33B9">
        <w:rPr>
          <w:rFonts w:ascii="Verdana" w:hAnsi="Verdana" w:cs="Times New Roman"/>
          <w:sz w:val="20"/>
          <w:szCs w:val="20"/>
        </w:rPr>
        <w:t xml:space="preserve"> y a la garantía del plazo razonable</w:t>
      </w:r>
      <w:r w:rsidR="002821B4" w:rsidRPr="000B33B9">
        <w:rPr>
          <w:rFonts w:ascii="Verdana" w:hAnsi="Verdana" w:cs="Times New Roman"/>
          <w:sz w:val="20"/>
          <w:szCs w:val="20"/>
        </w:rPr>
        <w:t xml:space="preserve"> (artículo 8.1)</w:t>
      </w:r>
      <w:r w:rsidR="00A53EE4" w:rsidRPr="000B33B9">
        <w:rPr>
          <w:rFonts w:ascii="Verdana" w:hAnsi="Verdana" w:cs="Times New Roman"/>
          <w:sz w:val="20"/>
          <w:szCs w:val="20"/>
        </w:rPr>
        <w:t xml:space="preserve"> por la falta de ejecución de la sentencia y la duración del procedimiento</w:t>
      </w:r>
      <w:r w:rsidR="002821B4" w:rsidRPr="000B33B9">
        <w:rPr>
          <w:rFonts w:ascii="Verdana" w:hAnsi="Verdana" w:cs="Times New Roman"/>
          <w:sz w:val="20"/>
          <w:szCs w:val="20"/>
        </w:rPr>
        <w:t>; b)</w:t>
      </w:r>
      <w:r w:rsidR="00A53EE4" w:rsidRPr="000B33B9">
        <w:rPr>
          <w:rFonts w:ascii="Verdana" w:hAnsi="Verdana" w:cs="Times New Roman"/>
          <w:sz w:val="20"/>
          <w:szCs w:val="20"/>
        </w:rPr>
        <w:t xml:space="preserve"> la alegada violación al derecho a la seguridad</w:t>
      </w:r>
      <w:r w:rsidR="004A7693" w:rsidRPr="000B33B9">
        <w:rPr>
          <w:rFonts w:ascii="Verdana" w:hAnsi="Verdana" w:cs="Times New Roman"/>
          <w:sz w:val="20"/>
          <w:szCs w:val="20"/>
        </w:rPr>
        <w:t xml:space="preserve"> social (artículo 26),</w:t>
      </w:r>
      <w:r w:rsidR="002821B4" w:rsidRPr="000B33B9">
        <w:rPr>
          <w:rFonts w:ascii="Verdana" w:hAnsi="Verdana" w:cs="Times New Roman"/>
          <w:sz w:val="20"/>
          <w:szCs w:val="20"/>
        </w:rPr>
        <w:t xml:space="preserve"> por la</w:t>
      </w:r>
      <w:r w:rsidR="004A7693" w:rsidRPr="000B33B9">
        <w:rPr>
          <w:rFonts w:ascii="Verdana" w:hAnsi="Verdana" w:cs="Times New Roman"/>
          <w:sz w:val="20"/>
          <w:szCs w:val="20"/>
        </w:rPr>
        <w:t xml:space="preserve"> falta de</w:t>
      </w:r>
      <w:r w:rsidR="002821B4" w:rsidRPr="000B33B9">
        <w:rPr>
          <w:rFonts w:ascii="Verdana" w:hAnsi="Verdana" w:cs="Times New Roman"/>
          <w:sz w:val="20"/>
          <w:szCs w:val="20"/>
        </w:rPr>
        <w:t xml:space="preserve"> garantía de los elementos esenciales en la protección de ese derecho; c) la vida digna (artículo 4.1), por las consecuencias que las acciones estatales podrían haber tenido en las condiciones de vida de las presuntas víctimas; d) la propiedad (artículo 21), por la posible afectación al patrimonio de las mismas; </w:t>
      </w:r>
      <w:r w:rsidR="008C1342" w:rsidRPr="000B33B9">
        <w:rPr>
          <w:rFonts w:ascii="Verdana" w:hAnsi="Verdana" w:cs="Times New Roman"/>
          <w:sz w:val="20"/>
          <w:szCs w:val="20"/>
        </w:rPr>
        <w:t xml:space="preserve">y </w:t>
      </w:r>
      <w:r w:rsidR="002821B4" w:rsidRPr="000B33B9">
        <w:rPr>
          <w:rFonts w:ascii="Verdana" w:hAnsi="Verdana" w:cs="Times New Roman"/>
          <w:sz w:val="20"/>
          <w:szCs w:val="20"/>
        </w:rPr>
        <w:t>e) la falta de adecuación normativa (artículo 2), por la alegada existencia de un contexto generalizado de incumplimiento de sentencias que ordenan la restitución de derechos de naturaleza social.</w:t>
      </w:r>
    </w:p>
    <w:p w14:paraId="2D2C7003" w14:textId="77777777" w:rsidR="00BD156F" w:rsidRPr="000B33B9" w:rsidRDefault="00BD156F" w:rsidP="00BD156F">
      <w:pPr>
        <w:tabs>
          <w:tab w:val="left" w:pos="1658"/>
        </w:tabs>
        <w:spacing w:after="0" w:line="240" w:lineRule="auto"/>
        <w:jc w:val="both"/>
        <w:rPr>
          <w:rFonts w:ascii="Verdana" w:hAnsi="Verdana"/>
          <w:sz w:val="20"/>
          <w:szCs w:val="20"/>
          <w:lang w:val="es-DO"/>
        </w:rPr>
      </w:pPr>
    </w:p>
    <w:p w14:paraId="55BB3BF0" w14:textId="6A27A6BE" w:rsidR="008C1342" w:rsidRPr="000B33B9" w:rsidRDefault="008C1342" w:rsidP="004B204D">
      <w:pPr>
        <w:pStyle w:val="Ttulo1"/>
        <w:rPr>
          <w:lang w:val="es-DO"/>
        </w:rPr>
      </w:pPr>
      <w:bookmarkStart w:id="60" w:name="_Toc27329764"/>
      <w:r w:rsidRPr="000B33B9">
        <w:rPr>
          <w:rFonts w:cs="Verdana"/>
          <w:snapToGrid w:val="0"/>
          <w:lang w:val="es-ES_tradnl"/>
        </w:rPr>
        <w:t>VIII</w:t>
      </w:r>
      <w:r w:rsidRPr="000B33B9">
        <w:rPr>
          <w:rFonts w:cs="Verdana"/>
          <w:snapToGrid w:val="0"/>
          <w:lang w:val="es-ES_tradnl"/>
        </w:rPr>
        <w:br/>
      </w:r>
      <w:r w:rsidRPr="000B33B9">
        <w:rPr>
          <w:snapToGrid w:val="0"/>
          <w:lang w:val="es-ES_tradnl"/>
        </w:rPr>
        <w:t>DERECHOS A LAS GARANTÍAS JUDICIALES</w:t>
      </w:r>
      <w:r w:rsidRPr="000B33B9">
        <w:rPr>
          <w:rStyle w:val="Refdenotaalpie"/>
          <w:rFonts w:eastAsia="Times New Roman" w:cs="Times New Roman"/>
          <w:bCs/>
          <w:caps/>
          <w:snapToGrid w:val="0"/>
          <w:lang w:val="es-ES_tradnl"/>
        </w:rPr>
        <w:footnoteReference w:id="142"/>
      </w:r>
      <w:r w:rsidRPr="000B33B9">
        <w:rPr>
          <w:snapToGrid w:val="0"/>
          <w:lang w:val="es-ES_tradnl"/>
        </w:rPr>
        <w:t>, LA PROTECCIÓN JUDICIAL</w:t>
      </w:r>
      <w:r w:rsidRPr="000B33B9">
        <w:rPr>
          <w:rStyle w:val="Refdenotaalpie"/>
          <w:lang w:val="es-DO"/>
        </w:rPr>
        <w:footnoteReference w:id="143"/>
      </w:r>
      <w:r w:rsidRPr="000B33B9">
        <w:rPr>
          <w:rStyle w:val="Ttulo1Car"/>
          <w:b/>
        </w:rPr>
        <w:t xml:space="preserve">, </w:t>
      </w:r>
      <w:r w:rsidRPr="000B33B9">
        <w:rPr>
          <w:snapToGrid w:val="0"/>
          <w:lang w:val="es-ES_tradnl"/>
        </w:rPr>
        <w:t>LA SEGURIDAD SOCIAL</w:t>
      </w:r>
      <w:r w:rsidRPr="000B33B9">
        <w:rPr>
          <w:rStyle w:val="Refdenotaalpie"/>
          <w:rFonts w:eastAsia="Times New Roman" w:cs="Times New Roman"/>
          <w:bCs/>
          <w:caps/>
          <w:snapToGrid w:val="0"/>
          <w:lang w:val="es-ES_tradnl"/>
        </w:rPr>
        <w:footnoteReference w:id="144"/>
      </w:r>
      <w:r w:rsidRPr="000B33B9">
        <w:rPr>
          <w:snapToGrid w:val="0"/>
          <w:lang w:val="es-ES_tradnl"/>
        </w:rPr>
        <w:t>, LA VIDA DIGNA</w:t>
      </w:r>
      <w:r w:rsidRPr="000B33B9">
        <w:rPr>
          <w:rStyle w:val="Refdenotaalpie"/>
          <w:lang w:val="es-DO"/>
        </w:rPr>
        <w:footnoteReference w:id="145"/>
      </w:r>
      <w:r w:rsidRPr="000B33B9">
        <w:rPr>
          <w:snapToGrid w:val="0"/>
          <w:lang w:val="es-ES_tradnl"/>
        </w:rPr>
        <w:t>, LA PROPIEDAD PRIVADA</w:t>
      </w:r>
      <w:r w:rsidRPr="000B33B9">
        <w:rPr>
          <w:rStyle w:val="Refdenotaalpie"/>
          <w:rFonts w:eastAsia="Times New Roman" w:cs="Times New Roman"/>
          <w:bCs/>
          <w:caps/>
          <w:snapToGrid w:val="0"/>
          <w:lang w:val="es-ES_tradnl"/>
        </w:rPr>
        <w:footnoteReference w:id="146"/>
      </w:r>
      <w:r w:rsidRPr="000B33B9">
        <w:rPr>
          <w:snapToGrid w:val="0"/>
          <w:lang w:val="es-ES_tradnl"/>
        </w:rPr>
        <w:t xml:space="preserve"> Y EL </w:t>
      </w:r>
      <w:r w:rsidRPr="000B33B9">
        <w:rPr>
          <w:rStyle w:val="Ttulo1Car"/>
          <w:b/>
        </w:rPr>
        <w:t>DEBER DE ADOPTAR DISPOSICIONES DE DERECHO INTERNO</w:t>
      </w:r>
      <w:r w:rsidRPr="000B33B9">
        <w:rPr>
          <w:rStyle w:val="Refdenotaalpie"/>
          <w:lang w:val="es-DO"/>
        </w:rPr>
        <w:footnoteReference w:id="147"/>
      </w:r>
      <w:bookmarkEnd w:id="60"/>
    </w:p>
    <w:p w14:paraId="3FEB2399" w14:textId="77777777" w:rsidR="008C1342" w:rsidRPr="000B33B9" w:rsidRDefault="008C1342" w:rsidP="00BD156F">
      <w:pPr>
        <w:tabs>
          <w:tab w:val="left" w:pos="1658"/>
        </w:tabs>
        <w:spacing w:after="0" w:line="240" w:lineRule="auto"/>
        <w:jc w:val="both"/>
        <w:rPr>
          <w:rFonts w:ascii="Verdana" w:hAnsi="Verdana"/>
          <w:sz w:val="20"/>
          <w:szCs w:val="20"/>
          <w:lang w:val="es-DO"/>
        </w:rPr>
      </w:pPr>
    </w:p>
    <w:p w14:paraId="1CD1E328" w14:textId="47CA6F37" w:rsidR="00BD156F" w:rsidRPr="000B33B9" w:rsidRDefault="00BD156F" w:rsidP="007B74B8">
      <w:pPr>
        <w:pStyle w:val="Ttulo2"/>
        <w:numPr>
          <w:ilvl w:val="0"/>
          <w:numId w:val="19"/>
        </w:numPr>
      </w:pPr>
      <w:bookmarkStart w:id="61" w:name="_Toc27329765"/>
      <w:r w:rsidRPr="000B33B9">
        <w:t>Derecho a la protección judicial</w:t>
      </w:r>
      <w:bookmarkEnd w:id="61"/>
    </w:p>
    <w:p w14:paraId="3B04349F" w14:textId="77777777" w:rsidR="00BD156F" w:rsidRPr="000B33B9" w:rsidRDefault="00BD156F" w:rsidP="00BD156F">
      <w:pPr>
        <w:pStyle w:val="Prrafodelista"/>
        <w:tabs>
          <w:tab w:val="left" w:pos="1658"/>
        </w:tabs>
        <w:spacing w:after="0" w:line="240" w:lineRule="auto"/>
        <w:contextualSpacing w:val="0"/>
        <w:jc w:val="both"/>
        <w:rPr>
          <w:rFonts w:ascii="Verdana" w:hAnsi="Verdana"/>
          <w:sz w:val="20"/>
          <w:szCs w:val="20"/>
          <w:lang w:val="es-DO"/>
        </w:rPr>
      </w:pPr>
    </w:p>
    <w:p w14:paraId="2B638F5B" w14:textId="2C864DCD" w:rsidR="00BD156F" w:rsidRPr="000B33B9" w:rsidRDefault="00BD156F" w:rsidP="00BD156F">
      <w:pPr>
        <w:pStyle w:val="Ttulo3"/>
        <w:numPr>
          <w:ilvl w:val="0"/>
          <w:numId w:val="0"/>
        </w:numPr>
        <w:ind w:left="1353"/>
        <w:rPr>
          <w:lang w:val="es-DO"/>
        </w:rPr>
      </w:pPr>
      <w:bookmarkStart w:id="62" w:name="_Toc27329766"/>
      <w:r w:rsidRPr="000B33B9">
        <w:rPr>
          <w:lang w:val="es-DO"/>
        </w:rPr>
        <w:t>A.1. Argumentos de la Comisión y de las partes</w:t>
      </w:r>
      <w:bookmarkEnd w:id="62"/>
    </w:p>
    <w:p w14:paraId="257F5680" w14:textId="77777777" w:rsidR="00BD156F" w:rsidRPr="000B33B9" w:rsidRDefault="00BD156F" w:rsidP="00BD156F">
      <w:pPr>
        <w:pStyle w:val="Prrafodelista"/>
        <w:tabs>
          <w:tab w:val="left" w:pos="1658"/>
        </w:tabs>
        <w:spacing w:after="0" w:line="240" w:lineRule="auto"/>
        <w:contextualSpacing w:val="0"/>
        <w:jc w:val="both"/>
        <w:rPr>
          <w:rFonts w:ascii="Verdana" w:hAnsi="Verdana"/>
          <w:b/>
          <w:sz w:val="20"/>
          <w:szCs w:val="20"/>
          <w:lang w:val="es-DO"/>
        </w:rPr>
      </w:pPr>
    </w:p>
    <w:p w14:paraId="21262812" w14:textId="59A79C22" w:rsidR="00BD156F" w:rsidRPr="000B33B9" w:rsidRDefault="00BD156F" w:rsidP="007B74B8">
      <w:pPr>
        <w:pStyle w:val="Prrafodelista"/>
        <w:numPr>
          <w:ilvl w:val="0"/>
          <w:numId w:val="10"/>
        </w:numPr>
        <w:tabs>
          <w:tab w:val="left" w:pos="709"/>
        </w:tabs>
        <w:spacing w:after="0" w:line="240" w:lineRule="auto"/>
        <w:ind w:left="0" w:firstLine="0"/>
        <w:contextualSpacing w:val="0"/>
        <w:jc w:val="both"/>
        <w:rPr>
          <w:rFonts w:ascii="Verdana" w:hAnsi="Verdana"/>
          <w:sz w:val="20"/>
          <w:szCs w:val="20"/>
          <w:lang w:val="es-DO"/>
        </w:rPr>
      </w:pPr>
      <w:r w:rsidRPr="000B33B9">
        <w:rPr>
          <w:rFonts w:ascii="Verdana" w:hAnsi="Verdana"/>
          <w:sz w:val="20"/>
          <w:szCs w:val="20"/>
          <w:lang w:val="es-DO"/>
        </w:rPr>
        <w:t xml:space="preserve">La </w:t>
      </w:r>
      <w:r w:rsidRPr="000B33B9">
        <w:rPr>
          <w:rFonts w:ascii="Verdana" w:hAnsi="Verdana"/>
          <w:b/>
          <w:i/>
          <w:sz w:val="20"/>
          <w:szCs w:val="20"/>
          <w:lang w:val="es-DO"/>
        </w:rPr>
        <w:t xml:space="preserve">Comisión </w:t>
      </w:r>
      <w:r w:rsidRPr="000B33B9">
        <w:rPr>
          <w:rFonts w:ascii="Verdana" w:hAnsi="Verdana"/>
          <w:sz w:val="20"/>
          <w:szCs w:val="20"/>
          <w:lang w:val="es-DO"/>
        </w:rPr>
        <w:t xml:space="preserve">observó que han transcurrido más de 23 años desde la sentencia de 25 de octubre de 1993 emitida por la Corte Suprema, y que a la fecha de su Informe de Fondo el proceso de ejecución </w:t>
      </w:r>
      <w:r w:rsidR="007A3AB8" w:rsidRPr="000B33B9">
        <w:rPr>
          <w:rFonts w:ascii="Verdana" w:hAnsi="Verdana"/>
          <w:sz w:val="20"/>
          <w:szCs w:val="20"/>
          <w:lang w:val="es-DO"/>
        </w:rPr>
        <w:t>se encontraba</w:t>
      </w:r>
      <w:r w:rsidRPr="000B33B9">
        <w:rPr>
          <w:rFonts w:ascii="Verdana" w:hAnsi="Verdana"/>
          <w:sz w:val="20"/>
          <w:szCs w:val="20"/>
          <w:lang w:val="es-DO"/>
        </w:rPr>
        <w:t xml:space="preserve"> abierto. Asimismo, manifestó que a lo largo del proceso de ejecución de sentencia han surgido múltiples controversias judiciales que no han sido resueltas de manera definitiva, y que a partir del año 2002 han transcurrido 16 años en que se han rendido múltiples peritajes y ninguno de ellos ha sido aprobado de manera definitiva. La Comisión señaló que se encuentra demostrado que el poder judicial no ha aplicado las medidas necesarias para resolver aspectos fundamentales de la implementación de un fallo favorable a un grupo de pensionistas, quienes además son personas mayores. En consecuencia, concluyó que el Estado es responsable por la violación de los derechos establecidos en los artículos 25.1 y 25.2 de la Convención en perjuicio de las personas indicadas en el anexo único del Informe de Fondo.</w:t>
      </w:r>
    </w:p>
    <w:p w14:paraId="4FDBFD86" w14:textId="77777777" w:rsidR="00BD156F" w:rsidRPr="000B33B9" w:rsidRDefault="00BD156F" w:rsidP="00BD156F">
      <w:pPr>
        <w:pStyle w:val="Prrafodelista"/>
        <w:tabs>
          <w:tab w:val="left" w:pos="709"/>
        </w:tabs>
        <w:spacing w:after="0" w:line="240" w:lineRule="auto"/>
        <w:ind w:left="0"/>
        <w:contextualSpacing w:val="0"/>
        <w:jc w:val="both"/>
        <w:rPr>
          <w:rFonts w:ascii="Verdana" w:hAnsi="Verdana"/>
          <w:sz w:val="20"/>
          <w:szCs w:val="20"/>
          <w:lang w:val="es-DO"/>
        </w:rPr>
      </w:pPr>
    </w:p>
    <w:p w14:paraId="4599E65B" w14:textId="7096C42B" w:rsidR="00BD156F" w:rsidRPr="000B33B9" w:rsidRDefault="00BD156F" w:rsidP="007B74B8">
      <w:pPr>
        <w:pStyle w:val="Prrafodelista"/>
        <w:numPr>
          <w:ilvl w:val="0"/>
          <w:numId w:val="10"/>
        </w:numPr>
        <w:tabs>
          <w:tab w:val="left" w:pos="709"/>
        </w:tabs>
        <w:spacing w:after="0" w:line="240" w:lineRule="auto"/>
        <w:ind w:left="0" w:firstLine="0"/>
        <w:contextualSpacing w:val="0"/>
        <w:jc w:val="both"/>
        <w:rPr>
          <w:rFonts w:ascii="Verdana" w:hAnsi="Verdana"/>
          <w:sz w:val="20"/>
          <w:szCs w:val="20"/>
          <w:lang w:val="es-DO"/>
        </w:rPr>
      </w:pPr>
      <w:r w:rsidRPr="000B33B9">
        <w:rPr>
          <w:rFonts w:ascii="Verdana" w:hAnsi="Verdana"/>
          <w:sz w:val="20"/>
          <w:szCs w:val="20"/>
          <w:lang w:val="es-DO"/>
        </w:rPr>
        <w:t xml:space="preserve">Los </w:t>
      </w:r>
      <w:r w:rsidRPr="000B33B9">
        <w:rPr>
          <w:rFonts w:ascii="Verdana" w:hAnsi="Verdana"/>
          <w:b/>
          <w:i/>
          <w:sz w:val="20"/>
          <w:szCs w:val="20"/>
          <w:lang w:val="es-DO"/>
        </w:rPr>
        <w:t>representantes</w:t>
      </w:r>
      <w:r w:rsidRPr="000B33B9">
        <w:rPr>
          <w:rFonts w:ascii="Verdana" w:hAnsi="Verdana"/>
          <w:b/>
          <w:sz w:val="20"/>
          <w:szCs w:val="20"/>
          <w:lang w:val="es-DO"/>
        </w:rPr>
        <w:t xml:space="preserve"> </w:t>
      </w:r>
      <w:r w:rsidRPr="000B33B9">
        <w:rPr>
          <w:rFonts w:ascii="Verdana" w:hAnsi="Verdana"/>
          <w:sz w:val="20"/>
          <w:szCs w:val="20"/>
          <w:lang w:val="es-DO"/>
        </w:rPr>
        <w:t>alegaron que la sentencia del 25 de octubre de 1993 puso fin al debate judicial sobre el derecho de los cesantes jubilados de ANCEJUB-SUNAT a disfrutar de la pensión nivelable que les corresponde de acuerdo con el Decreto 20530,</w:t>
      </w:r>
      <w:r w:rsidR="003571A5" w:rsidRPr="000B33B9">
        <w:rPr>
          <w:rFonts w:ascii="Verdana" w:hAnsi="Verdana"/>
          <w:sz w:val="20"/>
          <w:szCs w:val="20"/>
          <w:lang w:val="es-DO"/>
        </w:rPr>
        <w:t xml:space="preserve"> pero pese a ello casi 27 años después de presentad al Poder Judicial, el Estado peruano no ha dado una respuesta definitiva al reclamo de ANCEJUB-SUNAT</w:t>
      </w:r>
      <w:r w:rsidRPr="000B33B9">
        <w:rPr>
          <w:rFonts w:ascii="Verdana" w:hAnsi="Verdana"/>
          <w:sz w:val="20"/>
          <w:szCs w:val="20"/>
          <w:lang w:val="es-DO"/>
        </w:rPr>
        <w:t>. Asimismo, alegaron que el Estado vulneró el derecho de las presuntas víctimas a la protección judicial porque ninguna de las tres acciones de amparo incoadas surtieron efecto alguno, no tuvieron la potencialidad suficiente para reparar la situación jurídica infringida ni han tenido la virtualidad de reparar las violaciones alegadas, lo cual constituye una violación al artículo 25 de la Convención.</w:t>
      </w:r>
    </w:p>
    <w:p w14:paraId="3C270162" w14:textId="77777777" w:rsidR="00BD156F" w:rsidRPr="000B33B9" w:rsidRDefault="00BD156F" w:rsidP="00BD156F">
      <w:pPr>
        <w:pStyle w:val="Prrafodelista"/>
        <w:tabs>
          <w:tab w:val="left" w:pos="709"/>
        </w:tabs>
        <w:spacing w:after="0" w:line="240" w:lineRule="auto"/>
        <w:ind w:left="0"/>
        <w:contextualSpacing w:val="0"/>
        <w:jc w:val="both"/>
        <w:rPr>
          <w:rFonts w:ascii="Verdana" w:hAnsi="Verdana"/>
          <w:sz w:val="20"/>
          <w:szCs w:val="20"/>
          <w:lang w:val="es-DO"/>
        </w:rPr>
      </w:pPr>
    </w:p>
    <w:p w14:paraId="3F6CDBA7" w14:textId="2D86CE87" w:rsidR="00BD156F" w:rsidRPr="000B33B9" w:rsidRDefault="00BD156F" w:rsidP="007B74B8">
      <w:pPr>
        <w:pStyle w:val="Prrafodelista"/>
        <w:numPr>
          <w:ilvl w:val="0"/>
          <w:numId w:val="10"/>
        </w:numPr>
        <w:tabs>
          <w:tab w:val="left" w:pos="709"/>
        </w:tabs>
        <w:spacing w:after="0" w:line="240" w:lineRule="auto"/>
        <w:ind w:left="0" w:firstLine="0"/>
        <w:contextualSpacing w:val="0"/>
        <w:jc w:val="both"/>
        <w:rPr>
          <w:rFonts w:ascii="Verdana" w:hAnsi="Verdana"/>
          <w:sz w:val="20"/>
          <w:szCs w:val="20"/>
          <w:lang w:val="es-DO"/>
        </w:rPr>
      </w:pPr>
      <w:r w:rsidRPr="000B33B9">
        <w:rPr>
          <w:rFonts w:ascii="Verdana" w:hAnsi="Verdana"/>
          <w:sz w:val="20"/>
          <w:szCs w:val="20"/>
          <w:lang w:val="es-DO"/>
        </w:rPr>
        <w:t xml:space="preserve">El </w:t>
      </w:r>
      <w:r w:rsidRPr="000B33B9">
        <w:rPr>
          <w:rFonts w:ascii="Verdana" w:hAnsi="Verdana"/>
          <w:b/>
          <w:i/>
          <w:sz w:val="20"/>
          <w:szCs w:val="20"/>
          <w:lang w:val="es-DO"/>
        </w:rPr>
        <w:t xml:space="preserve">Estado </w:t>
      </w:r>
      <w:r w:rsidRPr="000B33B9">
        <w:rPr>
          <w:rFonts w:ascii="Verdana" w:hAnsi="Verdana"/>
          <w:sz w:val="20"/>
          <w:szCs w:val="20"/>
          <w:lang w:val="es-DO"/>
        </w:rPr>
        <w:t>alegó no haber vulnerado el derecho a la protección judicial, consagrado en los artículos 25.1 y 25.2.c.</w:t>
      </w:r>
      <w:r w:rsidRPr="000B33B9">
        <w:rPr>
          <w:rFonts w:ascii="Verdana" w:hAnsi="Verdana"/>
          <w:b/>
          <w:sz w:val="20"/>
          <w:szCs w:val="20"/>
          <w:lang w:val="es-DO"/>
        </w:rPr>
        <w:t xml:space="preserve"> </w:t>
      </w:r>
      <w:r w:rsidRPr="000B33B9">
        <w:rPr>
          <w:rFonts w:ascii="Verdana" w:hAnsi="Verdana"/>
          <w:sz w:val="20"/>
          <w:szCs w:val="20"/>
          <w:lang w:val="es-DO"/>
        </w:rPr>
        <w:t>de la Convención</w:t>
      </w:r>
      <w:r w:rsidRPr="000B33B9">
        <w:rPr>
          <w:rFonts w:ascii="Verdana" w:hAnsi="Verdana"/>
          <w:b/>
          <w:sz w:val="20"/>
          <w:szCs w:val="20"/>
          <w:lang w:val="es-DO"/>
        </w:rPr>
        <w:t xml:space="preserve"> </w:t>
      </w:r>
      <w:r w:rsidR="008E052C" w:rsidRPr="000B33B9">
        <w:rPr>
          <w:rFonts w:ascii="Verdana" w:hAnsi="Verdana"/>
          <w:sz w:val="20"/>
          <w:szCs w:val="20"/>
          <w:lang w:val="es-DO"/>
        </w:rPr>
        <w:t>porque</w:t>
      </w:r>
      <w:r w:rsidRPr="000B33B9">
        <w:rPr>
          <w:rFonts w:ascii="Verdana" w:hAnsi="Verdana"/>
          <w:sz w:val="20"/>
          <w:szCs w:val="20"/>
          <w:lang w:val="es-DO"/>
        </w:rPr>
        <w:t xml:space="preserve"> ANCEJUB-SUNAT tuvo oportuno acceso a un recurso efectivo ante los jueces y tribunales competentes, y las autoridades correspondientes garantizaron el cumplimiento </w:t>
      </w:r>
      <w:r w:rsidR="008E052C" w:rsidRPr="000B33B9">
        <w:rPr>
          <w:rFonts w:ascii="Verdana" w:hAnsi="Verdana"/>
          <w:sz w:val="20"/>
          <w:szCs w:val="20"/>
          <w:lang w:val="es-DO"/>
        </w:rPr>
        <w:t>de la decisión contenida en la r</w:t>
      </w:r>
      <w:r w:rsidRPr="000B33B9">
        <w:rPr>
          <w:rFonts w:ascii="Verdana" w:hAnsi="Verdana"/>
          <w:sz w:val="20"/>
          <w:szCs w:val="20"/>
          <w:lang w:val="es-DO"/>
        </w:rPr>
        <w:t>esolución del 25 de octubre de 1993. En este senti</w:t>
      </w:r>
      <w:r w:rsidR="008E052C" w:rsidRPr="000B33B9">
        <w:rPr>
          <w:rFonts w:ascii="Verdana" w:hAnsi="Verdana"/>
          <w:sz w:val="20"/>
          <w:szCs w:val="20"/>
          <w:lang w:val="es-DO"/>
        </w:rPr>
        <w:t>do, señaló que en virtud de la r</w:t>
      </w:r>
      <w:r w:rsidRPr="000B33B9">
        <w:rPr>
          <w:rFonts w:ascii="Verdana" w:hAnsi="Verdana"/>
          <w:sz w:val="20"/>
          <w:szCs w:val="20"/>
          <w:lang w:val="es-DO"/>
        </w:rPr>
        <w:t xml:space="preserve">esolución </w:t>
      </w:r>
      <w:r w:rsidR="008E052C" w:rsidRPr="000B33B9">
        <w:rPr>
          <w:rFonts w:ascii="Verdana" w:hAnsi="Verdana"/>
          <w:sz w:val="20"/>
          <w:szCs w:val="20"/>
          <w:lang w:val="es-DO"/>
        </w:rPr>
        <w:t>46 de</w:t>
      </w:r>
      <w:r w:rsidRPr="000B33B9">
        <w:rPr>
          <w:rFonts w:ascii="Verdana" w:hAnsi="Verdana"/>
          <w:sz w:val="20"/>
          <w:szCs w:val="20"/>
          <w:lang w:val="es-DO"/>
        </w:rPr>
        <w:t xml:space="preserve"> 5 de mayo de 2005 del</w:t>
      </w:r>
      <w:r w:rsidR="008E052C" w:rsidRPr="000B33B9">
        <w:rPr>
          <w:rFonts w:ascii="Verdana" w:hAnsi="Verdana"/>
          <w:sz w:val="20"/>
          <w:szCs w:val="20"/>
          <w:lang w:val="es-DO"/>
        </w:rPr>
        <w:t xml:space="preserve"> Sexagésimo Sexto Juzgado, las r</w:t>
      </w:r>
      <w:r w:rsidRPr="000B33B9">
        <w:rPr>
          <w:rFonts w:ascii="Verdana" w:hAnsi="Verdana"/>
          <w:sz w:val="20"/>
          <w:szCs w:val="20"/>
          <w:lang w:val="es-DO"/>
        </w:rPr>
        <w:t>esoluciones de 24 de julio de 2006 y de 8 de mayo de 2016 de la Sexta Sala Civil de Lima, así como la Sentencia del Tribunal Constitucional de fecha 9 de agosto de 2011, el Estado resolvió los aspectos fundamentales de la ejecución de la Sentencia de 25 de octubre de 1993.</w:t>
      </w:r>
    </w:p>
    <w:p w14:paraId="4E336158" w14:textId="77777777" w:rsidR="00BD156F" w:rsidRPr="000B33B9" w:rsidRDefault="00BD156F" w:rsidP="00BD156F">
      <w:pPr>
        <w:pStyle w:val="Prrafodelista"/>
        <w:tabs>
          <w:tab w:val="left" w:pos="709"/>
        </w:tabs>
        <w:spacing w:after="0" w:line="240" w:lineRule="auto"/>
        <w:ind w:left="0"/>
        <w:contextualSpacing w:val="0"/>
        <w:jc w:val="both"/>
        <w:rPr>
          <w:rFonts w:ascii="Verdana" w:hAnsi="Verdana"/>
          <w:sz w:val="20"/>
          <w:szCs w:val="20"/>
          <w:lang w:val="es-DO"/>
        </w:rPr>
      </w:pPr>
    </w:p>
    <w:p w14:paraId="242A5858" w14:textId="77777777" w:rsidR="00BD156F" w:rsidRPr="000B33B9" w:rsidRDefault="00BD156F" w:rsidP="00BD156F">
      <w:pPr>
        <w:pStyle w:val="Ttulo3"/>
        <w:numPr>
          <w:ilvl w:val="0"/>
          <w:numId w:val="0"/>
        </w:numPr>
        <w:ind w:left="1353"/>
        <w:rPr>
          <w:lang w:val="es-DO"/>
        </w:rPr>
      </w:pPr>
      <w:bookmarkStart w:id="63" w:name="_Toc27329767"/>
      <w:r w:rsidRPr="000B33B9">
        <w:rPr>
          <w:lang w:val="es-DO"/>
        </w:rPr>
        <w:t>A.2. Consideraciones de la Corte</w:t>
      </w:r>
      <w:bookmarkEnd w:id="63"/>
    </w:p>
    <w:p w14:paraId="078BE69D" w14:textId="77777777" w:rsidR="00BD156F" w:rsidRPr="000B33B9" w:rsidRDefault="00BD156F" w:rsidP="00BD156F">
      <w:pPr>
        <w:pStyle w:val="Prrafodelista"/>
        <w:spacing w:after="0" w:line="240" w:lineRule="auto"/>
        <w:jc w:val="both"/>
        <w:rPr>
          <w:rFonts w:ascii="Verdana" w:hAnsi="Verdana"/>
          <w:b/>
          <w:bCs/>
          <w:sz w:val="20"/>
          <w:szCs w:val="20"/>
          <w:lang w:val="es-DO"/>
        </w:rPr>
      </w:pPr>
    </w:p>
    <w:p w14:paraId="1D1AC2D2" w14:textId="5196D60B" w:rsidR="00BD156F" w:rsidRPr="000B33B9" w:rsidRDefault="00BD156F" w:rsidP="007B74B8">
      <w:pPr>
        <w:pStyle w:val="Prrafodelista"/>
        <w:numPr>
          <w:ilvl w:val="0"/>
          <w:numId w:val="10"/>
        </w:numPr>
        <w:tabs>
          <w:tab w:val="left" w:pos="709"/>
        </w:tabs>
        <w:spacing w:after="0" w:line="240" w:lineRule="auto"/>
        <w:ind w:left="0" w:firstLine="0"/>
        <w:contextualSpacing w:val="0"/>
        <w:jc w:val="both"/>
        <w:rPr>
          <w:rFonts w:ascii="Verdana" w:hAnsi="Verdana"/>
          <w:spacing w:val="-2"/>
          <w:sz w:val="20"/>
          <w:szCs w:val="20"/>
        </w:rPr>
      </w:pPr>
      <w:r w:rsidRPr="000B33B9">
        <w:rPr>
          <w:rFonts w:ascii="Verdana" w:hAnsi="Verdana"/>
          <w:spacing w:val="-2"/>
          <w:sz w:val="20"/>
          <w:szCs w:val="20"/>
        </w:rPr>
        <w:t xml:space="preserve">El artículo 25 de la Convención Americana reconoce el derecho a la protección judicial. Este Tribunal ha señalado que de la protección de este derecho es posible </w:t>
      </w:r>
      <w:r w:rsidRPr="000B33B9">
        <w:rPr>
          <w:rFonts w:ascii="Verdana" w:hAnsi="Verdana" w:cs="Arial"/>
          <w:spacing w:val="-2"/>
          <w:sz w:val="20"/>
          <w:szCs w:val="20"/>
          <w:lang w:val="es-AR"/>
        </w:rPr>
        <w:t>identificar</w:t>
      </w:r>
      <w:r w:rsidRPr="000B33B9">
        <w:rPr>
          <w:rFonts w:ascii="Verdana" w:hAnsi="Verdana"/>
          <w:spacing w:val="-2"/>
          <w:sz w:val="20"/>
          <w:szCs w:val="20"/>
        </w:rPr>
        <w:t xml:space="preserve"> dos obligaciones concretas del Estado. La primera, consagrar normativamente y asegurar la debida aplicación de recursos efectivos ante las autoridades competentes, que amparen a todas las personas bajo su jurisdicción contra actos que violen sus derechos fundamentales o que conlleven a la determinación de </w:t>
      </w:r>
      <w:r w:rsidR="008E052C" w:rsidRPr="000B33B9">
        <w:rPr>
          <w:rFonts w:ascii="Verdana" w:hAnsi="Verdana"/>
          <w:spacing w:val="-2"/>
          <w:sz w:val="20"/>
          <w:szCs w:val="20"/>
        </w:rPr>
        <w:t>los derechos y obligaciones de e</w:t>
      </w:r>
      <w:r w:rsidRPr="000B33B9">
        <w:rPr>
          <w:rFonts w:ascii="Verdana" w:hAnsi="Verdana"/>
          <w:spacing w:val="-2"/>
          <w:sz w:val="20"/>
          <w:szCs w:val="20"/>
        </w:rPr>
        <w:t>stas</w:t>
      </w:r>
      <w:r w:rsidRPr="000B33B9">
        <w:rPr>
          <w:rStyle w:val="Refdenotaalpie"/>
          <w:rFonts w:ascii="Verdana" w:hAnsi="Verdana"/>
          <w:spacing w:val="-2"/>
          <w:sz w:val="20"/>
          <w:szCs w:val="20"/>
        </w:rPr>
        <w:footnoteReference w:id="148"/>
      </w:r>
      <w:r w:rsidRPr="000B33B9">
        <w:rPr>
          <w:rFonts w:ascii="Verdana" w:hAnsi="Verdana"/>
          <w:spacing w:val="-2"/>
          <w:sz w:val="20"/>
          <w:szCs w:val="20"/>
        </w:rPr>
        <w:t>. La segunda, garantizar los medios para ejecutar las respectivas decisiones y sentencias definitivas emitidas por tales autoridades competentes, de manera que se protejan efectivamente los derechos declarados o reconocidos</w:t>
      </w:r>
      <w:r w:rsidRPr="000B33B9">
        <w:rPr>
          <w:rStyle w:val="Refdenotaalpie"/>
          <w:rFonts w:ascii="Verdana" w:hAnsi="Verdana"/>
          <w:spacing w:val="-2"/>
          <w:sz w:val="20"/>
          <w:szCs w:val="20"/>
        </w:rPr>
        <w:footnoteReference w:id="149"/>
      </w:r>
      <w:r w:rsidRPr="000B33B9">
        <w:rPr>
          <w:rFonts w:ascii="Verdana" w:hAnsi="Verdana"/>
          <w:spacing w:val="-2"/>
          <w:sz w:val="20"/>
          <w:szCs w:val="20"/>
        </w:rPr>
        <w:t>. En este sentido, el artículo 25.2.c de la Con</w:t>
      </w:r>
      <w:r w:rsidR="00E729D1" w:rsidRPr="000B33B9">
        <w:rPr>
          <w:rFonts w:ascii="Verdana" w:hAnsi="Verdana"/>
          <w:spacing w:val="-2"/>
          <w:sz w:val="20"/>
          <w:szCs w:val="20"/>
        </w:rPr>
        <w:t xml:space="preserve">vención consagra el derecho al </w:t>
      </w:r>
      <w:r w:rsidRPr="000B33B9">
        <w:rPr>
          <w:rFonts w:ascii="Verdana" w:hAnsi="Verdana"/>
          <w:spacing w:val="-2"/>
          <w:sz w:val="20"/>
          <w:szCs w:val="20"/>
        </w:rPr>
        <w:t>cumplimiento, por las autoridades competentes, de toda decisión en que se haya</w:t>
      </w:r>
      <w:r w:rsidR="00E729D1" w:rsidRPr="000B33B9">
        <w:rPr>
          <w:rFonts w:ascii="Verdana" w:hAnsi="Verdana"/>
          <w:spacing w:val="-2"/>
          <w:sz w:val="20"/>
          <w:szCs w:val="20"/>
        </w:rPr>
        <w:t xml:space="preserve"> estimado procedente el recurso</w:t>
      </w:r>
      <w:r w:rsidRPr="000B33B9">
        <w:rPr>
          <w:rStyle w:val="Refdenotaalpie"/>
          <w:rFonts w:ascii="Verdana" w:hAnsi="Verdana"/>
          <w:spacing w:val="-2"/>
          <w:sz w:val="20"/>
          <w:szCs w:val="20"/>
        </w:rPr>
        <w:footnoteReference w:id="150"/>
      </w:r>
      <w:r w:rsidRPr="000B33B9">
        <w:rPr>
          <w:rFonts w:ascii="Verdana" w:hAnsi="Verdana"/>
          <w:spacing w:val="-2"/>
          <w:sz w:val="20"/>
          <w:szCs w:val="20"/>
        </w:rPr>
        <w:t>.</w:t>
      </w:r>
    </w:p>
    <w:p w14:paraId="26B0A518" w14:textId="77777777" w:rsidR="00BD156F" w:rsidRPr="000B33B9" w:rsidRDefault="00BD156F" w:rsidP="00BD156F">
      <w:pPr>
        <w:pStyle w:val="Prrafodelista"/>
        <w:tabs>
          <w:tab w:val="left" w:pos="709"/>
        </w:tabs>
        <w:spacing w:after="0" w:line="240" w:lineRule="auto"/>
        <w:ind w:left="0"/>
        <w:contextualSpacing w:val="0"/>
        <w:jc w:val="both"/>
        <w:rPr>
          <w:rFonts w:ascii="Verdana" w:hAnsi="Verdana"/>
          <w:spacing w:val="-2"/>
          <w:sz w:val="20"/>
          <w:szCs w:val="20"/>
        </w:rPr>
      </w:pPr>
    </w:p>
    <w:p w14:paraId="61BA430A" w14:textId="2548831C" w:rsidR="00BD156F" w:rsidRPr="000B33B9" w:rsidRDefault="00BD156F" w:rsidP="007B74B8">
      <w:pPr>
        <w:pStyle w:val="Prrafodelista"/>
        <w:numPr>
          <w:ilvl w:val="0"/>
          <w:numId w:val="10"/>
        </w:numPr>
        <w:tabs>
          <w:tab w:val="left" w:pos="709"/>
        </w:tabs>
        <w:spacing w:after="0" w:line="240" w:lineRule="auto"/>
        <w:ind w:left="0" w:firstLine="0"/>
        <w:contextualSpacing w:val="0"/>
        <w:jc w:val="both"/>
        <w:rPr>
          <w:rFonts w:ascii="Verdana" w:hAnsi="Verdana"/>
          <w:spacing w:val="-2"/>
          <w:sz w:val="20"/>
          <w:szCs w:val="20"/>
        </w:rPr>
      </w:pPr>
      <w:r w:rsidRPr="000B33B9">
        <w:rPr>
          <w:rFonts w:ascii="Verdana" w:hAnsi="Verdana"/>
          <w:spacing w:val="-2"/>
          <w:sz w:val="20"/>
          <w:szCs w:val="20"/>
        </w:rPr>
        <w:t xml:space="preserve">En relación con el cumplimiento de las sentencias, la Corte ha indicado </w:t>
      </w:r>
      <w:r w:rsidRPr="000B33B9">
        <w:rPr>
          <w:rFonts w:ascii="Verdana" w:hAnsi="Verdana" w:cs="Verdana"/>
          <w:bCs/>
          <w:iCs/>
          <w:sz w:val="20"/>
          <w:szCs w:val="20"/>
        </w:rPr>
        <w:t xml:space="preserve">que la responsabilidad estatal no termina cuando las autoridades competentes emiten una decisión o sentencia, sino que requiere además que el Estado garantice los medios y mecanismos eficaces para ejecutar las decisiones definitivas, de </w:t>
      </w:r>
      <w:r w:rsidR="00E05C81" w:rsidRPr="000B33B9">
        <w:rPr>
          <w:rFonts w:ascii="Verdana" w:hAnsi="Verdana" w:cs="Verdana"/>
          <w:bCs/>
          <w:iCs/>
          <w:sz w:val="20"/>
          <w:szCs w:val="20"/>
        </w:rPr>
        <w:t xml:space="preserve">modo </w:t>
      </w:r>
      <w:r w:rsidRPr="000B33B9">
        <w:rPr>
          <w:rFonts w:ascii="Verdana" w:hAnsi="Verdana" w:cs="Verdana"/>
          <w:bCs/>
          <w:iCs/>
          <w:sz w:val="20"/>
          <w:szCs w:val="20"/>
        </w:rPr>
        <w:t xml:space="preserve">que se protejan </w:t>
      </w:r>
      <w:r w:rsidR="00E05C81" w:rsidRPr="000B33B9">
        <w:rPr>
          <w:rFonts w:ascii="Verdana" w:hAnsi="Verdana" w:cs="Verdana"/>
          <w:bCs/>
          <w:iCs/>
          <w:sz w:val="20"/>
          <w:szCs w:val="20"/>
        </w:rPr>
        <w:t xml:space="preserve">de manera efectiva </w:t>
      </w:r>
      <w:r w:rsidRPr="000B33B9">
        <w:rPr>
          <w:rFonts w:ascii="Verdana" w:hAnsi="Verdana" w:cs="Verdana"/>
          <w:bCs/>
          <w:iCs/>
          <w:sz w:val="20"/>
          <w:szCs w:val="20"/>
        </w:rPr>
        <w:t>los derechos declarados</w:t>
      </w:r>
      <w:r w:rsidRPr="000B33B9">
        <w:rPr>
          <w:rFonts w:ascii="Verdana" w:hAnsi="Verdana" w:cs="Verdana"/>
          <w:bCs/>
          <w:iCs/>
          <w:sz w:val="20"/>
          <w:szCs w:val="20"/>
          <w:vertAlign w:val="superscript"/>
        </w:rPr>
        <w:footnoteReference w:id="151"/>
      </w:r>
      <w:r w:rsidRPr="000B33B9">
        <w:rPr>
          <w:rFonts w:ascii="Verdana" w:hAnsi="Verdana" w:cs="Verdana"/>
          <w:bCs/>
          <w:iCs/>
          <w:sz w:val="20"/>
          <w:szCs w:val="20"/>
        </w:rPr>
        <w:t>.</w:t>
      </w:r>
      <w:r w:rsidRPr="000B33B9">
        <w:rPr>
          <w:rFonts w:ascii="Verdana" w:hAnsi="Verdana"/>
          <w:spacing w:val="-2"/>
          <w:sz w:val="20"/>
          <w:szCs w:val="20"/>
        </w:rPr>
        <w:t xml:space="preserve"> Asimismo, este Tribunal ha establecido que</w:t>
      </w:r>
      <w:r w:rsidRPr="000B33B9">
        <w:rPr>
          <w:rFonts w:ascii="Verdana" w:eastAsia="Times" w:hAnsi="Verdana"/>
          <w:spacing w:val="-2"/>
          <w:sz w:val="20"/>
          <w:szCs w:val="20"/>
        </w:rPr>
        <w:t xml:space="preserve"> </w:t>
      </w:r>
      <w:r w:rsidRPr="000B33B9">
        <w:rPr>
          <w:rFonts w:ascii="Verdana" w:hAnsi="Verdana"/>
          <w:spacing w:val="-2"/>
          <w:sz w:val="20"/>
          <w:szCs w:val="20"/>
        </w:rPr>
        <w:t>la efectividad de las sentencias depende de su ejecución, cuyo proceso debe tender a la materialización de la protección del derecho</w:t>
      </w:r>
      <w:r w:rsidRPr="000B33B9">
        <w:rPr>
          <w:rFonts w:ascii="Verdana" w:hAnsi="Verdana"/>
          <w:b/>
          <w:spacing w:val="-2"/>
          <w:sz w:val="20"/>
          <w:szCs w:val="20"/>
        </w:rPr>
        <w:t xml:space="preserve"> </w:t>
      </w:r>
      <w:r w:rsidRPr="000B33B9">
        <w:rPr>
          <w:rFonts w:ascii="Verdana" w:hAnsi="Verdana"/>
          <w:spacing w:val="-2"/>
          <w:sz w:val="20"/>
          <w:szCs w:val="20"/>
        </w:rPr>
        <w:t>reconocido en el pronunciamiento judicial mediante la aplicación idónea de dicho pronunciamiento</w:t>
      </w:r>
      <w:r w:rsidRPr="000B33B9">
        <w:rPr>
          <w:rStyle w:val="Refdenotaalpie"/>
          <w:rFonts w:ascii="Verdana" w:hAnsi="Verdana"/>
          <w:spacing w:val="-2"/>
          <w:sz w:val="20"/>
          <w:szCs w:val="20"/>
        </w:rPr>
        <w:footnoteReference w:id="152"/>
      </w:r>
      <w:r w:rsidRPr="000B33B9">
        <w:rPr>
          <w:rFonts w:ascii="Verdana" w:hAnsi="Verdana"/>
          <w:spacing w:val="-2"/>
          <w:sz w:val="20"/>
          <w:szCs w:val="20"/>
        </w:rPr>
        <w:t>.</w:t>
      </w:r>
      <w:r w:rsidRPr="000B33B9">
        <w:rPr>
          <w:rFonts w:ascii="Verdana" w:hAnsi="Verdana"/>
          <w:b/>
          <w:spacing w:val="-2"/>
          <w:sz w:val="20"/>
          <w:szCs w:val="20"/>
        </w:rPr>
        <w:t xml:space="preserve"> </w:t>
      </w:r>
      <w:r w:rsidRPr="000B33B9">
        <w:rPr>
          <w:rFonts w:ascii="Verdana" w:hAnsi="Verdana"/>
          <w:sz w:val="20"/>
          <w:szCs w:val="20"/>
          <w:lang w:val="es-ES"/>
        </w:rPr>
        <w:t>La Corte también ha señalado que para lograr plenamente la efectividad de la sentencia la ejecución debe ser completa, perfecta, integral y sin demora</w:t>
      </w:r>
      <w:r w:rsidRPr="000B33B9">
        <w:rPr>
          <w:rStyle w:val="Refdenotaalpie"/>
          <w:rFonts w:ascii="Verdana" w:hAnsi="Verdana"/>
          <w:sz w:val="20"/>
          <w:szCs w:val="20"/>
          <w:lang w:val="es-ES"/>
        </w:rPr>
        <w:footnoteReference w:id="153"/>
      </w:r>
      <w:r w:rsidRPr="000B33B9">
        <w:rPr>
          <w:rFonts w:ascii="Verdana" w:hAnsi="Verdana"/>
          <w:sz w:val="20"/>
          <w:szCs w:val="20"/>
          <w:lang w:val="es-ES"/>
        </w:rPr>
        <w:t xml:space="preserve">. </w:t>
      </w:r>
    </w:p>
    <w:p w14:paraId="0815ED65" w14:textId="77777777" w:rsidR="00BD156F" w:rsidRPr="000B33B9" w:rsidRDefault="00BD156F" w:rsidP="00BD156F">
      <w:pPr>
        <w:pStyle w:val="Prrafodelista"/>
        <w:tabs>
          <w:tab w:val="left" w:pos="709"/>
        </w:tabs>
        <w:spacing w:after="0" w:line="240" w:lineRule="auto"/>
        <w:ind w:left="0"/>
        <w:contextualSpacing w:val="0"/>
        <w:jc w:val="both"/>
        <w:rPr>
          <w:rFonts w:ascii="Verdana" w:hAnsi="Verdana"/>
          <w:spacing w:val="-2"/>
          <w:sz w:val="20"/>
          <w:szCs w:val="20"/>
        </w:rPr>
      </w:pPr>
    </w:p>
    <w:p w14:paraId="4C41014D" w14:textId="7690F8AA" w:rsidR="00BD156F" w:rsidRPr="000B33B9" w:rsidRDefault="00BD156F" w:rsidP="007B74B8">
      <w:pPr>
        <w:pStyle w:val="Prrafodelista"/>
        <w:numPr>
          <w:ilvl w:val="0"/>
          <w:numId w:val="10"/>
        </w:numPr>
        <w:tabs>
          <w:tab w:val="left" w:pos="709"/>
        </w:tabs>
        <w:spacing w:after="0" w:line="240" w:lineRule="auto"/>
        <w:ind w:left="0" w:firstLine="0"/>
        <w:contextualSpacing w:val="0"/>
        <w:jc w:val="both"/>
        <w:rPr>
          <w:rFonts w:ascii="Verdana" w:hAnsi="Verdana"/>
          <w:spacing w:val="-2"/>
          <w:sz w:val="20"/>
          <w:szCs w:val="20"/>
        </w:rPr>
      </w:pPr>
      <w:r w:rsidRPr="000B33B9">
        <w:rPr>
          <w:rFonts w:ascii="Verdana" w:hAnsi="Verdana"/>
          <w:spacing w:val="-2"/>
          <w:sz w:val="20"/>
          <w:szCs w:val="20"/>
        </w:rPr>
        <w:t xml:space="preserve"> La Corte recuerda que los integrantes de ANCEJUB-SUNAT laboraban para la SUNAT, conforme la Ley de Base de la Carrera Administrativa</w:t>
      </w:r>
      <w:r w:rsidRPr="000B33B9">
        <w:rPr>
          <w:rStyle w:val="Refdenotaalpie"/>
          <w:rFonts w:ascii="Verdana" w:hAnsi="Verdana"/>
          <w:spacing w:val="-2"/>
          <w:sz w:val="20"/>
          <w:szCs w:val="20"/>
        </w:rPr>
        <w:footnoteReference w:id="154"/>
      </w:r>
      <w:r w:rsidRPr="000B33B9">
        <w:rPr>
          <w:rFonts w:ascii="Verdana" w:hAnsi="Verdana"/>
          <w:spacing w:val="-2"/>
          <w:sz w:val="20"/>
          <w:szCs w:val="20"/>
        </w:rPr>
        <w:t xml:space="preserve"> y el régimen pensionario del Decreto 20530, cuando el Decreto 639 dispuso la reorganización de dicha institución</w:t>
      </w:r>
      <w:r w:rsidR="001901D6" w:rsidRPr="000B33B9">
        <w:rPr>
          <w:rStyle w:val="Refdenotaalpie"/>
          <w:rFonts w:ascii="Verdana" w:hAnsi="Verdana"/>
          <w:spacing w:val="-2"/>
          <w:sz w:val="20"/>
          <w:szCs w:val="20"/>
        </w:rPr>
        <w:footnoteReference w:id="155"/>
      </w:r>
      <w:r w:rsidRPr="000B33B9">
        <w:rPr>
          <w:rFonts w:ascii="Verdana" w:hAnsi="Verdana"/>
          <w:spacing w:val="-2"/>
          <w:sz w:val="20"/>
          <w:szCs w:val="20"/>
        </w:rPr>
        <w:t>. Como parte de la “reestructuración orgánica y de racionalización de recursos” ordenada por el Decreto 639, la SUNAT dispuso la posibilidad de adherirse a un Programa de Renuncias Voluntarias que ofrecía incentivos económicos, t</w:t>
      </w:r>
      <w:r w:rsidR="008E052C" w:rsidRPr="000B33B9">
        <w:rPr>
          <w:rFonts w:ascii="Verdana" w:hAnsi="Verdana"/>
          <w:spacing w:val="-2"/>
          <w:sz w:val="20"/>
          <w:szCs w:val="20"/>
        </w:rPr>
        <w:t>ales como el reconocimiento de tres</w:t>
      </w:r>
      <w:r w:rsidRPr="000B33B9">
        <w:rPr>
          <w:rFonts w:ascii="Verdana" w:hAnsi="Verdana"/>
          <w:spacing w:val="-2"/>
          <w:sz w:val="20"/>
          <w:szCs w:val="20"/>
        </w:rPr>
        <w:t xml:space="preserve"> </w:t>
      </w:r>
      <w:r w:rsidR="00192542" w:rsidRPr="000B33B9">
        <w:rPr>
          <w:rFonts w:ascii="Verdana" w:hAnsi="Verdana"/>
          <w:spacing w:val="-2"/>
          <w:sz w:val="20"/>
          <w:szCs w:val="20"/>
        </w:rPr>
        <w:t xml:space="preserve">y </w:t>
      </w:r>
      <w:r w:rsidR="008E052C" w:rsidRPr="000B33B9">
        <w:rPr>
          <w:rFonts w:ascii="Verdana" w:hAnsi="Verdana"/>
          <w:spacing w:val="-2"/>
          <w:sz w:val="20"/>
          <w:szCs w:val="20"/>
        </w:rPr>
        <w:t>cinco</w:t>
      </w:r>
      <w:r w:rsidR="00192542" w:rsidRPr="000B33B9">
        <w:rPr>
          <w:rFonts w:ascii="Verdana" w:hAnsi="Verdana"/>
          <w:spacing w:val="-2"/>
          <w:sz w:val="20"/>
          <w:szCs w:val="20"/>
        </w:rPr>
        <w:t xml:space="preserve"> </w:t>
      </w:r>
      <w:r w:rsidRPr="000B33B9">
        <w:rPr>
          <w:rFonts w:ascii="Verdana" w:hAnsi="Verdana"/>
          <w:spacing w:val="-2"/>
          <w:sz w:val="20"/>
          <w:szCs w:val="20"/>
        </w:rPr>
        <w:t>años adicionales de servicio para el cómputo de la pensión de cesantía</w:t>
      </w:r>
      <w:r w:rsidRPr="000B33B9">
        <w:rPr>
          <w:rStyle w:val="Refdenotaalpie"/>
          <w:rFonts w:ascii="Verdana" w:hAnsi="Verdana"/>
          <w:spacing w:val="-2"/>
          <w:sz w:val="20"/>
          <w:szCs w:val="20"/>
        </w:rPr>
        <w:footnoteReference w:id="156"/>
      </w:r>
      <w:r w:rsidRPr="000B33B9">
        <w:rPr>
          <w:rFonts w:ascii="Verdana" w:hAnsi="Verdana"/>
          <w:spacing w:val="-2"/>
          <w:sz w:val="20"/>
          <w:szCs w:val="20"/>
        </w:rPr>
        <w:t xml:space="preserve">. Al respecto, la Corte constata que los miembros de ANCEJUB-SUNAT eran servidores de la SUNAT con más de </w:t>
      </w:r>
      <w:r w:rsidR="008E052C" w:rsidRPr="000B33B9">
        <w:rPr>
          <w:rFonts w:ascii="Verdana" w:hAnsi="Verdana"/>
          <w:spacing w:val="-2"/>
          <w:sz w:val="20"/>
          <w:szCs w:val="20"/>
        </w:rPr>
        <w:t>20</w:t>
      </w:r>
      <w:r w:rsidRPr="000B33B9">
        <w:rPr>
          <w:rFonts w:ascii="Verdana" w:hAnsi="Verdana"/>
          <w:spacing w:val="-2"/>
          <w:sz w:val="20"/>
          <w:szCs w:val="20"/>
        </w:rPr>
        <w:t xml:space="preserve"> años de servicio que, en su mayoría, se habían acogido al plan de renuncias voluntarias establecido en el Decreto 639.</w:t>
      </w:r>
    </w:p>
    <w:p w14:paraId="0B9CEBB2" w14:textId="77777777" w:rsidR="00D615D4" w:rsidRPr="000B33B9" w:rsidRDefault="00D615D4" w:rsidP="00D615D4">
      <w:pPr>
        <w:pStyle w:val="Prrafodelista"/>
        <w:tabs>
          <w:tab w:val="left" w:pos="709"/>
        </w:tabs>
        <w:spacing w:after="0" w:line="240" w:lineRule="auto"/>
        <w:ind w:left="0"/>
        <w:contextualSpacing w:val="0"/>
        <w:jc w:val="both"/>
        <w:rPr>
          <w:rFonts w:ascii="Verdana" w:hAnsi="Verdana"/>
          <w:spacing w:val="-2"/>
          <w:sz w:val="20"/>
          <w:szCs w:val="20"/>
        </w:rPr>
      </w:pPr>
    </w:p>
    <w:p w14:paraId="5FF266B7" w14:textId="230FD488" w:rsidR="0002065C" w:rsidRPr="000B33B9" w:rsidRDefault="00BD156F" w:rsidP="007B74B8">
      <w:pPr>
        <w:pStyle w:val="Prrafodelista"/>
        <w:numPr>
          <w:ilvl w:val="0"/>
          <w:numId w:val="10"/>
        </w:numPr>
        <w:tabs>
          <w:tab w:val="left" w:pos="709"/>
        </w:tabs>
        <w:spacing w:after="0" w:line="240" w:lineRule="auto"/>
        <w:ind w:left="0" w:firstLine="0"/>
        <w:contextualSpacing w:val="0"/>
        <w:jc w:val="both"/>
        <w:rPr>
          <w:rFonts w:ascii="Verdana" w:hAnsi="Verdana"/>
          <w:spacing w:val="-2"/>
          <w:sz w:val="20"/>
          <w:szCs w:val="20"/>
        </w:rPr>
      </w:pPr>
      <w:r w:rsidRPr="000B33B9">
        <w:rPr>
          <w:rFonts w:ascii="Verdana" w:hAnsi="Verdana"/>
          <w:spacing w:val="-2"/>
          <w:sz w:val="20"/>
          <w:szCs w:val="20"/>
        </w:rPr>
        <w:t xml:space="preserve">En virtud de lo anterior, la SUNAT se encontraba obligada a pagar a los cesantes sus pensiones niveladas de conformidad con el Decreto 20530, lo que implicaba la nivelación de las pensiones conforme a los salarios devengados por los trabajadores en activo de dicha institución. Sin embargo, en septiembre de 1991 se transfirió dicha atribución al </w:t>
      </w:r>
      <w:r w:rsidR="00E729D1" w:rsidRPr="000B33B9">
        <w:rPr>
          <w:rFonts w:ascii="Verdana" w:hAnsi="Verdana"/>
          <w:spacing w:val="-2"/>
          <w:sz w:val="20"/>
          <w:szCs w:val="20"/>
        </w:rPr>
        <w:t>MEF</w:t>
      </w:r>
      <w:r w:rsidR="00FF4FAD" w:rsidRPr="000B33B9">
        <w:rPr>
          <w:rFonts w:ascii="Verdana" w:hAnsi="Verdana"/>
          <w:spacing w:val="-2"/>
          <w:sz w:val="20"/>
          <w:szCs w:val="20"/>
        </w:rPr>
        <w:t xml:space="preserve"> mediante la Tercera Disposición T</w:t>
      </w:r>
      <w:r w:rsidRPr="000B33B9">
        <w:rPr>
          <w:rFonts w:ascii="Verdana" w:hAnsi="Verdana"/>
          <w:spacing w:val="-2"/>
          <w:sz w:val="20"/>
          <w:szCs w:val="20"/>
        </w:rPr>
        <w:t>ransitoria del Decreto 673</w:t>
      </w:r>
      <w:r w:rsidRPr="000B33B9">
        <w:rPr>
          <w:rStyle w:val="Refdenotaalpie"/>
          <w:rFonts w:ascii="Verdana" w:hAnsi="Verdana"/>
          <w:spacing w:val="-2"/>
          <w:sz w:val="20"/>
          <w:szCs w:val="20"/>
        </w:rPr>
        <w:footnoteReference w:id="157"/>
      </w:r>
      <w:r w:rsidRPr="000B33B9">
        <w:rPr>
          <w:rFonts w:ascii="Verdana" w:hAnsi="Verdana"/>
          <w:spacing w:val="-2"/>
          <w:sz w:val="20"/>
          <w:szCs w:val="20"/>
        </w:rPr>
        <w:t xml:space="preserve">, expedido en el marco de la reorganización de la SUNAT, a fin de modificar el régimen laboral de los servidores que habían superado el proceso de postulación, sustituyendo para quienes así lo </w:t>
      </w:r>
      <w:r w:rsidR="003D2A72" w:rsidRPr="000B33B9">
        <w:rPr>
          <w:rFonts w:ascii="Verdana" w:hAnsi="Verdana"/>
          <w:spacing w:val="-2"/>
          <w:sz w:val="20"/>
          <w:szCs w:val="20"/>
        </w:rPr>
        <w:t xml:space="preserve">eligieran el régimen público del Decreto 276 </w:t>
      </w:r>
      <w:r w:rsidRPr="000B33B9">
        <w:rPr>
          <w:rFonts w:ascii="Verdana" w:hAnsi="Verdana"/>
          <w:spacing w:val="-2"/>
          <w:sz w:val="20"/>
          <w:szCs w:val="20"/>
        </w:rPr>
        <w:t xml:space="preserve">por el </w:t>
      </w:r>
      <w:r w:rsidR="00721095" w:rsidRPr="000B33B9">
        <w:rPr>
          <w:rFonts w:ascii="Verdana" w:hAnsi="Verdana"/>
          <w:spacing w:val="-2"/>
          <w:sz w:val="20"/>
          <w:szCs w:val="20"/>
        </w:rPr>
        <w:t>régimen privado del Decreto 4916</w:t>
      </w:r>
      <w:r w:rsidRPr="000B33B9">
        <w:rPr>
          <w:rStyle w:val="Refdenotaalpie"/>
          <w:rFonts w:ascii="Verdana" w:hAnsi="Verdana"/>
          <w:spacing w:val="-2"/>
          <w:sz w:val="20"/>
          <w:szCs w:val="20"/>
        </w:rPr>
        <w:footnoteReference w:id="158"/>
      </w:r>
      <w:r w:rsidRPr="000B33B9">
        <w:rPr>
          <w:rFonts w:ascii="Verdana" w:hAnsi="Verdana"/>
          <w:spacing w:val="-2"/>
          <w:sz w:val="20"/>
          <w:szCs w:val="20"/>
        </w:rPr>
        <w:t xml:space="preserve">. Es en este contexto que las presuntas víctimas </w:t>
      </w:r>
      <w:r w:rsidR="008E052C" w:rsidRPr="000B33B9">
        <w:rPr>
          <w:rFonts w:ascii="Verdana" w:hAnsi="Verdana"/>
          <w:spacing w:val="-2"/>
          <w:sz w:val="20"/>
          <w:szCs w:val="20"/>
        </w:rPr>
        <w:t>interpusieron</w:t>
      </w:r>
      <w:r w:rsidRPr="000B33B9">
        <w:rPr>
          <w:rFonts w:ascii="Verdana" w:hAnsi="Verdana"/>
          <w:spacing w:val="-2"/>
          <w:sz w:val="20"/>
          <w:szCs w:val="20"/>
        </w:rPr>
        <w:t xml:space="preserve"> un recurso de amparo, </w:t>
      </w:r>
      <w:r w:rsidR="008E052C" w:rsidRPr="000B33B9">
        <w:rPr>
          <w:rFonts w:ascii="Verdana" w:hAnsi="Verdana"/>
          <w:spacing w:val="-2"/>
          <w:sz w:val="20"/>
          <w:szCs w:val="20"/>
        </w:rPr>
        <w:t>cuya</w:t>
      </w:r>
      <w:r w:rsidRPr="000B33B9">
        <w:rPr>
          <w:rFonts w:ascii="Verdana" w:hAnsi="Verdana"/>
          <w:spacing w:val="-2"/>
          <w:sz w:val="20"/>
          <w:szCs w:val="20"/>
        </w:rPr>
        <w:t xml:space="preserve"> ejecución es el objeto principal de análisis de la presente sentencia. Como resultado de la acción de amparo, la Corte Suprema emitió la sentencia de 25 de octubre de 1993 que dispuso: a) la inaplicación a los miem</w:t>
      </w:r>
      <w:r w:rsidR="00FF4FAD" w:rsidRPr="000B33B9">
        <w:rPr>
          <w:rFonts w:ascii="Verdana" w:hAnsi="Verdana"/>
          <w:spacing w:val="-2"/>
          <w:sz w:val="20"/>
          <w:szCs w:val="20"/>
        </w:rPr>
        <w:t>bros de dicha asociación de la Tercera Disposición T</w:t>
      </w:r>
      <w:r w:rsidRPr="000B33B9">
        <w:rPr>
          <w:rFonts w:ascii="Verdana" w:hAnsi="Verdana"/>
          <w:spacing w:val="-2"/>
          <w:sz w:val="20"/>
          <w:szCs w:val="20"/>
        </w:rPr>
        <w:t>ransitoria del Decreto 673; b) la restitución de su derecho a percibir las pensiones niveladas “con las remuneraciones de los servidores activos de la [SUNAT]”, y c) el reintegro de “los incrementos dejados de percibir” debido a la referida disposición</w:t>
      </w:r>
      <w:r w:rsidRPr="000B33B9">
        <w:rPr>
          <w:rStyle w:val="Refdenotaalpie"/>
          <w:rFonts w:ascii="Verdana" w:hAnsi="Verdana"/>
          <w:spacing w:val="-2"/>
          <w:sz w:val="20"/>
          <w:szCs w:val="20"/>
        </w:rPr>
        <w:footnoteReference w:id="159"/>
      </w:r>
      <w:r w:rsidRPr="000B33B9">
        <w:rPr>
          <w:rFonts w:ascii="Verdana" w:hAnsi="Verdana"/>
          <w:spacing w:val="-2"/>
          <w:sz w:val="20"/>
          <w:szCs w:val="20"/>
        </w:rPr>
        <w:t>. Esta sentencia fue posteriormente confirmada mediante sentencias emitidas por el Tribunal Constitucional el 25 de junio de 1996</w:t>
      </w:r>
      <w:r w:rsidRPr="000B33B9">
        <w:rPr>
          <w:rStyle w:val="Refdenotaalpie"/>
          <w:rFonts w:ascii="Verdana" w:hAnsi="Verdana"/>
          <w:spacing w:val="-2"/>
          <w:sz w:val="20"/>
          <w:szCs w:val="20"/>
        </w:rPr>
        <w:footnoteReference w:id="160"/>
      </w:r>
      <w:r w:rsidRPr="000B33B9">
        <w:rPr>
          <w:rFonts w:ascii="Verdana" w:hAnsi="Verdana"/>
          <w:spacing w:val="-2"/>
          <w:sz w:val="20"/>
          <w:szCs w:val="20"/>
        </w:rPr>
        <w:t xml:space="preserve"> y el 10 de mayo de 2001</w:t>
      </w:r>
      <w:r w:rsidRPr="000B33B9">
        <w:rPr>
          <w:rStyle w:val="Refdenotaalpie"/>
          <w:rFonts w:ascii="Verdana" w:hAnsi="Verdana"/>
          <w:spacing w:val="-2"/>
          <w:sz w:val="20"/>
          <w:szCs w:val="20"/>
        </w:rPr>
        <w:footnoteReference w:id="161"/>
      </w:r>
      <w:r w:rsidRPr="000B33B9">
        <w:rPr>
          <w:rFonts w:ascii="Verdana" w:hAnsi="Verdana"/>
          <w:spacing w:val="-2"/>
          <w:sz w:val="20"/>
          <w:szCs w:val="20"/>
        </w:rPr>
        <w:t>.</w:t>
      </w:r>
    </w:p>
    <w:p w14:paraId="1D3F7DD1" w14:textId="77777777" w:rsidR="0002065C" w:rsidRPr="000B33B9" w:rsidRDefault="0002065C" w:rsidP="0002065C">
      <w:pPr>
        <w:pStyle w:val="Prrafodelista"/>
        <w:tabs>
          <w:tab w:val="left" w:pos="709"/>
        </w:tabs>
        <w:spacing w:after="0" w:line="240" w:lineRule="auto"/>
        <w:ind w:left="0"/>
        <w:contextualSpacing w:val="0"/>
        <w:jc w:val="both"/>
        <w:rPr>
          <w:rFonts w:ascii="Verdana" w:hAnsi="Verdana"/>
          <w:spacing w:val="-2"/>
          <w:sz w:val="20"/>
          <w:szCs w:val="20"/>
        </w:rPr>
      </w:pPr>
    </w:p>
    <w:p w14:paraId="1A6B34F5" w14:textId="794630DF" w:rsidR="0002065C" w:rsidRPr="000B33B9" w:rsidRDefault="0002065C" w:rsidP="007B74B8">
      <w:pPr>
        <w:pStyle w:val="Prrafodelista"/>
        <w:numPr>
          <w:ilvl w:val="0"/>
          <w:numId w:val="10"/>
        </w:numPr>
        <w:tabs>
          <w:tab w:val="left" w:pos="709"/>
        </w:tabs>
        <w:spacing w:after="0" w:line="240" w:lineRule="auto"/>
        <w:ind w:left="0" w:firstLine="0"/>
        <w:contextualSpacing w:val="0"/>
        <w:jc w:val="both"/>
        <w:rPr>
          <w:rFonts w:ascii="Verdana" w:hAnsi="Verdana"/>
          <w:spacing w:val="-2"/>
          <w:sz w:val="20"/>
          <w:szCs w:val="20"/>
        </w:rPr>
      </w:pPr>
      <w:r w:rsidRPr="000B33B9">
        <w:rPr>
          <w:rFonts w:ascii="Verdana" w:hAnsi="Verdana"/>
          <w:color w:val="000000" w:themeColor="text1"/>
          <w:spacing w:val="-2"/>
          <w:sz w:val="20"/>
          <w:szCs w:val="20"/>
        </w:rPr>
        <w:t>En atención a los alegatos presentados por la Comisión y por las partes, así como a los hechos antes mencionados, corresponde a la Corte examinar, en primer lugar, si el Estado ha dado cumplimiento a la sentencia de 25 de octubre de 1993 y si este</w:t>
      </w:r>
      <w:r w:rsidR="00FF6C04" w:rsidRPr="000B33B9">
        <w:rPr>
          <w:rFonts w:ascii="Verdana" w:hAnsi="Verdana"/>
          <w:color w:val="000000" w:themeColor="text1"/>
          <w:spacing w:val="-2"/>
          <w:sz w:val="20"/>
          <w:szCs w:val="20"/>
        </w:rPr>
        <w:t xml:space="preserve"> cumplimiento</w:t>
      </w:r>
      <w:r w:rsidRPr="000B33B9">
        <w:rPr>
          <w:rFonts w:ascii="Verdana" w:hAnsi="Verdana"/>
          <w:color w:val="000000" w:themeColor="text1"/>
          <w:spacing w:val="-2"/>
          <w:sz w:val="20"/>
          <w:szCs w:val="20"/>
        </w:rPr>
        <w:t xml:space="preserve"> ha sido efectuado conforme </w:t>
      </w:r>
      <w:r w:rsidR="00FF6C04" w:rsidRPr="000B33B9">
        <w:rPr>
          <w:rFonts w:ascii="Verdana" w:hAnsi="Verdana"/>
          <w:color w:val="000000" w:themeColor="text1"/>
          <w:spacing w:val="-2"/>
          <w:sz w:val="20"/>
          <w:szCs w:val="20"/>
        </w:rPr>
        <w:t>los</w:t>
      </w:r>
      <w:r w:rsidRPr="000B33B9">
        <w:rPr>
          <w:rFonts w:ascii="Verdana" w:hAnsi="Verdana"/>
          <w:color w:val="000000" w:themeColor="text1"/>
          <w:spacing w:val="-2"/>
          <w:sz w:val="20"/>
          <w:szCs w:val="20"/>
        </w:rPr>
        <w:t xml:space="preserve"> propios términos y el alcance definido por las resoluciones de los tribunales internos que resolvieron aspectos prácticos de su ejecución, tales como el régimen base para el cálculo de las pensiones niveladas y las personas que resultaron beneficiarias de la misma. En segundo lugar, en caso de que la sentencia no haya sido ejecutada, corresponde determinar cuáles obligaciones quedan pendientes de cumplimiento y si esto se ha debido a irregularidades o dilaciones injustificadas por parte del Estado que hayan tornado inefectivo el proceso de ejecución de la sentencia y, por ende, lo hayan hecho incompatible con las garantías contempladas en el artículo 25 de la Convención Americana. </w:t>
      </w:r>
    </w:p>
    <w:p w14:paraId="488054F9" w14:textId="77777777" w:rsidR="00BD156F" w:rsidRPr="000B33B9" w:rsidRDefault="00BD156F" w:rsidP="00E75FBA">
      <w:pPr>
        <w:tabs>
          <w:tab w:val="left" w:pos="567"/>
          <w:tab w:val="left" w:pos="709"/>
        </w:tabs>
        <w:spacing w:after="0" w:line="240" w:lineRule="auto"/>
        <w:jc w:val="both"/>
        <w:rPr>
          <w:rFonts w:ascii="Verdana" w:hAnsi="Verdana"/>
          <w:color w:val="FFFFFF" w:themeColor="background1"/>
          <w:spacing w:val="-2"/>
          <w:sz w:val="20"/>
          <w:szCs w:val="20"/>
        </w:rPr>
      </w:pPr>
    </w:p>
    <w:p w14:paraId="7E489D0F" w14:textId="1718D0AF" w:rsidR="00BD156F" w:rsidRPr="00E75FBA" w:rsidRDefault="00BD156F" w:rsidP="00E75FBA">
      <w:pPr>
        <w:pStyle w:val="Ttulo4"/>
        <w:numPr>
          <w:ilvl w:val="0"/>
          <w:numId w:val="0"/>
        </w:numPr>
        <w:ind w:left="1068"/>
      </w:pPr>
      <w:bookmarkStart w:id="64" w:name="_Toc27329768"/>
      <w:r w:rsidRPr="00E75FBA">
        <w:t xml:space="preserve">A.2.1. </w:t>
      </w:r>
      <w:r w:rsidR="00B073FA" w:rsidRPr="00E75FBA">
        <w:t>E</w:t>
      </w:r>
      <w:r w:rsidRPr="00E75FBA">
        <w:t>l alegado cumplimiento de la sentencia de 25 de octubre de 1993</w:t>
      </w:r>
      <w:bookmarkEnd w:id="64"/>
    </w:p>
    <w:p w14:paraId="5E6D04E2" w14:textId="77777777" w:rsidR="00BD156F" w:rsidRPr="00E75FBA" w:rsidRDefault="00BD156F" w:rsidP="00E75FBA">
      <w:pPr>
        <w:pStyle w:val="Prrafodelista"/>
        <w:jc w:val="both"/>
        <w:rPr>
          <w:rFonts w:ascii="Verdana" w:hAnsi="Verdana" w:cs="Arial"/>
          <w:spacing w:val="-2"/>
          <w:sz w:val="20"/>
          <w:szCs w:val="20"/>
          <w:lang w:eastAsia="ja-JP"/>
        </w:rPr>
      </w:pPr>
    </w:p>
    <w:p w14:paraId="5C099707" w14:textId="7836C5DF" w:rsidR="00387453" w:rsidRPr="00E75FBA" w:rsidRDefault="009270AB" w:rsidP="00E75FBA">
      <w:pPr>
        <w:pStyle w:val="Prrafodelista"/>
        <w:numPr>
          <w:ilvl w:val="0"/>
          <w:numId w:val="10"/>
        </w:numPr>
        <w:spacing w:after="0" w:line="240" w:lineRule="auto"/>
        <w:ind w:left="0" w:firstLine="0"/>
        <w:jc w:val="both"/>
        <w:rPr>
          <w:rFonts w:ascii="Verdana" w:hAnsi="Verdana"/>
          <w:sz w:val="20"/>
          <w:szCs w:val="20"/>
          <w:lang w:val="es-CR"/>
        </w:rPr>
      </w:pPr>
      <w:r w:rsidRPr="00E75FBA">
        <w:rPr>
          <w:rFonts w:ascii="Verdana" w:hAnsi="Verdana"/>
          <w:spacing w:val="-2"/>
          <w:sz w:val="20"/>
          <w:szCs w:val="20"/>
        </w:rPr>
        <w:t>La</w:t>
      </w:r>
      <w:r w:rsidR="00790FE3" w:rsidRPr="00E75FBA">
        <w:rPr>
          <w:rFonts w:ascii="Verdana" w:hAnsi="Verdana"/>
          <w:spacing w:val="-2"/>
          <w:sz w:val="20"/>
          <w:szCs w:val="20"/>
        </w:rPr>
        <w:t xml:space="preserve"> Corte advierte que la</w:t>
      </w:r>
      <w:r w:rsidRPr="00E75FBA">
        <w:rPr>
          <w:rFonts w:ascii="Verdana" w:hAnsi="Verdana"/>
          <w:spacing w:val="-2"/>
          <w:sz w:val="20"/>
          <w:szCs w:val="20"/>
        </w:rPr>
        <w:t xml:space="preserve"> principal controversia</w:t>
      </w:r>
      <w:r w:rsidR="00E112A8" w:rsidRPr="00E75FBA">
        <w:rPr>
          <w:rFonts w:ascii="Verdana" w:hAnsi="Verdana"/>
          <w:spacing w:val="-2"/>
          <w:sz w:val="20"/>
          <w:szCs w:val="20"/>
        </w:rPr>
        <w:t xml:space="preserve"> respecto de la ejecución de la sentencia de 25 de octubre de 1993</w:t>
      </w:r>
      <w:r w:rsidRPr="00E75FBA">
        <w:rPr>
          <w:rFonts w:ascii="Verdana" w:hAnsi="Verdana"/>
          <w:spacing w:val="-2"/>
          <w:sz w:val="20"/>
          <w:szCs w:val="20"/>
        </w:rPr>
        <w:t xml:space="preserve"> </w:t>
      </w:r>
      <w:r w:rsidR="00BD156F" w:rsidRPr="00E75FBA">
        <w:rPr>
          <w:rFonts w:ascii="Verdana" w:hAnsi="Verdana"/>
          <w:spacing w:val="-2"/>
          <w:sz w:val="20"/>
          <w:szCs w:val="20"/>
        </w:rPr>
        <w:t>consiste en</w:t>
      </w:r>
      <w:r w:rsidR="00790FE3" w:rsidRPr="00E75FBA">
        <w:rPr>
          <w:rFonts w:ascii="Verdana" w:hAnsi="Verdana"/>
          <w:spacing w:val="-2"/>
          <w:sz w:val="20"/>
          <w:szCs w:val="20"/>
        </w:rPr>
        <w:t xml:space="preserve"> el pago de las pensiones</w:t>
      </w:r>
      <w:r w:rsidR="00BD156F" w:rsidRPr="00E75FBA">
        <w:rPr>
          <w:rFonts w:ascii="Verdana" w:hAnsi="Verdana"/>
          <w:spacing w:val="-2"/>
          <w:sz w:val="20"/>
          <w:szCs w:val="20"/>
        </w:rPr>
        <w:t xml:space="preserve"> </w:t>
      </w:r>
      <w:r w:rsidR="00790FE3" w:rsidRPr="00E75FBA">
        <w:rPr>
          <w:rFonts w:ascii="Verdana" w:hAnsi="Verdana"/>
          <w:spacing w:val="-2"/>
          <w:sz w:val="20"/>
          <w:szCs w:val="20"/>
        </w:rPr>
        <w:t xml:space="preserve">niveladas a las </w:t>
      </w:r>
      <w:r w:rsidRPr="00E75FBA">
        <w:rPr>
          <w:rFonts w:ascii="Verdana" w:hAnsi="Verdana"/>
          <w:spacing w:val="-2"/>
          <w:sz w:val="20"/>
          <w:szCs w:val="20"/>
        </w:rPr>
        <w:t>presuntas víctimas</w:t>
      </w:r>
      <w:r w:rsidR="00BD156F" w:rsidRPr="00E75FBA">
        <w:rPr>
          <w:rFonts w:ascii="Verdana" w:hAnsi="Verdana"/>
          <w:spacing w:val="-2"/>
          <w:sz w:val="20"/>
          <w:szCs w:val="20"/>
        </w:rPr>
        <w:t>, es</w:t>
      </w:r>
      <w:r w:rsidR="00BD156F" w:rsidRPr="000B33B9">
        <w:rPr>
          <w:rFonts w:ascii="Verdana" w:hAnsi="Verdana"/>
          <w:spacing w:val="-2"/>
          <w:sz w:val="20"/>
          <w:szCs w:val="20"/>
        </w:rPr>
        <w:t xml:space="preserve"> </w:t>
      </w:r>
      <w:r w:rsidR="001901D6" w:rsidRPr="000B33B9">
        <w:rPr>
          <w:rFonts w:ascii="Verdana" w:hAnsi="Verdana"/>
          <w:spacing w:val="-2"/>
          <w:sz w:val="20"/>
          <w:szCs w:val="20"/>
        </w:rPr>
        <w:t>decir si e</w:t>
      </w:r>
      <w:r w:rsidR="00BD156F" w:rsidRPr="000B33B9">
        <w:rPr>
          <w:rFonts w:ascii="Verdana" w:hAnsi="Verdana"/>
          <w:spacing w:val="-2"/>
          <w:sz w:val="20"/>
          <w:szCs w:val="20"/>
        </w:rPr>
        <w:t>stas se corresponde</w:t>
      </w:r>
      <w:r w:rsidR="00D615D4" w:rsidRPr="000B33B9">
        <w:rPr>
          <w:rFonts w:ascii="Verdana" w:hAnsi="Verdana"/>
          <w:spacing w:val="-2"/>
          <w:sz w:val="20"/>
          <w:szCs w:val="20"/>
        </w:rPr>
        <w:t>n</w:t>
      </w:r>
      <w:r w:rsidR="00BD156F" w:rsidRPr="000B33B9">
        <w:rPr>
          <w:rFonts w:ascii="Verdana" w:hAnsi="Verdana"/>
          <w:spacing w:val="-2"/>
          <w:sz w:val="20"/>
          <w:szCs w:val="20"/>
        </w:rPr>
        <w:t xml:space="preserve"> con lo orde</w:t>
      </w:r>
      <w:r w:rsidR="00E112A8" w:rsidRPr="000B33B9">
        <w:rPr>
          <w:rFonts w:ascii="Verdana" w:hAnsi="Verdana"/>
          <w:spacing w:val="-2"/>
          <w:sz w:val="20"/>
          <w:szCs w:val="20"/>
        </w:rPr>
        <w:t>nado por la Corte Suprema</w:t>
      </w:r>
      <w:r w:rsidR="00BD156F" w:rsidRPr="000B33B9">
        <w:rPr>
          <w:rFonts w:ascii="Verdana" w:hAnsi="Verdana"/>
          <w:spacing w:val="-2"/>
          <w:sz w:val="20"/>
          <w:szCs w:val="20"/>
        </w:rPr>
        <w:t xml:space="preserve"> y, por ende, si el Estado ha cumplido con la ejecución integral de dicha decisión. </w:t>
      </w:r>
      <w:r w:rsidR="00790FE3" w:rsidRPr="000B33B9">
        <w:rPr>
          <w:rFonts w:ascii="Verdana" w:hAnsi="Verdana"/>
          <w:spacing w:val="-2"/>
          <w:sz w:val="20"/>
          <w:szCs w:val="20"/>
        </w:rPr>
        <w:t>P</w:t>
      </w:r>
      <w:r w:rsidR="00BD156F" w:rsidRPr="000B33B9">
        <w:rPr>
          <w:rFonts w:ascii="Verdana" w:hAnsi="Verdana"/>
          <w:spacing w:val="-2"/>
          <w:sz w:val="20"/>
          <w:szCs w:val="20"/>
        </w:rPr>
        <w:t>ara verificar el cum</w:t>
      </w:r>
      <w:r w:rsidR="00790FE3" w:rsidRPr="000B33B9">
        <w:rPr>
          <w:rFonts w:ascii="Verdana" w:hAnsi="Verdana"/>
          <w:spacing w:val="-2"/>
          <w:sz w:val="20"/>
          <w:szCs w:val="20"/>
        </w:rPr>
        <w:t>plimiento alegado por el Estado</w:t>
      </w:r>
      <w:r w:rsidR="00BD156F" w:rsidRPr="000B33B9">
        <w:rPr>
          <w:rFonts w:ascii="Verdana" w:hAnsi="Verdana"/>
          <w:spacing w:val="-2"/>
          <w:sz w:val="20"/>
          <w:szCs w:val="20"/>
        </w:rPr>
        <w:t xml:space="preserve"> resulta esencial </w:t>
      </w:r>
      <w:r w:rsidR="00790FE3" w:rsidRPr="000B33B9">
        <w:rPr>
          <w:rFonts w:ascii="Verdana" w:hAnsi="Verdana"/>
          <w:spacing w:val="-2"/>
          <w:sz w:val="20"/>
          <w:szCs w:val="20"/>
        </w:rPr>
        <w:t xml:space="preserve">pronunciarse sobre </w:t>
      </w:r>
      <w:r w:rsidR="00BD156F" w:rsidRPr="000B33B9">
        <w:rPr>
          <w:rFonts w:ascii="Verdana" w:hAnsi="Verdana"/>
          <w:spacing w:val="-2"/>
          <w:sz w:val="20"/>
          <w:szCs w:val="20"/>
        </w:rPr>
        <w:t xml:space="preserve">la delimitación de </w:t>
      </w:r>
      <w:r w:rsidR="00BD156F" w:rsidRPr="000B33B9">
        <w:rPr>
          <w:rFonts w:ascii="Verdana" w:hAnsi="Verdana"/>
          <w:sz w:val="20"/>
          <w:szCs w:val="20"/>
          <w:lang w:val="es-DO"/>
        </w:rPr>
        <w:t>los alcances de la sentencia de 25 de octubre de 1993 en cuanto a si dispuso o no la inaplicabilidad del artículo 3, literal c, del Decreto 673, que establecía el carácter no pensionable para los cesantes y jubilados sujetos al Decreto 20530 de la mayor remuneración percibida por los servidores de la SUNAT en virtud del régimen laboral privado del Decreto 4916</w:t>
      </w:r>
      <w:r w:rsidR="00BD156F" w:rsidRPr="000B33B9">
        <w:rPr>
          <w:rStyle w:val="Refdenotaalpie"/>
          <w:rFonts w:ascii="Verdana" w:hAnsi="Verdana"/>
          <w:sz w:val="20"/>
          <w:szCs w:val="20"/>
          <w:lang w:val="es-DO"/>
        </w:rPr>
        <w:footnoteReference w:id="162"/>
      </w:r>
      <w:r w:rsidR="00790FE3" w:rsidRPr="000B33B9">
        <w:rPr>
          <w:rFonts w:ascii="Verdana" w:hAnsi="Verdana"/>
          <w:sz w:val="20"/>
          <w:szCs w:val="20"/>
          <w:lang w:val="es-DO"/>
        </w:rPr>
        <w:t>. Por esta razón, le</w:t>
      </w:r>
      <w:r w:rsidR="00BD156F" w:rsidRPr="000B33B9">
        <w:rPr>
          <w:rFonts w:ascii="Verdana" w:hAnsi="Verdana"/>
          <w:sz w:val="20"/>
          <w:szCs w:val="20"/>
          <w:lang w:val="es-DO"/>
        </w:rPr>
        <w:t xml:space="preserve"> corresponde a la Corte analizar cuáles son los términos de la referida decisión y si el comportamiento de las autoridades encargadas de su ejecución se ajustó a ellos. </w:t>
      </w:r>
      <w:r w:rsidR="00387453" w:rsidRPr="000B33B9">
        <w:rPr>
          <w:rFonts w:ascii="Verdana" w:hAnsi="Verdana"/>
          <w:spacing w:val="-2"/>
          <w:sz w:val="20"/>
          <w:szCs w:val="20"/>
        </w:rPr>
        <w:t xml:space="preserve">En ese sentido, el Tribunal advierte que los </w:t>
      </w:r>
      <w:r w:rsidR="0049710E" w:rsidRPr="000B33B9">
        <w:rPr>
          <w:rFonts w:ascii="Verdana" w:hAnsi="Verdana"/>
          <w:spacing w:val="-2"/>
          <w:sz w:val="20"/>
          <w:szCs w:val="20"/>
        </w:rPr>
        <w:t>dos</w:t>
      </w:r>
      <w:r w:rsidR="00387453" w:rsidRPr="000B33B9">
        <w:rPr>
          <w:rFonts w:ascii="Verdana" w:hAnsi="Verdana"/>
          <w:spacing w:val="-2"/>
          <w:sz w:val="20"/>
          <w:szCs w:val="20"/>
        </w:rPr>
        <w:t xml:space="preserve"> puntos centrales de la controversia a nivel inter</w:t>
      </w:r>
      <w:r w:rsidR="001901D6" w:rsidRPr="000B33B9">
        <w:rPr>
          <w:rFonts w:ascii="Verdana" w:hAnsi="Verdana"/>
          <w:spacing w:val="-2"/>
          <w:sz w:val="20"/>
          <w:szCs w:val="20"/>
        </w:rPr>
        <w:t>no, y que son relevantes para el</w:t>
      </w:r>
      <w:r w:rsidR="00387453" w:rsidRPr="000B33B9">
        <w:rPr>
          <w:rFonts w:ascii="Verdana" w:hAnsi="Verdana"/>
          <w:spacing w:val="-2"/>
          <w:sz w:val="20"/>
          <w:szCs w:val="20"/>
        </w:rPr>
        <w:t xml:space="preserve"> análisis de este </w:t>
      </w:r>
      <w:r w:rsidR="00387453" w:rsidRPr="00E75FBA">
        <w:rPr>
          <w:rFonts w:ascii="Verdana" w:hAnsi="Verdana"/>
          <w:spacing w:val="-2"/>
          <w:sz w:val="20"/>
          <w:szCs w:val="20"/>
        </w:rPr>
        <w:t xml:space="preserve">caso en sede internacional </w:t>
      </w:r>
      <w:r w:rsidR="00101C0F" w:rsidRPr="00E75FBA">
        <w:rPr>
          <w:rFonts w:ascii="Verdana" w:hAnsi="Verdana"/>
          <w:spacing w:val="-2"/>
          <w:sz w:val="20"/>
          <w:szCs w:val="20"/>
        </w:rPr>
        <w:t>son</w:t>
      </w:r>
      <w:r w:rsidR="00387453" w:rsidRPr="00E75FBA">
        <w:rPr>
          <w:rFonts w:ascii="Verdana" w:hAnsi="Verdana"/>
          <w:spacing w:val="-2"/>
          <w:sz w:val="20"/>
          <w:szCs w:val="20"/>
        </w:rPr>
        <w:t xml:space="preserve">: a) el régimen base para la nivelación de las pensiones y </w:t>
      </w:r>
      <w:r w:rsidR="002B1759" w:rsidRPr="00E75FBA">
        <w:rPr>
          <w:rFonts w:ascii="Verdana" w:hAnsi="Verdana"/>
          <w:spacing w:val="-2"/>
          <w:sz w:val="20"/>
          <w:szCs w:val="20"/>
        </w:rPr>
        <w:t>b</w:t>
      </w:r>
      <w:r w:rsidR="00387453" w:rsidRPr="00E75FBA">
        <w:rPr>
          <w:rFonts w:ascii="Verdana" w:hAnsi="Verdana"/>
          <w:spacing w:val="-2"/>
          <w:sz w:val="20"/>
          <w:szCs w:val="20"/>
        </w:rPr>
        <w:t>) la determinación de las personas beneficiadas por la sentencia.</w:t>
      </w:r>
    </w:p>
    <w:p w14:paraId="76F3C7D3" w14:textId="77777777" w:rsidR="00387453" w:rsidRPr="00E75FBA" w:rsidRDefault="00387453" w:rsidP="00387453">
      <w:pPr>
        <w:spacing w:after="0" w:line="240" w:lineRule="auto"/>
        <w:jc w:val="both"/>
        <w:rPr>
          <w:rFonts w:ascii="Verdana" w:hAnsi="Verdana"/>
          <w:spacing w:val="-2"/>
          <w:sz w:val="20"/>
          <w:szCs w:val="20"/>
        </w:rPr>
      </w:pPr>
    </w:p>
    <w:p w14:paraId="0145DE9F" w14:textId="47E245AF" w:rsidR="00387453" w:rsidRPr="00E75FBA" w:rsidRDefault="00387453" w:rsidP="00FB4805">
      <w:pPr>
        <w:spacing w:after="0" w:line="240" w:lineRule="auto"/>
        <w:ind w:firstLine="720"/>
        <w:rPr>
          <w:rFonts w:ascii="Verdana" w:hAnsi="Verdana"/>
          <w:i/>
          <w:sz w:val="20"/>
          <w:szCs w:val="20"/>
        </w:rPr>
      </w:pPr>
      <w:r w:rsidRPr="00E75FBA">
        <w:rPr>
          <w:rFonts w:ascii="Verdana" w:hAnsi="Verdana"/>
          <w:i/>
          <w:sz w:val="20"/>
          <w:szCs w:val="20"/>
        </w:rPr>
        <w:t xml:space="preserve">i) </w:t>
      </w:r>
      <w:r w:rsidR="00D35009" w:rsidRPr="00E75FBA">
        <w:rPr>
          <w:rFonts w:ascii="Verdana" w:hAnsi="Verdana"/>
          <w:i/>
          <w:sz w:val="20"/>
          <w:szCs w:val="20"/>
        </w:rPr>
        <w:t>Respecto al r</w:t>
      </w:r>
      <w:r w:rsidRPr="00E75FBA">
        <w:rPr>
          <w:rFonts w:ascii="Verdana" w:hAnsi="Verdana"/>
          <w:i/>
          <w:sz w:val="20"/>
          <w:szCs w:val="20"/>
        </w:rPr>
        <w:t xml:space="preserve">égimen base para la nivelación de las pensiones </w:t>
      </w:r>
    </w:p>
    <w:p w14:paraId="707A1BB4" w14:textId="77777777" w:rsidR="00387453" w:rsidRPr="00E75FBA" w:rsidRDefault="00387453" w:rsidP="00FB4805">
      <w:pPr>
        <w:pStyle w:val="Prrafodelista"/>
        <w:spacing w:after="0" w:line="240" w:lineRule="auto"/>
        <w:ind w:left="0"/>
        <w:contextualSpacing w:val="0"/>
        <w:jc w:val="both"/>
        <w:rPr>
          <w:rFonts w:ascii="Verdana" w:hAnsi="Verdana"/>
          <w:spacing w:val="-2"/>
          <w:sz w:val="20"/>
          <w:szCs w:val="20"/>
          <w:lang w:val="es-ES"/>
        </w:rPr>
      </w:pPr>
    </w:p>
    <w:p w14:paraId="5F15CCDE" w14:textId="6C649EEA" w:rsidR="0042135F" w:rsidRPr="00E75FBA" w:rsidRDefault="00387453" w:rsidP="007B74B8">
      <w:pPr>
        <w:pStyle w:val="Prrafodelista"/>
        <w:numPr>
          <w:ilvl w:val="0"/>
          <w:numId w:val="10"/>
        </w:numPr>
        <w:spacing w:after="0" w:line="240" w:lineRule="auto"/>
        <w:ind w:left="0" w:firstLine="0"/>
        <w:contextualSpacing w:val="0"/>
        <w:jc w:val="both"/>
        <w:rPr>
          <w:rFonts w:ascii="Verdana" w:hAnsi="Verdana"/>
          <w:spacing w:val="-2"/>
          <w:sz w:val="20"/>
          <w:szCs w:val="20"/>
          <w:lang w:val="es-ES"/>
        </w:rPr>
      </w:pPr>
      <w:r w:rsidRPr="00E75FBA">
        <w:rPr>
          <w:rFonts w:ascii="Verdana" w:hAnsi="Verdana"/>
          <w:spacing w:val="-2"/>
          <w:sz w:val="20"/>
          <w:szCs w:val="20"/>
          <w:lang w:val="es-ES"/>
        </w:rPr>
        <w:t xml:space="preserve">El Tribunal </w:t>
      </w:r>
      <w:r w:rsidR="002B1759" w:rsidRPr="00E75FBA">
        <w:rPr>
          <w:rFonts w:ascii="Verdana" w:hAnsi="Verdana"/>
          <w:spacing w:val="-2"/>
          <w:sz w:val="20"/>
          <w:szCs w:val="20"/>
          <w:lang w:val="es-ES"/>
        </w:rPr>
        <w:t>recuerda</w:t>
      </w:r>
      <w:r w:rsidRPr="00E75FBA">
        <w:rPr>
          <w:rFonts w:ascii="Verdana" w:hAnsi="Verdana"/>
          <w:spacing w:val="-2"/>
          <w:sz w:val="20"/>
          <w:szCs w:val="20"/>
          <w:lang w:val="es-ES"/>
        </w:rPr>
        <w:t xml:space="preserve"> </w:t>
      </w:r>
      <w:r w:rsidR="002B1759" w:rsidRPr="00E75FBA">
        <w:rPr>
          <w:rFonts w:ascii="Verdana" w:hAnsi="Verdana"/>
          <w:spacing w:val="-2"/>
          <w:sz w:val="20"/>
          <w:szCs w:val="20"/>
          <w:lang w:val="es-ES"/>
        </w:rPr>
        <w:t xml:space="preserve">que la sentencia de 25 de octubre de 1993 dispuso la restitución del derecho de las presuntas víctimas </w:t>
      </w:r>
      <w:r w:rsidR="00D35009" w:rsidRPr="00E75FBA">
        <w:rPr>
          <w:rFonts w:ascii="Verdana" w:hAnsi="Verdana"/>
          <w:spacing w:val="-2"/>
          <w:sz w:val="20"/>
          <w:szCs w:val="20"/>
          <w:lang w:val="es-ES"/>
        </w:rPr>
        <w:t>a la nivelación de sus pensiones conforme al régimen 20530</w:t>
      </w:r>
      <w:r w:rsidRPr="00E75FBA">
        <w:rPr>
          <w:rFonts w:ascii="Verdana" w:hAnsi="Verdana"/>
          <w:spacing w:val="-2"/>
          <w:sz w:val="20"/>
          <w:szCs w:val="20"/>
        </w:rPr>
        <w:t>.</w:t>
      </w:r>
      <w:r w:rsidR="00D35009" w:rsidRPr="00E75FBA">
        <w:rPr>
          <w:rFonts w:ascii="Verdana" w:hAnsi="Verdana"/>
          <w:spacing w:val="-2"/>
          <w:sz w:val="20"/>
          <w:szCs w:val="20"/>
        </w:rPr>
        <w:t xml:space="preserve"> Sin embargo, la aludida sentencia no precisó el régimen laboral con fundamento al cual habrían de nivelarse las pensiones de las presuntas víctimas. </w:t>
      </w:r>
      <w:r w:rsidRPr="00E75FBA">
        <w:rPr>
          <w:rFonts w:ascii="Verdana" w:hAnsi="Verdana"/>
          <w:spacing w:val="-2"/>
          <w:sz w:val="20"/>
          <w:szCs w:val="20"/>
        </w:rPr>
        <w:t>La ambigüedad de la cual adolecía la sentencia de 25 de octubre de 1993 con relación a dicho punto fue producto del propio Decreto 673, a partir del cual en la SUNAT coexistirían dos régimen laborales: el público y el privado. Ello implicaba que l</w:t>
      </w:r>
      <w:r w:rsidRPr="00E75FBA">
        <w:rPr>
          <w:rFonts w:ascii="Verdana" w:hAnsi="Verdana"/>
          <w:sz w:val="20"/>
          <w:szCs w:val="20"/>
        </w:rPr>
        <w:t xml:space="preserve">as personas que desempeñaban iguales o similares labores a las que ejercían las presuntas víctimas, cuya remuneración sería el parámetro para efectuar la nivelación de las pensiones, podrían estar sometidas a dos regímenes distintos, el público y el privado, variando sus remuneraciones en función de uno u otro, con la particularidad de que las correspondientes al segundo eran notoriamente más elevadas que las del primero. </w:t>
      </w:r>
    </w:p>
    <w:p w14:paraId="54EF26D6" w14:textId="77777777" w:rsidR="0042135F" w:rsidRPr="00E75FBA" w:rsidRDefault="0042135F" w:rsidP="0042135F">
      <w:pPr>
        <w:pStyle w:val="Prrafodelista"/>
        <w:rPr>
          <w:rFonts w:ascii="Verdana" w:hAnsi="Verdana"/>
          <w:spacing w:val="-2"/>
          <w:sz w:val="20"/>
          <w:szCs w:val="20"/>
        </w:rPr>
      </w:pPr>
    </w:p>
    <w:p w14:paraId="0B732FD1" w14:textId="1CAEE227" w:rsidR="0042135F" w:rsidRPr="000B33B9" w:rsidRDefault="00387453" w:rsidP="007B74B8">
      <w:pPr>
        <w:pStyle w:val="Prrafodelista"/>
        <w:numPr>
          <w:ilvl w:val="0"/>
          <w:numId w:val="10"/>
        </w:numPr>
        <w:spacing w:after="0" w:line="240" w:lineRule="auto"/>
        <w:ind w:left="0" w:firstLine="0"/>
        <w:contextualSpacing w:val="0"/>
        <w:jc w:val="both"/>
        <w:rPr>
          <w:rFonts w:ascii="Verdana" w:hAnsi="Verdana"/>
          <w:spacing w:val="-2"/>
          <w:sz w:val="20"/>
          <w:szCs w:val="20"/>
          <w:lang w:val="es-ES"/>
        </w:rPr>
      </w:pPr>
      <w:r w:rsidRPr="00E75FBA">
        <w:rPr>
          <w:rFonts w:ascii="Verdana" w:hAnsi="Verdana"/>
          <w:spacing w:val="-2"/>
          <w:sz w:val="20"/>
          <w:szCs w:val="20"/>
        </w:rPr>
        <w:t>Lo anterior conllevó a un debate judicial sobre si al disponer la nivelación de las pensiones de las presuntas víctimas con arreglo a “</w:t>
      </w:r>
      <w:r w:rsidR="001901D6" w:rsidRPr="00E75FBA">
        <w:rPr>
          <w:rFonts w:ascii="Verdana" w:hAnsi="Verdana"/>
          <w:spacing w:val="-2"/>
          <w:sz w:val="20"/>
          <w:szCs w:val="20"/>
        </w:rPr>
        <w:t xml:space="preserve">(…) </w:t>
      </w:r>
      <w:r w:rsidRPr="00E75FBA">
        <w:rPr>
          <w:rFonts w:ascii="Verdana" w:hAnsi="Verdana"/>
          <w:spacing w:val="-2"/>
          <w:sz w:val="20"/>
          <w:szCs w:val="20"/>
        </w:rPr>
        <w:t>las remuneraciones de los servidores activos de la Superintendencia Nacional de Administración Tributaria”, la sentencia de 25 de octubre de 1993 se refería a las remuneraciones de todos los trabajadores en actividad de la SUNAT, incluyendo los sometidos al régimen laboral privado del Decreto 4916, o únicamente a aquellos que pertenecían al régimen laboral público del Decreto 276. Dadas sus repercusiones sobre los efectos</w:t>
      </w:r>
      <w:r w:rsidRPr="000B33B9">
        <w:rPr>
          <w:rFonts w:ascii="Verdana" w:hAnsi="Verdana"/>
          <w:spacing w:val="-2"/>
          <w:sz w:val="20"/>
          <w:szCs w:val="20"/>
        </w:rPr>
        <w:t xml:space="preserve"> patrimoniales derivados de la sentencia de 25 de octubre de 1993, dicha cuestión fue el principal punto de litigio a partir de la presentación </w:t>
      </w:r>
      <w:r w:rsidRPr="000B33B9">
        <w:rPr>
          <w:rFonts w:ascii="Verdana" w:hAnsi="Verdana"/>
          <w:spacing w:val="-2"/>
          <w:sz w:val="20"/>
          <w:szCs w:val="20"/>
          <w:lang w:val="es-ES"/>
        </w:rPr>
        <w:t>del primer informe pericial de 3 de abril de 2003, cuyas sucesivas impugnaciones derivaron en la sentencia de 24 de julio de 2006, que fue confirmada por la sentencia de 9 de agosto de 2011</w:t>
      </w:r>
      <w:r w:rsidR="00755798" w:rsidRPr="000B33B9">
        <w:rPr>
          <w:rFonts w:ascii="Verdana" w:hAnsi="Verdana"/>
          <w:spacing w:val="-2"/>
          <w:sz w:val="20"/>
          <w:szCs w:val="20"/>
          <w:lang w:val="es-ES"/>
        </w:rPr>
        <w:t xml:space="preserve"> </w:t>
      </w:r>
      <w:r w:rsidR="0002065C" w:rsidRPr="000B33B9">
        <w:rPr>
          <w:rFonts w:ascii="Verdana" w:hAnsi="Verdana"/>
          <w:spacing w:val="-2"/>
          <w:sz w:val="20"/>
          <w:szCs w:val="20"/>
          <w:lang w:val="es-ES"/>
        </w:rPr>
        <w:t>cuyo criterio fue, a su vez, ratificado por la resolución emitida el 23 de abril de 2019 por el Tribunal Constitucional.</w:t>
      </w:r>
    </w:p>
    <w:p w14:paraId="6EC283DB" w14:textId="77777777" w:rsidR="0042135F" w:rsidRPr="000B33B9" w:rsidRDefault="0042135F" w:rsidP="0042135F">
      <w:pPr>
        <w:pStyle w:val="Prrafodelista"/>
        <w:rPr>
          <w:rFonts w:ascii="Verdana" w:hAnsi="Verdana"/>
          <w:sz w:val="20"/>
          <w:szCs w:val="20"/>
        </w:rPr>
      </w:pPr>
    </w:p>
    <w:p w14:paraId="21C74137" w14:textId="095751E1" w:rsidR="00387453" w:rsidRPr="000B33B9" w:rsidRDefault="003628B8" w:rsidP="007B74B8">
      <w:pPr>
        <w:pStyle w:val="Prrafodelista"/>
        <w:numPr>
          <w:ilvl w:val="0"/>
          <w:numId w:val="10"/>
        </w:numPr>
        <w:spacing w:after="0" w:line="240" w:lineRule="auto"/>
        <w:ind w:left="0" w:firstLine="0"/>
        <w:contextualSpacing w:val="0"/>
        <w:jc w:val="both"/>
        <w:rPr>
          <w:rFonts w:ascii="Verdana" w:hAnsi="Verdana"/>
          <w:spacing w:val="-2"/>
          <w:sz w:val="20"/>
          <w:szCs w:val="20"/>
          <w:lang w:val="es-ES"/>
        </w:rPr>
      </w:pPr>
      <w:r w:rsidRPr="000B33B9">
        <w:rPr>
          <w:rFonts w:ascii="Verdana" w:hAnsi="Verdana"/>
          <w:bCs/>
          <w:iCs/>
          <w:sz w:val="20"/>
          <w:szCs w:val="20"/>
          <w:lang w:val="es-CR"/>
        </w:rPr>
        <w:t xml:space="preserve">En la sentencia de 9 de agosto de 2011, el </w:t>
      </w:r>
      <w:r w:rsidRPr="000B33B9">
        <w:rPr>
          <w:rFonts w:ascii="Verdana" w:hAnsi="Verdana"/>
          <w:sz w:val="20"/>
          <w:szCs w:val="20"/>
          <w:lang w:val="es-ES"/>
        </w:rPr>
        <w:t xml:space="preserve">Tribunal Constitucional fijó el alcance de la sentencia de 25 de octubre de 1993 en cuanto al régimen que habría de servir de base para el cálculo de las pensiones niveladas y los reintegros pendientes, interpretando </w:t>
      </w:r>
      <w:r w:rsidRPr="000B33B9">
        <w:rPr>
          <w:rFonts w:ascii="Verdana" w:hAnsi="Verdana"/>
          <w:sz w:val="20"/>
          <w:szCs w:val="20"/>
        </w:rPr>
        <w:t xml:space="preserve">la aludida sentencia en el sentido de que no dispone la inaplicación en beneficio de los integrantes de ANCEJUB-SUNAT del artículo 3, literal c, del Decreto 673 y, por ende, sus pensiones solo pueden ser niveladas conforme el régimen laboral público del Decreto 276, y no con fundamento en el régimen laboral privado del Decreto 4916. </w:t>
      </w:r>
      <w:r w:rsidR="00387453" w:rsidRPr="000B33B9">
        <w:rPr>
          <w:rFonts w:ascii="Verdana" w:hAnsi="Verdana"/>
          <w:sz w:val="20"/>
          <w:szCs w:val="20"/>
        </w:rPr>
        <w:t xml:space="preserve">Al ratificar la resolución de 24 de julio de 2006 y, por vía de consecuencia, la aplicabilidad del artículo 3, inciso c, del Decreto 673, la sentencia de 9 de agosto de 2011 limitó la nivelación de </w:t>
      </w:r>
      <w:r w:rsidR="00387453" w:rsidRPr="000B33B9">
        <w:rPr>
          <w:rFonts w:ascii="Verdana" w:hAnsi="Verdana"/>
          <w:spacing w:val="-2"/>
          <w:sz w:val="20"/>
          <w:szCs w:val="20"/>
          <w:lang w:val="es-ES"/>
        </w:rPr>
        <w:t xml:space="preserve">las pensiones a las remuneraciones de los servidores de la SUNAT sujetos al régimen laboral público, sin comprender los aumentos percibidos por los trabajadores sujetos al régimen privado, que a partir de la entrada en vigencia del Decreto 673 se convirtió en el régimen general de dicha institución. Con esto, el Tribunal Constitucional </w:t>
      </w:r>
      <w:r w:rsidR="00ED764B" w:rsidRPr="000B33B9">
        <w:rPr>
          <w:rFonts w:ascii="Verdana" w:hAnsi="Verdana"/>
          <w:spacing w:val="-2"/>
          <w:sz w:val="20"/>
          <w:szCs w:val="20"/>
          <w:lang w:val="es-ES"/>
        </w:rPr>
        <w:t xml:space="preserve">precisó </w:t>
      </w:r>
      <w:r w:rsidR="00387453" w:rsidRPr="000B33B9">
        <w:rPr>
          <w:rFonts w:ascii="Verdana" w:hAnsi="Verdana"/>
          <w:spacing w:val="-2"/>
          <w:sz w:val="20"/>
          <w:szCs w:val="20"/>
          <w:lang w:val="es-ES"/>
        </w:rPr>
        <w:t xml:space="preserve">de manera definitiva el régimen laboral con base al cual debía ser ejecutada la sentencia de 25 de octubre de 1993, para lo cual </w:t>
      </w:r>
      <w:r w:rsidR="00387453" w:rsidRPr="000B33B9">
        <w:rPr>
          <w:rFonts w:ascii="Verdana" w:hAnsi="Verdana"/>
          <w:sz w:val="20"/>
          <w:szCs w:val="20"/>
        </w:rPr>
        <w:t xml:space="preserve">ponderó las razones siguientes: </w:t>
      </w:r>
    </w:p>
    <w:p w14:paraId="741DB0B2" w14:textId="77777777" w:rsidR="00387453" w:rsidRPr="000B33B9" w:rsidRDefault="00387453" w:rsidP="00387453">
      <w:pPr>
        <w:spacing w:after="0" w:line="240" w:lineRule="auto"/>
        <w:jc w:val="both"/>
        <w:rPr>
          <w:rFonts w:ascii="Verdana" w:hAnsi="Verdana"/>
          <w:sz w:val="20"/>
          <w:szCs w:val="20"/>
        </w:rPr>
      </w:pPr>
    </w:p>
    <w:p w14:paraId="32109513" w14:textId="5C945EFE" w:rsidR="00387453" w:rsidRPr="000B33B9" w:rsidRDefault="00387453" w:rsidP="003D2A72">
      <w:pPr>
        <w:spacing w:after="0" w:line="240" w:lineRule="auto"/>
        <w:ind w:left="706" w:right="1094"/>
        <w:jc w:val="both"/>
        <w:rPr>
          <w:rFonts w:ascii="Verdana" w:hAnsi="Verdana"/>
          <w:sz w:val="18"/>
          <w:szCs w:val="18"/>
          <w:lang w:val="es-ES"/>
        </w:rPr>
      </w:pPr>
      <w:r w:rsidRPr="000B33B9">
        <w:rPr>
          <w:rFonts w:ascii="Verdana" w:hAnsi="Verdana"/>
          <w:sz w:val="18"/>
          <w:szCs w:val="18"/>
          <w:lang w:val="es-ES"/>
        </w:rPr>
        <w:t>“</w:t>
      </w:r>
      <w:r w:rsidR="003D2A72" w:rsidRPr="000B33B9">
        <w:rPr>
          <w:rFonts w:ascii="Verdana" w:hAnsi="Verdana"/>
          <w:sz w:val="18"/>
          <w:szCs w:val="18"/>
          <w:lang w:val="es-ES"/>
        </w:rPr>
        <w:t xml:space="preserve">(…) </w:t>
      </w:r>
      <w:r w:rsidRPr="000B33B9">
        <w:rPr>
          <w:rFonts w:ascii="Verdana" w:hAnsi="Verdana"/>
          <w:sz w:val="18"/>
          <w:szCs w:val="18"/>
          <w:lang w:val="es-ES"/>
        </w:rPr>
        <w:t>Como puede apreciarse el artículo 3º del Decreto Legislativo No. 673 prescribe que los trabajadores que opten por permanecer en el régimen del Decreto Legislativo No</w:t>
      </w:r>
      <w:r w:rsidR="001901D6" w:rsidRPr="000B33B9">
        <w:rPr>
          <w:rFonts w:ascii="Verdana" w:hAnsi="Verdana"/>
          <w:sz w:val="18"/>
          <w:szCs w:val="18"/>
          <w:lang w:val="es-ES"/>
        </w:rPr>
        <w:t>.</w:t>
      </w:r>
      <w:r w:rsidRPr="000B33B9">
        <w:rPr>
          <w:rFonts w:ascii="Verdana" w:hAnsi="Verdana"/>
          <w:sz w:val="18"/>
          <w:szCs w:val="18"/>
          <w:lang w:val="es-ES"/>
        </w:rPr>
        <w:t xml:space="preserve"> 276, además de la remuneración mensual que les corresponde en el Sector Público, se les agregará la diferencia que existiese con similar cargo o nivel remunerativo del personal comprendido en el régimen laboral privado (inciso “a”). Asimismo recibirán las remuneraciones accesorias que la SUNAT establezca para el personal sujeto al régimen laboral privado (inciso “b”). Finalmente, el inciso c) de este artículo 3º señala que dicha “mayor remuneración” tendrá “el carácter no pensionable para aquellos trabajadores comprendidos en el régimen jubilatorio del Decreto Ley No. 20530. </w:t>
      </w:r>
    </w:p>
    <w:p w14:paraId="4133CFD8" w14:textId="77777777" w:rsidR="00387453" w:rsidRPr="000B33B9" w:rsidRDefault="00387453" w:rsidP="003D2A72">
      <w:pPr>
        <w:spacing w:after="0" w:line="240" w:lineRule="auto"/>
        <w:ind w:left="706" w:right="1094"/>
        <w:jc w:val="both"/>
        <w:rPr>
          <w:rFonts w:ascii="Verdana" w:hAnsi="Verdana"/>
          <w:sz w:val="18"/>
          <w:szCs w:val="18"/>
          <w:lang w:val="es-ES"/>
        </w:rPr>
      </w:pPr>
    </w:p>
    <w:p w14:paraId="7BB9786B" w14:textId="7AE1CA77" w:rsidR="00387453" w:rsidRPr="000B33B9" w:rsidRDefault="00387453" w:rsidP="003D2A72">
      <w:pPr>
        <w:spacing w:after="0" w:line="240" w:lineRule="auto"/>
        <w:ind w:left="706" w:right="1094"/>
        <w:jc w:val="both"/>
        <w:rPr>
          <w:rFonts w:ascii="Verdana" w:hAnsi="Verdana"/>
          <w:sz w:val="18"/>
          <w:szCs w:val="18"/>
          <w:lang w:val="es-ES"/>
        </w:rPr>
      </w:pPr>
      <w:r w:rsidRPr="000B33B9">
        <w:rPr>
          <w:rFonts w:ascii="Verdana" w:hAnsi="Verdana"/>
          <w:sz w:val="18"/>
          <w:szCs w:val="18"/>
          <w:lang w:val="es-ES"/>
        </w:rPr>
        <w:t>“(…) El carácter “no pensionable” que da el inciso c) del artículo 3º del Decreto Legislativo No</w:t>
      </w:r>
      <w:r w:rsidR="001901D6" w:rsidRPr="000B33B9">
        <w:rPr>
          <w:rFonts w:ascii="Verdana" w:hAnsi="Verdana"/>
          <w:sz w:val="18"/>
          <w:szCs w:val="18"/>
          <w:lang w:val="es-ES"/>
        </w:rPr>
        <w:t>.</w:t>
      </w:r>
      <w:r w:rsidRPr="000B33B9">
        <w:rPr>
          <w:rFonts w:ascii="Verdana" w:hAnsi="Verdana"/>
          <w:sz w:val="18"/>
          <w:szCs w:val="18"/>
          <w:lang w:val="es-ES"/>
        </w:rPr>
        <w:t xml:space="preserve"> 673 a la mencionada “mayor remuneración” dispuesta por los incisos a) y b) de dicho artículo, no fue materia de ordenamiento en su constitucionalidad y consecuente inaplicación por la sentencia de la Corte Suprema materia de ejecución. Es decir –como puede apreciarse de la transcripción de su parte resolutiva (…) dicha sentencia solo inaplicó a los asociados de la recurrente la Tercera Disposición Transitoria del Decreto Legislativo [673] , pero no el inciso c) del artículo 3º de este. </w:t>
      </w:r>
    </w:p>
    <w:p w14:paraId="154D90BE" w14:textId="77777777" w:rsidR="00387453" w:rsidRPr="000B33B9" w:rsidRDefault="00387453" w:rsidP="003D2A72">
      <w:pPr>
        <w:spacing w:after="0" w:line="240" w:lineRule="auto"/>
        <w:ind w:left="706" w:right="1094"/>
        <w:jc w:val="both"/>
        <w:rPr>
          <w:rFonts w:ascii="Verdana" w:hAnsi="Verdana"/>
          <w:sz w:val="18"/>
          <w:szCs w:val="18"/>
          <w:lang w:val="es-ES"/>
        </w:rPr>
      </w:pPr>
    </w:p>
    <w:p w14:paraId="5BB683D7" w14:textId="5FE07ECA" w:rsidR="00387453" w:rsidRPr="000B33B9" w:rsidRDefault="00387453" w:rsidP="003D2A72">
      <w:pPr>
        <w:spacing w:after="0" w:line="240" w:lineRule="auto"/>
        <w:ind w:left="706" w:right="1094"/>
        <w:jc w:val="both"/>
        <w:rPr>
          <w:rFonts w:ascii="Verdana" w:hAnsi="Verdana"/>
          <w:sz w:val="18"/>
          <w:szCs w:val="18"/>
          <w:lang w:val="es-ES"/>
        </w:rPr>
      </w:pPr>
      <w:r w:rsidRPr="000B33B9">
        <w:rPr>
          <w:rFonts w:ascii="Verdana" w:hAnsi="Verdana"/>
          <w:sz w:val="18"/>
          <w:szCs w:val="18"/>
          <w:lang w:val="es-ES"/>
        </w:rPr>
        <w:t xml:space="preserve">(…) En vista de ello, a juicio de este </w:t>
      </w:r>
      <w:r w:rsidR="001901D6" w:rsidRPr="000B33B9">
        <w:rPr>
          <w:rFonts w:ascii="Verdana" w:hAnsi="Verdana"/>
          <w:sz w:val="18"/>
          <w:szCs w:val="18"/>
          <w:lang w:val="es-ES"/>
        </w:rPr>
        <w:t>C</w:t>
      </w:r>
      <w:r w:rsidRPr="000B33B9">
        <w:rPr>
          <w:rFonts w:ascii="Verdana" w:hAnsi="Verdana"/>
          <w:sz w:val="18"/>
          <w:szCs w:val="18"/>
          <w:lang w:val="es-ES"/>
        </w:rPr>
        <w:t>olegiado, la resolución de la Sexta Sala Civil de la Corte Superior de Lima, de fecha 24 de julio de 2006, (…) contrariamente a lo alegado por la recurrente no realiza una interpretación arbitraria o restrictiva, ni mucho menos deja sin efecto la Sentencia</w:t>
      </w:r>
      <w:r w:rsidR="001901D6" w:rsidRPr="000B33B9">
        <w:rPr>
          <w:rFonts w:ascii="Verdana" w:hAnsi="Verdana"/>
          <w:sz w:val="18"/>
          <w:szCs w:val="18"/>
          <w:lang w:val="es-ES"/>
        </w:rPr>
        <w:t xml:space="preserve"> de la Corte Suprema de fecha 25</w:t>
      </w:r>
      <w:r w:rsidRPr="000B33B9">
        <w:rPr>
          <w:rFonts w:ascii="Verdana" w:hAnsi="Verdana"/>
          <w:sz w:val="18"/>
          <w:szCs w:val="18"/>
          <w:lang w:val="es-ES"/>
        </w:rPr>
        <w:t xml:space="preserve"> de octubre de 1993”</w:t>
      </w:r>
      <w:r w:rsidR="003D2A72" w:rsidRPr="000B33B9">
        <w:rPr>
          <w:rStyle w:val="Refdenotaalpie"/>
          <w:rFonts w:ascii="Verdana" w:hAnsi="Verdana"/>
          <w:sz w:val="18"/>
          <w:szCs w:val="18"/>
          <w:lang w:val="es-ES"/>
        </w:rPr>
        <w:footnoteReference w:id="163"/>
      </w:r>
      <w:r w:rsidR="003D2A72" w:rsidRPr="000B33B9">
        <w:rPr>
          <w:rFonts w:ascii="Verdana" w:hAnsi="Verdana"/>
          <w:sz w:val="18"/>
          <w:szCs w:val="18"/>
          <w:lang w:val="es-ES"/>
        </w:rPr>
        <w:t>.</w:t>
      </w:r>
    </w:p>
    <w:p w14:paraId="03ECBF80" w14:textId="77777777" w:rsidR="00387453" w:rsidRPr="000B33B9" w:rsidRDefault="00387453" w:rsidP="00387453">
      <w:pPr>
        <w:pStyle w:val="Prrafodelista"/>
        <w:spacing w:after="0" w:line="240" w:lineRule="auto"/>
        <w:ind w:left="0"/>
        <w:contextualSpacing w:val="0"/>
        <w:jc w:val="both"/>
        <w:rPr>
          <w:rFonts w:ascii="Verdana" w:hAnsi="Verdana" w:cs="Verdana"/>
          <w:bCs/>
          <w:iCs/>
          <w:sz w:val="20"/>
          <w:szCs w:val="20"/>
          <w:lang w:val="es-ES"/>
        </w:rPr>
      </w:pPr>
    </w:p>
    <w:p w14:paraId="247BF3F8" w14:textId="56E79BE9" w:rsidR="0042135F" w:rsidRPr="000B33B9" w:rsidRDefault="00387453" w:rsidP="007B74B8">
      <w:pPr>
        <w:pStyle w:val="Prrafodelista"/>
        <w:numPr>
          <w:ilvl w:val="0"/>
          <w:numId w:val="10"/>
        </w:numPr>
        <w:spacing w:after="0" w:line="240" w:lineRule="auto"/>
        <w:ind w:left="0" w:firstLine="0"/>
        <w:contextualSpacing w:val="0"/>
        <w:jc w:val="both"/>
        <w:rPr>
          <w:rFonts w:ascii="Verdana" w:hAnsi="Verdana"/>
          <w:sz w:val="20"/>
          <w:szCs w:val="20"/>
        </w:rPr>
      </w:pPr>
      <w:r w:rsidRPr="000B33B9">
        <w:rPr>
          <w:rFonts w:ascii="Verdana" w:hAnsi="Verdana" w:cs="Verdana"/>
          <w:bCs/>
          <w:iCs/>
          <w:sz w:val="20"/>
          <w:szCs w:val="20"/>
          <w:lang w:val="es-CR"/>
        </w:rPr>
        <w:t xml:space="preserve">La Corte </w:t>
      </w:r>
      <w:r w:rsidR="001901D6" w:rsidRPr="000B33B9">
        <w:rPr>
          <w:rFonts w:ascii="Verdana" w:hAnsi="Verdana" w:cs="Verdana"/>
          <w:bCs/>
          <w:iCs/>
          <w:sz w:val="20"/>
          <w:szCs w:val="20"/>
          <w:lang w:val="es-CR"/>
        </w:rPr>
        <w:t>considera</w:t>
      </w:r>
      <w:r w:rsidRPr="000B33B9">
        <w:rPr>
          <w:rFonts w:ascii="Verdana" w:hAnsi="Verdana" w:cs="Verdana"/>
          <w:bCs/>
          <w:iCs/>
          <w:sz w:val="20"/>
          <w:szCs w:val="20"/>
          <w:lang w:val="es-CR"/>
        </w:rPr>
        <w:t xml:space="preserve"> que los razonamientos por parte del Tribunal Constitucional se corresponden con el deber de motivar las resoluciones, que constituye una garantía vinculada a la recta administración de justicia porque salvaguarda el derecho de los ciudadanos a ser juzgados por las razones que el Derecho suministra, a la vez que brinda credibilidad a las decisiones judiciales en una sociedad democrática</w:t>
      </w:r>
      <w:r w:rsidRPr="000B33B9">
        <w:rPr>
          <w:rFonts w:ascii="Verdana" w:hAnsi="Verdana"/>
          <w:sz w:val="20"/>
          <w:szCs w:val="20"/>
          <w:vertAlign w:val="superscript"/>
        </w:rPr>
        <w:footnoteReference w:id="164"/>
      </w:r>
      <w:r w:rsidRPr="000B33B9">
        <w:rPr>
          <w:rFonts w:ascii="Verdana" w:hAnsi="Verdana" w:cs="Verdana"/>
          <w:bCs/>
          <w:iCs/>
          <w:sz w:val="20"/>
          <w:szCs w:val="20"/>
          <w:lang w:val="es-CR"/>
        </w:rPr>
        <w:t>. La motivación de un fallo es lo que permite conocer cuáles son los hechos, motivos y normas en l</w:t>
      </w:r>
      <w:r w:rsidR="001901D6" w:rsidRPr="000B33B9">
        <w:rPr>
          <w:rFonts w:ascii="Verdana" w:hAnsi="Verdana" w:cs="Verdana"/>
          <w:bCs/>
          <w:iCs/>
          <w:sz w:val="20"/>
          <w:szCs w:val="20"/>
          <w:lang w:val="es-CR"/>
        </w:rPr>
        <w:t>o</w:t>
      </w:r>
      <w:r w:rsidRPr="000B33B9">
        <w:rPr>
          <w:rFonts w:ascii="Verdana" w:hAnsi="Verdana" w:cs="Verdana"/>
          <w:bCs/>
          <w:iCs/>
          <w:sz w:val="20"/>
          <w:szCs w:val="20"/>
          <w:lang w:val="es-CR"/>
        </w:rPr>
        <w:t>s que se basó la autoridad para tomar su decisión</w:t>
      </w:r>
      <w:r w:rsidRPr="000B33B9">
        <w:rPr>
          <w:rStyle w:val="Refdenotaalpie"/>
          <w:rFonts w:ascii="Verdana" w:hAnsi="Verdana" w:cs="Verdana"/>
          <w:bCs/>
          <w:iCs/>
          <w:sz w:val="20"/>
          <w:szCs w:val="20"/>
          <w:lang w:val="es-CR"/>
        </w:rPr>
        <w:footnoteReference w:id="165"/>
      </w:r>
      <w:r w:rsidR="003D2A72" w:rsidRPr="000B33B9">
        <w:rPr>
          <w:rFonts w:ascii="Verdana" w:hAnsi="Verdana" w:cs="Verdana"/>
          <w:bCs/>
          <w:iCs/>
          <w:sz w:val="20"/>
          <w:szCs w:val="20"/>
          <w:lang w:val="es-CR"/>
        </w:rPr>
        <w:t xml:space="preserve">. </w:t>
      </w:r>
      <w:r w:rsidRPr="000B33B9">
        <w:rPr>
          <w:rFonts w:ascii="Verdana" w:hAnsi="Verdana"/>
          <w:sz w:val="20"/>
          <w:szCs w:val="20"/>
        </w:rPr>
        <w:t>De las motivaciones antes referidas, la Corte observa que el Tribunal Constituci</w:t>
      </w:r>
      <w:r w:rsidR="009A4984" w:rsidRPr="000B33B9">
        <w:rPr>
          <w:rFonts w:ascii="Verdana" w:hAnsi="Verdana"/>
          <w:sz w:val="20"/>
          <w:szCs w:val="20"/>
        </w:rPr>
        <w:t>onal</w:t>
      </w:r>
      <w:r w:rsidRPr="000B33B9">
        <w:rPr>
          <w:rFonts w:ascii="Verdana" w:hAnsi="Verdana"/>
          <w:sz w:val="20"/>
          <w:szCs w:val="20"/>
        </w:rPr>
        <w:t xml:space="preserve"> concluyó que la sentencia de 25 de octubre de 1993 no estableció la inaplicabilidad del artículo 3, inciso c, del Decreto 673, tomando en consideración: a) la historia pr</w:t>
      </w:r>
      <w:r w:rsidR="001901D6" w:rsidRPr="000B33B9">
        <w:rPr>
          <w:rFonts w:ascii="Verdana" w:hAnsi="Verdana"/>
          <w:sz w:val="20"/>
          <w:szCs w:val="20"/>
        </w:rPr>
        <w:t>ocesal (páginas de la 1 a la 4);</w:t>
      </w:r>
      <w:r w:rsidRPr="000B33B9">
        <w:rPr>
          <w:rFonts w:ascii="Verdana" w:hAnsi="Verdana"/>
          <w:sz w:val="20"/>
          <w:szCs w:val="20"/>
        </w:rPr>
        <w:t xml:space="preserve"> b) el objeto de la dema</w:t>
      </w:r>
      <w:r w:rsidR="001901D6" w:rsidRPr="000B33B9">
        <w:rPr>
          <w:rFonts w:ascii="Verdana" w:hAnsi="Verdana"/>
          <w:sz w:val="20"/>
          <w:szCs w:val="20"/>
        </w:rPr>
        <w:t>nda (considerandos del 8 al 11);</w:t>
      </w:r>
      <w:r w:rsidRPr="000B33B9">
        <w:rPr>
          <w:rFonts w:ascii="Verdana" w:hAnsi="Verdana"/>
          <w:sz w:val="20"/>
          <w:szCs w:val="20"/>
        </w:rPr>
        <w:t xml:space="preserve"> c) las disposiciones aplicables en materia </w:t>
      </w:r>
      <w:r w:rsidR="001901D6" w:rsidRPr="000B33B9">
        <w:rPr>
          <w:rFonts w:ascii="Verdana" w:hAnsi="Verdana"/>
          <w:sz w:val="20"/>
          <w:szCs w:val="20"/>
        </w:rPr>
        <w:t>de amparo (considerandos 1 y 2);</w:t>
      </w:r>
      <w:r w:rsidRPr="000B33B9">
        <w:rPr>
          <w:rFonts w:ascii="Verdana" w:hAnsi="Verdana"/>
          <w:sz w:val="20"/>
          <w:szCs w:val="20"/>
        </w:rPr>
        <w:t xml:space="preserve"> d) los principios que atañen a la tutela judicial efectiva (c</w:t>
      </w:r>
      <w:r w:rsidR="001901D6" w:rsidRPr="000B33B9">
        <w:rPr>
          <w:rFonts w:ascii="Verdana" w:hAnsi="Verdana"/>
          <w:sz w:val="20"/>
          <w:szCs w:val="20"/>
        </w:rPr>
        <w:t>onsiderandos del 5 al 7);</w:t>
      </w:r>
      <w:r w:rsidRPr="000B33B9">
        <w:rPr>
          <w:rFonts w:ascii="Verdana" w:hAnsi="Verdana"/>
          <w:sz w:val="20"/>
          <w:szCs w:val="20"/>
        </w:rPr>
        <w:t xml:space="preserve"> y e) la jurisprudencia nacional (considerandos 16 y 18).</w:t>
      </w:r>
    </w:p>
    <w:p w14:paraId="71B24F5D" w14:textId="77777777" w:rsidR="0042135F" w:rsidRPr="000B33B9" w:rsidRDefault="0042135F" w:rsidP="0042135F">
      <w:pPr>
        <w:pStyle w:val="Prrafodelista"/>
        <w:spacing w:after="0" w:line="240" w:lineRule="auto"/>
        <w:ind w:left="0"/>
        <w:contextualSpacing w:val="0"/>
        <w:jc w:val="both"/>
        <w:rPr>
          <w:rFonts w:ascii="Verdana" w:hAnsi="Verdana"/>
          <w:sz w:val="20"/>
          <w:szCs w:val="20"/>
        </w:rPr>
      </w:pPr>
    </w:p>
    <w:p w14:paraId="45F9E55C" w14:textId="424B282B" w:rsidR="00387453" w:rsidRPr="000B33B9" w:rsidRDefault="00387453" w:rsidP="007B74B8">
      <w:pPr>
        <w:pStyle w:val="Prrafodelista"/>
        <w:numPr>
          <w:ilvl w:val="0"/>
          <w:numId w:val="10"/>
        </w:numPr>
        <w:spacing w:after="0" w:line="240" w:lineRule="auto"/>
        <w:ind w:left="0" w:firstLine="0"/>
        <w:contextualSpacing w:val="0"/>
        <w:jc w:val="both"/>
        <w:rPr>
          <w:rFonts w:ascii="Verdana" w:hAnsi="Verdana"/>
          <w:sz w:val="20"/>
          <w:szCs w:val="20"/>
        </w:rPr>
      </w:pPr>
      <w:r w:rsidRPr="000B33B9">
        <w:rPr>
          <w:rFonts w:ascii="Verdana" w:hAnsi="Verdana"/>
          <w:sz w:val="20"/>
          <w:szCs w:val="20"/>
        </w:rPr>
        <w:t>Para llegar a dicha conclusión, la Corte observa que el Tribunal Constitucional no solo analizó el contenido del Decreto 673, como se hace constar en los considerandos 15 y 16 de la referida resolución, sino que, como se evidencia en el considerado 17, evaluó los efectos que derivan del artículo 3, inciso c, de dicha norma y contrastó la parte resolutoria de la sentencia de 25 de octubre de 1993 con las pretensiones originalmente establecidas en la solicitud de amparo de diciembre de 1991. Con relación a este ejercicio comparativo, la Corte nota que en el petitorio de la acción de amparo de 19 de diciembre de 1991, ANCEJUB-SUNAT solicitó lo siguiente:</w:t>
      </w:r>
    </w:p>
    <w:p w14:paraId="1EE0D457" w14:textId="77777777" w:rsidR="00387453" w:rsidRPr="000B33B9" w:rsidRDefault="00387453" w:rsidP="00387453">
      <w:pPr>
        <w:spacing w:after="0" w:line="240" w:lineRule="auto"/>
        <w:ind w:left="706" w:right="1094" w:hanging="48"/>
        <w:jc w:val="both"/>
        <w:rPr>
          <w:rFonts w:ascii="Verdana" w:hAnsi="Verdana"/>
          <w:sz w:val="20"/>
          <w:szCs w:val="20"/>
        </w:rPr>
      </w:pPr>
    </w:p>
    <w:p w14:paraId="323EBFE2" w14:textId="70B0FCC8" w:rsidR="00387453" w:rsidRPr="000B33B9" w:rsidRDefault="00387453" w:rsidP="003D2A72">
      <w:pPr>
        <w:spacing w:after="0" w:line="240" w:lineRule="auto"/>
        <w:ind w:left="749" w:right="1094" w:hanging="43"/>
        <w:jc w:val="both"/>
        <w:rPr>
          <w:rFonts w:ascii="Verdana" w:hAnsi="Verdana"/>
          <w:sz w:val="18"/>
          <w:szCs w:val="18"/>
        </w:rPr>
      </w:pPr>
      <w:r w:rsidRPr="000B33B9">
        <w:rPr>
          <w:rFonts w:ascii="Verdana" w:hAnsi="Verdana"/>
          <w:sz w:val="18"/>
          <w:szCs w:val="18"/>
        </w:rPr>
        <w:t>“</w:t>
      </w:r>
      <w:r w:rsidR="003D2A72" w:rsidRPr="000B33B9">
        <w:rPr>
          <w:rFonts w:ascii="Verdana" w:hAnsi="Verdana"/>
          <w:sz w:val="18"/>
          <w:szCs w:val="18"/>
        </w:rPr>
        <w:t xml:space="preserve">(…) </w:t>
      </w:r>
      <w:r w:rsidRPr="000B33B9">
        <w:rPr>
          <w:rFonts w:ascii="Verdana" w:hAnsi="Verdana"/>
          <w:sz w:val="18"/>
          <w:szCs w:val="18"/>
        </w:rPr>
        <w:t>Precisa y concretamente, en esta Acción de Amparo, demandamos la inaplicación de la Tercera Disposición Transitoria del D. Leg. 673 a los cesantes y jubilados de la SUNAT con derecho a pensión renovable bajo el régimen del D.L.20530, restableciendo su derecho conculcado a la homologación de dichas pensiones con las remuneraciones de los servidores en actividad y ordenando el reintegro de las sumas indebidamente dejadas de abonar”</w:t>
      </w:r>
      <w:r w:rsidRPr="000B33B9">
        <w:rPr>
          <w:rStyle w:val="Refdenotaalpie"/>
          <w:rFonts w:ascii="Verdana" w:hAnsi="Verdana"/>
          <w:sz w:val="18"/>
          <w:szCs w:val="18"/>
        </w:rPr>
        <w:footnoteReference w:id="166"/>
      </w:r>
      <w:r w:rsidRPr="000B33B9">
        <w:rPr>
          <w:rFonts w:ascii="Verdana" w:hAnsi="Verdana"/>
          <w:sz w:val="18"/>
          <w:szCs w:val="18"/>
        </w:rPr>
        <w:t>.</w:t>
      </w:r>
    </w:p>
    <w:p w14:paraId="2C54165F" w14:textId="77777777" w:rsidR="00387453" w:rsidRPr="000B33B9" w:rsidRDefault="00387453" w:rsidP="00387453">
      <w:pPr>
        <w:pStyle w:val="Prrafodelista"/>
        <w:spacing w:after="0" w:line="240" w:lineRule="auto"/>
        <w:ind w:left="0"/>
        <w:contextualSpacing w:val="0"/>
        <w:jc w:val="both"/>
        <w:rPr>
          <w:rFonts w:ascii="Verdana" w:hAnsi="Verdana"/>
          <w:sz w:val="20"/>
          <w:szCs w:val="20"/>
        </w:rPr>
      </w:pPr>
    </w:p>
    <w:p w14:paraId="30EB091D" w14:textId="5063A8B2" w:rsidR="00387453" w:rsidRPr="000B33B9" w:rsidRDefault="00387453" w:rsidP="007B74B8">
      <w:pPr>
        <w:pStyle w:val="Prrafodelista"/>
        <w:numPr>
          <w:ilvl w:val="0"/>
          <w:numId w:val="10"/>
        </w:numPr>
        <w:spacing w:after="0" w:line="240" w:lineRule="auto"/>
        <w:ind w:left="0" w:firstLine="0"/>
        <w:contextualSpacing w:val="0"/>
        <w:jc w:val="both"/>
        <w:rPr>
          <w:rFonts w:ascii="Verdana" w:hAnsi="Verdana"/>
          <w:sz w:val="20"/>
          <w:szCs w:val="20"/>
        </w:rPr>
      </w:pPr>
      <w:r w:rsidRPr="000B33B9">
        <w:rPr>
          <w:rFonts w:ascii="Verdana" w:hAnsi="Verdana"/>
          <w:sz w:val="20"/>
          <w:szCs w:val="20"/>
        </w:rPr>
        <w:t xml:space="preserve">Asimismo, este Tribunal recuerda que la sentencia emitida el 25 de octubre de 1993 por la Corte Suprema acogió el amparo y dispuso textualmente lo siguiente: </w:t>
      </w:r>
    </w:p>
    <w:p w14:paraId="43C965C4" w14:textId="77777777" w:rsidR="00387453" w:rsidRPr="000B33B9" w:rsidRDefault="00387453" w:rsidP="00387453">
      <w:pPr>
        <w:spacing w:after="0" w:line="240" w:lineRule="auto"/>
        <w:ind w:right="1094"/>
        <w:jc w:val="both"/>
        <w:rPr>
          <w:rFonts w:ascii="Verdana" w:hAnsi="Verdana"/>
          <w:sz w:val="20"/>
          <w:szCs w:val="20"/>
        </w:rPr>
      </w:pPr>
    </w:p>
    <w:p w14:paraId="2051EDF1" w14:textId="77777777" w:rsidR="00387453" w:rsidRPr="000B33B9" w:rsidRDefault="00387453" w:rsidP="003D2A72">
      <w:pPr>
        <w:tabs>
          <w:tab w:val="left" w:pos="8505"/>
        </w:tabs>
        <w:spacing w:after="0" w:line="240" w:lineRule="auto"/>
        <w:ind w:left="706" w:right="1094"/>
        <w:jc w:val="both"/>
        <w:rPr>
          <w:rFonts w:ascii="Verdana" w:hAnsi="Verdana"/>
          <w:sz w:val="18"/>
          <w:szCs w:val="18"/>
          <w:lang w:val="es-DO"/>
        </w:rPr>
      </w:pPr>
      <w:r w:rsidRPr="000B33B9">
        <w:rPr>
          <w:rFonts w:ascii="Verdana" w:hAnsi="Verdana"/>
          <w:sz w:val="18"/>
          <w:szCs w:val="18"/>
          <w:lang w:val="es-DO"/>
        </w:rPr>
        <w:t>“(…)</w:t>
      </w:r>
      <w:r w:rsidRPr="000B33B9">
        <w:rPr>
          <w:rFonts w:ascii="Verdana" w:hAnsi="Verdana"/>
          <w:sz w:val="18"/>
          <w:szCs w:val="18"/>
          <w:lang w:val="es-ES"/>
        </w:rPr>
        <w:t xml:space="preserve"> [Se declara]</w:t>
      </w:r>
      <w:r w:rsidRPr="000B33B9">
        <w:rPr>
          <w:rFonts w:ascii="Verdana" w:hAnsi="Verdana"/>
          <w:sz w:val="18"/>
          <w:szCs w:val="18"/>
          <w:lang w:val="es-DO"/>
        </w:rPr>
        <w:t xml:space="preserve"> FUNDADA la referida acción de amparo; en consecuencia inaplicable a los ex-servidores de la Superintendencia Nacional de Administración Tributaria miembros de la Asociación Actora con derecho a percibir pensión de jubilación o cesantía al amparo del Decreto Ley </w:t>
      </w:r>
      <w:r w:rsidRPr="000B33B9">
        <w:rPr>
          <w:rFonts w:ascii="Verdana" w:hAnsi="Verdana"/>
          <w:sz w:val="18"/>
          <w:szCs w:val="18"/>
          <w:lang w:val="es-ES"/>
        </w:rPr>
        <w:t>[20530]</w:t>
      </w:r>
      <w:r w:rsidRPr="000B33B9">
        <w:rPr>
          <w:rFonts w:ascii="Verdana" w:hAnsi="Verdana"/>
          <w:sz w:val="18"/>
          <w:szCs w:val="18"/>
          <w:lang w:val="es-DO"/>
        </w:rPr>
        <w:t xml:space="preserve">, cuyo derecho esté reconocido por la Tercera Disposición Transitoria del Decreto Legislativo </w:t>
      </w:r>
      <w:r w:rsidRPr="000B33B9">
        <w:rPr>
          <w:rFonts w:ascii="Verdana" w:hAnsi="Verdana"/>
          <w:sz w:val="18"/>
          <w:szCs w:val="18"/>
          <w:lang w:val="es-ES"/>
        </w:rPr>
        <w:t>[673]</w:t>
      </w:r>
      <w:r w:rsidRPr="000B33B9">
        <w:rPr>
          <w:rFonts w:ascii="Verdana" w:hAnsi="Verdana"/>
          <w:sz w:val="18"/>
          <w:szCs w:val="18"/>
          <w:lang w:val="es-DO"/>
        </w:rPr>
        <w:t xml:space="preserve">; ordenaron les sea repuesto el derecho a percibir la pensión que les corresponda, nivelada con las remuneraciones de los servidores activos de la Superintendencia Nacional de Administración Tributaria y se les reintegre los incrementos dejados de percibir como consecuencia de la aplicación de la mencionada Tercera Disposición Transitoria del Decreto Legislativo </w:t>
      </w:r>
      <w:r w:rsidRPr="000B33B9">
        <w:rPr>
          <w:rFonts w:ascii="Verdana" w:hAnsi="Verdana"/>
          <w:sz w:val="18"/>
          <w:szCs w:val="18"/>
          <w:lang w:val="es-ES"/>
        </w:rPr>
        <w:t>[673]”</w:t>
      </w:r>
      <w:r w:rsidRPr="000B33B9">
        <w:rPr>
          <w:rStyle w:val="Refdenotaalpie"/>
          <w:rFonts w:ascii="Verdana" w:hAnsi="Verdana"/>
          <w:sz w:val="18"/>
          <w:szCs w:val="18"/>
          <w:lang w:val="es-DO"/>
        </w:rPr>
        <w:footnoteReference w:id="167"/>
      </w:r>
      <w:r w:rsidRPr="000B33B9">
        <w:rPr>
          <w:rFonts w:ascii="Verdana" w:hAnsi="Verdana"/>
          <w:sz w:val="18"/>
          <w:szCs w:val="18"/>
          <w:lang w:val="es-ES"/>
        </w:rPr>
        <w:t>.</w:t>
      </w:r>
    </w:p>
    <w:p w14:paraId="0221F2F2" w14:textId="77777777" w:rsidR="00387453" w:rsidRPr="000B33B9" w:rsidRDefault="00387453" w:rsidP="00387453">
      <w:pPr>
        <w:spacing w:after="0" w:line="240" w:lineRule="auto"/>
        <w:jc w:val="both"/>
        <w:rPr>
          <w:rFonts w:ascii="Verdana" w:hAnsi="Verdana"/>
          <w:sz w:val="20"/>
          <w:szCs w:val="20"/>
          <w:lang w:val="es-DO"/>
        </w:rPr>
      </w:pPr>
    </w:p>
    <w:p w14:paraId="7A23D8C4" w14:textId="07574ECA" w:rsidR="0042135F" w:rsidRPr="000B33B9" w:rsidRDefault="00387453" w:rsidP="007B74B8">
      <w:pPr>
        <w:pStyle w:val="Prrafodelista"/>
        <w:numPr>
          <w:ilvl w:val="0"/>
          <w:numId w:val="10"/>
        </w:numPr>
        <w:spacing w:after="0" w:line="240" w:lineRule="auto"/>
        <w:ind w:left="0" w:firstLine="0"/>
        <w:jc w:val="both"/>
        <w:rPr>
          <w:rFonts w:ascii="Verdana" w:hAnsi="Verdana"/>
          <w:sz w:val="20"/>
          <w:szCs w:val="20"/>
        </w:rPr>
      </w:pPr>
      <w:r w:rsidRPr="000B33B9">
        <w:rPr>
          <w:rFonts w:ascii="Verdana" w:hAnsi="Verdana"/>
          <w:sz w:val="20"/>
          <w:szCs w:val="20"/>
        </w:rPr>
        <w:t xml:space="preserve">De la comparación de ambos textos, el Tribunal Constitucional concluyó que la Corte Suprema había ajustado los parámetros de su decisión a lo expresamente solicitado por ANCEJUB-SUNAT, en cuyo petitorio solo se demandó la inaplicación de la </w:t>
      </w:r>
      <w:r w:rsidR="001901D6" w:rsidRPr="000B33B9">
        <w:rPr>
          <w:rFonts w:ascii="Verdana" w:hAnsi="Verdana"/>
          <w:sz w:val="20"/>
          <w:szCs w:val="20"/>
        </w:rPr>
        <w:t>T</w:t>
      </w:r>
      <w:r w:rsidRPr="000B33B9">
        <w:rPr>
          <w:rFonts w:ascii="Verdana" w:hAnsi="Verdana"/>
          <w:sz w:val="20"/>
          <w:szCs w:val="20"/>
        </w:rPr>
        <w:t xml:space="preserve">ercera </w:t>
      </w:r>
      <w:r w:rsidR="001901D6" w:rsidRPr="000B33B9">
        <w:rPr>
          <w:rFonts w:ascii="Verdana" w:hAnsi="Verdana"/>
          <w:sz w:val="20"/>
          <w:szCs w:val="20"/>
        </w:rPr>
        <w:t>D</w:t>
      </w:r>
      <w:r w:rsidRPr="000B33B9">
        <w:rPr>
          <w:rFonts w:ascii="Verdana" w:hAnsi="Verdana"/>
          <w:sz w:val="20"/>
          <w:szCs w:val="20"/>
        </w:rPr>
        <w:t xml:space="preserve">isposición </w:t>
      </w:r>
      <w:r w:rsidR="001901D6" w:rsidRPr="000B33B9">
        <w:rPr>
          <w:rFonts w:ascii="Verdana" w:hAnsi="Verdana"/>
          <w:sz w:val="20"/>
          <w:szCs w:val="20"/>
        </w:rPr>
        <w:t>T</w:t>
      </w:r>
      <w:r w:rsidRPr="000B33B9">
        <w:rPr>
          <w:rFonts w:ascii="Verdana" w:hAnsi="Verdana"/>
          <w:sz w:val="20"/>
          <w:szCs w:val="20"/>
        </w:rPr>
        <w:t xml:space="preserve">ransitoria del Decreto 673, sin hacer referencia explícita al </w:t>
      </w:r>
      <w:r w:rsidR="001901D6" w:rsidRPr="000B33B9">
        <w:rPr>
          <w:rFonts w:ascii="Verdana" w:hAnsi="Verdana"/>
          <w:sz w:val="20"/>
          <w:szCs w:val="20"/>
        </w:rPr>
        <w:t>inciso</w:t>
      </w:r>
      <w:r w:rsidRPr="000B33B9">
        <w:rPr>
          <w:rFonts w:ascii="Verdana" w:hAnsi="Verdana"/>
          <w:sz w:val="20"/>
          <w:szCs w:val="20"/>
        </w:rPr>
        <w:t xml:space="preserve"> c de su artículo 3 ni conforme a cuál régimen debían nivelarse las pensiones. Esto evidencia que el Tribunal Constitucional realizó una exposición clara de su decisión, lo cual es parte esencial de la correcta motivación de una resolución judicial</w:t>
      </w:r>
      <w:r w:rsidRPr="000B33B9">
        <w:rPr>
          <w:rStyle w:val="Refdenotaalpie"/>
          <w:rFonts w:ascii="Verdana" w:hAnsi="Verdana"/>
          <w:sz w:val="20"/>
          <w:szCs w:val="20"/>
        </w:rPr>
        <w:footnoteReference w:id="168"/>
      </w:r>
      <w:r w:rsidRPr="000B33B9">
        <w:rPr>
          <w:rFonts w:ascii="Verdana" w:hAnsi="Verdana"/>
          <w:sz w:val="20"/>
          <w:szCs w:val="20"/>
        </w:rPr>
        <w:t>. Adicionalmente, la Corte constata que, al juzgar sobre la aplicación del artículo 3, inciso c, del Decreto 673, el Tribunal Constitucional estatuyó sobre los alegatos presentados por las partes y respondió de manera individualizada los argumentos planteados por ANCEJUB-SUNAT, lo cual también es uno de los elementos de la obligación de motivar debidamente las decisiones judiciales</w:t>
      </w:r>
      <w:r w:rsidRPr="000B33B9">
        <w:rPr>
          <w:rFonts w:ascii="Verdana" w:hAnsi="Verdana"/>
          <w:sz w:val="20"/>
          <w:szCs w:val="20"/>
          <w:vertAlign w:val="superscript"/>
        </w:rPr>
        <w:footnoteReference w:id="169"/>
      </w:r>
      <w:r w:rsidRPr="000B33B9">
        <w:rPr>
          <w:rFonts w:ascii="Verdana" w:hAnsi="Verdana"/>
          <w:sz w:val="20"/>
          <w:szCs w:val="20"/>
        </w:rPr>
        <w:t xml:space="preserve">, conforme el derecho a </w:t>
      </w:r>
      <w:r w:rsidR="00755798" w:rsidRPr="000B33B9">
        <w:rPr>
          <w:rFonts w:ascii="Verdana" w:hAnsi="Verdana"/>
          <w:sz w:val="20"/>
          <w:szCs w:val="20"/>
        </w:rPr>
        <w:t>las garantías judiciales y la protección judicial</w:t>
      </w:r>
      <w:r w:rsidRPr="000B33B9">
        <w:rPr>
          <w:rFonts w:ascii="Verdana" w:hAnsi="Verdana"/>
          <w:sz w:val="20"/>
          <w:szCs w:val="20"/>
        </w:rPr>
        <w:t xml:space="preserve">. </w:t>
      </w:r>
    </w:p>
    <w:p w14:paraId="0F8CDCE7" w14:textId="77777777" w:rsidR="0042135F" w:rsidRPr="000B33B9" w:rsidRDefault="0042135F" w:rsidP="0042135F">
      <w:pPr>
        <w:pStyle w:val="Prrafodelista"/>
        <w:spacing w:after="0" w:line="240" w:lineRule="auto"/>
        <w:ind w:left="0"/>
        <w:jc w:val="both"/>
        <w:rPr>
          <w:rFonts w:ascii="Verdana" w:hAnsi="Verdana"/>
          <w:sz w:val="20"/>
          <w:szCs w:val="20"/>
        </w:rPr>
      </w:pPr>
    </w:p>
    <w:p w14:paraId="43295383" w14:textId="4498B6F7" w:rsidR="004B204D" w:rsidRPr="000B33B9" w:rsidRDefault="00387453" w:rsidP="007B74B8">
      <w:pPr>
        <w:pStyle w:val="Prrafodelista"/>
        <w:numPr>
          <w:ilvl w:val="0"/>
          <w:numId w:val="10"/>
        </w:numPr>
        <w:spacing w:after="0" w:line="240" w:lineRule="auto"/>
        <w:ind w:left="0" w:firstLine="0"/>
        <w:jc w:val="both"/>
        <w:rPr>
          <w:rFonts w:ascii="Verdana" w:hAnsi="Verdana"/>
          <w:sz w:val="20"/>
          <w:szCs w:val="20"/>
        </w:rPr>
      </w:pPr>
      <w:r w:rsidRPr="000B33B9">
        <w:rPr>
          <w:rFonts w:ascii="Verdana" w:hAnsi="Verdana"/>
          <w:sz w:val="20"/>
          <w:szCs w:val="20"/>
        </w:rPr>
        <w:t xml:space="preserve">En función de lo anterior, la Corte recuerda que </w:t>
      </w:r>
      <w:r w:rsidRPr="000B33B9">
        <w:rPr>
          <w:rFonts w:ascii="Verdana" w:hAnsi="Verdana" w:cs="Verdana"/>
          <w:bCs/>
          <w:iCs/>
          <w:sz w:val="20"/>
          <w:szCs w:val="20"/>
          <w:lang w:val="es-CR"/>
        </w:rPr>
        <w:t>la efectividad de un recurso no implica que este produzca un resultado favorable para el demandante</w:t>
      </w:r>
      <w:r w:rsidRPr="000B33B9">
        <w:rPr>
          <w:rFonts w:ascii="Verdana" w:hAnsi="Verdana" w:cs="Verdana"/>
          <w:bCs/>
          <w:iCs/>
          <w:sz w:val="20"/>
          <w:szCs w:val="20"/>
          <w:vertAlign w:val="superscript"/>
        </w:rPr>
        <w:footnoteReference w:id="170"/>
      </w:r>
      <w:r w:rsidRPr="000B33B9">
        <w:rPr>
          <w:rFonts w:ascii="Verdana" w:hAnsi="Verdana" w:cs="Verdana"/>
          <w:bCs/>
          <w:iCs/>
          <w:sz w:val="20"/>
          <w:szCs w:val="20"/>
          <w:lang w:val="es-CR"/>
        </w:rPr>
        <w:t xml:space="preserve">, puesto </w:t>
      </w:r>
      <w:r w:rsidRPr="000B33B9">
        <w:rPr>
          <w:rFonts w:ascii="Verdana" w:hAnsi="Verdana"/>
          <w:sz w:val="20"/>
          <w:szCs w:val="20"/>
        </w:rPr>
        <w:t>que la obligación del Estado de conducir los procesos con apego a la garantía de protección judicial consiste en una obligación que es de medio o comportamiento</w:t>
      </w:r>
      <w:r w:rsidRPr="000B33B9">
        <w:rPr>
          <w:rStyle w:val="Refdenotaalpie"/>
          <w:rFonts w:ascii="Verdana" w:hAnsi="Verdana"/>
          <w:sz w:val="20"/>
          <w:szCs w:val="20"/>
        </w:rPr>
        <w:footnoteReference w:id="171"/>
      </w:r>
      <w:r w:rsidRPr="000B33B9">
        <w:rPr>
          <w:rFonts w:ascii="Verdana" w:hAnsi="Verdana"/>
          <w:sz w:val="20"/>
          <w:szCs w:val="20"/>
        </w:rPr>
        <w:t>. En este caso, la Corte observa que, no obstante que la sentencia de 9 de agosto de 2011 resolvió con autoridad de la cosa irrevocablemente juzgada la controversia sobre el régimen bajo el cuál debía efectuarse la nivelación de las pensiones, ANCEJUB-SUNAT continuó cuestionando los informes periciales que fueron realizados conforme lo ordenado por dicha sentencia, a raíz de lo cual el Tribunal Constitucional tuvo que pronunciarse nuevamente sobre la interpretación de la sentencia de 25 de octubre de 1993, señalando mediante resolución de 23 de abril de 2019 que “</w:t>
      </w:r>
      <w:r w:rsidR="003D2A72" w:rsidRPr="000B33B9">
        <w:rPr>
          <w:rFonts w:ascii="Verdana" w:hAnsi="Verdana"/>
          <w:sz w:val="20"/>
          <w:szCs w:val="20"/>
        </w:rPr>
        <w:t xml:space="preserve">(…) </w:t>
      </w:r>
      <w:r w:rsidRPr="000B33B9">
        <w:rPr>
          <w:rFonts w:ascii="Verdana" w:hAnsi="Verdana"/>
          <w:sz w:val="20"/>
          <w:szCs w:val="20"/>
        </w:rPr>
        <w:t>ya había zanjado el asunto en el 2011, concluyendo que dichos incrementos no tienen el carácter pensionable para los trabajadores comprendidos en el régimen jubilatorio del Decreto 20530”</w:t>
      </w:r>
      <w:r w:rsidRPr="000B33B9">
        <w:rPr>
          <w:rStyle w:val="Refdenotaalpie"/>
          <w:rFonts w:ascii="Verdana" w:hAnsi="Verdana"/>
          <w:sz w:val="20"/>
          <w:szCs w:val="20"/>
        </w:rPr>
        <w:footnoteReference w:id="172"/>
      </w:r>
      <w:r w:rsidRPr="000B33B9">
        <w:rPr>
          <w:rFonts w:ascii="Verdana" w:hAnsi="Verdana"/>
          <w:sz w:val="20"/>
          <w:szCs w:val="20"/>
        </w:rPr>
        <w:t>.</w:t>
      </w:r>
    </w:p>
    <w:p w14:paraId="271613AA" w14:textId="77777777" w:rsidR="004B204D" w:rsidRPr="000B33B9" w:rsidRDefault="004B204D" w:rsidP="004B204D">
      <w:pPr>
        <w:pStyle w:val="Prrafodelista"/>
        <w:spacing w:after="0" w:line="240" w:lineRule="auto"/>
        <w:ind w:left="0"/>
        <w:jc w:val="both"/>
        <w:rPr>
          <w:rFonts w:ascii="Verdana" w:hAnsi="Verdana"/>
          <w:sz w:val="20"/>
          <w:szCs w:val="20"/>
        </w:rPr>
      </w:pPr>
    </w:p>
    <w:p w14:paraId="375F7284" w14:textId="359071D3" w:rsidR="00480477" w:rsidRPr="000B33B9" w:rsidRDefault="00480477" w:rsidP="007B74B8">
      <w:pPr>
        <w:pStyle w:val="Prrafodelista"/>
        <w:numPr>
          <w:ilvl w:val="0"/>
          <w:numId w:val="10"/>
        </w:numPr>
        <w:spacing w:after="0" w:line="240" w:lineRule="auto"/>
        <w:ind w:left="0" w:firstLine="0"/>
        <w:jc w:val="both"/>
        <w:rPr>
          <w:rFonts w:ascii="Verdana" w:eastAsiaTheme="minorHAnsi" w:hAnsi="Verdana"/>
          <w:sz w:val="20"/>
          <w:szCs w:val="20"/>
        </w:rPr>
      </w:pPr>
      <w:r w:rsidRPr="000B33B9">
        <w:rPr>
          <w:rFonts w:ascii="Verdana" w:hAnsi="Verdana"/>
          <w:sz w:val="20"/>
          <w:szCs w:val="20"/>
        </w:rPr>
        <w:t>En consecuencia, aun cuando el Tribunal Constitucional realizó una interpretación distinta a la pretendida por las presuntas víctimas mediante la interposición de su tercer recurso de amparo, la Corte concluye que la sentencia de 9 de agosto de 2011 no contravino ninguna de las garantías del debido proceso o a un recurso judicial efectivo, sin perjuicio de que el retardo injustificado en la ejecución de la sentencia de 25 de octubre de 1993 pudiera derivar en sí mismo en la vulneración a los artículos 25 y 8 de la Convención</w:t>
      </w:r>
      <w:r w:rsidR="009D502E" w:rsidRPr="000B33B9">
        <w:rPr>
          <w:rFonts w:ascii="Verdana" w:hAnsi="Verdana"/>
          <w:sz w:val="20"/>
          <w:szCs w:val="20"/>
        </w:rPr>
        <w:t xml:space="preserve"> </w:t>
      </w:r>
      <w:r w:rsidR="001901D6" w:rsidRPr="000B33B9">
        <w:rPr>
          <w:rFonts w:ascii="Verdana" w:hAnsi="Verdana"/>
          <w:sz w:val="20"/>
          <w:szCs w:val="20"/>
        </w:rPr>
        <w:t>o</w:t>
      </w:r>
      <w:r w:rsidRPr="000B33B9">
        <w:rPr>
          <w:rFonts w:ascii="Verdana" w:hAnsi="Verdana"/>
          <w:sz w:val="20"/>
          <w:szCs w:val="20"/>
        </w:rPr>
        <w:t xml:space="preserve"> conllevar afectaciones a otros derechos, tales como la seguridad social,</w:t>
      </w:r>
      <w:r w:rsidR="001901D6" w:rsidRPr="000B33B9">
        <w:rPr>
          <w:rFonts w:ascii="Verdana" w:hAnsi="Verdana"/>
          <w:sz w:val="20"/>
          <w:szCs w:val="20"/>
        </w:rPr>
        <w:t xml:space="preserve"> la</w:t>
      </w:r>
      <w:r w:rsidRPr="000B33B9">
        <w:rPr>
          <w:rFonts w:ascii="Verdana" w:hAnsi="Verdana"/>
          <w:sz w:val="20"/>
          <w:szCs w:val="20"/>
        </w:rPr>
        <w:t xml:space="preserve"> vida digna</w:t>
      </w:r>
      <w:r w:rsidR="009D502E" w:rsidRPr="000B33B9">
        <w:rPr>
          <w:rFonts w:ascii="Verdana" w:hAnsi="Verdana"/>
          <w:sz w:val="20"/>
          <w:szCs w:val="20"/>
        </w:rPr>
        <w:t xml:space="preserve"> </w:t>
      </w:r>
      <w:r w:rsidRPr="000B33B9">
        <w:rPr>
          <w:rFonts w:ascii="Verdana" w:hAnsi="Verdana"/>
          <w:sz w:val="20"/>
          <w:szCs w:val="20"/>
        </w:rPr>
        <w:t>y</w:t>
      </w:r>
      <w:r w:rsidR="001901D6" w:rsidRPr="000B33B9">
        <w:rPr>
          <w:rFonts w:ascii="Verdana" w:hAnsi="Verdana"/>
          <w:sz w:val="20"/>
          <w:szCs w:val="20"/>
        </w:rPr>
        <w:t xml:space="preserve"> la</w:t>
      </w:r>
      <w:r w:rsidRPr="000B33B9">
        <w:rPr>
          <w:rFonts w:ascii="Verdana" w:hAnsi="Verdana"/>
          <w:sz w:val="20"/>
          <w:szCs w:val="20"/>
        </w:rPr>
        <w:t xml:space="preserve"> propiedad, las cuales serán analizadas más adelante en </w:t>
      </w:r>
      <w:r w:rsidR="000853B4" w:rsidRPr="000B33B9">
        <w:rPr>
          <w:rFonts w:ascii="Verdana" w:hAnsi="Verdana"/>
          <w:sz w:val="20"/>
          <w:szCs w:val="20"/>
        </w:rPr>
        <w:t>el presente</w:t>
      </w:r>
      <w:r w:rsidRPr="000B33B9">
        <w:rPr>
          <w:rFonts w:ascii="Verdana" w:hAnsi="Verdana"/>
          <w:sz w:val="20"/>
          <w:szCs w:val="20"/>
        </w:rPr>
        <w:t xml:space="preserve"> capítulo.</w:t>
      </w:r>
    </w:p>
    <w:p w14:paraId="040321DB" w14:textId="77777777" w:rsidR="00CB7833" w:rsidRPr="000B33B9" w:rsidRDefault="00CB7833" w:rsidP="00D678D6">
      <w:pPr>
        <w:pStyle w:val="Prrafodelista"/>
        <w:spacing w:after="0" w:line="240" w:lineRule="auto"/>
        <w:ind w:left="0"/>
        <w:jc w:val="both"/>
        <w:rPr>
          <w:rFonts w:ascii="Verdana" w:hAnsi="Verdana" w:cs="Arial"/>
          <w:spacing w:val="-2"/>
          <w:sz w:val="20"/>
          <w:szCs w:val="20"/>
          <w:lang w:eastAsia="ja-JP"/>
        </w:rPr>
      </w:pPr>
    </w:p>
    <w:p w14:paraId="16A582D4" w14:textId="654FB174" w:rsidR="00CB7833" w:rsidRPr="000B33B9" w:rsidRDefault="00721095" w:rsidP="00FB4805">
      <w:pPr>
        <w:spacing w:after="0" w:line="240" w:lineRule="auto"/>
        <w:ind w:firstLine="720"/>
        <w:rPr>
          <w:rFonts w:ascii="Verdana" w:eastAsiaTheme="majorEastAsia" w:hAnsi="Verdana"/>
          <w:b/>
          <w:i/>
          <w:sz w:val="20"/>
          <w:szCs w:val="20"/>
        </w:rPr>
      </w:pPr>
      <w:bookmarkStart w:id="65" w:name="_Toc22568577"/>
      <w:r w:rsidRPr="000B33B9">
        <w:rPr>
          <w:rFonts w:ascii="Verdana" w:hAnsi="Verdana"/>
          <w:i/>
          <w:sz w:val="20"/>
          <w:szCs w:val="20"/>
        </w:rPr>
        <w:t>ii</w:t>
      </w:r>
      <w:r w:rsidR="00FB5780" w:rsidRPr="000B33B9">
        <w:rPr>
          <w:rFonts w:ascii="Verdana" w:hAnsi="Verdana"/>
          <w:i/>
          <w:sz w:val="20"/>
          <w:szCs w:val="20"/>
        </w:rPr>
        <w:t xml:space="preserve">) </w:t>
      </w:r>
      <w:bookmarkEnd w:id="65"/>
      <w:r w:rsidR="0022623B" w:rsidRPr="000B33B9">
        <w:rPr>
          <w:rFonts w:ascii="Verdana" w:hAnsi="Verdana"/>
          <w:i/>
          <w:sz w:val="20"/>
          <w:szCs w:val="20"/>
        </w:rPr>
        <w:t>Respecto a los beneficiarios de la sentencia</w:t>
      </w:r>
      <w:r w:rsidR="00D35009" w:rsidRPr="000B33B9">
        <w:rPr>
          <w:rFonts w:ascii="Verdana" w:hAnsi="Verdana"/>
          <w:i/>
          <w:sz w:val="20"/>
          <w:szCs w:val="20"/>
        </w:rPr>
        <w:t xml:space="preserve"> de 25 de octubre de 1993</w:t>
      </w:r>
    </w:p>
    <w:p w14:paraId="6698C931" w14:textId="77777777" w:rsidR="00CB7833" w:rsidRPr="000B33B9" w:rsidRDefault="00CB7833" w:rsidP="00FB4805">
      <w:pPr>
        <w:pStyle w:val="Prrafodelista"/>
        <w:spacing w:after="0" w:line="240" w:lineRule="auto"/>
        <w:ind w:left="0"/>
        <w:jc w:val="both"/>
        <w:rPr>
          <w:rFonts w:ascii="Verdana" w:hAnsi="Verdana"/>
          <w:i/>
          <w:sz w:val="20"/>
          <w:szCs w:val="20"/>
        </w:rPr>
      </w:pPr>
    </w:p>
    <w:p w14:paraId="42C4E822" w14:textId="3CBCC06C" w:rsidR="0022623B" w:rsidRPr="000B33B9" w:rsidRDefault="0022623B" w:rsidP="007B74B8">
      <w:pPr>
        <w:pStyle w:val="Prrafodelista"/>
        <w:numPr>
          <w:ilvl w:val="0"/>
          <w:numId w:val="10"/>
        </w:numPr>
        <w:spacing w:after="0" w:line="240" w:lineRule="auto"/>
        <w:ind w:left="0" w:firstLine="0"/>
        <w:jc w:val="both"/>
        <w:rPr>
          <w:rFonts w:ascii="Verdana" w:hAnsi="Verdana"/>
          <w:sz w:val="20"/>
          <w:szCs w:val="20"/>
        </w:rPr>
      </w:pPr>
      <w:r w:rsidRPr="000B33B9">
        <w:rPr>
          <w:rFonts w:ascii="Verdana" w:hAnsi="Verdana"/>
          <w:sz w:val="20"/>
          <w:szCs w:val="20"/>
        </w:rPr>
        <w:t>En este punto, el Tribunal considera pertinente pronunciarse sobre las personas que pueden ser consideradas como beneficiarias de la sentencia de 25 de octubre de 1993. En ese sentido, el Tribunal recuerda que la Comisión reiteró que desde la petición inicial se indicó como presuntas víctimas a 703 personas, sin perjuicio de los debates que en el proceso interno de ejecución de sentencias se han dado sobre la can</w:t>
      </w:r>
      <w:r w:rsidR="001901D6" w:rsidRPr="000B33B9">
        <w:rPr>
          <w:rFonts w:ascii="Verdana" w:hAnsi="Verdana"/>
          <w:sz w:val="20"/>
          <w:szCs w:val="20"/>
        </w:rPr>
        <w:t>tidad de personas beneficiarias</w:t>
      </w:r>
      <w:r w:rsidRPr="000B33B9">
        <w:rPr>
          <w:rFonts w:ascii="Verdana" w:hAnsi="Verdana"/>
          <w:sz w:val="20"/>
          <w:szCs w:val="20"/>
        </w:rPr>
        <w:t>. En el mismo sentido, los representantes manifestaron que “no puede caber duda que los beneficiarios de la Sentencia de la Corte Suprema no pueden ser otros ni menos que todos los miembros de la asociación a quienes se aplicó arbitrariamente la Tercera Disposición Transitoria del Decreto Legislativo No. 673, y que han sido debidamente acreditados razonablemente por la Comisió</w:t>
      </w:r>
      <w:r w:rsidR="001901D6" w:rsidRPr="000B33B9">
        <w:rPr>
          <w:rFonts w:ascii="Verdana" w:hAnsi="Verdana"/>
          <w:sz w:val="20"/>
          <w:szCs w:val="20"/>
        </w:rPr>
        <w:t>n en el número de 703 víctimas”</w:t>
      </w:r>
      <w:r w:rsidRPr="000B33B9">
        <w:rPr>
          <w:rFonts w:ascii="Verdana" w:hAnsi="Verdana"/>
          <w:sz w:val="20"/>
          <w:szCs w:val="20"/>
        </w:rPr>
        <w:t>. En cambio, el Estado alegó que las presuntas víctimas del caso deben ser aquellas que resultaron beneficiadas con la Sentencia de la Corte Suprema de fecha 25 de octubre de 1993, las cuales fueron determinadas mediante r</w:t>
      </w:r>
      <w:r w:rsidR="001901D6" w:rsidRPr="000B33B9">
        <w:rPr>
          <w:rFonts w:ascii="Verdana" w:hAnsi="Verdana"/>
          <w:sz w:val="20"/>
          <w:szCs w:val="20"/>
        </w:rPr>
        <w:t>esolución de 3 de junio de 2005</w:t>
      </w:r>
      <w:r w:rsidRPr="000B33B9">
        <w:rPr>
          <w:rFonts w:ascii="Verdana" w:hAnsi="Verdana"/>
          <w:sz w:val="20"/>
          <w:szCs w:val="20"/>
        </w:rPr>
        <w:t>.</w:t>
      </w:r>
    </w:p>
    <w:p w14:paraId="170A35B3" w14:textId="77777777" w:rsidR="0022623B" w:rsidRPr="000B33B9" w:rsidRDefault="0022623B" w:rsidP="0022623B">
      <w:pPr>
        <w:pStyle w:val="Prrafodelista"/>
        <w:spacing w:after="0" w:line="240" w:lineRule="auto"/>
        <w:ind w:left="0"/>
        <w:jc w:val="both"/>
        <w:rPr>
          <w:rFonts w:ascii="Verdana" w:hAnsi="Verdana"/>
          <w:sz w:val="20"/>
          <w:szCs w:val="20"/>
        </w:rPr>
      </w:pPr>
    </w:p>
    <w:p w14:paraId="7DBAC33B" w14:textId="2E8D1BEE" w:rsidR="0022623B" w:rsidRPr="000B33B9" w:rsidRDefault="0022623B" w:rsidP="007B74B8">
      <w:pPr>
        <w:pStyle w:val="Prrafodelista"/>
        <w:numPr>
          <w:ilvl w:val="0"/>
          <w:numId w:val="10"/>
        </w:numPr>
        <w:spacing w:after="0" w:line="240" w:lineRule="auto"/>
        <w:ind w:left="0" w:firstLine="0"/>
        <w:jc w:val="both"/>
        <w:rPr>
          <w:rFonts w:ascii="Verdana" w:hAnsi="Verdana"/>
          <w:sz w:val="20"/>
          <w:szCs w:val="20"/>
        </w:rPr>
      </w:pPr>
      <w:r w:rsidRPr="000B33B9">
        <w:rPr>
          <w:rFonts w:ascii="Verdana" w:hAnsi="Verdana"/>
          <w:sz w:val="20"/>
          <w:szCs w:val="20"/>
        </w:rPr>
        <w:t>En relación con lo anterior, la Corte recuerda que la sentencia de la Corte Suprema de 25 de octubre de 1993 declaró la inaplicabilidad de la Tercera Disposición Transitoria del Decreto 673 respecto a “</w:t>
      </w:r>
      <w:r w:rsidR="0039102C" w:rsidRPr="000B33B9">
        <w:rPr>
          <w:rFonts w:ascii="Verdana" w:hAnsi="Verdana"/>
          <w:sz w:val="20"/>
          <w:szCs w:val="20"/>
        </w:rPr>
        <w:t xml:space="preserve">(…) </w:t>
      </w:r>
      <w:r w:rsidRPr="000B33B9">
        <w:rPr>
          <w:rFonts w:ascii="Verdana" w:hAnsi="Verdana"/>
          <w:sz w:val="20"/>
          <w:szCs w:val="20"/>
        </w:rPr>
        <w:t>los ex servidores de la Superintendencia Nacional de Administración Tributaria miembros de la Asociación Actora con derecho”</w:t>
      </w:r>
      <w:r w:rsidRPr="000B33B9">
        <w:rPr>
          <w:rStyle w:val="Refdenotaalpie"/>
          <w:rFonts w:ascii="Verdana" w:hAnsi="Verdana"/>
          <w:sz w:val="20"/>
          <w:szCs w:val="20"/>
        </w:rPr>
        <w:footnoteReference w:id="173"/>
      </w:r>
      <w:r w:rsidRPr="000B33B9">
        <w:rPr>
          <w:rFonts w:ascii="Verdana" w:hAnsi="Verdana"/>
          <w:sz w:val="20"/>
          <w:szCs w:val="20"/>
        </w:rPr>
        <w:t xml:space="preserve">. Debido a que dicha sentencia no individualizó a las personas que para entonces eran integrantes de ANCEJUB-SUNAT, en representación de los cuales la referida asociación </w:t>
      </w:r>
      <w:r w:rsidR="00F82A54" w:rsidRPr="000B33B9">
        <w:rPr>
          <w:rFonts w:ascii="Verdana" w:hAnsi="Verdana"/>
          <w:sz w:val="20"/>
          <w:szCs w:val="20"/>
        </w:rPr>
        <w:t xml:space="preserve">presentó </w:t>
      </w:r>
      <w:r w:rsidRPr="000B33B9">
        <w:rPr>
          <w:rFonts w:ascii="Verdana" w:hAnsi="Verdana"/>
          <w:sz w:val="20"/>
          <w:szCs w:val="20"/>
        </w:rPr>
        <w:t>la acción de amparo</w:t>
      </w:r>
      <w:r w:rsidRPr="000B33B9">
        <w:rPr>
          <w:rStyle w:val="Refdenotaalpie"/>
          <w:rFonts w:ascii="Verdana" w:hAnsi="Verdana"/>
          <w:sz w:val="20"/>
          <w:szCs w:val="20"/>
        </w:rPr>
        <w:footnoteReference w:id="174"/>
      </w:r>
      <w:r w:rsidRPr="000B33B9">
        <w:rPr>
          <w:rFonts w:ascii="Verdana" w:hAnsi="Verdana"/>
          <w:sz w:val="20"/>
          <w:szCs w:val="20"/>
        </w:rPr>
        <w:t>, la determinación de los beneficiarios de la sentencia fue uno de los primeros inconvenientes suscitados durante el proceso de ejecución, constituyendo un punto controvertido que tuvo que ser resuelto judicialmente</w:t>
      </w:r>
      <w:r w:rsidR="0039102C" w:rsidRPr="000B33B9">
        <w:rPr>
          <w:rFonts w:ascii="Verdana" w:hAnsi="Verdana"/>
          <w:sz w:val="20"/>
          <w:szCs w:val="20"/>
        </w:rPr>
        <w:t xml:space="preserve"> a nivel interno</w:t>
      </w:r>
      <w:r w:rsidRPr="000B33B9">
        <w:rPr>
          <w:rFonts w:ascii="Verdana" w:hAnsi="Verdana"/>
          <w:sz w:val="20"/>
          <w:szCs w:val="20"/>
        </w:rPr>
        <w:t>.</w:t>
      </w:r>
    </w:p>
    <w:p w14:paraId="00E098E9" w14:textId="77777777" w:rsidR="0022623B" w:rsidRPr="000B33B9" w:rsidRDefault="0022623B" w:rsidP="0022623B">
      <w:pPr>
        <w:pStyle w:val="Prrafodelista"/>
        <w:rPr>
          <w:rFonts w:ascii="Verdana" w:hAnsi="Verdana"/>
          <w:sz w:val="20"/>
          <w:szCs w:val="20"/>
        </w:rPr>
      </w:pPr>
    </w:p>
    <w:p w14:paraId="4356DA77" w14:textId="16C3EEFF" w:rsidR="0022623B" w:rsidRPr="000B33B9" w:rsidRDefault="0022623B" w:rsidP="007B74B8">
      <w:pPr>
        <w:pStyle w:val="Prrafodelista"/>
        <w:numPr>
          <w:ilvl w:val="0"/>
          <w:numId w:val="10"/>
        </w:numPr>
        <w:spacing w:after="0" w:line="240" w:lineRule="auto"/>
        <w:ind w:left="0" w:firstLine="0"/>
        <w:jc w:val="both"/>
        <w:rPr>
          <w:rFonts w:ascii="Verdana" w:hAnsi="Verdana"/>
          <w:sz w:val="20"/>
          <w:szCs w:val="20"/>
        </w:rPr>
      </w:pPr>
      <w:r w:rsidRPr="000B33B9">
        <w:rPr>
          <w:rFonts w:ascii="Verdana" w:hAnsi="Verdana"/>
          <w:sz w:val="20"/>
          <w:szCs w:val="20"/>
        </w:rPr>
        <w:t>La Corte recuerda que una vez retomado el proceso de ejecución a partir de la sentencia de 10 de mayo de 2001</w:t>
      </w:r>
      <w:r w:rsidRPr="000B33B9">
        <w:rPr>
          <w:rStyle w:val="Refdenotaalpie"/>
          <w:rFonts w:ascii="Verdana" w:hAnsi="Verdana"/>
          <w:sz w:val="20"/>
          <w:szCs w:val="20"/>
        </w:rPr>
        <w:footnoteReference w:id="175"/>
      </w:r>
      <w:r w:rsidRPr="000B33B9">
        <w:rPr>
          <w:rFonts w:ascii="Verdana" w:hAnsi="Verdana"/>
          <w:sz w:val="20"/>
          <w:szCs w:val="20"/>
        </w:rPr>
        <w:t>, mediante resoluciones de fecha 11 de abril y 30 de mayo de 2002, el Sexagésimo Tercer Juzgado ordenó a la SUNAT el cumplimiento de la sentencia de 25 de octubre de 1993</w:t>
      </w:r>
      <w:r w:rsidRPr="000B33B9">
        <w:rPr>
          <w:rStyle w:val="Refdenotaalpie"/>
          <w:rFonts w:ascii="Verdana" w:hAnsi="Verdana"/>
          <w:sz w:val="20"/>
          <w:szCs w:val="20"/>
        </w:rPr>
        <w:footnoteReference w:id="176"/>
      </w:r>
      <w:r w:rsidRPr="000B33B9">
        <w:rPr>
          <w:rFonts w:ascii="Verdana" w:hAnsi="Verdana"/>
          <w:sz w:val="20"/>
          <w:szCs w:val="20"/>
        </w:rPr>
        <w:t xml:space="preserve"> y que, ante dicho requerimiento, la SUNAT informó que solo cumpliría “</w:t>
      </w:r>
      <w:r w:rsidR="0039102C" w:rsidRPr="000B33B9">
        <w:rPr>
          <w:rFonts w:ascii="Verdana" w:hAnsi="Verdana"/>
          <w:sz w:val="20"/>
          <w:szCs w:val="20"/>
        </w:rPr>
        <w:t xml:space="preserve">(…) </w:t>
      </w:r>
      <w:r w:rsidRPr="000B33B9">
        <w:rPr>
          <w:rFonts w:ascii="Verdana" w:hAnsi="Verdana"/>
          <w:sz w:val="20"/>
          <w:szCs w:val="20"/>
        </w:rPr>
        <w:t>respecto a las personas a quienes alcanza los efectos de la Ejecutoria Suprema (…), que no son otras que las 11 personas acreditadas como asociados de la ANCEJUB al momento de interponerse la demanda”</w:t>
      </w:r>
      <w:r w:rsidRPr="000B33B9">
        <w:rPr>
          <w:rStyle w:val="Refdenotaalpie"/>
          <w:rFonts w:ascii="Verdana" w:hAnsi="Verdana"/>
          <w:sz w:val="20"/>
          <w:szCs w:val="20"/>
        </w:rPr>
        <w:footnoteReference w:id="177"/>
      </w:r>
      <w:r w:rsidRPr="000B33B9">
        <w:rPr>
          <w:rFonts w:ascii="Verdana" w:hAnsi="Verdana"/>
          <w:sz w:val="20"/>
          <w:szCs w:val="20"/>
        </w:rPr>
        <w:t xml:space="preserve">. Como resultado de la objeción por parte de la SUNAT, a partir de 2002 los juzgados de ejecución tuvieron que ocuparse de determinar quiénes eran integrantes de ANCEJUB-SUNAT cuando se </w:t>
      </w:r>
      <w:r w:rsidR="00F82A54" w:rsidRPr="000B33B9">
        <w:rPr>
          <w:rFonts w:ascii="Verdana" w:hAnsi="Verdana"/>
          <w:sz w:val="20"/>
          <w:szCs w:val="20"/>
        </w:rPr>
        <w:t xml:space="preserve">presentó </w:t>
      </w:r>
      <w:r w:rsidRPr="000B33B9">
        <w:rPr>
          <w:rFonts w:ascii="Verdana" w:hAnsi="Verdana"/>
          <w:sz w:val="20"/>
          <w:szCs w:val="20"/>
        </w:rPr>
        <w:t>el amparo el 19 de diciembre de 1991 y, por ende, a cuáles personas abarcaban los efectos de la sentencia de 25 de octubre de 1993</w:t>
      </w:r>
      <w:r w:rsidRPr="000B33B9">
        <w:rPr>
          <w:rStyle w:val="Refdenotaalpie"/>
          <w:rFonts w:ascii="Verdana" w:hAnsi="Verdana"/>
          <w:sz w:val="20"/>
          <w:szCs w:val="20"/>
        </w:rPr>
        <w:footnoteReference w:id="178"/>
      </w:r>
      <w:r w:rsidRPr="000B33B9">
        <w:rPr>
          <w:rFonts w:ascii="Verdana" w:hAnsi="Verdana"/>
          <w:sz w:val="20"/>
          <w:szCs w:val="20"/>
        </w:rPr>
        <w:t xml:space="preserve">. </w:t>
      </w:r>
    </w:p>
    <w:p w14:paraId="7607ED6E" w14:textId="77777777" w:rsidR="0022623B" w:rsidRPr="000B33B9" w:rsidRDefault="0022623B" w:rsidP="0022623B">
      <w:pPr>
        <w:pStyle w:val="Prrafodelista"/>
        <w:rPr>
          <w:rFonts w:ascii="Verdana" w:hAnsi="Verdana"/>
          <w:sz w:val="20"/>
          <w:szCs w:val="20"/>
        </w:rPr>
      </w:pPr>
    </w:p>
    <w:p w14:paraId="292C9756" w14:textId="12E8ACDD" w:rsidR="0022623B" w:rsidRPr="000B33B9" w:rsidRDefault="0022623B" w:rsidP="007B74B8">
      <w:pPr>
        <w:pStyle w:val="Prrafodelista"/>
        <w:numPr>
          <w:ilvl w:val="0"/>
          <w:numId w:val="10"/>
        </w:numPr>
        <w:spacing w:after="0" w:line="240" w:lineRule="auto"/>
        <w:ind w:left="0" w:firstLine="0"/>
        <w:jc w:val="both"/>
        <w:rPr>
          <w:rFonts w:ascii="Verdana" w:hAnsi="Verdana"/>
          <w:sz w:val="20"/>
          <w:szCs w:val="20"/>
        </w:rPr>
      </w:pPr>
      <w:r w:rsidRPr="000B33B9">
        <w:rPr>
          <w:rFonts w:ascii="Verdana" w:hAnsi="Verdana"/>
          <w:sz w:val="20"/>
          <w:szCs w:val="20"/>
        </w:rPr>
        <w:t xml:space="preserve">La cuestión antes mencionada fue </w:t>
      </w:r>
      <w:r w:rsidR="00CF4411" w:rsidRPr="000B33B9">
        <w:rPr>
          <w:rFonts w:ascii="Verdana" w:hAnsi="Verdana"/>
          <w:sz w:val="20"/>
          <w:szCs w:val="20"/>
        </w:rPr>
        <w:t>abordada</w:t>
      </w:r>
      <w:r w:rsidRPr="000B33B9">
        <w:rPr>
          <w:rFonts w:ascii="Verdana" w:hAnsi="Verdana"/>
          <w:sz w:val="20"/>
          <w:szCs w:val="20"/>
        </w:rPr>
        <w:t xml:space="preserve"> </w:t>
      </w:r>
      <w:r w:rsidR="00CF4411" w:rsidRPr="000B33B9">
        <w:rPr>
          <w:rFonts w:ascii="Verdana" w:hAnsi="Verdana"/>
          <w:sz w:val="20"/>
          <w:szCs w:val="20"/>
        </w:rPr>
        <w:t xml:space="preserve">por la </w:t>
      </w:r>
      <w:r w:rsidRPr="000B33B9">
        <w:rPr>
          <w:rFonts w:ascii="Verdana" w:hAnsi="Verdana"/>
          <w:sz w:val="20"/>
          <w:szCs w:val="20"/>
        </w:rPr>
        <w:t xml:space="preserve">sentencia </w:t>
      </w:r>
      <w:r w:rsidR="0039102C" w:rsidRPr="000B33B9">
        <w:rPr>
          <w:rFonts w:ascii="Verdana" w:hAnsi="Verdana"/>
          <w:sz w:val="20"/>
          <w:szCs w:val="20"/>
        </w:rPr>
        <w:t>de</w:t>
      </w:r>
      <w:r w:rsidRPr="000B33B9">
        <w:rPr>
          <w:rFonts w:ascii="Verdana" w:hAnsi="Verdana"/>
          <w:sz w:val="20"/>
          <w:szCs w:val="20"/>
        </w:rPr>
        <w:t xml:space="preserve"> 3 de junio de 2005 </w:t>
      </w:r>
      <w:r w:rsidR="0039102C" w:rsidRPr="000B33B9">
        <w:rPr>
          <w:rFonts w:ascii="Verdana" w:hAnsi="Verdana"/>
          <w:sz w:val="20"/>
          <w:szCs w:val="20"/>
        </w:rPr>
        <w:t>de</w:t>
      </w:r>
      <w:r w:rsidRPr="000B33B9">
        <w:rPr>
          <w:rFonts w:ascii="Verdana" w:hAnsi="Verdana"/>
          <w:sz w:val="20"/>
          <w:szCs w:val="20"/>
        </w:rPr>
        <w:t xml:space="preserve"> la Sexta Sala Civil, </w:t>
      </w:r>
      <w:r w:rsidR="00CF4411" w:rsidRPr="000B33B9">
        <w:rPr>
          <w:rFonts w:ascii="Verdana" w:hAnsi="Verdana"/>
          <w:sz w:val="20"/>
          <w:szCs w:val="20"/>
        </w:rPr>
        <w:t>en la cual se</w:t>
      </w:r>
      <w:r w:rsidR="00336ED7" w:rsidRPr="000B33B9">
        <w:rPr>
          <w:rFonts w:ascii="Verdana" w:hAnsi="Verdana"/>
          <w:sz w:val="20"/>
          <w:szCs w:val="20"/>
        </w:rPr>
        <w:t xml:space="preserve"> </w:t>
      </w:r>
      <w:r w:rsidRPr="000B33B9">
        <w:rPr>
          <w:rFonts w:ascii="Verdana" w:hAnsi="Verdana"/>
          <w:sz w:val="20"/>
          <w:szCs w:val="20"/>
        </w:rPr>
        <w:t xml:space="preserve">reconoció como beneficiarios de la sentencia de 25 de octubre de 1993 a las personas que habían sido parte de ANCEJUB-SUNAT al momento de la interposición de la acción de amparo y, a tales efectos, identificó a </w:t>
      </w:r>
      <w:r w:rsidR="00C55B34">
        <w:rPr>
          <w:rFonts w:ascii="Verdana" w:hAnsi="Verdana"/>
          <w:sz w:val="20"/>
          <w:szCs w:val="20"/>
        </w:rPr>
        <w:t>603</w:t>
      </w:r>
      <w:r w:rsidRPr="000B33B9">
        <w:rPr>
          <w:rFonts w:ascii="Verdana" w:hAnsi="Verdana"/>
          <w:sz w:val="20"/>
          <w:szCs w:val="20"/>
        </w:rPr>
        <w:t xml:space="preserve"> personas, cuyos nombres consignó en un listado construido a partir del libro registro de asociados de ANCEJUB-SUNAT y una lista de descuentos de los cesantes de la SUNAT</w:t>
      </w:r>
      <w:r w:rsidRPr="000B33B9">
        <w:rPr>
          <w:rStyle w:val="Refdenotaalpie"/>
          <w:rFonts w:ascii="Verdana" w:hAnsi="Verdana"/>
          <w:sz w:val="20"/>
          <w:szCs w:val="20"/>
        </w:rPr>
        <w:footnoteReference w:id="179"/>
      </w:r>
      <w:r w:rsidRPr="000B33B9">
        <w:rPr>
          <w:rFonts w:ascii="Verdana" w:hAnsi="Verdana"/>
          <w:sz w:val="20"/>
          <w:szCs w:val="20"/>
        </w:rPr>
        <w:t xml:space="preserve">. En sus motivaciones, dicho tribunal sostuvo que “(…) Atendiendo a que la demanda fue presentada por la [ANCEJUB-SUNAT], en nombre y representación de sus miembros, sólo deben considerarse demandantes a quienes fueron asociados al tiempo que en que se entabló el proceso, esto al [30] de diciembre de [1991] en que se admitió a trámite la demanda (…), pues los demás que se incorporaron que se incorporaron en la persona jurídica con posterioridad a dicha fecha no fueron representados en el juicio por esta última y por lo tanto tampoco tienen la calidad de </w:t>
      </w:r>
      <w:r w:rsidR="001913D3">
        <w:rPr>
          <w:rFonts w:ascii="Verdana" w:hAnsi="Verdana"/>
          <w:sz w:val="20"/>
          <w:szCs w:val="20"/>
        </w:rPr>
        <w:t>d</w:t>
      </w:r>
      <w:r w:rsidR="000E1E9B">
        <w:rPr>
          <w:rFonts w:ascii="Verdana" w:hAnsi="Verdana"/>
          <w:sz w:val="20"/>
          <w:szCs w:val="20"/>
        </w:rPr>
        <w:t>emandantes</w:t>
      </w:r>
      <w:r w:rsidRPr="000B33B9">
        <w:rPr>
          <w:rFonts w:ascii="Verdana" w:hAnsi="Verdana"/>
          <w:sz w:val="20"/>
          <w:szCs w:val="20"/>
        </w:rPr>
        <w:t>”.</w:t>
      </w:r>
    </w:p>
    <w:p w14:paraId="2EB69A2E" w14:textId="77777777" w:rsidR="0022623B" w:rsidRPr="000B33B9" w:rsidRDefault="0022623B" w:rsidP="0022623B">
      <w:pPr>
        <w:pStyle w:val="Prrafodelista"/>
        <w:spacing w:after="0" w:line="240" w:lineRule="auto"/>
        <w:ind w:left="0"/>
        <w:jc w:val="both"/>
        <w:rPr>
          <w:rFonts w:ascii="Verdana" w:hAnsi="Verdana"/>
          <w:sz w:val="20"/>
          <w:szCs w:val="20"/>
        </w:rPr>
      </w:pPr>
    </w:p>
    <w:p w14:paraId="2E45ABAE" w14:textId="1783A1A0" w:rsidR="0022623B" w:rsidRPr="000B33B9" w:rsidRDefault="0022623B" w:rsidP="007B74B8">
      <w:pPr>
        <w:pStyle w:val="Prrafodelista"/>
        <w:numPr>
          <w:ilvl w:val="0"/>
          <w:numId w:val="10"/>
        </w:numPr>
        <w:spacing w:after="0" w:line="240" w:lineRule="auto"/>
        <w:ind w:left="0" w:firstLine="0"/>
        <w:jc w:val="both"/>
        <w:rPr>
          <w:rFonts w:ascii="Verdana" w:hAnsi="Verdana"/>
          <w:sz w:val="20"/>
          <w:szCs w:val="20"/>
        </w:rPr>
      </w:pPr>
      <w:r w:rsidRPr="000B33B9">
        <w:rPr>
          <w:rFonts w:ascii="Verdana" w:hAnsi="Verdana"/>
          <w:sz w:val="20"/>
          <w:szCs w:val="20"/>
        </w:rPr>
        <w:t xml:space="preserve">La Corte concuerda con la indicada resolución en el sentido de que si ANCEJUB-SUNAT actuaba en representación de sus miembros, resulta lógico que solo quienes poseían tal calidad al momento de interponerse el recurso de amparo en 1991 puedan ser considerados beneficiarios de la decisión que lo declaró procedente. </w:t>
      </w:r>
      <w:r w:rsidR="00320517" w:rsidRPr="000B33B9">
        <w:rPr>
          <w:rFonts w:ascii="Verdana" w:hAnsi="Verdana"/>
          <w:sz w:val="20"/>
          <w:szCs w:val="20"/>
        </w:rPr>
        <w:t>Asimismo, la Corte o</w:t>
      </w:r>
      <w:r w:rsidR="00C55B34">
        <w:rPr>
          <w:rFonts w:ascii="Verdana" w:hAnsi="Verdana"/>
          <w:sz w:val="20"/>
          <w:szCs w:val="20"/>
        </w:rPr>
        <w:t>bserva que, en adición a las 603</w:t>
      </w:r>
      <w:r w:rsidR="00320517" w:rsidRPr="000B33B9">
        <w:rPr>
          <w:rFonts w:ascii="Verdana" w:hAnsi="Verdana"/>
          <w:sz w:val="20"/>
          <w:szCs w:val="20"/>
        </w:rPr>
        <w:t xml:space="preserve"> personas identificadas en la resolución de 3 de junio de 2005, al aprobar el peritaje de 18 de octubre de 2011 y ordenar el pago de los reintegros allí consignados, el Tribunal Constitucional, mediante </w:t>
      </w:r>
      <w:r w:rsidR="001913D3">
        <w:rPr>
          <w:rFonts w:ascii="Verdana" w:hAnsi="Verdana"/>
          <w:sz w:val="20"/>
          <w:szCs w:val="20"/>
        </w:rPr>
        <w:t>resolución</w:t>
      </w:r>
      <w:r w:rsidR="00320517" w:rsidRPr="000B33B9">
        <w:rPr>
          <w:rFonts w:ascii="Verdana" w:hAnsi="Verdana"/>
          <w:sz w:val="20"/>
          <w:szCs w:val="20"/>
        </w:rPr>
        <w:t xml:space="preserve"> de 23 de abril de 2019</w:t>
      </w:r>
      <w:r w:rsidR="006C06C3" w:rsidRPr="000B33B9">
        <w:rPr>
          <w:rStyle w:val="Refdenotaalpie"/>
          <w:rFonts w:ascii="Verdana" w:hAnsi="Verdana"/>
          <w:sz w:val="20"/>
          <w:szCs w:val="20"/>
        </w:rPr>
        <w:footnoteReference w:id="180"/>
      </w:r>
      <w:r w:rsidR="00320517" w:rsidRPr="000B33B9">
        <w:rPr>
          <w:rFonts w:ascii="Verdana" w:hAnsi="Verdana"/>
          <w:sz w:val="20"/>
          <w:szCs w:val="20"/>
        </w:rPr>
        <w:t xml:space="preserve">, consideró como beneficiarias de la sentencia de 25 de octubre de 1993 a las personas listadas en los anexos del citado informe pericial. </w:t>
      </w:r>
      <w:r w:rsidRPr="000B33B9">
        <w:rPr>
          <w:rFonts w:ascii="Verdana" w:hAnsi="Verdana"/>
          <w:sz w:val="20"/>
          <w:szCs w:val="20"/>
        </w:rPr>
        <w:t>Dado que la Corte no tiene constancia</w:t>
      </w:r>
      <w:r w:rsidR="00320517" w:rsidRPr="000B33B9">
        <w:rPr>
          <w:rFonts w:ascii="Verdana" w:hAnsi="Verdana"/>
          <w:sz w:val="20"/>
          <w:szCs w:val="20"/>
        </w:rPr>
        <w:t xml:space="preserve"> de la revocación de </w:t>
      </w:r>
      <w:r w:rsidR="006C06C3" w:rsidRPr="000B33B9">
        <w:rPr>
          <w:rFonts w:ascii="Verdana" w:hAnsi="Verdana"/>
          <w:sz w:val="20"/>
          <w:szCs w:val="20"/>
        </w:rPr>
        <w:t>las referidas reso</w:t>
      </w:r>
      <w:r w:rsidR="004114DB" w:rsidRPr="000B33B9">
        <w:rPr>
          <w:rFonts w:ascii="Verdana" w:hAnsi="Verdana"/>
          <w:sz w:val="20"/>
          <w:szCs w:val="20"/>
        </w:rPr>
        <w:t>luciones</w:t>
      </w:r>
      <w:r w:rsidR="004F3B08" w:rsidRPr="000B33B9">
        <w:rPr>
          <w:rFonts w:ascii="Verdana" w:hAnsi="Verdana"/>
          <w:sz w:val="20"/>
          <w:szCs w:val="20"/>
        </w:rPr>
        <w:t>,</w:t>
      </w:r>
      <w:r w:rsidRPr="000B33B9">
        <w:rPr>
          <w:rFonts w:ascii="Verdana" w:hAnsi="Verdana"/>
          <w:sz w:val="20"/>
          <w:szCs w:val="20"/>
        </w:rPr>
        <w:t xml:space="preserve"> este Tribunal estima que la determinación de las personas a las cuales aplicaba lo ordenado por la sentencia de 25 de octubre de 1993 </w:t>
      </w:r>
      <w:r w:rsidR="006C06C3" w:rsidRPr="000B33B9">
        <w:rPr>
          <w:rFonts w:ascii="Verdana" w:hAnsi="Verdana"/>
          <w:sz w:val="20"/>
          <w:szCs w:val="20"/>
        </w:rPr>
        <w:t xml:space="preserve">fue </w:t>
      </w:r>
      <w:r w:rsidRPr="000B33B9">
        <w:rPr>
          <w:rFonts w:ascii="Verdana" w:hAnsi="Verdana"/>
          <w:sz w:val="20"/>
          <w:szCs w:val="20"/>
        </w:rPr>
        <w:t xml:space="preserve">resuelta </w:t>
      </w:r>
      <w:r w:rsidR="006C06C3" w:rsidRPr="000B33B9">
        <w:rPr>
          <w:rFonts w:ascii="Verdana" w:hAnsi="Verdana"/>
          <w:sz w:val="20"/>
          <w:szCs w:val="20"/>
        </w:rPr>
        <w:t xml:space="preserve">tanto por </w:t>
      </w:r>
      <w:r w:rsidRPr="000B33B9">
        <w:rPr>
          <w:rFonts w:ascii="Verdana" w:hAnsi="Verdana"/>
          <w:sz w:val="20"/>
          <w:szCs w:val="20"/>
        </w:rPr>
        <w:t>la sentencia de 3 de junio de 2005</w:t>
      </w:r>
      <w:r w:rsidR="006C06C3" w:rsidRPr="000B33B9">
        <w:rPr>
          <w:rFonts w:ascii="Verdana" w:hAnsi="Verdana"/>
          <w:sz w:val="20"/>
          <w:szCs w:val="20"/>
        </w:rPr>
        <w:t xml:space="preserve"> como por la de 23 de abril de 2019</w:t>
      </w:r>
      <w:r w:rsidR="003A3F6A" w:rsidRPr="000B33B9">
        <w:rPr>
          <w:rFonts w:ascii="Verdana" w:hAnsi="Verdana"/>
          <w:sz w:val="20"/>
          <w:szCs w:val="20"/>
        </w:rPr>
        <w:t>.</w:t>
      </w:r>
      <w:r w:rsidRPr="000B33B9">
        <w:rPr>
          <w:rFonts w:ascii="Verdana" w:hAnsi="Verdana"/>
          <w:sz w:val="20"/>
          <w:szCs w:val="20"/>
        </w:rPr>
        <w:t xml:space="preserve"> </w:t>
      </w:r>
    </w:p>
    <w:p w14:paraId="41D80B4D" w14:textId="77777777" w:rsidR="0022623B" w:rsidRPr="000B33B9" w:rsidRDefault="0022623B" w:rsidP="0022623B">
      <w:pPr>
        <w:pStyle w:val="Prrafodelista"/>
        <w:rPr>
          <w:rFonts w:ascii="Verdana" w:hAnsi="Verdana"/>
          <w:sz w:val="20"/>
          <w:szCs w:val="20"/>
        </w:rPr>
      </w:pPr>
    </w:p>
    <w:p w14:paraId="183661B1" w14:textId="7440841F" w:rsidR="0022623B" w:rsidRPr="000B33B9" w:rsidRDefault="0022623B" w:rsidP="007B74B8">
      <w:pPr>
        <w:pStyle w:val="Prrafodelista"/>
        <w:numPr>
          <w:ilvl w:val="0"/>
          <w:numId w:val="10"/>
        </w:numPr>
        <w:spacing w:after="0" w:line="240" w:lineRule="auto"/>
        <w:ind w:left="0" w:firstLine="0"/>
        <w:jc w:val="both"/>
        <w:rPr>
          <w:rFonts w:ascii="Verdana" w:hAnsi="Verdana"/>
          <w:sz w:val="20"/>
          <w:szCs w:val="20"/>
        </w:rPr>
      </w:pPr>
      <w:r w:rsidRPr="000B33B9">
        <w:rPr>
          <w:rFonts w:ascii="Verdana" w:hAnsi="Verdana"/>
          <w:sz w:val="20"/>
          <w:szCs w:val="20"/>
        </w:rPr>
        <w:t xml:space="preserve">En relación con lo anterior, la Corte recuerda que el objeto principal de la controversia en el presente caso consiste en determinar si el Estado es internacionalmente responsable por la inejecución de la sentencia judicial de la Corte Suprema de 25 de octubre de 1993 y sobre los efectos que esta sentencia pudo tener en otros derechos de las presuntas víctimas. En consecuencia, dado que solo han sido reconocidas como beneficiarias de la sentencia de 25 de octubre de 1993 las </w:t>
      </w:r>
      <w:r w:rsidR="000C0EDC">
        <w:rPr>
          <w:rFonts w:ascii="Verdana" w:hAnsi="Verdana"/>
          <w:sz w:val="20"/>
          <w:szCs w:val="20"/>
        </w:rPr>
        <w:t>603</w:t>
      </w:r>
      <w:r w:rsidR="006C06C3" w:rsidRPr="000B33B9">
        <w:rPr>
          <w:rFonts w:ascii="Verdana" w:hAnsi="Verdana"/>
          <w:sz w:val="20"/>
          <w:szCs w:val="20"/>
        </w:rPr>
        <w:t xml:space="preserve"> </w:t>
      </w:r>
      <w:r w:rsidRPr="000B33B9">
        <w:rPr>
          <w:rFonts w:ascii="Verdana" w:hAnsi="Verdana"/>
          <w:sz w:val="20"/>
          <w:szCs w:val="20"/>
        </w:rPr>
        <w:t>personas identificadas</w:t>
      </w:r>
      <w:r w:rsidR="006C06C3" w:rsidRPr="000B33B9">
        <w:rPr>
          <w:rFonts w:ascii="Verdana" w:hAnsi="Verdana"/>
          <w:sz w:val="20"/>
          <w:szCs w:val="20"/>
        </w:rPr>
        <w:t xml:space="preserve"> ya sea en</w:t>
      </w:r>
      <w:r w:rsidRPr="000B33B9">
        <w:rPr>
          <w:rFonts w:ascii="Verdana" w:hAnsi="Verdana"/>
          <w:sz w:val="20"/>
          <w:szCs w:val="20"/>
        </w:rPr>
        <w:t xml:space="preserve"> la resolución de 3 de junio de 2005</w:t>
      </w:r>
      <w:r w:rsidR="006C06C3" w:rsidRPr="000B33B9">
        <w:rPr>
          <w:rFonts w:ascii="Verdana" w:hAnsi="Verdana"/>
          <w:sz w:val="20"/>
          <w:szCs w:val="20"/>
        </w:rPr>
        <w:t xml:space="preserve"> o en el peritaje aprobado por la </w:t>
      </w:r>
      <w:r w:rsidR="001913D3">
        <w:rPr>
          <w:rFonts w:ascii="Verdana" w:hAnsi="Verdana"/>
          <w:sz w:val="20"/>
          <w:szCs w:val="20"/>
        </w:rPr>
        <w:t>resolución</w:t>
      </w:r>
      <w:r w:rsidR="006C06C3" w:rsidRPr="000B33B9">
        <w:rPr>
          <w:rFonts w:ascii="Verdana" w:hAnsi="Verdana"/>
          <w:sz w:val="20"/>
          <w:szCs w:val="20"/>
        </w:rPr>
        <w:t xml:space="preserve"> de 23 de abril de 2019</w:t>
      </w:r>
      <w:r w:rsidRPr="000B33B9">
        <w:rPr>
          <w:rFonts w:ascii="Verdana" w:hAnsi="Verdana"/>
          <w:sz w:val="20"/>
          <w:szCs w:val="20"/>
        </w:rPr>
        <w:t>, el Tribunal considera que estas son las únicas personas que pueden ser consideradas como presuntas víctimas de las vulneraciones alegadas en este caso</w:t>
      </w:r>
      <w:r w:rsidR="00070F24" w:rsidRPr="000B33B9">
        <w:rPr>
          <w:rFonts w:ascii="Verdana" w:hAnsi="Verdana"/>
          <w:sz w:val="20"/>
          <w:szCs w:val="20"/>
        </w:rPr>
        <w:t xml:space="preserve">, </w:t>
      </w:r>
      <w:r w:rsidR="00283EBD" w:rsidRPr="000B33B9">
        <w:rPr>
          <w:rFonts w:ascii="Verdana" w:hAnsi="Verdana"/>
          <w:sz w:val="20"/>
          <w:szCs w:val="20"/>
        </w:rPr>
        <w:t>siempre que se encuentren contempladas en el “Anexo único” de la Comisión en su Informe de Fondo</w:t>
      </w:r>
      <w:r w:rsidR="00283EBD" w:rsidRPr="000B33B9">
        <w:rPr>
          <w:rStyle w:val="Refdenotaalpie"/>
          <w:rFonts w:ascii="Verdana" w:hAnsi="Verdana"/>
          <w:sz w:val="20"/>
          <w:szCs w:val="20"/>
        </w:rPr>
        <w:footnoteReference w:id="181"/>
      </w:r>
      <w:r w:rsidRPr="000B33B9">
        <w:rPr>
          <w:rFonts w:ascii="Verdana" w:hAnsi="Verdana"/>
          <w:sz w:val="20"/>
          <w:szCs w:val="20"/>
        </w:rPr>
        <w:t>. Por la misma razón, el señor Ipanaqué tampoco podrá ser considerado como presunta víctima en el presente caso a pesar de haber sido considerado como tal por la Comisión en su Informe de Fondo.</w:t>
      </w:r>
    </w:p>
    <w:p w14:paraId="794E792C" w14:textId="77777777" w:rsidR="0022623B" w:rsidRPr="000B33B9" w:rsidRDefault="0022623B" w:rsidP="0022623B">
      <w:pPr>
        <w:pStyle w:val="Prrafodelista"/>
        <w:rPr>
          <w:rFonts w:ascii="Verdana" w:hAnsi="Verdana"/>
          <w:sz w:val="20"/>
          <w:szCs w:val="20"/>
        </w:rPr>
      </w:pPr>
    </w:p>
    <w:p w14:paraId="1128AD72" w14:textId="6BC2F270" w:rsidR="00CB7833" w:rsidRPr="000B33B9" w:rsidRDefault="0022623B" w:rsidP="007B74B8">
      <w:pPr>
        <w:pStyle w:val="Prrafodelista"/>
        <w:numPr>
          <w:ilvl w:val="0"/>
          <w:numId w:val="10"/>
        </w:numPr>
        <w:spacing w:after="0" w:line="240" w:lineRule="auto"/>
        <w:ind w:left="0" w:firstLine="0"/>
        <w:jc w:val="both"/>
        <w:rPr>
          <w:rFonts w:ascii="Verdana" w:hAnsi="Verdana"/>
          <w:sz w:val="20"/>
          <w:szCs w:val="20"/>
        </w:rPr>
      </w:pPr>
      <w:r w:rsidRPr="000B33B9">
        <w:rPr>
          <w:rFonts w:ascii="Verdana" w:hAnsi="Verdana"/>
          <w:sz w:val="20"/>
          <w:szCs w:val="20"/>
        </w:rPr>
        <w:t xml:space="preserve">En razón de lo anterior, corresponde a la Corte determinar si el Estado ha ejecutado la sentencia de 25 de octubre de 1993 de conformidad con el alcance definido por el Tribunal Constitucional en la sentencia de 9 de agosto de 2011, y a favor de las </w:t>
      </w:r>
      <w:r w:rsidR="000C0EDC">
        <w:rPr>
          <w:rFonts w:ascii="Verdana" w:hAnsi="Verdana"/>
          <w:sz w:val="20"/>
          <w:szCs w:val="20"/>
        </w:rPr>
        <w:t>597</w:t>
      </w:r>
      <w:r w:rsidR="006C06C3" w:rsidRPr="000B33B9">
        <w:rPr>
          <w:rFonts w:ascii="Verdana" w:hAnsi="Verdana"/>
          <w:sz w:val="20"/>
          <w:szCs w:val="20"/>
        </w:rPr>
        <w:t xml:space="preserve"> </w:t>
      </w:r>
      <w:r w:rsidRPr="000B33B9">
        <w:rPr>
          <w:rFonts w:ascii="Verdana" w:hAnsi="Verdana"/>
          <w:sz w:val="20"/>
          <w:szCs w:val="20"/>
        </w:rPr>
        <w:t>personas</w:t>
      </w:r>
      <w:r w:rsidR="00551F35" w:rsidRPr="000B33B9">
        <w:rPr>
          <w:rFonts w:ascii="Verdana" w:hAnsi="Verdana"/>
          <w:sz w:val="20"/>
          <w:szCs w:val="20"/>
        </w:rPr>
        <w:t xml:space="preserve"> que, habiendo sido</w:t>
      </w:r>
      <w:r w:rsidRPr="000B33B9">
        <w:rPr>
          <w:rFonts w:ascii="Verdana" w:hAnsi="Verdana"/>
          <w:sz w:val="20"/>
          <w:szCs w:val="20"/>
        </w:rPr>
        <w:t xml:space="preserve"> individualizadas en la sentencia de 3 de junio de 2005</w:t>
      </w:r>
      <w:r w:rsidR="006C06C3" w:rsidRPr="000B33B9">
        <w:rPr>
          <w:rFonts w:ascii="Verdana" w:hAnsi="Verdana"/>
          <w:sz w:val="20"/>
          <w:szCs w:val="20"/>
        </w:rPr>
        <w:t xml:space="preserve"> o en el peritaje de 18 de octubre de 2011, aprobado por la </w:t>
      </w:r>
      <w:r w:rsidR="001913D3">
        <w:rPr>
          <w:rFonts w:ascii="Verdana" w:hAnsi="Verdana"/>
          <w:sz w:val="20"/>
          <w:szCs w:val="20"/>
        </w:rPr>
        <w:t>resolución</w:t>
      </w:r>
      <w:r w:rsidR="006C06C3" w:rsidRPr="000B33B9">
        <w:rPr>
          <w:rFonts w:ascii="Verdana" w:hAnsi="Verdana"/>
          <w:sz w:val="20"/>
          <w:szCs w:val="20"/>
        </w:rPr>
        <w:t xml:space="preserve"> de 23 de abril de 2019</w:t>
      </w:r>
      <w:r w:rsidR="00551F35" w:rsidRPr="000B33B9">
        <w:rPr>
          <w:rFonts w:ascii="Verdana" w:hAnsi="Verdana"/>
          <w:sz w:val="20"/>
          <w:szCs w:val="20"/>
        </w:rPr>
        <w:t xml:space="preserve">, figuran </w:t>
      </w:r>
      <w:r w:rsidR="00421CB6" w:rsidRPr="000B33B9">
        <w:rPr>
          <w:rFonts w:ascii="Verdana" w:hAnsi="Verdana"/>
          <w:sz w:val="20"/>
          <w:szCs w:val="20"/>
        </w:rPr>
        <w:t xml:space="preserve">como presuntas víctimas </w:t>
      </w:r>
      <w:r w:rsidR="00551F35" w:rsidRPr="000B33B9">
        <w:rPr>
          <w:rFonts w:ascii="Verdana" w:hAnsi="Verdana"/>
          <w:sz w:val="20"/>
          <w:szCs w:val="20"/>
        </w:rPr>
        <w:t>en el Informe de Fondo de la Comisión</w:t>
      </w:r>
      <w:r w:rsidRPr="000B33B9">
        <w:rPr>
          <w:rFonts w:ascii="Verdana" w:hAnsi="Verdana"/>
          <w:sz w:val="20"/>
          <w:szCs w:val="20"/>
        </w:rPr>
        <w:t>.</w:t>
      </w:r>
      <w:r w:rsidR="00CB7833" w:rsidRPr="000B33B9">
        <w:rPr>
          <w:rFonts w:ascii="Verdana" w:hAnsi="Verdana"/>
          <w:sz w:val="20"/>
          <w:szCs w:val="20"/>
        </w:rPr>
        <w:t xml:space="preserve"> </w:t>
      </w:r>
    </w:p>
    <w:p w14:paraId="5750BECF" w14:textId="77777777" w:rsidR="00CB7833" w:rsidRPr="000B33B9" w:rsidRDefault="00CB7833" w:rsidP="00CB7833">
      <w:pPr>
        <w:pStyle w:val="Prrafodelista"/>
        <w:spacing w:after="0" w:line="240" w:lineRule="auto"/>
        <w:jc w:val="both"/>
        <w:rPr>
          <w:rFonts w:ascii="Verdana" w:hAnsi="Verdana" w:cs="Arial"/>
          <w:spacing w:val="-2"/>
          <w:sz w:val="20"/>
          <w:szCs w:val="20"/>
          <w:lang w:eastAsia="ja-JP"/>
        </w:rPr>
      </w:pPr>
    </w:p>
    <w:p w14:paraId="6D291BA5" w14:textId="60F4AE5C" w:rsidR="00BD156F" w:rsidRPr="000B33B9" w:rsidRDefault="00BD156F" w:rsidP="008F68AE">
      <w:pPr>
        <w:pStyle w:val="Ttulo4"/>
        <w:numPr>
          <w:ilvl w:val="0"/>
          <w:numId w:val="0"/>
        </w:numPr>
        <w:ind w:left="1068"/>
        <w:rPr>
          <w:lang w:eastAsia="ja-JP"/>
        </w:rPr>
      </w:pPr>
      <w:bookmarkStart w:id="66" w:name="_Toc27329769"/>
      <w:r w:rsidRPr="000B33B9">
        <w:t>A.2.</w:t>
      </w:r>
      <w:r w:rsidR="000D5FA5" w:rsidRPr="000B33B9">
        <w:t>2</w:t>
      </w:r>
      <w:r w:rsidRPr="000B33B9">
        <w:t xml:space="preserve">. </w:t>
      </w:r>
      <w:r w:rsidRPr="000B33B9">
        <w:rPr>
          <w:lang w:eastAsia="ja-JP"/>
        </w:rPr>
        <w:t xml:space="preserve">La </w:t>
      </w:r>
      <w:r w:rsidR="00D35009" w:rsidRPr="000B33B9">
        <w:rPr>
          <w:lang w:eastAsia="ja-JP"/>
        </w:rPr>
        <w:t>in</w:t>
      </w:r>
      <w:r w:rsidR="00025674" w:rsidRPr="000B33B9">
        <w:rPr>
          <w:lang w:eastAsia="ja-JP"/>
        </w:rPr>
        <w:t>ejecu</w:t>
      </w:r>
      <w:r w:rsidR="00E82025" w:rsidRPr="000B33B9">
        <w:rPr>
          <w:lang w:eastAsia="ja-JP"/>
        </w:rPr>
        <w:t>ci</w:t>
      </w:r>
      <w:r w:rsidR="00025674" w:rsidRPr="000B33B9">
        <w:rPr>
          <w:lang w:eastAsia="ja-JP"/>
        </w:rPr>
        <w:t>ón</w:t>
      </w:r>
      <w:r w:rsidRPr="000B33B9">
        <w:rPr>
          <w:lang w:eastAsia="ja-JP"/>
        </w:rPr>
        <w:t xml:space="preserve"> del pago de los reintegros por concepto de la nivelación de las pensiones</w:t>
      </w:r>
      <w:bookmarkEnd w:id="66"/>
    </w:p>
    <w:p w14:paraId="5D167835" w14:textId="77777777" w:rsidR="00BD156F" w:rsidRPr="000B33B9" w:rsidRDefault="00BD156F" w:rsidP="00BD156F">
      <w:pPr>
        <w:pStyle w:val="Prrafodelista"/>
        <w:jc w:val="both"/>
        <w:rPr>
          <w:rFonts w:ascii="Verdana" w:hAnsi="Verdana" w:cs="Arial"/>
          <w:i/>
          <w:spacing w:val="-2"/>
          <w:sz w:val="20"/>
          <w:szCs w:val="20"/>
          <w:u w:val="single"/>
          <w:lang w:eastAsia="ja-JP"/>
        </w:rPr>
      </w:pPr>
    </w:p>
    <w:p w14:paraId="420E7F6B" w14:textId="69122D01" w:rsidR="00BD156F" w:rsidRPr="000B33B9" w:rsidRDefault="00BD156F" w:rsidP="009B2521">
      <w:pPr>
        <w:pStyle w:val="Prrafodelista"/>
        <w:numPr>
          <w:ilvl w:val="0"/>
          <w:numId w:val="10"/>
        </w:numPr>
        <w:spacing w:after="0" w:line="240" w:lineRule="auto"/>
        <w:ind w:left="0" w:firstLine="0"/>
        <w:jc w:val="both"/>
        <w:rPr>
          <w:rFonts w:ascii="Verdana" w:hAnsi="Verdana"/>
          <w:sz w:val="20"/>
          <w:szCs w:val="20"/>
        </w:rPr>
      </w:pPr>
      <w:r w:rsidRPr="000B33B9">
        <w:rPr>
          <w:rFonts w:ascii="Verdana" w:hAnsi="Verdana"/>
          <w:spacing w:val="-2"/>
          <w:sz w:val="20"/>
          <w:szCs w:val="20"/>
        </w:rPr>
        <w:t xml:space="preserve">La Corte recuerda que el aspecto sustancial que debía determinar el proceso de ejecución de la sentencia de 25 de octubre de 1993 era el cálculo </w:t>
      </w:r>
      <w:r w:rsidRPr="000B33B9">
        <w:rPr>
          <w:rFonts w:ascii="Verdana" w:hAnsi="Verdana"/>
          <w:sz w:val="20"/>
          <w:szCs w:val="20"/>
        </w:rPr>
        <w:t xml:space="preserve">de </w:t>
      </w:r>
      <w:r w:rsidRPr="000B33B9">
        <w:rPr>
          <w:rFonts w:ascii="Verdana" w:hAnsi="Verdana"/>
          <w:spacing w:val="-2"/>
          <w:sz w:val="20"/>
          <w:szCs w:val="20"/>
        </w:rPr>
        <w:t xml:space="preserve">los montos que debían ser pagados a las presuntas víctimas por concepto reintegros de pensiones niveladas que fueron no percibidos durante </w:t>
      </w:r>
      <w:r w:rsidR="00D615D4" w:rsidRPr="000B33B9">
        <w:rPr>
          <w:rFonts w:ascii="Verdana" w:hAnsi="Verdana"/>
          <w:spacing w:val="-2"/>
          <w:sz w:val="20"/>
          <w:szCs w:val="20"/>
        </w:rPr>
        <w:t xml:space="preserve">el periodo de aplicación de la Tercera Disposición Transitoria del Decreto 673. </w:t>
      </w:r>
      <w:r w:rsidRPr="000B33B9">
        <w:rPr>
          <w:rFonts w:ascii="Verdana" w:hAnsi="Verdana"/>
          <w:sz w:val="20"/>
          <w:szCs w:val="20"/>
          <w:lang w:val="es-ES"/>
        </w:rPr>
        <w:t xml:space="preserve">Del contenido de la referida sentencia, la resolución de 9 de agosto de 2011 y la Ley 23495 sobre la </w:t>
      </w:r>
      <w:r w:rsidR="00D615D4" w:rsidRPr="000B33B9">
        <w:rPr>
          <w:rFonts w:ascii="Verdana" w:hAnsi="Verdana"/>
          <w:sz w:val="20"/>
          <w:szCs w:val="20"/>
          <w:lang w:val="es-ES"/>
        </w:rPr>
        <w:t>nivelación</w:t>
      </w:r>
      <w:r w:rsidRPr="000B33B9">
        <w:rPr>
          <w:rFonts w:ascii="Verdana" w:hAnsi="Verdana"/>
          <w:sz w:val="20"/>
          <w:szCs w:val="20"/>
          <w:lang w:val="es-ES"/>
        </w:rPr>
        <w:t xml:space="preserve"> progresiva de las pensiones de los cesantes y jubilados de la </w:t>
      </w:r>
      <w:r w:rsidR="00D615D4" w:rsidRPr="000B33B9">
        <w:rPr>
          <w:rFonts w:ascii="Verdana" w:hAnsi="Verdana"/>
          <w:sz w:val="20"/>
          <w:szCs w:val="20"/>
          <w:lang w:val="es-ES"/>
        </w:rPr>
        <w:t>Administración</w:t>
      </w:r>
      <w:r w:rsidRPr="000B33B9">
        <w:rPr>
          <w:rFonts w:ascii="Verdana" w:hAnsi="Verdana"/>
          <w:sz w:val="20"/>
          <w:szCs w:val="20"/>
          <w:lang w:val="es-ES"/>
        </w:rPr>
        <w:t xml:space="preserve"> Pública</w:t>
      </w:r>
      <w:r w:rsidRPr="000B33B9">
        <w:rPr>
          <w:rStyle w:val="Refdenotaalpie"/>
          <w:rFonts w:ascii="Verdana" w:hAnsi="Verdana"/>
          <w:sz w:val="20"/>
          <w:szCs w:val="20"/>
          <w:lang w:val="es-ES"/>
        </w:rPr>
        <w:footnoteReference w:id="182"/>
      </w:r>
      <w:r w:rsidRPr="000B33B9">
        <w:rPr>
          <w:rFonts w:ascii="Verdana" w:hAnsi="Verdana"/>
          <w:sz w:val="20"/>
          <w:szCs w:val="20"/>
          <w:lang w:val="es-ES"/>
        </w:rPr>
        <w:t xml:space="preserve">, la Corte advierte que tales reintegros consisten en la diferencia entre los montos de las pensiones recibidas por las víctimas mientras se mantuvo vigente la tercera disposición transitoria del Decreto 673 </w:t>
      </w:r>
      <w:r w:rsidR="00492FA2" w:rsidRPr="000B33B9">
        <w:rPr>
          <w:rFonts w:ascii="Verdana" w:hAnsi="Verdana"/>
          <w:sz w:val="20"/>
          <w:szCs w:val="20"/>
          <w:lang w:val="es-ES"/>
        </w:rPr>
        <w:t xml:space="preserve">y hasta que entró en vigor la reforma constitucional promovida por la Ley </w:t>
      </w:r>
      <w:r w:rsidR="00492FA2" w:rsidRPr="000B33B9">
        <w:rPr>
          <w:rFonts w:ascii="Verdana" w:hAnsi="Verdana"/>
          <w:sz w:val="20"/>
          <w:szCs w:val="20"/>
        </w:rPr>
        <w:t xml:space="preserve">28389, </w:t>
      </w:r>
      <w:r w:rsidRPr="000B33B9">
        <w:rPr>
          <w:rFonts w:ascii="Verdana" w:hAnsi="Verdana"/>
          <w:sz w:val="20"/>
          <w:szCs w:val="20"/>
          <w:lang w:val="es-ES"/>
        </w:rPr>
        <w:t xml:space="preserve">y los correspondientes a las remuneraciones percibidas en dicho periodo por los servidores activos de la SUNAT sujetos al régimen laboral del Decreto 276, que ocuparan un cargo igual o similar al que desempeñaban las víctimas al momento del cese, sin incluir los conceptos considerados como no pensionables por el artículo 3, inciso c, del Decreto 673. En otras palabras, los reintegros son el aumento que debió haberse registrado en las pensiones de las </w:t>
      </w:r>
      <w:r w:rsidR="0039102C" w:rsidRPr="000B33B9">
        <w:rPr>
          <w:rFonts w:ascii="Verdana" w:hAnsi="Verdana"/>
          <w:sz w:val="20"/>
          <w:szCs w:val="20"/>
          <w:lang w:val="es-ES"/>
        </w:rPr>
        <w:t xml:space="preserve">presuntas </w:t>
      </w:r>
      <w:r w:rsidRPr="000B33B9">
        <w:rPr>
          <w:rFonts w:ascii="Verdana" w:hAnsi="Verdana"/>
          <w:sz w:val="20"/>
          <w:szCs w:val="20"/>
          <w:lang w:val="es-ES"/>
        </w:rPr>
        <w:t xml:space="preserve">víctimas si, durante la aplicación de la </w:t>
      </w:r>
      <w:r w:rsidR="0039102C" w:rsidRPr="000B33B9">
        <w:rPr>
          <w:rFonts w:ascii="Verdana" w:hAnsi="Verdana"/>
          <w:sz w:val="20"/>
          <w:szCs w:val="20"/>
          <w:lang w:val="es-ES"/>
        </w:rPr>
        <w:t>T</w:t>
      </w:r>
      <w:r w:rsidRPr="000B33B9">
        <w:rPr>
          <w:rFonts w:ascii="Verdana" w:hAnsi="Verdana"/>
          <w:sz w:val="20"/>
          <w:szCs w:val="20"/>
          <w:lang w:val="es-ES"/>
        </w:rPr>
        <w:t xml:space="preserve">ercera </w:t>
      </w:r>
      <w:r w:rsidR="0039102C" w:rsidRPr="000B33B9">
        <w:rPr>
          <w:rFonts w:ascii="Verdana" w:hAnsi="Verdana"/>
          <w:sz w:val="20"/>
          <w:szCs w:val="20"/>
          <w:lang w:val="es-ES"/>
        </w:rPr>
        <w:t>D</w:t>
      </w:r>
      <w:r w:rsidRPr="000B33B9">
        <w:rPr>
          <w:rFonts w:ascii="Verdana" w:hAnsi="Verdana"/>
          <w:sz w:val="20"/>
          <w:szCs w:val="20"/>
          <w:lang w:val="es-ES"/>
        </w:rPr>
        <w:t xml:space="preserve">isposición </w:t>
      </w:r>
      <w:r w:rsidR="0039102C" w:rsidRPr="000B33B9">
        <w:rPr>
          <w:rFonts w:ascii="Verdana" w:hAnsi="Verdana"/>
          <w:sz w:val="20"/>
          <w:szCs w:val="20"/>
          <w:lang w:val="es-ES"/>
        </w:rPr>
        <w:t>T</w:t>
      </w:r>
      <w:r w:rsidRPr="000B33B9">
        <w:rPr>
          <w:rFonts w:ascii="Verdana" w:hAnsi="Verdana"/>
          <w:sz w:val="20"/>
          <w:szCs w:val="20"/>
          <w:lang w:val="es-ES"/>
        </w:rPr>
        <w:t>ransitoria del Decreto 673, estas hubieran sido equiparadas a los incrementos progresivos en la remuneración que recibían los trabajadores de la SUNAT comprendidos en el ré</w:t>
      </w:r>
      <w:r w:rsidR="00D615D4" w:rsidRPr="000B33B9">
        <w:rPr>
          <w:rFonts w:ascii="Verdana" w:hAnsi="Verdana"/>
          <w:sz w:val="20"/>
          <w:szCs w:val="20"/>
          <w:lang w:val="es-ES"/>
        </w:rPr>
        <w:t>gimen laboral del Decreto 276.</w:t>
      </w:r>
    </w:p>
    <w:p w14:paraId="413AF081" w14:textId="77777777" w:rsidR="00BD156F" w:rsidRPr="000B33B9" w:rsidRDefault="00BD156F" w:rsidP="009B2521">
      <w:pPr>
        <w:pStyle w:val="Prrafodelista"/>
        <w:spacing w:after="0" w:line="240" w:lineRule="auto"/>
        <w:ind w:left="0"/>
        <w:jc w:val="both"/>
        <w:rPr>
          <w:rFonts w:ascii="Verdana" w:hAnsi="Verdana"/>
          <w:sz w:val="20"/>
          <w:szCs w:val="20"/>
        </w:rPr>
      </w:pPr>
    </w:p>
    <w:p w14:paraId="0D296D64" w14:textId="2490327B" w:rsidR="00BD156F" w:rsidRPr="000B33B9" w:rsidRDefault="00BD156F" w:rsidP="009B2521">
      <w:pPr>
        <w:pStyle w:val="Prrafodelista"/>
        <w:numPr>
          <w:ilvl w:val="0"/>
          <w:numId w:val="10"/>
        </w:numPr>
        <w:tabs>
          <w:tab w:val="left" w:pos="709"/>
        </w:tabs>
        <w:spacing w:after="0" w:line="240" w:lineRule="auto"/>
        <w:ind w:left="0" w:firstLine="0"/>
        <w:jc w:val="both"/>
        <w:rPr>
          <w:rFonts w:ascii="Verdana" w:hAnsi="Verdana"/>
          <w:spacing w:val="-2"/>
          <w:sz w:val="20"/>
          <w:szCs w:val="20"/>
        </w:rPr>
      </w:pPr>
      <w:r w:rsidRPr="000B33B9">
        <w:rPr>
          <w:rFonts w:ascii="Verdana" w:hAnsi="Verdana"/>
          <w:sz w:val="20"/>
          <w:szCs w:val="20"/>
          <w:lang w:val="es-ES"/>
        </w:rPr>
        <w:t xml:space="preserve">La </w:t>
      </w:r>
      <w:r w:rsidRPr="000B33B9">
        <w:rPr>
          <w:rFonts w:ascii="Verdana" w:hAnsi="Verdana"/>
          <w:sz w:val="20"/>
          <w:szCs w:val="20"/>
        </w:rPr>
        <w:t>Corte reitera que, como la sentencia de 25 de octubre de 1993 dispuso de manera general el reintegro de dicha diferencia sin fijar la suma a la que ascend</w:t>
      </w:r>
      <w:r w:rsidR="0039102C" w:rsidRPr="000B33B9">
        <w:rPr>
          <w:rFonts w:ascii="Verdana" w:hAnsi="Verdana"/>
          <w:sz w:val="20"/>
          <w:szCs w:val="20"/>
        </w:rPr>
        <w:t>ía respecto a cada cesante, era</w:t>
      </w:r>
      <w:r w:rsidRPr="000B33B9">
        <w:rPr>
          <w:rFonts w:ascii="Verdana" w:hAnsi="Verdana"/>
          <w:sz w:val="20"/>
          <w:szCs w:val="20"/>
        </w:rPr>
        <w:t xml:space="preserve"> necesario determinar mediante prueba pericial la cuantía de los aumentos que debieron operar respecto a las pensiones de las </w:t>
      </w:r>
      <w:r w:rsidR="0039102C" w:rsidRPr="000B33B9">
        <w:rPr>
          <w:rFonts w:ascii="Verdana" w:hAnsi="Verdana"/>
          <w:sz w:val="20"/>
          <w:szCs w:val="20"/>
        </w:rPr>
        <w:t xml:space="preserve">presuntas </w:t>
      </w:r>
      <w:r w:rsidRPr="000B33B9">
        <w:rPr>
          <w:rFonts w:ascii="Verdana" w:hAnsi="Verdana"/>
          <w:sz w:val="20"/>
          <w:szCs w:val="20"/>
        </w:rPr>
        <w:t xml:space="preserve">víctimas de estas haber sido niveladas durante </w:t>
      </w:r>
      <w:r w:rsidR="0039102C" w:rsidRPr="000B33B9">
        <w:rPr>
          <w:rFonts w:ascii="Verdana" w:hAnsi="Verdana"/>
          <w:sz w:val="20"/>
          <w:szCs w:val="20"/>
        </w:rPr>
        <w:t>el periodo de aplicación de la Tercera Disposición T</w:t>
      </w:r>
      <w:r w:rsidRPr="000B33B9">
        <w:rPr>
          <w:rFonts w:ascii="Verdana" w:hAnsi="Verdana"/>
          <w:sz w:val="20"/>
          <w:szCs w:val="20"/>
        </w:rPr>
        <w:t xml:space="preserve">ransitoria del Decreto 673, desde enero de </w:t>
      </w:r>
      <w:r w:rsidR="00492FA2" w:rsidRPr="000B33B9">
        <w:rPr>
          <w:rFonts w:ascii="Verdana" w:hAnsi="Verdana"/>
          <w:sz w:val="20"/>
          <w:szCs w:val="20"/>
        </w:rPr>
        <w:t>1992</w:t>
      </w:r>
      <w:r w:rsidRPr="000B33B9">
        <w:rPr>
          <w:rFonts w:ascii="Verdana" w:hAnsi="Verdana"/>
          <w:sz w:val="20"/>
          <w:szCs w:val="20"/>
        </w:rPr>
        <w:t xml:space="preserve"> hasta diciembre de 2004</w:t>
      </w:r>
      <w:r w:rsidR="00492FA2" w:rsidRPr="000B33B9">
        <w:rPr>
          <w:rFonts w:ascii="Verdana" w:hAnsi="Verdana"/>
          <w:sz w:val="20"/>
          <w:szCs w:val="20"/>
        </w:rPr>
        <w:t>, en que entró en vigor la reforma constitucional que eliminó el derecho a la nivelación</w:t>
      </w:r>
      <w:r w:rsidRPr="000B33B9">
        <w:rPr>
          <w:rFonts w:ascii="Verdana" w:hAnsi="Verdana"/>
          <w:sz w:val="20"/>
          <w:szCs w:val="20"/>
        </w:rPr>
        <w:t xml:space="preserve">. </w:t>
      </w:r>
      <w:r w:rsidRPr="000B33B9">
        <w:rPr>
          <w:rFonts w:ascii="Verdana" w:hAnsi="Verdana"/>
          <w:spacing w:val="-2"/>
          <w:sz w:val="20"/>
          <w:szCs w:val="20"/>
        </w:rPr>
        <w:t>Para la determinación de dichos montos se realizaron dos peritajes que fueron sucesivamente revocados por los tribunales a cargo de la ejecución debido a las observaciones de una u otra parte: a) el informe pericial de 3 de abril de 2003 fue revocado mediante resolución expedida el 5 de mayo de 2005 por el Sexagésimo Sexto Juzgado</w:t>
      </w:r>
      <w:r w:rsidRPr="000B33B9">
        <w:rPr>
          <w:rStyle w:val="Refdenotaalpie"/>
          <w:rFonts w:ascii="Verdana" w:hAnsi="Verdana"/>
          <w:spacing w:val="-2"/>
          <w:sz w:val="20"/>
          <w:szCs w:val="20"/>
        </w:rPr>
        <w:footnoteReference w:id="183"/>
      </w:r>
      <w:r w:rsidRPr="000B33B9">
        <w:rPr>
          <w:rFonts w:ascii="Verdana" w:hAnsi="Verdana"/>
          <w:spacing w:val="-2"/>
          <w:sz w:val="20"/>
          <w:szCs w:val="20"/>
        </w:rPr>
        <w:t>, y b) el informe pericial de 9 de noviembre de 2005 fue revocado por resolución emitida el 24 de julio de 2006 por la Sexta Sala Civil</w:t>
      </w:r>
      <w:r w:rsidRPr="000B33B9">
        <w:rPr>
          <w:rStyle w:val="Refdenotaalpie"/>
          <w:rFonts w:ascii="Verdana" w:hAnsi="Verdana"/>
          <w:spacing w:val="-2"/>
          <w:sz w:val="20"/>
          <w:szCs w:val="20"/>
        </w:rPr>
        <w:footnoteReference w:id="184"/>
      </w:r>
      <w:r w:rsidRPr="000B33B9">
        <w:rPr>
          <w:rFonts w:ascii="Verdana" w:hAnsi="Verdana"/>
          <w:spacing w:val="-2"/>
          <w:sz w:val="20"/>
          <w:szCs w:val="20"/>
        </w:rPr>
        <w:t xml:space="preserve">. </w:t>
      </w:r>
    </w:p>
    <w:p w14:paraId="095657B8" w14:textId="77777777" w:rsidR="00BD156F" w:rsidRPr="000B33B9" w:rsidRDefault="00BD156F" w:rsidP="009B2521">
      <w:pPr>
        <w:pStyle w:val="Prrafodelista"/>
        <w:jc w:val="both"/>
        <w:rPr>
          <w:rFonts w:ascii="Verdana" w:hAnsi="Verdana"/>
          <w:spacing w:val="-2"/>
          <w:sz w:val="20"/>
          <w:szCs w:val="20"/>
        </w:rPr>
      </w:pPr>
    </w:p>
    <w:p w14:paraId="506FDEC5" w14:textId="55711F6E" w:rsidR="00BD156F" w:rsidRPr="000B33B9" w:rsidRDefault="00BD156F" w:rsidP="009B2521">
      <w:pPr>
        <w:pStyle w:val="Prrafodelista"/>
        <w:numPr>
          <w:ilvl w:val="0"/>
          <w:numId w:val="10"/>
        </w:numPr>
        <w:tabs>
          <w:tab w:val="left" w:pos="709"/>
        </w:tabs>
        <w:spacing w:after="0" w:line="240" w:lineRule="auto"/>
        <w:ind w:left="0" w:firstLine="0"/>
        <w:jc w:val="both"/>
        <w:rPr>
          <w:rFonts w:ascii="Verdana" w:hAnsi="Verdana" w:cs="Arial"/>
          <w:spacing w:val="-2"/>
          <w:sz w:val="20"/>
          <w:szCs w:val="20"/>
          <w:lang w:eastAsia="ja-JP"/>
        </w:rPr>
      </w:pPr>
      <w:r w:rsidRPr="000B33B9">
        <w:rPr>
          <w:rFonts w:ascii="Verdana" w:hAnsi="Verdana"/>
          <w:spacing w:val="-2"/>
          <w:sz w:val="20"/>
          <w:szCs w:val="20"/>
        </w:rPr>
        <w:t>De conformidad con lo ordenado en la resolución de 24 de julio de 2006, el 25 de octubre de 2006 se dispuso la elaboración de un tercer informe pericial</w:t>
      </w:r>
      <w:r w:rsidRPr="000B33B9">
        <w:rPr>
          <w:rStyle w:val="Refdenotaalpie"/>
          <w:rFonts w:ascii="Verdana" w:hAnsi="Verdana"/>
          <w:spacing w:val="-2"/>
          <w:sz w:val="20"/>
          <w:szCs w:val="20"/>
        </w:rPr>
        <w:footnoteReference w:id="185"/>
      </w:r>
      <w:r w:rsidRPr="000B33B9">
        <w:rPr>
          <w:rFonts w:ascii="Verdana" w:hAnsi="Verdana"/>
          <w:spacing w:val="-2"/>
          <w:sz w:val="20"/>
          <w:szCs w:val="20"/>
        </w:rPr>
        <w:t>, que fue presentado por el Equipo Técnico Pericial el 18 de octubre de 2011</w:t>
      </w:r>
      <w:r w:rsidRPr="000B33B9">
        <w:rPr>
          <w:rStyle w:val="Refdenotaalpie"/>
          <w:rFonts w:ascii="Verdana" w:hAnsi="Verdana"/>
          <w:spacing w:val="-2"/>
          <w:sz w:val="20"/>
          <w:szCs w:val="20"/>
        </w:rPr>
        <w:footnoteReference w:id="186"/>
      </w:r>
      <w:r w:rsidRPr="000B33B9">
        <w:rPr>
          <w:rFonts w:ascii="Verdana" w:hAnsi="Verdana"/>
          <w:spacing w:val="-2"/>
          <w:sz w:val="20"/>
          <w:szCs w:val="20"/>
        </w:rPr>
        <w:t>, y fue ratificado por un cuarto informe de fecha 18 de mayo de 2014</w:t>
      </w:r>
      <w:r w:rsidRPr="000B33B9">
        <w:rPr>
          <w:rStyle w:val="Refdenotaalpie"/>
          <w:rFonts w:ascii="Verdana" w:hAnsi="Verdana"/>
          <w:spacing w:val="-2"/>
          <w:sz w:val="20"/>
          <w:szCs w:val="20"/>
        </w:rPr>
        <w:footnoteReference w:id="187"/>
      </w:r>
      <w:r w:rsidRPr="000B33B9">
        <w:rPr>
          <w:rFonts w:ascii="Verdana" w:hAnsi="Verdana"/>
          <w:spacing w:val="-2"/>
          <w:sz w:val="20"/>
          <w:szCs w:val="20"/>
        </w:rPr>
        <w:t xml:space="preserve">. </w:t>
      </w:r>
      <w:r w:rsidRPr="000B33B9">
        <w:rPr>
          <w:rFonts w:ascii="Verdana" w:hAnsi="Verdana"/>
          <w:sz w:val="20"/>
          <w:szCs w:val="20"/>
        </w:rPr>
        <w:t>En el informe pericial de 11 de octubre de 2011 se hizo el cálculo de la nivelación y se determinó la diferencia entre esta y las pensiones que percibieron las</w:t>
      </w:r>
      <w:r w:rsidR="0039102C" w:rsidRPr="000B33B9">
        <w:rPr>
          <w:rFonts w:ascii="Verdana" w:hAnsi="Verdana"/>
          <w:sz w:val="20"/>
          <w:szCs w:val="20"/>
        </w:rPr>
        <w:t xml:space="preserve"> presuntas</w:t>
      </w:r>
      <w:r w:rsidRPr="000B33B9">
        <w:rPr>
          <w:rFonts w:ascii="Verdana" w:hAnsi="Verdana"/>
          <w:sz w:val="20"/>
          <w:szCs w:val="20"/>
        </w:rPr>
        <w:t xml:space="preserve"> víctimas, concluyendo que la suma pendiente de pago por dicho concepto ascendía a S</w:t>
      </w:r>
      <w:r w:rsidRPr="000B33B9">
        <w:rPr>
          <w:rFonts w:ascii="Verdana" w:hAnsi="Verdana"/>
          <w:sz w:val="20"/>
          <w:szCs w:val="20"/>
          <w:lang w:val="es-DO"/>
        </w:rPr>
        <w:t>/193,751.69 nuevos soles</w:t>
      </w:r>
      <w:r w:rsidRPr="000B33B9">
        <w:rPr>
          <w:rStyle w:val="Refdenotaalpie"/>
          <w:rFonts w:ascii="Verdana" w:hAnsi="Verdana"/>
          <w:sz w:val="20"/>
          <w:szCs w:val="20"/>
          <w:lang w:val="es-DO"/>
        </w:rPr>
        <w:footnoteReference w:id="188"/>
      </w:r>
      <w:r w:rsidRPr="000B33B9">
        <w:rPr>
          <w:rFonts w:ascii="Verdana" w:hAnsi="Verdana"/>
          <w:sz w:val="20"/>
          <w:szCs w:val="20"/>
        </w:rPr>
        <w:t>.</w:t>
      </w:r>
    </w:p>
    <w:p w14:paraId="1ED0E70B" w14:textId="77777777" w:rsidR="00FE46F1" w:rsidRPr="000B33B9" w:rsidRDefault="00FE46F1" w:rsidP="00BD156F">
      <w:pPr>
        <w:pStyle w:val="Prrafodelista"/>
        <w:jc w:val="both"/>
        <w:rPr>
          <w:rFonts w:ascii="Verdana" w:hAnsi="Verdana"/>
          <w:spacing w:val="-2"/>
          <w:sz w:val="20"/>
          <w:szCs w:val="20"/>
        </w:rPr>
      </w:pPr>
    </w:p>
    <w:p w14:paraId="713985F7" w14:textId="09508754" w:rsidR="00BD156F" w:rsidRPr="009B2521" w:rsidRDefault="00BD156F" w:rsidP="009B2521">
      <w:pPr>
        <w:pStyle w:val="Prrafodelista"/>
        <w:numPr>
          <w:ilvl w:val="0"/>
          <w:numId w:val="10"/>
        </w:numPr>
        <w:tabs>
          <w:tab w:val="left" w:pos="709"/>
        </w:tabs>
        <w:spacing w:after="0" w:line="240" w:lineRule="auto"/>
        <w:ind w:left="0" w:firstLine="0"/>
        <w:jc w:val="both"/>
        <w:rPr>
          <w:rFonts w:ascii="Verdana" w:hAnsi="Verdana" w:cs="Arial"/>
          <w:spacing w:val="-2"/>
          <w:sz w:val="20"/>
          <w:szCs w:val="20"/>
          <w:lang w:eastAsia="ja-JP"/>
        </w:rPr>
      </w:pPr>
      <w:r w:rsidRPr="000B33B9">
        <w:rPr>
          <w:rFonts w:ascii="Verdana" w:hAnsi="Verdana" w:cs="Arial"/>
          <w:spacing w:val="-2"/>
          <w:sz w:val="20"/>
          <w:szCs w:val="20"/>
          <w:lang w:eastAsia="ja-JP"/>
        </w:rPr>
        <w:t xml:space="preserve">La Corte recuerda que dicho peritaje </w:t>
      </w:r>
      <w:r w:rsidRPr="000B33B9">
        <w:rPr>
          <w:rFonts w:ascii="Verdana" w:hAnsi="Verdana"/>
          <w:spacing w:val="-2"/>
          <w:sz w:val="20"/>
          <w:szCs w:val="20"/>
        </w:rPr>
        <w:t xml:space="preserve">fue aprobado </w:t>
      </w:r>
      <w:r w:rsidRPr="000B33B9">
        <w:rPr>
          <w:rFonts w:ascii="Verdana" w:hAnsi="Verdana" w:cs="Arial"/>
          <w:spacing w:val="-2"/>
          <w:sz w:val="20"/>
          <w:szCs w:val="20"/>
          <w:lang w:eastAsia="ja-JP"/>
        </w:rPr>
        <w:t xml:space="preserve">por el </w:t>
      </w:r>
      <w:r w:rsidRPr="000B33B9">
        <w:rPr>
          <w:rFonts w:ascii="Verdana" w:hAnsi="Verdana"/>
          <w:sz w:val="20"/>
          <w:szCs w:val="20"/>
          <w:lang w:val="es-ES"/>
        </w:rPr>
        <w:t>Segundo Juzgado</w:t>
      </w:r>
      <w:r w:rsidR="000D5FA5" w:rsidRPr="000B33B9">
        <w:rPr>
          <w:rFonts w:ascii="Verdana" w:hAnsi="Verdana"/>
          <w:sz w:val="20"/>
          <w:szCs w:val="20"/>
          <w:lang w:val="es-ES"/>
        </w:rPr>
        <w:t xml:space="preserve"> Civil</w:t>
      </w:r>
      <w:r w:rsidR="00117906" w:rsidRPr="000B33B9">
        <w:rPr>
          <w:rFonts w:ascii="Verdana" w:hAnsi="Verdana"/>
          <w:sz w:val="20"/>
          <w:szCs w:val="20"/>
          <w:lang w:val="es-ES"/>
        </w:rPr>
        <w:t xml:space="preserve"> </w:t>
      </w:r>
      <w:r w:rsidRPr="000B33B9">
        <w:rPr>
          <w:rFonts w:ascii="Verdana" w:hAnsi="Verdana" w:cs="Arial"/>
          <w:spacing w:val="-2"/>
          <w:sz w:val="20"/>
          <w:szCs w:val="20"/>
          <w:lang w:eastAsia="ja-JP"/>
        </w:rPr>
        <w:t xml:space="preserve">mediante resolución </w:t>
      </w:r>
      <w:r w:rsidRPr="000B33B9">
        <w:rPr>
          <w:rFonts w:ascii="Verdana" w:hAnsi="Verdana"/>
          <w:sz w:val="20"/>
          <w:szCs w:val="20"/>
          <w:lang w:val="es-ES"/>
        </w:rPr>
        <w:t>247 de 13 de junio de 2017</w:t>
      </w:r>
      <w:r w:rsidRPr="000B33B9">
        <w:rPr>
          <w:rStyle w:val="Refdenotaalpie"/>
          <w:rFonts w:ascii="Verdana" w:hAnsi="Verdana"/>
          <w:sz w:val="20"/>
          <w:szCs w:val="20"/>
          <w:lang w:val="es-ES"/>
        </w:rPr>
        <w:footnoteReference w:id="189"/>
      </w:r>
      <w:r w:rsidRPr="000B33B9">
        <w:rPr>
          <w:rFonts w:ascii="Verdana" w:hAnsi="Verdana"/>
          <w:sz w:val="20"/>
          <w:szCs w:val="20"/>
          <w:lang w:val="es-ES"/>
        </w:rPr>
        <w:t xml:space="preserve">, la cual fue confirmada con carácter de la cosa </w:t>
      </w:r>
      <w:r w:rsidRPr="009B2521">
        <w:rPr>
          <w:rFonts w:ascii="Verdana" w:hAnsi="Verdana"/>
          <w:sz w:val="20"/>
          <w:szCs w:val="20"/>
          <w:lang w:val="es-ES"/>
        </w:rPr>
        <w:t xml:space="preserve">irrevocablemente juzgada con ocasión de la </w:t>
      </w:r>
      <w:r w:rsidR="001913D3">
        <w:rPr>
          <w:rFonts w:ascii="Verdana" w:hAnsi="Verdana"/>
          <w:sz w:val="20"/>
          <w:szCs w:val="20"/>
          <w:lang w:val="es-ES"/>
        </w:rPr>
        <w:t>resolución</w:t>
      </w:r>
      <w:r w:rsidRPr="009B2521">
        <w:rPr>
          <w:rFonts w:ascii="Verdana" w:hAnsi="Verdana"/>
          <w:sz w:val="20"/>
          <w:szCs w:val="20"/>
          <w:lang w:val="es-ES"/>
        </w:rPr>
        <w:t xml:space="preserve"> dictada el 23 de abril de 2019 por el Tribunal Constitucional. En virtud de la resolución de junio de 2017, </w:t>
      </w:r>
      <w:r w:rsidRPr="009B2521">
        <w:rPr>
          <w:rFonts w:ascii="Verdana" w:hAnsi="Verdana" w:cs="Arial"/>
          <w:sz w:val="20"/>
          <w:szCs w:val="20"/>
          <w:lang w:val="es-ES" w:eastAsia="ja-JP"/>
        </w:rPr>
        <w:t>el 14 de agosto de 2017, la SUNAT consignó en el Banco de La Nación, a favor de ANCEJUB-SUNAT, la suma correspondiente a los reintegros por concepto de “pensiones devengadas”</w:t>
      </w:r>
      <w:r w:rsidRPr="009B2521">
        <w:rPr>
          <w:rStyle w:val="Refdenotaalpie"/>
          <w:rFonts w:ascii="Verdana" w:hAnsi="Verdana" w:cs="Arial"/>
          <w:sz w:val="20"/>
          <w:szCs w:val="20"/>
          <w:lang w:val="es-ES" w:eastAsia="ja-JP"/>
        </w:rPr>
        <w:footnoteReference w:id="190"/>
      </w:r>
      <w:r w:rsidRPr="009B2521">
        <w:rPr>
          <w:rFonts w:ascii="Verdana" w:hAnsi="Verdana" w:cs="Arial"/>
          <w:sz w:val="20"/>
          <w:szCs w:val="20"/>
          <w:lang w:val="es-ES" w:eastAsia="ja-JP"/>
        </w:rPr>
        <w:t xml:space="preserve"> y depositó la constancia de dicha operación ante el Segundo Juzgado </w:t>
      </w:r>
      <w:r w:rsidR="00117906" w:rsidRPr="009B2521">
        <w:rPr>
          <w:rFonts w:ascii="Verdana" w:hAnsi="Verdana" w:cs="Arial"/>
          <w:sz w:val="20"/>
          <w:szCs w:val="20"/>
          <w:lang w:val="es-ES" w:eastAsia="ja-JP"/>
        </w:rPr>
        <w:t>Civil</w:t>
      </w:r>
      <w:r w:rsidRPr="009B2521">
        <w:rPr>
          <w:rStyle w:val="Refdenotaalpie"/>
          <w:rFonts w:ascii="Verdana" w:hAnsi="Verdana" w:cs="Arial"/>
          <w:sz w:val="20"/>
          <w:szCs w:val="20"/>
          <w:lang w:val="es-ES" w:eastAsia="ja-JP"/>
        </w:rPr>
        <w:footnoteReference w:id="191"/>
      </w:r>
      <w:r w:rsidRPr="009B2521">
        <w:rPr>
          <w:rFonts w:ascii="Verdana" w:hAnsi="Verdana" w:cs="Arial"/>
          <w:sz w:val="20"/>
          <w:szCs w:val="20"/>
          <w:lang w:val="es-ES" w:eastAsia="ja-JP"/>
        </w:rPr>
        <w:t xml:space="preserve">. </w:t>
      </w:r>
      <w:r w:rsidRPr="009B2521">
        <w:rPr>
          <w:rFonts w:ascii="Verdana" w:hAnsi="Verdana" w:cs="Arial"/>
          <w:spacing w:val="-2"/>
          <w:sz w:val="20"/>
          <w:szCs w:val="20"/>
          <w:lang w:eastAsia="ja-JP"/>
        </w:rPr>
        <w:t xml:space="preserve">No obstante, los montos correspondientes a los reintegros todavía no han sido pagados a las </w:t>
      </w:r>
      <w:r w:rsidR="007F0FE3" w:rsidRPr="009B2521">
        <w:rPr>
          <w:rFonts w:ascii="Verdana" w:hAnsi="Verdana" w:cs="Arial"/>
          <w:spacing w:val="-2"/>
          <w:sz w:val="20"/>
          <w:szCs w:val="20"/>
          <w:lang w:eastAsia="ja-JP"/>
        </w:rPr>
        <w:t xml:space="preserve">presuntas </w:t>
      </w:r>
      <w:r w:rsidRPr="009B2521">
        <w:rPr>
          <w:rFonts w:ascii="Verdana" w:hAnsi="Verdana" w:cs="Arial"/>
          <w:spacing w:val="-2"/>
          <w:sz w:val="20"/>
          <w:szCs w:val="20"/>
          <w:lang w:eastAsia="ja-JP"/>
        </w:rPr>
        <w:t xml:space="preserve">víctimas, </w:t>
      </w:r>
      <w:r w:rsidRPr="009B2521">
        <w:rPr>
          <w:rFonts w:ascii="Verdana" w:hAnsi="Verdana" w:cs="Arial"/>
          <w:spacing w:val="-2"/>
          <w:sz w:val="20"/>
          <w:szCs w:val="20"/>
          <w:lang w:val="es-DO" w:eastAsia="ja-JP"/>
        </w:rPr>
        <w:t xml:space="preserve">lo cual </w:t>
      </w:r>
      <w:r w:rsidR="007F0FE3" w:rsidRPr="009B2521">
        <w:rPr>
          <w:rFonts w:ascii="Verdana" w:hAnsi="Verdana" w:cs="Arial"/>
          <w:spacing w:val="-2"/>
          <w:sz w:val="20"/>
          <w:szCs w:val="20"/>
          <w:lang w:val="es-DO" w:eastAsia="ja-JP"/>
        </w:rPr>
        <w:t xml:space="preserve">fue </w:t>
      </w:r>
      <w:r w:rsidR="00492FA2" w:rsidRPr="009B2521">
        <w:rPr>
          <w:rFonts w:ascii="Verdana" w:hAnsi="Verdana" w:cs="Arial"/>
          <w:spacing w:val="-2"/>
          <w:sz w:val="20"/>
          <w:szCs w:val="20"/>
          <w:lang w:val="es-DO" w:eastAsia="ja-JP"/>
        </w:rPr>
        <w:t xml:space="preserve">reconocido </w:t>
      </w:r>
      <w:r w:rsidRPr="009B2521">
        <w:rPr>
          <w:rFonts w:ascii="Verdana" w:hAnsi="Verdana" w:cs="Arial"/>
          <w:spacing w:val="-2"/>
          <w:sz w:val="20"/>
          <w:szCs w:val="20"/>
          <w:lang w:val="es-DO" w:eastAsia="ja-JP"/>
        </w:rPr>
        <w:t>por el propio Tribunal Constitucional cuando señala, en la sentencia de 23 de abril de 2019, que “</w:t>
      </w:r>
      <w:r w:rsidR="0039102C" w:rsidRPr="009B2521">
        <w:rPr>
          <w:rFonts w:ascii="Verdana" w:hAnsi="Verdana" w:cs="Arial"/>
          <w:spacing w:val="-2"/>
          <w:sz w:val="20"/>
          <w:szCs w:val="20"/>
          <w:lang w:val="es-DO" w:eastAsia="ja-JP"/>
        </w:rPr>
        <w:t xml:space="preserve">(…) </w:t>
      </w:r>
      <w:r w:rsidRPr="009B2521">
        <w:rPr>
          <w:rFonts w:ascii="Verdana" w:hAnsi="Verdana" w:cs="Arial"/>
          <w:spacing w:val="-2"/>
          <w:sz w:val="20"/>
          <w:szCs w:val="20"/>
          <w:lang w:val="es-DO" w:eastAsia="ja-JP"/>
        </w:rPr>
        <w:t>pese a haber transcurrido más de 20 años, la causa aún continúa en la etapa de ejecución de sentencia” y subsecuentemente ordena al juez ejecutor que “</w:t>
      </w:r>
      <w:r w:rsidR="0039102C" w:rsidRPr="009B2521">
        <w:rPr>
          <w:rFonts w:ascii="Verdana" w:hAnsi="Verdana" w:cs="Arial"/>
          <w:spacing w:val="-2"/>
          <w:sz w:val="20"/>
          <w:szCs w:val="20"/>
          <w:lang w:val="es-DO" w:eastAsia="ja-JP"/>
        </w:rPr>
        <w:t xml:space="preserve">(…) </w:t>
      </w:r>
      <w:r w:rsidRPr="009B2521">
        <w:rPr>
          <w:rFonts w:ascii="Verdana" w:hAnsi="Verdana" w:cs="Arial"/>
          <w:spacing w:val="-2"/>
          <w:sz w:val="20"/>
          <w:szCs w:val="20"/>
          <w:lang w:val="es-DO" w:eastAsia="ja-JP"/>
        </w:rPr>
        <w:t>adopte las acciones necesarias para que se haga efectiva la nivelación de las pensiones de los asociados de la demandante y el pago de los reintegros correspondientes, de la forma en que se ha establecido en el informe pericial contable de fecha 18 de octubre de 2011”</w:t>
      </w:r>
      <w:r w:rsidRPr="009B2521">
        <w:rPr>
          <w:rStyle w:val="Refdenotaalpie"/>
          <w:rFonts w:ascii="Verdana" w:hAnsi="Verdana" w:cs="Arial"/>
          <w:spacing w:val="-2"/>
          <w:sz w:val="20"/>
          <w:szCs w:val="20"/>
          <w:lang w:val="es-DO" w:eastAsia="ja-JP"/>
        </w:rPr>
        <w:footnoteReference w:id="192"/>
      </w:r>
      <w:r w:rsidRPr="009B2521">
        <w:rPr>
          <w:rFonts w:ascii="Verdana" w:hAnsi="Verdana" w:cs="Arial"/>
          <w:spacing w:val="-2"/>
          <w:sz w:val="20"/>
          <w:szCs w:val="20"/>
          <w:lang w:val="es-DO" w:eastAsia="ja-JP"/>
        </w:rPr>
        <w:t>.</w:t>
      </w:r>
    </w:p>
    <w:p w14:paraId="46D54D24" w14:textId="77777777" w:rsidR="00BD156F" w:rsidRPr="009B2521" w:rsidRDefault="00BD156F" w:rsidP="009B2521">
      <w:pPr>
        <w:pStyle w:val="Prrafodelista"/>
        <w:jc w:val="both"/>
        <w:rPr>
          <w:rFonts w:ascii="Verdana" w:hAnsi="Verdana" w:cs="Arial"/>
          <w:spacing w:val="-2"/>
          <w:sz w:val="20"/>
          <w:szCs w:val="20"/>
          <w:lang w:eastAsia="ja-JP"/>
        </w:rPr>
      </w:pPr>
    </w:p>
    <w:p w14:paraId="7FFD3404" w14:textId="7A8974C4" w:rsidR="00BD156F" w:rsidRPr="009B2521" w:rsidRDefault="00BD156F" w:rsidP="009B2521">
      <w:pPr>
        <w:pStyle w:val="Prrafodelista"/>
        <w:numPr>
          <w:ilvl w:val="0"/>
          <w:numId w:val="10"/>
        </w:numPr>
        <w:spacing w:after="0" w:line="240" w:lineRule="auto"/>
        <w:ind w:left="0" w:firstLine="0"/>
        <w:jc w:val="both"/>
        <w:rPr>
          <w:rFonts w:ascii="Verdana" w:hAnsi="Verdana" w:cs="Arial"/>
          <w:spacing w:val="-2"/>
          <w:sz w:val="20"/>
          <w:szCs w:val="20"/>
          <w:lang w:eastAsia="ja-JP"/>
        </w:rPr>
      </w:pPr>
      <w:r w:rsidRPr="009B2521">
        <w:rPr>
          <w:rFonts w:ascii="Verdana" w:hAnsi="Verdana" w:cs="Arial"/>
          <w:spacing w:val="-2"/>
          <w:sz w:val="20"/>
          <w:szCs w:val="20"/>
          <w:lang w:eastAsia="ja-JP"/>
        </w:rPr>
        <w:t xml:space="preserve">Si bien este Tribunal nota que la decisión de </w:t>
      </w:r>
      <w:r w:rsidR="0039102C" w:rsidRPr="009B2521">
        <w:rPr>
          <w:rFonts w:ascii="Verdana" w:hAnsi="Verdana" w:cs="Arial"/>
          <w:spacing w:val="-2"/>
          <w:sz w:val="20"/>
          <w:szCs w:val="20"/>
          <w:lang w:eastAsia="ja-JP"/>
        </w:rPr>
        <w:t>13 de junio</w:t>
      </w:r>
      <w:r w:rsidRPr="009B2521">
        <w:rPr>
          <w:rFonts w:ascii="Verdana" w:hAnsi="Verdana" w:cs="Arial"/>
          <w:spacing w:val="-2"/>
          <w:sz w:val="20"/>
          <w:szCs w:val="20"/>
          <w:lang w:eastAsia="ja-JP"/>
        </w:rPr>
        <w:t xml:space="preserve"> de 2017 fue objeto de un recurso de apelación</w:t>
      </w:r>
      <w:r w:rsidRPr="009B2521">
        <w:rPr>
          <w:rStyle w:val="Refdenotaalpie"/>
          <w:rFonts w:ascii="Verdana" w:hAnsi="Verdana" w:cs="Arial"/>
          <w:sz w:val="20"/>
          <w:szCs w:val="20"/>
          <w:lang w:val="es-ES" w:eastAsia="ja-JP"/>
        </w:rPr>
        <w:footnoteReference w:id="193"/>
      </w:r>
      <w:r w:rsidR="007F0FE3" w:rsidRPr="009B2521">
        <w:rPr>
          <w:rFonts w:ascii="Verdana" w:hAnsi="Verdana" w:cs="Arial"/>
          <w:spacing w:val="-2"/>
          <w:sz w:val="20"/>
          <w:szCs w:val="20"/>
          <w:lang w:eastAsia="ja-JP"/>
        </w:rPr>
        <w:t>,</w:t>
      </w:r>
      <w:r w:rsidRPr="009B2521">
        <w:rPr>
          <w:rFonts w:ascii="Verdana" w:hAnsi="Verdana" w:cs="Arial"/>
          <w:spacing w:val="-2"/>
          <w:sz w:val="20"/>
          <w:szCs w:val="20"/>
          <w:lang w:eastAsia="ja-JP"/>
        </w:rPr>
        <w:t xml:space="preserve"> </w:t>
      </w:r>
      <w:r w:rsidR="007F0FE3" w:rsidRPr="009B2521">
        <w:rPr>
          <w:rFonts w:ascii="Verdana" w:hAnsi="Verdana" w:cs="Arial"/>
          <w:spacing w:val="-2"/>
          <w:sz w:val="20"/>
          <w:szCs w:val="20"/>
          <w:lang w:eastAsia="ja-JP"/>
        </w:rPr>
        <w:t>el cual</w:t>
      </w:r>
      <w:r w:rsidRPr="009B2521">
        <w:rPr>
          <w:rFonts w:ascii="Verdana" w:hAnsi="Verdana" w:cs="Arial"/>
          <w:spacing w:val="-2"/>
          <w:sz w:val="20"/>
          <w:szCs w:val="20"/>
          <w:lang w:eastAsia="ja-JP"/>
        </w:rPr>
        <w:t xml:space="preserve"> eventualmente derivó en la</w:t>
      </w:r>
      <w:r w:rsidR="007F0FE3" w:rsidRPr="009B2521">
        <w:rPr>
          <w:rFonts w:ascii="Verdana" w:hAnsi="Verdana" w:cs="Arial"/>
          <w:spacing w:val="-2"/>
          <w:sz w:val="20"/>
          <w:szCs w:val="20"/>
          <w:lang w:eastAsia="ja-JP"/>
        </w:rPr>
        <w:t xml:space="preserve"> referida</w:t>
      </w:r>
      <w:r w:rsidRPr="009B2521">
        <w:rPr>
          <w:rFonts w:ascii="Verdana" w:hAnsi="Verdana" w:cs="Arial"/>
          <w:spacing w:val="-2"/>
          <w:sz w:val="20"/>
          <w:szCs w:val="20"/>
          <w:lang w:eastAsia="ja-JP"/>
        </w:rPr>
        <w:t xml:space="preserve"> </w:t>
      </w:r>
      <w:r w:rsidR="001913D3">
        <w:rPr>
          <w:rFonts w:ascii="Verdana" w:hAnsi="Verdana" w:cs="Arial"/>
          <w:spacing w:val="-2"/>
          <w:sz w:val="20"/>
          <w:szCs w:val="20"/>
          <w:lang w:eastAsia="ja-JP"/>
        </w:rPr>
        <w:t>resolución</w:t>
      </w:r>
      <w:r w:rsidRPr="009B2521">
        <w:rPr>
          <w:rFonts w:ascii="Verdana" w:hAnsi="Verdana" w:cs="Arial"/>
          <w:spacing w:val="-2"/>
          <w:sz w:val="20"/>
          <w:szCs w:val="20"/>
          <w:lang w:eastAsia="ja-JP"/>
        </w:rPr>
        <w:t xml:space="preserve"> de 23 de abril de 2019, la Corte estima que, debido al carácter de la prestación involucrada, el Estado debió haber actuado con especial diligencia, adoptando medidas para garantizar lo antes posible la ejecución de la sentencia de 25 de octubre de 1993 en lo concerniente al p</w:t>
      </w:r>
      <w:r w:rsidR="007F0FE3" w:rsidRPr="009B2521">
        <w:rPr>
          <w:rFonts w:ascii="Verdana" w:hAnsi="Verdana" w:cs="Arial"/>
          <w:spacing w:val="-2"/>
          <w:sz w:val="20"/>
          <w:szCs w:val="20"/>
          <w:lang w:eastAsia="ja-JP"/>
        </w:rPr>
        <w:t>ago de los reintegros. Esto así</w:t>
      </w:r>
      <w:r w:rsidRPr="009B2521">
        <w:rPr>
          <w:rFonts w:ascii="Verdana" w:hAnsi="Verdana" w:cs="Arial"/>
          <w:spacing w:val="-2"/>
          <w:sz w:val="20"/>
          <w:szCs w:val="20"/>
          <w:lang w:eastAsia="ja-JP"/>
        </w:rPr>
        <w:t xml:space="preserve"> como consecuencia del </w:t>
      </w:r>
      <w:r w:rsidRPr="009B2521">
        <w:rPr>
          <w:rFonts w:ascii="Verdana" w:hAnsi="Verdana"/>
          <w:sz w:val="20"/>
          <w:szCs w:val="20"/>
        </w:rPr>
        <w:t>carácter que investía la prestación en juego en tanto sustitutiva del salario y a la necesidad de celeridad, simplificación procesal y efectividad en casos en los que el contenido del reclamo ante los órganos jurisdiccionales se refiere a la seguridad social, especialmente de personas mayores</w:t>
      </w:r>
      <w:r w:rsidRPr="009B2521">
        <w:rPr>
          <w:rStyle w:val="Refdenotaalpie"/>
          <w:rFonts w:ascii="Verdana" w:hAnsi="Verdana"/>
          <w:sz w:val="20"/>
          <w:szCs w:val="20"/>
        </w:rPr>
        <w:footnoteReference w:id="194"/>
      </w:r>
      <w:r w:rsidRPr="009B2521">
        <w:rPr>
          <w:rFonts w:ascii="Verdana" w:hAnsi="Verdana"/>
          <w:sz w:val="20"/>
          <w:szCs w:val="20"/>
        </w:rPr>
        <w:t xml:space="preserve">. </w:t>
      </w:r>
      <w:r w:rsidRPr="009B2521">
        <w:rPr>
          <w:rFonts w:ascii="Verdana" w:hAnsi="Verdana" w:cs="Arial"/>
          <w:spacing w:val="-2"/>
          <w:sz w:val="20"/>
          <w:szCs w:val="20"/>
          <w:lang w:eastAsia="ja-JP"/>
        </w:rPr>
        <w:t>En este sentido, la Corte considera que, aunque los recursos de apelación surten efectos suspensivos respecto a la decisión a</w:t>
      </w:r>
      <w:r w:rsidR="008342AF" w:rsidRPr="009B2521">
        <w:rPr>
          <w:rFonts w:ascii="Verdana" w:hAnsi="Verdana" w:cs="Arial"/>
          <w:spacing w:val="-2"/>
          <w:sz w:val="20"/>
          <w:szCs w:val="20"/>
          <w:lang w:eastAsia="ja-JP"/>
        </w:rPr>
        <w:t>pelada, en el presente caso el juzgado de e</w:t>
      </w:r>
      <w:r w:rsidRPr="009B2521">
        <w:rPr>
          <w:rFonts w:ascii="Verdana" w:hAnsi="Verdana" w:cs="Arial"/>
          <w:spacing w:val="-2"/>
          <w:sz w:val="20"/>
          <w:szCs w:val="20"/>
          <w:lang w:eastAsia="ja-JP"/>
        </w:rPr>
        <w:t xml:space="preserve">jecución debió haber declarado la ejecutoriedad de la resolución de </w:t>
      </w:r>
      <w:r w:rsidR="0039102C" w:rsidRPr="009B2521">
        <w:rPr>
          <w:rFonts w:ascii="Verdana" w:hAnsi="Verdana" w:cs="Arial"/>
          <w:spacing w:val="-2"/>
          <w:sz w:val="20"/>
          <w:szCs w:val="20"/>
          <w:lang w:eastAsia="ja-JP"/>
        </w:rPr>
        <w:t>13 de junio</w:t>
      </w:r>
      <w:r w:rsidRPr="009B2521">
        <w:rPr>
          <w:rFonts w:ascii="Verdana" w:hAnsi="Verdana" w:cs="Arial"/>
          <w:spacing w:val="-2"/>
          <w:sz w:val="20"/>
          <w:szCs w:val="20"/>
          <w:lang w:eastAsia="ja-JP"/>
        </w:rPr>
        <w:t xml:space="preserve"> de 2017, concediendo sin efecto suspensivo el recurso de apelación, a fin de que, mientras se tramitaba su instrucción y se resolvía sobre su procedencia, las</w:t>
      </w:r>
      <w:r w:rsidR="0039102C" w:rsidRPr="009B2521">
        <w:rPr>
          <w:rFonts w:ascii="Verdana" w:hAnsi="Verdana" w:cs="Arial"/>
          <w:spacing w:val="-2"/>
          <w:sz w:val="20"/>
          <w:szCs w:val="20"/>
          <w:lang w:eastAsia="ja-JP"/>
        </w:rPr>
        <w:t xml:space="preserve"> presuntas</w:t>
      </w:r>
      <w:r w:rsidRPr="009B2521">
        <w:rPr>
          <w:rFonts w:ascii="Verdana" w:hAnsi="Verdana" w:cs="Arial"/>
          <w:spacing w:val="-2"/>
          <w:sz w:val="20"/>
          <w:szCs w:val="20"/>
          <w:lang w:eastAsia="ja-JP"/>
        </w:rPr>
        <w:t xml:space="preserve"> víctimas pudieran recibir los montos concernientes a los reintegros ordenados por la sentencia de 25 de octubre de 1993</w:t>
      </w:r>
      <w:r w:rsidR="00492FA2" w:rsidRPr="009B2521">
        <w:rPr>
          <w:rFonts w:ascii="Verdana" w:hAnsi="Verdana" w:cs="Arial"/>
          <w:spacing w:val="-2"/>
          <w:sz w:val="20"/>
          <w:szCs w:val="20"/>
          <w:lang w:eastAsia="ja-JP"/>
        </w:rPr>
        <w:t>.</w:t>
      </w:r>
    </w:p>
    <w:p w14:paraId="2FC18AC5" w14:textId="77777777" w:rsidR="00BD156F" w:rsidRPr="009B2521" w:rsidRDefault="00BD156F" w:rsidP="009B2521">
      <w:pPr>
        <w:pStyle w:val="Prrafodelista"/>
        <w:spacing w:after="0" w:line="240" w:lineRule="auto"/>
        <w:ind w:left="0"/>
        <w:jc w:val="both"/>
        <w:rPr>
          <w:rFonts w:ascii="Verdana" w:hAnsi="Verdana" w:cs="Arial"/>
          <w:spacing w:val="-2"/>
          <w:sz w:val="20"/>
          <w:szCs w:val="20"/>
          <w:lang w:eastAsia="ja-JP"/>
        </w:rPr>
      </w:pPr>
    </w:p>
    <w:p w14:paraId="2EF57139" w14:textId="0F9211A0" w:rsidR="00BD156F" w:rsidRPr="00E75FBA" w:rsidRDefault="00BD156F" w:rsidP="00E75FBA">
      <w:pPr>
        <w:pStyle w:val="Prrafodelista"/>
        <w:numPr>
          <w:ilvl w:val="0"/>
          <w:numId w:val="10"/>
        </w:numPr>
        <w:spacing w:after="0" w:line="240" w:lineRule="auto"/>
        <w:ind w:left="0" w:firstLine="0"/>
        <w:jc w:val="both"/>
        <w:rPr>
          <w:rFonts w:ascii="Verdana" w:hAnsi="Verdana" w:cs="Arial"/>
          <w:spacing w:val="-2"/>
          <w:sz w:val="20"/>
          <w:szCs w:val="20"/>
          <w:lang w:eastAsia="ja-JP"/>
        </w:rPr>
      </w:pPr>
      <w:r w:rsidRPr="009B2521">
        <w:rPr>
          <w:rFonts w:ascii="Verdana" w:hAnsi="Verdana" w:cs="Arial"/>
          <w:spacing w:val="-2"/>
          <w:sz w:val="20"/>
          <w:szCs w:val="20"/>
          <w:lang w:eastAsia="ja-JP"/>
        </w:rPr>
        <w:t>La Corte nota que esta medida había sido adoptada con anterioridad ante la interposición de recursos de apelación por parte de la SUNAT</w:t>
      </w:r>
      <w:r w:rsidRPr="009B2521">
        <w:rPr>
          <w:rStyle w:val="Refdenotaalpie"/>
          <w:rFonts w:ascii="Verdana" w:hAnsi="Verdana" w:cs="Arial"/>
          <w:spacing w:val="-2"/>
          <w:sz w:val="20"/>
          <w:szCs w:val="20"/>
          <w:lang w:eastAsia="ja-JP"/>
        </w:rPr>
        <w:footnoteReference w:id="195"/>
      </w:r>
      <w:r w:rsidRPr="009B2521">
        <w:rPr>
          <w:rFonts w:ascii="Verdana" w:hAnsi="Verdana" w:cs="Arial"/>
          <w:spacing w:val="-2"/>
          <w:sz w:val="20"/>
          <w:szCs w:val="20"/>
          <w:lang w:eastAsia="ja-JP"/>
        </w:rPr>
        <w:t>, por lo que se circunscribía a las atribuciones de los juzgados de ejecución intervinientes en el caso. En efecto, dicha potestad estaba contemplada en el artículo 368 del Código Procesal Civil de Perú, que regula los efectos de los recursos de apelación y establece que los mismos pueden ser concedidos “</w:t>
      </w:r>
      <w:r w:rsidR="0039102C" w:rsidRPr="009B2521">
        <w:rPr>
          <w:rFonts w:ascii="Verdana" w:hAnsi="Verdana" w:cs="Arial"/>
          <w:spacing w:val="-2"/>
          <w:sz w:val="20"/>
          <w:szCs w:val="20"/>
          <w:lang w:eastAsia="ja-JP"/>
        </w:rPr>
        <w:t xml:space="preserve">(…) </w:t>
      </w:r>
      <w:r w:rsidRPr="009B2521">
        <w:rPr>
          <w:rFonts w:ascii="Verdana" w:hAnsi="Verdana" w:cs="Arial"/>
          <w:spacing w:val="-2"/>
          <w:sz w:val="20"/>
          <w:szCs w:val="20"/>
          <w:lang w:eastAsia="ja-JP"/>
        </w:rPr>
        <w:t>sin efecto suspensivo, por lo que la eficacia de la resolución impugnada se mantiene, incluso para el cumplimiento de ésta”</w:t>
      </w:r>
      <w:r w:rsidRPr="009B2521">
        <w:rPr>
          <w:rStyle w:val="Refdenotaalpie"/>
          <w:rFonts w:ascii="Verdana" w:hAnsi="Verdana" w:cs="Arial"/>
          <w:spacing w:val="-2"/>
          <w:sz w:val="20"/>
          <w:szCs w:val="20"/>
          <w:lang w:eastAsia="ja-JP"/>
        </w:rPr>
        <w:footnoteReference w:id="196"/>
      </w:r>
      <w:r w:rsidRPr="009B2521">
        <w:rPr>
          <w:rFonts w:ascii="Verdana" w:hAnsi="Verdana" w:cs="Arial"/>
          <w:spacing w:val="-2"/>
          <w:sz w:val="20"/>
          <w:szCs w:val="20"/>
          <w:lang w:eastAsia="ja-JP"/>
        </w:rPr>
        <w:t>.</w:t>
      </w:r>
      <w:r w:rsidR="00805A66" w:rsidRPr="000B33B9">
        <w:rPr>
          <w:rFonts w:ascii="Verdana" w:hAnsi="Verdana" w:cs="Arial"/>
          <w:spacing w:val="-2"/>
          <w:sz w:val="20"/>
          <w:szCs w:val="20"/>
          <w:lang w:eastAsia="ja-JP"/>
        </w:rPr>
        <w:t xml:space="preserve"> </w:t>
      </w:r>
      <w:r w:rsidRPr="00E75FBA">
        <w:rPr>
          <w:rFonts w:ascii="Verdana" w:hAnsi="Verdana" w:cs="Arial"/>
          <w:spacing w:val="-2"/>
          <w:sz w:val="20"/>
          <w:szCs w:val="20"/>
          <w:lang w:eastAsia="ja-JP"/>
        </w:rPr>
        <w:t>En consideración a lo anterior</w:t>
      </w:r>
      <w:r w:rsidR="007F0FE3" w:rsidRPr="00E75FBA">
        <w:rPr>
          <w:rFonts w:ascii="Verdana" w:hAnsi="Verdana" w:cs="Arial"/>
          <w:spacing w:val="-2"/>
          <w:sz w:val="20"/>
          <w:szCs w:val="20"/>
          <w:lang w:eastAsia="ja-JP"/>
        </w:rPr>
        <w:t>,</w:t>
      </w:r>
      <w:r w:rsidRPr="00E75FBA">
        <w:rPr>
          <w:rFonts w:ascii="Verdana" w:hAnsi="Verdana" w:cs="Arial"/>
          <w:spacing w:val="-2"/>
          <w:sz w:val="20"/>
          <w:szCs w:val="20"/>
          <w:lang w:eastAsia="ja-JP"/>
        </w:rPr>
        <w:t xml:space="preserve"> y dado que la SUNAT había realizado la consignación de las sumas correspondientes a los reintegros, la Corte considera que el Estado pudo haber garantizado su entrega efectiva a las </w:t>
      </w:r>
      <w:r w:rsidR="0039102C" w:rsidRPr="00E75FBA">
        <w:rPr>
          <w:rFonts w:ascii="Verdana" w:hAnsi="Verdana" w:cs="Arial"/>
          <w:spacing w:val="-2"/>
          <w:sz w:val="20"/>
          <w:szCs w:val="20"/>
          <w:lang w:eastAsia="ja-JP"/>
        </w:rPr>
        <w:t xml:space="preserve">presuntas </w:t>
      </w:r>
      <w:r w:rsidRPr="00E75FBA">
        <w:rPr>
          <w:rFonts w:ascii="Verdana" w:hAnsi="Verdana" w:cs="Arial"/>
          <w:spacing w:val="-2"/>
          <w:sz w:val="20"/>
          <w:szCs w:val="20"/>
          <w:lang w:eastAsia="ja-JP"/>
        </w:rPr>
        <w:t>víctimas desde 2017, lo cual no hizo pese al carácter especial de la indicada prestación y la situación de vulnerabilidad de las</w:t>
      </w:r>
      <w:r w:rsidR="0039102C" w:rsidRPr="00E75FBA">
        <w:rPr>
          <w:rFonts w:ascii="Verdana" w:hAnsi="Verdana" w:cs="Arial"/>
          <w:spacing w:val="-2"/>
          <w:sz w:val="20"/>
          <w:szCs w:val="20"/>
          <w:lang w:eastAsia="ja-JP"/>
        </w:rPr>
        <w:t xml:space="preserve"> presuntas</w:t>
      </w:r>
      <w:r w:rsidRPr="00E75FBA">
        <w:rPr>
          <w:rFonts w:ascii="Verdana" w:hAnsi="Verdana" w:cs="Arial"/>
          <w:spacing w:val="-2"/>
          <w:sz w:val="20"/>
          <w:szCs w:val="20"/>
          <w:lang w:eastAsia="ja-JP"/>
        </w:rPr>
        <w:t xml:space="preserve"> víctimas como personas mayores. En sí mismo, esto denota una falta de diligencia por parte del Estado en cuanto a la adopción de los medios necesarios para garantizar la ejecución de la sentencia de 25 de octubre de 1993 de manera integral, rápida y sin dilaciones injustificadas, conforme las obligaciones establecidas en el artículo 25.2.c de la Convención. </w:t>
      </w:r>
    </w:p>
    <w:p w14:paraId="19056064" w14:textId="77777777" w:rsidR="00BD156F" w:rsidRPr="00E75FBA" w:rsidRDefault="00BD156F" w:rsidP="00E75FBA">
      <w:pPr>
        <w:tabs>
          <w:tab w:val="left" w:pos="567"/>
          <w:tab w:val="left" w:pos="709"/>
        </w:tabs>
        <w:spacing w:after="0" w:line="240" w:lineRule="auto"/>
        <w:jc w:val="both"/>
        <w:rPr>
          <w:rFonts w:ascii="Verdana" w:hAnsi="Verdana"/>
          <w:spacing w:val="-2"/>
          <w:sz w:val="20"/>
          <w:szCs w:val="20"/>
        </w:rPr>
      </w:pPr>
    </w:p>
    <w:p w14:paraId="7E4F9725" w14:textId="2A4BE0D5" w:rsidR="00BD156F" w:rsidRPr="00E75FBA" w:rsidRDefault="00F27910" w:rsidP="00E75FBA">
      <w:pPr>
        <w:pStyle w:val="Ttulo4"/>
        <w:numPr>
          <w:ilvl w:val="0"/>
          <w:numId w:val="0"/>
        </w:numPr>
        <w:ind w:left="1068" w:hanging="360"/>
        <w:rPr>
          <w:b/>
        </w:rPr>
      </w:pPr>
      <w:bookmarkStart w:id="67" w:name="_Toc27329770"/>
      <w:r w:rsidRPr="00E75FBA">
        <w:t>A.2.</w:t>
      </w:r>
      <w:r w:rsidR="000D5FA5" w:rsidRPr="00E75FBA">
        <w:t>3</w:t>
      </w:r>
      <w:r w:rsidR="00BD156F" w:rsidRPr="00E75FBA">
        <w:t xml:space="preserve">. </w:t>
      </w:r>
      <w:r w:rsidR="00B073FA" w:rsidRPr="00E75FBA">
        <w:t>L</w:t>
      </w:r>
      <w:r w:rsidR="00BD156F" w:rsidRPr="00E75FBA">
        <w:t>as dilaciones propiciadas por el Estado que incidieron en la falta de ejecución de la sentencia de 25 de octubre de 1993</w:t>
      </w:r>
      <w:bookmarkEnd w:id="67"/>
      <w:r w:rsidR="00BD156F" w:rsidRPr="00E75FBA">
        <w:t xml:space="preserve"> </w:t>
      </w:r>
    </w:p>
    <w:p w14:paraId="4E6656D5" w14:textId="77777777" w:rsidR="00BD156F" w:rsidRPr="00E75FBA" w:rsidRDefault="00BD156F" w:rsidP="00E75FBA">
      <w:pPr>
        <w:tabs>
          <w:tab w:val="left" w:pos="567"/>
          <w:tab w:val="left" w:pos="709"/>
        </w:tabs>
        <w:spacing w:after="0" w:line="240" w:lineRule="auto"/>
        <w:jc w:val="both"/>
        <w:rPr>
          <w:rFonts w:ascii="Verdana" w:hAnsi="Verdana"/>
          <w:i/>
          <w:spacing w:val="-2"/>
          <w:sz w:val="20"/>
          <w:szCs w:val="20"/>
        </w:rPr>
      </w:pPr>
    </w:p>
    <w:p w14:paraId="471E14E7" w14:textId="29EE8A24" w:rsidR="00BD156F" w:rsidRPr="00E75FBA" w:rsidRDefault="00BD156F" w:rsidP="00E75FBA">
      <w:pPr>
        <w:pStyle w:val="Prrafodelista"/>
        <w:numPr>
          <w:ilvl w:val="0"/>
          <w:numId w:val="10"/>
        </w:numPr>
        <w:tabs>
          <w:tab w:val="left" w:pos="567"/>
          <w:tab w:val="left" w:pos="709"/>
        </w:tabs>
        <w:spacing w:after="0" w:line="240" w:lineRule="auto"/>
        <w:ind w:left="0" w:firstLine="0"/>
        <w:jc w:val="both"/>
        <w:rPr>
          <w:rFonts w:ascii="Verdana" w:hAnsi="Verdana"/>
          <w:spacing w:val="-2"/>
          <w:sz w:val="20"/>
          <w:szCs w:val="20"/>
        </w:rPr>
      </w:pPr>
      <w:r w:rsidRPr="00E75FBA">
        <w:rPr>
          <w:rFonts w:ascii="Verdana" w:hAnsi="Verdana"/>
          <w:spacing w:val="-2"/>
          <w:sz w:val="20"/>
          <w:szCs w:val="20"/>
        </w:rPr>
        <w:t>El Estado alegó que “durante la etapa de ejecución de sentencia, surgieron una serie de debates, que no pudieron ser discutidos durante el proceso judicial [del amparo] y que necesariamente tuvieron que ser discutidos y dilucidados durante la etapa de ejecución (…) donde tratándose de obligaciones de dar suma de dinero (…) el juez a cargo tuvo que recurrir a la prueba pericial para que practique lo</w:t>
      </w:r>
      <w:r w:rsidR="0039102C" w:rsidRPr="00E75FBA">
        <w:rPr>
          <w:rFonts w:ascii="Verdana" w:hAnsi="Verdana"/>
          <w:spacing w:val="-2"/>
          <w:sz w:val="20"/>
          <w:szCs w:val="20"/>
        </w:rPr>
        <w:t>s cálculos y las liquidaciones”</w:t>
      </w:r>
      <w:r w:rsidRPr="00E75FBA">
        <w:rPr>
          <w:rFonts w:ascii="Verdana" w:hAnsi="Verdana"/>
          <w:spacing w:val="-2"/>
          <w:sz w:val="20"/>
          <w:szCs w:val="20"/>
        </w:rPr>
        <w:t>. Al respecto, la Corte advierte que, en efecto, al haber sido emitida en el marco de un proceso de amparo, la sentencia de 25 de octubre de 1993 dispuso en términos generales la protección y reivindicación del derecho de las presuntas víctimas a recibir sus pensiones niveladas y el reintegro de los montos no percibid</w:t>
      </w:r>
      <w:r w:rsidR="00022002" w:rsidRPr="00E75FBA">
        <w:rPr>
          <w:rFonts w:ascii="Verdana" w:hAnsi="Verdana"/>
          <w:spacing w:val="-2"/>
          <w:sz w:val="20"/>
          <w:szCs w:val="20"/>
        </w:rPr>
        <w:t>os durante la aplicación de la Tercera Disposición T</w:t>
      </w:r>
      <w:r w:rsidRPr="00E75FBA">
        <w:rPr>
          <w:rFonts w:ascii="Verdana" w:hAnsi="Verdana"/>
          <w:spacing w:val="-2"/>
          <w:sz w:val="20"/>
          <w:szCs w:val="20"/>
        </w:rPr>
        <w:t xml:space="preserve">ransitoria del Decreto 673, de manera que aunque estableció una obligación de pago a cargo del Estado, la misma no resultaba líquida por cuanto no habían sido determinadas las sumas específicas que debían reintegrarse. Al respecto, el perito Dante Ludwig Apolín manifestó lo siguiente: </w:t>
      </w:r>
    </w:p>
    <w:p w14:paraId="6814AE7E" w14:textId="77777777" w:rsidR="00BD156F" w:rsidRPr="00E75FBA" w:rsidRDefault="00BD156F" w:rsidP="00E75FBA">
      <w:pPr>
        <w:tabs>
          <w:tab w:val="left" w:pos="567"/>
          <w:tab w:val="left" w:pos="709"/>
        </w:tabs>
        <w:spacing w:after="0" w:line="240" w:lineRule="auto"/>
        <w:jc w:val="both"/>
        <w:rPr>
          <w:rFonts w:ascii="Verdana" w:hAnsi="Verdana"/>
          <w:spacing w:val="-2"/>
          <w:sz w:val="20"/>
          <w:szCs w:val="20"/>
        </w:rPr>
      </w:pPr>
    </w:p>
    <w:p w14:paraId="7C770A09" w14:textId="4C0C70D7" w:rsidR="00BD156F" w:rsidRPr="00E75FBA" w:rsidRDefault="00BD156F" w:rsidP="00E75FBA">
      <w:pPr>
        <w:spacing w:after="0" w:line="240" w:lineRule="auto"/>
        <w:ind w:left="749" w:right="1094" w:hanging="43"/>
        <w:jc w:val="both"/>
        <w:rPr>
          <w:rFonts w:ascii="Verdana" w:hAnsi="Verdana"/>
          <w:sz w:val="18"/>
          <w:szCs w:val="18"/>
        </w:rPr>
      </w:pPr>
      <w:r w:rsidRPr="00E75FBA">
        <w:rPr>
          <w:rFonts w:ascii="Verdana" w:hAnsi="Verdana"/>
          <w:sz w:val="18"/>
          <w:szCs w:val="18"/>
        </w:rPr>
        <w:t>“</w:t>
      </w:r>
      <w:r w:rsidR="00022002" w:rsidRPr="00E75FBA">
        <w:rPr>
          <w:rFonts w:ascii="Verdana" w:hAnsi="Verdana"/>
          <w:sz w:val="18"/>
          <w:szCs w:val="18"/>
        </w:rPr>
        <w:t xml:space="preserve">(…) </w:t>
      </w:r>
      <w:r w:rsidRPr="00E75FBA">
        <w:rPr>
          <w:rFonts w:ascii="Verdana" w:hAnsi="Verdana"/>
          <w:sz w:val="18"/>
          <w:szCs w:val="18"/>
        </w:rPr>
        <w:t>¿Qué ocurrió en el caso concreto? (…) la sentencia de la Corte Suprema del 25 de octubre del año 93 dispone tres consecuencias jurídicas en su parte resolutiva, tres mandatos: primero, la inaplicación de la tercera disposición transitoria del decreto legislativo 673; segundo, que el Estado reponga el derecho a percibir la pensión que les corresponda; tercero, que se les reintegre los incrementos dejados de percibir.</w:t>
      </w:r>
    </w:p>
    <w:p w14:paraId="7DC8FB8B" w14:textId="77777777" w:rsidR="00BD156F" w:rsidRPr="00E75FBA" w:rsidRDefault="00BD156F" w:rsidP="00E75FBA">
      <w:pPr>
        <w:spacing w:after="0" w:line="240" w:lineRule="auto"/>
        <w:ind w:left="749" w:right="1094" w:hanging="43"/>
        <w:jc w:val="both"/>
        <w:rPr>
          <w:rFonts w:ascii="Verdana" w:hAnsi="Verdana"/>
          <w:sz w:val="18"/>
          <w:szCs w:val="18"/>
        </w:rPr>
      </w:pPr>
    </w:p>
    <w:p w14:paraId="22670280" w14:textId="77777777" w:rsidR="00BD156F" w:rsidRPr="00E75FBA" w:rsidRDefault="00BD156F" w:rsidP="00E75FBA">
      <w:pPr>
        <w:spacing w:after="0" w:line="240" w:lineRule="auto"/>
        <w:ind w:left="749" w:right="1094" w:hanging="43"/>
        <w:jc w:val="both"/>
        <w:rPr>
          <w:rFonts w:ascii="Verdana" w:hAnsi="Verdana"/>
          <w:sz w:val="18"/>
          <w:szCs w:val="18"/>
        </w:rPr>
      </w:pPr>
      <w:r w:rsidRPr="00E75FBA">
        <w:rPr>
          <w:rFonts w:ascii="Verdana" w:hAnsi="Verdana"/>
          <w:sz w:val="18"/>
          <w:szCs w:val="18"/>
        </w:rPr>
        <w:t>La primera de estas consecuencias, el primero de estos mandatos, claramente es una declaración constitutiva, que no requiere de una conducta del demandado para que surta efectos (…). No obstante, las otras dos consecuencias, estos dos otros mandatos, imponen al demandado una conducta, que el Estado cumpla con una determinada prestación, (…) una prestación de dar suma de dinero.</w:t>
      </w:r>
    </w:p>
    <w:p w14:paraId="64D7BDD7" w14:textId="77777777" w:rsidR="00BD156F" w:rsidRPr="00E75FBA" w:rsidRDefault="00BD156F" w:rsidP="00E75FBA">
      <w:pPr>
        <w:spacing w:after="0" w:line="240" w:lineRule="auto"/>
        <w:ind w:left="749" w:right="1094" w:hanging="43"/>
        <w:jc w:val="both"/>
        <w:rPr>
          <w:rFonts w:ascii="Verdana" w:hAnsi="Verdana"/>
          <w:sz w:val="18"/>
          <w:szCs w:val="18"/>
        </w:rPr>
      </w:pPr>
    </w:p>
    <w:p w14:paraId="439ADD09" w14:textId="77777777" w:rsidR="00BD156F" w:rsidRPr="00E75FBA" w:rsidRDefault="00BD156F" w:rsidP="00E75FBA">
      <w:pPr>
        <w:spacing w:after="0" w:line="240" w:lineRule="auto"/>
        <w:ind w:left="749" w:right="1094" w:hanging="43"/>
        <w:jc w:val="both"/>
        <w:rPr>
          <w:rFonts w:ascii="Verdana" w:hAnsi="Verdana"/>
          <w:sz w:val="18"/>
          <w:szCs w:val="18"/>
        </w:rPr>
      </w:pPr>
      <w:r w:rsidRPr="00E75FBA">
        <w:rPr>
          <w:rFonts w:ascii="Verdana" w:hAnsi="Verdana"/>
          <w:sz w:val="18"/>
          <w:szCs w:val="18"/>
        </w:rPr>
        <w:t>Sin embargo, estas dos últimas prestaciones (…) no establecen el monto o la cuantía que corresponde que el Estado entregue a la parte demandante. Es decir, son sentencias de condena que imponen una prestación de dar sumas de dinero pero ilíquidas”</w:t>
      </w:r>
      <w:r w:rsidRPr="00E75FBA">
        <w:rPr>
          <w:rStyle w:val="Refdenotaalpie"/>
          <w:rFonts w:ascii="Verdana" w:hAnsi="Verdana"/>
          <w:sz w:val="18"/>
          <w:szCs w:val="18"/>
        </w:rPr>
        <w:footnoteReference w:id="197"/>
      </w:r>
      <w:r w:rsidRPr="00E75FBA">
        <w:rPr>
          <w:rFonts w:ascii="Verdana" w:hAnsi="Verdana"/>
          <w:sz w:val="18"/>
          <w:szCs w:val="18"/>
        </w:rPr>
        <w:t xml:space="preserve">. </w:t>
      </w:r>
    </w:p>
    <w:p w14:paraId="271E8CBF" w14:textId="77777777" w:rsidR="00BD156F" w:rsidRPr="00E75FBA" w:rsidRDefault="00BD156F" w:rsidP="00E75FBA">
      <w:pPr>
        <w:spacing w:after="0" w:line="240" w:lineRule="auto"/>
        <w:ind w:right="1094"/>
        <w:jc w:val="both"/>
        <w:rPr>
          <w:rFonts w:ascii="Verdana" w:hAnsi="Verdana"/>
          <w:sz w:val="20"/>
          <w:szCs w:val="20"/>
        </w:rPr>
      </w:pPr>
    </w:p>
    <w:p w14:paraId="75608A93" w14:textId="67F5E1D4" w:rsidR="0002065C" w:rsidRPr="000B33B9" w:rsidRDefault="0037315C" w:rsidP="00E75FBA">
      <w:pPr>
        <w:pStyle w:val="Prrafodelista"/>
        <w:numPr>
          <w:ilvl w:val="0"/>
          <w:numId w:val="10"/>
        </w:numPr>
        <w:tabs>
          <w:tab w:val="left" w:pos="709"/>
        </w:tabs>
        <w:spacing w:after="0" w:line="240" w:lineRule="auto"/>
        <w:ind w:left="0" w:firstLine="0"/>
        <w:jc w:val="both"/>
        <w:rPr>
          <w:rFonts w:ascii="Verdana" w:hAnsi="Verdana"/>
          <w:spacing w:val="-2"/>
          <w:sz w:val="20"/>
          <w:szCs w:val="20"/>
        </w:rPr>
      </w:pPr>
      <w:r w:rsidRPr="00E75FBA">
        <w:rPr>
          <w:rFonts w:ascii="Verdana" w:hAnsi="Verdana"/>
          <w:spacing w:val="-2"/>
          <w:sz w:val="20"/>
          <w:szCs w:val="20"/>
        </w:rPr>
        <w:t>En relación con lo anterior, la Corte recuerda que no son efectivos los recursos judiciales que por las circunstancias particulares de un caso resultan ilusorios como consecuencia de que el Estado no provee los medios necesarios para ejecutar las sentencias que los juzgaron procedentes  o cuando existen retardos injustificados en las decisiones</w:t>
      </w:r>
      <w:r w:rsidRPr="00E75FBA">
        <w:rPr>
          <w:rStyle w:val="Refdenotaalpie"/>
          <w:rFonts w:ascii="Verdana" w:hAnsi="Verdana"/>
          <w:spacing w:val="-2"/>
          <w:sz w:val="20"/>
          <w:szCs w:val="20"/>
        </w:rPr>
        <w:footnoteReference w:id="198"/>
      </w:r>
      <w:r w:rsidRPr="00E75FBA">
        <w:rPr>
          <w:rFonts w:ascii="Verdana" w:hAnsi="Verdana"/>
          <w:spacing w:val="-2"/>
          <w:sz w:val="20"/>
          <w:szCs w:val="20"/>
        </w:rPr>
        <w:t>. Al respecto, el Tribunal r</w:t>
      </w:r>
      <w:r w:rsidR="00117906" w:rsidRPr="00E75FBA">
        <w:rPr>
          <w:rFonts w:ascii="Verdana" w:hAnsi="Verdana"/>
          <w:spacing w:val="-2"/>
          <w:sz w:val="20"/>
          <w:szCs w:val="20"/>
        </w:rPr>
        <w:t xml:space="preserve">eitera </w:t>
      </w:r>
      <w:r w:rsidRPr="00E75FBA">
        <w:rPr>
          <w:rFonts w:ascii="Verdana" w:hAnsi="Verdana"/>
          <w:spacing w:val="-2"/>
          <w:sz w:val="20"/>
          <w:szCs w:val="20"/>
        </w:rPr>
        <w:t>que como parte de las obligaciones contenidas en el artículo 25 de la Convención, las autoridades públicas no pueden</w:t>
      </w:r>
      <w:r w:rsidRPr="00E75FBA">
        <w:rPr>
          <w:rFonts w:ascii="Verdana" w:hAnsi="Verdana"/>
          <w:color w:val="211D1E"/>
          <w:sz w:val="20"/>
          <w:szCs w:val="20"/>
        </w:rPr>
        <w:t xml:space="preserve"> obstaculizar el sentido y alcance de las decisiones judiciales ni retrasar</w:t>
      </w:r>
      <w:r w:rsidRPr="000B33B9">
        <w:rPr>
          <w:rFonts w:ascii="Verdana" w:hAnsi="Verdana"/>
          <w:color w:val="211D1E"/>
          <w:sz w:val="20"/>
          <w:szCs w:val="20"/>
        </w:rPr>
        <w:t xml:space="preserve"> indebidamente su ejecución</w:t>
      </w:r>
      <w:r w:rsidRPr="000B33B9">
        <w:rPr>
          <w:rStyle w:val="Refdenotaalpie"/>
          <w:rFonts w:ascii="Verdana" w:hAnsi="Verdana"/>
          <w:color w:val="211D1E"/>
          <w:sz w:val="20"/>
          <w:szCs w:val="20"/>
        </w:rPr>
        <w:footnoteReference w:id="199"/>
      </w:r>
      <w:r w:rsidRPr="000B33B9">
        <w:rPr>
          <w:rFonts w:ascii="Verdana" w:hAnsi="Verdana"/>
          <w:color w:val="211D1E"/>
          <w:sz w:val="20"/>
          <w:szCs w:val="20"/>
        </w:rPr>
        <w:t>. En este caso, n</w:t>
      </w:r>
      <w:r w:rsidRPr="000B33B9">
        <w:rPr>
          <w:rFonts w:ascii="Verdana" w:hAnsi="Verdana"/>
          <w:sz w:val="20"/>
          <w:szCs w:val="20"/>
        </w:rPr>
        <w:t>o obstante la existencia de un debate judicial respecto de la determinación de los montos específicos que habían de ser pagados a las presuntas víctimas, lo cual influyó en que la sentencia no pudiera ser ejecutada de forma inmediata, el Tribunal advierte la existencia de una serie de actuaciones por parte de las autoridades estatales que retrasaron la ejecución de dicha sentencia y que necesariamente incidieron en que todavía no hayan sido pagados a las víctimas los reintegros por concepto de la nivelación de sus pensiones. Al hab</w:t>
      </w:r>
      <w:r w:rsidR="00117906" w:rsidRPr="000B33B9">
        <w:rPr>
          <w:rFonts w:ascii="Verdana" w:hAnsi="Verdana"/>
          <w:sz w:val="20"/>
          <w:szCs w:val="20"/>
        </w:rPr>
        <w:t xml:space="preserve">er impactado directamente en el proceso de </w:t>
      </w:r>
      <w:r w:rsidRPr="000B33B9">
        <w:rPr>
          <w:rFonts w:ascii="Verdana" w:hAnsi="Verdana"/>
          <w:sz w:val="20"/>
          <w:szCs w:val="20"/>
        </w:rPr>
        <w:t>ejecución de la sentencia de 25 de octubre de 1993, estas actuaciones serán abordadas en el análisis relativo a la alegada vulneración a la garantía del plazo razonable prevista en el artículo 8 de la Convención.</w:t>
      </w:r>
    </w:p>
    <w:p w14:paraId="0B19F5B0" w14:textId="77777777" w:rsidR="00BD156F" w:rsidRPr="000B33B9" w:rsidRDefault="00BD156F" w:rsidP="009B2521">
      <w:pPr>
        <w:pStyle w:val="Prrafodelista"/>
        <w:tabs>
          <w:tab w:val="left" w:pos="709"/>
        </w:tabs>
        <w:spacing w:after="0" w:line="240" w:lineRule="auto"/>
        <w:ind w:left="0"/>
        <w:jc w:val="both"/>
        <w:rPr>
          <w:rFonts w:ascii="Verdana" w:hAnsi="Verdana"/>
          <w:spacing w:val="-2"/>
          <w:sz w:val="20"/>
          <w:szCs w:val="20"/>
        </w:rPr>
      </w:pPr>
    </w:p>
    <w:p w14:paraId="7DF31BD4" w14:textId="77777777" w:rsidR="00BD156F" w:rsidRPr="000B33B9" w:rsidRDefault="00BD156F" w:rsidP="009B2521">
      <w:pPr>
        <w:pStyle w:val="Ttulo2"/>
        <w:numPr>
          <w:ilvl w:val="0"/>
          <w:numId w:val="0"/>
        </w:numPr>
        <w:ind w:left="928"/>
      </w:pPr>
      <w:bookmarkStart w:id="68" w:name="_Toc27329771"/>
      <w:r w:rsidRPr="000B33B9">
        <w:t>B. Plazo razonable</w:t>
      </w:r>
      <w:bookmarkEnd w:id="68"/>
    </w:p>
    <w:p w14:paraId="727F8B60" w14:textId="77777777" w:rsidR="00BD156F" w:rsidRPr="000B33B9" w:rsidRDefault="00BD156F" w:rsidP="009B2521">
      <w:pPr>
        <w:tabs>
          <w:tab w:val="left" w:pos="1658"/>
        </w:tabs>
        <w:spacing w:after="0" w:line="240" w:lineRule="auto"/>
        <w:jc w:val="both"/>
        <w:rPr>
          <w:rFonts w:ascii="Verdana" w:hAnsi="Verdana"/>
          <w:sz w:val="20"/>
          <w:szCs w:val="20"/>
          <w:lang w:val="es-DO"/>
        </w:rPr>
      </w:pPr>
    </w:p>
    <w:p w14:paraId="2212C95A" w14:textId="66A8FC27" w:rsidR="00BD156F" w:rsidRPr="000B33B9" w:rsidRDefault="00BD156F" w:rsidP="009B2521">
      <w:pPr>
        <w:pStyle w:val="Ttulo3"/>
        <w:numPr>
          <w:ilvl w:val="0"/>
          <w:numId w:val="0"/>
        </w:numPr>
        <w:ind w:left="1353"/>
        <w:rPr>
          <w:lang w:val="es-DO"/>
        </w:rPr>
      </w:pPr>
      <w:bookmarkStart w:id="69" w:name="_Toc27329772"/>
      <w:r w:rsidRPr="000B33B9">
        <w:rPr>
          <w:lang w:val="es-DO"/>
        </w:rPr>
        <w:t xml:space="preserve">B.1. </w:t>
      </w:r>
      <w:r w:rsidR="002B063D" w:rsidRPr="000B33B9">
        <w:rPr>
          <w:lang w:val="es-DO"/>
        </w:rPr>
        <w:t>Argumentos</w:t>
      </w:r>
      <w:r w:rsidRPr="000B33B9">
        <w:rPr>
          <w:lang w:val="es-DO"/>
        </w:rPr>
        <w:t xml:space="preserve"> de la Comisión y las partes</w:t>
      </w:r>
      <w:bookmarkEnd w:id="69"/>
    </w:p>
    <w:p w14:paraId="45C355B1" w14:textId="77777777" w:rsidR="00BD156F" w:rsidRPr="000B33B9" w:rsidRDefault="00BD156F" w:rsidP="009B2521">
      <w:pPr>
        <w:tabs>
          <w:tab w:val="left" w:pos="1658"/>
        </w:tabs>
        <w:spacing w:after="0" w:line="240" w:lineRule="auto"/>
        <w:jc w:val="both"/>
        <w:rPr>
          <w:rFonts w:ascii="Verdana" w:hAnsi="Verdana"/>
          <w:sz w:val="20"/>
          <w:szCs w:val="20"/>
          <w:lang w:val="es-DO"/>
        </w:rPr>
      </w:pPr>
    </w:p>
    <w:p w14:paraId="71BB3287" w14:textId="459B597D" w:rsidR="00BD156F" w:rsidRPr="000B33B9" w:rsidRDefault="00BD156F" w:rsidP="009B2521">
      <w:pPr>
        <w:pStyle w:val="Prrafodelista"/>
        <w:numPr>
          <w:ilvl w:val="0"/>
          <w:numId w:val="10"/>
        </w:numPr>
        <w:spacing w:after="0" w:line="240" w:lineRule="auto"/>
        <w:ind w:left="0" w:firstLine="0"/>
        <w:jc w:val="both"/>
        <w:rPr>
          <w:rFonts w:ascii="Verdana" w:hAnsi="Verdana"/>
          <w:b/>
          <w:sz w:val="20"/>
          <w:szCs w:val="20"/>
          <w:lang w:val="es-DO"/>
        </w:rPr>
      </w:pPr>
      <w:r w:rsidRPr="000B33B9">
        <w:rPr>
          <w:rFonts w:ascii="Verdana" w:hAnsi="Verdana"/>
          <w:sz w:val="20"/>
          <w:szCs w:val="20"/>
          <w:lang w:val="es-DO"/>
        </w:rPr>
        <w:t xml:space="preserve">La </w:t>
      </w:r>
      <w:r w:rsidRPr="000B33B9">
        <w:rPr>
          <w:rFonts w:ascii="Verdana" w:hAnsi="Verdana"/>
          <w:b/>
          <w:i/>
          <w:sz w:val="20"/>
          <w:szCs w:val="20"/>
          <w:lang w:val="es-DO"/>
        </w:rPr>
        <w:t xml:space="preserve">Comisión </w:t>
      </w:r>
      <w:r w:rsidRPr="000B33B9">
        <w:rPr>
          <w:rFonts w:ascii="Verdana" w:hAnsi="Verdana"/>
          <w:sz w:val="20"/>
          <w:szCs w:val="20"/>
          <w:lang w:val="es-DO"/>
        </w:rPr>
        <w:t xml:space="preserve">alegó que el Estado es responsable por la violación al artículo 8.1 de la Convención dado que no constituye un plazo razonable el periodo de 25 años transcurrido sin ejecutar la sentencia desde su emisión en 1993, y que el punto de partida del plazo razonable comienza desde la primera sentencia firme. Para sostener que dicho plazo resultaba irrazonable, la Comisión examinó los siguientes criterios: </w:t>
      </w:r>
      <w:r w:rsidR="00804A6C" w:rsidRPr="000B33B9">
        <w:rPr>
          <w:rFonts w:ascii="Verdana" w:hAnsi="Verdana"/>
          <w:sz w:val="20"/>
          <w:szCs w:val="20"/>
          <w:lang w:val="es-DO"/>
        </w:rPr>
        <w:t>a</w:t>
      </w:r>
      <w:r w:rsidRPr="000B33B9">
        <w:rPr>
          <w:rFonts w:ascii="Verdana" w:hAnsi="Verdana"/>
          <w:sz w:val="20"/>
          <w:szCs w:val="20"/>
          <w:lang w:val="es-DO"/>
        </w:rPr>
        <w:t xml:space="preserve">) complejidad del asunto, </w:t>
      </w:r>
      <w:r w:rsidR="00804A6C" w:rsidRPr="000B33B9">
        <w:rPr>
          <w:rFonts w:ascii="Verdana" w:hAnsi="Verdana"/>
          <w:sz w:val="20"/>
          <w:szCs w:val="20"/>
          <w:lang w:val="es-DO"/>
        </w:rPr>
        <w:t>b</w:t>
      </w:r>
      <w:r w:rsidRPr="000B33B9">
        <w:rPr>
          <w:rFonts w:ascii="Verdana" w:hAnsi="Verdana"/>
          <w:sz w:val="20"/>
          <w:szCs w:val="20"/>
          <w:lang w:val="es-DO"/>
        </w:rPr>
        <w:t xml:space="preserve">) actividad procesal, </w:t>
      </w:r>
      <w:r w:rsidR="00804A6C" w:rsidRPr="000B33B9">
        <w:rPr>
          <w:rFonts w:ascii="Verdana" w:hAnsi="Verdana"/>
          <w:sz w:val="20"/>
          <w:szCs w:val="20"/>
          <w:lang w:val="es-DO"/>
        </w:rPr>
        <w:t>c</w:t>
      </w:r>
      <w:r w:rsidRPr="000B33B9">
        <w:rPr>
          <w:rFonts w:ascii="Verdana" w:hAnsi="Verdana"/>
          <w:sz w:val="20"/>
          <w:szCs w:val="20"/>
          <w:lang w:val="es-DO"/>
        </w:rPr>
        <w:t xml:space="preserve">) conducta de las autoridades, </w:t>
      </w:r>
      <w:r w:rsidR="00804A6C" w:rsidRPr="000B33B9">
        <w:rPr>
          <w:rFonts w:ascii="Verdana" w:hAnsi="Verdana"/>
          <w:sz w:val="20"/>
          <w:szCs w:val="20"/>
          <w:lang w:val="es-DO"/>
        </w:rPr>
        <w:t>d</w:t>
      </w:r>
      <w:r w:rsidR="00FF1FF4" w:rsidRPr="000B33B9">
        <w:rPr>
          <w:rFonts w:ascii="Verdana" w:hAnsi="Verdana"/>
          <w:sz w:val="20"/>
          <w:szCs w:val="20"/>
          <w:lang w:val="es-DO"/>
        </w:rPr>
        <w:t>) afectación general</w:t>
      </w:r>
      <w:r w:rsidRPr="000B33B9">
        <w:rPr>
          <w:rFonts w:ascii="Verdana" w:hAnsi="Verdana"/>
          <w:sz w:val="20"/>
          <w:szCs w:val="20"/>
          <w:lang w:val="es-DO"/>
        </w:rPr>
        <w:t>. Sobre el primer elemento, la Comisión sostuvo que al principio el asunto no resultaba complejo en tanto que existía una sentencia judicial firme que debía ser ejecutada. Sobre la participación del interesado, la</w:t>
      </w:r>
      <w:r w:rsidRPr="000B33B9">
        <w:rPr>
          <w:rFonts w:ascii="Verdana" w:hAnsi="Verdana"/>
          <w:b/>
          <w:sz w:val="20"/>
          <w:szCs w:val="20"/>
          <w:lang w:val="es-DO"/>
        </w:rPr>
        <w:t xml:space="preserve"> </w:t>
      </w:r>
      <w:r w:rsidRPr="000B33B9">
        <w:rPr>
          <w:rFonts w:ascii="Verdana" w:hAnsi="Verdana"/>
          <w:sz w:val="20"/>
          <w:szCs w:val="20"/>
          <w:lang w:val="es-DO"/>
        </w:rPr>
        <w:t>Comisión resaltó que el hecho de que las personas afectadas utilicen los recursos disponibles para solicitar el cumplimiento de una decisión es compatible con sus derechos y no ju</w:t>
      </w:r>
      <w:r w:rsidR="00FF1FF4" w:rsidRPr="000B33B9">
        <w:rPr>
          <w:rFonts w:ascii="Verdana" w:hAnsi="Verdana"/>
          <w:sz w:val="20"/>
          <w:szCs w:val="20"/>
          <w:lang w:val="es-DO"/>
        </w:rPr>
        <w:t>stifica la demora en el proceso</w:t>
      </w:r>
      <w:r w:rsidRPr="000B33B9">
        <w:rPr>
          <w:rFonts w:ascii="Verdana" w:hAnsi="Verdana"/>
          <w:sz w:val="20"/>
          <w:szCs w:val="20"/>
          <w:lang w:val="es-DO"/>
        </w:rPr>
        <w:t>.</w:t>
      </w:r>
      <w:r w:rsidRPr="000B33B9">
        <w:rPr>
          <w:rFonts w:ascii="Verdana" w:hAnsi="Verdana"/>
          <w:b/>
          <w:sz w:val="20"/>
          <w:szCs w:val="20"/>
          <w:lang w:val="es-DO"/>
        </w:rPr>
        <w:t xml:space="preserve"> </w:t>
      </w:r>
      <w:r w:rsidRPr="000B33B9">
        <w:rPr>
          <w:rFonts w:ascii="Verdana" w:hAnsi="Verdana"/>
          <w:sz w:val="20"/>
          <w:szCs w:val="20"/>
          <w:lang w:val="es-DO"/>
        </w:rPr>
        <w:t>En cuanto a la conducta de las autoridades, reiteró que su actuación durante la etapa de ejecución de la sentencia ha sido inefectiva para resolver aspectos sustanciales de su cumplimiento.</w:t>
      </w:r>
      <w:r w:rsidRPr="000B33B9">
        <w:rPr>
          <w:rFonts w:ascii="Verdana" w:hAnsi="Verdana"/>
          <w:b/>
          <w:sz w:val="20"/>
          <w:szCs w:val="20"/>
          <w:lang w:val="es-DO"/>
        </w:rPr>
        <w:t xml:space="preserve"> </w:t>
      </w:r>
      <w:r w:rsidRPr="000B33B9">
        <w:rPr>
          <w:rFonts w:ascii="Verdana" w:hAnsi="Verdana"/>
          <w:sz w:val="20"/>
          <w:szCs w:val="20"/>
          <w:lang w:val="es-DO"/>
        </w:rPr>
        <w:t xml:space="preserve">Finalmente, en lo referente a la afectación generada, sostuvo que en materia de pensiones el transcurso del tiempo puede tener un efecto muy impactante y, en tal sentido, tomó en consideración que a la fecha han fallecido más de 100 miembros de </w:t>
      </w:r>
      <w:r w:rsidR="00FF1FF4" w:rsidRPr="000B33B9">
        <w:rPr>
          <w:rFonts w:ascii="Verdana" w:hAnsi="Verdana"/>
          <w:sz w:val="20"/>
          <w:szCs w:val="20"/>
          <w:lang w:val="es-DO"/>
        </w:rPr>
        <w:t>ANCEJUB-SUNAT</w:t>
      </w:r>
      <w:r w:rsidRPr="000B33B9">
        <w:rPr>
          <w:rFonts w:ascii="Verdana" w:hAnsi="Verdana"/>
          <w:sz w:val="20"/>
          <w:szCs w:val="20"/>
          <w:lang w:val="es-DO"/>
        </w:rPr>
        <w:t>.</w:t>
      </w:r>
    </w:p>
    <w:p w14:paraId="358E4CF8" w14:textId="77777777" w:rsidR="00BD156F" w:rsidRPr="000B33B9" w:rsidRDefault="00BD156F" w:rsidP="009B2521">
      <w:pPr>
        <w:pStyle w:val="Prrafodelista"/>
        <w:spacing w:after="0" w:line="240" w:lineRule="auto"/>
        <w:ind w:left="0"/>
        <w:jc w:val="both"/>
        <w:rPr>
          <w:rFonts w:ascii="Verdana" w:hAnsi="Verdana"/>
          <w:b/>
          <w:sz w:val="20"/>
          <w:szCs w:val="20"/>
          <w:lang w:val="es-DO"/>
        </w:rPr>
      </w:pPr>
    </w:p>
    <w:p w14:paraId="2F2B9D89" w14:textId="32666F5D" w:rsidR="00BD156F" w:rsidRPr="000B33B9" w:rsidRDefault="00BD156F" w:rsidP="009B2521">
      <w:pPr>
        <w:pStyle w:val="Prrafodelista"/>
        <w:numPr>
          <w:ilvl w:val="0"/>
          <w:numId w:val="10"/>
        </w:numPr>
        <w:spacing w:after="0" w:line="240" w:lineRule="auto"/>
        <w:ind w:left="0" w:firstLine="0"/>
        <w:jc w:val="both"/>
        <w:rPr>
          <w:rFonts w:ascii="Verdana" w:hAnsi="Verdana"/>
          <w:b/>
          <w:sz w:val="20"/>
          <w:szCs w:val="20"/>
          <w:lang w:val="es-DO"/>
        </w:rPr>
      </w:pPr>
      <w:r w:rsidRPr="000B33B9">
        <w:rPr>
          <w:rFonts w:ascii="Verdana" w:hAnsi="Verdana"/>
          <w:sz w:val="20"/>
          <w:szCs w:val="20"/>
          <w:lang w:val="es-DO"/>
        </w:rPr>
        <w:t xml:space="preserve">Los </w:t>
      </w:r>
      <w:r w:rsidRPr="000B33B9">
        <w:rPr>
          <w:rFonts w:ascii="Verdana" w:hAnsi="Verdana"/>
          <w:b/>
          <w:i/>
          <w:sz w:val="20"/>
          <w:szCs w:val="20"/>
          <w:lang w:val="es-DO"/>
        </w:rPr>
        <w:t>representantes</w:t>
      </w:r>
      <w:r w:rsidRPr="000B33B9">
        <w:rPr>
          <w:rFonts w:ascii="Verdana" w:hAnsi="Verdana"/>
          <w:b/>
          <w:sz w:val="20"/>
          <w:szCs w:val="20"/>
          <w:lang w:val="es-DO"/>
        </w:rPr>
        <w:t xml:space="preserve"> </w:t>
      </w:r>
      <w:r w:rsidRPr="000B33B9">
        <w:rPr>
          <w:rFonts w:ascii="Verdana" w:hAnsi="Verdana"/>
          <w:sz w:val="20"/>
          <w:szCs w:val="20"/>
          <w:lang w:val="es-DO"/>
        </w:rPr>
        <w:t>alegaron que “</w:t>
      </w:r>
      <w:r w:rsidR="00FF1FF4" w:rsidRPr="000B33B9">
        <w:rPr>
          <w:rFonts w:ascii="Verdana" w:hAnsi="Verdana"/>
          <w:sz w:val="20"/>
          <w:szCs w:val="20"/>
          <w:lang w:val="es-DO"/>
        </w:rPr>
        <w:t xml:space="preserve">(…) </w:t>
      </w:r>
      <w:r w:rsidRPr="000B33B9">
        <w:rPr>
          <w:rFonts w:ascii="Verdana" w:hAnsi="Verdana"/>
          <w:sz w:val="20"/>
          <w:szCs w:val="20"/>
          <w:lang w:val="es-DO"/>
        </w:rPr>
        <w:t xml:space="preserve">casi </w:t>
      </w:r>
      <w:r w:rsidR="00A074B7" w:rsidRPr="000B33B9">
        <w:rPr>
          <w:rFonts w:ascii="Verdana" w:hAnsi="Verdana"/>
          <w:sz w:val="20"/>
          <w:szCs w:val="20"/>
          <w:lang w:val="es-DO"/>
        </w:rPr>
        <w:t>[27]</w:t>
      </w:r>
      <w:r w:rsidRPr="000B33B9">
        <w:rPr>
          <w:rFonts w:ascii="Verdana" w:hAnsi="Verdana"/>
          <w:sz w:val="20"/>
          <w:szCs w:val="20"/>
          <w:lang w:val="es-DO"/>
        </w:rPr>
        <w:t xml:space="preserve"> años después de presentada al Poder Judicial, el Estado peruano no ha dado una respuesta definitiva al reclamo de</w:t>
      </w:r>
      <w:r w:rsidR="00FF1FF4" w:rsidRPr="000B33B9">
        <w:rPr>
          <w:rFonts w:ascii="Verdana" w:hAnsi="Verdana"/>
          <w:sz w:val="20"/>
          <w:szCs w:val="20"/>
          <w:lang w:val="es-DO"/>
        </w:rPr>
        <w:t xml:space="preserve"> ANCEJUB-SUNAT”</w:t>
      </w:r>
      <w:r w:rsidRPr="000B33B9">
        <w:rPr>
          <w:rFonts w:ascii="Verdana" w:hAnsi="Verdana"/>
          <w:sz w:val="20"/>
          <w:szCs w:val="20"/>
          <w:lang w:val="es-DO"/>
        </w:rPr>
        <w:t>. Afirmaron que lo anterior “se trata de una demora prolongada que, como la que se ha dado en este caso, constituye en principio, y por sí misma una violación de las garantías judiciales”, por lo que el Estado es responsable por la violación del artículo 8 de la Convención. De igual manera, los representantes sostuvieron que la demora en el proceso no es resultado de “una actuación irrazonable de las víctimas”, sino de las “actuaciones sistemáticamente distorsionadoras de las autoridades est</w:t>
      </w:r>
      <w:r w:rsidR="00FF1FF4" w:rsidRPr="000B33B9">
        <w:rPr>
          <w:rFonts w:ascii="Verdana" w:hAnsi="Verdana"/>
          <w:sz w:val="20"/>
          <w:szCs w:val="20"/>
          <w:lang w:val="es-DO"/>
        </w:rPr>
        <w:t>atales a lo largo del proceso”.</w:t>
      </w:r>
    </w:p>
    <w:p w14:paraId="374769A3" w14:textId="77777777" w:rsidR="00BD156F" w:rsidRPr="000B33B9" w:rsidRDefault="00BD156F" w:rsidP="009B2521">
      <w:pPr>
        <w:pStyle w:val="Prrafodelista"/>
        <w:spacing w:after="0" w:line="240" w:lineRule="auto"/>
        <w:ind w:left="0"/>
        <w:jc w:val="both"/>
        <w:rPr>
          <w:rFonts w:ascii="Verdana" w:hAnsi="Verdana"/>
          <w:b/>
          <w:sz w:val="20"/>
          <w:szCs w:val="20"/>
          <w:lang w:val="es-DO"/>
        </w:rPr>
      </w:pPr>
    </w:p>
    <w:p w14:paraId="49AC5606" w14:textId="172F8C55" w:rsidR="00BD156F" w:rsidRPr="000B33B9" w:rsidRDefault="00BD156F" w:rsidP="009B2521">
      <w:pPr>
        <w:pStyle w:val="Prrafodelista"/>
        <w:numPr>
          <w:ilvl w:val="0"/>
          <w:numId w:val="10"/>
        </w:numPr>
        <w:spacing w:after="0" w:line="240" w:lineRule="auto"/>
        <w:ind w:left="0" w:firstLine="0"/>
        <w:jc w:val="both"/>
        <w:rPr>
          <w:rFonts w:ascii="Verdana" w:hAnsi="Verdana"/>
          <w:b/>
          <w:sz w:val="20"/>
          <w:szCs w:val="20"/>
          <w:lang w:val="es-DO"/>
        </w:rPr>
      </w:pPr>
      <w:r w:rsidRPr="000B33B9">
        <w:rPr>
          <w:rFonts w:ascii="Verdana" w:hAnsi="Verdana"/>
          <w:sz w:val="20"/>
          <w:szCs w:val="20"/>
          <w:lang w:val="es-DO"/>
        </w:rPr>
        <w:t xml:space="preserve">El </w:t>
      </w:r>
      <w:r w:rsidRPr="000B33B9">
        <w:rPr>
          <w:rFonts w:ascii="Verdana" w:hAnsi="Verdana"/>
          <w:b/>
          <w:i/>
          <w:sz w:val="20"/>
          <w:szCs w:val="20"/>
          <w:lang w:val="es-DO"/>
        </w:rPr>
        <w:t>Estado</w:t>
      </w:r>
      <w:r w:rsidRPr="000B33B9">
        <w:rPr>
          <w:rFonts w:ascii="Verdana" w:hAnsi="Verdana"/>
          <w:i/>
          <w:sz w:val="20"/>
          <w:szCs w:val="20"/>
          <w:lang w:val="es-DO"/>
        </w:rPr>
        <w:t xml:space="preserve"> </w:t>
      </w:r>
      <w:r w:rsidRPr="000B33B9">
        <w:rPr>
          <w:rFonts w:ascii="Verdana" w:hAnsi="Verdana"/>
          <w:sz w:val="20"/>
          <w:szCs w:val="20"/>
          <w:lang w:val="es-DO"/>
        </w:rPr>
        <w:t>sostuvo que no es responsable por la violación del artículo 8.1 de la Convención. Sobre el elemento de la complejidad del asunto, el Estado alegó que la manera genérica en que la Sentencia de 25 de octubre de 1993 dispuso la nivelación de las pensiones, se debió a que el proceso de amparo incoado por los miembros de ANCEJUB-SUNAT careció de una etapa probatoria y por tanto “no se pudo discutir la naturaleza, conceptos y montos de las pensiones”</w:t>
      </w:r>
      <w:r w:rsidRPr="000B33B9">
        <w:rPr>
          <w:rFonts w:ascii="Verdana" w:hAnsi="Verdana"/>
          <w:b/>
          <w:sz w:val="20"/>
          <w:szCs w:val="20"/>
          <w:lang w:val="es-DO"/>
        </w:rPr>
        <w:t xml:space="preserve">. </w:t>
      </w:r>
      <w:r w:rsidRPr="000B33B9">
        <w:rPr>
          <w:rFonts w:ascii="Verdana" w:hAnsi="Verdana"/>
          <w:sz w:val="20"/>
          <w:szCs w:val="20"/>
          <w:lang w:val="es-DO"/>
        </w:rPr>
        <w:t>De igual manera, señaló que la cantidad de víctimas y el hecho de que a cada una correspondía a una categoría, nivel remunerativo, tiempo de servicio y cargo distinto, contribuyó a la complejidad “que presentaba desde un inicio el proceso de ejecución”. Sobre la actuación de los interesados, el Estado puntualizó que las acciones interpuestas por ANCEJUB-SUNAT no estaban encaminadas a cumplir la decisión de 25 de octubre de 1993, sino a desconocer las resoluciones emitidas por las autoridades para garantizar su ejecución, y al respecto, agregó que por un lapso de 12 años desde el 8 de mayo de 2006, “</w:t>
      </w:r>
      <w:r w:rsidR="00FF1FF4" w:rsidRPr="000B33B9">
        <w:rPr>
          <w:rFonts w:ascii="Verdana" w:hAnsi="Verdana"/>
          <w:sz w:val="20"/>
          <w:szCs w:val="20"/>
          <w:lang w:val="es-DO"/>
        </w:rPr>
        <w:t xml:space="preserve">(…) </w:t>
      </w:r>
      <w:r w:rsidRPr="000B33B9">
        <w:rPr>
          <w:rFonts w:ascii="Verdana" w:hAnsi="Verdana"/>
          <w:sz w:val="20"/>
          <w:szCs w:val="20"/>
          <w:lang w:val="es-DO"/>
        </w:rPr>
        <w:t>los miembros de ANCEJUB-SUNAT han venido dilatando el proceso en claro incumplimiento de los mandatos judiciales de los tribunales”. En referencia al elemento sobre la conducta de las autoridades, el Estado indicó que las mismas “resolvieron oportunamente los aspectos fundamentales e indispensables para la ejecución de la sentencia del 25 de octubre de 1993” y que “la mayor duración del procedimiento no ha sido motivado por el Estado peruano y en tal sentido el transcurrir del tiempo no puede atribuírsele</w:t>
      </w:r>
      <w:r w:rsidR="00FF1FF4" w:rsidRPr="000B33B9">
        <w:rPr>
          <w:rFonts w:ascii="Verdana" w:hAnsi="Verdana"/>
          <w:sz w:val="20"/>
          <w:szCs w:val="20"/>
          <w:lang w:val="es-DO"/>
        </w:rPr>
        <w:t>”</w:t>
      </w:r>
      <w:r w:rsidRPr="000B33B9">
        <w:rPr>
          <w:rFonts w:ascii="Verdana" w:hAnsi="Verdana"/>
          <w:sz w:val="20"/>
          <w:szCs w:val="20"/>
          <w:lang w:val="es-DO"/>
        </w:rPr>
        <w:t>.</w:t>
      </w:r>
      <w:r w:rsidRPr="000B33B9">
        <w:rPr>
          <w:rFonts w:ascii="Verdana" w:hAnsi="Verdana"/>
          <w:b/>
          <w:sz w:val="20"/>
          <w:szCs w:val="20"/>
          <w:lang w:val="es-DO"/>
        </w:rPr>
        <w:t xml:space="preserve"> </w:t>
      </w:r>
      <w:r w:rsidRPr="000B33B9">
        <w:rPr>
          <w:rFonts w:ascii="Verdana" w:hAnsi="Verdana"/>
          <w:sz w:val="20"/>
          <w:szCs w:val="20"/>
          <w:lang w:val="es-DO"/>
        </w:rPr>
        <w:t>Finalmente, en cuanto a la alegada afectación derivada del incumplimiento, el Estado sostuvo que “nunca suspendió o redujo las mesadas pensionales que vienen cobrando las presuntas víctimas” y que estas “vienen recibiendo las pensiones de conformidad con la legislación y jurisprudencia nacional”</w:t>
      </w:r>
      <w:r w:rsidRPr="000B33B9">
        <w:rPr>
          <w:rFonts w:ascii="Verdana" w:hAnsi="Verdana"/>
          <w:b/>
          <w:sz w:val="20"/>
          <w:szCs w:val="20"/>
          <w:lang w:val="es-DO"/>
        </w:rPr>
        <w:t>.</w:t>
      </w:r>
    </w:p>
    <w:p w14:paraId="736D0CC7" w14:textId="77777777" w:rsidR="00BD156F" w:rsidRPr="000B33B9" w:rsidRDefault="00BD156F" w:rsidP="00BD156F">
      <w:pPr>
        <w:tabs>
          <w:tab w:val="left" w:pos="1658"/>
        </w:tabs>
        <w:spacing w:after="0" w:line="240" w:lineRule="auto"/>
        <w:jc w:val="both"/>
        <w:rPr>
          <w:rFonts w:ascii="Verdana" w:hAnsi="Verdana"/>
          <w:sz w:val="20"/>
          <w:szCs w:val="20"/>
          <w:lang w:val="es-DO"/>
        </w:rPr>
      </w:pPr>
    </w:p>
    <w:p w14:paraId="39901E03" w14:textId="77777777" w:rsidR="00BD156F" w:rsidRPr="000B33B9" w:rsidRDefault="00BD156F" w:rsidP="00BD156F">
      <w:pPr>
        <w:pStyle w:val="Ttulo3"/>
        <w:numPr>
          <w:ilvl w:val="0"/>
          <w:numId w:val="0"/>
        </w:numPr>
        <w:ind w:left="1353"/>
        <w:rPr>
          <w:lang w:val="es-DO"/>
        </w:rPr>
      </w:pPr>
      <w:bookmarkStart w:id="70" w:name="_Toc27329773"/>
      <w:r w:rsidRPr="000B33B9">
        <w:rPr>
          <w:lang w:val="es-DO"/>
        </w:rPr>
        <w:t>B.2. Consideraciones de la Corte</w:t>
      </w:r>
      <w:bookmarkEnd w:id="70"/>
    </w:p>
    <w:p w14:paraId="68DC2C55" w14:textId="77777777" w:rsidR="00BD156F" w:rsidRPr="000B33B9" w:rsidRDefault="00BD156F" w:rsidP="00BD156F">
      <w:pPr>
        <w:pStyle w:val="Prrafodelista"/>
        <w:tabs>
          <w:tab w:val="left" w:pos="567"/>
        </w:tabs>
        <w:spacing w:after="0" w:line="240" w:lineRule="auto"/>
        <w:ind w:left="0"/>
        <w:contextualSpacing w:val="0"/>
        <w:jc w:val="both"/>
        <w:rPr>
          <w:rFonts w:ascii="Verdana" w:hAnsi="Verdana"/>
          <w:sz w:val="20"/>
          <w:szCs w:val="20"/>
          <w:lang w:val="es-DO"/>
        </w:rPr>
      </w:pPr>
    </w:p>
    <w:p w14:paraId="6A329867" w14:textId="121AE51B" w:rsidR="00BD156F" w:rsidRPr="000B33B9" w:rsidRDefault="00BD156F" w:rsidP="007B74B8">
      <w:pPr>
        <w:pStyle w:val="Prrafodelista"/>
        <w:numPr>
          <w:ilvl w:val="0"/>
          <w:numId w:val="10"/>
        </w:numPr>
        <w:tabs>
          <w:tab w:val="left" w:pos="567"/>
        </w:tabs>
        <w:spacing w:after="0" w:line="240" w:lineRule="auto"/>
        <w:ind w:left="0" w:firstLine="0"/>
        <w:contextualSpacing w:val="0"/>
        <w:jc w:val="both"/>
        <w:rPr>
          <w:rFonts w:ascii="Verdana" w:hAnsi="Verdana"/>
          <w:sz w:val="20"/>
          <w:szCs w:val="20"/>
          <w:lang w:val="es-ES" w:eastAsia="es-MX"/>
        </w:rPr>
      </w:pPr>
      <w:r w:rsidRPr="000B33B9">
        <w:rPr>
          <w:rFonts w:ascii="Verdana" w:hAnsi="Verdana" w:cs="Verdana"/>
          <w:bCs/>
          <w:iCs/>
          <w:sz w:val="20"/>
          <w:szCs w:val="20"/>
        </w:rPr>
        <w:t>El Tribunal ha señalado que la evaluación del plazo razonable se debe analizar en cada caso concreto, en relación con la duración total del proceso, lo cual podría también incluir la ejecución de la sentencia definitiva. De esta manera, ha considerado cuatro elementos para analizar si se cumplió con la garantía</w:t>
      </w:r>
      <w:r w:rsidR="00FF1FF4" w:rsidRPr="000B33B9">
        <w:rPr>
          <w:rFonts w:ascii="Verdana" w:hAnsi="Verdana" w:cs="Verdana"/>
          <w:bCs/>
          <w:iCs/>
          <w:sz w:val="20"/>
          <w:szCs w:val="20"/>
        </w:rPr>
        <w:t xml:space="preserve"> del plazo razonable, a saber: a) la complejidad del asunto, b</w:t>
      </w:r>
      <w:r w:rsidRPr="000B33B9">
        <w:rPr>
          <w:rFonts w:ascii="Verdana" w:hAnsi="Verdana" w:cs="Verdana"/>
          <w:bCs/>
          <w:iCs/>
          <w:sz w:val="20"/>
          <w:szCs w:val="20"/>
        </w:rPr>
        <w:t xml:space="preserve">) la actividad procesal del interesado, </w:t>
      </w:r>
      <w:r w:rsidR="00FF1FF4" w:rsidRPr="000B33B9">
        <w:rPr>
          <w:rFonts w:ascii="Verdana" w:hAnsi="Verdana" w:cs="Verdana"/>
          <w:bCs/>
          <w:iCs/>
          <w:sz w:val="20"/>
          <w:szCs w:val="20"/>
        </w:rPr>
        <w:t>c</w:t>
      </w:r>
      <w:r w:rsidRPr="000B33B9">
        <w:rPr>
          <w:rFonts w:ascii="Verdana" w:hAnsi="Verdana" w:cs="Verdana"/>
          <w:bCs/>
          <w:iCs/>
          <w:sz w:val="20"/>
          <w:szCs w:val="20"/>
        </w:rPr>
        <w:t xml:space="preserve">) la conducta de las autoridades judiciales, y </w:t>
      </w:r>
      <w:r w:rsidR="00FF1FF4" w:rsidRPr="000B33B9">
        <w:rPr>
          <w:rFonts w:ascii="Verdana" w:hAnsi="Verdana" w:cs="Verdana"/>
          <w:bCs/>
          <w:iCs/>
          <w:sz w:val="20"/>
          <w:szCs w:val="20"/>
        </w:rPr>
        <w:t>d</w:t>
      </w:r>
      <w:r w:rsidRPr="000B33B9">
        <w:rPr>
          <w:rFonts w:ascii="Verdana" w:hAnsi="Verdana" w:cs="Verdana"/>
          <w:bCs/>
          <w:iCs/>
          <w:sz w:val="20"/>
          <w:szCs w:val="20"/>
        </w:rPr>
        <w:t xml:space="preserve">) la afectación generada en la situación jurídica de la persona involucrada en el proceso. La Corte recuerda que corresponde al Estado justificar, con fundamento en los criterios señalados, la razón por la cual ha requerido del tiempo transcurrido para tratar los casos y, en la eventualidad de que </w:t>
      </w:r>
      <w:r w:rsidR="00764169" w:rsidRPr="000B33B9">
        <w:rPr>
          <w:rFonts w:ascii="Verdana" w:hAnsi="Verdana" w:cs="Verdana"/>
          <w:bCs/>
          <w:iCs/>
          <w:sz w:val="20"/>
          <w:szCs w:val="20"/>
        </w:rPr>
        <w:t>e</w:t>
      </w:r>
      <w:r w:rsidRPr="000B33B9">
        <w:rPr>
          <w:rFonts w:ascii="Verdana" w:hAnsi="Verdana" w:cs="Verdana"/>
          <w:bCs/>
          <w:iCs/>
          <w:sz w:val="20"/>
          <w:szCs w:val="20"/>
        </w:rPr>
        <w:t>ste no lo demuestre, la Corte tiene amplias atribuciones para hacer su propia estimación al respecto</w:t>
      </w:r>
      <w:r w:rsidRPr="000B33B9">
        <w:rPr>
          <w:rFonts w:ascii="Verdana" w:hAnsi="Verdana"/>
          <w:sz w:val="20"/>
          <w:szCs w:val="20"/>
          <w:vertAlign w:val="superscript"/>
        </w:rPr>
        <w:footnoteReference w:id="200"/>
      </w:r>
      <w:r w:rsidRPr="000B33B9">
        <w:rPr>
          <w:rFonts w:ascii="Verdana" w:hAnsi="Verdana" w:cs="Verdana"/>
          <w:bCs/>
          <w:iCs/>
          <w:sz w:val="20"/>
          <w:szCs w:val="20"/>
        </w:rPr>
        <w:t>.</w:t>
      </w:r>
      <w:r w:rsidRPr="000B33B9">
        <w:rPr>
          <w:rFonts w:ascii="Verdana" w:hAnsi="Verdana" w:cs="Verdana"/>
          <w:bCs/>
          <w:i/>
          <w:iCs/>
          <w:sz w:val="20"/>
          <w:szCs w:val="20"/>
        </w:rPr>
        <w:t xml:space="preserve"> </w:t>
      </w:r>
    </w:p>
    <w:p w14:paraId="320D9C88" w14:textId="77777777" w:rsidR="00BD156F" w:rsidRPr="000B33B9" w:rsidRDefault="00BD156F" w:rsidP="00BD156F">
      <w:pPr>
        <w:pStyle w:val="Prrafodelista"/>
        <w:jc w:val="both"/>
        <w:rPr>
          <w:rFonts w:ascii="Verdana" w:hAnsi="Verdana" w:cs="Verdana"/>
          <w:bCs/>
          <w:iCs/>
          <w:sz w:val="20"/>
          <w:szCs w:val="20"/>
        </w:rPr>
      </w:pPr>
    </w:p>
    <w:p w14:paraId="4F3AE393" w14:textId="6797D62D" w:rsidR="00BD156F" w:rsidRPr="000B33B9" w:rsidRDefault="00BD156F" w:rsidP="007B74B8">
      <w:pPr>
        <w:pStyle w:val="Prrafodelista"/>
        <w:numPr>
          <w:ilvl w:val="0"/>
          <w:numId w:val="10"/>
        </w:numPr>
        <w:tabs>
          <w:tab w:val="left" w:pos="567"/>
        </w:tabs>
        <w:spacing w:after="0" w:line="240" w:lineRule="auto"/>
        <w:ind w:left="0" w:firstLine="0"/>
        <w:contextualSpacing w:val="0"/>
        <w:jc w:val="both"/>
        <w:rPr>
          <w:rFonts w:ascii="Verdana" w:hAnsi="Verdana"/>
          <w:sz w:val="20"/>
          <w:szCs w:val="20"/>
          <w:lang w:val="es-ES" w:eastAsia="es-MX"/>
        </w:rPr>
      </w:pPr>
      <w:r w:rsidRPr="000B33B9">
        <w:rPr>
          <w:rFonts w:ascii="Verdana" w:hAnsi="Verdana" w:cs="Verdana"/>
          <w:bCs/>
          <w:iCs/>
          <w:sz w:val="20"/>
          <w:szCs w:val="20"/>
        </w:rPr>
        <w:t xml:space="preserve">El análisis del presente apartado se centrará en evaluar, a partir de los cuatro elementos antes indicados, el plazo transcurrido desde la adopción de la primera sentencia de amparo de la Corte Suprema de 25 de </w:t>
      </w:r>
      <w:r w:rsidR="00764169" w:rsidRPr="000B33B9">
        <w:rPr>
          <w:rFonts w:ascii="Verdana" w:hAnsi="Verdana" w:cs="Verdana"/>
          <w:bCs/>
          <w:iCs/>
          <w:sz w:val="20"/>
          <w:szCs w:val="20"/>
        </w:rPr>
        <w:t>octubre</w:t>
      </w:r>
      <w:r w:rsidRPr="000B33B9">
        <w:rPr>
          <w:rFonts w:ascii="Verdana" w:hAnsi="Verdana" w:cs="Verdana"/>
          <w:bCs/>
          <w:iCs/>
          <w:sz w:val="20"/>
          <w:szCs w:val="20"/>
        </w:rPr>
        <w:t xml:space="preserve"> de 1993 hasta la actualidad.</w:t>
      </w:r>
    </w:p>
    <w:p w14:paraId="213953E6" w14:textId="77777777" w:rsidR="00BD156F" w:rsidRPr="000B33B9" w:rsidRDefault="00BD156F" w:rsidP="00BD156F">
      <w:pPr>
        <w:pStyle w:val="Prrafodelista"/>
        <w:spacing w:after="0" w:line="240" w:lineRule="auto"/>
        <w:contextualSpacing w:val="0"/>
        <w:jc w:val="both"/>
        <w:rPr>
          <w:rFonts w:ascii="Verdana" w:hAnsi="Verdana"/>
          <w:sz w:val="20"/>
          <w:szCs w:val="20"/>
          <w:lang w:val="es-ES" w:eastAsia="es-MX"/>
        </w:rPr>
      </w:pPr>
    </w:p>
    <w:p w14:paraId="2F545BB3" w14:textId="3B414922" w:rsidR="00BD156F" w:rsidRPr="000B33B9" w:rsidRDefault="00F27910" w:rsidP="00F27910">
      <w:pPr>
        <w:pStyle w:val="Ttulo4"/>
        <w:numPr>
          <w:ilvl w:val="0"/>
          <w:numId w:val="0"/>
        </w:numPr>
        <w:ind w:left="708"/>
        <w:rPr>
          <w:lang w:val="es-ES" w:eastAsia="es-MX"/>
        </w:rPr>
      </w:pPr>
      <w:bookmarkStart w:id="71" w:name="_Toc27329774"/>
      <w:r w:rsidRPr="000B33B9">
        <w:rPr>
          <w:lang w:val="es-ES" w:eastAsia="es-MX"/>
        </w:rPr>
        <w:t xml:space="preserve">B.2.1. </w:t>
      </w:r>
      <w:r w:rsidR="00BD156F" w:rsidRPr="000B33B9">
        <w:rPr>
          <w:lang w:val="es-ES" w:eastAsia="es-MX"/>
        </w:rPr>
        <w:t>Complejidad del asunto</w:t>
      </w:r>
      <w:bookmarkEnd w:id="71"/>
    </w:p>
    <w:p w14:paraId="524E9DE5" w14:textId="77777777" w:rsidR="00BD156F" w:rsidRPr="000B33B9" w:rsidRDefault="00BD156F" w:rsidP="00BD156F">
      <w:pPr>
        <w:tabs>
          <w:tab w:val="left" w:pos="567"/>
        </w:tabs>
        <w:spacing w:after="0" w:line="240" w:lineRule="auto"/>
        <w:jc w:val="both"/>
        <w:rPr>
          <w:rFonts w:ascii="Verdana" w:hAnsi="Verdana"/>
          <w:b/>
          <w:bCs/>
          <w:i/>
          <w:iCs/>
          <w:sz w:val="20"/>
          <w:szCs w:val="20"/>
          <w:lang w:val="es-ES" w:eastAsia="es-MX"/>
        </w:rPr>
      </w:pPr>
    </w:p>
    <w:p w14:paraId="2D0C390D" w14:textId="77777777" w:rsidR="00BD156F" w:rsidRPr="000B33B9" w:rsidRDefault="00BD156F" w:rsidP="007B74B8">
      <w:pPr>
        <w:pStyle w:val="Prrafodelista"/>
        <w:numPr>
          <w:ilvl w:val="0"/>
          <w:numId w:val="10"/>
        </w:numPr>
        <w:tabs>
          <w:tab w:val="left" w:pos="567"/>
        </w:tabs>
        <w:spacing w:after="0" w:line="240" w:lineRule="auto"/>
        <w:ind w:left="0" w:firstLine="0"/>
        <w:jc w:val="both"/>
        <w:rPr>
          <w:rFonts w:ascii="Verdana" w:hAnsi="Verdana"/>
          <w:sz w:val="20"/>
          <w:szCs w:val="20"/>
          <w:lang w:val="es-DO"/>
        </w:rPr>
      </w:pPr>
      <w:r w:rsidRPr="000B33B9">
        <w:rPr>
          <w:rFonts w:ascii="Verdana" w:hAnsi="Verdana"/>
          <w:sz w:val="20"/>
          <w:szCs w:val="20"/>
        </w:rPr>
        <w:t>Este Tribunal ha tenido en cuenta diversos criterios para determinar la complejidad del asunto, como la complejidad de la prueba, la pluralidad de sujetos procesales o la cantidad de víctimas, el tiempo transcurrido desde la violación, las características del recurso consagradas en la legislación interna y el contexto en el que ocurrió la violación</w:t>
      </w:r>
      <w:r w:rsidRPr="000B33B9">
        <w:rPr>
          <w:rStyle w:val="Refdenotaalpie"/>
          <w:rFonts w:ascii="Verdana" w:hAnsi="Verdana"/>
          <w:sz w:val="20"/>
          <w:szCs w:val="20"/>
        </w:rPr>
        <w:footnoteReference w:id="201"/>
      </w:r>
      <w:r w:rsidRPr="000B33B9">
        <w:rPr>
          <w:rFonts w:ascii="Verdana" w:hAnsi="Verdana"/>
          <w:sz w:val="20"/>
          <w:szCs w:val="20"/>
        </w:rPr>
        <w:t>. En este caso, la Corte aprecia que la cantidad de víctimas supuso, desde el inicio del proceso de ejecución de la sentencia de 25 de octubre de 1993 y aún ante esta jurisdicción internacional, un punto controvertido entre las partes. Debido a las características del amparo como recurso sumario y expedito, la acción interpuesta el 19 de diciembre de 1991 por ANCEJUB-SUNAT no identificó a cada una de las personas que tenían la calidad de integrantes de la asociación en ese momento, por lo que la sentencia de 25 de octubre de 1993 tampoco las individualizó, sino que se limitó a hacer referencia general a “los miembros de la Asociación actora”</w:t>
      </w:r>
      <w:r w:rsidRPr="000B33B9">
        <w:rPr>
          <w:rStyle w:val="Refdenotaalpie"/>
          <w:rFonts w:ascii="Verdana" w:hAnsi="Verdana"/>
          <w:sz w:val="20"/>
          <w:szCs w:val="20"/>
          <w:lang w:val="es-DO"/>
        </w:rPr>
        <w:footnoteReference w:id="202"/>
      </w:r>
      <w:r w:rsidRPr="000B33B9">
        <w:rPr>
          <w:rFonts w:ascii="Verdana" w:hAnsi="Verdana"/>
          <w:sz w:val="20"/>
          <w:szCs w:val="20"/>
          <w:lang w:val="es-DO"/>
        </w:rPr>
        <w:t>.</w:t>
      </w:r>
    </w:p>
    <w:p w14:paraId="48F57FEA" w14:textId="77777777" w:rsidR="00BD156F" w:rsidRPr="000B33B9" w:rsidRDefault="00BD156F" w:rsidP="00BD156F">
      <w:pPr>
        <w:pStyle w:val="Prrafodelista"/>
        <w:tabs>
          <w:tab w:val="left" w:pos="567"/>
        </w:tabs>
        <w:spacing w:after="0" w:line="240" w:lineRule="auto"/>
        <w:ind w:left="0"/>
        <w:jc w:val="both"/>
        <w:rPr>
          <w:rFonts w:ascii="Verdana" w:hAnsi="Verdana"/>
          <w:sz w:val="20"/>
          <w:szCs w:val="20"/>
          <w:lang w:val="es-DO"/>
        </w:rPr>
      </w:pPr>
    </w:p>
    <w:p w14:paraId="0D3905D5" w14:textId="7C749F60" w:rsidR="00BD156F" w:rsidRPr="000B33B9" w:rsidRDefault="00BD156F" w:rsidP="00B756D7">
      <w:pPr>
        <w:pStyle w:val="Prrafodelista"/>
        <w:numPr>
          <w:ilvl w:val="0"/>
          <w:numId w:val="10"/>
        </w:numPr>
        <w:tabs>
          <w:tab w:val="left" w:pos="567"/>
        </w:tabs>
        <w:spacing w:after="0" w:line="240" w:lineRule="auto"/>
        <w:ind w:left="0" w:firstLine="0"/>
        <w:jc w:val="both"/>
        <w:rPr>
          <w:rFonts w:ascii="Verdana" w:hAnsi="Verdana"/>
          <w:sz w:val="20"/>
          <w:szCs w:val="20"/>
          <w:lang w:val="es-ES" w:eastAsia="es-MX"/>
        </w:rPr>
      </w:pPr>
      <w:r w:rsidRPr="000B33B9">
        <w:rPr>
          <w:rFonts w:ascii="Verdana" w:hAnsi="Verdana"/>
          <w:sz w:val="20"/>
          <w:szCs w:val="20"/>
          <w:lang w:val="es-ES" w:eastAsia="es-MX"/>
        </w:rPr>
        <w:t>En efecto, la Corte constata que, a partir de mayo de 2002</w:t>
      </w:r>
      <w:r w:rsidRPr="000B33B9">
        <w:rPr>
          <w:rStyle w:val="Refdenotaalpie"/>
          <w:rFonts w:ascii="Verdana" w:hAnsi="Verdana"/>
          <w:sz w:val="20"/>
          <w:szCs w:val="20"/>
          <w:lang w:val="es-ES"/>
        </w:rPr>
        <w:footnoteReference w:id="203"/>
      </w:r>
      <w:r w:rsidRPr="000B33B9">
        <w:rPr>
          <w:rFonts w:ascii="Verdana" w:hAnsi="Verdana"/>
          <w:sz w:val="20"/>
          <w:szCs w:val="20"/>
          <w:lang w:val="es-ES" w:eastAsia="es-MX"/>
        </w:rPr>
        <w:t>, los juzgados de ejecución se ocuparon de determinar la identidad de los beneficiarios de la sentencia de 25 de octubre de 1993 en vi</w:t>
      </w:r>
      <w:r w:rsidR="00764169" w:rsidRPr="000B33B9">
        <w:rPr>
          <w:rFonts w:ascii="Verdana" w:hAnsi="Verdana"/>
          <w:sz w:val="20"/>
          <w:szCs w:val="20"/>
          <w:lang w:val="es-ES" w:eastAsia="es-MX"/>
        </w:rPr>
        <w:t>sta de la observación presentada</w:t>
      </w:r>
      <w:r w:rsidRPr="000B33B9">
        <w:rPr>
          <w:rFonts w:ascii="Verdana" w:hAnsi="Verdana"/>
          <w:sz w:val="20"/>
          <w:szCs w:val="20"/>
          <w:lang w:val="es-ES" w:eastAsia="es-MX"/>
        </w:rPr>
        <w:t xml:space="preserve"> por la SUNAT sobre el cumplimiento de la decisión a favor exclusivamente de las 11 personas que figuraban en los documentos de incorporación de ANCEJUB-SUNAT</w:t>
      </w:r>
      <w:r w:rsidRPr="000B33B9">
        <w:rPr>
          <w:rStyle w:val="Refdenotaalpie"/>
          <w:rFonts w:ascii="Verdana" w:hAnsi="Verdana"/>
          <w:sz w:val="20"/>
          <w:szCs w:val="20"/>
          <w:lang w:val="es-DO"/>
        </w:rPr>
        <w:footnoteReference w:id="204"/>
      </w:r>
      <w:r w:rsidRPr="000B33B9">
        <w:rPr>
          <w:rFonts w:ascii="Verdana" w:hAnsi="Verdana"/>
          <w:sz w:val="20"/>
          <w:szCs w:val="20"/>
          <w:lang w:val="es-ES" w:eastAsia="es-MX"/>
        </w:rPr>
        <w:t xml:space="preserve">, cuestión que fue resuelta en la jurisdicción interna mediante resolución de 3 de junio de 2005, en la cual se declaró como víctimas a </w:t>
      </w:r>
      <w:r w:rsidR="00C55B34">
        <w:rPr>
          <w:rFonts w:ascii="Verdana" w:hAnsi="Verdana"/>
          <w:sz w:val="20"/>
          <w:szCs w:val="20"/>
          <w:lang w:val="es-ES" w:eastAsia="es-MX"/>
        </w:rPr>
        <w:t>603</w:t>
      </w:r>
      <w:r w:rsidRPr="000B33B9">
        <w:rPr>
          <w:rFonts w:ascii="Verdana" w:hAnsi="Verdana"/>
          <w:sz w:val="20"/>
          <w:szCs w:val="20"/>
          <w:lang w:val="es-ES" w:eastAsia="es-MX"/>
        </w:rPr>
        <w:t xml:space="preserve"> integrantes de la indicada asociación</w:t>
      </w:r>
      <w:r w:rsidRPr="000B33B9">
        <w:rPr>
          <w:rStyle w:val="Refdenotaalpie"/>
          <w:rFonts w:ascii="Verdana" w:hAnsi="Verdana"/>
          <w:sz w:val="20"/>
          <w:szCs w:val="20"/>
          <w:lang w:val="es-ES" w:eastAsia="es-MX"/>
        </w:rPr>
        <w:footnoteReference w:id="205"/>
      </w:r>
      <w:r w:rsidR="00764169" w:rsidRPr="000B33B9">
        <w:rPr>
          <w:rFonts w:ascii="Verdana" w:hAnsi="Verdana"/>
          <w:sz w:val="20"/>
          <w:szCs w:val="20"/>
          <w:lang w:val="es-ES" w:eastAsia="es-MX"/>
        </w:rPr>
        <w:t>.</w:t>
      </w:r>
      <w:r w:rsidRPr="000B33B9">
        <w:rPr>
          <w:rFonts w:ascii="Verdana" w:hAnsi="Verdana"/>
          <w:sz w:val="20"/>
          <w:szCs w:val="20"/>
          <w:lang w:val="es-ES" w:eastAsia="es-MX"/>
        </w:rPr>
        <w:t xml:space="preserve"> El Tribunal estima que la pluralidad de víctimas, sumada a la naturaleza de las prestaciones involucradas, las cuales comportaban el cálculo individualizado de la nivelación y los reintegros desde enero de 1992 a diciembre de 2004, permite concluir que la ejecución de la sentencia de 25 de octubre de 1993 era compleja.</w:t>
      </w:r>
    </w:p>
    <w:p w14:paraId="5FA17D57" w14:textId="77777777" w:rsidR="00BD156F" w:rsidRPr="000B33B9" w:rsidRDefault="00BD156F" w:rsidP="00B756D7">
      <w:pPr>
        <w:pStyle w:val="Prrafodelista"/>
        <w:spacing w:after="0" w:line="240" w:lineRule="auto"/>
        <w:ind w:left="0"/>
        <w:contextualSpacing w:val="0"/>
        <w:jc w:val="both"/>
        <w:rPr>
          <w:rFonts w:ascii="Verdana" w:hAnsi="Verdana"/>
          <w:sz w:val="20"/>
          <w:szCs w:val="20"/>
          <w:lang w:val="es-ES" w:eastAsia="es-MX"/>
        </w:rPr>
      </w:pPr>
    </w:p>
    <w:p w14:paraId="51525EF3" w14:textId="305CAA46" w:rsidR="00BD156F" w:rsidRPr="000B33B9" w:rsidRDefault="00F27910" w:rsidP="00B756D7">
      <w:pPr>
        <w:pStyle w:val="Ttulo4"/>
        <w:numPr>
          <w:ilvl w:val="0"/>
          <w:numId w:val="0"/>
        </w:numPr>
        <w:ind w:left="1068" w:hanging="360"/>
        <w:rPr>
          <w:lang w:val="es-ES" w:eastAsia="es-MX"/>
        </w:rPr>
      </w:pPr>
      <w:bookmarkStart w:id="72" w:name="_Toc27329775"/>
      <w:r w:rsidRPr="000B33B9">
        <w:rPr>
          <w:lang w:val="es-ES" w:eastAsia="es-MX"/>
        </w:rPr>
        <w:t xml:space="preserve">B.2.2. </w:t>
      </w:r>
      <w:r w:rsidR="00BD156F" w:rsidRPr="000B33B9">
        <w:rPr>
          <w:lang w:val="es-ES" w:eastAsia="es-MX"/>
        </w:rPr>
        <w:t>Actividad procesal de los interesados</w:t>
      </w:r>
      <w:bookmarkEnd w:id="72"/>
    </w:p>
    <w:p w14:paraId="60118324" w14:textId="77777777" w:rsidR="00BD156F" w:rsidRPr="000B33B9" w:rsidRDefault="00BD156F" w:rsidP="00B756D7">
      <w:pPr>
        <w:pStyle w:val="Prrafodelista"/>
        <w:spacing w:after="0" w:line="240" w:lineRule="auto"/>
        <w:ind w:left="0"/>
        <w:contextualSpacing w:val="0"/>
        <w:jc w:val="both"/>
        <w:rPr>
          <w:rFonts w:ascii="Verdana" w:hAnsi="Verdana"/>
          <w:sz w:val="20"/>
          <w:szCs w:val="20"/>
          <w:lang w:val="es-ES" w:eastAsia="es-MX"/>
        </w:rPr>
      </w:pPr>
    </w:p>
    <w:p w14:paraId="1AE0E761" w14:textId="665EDFDB" w:rsidR="00BD156F" w:rsidRPr="000B33B9" w:rsidRDefault="00BD156F" w:rsidP="00B756D7">
      <w:pPr>
        <w:pStyle w:val="Prrafodelista"/>
        <w:numPr>
          <w:ilvl w:val="0"/>
          <w:numId w:val="10"/>
        </w:numPr>
        <w:spacing w:after="0" w:line="240" w:lineRule="auto"/>
        <w:ind w:left="0" w:firstLine="0"/>
        <w:contextualSpacing w:val="0"/>
        <w:jc w:val="both"/>
        <w:rPr>
          <w:rFonts w:ascii="Verdana" w:hAnsi="Verdana"/>
          <w:sz w:val="20"/>
          <w:szCs w:val="20"/>
          <w:lang w:val="es-DO" w:eastAsia="es-MX"/>
        </w:rPr>
      </w:pPr>
      <w:r w:rsidRPr="000B33B9">
        <w:rPr>
          <w:rFonts w:ascii="Verdana" w:hAnsi="Verdana"/>
          <w:sz w:val="20"/>
          <w:szCs w:val="20"/>
          <w:lang w:val="es-ES" w:eastAsia="es-MX"/>
        </w:rPr>
        <w:t>Para determinar la razonabilidad del plazo, la Corte ha tomado en consideración s</w:t>
      </w:r>
      <w:r w:rsidRPr="000B33B9">
        <w:rPr>
          <w:rFonts w:ascii="Verdana" w:hAnsi="Verdana"/>
          <w:sz w:val="20"/>
          <w:szCs w:val="20"/>
        </w:rPr>
        <w:t>i la conducta procesal del propio interesado en obtener justicia ha contribuido en algún grado a prolongar indebidamente la duración del proceso</w:t>
      </w:r>
      <w:r w:rsidRPr="000B33B9">
        <w:rPr>
          <w:rStyle w:val="Refdenotaalpie"/>
          <w:rFonts w:ascii="Verdana" w:hAnsi="Verdana"/>
          <w:sz w:val="20"/>
          <w:szCs w:val="20"/>
        </w:rPr>
        <w:footnoteReference w:id="206"/>
      </w:r>
      <w:r w:rsidRPr="000B33B9">
        <w:rPr>
          <w:rFonts w:ascii="Verdana" w:hAnsi="Verdana"/>
          <w:sz w:val="20"/>
          <w:szCs w:val="20"/>
        </w:rPr>
        <w:t xml:space="preserve">. En este caso, el Tribunal </w:t>
      </w:r>
      <w:r w:rsidRPr="000B33B9">
        <w:rPr>
          <w:rFonts w:ascii="Verdana" w:hAnsi="Verdana"/>
          <w:sz w:val="20"/>
          <w:szCs w:val="20"/>
          <w:lang w:val="es-ES" w:eastAsia="es-MX"/>
        </w:rPr>
        <w:t xml:space="preserve">observa que, desde su emisión, ANCEJUB-SUNAT ha promovido, en representación de las </w:t>
      </w:r>
      <w:r w:rsidR="00764169" w:rsidRPr="000B33B9">
        <w:rPr>
          <w:rFonts w:ascii="Verdana" w:hAnsi="Verdana"/>
          <w:sz w:val="20"/>
          <w:szCs w:val="20"/>
          <w:lang w:val="es-ES" w:eastAsia="es-MX"/>
        </w:rPr>
        <w:t xml:space="preserve">presuntas </w:t>
      </w:r>
      <w:r w:rsidRPr="000B33B9">
        <w:rPr>
          <w:rFonts w:ascii="Verdana" w:hAnsi="Verdana"/>
          <w:sz w:val="20"/>
          <w:szCs w:val="20"/>
          <w:lang w:val="es-ES" w:eastAsia="es-MX"/>
        </w:rPr>
        <w:t>víctimas, múltiples acciones encaminadas a impulsar la ejecución de la sentencia de 25 de octubre de 1993. En este sentido, la Corte constata que ANCEJUB-SUNAT apeló las resoluciones que impusieron a las</w:t>
      </w:r>
      <w:r w:rsidR="00764169" w:rsidRPr="000B33B9">
        <w:rPr>
          <w:rFonts w:ascii="Verdana" w:hAnsi="Verdana"/>
          <w:sz w:val="20"/>
          <w:szCs w:val="20"/>
          <w:lang w:val="es-ES" w:eastAsia="es-MX"/>
        </w:rPr>
        <w:t xml:space="preserve"> presuntas</w:t>
      </w:r>
      <w:r w:rsidRPr="000B33B9">
        <w:rPr>
          <w:rFonts w:ascii="Verdana" w:hAnsi="Verdana"/>
          <w:sz w:val="20"/>
          <w:szCs w:val="20"/>
          <w:lang w:val="es-ES" w:eastAsia="es-MX"/>
        </w:rPr>
        <w:t xml:space="preserve"> víctimas la necesidad de recurrir a la vía administrativa para lograr la ejecución de la referida sentencia, y al respecto </w:t>
      </w:r>
      <w:r w:rsidR="00F82A54" w:rsidRPr="000B33B9">
        <w:rPr>
          <w:rFonts w:ascii="Verdana" w:hAnsi="Verdana"/>
          <w:sz w:val="20"/>
          <w:szCs w:val="20"/>
          <w:lang w:val="es-ES" w:eastAsia="es-MX"/>
        </w:rPr>
        <w:t xml:space="preserve">presentó </w:t>
      </w:r>
      <w:r w:rsidRPr="000B33B9">
        <w:rPr>
          <w:rFonts w:ascii="Verdana" w:hAnsi="Verdana"/>
          <w:sz w:val="20"/>
          <w:szCs w:val="20"/>
          <w:lang w:val="es-ES" w:eastAsia="es-MX"/>
        </w:rPr>
        <w:t>un segundo recurso de amparo en abril de 1999</w:t>
      </w:r>
      <w:r w:rsidRPr="000B33B9">
        <w:rPr>
          <w:rStyle w:val="Refdenotaalpie"/>
          <w:rFonts w:ascii="Verdana" w:hAnsi="Verdana"/>
          <w:sz w:val="20"/>
          <w:szCs w:val="20"/>
          <w:lang w:val="es-ES"/>
        </w:rPr>
        <w:footnoteReference w:id="207"/>
      </w:r>
      <w:r w:rsidRPr="000B33B9">
        <w:rPr>
          <w:rFonts w:ascii="Verdana" w:hAnsi="Verdana"/>
          <w:sz w:val="20"/>
          <w:szCs w:val="20"/>
          <w:lang w:val="es-ES"/>
        </w:rPr>
        <w:t xml:space="preserve">, </w:t>
      </w:r>
      <w:r w:rsidRPr="000B33B9">
        <w:rPr>
          <w:rFonts w:ascii="Verdana" w:hAnsi="Verdana"/>
          <w:sz w:val="20"/>
          <w:szCs w:val="20"/>
          <w:lang w:val="es-ES" w:eastAsia="es-MX"/>
        </w:rPr>
        <w:t>un recurso de apelación</w:t>
      </w:r>
      <w:r w:rsidRPr="000B33B9">
        <w:rPr>
          <w:rStyle w:val="Refdenotaalpie"/>
          <w:rFonts w:ascii="Verdana" w:hAnsi="Verdana"/>
          <w:sz w:val="20"/>
          <w:szCs w:val="20"/>
          <w:lang w:val="es-DO"/>
        </w:rPr>
        <w:footnoteReference w:id="208"/>
      </w:r>
      <w:r w:rsidRPr="000B33B9">
        <w:rPr>
          <w:rFonts w:ascii="Verdana" w:hAnsi="Verdana"/>
          <w:sz w:val="20"/>
          <w:szCs w:val="20"/>
          <w:lang w:val="es-ES" w:eastAsia="es-MX"/>
        </w:rPr>
        <w:t xml:space="preserve"> y un recurso extraordinario hasta conseguir que, en virtud de la sentencia emitida por el Tribunal Constitucional en 2001, se dispusiera la ejecución en sede judicial</w:t>
      </w:r>
      <w:r w:rsidRPr="000B33B9">
        <w:rPr>
          <w:rStyle w:val="Refdenotaalpie"/>
          <w:rFonts w:ascii="Verdana" w:hAnsi="Verdana"/>
          <w:sz w:val="20"/>
          <w:szCs w:val="20"/>
          <w:lang w:val="es-DO"/>
        </w:rPr>
        <w:footnoteReference w:id="209"/>
      </w:r>
      <w:r w:rsidRPr="000B33B9">
        <w:rPr>
          <w:rFonts w:ascii="Verdana" w:hAnsi="Verdana"/>
          <w:sz w:val="20"/>
          <w:szCs w:val="20"/>
          <w:lang w:val="es-ES" w:eastAsia="es-MX"/>
        </w:rPr>
        <w:t>. Asimismo, la Corte observa que ANCEJUB-SUNAT depositó oportunamente la documentación que le era requerida por los juzgados de ejecución</w:t>
      </w:r>
      <w:r w:rsidRPr="000B33B9">
        <w:rPr>
          <w:rStyle w:val="Refdenotaalpie"/>
          <w:rFonts w:ascii="Verdana" w:hAnsi="Verdana"/>
          <w:sz w:val="20"/>
          <w:szCs w:val="20"/>
          <w:lang w:val="es-DO"/>
        </w:rPr>
        <w:footnoteReference w:id="210"/>
      </w:r>
      <w:r w:rsidRPr="000B33B9">
        <w:rPr>
          <w:rFonts w:ascii="Verdana" w:hAnsi="Verdana"/>
          <w:sz w:val="20"/>
          <w:szCs w:val="20"/>
          <w:lang w:val="es-DO" w:eastAsia="es-MX"/>
        </w:rPr>
        <w:t>, y participó activamente en la discusión de los informes periciales</w:t>
      </w:r>
      <w:r w:rsidRPr="000B33B9">
        <w:rPr>
          <w:rStyle w:val="Refdenotaalpie"/>
          <w:rFonts w:ascii="Verdana" w:hAnsi="Verdana"/>
          <w:sz w:val="20"/>
          <w:szCs w:val="20"/>
          <w:lang w:val="es-DO"/>
        </w:rPr>
        <w:footnoteReference w:id="211"/>
      </w:r>
      <w:r w:rsidRPr="000B33B9">
        <w:rPr>
          <w:rFonts w:ascii="Verdana" w:hAnsi="Verdana"/>
          <w:sz w:val="20"/>
          <w:szCs w:val="20"/>
          <w:lang w:val="es-DO" w:eastAsia="es-MX"/>
        </w:rPr>
        <w:t xml:space="preserve">. </w:t>
      </w:r>
    </w:p>
    <w:p w14:paraId="41192BE9" w14:textId="77777777" w:rsidR="00BD156F" w:rsidRPr="000B33B9" w:rsidRDefault="00BD156F" w:rsidP="00B756D7">
      <w:pPr>
        <w:pStyle w:val="Prrafodelista"/>
        <w:spacing w:after="0" w:line="240" w:lineRule="auto"/>
        <w:ind w:left="0"/>
        <w:contextualSpacing w:val="0"/>
        <w:jc w:val="both"/>
        <w:rPr>
          <w:rFonts w:ascii="Verdana" w:hAnsi="Verdana"/>
          <w:sz w:val="20"/>
          <w:szCs w:val="20"/>
          <w:lang w:val="es-DO" w:eastAsia="es-MX"/>
        </w:rPr>
      </w:pPr>
    </w:p>
    <w:p w14:paraId="7DB661E8" w14:textId="4FA974DE" w:rsidR="00BD156F" w:rsidRPr="000B33B9" w:rsidRDefault="00BD156F" w:rsidP="00B756D7">
      <w:pPr>
        <w:pStyle w:val="Prrafodelista"/>
        <w:numPr>
          <w:ilvl w:val="0"/>
          <w:numId w:val="10"/>
        </w:numPr>
        <w:spacing w:after="0" w:line="240" w:lineRule="auto"/>
        <w:ind w:left="0" w:firstLine="0"/>
        <w:contextualSpacing w:val="0"/>
        <w:jc w:val="both"/>
        <w:rPr>
          <w:rFonts w:ascii="Verdana" w:hAnsi="Verdana"/>
          <w:sz w:val="20"/>
          <w:szCs w:val="20"/>
          <w:lang w:val="es-DO" w:eastAsia="es-MX"/>
        </w:rPr>
      </w:pPr>
      <w:r w:rsidRPr="000B33B9">
        <w:rPr>
          <w:rFonts w:ascii="Verdana" w:hAnsi="Verdana"/>
          <w:sz w:val="20"/>
          <w:szCs w:val="20"/>
          <w:lang w:val="es-DO" w:eastAsia="es-MX"/>
        </w:rPr>
        <w:t>Por otro lado, en cuanto al argumento presentado por el Estado respecto a que las acciones incoadas por ANCEJUB-SUNAT contra las resoluciones que “no le dieron razón sobre los alcances de la sentencia de la Corte Suprema” es lo que “extendió innecesariamente l</w:t>
      </w:r>
      <w:r w:rsidR="00764169" w:rsidRPr="000B33B9">
        <w:rPr>
          <w:rFonts w:ascii="Verdana" w:hAnsi="Verdana"/>
          <w:sz w:val="20"/>
          <w:szCs w:val="20"/>
          <w:lang w:val="es-DO" w:eastAsia="es-MX"/>
        </w:rPr>
        <w:t>a controversia por varios años”</w:t>
      </w:r>
      <w:r w:rsidRPr="000B33B9">
        <w:rPr>
          <w:rFonts w:ascii="Verdana" w:hAnsi="Verdana"/>
          <w:sz w:val="20"/>
          <w:szCs w:val="20"/>
          <w:lang w:val="es-DO" w:eastAsia="es-MX"/>
        </w:rPr>
        <w:t xml:space="preserve">, la Corte </w:t>
      </w:r>
      <w:r w:rsidRPr="000B33B9">
        <w:rPr>
          <w:rFonts w:ascii="Verdana" w:hAnsi="Verdana"/>
          <w:sz w:val="20"/>
          <w:szCs w:val="20"/>
        </w:rPr>
        <w:t>destaca que las partes en dicho proceso, entre ellas las presuntas víctimas en este caso, estaban haciendo uso de medios de impugnación reconocidos por la legislación aplicable para la defensa de sus intereses</w:t>
      </w:r>
      <w:r w:rsidRPr="000B33B9">
        <w:rPr>
          <w:rStyle w:val="Refdenotaalpie"/>
          <w:rFonts w:ascii="Verdana" w:hAnsi="Verdana"/>
          <w:sz w:val="20"/>
          <w:szCs w:val="20"/>
        </w:rPr>
        <w:footnoteReference w:id="212"/>
      </w:r>
      <w:r w:rsidRPr="000B33B9">
        <w:rPr>
          <w:rFonts w:ascii="Verdana" w:hAnsi="Verdana"/>
          <w:sz w:val="20"/>
          <w:szCs w:val="20"/>
        </w:rPr>
        <w:t>.</w:t>
      </w:r>
    </w:p>
    <w:p w14:paraId="58D7006F" w14:textId="77777777" w:rsidR="00BD156F" w:rsidRPr="000B33B9" w:rsidRDefault="00BD156F" w:rsidP="00B756D7">
      <w:pPr>
        <w:pStyle w:val="Prrafodelista"/>
        <w:spacing w:after="0" w:line="240" w:lineRule="auto"/>
        <w:ind w:left="0"/>
        <w:contextualSpacing w:val="0"/>
        <w:jc w:val="both"/>
        <w:rPr>
          <w:rFonts w:ascii="Verdana" w:hAnsi="Verdana"/>
          <w:i/>
          <w:sz w:val="20"/>
          <w:szCs w:val="20"/>
        </w:rPr>
      </w:pPr>
    </w:p>
    <w:p w14:paraId="4B38859B" w14:textId="57BDF269" w:rsidR="00BD156F" w:rsidRPr="000B33B9" w:rsidRDefault="00F27910" w:rsidP="00B756D7">
      <w:pPr>
        <w:pStyle w:val="Ttulo4"/>
        <w:numPr>
          <w:ilvl w:val="0"/>
          <w:numId w:val="0"/>
        </w:numPr>
        <w:ind w:left="1068" w:hanging="360"/>
      </w:pPr>
      <w:bookmarkStart w:id="73" w:name="_Toc27329776"/>
      <w:r w:rsidRPr="000B33B9">
        <w:t xml:space="preserve">B.2.3. </w:t>
      </w:r>
      <w:r w:rsidR="00BD156F" w:rsidRPr="000B33B9">
        <w:t>Actuación de las autoridades judiciales</w:t>
      </w:r>
      <w:bookmarkEnd w:id="73"/>
    </w:p>
    <w:p w14:paraId="526A58A2" w14:textId="77777777" w:rsidR="00BD156F" w:rsidRPr="000B33B9" w:rsidRDefault="00BD156F" w:rsidP="00B756D7">
      <w:pPr>
        <w:pStyle w:val="Prrafodelista"/>
        <w:jc w:val="both"/>
        <w:rPr>
          <w:rFonts w:ascii="Verdana" w:hAnsi="Verdana"/>
          <w:sz w:val="20"/>
          <w:szCs w:val="20"/>
          <w:lang w:val="es-DO" w:eastAsia="es-MX"/>
        </w:rPr>
      </w:pPr>
    </w:p>
    <w:p w14:paraId="54D72A13" w14:textId="4FFCE3BC" w:rsidR="00BD156F" w:rsidRPr="000B33B9" w:rsidRDefault="00BD156F" w:rsidP="00B756D7">
      <w:pPr>
        <w:pStyle w:val="Prrafodelista"/>
        <w:numPr>
          <w:ilvl w:val="0"/>
          <w:numId w:val="10"/>
        </w:numPr>
        <w:spacing w:after="0" w:line="240" w:lineRule="auto"/>
        <w:ind w:left="0" w:firstLine="0"/>
        <w:contextualSpacing w:val="0"/>
        <w:jc w:val="both"/>
        <w:rPr>
          <w:rFonts w:ascii="Verdana" w:hAnsi="Verdana"/>
          <w:sz w:val="20"/>
          <w:szCs w:val="20"/>
          <w:lang w:val="es-DO"/>
        </w:rPr>
      </w:pPr>
      <w:r w:rsidRPr="000B33B9">
        <w:rPr>
          <w:rFonts w:ascii="Verdana" w:hAnsi="Verdana"/>
          <w:sz w:val="20"/>
          <w:szCs w:val="20"/>
          <w:lang w:val="es-DO"/>
        </w:rPr>
        <w:t xml:space="preserve">En este caso, la Corte observa </w:t>
      </w:r>
      <w:r w:rsidRPr="000B33B9">
        <w:rPr>
          <w:rFonts w:ascii="Verdana" w:hAnsi="Verdana"/>
          <w:sz w:val="20"/>
          <w:szCs w:val="20"/>
          <w:lang w:val="es-DO" w:eastAsia="es-MX"/>
        </w:rPr>
        <w:t xml:space="preserve">que determinadas conductas de las autoridades judiciales dilataron el proceso de ejecución de la sentencia de 25 de octubre de 1993 hasta el punto de que, a la fecha, no se le ha dado cumplimiento a algunas de las prestaciones ordenadas. </w:t>
      </w:r>
    </w:p>
    <w:p w14:paraId="5D75F1F8" w14:textId="77777777" w:rsidR="00BD156F" w:rsidRPr="000B33B9" w:rsidRDefault="00BD156F" w:rsidP="00B756D7">
      <w:pPr>
        <w:pStyle w:val="Prrafodelista"/>
        <w:spacing w:after="0" w:line="240" w:lineRule="auto"/>
        <w:ind w:left="0"/>
        <w:contextualSpacing w:val="0"/>
        <w:jc w:val="both"/>
        <w:rPr>
          <w:rFonts w:ascii="Verdana" w:hAnsi="Verdana"/>
          <w:sz w:val="20"/>
          <w:szCs w:val="20"/>
          <w:lang w:val="es-DO"/>
        </w:rPr>
      </w:pPr>
    </w:p>
    <w:p w14:paraId="2EFE97E8" w14:textId="71AE207B" w:rsidR="0037315C" w:rsidRPr="009B2521" w:rsidRDefault="0037315C" w:rsidP="00B756D7">
      <w:pPr>
        <w:pStyle w:val="Prrafodelista"/>
        <w:numPr>
          <w:ilvl w:val="0"/>
          <w:numId w:val="10"/>
        </w:numPr>
        <w:tabs>
          <w:tab w:val="left" w:pos="709"/>
        </w:tabs>
        <w:spacing w:after="0" w:line="240" w:lineRule="auto"/>
        <w:ind w:left="0" w:firstLine="0"/>
        <w:jc w:val="both"/>
        <w:rPr>
          <w:rFonts w:ascii="Verdana" w:hAnsi="Verdana"/>
          <w:spacing w:val="-2"/>
          <w:sz w:val="20"/>
          <w:szCs w:val="20"/>
        </w:rPr>
      </w:pPr>
      <w:r w:rsidRPr="000B33B9">
        <w:rPr>
          <w:rFonts w:ascii="Verdana" w:hAnsi="Verdana"/>
          <w:sz w:val="20"/>
          <w:szCs w:val="20"/>
        </w:rPr>
        <w:t>En primer lugar, la confusión de los juzgados de ejecución en cuanto a la autoridad encargada del cumplimiento. L</w:t>
      </w:r>
      <w:r w:rsidRPr="000B33B9">
        <w:rPr>
          <w:rFonts w:ascii="Verdana" w:hAnsi="Verdana"/>
          <w:spacing w:val="-2"/>
          <w:sz w:val="20"/>
          <w:szCs w:val="20"/>
        </w:rPr>
        <w:t>a Corte recuerda que, pese a que la sentencia de 25 de octubre de 1993</w:t>
      </w:r>
      <w:r w:rsidR="00764169" w:rsidRPr="000B33B9">
        <w:rPr>
          <w:rFonts w:ascii="Verdana" w:hAnsi="Verdana"/>
          <w:spacing w:val="-2"/>
          <w:sz w:val="20"/>
          <w:szCs w:val="20"/>
        </w:rPr>
        <w:t xml:space="preserve"> declaró la inaplicación de la Tercera Disposición T</w:t>
      </w:r>
      <w:r w:rsidRPr="000B33B9">
        <w:rPr>
          <w:rFonts w:ascii="Verdana" w:hAnsi="Verdana"/>
          <w:spacing w:val="-2"/>
          <w:sz w:val="20"/>
          <w:szCs w:val="20"/>
        </w:rPr>
        <w:t>ransitoria del Decreto 673, lo que implicaba la reinstauración de la SUNAT como autoridad a cargo de la liquidación de las pensiones de los integrantes de ANCEJUB-SUNAT, el 21</w:t>
      </w:r>
      <w:r w:rsidR="00117906" w:rsidRPr="000B33B9">
        <w:rPr>
          <w:rFonts w:ascii="Verdana" w:hAnsi="Verdana"/>
          <w:spacing w:val="-2"/>
          <w:sz w:val="20"/>
          <w:szCs w:val="20"/>
        </w:rPr>
        <w:t xml:space="preserve"> de enero de 1997 el Juzgado Pre</w:t>
      </w:r>
      <w:r w:rsidRPr="000B33B9">
        <w:rPr>
          <w:rFonts w:ascii="Verdana" w:hAnsi="Verdana"/>
          <w:spacing w:val="-2"/>
          <w:sz w:val="20"/>
          <w:szCs w:val="20"/>
        </w:rPr>
        <w:t>visional ordenó el pago al</w:t>
      </w:r>
      <w:r w:rsidR="00117906" w:rsidRPr="000B33B9">
        <w:rPr>
          <w:rFonts w:ascii="Verdana" w:hAnsi="Verdana"/>
          <w:spacing w:val="-2"/>
          <w:sz w:val="20"/>
          <w:szCs w:val="20"/>
        </w:rPr>
        <w:t xml:space="preserve"> MEF</w:t>
      </w:r>
      <w:r w:rsidRPr="000B33B9">
        <w:rPr>
          <w:rFonts w:ascii="Verdana" w:hAnsi="Verdana"/>
          <w:spacing w:val="-2"/>
          <w:sz w:val="20"/>
          <w:szCs w:val="20"/>
        </w:rPr>
        <w:t xml:space="preserve">, decisión que fue confirmada el 16 de febrero de 1998 por el Primer Juzgado Corporativo. Los recursos interpuestos por el MEF contra las referidas resoluciones derivaron en la sentencia de 27 </w:t>
      </w:r>
      <w:r w:rsidRPr="009B2521">
        <w:rPr>
          <w:rFonts w:ascii="Verdana" w:hAnsi="Verdana"/>
          <w:spacing w:val="-2"/>
          <w:sz w:val="20"/>
          <w:szCs w:val="20"/>
        </w:rPr>
        <w:t xml:space="preserve">de febrero de 1998, dictada por la Sala Corporativa, </w:t>
      </w:r>
      <w:r w:rsidRPr="009B2521">
        <w:rPr>
          <w:rFonts w:ascii="Verdana" w:hAnsi="Verdana"/>
          <w:color w:val="000000"/>
          <w:spacing w:val="-2"/>
          <w:sz w:val="20"/>
          <w:szCs w:val="20"/>
        </w:rPr>
        <w:t>que las revocó y señaló que las presuntas</w:t>
      </w:r>
      <w:r w:rsidRPr="009B2521">
        <w:rPr>
          <w:rFonts w:ascii="Verdana" w:hAnsi="Verdana"/>
          <w:color w:val="000000"/>
          <w:spacing w:val="-2"/>
          <w:sz w:val="20"/>
          <w:szCs w:val="20"/>
          <w:shd w:val="clear" w:color="auto" w:fill="FFFFFF"/>
        </w:rPr>
        <w:t xml:space="preserve"> </w:t>
      </w:r>
      <w:r w:rsidRPr="009B2521">
        <w:rPr>
          <w:rFonts w:ascii="Verdana" w:hAnsi="Verdana"/>
          <w:color w:val="000000"/>
          <w:spacing w:val="-2"/>
          <w:sz w:val="20"/>
          <w:szCs w:val="20"/>
        </w:rPr>
        <w:t>víctimas debían instrumentar, de manera individual y en sede administrativa, los “</w:t>
      </w:r>
      <w:r w:rsidR="008342AF" w:rsidRPr="009B2521">
        <w:rPr>
          <w:rFonts w:ascii="Verdana" w:hAnsi="Verdana"/>
          <w:color w:val="000000"/>
          <w:spacing w:val="-2"/>
          <w:sz w:val="20"/>
          <w:szCs w:val="20"/>
        </w:rPr>
        <w:t xml:space="preserve">(…) </w:t>
      </w:r>
      <w:r w:rsidRPr="009B2521">
        <w:rPr>
          <w:rFonts w:ascii="Verdana" w:hAnsi="Verdana"/>
          <w:color w:val="000000"/>
          <w:spacing w:val="-2"/>
          <w:sz w:val="20"/>
          <w:szCs w:val="20"/>
        </w:rPr>
        <w:t>procesos en</w:t>
      </w:r>
      <w:r w:rsidRPr="009B2521">
        <w:rPr>
          <w:rFonts w:ascii="Verdana" w:hAnsi="Verdana"/>
          <w:color w:val="000000"/>
          <w:spacing w:val="-2"/>
          <w:sz w:val="20"/>
          <w:szCs w:val="20"/>
          <w:shd w:val="clear" w:color="auto" w:fill="FFFFFF"/>
        </w:rPr>
        <w:t xml:space="preserve"> </w:t>
      </w:r>
      <w:r w:rsidRPr="009B2521">
        <w:rPr>
          <w:rFonts w:ascii="Verdana" w:hAnsi="Verdana"/>
          <w:color w:val="000000"/>
          <w:spacing w:val="-2"/>
          <w:sz w:val="20"/>
          <w:szCs w:val="20"/>
        </w:rPr>
        <w:t>los que idóneamente se permita el ajuste de liquidaciones y el cabal cumplimiento de sus derechos</w:t>
      </w:r>
      <w:r w:rsidRPr="009B2521">
        <w:rPr>
          <w:rFonts w:ascii="Verdana" w:hAnsi="Verdana"/>
          <w:color w:val="000000"/>
          <w:spacing w:val="-2"/>
          <w:sz w:val="20"/>
          <w:szCs w:val="20"/>
          <w:shd w:val="clear" w:color="auto" w:fill="FFFFFF"/>
        </w:rPr>
        <w:t xml:space="preserve"> </w:t>
      </w:r>
      <w:r w:rsidRPr="009B2521">
        <w:rPr>
          <w:rFonts w:ascii="Verdana" w:hAnsi="Verdana"/>
          <w:color w:val="000000"/>
          <w:spacing w:val="-2"/>
          <w:sz w:val="20"/>
          <w:szCs w:val="20"/>
        </w:rPr>
        <w:t>reconocidos jurisdiccionalmente”</w:t>
      </w:r>
      <w:r w:rsidRPr="009B2521">
        <w:rPr>
          <w:rStyle w:val="Refdenotaalpie"/>
          <w:rFonts w:ascii="Verdana" w:hAnsi="Verdana"/>
          <w:color w:val="000000"/>
          <w:spacing w:val="-2"/>
          <w:sz w:val="20"/>
          <w:szCs w:val="20"/>
        </w:rPr>
        <w:footnoteReference w:id="213"/>
      </w:r>
      <w:r w:rsidRPr="009B2521">
        <w:rPr>
          <w:rFonts w:ascii="Verdana" w:hAnsi="Verdana"/>
          <w:color w:val="000000"/>
          <w:spacing w:val="-2"/>
          <w:sz w:val="20"/>
          <w:szCs w:val="20"/>
        </w:rPr>
        <w:t>. Conforme esta sentencia, el 2 de octubre de 1998 el Primer</w:t>
      </w:r>
      <w:r w:rsidRPr="009B2521">
        <w:rPr>
          <w:rFonts w:ascii="Verdana" w:hAnsi="Verdana"/>
          <w:color w:val="000000"/>
          <w:spacing w:val="-2"/>
          <w:sz w:val="20"/>
          <w:szCs w:val="20"/>
          <w:shd w:val="clear" w:color="auto" w:fill="FFFFFF"/>
        </w:rPr>
        <w:t xml:space="preserve"> </w:t>
      </w:r>
      <w:r w:rsidRPr="009B2521">
        <w:rPr>
          <w:rFonts w:ascii="Verdana" w:hAnsi="Verdana"/>
          <w:color w:val="000000"/>
          <w:spacing w:val="-2"/>
          <w:sz w:val="20"/>
          <w:szCs w:val="20"/>
        </w:rPr>
        <w:t>Juzgado Corporativo ordenó a las presuntas víctimas que instauraran “el pertinente trámite</w:t>
      </w:r>
      <w:r w:rsidRPr="009B2521">
        <w:rPr>
          <w:rFonts w:ascii="Verdana" w:hAnsi="Verdana"/>
          <w:color w:val="000000"/>
          <w:spacing w:val="-2"/>
          <w:sz w:val="20"/>
          <w:szCs w:val="20"/>
          <w:shd w:val="clear" w:color="auto" w:fill="FFFFFF"/>
        </w:rPr>
        <w:t xml:space="preserve"> administrativo y/o jurisdiccional en su caso”</w:t>
      </w:r>
      <w:r w:rsidRPr="009B2521">
        <w:rPr>
          <w:rStyle w:val="Refdenotaalpie"/>
          <w:rFonts w:ascii="Verdana" w:hAnsi="Verdana"/>
          <w:color w:val="000000"/>
          <w:spacing w:val="-2"/>
          <w:sz w:val="20"/>
          <w:szCs w:val="20"/>
          <w:shd w:val="clear" w:color="auto" w:fill="FFFFFF"/>
        </w:rPr>
        <w:footnoteReference w:id="214"/>
      </w:r>
      <w:r w:rsidRPr="009B2521">
        <w:rPr>
          <w:rFonts w:ascii="Verdana" w:hAnsi="Verdana"/>
          <w:color w:val="000000"/>
          <w:spacing w:val="-2"/>
          <w:sz w:val="20"/>
          <w:szCs w:val="20"/>
          <w:shd w:val="clear" w:color="auto" w:fill="FFFFFF"/>
        </w:rPr>
        <w:t xml:space="preserve">. </w:t>
      </w:r>
    </w:p>
    <w:p w14:paraId="781659B9" w14:textId="77777777" w:rsidR="0037315C" w:rsidRPr="00B756D7" w:rsidRDefault="0037315C" w:rsidP="00B756D7">
      <w:pPr>
        <w:pStyle w:val="Prrafodelista"/>
        <w:tabs>
          <w:tab w:val="left" w:pos="709"/>
        </w:tabs>
        <w:spacing w:after="0" w:line="240" w:lineRule="auto"/>
        <w:ind w:left="0"/>
        <w:jc w:val="both"/>
        <w:rPr>
          <w:rFonts w:ascii="Verdana" w:hAnsi="Verdana"/>
          <w:spacing w:val="-2"/>
          <w:sz w:val="20"/>
          <w:szCs w:val="20"/>
        </w:rPr>
      </w:pPr>
    </w:p>
    <w:p w14:paraId="0C7D0220" w14:textId="2E831AB8" w:rsidR="0037315C" w:rsidRPr="000B33B9" w:rsidRDefault="0037315C" w:rsidP="00B756D7">
      <w:pPr>
        <w:pStyle w:val="Prrafodelista"/>
        <w:numPr>
          <w:ilvl w:val="0"/>
          <w:numId w:val="10"/>
        </w:numPr>
        <w:tabs>
          <w:tab w:val="left" w:pos="709"/>
        </w:tabs>
        <w:spacing w:after="0" w:line="240" w:lineRule="auto"/>
        <w:ind w:left="0" w:firstLine="0"/>
        <w:jc w:val="both"/>
        <w:rPr>
          <w:rFonts w:ascii="Verdana" w:hAnsi="Verdana"/>
          <w:sz w:val="20"/>
          <w:szCs w:val="20"/>
        </w:rPr>
      </w:pPr>
      <w:r w:rsidRPr="009B2521">
        <w:rPr>
          <w:rFonts w:ascii="Verdana" w:hAnsi="Verdana"/>
          <w:sz w:val="20"/>
          <w:szCs w:val="20"/>
        </w:rPr>
        <w:t>L</w:t>
      </w:r>
      <w:r w:rsidRPr="009B2521">
        <w:rPr>
          <w:rFonts w:ascii="Verdana" w:hAnsi="Verdana"/>
          <w:color w:val="000000"/>
          <w:spacing w:val="-2"/>
          <w:sz w:val="20"/>
          <w:szCs w:val="20"/>
        </w:rPr>
        <w:t xml:space="preserve">a Corte observa que las referidas resoluciones </w:t>
      </w:r>
      <w:r w:rsidRPr="009B2521">
        <w:rPr>
          <w:rFonts w:ascii="Verdana" w:hAnsi="Verdana"/>
          <w:spacing w:val="-2"/>
          <w:sz w:val="20"/>
          <w:szCs w:val="20"/>
        </w:rPr>
        <w:t>no solo contribuyeron a prolo</w:t>
      </w:r>
      <w:r w:rsidR="00764169" w:rsidRPr="009B2521">
        <w:rPr>
          <w:rFonts w:ascii="Verdana" w:hAnsi="Verdana"/>
          <w:spacing w:val="-2"/>
          <w:sz w:val="20"/>
          <w:szCs w:val="20"/>
        </w:rPr>
        <w:t>n</w:t>
      </w:r>
      <w:r w:rsidRPr="009B2521">
        <w:rPr>
          <w:rFonts w:ascii="Verdana" w:hAnsi="Verdana"/>
          <w:spacing w:val="-2"/>
          <w:sz w:val="20"/>
          <w:szCs w:val="20"/>
        </w:rPr>
        <w:t>gar</w:t>
      </w:r>
      <w:r w:rsidRPr="00B756D7">
        <w:rPr>
          <w:rFonts w:ascii="Verdana" w:hAnsi="Verdana"/>
          <w:spacing w:val="-2"/>
          <w:sz w:val="20"/>
          <w:szCs w:val="20"/>
        </w:rPr>
        <w:t xml:space="preserve"> innecesariamente el proceso de ejecución, creando incertidumbre sobre un aspecto que se desprendía con claridad del dispositivo de la sentencia de 25 de octubre de 1993</w:t>
      </w:r>
      <w:r w:rsidRPr="00B756D7">
        <w:rPr>
          <w:rStyle w:val="Refdenotaalpie"/>
          <w:rFonts w:ascii="Verdana" w:hAnsi="Verdana"/>
          <w:spacing w:val="-2"/>
          <w:sz w:val="20"/>
          <w:szCs w:val="20"/>
        </w:rPr>
        <w:footnoteReference w:id="215"/>
      </w:r>
      <w:r w:rsidRPr="00B756D7">
        <w:rPr>
          <w:rFonts w:ascii="Verdana" w:hAnsi="Verdana"/>
          <w:spacing w:val="-2"/>
          <w:sz w:val="20"/>
          <w:szCs w:val="20"/>
        </w:rPr>
        <w:t>, sino que atribuyeron a las víctimas la responsabilidad de perseguir por la vía administrativa la determinación y subsecuente cobro de las pensiones niveladas y sus reintegros. El hecho de que, luego de haber agotado el recurso pertinente para la salvaguarda de sus derechos y haber obtenido una sentencia judicial que ordenó su reivindicación desde hacía aproximadamente cinco</w:t>
      </w:r>
      <w:r w:rsidRPr="000B33B9">
        <w:rPr>
          <w:rFonts w:ascii="Verdana" w:hAnsi="Verdana"/>
          <w:spacing w:val="-2"/>
          <w:sz w:val="20"/>
          <w:szCs w:val="20"/>
        </w:rPr>
        <w:t xml:space="preserve"> años, se dispusiera que las </w:t>
      </w:r>
      <w:r w:rsidR="00764169" w:rsidRPr="000B33B9">
        <w:rPr>
          <w:rFonts w:ascii="Verdana" w:hAnsi="Verdana"/>
          <w:spacing w:val="-2"/>
          <w:sz w:val="20"/>
          <w:szCs w:val="20"/>
        </w:rPr>
        <w:t xml:space="preserve">presuntas </w:t>
      </w:r>
      <w:r w:rsidRPr="000B33B9">
        <w:rPr>
          <w:rFonts w:ascii="Verdana" w:hAnsi="Verdana"/>
          <w:spacing w:val="-2"/>
          <w:sz w:val="20"/>
          <w:szCs w:val="20"/>
        </w:rPr>
        <w:t>víctimas debían interponer nuevos trámites para lograr la materialización de los mismos, supone el traslado a las</w:t>
      </w:r>
      <w:r w:rsidR="00764169" w:rsidRPr="000B33B9">
        <w:rPr>
          <w:rFonts w:ascii="Verdana" w:hAnsi="Verdana"/>
          <w:spacing w:val="-2"/>
          <w:sz w:val="20"/>
          <w:szCs w:val="20"/>
        </w:rPr>
        <w:t xml:space="preserve"> presuntas</w:t>
      </w:r>
      <w:r w:rsidRPr="000B33B9">
        <w:rPr>
          <w:rFonts w:ascii="Verdana" w:hAnsi="Verdana"/>
          <w:spacing w:val="-2"/>
          <w:sz w:val="20"/>
          <w:szCs w:val="20"/>
        </w:rPr>
        <w:t xml:space="preserve"> víctimas de la obligación que posee el Estado de procurar los medios para ejecutar las decisiones emitidas por las autoridades competentes. </w:t>
      </w:r>
    </w:p>
    <w:p w14:paraId="32C7391A" w14:textId="77777777" w:rsidR="0037315C" w:rsidRPr="000B33B9" w:rsidRDefault="0037315C" w:rsidP="00B756D7">
      <w:pPr>
        <w:pStyle w:val="Prrafodelista"/>
        <w:rPr>
          <w:rFonts w:ascii="Verdana" w:hAnsi="Verdana"/>
          <w:sz w:val="20"/>
          <w:szCs w:val="20"/>
          <w:highlight w:val="lightGray"/>
        </w:rPr>
      </w:pPr>
    </w:p>
    <w:p w14:paraId="1FE66C1F" w14:textId="7683D9EE" w:rsidR="0037315C" w:rsidRPr="000B33B9" w:rsidRDefault="0037315C" w:rsidP="00B756D7">
      <w:pPr>
        <w:pStyle w:val="Prrafodelista"/>
        <w:numPr>
          <w:ilvl w:val="0"/>
          <w:numId w:val="10"/>
        </w:numPr>
        <w:tabs>
          <w:tab w:val="left" w:pos="709"/>
        </w:tabs>
        <w:spacing w:after="0" w:line="240" w:lineRule="auto"/>
        <w:ind w:left="0" w:firstLine="0"/>
        <w:jc w:val="both"/>
        <w:rPr>
          <w:rFonts w:ascii="Verdana" w:hAnsi="Verdana"/>
          <w:spacing w:val="-2"/>
          <w:sz w:val="20"/>
          <w:szCs w:val="20"/>
        </w:rPr>
      </w:pPr>
      <w:r w:rsidRPr="00B756D7">
        <w:rPr>
          <w:rFonts w:ascii="Verdana" w:hAnsi="Verdana"/>
          <w:sz w:val="20"/>
          <w:szCs w:val="20"/>
        </w:rPr>
        <w:t>La Corte estima que la necesidad de que se agotaran otras vías para el cumplimiento de las propias obligaciones estatales establecidas en la sentencia de 25 de octubre de 1993, en vez de propiciar su ejecución, las entorpeció</w:t>
      </w:r>
      <w:r w:rsidRPr="00B756D7">
        <w:rPr>
          <w:rStyle w:val="Refdenotaalpie"/>
          <w:rFonts w:ascii="Verdana" w:hAnsi="Verdana"/>
          <w:sz w:val="20"/>
          <w:szCs w:val="20"/>
        </w:rPr>
        <w:footnoteReference w:id="216"/>
      </w:r>
      <w:r w:rsidRPr="00B756D7">
        <w:rPr>
          <w:rFonts w:ascii="Verdana" w:hAnsi="Verdana"/>
          <w:sz w:val="20"/>
          <w:szCs w:val="20"/>
        </w:rPr>
        <w:t>, sobre todo porque las referidas resoluciones no especificaron los trámites que habrían de interponerse ni la autoridad ante la cual los mismos</w:t>
      </w:r>
      <w:r w:rsidRPr="000B33B9">
        <w:rPr>
          <w:rFonts w:ascii="Verdana" w:hAnsi="Verdana"/>
          <w:sz w:val="20"/>
          <w:szCs w:val="20"/>
        </w:rPr>
        <w:t xml:space="preserve"> tendrían lugar. Esto habr</w:t>
      </w:r>
      <w:r w:rsidRPr="000B33B9">
        <w:rPr>
          <w:rFonts w:ascii="Verdana" w:hAnsi="Verdana"/>
          <w:sz w:val="20"/>
          <w:szCs w:val="20"/>
          <w:lang w:val="es-DO"/>
        </w:rPr>
        <w:t>ía resultado</w:t>
      </w:r>
      <w:r w:rsidRPr="000B33B9">
        <w:rPr>
          <w:rFonts w:ascii="Verdana" w:hAnsi="Verdana"/>
          <w:sz w:val="20"/>
          <w:szCs w:val="20"/>
        </w:rPr>
        <w:t xml:space="preserve"> en un esfuerzo desmedido o exagerado en detrimento de los miembros de ANCEJUB-SUNAT, quienes después de haber obtenido un fallo en su favor se vieron obligados a presentar una segunda acción de amparo a fin de revocar las indicadas resoluciones. Así, </w:t>
      </w:r>
      <w:r w:rsidRPr="000B33B9">
        <w:rPr>
          <w:rFonts w:ascii="Verdana" w:hAnsi="Verdana"/>
          <w:sz w:val="20"/>
          <w:szCs w:val="20"/>
          <w:lang w:val="es-DO" w:eastAsia="es-MX"/>
        </w:rPr>
        <w:t>como consecuencia de las citadas resoluciones</w:t>
      </w:r>
      <w:r w:rsidRPr="000B33B9">
        <w:rPr>
          <w:rStyle w:val="Refdenotaalpie"/>
          <w:rFonts w:ascii="Verdana" w:hAnsi="Verdana"/>
          <w:sz w:val="20"/>
          <w:szCs w:val="20"/>
          <w:lang w:val="es-DO"/>
        </w:rPr>
        <w:footnoteReference w:id="217"/>
      </w:r>
      <w:r w:rsidRPr="000B33B9">
        <w:rPr>
          <w:rFonts w:ascii="Verdana" w:hAnsi="Verdana"/>
          <w:sz w:val="20"/>
          <w:szCs w:val="20"/>
          <w:lang w:val="es-DO" w:eastAsia="es-MX"/>
        </w:rPr>
        <w:t xml:space="preserve">, las </w:t>
      </w:r>
      <w:r w:rsidR="00764169" w:rsidRPr="000B33B9">
        <w:rPr>
          <w:rFonts w:ascii="Verdana" w:hAnsi="Verdana"/>
          <w:sz w:val="20"/>
          <w:szCs w:val="20"/>
          <w:lang w:val="es-DO" w:eastAsia="es-MX"/>
        </w:rPr>
        <w:t xml:space="preserve">presuntas </w:t>
      </w:r>
      <w:r w:rsidRPr="000B33B9">
        <w:rPr>
          <w:rFonts w:ascii="Verdana" w:hAnsi="Verdana"/>
          <w:sz w:val="20"/>
          <w:szCs w:val="20"/>
          <w:lang w:val="es-DO" w:eastAsia="es-MX"/>
        </w:rPr>
        <w:t>víctimas tuvieron que interponer nuevas acciones judiciales</w:t>
      </w:r>
      <w:r w:rsidRPr="000B33B9">
        <w:rPr>
          <w:rStyle w:val="Refdenotaalpie"/>
          <w:rFonts w:ascii="Verdana" w:hAnsi="Verdana"/>
          <w:sz w:val="20"/>
          <w:szCs w:val="20"/>
          <w:lang w:val="es-ES"/>
        </w:rPr>
        <w:footnoteReference w:id="218"/>
      </w:r>
      <w:r w:rsidRPr="000B33B9">
        <w:rPr>
          <w:rFonts w:ascii="Verdana" w:hAnsi="Verdana"/>
          <w:sz w:val="20"/>
          <w:szCs w:val="20"/>
          <w:lang w:val="es-ES"/>
        </w:rPr>
        <w:t xml:space="preserve"> </w:t>
      </w:r>
      <w:r w:rsidRPr="000B33B9">
        <w:rPr>
          <w:rFonts w:ascii="Verdana" w:hAnsi="Verdana"/>
          <w:sz w:val="20"/>
          <w:szCs w:val="20"/>
          <w:lang w:val="es-DO" w:eastAsia="es-MX"/>
        </w:rPr>
        <w:t xml:space="preserve">para lograr que la ejecución retornara al estado en que se encontraba al momento de expedirse la sentencia de 25 de junio de 1996, lo cual no sucedería sino hasta cinco años después con </w:t>
      </w:r>
      <w:r w:rsidR="008342AF" w:rsidRPr="000B33B9">
        <w:rPr>
          <w:rFonts w:ascii="Verdana" w:hAnsi="Verdana"/>
          <w:sz w:val="20"/>
          <w:szCs w:val="20"/>
        </w:rPr>
        <w:t xml:space="preserve">ocasión de la </w:t>
      </w:r>
      <w:r w:rsidR="008342AF" w:rsidRPr="000B33B9">
        <w:rPr>
          <w:rFonts w:ascii="Verdana" w:hAnsi="Verdana"/>
          <w:sz w:val="20"/>
          <w:szCs w:val="20"/>
          <w:lang w:val="es-DO"/>
        </w:rPr>
        <w:t>sentencia</w:t>
      </w:r>
      <w:r w:rsidRPr="000B33B9">
        <w:rPr>
          <w:rFonts w:ascii="Verdana" w:hAnsi="Verdana"/>
          <w:sz w:val="20"/>
          <w:szCs w:val="20"/>
          <w:lang w:val="es-DO"/>
        </w:rPr>
        <w:t xml:space="preserve"> expedida el 10 de mayo de 2001 por el Tribunal Constitucional, en la que reconoció precisamente que las referidas decisiones “</w:t>
      </w:r>
      <w:r w:rsidR="008342AF" w:rsidRPr="000B33B9">
        <w:rPr>
          <w:rFonts w:ascii="Verdana" w:hAnsi="Verdana"/>
          <w:sz w:val="20"/>
          <w:szCs w:val="20"/>
          <w:lang w:val="es-DO"/>
        </w:rPr>
        <w:t xml:space="preserve">(…) </w:t>
      </w:r>
      <w:r w:rsidRPr="000B33B9">
        <w:rPr>
          <w:rFonts w:ascii="Verdana" w:hAnsi="Verdana"/>
          <w:sz w:val="20"/>
          <w:szCs w:val="20"/>
          <w:lang w:val="es-DO"/>
        </w:rPr>
        <w:t>preten[dían] dejar sin efecto la resolución del Juzgado Provisional (…) que ordena cumplir la ejecutoria suprema de fecha [25] de octubre de [1993]”</w:t>
      </w:r>
      <w:r w:rsidRPr="000B33B9">
        <w:rPr>
          <w:rStyle w:val="Refdenotaalpie"/>
          <w:rFonts w:ascii="Verdana" w:hAnsi="Verdana"/>
          <w:sz w:val="20"/>
          <w:szCs w:val="20"/>
          <w:lang w:val="es-DO"/>
        </w:rPr>
        <w:footnoteReference w:id="219"/>
      </w:r>
      <w:r w:rsidRPr="000B33B9">
        <w:rPr>
          <w:rFonts w:ascii="Verdana" w:hAnsi="Verdana"/>
          <w:sz w:val="20"/>
          <w:szCs w:val="20"/>
          <w:lang w:val="es-DO"/>
        </w:rPr>
        <w:t>.</w:t>
      </w:r>
    </w:p>
    <w:p w14:paraId="65CE9449" w14:textId="77777777" w:rsidR="0037315C" w:rsidRPr="000B33B9" w:rsidRDefault="0037315C" w:rsidP="00B756D7">
      <w:pPr>
        <w:tabs>
          <w:tab w:val="left" w:pos="709"/>
        </w:tabs>
        <w:spacing w:after="0" w:line="240" w:lineRule="auto"/>
        <w:jc w:val="both"/>
        <w:rPr>
          <w:rFonts w:ascii="Verdana" w:eastAsia="Calibri" w:hAnsi="Verdana" w:cs="Times New Roman"/>
          <w:sz w:val="20"/>
          <w:szCs w:val="20"/>
          <w:lang w:val="es-DO" w:eastAsia="es-ES"/>
        </w:rPr>
      </w:pPr>
    </w:p>
    <w:p w14:paraId="411BA91C" w14:textId="6A6D7746" w:rsidR="0037315C" w:rsidRPr="000B33B9" w:rsidRDefault="0037315C" w:rsidP="00B756D7">
      <w:pPr>
        <w:pStyle w:val="Prrafodelista"/>
        <w:numPr>
          <w:ilvl w:val="0"/>
          <w:numId w:val="10"/>
        </w:numPr>
        <w:spacing w:after="0" w:line="240" w:lineRule="auto"/>
        <w:ind w:left="0" w:firstLine="0"/>
        <w:contextualSpacing w:val="0"/>
        <w:jc w:val="both"/>
        <w:rPr>
          <w:rFonts w:ascii="Verdana" w:hAnsi="Verdana"/>
          <w:sz w:val="20"/>
          <w:szCs w:val="20"/>
          <w:lang w:val="es-DO"/>
        </w:rPr>
      </w:pPr>
      <w:r w:rsidRPr="000B33B9">
        <w:rPr>
          <w:rFonts w:ascii="Verdana" w:eastAsia="Calibri" w:hAnsi="Verdana" w:cs="Times New Roman"/>
          <w:sz w:val="20"/>
          <w:szCs w:val="20"/>
          <w:lang w:val="es-DO" w:eastAsia="es-ES"/>
        </w:rPr>
        <w:t>En segundo</w:t>
      </w:r>
      <w:r w:rsidR="00764169" w:rsidRPr="000B33B9">
        <w:rPr>
          <w:rFonts w:ascii="Verdana" w:eastAsia="Calibri" w:hAnsi="Verdana" w:cs="Times New Roman"/>
          <w:sz w:val="20"/>
          <w:szCs w:val="20"/>
          <w:lang w:val="es-DO" w:eastAsia="es-ES"/>
        </w:rPr>
        <w:t xml:space="preserve"> lugar, el Tribunal observa que</w:t>
      </w:r>
      <w:r w:rsidRPr="000B33B9">
        <w:rPr>
          <w:rFonts w:ascii="Verdana" w:eastAsia="Calibri" w:hAnsi="Verdana" w:cs="Times New Roman"/>
          <w:sz w:val="20"/>
          <w:szCs w:val="20"/>
          <w:lang w:val="es-DO" w:eastAsia="es-ES"/>
        </w:rPr>
        <w:t xml:space="preserve"> el 25 de octubre de 2006 se ordenó la elaboración de un nuevo peritaje</w:t>
      </w:r>
      <w:r w:rsidRPr="000B33B9">
        <w:rPr>
          <w:rStyle w:val="Refdenotaalpie"/>
          <w:rFonts w:ascii="Verdana" w:eastAsia="Calibri" w:hAnsi="Verdana" w:cs="Times New Roman"/>
          <w:sz w:val="20"/>
          <w:szCs w:val="20"/>
          <w:lang w:val="es-ES" w:eastAsia="es-ES"/>
        </w:rPr>
        <w:footnoteReference w:id="220"/>
      </w:r>
      <w:r w:rsidRPr="000B33B9">
        <w:rPr>
          <w:rFonts w:ascii="Verdana" w:eastAsia="Calibri" w:hAnsi="Verdana" w:cs="Times New Roman"/>
          <w:sz w:val="20"/>
          <w:szCs w:val="20"/>
          <w:lang w:val="es-DO" w:eastAsia="es-ES"/>
        </w:rPr>
        <w:t xml:space="preserve"> a cargo de la Oficina </w:t>
      </w:r>
      <w:r w:rsidRPr="000B33B9">
        <w:rPr>
          <w:rFonts w:ascii="Verdana" w:eastAsia="Calibri" w:hAnsi="Verdana" w:cs="Times New Roman"/>
          <w:sz w:val="20"/>
          <w:szCs w:val="20"/>
          <w:lang w:val="es-ES" w:eastAsia="es-ES"/>
        </w:rPr>
        <w:t>de Pericias Judiciales, pero transcurrió un año para que el expediente fuera remitido a dicha institución</w:t>
      </w:r>
      <w:r w:rsidRPr="000B33B9">
        <w:rPr>
          <w:rStyle w:val="Refdenotaalpie"/>
          <w:rFonts w:ascii="Verdana" w:eastAsia="Calibri" w:hAnsi="Verdana" w:cs="Times New Roman"/>
          <w:sz w:val="20"/>
          <w:szCs w:val="20"/>
          <w:lang w:val="es-ES" w:eastAsia="es-ES"/>
        </w:rPr>
        <w:footnoteReference w:id="221"/>
      </w:r>
      <w:r w:rsidRPr="000B33B9">
        <w:rPr>
          <w:rFonts w:ascii="Verdana" w:eastAsia="Calibri" w:hAnsi="Verdana" w:cs="Times New Roman"/>
          <w:sz w:val="20"/>
          <w:szCs w:val="20"/>
          <w:lang w:val="es-ES" w:eastAsia="es-ES"/>
        </w:rPr>
        <w:t xml:space="preserve"> y que, una vez allí, pasó otro año para que el equipo técnico de la Corte Superior de Justicia de Lima determinara, el 6 de octubre de 2008, que no podía encargarse de realizarlo y que el expediente debía ser enviado al </w:t>
      </w:r>
      <w:r w:rsidR="00764169" w:rsidRPr="000B33B9">
        <w:rPr>
          <w:rFonts w:ascii="Verdana" w:eastAsia="Calibri" w:hAnsi="Verdana" w:cs="Times New Roman"/>
          <w:sz w:val="20"/>
          <w:szCs w:val="20"/>
          <w:lang w:val="es-ES" w:eastAsia="es-ES"/>
        </w:rPr>
        <w:t>REPEJ</w:t>
      </w:r>
      <w:r w:rsidRPr="000B33B9">
        <w:rPr>
          <w:rStyle w:val="Refdenotaalpie"/>
          <w:rFonts w:ascii="Verdana" w:eastAsia="Calibri" w:hAnsi="Verdana" w:cs="Times New Roman"/>
          <w:sz w:val="20"/>
          <w:szCs w:val="20"/>
          <w:lang w:val="es-ES" w:eastAsia="es-ES"/>
        </w:rPr>
        <w:footnoteReference w:id="222"/>
      </w:r>
      <w:r w:rsidRPr="000B33B9">
        <w:rPr>
          <w:rFonts w:ascii="Verdana" w:eastAsia="Calibri" w:hAnsi="Verdana" w:cs="Times New Roman"/>
          <w:sz w:val="20"/>
          <w:szCs w:val="20"/>
          <w:lang w:val="es-ES" w:eastAsia="es-ES"/>
        </w:rPr>
        <w:t>. Al respecto, la Corte observa que transcurrieron cinco años desde que se ordenó la realización del nuevo informe pericial hasta que fue finalmente presentado en octubre de 2011</w:t>
      </w:r>
      <w:r w:rsidRPr="000B33B9">
        <w:rPr>
          <w:rStyle w:val="Refdenotaalpie"/>
          <w:rFonts w:ascii="Verdana" w:hAnsi="Verdana"/>
          <w:sz w:val="20"/>
          <w:szCs w:val="20"/>
          <w:lang w:val="es-ES"/>
        </w:rPr>
        <w:footnoteReference w:id="223"/>
      </w:r>
      <w:r w:rsidRPr="000B33B9">
        <w:rPr>
          <w:rFonts w:ascii="Verdana" w:eastAsia="Calibri" w:hAnsi="Verdana" w:cs="Times New Roman"/>
          <w:sz w:val="20"/>
          <w:szCs w:val="20"/>
          <w:lang w:val="es-ES" w:eastAsia="es-ES"/>
        </w:rPr>
        <w:t xml:space="preserve">. </w:t>
      </w:r>
    </w:p>
    <w:p w14:paraId="5D3362EC" w14:textId="77777777" w:rsidR="0037315C" w:rsidRPr="000B33B9" w:rsidRDefault="0037315C" w:rsidP="00B756D7">
      <w:pPr>
        <w:pStyle w:val="Prrafodelista"/>
        <w:jc w:val="both"/>
        <w:rPr>
          <w:rFonts w:ascii="Verdana" w:eastAsia="Calibri" w:hAnsi="Verdana" w:cs="Times New Roman"/>
          <w:sz w:val="20"/>
          <w:szCs w:val="20"/>
          <w:lang w:val="es-ES" w:eastAsia="es-ES"/>
        </w:rPr>
      </w:pPr>
    </w:p>
    <w:p w14:paraId="1766EA14" w14:textId="09E009F7" w:rsidR="0037315C" w:rsidRPr="000B33B9" w:rsidRDefault="0037315C" w:rsidP="00B756D7">
      <w:pPr>
        <w:pStyle w:val="Prrafodelista"/>
        <w:numPr>
          <w:ilvl w:val="0"/>
          <w:numId w:val="10"/>
        </w:numPr>
        <w:spacing w:after="0" w:line="240" w:lineRule="auto"/>
        <w:ind w:left="0" w:firstLine="0"/>
        <w:contextualSpacing w:val="0"/>
        <w:jc w:val="both"/>
        <w:rPr>
          <w:rFonts w:ascii="Verdana" w:hAnsi="Verdana"/>
          <w:sz w:val="20"/>
          <w:szCs w:val="20"/>
          <w:lang w:val="es-DO"/>
        </w:rPr>
      </w:pPr>
      <w:r w:rsidRPr="000B33B9">
        <w:rPr>
          <w:rFonts w:ascii="Verdana" w:eastAsia="Calibri" w:hAnsi="Verdana" w:cs="Times New Roman"/>
          <w:sz w:val="20"/>
          <w:szCs w:val="20"/>
          <w:lang w:val="es-ES" w:eastAsia="es-ES"/>
        </w:rPr>
        <w:t xml:space="preserve">En tercer lugar, la Corte advierte que el expediente se mantuvo inactivo por espacio de un año desde que, en marzo de 2015, fue recibido por el Segundo Juzgado </w:t>
      </w:r>
      <w:r w:rsidR="00764169" w:rsidRPr="000B33B9">
        <w:rPr>
          <w:rFonts w:ascii="Verdana" w:eastAsia="Calibri" w:hAnsi="Verdana" w:cs="Times New Roman"/>
          <w:sz w:val="20"/>
          <w:szCs w:val="20"/>
          <w:lang w:val="es-ES" w:eastAsia="es-ES"/>
        </w:rPr>
        <w:t>Civil</w:t>
      </w:r>
      <w:r w:rsidRPr="000B33B9">
        <w:rPr>
          <w:rStyle w:val="Refdenotaalpie"/>
          <w:rFonts w:ascii="Verdana" w:eastAsia="Calibri" w:hAnsi="Verdana" w:cs="Times New Roman"/>
          <w:sz w:val="20"/>
          <w:szCs w:val="20"/>
          <w:lang w:val="es-ES" w:eastAsia="es-ES"/>
        </w:rPr>
        <w:footnoteReference w:id="224"/>
      </w:r>
      <w:r w:rsidRPr="000B33B9">
        <w:rPr>
          <w:rFonts w:ascii="Verdana" w:eastAsia="Calibri" w:hAnsi="Verdana" w:cs="Times New Roman"/>
          <w:sz w:val="20"/>
          <w:szCs w:val="20"/>
          <w:lang w:val="es-ES" w:eastAsia="es-ES"/>
        </w:rPr>
        <w:t xml:space="preserve"> hasta que, en julio de 2016, se dispuso la celebración de una audiencia pública para dirimir las observaciones de las partes, y que a partir de entonces transcurrió otro año para que dicho tribunal estatuyera sobre la aprobación del peritaje</w:t>
      </w:r>
      <w:r w:rsidRPr="000B33B9">
        <w:rPr>
          <w:rStyle w:val="Refdenotaalpie"/>
          <w:rFonts w:ascii="Verdana" w:hAnsi="Verdana"/>
          <w:sz w:val="20"/>
          <w:szCs w:val="20"/>
          <w:lang w:val="es-ES"/>
        </w:rPr>
        <w:footnoteReference w:id="225"/>
      </w:r>
      <w:r w:rsidRPr="000B33B9">
        <w:rPr>
          <w:rFonts w:ascii="Verdana" w:eastAsia="Calibri" w:hAnsi="Verdana" w:cs="Times New Roman"/>
          <w:sz w:val="20"/>
          <w:szCs w:val="20"/>
          <w:lang w:val="es-ES" w:eastAsia="es-ES"/>
        </w:rPr>
        <w:t xml:space="preserve">. De igual modo, la Corte reitera que han transcurrido dos años desde que dicho peritaje fue aprobado en junio de 2017 sin que a la fecha el Estado haya pagado a las víctimas los reintegros relativos a la nivelación de sus pensiones. </w:t>
      </w:r>
    </w:p>
    <w:p w14:paraId="622EBBC8" w14:textId="77777777" w:rsidR="0037315C" w:rsidRPr="000B33B9" w:rsidRDefault="0037315C" w:rsidP="00B756D7">
      <w:pPr>
        <w:pStyle w:val="Prrafodelista"/>
        <w:jc w:val="both"/>
        <w:rPr>
          <w:rFonts w:ascii="Verdana" w:eastAsia="Calibri" w:hAnsi="Verdana" w:cs="Times New Roman"/>
          <w:sz w:val="20"/>
          <w:szCs w:val="20"/>
          <w:lang w:val="es-ES" w:eastAsia="es-ES"/>
        </w:rPr>
      </w:pPr>
    </w:p>
    <w:p w14:paraId="3B6CB89E" w14:textId="62DCF57C" w:rsidR="00BD156F" w:rsidRPr="000864AE" w:rsidRDefault="0037315C" w:rsidP="000864AE">
      <w:pPr>
        <w:pStyle w:val="Prrafodelista"/>
        <w:numPr>
          <w:ilvl w:val="0"/>
          <w:numId w:val="10"/>
        </w:numPr>
        <w:spacing w:after="0" w:line="240" w:lineRule="auto"/>
        <w:ind w:left="0" w:firstLine="0"/>
        <w:contextualSpacing w:val="0"/>
        <w:jc w:val="both"/>
        <w:rPr>
          <w:rFonts w:ascii="Verdana" w:hAnsi="Verdana"/>
          <w:sz w:val="20"/>
          <w:szCs w:val="20"/>
          <w:lang w:val="es-DO"/>
        </w:rPr>
      </w:pPr>
      <w:r w:rsidRPr="000B33B9">
        <w:rPr>
          <w:rFonts w:ascii="Verdana" w:eastAsia="Calibri" w:hAnsi="Verdana" w:cs="Times New Roman"/>
          <w:sz w:val="20"/>
          <w:szCs w:val="20"/>
          <w:lang w:val="es-ES" w:eastAsia="es-ES"/>
        </w:rPr>
        <w:t xml:space="preserve">En consecuencia, el Tribunal estima que, pese a haberse dictado </w:t>
      </w:r>
      <w:r w:rsidRPr="000B33B9">
        <w:rPr>
          <w:rFonts w:ascii="Verdana" w:hAnsi="Verdana"/>
          <w:sz w:val="20"/>
          <w:szCs w:val="20"/>
          <w:lang w:val="es-DO"/>
        </w:rPr>
        <w:t xml:space="preserve">tres sentencias judiciales firmes a favor de las </w:t>
      </w:r>
      <w:r w:rsidR="00764169" w:rsidRPr="000B33B9">
        <w:rPr>
          <w:rFonts w:ascii="Verdana" w:hAnsi="Verdana"/>
          <w:sz w:val="20"/>
          <w:szCs w:val="20"/>
          <w:lang w:val="es-DO"/>
        </w:rPr>
        <w:t xml:space="preserve">presuntas </w:t>
      </w:r>
      <w:r w:rsidRPr="000B33B9">
        <w:rPr>
          <w:rFonts w:ascii="Verdana" w:hAnsi="Verdana"/>
          <w:sz w:val="20"/>
          <w:szCs w:val="20"/>
          <w:lang w:val="es-DO"/>
        </w:rPr>
        <w:t xml:space="preserve">víctimas, las autoridades judiciales no garantizaron los </w:t>
      </w:r>
      <w:r w:rsidRPr="000864AE">
        <w:rPr>
          <w:rFonts w:ascii="Verdana" w:hAnsi="Verdana"/>
          <w:sz w:val="20"/>
          <w:szCs w:val="20"/>
          <w:lang w:val="es-DO"/>
        </w:rPr>
        <w:t>medios ni tomaron las medidas conducentes a lograr el cumplimento de las indicadas decisiones en un plazo razonable, evidenciándose su ineficacia para resolver las vicisitudes planteadas en el proceso de ejecución</w:t>
      </w:r>
      <w:r w:rsidRPr="000864AE">
        <w:rPr>
          <w:rStyle w:val="Refdenotaalpie"/>
          <w:rFonts w:ascii="Verdana" w:hAnsi="Verdana"/>
          <w:sz w:val="20"/>
          <w:szCs w:val="20"/>
          <w:lang w:val="es-DO"/>
        </w:rPr>
        <w:footnoteReference w:id="226"/>
      </w:r>
      <w:r w:rsidRPr="000864AE">
        <w:rPr>
          <w:rFonts w:ascii="Verdana" w:hAnsi="Verdana"/>
          <w:sz w:val="20"/>
          <w:szCs w:val="20"/>
          <w:lang w:val="es-DO"/>
        </w:rPr>
        <w:t xml:space="preserve">. </w:t>
      </w:r>
      <w:r w:rsidRPr="000864AE">
        <w:rPr>
          <w:rFonts w:ascii="Verdana" w:hAnsi="Verdana"/>
          <w:sz w:val="20"/>
          <w:szCs w:val="20"/>
        </w:rPr>
        <w:t>De este modo, la Corte advierte que el hecho de que todavía no haya culminado el proceso de ejecución de la sentencia, quedando obligaciones pendientes de saldo, puede atribuirse a las dilaciones ocasionadas por el Estado, entre las cuales se destacan: a) la incertidumbre creada por las resoluciones internas en cuanto a la autoridad encargada de cumplir la sen</w:t>
      </w:r>
      <w:r w:rsidR="00764169" w:rsidRPr="000864AE">
        <w:rPr>
          <w:rFonts w:ascii="Verdana" w:hAnsi="Verdana"/>
          <w:sz w:val="20"/>
          <w:szCs w:val="20"/>
        </w:rPr>
        <w:t>tencia de 25 de octubre de 1993;</w:t>
      </w:r>
      <w:r w:rsidRPr="000864AE">
        <w:rPr>
          <w:rFonts w:ascii="Verdana" w:hAnsi="Verdana"/>
          <w:sz w:val="20"/>
          <w:szCs w:val="20"/>
        </w:rPr>
        <w:t xml:space="preserve"> b) la perentoriedad de interponer trámites adicionales en la vía administrativa para procurar la eje</w:t>
      </w:r>
      <w:r w:rsidR="00764169" w:rsidRPr="000864AE">
        <w:rPr>
          <w:rFonts w:ascii="Verdana" w:hAnsi="Verdana"/>
          <w:sz w:val="20"/>
          <w:szCs w:val="20"/>
        </w:rPr>
        <w:t>cución de la indicada sentencia;</w:t>
      </w:r>
      <w:r w:rsidRPr="000864AE">
        <w:rPr>
          <w:rFonts w:ascii="Verdana" w:hAnsi="Verdana"/>
          <w:sz w:val="20"/>
          <w:szCs w:val="20"/>
        </w:rPr>
        <w:t xml:space="preserve"> c) la demora injustificada en cuanto a la elaboración del peritaje de 18 de octubre de 2011</w:t>
      </w:r>
      <w:r w:rsidR="00421CB6" w:rsidRPr="000864AE">
        <w:rPr>
          <w:rFonts w:ascii="Verdana" w:hAnsi="Verdana"/>
          <w:sz w:val="20"/>
          <w:szCs w:val="20"/>
        </w:rPr>
        <w:t>,</w:t>
      </w:r>
      <w:r w:rsidRPr="000864AE">
        <w:rPr>
          <w:rFonts w:ascii="Verdana" w:hAnsi="Verdana"/>
          <w:sz w:val="20"/>
          <w:szCs w:val="20"/>
        </w:rPr>
        <w:t xml:space="preserve"> y d) la inercia de los juzgados de ejecución que mantuvo inactivo el expediente en determinados periodos de más de </w:t>
      </w:r>
      <w:r w:rsidR="00764169" w:rsidRPr="000864AE">
        <w:rPr>
          <w:rFonts w:ascii="Verdana" w:hAnsi="Verdana"/>
          <w:sz w:val="20"/>
          <w:szCs w:val="20"/>
        </w:rPr>
        <w:t>un</w:t>
      </w:r>
      <w:r w:rsidRPr="000864AE">
        <w:rPr>
          <w:rFonts w:ascii="Verdana" w:hAnsi="Verdana"/>
          <w:sz w:val="20"/>
          <w:szCs w:val="20"/>
        </w:rPr>
        <w:t xml:space="preserve"> año. Por consiguiente, en el proceso de ejecución existieron demoras y periodos de inactividad atribuibles en su totalidad al Estado.</w:t>
      </w:r>
    </w:p>
    <w:p w14:paraId="54F369CD" w14:textId="77777777" w:rsidR="00BD156F" w:rsidRPr="000864AE" w:rsidRDefault="00BD156F" w:rsidP="000864AE">
      <w:pPr>
        <w:pStyle w:val="Default"/>
        <w:jc w:val="both"/>
        <w:rPr>
          <w:sz w:val="20"/>
          <w:szCs w:val="20"/>
          <w:lang w:val="es-ES"/>
        </w:rPr>
      </w:pPr>
    </w:p>
    <w:p w14:paraId="192EC69A" w14:textId="77B3437A" w:rsidR="00BD156F" w:rsidRPr="000864AE" w:rsidRDefault="00F27910" w:rsidP="000864AE">
      <w:pPr>
        <w:pStyle w:val="Ttulo4"/>
        <w:numPr>
          <w:ilvl w:val="0"/>
          <w:numId w:val="0"/>
        </w:numPr>
        <w:ind w:left="1068" w:hanging="360"/>
        <w:rPr>
          <w:lang w:val="es-DO"/>
        </w:rPr>
      </w:pPr>
      <w:bookmarkStart w:id="74" w:name="_Toc27329777"/>
      <w:r w:rsidRPr="000864AE">
        <w:rPr>
          <w:lang w:val="es-DO"/>
        </w:rPr>
        <w:t xml:space="preserve">B.2.4. </w:t>
      </w:r>
      <w:r w:rsidR="00BD156F" w:rsidRPr="000864AE">
        <w:rPr>
          <w:lang w:val="es-DO"/>
        </w:rPr>
        <w:t>Afectación generada</w:t>
      </w:r>
      <w:bookmarkEnd w:id="74"/>
      <w:r w:rsidR="00BD156F" w:rsidRPr="000864AE">
        <w:rPr>
          <w:lang w:val="es-DO"/>
        </w:rPr>
        <w:t xml:space="preserve"> </w:t>
      </w:r>
    </w:p>
    <w:p w14:paraId="3285AF5A" w14:textId="77777777" w:rsidR="00BD156F" w:rsidRPr="000864AE" w:rsidRDefault="00BD156F" w:rsidP="000864AE">
      <w:pPr>
        <w:spacing w:after="0" w:line="240" w:lineRule="auto"/>
        <w:jc w:val="both"/>
        <w:rPr>
          <w:rFonts w:ascii="Verdana" w:hAnsi="Verdana"/>
          <w:sz w:val="20"/>
          <w:szCs w:val="20"/>
          <w:lang w:val="es-DO"/>
        </w:rPr>
      </w:pPr>
    </w:p>
    <w:p w14:paraId="05910EB7" w14:textId="250E94F1" w:rsidR="00BD156F" w:rsidRPr="000864AE" w:rsidRDefault="00BD156F" w:rsidP="000864AE">
      <w:pPr>
        <w:pStyle w:val="Prrafodelista"/>
        <w:numPr>
          <w:ilvl w:val="0"/>
          <w:numId w:val="10"/>
        </w:numPr>
        <w:spacing w:after="0" w:line="240" w:lineRule="auto"/>
        <w:ind w:left="0" w:firstLine="0"/>
        <w:jc w:val="both"/>
        <w:rPr>
          <w:rFonts w:ascii="Verdana" w:hAnsi="Verdana"/>
          <w:sz w:val="20"/>
          <w:szCs w:val="20"/>
        </w:rPr>
      </w:pPr>
      <w:r w:rsidRPr="000864AE">
        <w:rPr>
          <w:rFonts w:ascii="Verdana" w:hAnsi="Verdana"/>
          <w:sz w:val="20"/>
          <w:szCs w:val="20"/>
        </w:rPr>
        <w:t>En referencia al cuarto elemento, la Corte ha afirmado que para determinar la razonabilidad del plazo se debe tomar en cuenta la afectación generada por la duración del procedimiento en la situación jurídica de la persona involucrada, considerando, entre otros elementos, la materia de la controversia. Así, el Tribunal ha establecido que si el paso del tiempo incide de manera relevante en la situación jurídica del individuo, resultará necesario que el procedimiento se desarrolle con mayor prontitud a fin de que el caso se resuelva en un tiempo breve</w:t>
      </w:r>
      <w:r w:rsidRPr="000864AE">
        <w:rPr>
          <w:rStyle w:val="Refdenotaalpie"/>
          <w:rFonts w:ascii="Verdana" w:hAnsi="Verdana"/>
          <w:sz w:val="20"/>
          <w:szCs w:val="20"/>
        </w:rPr>
        <w:footnoteReference w:id="227"/>
      </w:r>
      <w:r w:rsidRPr="000864AE">
        <w:rPr>
          <w:rFonts w:ascii="Verdana" w:hAnsi="Verdana"/>
          <w:sz w:val="20"/>
          <w:szCs w:val="20"/>
        </w:rPr>
        <w:t>. En este caso, la Corte reitera que versa sobre el incumplimiento de una sentencia que involucra derechos pensionarios, por lo que la excesiva prolongación de su ejecución necesariamente incidió en el derecho a la seguridad social de las</w:t>
      </w:r>
      <w:r w:rsidR="00764169" w:rsidRPr="000864AE">
        <w:rPr>
          <w:rFonts w:ascii="Verdana" w:hAnsi="Verdana"/>
          <w:sz w:val="20"/>
          <w:szCs w:val="20"/>
        </w:rPr>
        <w:t xml:space="preserve"> presuntas</w:t>
      </w:r>
      <w:r w:rsidRPr="000864AE">
        <w:rPr>
          <w:rFonts w:ascii="Verdana" w:hAnsi="Verdana"/>
          <w:sz w:val="20"/>
          <w:szCs w:val="20"/>
        </w:rPr>
        <w:t xml:space="preserve"> víctimas, las cuales se encuentran en una situación de especial vulnerabilidad al ser personas mayores</w:t>
      </w:r>
      <w:r w:rsidRPr="000864AE">
        <w:rPr>
          <w:rStyle w:val="Refdenotaalpie"/>
          <w:rFonts w:ascii="Verdana" w:hAnsi="Verdana"/>
          <w:sz w:val="20"/>
          <w:szCs w:val="20"/>
        </w:rPr>
        <w:footnoteReference w:id="228"/>
      </w:r>
      <w:r w:rsidRPr="000864AE">
        <w:rPr>
          <w:rFonts w:ascii="Verdana" w:hAnsi="Verdana"/>
          <w:sz w:val="20"/>
          <w:szCs w:val="20"/>
        </w:rPr>
        <w:t>.</w:t>
      </w:r>
      <w:r w:rsidR="00B11A5C" w:rsidRPr="000864AE">
        <w:rPr>
          <w:rFonts w:ascii="Verdana" w:hAnsi="Verdana"/>
          <w:sz w:val="20"/>
          <w:szCs w:val="20"/>
        </w:rPr>
        <w:t xml:space="preserve"> </w:t>
      </w:r>
      <w:r w:rsidRPr="000864AE">
        <w:rPr>
          <w:rFonts w:ascii="Verdana" w:hAnsi="Verdana"/>
          <w:sz w:val="20"/>
          <w:szCs w:val="20"/>
        </w:rPr>
        <w:t>Tratándose del derecho a la seguridad social, es decir una prestación de carácter alimentario y sustitutivo del salario, la Corte estima que era exigible un criterio reforzado de celeridad, el cual no fue adoptado por el Estado en este caso</w:t>
      </w:r>
      <w:r w:rsidRPr="000864AE">
        <w:rPr>
          <w:rStyle w:val="Refdenotaalpie"/>
          <w:rFonts w:ascii="Verdana" w:hAnsi="Verdana"/>
          <w:sz w:val="20"/>
          <w:szCs w:val="20"/>
        </w:rPr>
        <w:footnoteReference w:id="229"/>
      </w:r>
      <w:r w:rsidRPr="000864AE">
        <w:rPr>
          <w:rFonts w:ascii="Verdana" w:hAnsi="Verdana"/>
          <w:sz w:val="20"/>
          <w:szCs w:val="20"/>
        </w:rPr>
        <w:t xml:space="preserve">. </w:t>
      </w:r>
    </w:p>
    <w:p w14:paraId="340FB5E0" w14:textId="77777777" w:rsidR="00804A6C" w:rsidRPr="000864AE" w:rsidRDefault="00804A6C" w:rsidP="000864AE">
      <w:pPr>
        <w:pStyle w:val="Prrafodelista"/>
        <w:spacing w:after="0" w:line="240" w:lineRule="auto"/>
        <w:ind w:left="0"/>
        <w:jc w:val="both"/>
        <w:rPr>
          <w:rFonts w:ascii="Verdana" w:hAnsi="Verdana"/>
          <w:sz w:val="20"/>
          <w:szCs w:val="20"/>
        </w:rPr>
      </w:pPr>
    </w:p>
    <w:p w14:paraId="28EE3522" w14:textId="77DC5D07" w:rsidR="00BD156F" w:rsidRPr="000864AE" w:rsidRDefault="00322E11" w:rsidP="000864AE">
      <w:pPr>
        <w:pStyle w:val="Ttulo3"/>
        <w:numPr>
          <w:ilvl w:val="0"/>
          <w:numId w:val="0"/>
        </w:numPr>
        <w:ind w:left="1353"/>
      </w:pPr>
      <w:bookmarkStart w:id="75" w:name="_Toc27329778"/>
      <w:r w:rsidRPr="000864AE">
        <w:t xml:space="preserve">B.3. </w:t>
      </w:r>
      <w:r w:rsidR="00BD156F" w:rsidRPr="000864AE">
        <w:t>Conclusión</w:t>
      </w:r>
      <w:bookmarkEnd w:id="75"/>
    </w:p>
    <w:p w14:paraId="55792B19" w14:textId="77777777" w:rsidR="00BD156F" w:rsidRPr="000864AE" w:rsidRDefault="00BD156F" w:rsidP="000864AE">
      <w:pPr>
        <w:pStyle w:val="Prrafodelista"/>
        <w:spacing w:after="0" w:line="240" w:lineRule="auto"/>
        <w:ind w:left="0"/>
        <w:jc w:val="both"/>
        <w:rPr>
          <w:rFonts w:ascii="Verdana" w:hAnsi="Verdana" w:cs="Arial"/>
          <w:spacing w:val="-2"/>
          <w:sz w:val="20"/>
          <w:szCs w:val="20"/>
          <w:lang w:eastAsia="ja-JP"/>
        </w:rPr>
      </w:pPr>
    </w:p>
    <w:p w14:paraId="496ADAA0" w14:textId="11491480" w:rsidR="004B204D" w:rsidRPr="000864AE" w:rsidRDefault="00A50374" w:rsidP="000864AE">
      <w:pPr>
        <w:pStyle w:val="Prrafodelista"/>
        <w:numPr>
          <w:ilvl w:val="0"/>
          <w:numId w:val="10"/>
        </w:numPr>
        <w:tabs>
          <w:tab w:val="left" w:pos="709"/>
        </w:tabs>
        <w:spacing w:after="0" w:line="240" w:lineRule="auto"/>
        <w:ind w:left="0" w:firstLine="0"/>
        <w:jc w:val="both"/>
        <w:rPr>
          <w:rFonts w:ascii="Verdana" w:hAnsi="Verdana"/>
          <w:sz w:val="20"/>
          <w:szCs w:val="20"/>
        </w:rPr>
      </w:pPr>
      <w:r w:rsidRPr="000864AE">
        <w:rPr>
          <w:rFonts w:ascii="Verdana" w:hAnsi="Verdana"/>
          <w:sz w:val="20"/>
          <w:szCs w:val="20"/>
        </w:rPr>
        <w:t xml:space="preserve">De todo lo anteriormente expuesto, el Tribunal concluye que el Estado es responsable por el incumplimiento de la sentencia de 25 de octubre de 1993 en virtud de las acciones estatales que derivaron en el retraso del proceso </w:t>
      </w:r>
      <w:r w:rsidR="003655AA" w:rsidRPr="000864AE">
        <w:rPr>
          <w:rFonts w:ascii="Verdana" w:hAnsi="Verdana"/>
          <w:sz w:val="20"/>
          <w:szCs w:val="20"/>
        </w:rPr>
        <w:t xml:space="preserve">y la necesidad de que los </w:t>
      </w:r>
      <w:r w:rsidR="006D1198" w:rsidRPr="000864AE">
        <w:rPr>
          <w:rFonts w:ascii="Verdana" w:hAnsi="Verdana"/>
          <w:sz w:val="20"/>
          <w:szCs w:val="20"/>
        </w:rPr>
        <w:t>integrantes</w:t>
      </w:r>
      <w:r w:rsidR="003655AA" w:rsidRPr="000864AE">
        <w:rPr>
          <w:rFonts w:ascii="Verdana" w:hAnsi="Verdana"/>
          <w:sz w:val="20"/>
          <w:szCs w:val="20"/>
        </w:rPr>
        <w:t xml:space="preserve"> de ANCEJUB-SUNAT tuvieran que iniciar nuevos trámites en sede administrativa para procurar la liquidación de sus pensiones niveladas, así como por la falta de pago de los reintegros ordenados por la sentencia antes mencionada. Asimismo, el tiempo transcurrido de 27 años desde la emisión de la sentencia vulneró la garantía del plazo razonable. </w:t>
      </w:r>
    </w:p>
    <w:p w14:paraId="32A31348" w14:textId="77777777" w:rsidR="004B204D" w:rsidRPr="000864AE" w:rsidRDefault="004B204D" w:rsidP="000864AE">
      <w:pPr>
        <w:pStyle w:val="Prrafodelista"/>
        <w:tabs>
          <w:tab w:val="left" w:pos="709"/>
        </w:tabs>
        <w:spacing w:after="0" w:line="240" w:lineRule="auto"/>
        <w:ind w:left="0"/>
        <w:jc w:val="both"/>
        <w:rPr>
          <w:rFonts w:ascii="Verdana" w:hAnsi="Verdana"/>
          <w:sz w:val="20"/>
          <w:szCs w:val="20"/>
        </w:rPr>
      </w:pPr>
    </w:p>
    <w:p w14:paraId="61AB98B5" w14:textId="63FEADF6" w:rsidR="00A50374" w:rsidRPr="000864AE" w:rsidRDefault="003655AA" w:rsidP="000864AE">
      <w:pPr>
        <w:pStyle w:val="Prrafodelista"/>
        <w:numPr>
          <w:ilvl w:val="0"/>
          <w:numId w:val="10"/>
        </w:numPr>
        <w:tabs>
          <w:tab w:val="left" w:pos="709"/>
        </w:tabs>
        <w:spacing w:after="0" w:line="240" w:lineRule="auto"/>
        <w:ind w:left="0" w:firstLine="0"/>
        <w:jc w:val="both"/>
        <w:rPr>
          <w:rFonts w:ascii="Verdana" w:hAnsi="Verdana"/>
          <w:sz w:val="20"/>
          <w:szCs w:val="20"/>
        </w:rPr>
      </w:pPr>
      <w:r w:rsidRPr="000864AE">
        <w:rPr>
          <w:rFonts w:ascii="Verdana" w:hAnsi="Verdana"/>
          <w:sz w:val="20"/>
          <w:szCs w:val="20"/>
        </w:rPr>
        <w:t>En ese sentido, el Estado violó el derecho a las garantías judiciales y la protección judicial en términos de los artículos 8.1, 25.1</w:t>
      </w:r>
      <w:r w:rsidR="001002AE" w:rsidRPr="000864AE">
        <w:rPr>
          <w:rFonts w:ascii="Verdana" w:hAnsi="Verdana"/>
          <w:sz w:val="20"/>
          <w:szCs w:val="20"/>
        </w:rPr>
        <w:t xml:space="preserve">, </w:t>
      </w:r>
      <w:r w:rsidRPr="000864AE">
        <w:rPr>
          <w:rFonts w:ascii="Verdana" w:hAnsi="Verdana"/>
          <w:sz w:val="20"/>
          <w:szCs w:val="20"/>
        </w:rPr>
        <w:t>25.2.c)</w:t>
      </w:r>
      <w:r w:rsidR="001002AE" w:rsidRPr="000864AE">
        <w:rPr>
          <w:rFonts w:ascii="Verdana" w:hAnsi="Verdana"/>
          <w:sz w:val="20"/>
          <w:szCs w:val="20"/>
        </w:rPr>
        <w:t xml:space="preserve"> de la </w:t>
      </w:r>
      <w:r w:rsidR="00014862" w:rsidRPr="000864AE">
        <w:rPr>
          <w:rFonts w:ascii="Verdana" w:hAnsi="Verdana"/>
          <w:sz w:val="20"/>
          <w:szCs w:val="20"/>
        </w:rPr>
        <w:t>Convención</w:t>
      </w:r>
      <w:r w:rsidR="001002AE" w:rsidRPr="000864AE">
        <w:rPr>
          <w:rFonts w:ascii="Verdana" w:hAnsi="Verdana"/>
          <w:sz w:val="20"/>
          <w:szCs w:val="20"/>
        </w:rPr>
        <w:t xml:space="preserve">, </w:t>
      </w:r>
      <w:r w:rsidR="00014862" w:rsidRPr="000864AE">
        <w:rPr>
          <w:rFonts w:ascii="Verdana" w:hAnsi="Verdana"/>
          <w:sz w:val="20"/>
          <w:szCs w:val="20"/>
        </w:rPr>
        <w:t>además</w:t>
      </w:r>
      <w:r w:rsidR="001002AE" w:rsidRPr="000864AE">
        <w:rPr>
          <w:rFonts w:ascii="Verdana" w:hAnsi="Verdana"/>
          <w:sz w:val="20"/>
          <w:szCs w:val="20"/>
        </w:rPr>
        <w:t xml:space="preserve"> del articulo 26 por las razones que se desarrollar</w:t>
      </w:r>
      <w:r w:rsidR="00421CB6" w:rsidRPr="000864AE">
        <w:rPr>
          <w:rFonts w:ascii="Verdana" w:hAnsi="Verdana"/>
          <w:sz w:val="20"/>
          <w:szCs w:val="20"/>
        </w:rPr>
        <w:t>á</w:t>
      </w:r>
      <w:r w:rsidR="001002AE" w:rsidRPr="000864AE">
        <w:rPr>
          <w:rFonts w:ascii="Verdana" w:hAnsi="Verdana"/>
          <w:sz w:val="20"/>
          <w:szCs w:val="20"/>
        </w:rPr>
        <w:t>n m</w:t>
      </w:r>
      <w:r w:rsidR="00421CB6" w:rsidRPr="000864AE">
        <w:rPr>
          <w:rFonts w:ascii="Verdana" w:hAnsi="Verdana"/>
          <w:sz w:val="20"/>
          <w:szCs w:val="20"/>
        </w:rPr>
        <w:t>á</w:t>
      </w:r>
      <w:r w:rsidR="001002AE" w:rsidRPr="000864AE">
        <w:rPr>
          <w:rFonts w:ascii="Verdana" w:hAnsi="Verdana"/>
          <w:sz w:val="20"/>
          <w:szCs w:val="20"/>
        </w:rPr>
        <w:t>s adelante</w:t>
      </w:r>
      <w:r w:rsidRPr="000864AE">
        <w:rPr>
          <w:rFonts w:ascii="Verdana" w:hAnsi="Verdana"/>
          <w:sz w:val="20"/>
          <w:szCs w:val="20"/>
        </w:rPr>
        <w:t>, en relación con el artículo 1.1 del mismo instrumento</w:t>
      </w:r>
      <w:r w:rsidR="001217FD" w:rsidRPr="000864AE">
        <w:rPr>
          <w:rFonts w:ascii="Verdana" w:hAnsi="Verdana"/>
          <w:sz w:val="20"/>
          <w:szCs w:val="20"/>
        </w:rPr>
        <w:t>, en perjuicio de las personas señaladas en el Anexo 2 de la presente Sentencia</w:t>
      </w:r>
      <w:r w:rsidRPr="000864AE">
        <w:rPr>
          <w:rFonts w:ascii="Verdana" w:hAnsi="Verdana"/>
          <w:sz w:val="20"/>
          <w:szCs w:val="20"/>
        </w:rPr>
        <w:t>.</w:t>
      </w:r>
    </w:p>
    <w:p w14:paraId="0F1D7ED2" w14:textId="4C103E11" w:rsidR="00B86B27" w:rsidRPr="000864AE" w:rsidRDefault="00BD156F" w:rsidP="000864AE">
      <w:pPr>
        <w:pStyle w:val="Prrafodelista"/>
        <w:spacing w:after="0" w:line="240" w:lineRule="auto"/>
        <w:ind w:left="0"/>
        <w:jc w:val="both"/>
        <w:rPr>
          <w:rFonts w:ascii="Verdana" w:eastAsia="Times New Roman" w:hAnsi="Verdana" w:cs="Verdana"/>
          <w:b/>
          <w:bCs/>
          <w:caps/>
          <w:snapToGrid w:val="0"/>
          <w:sz w:val="20"/>
          <w:szCs w:val="20"/>
          <w:lang w:val="es-ES_tradnl"/>
        </w:rPr>
      </w:pPr>
      <w:r w:rsidRPr="000864AE">
        <w:rPr>
          <w:rFonts w:ascii="Verdana" w:hAnsi="Verdana"/>
          <w:sz w:val="20"/>
          <w:szCs w:val="20"/>
        </w:rPr>
        <w:t xml:space="preserve"> </w:t>
      </w:r>
    </w:p>
    <w:p w14:paraId="0727BE1E" w14:textId="1EE6182F" w:rsidR="002E0CC2" w:rsidRPr="000864AE" w:rsidRDefault="002E0CC2" w:rsidP="000864AE">
      <w:pPr>
        <w:pStyle w:val="Ttulo2"/>
        <w:numPr>
          <w:ilvl w:val="0"/>
          <w:numId w:val="0"/>
        </w:numPr>
        <w:ind w:left="928" w:hanging="360"/>
      </w:pPr>
      <w:bookmarkStart w:id="76" w:name="_Toc27329779"/>
      <w:r w:rsidRPr="000864AE">
        <w:t>C. Derecho</w:t>
      </w:r>
      <w:r w:rsidR="00F95A6A" w:rsidRPr="000864AE">
        <w:t>s</w:t>
      </w:r>
      <w:r w:rsidRPr="000864AE">
        <w:t xml:space="preserve"> a la seguridad social</w:t>
      </w:r>
      <w:r w:rsidR="000B4A4B" w:rsidRPr="000864AE">
        <w:t>,</w:t>
      </w:r>
      <w:r w:rsidR="00F84C31" w:rsidRPr="000864AE">
        <w:t xml:space="preserve"> a la vida digna</w:t>
      </w:r>
      <w:r w:rsidR="000B4A4B" w:rsidRPr="000864AE">
        <w:t xml:space="preserve"> y a la propiedad</w:t>
      </w:r>
      <w:bookmarkEnd w:id="76"/>
    </w:p>
    <w:p w14:paraId="25C9638B" w14:textId="77777777" w:rsidR="002E0CC2" w:rsidRPr="000864AE" w:rsidRDefault="002E0CC2" w:rsidP="000864AE">
      <w:pPr>
        <w:pStyle w:val="Ttulo2"/>
        <w:numPr>
          <w:ilvl w:val="0"/>
          <w:numId w:val="0"/>
        </w:numPr>
        <w:ind w:left="928" w:hanging="360"/>
      </w:pPr>
    </w:p>
    <w:p w14:paraId="6B4D0106" w14:textId="1AB52F9C" w:rsidR="00B86B27" w:rsidRPr="000864AE" w:rsidRDefault="002E0CC2" w:rsidP="000864AE">
      <w:pPr>
        <w:pStyle w:val="Ttulo3"/>
        <w:numPr>
          <w:ilvl w:val="0"/>
          <w:numId w:val="0"/>
        </w:numPr>
        <w:ind w:left="1353"/>
        <w:rPr>
          <w:lang w:val="es-DO"/>
        </w:rPr>
      </w:pPr>
      <w:bookmarkStart w:id="77" w:name="_Toc27329780"/>
      <w:r w:rsidRPr="000864AE">
        <w:t xml:space="preserve">C.1. </w:t>
      </w:r>
      <w:r w:rsidR="00B86B27" w:rsidRPr="000864AE">
        <w:t>Argumentos de la Comisión y de las partes</w:t>
      </w:r>
      <w:bookmarkEnd w:id="77"/>
    </w:p>
    <w:p w14:paraId="042D4017" w14:textId="77777777" w:rsidR="00B86B27" w:rsidRPr="000864AE" w:rsidRDefault="00B86B27" w:rsidP="000864AE">
      <w:pPr>
        <w:tabs>
          <w:tab w:val="left" w:pos="1658"/>
        </w:tabs>
        <w:spacing w:after="0" w:line="240" w:lineRule="auto"/>
        <w:jc w:val="both"/>
        <w:rPr>
          <w:rFonts w:ascii="Verdana" w:hAnsi="Verdana"/>
          <w:sz w:val="20"/>
          <w:szCs w:val="20"/>
          <w:lang w:val="es-DO"/>
        </w:rPr>
      </w:pPr>
    </w:p>
    <w:p w14:paraId="57005E0A" w14:textId="1BA1D051" w:rsidR="00B86B27" w:rsidRPr="000864AE" w:rsidRDefault="00B86B27" w:rsidP="000864AE">
      <w:pPr>
        <w:pStyle w:val="Prrafodelista"/>
        <w:numPr>
          <w:ilvl w:val="0"/>
          <w:numId w:val="10"/>
        </w:numPr>
        <w:tabs>
          <w:tab w:val="left" w:pos="709"/>
        </w:tabs>
        <w:spacing w:after="0" w:line="240" w:lineRule="auto"/>
        <w:ind w:left="0" w:firstLine="0"/>
        <w:jc w:val="both"/>
        <w:rPr>
          <w:rFonts w:ascii="Verdana" w:hAnsi="Verdana"/>
          <w:sz w:val="20"/>
          <w:szCs w:val="20"/>
          <w:lang w:val="es-DO"/>
        </w:rPr>
      </w:pPr>
      <w:r w:rsidRPr="000864AE">
        <w:rPr>
          <w:rFonts w:ascii="Verdana" w:hAnsi="Verdana"/>
          <w:sz w:val="20"/>
          <w:szCs w:val="20"/>
          <w:lang w:val="es-DO"/>
        </w:rPr>
        <w:t xml:space="preserve">La </w:t>
      </w:r>
      <w:r w:rsidRPr="000864AE">
        <w:rPr>
          <w:rFonts w:ascii="Verdana" w:hAnsi="Verdana"/>
          <w:b/>
          <w:i/>
          <w:sz w:val="20"/>
          <w:szCs w:val="20"/>
          <w:lang w:val="es-DO"/>
        </w:rPr>
        <w:t>Comisión</w:t>
      </w:r>
      <w:r w:rsidRPr="000864AE">
        <w:rPr>
          <w:rFonts w:ascii="Verdana" w:hAnsi="Verdana"/>
          <w:sz w:val="20"/>
          <w:szCs w:val="20"/>
          <w:lang w:val="es-DO"/>
        </w:rPr>
        <w:t xml:space="preserve"> señaló que los precedentes de </w:t>
      </w:r>
      <w:r w:rsidRPr="000864AE">
        <w:rPr>
          <w:rFonts w:ascii="Verdana" w:hAnsi="Verdana"/>
          <w:i/>
          <w:sz w:val="20"/>
          <w:szCs w:val="20"/>
          <w:lang w:val="es-DO"/>
        </w:rPr>
        <w:t xml:space="preserve">Cinco Pensionistas Vs. Perú </w:t>
      </w:r>
      <w:r w:rsidRPr="000864AE">
        <w:rPr>
          <w:rFonts w:ascii="Verdana" w:hAnsi="Verdana"/>
          <w:sz w:val="20"/>
          <w:szCs w:val="20"/>
          <w:lang w:val="es-DO"/>
        </w:rPr>
        <w:t xml:space="preserve">y </w:t>
      </w:r>
      <w:r w:rsidRPr="000864AE">
        <w:rPr>
          <w:rFonts w:ascii="Verdana" w:hAnsi="Verdana"/>
          <w:i/>
          <w:sz w:val="20"/>
          <w:szCs w:val="20"/>
          <w:lang w:val="es-DO"/>
        </w:rPr>
        <w:t xml:space="preserve">Acevedo Buendía Vs. Perú </w:t>
      </w:r>
      <w:r w:rsidRPr="000864AE">
        <w:rPr>
          <w:rFonts w:ascii="Verdana" w:hAnsi="Verdana"/>
          <w:sz w:val="20"/>
          <w:szCs w:val="20"/>
          <w:lang w:val="es-DO"/>
        </w:rPr>
        <w:t xml:space="preserve">son plenamente aplicables en lo que respecta a la afectación al derecho a la propiedad privada. En particular, manifestó que la falta de cumplimiento de las sentencias no permitió que los </w:t>
      </w:r>
      <w:r w:rsidR="00F95A6A" w:rsidRPr="000864AE">
        <w:rPr>
          <w:rFonts w:ascii="Verdana" w:hAnsi="Verdana"/>
          <w:sz w:val="20"/>
          <w:szCs w:val="20"/>
          <w:lang w:val="es-DO"/>
        </w:rPr>
        <w:t>integrantes de ANCEJUB-SUNAT</w:t>
      </w:r>
      <w:r w:rsidRPr="000864AE">
        <w:rPr>
          <w:rFonts w:ascii="Verdana" w:hAnsi="Verdana"/>
          <w:sz w:val="20"/>
          <w:szCs w:val="20"/>
          <w:lang w:val="es-DO"/>
        </w:rPr>
        <w:t xml:space="preserve"> pudieran gozar integralmente de su derecho a la propiedad sobre los efectos patrimoniales de su pensión nivelable, legalmente reconocida, entendiendo aquella como los montos dejados de percibir. En relación con el artículo 26, la Comisión manifestó que en su Informe de Fondo no se pronunció sobre la aplicabilidad de dicho artículo debido a la fecha de emisión del referido Informe. Al respecto, la Comisión tomó nota de que en el </w:t>
      </w:r>
      <w:r w:rsidRPr="000864AE">
        <w:rPr>
          <w:rFonts w:ascii="Verdana" w:hAnsi="Verdana"/>
          <w:i/>
          <w:sz w:val="20"/>
          <w:szCs w:val="20"/>
          <w:lang w:val="es-DO"/>
        </w:rPr>
        <w:t xml:space="preserve">Caso Muelle Flores Vs. Perú </w:t>
      </w:r>
      <w:r w:rsidRPr="000864AE">
        <w:rPr>
          <w:rFonts w:ascii="Verdana" w:hAnsi="Verdana"/>
          <w:sz w:val="20"/>
          <w:szCs w:val="20"/>
          <w:lang w:val="es-DO"/>
        </w:rPr>
        <w:t>la Corte dio aplicación concreta al derecho a la seguridad social, y solicitó que se tome en consideración dicha decisión en el presente caso, en virtud de su semejanza.</w:t>
      </w:r>
    </w:p>
    <w:p w14:paraId="44247B80" w14:textId="77777777" w:rsidR="00B86B27" w:rsidRPr="000864AE" w:rsidRDefault="00B86B27" w:rsidP="000864AE">
      <w:pPr>
        <w:pStyle w:val="Prrafodelista"/>
        <w:tabs>
          <w:tab w:val="left" w:pos="709"/>
        </w:tabs>
        <w:spacing w:after="0" w:line="240" w:lineRule="auto"/>
        <w:ind w:left="0"/>
        <w:jc w:val="both"/>
        <w:rPr>
          <w:rFonts w:ascii="Verdana" w:hAnsi="Verdana"/>
          <w:sz w:val="20"/>
          <w:szCs w:val="20"/>
          <w:lang w:val="es-DO"/>
        </w:rPr>
      </w:pPr>
    </w:p>
    <w:p w14:paraId="3C68A638" w14:textId="6470C739" w:rsidR="00B86B27" w:rsidRPr="000864AE" w:rsidRDefault="00B86B27" w:rsidP="000864AE">
      <w:pPr>
        <w:pStyle w:val="Prrafodelista"/>
        <w:numPr>
          <w:ilvl w:val="0"/>
          <w:numId w:val="10"/>
        </w:numPr>
        <w:tabs>
          <w:tab w:val="left" w:pos="709"/>
        </w:tabs>
        <w:spacing w:after="0" w:line="240" w:lineRule="auto"/>
        <w:ind w:left="0" w:firstLine="0"/>
        <w:jc w:val="both"/>
        <w:rPr>
          <w:rFonts w:ascii="Verdana" w:hAnsi="Verdana"/>
          <w:sz w:val="20"/>
          <w:szCs w:val="20"/>
          <w:lang w:val="es-DO"/>
        </w:rPr>
      </w:pPr>
      <w:r w:rsidRPr="000864AE">
        <w:rPr>
          <w:rFonts w:ascii="Verdana" w:hAnsi="Verdana"/>
          <w:sz w:val="20"/>
          <w:szCs w:val="20"/>
          <w:lang w:val="es-DO"/>
        </w:rPr>
        <w:t xml:space="preserve">Los </w:t>
      </w:r>
      <w:r w:rsidRPr="000864AE">
        <w:rPr>
          <w:rFonts w:ascii="Verdana" w:hAnsi="Verdana"/>
          <w:b/>
          <w:i/>
          <w:sz w:val="20"/>
          <w:szCs w:val="20"/>
          <w:lang w:val="es-DO"/>
        </w:rPr>
        <w:t>representantes</w:t>
      </w:r>
      <w:r w:rsidRPr="000864AE">
        <w:rPr>
          <w:rFonts w:ascii="Verdana" w:hAnsi="Verdana"/>
          <w:sz w:val="20"/>
          <w:szCs w:val="20"/>
          <w:lang w:val="es-DO"/>
        </w:rPr>
        <w:t xml:space="preserve"> alegaron que el incumplimiento de las sentencias de la Sala Constitucional y Social de la Corte Suprema ha generado una violación al derecho a la propiedad que tienen las víctimas sobre los efectos patrimoniales derivados del derecho a la pensión nivelada que adquirieron según la legislación interna peruana, pues señalaron que basta que el derecho a la pensión se adquiera de acuerdo con la ley para que ingrese al patrimonio de la persona y de esta forma esté protegido por el artículo 21. Agregaron que la conclusión antes mencionada se puede derivar del artículo 886 del Código Civil peruano. Asimismo, alegaron que la falta de pago adecuado de las pensiones de las víctimas devengadas desd</w:t>
      </w:r>
      <w:r w:rsidR="00942597" w:rsidRPr="000864AE">
        <w:rPr>
          <w:rFonts w:ascii="Verdana" w:hAnsi="Verdana"/>
          <w:sz w:val="20"/>
          <w:szCs w:val="20"/>
          <w:lang w:val="es-DO"/>
        </w:rPr>
        <w:t xml:space="preserve">e el 24 de septiembre de 1991 </w:t>
      </w:r>
      <w:r w:rsidRPr="000864AE">
        <w:rPr>
          <w:rFonts w:ascii="Verdana" w:hAnsi="Verdana"/>
          <w:sz w:val="20"/>
          <w:szCs w:val="20"/>
          <w:lang w:val="es-DO"/>
        </w:rPr>
        <w:t>hasta la actualidad configuró la violación de su derecho a la seguridad social, de conformidad con el artículo 26 de la Convención Americana.</w:t>
      </w:r>
      <w:r w:rsidRPr="000864AE">
        <w:rPr>
          <w:rFonts w:ascii="Verdana" w:hAnsi="Verdana"/>
          <w:b/>
          <w:sz w:val="20"/>
          <w:szCs w:val="20"/>
          <w:lang w:val="es-DO"/>
        </w:rPr>
        <w:t xml:space="preserve"> </w:t>
      </w:r>
      <w:r w:rsidRPr="000864AE">
        <w:rPr>
          <w:rFonts w:ascii="Verdana" w:hAnsi="Verdana"/>
          <w:sz w:val="20"/>
          <w:szCs w:val="20"/>
          <w:lang w:val="es-DO"/>
        </w:rPr>
        <w:t>En ese sentido, alegaron que al adoptar el Decreto</w:t>
      </w:r>
      <w:r w:rsidRPr="000864AE">
        <w:rPr>
          <w:rFonts w:ascii="Verdana" w:hAnsi="Verdana"/>
          <w:b/>
          <w:sz w:val="20"/>
          <w:szCs w:val="20"/>
          <w:lang w:val="es-DO"/>
        </w:rPr>
        <w:t xml:space="preserve"> </w:t>
      </w:r>
      <w:r w:rsidRPr="000864AE">
        <w:rPr>
          <w:rFonts w:ascii="Verdana" w:hAnsi="Verdana"/>
          <w:sz w:val="20"/>
          <w:szCs w:val="20"/>
          <w:lang w:val="es-DO"/>
        </w:rPr>
        <w:t>673, “</w:t>
      </w:r>
      <w:r w:rsidR="00942597" w:rsidRPr="000864AE">
        <w:rPr>
          <w:rFonts w:ascii="Verdana" w:hAnsi="Verdana"/>
          <w:sz w:val="20"/>
          <w:szCs w:val="20"/>
          <w:lang w:val="es-DO"/>
        </w:rPr>
        <w:t xml:space="preserve">(…) </w:t>
      </w:r>
      <w:r w:rsidRPr="000864AE">
        <w:rPr>
          <w:rFonts w:ascii="Verdana" w:hAnsi="Verdana"/>
          <w:sz w:val="20"/>
          <w:szCs w:val="20"/>
          <w:lang w:val="es-DO"/>
        </w:rPr>
        <w:t>el Estado peruano violó el deber de progresividad que le competía en el marco de la implementación del derecho humano a la seguridad social”. En particular, expresaron que la alteración arbitraria de la forma de determinar sus pensiones de jubilación conllevó un manifiesto retroceso respecto al derecho a la seguridad social.</w:t>
      </w:r>
      <w:r w:rsidR="00B14315" w:rsidRPr="000864AE">
        <w:rPr>
          <w:rFonts w:ascii="Verdana" w:hAnsi="Verdana"/>
          <w:sz w:val="20"/>
          <w:szCs w:val="20"/>
          <w:lang w:val="es-DO"/>
        </w:rPr>
        <w:t xml:space="preserve"> </w:t>
      </w:r>
      <w:r w:rsidRPr="000864AE">
        <w:rPr>
          <w:rFonts w:ascii="Verdana" w:hAnsi="Verdana"/>
          <w:sz w:val="20"/>
          <w:szCs w:val="20"/>
          <w:lang w:val="es-DO"/>
        </w:rPr>
        <w:t>Los</w:t>
      </w:r>
      <w:r w:rsidRPr="000864AE">
        <w:rPr>
          <w:rFonts w:ascii="Verdana" w:hAnsi="Verdana"/>
          <w:b/>
          <w:sz w:val="20"/>
          <w:szCs w:val="20"/>
          <w:lang w:val="es-DO"/>
        </w:rPr>
        <w:t xml:space="preserve"> </w:t>
      </w:r>
      <w:r w:rsidRPr="000864AE">
        <w:rPr>
          <w:rFonts w:ascii="Verdana" w:hAnsi="Verdana"/>
          <w:sz w:val="20"/>
          <w:szCs w:val="20"/>
          <w:lang w:val="es-DO"/>
        </w:rPr>
        <w:t>representantes</w:t>
      </w:r>
      <w:r w:rsidRPr="000864AE">
        <w:rPr>
          <w:rFonts w:ascii="Verdana" w:hAnsi="Verdana"/>
          <w:b/>
          <w:i/>
          <w:sz w:val="20"/>
          <w:szCs w:val="20"/>
          <w:lang w:val="es-DO"/>
        </w:rPr>
        <w:t xml:space="preserve"> </w:t>
      </w:r>
      <w:r w:rsidRPr="000864AE">
        <w:rPr>
          <w:rFonts w:ascii="Verdana" w:hAnsi="Verdana"/>
          <w:sz w:val="20"/>
          <w:szCs w:val="20"/>
          <w:lang w:val="es-DO"/>
        </w:rPr>
        <w:t>señalaron que, de conformidad con la jurisprudencia de la Corte Interamericana, el derecho a la vida digna supone el acceso a las “condiciones materiales necesarias que permitan desarrollar una existencia digna”.</w:t>
      </w:r>
      <w:r w:rsidRPr="000864AE">
        <w:rPr>
          <w:rFonts w:ascii="Verdana" w:hAnsi="Verdana"/>
          <w:b/>
          <w:sz w:val="20"/>
          <w:szCs w:val="20"/>
          <w:lang w:val="es-DO"/>
        </w:rPr>
        <w:t xml:space="preserve"> </w:t>
      </w:r>
      <w:r w:rsidRPr="000864AE">
        <w:rPr>
          <w:rFonts w:ascii="Verdana" w:hAnsi="Verdana"/>
          <w:sz w:val="20"/>
          <w:szCs w:val="20"/>
          <w:lang w:val="es-DO"/>
        </w:rPr>
        <w:t>En ese sentido, manifestaron que el Estado no tuvo en cuenta el riesgo que la supresión del derecho a la nivelación de sus pensiones supuso respecto del menoscabo de los medios de vida que contaban para su supervivencia y el goce de sus derechos básicos a la salud, la seguridad social, la vivienda adecu</w:t>
      </w:r>
      <w:r w:rsidR="00942597" w:rsidRPr="000864AE">
        <w:rPr>
          <w:rFonts w:ascii="Verdana" w:hAnsi="Verdana"/>
          <w:sz w:val="20"/>
          <w:szCs w:val="20"/>
          <w:lang w:val="es-DO"/>
        </w:rPr>
        <w:t>ada y la educación de sus hijos</w:t>
      </w:r>
      <w:r w:rsidRPr="000864AE">
        <w:rPr>
          <w:rFonts w:ascii="Verdana" w:hAnsi="Verdana"/>
          <w:sz w:val="20"/>
          <w:szCs w:val="20"/>
          <w:lang w:val="es-DO"/>
        </w:rPr>
        <w:t>. Asimismo, manifestaron que esta violación constituyó una clara amenaza a su vida digna pues afectó directamente su derecho a gozar de un mínimo vital.</w:t>
      </w:r>
    </w:p>
    <w:p w14:paraId="15BD7901" w14:textId="77777777" w:rsidR="00B86B27" w:rsidRPr="000864AE" w:rsidRDefault="00B86B27" w:rsidP="000864AE">
      <w:pPr>
        <w:pStyle w:val="Prrafodelista"/>
        <w:tabs>
          <w:tab w:val="left" w:pos="709"/>
        </w:tabs>
        <w:spacing w:after="0" w:line="240" w:lineRule="auto"/>
        <w:ind w:left="0"/>
        <w:jc w:val="both"/>
        <w:rPr>
          <w:rFonts w:ascii="Verdana" w:hAnsi="Verdana"/>
          <w:sz w:val="20"/>
          <w:szCs w:val="20"/>
          <w:lang w:val="es-DO"/>
        </w:rPr>
      </w:pPr>
    </w:p>
    <w:p w14:paraId="4AD27C9C" w14:textId="085C527B" w:rsidR="00B86B27" w:rsidRPr="000864AE" w:rsidRDefault="00B86B27" w:rsidP="000864AE">
      <w:pPr>
        <w:pStyle w:val="Prrafodelista"/>
        <w:numPr>
          <w:ilvl w:val="0"/>
          <w:numId w:val="10"/>
        </w:numPr>
        <w:tabs>
          <w:tab w:val="left" w:pos="709"/>
        </w:tabs>
        <w:spacing w:after="0" w:line="240" w:lineRule="auto"/>
        <w:ind w:left="0" w:firstLine="0"/>
        <w:jc w:val="both"/>
        <w:rPr>
          <w:rFonts w:ascii="Verdana" w:hAnsi="Verdana"/>
          <w:sz w:val="20"/>
          <w:szCs w:val="20"/>
          <w:lang w:val="es-DO"/>
        </w:rPr>
      </w:pPr>
      <w:r w:rsidRPr="000864AE">
        <w:rPr>
          <w:rFonts w:ascii="Verdana" w:hAnsi="Verdana"/>
          <w:sz w:val="20"/>
          <w:szCs w:val="20"/>
          <w:lang w:val="es-DO"/>
        </w:rPr>
        <w:t xml:space="preserve">El </w:t>
      </w:r>
      <w:r w:rsidRPr="000864AE">
        <w:rPr>
          <w:rFonts w:ascii="Verdana" w:hAnsi="Verdana"/>
          <w:b/>
          <w:i/>
          <w:sz w:val="20"/>
          <w:szCs w:val="20"/>
          <w:lang w:val="es-DO"/>
        </w:rPr>
        <w:t xml:space="preserve">Estado </w:t>
      </w:r>
      <w:r w:rsidRPr="000864AE">
        <w:rPr>
          <w:rFonts w:ascii="Verdana" w:hAnsi="Verdana"/>
          <w:sz w:val="20"/>
          <w:szCs w:val="20"/>
          <w:lang w:val="es-DO"/>
        </w:rPr>
        <w:t xml:space="preserve">alegó, respecto al derecho a la propiedad, que la Corte debía tener en cuenta lo dispuesto en el inciso c) del artículo 3 del Decreto 673. Este artículo establece que la mayor remuneración que corresponda al trabajador por efecto de lo dispuesto en los párrafos a) y b) tendrá el carácter de no pensionable para aquellos trabajadores comprendidos en el régimen jubilatorio del Decreto 20530. El Estado señaló que se debe entender que tal regulación rige tanto para los activos pertenecientes al régimen público del Decreto 276 como para los actuales cesantes, en la medida </w:t>
      </w:r>
      <w:r w:rsidR="00942597" w:rsidRPr="000864AE">
        <w:rPr>
          <w:rFonts w:ascii="Verdana" w:hAnsi="Verdana"/>
          <w:sz w:val="20"/>
          <w:szCs w:val="20"/>
          <w:lang w:val="es-DO"/>
        </w:rPr>
        <w:t xml:space="preserve">en </w:t>
      </w:r>
      <w:r w:rsidRPr="000864AE">
        <w:rPr>
          <w:rFonts w:ascii="Verdana" w:hAnsi="Verdana"/>
          <w:sz w:val="20"/>
          <w:szCs w:val="20"/>
          <w:lang w:val="es-DO"/>
        </w:rPr>
        <w:t>que no resulta lógico que los pensionistas que nunca percibieron dicha bonificación no pensionable la deban percibir en interpretación de una sentencia que además no la dispone. De esta forma, el Estado concluyó que los pensionistas miembros de ANCEJUB, en tanto nunca tuvieron derecho sobre montos que no tenían carácter pensionable, no vieron afectado su derecho a la propiedad. En consecuencia, el Estado alegó que no es responsable por la violación del derecho a la propiedad en términos del artículo 21 de la Convención.</w:t>
      </w:r>
      <w:r w:rsidR="00B14315" w:rsidRPr="000864AE">
        <w:rPr>
          <w:rFonts w:ascii="Verdana" w:hAnsi="Verdana"/>
          <w:sz w:val="20"/>
          <w:szCs w:val="20"/>
          <w:lang w:val="es-DO"/>
        </w:rPr>
        <w:t xml:space="preserve"> </w:t>
      </w:r>
      <w:r w:rsidRPr="000864AE">
        <w:rPr>
          <w:rFonts w:ascii="Verdana" w:hAnsi="Verdana"/>
          <w:sz w:val="20"/>
          <w:szCs w:val="20"/>
          <w:lang w:val="es-DO"/>
        </w:rPr>
        <w:t>En relación con el derecho a la vida digna, el Estado</w:t>
      </w:r>
      <w:r w:rsidRPr="000864AE">
        <w:rPr>
          <w:rFonts w:ascii="Verdana" w:hAnsi="Verdana"/>
          <w:b/>
          <w:i/>
          <w:sz w:val="20"/>
          <w:szCs w:val="20"/>
          <w:lang w:val="es-DO"/>
        </w:rPr>
        <w:t xml:space="preserve"> </w:t>
      </w:r>
      <w:r w:rsidRPr="000864AE">
        <w:rPr>
          <w:rFonts w:ascii="Verdana" w:hAnsi="Verdana"/>
          <w:sz w:val="20"/>
          <w:szCs w:val="20"/>
          <w:lang w:val="es-DO"/>
        </w:rPr>
        <w:t>alegó que no existe sustento fáctico que acredite de modo adecuado las alegadas afectaciones al derecho a la vida. Al respecto, reiteró que nunca dejó de abonar las pensiones que correspondían a las presuntas víctimas y alegó que, dado que el sistema de seguridad social supone el pago de tales pensiones y el acceso al sistema de salud, la atención médica requerida por las</w:t>
      </w:r>
      <w:r w:rsidR="00942597" w:rsidRPr="000864AE">
        <w:rPr>
          <w:rFonts w:ascii="Verdana" w:hAnsi="Verdana"/>
          <w:sz w:val="20"/>
          <w:szCs w:val="20"/>
          <w:lang w:val="es-DO"/>
        </w:rPr>
        <w:t xml:space="preserve"> presuntas</w:t>
      </w:r>
      <w:r w:rsidRPr="000864AE">
        <w:rPr>
          <w:rFonts w:ascii="Verdana" w:hAnsi="Verdana"/>
          <w:sz w:val="20"/>
          <w:szCs w:val="20"/>
          <w:lang w:val="es-DO"/>
        </w:rPr>
        <w:t xml:space="preserve"> víctimas no se vio afectada ni interrumpida. </w:t>
      </w:r>
    </w:p>
    <w:p w14:paraId="08034B9C" w14:textId="77777777" w:rsidR="00B86B27" w:rsidRPr="000864AE" w:rsidRDefault="00B86B27" w:rsidP="000864AE">
      <w:pPr>
        <w:tabs>
          <w:tab w:val="left" w:pos="1658"/>
        </w:tabs>
        <w:spacing w:after="0" w:line="240" w:lineRule="auto"/>
        <w:jc w:val="both"/>
        <w:rPr>
          <w:rFonts w:ascii="Verdana" w:hAnsi="Verdana"/>
          <w:sz w:val="20"/>
          <w:szCs w:val="20"/>
          <w:lang w:val="es-DO"/>
        </w:rPr>
      </w:pPr>
    </w:p>
    <w:p w14:paraId="01785879" w14:textId="68BE82A0" w:rsidR="00B86B27" w:rsidRPr="000864AE" w:rsidRDefault="002E0CC2" w:rsidP="000864AE">
      <w:pPr>
        <w:pStyle w:val="Ttulo3"/>
        <w:numPr>
          <w:ilvl w:val="0"/>
          <w:numId w:val="0"/>
        </w:numPr>
        <w:ind w:left="1353" w:hanging="360"/>
      </w:pPr>
      <w:bookmarkStart w:id="78" w:name="_Toc27329781"/>
      <w:r w:rsidRPr="000864AE">
        <w:t xml:space="preserve">C.2. </w:t>
      </w:r>
      <w:r w:rsidR="00B86B27" w:rsidRPr="000864AE">
        <w:t>Consideraciones de la Corte</w:t>
      </w:r>
      <w:bookmarkEnd w:id="78"/>
    </w:p>
    <w:p w14:paraId="1CAA6D85" w14:textId="4B5F546B" w:rsidR="00E83A1C" w:rsidRPr="000864AE" w:rsidRDefault="00E83A1C" w:rsidP="000864AE">
      <w:pPr>
        <w:pStyle w:val="Prrafodelista"/>
        <w:spacing w:after="0" w:line="240" w:lineRule="auto"/>
        <w:ind w:left="0"/>
        <w:jc w:val="both"/>
        <w:rPr>
          <w:rFonts w:ascii="Verdana" w:hAnsi="Verdana"/>
          <w:sz w:val="20"/>
          <w:szCs w:val="20"/>
          <w:lang w:val="es-DO"/>
        </w:rPr>
      </w:pPr>
    </w:p>
    <w:p w14:paraId="7DC6D0DA" w14:textId="7E8F27FF" w:rsidR="00E83A1C" w:rsidRPr="000864AE" w:rsidRDefault="00E83A1C" w:rsidP="000864AE">
      <w:pPr>
        <w:numPr>
          <w:ilvl w:val="0"/>
          <w:numId w:val="10"/>
        </w:numPr>
        <w:tabs>
          <w:tab w:val="left" w:pos="720"/>
          <w:tab w:val="left" w:pos="851"/>
        </w:tabs>
        <w:spacing w:after="0" w:line="240" w:lineRule="auto"/>
        <w:ind w:left="0" w:firstLine="0"/>
        <w:jc w:val="both"/>
        <w:rPr>
          <w:rFonts w:ascii="Verdana" w:hAnsi="Verdana"/>
          <w:spacing w:val="-2"/>
          <w:sz w:val="20"/>
          <w:szCs w:val="20"/>
        </w:rPr>
      </w:pPr>
      <w:r w:rsidRPr="000864AE">
        <w:rPr>
          <w:rFonts w:ascii="Verdana" w:eastAsia="Verdana" w:hAnsi="Verdana"/>
          <w:bCs/>
          <w:sz w:val="20"/>
          <w:szCs w:val="20"/>
          <w:lang w:val="es-CR" w:eastAsia="x-none"/>
        </w:rPr>
        <w:t xml:space="preserve">El Tribunal advierte que en el presente caso </w:t>
      </w:r>
      <w:r w:rsidR="009D502E" w:rsidRPr="000864AE">
        <w:rPr>
          <w:rFonts w:ascii="Verdana" w:eastAsia="Verdana" w:hAnsi="Verdana"/>
          <w:bCs/>
          <w:sz w:val="20"/>
          <w:szCs w:val="20"/>
          <w:lang w:val="es-CR" w:eastAsia="x-none"/>
        </w:rPr>
        <w:t>uno de los</w:t>
      </w:r>
      <w:r w:rsidRPr="000864AE">
        <w:rPr>
          <w:rFonts w:ascii="Verdana" w:eastAsia="Verdana" w:hAnsi="Verdana"/>
          <w:bCs/>
          <w:sz w:val="20"/>
          <w:szCs w:val="20"/>
          <w:lang w:val="es-CR" w:eastAsia="x-none"/>
        </w:rPr>
        <w:t xml:space="preserve"> problema</w:t>
      </w:r>
      <w:r w:rsidR="009D502E" w:rsidRPr="000864AE">
        <w:rPr>
          <w:rFonts w:ascii="Verdana" w:eastAsia="Verdana" w:hAnsi="Verdana"/>
          <w:bCs/>
          <w:sz w:val="20"/>
          <w:szCs w:val="20"/>
          <w:lang w:val="es-CR" w:eastAsia="x-none"/>
        </w:rPr>
        <w:t>s</w:t>
      </w:r>
      <w:r w:rsidRPr="000864AE">
        <w:rPr>
          <w:rFonts w:ascii="Verdana" w:eastAsia="Verdana" w:hAnsi="Verdana"/>
          <w:bCs/>
          <w:sz w:val="20"/>
          <w:szCs w:val="20"/>
          <w:lang w:val="es-CR" w:eastAsia="x-none"/>
        </w:rPr>
        <w:t xml:space="preserve"> jurídico</w:t>
      </w:r>
      <w:r w:rsidR="009D502E" w:rsidRPr="000864AE">
        <w:rPr>
          <w:rFonts w:ascii="Verdana" w:eastAsia="Verdana" w:hAnsi="Verdana"/>
          <w:bCs/>
          <w:sz w:val="20"/>
          <w:szCs w:val="20"/>
          <w:lang w:val="es-CR" w:eastAsia="x-none"/>
        </w:rPr>
        <w:t>s</w:t>
      </w:r>
      <w:r w:rsidRPr="000864AE">
        <w:rPr>
          <w:rFonts w:ascii="Verdana" w:eastAsia="Verdana" w:hAnsi="Verdana"/>
          <w:bCs/>
          <w:sz w:val="20"/>
          <w:szCs w:val="20"/>
          <w:lang w:val="es-CR" w:eastAsia="x-none"/>
        </w:rPr>
        <w:t xml:space="preserve"> planteado</w:t>
      </w:r>
      <w:r w:rsidR="009D502E" w:rsidRPr="000864AE">
        <w:rPr>
          <w:rFonts w:ascii="Verdana" w:eastAsia="Verdana" w:hAnsi="Verdana"/>
          <w:bCs/>
          <w:sz w:val="20"/>
          <w:szCs w:val="20"/>
          <w:lang w:val="es-CR" w:eastAsia="x-none"/>
        </w:rPr>
        <w:t>s</w:t>
      </w:r>
      <w:r w:rsidRPr="000864AE">
        <w:rPr>
          <w:rFonts w:ascii="Verdana" w:eastAsia="Verdana" w:hAnsi="Verdana"/>
          <w:bCs/>
          <w:sz w:val="20"/>
          <w:szCs w:val="20"/>
          <w:lang w:val="es-CR" w:eastAsia="x-none"/>
        </w:rPr>
        <w:t xml:space="preserve"> por los representantes se relaciona con los alcances del derecho a la seguridad social entendido como un derecho autónomo que deriva del artículo 26 de la Convención Americana. En este sentido, los alegatos de las representantes siguen la aproximación adoptada por este Tribunal desde el caso </w:t>
      </w:r>
      <w:r w:rsidRPr="000864AE">
        <w:rPr>
          <w:rFonts w:ascii="Verdana" w:eastAsia="Verdana" w:hAnsi="Verdana"/>
          <w:bCs/>
          <w:i/>
          <w:sz w:val="20"/>
          <w:szCs w:val="20"/>
          <w:lang w:val="es-CR" w:eastAsia="x-none"/>
        </w:rPr>
        <w:t>Lagos del Campo Vs. Perú</w:t>
      </w:r>
      <w:r w:rsidRPr="000864AE">
        <w:rPr>
          <w:rStyle w:val="Refdenotaalpie"/>
          <w:rFonts w:ascii="Verdana" w:eastAsia="Verdana" w:hAnsi="Verdana"/>
          <w:sz w:val="20"/>
          <w:szCs w:val="20"/>
          <w:lang w:eastAsia="x-none"/>
        </w:rPr>
        <w:footnoteReference w:id="230"/>
      </w:r>
      <w:r w:rsidRPr="000864AE">
        <w:rPr>
          <w:rFonts w:ascii="Verdana" w:eastAsia="Verdana" w:hAnsi="Verdana"/>
          <w:bCs/>
          <w:sz w:val="20"/>
          <w:szCs w:val="20"/>
          <w:lang w:val="es-CR" w:eastAsia="x-none"/>
        </w:rPr>
        <w:t>, y que ha sido continuada en decisiones posteriores</w:t>
      </w:r>
      <w:r w:rsidRPr="000864AE">
        <w:rPr>
          <w:rStyle w:val="Refdenotaalpie"/>
          <w:rFonts w:ascii="Verdana" w:eastAsia="Verdana" w:hAnsi="Verdana"/>
          <w:sz w:val="20"/>
          <w:szCs w:val="20"/>
          <w:lang w:eastAsia="x-none"/>
        </w:rPr>
        <w:footnoteReference w:id="231"/>
      </w:r>
      <w:r w:rsidRPr="000864AE">
        <w:rPr>
          <w:rFonts w:ascii="Verdana" w:eastAsia="Verdana" w:hAnsi="Verdana"/>
          <w:bCs/>
          <w:sz w:val="20"/>
          <w:szCs w:val="20"/>
          <w:lang w:val="es-CR" w:eastAsia="x-none"/>
        </w:rPr>
        <w:t xml:space="preserve">. Al respecto, la Corte recuerda que ya en el caso </w:t>
      </w:r>
      <w:r w:rsidRPr="000864AE">
        <w:rPr>
          <w:rFonts w:ascii="Verdana" w:eastAsia="Verdana" w:hAnsi="Verdana"/>
          <w:bCs/>
          <w:i/>
          <w:sz w:val="20"/>
          <w:szCs w:val="20"/>
          <w:lang w:val="es-CR" w:eastAsia="x-none"/>
        </w:rPr>
        <w:t>Poblete Vilches y otros Vs. Chile</w:t>
      </w:r>
      <w:r w:rsidRPr="000864AE">
        <w:rPr>
          <w:rFonts w:ascii="Verdana" w:eastAsia="Verdana" w:hAnsi="Verdana"/>
          <w:bCs/>
          <w:sz w:val="20"/>
          <w:szCs w:val="20"/>
          <w:lang w:val="es-CR" w:eastAsia="x-none"/>
        </w:rPr>
        <w:t xml:space="preserve"> señaló lo siguiente:</w:t>
      </w:r>
    </w:p>
    <w:p w14:paraId="4F472CB6" w14:textId="77777777" w:rsidR="00E83A1C" w:rsidRPr="000864AE" w:rsidRDefault="00E83A1C" w:rsidP="000864AE">
      <w:pPr>
        <w:pStyle w:val="Estilo1"/>
        <w:tabs>
          <w:tab w:val="left" w:pos="709"/>
        </w:tabs>
        <w:spacing w:after="0"/>
        <w:ind w:right="-4"/>
        <w:rPr>
          <w:rFonts w:eastAsia="Verdana"/>
          <w:bCs/>
          <w:i/>
          <w:sz w:val="20"/>
          <w:szCs w:val="20"/>
          <w:lang w:val="es-CR" w:eastAsia="x-none"/>
        </w:rPr>
      </w:pPr>
    </w:p>
    <w:p w14:paraId="788B2325" w14:textId="33A4D8EF" w:rsidR="00E83A1C" w:rsidRPr="000864AE" w:rsidRDefault="00223943" w:rsidP="000864AE">
      <w:pPr>
        <w:pStyle w:val="Estilo1"/>
        <w:tabs>
          <w:tab w:val="left" w:pos="709"/>
          <w:tab w:val="left" w:pos="8505"/>
        </w:tabs>
        <w:spacing w:after="0"/>
        <w:ind w:left="709" w:right="856"/>
        <w:rPr>
          <w:i/>
          <w:sz w:val="18"/>
          <w:szCs w:val="18"/>
          <w:lang w:val="es-CR"/>
        </w:rPr>
      </w:pPr>
      <w:r w:rsidRPr="000864AE">
        <w:rPr>
          <w:sz w:val="18"/>
          <w:szCs w:val="18"/>
          <w:lang w:val="es-CR"/>
        </w:rPr>
        <w:t>“</w:t>
      </w:r>
      <w:r w:rsidR="00E83A1C" w:rsidRPr="000864AE">
        <w:rPr>
          <w:sz w:val="18"/>
          <w:szCs w:val="18"/>
          <w:lang w:val="es-CR"/>
        </w:rPr>
        <w:t>Así, resulta claro interpretar que la Convención Americana incorporó en su catálogo de derechos protegidos los denominados derechos económicos, sociales, culturales y ambientales (DESCA), a través de una derivación de las normas reconocidas en la Carta de la Organización de los Estados Americanos (OEA), así como de las normas de interpretación dispuestas en el propio artículo 29 de la Convención; particularmente, que impide limitar o excluir el goce de los derechos establecidos en la Declaración Americana e inclusive los reconocidos en materia interna. Asimismo, de conformidad con una interpretación sistemática, teleológica y evolutiva, la Corte ha recurrido al corpus iuris internacional y nacional en la materia para dar contenido específico al alcance de los derechos tutelados por la Convención, a fin de derivar el alcance de las obligaciones específicas de cada derecho</w:t>
      </w:r>
      <w:r w:rsidRPr="000864AE">
        <w:rPr>
          <w:sz w:val="18"/>
          <w:szCs w:val="18"/>
          <w:lang w:val="es-CR"/>
        </w:rPr>
        <w:t>”</w:t>
      </w:r>
      <w:r w:rsidR="00E83A1C" w:rsidRPr="000864AE">
        <w:rPr>
          <w:rStyle w:val="Refdenotaalpie"/>
          <w:sz w:val="18"/>
          <w:szCs w:val="18"/>
        </w:rPr>
        <w:footnoteReference w:id="232"/>
      </w:r>
      <w:r w:rsidR="00E83A1C" w:rsidRPr="000864AE">
        <w:rPr>
          <w:sz w:val="18"/>
          <w:szCs w:val="18"/>
          <w:lang w:val="es-CR"/>
        </w:rPr>
        <w:t>.</w:t>
      </w:r>
    </w:p>
    <w:p w14:paraId="0CD04B44" w14:textId="77777777" w:rsidR="00E83A1C" w:rsidRPr="000864AE" w:rsidRDefault="00E83A1C" w:rsidP="000864AE">
      <w:pPr>
        <w:pStyle w:val="Estilo1"/>
        <w:tabs>
          <w:tab w:val="left" w:pos="709"/>
          <w:tab w:val="left" w:pos="8505"/>
        </w:tabs>
        <w:spacing w:after="0"/>
        <w:ind w:right="855"/>
        <w:rPr>
          <w:rFonts w:eastAsia="Verdana"/>
          <w:bCs/>
          <w:i/>
          <w:sz w:val="20"/>
          <w:szCs w:val="20"/>
          <w:lang w:val="es-CR" w:eastAsia="x-none"/>
        </w:rPr>
      </w:pPr>
    </w:p>
    <w:p w14:paraId="2DE416E4" w14:textId="43543498" w:rsidR="00E83A1C" w:rsidRPr="000864AE" w:rsidRDefault="00E83A1C" w:rsidP="000864AE">
      <w:pPr>
        <w:numPr>
          <w:ilvl w:val="0"/>
          <w:numId w:val="10"/>
        </w:numPr>
        <w:tabs>
          <w:tab w:val="num" w:pos="709"/>
          <w:tab w:val="left" w:pos="851"/>
          <w:tab w:val="num" w:pos="12305"/>
        </w:tabs>
        <w:spacing w:after="0" w:line="240" w:lineRule="auto"/>
        <w:ind w:left="0" w:firstLine="0"/>
        <w:jc w:val="both"/>
        <w:rPr>
          <w:rFonts w:ascii="Verdana" w:eastAsia="Times" w:hAnsi="Verdana" w:cs="Arial"/>
          <w:sz w:val="20"/>
          <w:szCs w:val="20"/>
        </w:rPr>
      </w:pPr>
      <w:r w:rsidRPr="000864AE">
        <w:rPr>
          <w:rFonts w:ascii="Verdana" w:hAnsi="Verdana"/>
          <w:sz w:val="20"/>
          <w:szCs w:val="20"/>
          <w:lang w:val="es-PE"/>
        </w:rPr>
        <w:t xml:space="preserve">En </w:t>
      </w:r>
      <w:r w:rsidRPr="000864AE">
        <w:rPr>
          <w:rFonts w:ascii="Verdana" w:eastAsia="Times" w:hAnsi="Verdana" w:cs="Arial"/>
          <w:sz w:val="20"/>
          <w:szCs w:val="20"/>
        </w:rPr>
        <w:t xml:space="preserve">este apartado, la Corte se pronunciará </w:t>
      </w:r>
      <w:r w:rsidRPr="000864AE">
        <w:rPr>
          <w:rFonts w:ascii="Verdana" w:hAnsi="Verdana"/>
          <w:sz w:val="20"/>
          <w:szCs w:val="20"/>
        </w:rPr>
        <w:t>respecto del derecho a la seguridad social, en particular sobre el derecho a la pensión, de manera autónoma, co</w:t>
      </w:r>
      <w:r w:rsidR="00204520" w:rsidRPr="000864AE">
        <w:rPr>
          <w:rFonts w:ascii="Verdana" w:hAnsi="Verdana"/>
          <w:sz w:val="20"/>
          <w:szCs w:val="20"/>
        </w:rPr>
        <w:t>mo parte integrante de los derechos económicos, sociales, culturales y ambientales (en adelante “DESCA”)</w:t>
      </w:r>
      <w:r w:rsidR="00805A66" w:rsidRPr="000864AE">
        <w:rPr>
          <w:rFonts w:ascii="Verdana" w:hAnsi="Verdana"/>
          <w:sz w:val="20"/>
          <w:szCs w:val="20"/>
        </w:rPr>
        <w:t xml:space="preserve">, al igual que sobre las supuestas afectaciones </w:t>
      </w:r>
      <w:r w:rsidR="00204520" w:rsidRPr="000864AE">
        <w:rPr>
          <w:rFonts w:ascii="Verdana" w:hAnsi="Verdana"/>
          <w:sz w:val="20"/>
          <w:szCs w:val="20"/>
        </w:rPr>
        <w:t>a</w:t>
      </w:r>
      <w:r w:rsidR="00805A66" w:rsidRPr="000864AE">
        <w:rPr>
          <w:rFonts w:ascii="Verdana" w:hAnsi="Verdana"/>
          <w:sz w:val="20"/>
          <w:szCs w:val="20"/>
        </w:rPr>
        <w:t>l derecho a la vida digna y a la propiedad alegadas por la Comisión y los representantes</w:t>
      </w:r>
      <w:r w:rsidR="00805A66" w:rsidRPr="000864AE">
        <w:rPr>
          <w:rFonts w:ascii="Verdana" w:eastAsia="Times" w:hAnsi="Verdana" w:cs="Arial"/>
          <w:sz w:val="20"/>
          <w:szCs w:val="20"/>
        </w:rPr>
        <w:t>. P</w:t>
      </w:r>
      <w:r w:rsidRPr="000864AE">
        <w:rPr>
          <w:rFonts w:ascii="Verdana" w:eastAsia="Times" w:hAnsi="Verdana" w:cs="Arial"/>
          <w:sz w:val="20"/>
          <w:szCs w:val="20"/>
        </w:rPr>
        <w:t xml:space="preserve">ara tal efecto seguirá el siguiente orden: a) el derecho a la seguridad social como </w:t>
      </w:r>
      <w:r w:rsidR="00204520" w:rsidRPr="000864AE">
        <w:rPr>
          <w:rFonts w:ascii="Verdana" w:eastAsia="Times" w:hAnsi="Verdana" w:cs="Arial"/>
          <w:sz w:val="20"/>
          <w:szCs w:val="20"/>
        </w:rPr>
        <w:t>derecho autónomo y justiciable;</w:t>
      </w:r>
      <w:r w:rsidRPr="000864AE">
        <w:rPr>
          <w:rFonts w:ascii="Verdana" w:eastAsia="Times" w:hAnsi="Verdana" w:cs="Arial"/>
          <w:sz w:val="20"/>
          <w:szCs w:val="20"/>
        </w:rPr>
        <w:t xml:space="preserve"> b)</w:t>
      </w:r>
      <w:r w:rsidRPr="000864AE">
        <w:rPr>
          <w:rFonts w:ascii="Verdana" w:eastAsia="Times" w:hAnsi="Verdana" w:cs="Arial"/>
          <w:sz w:val="20"/>
          <w:szCs w:val="20"/>
          <w:lang w:val="es-PE"/>
        </w:rPr>
        <w:t xml:space="preserve"> el conten</w:t>
      </w:r>
      <w:r w:rsidR="00204520" w:rsidRPr="000864AE">
        <w:rPr>
          <w:rFonts w:ascii="Verdana" w:eastAsia="Times" w:hAnsi="Verdana" w:cs="Arial"/>
          <w:sz w:val="20"/>
          <w:szCs w:val="20"/>
          <w:lang w:val="es-PE"/>
        </w:rPr>
        <w:t>ido del derecho a la seguridad;</w:t>
      </w:r>
      <w:r w:rsidRPr="000864AE">
        <w:rPr>
          <w:rFonts w:ascii="Verdana" w:eastAsia="Times" w:hAnsi="Verdana" w:cs="Arial"/>
          <w:sz w:val="20"/>
          <w:szCs w:val="20"/>
        </w:rPr>
        <w:t xml:space="preserve"> c) la afectación del derecho a la seguridad social </w:t>
      </w:r>
      <w:r w:rsidR="00805A66" w:rsidRPr="000864AE">
        <w:rPr>
          <w:rFonts w:ascii="Verdana" w:eastAsia="Times" w:hAnsi="Verdana" w:cs="Arial"/>
          <w:sz w:val="20"/>
          <w:szCs w:val="20"/>
        </w:rPr>
        <w:t xml:space="preserve">y a la vida digna </w:t>
      </w:r>
      <w:r w:rsidRPr="000864AE">
        <w:rPr>
          <w:rFonts w:ascii="Verdana" w:eastAsia="Times" w:hAnsi="Verdana" w:cs="Arial"/>
          <w:sz w:val="20"/>
          <w:szCs w:val="20"/>
        </w:rPr>
        <w:t>en el presente caso</w:t>
      </w:r>
      <w:r w:rsidR="00942597" w:rsidRPr="000864AE">
        <w:rPr>
          <w:rFonts w:ascii="Verdana" w:eastAsia="Times" w:hAnsi="Verdana" w:cs="Arial"/>
          <w:sz w:val="20"/>
          <w:szCs w:val="20"/>
        </w:rPr>
        <w:t>, y d) la afectación al derecho a la propiedad</w:t>
      </w:r>
      <w:r w:rsidRPr="000864AE">
        <w:rPr>
          <w:rFonts w:ascii="Verdana" w:eastAsia="Times" w:hAnsi="Verdana" w:cs="Arial"/>
          <w:sz w:val="20"/>
          <w:szCs w:val="20"/>
        </w:rPr>
        <w:t>.</w:t>
      </w:r>
    </w:p>
    <w:p w14:paraId="224F0298" w14:textId="77777777" w:rsidR="00E83A1C" w:rsidRPr="000864AE" w:rsidRDefault="00E83A1C" w:rsidP="000864AE">
      <w:pPr>
        <w:spacing w:after="0" w:line="240" w:lineRule="auto"/>
        <w:jc w:val="both"/>
        <w:rPr>
          <w:rFonts w:ascii="Verdana" w:hAnsi="Verdana"/>
          <w:i/>
          <w:sz w:val="20"/>
          <w:szCs w:val="20"/>
        </w:rPr>
      </w:pPr>
    </w:p>
    <w:p w14:paraId="4C234BEC" w14:textId="0D525846" w:rsidR="00E83A1C" w:rsidRPr="000864AE" w:rsidRDefault="00E83A1C" w:rsidP="000864AE">
      <w:pPr>
        <w:pStyle w:val="Ttulo4"/>
        <w:numPr>
          <w:ilvl w:val="0"/>
          <w:numId w:val="0"/>
        </w:numPr>
        <w:ind w:left="1068"/>
      </w:pPr>
      <w:bookmarkStart w:id="79" w:name="_Toc27329782"/>
      <w:r w:rsidRPr="000864AE">
        <w:t>C.2.1. El derecho a la seguridad social como derecho autónomo y justiciable</w:t>
      </w:r>
      <w:bookmarkEnd w:id="79"/>
    </w:p>
    <w:p w14:paraId="01247A40" w14:textId="77777777" w:rsidR="00E83A1C" w:rsidRPr="000864AE" w:rsidRDefault="00E83A1C" w:rsidP="000864AE">
      <w:pPr>
        <w:pStyle w:val="Prrafodelista"/>
        <w:spacing w:after="0" w:line="240" w:lineRule="auto"/>
        <w:ind w:left="1080"/>
        <w:jc w:val="both"/>
        <w:rPr>
          <w:rFonts w:ascii="Verdana" w:hAnsi="Verdana"/>
          <w:i/>
          <w:sz w:val="20"/>
          <w:szCs w:val="20"/>
        </w:rPr>
      </w:pPr>
    </w:p>
    <w:p w14:paraId="6F7290BC" w14:textId="58BB86C8" w:rsidR="00E83A1C" w:rsidRPr="000864AE" w:rsidRDefault="00E83A1C" w:rsidP="000864AE">
      <w:pPr>
        <w:numPr>
          <w:ilvl w:val="0"/>
          <w:numId w:val="10"/>
        </w:numPr>
        <w:tabs>
          <w:tab w:val="left" w:pos="709"/>
          <w:tab w:val="num" w:pos="1569"/>
          <w:tab w:val="num" w:pos="12305"/>
        </w:tabs>
        <w:spacing w:after="0" w:line="240" w:lineRule="auto"/>
        <w:ind w:left="0" w:firstLine="0"/>
        <w:jc w:val="both"/>
        <w:rPr>
          <w:rFonts w:ascii="Verdana" w:eastAsia="Times New Roman" w:hAnsi="Verdana" w:cs="Tahoma"/>
          <w:color w:val="333333"/>
          <w:sz w:val="20"/>
          <w:szCs w:val="20"/>
          <w:lang w:val="es-PE"/>
        </w:rPr>
      </w:pPr>
      <w:r w:rsidRPr="000864AE">
        <w:rPr>
          <w:rFonts w:ascii="Verdana" w:hAnsi="Verdana"/>
          <w:sz w:val="20"/>
          <w:szCs w:val="20"/>
          <w:lang w:val="es-ES"/>
        </w:rPr>
        <w:t xml:space="preserve">Para identificar aquellos derechos que pueden ser derivados interpretativamente del artículo 26, se debe considerar que este </w:t>
      </w:r>
      <w:r w:rsidRPr="000864AE">
        <w:rPr>
          <w:rFonts w:ascii="Verdana" w:hAnsi="Verdana"/>
          <w:sz w:val="20"/>
          <w:szCs w:val="20"/>
          <w:lang w:val="es-PE"/>
        </w:rPr>
        <w:t xml:space="preserve">realiza una remisión directa a </w:t>
      </w:r>
      <w:r w:rsidRPr="000864AE">
        <w:rPr>
          <w:rFonts w:ascii="Verdana" w:eastAsia="Times" w:hAnsi="Verdana" w:cs="Arial"/>
          <w:sz w:val="20"/>
          <w:szCs w:val="20"/>
        </w:rPr>
        <w:t xml:space="preserve">las normas económicas, sociales y sobre educación, ciencia y cultura contenidas en la Carta de la </w:t>
      </w:r>
      <w:r w:rsidR="00847A68" w:rsidRPr="000864AE">
        <w:rPr>
          <w:rFonts w:ascii="Verdana" w:eastAsia="Times" w:hAnsi="Verdana" w:cs="Arial"/>
          <w:sz w:val="20"/>
          <w:szCs w:val="20"/>
        </w:rPr>
        <w:t>OEA</w:t>
      </w:r>
      <w:r w:rsidRPr="000864AE">
        <w:rPr>
          <w:rFonts w:ascii="Verdana" w:hAnsi="Verdana"/>
          <w:sz w:val="20"/>
          <w:szCs w:val="20"/>
          <w:lang w:val="es-PE"/>
        </w:rPr>
        <w:t xml:space="preserve">. De una lectura de este último instrumento, </w:t>
      </w:r>
      <w:r w:rsidRPr="000864AE">
        <w:rPr>
          <w:rFonts w:ascii="Verdana" w:eastAsia="Times" w:hAnsi="Verdana" w:cs="Arial"/>
          <w:sz w:val="20"/>
          <w:szCs w:val="20"/>
        </w:rPr>
        <w:t>la Corte advi</w:t>
      </w:r>
      <w:r w:rsidR="00EF0872" w:rsidRPr="000864AE">
        <w:rPr>
          <w:rFonts w:ascii="Verdana" w:eastAsia="Times" w:hAnsi="Verdana" w:cs="Arial"/>
          <w:sz w:val="20"/>
          <w:szCs w:val="20"/>
        </w:rPr>
        <w:t>erte que reconoce</w:t>
      </w:r>
      <w:r w:rsidRPr="000864AE">
        <w:rPr>
          <w:rFonts w:ascii="Verdana" w:eastAsia="Times" w:hAnsi="Verdana" w:cs="Arial"/>
          <w:sz w:val="20"/>
          <w:szCs w:val="20"/>
        </w:rPr>
        <w:t xml:space="preserve"> la seguridad social en su artículo 3.j)</w:t>
      </w:r>
      <w:r w:rsidRPr="000864AE">
        <w:rPr>
          <w:rStyle w:val="Refdenotaalpie"/>
          <w:rFonts w:ascii="Verdana" w:eastAsia="Times" w:hAnsi="Verdana"/>
          <w:sz w:val="20"/>
          <w:szCs w:val="20"/>
        </w:rPr>
        <w:footnoteReference w:id="233"/>
      </w:r>
      <w:r w:rsidRPr="000864AE">
        <w:rPr>
          <w:rFonts w:ascii="Verdana" w:eastAsia="Times" w:hAnsi="Verdana" w:cs="Arial"/>
          <w:sz w:val="20"/>
          <w:szCs w:val="20"/>
        </w:rPr>
        <w:t xml:space="preserve"> al señalar que “la justicia y la seguridad sociales son bases de una paz duradera”. Asimismo, </w:t>
      </w:r>
      <w:r w:rsidRPr="000864AE">
        <w:rPr>
          <w:rFonts w:ascii="Verdana" w:hAnsi="Verdana"/>
          <w:sz w:val="20"/>
          <w:szCs w:val="20"/>
        </w:rPr>
        <w:t>el</w:t>
      </w:r>
      <w:r w:rsidRPr="000864AE">
        <w:rPr>
          <w:rFonts w:ascii="Verdana" w:hAnsi="Verdana"/>
          <w:sz w:val="20"/>
          <w:szCs w:val="20"/>
          <w:lang w:val="es-CR"/>
        </w:rPr>
        <w:t xml:space="preserve"> artículo 45.b)</w:t>
      </w:r>
      <w:r w:rsidRPr="000864AE">
        <w:rPr>
          <w:rStyle w:val="Refdenotaalpie"/>
          <w:rFonts w:ascii="Verdana" w:hAnsi="Verdana"/>
          <w:sz w:val="20"/>
          <w:szCs w:val="20"/>
        </w:rPr>
        <w:footnoteReference w:id="234"/>
      </w:r>
      <w:r w:rsidRPr="000864AE">
        <w:rPr>
          <w:rFonts w:ascii="Verdana" w:hAnsi="Verdana"/>
          <w:sz w:val="20"/>
          <w:szCs w:val="20"/>
          <w:lang w:val="es-CR"/>
        </w:rPr>
        <w:t xml:space="preserve"> de la Carta de la OEA establece que “b) </w:t>
      </w:r>
      <w:r w:rsidRPr="000864AE">
        <w:rPr>
          <w:rFonts w:ascii="Verdana" w:hAnsi="Verdana" w:cs="Tahoma"/>
          <w:color w:val="000000"/>
          <w:sz w:val="20"/>
          <w:szCs w:val="20"/>
          <w:lang w:val="es-ES"/>
        </w:rPr>
        <w:t xml:space="preserve">[e]l trabajo es un derecho y un deber social, otorga dignidad a quien lo realiza y debe prestarse en condiciones que, incluyendo un régimen de salarios justos, aseguren la vida, la salud y un nivel económico decoroso para el trabajador y su familia, tanto en sus años de trabajo como en su vejez, o cuando cualquier circunstancia lo prive de la posibilidad de trabajar”. Asimismo, el </w:t>
      </w:r>
      <w:r w:rsidRPr="000864AE">
        <w:rPr>
          <w:rFonts w:ascii="Verdana" w:hAnsi="Verdana"/>
          <w:sz w:val="20"/>
          <w:szCs w:val="20"/>
          <w:lang w:val="es-ES"/>
        </w:rPr>
        <w:t>artículo</w:t>
      </w:r>
      <w:r w:rsidRPr="000864AE">
        <w:rPr>
          <w:rFonts w:ascii="Verdana" w:hAnsi="Verdana"/>
          <w:sz w:val="20"/>
          <w:szCs w:val="20"/>
          <w:lang w:val="es-CR"/>
        </w:rPr>
        <w:t xml:space="preserve"> 45.h)</w:t>
      </w:r>
      <w:r w:rsidRPr="000864AE">
        <w:rPr>
          <w:rStyle w:val="Refdenotaalpie"/>
          <w:rFonts w:ascii="Verdana" w:hAnsi="Verdana"/>
          <w:sz w:val="20"/>
          <w:szCs w:val="20"/>
        </w:rPr>
        <w:footnoteReference w:id="235"/>
      </w:r>
      <w:r w:rsidRPr="000864AE">
        <w:rPr>
          <w:rFonts w:ascii="Verdana" w:hAnsi="Verdana"/>
          <w:sz w:val="20"/>
          <w:szCs w:val="20"/>
          <w:lang w:val="es-CR"/>
        </w:rPr>
        <w:t xml:space="preserve"> de la Carta establece que “el hombre sólo puede alcanzar la plena realización de sus aspiraciones dentro de un orden social justo”, por lo que los Estados convienen en dedicar esfuerzos a la aplicación de ciertos principios y mecanismos, entre ellos </w:t>
      </w:r>
      <w:r w:rsidRPr="000864AE">
        <w:rPr>
          <w:rFonts w:ascii="Verdana" w:hAnsi="Verdana" w:cs="Tahoma"/>
          <w:color w:val="000000"/>
          <w:sz w:val="20"/>
          <w:szCs w:val="20"/>
          <w:lang w:val="es-PE"/>
        </w:rPr>
        <w:t xml:space="preserve">el “h) </w:t>
      </w:r>
      <w:r w:rsidRPr="000864AE">
        <w:rPr>
          <w:rFonts w:ascii="Verdana" w:hAnsi="Verdana"/>
          <w:sz w:val="20"/>
          <w:szCs w:val="20"/>
          <w:lang w:val="es-CR"/>
        </w:rPr>
        <w:t xml:space="preserve">[d]esarrollo de una política eficiente de seguridad social”. Por su parte, en el artículo 46 de la Carta los Estados reconocen que </w:t>
      </w:r>
      <w:r w:rsidRPr="000864AE">
        <w:rPr>
          <w:rFonts w:ascii="Verdana" w:hAnsi="Verdana" w:cs="Tahoma"/>
          <w:color w:val="000000"/>
          <w:sz w:val="20"/>
          <w:szCs w:val="20"/>
          <w:lang w:val="es-ES"/>
        </w:rPr>
        <w:t>“para facilitar el proceso de la integración regional latinoamericana, es necesario armonizar la legislación social de los países en desarrollo, especialmente en el campo laboral y de la seguridad social, a fin de que los derechos de los trabajadores sean igualmente protegidos, y convienen en realizar los máximos esfuerzos para alcanzar esta finalidad”.</w:t>
      </w:r>
    </w:p>
    <w:p w14:paraId="192771F0" w14:textId="77777777" w:rsidR="00E83A1C" w:rsidRPr="000864AE" w:rsidRDefault="00E83A1C" w:rsidP="000864AE">
      <w:pPr>
        <w:pStyle w:val="Prrafodelista"/>
        <w:spacing w:after="0" w:line="240" w:lineRule="auto"/>
        <w:ind w:left="0"/>
        <w:jc w:val="both"/>
        <w:rPr>
          <w:rFonts w:ascii="Verdana" w:hAnsi="Verdana"/>
          <w:sz w:val="20"/>
          <w:szCs w:val="20"/>
          <w:lang w:val="es-CR"/>
        </w:rPr>
      </w:pPr>
    </w:p>
    <w:p w14:paraId="194AC9F3" w14:textId="77777777" w:rsidR="00E83A1C" w:rsidRPr="000864AE" w:rsidRDefault="00E83A1C" w:rsidP="000864AE">
      <w:pPr>
        <w:numPr>
          <w:ilvl w:val="0"/>
          <w:numId w:val="10"/>
        </w:numPr>
        <w:tabs>
          <w:tab w:val="left" w:pos="709"/>
          <w:tab w:val="num" w:pos="1569"/>
          <w:tab w:val="num" w:pos="12305"/>
        </w:tabs>
        <w:spacing w:after="0" w:line="240" w:lineRule="auto"/>
        <w:ind w:left="0" w:firstLine="0"/>
        <w:jc w:val="both"/>
        <w:rPr>
          <w:rFonts w:ascii="Verdana" w:eastAsia="Times" w:hAnsi="Verdana" w:cs="Arial"/>
          <w:sz w:val="20"/>
          <w:szCs w:val="20"/>
        </w:rPr>
      </w:pPr>
      <w:r w:rsidRPr="000864AE">
        <w:rPr>
          <w:rFonts w:ascii="Verdana" w:hAnsi="Verdana"/>
          <w:sz w:val="20"/>
          <w:szCs w:val="20"/>
          <w:lang w:val="es-CR"/>
        </w:rPr>
        <w:t>De esta forma, la Corte considera que existe una referencia con el suficiente grado de especificidad del derecho a la seguridad social para derivar su existencia y reconocimiento implícito en la Carta de la OEA. En particular, de los distintos enunciados se deduce que el derecho a la seguridad social tiene como finalidad asegurar a las personas una vida, salud y niveles económicos decorosos en su vejez, o ante eventos que las priven de su posibilidad de trabajar, es decir en relación con eventos futuros que podrían afectar el nivel y calidad de sus vidas.</w:t>
      </w:r>
      <w:r w:rsidRPr="000864AE">
        <w:rPr>
          <w:rFonts w:ascii="Verdana" w:eastAsia="Times" w:hAnsi="Verdana" w:cs="Arial"/>
          <w:sz w:val="20"/>
          <w:szCs w:val="20"/>
        </w:rPr>
        <w:t xml:space="preserve"> </w:t>
      </w:r>
      <w:r w:rsidRPr="000864AE">
        <w:rPr>
          <w:rFonts w:ascii="Verdana" w:hAnsi="Verdana"/>
          <w:sz w:val="20"/>
          <w:szCs w:val="20"/>
        </w:rPr>
        <w:t>En vista de lo anterior, la Corte considera que el derecho a la seguridad social es un derecho protegido por el artículo 26 de la Convención</w:t>
      </w:r>
      <w:r w:rsidRPr="000864AE">
        <w:rPr>
          <w:rStyle w:val="Refdenotaalpie"/>
          <w:rFonts w:ascii="Verdana" w:hAnsi="Verdana"/>
          <w:sz w:val="20"/>
          <w:szCs w:val="20"/>
        </w:rPr>
        <w:footnoteReference w:id="236"/>
      </w:r>
      <w:r w:rsidRPr="000864AE">
        <w:rPr>
          <w:rFonts w:ascii="Verdana" w:hAnsi="Verdana"/>
          <w:sz w:val="20"/>
          <w:szCs w:val="20"/>
        </w:rPr>
        <w:t xml:space="preserve">. </w:t>
      </w:r>
    </w:p>
    <w:p w14:paraId="653226DF" w14:textId="77777777" w:rsidR="00E83A1C" w:rsidRPr="000864AE" w:rsidRDefault="00E83A1C" w:rsidP="000864AE">
      <w:pPr>
        <w:tabs>
          <w:tab w:val="left" w:pos="567"/>
          <w:tab w:val="num" w:pos="12305"/>
        </w:tabs>
        <w:spacing w:after="0" w:line="240" w:lineRule="auto"/>
        <w:jc w:val="both"/>
        <w:rPr>
          <w:rFonts w:ascii="Verdana" w:eastAsia="Times" w:hAnsi="Verdana" w:cs="Arial"/>
          <w:sz w:val="20"/>
          <w:szCs w:val="20"/>
        </w:rPr>
      </w:pPr>
    </w:p>
    <w:p w14:paraId="500A30AC" w14:textId="4AED50BB" w:rsidR="00E83A1C" w:rsidRPr="000864AE" w:rsidRDefault="00E83A1C" w:rsidP="000864AE">
      <w:pPr>
        <w:numPr>
          <w:ilvl w:val="0"/>
          <w:numId w:val="10"/>
        </w:numPr>
        <w:tabs>
          <w:tab w:val="num" w:pos="709"/>
          <w:tab w:val="num" w:pos="12305"/>
        </w:tabs>
        <w:spacing w:after="0" w:line="240" w:lineRule="auto"/>
        <w:ind w:left="0" w:firstLine="0"/>
        <w:jc w:val="both"/>
        <w:rPr>
          <w:rFonts w:ascii="Verdana" w:hAnsi="Verdana"/>
          <w:sz w:val="20"/>
          <w:szCs w:val="20"/>
        </w:rPr>
      </w:pPr>
      <w:r w:rsidRPr="000864AE">
        <w:rPr>
          <w:rFonts w:ascii="Verdana" w:eastAsia="Times" w:hAnsi="Verdana" w:cs="Arial"/>
          <w:sz w:val="20"/>
          <w:szCs w:val="20"/>
        </w:rPr>
        <w:t xml:space="preserve">Corresponde entonces a este Tribunal reiterar los alcances del derecho a la seguridad social, en particular del derecho a la pensión en el marco de los hechos del presente caso, a la luz del </w:t>
      </w:r>
      <w:r w:rsidRPr="000864AE">
        <w:rPr>
          <w:rFonts w:ascii="Verdana" w:eastAsia="Times" w:hAnsi="Verdana" w:cs="Arial"/>
          <w:i/>
          <w:sz w:val="20"/>
          <w:szCs w:val="20"/>
        </w:rPr>
        <w:t>corpus iuris</w:t>
      </w:r>
      <w:r w:rsidRPr="000864AE">
        <w:rPr>
          <w:rFonts w:ascii="Verdana" w:eastAsia="Times" w:hAnsi="Verdana" w:cs="Arial"/>
          <w:sz w:val="20"/>
          <w:szCs w:val="20"/>
        </w:rPr>
        <w:t xml:space="preserve"> internacional en la materia. La Corte recuerda que </w:t>
      </w:r>
      <w:r w:rsidRPr="000864AE">
        <w:rPr>
          <w:rFonts w:ascii="Verdana" w:hAnsi="Verdana"/>
          <w:sz w:val="20"/>
          <w:szCs w:val="20"/>
          <w:lang w:val="es-CR"/>
        </w:rPr>
        <w:t xml:space="preserve">las obligaciones contenidas en los artículos 1.1 y 2 de la Convención Americana constituyen, en definitiva, la base para la determinación de responsabilidad internacional </w:t>
      </w:r>
      <w:r w:rsidR="00EF0872" w:rsidRPr="000864AE">
        <w:rPr>
          <w:rFonts w:ascii="Verdana" w:hAnsi="Verdana"/>
          <w:sz w:val="20"/>
          <w:szCs w:val="20"/>
          <w:lang w:val="es-CR"/>
        </w:rPr>
        <w:t>de</w:t>
      </w:r>
      <w:r w:rsidRPr="000864AE">
        <w:rPr>
          <w:rFonts w:ascii="Verdana" w:hAnsi="Verdana"/>
          <w:sz w:val="20"/>
          <w:szCs w:val="20"/>
          <w:lang w:val="es-CR"/>
        </w:rPr>
        <w:t xml:space="preserve"> un Estado por violaciones a los derechos </w:t>
      </w:r>
      <w:r w:rsidR="00EF0872" w:rsidRPr="000864AE">
        <w:rPr>
          <w:rFonts w:ascii="Verdana" w:hAnsi="Verdana"/>
          <w:sz w:val="20"/>
          <w:szCs w:val="20"/>
          <w:lang w:val="es-CR"/>
        </w:rPr>
        <w:t>contemplados</w:t>
      </w:r>
      <w:r w:rsidRPr="000864AE">
        <w:rPr>
          <w:rFonts w:ascii="Verdana" w:hAnsi="Verdana"/>
          <w:sz w:val="20"/>
          <w:szCs w:val="20"/>
          <w:lang w:val="es-CR"/>
        </w:rPr>
        <w:t xml:space="preserve"> en la Convención</w:t>
      </w:r>
      <w:r w:rsidRPr="000864AE">
        <w:rPr>
          <w:rStyle w:val="Refdenotaalpie"/>
          <w:rFonts w:ascii="Verdana" w:hAnsi="Verdana"/>
          <w:sz w:val="20"/>
          <w:szCs w:val="20"/>
        </w:rPr>
        <w:footnoteReference w:id="237"/>
      </w:r>
      <w:r w:rsidRPr="000864AE">
        <w:rPr>
          <w:rFonts w:ascii="Verdana" w:hAnsi="Verdana"/>
          <w:sz w:val="20"/>
          <w:szCs w:val="20"/>
          <w:lang w:val="es-CR"/>
        </w:rPr>
        <w:t xml:space="preserve">, incluidos aquellos reconocidos en virtud del artículo 26. Sin embargo, la misma Convención hace expresa referencia a las normas del Derecho Internacional general para su interpretación y aplicación, específicamente a través del artículo 29, el cual prevé el principio </w:t>
      </w:r>
      <w:r w:rsidRPr="000864AE">
        <w:rPr>
          <w:rFonts w:ascii="Verdana" w:hAnsi="Verdana"/>
          <w:i/>
          <w:sz w:val="20"/>
          <w:szCs w:val="20"/>
          <w:lang w:val="es-CR"/>
        </w:rPr>
        <w:t>pro persona</w:t>
      </w:r>
      <w:r w:rsidRPr="000864AE">
        <w:rPr>
          <w:rStyle w:val="Refdenotaalpie"/>
          <w:rFonts w:ascii="Verdana" w:hAnsi="Verdana"/>
          <w:sz w:val="20"/>
          <w:szCs w:val="20"/>
        </w:rPr>
        <w:footnoteReference w:id="238"/>
      </w:r>
      <w:r w:rsidRPr="000864AE">
        <w:rPr>
          <w:rFonts w:ascii="Verdana" w:hAnsi="Verdana"/>
          <w:sz w:val="20"/>
          <w:szCs w:val="20"/>
          <w:lang w:val="es-CR"/>
        </w:rPr>
        <w:t xml:space="preserve">. De esta </w:t>
      </w:r>
      <w:r w:rsidR="00EF0872" w:rsidRPr="000864AE">
        <w:rPr>
          <w:rFonts w:ascii="Verdana" w:hAnsi="Verdana"/>
          <w:sz w:val="20"/>
          <w:szCs w:val="20"/>
          <w:lang w:val="es-CR"/>
        </w:rPr>
        <w:t>manera</w:t>
      </w:r>
      <w:r w:rsidRPr="000864AE">
        <w:rPr>
          <w:rFonts w:ascii="Verdana" w:hAnsi="Verdana"/>
          <w:sz w:val="20"/>
          <w:szCs w:val="20"/>
          <w:lang w:val="es-CR"/>
        </w:rPr>
        <w:t>, como ha sido la práctica constante de este Tribunal</w:t>
      </w:r>
      <w:r w:rsidRPr="000864AE">
        <w:rPr>
          <w:rStyle w:val="Refdenotaalpie"/>
          <w:rFonts w:ascii="Verdana" w:hAnsi="Verdana"/>
          <w:sz w:val="20"/>
          <w:szCs w:val="20"/>
        </w:rPr>
        <w:footnoteReference w:id="239"/>
      </w:r>
      <w:r w:rsidRPr="000864AE">
        <w:rPr>
          <w:rFonts w:ascii="Verdana" w:hAnsi="Verdana"/>
          <w:sz w:val="20"/>
          <w:szCs w:val="20"/>
          <w:lang w:val="es-CR"/>
        </w:rPr>
        <w:t xml:space="preserve">, al determinar la compatibilidad de las </w:t>
      </w:r>
      <w:r w:rsidR="00EF0872" w:rsidRPr="000864AE">
        <w:rPr>
          <w:rFonts w:ascii="Verdana" w:hAnsi="Verdana"/>
          <w:sz w:val="20"/>
          <w:szCs w:val="20"/>
          <w:lang w:val="es-CR"/>
        </w:rPr>
        <w:t>acciones y omisiones del Estado</w:t>
      </w:r>
      <w:r w:rsidRPr="000864AE">
        <w:rPr>
          <w:rFonts w:ascii="Verdana" w:hAnsi="Verdana"/>
          <w:sz w:val="20"/>
          <w:szCs w:val="20"/>
          <w:lang w:val="es-CR"/>
        </w:rPr>
        <w:t xml:space="preserve"> o de sus normas, con la propia Convención u otros tratados respecto de los cuales tiene competencia, la Corte puede interpretar las obligaciones y derechos en ellos contenidos a la luz de otros tratados y normas pertinentes</w:t>
      </w:r>
      <w:r w:rsidRPr="000864AE">
        <w:rPr>
          <w:rStyle w:val="Refdenotaalpie"/>
          <w:rFonts w:ascii="Verdana" w:hAnsi="Verdana"/>
          <w:sz w:val="20"/>
          <w:szCs w:val="20"/>
        </w:rPr>
        <w:footnoteReference w:id="240"/>
      </w:r>
      <w:r w:rsidRPr="000864AE">
        <w:rPr>
          <w:rFonts w:ascii="Verdana" w:hAnsi="Verdana"/>
          <w:sz w:val="20"/>
          <w:szCs w:val="20"/>
          <w:lang w:val="es-CR"/>
        </w:rPr>
        <w:t>.</w:t>
      </w:r>
    </w:p>
    <w:p w14:paraId="31FA1366" w14:textId="77777777" w:rsidR="00E83A1C" w:rsidRPr="000864AE" w:rsidRDefault="00E83A1C" w:rsidP="000864AE">
      <w:pPr>
        <w:tabs>
          <w:tab w:val="left" w:pos="567"/>
        </w:tabs>
        <w:spacing w:after="0" w:line="240" w:lineRule="auto"/>
        <w:jc w:val="both"/>
        <w:rPr>
          <w:rFonts w:ascii="Verdana" w:hAnsi="Verdana"/>
          <w:sz w:val="20"/>
          <w:szCs w:val="20"/>
        </w:rPr>
      </w:pPr>
    </w:p>
    <w:p w14:paraId="61C6EC85" w14:textId="6FAD1995" w:rsidR="00E83A1C" w:rsidRPr="000864AE" w:rsidRDefault="00E83A1C" w:rsidP="000864AE">
      <w:pPr>
        <w:numPr>
          <w:ilvl w:val="0"/>
          <w:numId w:val="10"/>
        </w:numPr>
        <w:tabs>
          <w:tab w:val="left" w:pos="709"/>
          <w:tab w:val="num" w:pos="1569"/>
          <w:tab w:val="num" w:pos="12305"/>
        </w:tabs>
        <w:spacing w:after="0" w:line="240" w:lineRule="auto"/>
        <w:ind w:left="0" w:firstLine="0"/>
        <w:jc w:val="both"/>
        <w:rPr>
          <w:rFonts w:ascii="Verdana" w:hAnsi="Verdana"/>
          <w:sz w:val="20"/>
          <w:szCs w:val="20"/>
        </w:rPr>
      </w:pPr>
      <w:r w:rsidRPr="000864AE">
        <w:rPr>
          <w:rFonts w:ascii="Verdana" w:hAnsi="Verdana"/>
          <w:sz w:val="20"/>
          <w:szCs w:val="20"/>
          <w:lang w:val="es-CR"/>
        </w:rPr>
        <w:t xml:space="preserve">De esta forma, la Corte reiterará las fuentes, principios y criterios del </w:t>
      </w:r>
      <w:r w:rsidRPr="000864AE">
        <w:rPr>
          <w:rFonts w:ascii="Verdana" w:hAnsi="Verdana"/>
          <w:i/>
          <w:sz w:val="20"/>
          <w:szCs w:val="20"/>
          <w:lang w:val="es-CR"/>
        </w:rPr>
        <w:t xml:space="preserve">corpus iuris </w:t>
      </w:r>
      <w:r w:rsidRPr="000864AE">
        <w:rPr>
          <w:rFonts w:ascii="Verdana" w:hAnsi="Verdana"/>
          <w:sz w:val="20"/>
          <w:szCs w:val="20"/>
          <w:lang w:val="es-CR"/>
        </w:rPr>
        <w:t xml:space="preserve">internacional como normativa especial aplicable en la determinación del contenido del derecho a la seguridad social. Este Tribunal señala que la utilización de la normativa antes mencionada para la determinación del derecho en cuestión se utilizará </w:t>
      </w:r>
      <w:r w:rsidR="00EF0872" w:rsidRPr="000864AE">
        <w:rPr>
          <w:rFonts w:ascii="Verdana" w:hAnsi="Verdana"/>
          <w:sz w:val="20"/>
          <w:szCs w:val="20"/>
          <w:lang w:val="es-CR"/>
        </w:rPr>
        <w:t>de modo</w:t>
      </w:r>
      <w:r w:rsidRPr="000864AE">
        <w:rPr>
          <w:rFonts w:ascii="Verdana" w:hAnsi="Verdana"/>
          <w:sz w:val="20"/>
          <w:szCs w:val="20"/>
          <w:lang w:val="es-CR"/>
        </w:rPr>
        <w:t xml:space="preserve"> compl</w:t>
      </w:r>
      <w:r w:rsidR="00EF0872" w:rsidRPr="000864AE">
        <w:rPr>
          <w:rFonts w:ascii="Verdana" w:hAnsi="Verdana"/>
          <w:sz w:val="20"/>
          <w:szCs w:val="20"/>
          <w:lang w:val="es-CR"/>
        </w:rPr>
        <w:t>ementario</w:t>
      </w:r>
      <w:r w:rsidRPr="000864AE">
        <w:rPr>
          <w:rFonts w:ascii="Verdana" w:hAnsi="Verdana"/>
          <w:sz w:val="20"/>
          <w:szCs w:val="20"/>
          <w:lang w:val="es-CR"/>
        </w:rPr>
        <w:t xml:space="preserve"> a la normativa convencional. Al respecto, la Corte afirma que no está asumiendo competencias sobre tratados en los que no la tiene, ni tampoco está otorgando jerarquía convencional a normas contenidas en otros instrumentos nacionales o internacionales relacionados con los </w:t>
      </w:r>
      <w:r w:rsidR="00EF0872" w:rsidRPr="000864AE">
        <w:rPr>
          <w:rFonts w:ascii="Verdana" w:hAnsi="Verdana"/>
          <w:sz w:val="20"/>
          <w:szCs w:val="20"/>
          <w:lang w:val="es-CR"/>
        </w:rPr>
        <w:t>derechos económicos, sociales, culturales y ambientales</w:t>
      </w:r>
      <w:r w:rsidRPr="000864AE">
        <w:rPr>
          <w:rStyle w:val="Refdenotaalpie"/>
          <w:rFonts w:ascii="Verdana" w:hAnsi="Verdana"/>
          <w:sz w:val="20"/>
          <w:szCs w:val="20"/>
        </w:rPr>
        <w:footnoteReference w:id="241"/>
      </w:r>
      <w:r w:rsidRPr="000864AE">
        <w:rPr>
          <w:rFonts w:ascii="Verdana" w:hAnsi="Verdana"/>
          <w:sz w:val="20"/>
          <w:szCs w:val="20"/>
          <w:lang w:val="es-CR"/>
        </w:rPr>
        <w:t>. Por el contrario, la Corte realizará una interpretación de conformidad con las pautas previstas por el artículo 29, y conforme a su práctica jurisprudencial, que permita actualizar el sentido de los derechos derivados de la Carta de la OEA que se encuentran reconocidos por el artículo 26 de la Convención. La determinación del derecho a la seguridad social dará un especial énfasis a la Declaración Americana</w:t>
      </w:r>
      <w:r w:rsidR="00EF0872" w:rsidRPr="000864AE">
        <w:rPr>
          <w:rFonts w:ascii="Verdana" w:hAnsi="Verdana"/>
          <w:sz w:val="20"/>
          <w:szCs w:val="20"/>
          <w:lang w:val="es-CR"/>
        </w:rPr>
        <w:t xml:space="preserve"> de los Derechos y D</w:t>
      </w:r>
      <w:r w:rsidR="00D647B1" w:rsidRPr="000864AE">
        <w:rPr>
          <w:rFonts w:ascii="Verdana" w:hAnsi="Verdana"/>
          <w:sz w:val="20"/>
          <w:szCs w:val="20"/>
          <w:lang w:val="es-CR"/>
        </w:rPr>
        <w:t>eberes del Hombre (en adelante “</w:t>
      </w:r>
      <w:r w:rsidR="00EF0872" w:rsidRPr="000864AE">
        <w:rPr>
          <w:rFonts w:ascii="Verdana" w:hAnsi="Verdana"/>
          <w:sz w:val="20"/>
          <w:szCs w:val="20"/>
          <w:lang w:val="es-CR"/>
        </w:rPr>
        <w:t>la Declaración Americana</w:t>
      </w:r>
      <w:r w:rsidR="00D647B1" w:rsidRPr="000864AE">
        <w:rPr>
          <w:rFonts w:ascii="Verdana" w:hAnsi="Verdana"/>
          <w:sz w:val="20"/>
          <w:szCs w:val="20"/>
          <w:lang w:val="es-CR"/>
        </w:rPr>
        <w:t>”</w:t>
      </w:r>
      <w:r w:rsidR="00EF0872" w:rsidRPr="000864AE">
        <w:rPr>
          <w:rFonts w:ascii="Verdana" w:hAnsi="Verdana"/>
          <w:sz w:val="20"/>
          <w:szCs w:val="20"/>
          <w:lang w:val="es-CR"/>
        </w:rPr>
        <w:t>)</w:t>
      </w:r>
      <w:r w:rsidRPr="000864AE">
        <w:rPr>
          <w:rFonts w:ascii="Verdana" w:hAnsi="Verdana"/>
          <w:sz w:val="20"/>
          <w:szCs w:val="20"/>
          <w:lang w:val="es-CR"/>
        </w:rPr>
        <w:t>, pues tal y como lo estableció este Tribunal:</w:t>
      </w:r>
    </w:p>
    <w:p w14:paraId="276C9A90" w14:textId="77777777" w:rsidR="00E83A1C" w:rsidRPr="000864AE" w:rsidRDefault="00E83A1C" w:rsidP="000864AE">
      <w:pPr>
        <w:pStyle w:val="Estilo1"/>
        <w:tabs>
          <w:tab w:val="left" w:pos="709"/>
        </w:tabs>
        <w:spacing w:after="0"/>
        <w:ind w:right="-4"/>
        <w:rPr>
          <w:rFonts w:eastAsia="Times" w:cs="Arial"/>
          <w:i/>
          <w:sz w:val="20"/>
          <w:szCs w:val="20"/>
          <w:lang w:val="es-MX" w:eastAsia="es-CR"/>
        </w:rPr>
      </w:pPr>
    </w:p>
    <w:p w14:paraId="0C723D8A" w14:textId="12028F2D" w:rsidR="00E83A1C" w:rsidRPr="000864AE" w:rsidRDefault="00223943" w:rsidP="000864AE">
      <w:pPr>
        <w:autoSpaceDE w:val="0"/>
        <w:autoSpaceDN w:val="0"/>
        <w:spacing w:after="0" w:line="240" w:lineRule="auto"/>
        <w:ind w:left="708" w:right="900"/>
        <w:jc w:val="both"/>
        <w:rPr>
          <w:rFonts w:ascii="Verdana" w:hAnsi="Verdana" w:cs="Verdana"/>
          <w:sz w:val="18"/>
          <w:szCs w:val="18"/>
        </w:rPr>
      </w:pPr>
      <w:r w:rsidRPr="000864AE">
        <w:rPr>
          <w:rFonts w:ascii="Verdana" w:hAnsi="Verdana" w:cs="Verdana"/>
          <w:sz w:val="18"/>
          <w:szCs w:val="18"/>
        </w:rPr>
        <w:t>“</w:t>
      </w:r>
      <w:r w:rsidR="00EF0872" w:rsidRPr="000864AE">
        <w:rPr>
          <w:rFonts w:ascii="Verdana" w:hAnsi="Verdana" w:cs="Verdana"/>
          <w:sz w:val="18"/>
          <w:szCs w:val="18"/>
        </w:rPr>
        <w:t>(…)</w:t>
      </w:r>
      <w:r w:rsidR="00E83A1C" w:rsidRPr="000864AE">
        <w:rPr>
          <w:rFonts w:ascii="Verdana" w:hAnsi="Verdana" w:cs="Verdana"/>
          <w:sz w:val="18"/>
          <w:szCs w:val="18"/>
        </w:rPr>
        <w:t xml:space="preserve"> [L]os Estados Miembros han entendido que la Declaración contiene y define aquellos derechos humanos esenciales a los que la Carta se refiere, de manera que no se puede interpretar y aplicar la Carta de la Organización en materia de derechos humanos, sin integrar las normas pertinentes de ella con las correspondientes disposiciones de la Declaración, como resulta de la práctica seguida por los órganos de la OEA</w:t>
      </w:r>
      <w:r w:rsidRPr="000864AE">
        <w:rPr>
          <w:rFonts w:ascii="Verdana" w:hAnsi="Verdana" w:cs="Verdana"/>
          <w:sz w:val="18"/>
          <w:szCs w:val="18"/>
        </w:rPr>
        <w:t>”</w:t>
      </w:r>
      <w:r w:rsidR="00E83A1C" w:rsidRPr="000864AE">
        <w:rPr>
          <w:rFonts w:ascii="Verdana" w:hAnsi="Verdana"/>
          <w:sz w:val="18"/>
          <w:szCs w:val="18"/>
          <w:vertAlign w:val="superscript"/>
        </w:rPr>
        <w:footnoteReference w:id="242"/>
      </w:r>
      <w:r w:rsidR="00E83A1C" w:rsidRPr="000864AE">
        <w:rPr>
          <w:rFonts w:ascii="Verdana" w:hAnsi="Verdana" w:cs="Verdana"/>
          <w:sz w:val="18"/>
          <w:szCs w:val="18"/>
        </w:rPr>
        <w:t>.</w:t>
      </w:r>
    </w:p>
    <w:p w14:paraId="15AF8597" w14:textId="77777777" w:rsidR="00E83A1C" w:rsidRPr="000864AE" w:rsidRDefault="00E83A1C" w:rsidP="000864AE">
      <w:pPr>
        <w:tabs>
          <w:tab w:val="left" w:pos="567"/>
        </w:tabs>
        <w:spacing w:after="0" w:line="240" w:lineRule="auto"/>
        <w:jc w:val="both"/>
        <w:rPr>
          <w:rFonts w:ascii="Verdana" w:hAnsi="Verdana"/>
          <w:sz w:val="20"/>
          <w:szCs w:val="20"/>
        </w:rPr>
      </w:pPr>
    </w:p>
    <w:p w14:paraId="09A4BD03" w14:textId="188B705D" w:rsidR="00E83A1C" w:rsidRPr="000864AE" w:rsidRDefault="00E83A1C" w:rsidP="000864AE">
      <w:pPr>
        <w:numPr>
          <w:ilvl w:val="0"/>
          <w:numId w:val="10"/>
        </w:numPr>
        <w:tabs>
          <w:tab w:val="left" w:pos="709"/>
          <w:tab w:val="num" w:pos="1569"/>
          <w:tab w:val="num" w:pos="12305"/>
        </w:tabs>
        <w:spacing w:after="0" w:line="240" w:lineRule="auto"/>
        <w:ind w:left="0" w:firstLine="0"/>
        <w:jc w:val="both"/>
        <w:rPr>
          <w:rFonts w:ascii="Verdana" w:eastAsia="Times" w:hAnsi="Verdana" w:cs="Arial"/>
          <w:i/>
          <w:sz w:val="20"/>
          <w:szCs w:val="20"/>
        </w:rPr>
      </w:pPr>
      <w:r w:rsidRPr="000864AE">
        <w:rPr>
          <w:rFonts w:ascii="Verdana" w:eastAsia="Times" w:hAnsi="Verdana" w:cs="Arial"/>
          <w:sz w:val="20"/>
          <w:szCs w:val="20"/>
        </w:rPr>
        <w:t>En el mismo sentido, este Tribunal ha señalado en otras oportunidades que los tratados de derechos humanos son instrumentos vivos, cuya interpretación tiene que acompañar la evolución de los tiempos y las condiciones de vida actuales. Tal interpretación evolutiva es consecuente con las reglas generales de interpretación establecidas en el artículo 29 de la Convención Americana, así como con la Convención de Viena</w:t>
      </w:r>
      <w:r w:rsidR="00EF0872" w:rsidRPr="000864AE">
        <w:rPr>
          <w:rFonts w:ascii="Verdana" w:eastAsia="Times" w:hAnsi="Verdana" w:cs="Arial"/>
          <w:sz w:val="20"/>
          <w:szCs w:val="20"/>
        </w:rPr>
        <w:t xml:space="preserve"> sobre el Derecho de los Tratados</w:t>
      </w:r>
      <w:r w:rsidRPr="000864AE">
        <w:rPr>
          <w:rStyle w:val="Refdenotaalpie"/>
          <w:rFonts w:ascii="Verdana" w:eastAsia="Times" w:hAnsi="Verdana"/>
          <w:sz w:val="20"/>
          <w:szCs w:val="20"/>
        </w:rPr>
        <w:footnoteReference w:id="243"/>
      </w:r>
      <w:r w:rsidR="00D647B1" w:rsidRPr="000864AE">
        <w:rPr>
          <w:rFonts w:ascii="Verdana" w:eastAsia="Times" w:hAnsi="Verdana" w:cs="Arial"/>
          <w:sz w:val="20"/>
          <w:szCs w:val="20"/>
        </w:rPr>
        <w:t xml:space="preserve"> (en adelante “la Convención de Viena”)</w:t>
      </w:r>
      <w:r w:rsidRPr="000864AE">
        <w:rPr>
          <w:rFonts w:ascii="Verdana" w:eastAsia="Times" w:hAnsi="Verdana" w:cs="Arial"/>
          <w:sz w:val="20"/>
          <w:szCs w:val="20"/>
        </w:rPr>
        <w:t>. Además, el párrafo tercero del artículo 31 de la Convención de Viena autoriza la utilización de medios interpretativos tales como los acuerdos o la práctica o reglas relevantes del derecho internacional que los Estados hayan manifestado sobre la materia del tratado, los cuales son algunos de los métodos que se relacionan con una visión evolutiva del Tratado. De esta forma, con el objetivo de determinar el alcance del derecho a la seguridad social, en particular del derecho a la pensión en el marco de un sistema de pensi</w:t>
      </w:r>
      <w:r w:rsidR="00EF0872" w:rsidRPr="000864AE">
        <w:rPr>
          <w:rFonts w:ascii="Verdana" w:eastAsia="Times" w:hAnsi="Verdana" w:cs="Arial"/>
          <w:sz w:val="20"/>
          <w:szCs w:val="20"/>
        </w:rPr>
        <w:t>ones contributivo estatal, tal</w:t>
      </w:r>
      <w:r w:rsidRPr="000864AE">
        <w:rPr>
          <w:rFonts w:ascii="Verdana" w:eastAsia="Times" w:hAnsi="Verdana" w:cs="Arial"/>
          <w:sz w:val="20"/>
          <w:szCs w:val="20"/>
        </w:rPr>
        <w:t xml:space="preserve"> como se </w:t>
      </w:r>
      <w:r w:rsidRPr="000864AE">
        <w:rPr>
          <w:rFonts w:ascii="Verdana" w:hAnsi="Verdana" w:cs="Tahoma"/>
          <w:sz w:val="20"/>
          <w:szCs w:val="20"/>
          <w:lang w:val="es-CR"/>
        </w:rPr>
        <w:t xml:space="preserve">deriva de las normas económicas, sociales y sobre educación, ciencia y cultura de la Carta de la OEA, el Tribunal hará referencia a los instrumentos relevantes del </w:t>
      </w:r>
      <w:r w:rsidRPr="000864AE">
        <w:rPr>
          <w:rFonts w:ascii="Verdana" w:hAnsi="Verdana" w:cs="Tahoma"/>
          <w:i/>
          <w:sz w:val="20"/>
          <w:szCs w:val="20"/>
          <w:lang w:val="es-CR"/>
        </w:rPr>
        <w:t>corpus iuris</w:t>
      </w:r>
      <w:r w:rsidRPr="000864AE">
        <w:rPr>
          <w:rFonts w:ascii="Verdana" w:hAnsi="Verdana" w:cs="Tahoma"/>
          <w:sz w:val="20"/>
          <w:szCs w:val="20"/>
          <w:lang w:val="es-CR"/>
        </w:rPr>
        <w:t xml:space="preserve"> internacional.</w:t>
      </w:r>
    </w:p>
    <w:p w14:paraId="0FF3D6B0" w14:textId="77777777" w:rsidR="00E83A1C" w:rsidRPr="000864AE" w:rsidRDefault="00E83A1C" w:rsidP="000864AE">
      <w:pPr>
        <w:tabs>
          <w:tab w:val="left" w:pos="567"/>
        </w:tabs>
        <w:spacing w:after="0" w:line="240" w:lineRule="auto"/>
        <w:jc w:val="both"/>
        <w:rPr>
          <w:rFonts w:ascii="Verdana" w:eastAsia="Times" w:hAnsi="Verdana" w:cs="Arial"/>
          <w:i/>
          <w:sz w:val="20"/>
          <w:szCs w:val="20"/>
        </w:rPr>
      </w:pPr>
    </w:p>
    <w:p w14:paraId="187FD310" w14:textId="77777777" w:rsidR="00E83A1C" w:rsidRPr="000864AE" w:rsidRDefault="00E83A1C" w:rsidP="000864AE">
      <w:pPr>
        <w:numPr>
          <w:ilvl w:val="0"/>
          <w:numId w:val="10"/>
        </w:numPr>
        <w:tabs>
          <w:tab w:val="left" w:pos="709"/>
          <w:tab w:val="num" w:pos="1569"/>
          <w:tab w:val="num" w:pos="12305"/>
        </w:tabs>
        <w:spacing w:after="0" w:line="240" w:lineRule="auto"/>
        <w:ind w:left="0" w:firstLine="0"/>
        <w:jc w:val="both"/>
        <w:rPr>
          <w:rFonts w:ascii="Verdana" w:eastAsia="Times" w:hAnsi="Verdana" w:cs="Arial"/>
          <w:i/>
          <w:sz w:val="20"/>
          <w:szCs w:val="20"/>
        </w:rPr>
      </w:pPr>
      <w:r w:rsidRPr="000864AE">
        <w:rPr>
          <w:rFonts w:ascii="Verdana" w:hAnsi="Verdana"/>
          <w:sz w:val="20"/>
          <w:szCs w:val="20"/>
        </w:rPr>
        <w:t>A continuación, este Tribunal procede a verificar el alcance y contenido de este derecho para efectos del presente caso.</w:t>
      </w:r>
    </w:p>
    <w:p w14:paraId="7AD0DE55" w14:textId="77777777" w:rsidR="00E83A1C" w:rsidRPr="000864AE" w:rsidRDefault="00E83A1C" w:rsidP="000864AE">
      <w:pPr>
        <w:pStyle w:val="Estilo1"/>
        <w:tabs>
          <w:tab w:val="left" w:pos="709"/>
        </w:tabs>
        <w:spacing w:after="0"/>
        <w:ind w:right="-4"/>
        <w:rPr>
          <w:rFonts w:eastAsia="Times" w:cs="Arial"/>
          <w:i/>
          <w:sz w:val="20"/>
          <w:szCs w:val="20"/>
          <w:lang w:val="es-MX" w:eastAsia="es-CR"/>
        </w:rPr>
      </w:pPr>
    </w:p>
    <w:p w14:paraId="39EE54B2" w14:textId="396C287E" w:rsidR="00E83A1C" w:rsidRPr="000864AE" w:rsidRDefault="00E83A1C" w:rsidP="000864AE">
      <w:pPr>
        <w:pStyle w:val="Ttulo4"/>
        <w:numPr>
          <w:ilvl w:val="0"/>
          <w:numId w:val="0"/>
        </w:numPr>
        <w:ind w:left="1068"/>
        <w:rPr>
          <w:strike/>
        </w:rPr>
      </w:pPr>
      <w:bookmarkStart w:id="80" w:name="_Toc27329783"/>
      <w:r w:rsidRPr="000864AE">
        <w:rPr>
          <w:lang w:val="es-PE"/>
        </w:rPr>
        <w:t>C.2.2. El contenido del derecho a la seguridad social</w:t>
      </w:r>
      <w:bookmarkEnd w:id="80"/>
      <w:r w:rsidRPr="000864AE">
        <w:rPr>
          <w:lang w:val="es-PE"/>
        </w:rPr>
        <w:t xml:space="preserve"> </w:t>
      </w:r>
    </w:p>
    <w:p w14:paraId="07340736" w14:textId="77777777" w:rsidR="00E83A1C" w:rsidRPr="000864AE" w:rsidRDefault="00E83A1C" w:rsidP="000864AE">
      <w:pPr>
        <w:pStyle w:val="Estilo1"/>
        <w:tabs>
          <w:tab w:val="left" w:pos="709"/>
        </w:tabs>
        <w:spacing w:after="0"/>
        <w:ind w:right="-4"/>
        <w:rPr>
          <w:rFonts w:eastAsia="Times" w:cs="Arial"/>
          <w:i/>
          <w:strike/>
          <w:sz w:val="20"/>
          <w:szCs w:val="20"/>
          <w:lang w:val="es-CR" w:eastAsia="es-CR"/>
        </w:rPr>
      </w:pPr>
    </w:p>
    <w:p w14:paraId="72054E39" w14:textId="77777777" w:rsidR="00E83A1C" w:rsidRPr="000864AE" w:rsidRDefault="00E83A1C" w:rsidP="000864AE">
      <w:pPr>
        <w:numPr>
          <w:ilvl w:val="0"/>
          <w:numId w:val="10"/>
        </w:numPr>
        <w:tabs>
          <w:tab w:val="left" w:pos="567"/>
          <w:tab w:val="num" w:pos="1569"/>
          <w:tab w:val="num" w:pos="12305"/>
        </w:tabs>
        <w:spacing w:after="0" w:line="240" w:lineRule="auto"/>
        <w:ind w:left="0" w:firstLine="0"/>
        <w:jc w:val="both"/>
        <w:rPr>
          <w:rFonts w:ascii="Verdana" w:eastAsia="Times" w:hAnsi="Verdana" w:cs="Arial"/>
          <w:sz w:val="20"/>
          <w:szCs w:val="20"/>
        </w:rPr>
      </w:pPr>
      <w:r w:rsidRPr="000864AE">
        <w:rPr>
          <w:rFonts w:ascii="Verdana" w:hAnsi="Verdana"/>
          <w:sz w:val="20"/>
          <w:szCs w:val="20"/>
        </w:rPr>
        <w:t xml:space="preserve">De conformidad con lo señalado anteriormente, el artículo 45.b) de la Carta de la OEA señala expresamente que </w:t>
      </w:r>
      <w:r w:rsidRPr="000864AE">
        <w:rPr>
          <w:rFonts w:ascii="Verdana" w:hAnsi="Verdana" w:cs="Tahoma"/>
          <w:color w:val="000000"/>
          <w:sz w:val="20"/>
          <w:szCs w:val="20"/>
          <w:lang w:val="es-ES"/>
        </w:rPr>
        <w:t xml:space="preserve">el trabajo deberá ser ejercido en condiciones que aseguren la vida, la salud y un nivel económico decoroso para el trabajador y su familia, tanto en sus años de trabajo como en su vejez, o cuando cualquier circunstancia lo prive de la posibilidad de trabajar. </w:t>
      </w:r>
    </w:p>
    <w:p w14:paraId="5096D5F8" w14:textId="77777777" w:rsidR="00E83A1C" w:rsidRPr="000864AE" w:rsidRDefault="00E83A1C" w:rsidP="000864AE">
      <w:pPr>
        <w:tabs>
          <w:tab w:val="left" w:pos="567"/>
        </w:tabs>
        <w:spacing w:after="0" w:line="240" w:lineRule="auto"/>
        <w:jc w:val="both"/>
        <w:rPr>
          <w:rFonts w:ascii="Verdana" w:eastAsia="Times" w:hAnsi="Verdana" w:cs="Arial"/>
          <w:sz w:val="20"/>
          <w:szCs w:val="20"/>
        </w:rPr>
      </w:pPr>
    </w:p>
    <w:p w14:paraId="459B6F46" w14:textId="77777777" w:rsidR="00E83A1C" w:rsidRPr="000864AE" w:rsidRDefault="00E83A1C" w:rsidP="000864AE">
      <w:pPr>
        <w:numPr>
          <w:ilvl w:val="0"/>
          <w:numId w:val="10"/>
        </w:numPr>
        <w:tabs>
          <w:tab w:val="left" w:pos="567"/>
          <w:tab w:val="num" w:pos="1569"/>
          <w:tab w:val="num" w:pos="12305"/>
        </w:tabs>
        <w:spacing w:after="0" w:line="240" w:lineRule="auto"/>
        <w:ind w:left="0" w:firstLine="0"/>
        <w:jc w:val="both"/>
        <w:rPr>
          <w:rFonts w:ascii="Verdana" w:eastAsia="Times" w:hAnsi="Verdana" w:cs="Arial"/>
          <w:sz w:val="20"/>
          <w:szCs w:val="20"/>
        </w:rPr>
      </w:pPr>
      <w:r w:rsidRPr="000864AE">
        <w:rPr>
          <w:rFonts w:ascii="Verdana" w:hAnsi="Verdana"/>
          <w:sz w:val="20"/>
          <w:szCs w:val="20"/>
        </w:rPr>
        <w:t>Asimismo, el artículo XVI de la Declaración Americana permite identificar el derecho a la seguridad social al referir que toda persona tiene derecho “a la seguridad social que le proteja contra las consecuencias de la desocupación, de la vejez y de la incapacidad que, proveniente de cualquier otra causa ajena a su voluntad, la imposibilite física o mentalmente para obtener los medios de subsistencia”</w:t>
      </w:r>
      <w:r w:rsidRPr="000864AE">
        <w:rPr>
          <w:rStyle w:val="Refdenotaalpie"/>
          <w:rFonts w:ascii="Verdana" w:hAnsi="Verdana"/>
          <w:sz w:val="20"/>
          <w:szCs w:val="20"/>
        </w:rPr>
        <w:footnoteReference w:id="244"/>
      </w:r>
      <w:r w:rsidRPr="000864AE">
        <w:rPr>
          <w:rFonts w:ascii="Verdana" w:hAnsi="Verdana"/>
          <w:sz w:val="20"/>
          <w:szCs w:val="20"/>
        </w:rPr>
        <w:t>.</w:t>
      </w:r>
    </w:p>
    <w:p w14:paraId="7708A4A5" w14:textId="77777777" w:rsidR="00E83A1C" w:rsidRPr="000864AE" w:rsidRDefault="00E83A1C" w:rsidP="000864AE">
      <w:pPr>
        <w:pStyle w:val="Prrafodelista"/>
        <w:spacing w:after="0" w:line="240" w:lineRule="auto"/>
        <w:ind w:left="0"/>
        <w:jc w:val="both"/>
        <w:rPr>
          <w:rFonts w:ascii="Verdana" w:hAnsi="Verdana"/>
          <w:sz w:val="20"/>
          <w:szCs w:val="20"/>
        </w:rPr>
      </w:pPr>
    </w:p>
    <w:p w14:paraId="21A15471" w14:textId="69DA1723" w:rsidR="00E83A1C" w:rsidRPr="000864AE" w:rsidRDefault="00E83A1C" w:rsidP="000864AE">
      <w:pPr>
        <w:numPr>
          <w:ilvl w:val="0"/>
          <w:numId w:val="10"/>
        </w:numPr>
        <w:tabs>
          <w:tab w:val="left" w:pos="567"/>
          <w:tab w:val="num" w:pos="1569"/>
          <w:tab w:val="num" w:pos="12305"/>
        </w:tabs>
        <w:spacing w:after="0" w:line="240" w:lineRule="auto"/>
        <w:ind w:left="0" w:firstLine="0"/>
        <w:jc w:val="both"/>
        <w:rPr>
          <w:rFonts w:ascii="Verdana" w:eastAsia="Times" w:hAnsi="Verdana" w:cs="Arial"/>
          <w:sz w:val="20"/>
          <w:szCs w:val="20"/>
        </w:rPr>
      </w:pPr>
      <w:r w:rsidRPr="000864AE">
        <w:rPr>
          <w:rFonts w:ascii="Verdana" w:hAnsi="Verdana"/>
          <w:sz w:val="20"/>
          <w:szCs w:val="20"/>
        </w:rPr>
        <w:t xml:space="preserve">De igual manera, el artículo 9 del </w:t>
      </w:r>
      <w:r w:rsidR="00D647B1" w:rsidRPr="000864AE">
        <w:rPr>
          <w:rFonts w:ascii="Verdana" w:hAnsi="Verdana"/>
          <w:sz w:val="20"/>
          <w:szCs w:val="20"/>
        </w:rPr>
        <w:t xml:space="preserve">Protocolo de San Salvador </w:t>
      </w:r>
      <w:r w:rsidRPr="000864AE">
        <w:rPr>
          <w:rFonts w:ascii="Verdana" w:hAnsi="Verdana"/>
          <w:sz w:val="20"/>
          <w:szCs w:val="20"/>
        </w:rPr>
        <w:t xml:space="preserve">establece que </w:t>
      </w:r>
      <w:r w:rsidRPr="000864AE">
        <w:rPr>
          <w:rFonts w:ascii="Verdana" w:hAnsi="Verdana"/>
          <w:sz w:val="20"/>
          <w:szCs w:val="20"/>
          <w:lang w:val="es-PE"/>
        </w:rPr>
        <w:t>“</w:t>
      </w:r>
      <w:r w:rsidRPr="000864AE">
        <w:rPr>
          <w:rFonts w:ascii="Verdana" w:hAnsi="Verdana"/>
          <w:sz w:val="20"/>
          <w:szCs w:val="20"/>
          <w:lang w:val="es-ES"/>
        </w:rPr>
        <w:t>1) [t]oda persona tiene derecho a la seguridad social que la proteja contra las consecuencias de la vejez y de la incapacidad que la imposibilite física o mentalmente para obtener los medios para llevar una vida digna y decorosa. En caso de muerte del beneficiario, las prestaciones de seguridad social serán aplicadas a sus dependientes. 2) [c]uando se trate de personas que se encuentran trabajando, el derecho a la seguridad social cubrirá al menos la atención médica y el subsidio o jubilación en casos de accidentes de trabajo o de enfermedad profesional y, cuando se trate de mujeres, licencia retribuida por maternidad antes y después del parto”</w:t>
      </w:r>
      <w:r w:rsidR="00DF0BAA" w:rsidRPr="000864AE">
        <w:rPr>
          <w:rStyle w:val="Refdenotaalpie"/>
          <w:rFonts w:ascii="Verdana" w:hAnsi="Verdana"/>
          <w:sz w:val="20"/>
          <w:szCs w:val="20"/>
        </w:rPr>
        <w:t xml:space="preserve"> </w:t>
      </w:r>
      <w:r w:rsidR="00DF0BAA" w:rsidRPr="000864AE">
        <w:rPr>
          <w:rStyle w:val="Refdenotaalpie"/>
          <w:rFonts w:ascii="Verdana" w:hAnsi="Verdana"/>
          <w:sz w:val="20"/>
          <w:szCs w:val="20"/>
        </w:rPr>
        <w:footnoteReference w:id="245"/>
      </w:r>
      <w:r w:rsidRPr="000864AE">
        <w:rPr>
          <w:rFonts w:ascii="Verdana" w:hAnsi="Verdana"/>
          <w:sz w:val="20"/>
          <w:szCs w:val="20"/>
          <w:lang w:val="es-ES"/>
        </w:rPr>
        <w:t>.</w:t>
      </w:r>
    </w:p>
    <w:p w14:paraId="45312853" w14:textId="77777777" w:rsidR="00E83A1C" w:rsidRPr="000864AE" w:rsidRDefault="00E83A1C" w:rsidP="000864AE">
      <w:pPr>
        <w:pStyle w:val="Prrafodelista"/>
        <w:spacing w:after="0" w:line="240" w:lineRule="auto"/>
        <w:ind w:left="0"/>
        <w:jc w:val="both"/>
        <w:rPr>
          <w:rFonts w:ascii="Verdana" w:eastAsia="Times" w:hAnsi="Verdana" w:cs="Arial"/>
          <w:sz w:val="20"/>
          <w:szCs w:val="20"/>
        </w:rPr>
      </w:pPr>
    </w:p>
    <w:p w14:paraId="09E4D79D" w14:textId="65A4F3BB" w:rsidR="00E83A1C" w:rsidRPr="000864AE" w:rsidRDefault="00E83A1C" w:rsidP="000864AE">
      <w:pPr>
        <w:numPr>
          <w:ilvl w:val="0"/>
          <w:numId w:val="10"/>
        </w:numPr>
        <w:tabs>
          <w:tab w:val="left" w:pos="567"/>
          <w:tab w:val="num" w:pos="1569"/>
          <w:tab w:val="num" w:pos="12305"/>
        </w:tabs>
        <w:spacing w:after="0" w:line="240" w:lineRule="auto"/>
        <w:ind w:left="0" w:firstLine="0"/>
        <w:jc w:val="both"/>
        <w:rPr>
          <w:rFonts w:ascii="Verdana" w:eastAsia="Times" w:hAnsi="Verdana" w:cs="Arial"/>
          <w:sz w:val="20"/>
          <w:szCs w:val="20"/>
        </w:rPr>
      </w:pPr>
      <w:r w:rsidRPr="000864AE">
        <w:rPr>
          <w:rFonts w:ascii="Verdana" w:eastAsia="Times" w:hAnsi="Verdana" w:cs="Arial"/>
          <w:sz w:val="20"/>
          <w:szCs w:val="20"/>
        </w:rPr>
        <w:t xml:space="preserve">En el ámbito universal, </w:t>
      </w:r>
      <w:r w:rsidRPr="000864AE">
        <w:rPr>
          <w:rFonts w:ascii="Verdana" w:hAnsi="Verdana"/>
          <w:sz w:val="20"/>
          <w:szCs w:val="20"/>
        </w:rPr>
        <w:t>el artículo 22 de la Declaración Universal de Derechos Humanos</w:t>
      </w:r>
      <w:r w:rsidRPr="000864AE">
        <w:rPr>
          <w:rStyle w:val="Refdenotaalpie"/>
          <w:rFonts w:ascii="Verdana" w:hAnsi="Verdana"/>
          <w:sz w:val="20"/>
          <w:szCs w:val="20"/>
        </w:rPr>
        <w:footnoteReference w:id="246"/>
      </w:r>
      <w:r w:rsidRPr="000864AE">
        <w:rPr>
          <w:rFonts w:ascii="Verdana" w:hAnsi="Verdana"/>
          <w:sz w:val="20"/>
          <w:szCs w:val="20"/>
        </w:rPr>
        <w:t xml:space="preserve"> establece que “[t]oda persona, como miembro de la sociedad, tiene derecho a la seguridad social, y a obtener, mediante el esfuerzo nacional y la Co</w:t>
      </w:r>
      <w:r w:rsidR="00421CB6" w:rsidRPr="000864AE">
        <w:rPr>
          <w:rFonts w:ascii="Verdana" w:hAnsi="Verdana"/>
          <w:sz w:val="20"/>
          <w:szCs w:val="20"/>
        </w:rPr>
        <w:t>o</w:t>
      </w:r>
      <w:r w:rsidRPr="000864AE">
        <w:rPr>
          <w:rFonts w:ascii="Verdana" w:hAnsi="Verdana"/>
          <w:sz w:val="20"/>
          <w:szCs w:val="20"/>
        </w:rPr>
        <w:t xml:space="preserve">peración internacional, habida cuenta de la organización y los recursos de cada Estado, la satisfacción de los derechos económicos, sociales y culturales, indispensables a su dignidad y al libre desarrollo de su personalidad”. De igual forma, el artículo 25 destaca que “toda persona tiene derecho </w:t>
      </w:r>
      <w:r w:rsidRPr="000864AE">
        <w:rPr>
          <w:rFonts w:ascii="Verdana" w:hAnsi="Verdana"/>
          <w:sz w:val="20"/>
          <w:szCs w:val="20"/>
          <w:shd w:val="clear" w:color="auto" w:fill="FFFFFF"/>
        </w:rPr>
        <w:t>a un nivel de vida adecuado […] y a los seguros en caso de desempleo, enfermedad, invalidez, viudez, vejez u otros casos de pérdida de sus medios de subsistencia por circunstancias independientes de su voluntad”.</w:t>
      </w:r>
      <w:r w:rsidRPr="000864AE">
        <w:rPr>
          <w:rFonts w:ascii="Verdana" w:eastAsia="Times" w:hAnsi="Verdana" w:cs="Arial"/>
          <w:sz w:val="20"/>
          <w:szCs w:val="20"/>
        </w:rPr>
        <w:t xml:space="preserve"> Por su parte, el artículo 9 del </w:t>
      </w:r>
      <w:r w:rsidRPr="000864AE">
        <w:rPr>
          <w:rFonts w:ascii="Verdana" w:hAnsi="Verdana"/>
          <w:sz w:val="20"/>
          <w:szCs w:val="20"/>
        </w:rPr>
        <w:t>Pacto Internacional de Derechos Económicos, Sociales y Culturales (PIDESC) también reconoce “</w:t>
      </w:r>
      <w:r w:rsidRPr="000864AE">
        <w:rPr>
          <w:rFonts w:ascii="Verdana" w:hAnsi="Verdana"/>
          <w:bCs/>
          <w:sz w:val="20"/>
          <w:szCs w:val="20"/>
        </w:rPr>
        <w:t>el derecho de toda persona a la seguridad social, incluso al seguro social”</w:t>
      </w:r>
      <w:r w:rsidR="00462864" w:rsidRPr="000864AE">
        <w:rPr>
          <w:rStyle w:val="Refdenotaalpie"/>
          <w:rFonts w:ascii="Verdana" w:hAnsi="Verdana"/>
          <w:sz w:val="20"/>
          <w:szCs w:val="20"/>
        </w:rPr>
        <w:footnoteReference w:id="247"/>
      </w:r>
      <w:r w:rsidRPr="000864AE">
        <w:rPr>
          <w:rFonts w:ascii="Verdana" w:hAnsi="Verdana"/>
          <w:bCs/>
          <w:sz w:val="20"/>
          <w:szCs w:val="20"/>
        </w:rPr>
        <w:t>.</w:t>
      </w:r>
    </w:p>
    <w:p w14:paraId="2B30653F" w14:textId="77777777" w:rsidR="00E83A1C" w:rsidRPr="000864AE" w:rsidRDefault="00E83A1C" w:rsidP="000864AE">
      <w:pPr>
        <w:tabs>
          <w:tab w:val="left" w:pos="567"/>
        </w:tabs>
        <w:spacing w:after="0" w:line="240" w:lineRule="auto"/>
        <w:jc w:val="both"/>
        <w:rPr>
          <w:rFonts w:ascii="Verdana" w:eastAsia="Times" w:hAnsi="Verdana" w:cs="Arial"/>
          <w:sz w:val="20"/>
          <w:szCs w:val="20"/>
        </w:rPr>
      </w:pPr>
    </w:p>
    <w:p w14:paraId="7AA8F91A" w14:textId="638CFB9C" w:rsidR="00E83A1C" w:rsidRPr="000864AE" w:rsidRDefault="00E83A1C" w:rsidP="000864AE">
      <w:pPr>
        <w:numPr>
          <w:ilvl w:val="0"/>
          <w:numId w:val="10"/>
        </w:numPr>
        <w:tabs>
          <w:tab w:val="left" w:pos="567"/>
          <w:tab w:val="num" w:pos="1569"/>
          <w:tab w:val="num" w:pos="12305"/>
        </w:tabs>
        <w:spacing w:after="0" w:line="240" w:lineRule="auto"/>
        <w:ind w:left="0" w:firstLine="0"/>
        <w:jc w:val="both"/>
        <w:rPr>
          <w:rFonts w:ascii="Verdana" w:eastAsia="Times" w:hAnsi="Verdana" w:cs="Arial"/>
          <w:sz w:val="20"/>
          <w:szCs w:val="20"/>
        </w:rPr>
      </w:pPr>
      <w:r w:rsidRPr="000864AE">
        <w:rPr>
          <w:rFonts w:ascii="Verdana" w:eastAsia="Times" w:hAnsi="Verdana" w:cs="Arial"/>
          <w:sz w:val="20"/>
          <w:szCs w:val="20"/>
        </w:rPr>
        <w:t xml:space="preserve">Asimismo, el derecho a la seguridad social está reconocido a nivel constitucional en el Perú, en </w:t>
      </w:r>
      <w:r w:rsidR="00462864" w:rsidRPr="000864AE">
        <w:rPr>
          <w:rFonts w:ascii="Verdana" w:eastAsia="Times" w:hAnsi="Verdana" w:cs="Arial"/>
          <w:sz w:val="20"/>
          <w:szCs w:val="20"/>
        </w:rPr>
        <w:t>los</w:t>
      </w:r>
      <w:r w:rsidRPr="000864AE">
        <w:rPr>
          <w:rFonts w:ascii="Verdana" w:eastAsia="Times" w:hAnsi="Verdana" w:cs="Arial"/>
          <w:sz w:val="20"/>
          <w:szCs w:val="20"/>
        </w:rPr>
        <w:t xml:space="preserve"> artículos 10 y 11 de la Constitución Política de 1993</w:t>
      </w:r>
      <w:r w:rsidRPr="000864AE">
        <w:rPr>
          <w:rStyle w:val="Refdenotaalpie"/>
          <w:rFonts w:ascii="Verdana" w:eastAsia="Times" w:hAnsi="Verdana"/>
          <w:sz w:val="20"/>
          <w:szCs w:val="20"/>
        </w:rPr>
        <w:footnoteReference w:id="248"/>
      </w:r>
      <w:r w:rsidRPr="000864AE">
        <w:rPr>
          <w:rFonts w:ascii="Verdana" w:eastAsia="Times" w:hAnsi="Verdana" w:cs="Arial"/>
          <w:sz w:val="20"/>
          <w:szCs w:val="20"/>
        </w:rPr>
        <w:t>.</w:t>
      </w:r>
    </w:p>
    <w:p w14:paraId="3F6944C5" w14:textId="77777777" w:rsidR="00E83A1C" w:rsidRPr="000864AE" w:rsidRDefault="00E83A1C" w:rsidP="000864AE">
      <w:pPr>
        <w:tabs>
          <w:tab w:val="left" w:pos="567"/>
        </w:tabs>
        <w:spacing w:after="0" w:line="240" w:lineRule="auto"/>
        <w:jc w:val="both"/>
        <w:rPr>
          <w:rFonts w:ascii="Verdana" w:eastAsia="Times" w:hAnsi="Verdana" w:cs="Arial"/>
          <w:sz w:val="20"/>
          <w:szCs w:val="20"/>
        </w:rPr>
      </w:pPr>
    </w:p>
    <w:p w14:paraId="448009D1" w14:textId="043B8D9A" w:rsidR="00E83A1C" w:rsidRPr="000864AE" w:rsidRDefault="00E83A1C" w:rsidP="000864AE">
      <w:pPr>
        <w:numPr>
          <w:ilvl w:val="0"/>
          <w:numId w:val="10"/>
        </w:numPr>
        <w:tabs>
          <w:tab w:val="left" w:pos="567"/>
          <w:tab w:val="num" w:pos="1569"/>
          <w:tab w:val="num" w:pos="12305"/>
        </w:tabs>
        <w:spacing w:after="0" w:line="240" w:lineRule="auto"/>
        <w:ind w:left="0" w:firstLine="0"/>
        <w:jc w:val="both"/>
        <w:rPr>
          <w:rFonts w:ascii="Verdana" w:eastAsia="Times" w:hAnsi="Verdana" w:cs="Arial"/>
          <w:sz w:val="20"/>
          <w:szCs w:val="20"/>
        </w:rPr>
      </w:pPr>
      <w:r w:rsidRPr="000864AE">
        <w:rPr>
          <w:rFonts w:ascii="Verdana" w:eastAsia="Times" w:hAnsi="Verdana" w:cs="Arial"/>
          <w:sz w:val="20"/>
          <w:szCs w:val="20"/>
        </w:rPr>
        <w:t>En relación con lo anterior, el Tribunal reitera que, del artículo 45 de la Carta de la OEA, interpretado a la luz de la Declaración Americana y de los demás instrumentos mencionados, se puede</w:t>
      </w:r>
      <w:r w:rsidR="00462864" w:rsidRPr="000864AE">
        <w:rPr>
          <w:rFonts w:ascii="Verdana" w:eastAsia="Times" w:hAnsi="Verdana" w:cs="Arial"/>
          <w:sz w:val="20"/>
          <w:szCs w:val="20"/>
        </w:rPr>
        <w:t>n</w:t>
      </w:r>
      <w:r w:rsidRPr="000864AE">
        <w:rPr>
          <w:rFonts w:ascii="Verdana" w:eastAsia="Times" w:hAnsi="Verdana" w:cs="Arial"/>
          <w:sz w:val="20"/>
          <w:szCs w:val="20"/>
        </w:rPr>
        <w:t xml:space="preserve"> derivar elementos constitutivos del derecho a la seguridad social, como por ejemplo, que es un derecho que busca proteger al individuo de contingencias futuras, que de producirse ocasionarían consecuencias perjudiciales para la persona, por lo que deben adoptarse medidas para protegerla</w:t>
      </w:r>
      <w:r w:rsidRPr="000864AE">
        <w:rPr>
          <w:rStyle w:val="Refdenotaalpie"/>
          <w:rFonts w:ascii="Verdana" w:eastAsia="Times" w:hAnsi="Verdana"/>
          <w:sz w:val="20"/>
          <w:szCs w:val="20"/>
        </w:rPr>
        <w:footnoteReference w:id="249"/>
      </w:r>
      <w:r w:rsidRPr="000864AE">
        <w:rPr>
          <w:rFonts w:ascii="Verdana" w:eastAsia="Times" w:hAnsi="Verdana" w:cs="Arial"/>
          <w:sz w:val="20"/>
          <w:szCs w:val="20"/>
        </w:rPr>
        <w:t>. En el caso que nos ocupa, el derecho a la seguridad social buscar proteger al individuo de situaci</w:t>
      </w:r>
      <w:r w:rsidR="00462864" w:rsidRPr="000864AE">
        <w:rPr>
          <w:rFonts w:ascii="Verdana" w:eastAsia="Times" w:hAnsi="Verdana" w:cs="Arial"/>
          <w:sz w:val="20"/>
          <w:szCs w:val="20"/>
        </w:rPr>
        <w:t>ones que se presentarán cuando e</w:t>
      </w:r>
      <w:r w:rsidRPr="000864AE">
        <w:rPr>
          <w:rFonts w:ascii="Verdana" w:eastAsia="Times" w:hAnsi="Verdana" w:cs="Arial"/>
          <w:sz w:val="20"/>
          <w:szCs w:val="20"/>
        </w:rPr>
        <w:t xml:space="preserve">ste llegue a una edad determinada en la cual </w:t>
      </w:r>
      <w:r w:rsidRPr="000864AE">
        <w:rPr>
          <w:rFonts w:ascii="Verdana" w:hAnsi="Verdana"/>
          <w:sz w:val="20"/>
          <w:szCs w:val="20"/>
        </w:rPr>
        <w:t>se vea imposibilitado física o mentalmente para obtener los medios de subsistencia</w:t>
      </w:r>
      <w:r w:rsidRPr="000864AE">
        <w:rPr>
          <w:rFonts w:ascii="Verdana" w:eastAsia="Times" w:hAnsi="Verdana" w:cs="Arial"/>
          <w:sz w:val="20"/>
          <w:szCs w:val="20"/>
        </w:rPr>
        <w:t xml:space="preserve"> necesarios </w:t>
      </w:r>
      <w:r w:rsidRPr="000864AE">
        <w:rPr>
          <w:rFonts w:ascii="Verdana" w:hAnsi="Verdana"/>
          <w:snapToGrid w:val="0"/>
          <w:sz w:val="20"/>
          <w:szCs w:val="20"/>
        </w:rPr>
        <w:t xml:space="preserve">para vivir un nivel de vida adecuado, lo que a su vez </w:t>
      </w:r>
      <w:r w:rsidRPr="000864AE">
        <w:rPr>
          <w:rFonts w:ascii="Verdana" w:eastAsia="Times" w:hAnsi="Verdana" w:cs="Arial"/>
          <w:sz w:val="20"/>
          <w:szCs w:val="20"/>
        </w:rPr>
        <w:t xml:space="preserve">podría privarlo de su capacidad de ejercer plenamente el resto de sus derechos. </w:t>
      </w:r>
      <w:r w:rsidRPr="000864AE">
        <w:rPr>
          <w:rFonts w:ascii="Verdana" w:hAnsi="Verdana"/>
          <w:snapToGrid w:val="0"/>
          <w:sz w:val="20"/>
          <w:szCs w:val="20"/>
        </w:rPr>
        <w:t xml:space="preserve">Esto último también da cuenta de uno de los elementos constitutivos del derecho, ya que la seguridad social deberá ser ejercida de modo tal que garantice </w:t>
      </w:r>
      <w:r w:rsidRPr="000864AE">
        <w:rPr>
          <w:rFonts w:ascii="Verdana" w:hAnsi="Verdana" w:cs="Tahoma"/>
          <w:color w:val="000000"/>
          <w:sz w:val="20"/>
          <w:szCs w:val="20"/>
          <w:lang w:val="es-ES"/>
        </w:rPr>
        <w:t>condiciones que aseguren la vida, la salud y un nivel económico decoroso</w:t>
      </w:r>
      <w:r w:rsidRPr="000864AE">
        <w:rPr>
          <w:rStyle w:val="Refdenotaalpie"/>
          <w:rFonts w:ascii="Verdana" w:eastAsia="Times" w:hAnsi="Verdana"/>
          <w:sz w:val="20"/>
          <w:szCs w:val="20"/>
        </w:rPr>
        <w:footnoteReference w:id="250"/>
      </w:r>
      <w:r w:rsidRPr="000864AE">
        <w:rPr>
          <w:rFonts w:ascii="Verdana" w:hAnsi="Verdana" w:cs="Tahoma"/>
          <w:color w:val="000000"/>
          <w:sz w:val="20"/>
          <w:szCs w:val="20"/>
          <w:lang w:val="es-ES"/>
        </w:rPr>
        <w:t>.</w:t>
      </w:r>
    </w:p>
    <w:p w14:paraId="7F055F01" w14:textId="77777777" w:rsidR="00E83A1C" w:rsidRPr="000864AE" w:rsidRDefault="00E83A1C" w:rsidP="000864AE">
      <w:pPr>
        <w:tabs>
          <w:tab w:val="left" w:pos="567"/>
          <w:tab w:val="num" w:pos="12305"/>
        </w:tabs>
        <w:spacing w:after="0" w:line="240" w:lineRule="auto"/>
        <w:jc w:val="both"/>
        <w:rPr>
          <w:rFonts w:ascii="Verdana" w:eastAsia="Times" w:hAnsi="Verdana" w:cs="Arial"/>
          <w:sz w:val="20"/>
          <w:szCs w:val="20"/>
        </w:rPr>
      </w:pPr>
    </w:p>
    <w:p w14:paraId="0C1A9F87" w14:textId="6FA85C86" w:rsidR="00E83A1C" w:rsidRPr="000864AE" w:rsidRDefault="00462864" w:rsidP="000864AE">
      <w:pPr>
        <w:numPr>
          <w:ilvl w:val="0"/>
          <w:numId w:val="10"/>
        </w:numPr>
        <w:tabs>
          <w:tab w:val="left" w:pos="567"/>
          <w:tab w:val="num" w:pos="1569"/>
          <w:tab w:val="num" w:pos="12305"/>
        </w:tabs>
        <w:spacing w:after="0" w:line="240" w:lineRule="auto"/>
        <w:ind w:left="0" w:firstLine="0"/>
        <w:jc w:val="both"/>
        <w:rPr>
          <w:rFonts w:ascii="Verdana" w:eastAsia="Times" w:hAnsi="Verdana" w:cs="Arial"/>
          <w:sz w:val="20"/>
          <w:szCs w:val="20"/>
        </w:rPr>
      </w:pPr>
      <w:r w:rsidRPr="000864AE">
        <w:rPr>
          <w:rFonts w:ascii="Verdana" w:eastAsia="Times" w:hAnsi="Verdana" w:cs="Arial"/>
          <w:sz w:val="20"/>
          <w:szCs w:val="20"/>
        </w:rPr>
        <w:t>Si bien</w:t>
      </w:r>
      <w:r w:rsidR="00E83A1C" w:rsidRPr="000864AE">
        <w:rPr>
          <w:rFonts w:ascii="Verdana" w:eastAsia="Times" w:hAnsi="Verdana" w:cs="Arial"/>
          <w:sz w:val="20"/>
          <w:szCs w:val="20"/>
        </w:rPr>
        <w:t xml:space="preserve"> el derecho a la seguridad social está reconocido ampliamente en el </w:t>
      </w:r>
      <w:r w:rsidR="00E83A1C" w:rsidRPr="000864AE">
        <w:rPr>
          <w:rFonts w:ascii="Verdana" w:eastAsia="Times" w:hAnsi="Verdana" w:cs="Arial"/>
          <w:i/>
          <w:sz w:val="20"/>
          <w:szCs w:val="20"/>
        </w:rPr>
        <w:t>corpus iuris</w:t>
      </w:r>
      <w:r w:rsidR="00E83A1C" w:rsidRPr="000864AE">
        <w:rPr>
          <w:rFonts w:ascii="Verdana" w:eastAsia="Times" w:hAnsi="Verdana" w:cs="Arial"/>
          <w:sz w:val="20"/>
          <w:szCs w:val="20"/>
        </w:rPr>
        <w:t xml:space="preserve"> internacional</w:t>
      </w:r>
      <w:r w:rsidR="00E83A1C" w:rsidRPr="000864AE">
        <w:rPr>
          <w:rStyle w:val="Refdenotaalpie"/>
          <w:rFonts w:ascii="Verdana" w:eastAsia="Times" w:hAnsi="Verdana"/>
          <w:sz w:val="20"/>
          <w:szCs w:val="20"/>
        </w:rPr>
        <w:footnoteReference w:id="251"/>
      </w:r>
      <w:r w:rsidR="00E83A1C" w:rsidRPr="000864AE">
        <w:rPr>
          <w:rFonts w:ascii="Verdana" w:eastAsia="Times" w:hAnsi="Verdana" w:cs="Arial"/>
          <w:sz w:val="20"/>
          <w:szCs w:val="20"/>
        </w:rPr>
        <w:t xml:space="preserve">, tanto la Organización Internacional </w:t>
      </w:r>
      <w:r w:rsidRPr="000864AE">
        <w:rPr>
          <w:rFonts w:ascii="Verdana" w:eastAsia="Times" w:hAnsi="Verdana" w:cs="Arial"/>
          <w:sz w:val="20"/>
          <w:szCs w:val="20"/>
        </w:rPr>
        <w:t>del Trabajo (en adelante “OIT”)</w:t>
      </w:r>
      <w:r w:rsidR="00E83A1C" w:rsidRPr="000864AE">
        <w:rPr>
          <w:rFonts w:ascii="Verdana" w:eastAsia="Times" w:hAnsi="Verdana" w:cs="Arial"/>
          <w:sz w:val="20"/>
          <w:szCs w:val="20"/>
        </w:rPr>
        <w:t xml:space="preserve"> como el Comité de Derechos </w:t>
      </w:r>
      <w:r w:rsidR="00E83A1C" w:rsidRPr="000864AE">
        <w:rPr>
          <w:rFonts w:ascii="Verdana" w:hAnsi="Verdana"/>
          <w:sz w:val="20"/>
          <w:szCs w:val="20"/>
        </w:rPr>
        <w:t>Económicos, Sociales y Culturales de las Naciones Unidas (en adelante “Comité DESC”) siguiendo los principales instrumentos adoptados por el primero</w:t>
      </w:r>
      <w:r w:rsidR="00E83A1C" w:rsidRPr="000864AE">
        <w:rPr>
          <w:rStyle w:val="Refdenotaalpie"/>
          <w:rFonts w:ascii="Verdana" w:hAnsi="Verdana"/>
          <w:sz w:val="20"/>
          <w:szCs w:val="20"/>
        </w:rPr>
        <w:footnoteReference w:id="252"/>
      </w:r>
      <w:r w:rsidR="00E83A1C" w:rsidRPr="000864AE">
        <w:rPr>
          <w:rFonts w:ascii="Verdana" w:hAnsi="Verdana"/>
          <w:sz w:val="20"/>
          <w:szCs w:val="20"/>
        </w:rPr>
        <w:t>, han desarrollado el contenido del derecho a la seguridad social con mayor claridad, lo cual le ha permitido a la Corte interpretar el contenido del derecho y las obligaciones del Estado peruano de conformidad con los hechos de casos similares</w:t>
      </w:r>
      <w:r w:rsidR="00E83A1C" w:rsidRPr="000864AE">
        <w:rPr>
          <w:rStyle w:val="Refdenotaalpie"/>
          <w:rFonts w:ascii="Verdana" w:hAnsi="Verdana"/>
          <w:sz w:val="20"/>
          <w:szCs w:val="20"/>
        </w:rPr>
        <w:footnoteReference w:id="253"/>
      </w:r>
      <w:r w:rsidR="00E83A1C" w:rsidRPr="000864AE">
        <w:rPr>
          <w:rFonts w:ascii="Verdana" w:hAnsi="Verdana"/>
          <w:sz w:val="20"/>
          <w:szCs w:val="20"/>
        </w:rPr>
        <w:t>.</w:t>
      </w:r>
    </w:p>
    <w:p w14:paraId="7466C2C0" w14:textId="77777777" w:rsidR="00E83A1C" w:rsidRPr="000864AE" w:rsidRDefault="00E83A1C" w:rsidP="000864AE">
      <w:pPr>
        <w:pStyle w:val="Prrafodelista"/>
        <w:spacing w:after="0" w:line="240" w:lineRule="auto"/>
        <w:jc w:val="both"/>
        <w:rPr>
          <w:rFonts w:ascii="Verdana" w:eastAsia="Times" w:hAnsi="Verdana" w:cs="Arial"/>
          <w:sz w:val="20"/>
          <w:szCs w:val="20"/>
        </w:rPr>
      </w:pPr>
    </w:p>
    <w:p w14:paraId="254A2F3F" w14:textId="7CC5CF57" w:rsidR="00E83A1C" w:rsidRPr="000864AE" w:rsidRDefault="00E83A1C" w:rsidP="000864AE">
      <w:pPr>
        <w:numPr>
          <w:ilvl w:val="0"/>
          <w:numId w:val="10"/>
        </w:numPr>
        <w:tabs>
          <w:tab w:val="left" w:pos="567"/>
          <w:tab w:val="num" w:pos="1569"/>
          <w:tab w:val="num" w:pos="12305"/>
        </w:tabs>
        <w:spacing w:after="0" w:line="240" w:lineRule="auto"/>
        <w:ind w:left="0" w:firstLine="0"/>
        <w:jc w:val="both"/>
        <w:rPr>
          <w:rFonts w:ascii="Verdana" w:eastAsia="Times" w:hAnsi="Verdana" w:cs="Arial"/>
          <w:sz w:val="20"/>
          <w:szCs w:val="20"/>
        </w:rPr>
      </w:pPr>
      <w:r w:rsidRPr="000864AE">
        <w:rPr>
          <w:rFonts w:ascii="Verdana" w:eastAsia="Times" w:hAnsi="Verdana" w:cs="Arial"/>
          <w:sz w:val="20"/>
          <w:szCs w:val="20"/>
        </w:rPr>
        <w:t xml:space="preserve">De manera general, la OIT ha definido el derecho a la seguridad social como </w:t>
      </w:r>
      <w:r w:rsidRPr="000864AE">
        <w:rPr>
          <w:rFonts w:ascii="Verdana" w:hAnsi="Verdana" w:cs="JansonTextLTStd-Roman"/>
          <w:sz w:val="20"/>
          <w:szCs w:val="20"/>
        </w:rPr>
        <w:t>“</w:t>
      </w:r>
      <w:r w:rsidR="00462864" w:rsidRPr="000864AE">
        <w:rPr>
          <w:rFonts w:ascii="Verdana" w:hAnsi="Verdana" w:cs="JansonTextLTStd-Roman"/>
          <w:sz w:val="20"/>
          <w:szCs w:val="20"/>
        </w:rPr>
        <w:t xml:space="preserve">(…) </w:t>
      </w:r>
      <w:r w:rsidRPr="000864AE">
        <w:rPr>
          <w:rFonts w:ascii="Verdana" w:hAnsi="Verdana" w:cs="JansonTextLTStd-Roman"/>
          <w:sz w:val="20"/>
          <w:szCs w:val="20"/>
        </w:rPr>
        <w:t>la protección que una sociedad proporciona a los individuos y los hogares para asegurar el acceso a la asistencia médica y garantizar la seguridad del ingreso [al sistema de pensiones], en particular en caso de vejez, desempleo, enfermedad, invalidez, accidentes del trabajo, maternidad o pérdida del sostén de familia”</w:t>
      </w:r>
      <w:r w:rsidRPr="000864AE">
        <w:rPr>
          <w:rStyle w:val="Refdenotaalpie"/>
          <w:rFonts w:ascii="Verdana" w:hAnsi="Verdana" w:cs="JansonTextLTStd-Roman"/>
          <w:sz w:val="20"/>
          <w:szCs w:val="20"/>
        </w:rPr>
        <w:footnoteReference w:id="254"/>
      </w:r>
      <w:r w:rsidRPr="000864AE">
        <w:rPr>
          <w:rFonts w:ascii="Verdana" w:hAnsi="Verdana" w:cs="JansonTextLTStd-Roman"/>
          <w:sz w:val="20"/>
          <w:szCs w:val="20"/>
        </w:rPr>
        <w:t xml:space="preserve">. </w:t>
      </w:r>
      <w:r w:rsidRPr="000864AE">
        <w:rPr>
          <w:rFonts w:ascii="Verdana" w:eastAsia="Times" w:hAnsi="Verdana" w:cs="Arial"/>
          <w:sz w:val="20"/>
          <w:szCs w:val="20"/>
        </w:rPr>
        <w:t>En el caso concreto de la pensión por jubilación derivada de un sistema de contribuciones o cotizaciones, es un</w:t>
      </w:r>
      <w:r w:rsidRPr="000864AE">
        <w:rPr>
          <w:rFonts w:ascii="Verdana" w:hAnsi="Verdana"/>
          <w:color w:val="000000"/>
          <w:sz w:val="20"/>
          <w:szCs w:val="20"/>
          <w:shd w:val="clear" w:color="auto" w:fill="FFFFFF"/>
          <w:lang w:val="es-PE"/>
        </w:rPr>
        <w:t xml:space="preserve"> componente de la seguridad social que busca satisfacer la necesidad de subsistencia económica que persiste para quien dejó de trabajar, al cumplirse la contingencia con base en la supervivencia más allá de la edad prescrita. En estos casos, la pensión de vejez es una especie de salario diferido del trabajador, un derecho adquirido luego de una acumulación de cotizaciones y tiempo laboral cumplido</w:t>
      </w:r>
      <w:r w:rsidRPr="000864AE">
        <w:rPr>
          <w:rStyle w:val="Refdenotaalpie"/>
          <w:rFonts w:ascii="Verdana" w:hAnsi="Verdana"/>
          <w:color w:val="000000"/>
          <w:sz w:val="20"/>
          <w:szCs w:val="20"/>
          <w:shd w:val="clear" w:color="auto" w:fill="FFFFFF"/>
          <w:lang w:val="es-PE"/>
        </w:rPr>
        <w:footnoteReference w:id="255"/>
      </w:r>
      <w:r w:rsidRPr="000864AE">
        <w:rPr>
          <w:rFonts w:ascii="Verdana" w:hAnsi="Verdana"/>
          <w:color w:val="000000"/>
          <w:sz w:val="20"/>
          <w:szCs w:val="20"/>
          <w:shd w:val="clear" w:color="auto" w:fill="FFFFFF"/>
          <w:lang w:val="es-PE"/>
        </w:rPr>
        <w:t>.</w:t>
      </w:r>
    </w:p>
    <w:p w14:paraId="2A034227" w14:textId="77777777" w:rsidR="00E83A1C" w:rsidRPr="000864AE" w:rsidRDefault="00E83A1C" w:rsidP="000864AE">
      <w:pPr>
        <w:pStyle w:val="Prrafodelista"/>
        <w:spacing w:after="0" w:line="240" w:lineRule="auto"/>
        <w:jc w:val="both"/>
        <w:rPr>
          <w:rFonts w:ascii="Verdana" w:eastAsia="Times" w:hAnsi="Verdana" w:cs="Arial"/>
          <w:sz w:val="20"/>
          <w:szCs w:val="20"/>
        </w:rPr>
      </w:pPr>
    </w:p>
    <w:p w14:paraId="5A0DA9D5" w14:textId="69BBE2E1" w:rsidR="00E83A1C" w:rsidRPr="000864AE" w:rsidRDefault="00E83A1C" w:rsidP="000864AE">
      <w:pPr>
        <w:numPr>
          <w:ilvl w:val="0"/>
          <w:numId w:val="10"/>
        </w:numPr>
        <w:tabs>
          <w:tab w:val="left" w:pos="567"/>
          <w:tab w:val="num" w:pos="1569"/>
          <w:tab w:val="num" w:pos="12305"/>
        </w:tabs>
        <w:spacing w:after="0" w:line="240" w:lineRule="auto"/>
        <w:ind w:left="0" w:firstLine="0"/>
        <w:jc w:val="both"/>
        <w:rPr>
          <w:rFonts w:ascii="Verdana" w:eastAsia="Times" w:hAnsi="Verdana" w:cs="Arial"/>
          <w:sz w:val="20"/>
          <w:szCs w:val="20"/>
        </w:rPr>
      </w:pPr>
      <w:r w:rsidRPr="000864AE">
        <w:rPr>
          <w:rFonts w:ascii="Verdana" w:eastAsia="Times" w:hAnsi="Verdana" w:cs="Arial"/>
          <w:sz w:val="20"/>
          <w:szCs w:val="20"/>
        </w:rPr>
        <w:t xml:space="preserve">El Comité DESC ha establecido en su Observación General No. 19 sobre “el derecho a la seguridad social” que este derecho </w:t>
      </w:r>
      <w:r w:rsidRPr="000864AE">
        <w:rPr>
          <w:rFonts w:ascii="Verdana" w:hAnsi="Verdana"/>
          <w:snapToGrid w:val="0"/>
          <w:sz w:val="20"/>
          <w:szCs w:val="20"/>
        </w:rPr>
        <w:t xml:space="preserve">abarca el obtener y mantener prestaciones sociales, ya sea en efectivo o en especie, sin discriminación, con el </w:t>
      </w:r>
      <w:r w:rsidR="00462864" w:rsidRPr="000864AE">
        <w:rPr>
          <w:rFonts w:ascii="Verdana" w:hAnsi="Verdana"/>
          <w:snapToGrid w:val="0"/>
          <w:sz w:val="20"/>
          <w:szCs w:val="20"/>
        </w:rPr>
        <w:t>fin de obtener protección</w:t>
      </w:r>
      <w:r w:rsidRPr="000864AE">
        <w:rPr>
          <w:rFonts w:ascii="Verdana" w:hAnsi="Verdana"/>
          <w:snapToGrid w:val="0"/>
          <w:sz w:val="20"/>
          <w:szCs w:val="20"/>
        </w:rPr>
        <w:t xml:space="preserve"> en diversas circunstancias, en particular por la falta de ingresos procedentes del trabajo debido a la vejez</w:t>
      </w:r>
      <w:r w:rsidRPr="000864AE">
        <w:rPr>
          <w:rStyle w:val="Refdenotaalpie"/>
          <w:rFonts w:ascii="Verdana" w:hAnsi="Verdana"/>
          <w:snapToGrid w:val="0"/>
          <w:sz w:val="20"/>
          <w:szCs w:val="20"/>
        </w:rPr>
        <w:footnoteReference w:id="256"/>
      </w:r>
      <w:r w:rsidRPr="000864AE">
        <w:rPr>
          <w:rFonts w:ascii="Verdana" w:hAnsi="Verdana"/>
          <w:snapToGrid w:val="0"/>
          <w:sz w:val="20"/>
          <w:szCs w:val="20"/>
        </w:rPr>
        <w:t>. De igual forma, la Observación General No. 19 del Comité DESC ha establecido el contenido normativo del derecho a la seguridad social</w:t>
      </w:r>
      <w:r w:rsidRPr="000864AE">
        <w:rPr>
          <w:rStyle w:val="Refdenotaalpie"/>
          <w:rFonts w:ascii="Verdana" w:hAnsi="Verdana"/>
          <w:snapToGrid w:val="0"/>
          <w:sz w:val="20"/>
          <w:szCs w:val="20"/>
        </w:rPr>
        <w:footnoteReference w:id="257"/>
      </w:r>
      <w:r w:rsidRPr="000864AE">
        <w:rPr>
          <w:rFonts w:ascii="Verdana" w:hAnsi="Verdana"/>
          <w:snapToGrid w:val="0"/>
          <w:sz w:val="20"/>
          <w:szCs w:val="20"/>
        </w:rPr>
        <w:t xml:space="preserve"> y destacó </w:t>
      </w:r>
      <w:r w:rsidRPr="000864AE">
        <w:rPr>
          <w:rFonts w:ascii="Verdana" w:eastAsia="Times" w:hAnsi="Verdana" w:cs="Arial"/>
          <w:sz w:val="20"/>
          <w:szCs w:val="20"/>
        </w:rPr>
        <w:t xml:space="preserve">que </w:t>
      </w:r>
      <w:r w:rsidRPr="000864AE">
        <w:rPr>
          <w:rFonts w:ascii="Verdana" w:hAnsi="Verdana"/>
          <w:snapToGrid w:val="0"/>
          <w:sz w:val="20"/>
          <w:szCs w:val="20"/>
        </w:rPr>
        <w:t>incluye el derecho a no ser sometido a restricciones arbitrarias o poco razonables de la cobertura social existente, ya sea del sector público o del privado, así como del derecho a la igualdad en el disfrute de una protección suficiente contra los riesgos e imprevistos sociales. En cuanto a sus elementos fundamentales</w:t>
      </w:r>
      <w:r w:rsidR="00462864" w:rsidRPr="000864AE">
        <w:rPr>
          <w:rFonts w:ascii="Verdana" w:hAnsi="Verdana"/>
          <w:snapToGrid w:val="0"/>
          <w:sz w:val="20"/>
          <w:szCs w:val="20"/>
        </w:rPr>
        <w:t>,</w:t>
      </w:r>
      <w:r w:rsidRPr="000864AE">
        <w:rPr>
          <w:rFonts w:ascii="Verdana" w:hAnsi="Verdana"/>
          <w:snapToGrid w:val="0"/>
          <w:sz w:val="20"/>
          <w:szCs w:val="20"/>
        </w:rPr>
        <w:t xml:space="preserve"> destacó los siguientes:</w:t>
      </w:r>
    </w:p>
    <w:p w14:paraId="59393E26" w14:textId="77777777" w:rsidR="00E83A1C" w:rsidRPr="000864AE" w:rsidRDefault="00E83A1C" w:rsidP="000864AE">
      <w:pPr>
        <w:tabs>
          <w:tab w:val="left" w:pos="567"/>
          <w:tab w:val="num" w:pos="12305"/>
        </w:tabs>
        <w:spacing w:after="0" w:line="240" w:lineRule="auto"/>
        <w:jc w:val="both"/>
        <w:rPr>
          <w:rFonts w:ascii="Verdana" w:eastAsia="Times" w:hAnsi="Verdana" w:cs="Arial"/>
          <w:sz w:val="20"/>
          <w:szCs w:val="20"/>
        </w:rPr>
      </w:pPr>
    </w:p>
    <w:p w14:paraId="0412159E" w14:textId="77777777" w:rsidR="00E83A1C" w:rsidRPr="000864AE" w:rsidRDefault="00E83A1C" w:rsidP="000864AE">
      <w:pPr>
        <w:snapToGrid w:val="0"/>
        <w:spacing w:after="0" w:line="240" w:lineRule="auto"/>
        <w:ind w:left="360" w:right="540"/>
        <w:jc w:val="both"/>
        <w:rPr>
          <w:rFonts w:ascii="Verdana" w:hAnsi="Verdana"/>
          <w:snapToGrid w:val="0"/>
          <w:sz w:val="18"/>
          <w:szCs w:val="18"/>
        </w:rPr>
      </w:pPr>
      <w:r w:rsidRPr="000864AE">
        <w:rPr>
          <w:rFonts w:ascii="Verdana" w:hAnsi="Verdana"/>
          <w:i/>
          <w:snapToGrid w:val="0"/>
          <w:sz w:val="18"/>
          <w:szCs w:val="18"/>
        </w:rPr>
        <w:t>a) Disponibilidad:</w:t>
      </w:r>
      <w:r w:rsidRPr="000864AE">
        <w:rPr>
          <w:rFonts w:ascii="Verdana" w:hAnsi="Verdana"/>
          <w:snapToGrid w:val="0"/>
          <w:sz w:val="18"/>
          <w:szCs w:val="18"/>
        </w:rPr>
        <w:t xml:space="preserve"> El derecho a la seguridad social requiere, para ser ejercido, que se haya establecido y funcione un sistema, con independencia de que esté compuesto de uno o varios planes, que garantice las prestaciones correspondientes a los riesgos e imprevistos sociales de que se trate. Este sistema debe establecerse en el marco del derecho nacional, y las autoridades públicas deben asumir la responsabilidad de su administración o supervisión eficaz. Los planes también deben ser sostenibles, incluidos los planes de pensiones, a fin de asegurar que las generaciones presentes y futuras puedan ejercer este derecho.</w:t>
      </w:r>
    </w:p>
    <w:p w14:paraId="39AE5896" w14:textId="77777777" w:rsidR="00E83A1C" w:rsidRPr="000864AE" w:rsidRDefault="00E83A1C" w:rsidP="000864AE">
      <w:pPr>
        <w:snapToGrid w:val="0"/>
        <w:spacing w:after="0" w:line="240" w:lineRule="auto"/>
        <w:ind w:left="360" w:right="540"/>
        <w:jc w:val="both"/>
        <w:rPr>
          <w:rFonts w:ascii="Verdana" w:hAnsi="Verdana"/>
          <w:snapToGrid w:val="0"/>
          <w:sz w:val="18"/>
          <w:szCs w:val="18"/>
        </w:rPr>
      </w:pPr>
    </w:p>
    <w:p w14:paraId="44D411C2" w14:textId="77DCA3D9" w:rsidR="00E83A1C" w:rsidRPr="000864AE" w:rsidRDefault="00E83A1C" w:rsidP="000864AE">
      <w:pPr>
        <w:snapToGrid w:val="0"/>
        <w:spacing w:after="0" w:line="240" w:lineRule="auto"/>
        <w:ind w:left="360" w:right="540"/>
        <w:jc w:val="both"/>
        <w:rPr>
          <w:rFonts w:ascii="Verdana" w:hAnsi="Verdana"/>
          <w:snapToGrid w:val="0"/>
          <w:sz w:val="18"/>
          <w:szCs w:val="18"/>
        </w:rPr>
      </w:pPr>
      <w:r w:rsidRPr="000864AE">
        <w:rPr>
          <w:rFonts w:ascii="Verdana" w:hAnsi="Verdana"/>
          <w:i/>
          <w:snapToGrid w:val="0"/>
          <w:sz w:val="18"/>
          <w:szCs w:val="18"/>
        </w:rPr>
        <w:t>b) Riesgos e imprevistos sociales:</w:t>
      </w:r>
      <w:r w:rsidR="00462864" w:rsidRPr="000864AE">
        <w:rPr>
          <w:rFonts w:ascii="Verdana" w:hAnsi="Verdana"/>
          <w:snapToGrid w:val="0"/>
          <w:sz w:val="18"/>
          <w:szCs w:val="18"/>
        </w:rPr>
        <w:t xml:space="preserve"> debe abarcar nueve</w:t>
      </w:r>
      <w:r w:rsidRPr="000864AE">
        <w:rPr>
          <w:rFonts w:ascii="Verdana" w:hAnsi="Verdana"/>
          <w:snapToGrid w:val="0"/>
          <w:sz w:val="18"/>
          <w:szCs w:val="18"/>
        </w:rPr>
        <w:t xml:space="preserve"> ramas principales a saber: i) atención en salud; ii) enfermedad; iii) vejez; iv) desempleo; v) accidentes laborales; vi) prestaciones familiares; vii) maternidad; viii) discapacidad, y ix) sobrevivientes y huérfanos. En cuanto la atención en salud, los Estados Partes tienen la obligación de garantizar que se establezcan sistemas de salud que prevean un acceso adecuado de todas las personas a los servicios de salud</w:t>
      </w:r>
      <w:r w:rsidRPr="000864AE">
        <w:rPr>
          <w:rStyle w:val="Refdenotaalpie"/>
          <w:rFonts w:ascii="Verdana" w:hAnsi="Verdana"/>
          <w:snapToGrid w:val="0"/>
          <w:sz w:val="18"/>
          <w:szCs w:val="18"/>
        </w:rPr>
        <w:footnoteReference w:id="258"/>
      </w:r>
      <w:r w:rsidRPr="000864AE">
        <w:rPr>
          <w:rFonts w:ascii="Verdana" w:hAnsi="Verdana"/>
          <w:snapToGrid w:val="0"/>
          <w:sz w:val="18"/>
          <w:szCs w:val="18"/>
        </w:rPr>
        <w:t>, que deben ser asequibles. En cuanto a la vejez, los Estados Partes deben tomar medidas apropiadas para establecer planes de seguridad social que concedan prestaciones a las personas de edad, a partir de una edad determinada prescrita por la legislación nacional</w:t>
      </w:r>
      <w:r w:rsidRPr="000864AE">
        <w:rPr>
          <w:rStyle w:val="Refdenotaalpie"/>
          <w:rFonts w:ascii="Verdana" w:hAnsi="Verdana"/>
          <w:snapToGrid w:val="0"/>
          <w:sz w:val="18"/>
          <w:szCs w:val="18"/>
        </w:rPr>
        <w:footnoteReference w:id="259"/>
      </w:r>
      <w:r w:rsidRPr="000864AE">
        <w:rPr>
          <w:rFonts w:ascii="Verdana" w:hAnsi="Verdana"/>
          <w:snapToGrid w:val="0"/>
          <w:sz w:val="18"/>
          <w:szCs w:val="18"/>
        </w:rPr>
        <w:t>.</w:t>
      </w:r>
    </w:p>
    <w:p w14:paraId="50C3B72F" w14:textId="77777777" w:rsidR="00E83A1C" w:rsidRPr="000864AE" w:rsidRDefault="00E83A1C" w:rsidP="000864AE">
      <w:pPr>
        <w:snapToGrid w:val="0"/>
        <w:spacing w:after="0" w:line="240" w:lineRule="auto"/>
        <w:ind w:left="360" w:right="540"/>
        <w:jc w:val="both"/>
        <w:rPr>
          <w:rFonts w:ascii="Verdana" w:hAnsi="Verdana"/>
          <w:snapToGrid w:val="0"/>
          <w:sz w:val="18"/>
          <w:szCs w:val="18"/>
        </w:rPr>
      </w:pPr>
    </w:p>
    <w:p w14:paraId="16BA24A2" w14:textId="1DC9D07B" w:rsidR="00E83A1C" w:rsidRPr="000864AE" w:rsidRDefault="00E83A1C" w:rsidP="000864AE">
      <w:pPr>
        <w:snapToGrid w:val="0"/>
        <w:spacing w:after="0" w:line="240" w:lineRule="auto"/>
        <w:ind w:left="360" w:right="540"/>
        <w:jc w:val="both"/>
        <w:rPr>
          <w:rFonts w:ascii="Verdana" w:hAnsi="Verdana"/>
          <w:snapToGrid w:val="0"/>
          <w:sz w:val="18"/>
          <w:szCs w:val="18"/>
        </w:rPr>
      </w:pPr>
      <w:r w:rsidRPr="000864AE">
        <w:rPr>
          <w:rFonts w:ascii="Verdana" w:hAnsi="Verdana"/>
          <w:i/>
          <w:snapToGrid w:val="0"/>
          <w:sz w:val="18"/>
          <w:szCs w:val="18"/>
        </w:rPr>
        <w:t>c) Nivel suficiente:</w:t>
      </w:r>
      <w:r w:rsidRPr="000864AE">
        <w:rPr>
          <w:rFonts w:ascii="Verdana" w:hAnsi="Verdana"/>
          <w:snapToGrid w:val="0"/>
          <w:sz w:val="18"/>
          <w:szCs w:val="18"/>
        </w:rPr>
        <w:t xml:space="preserve"> las prestaciones, ya sea en efectivo o en especie, deben ser suficientes en importe y duración a fin de que todos puedan gozar de sus derechos a la protección y asistencia familiar, de unas condiciones de vida adecuadas y de acceso suficientes a la atención de salud. Además, los Estados Partes deben respetar plenamente el principio de la dignidad humana y el principio de la no discriminación, a fin de evitar cualquier efecto adverso sobre el nivel de las prestaciones y la forma en que se conceden. Los métodos aplicados deben asegurar un nivel suficiente de las prestaciones. Los criterios de suficiencia deben revisarse periódicamente, para asegurarse de que los beneficiarios pueden costear los bienes y servicios que necesitan para ejercer los derechos reconocidos en el Pacto. Cuando una persona cotiza a un plan de seguridad social que ofrece prestaciones para suplir la falta de ingresos, debe haber una relación razonable entre los ingresos, las cotizaciones abonadas y la cuantía de la prestación pertinente</w:t>
      </w:r>
      <w:r w:rsidR="00462864" w:rsidRPr="000864AE">
        <w:rPr>
          <w:rStyle w:val="Refdenotaalpie"/>
          <w:rFonts w:ascii="Verdana" w:hAnsi="Verdana"/>
          <w:snapToGrid w:val="0"/>
          <w:sz w:val="18"/>
          <w:szCs w:val="18"/>
        </w:rPr>
        <w:footnoteReference w:id="260"/>
      </w:r>
      <w:r w:rsidRPr="000864AE">
        <w:rPr>
          <w:rFonts w:ascii="Verdana" w:hAnsi="Verdana"/>
          <w:snapToGrid w:val="0"/>
          <w:sz w:val="18"/>
          <w:szCs w:val="18"/>
        </w:rPr>
        <w:t>.</w:t>
      </w:r>
    </w:p>
    <w:p w14:paraId="2BC79A16" w14:textId="77777777" w:rsidR="00C729BF" w:rsidRPr="000864AE" w:rsidRDefault="00C729BF" w:rsidP="000864AE">
      <w:pPr>
        <w:snapToGrid w:val="0"/>
        <w:spacing w:after="0" w:line="240" w:lineRule="auto"/>
        <w:ind w:left="360" w:right="540"/>
        <w:jc w:val="both"/>
        <w:rPr>
          <w:rFonts w:ascii="Verdana" w:hAnsi="Verdana"/>
          <w:color w:val="000000"/>
          <w:sz w:val="18"/>
          <w:szCs w:val="18"/>
          <w:lang w:val="es-PE"/>
        </w:rPr>
      </w:pPr>
    </w:p>
    <w:p w14:paraId="7E1C1691" w14:textId="2151E59F" w:rsidR="00E83A1C" w:rsidRPr="000864AE" w:rsidRDefault="00E83A1C" w:rsidP="000864AE">
      <w:pPr>
        <w:snapToGrid w:val="0"/>
        <w:spacing w:after="0" w:line="240" w:lineRule="auto"/>
        <w:ind w:left="360" w:right="540"/>
        <w:jc w:val="both"/>
        <w:rPr>
          <w:rFonts w:ascii="Verdana" w:hAnsi="Verdana"/>
          <w:snapToGrid w:val="0"/>
          <w:sz w:val="18"/>
          <w:szCs w:val="18"/>
        </w:rPr>
      </w:pPr>
      <w:r w:rsidRPr="000864AE">
        <w:rPr>
          <w:rFonts w:ascii="Verdana" w:hAnsi="Verdana"/>
          <w:i/>
          <w:snapToGrid w:val="0"/>
          <w:sz w:val="18"/>
          <w:szCs w:val="18"/>
        </w:rPr>
        <w:t>d) Accesibilidad:</w:t>
      </w:r>
      <w:r w:rsidRPr="000864AE">
        <w:rPr>
          <w:rFonts w:ascii="Verdana" w:hAnsi="Verdana"/>
          <w:snapToGrid w:val="0"/>
          <w:sz w:val="18"/>
          <w:szCs w:val="18"/>
        </w:rPr>
        <w:t xml:space="preserve"> la cual a su vez incluye: i) cobertura: todas las personas deben estar cubiertas por el sistema de seguridad social, sin discriminación. Para garantizar la cobertura de todos, resultarán necesarios los planes no contributivos; ii) condiciones: </w:t>
      </w:r>
      <w:r w:rsidRPr="000864AE">
        <w:rPr>
          <w:rFonts w:ascii="Verdana" w:hAnsi="Verdana"/>
          <w:snapToGrid w:val="0"/>
          <w:sz w:val="18"/>
          <w:szCs w:val="18"/>
          <w:lang w:val="es-PE"/>
        </w:rPr>
        <w:t>l</w:t>
      </w:r>
      <w:r w:rsidRPr="000864AE">
        <w:rPr>
          <w:rFonts w:ascii="Verdana" w:hAnsi="Verdana"/>
          <w:snapToGrid w:val="0"/>
          <w:sz w:val="18"/>
          <w:szCs w:val="18"/>
        </w:rPr>
        <w:t>as condiciones para acogerse a las prestaciones deben ser razonables, proporcionadas y transparentes; iii) asequibilidad: si un plan de seguridad social exige el pago de cotizaciones, éstas deben definirse por adelantado. Los costos directos e indirectos relacionados con las cotizaciones deben de ser asequibles para todos y no deben comprometer el ejercicio de otros derechos; iv) participación e información: los beneficiarios de los planes de seguridad social deben poder participar en la administración del sistema. El sistema debe establecerse en el marco de la legislación nacional y garantizar el derecho de las personas y las organizaciones a recabar, recibir y distribuir información sobre todos los derechos ofrecidos por la seguridad social de manera clara y trasparente, y v) acceso físico: las prestaciones deben concederse oportunamente, y los beneficiarios deben tener acceso físico a los servicios de seguridad social con el fin de obtener las prestaciones y la información, y hacer las cotizaciones cuando cor</w:t>
      </w:r>
      <w:r w:rsidR="00462864" w:rsidRPr="000864AE">
        <w:rPr>
          <w:rFonts w:ascii="Verdana" w:hAnsi="Verdana"/>
          <w:snapToGrid w:val="0"/>
          <w:sz w:val="18"/>
          <w:szCs w:val="18"/>
        </w:rPr>
        <w:t>responda (…)</w:t>
      </w:r>
      <w:r w:rsidRPr="000864AE">
        <w:rPr>
          <w:rFonts w:ascii="Verdana" w:hAnsi="Verdana"/>
          <w:snapToGrid w:val="0"/>
          <w:sz w:val="18"/>
          <w:szCs w:val="18"/>
        </w:rPr>
        <w:t>.</w:t>
      </w:r>
    </w:p>
    <w:p w14:paraId="2654C5A6" w14:textId="77777777" w:rsidR="00C729BF" w:rsidRPr="000864AE" w:rsidRDefault="00C729BF" w:rsidP="000864AE">
      <w:pPr>
        <w:snapToGrid w:val="0"/>
        <w:spacing w:after="0" w:line="240" w:lineRule="auto"/>
        <w:ind w:left="360" w:right="540"/>
        <w:jc w:val="both"/>
        <w:rPr>
          <w:rFonts w:ascii="Verdana" w:hAnsi="Verdana"/>
          <w:snapToGrid w:val="0"/>
          <w:sz w:val="18"/>
          <w:szCs w:val="18"/>
        </w:rPr>
      </w:pPr>
    </w:p>
    <w:p w14:paraId="169AAFF7" w14:textId="1B7ACD4F" w:rsidR="00E83A1C" w:rsidRPr="000864AE" w:rsidRDefault="00E83A1C" w:rsidP="000864AE">
      <w:pPr>
        <w:snapToGrid w:val="0"/>
        <w:spacing w:after="0" w:line="240" w:lineRule="auto"/>
        <w:ind w:left="360" w:right="540"/>
        <w:jc w:val="both"/>
        <w:rPr>
          <w:rFonts w:ascii="Verdana" w:hAnsi="Verdana"/>
          <w:snapToGrid w:val="0"/>
          <w:sz w:val="20"/>
          <w:szCs w:val="20"/>
        </w:rPr>
      </w:pPr>
      <w:r w:rsidRPr="000864AE">
        <w:rPr>
          <w:rFonts w:ascii="Verdana" w:hAnsi="Verdana"/>
          <w:i/>
          <w:snapToGrid w:val="0"/>
          <w:sz w:val="18"/>
          <w:szCs w:val="18"/>
        </w:rPr>
        <w:t>e) Relación con otros derechos:</w:t>
      </w:r>
      <w:r w:rsidRPr="000864AE">
        <w:rPr>
          <w:rFonts w:ascii="Verdana" w:hAnsi="Verdana"/>
          <w:snapToGrid w:val="0"/>
          <w:sz w:val="18"/>
          <w:szCs w:val="18"/>
        </w:rPr>
        <w:t xml:space="preserve"> el derecho a la seguridad social contribuye en gran medida a reforzar el ejercicio de muchos de los derechos eco</w:t>
      </w:r>
      <w:r w:rsidR="00C729BF" w:rsidRPr="000864AE">
        <w:rPr>
          <w:rFonts w:ascii="Verdana" w:hAnsi="Verdana"/>
          <w:snapToGrid w:val="0"/>
          <w:sz w:val="18"/>
          <w:szCs w:val="18"/>
        </w:rPr>
        <w:t>nómicos, sociales y culturales.</w:t>
      </w:r>
    </w:p>
    <w:p w14:paraId="604A3FB4" w14:textId="77777777" w:rsidR="00C729BF" w:rsidRPr="000864AE" w:rsidRDefault="00C729BF" w:rsidP="000864AE">
      <w:pPr>
        <w:snapToGrid w:val="0"/>
        <w:spacing w:after="0" w:line="240" w:lineRule="auto"/>
        <w:ind w:left="360" w:right="540"/>
        <w:jc w:val="both"/>
        <w:rPr>
          <w:rFonts w:ascii="Verdana" w:hAnsi="Verdana"/>
          <w:snapToGrid w:val="0"/>
          <w:sz w:val="20"/>
          <w:szCs w:val="20"/>
        </w:rPr>
      </w:pPr>
    </w:p>
    <w:p w14:paraId="475D50CD" w14:textId="77777777" w:rsidR="00E83A1C" w:rsidRPr="000864AE" w:rsidRDefault="00E83A1C" w:rsidP="000864AE">
      <w:pPr>
        <w:numPr>
          <w:ilvl w:val="0"/>
          <w:numId w:val="10"/>
        </w:numPr>
        <w:tabs>
          <w:tab w:val="left" w:pos="567"/>
          <w:tab w:val="num" w:pos="1569"/>
          <w:tab w:val="num" w:pos="12305"/>
        </w:tabs>
        <w:spacing w:after="0" w:line="240" w:lineRule="auto"/>
        <w:ind w:left="0" w:firstLine="0"/>
        <w:jc w:val="both"/>
        <w:rPr>
          <w:rFonts w:ascii="Verdana" w:hAnsi="Verdana"/>
          <w:snapToGrid w:val="0"/>
          <w:sz w:val="20"/>
          <w:szCs w:val="20"/>
        </w:rPr>
      </w:pPr>
      <w:r w:rsidRPr="000864AE">
        <w:rPr>
          <w:rFonts w:ascii="Verdana" w:hAnsi="Verdana"/>
          <w:snapToGrid w:val="0"/>
          <w:sz w:val="20"/>
          <w:szCs w:val="20"/>
        </w:rPr>
        <w:t>Asimismo, la Observación General No. 19 ha establecido que el derecho a acceder a la justicia forma parte del derecho a la seguridad social, por lo que las personas o grupos que hayan sido víctimas de una violación de su derecho a la seguridad social deben tener acceso a recursos judiciales o de otro tipo eficaces, tanto en el plano nacional como internacional, así como a las reparaciones que corresponda</w:t>
      </w:r>
      <w:r w:rsidRPr="000864AE">
        <w:rPr>
          <w:rStyle w:val="Refdenotaalpie"/>
          <w:rFonts w:ascii="Verdana" w:hAnsi="Verdana"/>
          <w:snapToGrid w:val="0"/>
          <w:sz w:val="20"/>
          <w:szCs w:val="20"/>
        </w:rPr>
        <w:footnoteReference w:id="261"/>
      </w:r>
      <w:r w:rsidRPr="000864AE">
        <w:rPr>
          <w:rFonts w:ascii="Verdana" w:hAnsi="Verdana"/>
          <w:snapToGrid w:val="0"/>
          <w:sz w:val="20"/>
          <w:szCs w:val="20"/>
        </w:rPr>
        <w:t xml:space="preserve">. </w:t>
      </w:r>
    </w:p>
    <w:p w14:paraId="61F1998B" w14:textId="77777777" w:rsidR="00E83A1C" w:rsidRPr="000864AE" w:rsidRDefault="00E83A1C" w:rsidP="000864AE">
      <w:pPr>
        <w:tabs>
          <w:tab w:val="left" w:pos="567"/>
        </w:tabs>
        <w:spacing w:after="0" w:line="240" w:lineRule="auto"/>
        <w:jc w:val="both"/>
        <w:rPr>
          <w:rFonts w:ascii="Verdana" w:hAnsi="Verdana"/>
          <w:snapToGrid w:val="0"/>
          <w:sz w:val="20"/>
          <w:szCs w:val="20"/>
        </w:rPr>
      </w:pPr>
    </w:p>
    <w:p w14:paraId="18639B94" w14:textId="503EEE1C" w:rsidR="00C729BF" w:rsidRPr="000864AE" w:rsidRDefault="00E83A1C" w:rsidP="000864AE">
      <w:pPr>
        <w:numPr>
          <w:ilvl w:val="0"/>
          <w:numId w:val="10"/>
        </w:numPr>
        <w:tabs>
          <w:tab w:val="left" w:pos="567"/>
          <w:tab w:val="num" w:pos="1569"/>
          <w:tab w:val="num" w:pos="12305"/>
        </w:tabs>
        <w:spacing w:after="0" w:line="240" w:lineRule="auto"/>
        <w:ind w:left="0" w:firstLine="0"/>
        <w:jc w:val="both"/>
        <w:rPr>
          <w:rFonts w:ascii="Verdana" w:hAnsi="Verdana"/>
          <w:snapToGrid w:val="0"/>
          <w:sz w:val="20"/>
          <w:szCs w:val="20"/>
        </w:rPr>
      </w:pPr>
      <w:r w:rsidRPr="000864AE">
        <w:rPr>
          <w:rFonts w:ascii="Verdana" w:hAnsi="Verdana"/>
          <w:snapToGrid w:val="0"/>
          <w:sz w:val="20"/>
          <w:szCs w:val="20"/>
        </w:rPr>
        <w:t>En el mismo sentido, los Estados tienen la obligación de facilitar el ejercicio del derecho a la seguridad social, adoptando medidas positivas para ayudar a los individuos a ejercer dicho derecho</w:t>
      </w:r>
      <w:r w:rsidRPr="000864AE">
        <w:rPr>
          <w:rStyle w:val="Refdenotaalpie"/>
          <w:rFonts w:ascii="Verdana" w:hAnsi="Verdana"/>
          <w:snapToGrid w:val="0"/>
          <w:sz w:val="20"/>
          <w:szCs w:val="20"/>
        </w:rPr>
        <w:footnoteReference w:id="262"/>
      </w:r>
      <w:r w:rsidRPr="000864AE">
        <w:rPr>
          <w:rFonts w:ascii="Verdana" w:hAnsi="Verdana"/>
          <w:snapToGrid w:val="0"/>
          <w:sz w:val="20"/>
          <w:szCs w:val="20"/>
        </w:rPr>
        <w:t>. No solo deben facilitar dicho ejercicio, sino también garantizar que “</w:t>
      </w:r>
      <w:r w:rsidR="00462864" w:rsidRPr="000864AE">
        <w:rPr>
          <w:rFonts w:ascii="Verdana" w:hAnsi="Verdana"/>
          <w:snapToGrid w:val="0"/>
          <w:sz w:val="20"/>
          <w:szCs w:val="20"/>
        </w:rPr>
        <w:t xml:space="preserve">(…) </w:t>
      </w:r>
      <w:r w:rsidRPr="000864AE">
        <w:rPr>
          <w:rFonts w:ascii="Verdana" w:hAnsi="Verdana"/>
          <w:snapToGrid w:val="0"/>
          <w:sz w:val="20"/>
          <w:szCs w:val="20"/>
        </w:rPr>
        <w:t>antes de que el Estado o una tercera parte lleven a cabo cualquier medida que interfiera en el derecho de una persona a la seguridad social, las autoridades competentes deberán garantizar que esas medidas se apliquen de conformidad con la ley y con el Pacto, lo cual supondrá: a) la posibilidad de consultar efectivamente a los afectados; b) la publicidad oportuna y completa de información sobre las medidas propuestas; c) el aviso previo con tiempo razonable de las medidas propuestas; d) recursos y reparaciones legales para los afectados; y e) asistencia letrada para i</w:t>
      </w:r>
      <w:r w:rsidR="00462864" w:rsidRPr="000864AE">
        <w:rPr>
          <w:rFonts w:ascii="Verdana" w:hAnsi="Verdana"/>
          <w:snapToGrid w:val="0"/>
          <w:sz w:val="20"/>
          <w:szCs w:val="20"/>
        </w:rPr>
        <w:t>nterponer recursos judiciales. (…)</w:t>
      </w:r>
      <w:r w:rsidRPr="000864AE">
        <w:rPr>
          <w:rFonts w:ascii="Verdana" w:hAnsi="Verdana"/>
          <w:snapToGrid w:val="0"/>
          <w:sz w:val="20"/>
          <w:szCs w:val="20"/>
        </w:rPr>
        <w:t>”</w:t>
      </w:r>
      <w:r w:rsidRPr="000864AE">
        <w:rPr>
          <w:rStyle w:val="Refdenotaalpie"/>
          <w:rFonts w:ascii="Verdana" w:hAnsi="Verdana"/>
          <w:snapToGrid w:val="0"/>
          <w:sz w:val="20"/>
          <w:szCs w:val="20"/>
        </w:rPr>
        <w:footnoteReference w:id="263"/>
      </w:r>
      <w:r w:rsidRPr="000864AE">
        <w:rPr>
          <w:rFonts w:ascii="Verdana" w:hAnsi="Verdana"/>
          <w:snapToGrid w:val="0"/>
          <w:sz w:val="20"/>
          <w:szCs w:val="20"/>
        </w:rPr>
        <w:t>.</w:t>
      </w:r>
    </w:p>
    <w:p w14:paraId="146FEAF0" w14:textId="77777777" w:rsidR="00C729BF" w:rsidRPr="000864AE" w:rsidRDefault="00C729BF" w:rsidP="000864AE">
      <w:pPr>
        <w:tabs>
          <w:tab w:val="left" w:pos="567"/>
        </w:tabs>
        <w:spacing w:after="0" w:line="240" w:lineRule="auto"/>
        <w:jc w:val="both"/>
        <w:rPr>
          <w:rFonts w:ascii="Verdana" w:hAnsi="Verdana"/>
          <w:snapToGrid w:val="0"/>
          <w:sz w:val="20"/>
          <w:szCs w:val="20"/>
        </w:rPr>
      </w:pPr>
    </w:p>
    <w:p w14:paraId="1FF66461" w14:textId="2C4A6AE5" w:rsidR="004B204D" w:rsidRPr="000864AE" w:rsidRDefault="00E83A1C" w:rsidP="000864AE">
      <w:pPr>
        <w:numPr>
          <w:ilvl w:val="0"/>
          <w:numId w:val="10"/>
        </w:numPr>
        <w:tabs>
          <w:tab w:val="left" w:pos="567"/>
          <w:tab w:val="num" w:pos="1569"/>
          <w:tab w:val="num" w:pos="12305"/>
        </w:tabs>
        <w:spacing w:after="0" w:line="240" w:lineRule="auto"/>
        <w:ind w:left="0" w:firstLine="0"/>
        <w:jc w:val="both"/>
        <w:rPr>
          <w:rFonts w:ascii="Verdana" w:hAnsi="Verdana"/>
          <w:snapToGrid w:val="0"/>
          <w:sz w:val="20"/>
          <w:szCs w:val="20"/>
        </w:rPr>
      </w:pPr>
      <w:r w:rsidRPr="000864AE">
        <w:rPr>
          <w:rFonts w:ascii="Verdana" w:hAnsi="Verdana"/>
          <w:snapToGrid w:val="0"/>
          <w:sz w:val="20"/>
          <w:szCs w:val="20"/>
        </w:rPr>
        <w:t xml:space="preserve">Tal y como lo ha reiterado en su jurisprudencia reciente, la </w:t>
      </w:r>
      <w:r w:rsidRPr="000864AE">
        <w:rPr>
          <w:rFonts w:ascii="Verdana" w:eastAsia="Times" w:hAnsi="Verdana" w:cs="Arial"/>
          <w:sz w:val="20"/>
          <w:szCs w:val="20"/>
        </w:rPr>
        <w:t>Corte considera que la naturaleza y alcance de las obligaciones que derivan de la protección de la seguridad social, incluyen aspectos que tienen una exigibilidad inmediata, así como aspectos que tienen un carácter progresivo</w:t>
      </w:r>
      <w:r w:rsidRPr="000864AE">
        <w:rPr>
          <w:rStyle w:val="Refdenotaalpie"/>
          <w:rFonts w:ascii="Verdana" w:eastAsia="Times" w:hAnsi="Verdana"/>
          <w:sz w:val="20"/>
          <w:szCs w:val="20"/>
        </w:rPr>
        <w:footnoteReference w:id="264"/>
      </w:r>
      <w:r w:rsidRPr="000864AE">
        <w:rPr>
          <w:rFonts w:ascii="Verdana" w:eastAsia="Times" w:hAnsi="Verdana" w:cs="Arial"/>
          <w:sz w:val="20"/>
          <w:szCs w:val="20"/>
        </w:rPr>
        <w:t xml:space="preserve">. Al respecto, la Corte </w:t>
      </w:r>
      <w:r w:rsidR="00462864" w:rsidRPr="000864AE">
        <w:rPr>
          <w:rFonts w:ascii="Verdana" w:eastAsia="Times" w:hAnsi="Verdana" w:cs="Arial"/>
          <w:sz w:val="20"/>
          <w:szCs w:val="20"/>
        </w:rPr>
        <w:t>recuerda que, en relación con los primero</w:t>
      </w:r>
      <w:r w:rsidRPr="000864AE">
        <w:rPr>
          <w:rFonts w:ascii="Verdana" w:eastAsia="Times" w:hAnsi="Verdana" w:cs="Arial"/>
          <w:sz w:val="20"/>
          <w:szCs w:val="20"/>
        </w:rPr>
        <w:t>s (obligaciones de exigibilidad inmediata),</w:t>
      </w:r>
      <w:r w:rsidRPr="000864AE">
        <w:rPr>
          <w:rFonts w:ascii="Verdana" w:hAnsi="Verdana"/>
          <w:sz w:val="20"/>
          <w:szCs w:val="20"/>
          <w:lang w:val="es-CR"/>
        </w:rPr>
        <w:t xml:space="preserve"> los Estados deberán adoptar medidas eficaces a fin de garantizar el acceso sin discriminación a las prestaciones reconocidas para el derecho a la seguridad social, garantizar la igualdad de derechos entre hombres y muj</w:t>
      </w:r>
      <w:r w:rsidR="00462864" w:rsidRPr="000864AE">
        <w:rPr>
          <w:rFonts w:ascii="Verdana" w:hAnsi="Verdana"/>
          <w:sz w:val="20"/>
          <w:szCs w:val="20"/>
          <w:lang w:val="es-CR"/>
        </w:rPr>
        <w:t>eres, entre otros. Respecto a los segundo</w:t>
      </w:r>
      <w:r w:rsidRPr="000864AE">
        <w:rPr>
          <w:rFonts w:ascii="Verdana" w:hAnsi="Verdana"/>
          <w:sz w:val="20"/>
          <w:szCs w:val="20"/>
          <w:lang w:val="es-CR"/>
        </w:rPr>
        <w:t>s (obligaciones de carácter progresivo),</w:t>
      </w:r>
      <w:r w:rsidRPr="000864AE">
        <w:rPr>
          <w:rFonts w:ascii="Verdana" w:eastAsia="Times" w:hAnsi="Verdana" w:cs="Arial"/>
          <w:sz w:val="20"/>
          <w:szCs w:val="20"/>
        </w:rPr>
        <w:t xml:space="preserve"> </w:t>
      </w:r>
      <w:r w:rsidRPr="000864AE">
        <w:rPr>
          <w:rFonts w:ascii="Verdana" w:hAnsi="Verdana"/>
          <w:sz w:val="20"/>
          <w:szCs w:val="20"/>
          <w:lang w:val="es-CR"/>
        </w:rPr>
        <w:t xml:space="preserve">la realización progresiva significa que los Estados partes tienen la obligación concreta y constante de avanzar lo más expedita y eficazmente posible hacia la plena efectividad de dicho derecho, en la medida de sus recursos disponibles, por vía legislativa u otros medios apropiados. </w:t>
      </w:r>
      <w:r w:rsidRPr="000864AE">
        <w:rPr>
          <w:rFonts w:ascii="Verdana" w:hAnsi="Verdana"/>
          <w:sz w:val="20"/>
          <w:szCs w:val="20"/>
        </w:rPr>
        <w:t xml:space="preserve">Asimismo, se impone la obligación de </w:t>
      </w:r>
      <w:r w:rsidRPr="000864AE">
        <w:rPr>
          <w:rFonts w:ascii="Verdana" w:hAnsi="Verdana"/>
          <w:i/>
          <w:sz w:val="20"/>
          <w:szCs w:val="20"/>
        </w:rPr>
        <w:t>no regresividad</w:t>
      </w:r>
      <w:r w:rsidRPr="000864AE">
        <w:rPr>
          <w:rFonts w:ascii="Verdana" w:hAnsi="Verdana"/>
          <w:sz w:val="20"/>
          <w:szCs w:val="20"/>
        </w:rPr>
        <w:t xml:space="preserve"> frente a la realización de los derechos alcanzados. En virtud de lo anterior, las obligaciones convencionales de respeto y garantía, así como de adopción de medidas de derecho interno (artículos 1.1 y 2), resultan fundamentales para alcanzar su efectividad</w:t>
      </w:r>
      <w:r w:rsidRPr="000864AE">
        <w:rPr>
          <w:rStyle w:val="Refdenotaalpie"/>
          <w:rFonts w:ascii="Verdana" w:hAnsi="Verdana"/>
          <w:sz w:val="20"/>
          <w:szCs w:val="20"/>
        </w:rPr>
        <w:footnoteReference w:id="265"/>
      </w:r>
      <w:r w:rsidRPr="000864AE">
        <w:rPr>
          <w:rFonts w:ascii="Verdana" w:hAnsi="Verdana"/>
          <w:sz w:val="20"/>
          <w:szCs w:val="20"/>
        </w:rPr>
        <w:t>.</w:t>
      </w:r>
    </w:p>
    <w:p w14:paraId="3F7E20E8" w14:textId="77777777" w:rsidR="004B204D" w:rsidRPr="000864AE" w:rsidRDefault="004B204D" w:rsidP="000864AE">
      <w:pPr>
        <w:tabs>
          <w:tab w:val="left" w:pos="567"/>
        </w:tabs>
        <w:spacing w:after="0" w:line="240" w:lineRule="auto"/>
        <w:jc w:val="both"/>
        <w:rPr>
          <w:rFonts w:ascii="Verdana" w:hAnsi="Verdana"/>
          <w:snapToGrid w:val="0"/>
          <w:sz w:val="20"/>
          <w:szCs w:val="20"/>
        </w:rPr>
      </w:pPr>
    </w:p>
    <w:p w14:paraId="2D770FBD" w14:textId="3420D950" w:rsidR="001002AE" w:rsidRPr="000864AE" w:rsidRDefault="001002AE" w:rsidP="000864AE">
      <w:pPr>
        <w:numPr>
          <w:ilvl w:val="0"/>
          <w:numId w:val="10"/>
        </w:numPr>
        <w:tabs>
          <w:tab w:val="left" w:pos="567"/>
          <w:tab w:val="num" w:pos="1569"/>
          <w:tab w:val="num" w:pos="12305"/>
        </w:tabs>
        <w:spacing w:after="0" w:line="240" w:lineRule="auto"/>
        <w:ind w:left="0" w:firstLine="0"/>
        <w:jc w:val="both"/>
        <w:rPr>
          <w:rFonts w:ascii="Verdana" w:hAnsi="Verdana"/>
          <w:snapToGrid w:val="0"/>
          <w:sz w:val="20"/>
          <w:szCs w:val="20"/>
        </w:rPr>
      </w:pPr>
      <w:r w:rsidRPr="000864AE">
        <w:rPr>
          <w:rFonts w:ascii="Verdana" w:hAnsi="Verdana"/>
          <w:sz w:val="20"/>
          <w:szCs w:val="20"/>
        </w:rPr>
        <w:t xml:space="preserve">Corresponde a la Corte analizar la conducta estatal respecto del cumplimiento de sus obligaciones de </w:t>
      </w:r>
      <w:r w:rsidR="00462864" w:rsidRPr="000864AE">
        <w:rPr>
          <w:rFonts w:ascii="Verdana" w:hAnsi="Verdana"/>
          <w:sz w:val="20"/>
          <w:szCs w:val="20"/>
        </w:rPr>
        <w:t>garantía</w:t>
      </w:r>
      <w:r w:rsidRPr="000864AE">
        <w:rPr>
          <w:rFonts w:ascii="Verdana" w:hAnsi="Verdana"/>
          <w:sz w:val="20"/>
          <w:szCs w:val="20"/>
        </w:rPr>
        <w:t xml:space="preserve"> respecto del derecho a la </w:t>
      </w:r>
      <w:r w:rsidR="00462864" w:rsidRPr="000864AE">
        <w:rPr>
          <w:rFonts w:ascii="Verdana" w:hAnsi="Verdana"/>
          <w:sz w:val="20"/>
          <w:szCs w:val="20"/>
        </w:rPr>
        <w:t>pensión</w:t>
      </w:r>
      <w:r w:rsidRPr="000864AE">
        <w:rPr>
          <w:rFonts w:ascii="Verdana" w:hAnsi="Verdana"/>
          <w:sz w:val="20"/>
          <w:szCs w:val="20"/>
        </w:rPr>
        <w:t xml:space="preserve">, como parte integral del derecho a la seguridad social, en perjuicio de las presuntas </w:t>
      </w:r>
      <w:r w:rsidR="00462864" w:rsidRPr="000864AE">
        <w:rPr>
          <w:rFonts w:ascii="Verdana" w:hAnsi="Verdana"/>
          <w:sz w:val="20"/>
          <w:szCs w:val="20"/>
        </w:rPr>
        <w:t>víctimas</w:t>
      </w:r>
      <w:r w:rsidRPr="000864AE">
        <w:rPr>
          <w:rFonts w:ascii="Verdana" w:hAnsi="Verdana"/>
          <w:sz w:val="20"/>
          <w:szCs w:val="20"/>
        </w:rPr>
        <w:t xml:space="preserve"> del caso debido a la falta de cumplimiento y </w:t>
      </w:r>
      <w:r w:rsidR="00462864" w:rsidRPr="000864AE">
        <w:rPr>
          <w:rFonts w:ascii="Verdana" w:hAnsi="Verdana"/>
          <w:sz w:val="20"/>
          <w:szCs w:val="20"/>
        </w:rPr>
        <w:t>ejecución</w:t>
      </w:r>
      <w:r w:rsidRPr="000864AE">
        <w:rPr>
          <w:rFonts w:ascii="Verdana" w:hAnsi="Verdana"/>
          <w:sz w:val="20"/>
          <w:szCs w:val="20"/>
        </w:rPr>
        <w:t xml:space="preserve"> de las sentencias dictadas a su favor.</w:t>
      </w:r>
    </w:p>
    <w:p w14:paraId="66F58006" w14:textId="77777777" w:rsidR="00B86B27" w:rsidRPr="000864AE" w:rsidRDefault="00B86B27" w:rsidP="000864AE">
      <w:pPr>
        <w:pStyle w:val="Prrafodelista"/>
        <w:spacing w:after="0" w:line="240" w:lineRule="auto"/>
        <w:rPr>
          <w:rFonts w:ascii="Verdana" w:hAnsi="Verdana"/>
          <w:sz w:val="20"/>
          <w:szCs w:val="20"/>
        </w:rPr>
      </w:pPr>
    </w:p>
    <w:p w14:paraId="4EB8585E" w14:textId="78DC61DA" w:rsidR="008314A4" w:rsidRPr="000864AE" w:rsidRDefault="008314A4" w:rsidP="000864AE">
      <w:pPr>
        <w:numPr>
          <w:ilvl w:val="0"/>
          <w:numId w:val="10"/>
        </w:numPr>
        <w:tabs>
          <w:tab w:val="left" w:pos="567"/>
          <w:tab w:val="num" w:pos="1569"/>
          <w:tab w:val="num" w:pos="12305"/>
        </w:tabs>
        <w:spacing w:after="0" w:line="240" w:lineRule="auto"/>
        <w:ind w:left="0" w:firstLine="0"/>
        <w:jc w:val="both"/>
        <w:rPr>
          <w:rFonts w:ascii="Verdana" w:hAnsi="Verdana"/>
          <w:snapToGrid w:val="0"/>
          <w:sz w:val="20"/>
          <w:szCs w:val="20"/>
        </w:rPr>
      </w:pPr>
      <w:r w:rsidRPr="000864AE">
        <w:rPr>
          <w:rFonts w:ascii="Verdana" w:hAnsi="Verdana"/>
          <w:sz w:val="20"/>
          <w:szCs w:val="20"/>
        </w:rPr>
        <w:t xml:space="preserve">En este sentido, con base en </w:t>
      </w:r>
      <w:r w:rsidR="009D502E" w:rsidRPr="000864AE">
        <w:rPr>
          <w:rFonts w:ascii="Verdana" w:hAnsi="Verdana"/>
          <w:sz w:val="20"/>
          <w:szCs w:val="20"/>
        </w:rPr>
        <w:t>lo antes mencionado respecto del derecho a la seguridad social</w:t>
      </w:r>
      <w:r w:rsidRPr="000864AE">
        <w:rPr>
          <w:rFonts w:ascii="Verdana" w:hAnsi="Verdana"/>
          <w:sz w:val="20"/>
          <w:szCs w:val="20"/>
        </w:rPr>
        <w:t xml:space="preserve">, y tomando en cuenta los hechos y particularidades del presente caso, las obligaciones del Estado en relación con el derecho a la pensión son las siguientes: a) el derecho a acceder a una pensión luego de adquirida la edad legal para ello y los requisitos establecidos en la normativa nacional, para lo cual deberá existir un sistema de seguridad social que funcione y garantice las prestaciones. Este sistema deberá ser administrado o supervisado y fiscalizado por el Estado (en caso de que sea administrado por </w:t>
      </w:r>
      <w:r w:rsidR="00462864" w:rsidRPr="000864AE">
        <w:rPr>
          <w:rFonts w:ascii="Verdana" w:hAnsi="Verdana"/>
          <w:sz w:val="20"/>
          <w:szCs w:val="20"/>
        </w:rPr>
        <w:t xml:space="preserve">sujetos </w:t>
      </w:r>
      <w:r w:rsidRPr="000864AE">
        <w:rPr>
          <w:rFonts w:ascii="Verdana" w:hAnsi="Verdana"/>
          <w:sz w:val="20"/>
          <w:szCs w:val="20"/>
        </w:rPr>
        <w:t>privados); b) garantizar que las prestaciones sean suficientes en importe y duración, que permitan al jubilado gozar de condicione</w:t>
      </w:r>
      <w:r w:rsidR="00462864" w:rsidRPr="000864AE">
        <w:rPr>
          <w:rFonts w:ascii="Verdana" w:hAnsi="Verdana"/>
          <w:sz w:val="20"/>
          <w:szCs w:val="20"/>
        </w:rPr>
        <w:t>s de vida adecuadas y de acceso</w:t>
      </w:r>
      <w:r w:rsidRPr="000864AE">
        <w:rPr>
          <w:rFonts w:ascii="Verdana" w:hAnsi="Verdana"/>
          <w:sz w:val="20"/>
          <w:szCs w:val="20"/>
        </w:rPr>
        <w:t xml:space="preserve"> suficiente a la atención de salud, sin discriminación; c) debe haber accesibilidad para obtener una pensión, es decir que se deberán brindar condiciones razonables, proporcionadas y transparentes para acceder a ella. Asimismo, los costos de las cotizaciones deben ser asequibles y los beneficiarios deben recibir información sobre el derecho de manera clara y transparente, especialmente si se tomara alguna medida que pueda afectar el derecho; d) las prestaciones por pensión de jubilación deben ser garantizadas de manera oportuna y sin demoras, tomando en consideración la importancia de este criterio en personas mayores, y e) se deberá disponer de mecanismos efectivos de reclamo frente a una violación del derecho a la seguridad social, con el fin de garantizar el acceso a la justicia y la tutela judicial efectiva, lo cual abarca también la concretización material del derecho a través de la ejecución efectiva de decisiones favorables dictadas a nivel interno</w:t>
      </w:r>
      <w:r w:rsidR="000B432C" w:rsidRPr="000864AE">
        <w:rPr>
          <w:rStyle w:val="Refdenotaalpie"/>
          <w:rFonts w:ascii="Verdana" w:hAnsi="Verdana"/>
          <w:sz w:val="20"/>
          <w:szCs w:val="20"/>
        </w:rPr>
        <w:footnoteReference w:id="266"/>
      </w:r>
      <w:r w:rsidRPr="000864AE">
        <w:rPr>
          <w:rFonts w:ascii="Verdana" w:hAnsi="Verdana"/>
          <w:sz w:val="20"/>
          <w:szCs w:val="20"/>
        </w:rPr>
        <w:t>.</w:t>
      </w:r>
    </w:p>
    <w:p w14:paraId="25AFE6EE" w14:textId="77777777" w:rsidR="008314A4" w:rsidRPr="000864AE" w:rsidRDefault="008314A4" w:rsidP="000864AE">
      <w:pPr>
        <w:pStyle w:val="Prrafodelista"/>
        <w:spacing w:after="0" w:line="240" w:lineRule="auto"/>
        <w:ind w:left="0"/>
        <w:jc w:val="both"/>
        <w:rPr>
          <w:rFonts w:ascii="Verdana" w:hAnsi="Verdana"/>
          <w:b/>
          <w:sz w:val="20"/>
          <w:szCs w:val="20"/>
          <w:lang w:val="es-DO"/>
        </w:rPr>
      </w:pPr>
    </w:p>
    <w:p w14:paraId="353D8755" w14:textId="327ADA8D" w:rsidR="008314A4" w:rsidRPr="000864AE" w:rsidRDefault="008314A4" w:rsidP="000864AE">
      <w:pPr>
        <w:pStyle w:val="Prrafodelista"/>
        <w:numPr>
          <w:ilvl w:val="0"/>
          <w:numId w:val="10"/>
        </w:numPr>
        <w:spacing w:after="0" w:line="240" w:lineRule="auto"/>
        <w:ind w:left="0" w:firstLine="0"/>
        <w:jc w:val="both"/>
        <w:rPr>
          <w:rFonts w:ascii="Verdana" w:hAnsi="Verdana"/>
          <w:sz w:val="20"/>
          <w:szCs w:val="20"/>
          <w:lang w:val="es-DO"/>
        </w:rPr>
      </w:pPr>
      <w:r w:rsidRPr="000864AE">
        <w:rPr>
          <w:rFonts w:ascii="Verdana" w:hAnsi="Verdana"/>
          <w:sz w:val="20"/>
          <w:szCs w:val="20"/>
        </w:rPr>
        <w:t>Con base en los criterios establecidos en los párrafos precedentes, con lo concluido</w:t>
      </w:r>
      <w:r w:rsidR="00462864" w:rsidRPr="000864AE">
        <w:rPr>
          <w:rFonts w:ascii="Verdana" w:hAnsi="Verdana"/>
          <w:sz w:val="20"/>
          <w:szCs w:val="20"/>
        </w:rPr>
        <w:t xml:space="preserve"> anteriormente</w:t>
      </w:r>
      <w:r w:rsidRPr="000864AE">
        <w:rPr>
          <w:rFonts w:ascii="Verdana" w:hAnsi="Verdana"/>
          <w:sz w:val="20"/>
          <w:szCs w:val="20"/>
        </w:rPr>
        <w:t xml:space="preserve"> por esta Corte en relación con el derecho a las garantías judiciales y la protección judicial, y considerando de forma particular que existió un proceso de reestructuración de la SUNAT en virtud del cual las presuntas víctimas se jubilaron, el Tribunal </w:t>
      </w:r>
      <w:r w:rsidR="00462864" w:rsidRPr="000864AE">
        <w:rPr>
          <w:rFonts w:ascii="Verdana" w:hAnsi="Verdana"/>
          <w:sz w:val="20"/>
          <w:szCs w:val="20"/>
        </w:rPr>
        <w:t>procede</w:t>
      </w:r>
      <w:r w:rsidRPr="000864AE">
        <w:rPr>
          <w:rFonts w:ascii="Verdana" w:hAnsi="Verdana"/>
          <w:sz w:val="20"/>
          <w:szCs w:val="20"/>
        </w:rPr>
        <w:t xml:space="preserve"> a analizar la afectación del derecho a la seguridad social</w:t>
      </w:r>
      <w:r w:rsidR="00421CB6" w:rsidRPr="000864AE">
        <w:rPr>
          <w:rFonts w:ascii="Verdana" w:hAnsi="Verdana"/>
          <w:sz w:val="20"/>
          <w:szCs w:val="20"/>
        </w:rPr>
        <w:t xml:space="preserve">, </w:t>
      </w:r>
      <w:r w:rsidR="009D502E" w:rsidRPr="000864AE">
        <w:rPr>
          <w:rFonts w:ascii="Verdana" w:hAnsi="Verdana"/>
          <w:sz w:val="20"/>
          <w:szCs w:val="20"/>
        </w:rPr>
        <w:t>la vida digna</w:t>
      </w:r>
      <w:r w:rsidRPr="000864AE">
        <w:rPr>
          <w:rFonts w:ascii="Verdana" w:hAnsi="Verdana"/>
          <w:sz w:val="20"/>
          <w:szCs w:val="20"/>
        </w:rPr>
        <w:t xml:space="preserve"> </w:t>
      </w:r>
      <w:r w:rsidR="00421CB6" w:rsidRPr="000864AE">
        <w:rPr>
          <w:rFonts w:ascii="Verdana" w:hAnsi="Verdana"/>
          <w:sz w:val="20"/>
          <w:szCs w:val="20"/>
        </w:rPr>
        <w:t xml:space="preserve">y la propiedad </w:t>
      </w:r>
      <w:r w:rsidRPr="000864AE">
        <w:rPr>
          <w:rFonts w:ascii="Verdana" w:hAnsi="Verdana"/>
          <w:sz w:val="20"/>
          <w:szCs w:val="20"/>
        </w:rPr>
        <w:t>en el caso concreto.</w:t>
      </w:r>
    </w:p>
    <w:p w14:paraId="14150038" w14:textId="77777777" w:rsidR="00B86B27" w:rsidRPr="000864AE" w:rsidRDefault="00B86B27" w:rsidP="000864AE">
      <w:pPr>
        <w:pStyle w:val="Prrafodelista"/>
        <w:spacing w:after="0" w:line="240" w:lineRule="auto"/>
        <w:ind w:left="0"/>
        <w:jc w:val="both"/>
        <w:rPr>
          <w:rFonts w:ascii="Verdana" w:hAnsi="Verdana"/>
          <w:sz w:val="20"/>
          <w:szCs w:val="20"/>
          <w:lang w:val="es-DO"/>
        </w:rPr>
      </w:pPr>
    </w:p>
    <w:p w14:paraId="323F6C49" w14:textId="75056CF0" w:rsidR="008314A4" w:rsidRPr="000864AE" w:rsidRDefault="008314A4" w:rsidP="000864AE">
      <w:pPr>
        <w:pStyle w:val="Ttulo4"/>
        <w:numPr>
          <w:ilvl w:val="0"/>
          <w:numId w:val="0"/>
        </w:numPr>
        <w:ind w:left="1068"/>
        <w:rPr>
          <w:strike/>
        </w:rPr>
      </w:pPr>
      <w:bookmarkStart w:id="84" w:name="_Toc27329784"/>
      <w:r w:rsidRPr="000864AE">
        <w:rPr>
          <w:lang w:val="es-PE"/>
        </w:rPr>
        <w:t>C.2.3. La afectación de la seguridad social</w:t>
      </w:r>
      <w:r w:rsidR="00410A1D" w:rsidRPr="000864AE">
        <w:rPr>
          <w:lang w:val="es-PE"/>
        </w:rPr>
        <w:t xml:space="preserve"> y la vida digna</w:t>
      </w:r>
      <w:r w:rsidRPr="000864AE">
        <w:rPr>
          <w:lang w:val="es-PE"/>
        </w:rPr>
        <w:t xml:space="preserve"> en el caso concreto</w:t>
      </w:r>
      <w:bookmarkEnd w:id="84"/>
      <w:r w:rsidRPr="000864AE">
        <w:rPr>
          <w:lang w:val="es-PE"/>
        </w:rPr>
        <w:t xml:space="preserve"> </w:t>
      </w:r>
    </w:p>
    <w:p w14:paraId="1C32969D" w14:textId="77777777" w:rsidR="008314A4" w:rsidRPr="000864AE" w:rsidRDefault="008314A4" w:rsidP="000864AE">
      <w:pPr>
        <w:pStyle w:val="Prrafodelista"/>
        <w:spacing w:after="0" w:line="240" w:lineRule="auto"/>
        <w:ind w:left="0"/>
        <w:jc w:val="both"/>
        <w:rPr>
          <w:rFonts w:ascii="Verdana" w:hAnsi="Verdana"/>
          <w:sz w:val="20"/>
          <w:szCs w:val="20"/>
          <w:lang w:val="es-DO"/>
        </w:rPr>
      </w:pPr>
    </w:p>
    <w:p w14:paraId="20DE8743" w14:textId="31B31754" w:rsidR="00B86B27" w:rsidRPr="000864AE" w:rsidRDefault="00B86B27" w:rsidP="000864AE">
      <w:pPr>
        <w:pStyle w:val="Prrafodelista"/>
        <w:numPr>
          <w:ilvl w:val="0"/>
          <w:numId w:val="10"/>
        </w:numPr>
        <w:spacing w:after="0" w:line="240" w:lineRule="auto"/>
        <w:ind w:left="0" w:firstLine="0"/>
        <w:jc w:val="both"/>
        <w:rPr>
          <w:rFonts w:ascii="Verdana" w:hAnsi="Verdana"/>
          <w:sz w:val="20"/>
          <w:szCs w:val="20"/>
          <w:lang w:val="es-DO"/>
        </w:rPr>
      </w:pPr>
      <w:r w:rsidRPr="000864AE">
        <w:rPr>
          <w:rFonts w:ascii="Verdana" w:hAnsi="Verdana"/>
          <w:sz w:val="20"/>
          <w:szCs w:val="20"/>
          <w:lang w:val="es-DO"/>
        </w:rPr>
        <w:t xml:space="preserve">La Corte </w:t>
      </w:r>
      <w:r w:rsidR="00FA2D7C" w:rsidRPr="000864AE">
        <w:rPr>
          <w:rFonts w:ascii="Verdana" w:hAnsi="Verdana"/>
          <w:sz w:val="20"/>
          <w:szCs w:val="20"/>
          <w:lang w:val="es-DO"/>
        </w:rPr>
        <w:t>recuerda</w:t>
      </w:r>
      <w:r w:rsidRPr="000864AE">
        <w:rPr>
          <w:rFonts w:ascii="Verdana" w:hAnsi="Verdana"/>
          <w:sz w:val="20"/>
          <w:szCs w:val="20"/>
          <w:lang w:val="es-DO"/>
        </w:rPr>
        <w:t xml:space="preserve"> que el Decreto 20530 regulaba un régimen pensionario que reconocía que las pensiones de los cesantes con más de </w:t>
      </w:r>
      <w:r w:rsidR="00D144F0" w:rsidRPr="000864AE">
        <w:rPr>
          <w:rFonts w:ascii="Verdana" w:hAnsi="Verdana"/>
          <w:sz w:val="20"/>
          <w:szCs w:val="20"/>
          <w:lang w:val="es-DO"/>
        </w:rPr>
        <w:t xml:space="preserve">20 </w:t>
      </w:r>
      <w:r w:rsidRPr="000864AE">
        <w:rPr>
          <w:rFonts w:ascii="Verdana" w:hAnsi="Verdana"/>
          <w:sz w:val="20"/>
          <w:szCs w:val="20"/>
          <w:lang w:val="es-DO"/>
        </w:rPr>
        <w:t>años de servicio y los jubilados de la administración pública se debían nivelar progresivamente con los haberes de los servidores públicos en actividad. La aplicación de dicho régimen de pensiones no ha sido suspendid</w:t>
      </w:r>
      <w:r w:rsidR="006B4675" w:rsidRPr="000864AE">
        <w:rPr>
          <w:rFonts w:ascii="Verdana" w:hAnsi="Verdana"/>
          <w:sz w:val="20"/>
          <w:szCs w:val="20"/>
          <w:lang w:val="es-DO"/>
        </w:rPr>
        <w:t>a</w:t>
      </w:r>
      <w:r w:rsidRPr="000864AE">
        <w:rPr>
          <w:rFonts w:ascii="Verdana" w:hAnsi="Verdana"/>
          <w:sz w:val="20"/>
          <w:szCs w:val="20"/>
          <w:lang w:val="es-DO"/>
        </w:rPr>
        <w:t xml:space="preserve"> para las presuntas víctimas. Sin embargo, </w:t>
      </w:r>
      <w:r w:rsidR="006B4675" w:rsidRPr="000864AE">
        <w:rPr>
          <w:rFonts w:ascii="Verdana" w:hAnsi="Verdana"/>
          <w:sz w:val="20"/>
          <w:szCs w:val="20"/>
          <w:lang w:val="es-DO"/>
        </w:rPr>
        <w:t>como consecuencia</w:t>
      </w:r>
      <w:r w:rsidRPr="000864AE">
        <w:rPr>
          <w:rFonts w:ascii="Verdana" w:hAnsi="Verdana"/>
          <w:sz w:val="20"/>
          <w:szCs w:val="20"/>
          <w:lang w:val="es-DO"/>
        </w:rPr>
        <w:t xml:space="preserve"> de la entrada en vigor del Decreto 673 fue modificad</w:t>
      </w:r>
      <w:r w:rsidR="00D144F0" w:rsidRPr="000864AE">
        <w:rPr>
          <w:rFonts w:ascii="Verdana" w:hAnsi="Verdana"/>
          <w:sz w:val="20"/>
          <w:szCs w:val="20"/>
          <w:lang w:val="es-DO"/>
        </w:rPr>
        <w:t>a</w:t>
      </w:r>
      <w:r w:rsidRPr="000864AE">
        <w:rPr>
          <w:rFonts w:ascii="Verdana" w:hAnsi="Verdana"/>
          <w:sz w:val="20"/>
          <w:szCs w:val="20"/>
          <w:lang w:val="es-DO"/>
        </w:rPr>
        <w:t xml:space="preserve"> tanto la entidad a cargo de la liquidación de las pensiones como el régimen laboral de los servidores públicos activos de la SUNAT. En virtud de ello, la Corte Suprema determinó en su sentencia de 25 de octubre de 1993 que</w:t>
      </w:r>
      <w:r w:rsidR="006B4675" w:rsidRPr="000864AE">
        <w:rPr>
          <w:rFonts w:ascii="Verdana" w:hAnsi="Verdana"/>
          <w:sz w:val="20"/>
          <w:szCs w:val="20"/>
          <w:lang w:val="es-DO"/>
        </w:rPr>
        <w:t xml:space="preserve"> a las presuntas víctimas</w:t>
      </w:r>
      <w:r w:rsidRPr="000864AE">
        <w:rPr>
          <w:rFonts w:ascii="Verdana" w:hAnsi="Verdana"/>
          <w:sz w:val="20"/>
          <w:szCs w:val="20"/>
          <w:lang w:val="es-DO"/>
        </w:rPr>
        <w:t xml:space="preserve"> les fuera repuesto su derecho a percibir la pensión nivelada que les correspondiera</w:t>
      </w:r>
      <w:r w:rsidR="006B4675" w:rsidRPr="000864AE">
        <w:rPr>
          <w:rFonts w:ascii="Verdana" w:hAnsi="Verdana"/>
          <w:sz w:val="20"/>
          <w:szCs w:val="20"/>
          <w:lang w:val="es-DO"/>
        </w:rPr>
        <w:t xml:space="preserve"> conforme al Decreto 20530</w:t>
      </w:r>
      <w:r w:rsidRPr="000864AE">
        <w:rPr>
          <w:rFonts w:ascii="Verdana" w:hAnsi="Verdana"/>
          <w:sz w:val="20"/>
          <w:szCs w:val="20"/>
          <w:lang w:val="es-DO"/>
        </w:rPr>
        <w:t xml:space="preserve">, así como los reintegros dejados de percibir </w:t>
      </w:r>
      <w:r w:rsidR="006B4675" w:rsidRPr="000864AE">
        <w:rPr>
          <w:rFonts w:ascii="Verdana" w:hAnsi="Verdana"/>
          <w:sz w:val="20"/>
          <w:szCs w:val="20"/>
          <w:lang w:val="es-DO"/>
        </w:rPr>
        <w:t>a raíz</w:t>
      </w:r>
      <w:r w:rsidRPr="000864AE">
        <w:rPr>
          <w:rFonts w:ascii="Verdana" w:hAnsi="Verdana"/>
          <w:sz w:val="20"/>
          <w:szCs w:val="20"/>
          <w:lang w:val="es-DO"/>
        </w:rPr>
        <w:t xml:space="preserve"> de la aplicación de la Tercera Disposición Transitoria del Decreto 673. </w:t>
      </w:r>
      <w:r w:rsidR="006B4675" w:rsidRPr="000864AE">
        <w:rPr>
          <w:rFonts w:ascii="Verdana" w:hAnsi="Verdana"/>
          <w:sz w:val="20"/>
          <w:szCs w:val="20"/>
          <w:lang w:val="es-DO"/>
        </w:rPr>
        <w:t xml:space="preserve">Posteriormente, el Tribunal Constitucional ordenó la ejecución de dicha sentencia mediante resoluciones de 25 de junio de 1996 y 10 </w:t>
      </w:r>
      <w:r w:rsidR="00053435" w:rsidRPr="000864AE">
        <w:rPr>
          <w:rFonts w:ascii="Verdana" w:hAnsi="Verdana"/>
          <w:sz w:val="20"/>
          <w:szCs w:val="20"/>
          <w:lang w:val="es-DO"/>
        </w:rPr>
        <w:t>de mayo de 2001</w:t>
      </w:r>
      <w:r w:rsidR="006B4675" w:rsidRPr="000864AE">
        <w:rPr>
          <w:rFonts w:ascii="Verdana" w:hAnsi="Verdana"/>
          <w:sz w:val="20"/>
          <w:szCs w:val="20"/>
          <w:lang w:val="es-DO"/>
        </w:rPr>
        <w:t>.</w:t>
      </w:r>
    </w:p>
    <w:p w14:paraId="13F7C931" w14:textId="77777777" w:rsidR="00B86B27" w:rsidRPr="000864AE" w:rsidRDefault="00B86B27" w:rsidP="000864AE">
      <w:pPr>
        <w:pStyle w:val="Prrafodelista"/>
        <w:spacing w:after="0" w:line="240" w:lineRule="auto"/>
        <w:rPr>
          <w:rFonts w:ascii="Verdana" w:hAnsi="Verdana"/>
          <w:sz w:val="20"/>
          <w:szCs w:val="20"/>
          <w:lang w:val="es-DO"/>
        </w:rPr>
      </w:pPr>
    </w:p>
    <w:p w14:paraId="23EE2AF4" w14:textId="5A01488C" w:rsidR="00B86B27" w:rsidRPr="000864AE" w:rsidRDefault="00B86B27" w:rsidP="000864AE">
      <w:pPr>
        <w:pStyle w:val="Prrafodelista"/>
        <w:numPr>
          <w:ilvl w:val="0"/>
          <w:numId w:val="10"/>
        </w:numPr>
        <w:spacing w:after="0" w:line="240" w:lineRule="auto"/>
        <w:ind w:left="0" w:firstLine="0"/>
        <w:jc w:val="both"/>
        <w:rPr>
          <w:rFonts w:ascii="Verdana" w:hAnsi="Verdana"/>
          <w:sz w:val="20"/>
          <w:szCs w:val="20"/>
          <w:lang w:val="es-DO"/>
        </w:rPr>
      </w:pPr>
      <w:r w:rsidRPr="000864AE">
        <w:rPr>
          <w:rFonts w:ascii="Verdana" w:hAnsi="Verdana"/>
          <w:sz w:val="20"/>
          <w:szCs w:val="20"/>
          <w:lang w:val="es-DO"/>
        </w:rPr>
        <w:t xml:space="preserve">El Tribunal ya ha establecido que el Estado vulneró los derechos a las garantías judiciales y la protección judicial debido a diversas acciones y omisiones que derivaron en retrasos en la ejecución de la sentencia de 25 de octubre de 1993, así como por la falta del pago de los reintegros que resultaban de las diferencias existentes entre las remuneraciones percibidas por los servidores activos de la SUNAT, y </w:t>
      </w:r>
      <w:r w:rsidR="00053435" w:rsidRPr="000864AE">
        <w:rPr>
          <w:rFonts w:ascii="Verdana" w:hAnsi="Verdana"/>
          <w:sz w:val="20"/>
          <w:szCs w:val="20"/>
          <w:lang w:val="es-DO"/>
        </w:rPr>
        <w:t>las pensiones percibida</w:t>
      </w:r>
      <w:r w:rsidRPr="000864AE">
        <w:rPr>
          <w:rFonts w:ascii="Verdana" w:hAnsi="Verdana"/>
          <w:sz w:val="20"/>
          <w:szCs w:val="20"/>
          <w:lang w:val="es-DO"/>
        </w:rPr>
        <w:t xml:space="preserve">s por las presuntas víctimas mientras estuvo vigente la Tercera Disposición Transitoria del Decreto 673. En particular, el Tribunal advirtió que a la fecha de la emisión de la </w:t>
      </w:r>
      <w:r w:rsidR="001913D3">
        <w:rPr>
          <w:rFonts w:ascii="Verdana" w:hAnsi="Verdana"/>
          <w:sz w:val="20"/>
          <w:szCs w:val="20"/>
          <w:lang w:val="es-DO"/>
        </w:rPr>
        <w:t>resolución</w:t>
      </w:r>
      <w:r w:rsidRPr="000864AE">
        <w:rPr>
          <w:rFonts w:ascii="Verdana" w:hAnsi="Verdana"/>
          <w:sz w:val="20"/>
          <w:szCs w:val="20"/>
          <w:lang w:val="es-DO"/>
        </w:rPr>
        <w:t xml:space="preserve"> del Tribunal Constitucional de 23 de abril de 2019, y tal como lo determinó</w:t>
      </w:r>
      <w:r w:rsidR="009706F2" w:rsidRPr="000864AE">
        <w:rPr>
          <w:rFonts w:ascii="Verdana" w:hAnsi="Verdana"/>
          <w:sz w:val="20"/>
          <w:szCs w:val="20"/>
          <w:lang w:val="es-DO"/>
        </w:rPr>
        <w:t xml:space="preserve"> dicho t</w:t>
      </w:r>
      <w:r w:rsidRPr="000864AE">
        <w:rPr>
          <w:rFonts w:ascii="Verdana" w:hAnsi="Verdana"/>
          <w:sz w:val="20"/>
          <w:szCs w:val="20"/>
          <w:lang w:val="es-DO"/>
        </w:rPr>
        <w:t>ribunal, aún no se habría garantizado el pago de lo</w:t>
      </w:r>
      <w:r w:rsidR="00304F1F" w:rsidRPr="000864AE">
        <w:rPr>
          <w:rFonts w:ascii="Verdana" w:hAnsi="Verdana"/>
          <w:sz w:val="20"/>
          <w:szCs w:val="20"/>
          <w:lang w:val="es-DO"/>
        </w:rPr>
        <w:t xml:space="preserve">s reintegros que correspondían </w:t>
      </w:r>
      <w:r w:rsidRPr="000864AE">
        <w:rPr>
          <w:rFonts w:ascii="Verdana" w:hAnsi="Verdana"/>
          <w:sz w:val="20"/>
          <w:szCs w:val="20"/>
          <w:lang w:val="es-DO"/>
        </w:rPr>
        <w:t>a las presuntas víctimas conforme al informe pericial de 18 de octubre de 2011. Lo anterior constituyó</w:t>
      </w:r>
      <w:r w:rsidR="006B4675" w:rsidRPr="000864AE">
        <w:rPr>
          <w:rFonts w:ascii="Verdana" w:hAnsi="Verdana"/>
          <w:sz w:val="20"/>
          <w:szCs w:val="20"/>
          <w:lang w:val="es-DO"/>
        </w:rPr>
        <w:t xml:space="preserve"> </w:t>
      </w:r>
      <w:r w:rsidRPr="000864AE">
        <w:rPr>
          <w:rFonts w:ascii="Verdana" w:hAnsi="Verdana"/>
          <w:sz w:val="20"/>
          <w:szCs w:val="20"/>
          <w:lang w:val="es-DO"/>
        </w:rPr>
        <w:t>una violación a lo estipulado en el artículo 25.2.c de la Convención Americana.</w:t>
      </w:r>
    </w:p>
    <w:p w14:paraId="02F2976E" w14:textId="77777777" w:rsidR="00B86B27" w:rsidRPr="000864AE" w:rsidRDefault="00B86B27" w:rsidP="000864AE">
      <w:pPr>
        <w:pStyle w:val="Prrafodelista"/>
        <w:spacing w:after="0" w:line="240" w:lineRule="auto"/>
        <w:rPr>
          <w:rFonts w:ascii="Verdana" w:hAnsi="Verdana"/>
          <w:sz w:val="20"/>
          <w:szCs w:val="20"/>
          <w:lang w:val="es-DO"/>
        </w:rPr>
      </w:pPr>
    </w:p>
    <w:p w14:paraId="1B9B5933" w14:textId="0CC2DFD4" w:rsidR="003B2E08" w:rsidRPr="000864AE" w:rsidRDefault="00B86B27" w:rsidP="000864AE">
      <w:pPr>
        <w:pStyle w:val="Prrafodelista"/>
        <w:numPr>
          <w:ilvl w:val="0"/>
          <w:numId w:val="10"/>
        </w:numPr>
        <w:spacing w:after="0" w:line="240" w:lineRule="auto"/>
        <w:ind w:left="0" w:firstLine="0"/>
        <w:jc w:val="both"/>
        <w:rPr>
          <w:rFonts w:ascii="Verdana" w:hAnsi="Verdana"/>
          <w:sz w:val="20"/>
          <w:szCs w:val="20"/>
          <w:lang w:val="es-DO"/>
        </w:rPr>
      </w:pPr>
      <w:r w:rsidRPr="000864AE">
        <w:rPr>
          <w:rFonts w:ascii="Verdana" w:hAnsi="Verdana"/>
          <w:sz w:val="20"/>
          <w:szCs w:val="20"/>
          <w:lang w:val="es-DO"/>
        </w:rPr>
        <w:t>En relación con lo anterior, en primer lugar, este Tribunal recuerda que aquellas personas o grupos que hayan sido víctimas de una violación a su derecho a la seguridad social deben tener acceso a recursos judiciales o de otro tipo eficaces, así como</w:t>
      </w:r>
      <w:r w:rsidR="00053435" w:rsidRPr="000864AE">
        <w:rPr>
          <w:rFonts w:ascii="Verdana" w:hAnsi="Verdana"/>
          <w:sz w:val="20"/>
          <w:szCs w:val="20"/>
          <w:lang w:val="es-DO"/>
        </w:rPr>
        <w:t xml:space="preserve"> a</w:t>
      </w:r>
      <w:r w:rsidRPr="000864AE">
        <w:rPr>
          <w:rFonts w:ascii="Verdana" w:hAnsi="Verdana"/>
          <w:sz w:val="20"/>
          <w:szCs w:val="20"/>
          <w:lang w:val="es-DO"/>
        </w:rPr>
        <w:t xml:space="preserve"> la reparación correspondiente</w:t>
      </w:r>
      <w:r w:rsidRPr="000864AE">
        <w:rPr>
          <w:rStyle w:val="Refdenotaalpie"/>
          <w:rFonts w:ascii="Verdana" w:hAnsi="Verdana"/>
          <w:sz w:val="20"/>
          <w:szCs w:val="20"/>
          <w:lang w:val="es-DO"/>
        </w:rPr>
        <w:footnoteReference w:id="267"/>
      </w:r>
      <w:r w:rsidRPr="000864AE">
        <w:rPr>
          <w:rFonts w:ascii="Verdana" w:hAnsi="Verdana"/>
          <w:sz w:val="20"/>
          <w:szCs w:val="20"/>
          <w:lang w:val="es-DO"/>
        </w:rPr>
        <w:t>. En el presente caso</w:t>
      </w:r>
      <w:r w:rsidR="00304F1F" w:rsidRPr="000864AE">
        <w:rPr>
          <w:rFonts w:ascii="Verdana" w:hAnsi="Verdana"/>
          <w:sz w:val="20"/>
          <w:szCs w:val="20"/>
          <w:lang w:val="es-DO"/>
        </w:rPr>
        <w:t>,</w:t>
      </w:r>
      <w:r w:rsidRPr="000864AE">
        <w:rPr>
          <w:rFonts w:ascii="Verdana" w:hAnsi="Verdana"/>
          <w:sz w:val="20"/>
          <w:szCs w:val="20"/>
          <w:lang w:val="es-DO"/>
        </w:rPr>
        <w:t xml:space="preserve"> no queda duda que el simple reconocimiento del derecho de las presuntas víctimas a recibir sus pensiones niveladas</w:t>
      </w:r>
      <w:r w:rsidR="00BD4F44" w:rsidRPr="000864AE">
        <w:rPr>
          <w:rFonts w:ascii="Verdana" w:hAnsi="Verdana"/>
          <w:sz w:val="20"/>
          <w:szCs w:val="20"/>
          <w:lang w:val="es-DO"/>
        </w:rPr>
        <w:t>,</w:t>
      </w:r>
      <w:r w:rsidRPr="000864AE">
        <w:rPr>
          <w:rFonts w:ascii="Verdana" w:hAnsi="Verdana"/>
          <w:sz w:val="20"/>
          <w:szCs w:val="20"/>
          <w:lang w:val="es-DO"/>
        </w:rPr>
        <w:t xml:space="preserve"> y los reintegros correspondientes</w:t>
      </w:r>
      <w:r w:rsidR="00BD4F44" w:rsidRPr="000864AE">
        <w:rPr>
          <w:rFonts w:ascii="Verdana" w:hAnsi="Verdana"/>
          <w:sz w:val="20"/>
          <w:szCs w:val="20"/>
          <w:lang w:val="es-DO"/>
        </w:rPr>
        <w:t>,</w:t>
      </w:r>
      <w:r w:rsidRPr="000864AE">
        <w:rPr>
          <w:rFonts w:ascii="Verdana" w:hAnsi="Verdana"/>
          <w:sz w:val="20"/>
          <w:szCs w:val="20"/>
          <w:lang w:val="es-DO"/>
        </w:rPr>
        <w:t xml:space="preserve"> no implicó que su derecho se haya visto satisfecho o materializado. Es indispensable, en aras de darle eficacia material, que efectivamente se cumplan las sentencias dictadas a nivel interno en favor de las presuntas víctimas y se paguen los montos pendientes en los términos ya establecidos </w:t>
      </w:r>
      <w:r w:rsidR="00456CC2" w:rsidRPr="000864AE">
        <w:rPr>
          <w:rFonts w:ascii="Verdana" w:hAnsi="Verdana"/>
          <w:sz w:val="20"/>
          <w:szCs w:val="20"/>
          <w:lang w:val="es-DO"/>
        </w:rPr>
        <w:t>por la sentencia de 9 de agosto de 2011</w:t>
      </w:r>
      <w:r w:rsidR="0064198F" w:rsidRPr="000864AE">
        <w:rPr>
          <w:rFonts w:ascii="Verdana" w:hAnsi="Verdana"/>
          <w:sz w:val="20"/>
          <w:szCs w:val="20"/>
          <w:lang w:val="es-DO"/>
        </w:rPr>
        <w:t>,</w:t>
      </w:r>
      <w:r w:rsidR="00456CC2" w:rsidRPr="000864AE">
        <w:rPr>
          <w:rFonts w:ascii="Verdana" w:hAnsi="Verdana"/>
          <w:sz w:val="20"/>
          <w:szCs w:val="20"/>
          <w:lang w:val="es-DO"/>
        </w:rPr>
        <w:t xml:space="preserve"> y </w:t>
      </w:r>
      <w:r w:rsidRPr="000864AE">
        <w:rPr>
          <w:rFonts w:ascii="Verdana" w:hAnsi="Verdana"/>
          <w:sz w:val="20"/>
          <w:szCs w:val="20"/>
          <w:lang w:val="es-DO"/>
        </w:rPr>
        <w:t xml:space="preserve">definitivamente por la sentencia del Tribunal Constitucional de 23 de abril de 2019. En consecuencia, la Corte concluye que el Estado también afectó </w:t>
      </w:r>
      <w:r w:rsidR="00456CC2" w:rsidRPr="000864AE">
        <w:rPr>
          <w:rFonts w:ascii="Verdana" w:hAnsi="Verdana"/>
          <w:sz w:val="20"/>
          <w:szCs w:val="20"/>
          <w:lang w:val="es-DO"/>
        </w:rPr>
        <w:t>el</w:t>
      </w:r>
      <w:r w:rsidR="00A82B59" w:rsidRPr="000864AE">
        <w:rPr>
          <w:rFonts w:ascii="Verdana" w:hAnsi="Verdana"/>
          <w:sz w:val="20"/>
          <w:szCs w:val="20"/>
          <w:lang w:val="es-DO"/>
        </w:rPr>
        <w:t xml:space="preserve"> derecho a la seguridad social.</w:t>
      </w:r>
    </w:p>
    <w:p w14:paraId="566167A0" w14:textId="77777777" w:rsidR="003B2E08" w:rsidRPr="000864AE" w:rsidRDefault="003B2E08" w:rsidP="000864AE">
      <w:pPr>
        <w:pStyle w:val="Prrafodelista"/>
        <w:spacing w:after="0" w:line="240" w:lineRule="auto"/>
        <w:ind w:left="0"/>
        <w:jc w:val="both"/>
        <w:rPr>
          <w:rFonts w:ascii="Verdana" w:hAnsi="Verdana"/>
          <w:sz w:val="20"/>
          <w:szCs w:val="20"/>
          <w:lang w:val="es-DO"/>
        </w:rPr>
      </w:pPr>
    </w:p>
    <w:p w14:paraId="13EACB24" w14:textId="6EBF45C8" w:rsidR="003B2E08" w:rsidRPr="000864AE" w:rsidRDefault="00BD4F44" w:rsidP="000864AE">
      <w:pPr>
        <w:pStyle w:val="Prrafodelista"/>
        <w:numPr>
          <w:ilvl w:val="0"/>
          <w:numId w:val="10"/>
        </w:numPr>
        <w:spacing w:after="0" w:line="240" w:lineRule="auto"/>
        <w:ind w:left="0" w:firstLine="0"/>
        <w:jc w:val="both"/>
        <w:rPr>
          <w:rFonts w:ascii="Verdana" w:hAnsi="Verdana"/>
          <w:sz w:val="20"/>
          <w:szCs w:val="20"/>
          <w:lang w:val="es-DO"/>
        </w:rPr>
      </w:pPr>
      <w:r w:rsidRPr="000864AE">
        <w:rPr>
          <w:rFonts w:ascii="Verdana" w:hAnsi="Verdana"/>
          <w:sz w:val="20"/>
          <w:szCs w:val="20"/>
          <w:lang w:val="es-DO"/>
        </w:rPr>
        <w:t xml:space="preserve">Al respecto, la Corte recuerda que si bien la sentencia que reconoció los derechos pensionarios de las presuntas víctimas fue emitida el 25 de octubre de 1993, los aspectos elementales para su ejecución no fueron determinados inmediatamente por el Estado, sino que tuvieron que ser delimitados gradualmente por los tribunales internos. Dado que la sentencia de 25 de octubre de 1993 reconoció de manera general el derecho de las presuntas víctimas a la nivelación de sus pensiones, era preciso que el Estado determinara con especial celeridad, tomando en consideración la naturaleza del derecho involucrado (seguridad social), los elementos indispensables para garantizar su ejecución rápida e integral. En atención a la dualidad de regímenes laborales imperante en la SUNAT a partir del Decreto 673, la materialización del derecho de las presuntas víctimas a recibir sus pensiones niveladas dependía de que el Estado subsanara la ambigüedad de la sentencia de 25 de octubre de 1993, determinando el régimen con base al cual debía efectuarse la nivelación. </w:t>
      </w:r>
    </w:p>
    <w:p w14:paraId="50FBA35A" w14:textId="77777777" w:rsidR="003B2E08" w:rsidRPr="000864AE" w:rsidRDefault="003B2E08" w:rsidP="000864AE">
      <w:pPr>
        <w:pStyle w:val="Prrafodelista"/>
        <w:spacing w:after="0" w:line="240" w:lineRule="auto"/>
        <w:ind w:left="0"/>
        <w:jc w:val="both"/>
        <w:rPr>
          <w:rFonts w:ascii="Verdana" w:hAnsi="Verdana"/>
          <w:b/>
          <w:sz w:val="20"/>
          <w:szCs w:val="20"/>
          <w:lang w:val="es-DO"/>
        </w:rPr>
      </w:pPr>
    </w:p>
    <w:p w14:paraId="4D0D20DA" w14:textId="7DEE09B3" w:rsidR="003B2E08" w:rsidRPr="000864AE" w:rsidRDefault="003B2E08" w:rsidP="000864AE">
      <w:pPr>
        <w:pStyle w:val="Prrafodelista"/>
        <w:numPr>
          <w:ilvl w:val="0"/>
          <w:numId w:val="10"/>
        </w:numPr>
        <w:spacing w:after="0" w:line="240" w:lineRule="auto"/>
        <w:ind w:left="0" w:firstLine="0"/>
        <w:jc w:val="both"/>
        <w:rPr>
          <w:rFonts w:ascii="Verdana" w:hAnsi="Verdana"/>
          <w:sz w:val="20"/>
          <w:szCs w:val="20"/>
          <w:lang w:val="es-DO"/>
        </w:rPr>
      </w:pPr>
      <w:r w:rsidRPr="000864AE">
        <w:rPr>
          <w:rFonts w:ascii="Verdana" w:hAnsi="Verdana"/>
          <w:sz w:val="20"/>
          <w:szCs w:val="20"/>
          <w:lang w:val="es-DO"/>
        </w:rPr>
        <w:t>Sin embargo, la Corte nota que, pese a que la restitución de los derechos de las presuntas víctima</w:t>
      </w:r>
      <w:r w:rsidR="00053435" w:rsidRPr="000864AE">
        <w:rPr>
          <w:rFonts w:ascii="Verdana" w:hAnsi="Verdana"/>
          <w:sz w:val="20"/>
          <w:szCs w:val="20"/>
          <w:lang w:val="es-DO"/>
        </w:rPr>
        <w:t>s se produjo en octubre de 1993</w:t>
      </w:r>
      <w:r w:rsidRPr="000864AE">
        <w:rPr>
          <w:rFonts w:ascii="Verdana" w:hAnsi="Verdana"/>
          <w:sz w:val="20"/>
          <w:szCs w:val="20"/>
          <w:lang w:val="es-DO"/>
        </w:rPr>
        <w:t xml:space="preserve"> con la sentencia de la Corte Suprema, tuvieron que transcurrir cerca de 18 años a partir de la sentencia emitida el 9 de agosto de 2011 por el Tribunal Constitucional para que el Estado fijara de modo definitivo, con carácter de la cosa irrevocablemente juzgada, el régimen laboral con cuyas remuneraciones se nivelarían las pensiones de las presuntas víctimas. Esto implicó que durante dicho lapso de tiempo el contenido material del derecho a la nivelación fuera incierto, porqu</w:t>
      </w:r>
      <w:r w:rsidR="00053435" w:rsidRPr="000864AE">
        <w:rPr>
          <w:rFonts w:ascii="Verdana" w:hAnsi="Verdana"/>
          <w:sz w:val="20"/>
          <w:szCs w:val="20"/>
          <w:lang w:val="es-DO"/>
        </w:rPr>
        <w:t>e no se había determinado cómo e</w:t>
      </w:r>
      <w:r w:rsidRPr="000864AE">
        <w:rPr>
          <w:rFonts w:ascii="Verdana" w:hAnsi="Verdana"/>
          <w:sz w:val="20"/>
          <w:szCs w:val="20"/>
          <w:lang w:val="es-DO"/>
        </w:rPr>
        <w:t>sta debía efectuarse, y subsecuentemente cuáles serían sus alcances pecuniarios. La indeterminación de la modalidad bajo la cual operaría la nivelación significó, a su vez, la indeterminación de la cuantía a que efectivamente ascendían las pensiones de las presuntas víctimas. Estos hechos constituyeron una afectación del derecho a la seguridad social de las presuntas víctimas, pues la Corte considera que una de las obligaciones inmediatas que atañen al Estado para el ej</w:t>
      </w:r>
      <w:r w:rsidR="00C818BD" w:rsidRPr="000864AE">
        <w:rPr>
          <w:rFonts w:ascii="Verdana" w:hAnsi="Verdana"/>
          <w:sz w:val="20"/>
          <w:szCs w:val="20"/>
          <w:lang w:val="es-DO"/>
        </w:rPr>
        <w:t xml:space="preserve">ercicio pleno de este derecho </w:t>
      </w:r>
      <w:r w:rsidRPr="000864AE">
        <w:rPr>
          <w:rFonts w:ascii="Verdana" w:hAnsi="Verdana"/>
          <w:sz w:val="20"/>
          <w:szCs w:val="20"/>
          <w:lang w:val="es-DO"/>
        </w:rPr>
        <w:t>comporta que las personas puedan prever los recursos económicos con los cuales contarán para vivir dignamente durante su vejez.</w:t>
      </w:r>
    </w:p>
    <w:p w14:paraId="07FE2C23" w14:textId="77777777" w:rsidR="003B2E08" w:rsidRPr="000864AE" w:rsidRDefault="003B2E08" w:rsidP="000864AE">
      <w:pPr>
        <w:pStyle w:val="Prrafodelista"/>
        <w:spacing w:after="0" w:line="240" w:lineRule="auto"/>
        <w:ind w:left="0"/>
        <w:jc w:val="both"/>
        <w:rPr>
          <w:rFonts w:ascii="Verdana" w:hAnsi="Verdana"/>
          <w:sz w:val="20"/>
          <w:szCs w:val="20"/>
          <w:lang w:val="es-DO"/>
        </w:rPr>
      </w:pPr>
    </w:p>
    <w:p w14:paraId="410F1FB3" w14:textId="3637033F" w:rsidR="00655238" w:rsidRPr="000864AE" w:rsidRDefault="00B86B27" w:rsidP="000864AE">
      <w:pPr>
        <w:pStyle w:val="Prrafodelista"/>
        <w:numPr>
          <w:ilvl w:val="0"/>
          <w:numId w:val="10"/>
        </w:numPr>
        <w:spacing w:after="0" w:line="240" w:lineRule="auto"/>
        <w:ind w:left="0" w:firstLine="0"/>
        <w:jc w:val="both"/>
        <w:rPr>
          <w:rFonts w:ascii="Verdana" w:hAnsi="Verdana"/>
          <w:sz w:val="20"/>
          <w:szCs w:val="20"/>
          <w:lang w:val="es-DO"/>
        </w:rPr>
      </w:pPr>
      <w:r w:rsidRPr="000864AE">
        <w:rPr>
          <w:rFonts w:ascii="Verdana" w:hAnsi="Verdana"/>
          <w:sz w:val="20"/>
          <w:szCs w:val="20"/>
          <w:lang w:val="es-DO"/>
        </w:rPr>
        <w:t xml:space="preserve">En segundo lugar, el Tribunal advierte que uno </w:t>
      </w:r>
      <w:r w:rsidR="00053435" w:rsidRPr="000864AE">
        <w:rPr>
          <w:rFonts w:ascii="Verdana" w:hAnsi="Verdana"/>
          <w:sz w:val="20"/>
          <w:szCs w:val="20"/>
          <w:lang w:val="es-DO"/>
        </w:rPr>
        <w:t>de los elementos que conforman</w:t>
      </w:r>
      <w:r w:rsidRPr="000864AE">
        <w:rPr>
          <w:rFonts w:ascii="Verdana" w:hAnsi="Verdana"/>
          <w:sz w:val="20"/>
          <w:szCs w:val="20"/>
          <w:lang w:val="es-DO"/>
        </w:rPr>
        <w:t xml:space="preserve"> la seguridad social es la accesibilidad, la cual a su vez incluye “el derecho de las personas y las organizaciones a recabar, recibir, y distribuir información sobre todos los derechos ofrecidos por la seguridad social de manera transparente”</w:t>
      </w:r>
      <w:r w:rsidRPr="000864AE">
        <w:rPr>
          <w:rStyle w:val="Refdenotaalpie"/>
          <w:rFonts w:ascii="Verdana" w:hAnsi="Verdana"/>
          <w:sz w:val="20"/>
          <w:szCs w:val="20"/>
          <w:lang w:val="es-DO"/>
        </w:rPr>
        <w:footnoteReference w:id="268"/>
      </w:r>
      <w:r w:rsidRPr="000864AE">
        <w:rPr>
          <w:rFonts w:ascii="Verdana" w:hAnsi="Verdana"/>
          <w:sz w:val="20"/>
          <w:szCs w:val="20"/>
          <w:lang w:val="es-DO"/>
        </w:rPr>
        <w:t>. En el presente caso, el Tribunal considera que las presuntas víctimas t</w:t>
      </w:r>
      <w:r w:rsidR="00053435" w:rsidRPr="000864AE">
        <w:rPr>
          <w:rFonts w:ascii="Verdana" w:hAnsi="Verdana"/>
          <w:sz w:val="20"/>
          <w:szCs w:val="20"/>
          <w:lang w:val="es-DO"/>
        </w:rPr>
        <w:t>enían el derecho a ser informada</w:t>
      </w:r>
      <w:r w:rsidRPr="000864AE">
        <w:rPr>
          <w:rFonts w:ascii="Verdana" w:hAnsi="Verdana"/>
          <w:sz w:val="20"/>
          <w:szCs w:val="20"/>
          <w:lang w:val="es-DO"/>
        </w:rPr>
        <w:t>s, de forma oportuna, clara, transparente y completa de los efectos que tendría para sus pensiones acogerse al Programa de Renuncias Voluntarias dispuesto por el Decreto 639 como parte de las medidas de reestructuración orgánica y racionalización de los recursos de la SUNAT. Esta situación no ocurrió en el presente caso, pues si bien al momento en que las presuntas víctimas renunciaron a la SUNAT podían razonablemente esperar que sus pensiones serían niveladas con arreglo a “</w:t>
      </w:r>
      <w:r w:rsidRPr="000864AE">
        <w:rPr>
          <w:rFonts w:ascii="Verdana" w:hAnsi="Verdana"/>
          <w:sz w:val="20"/>
          <w:szCs w:val="20"/>
        </w:rPr>
        <w:t>los haberes de los servidores públicos en actividad”</w:t>
      </w:r>
      <w:r w:rsidRPr="000864AE">
        <w:rPr>
          <w:rStyle w:val="Refdenotaalpie"/>
          <w:rFonts w:ascii="Verdana" w:hAnsi="Verdana"/>
          <w:sz w:val="20"/>
          <w:szCs w:val="20"/>
        </w:rPr>
        <w:footnoteReference w:id="269"/>
      </w:r>
      <w:r w:rsidRPr="000864AE">
        <w:rPr>
          <w:rFonts w:ascii="Verdana" w:hAnsi="Verdana"/>
          <w:sz w:val="20"/>
          <w:szCs w:val="20"/>
        </w:rPr>
        <w:t>, los cuales eran regulados por el Decreto 276 por ser el régimen general de todos los trabajadores de la SUNAT</w:t>
      </w:r>
      <w:r w:rsidRPr="000864AE">
        <w:rPr>
          <w:rStyle w:val="Refdenotaalpie"/>
          <w:rFonts w:ascii="Verdana" w:hAnsi="Verdana"/>
          <w:sz w:val="20"/>
          <w:szCs w:val="20"/>
        </w:rPr>
        <w:footnoteReference w:id="270"/>
      </w:r>
      <w:r w:rsidRPr="000864AE">
        <w:rPr>
          <w:rFonts w:ascii="Verdana" w:hAnsi="Verdana"/>
          <w:sz w:val="20"/>
          <w:szCs w:val="20"/>
        </w:rPr>
        <w:t>,</w:t>
      </w:r>
      <w:r w:rsidRPr="000864AE">
        <w:rPr>
          <w:rFonts w:ascii="Verdana" w:hAnsi="Verdana"/>
          <w:sz w:val="20"/>
          <w:szCs w:val="20"/>
          <w:lang w:val="es-DO"/>
        </w:rPr>
        <w:t xml:space="preserve"> con la entrada en vigor del Decreto 673 se modificó el régimen laboral correspondiente al personal de la SUNAT, y por lo tanto también las expectativas respecto al monto que las </w:t>
      </w:r>
      <w:r w:rsidR="00053435" w:rsidRPr="000864AE">
        <w:rPr>
          <w:rFonts w:ascii="Verdana" w:hAnsi="Verdana"/>
          <w:sz w:val="20"/>
          <w:szCs w:val="20"/>
          <w:lang w:val="es-DO"/>
        </w:rPr>
        <w:t>presuntas</w:t>
      </w:r>
      <w:r w:rsidRPr="000864AE">
        <w:rPr>
          <w:rFonts w:ascii="Verdana" w:hAnsi="Verdana"/>
          <w:sz w:val="20"/>
          <w:szCs w:val="20"/>
          <w:lang w:val="es-DO"/>
        </w:rPr>
        <w:t xml:space="preserve"> víctimas recibirían como pensionados</w:t>
      </w:r>
      <w:r w:rsidRPr="000864AE">
        <w:rPr>
          <w:rStyle w:val="Refdenotaalpie"/>
          <w:rFonts w:ascii="Verdana" w:hAnsi="Verdana"/>
          <w:sz w:val="20"/>
          <w:szCs w:val="20"/>
          <w:lang w:val="es-DO"/>
        </w:rPr>
        <w:footnoteReference w:id="271"/>
      </w:r>
      <w:r w:rsidR="00B128F9" w:rsidRPr="000864AE">
        <w:rPr>
          <w:rFonts w:ascii="Verdana" w:hAnsi="Verdana"/>
          <w:sz w:val="20"/>
          <w:szCs w:val="20"/>
          <w:lang w:val="es-DO"/>
        </w:rPr>
        <w:t>.</w:t>
      </w:r>
    </w:p>
    <w:p w14:paraId="404B18BC" w14:textId="77777777" w:rsidR="00655238" w:rsidRPr="000864AE" w:rsidRDefault="00655238" w:rsidP="000864AE">
      <w:pPr>
        <w:pStyle w:val="Prrafodelista"/>
        <w:spacing w:after="0" w:line="240" w:lineRule="auto"/>
        <w:ind w:left="0"/>
        <w:jc w:val="both"/>
        <w:rPr>
          <w:rFonts w:ascii="Verdana" w:hAnsi="Verdana"/>
          <w:sz w:val="20"/>
          <w:szCs w:val="20"/>
          <w:lang w:val="es-DO"/>
        </w:rPr>
      </w:pPr>
    </w:p>
    <w:p w14:paraId="3EACB719" w14:textId="573EAB70" w:rsidR="00655238" w:rsidRPr="000864AE" w:rsidRDefault="00B86B27" w:rsidP="000864AE">
      <w:pPr>
        <w:pStyle w:val="Prrafodelista"/>
        <w:numPr>
          <w:ilvl w:val="0"/>
          <w:numId w:val="10"/>
        </w:numPr>
        <w:spacing w:after="0" w:line="240" w:lineRule="auto"/>
        <w:ind w:left="0" w:firstLine="0"/>
        <w:jc w:val="both"/>
        <w:rPr>
          <w:rFonts w:ascii="Verdana" w:hAnsi="Verdana"/>
          <w:sz w:val="20"/>
          <w:szCs w:val="20"/>
          <w:lang w:val="es-DO"/>
        </w:rPr>
      </w:pPr>
      <w:r w:rsidRPr="000864AE">
        <w:rPr>
          <w:rFonts w:ascii="Verdana" w:hAnsi="Verdana"/>
          <w:sz w:val="20"/>
          <w:szCs w:val="20"/>
          <w:lang w:val="es-DO"/>
        </w:rPr>
        <w:t xml:space="preserve">De la información con la que cuenta el Tribunal, </w:t>
      </w:r>
      <w:r w:rsidR="00D144F0" w:rsidRPr="000864AE">
        <w:rPr>
          <w:rFonts w:ascii="Verdana" w:hAnsi="Verdana"/>
          <w:sz w:val="20"/>
          <w:szCs w:val="20"/>
          <w:lang w:val="es-DO"/>
        </w:rPr>
        <w:t xml:space="preserve">se desprende que </w:t>
      </w:r>
      <w:r w:rsidRPr="000864AE">
        <w:rPr>
          <w:rFonts w:ascii="Verdana" w:hAnsi="Verdana"/>
          <w:sz w:val="20"/>
          <w:szCs w:val="20"/>
          <w:lang w:val="es-DO"/>
        </w:rPr>
        <w:t>el Estado nunca informó de manera oportuna y completa a los trabajadores de la SUNAT sobre los efectos prácticos que la aplicación de los Decretos 639 y 673 tendrían en el pago de sus pensiones como personas</w:t>
      </w:r>
      <w:r w:rsidR="00053435" w:rsidRPr="000864AE">
        <w:rPr>
          <w:rFonts w:ascii="Verdana" w:hAnsi="Verdana"/>
          <w:sz w:val="20"/>
          <w:szCs w:val="20"/>
          <w:lang w:val="es-DO"/>
        </w:rPr>
        <w:t xml:space="preserve"> sujetas al régimen pensionario</w:t>
      </w:r>
      <w:r w:rsidRPr="000864AE">
        <w:rPr>
          <w:rFonts w:ascii="Verdana" w:hAnsi="Verdana"/>
          <w:sz w:val="20"/>
          <w:szCs w:val="20"/>
          <w:lang w:val="es-DO"/>
        </w:rPr>
        <w:t xml:space="preserve"> del Decreto 20530, por lo que las presuntas víctimas carecieron de información adecuada sobre el impacto que esto tendría en los montos que percibirían </w:t>
      </w:r>
      <w:r w:rsidR="00053435" w:rsidRPr="000864AE">
        <w:rPr>
          <w:rFonts w:ascii="Verdana" w:hAnsi="Verdana"/>
          <w:sz w:val="20"/>
          <w:szCs w:val="20"/>
          <w:lang w:val="es-DO"/>
        </w:rPr>
        <w:t>como su</w:t>
      </w:r>
      <w:r w:rsidRPr="000864AE">
        <w:rPr>
          <w:rFonts w:ascii="Verdana" w:hAnsi="Verdana"/>
          <w:sz w:val="20"/>
          <w:szCs w:val="20"/>
          <w:lang w:val="es-DO"/>
        </w:rPr>
        <w:t xml:space="preserve"> pensión. La falta de una regulación clara sobre la materia en la época de los hechos que estableciera cómo se protegerían los derechos pensionarios de </w:t>
      </w:r>
      <w:r w:rsidR="00053435" w:rsidRPr="000864AE">
        <w:rPr>
          <w:rFonts w:ascii="Verdana" w:hAnsi="Verdana"/>
          <w:sz w:val="20"/>
          <w:szCs w:val="20"/>
          <w:lang w:val="es-DO"/>
        </w:rPr>
        <w:t>los</w:t>
      </w:r>
      <w:r w:rsidRPr="000864AE">
        <w:rPr>
          <w:rFonts w:ascii="Verdana" w:hAnsi="Verdana"/>
          <w:sz w:val="20"/>
          <w:szCs w:val="20"/>
          <w:lang w:val="es-DO"/>
        </w:rPr>
        <w:t xml:space="preserve"> jubilados que se acogieran al régimen previsto por el Decreto 639 agravó esta situación, y trajo como consecuenc</w:t>
      </w:r>
      <w:r w:rsidR="00053435" w:rsidRPr="000864AE">
        <w:rPr>
          <w:rFonts w:ascii="Verdana" w:hAnsi="Verdana"/>
          <w:sz w:val="20"/>
          <w:szCs w:val="20"/>
          <w:lang w:val="es-DO"/>
        </w:rPr>
        <w:t>ia un litigio que duró más de 27</w:t>
      </w:r>
      <w:r w:rsidRPr="000864AE">
        <w:rPr>
          <w:rFonts w:ascii="Verdana" w:hAnsi="Verdana"/>
          <w:sz w:val="20"/>
          <w:szCs w:val="20"/>
          <w:lang w:val="es-DO"/>
        </w:rPr>
        <w:t xml:space="preserve"> años respecto al alcance de la aplicación conjunta de los decretos antes mencionados. La Corte advierte la declaración de Ana María Ráez Guevara en el sentido de que no se habría jubilado en 1991 de haber sabido los efectos que tendría la aplicación de dicho</w:t>
      </w:r>
      <w:r w:rsidR="0056578A" w:rsidRPr="000864AE">
        <w:rPr>
          <w:rFonts w:ascii="Verdana" w:hAnsi="Verdana"/>
          <w:sz w:val="20"/>
          <w:szCs w:val="20"/>
          <w:lang w:val="es-DO"/>
        </w:rPr>
        <w:t xml:space="preserve"> decreto</w:t>
      </w:r>
      <w:r w:rsidRPr="000864AE">
        <w:rPr>
          <w:rFonts w:ascii="Verdana" w:hAnsi="Verdana"/>
          <w:sz w:val="20"/>
          <w:szCs w:val="20"/>
          <w:lang w:val="es-DO"/>
        </w:rPr>
        <w:t xml:space="preserve"> en la nivelación de su pensión</w:t>
      </w:r>
      <w:r w:rsidRPr="000864AE">
        <w:rPr>
          <w:rStyle w:val="Refdenotaalpie"/>
          <w:rFonts w:ascii="Verdana" w:hAnsi="Verdana"/>
          <w:sz w:val="20"/>
          <w:szCs w:val="20"/>
          <w:lang w:val="es-DO"/>
        </w:rPr>
        <w:footnoteReference w:id="272"/>
      </w:r>
      <w:r w:rsidRPr="000864AE">
        <w:rPr>
          <w:rFonts w:ascii="Verdana" w:hAnsi="Verdana"/>
          <w:sz w:val="20"/>
          <w:szCs w:val="20"/>
          <w:lang w:val="es-DO"/>
        </w:rPr>
        <w:t xml:space="preserve">. Asimismo, </w:t>
      </w:r>
      <w:r w:rsidR="00053435" w:rsidRPr="000864AE">
        <w:rPr>
          <w:rFonts w:ascii="Verdana" w:hAnsi="Verdana"/>
          <w:sz w:val="20"/>
          <w:szCs w:val="20"/>
          <w:lang w:val="es-DO"/>
        </w:rPr>
        <w:t>el Tribunal advierte que, tal como fue señalado por la perita</w:t>
      </w:r>
      <w:r w:rsidRPr="000864AE">
        <w:rPr>
          <w:rFonts w:ascii="Verdana" w:hAnsi="Verdana"/>
          <w:b/>
          <w:sz w:val="20"/>
          <w:szCs w:val="20"/>
          <w:lang w:val="es-DO"/>
        </w:rPr>
        <w:t xml:space="preserve"> </w:t>
      </w:r>
      <w:r w:rsidRPr="000864AE">
        <w:rPr>
          <w:rFonts w:ascii="Verdana" w:hAnsi="Verdana"/>
          <w:sz w:val="20"/>
          <w:szCs w:val="20"/>
        </w:rPr>
        <w:t>Vivia</w:t>
      </w:r>
      <w:r w:rsidR="0072745D" w:rsidRPr="000864AE">
        <w:rPr>
          <w:rFonts w:ascii="Verdana" w:hAnsi="Verdana"/>
          <w:sz w:val="20"/>
          <w:szCs w:val="20"/>
        </w:rPr>
        <w:t>na Frida Vais Gen Rivera, alguna</w:t>
      </w:r>
      <w:r w:rsidRPr="000864AE">
        <w:rPr>
          <w:rFonts w:ascii="Verdana" w:hAnsi="Verdana"/>
          <w:sz w:val="20"/>
          <w:szCs w:val="20"/>
        </w:rPr>
        <w:t>s de las presuntas víctimas manifestaron haberse sentido engañados por el Estado</w:t>
      </w:r>
      <w:r w:rsidRPr="000864AE">
        <w:rPr>
          <w:rStyle w:val="Refdenotaalpie"/>
          <w:rFonts w:ascii="Verdana" w:hAnsi="Verdana"/>
          <w:sz w:val="20"/>
          <w:szCs w:val="20"/>
        </w:rPr>
        <w:footnoteReference w:id="273"/>
      </w:r>
      <w:r w:rsidRPr="000864AE">
        <w:rPr>
          <w:rFonts w:ascii="Verdana" w:hAnsi="Verdana"/>
          <w:sz w:val="20"/>
          <w:szCs w:val="20"/>
        </w:rPr>
        <w:t>.</w:t>
      </w:r>
      <w:r w:rsidRPr="000864AE">
        <w:rPr>
          <w:rFonts w:ascii="Verdana" w:hAnsi="Verdana"/>
          <w:sz w:val="20"/>
          <w:szCs w:val="20"/>
          <w:lang w:val="es-DO"/>
        </w:rPr>
        <w:t xml:space="preserve"> </w:t>
      </w:r>
    </w:p>
    <w:p w14:paraId="3D54C417" w14:textId="77777777" w:rsidR="00655238" w:rsidRPr="000864AE" w:rsidRDefault="00655238" w:rsidP="000864AE">
      <w:pPr>
        <w:pStyle w:val="Prrafodelista"/>
        <w:spacing w:after="0" w:line="240" w:lineRule="auto"/>
        <w:ind w:left="0"/>
        <w:jc w:val="both"/>
        <w:rPr>
          <w:rFonts w:ascii="Verdana" w:hAnsi="Verdana"/>
          <w:sz w:val="20"/>
          <w:szCs w:val="20"/>
          <w:lang w:val="es-DO"/>
        </w:rPr>
      </w:pPr>
    </w:p>
    <w:p w14:paraId="63ABF41D" w14:textId="5FF2C2E1" w:rsidR="00655238" w:rsidRPr="000864AE" w:rsidRDefault="00953A15" w:rsidP="000864AE">
      <w:pPr>
        <w:pStyle w:val="Prrafodelista"/>
        <w:numPr>
          <w:ilvl w:val="0"/>
          <w:numId w:val="10"/>
        </w:numPr>
        <w:spacing w:after="0" w:line="240" w:lineRule="auto"/>
        <w:ind w:left="0" w:firstLine="0"/>
        <w:jc w:val="both"/>
        <w:rPr>
          <w:rFonts w:ascii="Verdana" w:hAnsi="Verdana"/>
          <w:sz w:val="20"/>
          <w:szCs w:val="20"/>
          <w:lang w:val="es-DO"/>
        </w:rPr>
      </w:pPr>
      <w:r w:rsidRPr="000864AE">
        <w:rPr>
          <w:rFonts w:ascii="Verdana" w:hAnsi="Verdana"/>
          <w:sz w:val="20"/>
          <w:szCs w:val="20"/>
          <w:lang w:val="es-DO"/>
        </w:rPr>
        <w:t>En tercer lugar, la Corte resalta que otro de los elementos fundamentales de la seguridad social lo constituye su relación con la garantía de otros derechos, pues este derecho “contribuye en gran medida a reforzar el ejercicio de muchos de los derechos económicos, sociales y culturales”</w:t>
      </w:r>
      <w:r w:rsidRPr="000864AE">
        <w:rPr>
          <w:rStyle w:val="Refdenotaalpie"/>
          <w:rFonts w:ascii="Verdana" w:hAnsi="Verdana"/>
          <w:lang w:val="es-DO"/>
        </w:rPr>
        <w:footnoteReference w:id="274"/>
      </w:r>
      <w:r w:rsidRPr="000864AE">
        <w:rPr>
          <w:rFonts w:ascii="Verdana" w:hAnsi="Verdana"/>
          <w:sz w:val="20"/>
          <w:szCs w:val="20"/>
          <w:lang w:val="es-DO"/>
        </w:rPr>
        <w:t>. En ese sentido, este Tribunal ha señalado que</w:t>
      </w:r>
      <w:r w:rsidRPr="000864AE">
        <w:rPr>
          <w:rFonts w:ascii="Verdana" w:eastAsia="Times" w:hAnsi="Verdana" w:cs="Arial"/>
          <w:sz w:val="20"/>
          <w:szCs w:val="20"/>
        </w:rPr>
        <w:t xml:space="preserve"> la pensión derivada de un sistema de contribuciones o cotizaciones es un</w:t>
      </w:r>
      <w:r w:rsidRPr="000864AE">
        <w:rPr>
          <w:rFonts w:ascii="Verdana" w:hAnsi="Verdana"/>
          <w:color w:val="000000"/>
          <w:sz w:val="20"/>
          <w:szCs w:val="20"/>
          <w:shd w:val="clear" w:color="auto" w:fill="FFFFFF"/>
          <w:lang w:val="es-PE"/>
        </w:rPr>
        <w:t xml:space="preserve"> componente de la seguridad social.</w:t>
      </w:r>
      <w:r w:rsidRPr="000864AE">
        <w:rPr>
          <w:rFonts w:ascii="Verdana" w:hAnsi="Verdana"/>
          <w:sz w:val="20"/>
          <w:szCs w:val="20"/>
          <w:lang w:val="es-DO"/>
        </w:rPr>
        <w:t xml:space="preserve"> Asimismo, que los Estados deben prestar servicios especiales para las personas </w:t>
      </w:r>
      <w:r w:rsidR="00773541" w:rsidRPr="000864AE">
        <w:rPr>
          <w:rFonts w:ascii="Verdana" w:hAnsi="Verdana"/>
          <w:sz w:val="20"/>
          <w:szCs w:val="20"/>
          <w:lang w:val="es-DO"/>
        </w:rPr>
        <w:t>mayores</w:t>
      </w:r>
      <w:r w:rsidRPr="000864AE">
        <w:rPr>
          <w:rFonts w:ascii="Verdana" w:hAnsi="Verdana"/>
          <w:sz w:val="20"/>
          <w:szCs w:val="20"/>
          <w:lang w:val="es-DO"/>
        </w:rPr>
        <w:t>, pues</w:t>
      </w:r>
      <w:r w:rsidR="00773541" w:rsidRPr="000864AE">
        <w:rPr>
          <w:rFonts w:ascii="Verdana" w:hAnsi="Verdana"/>
          <w:sz w:val="20"/>
          <w:szCs w:val="20"/>
          <w:lang w:val="es-DO"/>
        </w:rPr>
        <w:t xml:space="preserve"> l</w:t>
      </w:r>
      <w:r w:rsidR="002828B5" w:rsidRPr="000864AE">
        <w:rPr>
          <w:rFonts w:ascii="Verdana" w:hAnsi="Verdana"/>
          <w:sz w:val="20"/>
          <w:szCs w:val="20"/>
          <w:lang w:val="es-DO"/>
        </w:rPr>
        <w:t>a jubilacion</w:t>
      </w:r>
      <w:r w:rsidRPr="000864AE">
        <w:rPr>
          <w:rFonts w:ascii="Verdana" w:hAnsi="Verdana"/>
          <w:sz w:val="20"/>
          <w:szCs w:val="20"/>
          <w:lang w:val="es-DO"/>
        </w:rPr>
        <w:t xml:space="preserve"> constituye el único monto sustitutivo de salario que recibe</w:t>
      </w:r>
      <w:r w:rsidR="00053435" w:rsidRPr="000864AE">
        <w:rPr>
          <w:rFonts w:ascii="Verdana" w:hAnsi="Verdana"/>
          <w:sz w:val="20"/>
          <w:szCs w:val="20"/>
          <w:lang w:val="es-DO"/>
        </w:rPr>
        <w:t>n</w:t>
      </w:r>
      <w:r w:rsidRPr="000864AE">
        <w:rPr>
          <w:rFonts w:ascii="Verdana" w:hAnsi="Verdana"/>
          <w:sz w:val="20"/>
          <w:szCs w:val="20"/>
          <w:lang w:val="es-DO"/>
        </w:rPr>
        <w:t xml:space="preserve"> para suplir sus necesidades básicas. En definitiva, la pensión, y en general la seguridad social, constituyen un medio de protección para gozar de una vida digna.</w:t>
      </w:r>
    </w:p>
    <w:p w14:paraId="410A88C9" w14:textId="77777777" w:rsidR="00655238" w:rsidRPr="000864AE" w:rsidRDefault="00655238" w:rsidP="000864AE">
      <w:pPr>
        <w:pStyle w:val="Prrafodelista"/>
        <w:rPr>
          <w:rFonts w:ascii="Verdana" w:hAnsi="Verdana"/>
          <w:sz w:val="20"/>
          <w:szCs w:val="20"/>
          <w:lang w:val="es-DO"/>
        </w:rPr>
      </w:pPr>
    </w:p>
    <w:p w14:paraId="21FAFACD" w14:textId="5485C311" w:rsidR="00655238" w:rsidRPr="000864AE" w:rsidRDefault="00953A15" w:rsidP="000864AE">
      <w:pPr>
        <w:pStyle w:val="Prrafodelista"/>
        <w:numPr>
          <w:ilvl w:val="0"/>
          <w:numId w:val="10"/>
        </w:numPr>
        <w:spacing w:after="0" w:line="240" w:lineRule="auto"/>
        <w:ind w:left="0" w:firstLine="0"/>
        <w:jc w:val="both"/>
        <w:rPr>
          <w:rFonts w:ascii="Verdana" w:hAnsi="Verdana"/>
          <w:sz w:val="20"/>
          <w:szCs w:val="20"/>
          <w:lang w:val="es-DO"/>
        </w:rPr>
      </w:pPr>
      <w:r w:rsidRPr="000864AE">
        <w:rPr>
          <w:rFonts w:ascii="Verdana" w:hAnsi="Verdana"/>
          <w:sz w:val="20"/>
          <w:szCs w:val="20"/>
          <w:lang w:val="es-DO"/>
        </w:rPr>
        <w:t xml:space="preserve">La Corte considera que en el presente caso los derechos a la seguridad social y a la vida digna se interrelacionan, situación que se acentúa en el caso de personas mayores. El Tribunal ha señalado que la ausencia de recursos económicos ocasionada por la falta de pago de las mesadas pensionales genera en una persona mayor directamente un menoscabo en su dignidad, pues en esta etapa de su vida la pensión constituye la principal fuente de recursos económicos para solventar sus necesidades primarias y elementales como ser humano. Lo mismo puede afirmarse de la falta de otros conceptos que se encuentran directamente relacionados con la pensión, como son el pago de reintegros adeudados. De esta forma, la afectación del derecho a la seguridad social por </w:t>
      </w:r>
      <w:r w:rsidR="00053435" w:rsidRPr="000864AE">
        <w:rPr>
          <w:rFonts w:ascii="Verdana" w:hAnsi="Verdana"/>
          <w:sz w:val="20"/>
          <w:szCs w:val="20"/>
          <w:lang w:val="es-DO"/>
        </w:rPr>
        <w:t>la falta de</w:t>
      </w:r>
      <w:r w:rsidRPr="000864AE">
        <w:rPr>
          <w:rFonts w:ascii="Verdana" w:hAnsi="Verdana"/>
          <w:sz w:val="20"/>
          <w:szCs w:val="20"/>
          <w:lang w:val="es-DO"/>
        </w:rPr>
        <w:t xml:space="preserve"> pago de dichos reintegros implica angustia, inseguridad e incertidumbre en cuanto al futuro de una persona mayor por la posible falta de recursos económicos para su subsistencia, ya que la privación de un ingreso lleva intrínsecamente la privación en el avance y desarrollo de su calidad de vida y de su integridad personal</w:t>
      </w:r>
      <w:r w:rsidRPr="000864AE">
        <w:rPr>
          <w:rStyle w:val="Refdenotaalpie"/>
          <w:rFonts w:ascii="Verdana" w:hAnsi="Verdana"/>
          <w:lang w:val="es-DO"/>
        </w:rPr>
        <w:footnoteReference w:id="275"/>
      </w:r>
      <w:r w:rsidRPr="000864AE">
        <w:rPr>
          <w:rFonts w:ascii="Verdana" w:hAnsi="Verdana"/>
          <w:sz w:val="20"/>
          <w:szCs w:val="20"/>
          <w:lang w:val="es-DO"/>
        </w:rPr>
        <w:t>.</w:t>
      </w:r>
    </w:p>
    <w:p w14:paraId="0C52C5FD" w14:textId="77777777" w:rsidR="00655238" w:rsidRPr="000864AE" w:rsidRDefault="00655238" w:rsidP="000864AE">
      <w:pPr>
        <w:pStyle w:val="Prrafodelista"/>
        <w:rPr>
          <w:rFonts w:ascii="Verdana" w:hAnsi="Verdana"/>
          <w:sz w:val="20"/>
          <w:szCs w:val="20"/>
          <w:lang w:val="es-DO"/>
        </w:rPr>
      </w:pPr>
    </w:p>
    <w:p w14:paraId="51E8F4F6" w14:textId="080BBBB0" w:rsidR="00655238" w:rsidRPr="000864AE" w:rsidRDefault="00953A15" w:rsidP="000864AE">
      <w:pPr>
        <w:pStyle w:val="Prrafodelista"/>
        <w:numPr>
          <w:ilvl w:val="0"/>
          <w:numId w:val="10"/>
        </w:numPr>
        <w:spacing w:after="0" w:line="240" w:lineRule="auto"/>
        <w:ind w:left="0" w:firstLine="0"/>
        <w:jc w:val="both"/>
        <w:rPr>
          <w:rFonts w:ascii="Verdana" w:hAnsi="Verdana"/>
          <w:sz w:val="20"/>
          <w:szCs w:val="20"/>
          <w:lang w:val="es-DO"/>
        </w:rPr>
      </w:pPr>
      <w:r w:rsidRPr="000864AE">
        <w:rPr>
          <w:rFonts w:ascii="Verdana" w:hAnsi="Verdana"/>
          <w:sz w:val="20"/>
          <w:szCs w:val="20"/>
          <w:lang w:val="es-DO"/>
        </w:rPr>
        <w:t xml:space="preserve">El Tribunal recuerda que </w:t>
      </w:r>
      <w:r w:rsidRPr="000864AE">
        <w:rPr>
          <w:rFonts w:ascii="Verdana" w:hAnsi="Verdana"/>
          <w:sz w:val="20"/>
        </w:rPr>
        <w:t xml:space="preserve">el derecho a la vida es fundamental en la Convención Americana, </w:t>
      </w:r>
      <w:r w:rsidR="00053435" w:rsidRPr="000864AE">
        <w:rPr>
          <w:rFonts w:ascii="Verdana" w:hAnsi="Verdana"/>
          <w:sz w:val="20"/>
        </w:rPr>
        <w:t>toda vez que</w:t>
      </w:r>
      <w:r w:rsidRPr="000864AE">
        <w:rPr>
          <w:rFonts w:ascii="Verdana" w:hAnsi="Verdana"/>
          <w:sz w:val="20"/>
        </w:rPr>
        <w:t xml:space="preserve"> su salvaguarda depende la realización de los demás derechos</w:t>
      </w:r>
      <w:r w:rsidRPr="000864AE">
        <w:rPr>
          <w:rStyle w:val="Refdenotaalpie"/>
          <w:rFonts w:ascii="Verdana" w:hAnsi="Verdana"/>
        </w:rPr>
        <w:footnoteReference w:id="276"/>
      </w:r>
      <w:r w:rsidRPr="000864AE">
        <w:rPr>
          <w:rFonts w:ascii="Verdana" w:hAnsi="Verdana"/>
          <w:sz w:val="20"/>
        </w:rPr>
        <w:t>. Al no respetarse este derecho, todos los demás derechos desaparecen, puesto que se extingue su titular</w:t>
      </w:r>
      <w:r w:rsidRPr="000864AE">
        <w:rPr>
          <w:rStyle w:val="Refdenotaalpie"/>
          <w:rFonts w:ascii="Verdana" w:hAnsi="Verdana"/>
        </w:rPr>
        <w:footnoteReference w:id="277"/>
      </w:r>
      <w:r w:rsidRPr="000864AE">
        <w:rPr>
          <w:rFonts w:ascii="Verdana" w:hAnsi="Verdana"/>
          <w:sz w:val="20"/>
        </w:rPr>
        <w:t>. En razón de este carácter fundamental, el Tribunal ha sostenido que no son admisibles enfoques restrictivos al derecho a la vida y que este derecho comprende no sólo el derecho de todo ser humano de no ser privado de la vida arbitrariamente, sino también el derecho a que no se generen condiciones que le impidan o dificulten el acceso a una existencia digna</w:t>
      </w:r>
      <w:r w:rsidRPr="000864AE">
        <w:rPr>
          <w:rStyle w:val="Refdenotaalpie"/>
          <w:rFonts w:ascii="Verdana" w:hAnsi="Verdana"/>
        </w:rPr>
        <w:footnoteReference w:id="278"/>
      </w:r>
      <w:r w:rsidRPr="000864AE">
        <w:rPr>
          <w:rFonts w:ascii="Verdana" w:hAnsi="Verdana"/>
          <w:sz w:val="20"/>
        </w:rPr>
        <w:t>. En este sentido, una de las obligaciones que ineludiblemente debe asumir el Estado en su posición de garante, con el objetivo de proteger y garantizar el derecho a la vida, es generar las condiciones de vida mínimas compatibles con la dignidad de la persona humana y no producir condiciones que la dificulten o impidan</w:t>
      </w:r>
      <w:r w:rsidRPr="000864AE">
        <w:rPr>
          <w:rStyle w:val="Refdenotaalpie"/>
          <w:rFonts w:ascii="Verdana" w:hAnsi="Verdana"/>
        </w:rPr>
        <w:footnoteReference w:id="279"/>
      </w:r>
      <w:r w:rsidRPr="000864AE">
        <w:rPr>
          <w:rFonts w:ascii="Verdana" w:hAnsi="Verdana"/>
          <w:sz w:val="20"/>
        </w:rPr>
        <w:t>. Por esta razón, el Estado tiene el deber de adoptar medidas positivas, concretas y orientadas a la satisfacción del derecho a una vida digna, en especial cuando se trata de personas en situación de vulnerabilidad y riesgo, c</w:t>
      </w:r>
      <w:r w:rsidRPr="000864AE">
        <w:rPr>
          <w:rFonts w:ascii="Verdana" w:hAnsi="Verdana"/>
          <w:sz w:val="20"/>
          <w:szCs w:val="32"/>
        </w:rPr>
        <w:t>uya atención se vuelve prioritaria</w:t>
      </w:r>
      <w:r w:rsidRPr="000864AE">
        <w:rPr>
          <w:rStyle w:val="Refdenotaalpie"/>
          <w:rFonts w:ascii="Verdana" w:hAnsi="Verdana"/>
          <w:szCs w:val="32"/>
        </w:rPr>
        <w:footnoteReference w:id="280"/>
      </w:r>
      <w:r w:rsidR="009C71B6" w:rsidRPr="000864AE">
        <w:rPr>
          <w:rFonts w:ascii="Verdana" w:hAnsi="Verdana"/>
          <w:sz w:val="20"/>
          <w:szCs w:val="32"/>
        </w:rPr>
        <w:t>, como las personas mayores</w:t>
      </w:r>
      <w:r w:rsidR="004B204D" w:rsidRPr="000864AE">
        <w:rPr>
          <w:rStyle w:val="Refdenotaalpie"/>
          <w:rFonts w:ascii="Verdana" w:hAnsi="Verdana"/>
          <w:sz w:val="20"/>
          <w:szCs w:val="32"/>
        </w:rPr>
        <w:footnoteReference w:id="281"/>
      </w:r>
      <w:r w:rsidRPr="000864AE">
        <w:rPr>
          <w:rFonts w:ascii="Verdana" w:hAnsi="Verdana"/>
          <w:sz w:val="20"/>
          <w:szCs w:val="32"/>
        </w:rPr>
        <w:t>.</w:t>
      </w:r>
    </w:p>
    <w:p w14:paraId="33B20C29" w14:textId="77777777" w:rsidR="00655238" w:rsidRPr="000864AE" w:rsidRDefault="00655238" w:rsidP="000864AE">
      <w:pPr>
        <w:pStyle w:val="Prrafodelista"/>
        <w:spacing w:after="0" w:line="240" w:lineRule="auto"/>
        <w:ind w:left="0"/>
        <w:jc w:val="both"/>
        <w:rPr>
          <w:rFonts w:ascii="Verdana" w:hAnsi="Verdana"/>
          <w:sz w:val="20"/>
          <w:szCs w:val="20"/>
          <w:lang w:val="es-DO"/>
        </w:rPr>
      </w:pPr>
    </w:p>
    <w:p w14:paraId="0E36A2B5" w14:textId="2187F607" w:rsidR="00655238" w:rsidRPr="000864AE" w:rsidRDefault="00953A15" w:rsidP="000864AE">
      <w:pPr>
        <w:pStyle w:val="Prrafodelista"/>
        <w:numPr>
          <w:ilvl w:val="0"/>
          <w:numId w:val="10"/>
        </w:numPr>
        <w:spacing w:after="0" w:line="240" w:lineRule="auto"/>
        <w:ind w:left="0" w:firstLine="0"/>
        <w:jc w:val="both"/>
        <w:rPr>
          <w:rFonts w:ascii="Verdana" w:hAnsi="Verdana"/>
          <w:sz w:val="20"/>
          <w:szCs w:val="20"/>
          <w:lang w:val="es-DO"/>
        </w:rPr>
      </w:pPr>
      <w:r w:rsidRPr="000864AE">
        <w:rPr>
          <w:rFonts w:ascii="Verdana" w:hAnsi="Verdana"/>
          <w:sz w:val="20"/>
          <w:szCs w:val="20"/>
          <w:lang w:val="es-DO"/>
        </w:rPr>
        <w:t xml:space="preserve">Este Tribunal también considera que el alcance de las obligaciones positivas del Estado respecto a la protección del derecho a la vida digna de personas mayores debe comprenderse a la luz del </w:t>
      </w:r>
      <w:r w:rsidRPr="000864AE">
        <w:rPr>
          <w:rFonts w:ascii="Verdana" w:hAnsi="Verdana"/>
          <w:i/>
          <w:sz w:val="20"/>
          <w:szCs w:val="20"/>
          <w:lang w:val="es-DO"/>
        </w:rPr>
        <w:t>corpus juris</w:t>
      </w:r>
      <w:r w:rsidRPr="000864AE">
        <w:rPr>
          <w:rFonts w:ascii="Verdana" w:hAnsi="Verdana"/>
          <w:sz w:val="20"/>
          <w:szCs w:val="20"/>
          <w:lang w:val="es-DO"/>
        </w:rPr>
        <w:t xml:space="preserve"> internacional en la materia. De esta forma, el contenido de estas obligaciones se compone a la luz de lo expuesto en el artículo 4 de la Convención Americana, en relación con el deber general de garantía contenido en el artículo 1.1 y con el deber de desarrollo progresivo contenido en el artículo 26 del mismo instrumento, y de los artículos 9 (Seguridad Social), 10 (Derecho a la Salud), y 13 (derecho a la educación) del Protocolo de San Salvador. Asimismo,</w:t>
      </w:r>
      <w:r w:rsidR="009C71B6" w:rsidRPr="000864AE">
        <w:rPr>
          <w:rFonts w:ascii="Verdana" w:hAnsi="Verdana"/>
          <w:sz w:val="20"/>
          <w:szCs w:val="20"/>
          <w:lang w:val="es-DO"/>
        </w:rPr>
        <w:t xml:space="preserve"> el Pacto Internacional de Derechos Económicos, Sociales y Culturales prevé en su artículo 11 reconoce el derecho de toda persona a “un nivel de vida adecuado para sí y su familia, incluso alimentación, vestido y vivienda, y a una mejora continua de las condiciones de existencia”</w:t>
      </w:r>
      <w:r w:rsidR="009C71B6" w:rsidRPr="000864AE">
        <w:rPr>
          <w:rStyle w:val="Refdenotaalpie"/>
          <w:rFonts w:ascii="Verdana" w:hAnsi="Verdana"/>
          <w:lang w:val="es-DO"/>
        </w:rPr>
        <w:footnoteReference w:id="282"/>
      </w:r>
      <w:r w:rsidR="009C71B6" w:rsidRPr="000864AE">
        <w:rPr>
          <w:rFonts w:ascii="Verdana" w:hAnsi="Verdana"/>
          <w:sz w:val="20"/>
          <w:szCs w:val="20"/>
          <w:lang w:val="es-DO"/>
        </w:rPr>
        <w:t>.</w:t>
      </w:r>
      <w:r w:rsidRPr="000864AE">
        <w:rPr>
          <w:rFonts w:ascii="Verdana" w:hAnsi="Verdana"/>
          <w:sz w:val="20"/>
          <w:szCs w:val="20"/>
          <w:lang w:val="es-DO"/>
        </w:rPr>
        <w:t xml:space="preserve"> </w:t>
      </w:r>
      <w:r w:rsidR="009C71B6" w:rsidRPr="000864AE">
        <w:rPr>
          <w:rFonts w:ascii="Verdana" w:hAnsi="Verdana"/>
          <w:sz w:val="20"/>
          <w:szCs w:val="20"/>
          <w:lang w:val="es-DO"/>
        </w:rPr>
        <w:t xml:space="preserve">En la misma lógica, </w:t>
      </w:r>
      <w:r w:rsidRPr="000864AE">
        <w:rPr>
          <w:rFonts w:ascii="Verdana" w:hAnsi="Verdana"/>
          <w:sz w:val="20"/>
          <w:szCs w:val="20"/>
          <w:lang w:val="es-DO"/>
        </w:rPr>
        <w:t xml:space="preserve">el Tribunal nota que los Principios de las Naciones Unidas en favor de las personas </w:t>
      </w:r>
      <w:r w:rsidR="00053435" w:rsidRPr="000864AE">
        <w:rPr>
          <w:rFonts w:ascii="Verdana" w:hAnsi="Verdana"/>
          <w:sz w:val="20"/>
          <w:szCs w:val="20"/>
          <w:lang w:val="es-DO"/>
        </w:rPr>
        <w:t>mayores</w:t>
      </w:r>
      <w:r w:rsidRPr="000864AE">
        <w:rPr>
          <w:rFonts w:ascii="Verdana" w:hAnsi="Verdana"/>
          <w:sz w:val="20"/>
          <w:szCs w:val="20"/>
          <w:lang w:val="es-DO"/>
        </w:rPr>
        <w:t xml:space="preserve"> han establecido que los Estados deberán introducir en sus programas nacionales principios que garanticen que “[l]as personas de edad [tengan] acceso a alimentación, agua, vivienda, vestuario y atención de salud adecuados, mediante la provisión de ingresos, el apoyo de sus familias y de la comunidad y su propia autosuficiencia”</w:t>
      </w:r>
      <w:r w:rsidRPr="000864AE">
        <w:rPr>
          <w:rStyle w:val="Refdenotaalpie"/>
          <w:rFonts w:ascii="Verdana" w:hAnsi="Verdana"/>
          <w:lang w:val="es-DO"/>
        </w:rPr>
        <w:footnoteReference w:id="283"/>
      </w:r>
      <w:r w:rsidR="00053435" w:rsidRPr="000864AE">
        <w:rPr>
          <w:rFonts w:ascii="Verdana" w:hAnsi="Verdana"/>
          <w:sz w:val="20"/>
          <w:szCs w:val="20"/>
          <w:lang w:val="es-DO"/>
        </w:rPr>
        <w:t>.</w:t>
      </w:r>
    </w:p>
    <w:p w14:paraId="2768F742" w14:textId="77777777" w:rsidR="00655238" w:rsidRPr="000864AE" w:rsidRDefault="00655238" w:rsidP="000864AE">
      <w:pPr>
        <w:pStyle w:val="Prrafodelista"/>
        <w:spacing w:after="0" w:line="240" w:lineRule="auto"/>
        <w:ind w:left="0"/>
        <w:jc w:val="both"/>
        <w:rPr>
          <w:rFonts w:ascii="Verdana" w:hAnsi="Verdana"/>
          <w:sz w:val="20"/>
          <w:szCs w:val="20"/>
          <w:lang w:val="es-DO"/>
        </w:rPr>
      </w:pPr>
    </w:p>
    <w:p w14:paraId="68743CEE" w14:textId="51738AC1" w:rsidR="00655238" w:rsidRPr="000864AE" w:rsidRDefault="00953A15" w:rsidP="000864AE">
      <w:pPr>
        <w:pStyle w:val="Prrafodelista"/>
        <w:numPr>
          <w:ilvl w:val="0"/>
          <w:numId w:val="10"/>
        </w:numPr>
        <w:spacing w:after="0" w:line="240" w:lineRule="auto"/>
        <w:ind w:left="0" w:firstLine="0"/>
        <w:jc w:val="both"/>
        <w:rPr>
          <w:rFonts w:ascii="Verdana" w:hAnsi="Verdana"/>
          <w:sz w:val="20"/>
          <w:szCs w:val="20"/>
          <w:lang w:val="es-DO"/>
        </w:rPr>
      </w:pPr>
      <w:r w:rsidRPr="000864AE">
        <w:rPr>
          <w:rFonts w:ascii="Verdana" w:hAnsi="Verdana"/>
          <w:sz w:val="20"/>
          <w:szCs w:val="20"/>
          <w:lang w:val="es-DO"/>
        </w:rPr>
        <w:t xml:space="preserve">La Corte recuerda que los </w:t>
      </w:r>
      <w:r w:rsidR="003E51C3" w:rsidRPr="000864AE">
        <w:rPr>
          <w:rFonts w:ascii="Verdana" w:hAnsi="Verdana"/>
          <w:sz w:val="20"/>
          <w:szCs w:val="20"/>
          <w:lang w:val="es-DO"/>
        </w:rPr>
        <w:t>integrantes</w:t>
      </w:r>
      <w:r w:rsidRPr="000864AE">
        <w:rPr>
          <w:rFonts w:ascii="Verdana" w:hAnsi="Verdana"/>
          <w:sz w:val="20"/>
          <w:szCs w:val="20"/>
          <w:lang w:val="es-DO"/>
        </w:rPr>
        <w:t xml:space="preserve"> de ANCEJUB</w:t>
      </w:r>
      <w:r w:rsidR="00AC0031" w:rsidRPr="000864AE">
        <w:rPr>
          <w:rFonts w:ascii="Verdana" w:hAnsi="Verdana"/>
          <w:sz w:val="20"/>
          <w:szCs w:val="20"/>
          <w:lang w:val="es-DO"/>
        </w:rPr>
        <w:t>-SUNAT</w:t>
      </w:r>
      <w:r w:rsidRPr="000864AE">
        <w:rPr>
          <w:rFonts w:ascii="Verdana" w:hAnsi="Verdana"/>
          <w:sz w:val="20"/>
          <w:szCs w:val="20"/>
          <w:lang w:val="es-DO"/>
        </w:rPr>
        <w:t xml:space="preserve"> no dejaron de percibir una pensión desde que se jubilaron. Sin embargo, la Corte advierte la existencia de distintos elementos de prueba relacionados con los efectos que las pensiones recibidas por las presuntas víctimas del caso </w:t>
      </w:r>
      <w:r w:rsidR="00AC0031" w:rsidRPr="000864AE">
        <w:rPr>
          <w:rFonts w:ascii="Verdana" w:hAnsi="Verdana"/>
          <w:sz w:val="20"/>
          <w:szCs w:val="20"/>
          <w:lang w:val="es-DO"/>
        </w:rPr>
        <w:t>tuvieron</w:t>
      </w:r>
      <w:r w:rsidRPr="000864AE">
        <w:rPr>
          <w:rFonts w:ascii="Verdana" w:hAnsi="Verdana"/>
          <w:sz w:val="20"/>
          <w:szCs w:val="20"/>
          <w:lang w:val="es-DO"/>
        </w:rPr>
        <w:t xml:space="preserve"> en su posibilidad de satisfacer algunas de sus necesidades básicas en materia de salud, vivienda, alimentación y educación de sus hijos. El Tribunal considera que al no haber obtenido los reintegros que les correspondían por el tiempo en que fue aplicada la Tercera Disposición Transitoria del Decreto 673, las posibilidades económicas de las presuntas víctimas para gozar de una vida digna también se vieron afectadas.</w:t>
      </w:r>
    </w:p>
    <w:p w14:paraId="4A8A81C2" w14:textId="77777777" w:rsidR="00655238" w:rsidRPr="000864AE" w:rsidRDefault="00655238" w:rsidP="000864AE">
      <w:pPr>
        <w:pStyle w:val="Prrafodelista"/>
        <w:rPr>
          <w:rFonts w:ascii="Verdana" w:hAnsi="Verdana"/>
          <w:sz w:val="20"/>
          <w:szCs w:val="20"/>
          <w:lang w:val="es-DO"/>
        </w:rPr>
      </w:pPr>
    </w:p>
    <w:p w14:paraId="02FDBEBC" w14:textId="76C425B4" w:rsidR="00655238" w:rsidRPr="000864AE" w:rsidRDefault="00953A15" w:rsidP="000864AE">
      <w:pPr>
        <w:pStyle w:val="Prrafodelista"/>
        <w:numPr>
          <w:ilvl w:val="0"/>
          <w:numId w:val="10"/>
        </w:numPr>
        <w:spacing w:after="0" w:line="240" w:lineRule="auto"/>
        <w:ind w:left="0" w:firstLine="0"/>
        <w:jc w:val="both"/>
        <w:rPr>
          <w:rFonts w:ascii="Verdana" w:hAnsi="Verdana"/>
          <w:sz w:val="20"/>
          <w:szCs w:val="20"/>
          <w:lang w:val="es-DO"/>
        </w:rPr>
      </w:pPr>
      <w:r w:rsidRPr="000864AE">
        <w:rPr>
          <w:rFonts w:ascii="Verdana" w:hAnsi="Verdana"/>
          <w:sz w:val="20"/>
          <w:szCs w:val="20"/>
          <w:lang w:val="es-DO"/>
        </w:rPr>
        <w:t>El Tribunal toma nota de los resultados señalados por la perit</w:t>
      </w:r>
      <w:r w:rsidR="009C71B6" w:rsidRPr="000864AE">
        <w:rPr>
          <w:rFonts w:ascii="Verdana" w:hAnsi="Verdana"/>
          <w:sz w:val="20"/>
          <w:szCs w:val="20"/>
          <w:lang w:val="es-DO"/>
        </w:rPr>
        <w:t>a</w:t>
      </w:r>
      <w:r w:rsidRPr="000864AE">
        <w:rPr>
          <w:rFonts w:ascii="Verdana" w:hAnsi="Verdana"/>
          <w:sz w:val="20"/>
          <w:szCs w:val="20"/>
          <w:lang w:val="es-DO"/>
        </w:rPr>
        <w:t xml:space="preserve"> </w:t>
      </w:r>
      <w:r w:rsidRPr="000864AE">
        <w:rPr>
          <w:rFonts w:ascii="Verdana" w:hAnsi="Verdana"/>
          <w:sz w:val="20"/>
          <w:szCs w:val="20"/>
        </w:rPr>
        <w:t xml:space="preserve">Viviana Frida Vais Gen Rivera, quien advirtió la existencia de un grado de afectación psicosocial por parte de los miembros entrevistados de ANCEJUB-SUNAT por el sufrimiento provocado </w:t>
      </w:r>
      <w:r w:rsidR="00AC0031" w:rsidRPr="000864AE">
        <w:rPr>
          <w:rFonts w:ascii="Verdana" w:hAnsi="Verdana"/>
          <w:sz w:val="20"/>
          <w:szCs w:val="20"/>
        </w:rPr>
        <w:t>a causa del</w:t>
      </w:r>
      <w:r w:rsidRPr="000864AE">
        <w:rPr>
          <w:rFonts w:ascii="Verdana" w:hAnsi="Verdana"/>
          <w:sz w:val="20"/>
          <w:szCs w:val="20"/>
        </w:rPr>
        <w:t xml:space="preserve"> daño al proyecto de vida y el</w:t>
      </w:r>
      <w:r w:rsidR="00AC0031" w:rsidRPr="000864AE">
        <w:rPr>
          <w:rFonts w:ascii="Verdana" w:hAnsi="Verdana"/>
          <w:sz w:val="20"/>
          <w:szCs w:val="20"/>
        </w:rPr>
        <w:t xml:space="preserve"> subsecuente</w:t>
      </w:r>
      <w:r w:rsidRPr="000864AE">
        <w:rPr>
          <w:rFonts w:ascii="Verdana" w:hAnsi="Verdana"/>
          <w:sz w:val="20"/>
          <w:szCs w:val="20"/>
        </w:rPr>
        <w:t xml:space="preserve"> impacto en sus familias y en la relación con sus hijos</w:t>
      </w:r>
      <w:r w:rsidRPr="000864AE">
        <w:rPr>
          <w:rStyle w:val="Refdenotaalpie"/>
          <w:rFonts w:ascii="Verdana" w:hAnsi="Verdana"/>
        </w:rPr>
        <w:footnoteReference w:id="284"/>
      </w:r>
      <w:r w:rsidRPr="000864AE">
        <w:rPr>
          <w:rFonts w:ascii="Verdana" w:hAnsi="Verdana"/>
          <w:sz w:val="20"/>
          <w:szCs w:val="20"/>
        </w:rPr>
        <w:t>. En particular, la perit</w:t>
      </w:r>
      <w:r w:rsidR="009C71B6" w:rsidRPr="000864AE">
        <w:rPr>
          <w:rFonts w:ascii="Verdana" w:hAnsi="Verdana"/>
          <w:sz w:val="20"/>
          <w:szCs w:val="20"/>
        </w:rPr>
        <w:t>a</w:t>
      </w:r>
      <w:r w:rsidRPr="000864AE">
        <w:rPr>
          <w:rFonts w:ascii="Verdana" w:hAnsi="Verdana"/>
          <w:sz w:val="20"/>
          <w:szCs w:val="20"/>
        </w:rPr>
        <w:t xml:space="preserve"> encontró que la exposición involuntaria y forzada de las presuntas víctimas</w:t>
      </w:r>
      <w:r w:rsidR="00AC0031" w:rsidRPr="000864AE">
        <w:rPr>
          <w:rFonts w:ascii="Verdana" w:hAnsi="Verdana"/>
          <w:sz w:val="20"/>
          <w:szCs w:val="20"/>
        </w:rPr>
        <w:t xml:space="preserve"> a un litigio que tuvo más de 27</w:t>
      </w:r>
      <w:r w:rsidRPr="000864AE">
        <w:rPr>
          <w:rFonts w:ascii="Verdana" w:hAnsi="Verdana"/>
          <w:sz w:val="20"/>
          <w:szCs w:val="20"/>
        </w:rPr>
        <w:t xml:space="preserve"> años de duración provocó una exposición a situaciones estresantes y traumáticas que concurrieron en afectaciones a la salud y la estructura psíquica de las personas. Lo anterior se agrava teniendo en consideración que la mayoría de los miembros de ANCEJUB-SUNAT tiene alrededor de 70 años, y algunos de ellos incluso han fallecido. Asimismo, la perit</w:t>
      </w:r>
      <w:r w:rsidR="009C71B6" w:rsidRPr="000864AE">
        <w:rPr>
          <w:rFonts w:ascii="Verdana" w:hAnsi="Verdana"/>
          <w:sz w:val="20"/>
          <w:szCs w:val="20"/>
        </w:rPr>
        <w:t>a</w:t>
      </w:r>
      <w:r w:rsidRPr="000864AE">
        <w:rPr>
          <w:rFonts w:ascii="Verdana" w:hAnsi="Verdana"/>
          <w:sz w:val="20"/>
          <w:szCs w:val="20"/>
        </w:rPr>
        <w:t xml:space="preserve"> encontró que uno de los elementos más resaltados por las presuntas víctimas en las entrevistas conducidas fue “</w:t>
      </w:r>
      <w:r w:rsidR="00AC0031" w:rsidRPr="000864AE">
        <w:rPr>
          <w:rFonts w:ascii="Verdana" w:hAnsi="Verdana"/>
          <w:sz w:val="20"/>
          <w:szCs w:val="20"/>
        </w:rPr>
        <w:t xml:space="preserve">(…) </w:t>
      </w:r>
      <w:r w:rsidRPr="000864AE">
        <w:rPr>
          <w:rFonts w:ascii="Verdana" w:hAnsi="Verdana"/>
          <w:sz w:val="20"/>
          <w:szCs w:val="20"/>
        </w:rPr>
        <w:t>la sorpresa con respecto a lo sucedido. La sensación de estar frente a una situación que no se podía aceptar como real; y que, con el transcurrir del tiempo, los confirmó en una sensación de ser objeto de burla y engaño”</w:t>
      </w:r>
      <w:r w:rsidRPr="000864AE">
        <w:rPr>
          <w:rStyle w:val="Refdenotaalpie"/>
          <w:rFonts w:ascii="Verdana" w:hAnsi="Verdana"/>
        </w:rPr>
        <w:footnoteReference w:id="285"/>
      </w:r>
      <w:r w:rsidRPr="000864AE">
        <w:rPr>
          <w:rFonts w:ascii="Verdana" w:hAnsi="Verdana"/>
          <w:sz w:val="20"/>
          <w:szCs w:val="20"/>
        </w:rPr>
        <w:t>.</w:t>
      </w:r>
    </w:p>
    <w:p w14:paraId="14FD347A" w14:textId="77777777" w:rsidR="00655238" w:rsidRPr="000864AE" w:rsidRDefault="00655238" w:rsidP="000864AE">
      <w:pPr>
        <w:pStyle w:val="Prrafodelista"/>
        <w:spacing w:after="0" w:line="240" w:lineRule="auto"/>
        <w:ind w:left="0"/>
        <w:jc w:val="both"/>
        <w:rPr>
          <w:rFonts w:ascii="Verdana" w:hAnsi="Verdana"/>
          <w:sz w:val="20"/>
          <w:szCs w:val="20"/>
          <w:lang w:val="es-DO"/>
        </w:rPr>
      </w:pPr>
    </w:p>
    <w:p w14:paraId="5EA5F800" w14:textId="75A79752" w:rsidR="00655238" w:rsidRPr="000864AE" w:rsidRDefault="00953A15" w:rsidP="000864AE">
      <w:pPr>
        <w:pStyle w:val="Prrafodelista"/>
        <w:numPr>
          <w:ilvl w:val="0"/>
          <w:numId w:val="10"/>
        </w:numPr>
        <w:spacing w:after="0" w:line="240" w:lineRule="auto"/>
        <w:ind w:left="0" w:firstLine="0"/>
        <w:jc w:val="both"/>
        <w:rPr>
          <w:rFonts w:ascii="Verdana" w:hAnsi="Verdana"/>
          <w:sz w:val="20"/>
          <w:szCs w:val="20"/>
          <w:lang w:val="es-DO"/>
        </w:rPr>
      </w:pPr>
      <w:r w:rsidRPr="000864AE">
        <w:rPr>
          <w:rFonts w:ascii="Verdana" w:hAnsi="Verdana"/>
          <w:sz w:val="20"/>
          <w:szCs w:val="20"/>
          <w:lang w:val="es-DO"/>
        </w:rPr>
        <w:t xml:space="preserve">Adicionalmente, el Tribunal advierte que la disminución de los ingresos de las presuntas víctimas una vez que dejaron de laborar para la SUNAT produjo una disminución de su calidad de vida que se concretizó en </w:t>
      </w:r>
      <w:r w:rsidR="00AC0031" w:rsidRPr="000864AE">
        <w:rPr>
          <w:rFonts w:ascii="Verdana" w:hAnsi="Verdana"/>
          <w:sz w:val="20"/>
          <w:szCs w:val="20"/>
          <w:lang w:val="es-DO"/>
        </w:rPr>
        <w:t>la necesidad de contraer deudas</w:t>
      </w:r>
      <w:r w:rsidRPr="000864AE">
        <w:rPr>
          <w:rFonts w:ascii="Verdana" w:hAnsi="Verdana"/>
          <w:sz w:val="20"/>
          <w:szCs w:val="20"/>
          <w:lang w:val="es-DO"/>
        </w:rPr>
        <w:t xml:space="preserve"> con bancos y familiares, la necesidad de vender bi</w:t>
      </w:r>
      <w:r w:rsidR="00AC0031" w:rsidRPr="000864AE">
        <w:rPr>
          <w:rFonts w:ascii="Verdana" w:hAnsi="Verdana"/>
          <w:sz w:val="20"/>
          <w:szCs w:val="20"/>
          <w:lang w:val="es-DO"/>
        </w:rPr>
        <w:t>enes previamente adquiridos, y</w:t>
      </w:r>
      <w:r w:rsidRPr="000864AE">
        <w:rPr>
          <w:rFonts w:ascii="Verdana" w:hAnsi="Verdana"/>
          <w:sz w:val="20"/>
          <w:szCs w:val="20"/>
          <w:lang w:val="es-DO"/>
        </w:rPr>
        <w:t xml:space="preserve"> no poder pagar los gastos de la educación de sus hijos. Asimismo, esta situación tuvo como resultado el aumento de los problemas de salud de los pensionados quienes se vieron obligados a acudir a instituciones de atención pública debido a la pérdida del seguro privado, o bien a no contar </w:t>
      </w:r>
      <w:r w:rsidR="00AC0031" w:rsidRPr="000864AE">
        <w:rPr>
          <w:rFonts w:ascii="Verdana" w:hAnsi="Verdana"/>
          <w:sz w:val="20"/>
          <w:szCs w:val="20"/>
          <w:lang w:val="es-DO"/>
        </w:rPr>
        <w:t xml:space="preserve">con </w:t>
      </w:r>
      <w:r w:rsidRPr="000864AE">
        <w:rPr>
          <w:rFonts w:ascii="Verdana" w:hAnsi="Verdana"/>
          <w:sz w:val="20"/>
          <w:szCs w:val="20"/>
          <w:lang w:val="es-DO"/>
        </w:rPr>
        <w:t>los recursos económicos para gozar de una atención médica de calidad. De igual forma, la Corte advierte el impacto que tuvo en la vida familiar de las personas como resultado de la imposibilidad de cubrir los gastos de sus</w:t>
      </w:r>
      <w:r w:rsidR="00AC0031" w:rsidRPr="000864AE">
        <w:rPr>
          <w:rFonts w:ascii="Verdana" w:hAnsi="Verdana"/>
          <w:sz w:val="20"/>
          <w:szCs w:val="20"/>
          <w:lang w:val="es-DO"/>
        </w:rPr>
        <w:t xml:space="preserve"> hogares, lo que también impactó</w:t>
      </w:r>
      <w:r w:rsidR="009C71B6" w:rsidRPr="000864AE">
        <w:rPr>
          <w:rFonts w:ascii="Verdana" w:hAnsi="Verdana"/>
          <w:sz w:val="20"/>
          <w:szCs w:val="20"/>
          <w:lang w:val="es-DO"/>
        </w:rPr>
        <w:t xml:space="preserve"> en</w:t>
      </w:r>
      <w:r w:rsidRPr="000864AE">
        <w:rPr>
          <w:rFonts w:ascii="Verdana" w:hAnsi="Verdana"/>
          <w:sz w:val="20"/>
          <w:szCs w:val="20"/>
          <w:lang w:val="es-DO"/>
        </w:rPr>
        <w:t xml:space="preserve"> la posibilidad de garantizar la calidad de vida de sus dependientes</w:t>
      </w:r>
      <w:r w:rsidR="00AC0031" w:rsidRPr="000864AE">
        <w:rPr>
          <w:rFonts w:ascii="Verdana" w:hAnsi="Verdana"/>
          <w:sz w:val="20"/>
          <w:szCs w:val="20"/>
          <w:lang w:val="es-DO"/>
        </w:rPr>
        <w:t>,</w:t>
      </w:r>
      <w:r w:rsidRPr="000864AE">
        <w:rPr>
          <w:rFonts w:ascii="Verdana" w:hAnsi="Verdana"/>
          <w:sz w:val="20"/>
          <w:szCs w:val="20"/>
          <w:lang w:val="es-DO"/>
        </w:rPr>
        <w:t xml:space="preserve"> incluidos sus hijos</w:t>
      </w:r>
      <w:r w:rsidRPr="000864AE">
        <w:rPr>
          <w:rStyle w:val="Refdenotaalpie"/>
          <w:rFonts w:ascii="Verdana" w:hAnsi="Verdana"/>
          <w:lang w:val="es-DO"/>
        </w:rPr>
        <w:footnoteReference w:id="286"/>
      </w:r>
      <w:r w:rsidRPr="000864AE">
        <w:rPr>
          <w:rFonts w:ascii="Verdana" w:hAnsi="Verdana"/>
          <w:sz w:val="20"/>
          <w:szCs w:val="20"/>
          <w:lang w:val="es-DO"/>
        </w:rPr>
        <w:t>.</w:t>
      </w:r>
    </w:p>
    <w:p w14:paraId="1C77DAE3" w14:textId="77777777" w:rsidR="00655238" w:rsidRPr="000864AE" w:rsidRDefault="00655238" w:rsidP="000864AE">
      <w:pPr>
        <w:pStyle w:val="Prrafodelista"/>
        <w:rPr>
          <w:rFonts w:ascii="Verdana" w:hAnsi="Verdana"/>
          <w:sz w:val="20"/>
          <w:szCs w:val="20"/>
          <w:lang w:val="es-DO"/>
        </w:rPr>
      </w:pPr>
    </w:p>
    <w:p w14:paraId="585A03C3" w14:textId="202808B2" w:rsidR="00953A15" w:rsidRPr="000864AE" w:rsidRDefault="00953A15" w:rsidP="000864AE">
      <w:pPr>
        <w:pStyle w:val="Prrafodelista"/>
        <w:numPr>
          <w:ilvl w:val="0"/>
          <w:numId w:val="10"/>
        </w:numPr>
        <w:spacing w:after="0" w:line="240" w:lineRule="auto"/>
        <w:ind w:left="0" w:firstLine="0"/>
        <w:jc w:val="both"/>
        <w:rPr>
          <w:rFonts w:ascii="Verdana" w:hAnsi="Verdana"/>
          <w:sz w:val="20"/>
          <w:szCs w:val="20"/>
          <w:lang w:val="es-DO"/>
        </w:rPr>
      </w:pPr>
      <w:r w:rsidRPr="000864AE">
        <w:rPr>
          <w:rFonts w:ascii="Verdana" w:hAnsi="Verdana"/>
          <w:sz w:val="20"/>
          <w:szCs w:val="20"/>
          <w:lang w:val="es-DO"/>
        </w:rPr>
        <w:t>En relación con lo anterior, este Tribunal considera que la reducción de los ingresos de las presuntas víctimas con motivo de haber dejado de laborar para la SUNAT tuvo un impacto en su calidad de vida y en su proyecto original de vida. Es fundamental recordar que la jubilación de los miembros de la ANCEJUB-SUNAT se llevó a cabo como parte del proceso de reestructuración orgánica y de racionalización del personal que tuvo como consecuencia que las presuntas víctimas se acogieran al Programa de Renuncias Voluntarias, lo cual derivó en que posteriormente sus ingresos fueran sustancialmente reducidos en virtud de la entrada en vigor del Decreto 673. Este Tribunal considera que las circunstancias específicas en que este cambio sucedió deben ser tomadas en cuenta para la calificación de la responsabilidad internacional del Estado en relación con la garantía del derecho a la seguridad social y a la vida digna. De esta forma, el Tribunal concluye que los efectos que las afectaciones que dicho cambio tuvo en la calidad de vida de las presuntas víctimas constituyó, además de una vulneración a su derecho a la seguridad social, una violación del derecho a su vida digna.</w:t>
      </w:r>
    </w:p>
    <w:p w14:paraId="104F3AC4" w14:textId="77777777" w:rsidR="00953A15" w:rsidRPr="000864AE" w:rsidRDefault="00953A15" w:rsidP="000864AE">
      <w:pPr>
        <w:tabs>
          <w:tab w:val="left" w:pos="709"/>
        </w:tabs>
        <w:spacing w:after="0" w:line="240" w:lineRule="auto"/>
        <w:jc w:val="both"/>
        <w:rPr>
          <w:rFonts w:ascii="Verdana" w:hAnsi="Verdana"/>
          <w:sz w:val="20"/>
          <w:szCs w:val="20"/>
          <w:lang w:val="es-DO"/>
        </w:rPr>
      </w:pPr>
    </w:p>
    <w:p w14:paraId="3DF9CB51" w14:textId="1C5B9566" w:rsidR="00AC0031" w:rsidRPr="000864AE" w:rsidRDefault="00AC0031" w:rsidP="000864AE">
      <w:pPr>
        <w:pStyle w:val="Ttulo4"/>
        <w:numPr>
          <w:ilvl w:val="0"/>
          <w:numId w:val="0"/>
        </w:numPr>
        <w:ind w:left="1068"/>
        <w:rPr>
          <w:strike/>
        </w:rPr>
      </w:pPr>
      <w:bookmarkStart w:id="85" w:name="_Toc27329785"/>
      <w:r w:rsidRPr="000864AE">
        <w:rPr>
          <w:lang w:val="es-PE"/>
        </w:rPr>
        <w:t>C.2.4. La afectación del derecho a la propiedad en el caso concreto</w:t>
      </w:r>
      <w:bookmarkEnd w:id="85"/>
      <w:r w:rsidRPr="000864AE">
        <w:rPr>
          <w:lang w:val="es-PE"/>
        </w:rPr>
        <w:t xml:space="preserve"> </w:t>
      </w:r>
    </w:p>
    <w:p w14:paraId="446343CA" w14:textId="77777777" w:rsidR="00AC0031" w:rsidRPr="000864AE" w:rsidRDefault="00AC0031" w:rsidP="000864AE">
      <w:pPr>
        <w:tabs>
          <w:tab w:val="left" w:pos="709"/>
        </w:tabs>
        <w:spacing w:after="0" w:line="240" w:lineRule="auto"/>
        <w:jc w:val="both"/>
        <w:rPr>
          <w:rFonts w:ascii="Verdana" w:hAnsi="Verdana"/>
          <w:sz w:val="20"/>
          <w:szCs w:val="20"/>
          <w:lang w:val="es-DO"/>
        </w:rPr>
      </w:pPr>
    </w:p>
    <w:p w14:paraId="70425F59" w14:textId="2DD1028B" w:rsidR="00655238" w:rsidRPr="000864AE" w:rsidRDefault="00953A15" w:rsidP="000864AE">
      <w:pPr>
        <w:pStyle w:val="Prrafodelista"/>
        <w:numPr>
          <w:ilvl w:val="0"/>
          <w:numId w:val="10"/>
        </w:numPr>
        <w:spacing w:after="0" w:line="240" w:lineRule="auto"/>
        <w:ind w:left="0" w:firstLine="0"/>
        <w:jc w:val="both"/>
        <w:rPr>
          <w:rFonts w:ascii="Verdana" w:hAnsi="Verdana"/>
          <w:sz w:val="20"/>
          <w:szCs w:val="20"/>
          <w:lang w:val="es-DO"/>
        </w:rPr>
      </w:pPr>
      <w:r w:rsidRPr="000864AE">
        <w:rPr>
          <w:rFonts w:ascii="Verdana" w:hAnsi="Verdana"/>
          <w:sz w:val="20"/>
          <w:szCs w:val="20"/>
        </w:rPr>
        <w:t xml:space="preserve">Este Tribunal ha desarrollado en su jurisprudencia un concepto amplio de propiedad que abarca el uso y goce de los bienes, definidos como cosas materiales apropiables, así </w:t>
      </w:r>
      <w:r w:rsidRPr="000864AE">
        <w:rPr>
          <w:rFonts w:ascii="Verdana" w:hAnsi="Verdana" w:cs="Arial"/>
          <w:sz w:val="20"/>
          <w:szCs w:val="20"/>
        </w:rPr>
        <w:t>como</w:t>
      </w:r>
      <w:r w:rsidRPr="000864AE">
        <w:rPr>
          <w:rFonts w:ascii="Verdana" w:hAnsi="Verdana"/>
          <w:sz w:val="20"/>
          <w:szCs w:val="20"/>
        </w:rPr>
        <w:t xml:space="preserve"> todo derecho que pueda formar parte del patrimonio de una persona</w:t>
      </w:r>
      <w:r w:rsidRPr="000864AE">
        <w:rPr>
          <w:rStyle w:val="Refdenotaalpie"/>
          <w:rFonts w:ascii="Verdana" w:hAnsi="Verdana"/>
        </w:rPr>
        <w:footnoteReference w:id="287"/>
      </w:r>
      <w:r w:rsidRPr="000864AE">
        <w:rPr>
          <w:rFonts w:ascii="Verdana" w:hAnsi="Verdana"/>
          <w:sz w:val="20"/>
          <w:szCs w:val="20"/>
        </w:rPr>
        <w:t xml:space="preserve">. Asimismo, la Corte ha protegido a través del artículo 21 </w:t>
      </w:r>
      <w:r w:rsidR="003C1641" w:rsidRPr="000864AE">
        <w:rPr>
          <w:rFonts w:ascii="Verdana" w:hAnsi="Verdana" w:cs="Arial"/>
          <w:sz w:val="20"/>
          <w:szCs w:val="20"/>
          <w:lang w:val="es-AR"/>
        </w:rPr>
        <w:t>de la Convención</w:t>
      </w:r>
      <w:r w:rsidRPr="000864AE">
        <w:rPr>
          <w:rFonts w:ascii="Verdana" w:hAnsi="Verdana"/>
          <w:sz w:val="20"/>
          <w:szCs w:val="20"/>
        </w:rPr>
        <w:t xml:space="preserve"> los derechos adquiridos, entendidos como derechos que se han incorporado al patrimonio de las personas</w:t>
      </w:r>
      <w:r w:rsidRPr="000864AE">
        <w:rPr>
          <w:rFonts w:ascii="Verdana" w:hAnsi="Verdana"/>
          <w:vertAlign w:val="superscript"/>
        </w:rPr>
        <w:footnoteReference w:id="288"/>
      </w:r>
      <w:r w:rsidRPr="000864AE">
        <w:rPr>
          <w:rFonts w:ascii="Verdana" w:hAnsi="Verdana"/>
          <w:sz w:val="20"/>
          <w:szCs w:val="20"/>
        </w:rPr>
        <w:t xml:space="preserve">. Resulta necesario reiterar que el derecho a la propiedad no es </w:t>
      </w:r>
      <w:r w:rsidRPr="000864AE">
        <w:rPr>
          <w:rFonts w:ascii="Verdana" w:hAnsi="Verdana" w:cs="Arial"/>
          <w:sz w:val="20"/>
          <w:szCs w:val="20"/>
          <w:lang w:val="es-AR"/>
        </w:rPr>
        <w:t>absoluto</w:t>
      </w:r>
      <w:r w:rsidRPr="000864AE">
        <w:rPr>
          <w:rFonts w:ascii="Verdana" w:hAnsi="Verdana"/>
          <w:sz w:val="20"/>
          <w:szCs w:val="20"/>
        </w:rPr>
        <w:t xml:space="preserve"> y, en ese sentido, puede ser objeto de restricciones y limitaciones</w:t>
      </w:r>
      <w:r w:rsidRPr="000864AE">
        <w:rPr>
          <w:rStyle w:val="Refdenotaalpie"/>
          <w:rFonts w:ascii="Verdana" w:hAnsi="Verdana"/>
        </w:rPr>
        <w:footnoteReference w:id="289"/>
      </w:r>
      <w:r w:rsidRPr="000864AE">
        <w:rPr>
          <w:rFonts w:ascii="Verdana" w:hAnsi="Verdana"/>
          <w:sz w:val="20"/>
          <w:szCs w:val="20"/>
        </w:rPr>
        <w:t>, siempre y cuando éstas se realicen por la vía legal adecuada</w:t>
      </w:r>
      <w:r w:rsidRPr="000864AE">
        <w:rPr>
          <w:rStyle w:val="Refdenotaalpie"/>
          <w:rFonts w:ascii="Verdana" w:hAnsi="Verdana"/>
        </w:rPr>
        <w:footnoteReference w:id="290"/>
      </w:r>
      <w:r w:rsidRPr="000864AE">
        <w:rPr>
          <w:rFonts w:ascii="Verdana" w:hAnsi="Verdana"/>
          <w:sz w:val="20"/>
          <w:szCs w:val="20"/>
        </w:rPr>
        <w:t xml:space="preserve"> y de conformidad con los parámetros establecidos en dicho artículo 21</w:t>
      </w:r>
      <w:r w:rsidRPr="000864AE">
        <w:rPr>
          <w:rStyle w:val="Refdenotaalpie"/>
          <w:rFonts w:ascii="Verdana" w:hAnsi="Verdana"/>
        </w:rPr>
        <w:footnoteReference w:id="291"/>
      </w:r>
      <w:r w:rsidRPr="000864AE">
        <w:rPr>
          <w:rFonts w:ascii="Verdana" w:hAnsi="Verdana"/>
          <w:sz w:val="20"/>
          <w:szCs w:val="20"/>
        </w:rPr>
        <w:t xml:space="preserve">. </w:t>
      </w:r>
      <w:r w:rsidRPr="000864AE">
        <w:rPr>
          <w:rFonts w:ascii="Verdana" w:hAnsi="Verdana"/>
          <w:sz w:val="20"/>
          <w:lang w:val="es-CR"/>
        </w:rPr>
        <w:t>En casos similares al presente</w:t>
      </w:r>
      <w:r w:rsidRPr="000864AE">
        <w:rPr>
          <w:rFonts w:ascii="Verdana" w:hAnsi="Verdana"/>
          <w:i/>
          <w:sz w:val="20"/>
          <w:lang w:val="es-CR"/>
        </w:rPr>
        <w:t>,</w:t>
      </w:r>
      <w:r w:rsidRPr="000864AE">
        <w:rPr>
          <w:rFonts w:ascii="Verdana" w:hAnsi="Verdana"/>
          <w:sz w:val="20"/>
          <w:lang w:val="es-CR"/>
        </w:rPr>
        <w:t xml:space="preserve"> el Tribunal ha declarado la </w:t>
      </w:r>
      <w:r w:rsidRPr="000864AE">
        <w:rPr>
          <w:rFonts w:ascii="Verdana" w:hAnsi="Verdana"/>
          <w:sz w:val="20"/>
          <w:szCs w:val="20"/>
          <w:lang w:val="es-ES"/>
        </w:rPr>
        <w:t>violación del derecho a la propiedad por la afectación patrimonial causada por el incumplimiento de sentencias que pretendían proteger el derecho a una pensión, el cual había sido adquirido por las víctimas, de conformidad con la normativa interna</w:t>
      </w:r>
      <w:r w:rsidRPr="000864AE">
        <w:rPr>
          <w:rStyle w:val="Refdenotaalpie"/>
          <w:rFonts w:ascii="Verdana" w:hAnsi="Verdana"/>
          <w:lang w:val="es-ES"/>
        </w:rPr>
        <w:footnoteReference w:id="292"/>
      </w:r>
      <w:r w:rsidRPr="000864AE">
        <w:rPr>
          <w:rFonts w:ascii="Verdana" w:hAnsi="Verdana"/>
          <w:sz w:val="20"/>
          <w:szCs w:val="20"/>
          <w:lang w:val="es-ES"/>
        </w:rPr>
        <w:t>.</w:t>
      </w:r>
    </w:p>
    <w:p w14:paraId="6374EBBD" w14:textId="77777777" w:rsidR="00655238" w:rsidRPr="000864AE" w:rsidRDefault="00655238" w:rsidP="000864AE">
      <w:pPr>
        <w:pStyle w:val="Prrafodelista"/>
        <w:spacing w:after="0" w:line="240" w:lineRule="auto"/>
        <w:ind w:left="0"/>
        <w:jc w:val="both"/>
        <w:rPr>
          <w:rFonts w:ascii="Verdana" w:hAnsi="Verdana"/>
          <w:sz w:val="20"/>
          <w:szCs w:val="20"/>
          <w:lang w:val="es-DO"/>
        </w:rPr>
      </w:pPr>
    </w:p>
    <w:p w14:paraId="72F1D697" w14:textId="5164FBF1" w:rsidR="00655238" w:rsidRPr="000864AE" w:rsidRDefault="003C1641" w:rsidP="000864AE">
      <w:pPr>
        <w:pStyle w:val="Prrafodelista"/>
        <w:numPr>
          <w:ilvl w:val="0"/>
          <w:numId w:val="10"/>
        </w:numPr>
        <w:spacing w:after="0" w:line="240" w:lineRule="auto"/>
        <w:ind w:left="0" w:firstLine="0"/>
        <w:jc w:val="both"/>
        <w:rPr>
          <w:rFonts w:ascii="Verdana" w:hAnsi="Verdana"/>
          <w:sz w:val="20"/>
          <w:szCs w:val="20"/>
          <w:lang w:val="es-DO"/>
        </w:rPr>
      </w:pPr>
      <w:r w:rsidRPr="000864AE">
        <w:rPr>
          <w:rFonts w:ascii="Verdana" w:hAnsi="Verdana"/>
          <w:sz w:val="20"/>
          <w:lang w:val="es-CR"/>
        </w:rPr>
        <w:t xml:space="preserve">Asimismo, tal </w:t>
      </w:r>
      <w:r w:rsidR="00953A15" w:rsidRPr="000864AE">
        <w:rPr>
          <w:rFonts w:ascii="Verdana" w:hAnsi="Verdana"/>
          <w:sz w:val="20"/>
          <w:lang w:val="es-CR"/>
        </w:rPr>
        <w:t xml:space="preserve">como lo hizo en el caso </w:t>
      </w:r>
      <w:r w:rsidR="00953A15" w:rsidRPr="000864AE">
        <w:rPr>
          <w:rFonts w:ascii="Verdana" w:hAnsi="Verdana"/>
          <w:i/>
          <w:sz w:val="20"/>
          <w:lang w:val="es-CR"/>
        </w:rPr>
        <w:t>Muelle Flores Vs. Perú</w:t>
      </w:r>
      <w:r w:rsidR="00953A15" w:rsidRPr="000864AE">
        <w:rPr>
          <w:rFonts w:ascii="Verdana" w:hAnsi="Verdana"/>
          <w:sz w:val="20"/>
          <w:lang w:val="es-CR"/>
        </w:rPr>
        <w:t>, la Corte resalta y coincide con lo señalado por el dictamen pericial de Christian Courtis en relación con que “</w:t>
      </w:r>
      <w:r w:rsidR="00953A15" w:rsidRPr="000864AE">
        <w:rPr>
          <w:rFonts w:ascii="Verdana" w:hAnsi="Verdana"/>
          <w:sz w:val="20"/>
          <w:szCs w:val="20"/>
          <w:lang w:val="es-CR"/>
        </w:rPr>
        <w:t>[l]</w:t>
      </w:r>
      <w:r w:rsidR="00953A15" w:rsidRPr="000864AE">
        <w:rPr>
          <w:rFonts w:ascii="Verdana" w:hAnsi="Verdana"/>
          <w:sz w:val="20"/>
          <w:szCs w:val="20"/>
          <w:lang w:val="es-PE"/>
        </w:rPr>
        <w:t>os beneficios que se derivan de la seguridad social, incluido el derecho a una pensión de vejez, forman parte del derecho de propiedad y por tanto deben estar protegidos contra la interferencia arbitraria del Estado. El derecho a la propiedad puede cubrir aún las expectativas legítimas del titular del derecho, en particular cuando haya efectuado aportes en un sistema contributivo. Con muchísima más razón, cubre los derechos adquiridos una vez perfeccionadas las condiciones para obtener un beneficio tal como la pensión de vejez, más aún cuando ese derecho ha sido reconocido a través de una sentencia judicial. Complementariamente, entre el abanico de intereses protegidos por el derecho a la propiedad, los beneficios de la seguridad social adquieren particular importancia por su ya mencionado carácter alimentario y sustitutivo del salario”</w:t>
      </w:r>
      <w:r w:rsidR="00953A15" w:rsidRPr="000864AE">
        <w:rPr>
          <w:rStyle w:val="Refdenotaalpie"/>
          <w:rFonts w:ascii="Verdana" w:hAnsi="Verdana"/>
          <w:lang w:val="es-PE"/>
        </w:rPr>
        <w:footnoteReference w:id="293"/>
      </w:r>
      <w:r w:rsidR="00953A15" w:rsidRPr="000864AE">
        <w:rPr>
          <w:rFonts w:ascii="Verdana" w:hAnsi="Verdana"/>
          <w:sz w:val="20"/>
          <w:szCs w:val="20"/>
          <w:lang w:val="es-PE"/>
        </w:rPr>
        <w:t>.</w:t>
      </w:r>
    </w:p>
    <w:p w14:paraId="252A9DA3" w14:textId="77777777" w:rsidR="00655238" w:rsidRPr="000864AE" w:rsidRDefault="00655238" w:rsidP="000864AE">
      <w:pPr>
        <w:pStyle w:val="Prrafodelista"/>
        <w:rPr>
          <w:rFonts w:ascii="Verdana" w:hAnsi="Verdana"/>
          <w:sz w:val="20"/>
          <w:lang w:val="es-CR"/>
        </w:rPr>
      </w:pPr>
    </w:p>
    <w:p w14:paraId="4F3BC5CE" w14:textId="66FE01BA" w:rsidR="00655238" w:rsidRPr="000864AE" w:rsidRDefault="00953A15" w:rsidP="000864AE">
      <w:pPr>
        <w:pStyle w:val="Prrafodelista"/>
        <w:numPr>
          <w:ilvl w:val="0"/>
          <w:numId w:val="10"/>
        </w:numPr>
        <w:spacing w:after="0" w:line="240" w:lineRule="auto"/>
        <w:ind w:left="0" w:firstLine="0"/>
        <w:jc w:val="both"/>
        <w:rPr>
          <w:rFonts w:ascii="Verdana" w:hAnsi="Verdana"/>
          <w:sz w:val="20"/>
          <w:szCs w:val="20"/>
          <w:lang w:val="es-DO"/>
        </w:rPr>
      </w:pPr>
      <w:r w:rsidRPr="000864AE">
        <w:rPr>
          <w:rFonts w:ascii="Verdana" w:hAnsi="Verdana"/>
          <w:sz w:val="20"/>
          <w:lang w:val="es-CR"/>
        </w:rPr>
        <w:t xml:space="preserve">En el presente caso, la Corte recuerda que con base en el Decreto 20530 las presuntas víctimas adquirieron el derecho a la pensión nivelada al jubilarse de la SUNAT </w:t>
      </w:r>
      <w:r w:rsidR="0081491E" w:rsidRPr="000864AE">
        <w:rPr>
          <w:rFonts w:ascii="Verdana" w:hAnsi="Verdana"/>
          <w:sz w:val="20"/>
          <w:lang w:val="es-CR"/>
        </w:rPr>
        <w:t xml:space="preserve">y </w:t>
      </w:r>
      <w:r w:rsidRPr="000864AE">
        <w:rPr>
          <w:rFonts w:ascii="Verdana" w:hAnsi="Verdana"/>
          <w:sz w:val="20"/>
          <w:lang w:val="es-CR"/>
        </w:rPr>
        <w:t xml:space="preserve">acogerse a los beneficios previstos por el Decreto 639. Asimismo, el Tribunal recuerda que mediante sentencia de 25 de octubre de 1993 se ordenó que les fuera repuesto el derecho a recibir </w:t>
      </w:r>
      <w:r w:rsidR="008F083A" w:rsidRPr="000864AE">
        <w:rPr>
          <w:rFonts w:ascii="Verdana" w:hAnsi="Verdana"/>
          <w:sz w:val="20"/>
          <w:lang w:val="es-CR"/>
        </w:rPr>
        <w:t>la</w:t>
      </w:r>
      <w:r w:rsidRPr="000864AE">
        <w:rPr>
          <w:rFonts w:ascii="Verdana" w:hAnsi="Verdana"/>
          <w:sz w:val="20"/>
          <w:lang w:val="es-CR"/>
        </w:rPr>
        <w:t xml:space="preserve"> pensión que les correspondiera, nivelada con las remuneraciones de los servidores activos de la SUNAT y se les integraran los incrementos dejados de percibir como consecuencia de la aplicación de la Tercera Disposición Transitoria del Decreto 673. En relación con los reintegros dejados de percibir por la aplicación de la mencionada </w:t>
      </w:r>
      <w:r w:rsidR="003E51C3" w:rsidRPr="000864AE">
        <w:rPr>
          <w:rFonts w:ascii="Verdana" w:hAnsi="Verdana"/>
          <w:sz w:val="20"/>
          <w:lang w:val="es-CR"/>
        </w:rPr>
        <w:t xml:space="preserve">Tercera </w:t>
      </w:r>
      <w:r w:rsidRPr="000864AE">
        <w:rPr>
          <w:rFonts w:ascii="Verdana" w:hAnsi="Verdana"/>
          <w:sz w:val="20"/>
          <w:lang w:val="es-CR"/>
        </w:rPr>
        <w:t>Disposición, la Corte constató que estos no habían sido pagados a las presuntas víctimas, lo que constituyó un incumplimiento del deber de ejecutar la sentencia de 25 de octubre de 1993 y conlleva la responsabilidad internacional del Estado.</w:t>
      </w:r>
    </w:p>
    <w:p w14:paraId="3C157EBB" w14:textId="77777777" w:rsidR="00655238" w:rsidRPr="000864AE" w:rsidRDefault="00655238" w:rsidP="000864AE">
      <w:pPr>
        <w:pStyle w:val="Prrafodelista"/>
        <w:rPr>
          <w:rFonts w:ascii="Verdana" w:hAnsi="Verdana"/>
          <w:sz w:val="20"/>
          <w:lang w:val="es-CR"/>
        </w:rPr>
      </w:pPr>
    </w:p>
    <w:p w14:paraId="715B6F52" w14:textId="7100B63D" w:rsidR="00655238" w:rsidRPr="000864AE" w:rsidRDefault="00953A15" w:rsidP="000864AE">
      <w:pPr>
        <w:pStyle w:val="Prrafodelista"/>
        <w:numPr>
          <w:ilvl w:val="0"/>
          <w:numId w:val="10"/>
        </w:numPr>
        <w:spacing w:after="0" w:line="240" w:lineRule="auto"/>
        <w:ind w:left="0" w:firstLine="0"/>
        <w:jc w:val="both"/>
        <w:rPr>
          <w:rFonts w:ascii="Verdana" w:hAnsi="Verdana"/>
          <w:sz w:val="20"/>
          <w:szCs w:val="20"/>
          <w:lang w:val="es-DO"/>
        </w:rPr>
      </w:pPr>
      <w:r w:rsidRPr="000864AE">
        <w:rPr>
          <w:rFonts w:ascii="Verdana" w:hAnsi="Verdana"/>
          <w:sz w:val="20"/>
          <w:lang w:val="es-CR"/>
        </w:rPr>
        <w:t xml:space="preserve">La Corte estima que el derecho a la pensión nivelada que adquirieron las presuntas víctimas, lo cual incluía los montos que dejaron de percibir con motivo de la aplicación de la Tercera Disposición Transitoria del Decreto 673, generó un efecto en el patrimonio de los miembros de ANCEJUB-SUNAT. En efecto, el derecho a recibir una pensión fue adquirido luego de que las presuntas víctimas dejaran de laborar para </w:t>
      </w:r>
      <w:r w:rsidR="008F083A" w:rsidRPr="000864AE">
        <w:rPr>
          <w:rFonts w:ascii="Verdana" w:hAnsi="Verdana"/>
          <w:sz w:val="20"/>
          <w:lang w:val="es-CR"/>
        </w:rPr>
        <w:t>la SUNAT</w:t>
      </w:r>
      <w:r w:rsidRPr="000864AE">
        <w:rPr>
          <w:rFonts w:ascii="Verdana" w:hAnsi="Verdana"/>
          <w:sz w:val="20"/>
          <w:lang w:val="es-CR"/>
        </w:rPr>
        <w:t>, al haber cumplido con los requisitos para ello y con el pago de las contribuciones correspondientes, de conformidad con la normativa aplicable en la época. En ese sentido, tal patrimonio se vio afectado directamente por la falta de pago del Estado de los reinteg</w:t>
      </w:r>
      <w:r w:rsidR="008F083A" w:rsidRPr="000864AE">
        <w:rPr>
          <w:rFonts w:ascii="Verdana" w:hAnsi="Verdana"/>
          <w:sz w:val="20"/>
          <w:lang w:val="es-CR"/>
        </w:rPr>
        <w:t>ros que les correspondían</w:t>
      </w:r>
      <w:r w:rsidR="00B25FA5" w:rsidRPr="000864AE">
        <w:rPr>
          <w:rFonts w:ascii="Verdana" w:hAnsi="Verdana"/>
          <w:sz w:val="20"/>
          <w:lang w:val="es-CR"/>
        </w:rPr>
        <w:t xml:space="preserve"> en los términos del peritaje de 18 de octubre de 2011, aprobado </w:t>
      </w:r>
      <w:r w:rsidR="003A3F6A" w:rsidRPr="000864AE">
        <w:rPr>
          <w:rFonts w:ascii="Verdana" w:hAnsi="Verdana"/>
          <w:sz w:val="20"/>
          <w:lang w:val="es-CR"/>
        </w:rPr>
        <w:t>con autoridad de la cosa irrevocablemente juzgada</w:t>
      </w:r>
      <w:r w:rsidR="00B25FA5" w:rsidRPr="000864AE">
        <w:rPr>
          <w:rFonts w:ascii="Verdana" w:hAnsi="Verdana"/>
          <w:sz w:val="20"/>
          <w:lang w:val="es-CR"/>
        </w:rPr>
        <w:t xml:space="preserve"> por la </w:t>
      </w:r>
      <w:r w:rsidR="001913D3">
        <w:rPr>
          <w:rFonts w:ascii="Verdana" w:hAnsi="Verdana"/>
          <w:sz w:val="20"/>
          <w:lang w:val="es-CR"/>
        </w:rPr>
        <w:t>resolución</w:t>
      </w:r>
      <w:r w:rsidR="00B25FA5" w:rsidRPr="000864AE">
        <w:rPr>
          <w:rFonts w:ascii="Verdana" w:hAnsi="Verdana"/>
          <w:sz w:val="20"/>
          <w:lang w:val="es-CR"/>
        </w:rPr>
        <w:t xml:space="preserve"> del Tribunal Constitucional de 23 de abril de 2019. </w:t>
      </w:r>
      <w:r w:rsidRPr="000864AE">
        <w:rPr>
          <w:rFonts w:ascii="Verdana" w:hAnsi="Verdana"/>
          <w:sz w:val="20"/>
          <w:lang w:val="es-CR"/>
        </w:rPr>
        <w:t>Por ese motivo, las víctimas no pudieron gozar integralmente de su derecho a la propiedad privada sobre los efectos patrimoniales de su pensión, entendido aquello como los montos dejados de percibir. De igual manera, debido a que el Tribunal no cuenta con elementos que le permitan determinar que dichos reintegros ya han sido entregados a las presuntas víctimas, la afectación a su patrimonio continúa en violación al derecho a la propiedad.</w:t>
      </w:r>
    </w:p>
    <w:p w14:paraId="59BFFE38" w14:textId="77777777" w:rsidR="00AC0031" w:rsidRPr="000864AE" w:rsidRDefault="00AC0031" w:rsidP="000864AE">
      <w:pPr>
        <w:spacing w:after="0" w:line="240" w:lineRule="auto"/>
        <w:rPr>
          <w:rFonts w:ascii="Verdana" w:hAnsi="Verdana"/>
          <w:sz w:val="20"/>
          <w:szCs w:val="20"/>
          <w:lang w:val="es-DO"/>
        </w:rPr>
      </w:pPr>
    </w:p>
    <w:p w14:paraId="126350A1" w14:textId="77777777" w:rsidR="00AC0031" w:rsidRPr="000864AE" w:rsidRDefault="00AC0031" w:rsidP="000864AE">
      <w:pPr>
        <w:pStyle w:val="Ttulo3"/>
        <w:numPr>
          <w:ilvl w:val="0"/>
          <w:numId w:val="0"/>
        </w:numPr>
        <w:ind w:left="1353"/>
        <w:rPr>
          <w:strike/>
        </w:rPr>
      </w:pPr>
      <w:bookmarkStart w:id="86" w:name="_Toc27329786"/>
      <w:r w:rsidRPr="000864AE">
        <w:rPr>
          <w:lang w:val="es-PE"/>
        </w:rPr>
        <w:t>C.3. Conclusión</w:t>
      </w:r>
      <w:bookmarkEnd w:id="86"/>
      <w:r w:rsidRPr="000864AE">
        <w:rPr>
          <w:lang w:val="es-PE"/>
        </w:rPr>
        <w:t xml:space="preserve"> </w:t>
      </w:r>
    </w:p>
    <w:p w14:paraId="0718FBA5" w14:textId="77777777" w:rsidR="00AC0031" w:rsidRPr="000864AE" w:rsidRDefault="00AC0031" w:rsidP="000864AE">
      <w:pPr>
        <w:pStyle w:val="Prrafodelista"/>
        <w:spacing w:after="0" w:line="240" w:lineRule="auto"/>
        <w:ind w:left="0"/>
        <w:jc w:val="both"/>
        <w:rPr>
          <w:rFonts w:ascii="Verdana" w:hAnsi="Verdana"/>
          <w:sz w:val="20"/>
          <w:szCs w:val="20"/>
          <w:lang w:val="es-DO"/>
        </w:rPr>
      </w:pPr>
    </w:p>
    <w:p w14:paraId="647AA389" w14:textId="1DA39D6F" w:rsidR="00AC0031" w:rsidRPr="000864AE" w:rsidRDefault="00AC0031" w:rsidP="000864AE">
      <w:pPr>
        <w:pStyle w:val="Prrafodelista"/>
        <w:numPr>
          <w:ilvl w:val="0"/>
          <w:numId w:val="10"/>
        </w:numPr>
        <w:spacing w:after="0" w:line="240" w:lineRule="auto"/>
        <w:ind w:left="0" w:firstLine="0"/>
        <w:jc w:val="both"/>
        <w:rPr>
          <w:rFonts w:ascii="Verdana" w:hAnsi="Verdana"/>
          <w:sz w:val="20"/>
          <w:szCs w:val="20"/>
          <w:lang w:val="es-DO"/>
        </w:rPr>
      </w:pPr>
      <w:r w:rsidRPr="000864AE">
        <w:rPr>
          <w:rFonts w:ascii="Verdana" w:hAnsi="Verdana"/>
          <w:sz w:val="20"/>
          <w:szCs w:val="20"/>
          <w:lang w:val="es-DO"/>
        </w:rPr>
        <w:t>Con base en lo anteriormente expuesto, el Estado es responsable por la violación de los artículos 26, 4.1 y 2</w:t>
      </w:r>
      <w:r w:rsidR="0081491E" w:rsidRPr="000864AE">
        <w:rPr>
          <w:rFonts w:ascii="Verdana" w:hAnsi="Verdana"/>
          <w:sz w:val="20"/>
          <w:szCs w:val="20"/>
          <w:lang w:val="es-DO"/>
        </w:rPr>
        <w:t>1</w:t>
      </w:r>
      <w:r w:rsidRPr="000864AE">
        <w:rPr>
          <w:rFonts w:ascii="Verdana" w:hAnsi="Verdana"/>
          <w:sz w:val="20"/>
          <w:szCs w:val="20"/>
          <w:lang w:val="es-DO"/>
        </w:rPr>
        <w:t xml:space="preserve"> de la Convención Americana, en relación con los artículos 8.1, 25.1, 25.2.c) y 1.1 del mismo instrumento, </w:t>
      </w:r>
      <w:r w:rsidRPr="000864AE">
        <w:rPr>
          <w:rFonts w:ascii="Verdana" w:hAnsi="Verdana"/>
          <w:sz w:val="20"/>
          <w:szCs w:val="20"/>
        </w:rPr>
        <w:t>en perjuicio de las personas señaladas en el Anexo 2 de la presente Sentencia.</w:t>
      </w:r>
    </w:p>
    <w:p w14:paraId="012D68C8" w14:textId="3580BD7E" w:rsidR="00953A15" w:rsidRPr="000864AE" w:rsidRDefault="00953A15" w:rsidP="000864AE">
      <w:pPr>
        <w:spacing w:after="0" w:line="240" w:lineRule="auto"/>
        <w:jc w:val="both"/>
        <w:rPr>
          <w:rFonts w:ascii="Verdana" w:hAnsi="Verdana"/>
          <w:sz w:val="20"/>
          <w:szCs w:val="20"/>
          <w:lang w:val="es-CR"/>
        </w:rPr>
      </w:pPr>
    </w:p>
    <w:p w14:paraId="59A16CFE" w14:textId="10705D7D" w:rsidR="00953A15" w:rsidRPr="000864AE" w:rsidRDefault="00953A15" w:rsidP="000864AE">
      <w:pPr>
        <w:pStyle w:val="Ttulo2"/>
        <w:numPr>
          <w:ilvl w:val="0"/>
          <w:numId w:val="15"/>
        </w:numPr>
      </w:pPr>
      <w:bookmarkStart w:id="87" w:name="_Toc27329787"/>
      <w:r w:rsidRPr="000864AE">
        <w:t>Deber de adoptar disposiciones de derecho interno</w:t>
      </w:r>
      <w:bookmarkEnd w:id="87"/>
    </w:p>
    <w:p w14:paraId="42DC7DCE" w14:textId="77777777" w:rsidR="00953A15" w:rsidRPr="000864AE" w:rsidRDefault="00953A15" w:rsidP="000864AE">
      <w:pPr>
        <w:spacing w:after="0" w:line="240" w:lineRule="auto"/>
        <w:rPr>
          <w:rFonts w:ascii="Verdana" w:hAnsi="Verdana"/>
          <w:lang w:val="es-CR" w:eastAsia="es-CR"/>
        </w:rPr>
      </w:pPr>
    </w:p>
    <w:p w14:paraId="7E8DDB4B" w14:textId="58FC7F6C" w:rsidR="00B616A3" w:rsidRPr="000864AE" w:rsidRDefault="008F083A" w:rsidP="000864AE">
      <w:pPr>
        <w:spacing w:after="0" w:line="240" w:lineRule="auto"/>
        <w:ind w:left="1440"/>
        <w:rPr>
          <w:rFonts w:ascii="Verdana" w:hAnsi="Verdana"/>
          <w:b/>
          <w:i/>
          <w:sz w:val="20"/>
          <w:szCs w:val="20"/>
          <w:lang w:val="es-CR" w:eastAsia="es-CR"/>
        </w:rPr>
      </w:pPr>
      <w:r w:rsidRPr="000864AE">
        <w:rPr>
          <w:rFonts w:ascii="Verdana" w:hAnsi="Verdana"/>
          <w:b/>
          <w:i/>
          <w:sz w:val="20"/>
          <w:szCs w:val="20"/>
          <w:lang w:val="es-CR" w:eastAsia="es-CR"/>
        </w:rPr>
        <w:t xml:space="preserve">D.1. </w:t>
      </w:r>
      <w:r w:rsidR="00B616A3" w:rsidRPr="000864AE">
        <w:rPr>
          <w:rFonts w:ascii="Verdana" w:hAnsi="Verdana"/>
          <w:b/>
          <w:i/>
          <w:sz w:val="20"/>
          <w:szCs w:val="20"/>
          <w:lang w:val="es-DO"/>
        </w:rPr>
        <w:t>Argumentos de las partes y de la Comisión</w:t>
      </w:r>
    </w:p>
    <w:p w14:paraId="2322C9C1" w14:textId="77777777" w:rsidR="00B616A3" w:rsidRPr="000864AE" w:rsidRDefault="00B616A3" w:rsidP="000864AE">
      <w:pPr>
        <w:tabs>
          <w:tab w:val="left" w:pos="709"/>
        </w:tabs>
        <w:spacing w:after="0" w:line="240" w:lineRule="auto"/>
        <w:jc w:val="both"/>
        <w:rPr>
          <w:rFonts w:ascii="Verdana" w:hAnsi="Verdana"/>
          <w:sz w:val="20"/>
          <w:szCs w:val="20"/>
          <w:lang w:val="es-DO"/>
        </w:rPr>
      </w:pPr>
    </w:p>
    <w:p w14:paraId="07708AF2" w14:textId="1297494C" w:rsidR="00655238" w:rsidRPr="000864AE" w:rsidRDefault="00B616A3" w:rsidP="000864AE">
      <w:pPr>
        <w:pStyle w:val="Prrafodelista"/>
        <w:numPr>
          <w:ilvl w:val="0"/>
          <w:numId w:val="10"/>
        </w:numPr>
        <w:spacing w:after="0" w:line="240" w:lineRule="auto"/>
        <w:ind w:left="0" w:firstLine="0"/>
        <w:jc w:val="both"/>
        <w:rPr>
          <w:rFonts w:ascii="Verdana" w:hAnsi="Verdana"/>
          <w:sz w:val="20"/>
          <w:szCs w:val="20"/>
          <w:lang w:val="es-DO"/>
        </w:rPr>
      </w:pPr>
      <w:r w:rsidRPr="000864AE">
        <w:rPr>
          <w:rFonts w:ascii="Verdana" w:hAnsi="Verdana"/>
          <w:sz w:val="20"/>
          <w:szCs w:val="20"/>
          <w:lang w:val="es-DO"/>
        </w:rPr>
        <w:t xml:space="preserve">La </w:t>
      </w:r>
      <w:r w:rsidRPr="000864AE">
        <w:rPr>
          <w:rFonts w:ascii="Verdana" w:hAnsi="Verdana"/>
          <w:b/>
          <w:i/>
          <w:sz w:val="20"/>
          <w:szCs w:val="20"/>
          <w:lang w:val="es-DO"/>
        </w:rPr>
        <w:t>Comisión</w:t>
      </w:r>
      <w:r w:rsidRPr="000864AE">
        <w:rPr>
          <w:rFonts w:ascii="Verdana" w:hAnsi="Verdana"/>
          <w:sz w:val="20"/>
          <w:szCs w:val="20"/>
          <w:lang w:val="es-DO"/>
        </w:rPr>
        <w:t xml:space="preserve"> resaltó que el incumplimiento por parte de Perú de las sentencias contra entidades estatales desde la década de 1990 forma parte de un contexto más general que trasciende la situa</w:t>
      </w:r>
      <w:r w:rsidR="00010024" w:rsidRPr="000864AE">
        <w:rPr>
          <w:rFonts w:ascii="Verdana" w:hAnsi="Verdana"/>
          <w:sz w:val="20"/>
          <w:szCs w:val="20"/>
          <w:lang w:val="es-DO"/>
        </w:rPr>
        <w:t>ción particular de las víctimas. R</w:t>
      </w:r>
      <w:r w:rsidRPr="000864AE">
        <w:rPr>
          <w:rFonts w:ascii="Verdana" w:hAnsi="Verdana"/>
          <w:sz w:val="20"/>
          <w:szCs w:val="20"/>
          <w:lang w:val="es-DO"/>
        </w:rPr>
        <w:t xml:space="preserve">eiteró que la Corte se ha pronunciado al respecto en la supervisión de cumplimiento en los casos </w:t>
      </w:r>
      <w:r w:rsidRPr="000864AE">
        <w:rPr>
          <w:rFonts w:ascii="Verdana" w:hAnsi="Verdana"/>
          <w:i/>
          <w:sz w:val="20"/>
          <w:szCs w:val="20"/>
          <w:lang w:val="es-DO"/>
        </w:rPr>
        <w:t>Cinco Pensionistas Vs. Perú</w:t>
      </w:r>
      <w:r w:rsidRPr="000864AE">
        <w:rPr>
          <w:rFonts w:ascii="Verdana" w:hAnsi="Verdana"/>
          <w:sz w:val="20"/>
          <w:szCs w:val="20"/>
          <w:lang w:val="es-DO"/>
        </w:rPr>
        <w:t xml:space="preserve">, </w:t>
      </w:r>
      <w:r w:rsidRPr="000864AE">
        <w:rPr>
          <w:rFonts w:ascii="Verdana" w:hAnsi="Verdana"/>
          <w:i/>
          <w:sz w:val="20"/>
          <w:szCs w:val="20"/>
          <w:lang w:val="es-DO"/>
        </w:rPr>
        <w:t>Acevedo Buendía y otros Vs. Perú</w:t>
      </w:r>
      <w:r w:rsidRPr="000864AE">
        <w:rPr>
          <w:rFonts w:ascii="Verdana" w:hAnsi="Verdana"/>
          <w:sz w:val="20"/>
          <w:szCs w:val="20"/>
          <w:lang w:val="es-DO"/>
        </w:rPr>
        <w:t xml:space="preserve"> y </w:t>
      </w:r>
      <w:r w:rsidRPr="000864AE">
        <w:rPr>
          <w:rFonts w:ascii="Verdana" w:hAnsi="Verdana"/>
          <w:i/>
          <w:sz w:val="20"/>
          <w:szCs w:val="20"/>
          <w:lang w:val="es-DO"/>
        </w:rPr>
        <w:t>Muelle Flores Vs. Perú</w:t>
      </w:r>
      <w:r w:rsidRPr="000864AE">
        <w:rPr>
          <w:rFonts w:ascii="Verdana" w:hAnsi="Verdana"/>
          <w:sz w:val="20"/>
          <w:szCs w:val="20"/>
          <w:lang w:val="es-DO"/>
        </w:rPr>
        <w:t>,</w:t>
      </w:r>
      <w:r w:rsidRPr="000864AE">
        <w:rPr>
          <w:rFonts w:ascii="Verdana" w:hAnsi="Verdana"/>
          <w:b/>
          <w:sz w:val="20"/>
          <w:szCs w:val="20"/>
          <w:lang w:val="es-DO"/>
        </w:rPr>
        <w:t xml:space="preserve"> </w:t>
      </w:r>
      <w:r w:rsidRPr="000864AE">
        <w:rPr>
          <w:rFonts w:ascii="Verdana" w:hAnsi="Verdana"/>
          <w:sz w:val="20"/>
          <w:szCs w:val="20"/>
          <w:lang w:val="es-DO"/>
        </w:rPr>
        <w:t>y enfatizó sus similitudes con este caso. Manifestó que esta es una oportunidad para que la Corte se pronuncie sobre este contexto que trasciende a las víctimas del caso y requiere la adopción de garantías de no repetición. Finalmente, la Comisión destacó que, pese a tener conocimiento de esta “problemática estructural”, “el Estado no ha adoptado las medidas generales necesarias para remediarla y evitar repetición”. En consecuencia, alegó que el Estado es responsable por la violación del artículo 2 de la Convención Americana.</w:t>
      </w:r>
    </w:p>
    <w:p w14:paraId="5EF5F7AE" w14:textId="77777777" w:rsidR="00655238" w:rsidRPr="000864AE" w:rsidRDefault="00655238" w:rsidP="000864AE">
      <w:pPr>
        <w:pStyle w:val="Prrafodelista"/>
        <w:spacing w:after="0" w:line="240" w:lineRule="auto"/>
        <w:ind w:left="0"/>
        <w:jc w:val="both"/>
        <w:rPr>
          <w:rFonts w:ascii="Verdana" w:hAnsi="Verdana"/>
          <w:sz w:val="20"/>
          <w:szCs w:val="20"/>
          <w:lang w:val="es-DO"/>
        </w:rPr>
      </w:pPr>
    </w:p>
    <w:p w14:paraId="2CEBFA92" w14:textId="27CB45D0" w:rsidR="00655238" w:rsidRPr="000864AE" w:rsidRDefault="00B616A3" w:rsidP="000864AE">
      <w:pPr>
        <w:pStyle w:val="Prrafodelista"/>
        <w:numPr>
          <w:ilvl w:val="0"/>
          <w:numId w:val="10"/>
        </w:numPr>
        <w:spacing w:after="0" w:line="240" w:lineRule="auto"/>
        <w:ind w:left="0" w:firstLine="0"/>
        <w:jc w:val="both"/>
        <w:rPr>
          <w:rFonts w:ascii="Verdana" w:hAnsi="Verdana"/>
          <w:sz w:val="20"/>
          <w:szCs w:val="20"/>
          <w:lang w:val="es-DO"/>
        </w:rPr>
      </w:pPr>
      <w:r w:rsidRPr="000864AE">
        <w:rPr>
          <w:rFonts w:ascii="Verdana" w:hAnsi="Verdana"/>
          <w:sz w:val="20"/>
          <w:szCs w:val="20"/>
          <w:lang w:val="es-DO"/>
        </w:rPr>
        <w:t xml:space="preserve">Los </w:t>
      </w:r>
      <w:r w:rsidRPr="000864AE">
        <w:rPr>
          <w:rFonts w:ascii="Verdana" w:hAnsi="Verdana"/>
          <w:b/>
          <w:i/>
          <w:sz w:val="20"/>
          <w:szCs w:val="20"/>
          <w:lang w:val="es-DO"/>
        </w:rPr>
        <w:t xml:space="preserve">representantes </w:t>
      </w:r>
      <w:r w:rsidRPr="000864AE">
        <w:rPr>
          <w:rFonts w:ascii="Verdana" w:hAnsi="Verdana"/>
          <w:sz w:val="20"/>
          <w:szCs w:val="20"/>
          <w:lang w:val="es-DO"/>
        </w:rPr>
        <w:t>señalaron que existe una notoria identidad de elementos que vinculan estos procesos con otros análogos que ya ha tenido oportunidad la Corte de conocer. Manifestaron que estos casos demuestran un incumplimiento sistemático de sentencias que ordenan la restitución de derechos de naturaleza económica y social, lo cual configura un patrón sistemático de violaciones de derechos humanos que constituye además un “estado de cosas inconvencionales”. Los representantes alegaron que el caso muestra la existencia de una vulneración masiva y generalizada de varios derechos, una prolongada omisión de las autoridades estatales en el cumplimiento de sus obligaciones, la no expedición de medidas legislativas, administrativas y presupuestarias, la existencia de un problema social que requiere la adopción de medidas complejas y coordinadas, y la existencia de un vasto número de personas afectadas. En ese sentido, solicitaron a la Corte ordene la remoción de los obstáculos que impidan el cumplimiento de las sentencias.</w:t>
      </w:r>
    </w:p>
    <w:p w14:paraId="40DACFFA" w14:textId="77777777" w:rsidR="00655238" w:rsidRPr="000864AE" w:rsidRDefault="00655238" w:rsidP="000864AE">
      <w:pPr>
        <w:pStyle w:val="Prrafodelista"/>
        <w:rPr>
          <w:rFonts w:ascii="Verdana" w:hAnsi="Verdana"/>
          <w:sz w:val="20"/>
          <w:szCs w:val="20"/>
          <w:lang w:val="es-DO"/>
        </w:rPr>
      </w:pPr>
    </w:p>
    <w:p w14:paraId="74211E34" w14:textId="3D037B48" w:rsidR="00B616A3" w:rsidRPr="000864AE" w:rsidRDefault="00B616A3" w:rsidP="000864AE">
      <w:pPr>
        <w:pStyle w:val="Prrafodelista"/>
        <w:numPr>
          <w:ilvl w:val="0"/>
          <w:numId w:val="10"/>
        </w:numPr>
        <w:spacing w:after="0" w:line="240" w:lineRule="auto"/>
        <w:ind w:left="0" w:firstLine="0"/>
        <w:jc w:val="both"/>
        <w:rPr>
          <w:rFonts w:ascii="Verdana" w:hAnsi="Verdana"/>
          <w:sz w:val="20"/>
          <w:szCs w:val="20"/>
          <w:lang w:val="es-DO"/>
        </w:rPr>
      </w:pPr>
      <w:r w:rsidRPr="000864AE">
        <w:rPr>
          <w:rFonts w:ascii="Verdana" w:hAnsi="Verdana"/>
          <w:sz w:val="20"/>
          <w:szCs w:val="20"/>
          <w:lang w:val="es-DO"/>
        </w:rPr>
        <w:t xml:space="preserve">El </w:t>
      </w:r>
      <w:r w:rsidRPr="000864AE">
        <w:rPr>
          <w:rFonts w:ascii="Verdana" w:hAnsi="Verdana"/>
          <w:b/>
          <w:i/>
          <w:sz w:val="20"/>
          <w:szCs w:val="20"/>
          <w:lang w:val="es-DO"/>
        </w:rPr>
        <w:t>Estado</w:t>
      </w:r>
      <w:r w:rsidRPr="000864AE">
        <w:rPr>
          <w:rFonts w:ascii="Verdana" w:hAnsi="Verdana"/>
          <w:sz w:val="20"/>
          <w:szCs w:val="20"/>
          <w:lang w:val="es-DO"/>
        </w:rPr>
        <w:t xml:space="preserve"> alegó no ser responsable por la violación del artículo 2 de la Convención Americana pues el caso no se relaciona con una inejecución de sentencias, por lo que no existen medidas que el Estado deba adoptar para modificar la alegada situación de incumplimiento que la Comisión le pretende imputar. Asimismo, reiteró que la supuesta inejecución de la sentencia que se le imputa no tiene sustento fáctico en que apoyarse, por lo que la Corte no debe pronunciarse al respecto. Finalmente, enfatizó que los casos </w:t>
      </w:r>
      <w:r w:rsidRPr="000864AE">
        <w:rPr>
          <w:rFonts w:ascii="Verdana" w:hAnsi="Verdana"/>
          <w:i/>
          <w:sz w:val="20"/>
          <w:szCs w:val="20"/>
          <w:lang w:val="es-DO"/>
        </w:rPr>
        <w:t>Cinco Pensionistas Vs. Perú</w:t>
      </w:r>
      <w:r w:rsidRPr="000864AE">
        <w:rPr>
          <w:rFonts w:ascii="Verdana" w:hAnsi="Verdana"/>
          <w:sz w:val="20"/>
          <w:szCs w:val="20"/>
          <w:lang w:val="es-DO"/>
        </w:rPr>
        <w:t xml:space="preserve"> y </w:t>
      </w:r>
      <w:r w:rsidRPr="000864AE">
        <w:rPr>
          <w:rFonts w:ascii="Verdana" w:hAnsi="Verdana"/>
          <w:i/>
          <w:sz w:val="20"/>
          <w:szCs w:val="20"/>
          <w:lang w:val="es-DO"/>
        </w:rPr>
        <w:t>Acevedo Buendía y otros</w:t>
      </w:r>
      <w:r w:rsidRPr="000864AE">
        <w:rPr>
          <w:rFonts w:ascii="Verdana" w:hAnsi="Verdana"/>
          <w:sz w:val="20"/>
          <w:szCs w:val="20"/>
          <w:lang w:val="es-DO"/>
        </w:rPr>
        <w:t xml:space="preserve"> </w:t>
      </w:r>
      <w:r w:rsidRPr="000864AE">
        <w:rPr>
          <w:rFonts w:ascii="Verdana" w:hAnsi="Verdana"/>
          <w:i/>
          <w:sz w:val="20"/>
          <w:szCs w:val="20"/>
          <w:lang w:val="es-DO"/>
        </w:rPr>
        <w:t>Vs. Perú</w:t>
      </w:r>
      <w:r w:rsidRPr="000864AE">
        <w:rPr>
          <w:rFonts w:ascii="Verdana" w:hAnsi="Verdana"/>
          <w:sz w:val="20"/>
          <w:szCs w:val="20"/>
          <w:lang w:val="es-DO"/>
        </w:rPr>
        <w:t xml:space="preserve"> constituyen litigios distintos que no pueden ser aplicados al presente caso de forma automática para imputar y concluir la existencia de responsabilidad internacional estatal.</w:t>
      </w:r>
    </w:p>
    <w:p w14:paraId="3590ACE6" w14:textId="77777777" w:rsidR="00B616A3" w:rsidRPr="000864AE" w:rsidRDefault="00B616A3" w:rsidP="000864AE">
      <w:pPr>
        <w:tabs>
          <w:tab w:val="left" w:pos="709"/>
        </w:tabs>
        <w:spacing w:after="0" w:line="240" w:lineRule="auto"/>
        <w:jc w:val="both"/>
        <w:rPr>
          <w:rFonts w:ascii="Verdana" w:hAnsi="Verdana"/>
          <w:sz w:val="20"/>
          <w:szCs w:val="20"/>
          <w:lang w:val="es-DO"/>
        </w:rPr>
      </w:pPr>
    </w:p>
    <w:p w14:paraId="0A45BEB6" w14:textId="7AD338D7" w:rsidR="00B616A3" w:rsidRPr="000864AE" w:rsidRDefault="00585FFF" w:rsidP="000864AE">
      <w:pPr>
        <w:pStyle w:val="Prrafodelista"/>
        <w:tabs>
          <w:tab w:val="left" w:pos="709"/>
        </w:tabs>
        <w:spacing w:after="0" w:line="240" w:lineRule="auto"/>
        <w:ind w:left="1065"/>
        <w:jc w:val="both"/>
        <w:rPr>
          <w:rFonts w:ascii="Verdana" w:hAnsi="Verdana"/>
          <w:b/>
          <w:i/>
          <w:sz w:val="20"/>
          <w:szCs w:val="20"/>
          <w:lang w:val="es-DO"/>
        </w:rPr>
      </w:pPr>
      <w:r w:rsidRPr="000864AE">
        <w:rPr>
          <w:rFonts w:ascii="Verdana" w:hAnsi="Verdana"/>
          <w:b/>
          <w:i/>
          <w:sz w:val="20"/>
          <w:szCs w:val="20"/>
          <w:lang w:val="es-DO"/>
        </w:rPr>
        <w:tab/>
      </w:r>
      <w:r w:rsidR="00010024" w:rsidRPr="000864AE">
        <w:rPr>
          <w:rFonts w:ascii="Verdana" w:hAnsi="Verdana"/>
          <w:b/>
          <w:i/>
          <w:sz w:val="20"/>
          <w:szCs w:val="20"/>
          <w:lang w:val="es-DO"/>
        </w:rPr>
        <w:t>D</w:t>
      </w:r>
      <w:r w:rsidRPr="000864AE">
        <w:rPr>
          <w:rFonts w:ascii="Verdana" w:hAnsi="Verdana"/>
          <w:b/>
          <w:i/>
          <w:sz w:val="20"/>
          <w:szCs w:val="20"/>
          <w:lang w:val="es-DO"/>
        </w:rPr>
        <w:t xml:space="preserve">.2. </w:t>
      </w:r>
      <w:r w:rsidR="00B616A3" w:rsidRPr="000864AE">
        <w:rPr>
          <w:rFonts w:ascii="Verdana" w:hAnsi="Verdana"/>
          <w:b/>
          <w:i/>
          <w:sz w:val="20"/>
          <w:szCs w:val="20"/>
          <w:lang w:val="es-DO"/>
        </w:rPr>
        <w:t>Consideraciones de la Corte</w:t>
      </w:r>
    </w:p>
    <w:p w14:paraId="30B206B6" w14:textId="77777777" w:rsidR="00B616A3" w:rsidRPr="000864AE" w:rsidRDefault="00B616A3" w:rsidP="000864AE">
      <w:pPr>
        <w:tabs>
          <w:tab w:val="left" w:pos="709"/>
        </w:tabs>
        <w:spacing w:after="0" w:line="240" w:lineRule="auto"/>
        <w:jc w:val="both"/>
        <w:rPr>
          <w:rFonts w:ascii="Verdana" w:hAnsi="Verdana"/>
          <w:sz w:val="20"/>
          <w:szCs w:val="20"/>
          <w:lang w:val="es-DO"/>
        </w:rPr>
      </w:pPr>
    </w:p>
    <w:p w14:paraId="04F3A31E" w14:textId="77777777" w:rsidR="00655238" w:rsidRPr="000864AE" w:rsidRDefault="00B616A3" w:rsidP="000864AE">
      <w:pPr>
        <w:pStyle w:val="Prrafodelista"/>
        <w:numPr>
          <w:ilvl w:val="0"/>
          <w:numId w:val="10"/>
        </w:numPr>
        <w:spacing w:after="0" w:line="240" w:lineRule="auto"/>
        <w:ind w:left="0" w:firstLine="0"/>
        <w:jc w:val="both"/>
        <w:rPr>
          <w:rFonts w:ascii="Verdana" w:hAnsi="Verdana"/>
          <w:sz w:val="20"/>
          <w:szCs w:val="20"/>
          <w:lang w:val="es-DO"/>
        </w:rPr>
      </w:pPr>
      <w:r w:rsidRPr="000864AE">
        <w:rPr>
          <w:rFonts w:ascii="Verdana" w:hAnsi="Verdana" w:cs="Verdana"/>
          <w:sz w:val="20"/>
          <w:szCs w:val="20"/>
          <w:lang w:val="es-CR"/>
        </w:rPr>
        <w:t xml:space="preserve">La Corte ha señalado que el artículo 2 de la Convención contempla el deber general de los Estados Partes de adecuar su </w:t>
      </w:r>
      <w:r w:rsidRPr="000864AE">
        <w:rPr>
          <w:rFonts w:ascii="Verdana" w:hAnsi="Verdana"/>
          <w:sz w:val="20"/>
          <w:szCs w:val="20"/>
          <w:lang w:val="es-CR"/>
        </w:rPr>
        <w:t>derecho</w:t>
      </w:r>
      <w:r w:rsidRPr="000864AE">
        <w:rPr>
          <w:rFonts w:ascii="Verdana" w:hAnsi="Verdana" w:cs="Verdana"/>
          <w:sz w:val="20"/>
          <w:szCs w:val="20"/>
          <w:lang w:val="es-CR"/>
        </w:rPr>
        <w:t xml:space="preserve"> interno a las disposiciones de la misma para garantizar los derechos en ella </w:t>
      </w:r>
      <w:r w:rsidRPr="000864AE">
        <w:rPr>
          <w:rFonts w:ascii="Verdana" w:hAnsi="Verdana"/>
          <w:sz w:val="20"/>
          <w:szCs w:val="20"/>
          <w:lang w:val="es-CR"/>
        </w:rPr>
        <w:t>consagrados</w:t>
      </w:r>
      <w:r w:rsidRPr="000864AE">
        <w:rPr>
          <w:rFonts w:ascii="Verdana" w:hAnsi="Verdana" w:cs="Verdana"/>
          <w:sz w:val="20"/>
          <w:szCs w:val="20"/>
          <w:lang w:val="es-CR"/>
        </w:rPr>
        <w:t>. Este deber implica la adopción de medidas en dos vertientes. Por una parte, la supresión de las normas y prácticas de cualquier naturaleza que entrañen violación a las garantías previstas en la Convención. Por otra, la expedición de normas y el desarrollo de prácticas conducentes a la efectiva observancia de dichas garantías</w:t>
      </w:r>
      <w:r w:rsidRPr="000864AE">
        <w:rPr>
          <w:rFonts w:ascii="Verdana" w:eastAsiaTheme="majorEastAsia" w:hAnsi="Verdana"/>
          <w:vertAlign w:val="superscript"/>
          <w:lang w:val="es-CR"/>
        </w:rPr>
        <w:footnoteReference w:id="294"/>
      </w:r>
      <w:r w:rsidRPr="000864AE">
        <w:rPr>
          <w:rFonts w:ascii="Verdana" w:hAnsi="Verdana" w:cs="Verdana"/>
          <w:sz w:val="20"/>
          <w:szCs w:val="20"/>
          <w:lang w:val="es-CR"/>
        </w:rPr>
        <w:t xml:space="preserve">. </w:t>
      </w:r>
      <w:r w:rsidRPr="000864AE">
        <w:rPr>
          <w:rFonts w:ascii="Verdana" w:hAnsi="Verdana"/>
          <w:sz w:val="20"/>
          <w:szCs w:val="20"/>
        </w:rPr>
        <w:t>Precisamente, respecto a la adopción de dichas medidas, esta Corte ha reconocido que todas las autoridades de un Estado Parte en la Convención tienen la obligación de ejercer un control de convencionalidad</w:t>
      </w:r>
      <w:r w:rsidRPr="000864AE">
        <w:rPr>
          <w:rStyle w:val="Refdenotaalpie"/>
          <w:rFonts w:ascii="Verdana" w:hAnsi="Verdana" w:cs="Arial"/>
          <w:sz w:val="20"/>
          <w:szCs w:val="20"/>
        </w:rPr>
        <w:footnoteReference w:id="295"/>
      </w:r>
      <w:r w:rsidRPr="000864AE">
        <w:rPr>
          <w:rFonts w:ascii="Verdana" w:hAnsi="Verdana"/>
          <w:sz w:val="20"/>
          <w:szCs w:val="20"/>
        </w:rPr>
        <w:t>, de forma tal que la interpretación y aplicación del derecho nacional sea consistente con las obligaciones internacionales del Estado en materia de derechos humanos</w:t>
      </w:r>
      <w:r w:rsidRPr="000864AE">
        <w:rPr>
          <w:rStyle w:val="Refdenotaalpie"/>
          <w:rFonts w:ascii="Verdana" w:hAnsi="Verdana"/>
          <w:sz w:val="20"/>
          <w:szCs w:val="20"/>
        </w:rPr>
        <w:footnoteReference w:id="296"/>
      </w:r>
      <w:r w:rsidRPr="000864AE">
        <w:rPr>
          <w:rFonts w:ascii="Verdana" w:hAnsi="Verdana"/>
          <w:sz w:val="20"/>
          <w:szCs w:val="20"/>
        </w:rPr>
        <w:t>.</w:t>
      </w:r>
    </w:p>
    <w:p w14:paraId="13E4D317" w14:textId="77777777" w:rsidR="00655238" w:rsidRPr="000864AE" w:rsidRDefault="00655238" w:rsidP="000864AE">
      <w:pPr>
        <w:pStyle w:val="Prrafodelista"/>
        <w:spacing w:after="0" w:line="240" w:lineRule="auto"/>
        <w:ind w:left="0"/>
        <w:jc w:val="both"/>
        <w:rPr>
          <w:rFonts w:ascii="Verdana" w:hAnsi="Verdana"/>
          <w:sz w:val="20"/>
          <w:szCs w:val="20"/>
          <w:lang w:val="es-DO"/>
        </w:rPr>
      </w:pPr>
    </w:p>
    <w:p w14:paraId="7FB09F65" w14:textId="5F2F4C8F" w:rsidR="00655238" w:rsidRPr="000864AE" w:rsidRDefault="00B616A3" w:rsidP="000864AE">
      <w:pPr>
        <w:pStyle w:val="Prrafodelista"/>
        <w:numPr>
          <w:ilvl w:val="0"/>
          <w:numId w:val="10"/>
        </w:numPr>
        <w:spacing w:after="0" w:line="240" w:lineRule="auto"/>
        <w:ind w:left="0" w:firstLine="0"/>
        <w:jc w:val="both"/>
        <w:rPr>
          <w:rFonts w:ascii="Verdana" w:hAnsi="Verdana"/>
          <w:sz w:val="20"/>
          <w:szCs w:val="20"/>
          <w:lang w:val="es-DO"/>
        </w:rPr>
      </w:pPr>
      <w:r w:rsidRPr="000864AE">
        <w:rPr>
          <w:rFonts w:ascii="Verdana" w:hAnsi="Verdana" w:cs="Verdana"/>
          <w:sz w:val="20"/>
          <w:szCs w:val="20"/>
          <w:lang w:val="es-CR"/>
        </w:rPr>
        <w:t xml:space="preserve">La Corte nota, como ya lo señaló en la presente Sentencia, que el Estado violó los derechos humanos reconocidos en los artículos </w:t>
      </w:r>
      <w:r w:rsidR="00010024" w:rsidRPr="000864AE">
        <w:rPr>
          <w:rFonts w:ascii="Verdana" w:hAnsi="Verdana" w:cs="Verdana"/>
          <w:sz w:val="20"/>
          <w:szCs w:val="20"/>
          <w:lang w:val="es-CR"/>
        </w:rPr>
        <w:t>25, 8</w:t>
      </w:r>
      <w:r w:rsidR="00953A15" w:rsidRPr="000864AE">
        <w:rPr>
          <w:rFonts w:ascii="Verdana" w:hAnsi="Verdana" w:cs="Verdana"/>
          <w:sz w:val="20"/>
          <w:szCs w:val="20"/>
          <w:lang w:val="es-CR"/>
        </w:rPr>
        <w:t xml:space="preserve">, </w:t>
      </w:r>
      <w:r w:rsidRPr="000864AE">
        <w:rPr>
          <w:rFonts w:ascii="Verdana" w:hAnsi="Verdana" w:cs="Verdana"/>
          <w:sz w:val="20"/>
          <w:szCs w:val="20"/>
          <w:lang w:val="es-CR"/>
        </w:rPr>
        <w:t>26</w:t>
      </w:r>
      <w:r w:rsidR="00953A15" w:rsidRPr="000864AE">
        <w:rPr>
          <w:rFonts w:ascii="Verdana" w:hAnsi="Verdana" w:cs="Verdana"/>
          <w:sz w:val="20"/>
          <w:szCs w:val="20"/>
          <w:lang w:val="es-CR"/>
        </w:rPr>
        <w:t>, 4.1 y 21</w:t>
      </w:r>
      <w:r w:rsidRPr="000864AE">
        <w:rPr>
          <w:rFonts w:ascii="Verdana" w:hAnsi="Verdana" w:cs="Verdana"/>
          <w:sz w:val="20"/>
          <w:szCs w:val="20"/>
          <w:lang w:val="es-CR"/>
        </w:rPr>
        <w:t xml:space="preserve"> de la Convención, en perjuicio de las personas listadas en el Anexo 2 de la Sentencia, como resultado de la falta de ejecución de la sentencia de 25 de octubre de 1993 y los efectos que esto tuvo en </w:t>
      </w:r>
      <w:r w:rsidR="00953A15" w:rsidRPr="000864AE">
        <w:rPr>
          <w:rFonts w:ascii="Verdana" w:hAnsi="Verdana" w:cs="Verdana"/>
          <w:sz w:val="20"/>
          <w:szCs w:val="20"/>
          <w:lang w:val="es-CR"/>
        </w:rPr>
        <w:t>los derechos</w:t>
      </w:r>
      <w:r w:rsidR="008853EA" w:rsidRPr="000864AE">
        <w:rPr>
          <w:rFonts w:ascii="Verdana" w:hAnsi="Verdana" w:cs="Verdana"/>
          <w:sz w:val="20"/>
          <w:szCs w:val="20"/>
          <w:lang w:val="es-CR"/>
        </w:rPr>
        <w:t xml:space="preserve"> a la seguridad social</w:t>
      </w:r>
      <w:r w:rsidR="00953A15" w:rsidRPr="000864AE">
        <w:rPr>
          <w:rFonts w:ascii="Verdana" w:hAnsi="Verdana" w:cs="Verdana"/>
          <w:sz w:val="20"/>
          <w:szCs w:val="20"/>
          <w:lang w:val="es-CR"/>
        </w:rPr>
        <w:t>, la vida digna y la propiedad</w:t>
      </w:r>
      <w:r w:rsidRPr="000864AE">
        <w:rPr>
          <w:rFonts w:ascii="Verdana" w:hAnsi="Verdana" w:cs="Verdana"/>
          <w:sz w:val="20"/>
          <w:szCs w:val="20"/>
          <w:lang w:val="es-CR"/>
        </w:rPr>
        <w:t xml:space="preserve">. En ese sentido, la Corte advierte la similitud entre el presente caso y otros ya decididos con anterioridad por este Tribunal en los casos de </w:t>
      </w:r>
      <w:r w:rsidRPr="000864AE">
        <w:rPr>
          <w:rFonts w:ascii="Verdana" w:hAnsi="Verdana" w:cs="Verdana"/>
          <w:i/>
          <w:sz w:val="20"/>
          <w:szCs w:val="20"/>
          <w:lang w:val="es-CR"/>
        </w:rPr>
        <w:t>Cinco Pensionistas Vs. Perú</w:t>
      </w:r>
      <w:r w:rsidRPr="000864AE">
        <w:rPr>
          <w:rFonts w:ascii="Verdana" w:hAnsi="Verdana" w:cs="Verdana"/>
          <w:sz w:val="20"/>
          <w:szCs w:val="20"/>
          <w:lang w:val="es-CR"/>
        </w:rPr>
        <w:t xml:space="preserve">, </w:t>
      </w:r>
      <w:r w:rsidRPr="000864AE">
        <w:rPr>
          <w:rFonts w:ascii="Verdana" w:hAnsi="Verdana" w:cs="Verdana"/>
          <w:i/>
          <w:sz w:val="20"/>
          <w:szCs w:val="20"/>
          <w:lang w:val="es-CR"/>
        </w:rPr>
        <w:t xml:space="preserve">Acevedo Buendía Vs. Perú </w:t>
      </w:r>
      <w:r w:rsidRPr="000864AE">
        <w:rPr>
          <w:rFonts w:ascii="Verdana" w:hAnsi="Verdana" w:cs="Verdana"/>
          <w:sz w:val="20"/>
          <w:szCs w:val="20"/>
          <w:lang w:val="es-CR"/>
        </w:rPr>
        <w:t xml:space="preserve">y </w:t>
      </w:r>
      <w:r w:rsidRPr="000864AE">
        <w:rPr>
          <w:rFonts w:ascii="Verdana" w:hAnsi="Verdana" w:cs="Verdana"/>
          <w:i/>
          <w:sz w:val="20"/>
          <w:szCs w:val="20"/>
          <w:lang w:val="es-CR"/>
        </w:rPr>
        <w:t xml:space="preserve">Muelle Flores Vs. Perú. </w:t>
      </w:r>
      <w:r w:rsidRPr="000864AE">
        <w:rPr>
          <w:rFonts w:ascii="Verdana" w:hAnsi="Verdana" w:cs="Verdana"/>
          <w:sz w:val="20"/>
          <w:szCs w:val="20"/>
          <w:lang w:val="es-CR"/>
        </w:rPr>
        <w:t xml:space="preserve">En efecto, en dichos casos se </w:t>
      </w:r>
      <w:r w:rsidR="00CC56B0" w:rsidRPr="000864AE">
        <w:rPr>
          <w:rFonts w:ascii="Verdana" w:hAnsi="Verdana" w:cs="Verdana"/>
          <w:sz w:val="20"/>
          <w:szCs w:val="20"/>
          <w:lang w:val="es-CR"/>
        </w:rPr>
        <w:t>verificó la existencia de</w:t>
      </w:r>
      <w:r w:rsidRPr="000864AE">
        <w:rPr>
          <w:rFonts w:ascii="Verdana" w:hAnsi="Verdana" w:cs="Verdana"/>
          <w:sz w:val="20"/>
          <w:szCs w:val="20"/>
          <w:lang w:val="es-CR"/>
        </w:rPr>
        <w:t xml:space="preserve"> un incumplimiento de sentencias a favor de personas cuyos derechos pensionarios habían sido reconocidos en virtud de una decisión judicial que no habría sido ejecutada en los términos del artículo 25.2.c de la Convención Americana</w:t>
      </w:r>
      <w:r w:rsidRPr="000864AE">
        <w:rPr>
          <w:rStyle w:val="Refdenotaalpie"/>
          <w:rFonts w:ascii="Verdana" w:hAnsi="Verdana" w:cs="Verdana"/>
          <w:sz w:val="20"/>
          <w:szCs w:val="20"/>
          <w:lang w:val="es-CR"/>
        </w:rPr>
        <w:footnoteReference w:id="297"/>
      </w:r>
      <w:r w:rsidRPr="000864AE">
        <w:rPr>
          <w:rFonts w:ascii="Verdana" w:hAnsi="Verdana" w:cs="Verdana"/>
          <w:sz w:val="20"/>
          <w:szCs w:val="20"/>
          <w:lang w:val="es-CR"/>
        </w:rPr>
        <w:t>. En ese sentido, la Comisión y los representantes alegaron la existencia de una problemática estructural en Perú en materia de cumplimiento de fallos judiciales análogos al presente caso, lo cual constituyó un incumplimiento de las obligaciones del Estado previstas en el artículo 2 de la Convención.</w:t>
      </w:r>
    </w:p>
    <w:p w14:paraId="5DC1FBCE" w14:textId="77777777" w:rsidR="00655238" w:rsidRPr="000864AE" w:rsidRDefault="00655238" w:rsidP="000864AE">
      <w:pPr>
        <w:pStyle w:val="Prrafodelista"/>
        <w:spacing w:after="0" w:line="240" w:lineRule="auto"/>
        <w:ind w:left="0"/>
        <w:jc w:val="both"/>
        <w:rPr>
          <w:rFonts w:ascii="Verdana" w:hAnsi="Verdana"/>
          <w:sz w:val="20"/>
          <w:szCs w:val="20"/>
          <w:lang w:val="es-DO"/>
        </w:rPr>
      </w:pPr>
    </w:p>
    <w:p w14:paraId="1D5C271F" w14:textId="0DD09387" w:rsidR="00655238" w:rsidRPr="000864AE" w:rsidRDefault="00953A15" w:rsidP="000864AE">
      <w:pPr>
        <w:pStyle w:val="Prrafodelista"/>
        <w:numPr>
          <w:ilvl w:val="0"/>
          <w:numId w:val="10"/>
        </w:numPr>
        <w:spacing w:after="0" w:line="240" w:lineRule="auto"/>
        <w:ind w:left="0" w:firstLine="0"/>
        <w:jc w:val="both"/>
        <w:rPr>
          <w:rFonts w:ascii="Verdana" w:hAnsi="Verdana"/>
          <w:sz w:val="20"/>
          <w:szCs w:val="20"/>
          <w:lang w:val="es-DO"/>
        </w:rPr>
      </w:pPr>
      <w:r w:rsidRPr="000864AE">
        <w:rPr>
          <w:rFonts w:ascii="Verdana" w:eastAsia="Cambria" w:hAnsi="Verdana" w:cs="Cambria"/>
          <w:color w:val="000000"/>
          <w:sz w:val="20"/>
          <w:szCs w:val="20"/>
          <w:u w:color="000000"/>
          <w:lang w:eastAsia="es-ES"/>
        </w:rPr>
        <w:t>Al respecto</w:t>
      </w:r>
      <w:r w:rsidR="00B616A3" w:rsidRPr="000864AE">
        <w:rPr>
          <w:rFonts w:ascii="Verdana" w:eastAsia="Cambria" w:hAnsi="Verdana" w:cs="Cambria"/>
          <w:color w:val="000000"/>
          <w:sz w:val="20"/>
          <w:szCs w:val="20"/>
          <w:u w:color="000000"/>
          <w:lang w:eastAsia="es-ES"/>
        </w:rPr>
        <w:t xml:space="preserve">, la Corte </w:t>
      </w:r>
      <w:r w:rsidR="00CC56B0" w:rsidRPr="000864AE">
        <w:rPr>
          <w:rFonts w:ascii="Verdana" w:eastAsia="Cambria" w:hAnsi="Verdana" w:cs="Cambria"/>
          <w:color w:val="000000"/>
          <w:sz w:val="20"/>
          <w:szCs w:val="20"/>
          <w:u w:color="000000"/>
          <w:lang w:eastAsia="es-ES"/>
        </w:rPr>
        <w:t>destaca</w:t>
      </w:r>
      <w:r w:rsidR="00B616A3" w:rsidRPr="000864AE">
        <w:rPr>
          <w:rFonts w:ascii="Verdana" w:eastAsia="Cambria" w:hAnsi="Verdana" w:cs="Cambria"/>
          <w:color w:val="000000"/>
          <w:sz w:val="20"/>
          <w:szCs w:val="20"/>
          <w:u w:color="000000"/>
          <w:lang w:eastAsia="es-ES"/>
        </w:rPr>
        <w:t xml:space="preserve"> que el objeto central de la controversia en el caso constituyó el análisis sobre la alegada violación a los derechos a las garantías judiciales y la protección judicial por la inejecución de la sentencia judicial de la Corte Suprema de octubre de 1993 </w:t>
      </w:r>
      <w:r w:rsidR="00CC56B0" w:rsidRPr="000864AE">
        <w:rPr>
          <w:rFonts w:ascii="Verdana" w:eastAsia="Cambria" w:hAnsi="Verdana" w:cs="Cambria"/>
          <w:color w:val="000000"/>
          <w:sz w:val="20"/>
          <w:szCs w:val="20"/>
          <w:u w:color="000000"/>
          <w:lang w:eastAsia="es-ES"/>
        </w:rPr>
        <w:t>en relación con las presuntas víctimas del caso</w:t>
      </w:r>
      <w:r w:rsidR="00A7462B" w:rsidRPr="000864AE">
        <w:rPr>
          <w:rFonts w:ascii="Verdana" w:eastAsia="Cambria" w:hAnsi="Verdana" w:cs="Cambria"/>
          <w:color w:val="000000"/>
          <w:sz w:val="20"/>
          <w:szCs w:val="20"/>
          <w:u w:color="000000"/>
          <w:lang w:eastAsia="es-ES"/>
        </w:rPr>
        <w:t>, así como la posible afectación a otros derechos</w:t>
      </w:r>
      <w:r w:rsidR="00B616A3" w:rsidRPr="000864AE">
        <w:rPr>
          <w:rFonts w:ascii="Verdana" w:eastAsia="Cambria" w:hAnsi="Verdana" w:cs="Cambria"/>
          <w:color w:val="000000"/>
          <w:sz w:val="20"/>
          <w:szCs w:val="20"/>
          <w:u w:color="000000"/>
          <w:lang w:eastAsia="es-ES"/>
        </w:rPr>
        <w:t xml:space="preserve">. Asimismo, la Corte recuerda que el marco fáctico </w:t>
      </w:r>
      <w:r w:rsidR="006A566E" w:rsidRPr="000864AE">
        <w:rPr>
          <w:rFonts w:ascii="Verdana" w:eastAsia="Cambria" w:hAnsi="Verdana" w:cs="Cambria"/>
          <w:color w:val="000000"/>
          <w:sz w:val="20"/>
          <w:szCs w:val="20"/>
          <w:u w:color="000000"/>
          <w:lang w:eastAsia="es-ES"/>
        </w:rPr>
        <w:t>de este caso</w:t>
      </w:r>
      <w:r w:rsidR="00284E87" w:rsidRPr="000864AE">
        <w:rPr>
          <w:rFonts w:ascii="Verdana" w:eastAsia="Cambria" w:hAnsi="Verdana" w:cs="Cambria"/>
          <w:color w:val="000000"/>
          <w:sz w:val="20"/>
          <w:szCs w:val="20"/>
          <w:u w:color="000000"/>
          <w:lang w:eastAsia="es-ES"/>
        </w:rPr>
        <w:t xml:space="preserve"> </w:t>
      </w:r>
      <w:r w:rsidR="00B616A3" w:rsidRPr="000864AE">
        <w:rPr>
          <w:rFonts w:ascii="Verdana" w:eastAsia="Cambria" w:hAnsi="Verdana" w:cs="Cambria"/>
          <w:color w:val="000000"/>
          <w:sz w:val="20"/>
          <w:szCs w:val="20"/>
          <w:u w:color="000000"/>
          <w:lang w:eastAsia="es-ES"/>
        </w:rPr>
        <w:t>se encuentra constituido por los hechos contenidos en el Informe de Fondo, y considera que las afirmaciones hechas por la Comisión acerca de que “</w:t>
      </w:r>
      <w:r w:rsidR="00010024" w:rsidRPr="000864AE">
        <w:rPr>
          <w:rFonts w:ascii="Verdana" w:eastAsia="Cambria" w:hAnsi="Verdana" w:cs="Cambria"/>
          <w:color w:val="000000"/>
          <w:sz w:val="20"/>
          <w:szCs w:val="20"/>
          <w:u w:color="000000"/>
          <w:lang w:eastAsia="es-ES"/>
        </w:rPr>
        <w:t xml:space="preserve">(…) </w:t>
      </w:r>
      <w:r w:rsidR="00B616A3" w:rsidRPr="000864AE">
        <w:rPr>
          <w:rFonts w:ascii="Verdana" w:eastAsia="Cambria" w:hAnsi="Verdana" w:cs="Cambria"/>
          <w:color w:val="000000"/>
          <w:sz w:val="20"/>
          <w:szCs w:val="20"/>
          <w:u w:color="000000"/>
          <w:lang w:eastAsia="es-ES"/>
        </w:rPr>
        <w:t xml:space="preserve">el incumplimiento de las sentencias por parte del Estado peruano en contra de entidades estatales desde la década de 1990 trasciende la situación individual de las presuntas víctimas del presente caso y hace parte de un contexto más general” </w:t>
      </w:r>
      <w:r w:rsidR="00010024" w:rsidRPr="000864AE">
        <w:rPr>
          <w:rFonts w:ascii="Verdana" w:eastAsia="Cambria" w:hAnsi="Verdana" w:cs="Cambria"/>
          <w:color w:val="000000"/>
          <w:sz w:val="20"/>
          <w:szCs w:val="20"/>
          <w:u w:color="000000"/>
          <w:lang w:eastAsia="es-ES"/>
        </w:rPr>
        <w:t>son</w:t>
      </w:r>
      <w:r w:rsidR="00B616A3" w:rsidRPr="000864AE">
        <w:rPr>
          <w:rFonts w:ascii="Verdana" w:eastAsia="Cambria" w:hAnsi="Verdana" w:cs="Cambria"/>
          <w:color w:val="000000"/>
          <w:sz w:val="20"/>
          <w:szCs w:val="20"/>
          <w:u w:color="000000"/>
          <w:lang w:eastAsia="es-ES"/>
        </w:rPr>
        <w:t xml:space="preserve"> hechos relevantes “para situar los hechos alegados como violatorios de [derechos humanos] en el marco de las circunstancias específicas en que ocurrieron”</w:t>
      </w:r>
      <w:r w:rsidR="00B616A3" w:rsidRPr="000864AE">
        <w:rPr>
          <w:rFonts w:ascii="Verdana" w:hAnsi="Verdana"/>
          <w:u w:color="000000"/>
          <w:vertAlign w:val="superscript"/>
          <w:lang w:eastAsia="es-ES"/>
        </w:rPr>
        <w:footnoteReference w:id="298"/>
      </w:r>
      <w:r w:rsidR="00CC56B0" w:rsidRPr="000864AE">
        <w:rPr>
          <w:rFonts w:ascii="Verdana" w:eastAsia="Cambria" w:hAnsi="Verdana" w:cs="Cambria"/>
          <w:color w:val="000000"/>
          <w:sz w:val="20"/>
          <w:szCs w:val="20"/>
          <w:u w:color="000000"/>
          <w:lang w:eastAsia="es-ES"/>
        </w:rPr>
        <w:t>, pero no para realizar una violación autónoma a los derechos reconocidos en la Convención</w:t>
      </w:r>
      <w:r w:rsidR="00B616A3" w:rsidRPr="000864AE">
        <w:rPr>
          <w:rFonts w:ascii="Verdana" w:eastAsia="Cambria" w:hAnsi="Verdana" w:cs="Cambria"/>
          <w:color w:val="000000"/>
          <w:sz w:val="20"/>
          <w:szCs w:val="20"/>
          <w:u w:color="000000"/>
          <w:lang w:eastAsia="es-ES"/>
        </w:rPr>
        <w:t>.</w:t>
      </w:r>
    </w:p>
    <w:p w14:paraId="1B9A47ED" w14:textId="77777777" w:rsidR="00655238" w:rsidRPr="000864AE" w:rsidRDefault="00655238" w:rsidP="000864AE">
      <w:pPr>
        <w:pStyle w:val="Prrafodelista"/>
        <w:rPr>
          <w:rFonts w:ascii="Verdana" w:eastAsia="Verdana" w:hAnsi="Verdana" w:cs="Verdana"/>
          <w:sz w:val="20"/>
          <w:szCs w:val="20"/>
          <w:lang w:val="es-DO"/>
        </w:rPr>
      </w:pPr>
    </w:p>
    <w:p w14:paraId="4E68612B" w14:textId="3A0501EE" w:rsidR="00655238" w:rsidRPr="000864AE" w:rsidRDefault="00A7462B" w:rsidP="000864AE">
      <w:pPr>
        <w:pStyle w:val="Prrafodelista"/>
        <w:numPr>
          <w:ilvl w:val="0"/>
          <w:numId w:val="10"/>
        </w:numPr>
        <w:spacing w:after="0" w:line="240" w:lineRule="auto"/>
        <w:ind w:left="0" w:firstLine="0"/>
        <w:jc w:val="both"/>
        <w:rPr>
          <w:rFonts w:ascii="Verdana" w:hAnsi="Verdana"/>
          <w:sz w:val="20"/>
          <w:szCs w:val="20"/>
          <w:lang w:val="es-DO"/>
        </w:rPr>
      </w:pPr>
      <w:r w:rsidRPr="000864AE">
        <w:rPr>
          <w:rFonts w:ascii="Verdana" w:eastAsia="Verdana" w:hAnsi="Verdana" w:cs="Verdana"/>
          <w:sz w:val="20"/>
          <w:szCs w:val="20"/>
          <w:lang w:val="es-DO"/>
        </w:rPr>
        <w:t>Asimismo</w:t>
      </w:r>
      <w:r w:rsidRPr="000864AE">
        <w:rPr>
          <w:rFonts w:ascii="Verdana" w:eastAsia="Verdana" w:hAnsi="Verdana" w:cs="Verdana"/>
          <w:sz w:val="20"/>
          <w:szCs w:val="20"/>
          <w:lang w:val="es-CR"/>
        </w:rPr>
        <w:t xml:space="preserve">, la Corte advierte que los representantes no formularon argumentos concretos sobre cómo el marco jurídico interno impidió la ejecución de sentencias en el ámbito interno para las </w:t>
      </w:r>
      <w:r w:rsidR="00010024" w:rsidRPr="000864AE">
        <w:rPr>
          <w:rFonts w:ascii="Verdana" w:eastAsia="Verdana" w:hAnsi="Verdana" w:cs="Verdana"/>
          <w:sz w:val="20"/>
          <w:szCs w:val="20"/>
          <w:lang w:val="es-CR"/>
        </w:rPr>
        <w:t xml:space="preserve">presuntas </w:t>
      </w:r>
      <w:r w:rsidRPr="000864AE">
        <w:rPr>
          <w:rFonts w:ascii="Verdana" w:eastAsia="Verdana" w:hAnsi="Verdana" w:cs="Verdana"/>
          <w:sz w:val="20"/>
          <w:szCs w:val="20"/>
          <w:lang w:val="es-CR"/>
        </w:rPr>
        <w:t>víctimas del presente caso o de otros casos. Tampoco se desprende del acervo probatorio que dicha violación haya ocurrido. Por tanto, el Tribunal considera que no existen elementos suficientes a efectos de determinar si estas normas constituyeron una violación al artículo 2 de la Convención. En este mismo sentido, la Corte constata que el Estado ha adoptado una serie de leyes dirigidas a compatibilizar “el pago de sentencias con el principio de justicia y legalidad presupuestaria” así como la modificación de leyes y normas de rango inferior “referidas al cumplimiento de sentencias y fallos judiciales”</w:t>
      </w:r>
      <w:r w:rsidR="00585FFF" w:rsidRPr="000864AE">
        <w:rPr>
          <w:rFonts w:ascii="Verdana" w:eastAsia="Verdana" w:hAnsi="Verdana" w:cs="Verdana"/>
          <w:sz w:val="20"/>
          <w:szCs w:val="20"/>
          <w:lang w:val="es-CR"/>
        </w:rPr>
        <w:t>.</w:t>
      </w:r>
      <w:r w:rsidRPr="000864AE">
        <w:rPr>
          <w:rFonts w:ascii="Verdana" w:eastAsia="Verdana" w:hAnsi="Verdana" w:cs="Verdana"/>
          <w:sz w:val="20"/>
          <w:szCs w:val="20"/>
          <w:lang w:val="es-DO"/>
        </w:rPr>
        <w:t xml:space="preserve"> </w:t>
      </w:r>
      <w:r w:rsidR="00585FFF" w:rsidRPr="000864AE">
        <w:rPr>
          <w:rFonts w:ascii="Verdana" w:eastAsia="Verdana" w:hAnsi="Verdana" w:cs="Verdana"/>
          <w:sz w:val="20"/>
          <w:szCs w:val="20"/>
          <w:lang w:val="es-DO"/>
        </w:rPr>
        <w:t xml:space="preserve">Dichas normas no fueron objetadas por los representantes. Al respecto, </w:t>
      </w:r>
      <w:r w:rsidR="00585FFF" w:rsidRPr="000864AE">
        <w:rPr>
          <w:rFonts w:ascii="Verdana" w:eastAsia="Verdana" w:hAnsi="Verdana" w:cs="Verdana"/>
          <w:sz w:val="20"/>
          <w:szCs w:val="20"/>
          <w:lang w:val="es-CR"/>
        </w:rPr>
        <w:t>la</w:t>
      </w:r>
      <w:r w:rsidRPr="000864AE">
        <w:rPr>
          <w:rFonts w:ascii="Verdana" w:eastAsia="Verdana" w:hAnsi="Verdana" w:cs="Verdana"/>
          <w:sz w:val="20"/>
          <w:szCs w:val="20"/>
          <w:lang w:val="es-CR"/>
        </w:rPr>
        <w:t xml:space="preserve"> Corte recuerda que “[l]a competencia contenciosa de la Corte no tiene por objeto la revisión de las legislaciones nacionales en abstracto, sino que es ejercida para resolver casos concretos en que se alegue que un acto [u omisión] del Estado, ejecutado contra personas determinadas, es contrario a la Convención”</w:t>
      </w:r>
      <w:r w:rsidRPr="000864AE">
        <w:rPr>
          <w:rStyle w:val="Refdenotaalpie"/>
          <w:rFonts w:ascii="Verdana" w:eastAsia="Verdana" w:hAnsi="Verdana" w:cs="Verdana"/>
          <w:lang w:val="es-CR"/>
        </w:rPr>
        <w:footnoteReference w:id="299"/>
      </w:r>
      <w:r w:rsidRPr="000864AE">
        <w:rPr>
          <w:rFonts w:ascii="Verdana" w:eastAsia="Verdana" w:hAnsi="Verdana" w:cs="Verdana"/>
          <w:sz w:val="20"/>
          <w:szCs w:val="20"/>
          <w:lang w:val="es-CR"/>
        </w:rPr>
        <w:t xml:space="preserve">. </w:t>
      </w:r>
    </w:p>
    <w:p w14:paraId="0BE95885" w14:textId="77777777" w:rsidR="00655238" w:rsidRPr="000864AE" w:rsidRDefault="00655238" w:rsidP="000864AE">
      <w:pPr>
        <w:pStyle w:val="Prrafodelista"/>
        <w:spacing w:after="0" w:line="240" w:lineRule="auto"/>
        <w:ind w:left="0"/>
        <w:jc w:val="both"/>
        <w:rPr>
          <w:rFonts w:ascii="Verdana" w:hAnsi="Verdana"/>
          <w:sz w:val="20"/>
          <w:szCs w:val="20"/>
          <w:lang w:val="es-DO"/>
        </w:rPr>
      </w:pPr>
    </w:p>
    <w:p w14:paraId="11D44DD9" w14:textId="4857D1C1" w:rsidR="00B616A3" w:rsidRPr="000864AE" w:rsidRDefault="00B616A3" w:rsidP="000864AE">
      <w:pPr>
        <w:pStyle w:val="Prrafodelista"/>
        <w:numPr>
          <w:ilvl w:val="0"/>
          <w:numId w:val="10"/>
        </w:numPr>
        <w:spacing w:after="0" w:line="240" w:lineRule="auto"/>
        <w:ind w:left="0" w:firstLine="0"/>
        <w:jc w:val="both"/>
        <w:rPr>
          <w:rFonts w:ascii="Verdana" w:hAnsi="Verdana"/>
          <w:sz w:val="20"/>
          <w:szCs w:val="20"/>
          <w:lang w:val="es-DO"/>
        </w:rPr>
      </w:pPr>
      <w:r w:rsidRPr="000864AE">
        <w:rPr>
          <w:rFonts w:ascii="Verdana" w:eastAsia="Cambria" w:hAnsi="Verdana" w:cs="Cambria"/>
          <w:color w:val="000000"/>
          <w:sz w:val="20"/>
          <w:szCs w:val="20"/>
          <w:u w:color="000000"/>
          <w:lang w:eastAsia="es-ES"/>
        </w:rPr>
        <w:t xml:space="preserve">En razón de lo anterior, los hechos </w:t>
      </w:r>
      <w:r w:rsidR="00010024" w:rsidRPr="000864AE">
        <w:rPr>
          <w:rFonts w:ascii="Verdana" w:eastAsia="Cambria" w:hAnsi="Verdana" w:cs="Cambria"/>
          <w:color w:val="000000"/>
          <w:sz w:val="20"/>
          <w:szCs w:val="20"/>
          <w:u w:color="000000"/>
          <w:lang w:eastAsia="es-ES"/>
        </w:rPr>
        <w:t>examinados</w:t>
      </w:r>
      <w:r w:rsidRPr="000864AE">
        <w:rPr>
          <w:rFonts w:ascii="Verdana" w:eastAsia="Cambria" w:hAnsi="Verdana" w:cs="Cambria"/>
          <w:color w:val="000000"/>
          <w:sz w:val="20"/>
          <w:szCs w:val="20"/>
          <w:u w:color="000000"/>
          <w:lang w:eastAsia="es-ES"/>
        </w:rPr>
        <w:t xml:space="preserve"> por esta Corte en otros casos similares al presente</w:t>
      </w:r>
      <w:r w:rsidR="00B85254" w:rsidRPr="000864AE">
        <w:rPr>
          <w:rFonts w:ascii="Verdana" w:eastAsia="Cambria" w:hAnsi="Verdana" w:cs="Cambria"/>
          <w:color w:val="000000"/>
          <w:sz w:val="20"/>
          <w:szCs w:val="20"/>
          <w:u w:color="000000"/>
          <w:lang w:eastAsia="es-ES"/>
        </w:rPr>
        <w:t xml:space="preserve"> </w:t>
      </w:r>
      <w:r w:rsidRPr="000864AE">
        <w:rPr>
          <w:rFonts w:ascii="Verdana" w:eastAsia="Cambria" w:hAnsi="Verdana" w:cs="Cambria"/>
          <w:color w:val="000000"/>
          <w:sz w:val="20"/>
          <w:szCs w:val="20"/>
          <w:u w:color="000000"/>
          <w:lang w:eastAsia="es-ES"/>
        </w:rPr>
        <w:t xml:space="preserve">no pueden ser analizados de manera autónoma sobre la base del artículo 2 de la Convención en el presente caso. </w:t>
      </w:r>
      <w:r w:rsidR="00CC56B0" w:rsidRPr="000864AE">
        <w:rPr>
          <w:rFonts w:ascii="Verdana" w:eastAsia="Cambria" w:hAnsi="Verdana" w:cs="Cambria"/>
          <w:color w:val="000000"/>
          <w:sz w:val="20"/>
          <w:szCs w:val="20"/>
          <w:u w:color="000000"/>
          <w:lang w:eastAsia="es-ES"/>
        </w:rPr>
        <w:t xml:space="preserve">Asimismo, la Corte advierte que no fueron formulados argumentos que permitan determinar aquellas normas o prácticas a nivel interno que sean la causa de la falta de ejecución de sentencias en materia pensionaria. </w:t>
      </w:r>
      <w:r w:rsidRPr="000864AE">
        <w:rPr>
          <w:rFonts w:ascii="Verdana" w:eastAsia="Cambria" w:hAnsi="Verdana" w:cs="Cambria"/>
          <w:color w:val="000000"/>
          <w:sz w:val="20"/>
          <w:szCs w:val="20"/>
          <w:u w:color="000000"/>
          <w:lang w:eastAsia="es-ES"/>
        </w:rPr>
        <w:t>Adicionalmente, la Corte advierte que el Estado ha adoptado una serie de leyes dirigidas a compatibilizar “el pago de sentencias con el principio de justicia y legalidad presupuestaria”</w:t>
      </w:r>
      <w:r w:rsidR="00010024" w:rsidRPr="000864AE">
        <w:rPr>
          <w:rFonts w:ascii="Verdana" w:eastAsia="Cambria" w:hAnsi="Verdana" w:cs="Cambria"/>
          <w:color w:val="000000"/>
          <w:sz w:val="20"/>
          <w:szCs w:val="20"/>
          <w:u w:color="000000"/>
          <w:lang w:eastAsia="es-ES"/>
        </w:rPr>
        <w:t>,</w:t>
      </w:r>
      <w:r w:rsidRPr="000864AE">
        <w:rPr>
          <w:rFonts w:ascii="Verdana" w:eastAsia="Cambria" w:hAnsi="Verdana" w:cs="Cambria"/>
          <w:color w:val="000000"/>
          <w:sz w:val="20"/>
          <w:szCs w:val="20"/>
          <w:u w:color="000000"/>
          <w:lang w:eastAsia="es-ES"/>
        </w:rPr>
        <w:t xml:space="preserve"> </w:t>
      </w:r>
      <w:r w:rsidR="00CC56B0" w:rsidRPr="000864AE">
        <w:rPr>
          <w:rFonts w:ascii="Verdana" w:eastAsia="Cambria" w:hAnsi="Verdana" w:cs="Cambria"/>
          <w:color w:val="000000"/>
          <w:sz w:val="20"/>
          <w:szCs w:val="20"/>
          <w:u w:color="000000"/>
          <w:lang w:eastAsia="es-ES"/>
        </w:rPr>
        <w:t>así como la modificación de leyes y normas de rango inferior referidas al cumplimiento de sentencias y fallos judiciales</w:t>
      </w:r>
      <w:r w:rsidRPr="000864AE">
        <w:rPr>
          <w:rFonts w:ascii="Verdana" w:eastAsia="Cambria" w:hAnsi="Verdana" w:cs="Cambria"/>
          <w:color w:val="000000"/>
          <w:sz w:val="20"/>
          <w:szCs w:val="20"/>
          <w:u w:color="000000"/>
          <w:lang w:eastAsia="es-ES"/>
        </w:rPr>
        <w:t xml:space="preserve">. </w:t>
      </w:r>
      <w:r w:rsidR="009B004A" w:rsidRPr="000864AE">
        <w:rPr>
          <w:rFonts w:ascii="Verdana" w:eastAsia="Cambria" w:hAnsi="Verdana" w:cs="Cambria"/>
          <w:color w:val="000000"/>
          <w:sz w:val="20"/>
          <w:szCs w:val="20"/>
          <w:u w:color="000000"/>
          <w:lang w:eastAsia="es-ES"/>
        </w:rPr>
        <w:t>En ese sentido</w:t>
      </w:r>
      <w:r w:rsidR="00CC56B0" w:rsidRPr="000864AE">
        <w:rPr>
          <w:rFonts w:ascii="Verdana" w:eastAsia="Cambria" w:hAnsi="Verdana" w:cs="Cambria"/>
          <w:color w:val="000000"/>
          <w:sz w:val="20"/>
          <w:szCs w:val="20"/>
          <w:u w:color="000000"/>
          <w:lang w:eastAsia="es-ES"/>
        </w:rPr>
        <w:t>,</w:t>
      </w:r>
      <w:r w:rsidRPr="000864AE">
        <w:rPr>
          <w:rFonts w:ascii="Verdana" w:eastAsia="Cambria" w:hAnsi="Verdana" w:cs="Cambria"/>
          <w:color w:val="000000"/>
          <w:sz w:val="20"/>
          <w:szCs w:val="20"/>
          <w:u w:color="000000"/>
          <w:lang w:eastAsia="es-ES"/>
        </w:rPr>
        <w:t xml:space="preserve"> la Corte </w:t>
      </w:r>
      <w:r w:rsidR="00CC56B0" w:rsidRPr="000864AE">
        <w:rPr>
          <w:rFonts w:ascii="Verdana" w:eastAsia="Cambria" w:hAnsi="Verdana" w:cs="Cambria"/>
          <w:color w:val="000000"/>
          <w:sz w:val="20"/>
          <w:szCs w:val="20"/>
          <w:u w:color="000000"/>
          <w:lang w:eastAsia="es-ES"/>
        </w:rPr>
        <w:t>carece</w:t>
      </w:r>
      <w:r w:rsidRPr="000864AE">
        <w:rPr>
          <w:rFonts w:ascii="Verdana" w:eastAsia="Cambria" w:hAnsi="Verdana" w:cs="Cambria"/>
          <w:color w:val="000000"/>
          <w:sz w:val="20"/>
          <w:szCs w:val="20"/>
          <w:u w:color="000000"/>
          <w:lang w:eastAsia="es-ES"/>
        </w:rPr>
        <w:t xml:space="preserve"> de elementos que permitan concluir la existencia de un problema normativo que impida la ejecución de las sentencias que reconocen</w:t>
      </w:r>
      <w:r w:rsidR="009B004A" w:rsidRPr="000864AE">
        <w:rPr>
          <w:rFonts w:ascii="Verdana" w:eastAsia="Cambria" w:hAnsi="Verdana" w:cs="Cambria"/>
          <w:color w:val="000000"/>
          <w:sz w:val="20"/>
          <w:szCs w:val="20"/>
          <w:u w:color="000000"/>
          <w:lang w:eastAsia="es-ES"/>
        </w:rPr>
        <w:t xml:space="preserve"> derechos pensionarios en Perú. En consecuencia, e</w:t>
      </w:r>
      <w:r w:rsidRPr="000864AE">
        <w:rPr>
          <w:rFonts w:ascii="Verdana" w:eastAsia="Cambria" w:hAnsi="Verdana" w:cs="Cambria"/>
          <w:color w:val="000000"/>
          <w:sz w:val="20"/>
          <w:szCs w:val="20"/>
          <w:u w:color="000000"/>
          <w:lang w:eastAsia="es-ES"/>
        </w:rPr>
        <w:t xml:space="preserve">l Tribunal </w:t>
      </w:r>
      <w:r w:rsidR="009B004A" w:rsidRPr="000864AE">
        <w:rPr>
          <w:rFonts w:ascii="Verdana" w:eastAsia="Cambria" w:hAnsi="Verdana" w:cs="Cambria"/>
          <w:color w:val="000000"/>
          <w:sz w:val="20"/>
          <w:szCs w:val="20"/>
          <w:u w:color="000000"/>
          <w:lang w:eastAsia="es-ES"/>
        </w:rPr>
        <w:t>concluye</w:t>
      </w:r>
      <w:r w:rsidRPr="000864AE">
        <w:rPr>
          <w:rFonts w:ascii="Verdana" w:eastAsia="Cambria" w:hAnsi="Verdana" w:cs="Cambria"/>
          <w:color w:val="000000"/>
          <w:sz w:val="20"/>
          <w:szCs w:val="20"/>
          <w:u w:color="000000"/>
          <w:lang w:eastAsia="es-ES"/>
        </w:rPr>
        <w:t xml:space="preserve"> que el Estado no es responsable por la violación al artículo 2 de la Convención Americana.</w:t>
      </w:r>
    </w:p>
    <w:p w14:paraId="7E8AA6D1" w14:textId="77777777" w:rsidR="00585FFF" w:rsidRPr="000864AE" w:rsidRDefault="00585FFF" w:rsidP="000864AE">
      <w:pPr>
        <w:widowControl w:val="0"/>
        <w:tabs>
          <w:tab w:val="left" w:pos="567"/>
        </w:tabs>
        <w:adjustRightInd w:val="0"/>
        <w:spacing w:after="0" w:line="240" w:lineRule="auto"/>
        <w:jc w:val="both"/>
        <w:textAlignment w:val="baseline"/>
        <w:rPr>
          <w:rFonts w:ascii="Verdana" w:eastAsia="Times New Roman" w:hAnsi="Verdana" w:cs="Times New Roman"/>
          <w:b/>
          <w:bCs/>
          <w:caps/>
          <w:snapToGrid w:val="0"/>
          <w:sz w:val="20"/>
          <w:szCs w:val="20"/>
        </w:rPr>
      </w:pPr>
    </w:p>
    <w:p w14:paraId="6BD8DDA6" w14:textId="659D6AEB" w:rsidR="00585FFF" w:rsidRPr="000864AE" w:rsidRDefault="00010024" w:rsidP="000864AE">
      <w:pPr>
        <w:pStyle w:val="Ttulo2"/>
        <w:numPr>
          <w:ilvl w:val="0"/>
          <w:numId w:val="0"/>
        </w:numPr>
        <w:ind w:left="1068"/>
      </w:pPr>
      <w:bookmarkStart w:id="88" w:name="_Toc27329788"/>
      <w:r w:rsidRPr="000864AE">
        <w:t>E</w:t>
      </w:r>
      <w:r w:rsidR="00F84C31" w:rsidRPr="000864AE">
        <w:t xml:space="preserve">. </w:t>
      </w:r>
      <w:r w:rsidR="00585FFF" w:rsidRPr="000864AE">
        <w:t>Conclusión del capítulo</w:t>
      </w:r>
      <w:bookmarkEnd w:id="88"/>
    </w:p>
    <w:p w14:paraId="2A5180A8" w14:textId="77777777" w:rsidR="00585FFF" w:rsidRPr="000864AE" w:rsidRDefault="00585FFF" w:rsidP="000864AE">
      <w:pPr>
        <w:widowControl w:val="0"/>
        <w:tabs>
          <w:tab w:val="left" w:pos="567"/>
        </w:tabs>
        <w:adjustRightInd w:val="0"/>
        <w:spacing w:after="0" w:line="240" w:lineRule="auto"/>
        <w:jc w:val="both"/>
        <w:textAlignment w:val="baseline"/>
        <w:rPr>
          <w:rFonts w:ascii="Verdana" w:eastAsia="Times New Roman" w:hAnsi="Verdana" w:cs="Times New Roman"/>
          <w:b/>
          <w:bCs/>
          <w:caps/>
          <w:snapToGrid w:val="0"/>
          <w:sz w:val="20"/>
          <w:szCs w:val="20"/>
          <w:lang w:val="es-CR"/>
        </w:rPr>
      </w:pPr>
    </w:p>
    <w:p w14:paraId="01A53353" w14:textId="6F281C7E" w:rsidR="00655238" w:rsidRPr="000864AE" w:rsidRDefault="003655AA" w:rsidP="000864AE">
      <w:pPr>
        <w:pStyle w:val="Prrafodelista"/>
        <w:numPr>
          <w:ilvl w:val="0"/>
          <w:numId w:val="10"/>
        </w:numPr>
        <w:spacing w:after="0" w:line="240" w:lineRule="auto"/>
        <w:ind w:left="0" w:firstLine="0"/>
        <w:jc w:val="both"/>
        <w:rPr>
          <w:rFonts w:ascii="Verdana" w:hAnsi="Verdana"/>
          <w:sz w:val="20"/>
          <w:szCs w:val="20"/>
          <w:lang w:val="es-DO"/>
        </w:rPr>
      </w:pPr>
      <w:r w:rsidRPr="000864AE">
        <w:rPr>
          <w:rFonts w:ascii="Verdana" w:hAnsi="Verdana"/>
          <w:spacing w:val="-2"/>
          <w:sz w:val="20"/>
          <w:szCs w:val="20"/>
        </w:rPr>
        <w:t>La</w:t>
      </w:r>
      <w:r w:rsidR="00C06BD9" w:rsidRPr="000864AE">
        <w:rPr>
          <w:rFonts w:ascii="Verdana" w:hAnsi="Verdana"/>
          <w:spacing w:val="-2"/>
          <w:sz w:val="20"/>
          <w:szCs w:val="20"/>
        </w:rPr>
        <w:t xml:space="preserve"> Corte recuerda que la</w:t>
      </w:r>
      <w:r w:rsidRPr="000864AE">
        <w:rPr>
          <w:rFonts w:ascii="Verdana" w:hAnsi="Verdana"/>
          <w:spacing w:val="-2"/>
          <w:sz w:val="20"/>
          <w:szCs w:val="20"/>
        </w:rPr>
        <w:t xml:space="preserve"> dilación injustificada en el cumplimiento de una sentencia constituye en sí misma una violación a las garantías judiciales. En el presente caso, </w:t>
      </w:r>
      <w:r w:rsidRPr="000864AE">
        <w:rPr>
          <w:rFonts w:ascii="Verdana" w:hAnsi="Verdana"/>
          <w:sz w:val="20"/>
          <w:szCs w:val="20"/>
        </w:rPr>
        <w:t>la Corte concluye que el proceso de ejecución de la sentencia de 25 de octubre de 1993 resultó irregular e ineficaz por los siguientes hechos: a) la falta de claridad de la autoridad encargada del cumplimiento de la sentencia y la emisión de resoluciones que ordenaban la ejecución sin incluir directamente a la SUNAT, las cuales contribuyeron en gran medida al retraso del proceso e implicaron la interposición de nuevos recursos por parte de ANCEJUB-SUNAT; b) la necesidad de que las presuntas víctimas tuvieran que iniciar nuevos trámites en sede administrativas para procurar la liquidación de las pensiones niveladas, con lo cual se les imputó la obligación a cargo del Estado de procurar los medios necesarios para garantizar la efectividad de sus sentencias</w:t>
      </w:r>
      <w:r w:rsidR="00010024" w:rsidRPr="000864AE">
        <w:rPr>
          <w:rFonts w:ascii="Verdana" w:hAnsi="Verdana"/>
          <w:sz w:val="20"/>
          <w:szCs w:val="20"/>
        </w:rPr>
        <w:t>, y</w:t>
      </w:r>
      <w:r w:rsidRPr="000864AE">
        <w:rPr>
          <w:rFonts w:ascii="Verdana" w:hAnsi="Verdana"/>
          <w:sz w:val="20"/>
          <w:szCs w:val="20"/>
        </w:rPr>
        <w:t xml:space="preserve"> c) la falta de pago de los reintegros ordenados por la sentencia de 25 de octubre de 1993.</w:t>
      </w:r>
      <w:r w:rsidR="00C06BD9" w:rsidRPr="000864AE">
        <w:rPr>
          <w:rFonts w:ascii="Verdana" w:hAnsi="Verdana"/>
          <w:sz w:val="20"/>
          <w:szCs w:val="20"/>
        </w:rPr>
        <w:t xml:space="preserve"> Estos hechos constituyeron una violación al derecho a un recurso judicial efectivo.</w:t>
      </w:r>
      <w:r w:rsidRPr="000864AE">
        <w:rPr>
          <w:rFonts w:ascii="Verdana" w:hAnsi="Verdana"/>
          <w:sz w:val="20"/>
          <w:szCs w:val="20"/>
        </w:rPr>
        <w:t xml:space="preserve"> Por otro lado, el Tribunal considera que, en atención a las particularidades del caso, el plazo de 27 años desde la emisión de la sentencia sin que esta haya sido ejecutada violó la garantía del plazo razonable.</w:t>
      </w:r>
    </w:p>
    <w:p w14:paraId="6D9EA51F" w14:textId="77777777" w:rsidR="00655238" w:rsidRPr="000864AE" w:rsidRDefault="00655238" w:rsidP="000864AE">
      <w:pPr>
        <w:pStyle w:val="Prrafodelista"/>
        <w:spacing w:after="0" w:line="240" w:lineRule="auto"/>
        <w:ind w:left="0"/>
        <w:jc w:val="both"/>
        <w:rPr>
          <w:rFonts w:ascii="Verdana" w:hAnsi="Verdana"/>
          <w:sz w:val="20"/>
          <w:szCs w:val="20"/>
          <w:lang w:val="es-DO"/>
        </w:rPr>
      </w:pPr>
    </w:p>
    <w:p w14:paraId="71435CBD" w14:textId="77777777" w:rsidR="00655238" w:rsidRPr="000864AE" w:rsidRDefault="00C06BD9" w:rsidP="000864AE">
      <w:pPr>
        <w:pStyle w:val="Prrafodelista"/>
        <w:numPr>
          <w:ilvl w:val="0"/>
          <w:numId w:val="10"/>
        </w:numPr>
        <w:spacing w:after="0" w:line="240" w:lineRule="auto"/>
        <w:ind w:left="0" w:firstLine="0"/>
        <w:jc w:val="both"/>
        <w:rPr>
          <w:rFonts w:ascii="Verdana" w:hAnsi="Verdana"/>
          <w:sz w:val="20"/>
          <w:szCs w:val="20"/>
          <w:lang w:val="es-DO"/>
        </w:rPr>
      </w:pPr>
      <w:r w:rsidRPr="000864AE">
        <w:rPr>
          <w:rFonts w:ascii="Verdana" w:hAnsi="Verdana"/>
          <w:sz w:val="20"/>
          <w:szCs w:val="20"/>
        </w:rPr>
        <w:t>En relación con lo anterior, l</w:t>
      </w:r>
      <w:r w:rsidR="00A50374" w:rsidRPr="000864AE">
        <w:rPr>
          <w:rFonts w:ascii="Verdana" w:hAnsi="Verdana"/>
          <w:sz w:val="20"/>
          <w:szCs w:val="20"/>
        </w:rPr>
        <w:t xml:space="preserve">a Corte concluye que el Estado incumplió con su deber de garantizar el derecho a la seguridad social en virtud de la falta de acceso a un recurso judicial efectivo por parte de las presuntas víctimas para que se pagaran los montos pendientes como parte de su pensión en virtud de la sentencia de 25 de octubre de 1993, por la falta de información adecuada sobre los efectos prácticos que tendría en sus pensiones la entrada en vigor de los Decretos 639 y 673 como personas sujetas al régimen pensionario previsto por el Decreto 20530, y por el impacto que esto tuvo en </w:t>
      </w:r>
      <w:r w:rsidRPr="000864AE">
        <w:rPr>
          <w:rFonts w:ascii="Verdana" w:hAnsi="Verdana"/>
          <w:sz w:val="20"/>
          <w:szCs w:val="20"/>
        </w:rPr>
        <w:t>otros derechos</w:t>
      </w:r>
      <w:r w:rsidR="00A50374" w:rsidRPr="000864AE">
        <w:rPr>
          <w:rFonts w:ascii="Verdana" w:hAnsi="Verdana"/>
          <w:sz w:val="20"/>
          <w:szCs w:val="20"/>
        </w:rPr>
        <w:t xml:space="preserve">. En </w:t>
      </w:r>
      <w:r w:rsidRPr="000864AE">
        <w:rPr>
          <w:rFonts w:ascii="Verdana" w:hAnsi="Verdana"/>
          <w:sz w:val="20"/>
          <w:szCs w:val="20"/>
        </w:rPr>
        <w:t xml:space="preserve">particular, el Tribunal advirtió que en virtud de la interrelación entre el derecho a la seguridad social y la vida digna, </w:t>
      </w:r>
      <w:r w:rsidR="0008710C" w:rsidRPr="000864AE">
        <w:rPr>
          <w:rFonts w:ascii="Verdana" w:hAnsi="Verdana"/>
          <w:sz w:val="20"/>
          <w:szCs w:val="20"/>
        </w:rPr>
        <w:t>situación que se acentúa en el caso de personas mayores, la disminución de los ingresos de las presuntas víctimas con motivo de su jubilación de la SUNAT, y los montos dejados de percibir por la falta de pago de sus reintegros, tuvieron como resultado una afectación a su derecho a la vida digna. Asimismo, la falta de pago</w:t>
      </w:r>
      <w:r w:rsidR="009726DC" w:rsidRPr="000864AE">
        <w:rPr>
          <w:rFonts w:ascii="Verdana" w:hAnsi="Verdana"/>
          <w:sz w:val="20"/>
          <w:szCs w:val="20"/>
        </w:rPr>
        <w:t xml:space="preserve"> de dichos reintegros derivó </w:t>
      </w:r>
      <w:r w:rsidR="0008710C" w:rsidRPr="000864AE">
        <w:rPr>
          <w:rFonts w:ascii="Verdana" w:hAnsi="Verdana"/>
          <w:sz w:val="20"/>
          <w:szCs w:val="20"/>
        </w:rPr>
        <w:t>en la violación al derecho a la propiedad privada.</w:t>
      </w:r>
    </w:p>
    <w:p w14:paraId="37CB05F1" w14:textId="77777777" w:rsidR="00655238" w:rsidRPr="000864AE" w:rsidRDefault="00655238" w:rsidP="000864AE">
      <w:pPr>
        <w:pStyle w:val="Prrafodelista"/>
        <w:spacing w:after="0" w:line="240" w:lineRule="auto"/>
        <w:ind w:left="0"/>
        <w:jc w:val="both"/>
        <w:rPr>
          <w:rFonts w:ascii="Verdana" w:hAnsi="Verdana"/>
          <w:sz w:val="20"/>
          <w:szCs w:val="20"/>
          <w:lang w:val="es-DO"/>
        </w:rPr>
      </w:pPr>
    </w:p>
    <w:p w14:paraId="62FEE940" w14:textId="49F37CE6" w:rsidR="00585FFF" w:rsidRPr="000864AE" w:rsidRDefault="00585FFF" w:rsidP="000864AE">
      <w:pPr>
        <w:pStyle w:val="Prrafodelista"/>
        <w:numPr>
          <w:ilvl w:val="0"/>
          <w:numId w:val="10"/>
        </w:numPr>
        <w:spacing w:after="0" w:line="240" w:lineRule="auto"/>
        <w:ind w:left="0" w:firstLine="0"/>
        <w:jc w:val="both"/>
        <w:rPr>
          <w:rFonts w:ascii="Verdana" w:hAnsi="Verdana"/>
          <w:sz w:val="20"/>
          <w:szCs w:val="20"/>
          <w:lang w:val="es-DO"/>
        </w:rPr>
      </w:pPr>
      <w:r w:rsidRPr="000864AE">
        <w:rPr>
          <w:rFonts w:ascii="Verdana" w:eastAsia="Cambria" w:hAnsi="Verdana" w:cs="Cambria"/>
          <w:color w:val="000000"/>
          <w:sz w:val="20"/>
          <w:szCs w:val="20"/>
          <w:u w:color="000000"/>
          <w:lang w:eastAsia="es-ES"/>
        </w:rPr>
        <w:t>Con base en todo lo señalado, la Corte concluye que el Estado es responsable por la</w:t>
      </w:r>
      <w:r w:rsidR="00010024" w:rsidRPr="000864AE">
        <w:rPr>
          <w:rFonts w:ascii="Verdana" w:eastAsia="Cambria" w:hAnsi="Verdana" w:cs="Cambria"/>
          <w:color w:val="000000"/>
          <w:sz w:val="20"/>
          <w:szCs w:val="20"/>
          <w:u w:color="000000"/>
          <w:lang w:eastAsia="es-ES"/>
        </w:rPr>
        <w:t xml:space="preserve"> violación de los derechos a la vida digna, las</w:t>
      </w:r>
      <w:r w:rsidRPr="000864AE">
        <w:rPr>
          <w:rFonts w:ascii="Verdana" w:eastAsia="Cambria" w:hAnsi="Verdana" w:cs="Cambria"/>
          <w:color w:val="000000"/>
          <w:sz w:val="20"/>
          <w:szCs w:val="20"/>
          <w:u w:color="000000"/>
          <w:lang w:eastAsia="es-ES"/>
        </w:rPr>
        <w:t xml:space="preserve"> garant</w:t>
      </w:r>
      <w:r w:rsidR="009726DC" w:rsidRPr="000864AE">
        <w:rPr>
          <w:rFonts w:ascii="Verdana" w:eastAsia="Cambria" w:hAnsi="Verdana" w:cs="Cambria"/>
          <w:color w:val="000000"/>
          <w:sz w:val="20"/>
          <w:szCs w:val="20"/>
          <w:u w:color="000000"/>
          <w:lang w:eastAsia="es-ES"/>
        </w:rPr>
        <w:t>ías judiciales,</w:t>
      </w:r>
      <w:r w:rsidR="00010024" w:rsidRPr="000864AE">
        <w:rPr>
          <w:rFonts w:ascii="Verdana" w:eastAsia="Cambria" w:hAnsi="Verdana" w:cs="Cambria"/>
          <w:color w:val="000000"/>
          <w:sz w:val="20"/>
          <w:szCs w:val="20"/>
          <w:u w:color="000000"/>
          <w:lang w:eastAsia="es-ES"/>
        </w:rPr>
        <w:t xml:space="preserve"> la propiedad,</w:t>
      </w:r>
      <w:r w:rsidR="009726DC" w:rsidRPr="000864AE">
        <w:rPr>
          <w:rFonts w:ascii="Verdana" w:eastAsia="Cambria" w:hAnsi="Verdana" w:cs="Cambria"/>
          <w:color w:val="000000"/>
          <w:sz w:val="20"/>
          <w:szCs w:val="20"/>
          <w:u w:color="000000"/>
          <w:lang w:eastAsia="es-ES"/>
        </w:rPr>
        <w:t xml:space="preserve"> </w:t>
      </w:r>
      <w:r w:rsidR="00010024" w:rsidRPr="000864AE">
        <w:rPr>
          <w:rFonts w:ascii="Verdana" w:eastAsia="Cambria" w:hAnsi="Verdana" w:cs="Cambria"/>
          <w:color w:val="000000"/>
          <w:sz w:val="20"/>
          <w:szCs w:val="20"/>
          <w:u w:color="000000"/>
          <w:lang w:eastAsia="es-ES"/>
        </w:rPr>
        <w:t xml:space="preserve">la protección judicial, y </w:t>
      </w:r>
      <w:r w:rsidRPr="000864AE">
        <w:rPr>
          <w:rFonts w:ascii="Verdana" w:eastAsia="Cambria" w:hAnsi="Verdana" w:cs="Cambria"/>
          <w:color w:val="000000"/>
          <w:sz w:val="20"/>
          <w:szCs w:val="20"/>
          <w:u w:color="000000"/>
          <w:lang w:eastAsia="es-ES"/>
        </w:rPr>
        <w:t xml:space="preserve">la seguridad social, reconocidos en los artículos </w:t>
      </w:r>
      <w:r w:rsidR="00482FCB" w:rsidRPr="000864AE">
        <w:rPr>
          <w:rFonts w:ascii="Verdana" w:eastAsia="Cambria" w:hAnsi="Verdana" w:cs="Cambria"/>
          <w:color w:val="000000"/>
          <w:sz w:val="20"/>
          <w:szCs w:val="20"/>
          <w:u w:color="000000"/>
          <w:lang w:eastAsia="es-ES"/>
        </w:rPr>
        <w:t xml:space="preserve">4.1, 8.1, </w:t>
      </w:r>
      <w:r w:rsidR="00B85254" w:rsidRPr="000864AE">
        <w:rPr>
          <w:rFonts w:ascii="Verdana" w:eastAsia="Cambria" w:hAnsi="Verdana" w:cs="Cambria"/>
          <w:color w:val="000000"/>
          <w:sz w:val="20"/>
          <w:szCs w:val="20"/>
          <w:u w:color="000000"/>
          <w:lang w:eastAsia="es-ES"/>
        </w:rPr>
        <w:t xml:space="preserve">21, 25.1, 25.2.c) y 26 de la </w:t>
      </w:r>
      <w:r w:rsidR="00010024" w:rsidRPr="000864AE">
        <w:rPr>
          <w:rFonts w:ascii="Verdana" w:eastAsia="Cambria" w:hAnsi="Verdana" w:cs="Cambria"/>
          <w:color w:val="000000"/>
          <w:sz w:val="20"/>
          <w:szCs w:val="20"/>
          <w:u w:color="000000"/>
          <w:lang w:eastAsia="es-ES"/>
        </w:rPr>
        <w:t>Convención</w:t>
      </w:r>
      <w:r w:rsidRPr="000864AE">
        <w:rPr>
          <w:rFonts w:ascii="Verdana" w:eastAsia="Cambria" w:hAnsi="Verdana" w:cs="Cambria"/>
          <w:color w:val="000000"/>
          <w:sz w:val="20"/>
          <w:szCs w:val="20"/>
          <w:u w:color="000000"/>
          <w:lang w:eastAsia="es-ES"/>
        </w:rPr>
        <w:t>, en relación con el artículo 1.1</w:t>
      </w:r>
      <w:r w:rsidR="00010024" w:rsidRPr="000864AE">
        <w:rPr>
          <w:rFonts w:ascii="Verdana" w:eastAsia="Cambria" w:hAnsi="Verdana" w:cs="Cambria"/>
          <w:color w:val="000000"/>
          <w:sz w:val="20"/>
          <w:szCs w:val="20"/>
          <w:u w:color="000000"/>
          <w:lang w:eastAsia="es-ES"/>
        </w:rPr>
        <w:t xml:space="preserve"> del mismo instrumento</w:t>
      </w:r>
      <w:r w:rsidRPr="000864AE">
        <w:rPr>
          <w:rFonts w:ascii="Verdana" w:eastAsia="Cambria" w:hAnsi="Verdana" w:cs="Cambria"/>
          <w:color w:val="000000"/>
          <w:sz w:val="20"/>
          <w:szCs w:val="20"/>
          <w:u w:color="000000"/>
          <w:lang w:eastAsia="es-ES"/>
        </w:rPr>
        <w:t xml:space="preserve">, en perjuicio de las personas listadas en el Anexo 2 de la presente sentencia. Asimismo, el Estado no es responsable por la violación a su deber de adoptar disposiciones de derecho interno, </w:t>
      </w:r>
      <w:r w:rsidR="009726DC" w:rsidRPr="000864AE">
        <w:rPr>
          <w:rFonts w:ascii="Verdana" w:eastAsia="Cambria" w:hAnsi="Verdana" w:cs="Cambria"/>
          <w:color w:val="000000"/>
          <w:sz w:val="20"/>
          <w:szCs w:val="20"/>
          <w:u w:color="000000"/>
          <w:lang w:eastAsia="es-ES"/>
        </w:rPr>
        <w:t>contemplado</w:t>
      </w:r>
      <w:r w:rsidR="00B7662F" w:rsidRPr="000864AE">
        <w:rPr>
          <w:rFonts w:ascii="Verdana" w:eastAsia="Cambria" w:hAnsi="Verdana" w:cs="Cambria"/>
          <w:color w:val="000000"/>
          <w:sz w:val="20"/>
          <w:szCs w:val="20"/>
          <w:u w:color="000000"/>
          <w:lang w:eastAsia="es-ES"/>
        </w:rPr>
        <w:t xml:space="preserve"> en el artícu</w:t>
      </w:r>
      <w:r w:rsidR="00655238" w:rsidRPr="000864AE">
        <w:rPr>
          <w:rFonts w:ascii="Verdana" w:eastAsia="Cambria" w:hAnsi="Verdana" w:cs="Cambria"/>
          <w:color w:val="000000"/>
          <w:sz w:val="20"/>
          <w:szCs w:val="20"/>
          <w:u w:color="000000"/>
          <w:lang w:eastAsia="es-ES"/>
        </w:rPr>
        <w:t>lo 2 de la Convención Americana.</w:t>
      </w:r>
    </w:p>
    <w:p w14:paraId="338DEF92" w14:textId="77777777" w:rsidR="00585FFF" w:rsidRPr="000864AE" w:rsidRDefault="00585FFF" w:rsidP="000864AE">
      <w:pPr>
        <w:widowControl w:val="0"/>
        <w:tabs>
          <w:tab w:val="left" w:pos="567"/>
        </w:tabs>
        <w:adjustRightInd w:val="0"/>
        <w:spacing w:after="0" w:line="240" w:lineRule="auto"/>
        <w:jc w:val="both"/>
        <w:textAlignment w:val="baseline"/>
        <w:rPr>
          <w:rFonts w:ascii="Verdana" w:eastAsia="Times New Roman" w:hAnsi="Verdana" w:cs="Times New Roman"/>
          <w:b/>
          <w:bCs/>
          <w:caps/>
          <w:snapToGrid w:val="0"/>
          <w:sz w:val="20"/>
          <w:szCs w:val="20"/>
          <w:lang w:val="es-DO"/>
        </w:rPr>
      </w:pPr>
    </w:p>
    <w:p w14:paraId="342D8F88" w14:textId="77777777" w:rsidR="000610B2" w:rsidRPr="000864AE" w:rsidRDefault="000610B2" w:rsidP="000864AE">
      <w:pPr>
        <w:keepNext/>
        <w:keepLines/>
        <w:tabs>
          <w:tab w:val="left" w:pos="851"/>
        </w:tabs>
        <w:spacing w:after="0" w:line="240" w:lineRule="auto"/>
        <w:jc w:val="center"/>
        <w:outlineLvl w:val="0"/>
        <w:rPr>
          <w:rFonts w:ascii="Verdana" w:eastAsia="Times New Roman" w:hAnsi="Verdana" w:cs="Verdana"/>
          <w:b/>
          <w:bCs/>
          <w:caps/>
          <w:snapToGrid w:val="0"/>
          <w:sz w:val="20"/>
          <w:szCs w:val="20"/>
          <w:lang w:val="es-ES_tradnl"/>
        </w:rPr>
      </w:pPr>
      <w:bookmarkStart w:id="89" w:name="_Toc494124027"/>
      <w:bookmarkStart w:id="90" w:name="_Toc7020799"/>
      <w:bookmarkStart w:id="91" w:name="_Toc12726735"/>
      <w:bookmarkStart w:id="92" w:name="_Toc27329789"/>
      <w:r w:rsidRPr="000864AE">
        <w:rPr>
          <w:rFonts w:ascii="Verdana" w:eastAsia="Times New Roman" w:hAnsi="Verdana" w:cs="Verdana"/>
          <w:b/>
          <w:bCs/>
          <w:caps/>
          <w:snapToGrid w:val="0"/>
          <w:sz w:val="20"/>
          <w:szCs w:val="20"/>
          <w:lang w:val="es-ES_tradnl"/>
        </w:rPr>
        <w:t>IX</w:t>
      </w:r>
      <w:r w:rsidRPr="000864AE">
        <w:rPr>
          <w:rFonts w:ascii="Verdana" w:eastAsia="Times New Roman" w:hAnsi="Verdana" w:cs="Verdana"/>
          <w:b/>
          <w:bCs/>
          <w:caps/>
          <w:snapToGrid w:val="0"/>
          <w:sz w:val="20"/>
          <w:szCs w:val="20"/>
          <w:lang w:val="es-ES_tradnl"/>
        </w:rPr>
        <w:br/>
      </w:r>
      <w:bookmarkEnd w:id="89"/>
      <w:bookmarkEnd w:id="90"/>
      <w:r w:rsidRPr="000864AE">
        <w:rPr>
          <w:rFonts w:ascii="Verdana" w:eastAsia="Times New Roman" w:hAnsi="Verdana" w:cs="Verdana"/>
          <w:b/>
          <w:bCs/>
          <w:caps/>
          <w:snapToGrid w:val="0"/>
          <w:sz w:val="20"/>
          <w:szCs w:val="20"/>
          <w:lang w:val="es-ES_tradnl"/>
        </w:rPr>
        <w:t>reparaciones</w:t>
      </w:r>
      <w:bookmarkEnd w:id="91"/>
      <w:bookmarkEnd w:id="92"/>
    </w:p>
    <w:p w14:paraId="52E82C85" w14:textId="77777777" w:rsidR="000610B2" w:rsidRPr="000864AE" w:rsidRDefault="000610B2" w:rsidP="000864AE">
      <w:pPr>
        <w:spacing w:after="0" w:line="240" w:lineRule="auto"/>
        <w:jc w:val="center"/>
        <w:rPr>
          <w:rFonts w:ascii="Verdana" w:hAnsi="Verdana"/>
          <w:b/>
          <w:sz w:val="20"/>
          <w:szCs w:val="20"/>
        </w:rPr>
      </w:pPr>
      <w:r w:rsidRPr="000864AE">
        <w:rPr>
          <w:rFonts w:ascii="Verdana" w:hAnsi="Verdana"/>
          <w:b/>
          <w:sz w:val="20"/>
          <w:szCs w:val="20"/>
        </w:rPr>
        <w:t>APLICACIÓN DEL ARTÍCULO 63.1 DE LA CONVENCIÓN AMERICANA</w:t>
      </w:r>
    </w:p>
    <w:p w14:paraId="3000DB89" w14:textId="77777777" w:rsidR="000610B2" w:rsidRPr="000864AE" w:rsidRDefault="000610B2" w:rsidP="000864AE">
      <w:pPr>
        <w:widowControl w:val="0"/>
        <w:tabs>
          <w:tab w:val="left" w:pos="567"/>
        </w:tabs>
        <w:adjustRightInd w:val="0"/>
        <w:spacing w:after="0" w:line="240" w:lineRule="auto"/>
        <w:jc w:val="both"/>
        <w:textAlignment w:val="baseline"/>
        <w:rPr>
          <w:rFonts w:ascii="Verdana" w:hAnsi="Verdana"/>
          <w:sz w:val="20"/>
          <w:szCs w:val="20"/>
        </w:rPr>
      </w:pPr>
    </w:p>
    <w:p w14:paraId="476ABEEB" w14:textId="77777777" w:rsidR="00655238" w:rsidRPr="000864AE" w:rsidRDefault="000610B2" w:rsidP="000864AE">
      <w:pPr>
        <w:pStyle w:val="Prrafodelista"/>
        <w:numPr>
          <w:ilvl w:val="0"/>
          <w:numId w:val="10"/>
        </w:numPr>
        <w:spacing w:after="0" w:line="240" w:lineRule="auto"/>
        <w:ind w:left="0" w:firstLine="0"/>
        <w:jc w:val="both"/>
        <w:rPr>
          <w:rFonts w:ascii="Verdana" w:hAnsi="Verdana"/>
          <w:sz w:val="20"/>
          <w:szCs w:val="20"/>
          <w:lang w:val="es-DO"/>
        </w:rPr>
      </w:pPr>
      <w:r w:rsidRPr="000864AE">
        <w:rPr>
          <w:rFonts w:ascii="Verdana" w:hAnsi="Verdana"/>
          <w:sz w:val="20"/>
          <w:szCs w:val="20"/>
        </w:rPr>
        <w:t>Sobre la base de lo dispuesto en el artículo 63.1 de la Convención Americana</w:t>
      </w:r>
      <w:r w:rsidRPr="000864AE">
        <w:rPr>
          <w:rStyle w:val="Refdenotaalpie"/>
          <w:rFonts w:ascii="Verdana" w:eastAsia="Calibri" w:hAnsi="Verdana"/>
          <w:sz w:val="20"/>
          <w:szCs w:val="20"/>
        </w:rPr>
        <w:footnoteReference w:id="300"/>
      </w:r>
      <w:r w:rsidRPr="000864AE">
        <w:rPr>
          <w:rFonts w:ascii="Verdana" w:hAnsi="Verdana"/>
          <w:sz w:val="20"/>
          <w:szCs w:val="20"/>
        </w:rPr>
        <w:t>, la Corte ha indicado que toda violación de una obligación internacional que haya producido daño comporta el deber de repararlo adecuadamente, y que esa disposición recoge una norma consuetudinaria que constituye uno de los principios fundamentales del Derecho Internacional contemporáneo sobre responsabilidad de un Estado.</w:t>
      </w:r>
    </w:p>
    <w:p w14:paraId="15B433FE" w14:textId="77777777" w:rsidR="00655238" w:rsidRPr="000864AE" w:rsidRDefault="00655238" w:rsidP="000864AE">
      <w:pPr>
        <w:pStyle w:val="Prrafodelista"/>
        <w:spacing w:after="0" w:line="240" w:lineRule="auto"/>
        <w:ind w:left="0"/>
        <w:jc w:val="both"/>
        <w:rPr>
          <w:rFonts w:ascii="Verdana" w:hAnsi="Verdana"/>
          <w:sz w:val="20"/>
          <w:szCs w:val="20"/>
          <w:lang w:val="es-DO"/>
        </w:rPr>
      </w:pPr>
    </w:p>
    <w:p w14:paraId="39CBA3DB" w14:textId="77777777" w:rsidR="00655238" w:rsidRPr="000864AE" w:rsidRDefault="000610B2" w:rsidP="000864AE">
      <w:pPr>
        <w:pStyle w:val="Prrafodelista"/>
        <w:numPr>
          <w:ilvl w:val="0"/>
          <w:numId w:val="10"/>
        </w:numPr>
        <w:spacing w:after="0" w:line="240" w:lineRule="auto"/>
        <w:ind w:left="0" w:firstLine="0"/>
        <w:jc w:val="both"/>
        <w:rPr>
          <w:rFonts w:ascii="Verdana" w:hAnsi="Verdana"/>
          <w:sz w:val="20"/>
          <w:szCs w:val="20"/>
          <w:lang w:val="es-DO"/>
        </w:rPr>
      </w:pPr>
      <w:r w:rsidRPr="000864AE">
        <w:rPr>
          <w:rFonts w:ascii="Verdana" w:hAnsi="Verdana"/>
          <w:sz w:val="20"/>
          <w:szCs w:val="20"/>
        </w:rPr>
        <w:t>La reparación del daño ocasionado por la infracción de una obligación internacional requiere, siempre que sea posible, la plena restitución (</w:t>
      </w:r>
      <w:r w:rsidRPr="000864AE">
        <w:rPr>
          <w:rFonts w:ascii="Verdana" w:hAnsi="Verdana"/>
          <w:i/>
          <w:sz w:val="20"/>
          <w:szCs w:val="20"/>
        </w:rPr>
        <w:t>restitutio in integrum</w:t>
      </w:r>
      <w:r w:rsidRPr="000864AE">
        <w:rPr>
          <w:rFonts w:ascii="Verdana" w:hAnsi="Verdana"/>
          <w:sz w:val="20"/>
          <w:szCs w:val="20"/>
        </w:rPr>
        <w:t>), que consiste en el restablecimiento de la situación anterior</w:t>
      </w:r>
      <w:r w:rsidRPr="000864AE">
        <w:rPr>
          <w:rStyle w:val="Refdenotaalpie"/>
          <w:rFonts w:ascii="Verdana" w:eastAsia="Calibri" w:hAnsi="Verdana"/>
          <w:sz w:val="20"/>
          <w:szCs w:val="20"/>
        </w:rPr>
        <w:footnoteReference w:id="301"/>
      </w:r>
      <w:r w:rsidRPr="000864AE">
        <w:rPr>
          <w:rFonts w:ascii="Verdana" w:hAnsi="Verdana"/>
          <w:sz w:val="20"/>
          <w:szCs w:val="20"/>
        </w:rPr>
        <w:t>. De no ser esto factible, como ocurre en la mayoría de los casos de violaciones a derechos humanos, este Tribunal determinará medidas para garantizar los derechos conculcados y reparar las consecuencias que las infracciones produjeron</w:t>
      </w:r>
      <w:r w:rsidRPr="000864AE">
        <w:rPr>
          <w:rStyle w:val="Refdenotaalpie"/>
          <w:rFonts w:ascii="Verdana" w:eastAsia="Calibri" w:hAnsi="Verdana"/>
          <w:sz w:val="20"/>
          <w:szCs w:val="20"/>
        </w:rPr>
        <w:footnoteReference w:id="302"/>
      </w:r>
      <w:r w:rsidRPr="000864AE">
        <w:rPr>
          <w:rFonts w:ascii="Verdana" w:hAnsi="Verdana"/>
          <w:sz w:val="20"/>
          <w:szCs w:val="20"/>
        </w:rPr>
        <w:t>. Por tanto, la Corte ha considerado la necesidad de otorgar diversas medidas de reparación, a fin de resarcir los daños de manera integral, por lo que además de las compensaciones pecuniarias, las medidas de restitución, rehabilitación, satisfacción y garantías de no repetición tienen especial relevancia por los daños ocasionados</w:t>
      </w:r>
      <w:r w:rsidRPr="000864AE">
        <w:rPr>
          <w:rStyle w:val="Refdenotaalpie"/>
          <w:rFonts w:ascii="Verdana" w:eastAsia="Calibri" w:hAnsi="Verdana"/>
          <w:sz w:val="20"/>
          <w:szCs w:val="20"/>
        </w:rPr>
        <w:footnoteReference w:id="303"/>
      </w:r>
      <w:r w:rsidRPr="000864AE">
        <w:rPr>
          <w:rFonts w:ascii="Verdana" w:hAnsi="Verdana"/>
          <w:sz w:val="20"/>
          <w:szCs w:val="20"/>
        </w:rPr>
        <w:t>.</w:t>
      </w:r>
    </w:p>
    <w:p w14:paraId="378CD87A" w14:textId="77777777" w:rsidR="00655238" w:rsidRPr="000864AE" w:rsidRDefault="00655238" w:rsidP="000864AE">
      <w:pPr>
        <w:pStyle w:val="Prrafodelista"/>
        <w:rPr>
          <w:rFonts w:ascii="Verdana" w:hAnsi="Verdana"/>
          <w:sz w:val="20"/>
          <w:szCs w:val="20"/>
        </w:rPr>
      </w:pPr>
    </w:p>
    <w:p w14:paraId="2F2A3615" w14:textId="77777777" w:rsidR="00655238" w:rsidRPr="000864AE" w:rsidRDefault="000610B2" w:rsidP="000864AE">
      <w:pPr>
        <w:pStyle w:val="Prrafodelista"/>
        <w:numPr>
          <w:ilvl w:val="0"/>
          <w:numId w:val="10"/>
        </w:numPr>
        <w:spacing w:after="0" w:line="240" w:lineRule="auto"/>
        <w:ind w:left="0" w:firstLine="0"/>
        <w:jc w:val="both"/>
        <w:rPr>
          <w:rFonts w:ascii="Verdana" w:hAnsi="Verdana"/>
          <w:sz w:val="20"/>
          <w:szCs w:val="20"/>
          <w:lang w:val="es-DO"/>
        </w:rPr>
      </w:pPr>
      <w:r w:rsidRPr="000864AE">
        <w:rPr>
          <w:rFonts w:ascii="Verdana" w:hAnsi="Verdana"/>
          <w:sz w:val="20"/>
          <w:szCs w:val="20"/>
        </w:rPr>
        <w:t>Este Tribunal ha establecido que las reparaciones deben tener un nexo causal con los hechos del caso, las violaciones declaradas, los daños acreditados, así como las medidas solicitadas para reparar los daños respectivos. Por lo tanto, la Corte deberá observar dicha concurrencia para pronunciarse debidamente y conforme a derecho</w:t>
      </w:r>
      <w:r w:rsidRPr="000864AE">
        <w:rPr>
          <w:rStyle w:val="Refdenotaalpie"/>
          <w:rFonts w:ascii="Verdana" w:eastAsia="Calibri" w:hAnsi="Verdana"/>
          <w:sz w:val="20"/>
          <w:szCs w:val="20"/>
        </w:rPr>
        <w:footnoteReference w:id="304"/>
      </w:r>
      <w:r w:rsidRPr="000864AE">
        <w:rPr>
          <w:rFonts w:ascii="Verdana" w:hAnsi="Verdana"/>
          <w:sz w:val="20"/>
          <w:szCs w:val="20"/>
        </w:rPr>
        <w:t>.</w:t>
      </w:r>
    </w:p>
    <w:p w14:paraId="48505816" w14:textId="77777777" w:rsidR="00655238" w:rsidRPr="000864AE" w:rsidRDefault="00655238" w:rsidP="000864AE">
      <w:pPr>
        <w:pStyle w:val="Prrafodelista"/>
        <w:rPr>
          <w:rFonts w:ascii="Verdana" w:hAnsi="Verdana"/>
          <w:sz w:val="20"/>
          <w:szCs w:val="20"/>
        </w:rPr>
      </w:pPr>
    </w:p>
    <w:p w14:paraId="3E94A9EF" w14:textId="124B64E3" w:rsidR="00655238" w:rsidRPr="000864AE" w:rsidRDefault="00F65D74" w:rsidP="000864AE">
      <w:pPr>
        <w:pStyle w:val="Prrafodelista"/>
        <w:numPr>
          <w:ilvl w:val="0"/>
          <w:numId w:val="10"/>
        </w:numPr>
        <w:spacing w:after="0" w:line="240" w:lineRule="auto"/>
        <w:ind w:left="0" w:firstLine="0"/>
        <w:jc w:val="both"/>
        <w:rPr>
          <w:rFonts w:ascii="Verdana" w:hAnsi="Verdana"/>
          <w:sz w:val="20"/>
          <w:szCs w:val="20"/>
          <w:lang w:val="es-DO"/>
        </w:rPr>
      </w:pPr>
      <w:r w:rsidRPr="000864AE">
        <w:rPr>
          <w:rFonts w:ascii="Verdana" w:hAnsi="Verdana"/>
          <w:sz w:val="20"/>
          <w:szCs w:val="20"/>
        </w:rPr>
        <w:t>En consideración a</w:t>
      </w:r>
      <w:r w:rsidR="000610B2" w:rsidRPr="000864AE">
        <w:rPr>
          <w:rFonts w:ascii="Verdana" w:hAnsi="Verdana"/>
          <w:sz w:val="20"/>
          <w:szCs w:val="20"/>
        </w:rPr>
        <w:t xml:space="preserve"> las violaciones declaradas en el capítulo anterior, este Tribunal procederá a analizar las pretensiones </w:t>
      </w:r>
      <w:r w:rsidRPr="000864AE">
        <w:rPr>
          <w:rFonts w:ascii="Verdana" w:hAnsi="Verdana"/>
          <w:sz w:val="20"/>
          <w:szCs w:val="20"/>
        </w:rPr>
        <w:t>de</w:t>
      </w:r>
      <w:r w:rsidR="000610B2" w:rsidRPr="000864AE">
        <w:rPr>
          <w:rFonts w:ascii="Verdana" w:hAnsi="Verdana"/>
          <w:sz w:val="20"/>
          <w:szCs w:val="20"/>
        </w:rPr>
        <w:t xml:space="preserve"> la Comisión y los representantes, así como los argumentos del Estado, a la luz de los criterios fijados en la jurisprudencia de la Corte en relación con la naturaleza y alcance de la obligación de reparar, con el objeto de disponer las medidas dirigidas a reparar los daños ocasionados a las víctimas</w:t>
      </w:r>
      <w:r w:rsidR="000610B2" w:rsidRPr="000864AE">
        <w:rPr>
          <w:rStyle w:val="Refdenotaalpie"/>
          <w:rFonts w:ascii="Verdana" w:eastAsia="Calibri" w:hAnsi="Verdana"/>
          <w:sz w:val="20"/>
          <w:szCs w:val="20"/>
        </w:rPr>
        <w:footnoteReference w:id="305"/>
      </w:r>
      <w:r w:rsidR="000610B2" w:rsidRPr="000864AE">
        <w:rPr>
          <w:rFonts w:ascii="Verdana" w:hAnsi="Verdana"/>
          <w:sz w:val="20"/>
          <w:szCs w:val="20"/>
        </w:rPr>
        <w:t>.</w:t>
      </w:r>
    </w:p>
    <w:p w14:paraId="04B9C28B" w14:textId="77777777" w:rsidR="00655238" w:rsidRPr="000864AE" w:rsidRDefault="00655238" w:rsidP="000864AE">
      <w:pPr>
        <w:pStyle w:val="Prrafodelista"/>
        <w:rPr>
          <w:rFonts w:ascii="Verdana" w:hAnsi="Verdana"/>
          <w:sz w:val="20"/>
          <w:szCs w:val="20"/>
        </w:rPr>
      </w:pPr>
    </w:p>
    <w:p w14:paraId="412FE7E8" w14:textId="684804DF" w:rsidR="000610B2" w:rsidRPr="000864AE" w:rsidRDefault="000610B2" w:rsidP="000864AE">
      <w:pPr>
        <w:pStyle w:val="Prrafodelista"/>
        <w:numPr>
          <w:ilvl w:val="0"/>
          <w:numId w:val="10"/>
        </w:numPr>
        <w:spacing w:after="0" w:line="240" w:lineRule="auto"/>
        <w:ind w:left="0" w:firstLine="0"/>
        <w:jc w:val="both"/>
        <w:rPr>
          <w:rFonts w:ascii="Verdana" w:hAnsi="Verdana"/>
          <w:sz w:val="20"/>
          <w:szCs w:val="20"/>
          <w:lang w:val="es-DO"/>
        </w:rPr>
      </w:pPr>
      <w:r w:rsidRPr="000864AE">
        <w:rPr>
          <w:rFonts w:ascii="Verdana" w:hAnsi="Verdana"/>
          <w:sz w:val="20"/>
          <w:szCs w:val="20"/>
        </w:rPr>
        <w:t>La jurisprudencia internacional y en particular de la Corte, ha establecido reiteradamente que la sentencia constituye por sí misma una forma de reparación</w:t>
      </w:r>
      <w:r w:rsidRPr="000864AE">
        <w:rPr>
          <w:rStyle w:val="Refdenotaalpie"/>
          <w:rFonts w:ascii="Verdana" w:eastAsia="Calibri" w:hAnsi="Verdana"/>
          <w:sz w:val="20"/>
          <w:szCs w:val="20"/>
        </w:rPr>
        <w:footnoteReference w:id="306"/>
      </w:r>
      <w:r w:rsidRPr="000864AE">
        <w:rPr>
          <w:rFonts w:ascii="Verdana" w:hAnsi="Verdana"/>
          <w:sz w:val="20"/>
          <w:szCs w:val="20"/>
        </w:rPr>
        <w:t>. No obstante, considerando las circunstancias del presente caso y los sufrimientos que las violaciones cometidas causaron a la víctima, la Corte estima pertinente fijar otras medidas.</w:t>
      </w:r>
    </w:p>
    <w:p w14:paraId="65E07411" w14:textId="77777777" w:rsidR="000610B2" w:rsidRPr="000864AE" w:rsidRDefault="000610B2" w:rsidP="000864AE">
      <w:pPr>
        <w:widowControl w:val="0"/>
        <w:tabs>
          <w:tab w:val="left" w:pos="567"/>
        </w:tabs>
        <w:adjustRightInd w:val="0"/>
        <w:spacing w:after="0" w:line="240" w:lineRule="auto"/>
        <w:jc w:val="both"/>
        <w:textAlignment w:val="baseline"/>
        <w:rPr>
          <w:rFonts w:ascii="Verdana" w:hAnsi="Verdana"/>
          <w:sz w:val="20"/>
          <w:szCs w:val="20"/>
        </w:rPr>
      </w:pPr>
    </w:p>
    <w:p w14:paraId="6ED19746" w14:textId="77777777" w:rsidR="000610B2" w:rsidRPr="000864AE" w:rsidRDefault="000610B2" w:rsidP="000864AE">
      <w:pPr>
        <w:pStyle w:val="Ttulo2"/>
        <w:numPr>
          <w:ilvl w:val="0"/>
          <w:numId w:val="13"/>
        </w:numPr>
        <w:rPr>
          <w:b w:val="0"/>
          <w:i w:val="0"/>
        </w:rPr>
      </w:pPr>
      <w:bookmarkStart w:id="93" w:name="_Toc12726736"/>
      <w:bookmarkStart w:id="94" w:name="_Toc27329790"/>
      <w:r w:rsidRPr="000864AE">
        <w:t>Parte Lesionada</w:t>
      </w:r>
      <w:bookmarkEnd w:id="93"/>
      <w:bookmarkEnd w:id="94"/>
    </w:p>
    <w:p w14:paraId="79A5563B" w14:textId="77777777" w:rsidR="000610B2" w:rsidRPr="000864AE" w:rsidRDefault="000610B2" w:rsidP="000864AE">
      <w:pPr>
        <w:widowControl w:val="0"/>
        <w:tabs>
          <w:tab w:val="left" w:pos="567"/>
        </w:tabs>
        <w:adjustRightInd w:val="0"/>
        <w:spacing w:after="0" w:line="240" w:lineRule="auto"/>
        <w:jc w:val="both"/>
        <w:textAlignment w:val="baseline"/>
        <w:rPr>
          <w:rFonts w:ascii="Verdana" w:hAnsi="Verdana"/>
          <w:sz w:val="20"/>
          <w:szCs w:val="20"/>
        </w:rPr>
      </w:pPr>
    </w:p>
    <w:p w14:paraId="56EA14BC" w14:textId="083DB688" w:rsidR="000610B2" w:rsidRPr="000864AE" w:rsidRDefault="000610B2" w:rsidP="000864AE">
      <w:pPr>
        <w:pStyle w:val="Prrafodelista"/>
        <w:numPr>
          <w:ilvl w:val="0"/>
          <w:numId w:val="10"/>
        </w:numPr>
        <w:spacing w:after="0" w:line="240" w:lineRule="auto"/>
        <w:ind w:left="0" w:firstLine="0"/>
        <w:jc w:val="both"/>
        <w:rPr>
          <w:rFonts w:ascii="Verdana" w:hAnsi="Verdana"/>
          <w:sz w:val="20"/>
          <w:szCs w:val="20"/>
          <w:lang w:val="es-DO"/>
        </w:rPr>
      </w:pPr>
      <w:r w:rsidRPr="000864AE">
        <w:rPr>
          <w:rFonts w:ascii="Verdana" w:hAnsi="Verdana"/>
          <w:sz w:val="20"/>
          <w:szCs w:val="20"/>
        </w:rPr>
        <w:t xml:space="preserve">Este Tribunal reitera que se considera parte lesionada, en los términos del artículo 63.1 de la Convención, a quien ha sido declarada víctima de la violación de algún derecho reconocido en la misma. Por lo tanto, esta Corte considera como “parte lesionada” a las personas mencionadas en el Anexo 2, quienes en su carácter de víctimas de las violaciones declaradas en el capítulo </w:t>
      </w:r>
      <w:r w:rsidR="00F65D74" w:rsidRPr="000864AE">
        <w:rPr>
          <w:rFonts w:ascii="Verdana" w:hAnsi="Verdana"/>
          <w:sz w:val="20"/>
          <w:szCs w:val="20"/>
        </w:rPr>
        <w:t>VII</w:t>
      </w:r>
      <w:r w:rsidR="002B063D" w:rsidRPr="000864AE">
        <w:rPr>
          <w:rFonts w:ascii="Verdana" w:hAnsi="Verdana"/>
          <w:sz w:val="20"/>
          <w:szCs w:val="20"/>
        </w:rPr>
        <w:t>I</w:t>
      </w:r>
      <w:r w:rsidRPr="000864AE">
        <w:rPr>
          <w:rFonts w:ascii="Verdana" w:hAnsi="Verdana"/>
          <w:sz w:val="20"/>
          <w:szCs w:val="20"/>
        </w:rPr>
        <w:t xml:space="preserve"> de la prese</w:t>
      </w:r>
      <w:r w:rsidR="00F65D74" w:rsidRPr="000864AE">
        <w:rPr>
          <w:rFonts w:ascii="Verdana" w:hAnsi="Verdana"/>
          <w:sz w:val="20"/>
          <w:szCs w:val="20"/>
        </w:rPr>
        <w:t>nte Sentencia, serán consideradas beneficiaria</w:t>
      </w:r>
      <w:r w:rsidRPr="000864AE">
        <w:rPr>
          <w:rFonts w:ascii="Verdana" w:hAnsi="Verdana"/>
          <w:sz w:val="20"/>
          <w:szCs w:val="20"/>
        </w:rPr>
        <w:t>s de las reparaciones que ordene el Tribunal.</w:t>
      </w:r>
    </w:p>
    <w:p w14:paraId="6D2A6183" w14:textId="77777777" w:rsidR="000610B2" w:rsidRPr="000864AE" w:rsidRDefault="000610B2" w:rsidP="000864AE">
      <w:pPr>
        <w:widowControl w:val="0"/>
        <w:tabs>
          <w:tab w:val="left" w:pos="567"/>
        </w:tabs>
        <w:adjustRightInd w:val="0"/>
        <w:spacing w:after="0" w:line="240" w:lineRule="auto"/>
        <w:jc w:val="both"/>
        <w:textAlignment w:val="baseline"/>
        <w:rPr>
          <w:rFonts w:ascii="Verdana" w:hAnsi="Verdana"/>
          <w:sz w:val="20"/>
          <w:szCs w:val="20"/>
        </w:rPr>
      </w:pPr>
    </w:p>
    <w:p w14:paraId="0DEBCA0A" w14:textId="77777777" w:rsidR="000610B2" w:rsidRPr="000864AE" w:rsidRDefault="000610B2" w:rsidP="000864AE">
      <w:pPr>
        <w:pStyle w:val="Ttulo2"/>
        <w:rPr>
          <w:rFonts w:cs="Arial"/>
        </w:rPr>
      </w:pPr>
      <w:bookmarkStart w:id="95" w:name="_Toc12726737"/>
      <w:bookmarkStart w:id="96" w:name="_Toc27329791"/>
      <w:bookmarkStart w:id="97" w:name="_Toc497737920"/>
      <w:r w:rsidRPr="000864AE">
        <w:rPr>
          <w:rFonts w:cs="Arial"/>
        </w:rPr>
        <w:t>Medidas de restitución, satisfacción y garantías de no repetición</w:t>
      </w:r>
      <w:bookmarkEnd w:id="95"/>
      <w:bookmarkEnd w:id="96"/>
    </w:p>
    <w:p w14:paraId="29B2A765" w14:textId="77777777" w:rsidR="000610B2" w:rsidRPr="000864AE" w:rsidRDefault="000610B2" w:rsidP="000864AE">
      <w:pPr>
        <w:spacing w:after="0" w:line="240" w:lineRule="auto"/>
        <w:rPr>
          <w:rFonts w:ascii="Verdana" w:hAnsi="Verdana"/>
          <w:sz w:val="20"/>
          <w:szCs w:val="20"/>
          <w:lang w:val="es-CR" w:eastAsia="es-CR"/>
        </w:rPr>
      </w:pPr>
    </w:p>
    <w:p w14:paraId="45CC854A" w14:textId="77777777" w:rsidR="000610B2" w:rsidRPr="000864AE" w:rsidRDefault="000610B2" w:rsidP="000864AE">
      <w:pPr>
        <w:pStyle w:val="Ttulo3"/>
        <w:numPr>
          <w:ilvl w:val="0"/>
          <w:numId w:val="0"/>
        </w:numPr>
        <w:ind w:left="1353"/>
        <w:rPr>
          <w:rFonts w:cs="Arial"/>
          <w:b w:val="0"/>
          <w:lang w:val="es-CR"/>
        </w:rPr>
      </w:pPr>
      <w:bookmarkStart w:id="98" w:name="_Toc12726738"/>
      <w:bookmarkStart w:id="99" w:name="_Toc27329792"/>
      <w:r w:rsidRPr="000864AE">
        <w:rPr>
          <w:rFonts w:cs="Arial"/>
          <w:lang w:val="es-CR"/>
        </w:rPr>
        <w:t>B.1 Medidas de restitución</w:t>
      </w:r>
      <w:bookmarkEnd w:id="98"/>
      <w:bookmarkEnd w:id="99"/>
    </w:p>
    <w:p w14:paraId="5222392E" w14:textId="77777777" w:rsidR="000610B2" w:rsidRPr="000864AE" w:rsidRDefault="000610B2" w:rsidP="000864AE">
      <w:pPr>
        <w:widowControl w:val="0"/>
        <w:tabs>
          <w:tab w:val="left" w:pos="567"/>
        </w:tabs>
        <w:adjustRightInd w:val="0"/>
        <w:spacing w:after="0" w:line="240" w:lineRule="auto"/>
        <w:jc w:val="both"/>
        <w:textAlignment w:val="baseline"/>
        <w:rPr>
          <w:rFonts w:ascii="Verdana" w:hAnsi="Verdana" w:cs="Arial"/>
          <w:sz w:val="20"/>
          <w:szCs w:val="20"/>
          <w:lang w:val="es-CR"/>
        </w:rPr>
      </w:pPr>
    </w:p>
    <w:p w14:paraId="2C9CCD61" w14:textId="27FD3DBE" w:rsidR="00655238" w:rsidRPr="000864AE" w:rsidRDefault="000610B2" w:rsidP="000864AE">
      <w:pPr>
        <w:pStyle w:val="Prrafodelista"/>
        <w:numPr>
          <w:ilvl w:val="0"/>
          <w:numId w:val="10"/>
        </w:numPr>
        <w:spacing w:after="0" w:line="240" w:lineRule="auto"/>
        <w:ind w:left="0" w:firstLine="0"/>
        <w:jc w:val="both"/>
        <w:rPr>
          <w:rFonts w:ascii="Verdana" w:hAnsi="Verdana"/>
          <w:sz w:val="20"/>
          <w:szCs w:val="20"/>
          <w:lang w:val="es-DO"/>
        </w:rPr>
      </w:pPr>
      <w:r w:rsidRPr="000864AE">
        <w:rPr>
          <w:rFonts w:ascii="Verdana" w:hAnsi="Verdana" w:cs="Arial"/>
          <w:sz w:val="20"/>
          <w:szCs w:val="20"/>
          <w:lang w:val="es-CR"/>
        </w:rPr>
        <w:t xml:space="preserve">La </w:t>
      </w:r>
      <w:r w:rsidRPr="000864AE">
        <w:rPr>
          <w:rFonts w:ascii="Verdana" w:hAnsi="Verdana" w:cs="Arial"/>
          <w:b/>
          <w:i/>
          <w:sz w:val="20"/>
          <w:szCs w:val="20"/>
          <w:lang w:val="es-CR"/>
        </w:rPr>
        <w:t>Comisión</w:t>
      </w:r>
      <w:r w:rsidRPr="000864AE">
        <w:rPr>
          <w:rFonts w:ascii="Verdana" w:hAnsi="Verdana" w:cs="Arial"/>
          <w:sz w:val="20"/>
          <w:szCs w:val="20"/>
          <w:lang w:val="es-CR"/>
        </w:rPr>
        <w:t xml:space="preserve"> solicitó que el Estado de cumplimiento a las sentencias de la Corte Suprema de 25 de octubre de 1993 y del Tribunal Constitucional de 25 de junio de 1996 y 10 de mayo de 2001, lo cual implica la adopción inmediata de las medidas necesarias para el pago de la pensión a las personas incluidas en el Informe de Fondo, bajo el régimen del Decreto 20530. En tal sentido, la Comisión señaló que esto incluye el pago de los montos dejados de percibir desde el momento de su jubilación hasta la fecha en que se haga efectivo el pago. Asimismo, solicitó la implementación de un mecanismo expedito para que en el tiempo más breve posible se establezcan los efectos patrimoniales del fallo en su favor y se disponga su pago sin m</w:t>
      </w:r>
      <w:r w:rsidR="00F65D74" w:rsidRPr="000864AE">
        <w:rPr>
          <w:rFonts w:ascii="Verdana" w:hAnsi="Verdana" w:cs="Arial"/>
          <w:sz w:val="20"/>
          <w:szCs w:val="20"/>
          <w:lang w:val="es-CR"/>
        </w:rPr>
        <w:t>ayores dilaciones y obstáculos.</w:t>
      </w:r>
    </w:p>
    <w:p w14:paraId="4361F3E2" w14:textId="77777777" w:rsidR="00655238" w:rsidRPr="000864AE" w:rsidRDefault="00655238" w:rsidP="000864AE">
      <w:pPr>
        <w:pStyle w:val="Prrafodelista"/>
        <w:spacing w:after="0" w:line="240" w:lineRule="auto"/>
        <w:ind w:left="0"/>
        <w:jc w:val="both"/>
        <w:rPr>
          <w:rFonts w:ascii="Verdana" w:hAnsi="Verdana"/>
          <w:sz w:val="20"/>
          <w:szCs w:val="20"/>
          <w:lang w:val="es-DO"/>
        </w:rPr>
      </w:pPr>
    </w:p>
    <w:p w14:paraId="7D1B4E18" w14:textId="4E5AFC23" w:rsidR="00655238" w:rsidRPr="000864AE" w:rsidRDefault="000610B2" w:rsidP="000864AE">
      <w:pPr>
        <w:pStyle w:val="Prrafodelista"/>
        <w:numPr>
          <w:ilvl w:val="0"/>
          <w:numId w:val="10"/>
        </w:numPr>
        <w:spacing w:after="0" w:line="240" w:lineRule="auto"/>
        <w:ind w:left="0" w:firstLine="0"/>
        <w:jc w:val="both"/>
        <w:rPr>
          <w:rFonts w:ascii="Verdana" w:hAnsi="Verdana"/>
          <w:sz w:val="20"/>
          <w:szCs w:val="20"/>
          <w:lang w:val="es-DO"/>
        </w:rPr>
      </w:pPr>
      <w:r w:rsidRPr="000864AE">
        <w:rPr>
          <w:rFonts w:ascii="Verdana" w:hAnsi="Verdana" w:cs="Arial"/>
          <w:sz w:val="20"/>
          <w:szCs w:val="20"/>
          <w:lang w:val="es-CR"/>
        </w:rPr>
        <w:t xml:space="preserve">Los </w:t>
      </w:r>
      <w:r w:rsidRPr="000864AE">
        <w:rPr>
          <w:rFonts w:ascii="Verdana" w:hAnsi="Verdana" w:cs="Arial"/>
          <w:b/>
          <w:i/>
          <w:sz w:val="20"/>
          <w:szCs w:val="20"/>
          <w:lang w:val="es-CR"/>
        </w:rPr>
        <w:t>representantes</w:t>
      </w:r>
      <w:r w:rsidRPr="000864AE">
        <w:rPr>
          <w:rFonts w:ascii="Verdana" w:hAnsi="Verdana" w:cs="Arial"/>
          <w:sz w:val="20"/>
          <w:szCs w:val="20"/>
          <w:lang w:val="es-CR"/>
        </w:rPr>
        <w:t xml:space="preserve"> solicitaron que el Estado: a) de cumplimiento a las sentencias de la Corte Suprema de 25 de octubre de 1993,</w:t>
      </w:r>
      <w:r w:rsidR="00173EF1" w:rsidRPr="000864AE">
        <w:rPr>
          <w:rFonts w:ascii="Verdana" w:hAnsi="Verdana" w:cs="Arial"/>
          <w:sz w:val="20"/>
          <w:szCs w:val="20"/>
          <w:lang w:val="es-CR"/>
        </w:rPr>
        <w:t xml:space="preserve"> y las sentencias del</w:t>
      </w:r>
      <w:r w:rsidRPr="000864AE">
        <w:rPr>
          <w:rFonts w:ascii="Verdana" w:hAnsi="Verdana" w:cs="Arial"/>
          <w:sz w:val="20"/>
          <w:szCs w:val="20"/>
          <w:lang w:val="es-CR"/>
        </w:rPr>
        <w:t xml:space="preserve"> Tribunal Constitucional de 25 de junio de 1996</w:t>
      </w:r>
      <w:r w:rsidR="00173EF1" w:rsidRPr="000864AE">
        <w:rPr>
          <w:rFonts w:ascii="Verdana" w:hAnsi="Verdana" w:cs="Arial"/>
          <w:sz w:val="20"/>
          <w:szCs w:val="20"/>
          <w:lang w:val="es-CR"/>
        </w:rPr>
        <w:t xml:space="preserve"> y</w:t>
      </w:r>
      <w:r w:rsidRPr="000864AE">
        <w:rPr>
          <w:rFonts w:ascii="Verdana" w:hAnsi="Verdana" w:cs="Arial"/>
          <w:sz w:val="20"/>
          <w:szCs w:val="20"/>
          <w:lang w:val="es-CR"/>
        </w:rPr>
        <w:t xml:space="preserve"> de 10 de mayo de 2001, en sus propios términos, en cuanto repusieron el derecho de las víctimas a percibir la pensión nivelada con las remuneraciones de los servidores activos de la SUNAT y reintegrar los incrementos permanentes en el tiempo y regulares en su monto, dejados de percibir como conse</w:t>
      </w:r>
      <w:r w:rsidR="00173EF1" w:rsidRPr="000864AE">
        <w:rPr>
          <w:rFonts w:ascii="Verdana" w:hAnsi="Verdana" w:cs="Arial"/>
          <w:sz w:val="20"/>
          <w:szCs w:val="20"/>
          <w:lang w:val="es-CR"/>
        </w:rPr>
        <w:t>cuencia de la aplicación de la T</w:t>
      </w:r>
      <w:r w:rsidRPr="000864AE">
        <w:rPr>
          <w:rFonts w:ascii="Verdana" w:hAnsi="Verdana" w:cs="Arial"/>
          <w:sz w:val="20"/>
          <w:szCs w:val="20"/>
          <w:lang w:val="es-CR"/>
        </w:rPr>
        <w:t xml:space="preserve">ercera Disposición Transitoria del Decreto 673, de conformidad con las normas del Decreto 20530, la Ley 23495 y su reglamento aprobado por el Decreto Supremo No. 0015-83-PCM y vigentes en el momento en que las víctimas adquirieron su derecho; b) </w:t>
      </w:r>
      <w:r w:rsidR="00173EF1" w:rsidRPr="000864AE">
        <w:rPr>
          <w:rFonts w:ascii="Verdana" w:hAnsi="Verdana" w:cs="Arial"/>
          <w:sz w:val="20"/>
          <w:szCs w:val="20"/>
          <w:lang w:val="es-CR"/>
        </w:rPr>
        <w:t>de cumplimiento inmediato a la r</w:t>
      </w:r>
      <w:r w:rsidRPr="000864AE">
        <w:rPr>
          <w:rFonts w:ascii="Verdana" w:hAnsi="Verdana" w:cs="Arial"/>
          <w:sz w:val="20"/>
          <w:szCs w:val="20"/>
          <w:lang w:val="es-CR"/>
        </w:rPr>
        <w:t xml:space="preserve">esolución del </w:t>
      </w:r>
      <w:r w:rsidR="00173EF1" w:rsidRPr="000864AE">
        <w:rPr>
          <w:rFonts w:ascii="Verdana" w:hAnsi="Verdana" w:cs="Arial"/>
          <w:sz w:val="20"/>
          <w:szCs w:val="20"/>
          <w:lang w:val="es-CR"/>
        </w:rPr>
        <w:t xml:space="preserve">Sexagésimo Sexto Juzgado Civil </w:t>
      </w:r>
      <w:r w:rsidRPr="000864AE">
        <w:rPr>
          <w:rFonts w:ascii="Verdana" w:hAnsi="Verdana" w:cs="Arial"/>
          <w:sz w:val="20"/>
          <w:szCs w:val="20"/>
          <w:lang w:val="es-CR"/>
        </w:rPr>
        <w:t>de 3 de marzo de 2006, y c) en relación con las víctimas no tomadas en cuenta en las liquidaciones del informe pericial aproba</w:t>
      </w:r>
      <w:r w:rsidR="00173EF1" w:rsidRPr="000864AE">
        <w:rPr>
          <w:rFonts w:ascii="Verdana" w:hAnsi="Verdana" w:cs="Arial"/>
          <w:sz w:val="20"/>
          <w:szCs w:val="20"/>
          <w:lang w:val="es-CR"/>
        </w:rPr>
        <w:t>do por la r</w:t>
      </w:r>
      <w:r w:rsidRPr="000864AE">
        <w:rPr>
          <w:rFonts w:ascii="Verdana" w:hAnsi="Verdana" w:cs="Arial"/>
          <w:sz w:val="20"/>
          <w:szCs w:val="20"/>
          <w:lang w:val="es-CR"/>
        </w:rPr>
        <w:t>esolución 80, disponga la conformación de un órgano independiente e imparcial que determine, en un plazo razonable y mediante una decisión vinculante y definitiva, el monto de las pensiones niveladas y el reintegro de los incrementos dejados de percibir que les correspondiera hasta el mes de diciembre de 2004.</w:t>
      </w:r>
    </w:p>
    <w:p w14:paraId="621CD088" w14:textId="77777777" w:rsidR="00655238" w:rsidRPr="000864AE" w:rsidRDefault="00655238" w:rsidP="000864AE">
      <w:pPr>
        <w:pStyle w:val="Prrafodelista"/>
        <w:spacing w:after="0" w:line="240" w:lineRule="auto"/>
        <w:ind w:left="0"/>
        <w:jc w:val="both"/>
        <w:rPr>
          <w:rFonts w:ascii="Verdana" w:hAnsi="Verdana"/>
          <w:sz w:val="20"/>
          <w:szCs w:val="20"/>
          <w:lang w:val="es-DO"/>
        </w:rPr>
      </w:pPr>
    </w:p>
    <w:p w14:paraId="3D6F8AFB" w14:textId="032B85DD" w:rsidR="00655238" w:rsidRPr="000864AE" w:rsidRDefault="000610B2" w:rsidP="000864AE">
      <w:pPr>
        <w:pStyle w:val="Prrafodelista"/>
        <w:numPr>
          <w:ilvl w:val="0"/>
          <w:numId w:val="10"/>
        </w:numPr>
        <w:spacing w:after="0" w:line="240" w:lineRule="auto"/>
        <w:ind w:left="0" w:firstLine="0"/>
        <w:jc w:val="both"/>
        <w:rPr>
          <w:rFonts w:ascii="Verdana" w:hAnsi="Verdana"/>
          <w:sz w:val="20"/>
          <w:szCs w:val="20"/>
          <w:lang w:val="es-DO"/>
        </w:rPr>
      </w:pPr>
      <w:r w:rsidRPr="000864AE">
        <w:rPr>
          <w:rFonts w:ascii="Verdana" w:hAnsi="Verdana" w:cs="Arial"/>
          <w:b/>
          <w:sz w:val="20"/>
          <w:szCs w:val="20"/>
          <w:lang w:val="es-CR"/>
        </w:rPr>
        <w:t xml:space="preserve"> </w:t>
      </w:r>
      <w:r w:rsidRPr="000864AE">
        <w:rPr>
          <w:rFonts w:ascii="Verdana" w:hAnsi="Verdana" w:cs="Arial"/>
          <w:sz w:val="20"/>
          <w:szCs w:val="20"/>
          <w:lang w:val="es-CR"/>
        </w:rPr>
        <w:t xml:space="preserve">El </w:t>
      </w:r>
      <w:r w:rsidRPr="000864AE">
        <w:rPr>
          <w:rFonts w:ascii="Verdana" w:hAnsi="Verdana" w:cs="Arial"/>
          <w:b/>
          <w:i/>
          <w:sz w:val="20"/>
          <w:szCs w:val="20"/>
          <w:lang w:val="es-CR"/>
        </w:rPr>
        <w:t>Estado</w:t>
      </w:r>
      <w:r w:rsidRPr="000864AE">
        <w:rPr>
          <w:rFonts w:ascii="Verdana" w:hAnsi="Verdana" w:cs="Arial"/>
          <w:sz w:val="20"/>
          <w:szCs w:val="20"/>
          <w:lang w:val="es-CR"/>
        </w:rPr>
        <w:t xml:space="preserve"> alegó que no se le puede imputar el incumplimiento de una decisión judicial por no ejecutar algo que ella no manda o por realizar algo que ella no prohíbe, ni se puede</w:t>
      </w:r>
      <w:r w:rsidR="00173EF1" w:rsidRPr="000864AE">
        <w:rPr>
          <w:rFonts w:ascii="Verdana" w:hAnsi="Verdana" w:cs="Arial"/>
          <w:sz w:val="20"/>
          <w:szCs w:val="20"/>
          <w:lang w:val="es-CR"/>
        </w:rPr>
        <w:t>n</w:t>
      </w:r>
      <w:r w:rsidRPr="000864AE">
        <w:rPr>
          <w:rFonts w:ascii="Verdana" w:hAnsi="Verdana" w:cs="Arial"/>
          <w:sz w:val="20"/>
          <w:szCs w:val="20"/>
          <w:lang w:val="es-CR"/>
        </w:rPr>
        <w:t xml:space="preserve"> derivar de una sentencia mandatos que no ordena o que van más allá de lo que decide, debido a que las decisiones jurisdicciones deben cumplirse en sus propios términos, sin modificar sus alcances o alterar su sentido. Al respecto, sostuvo que el informe pericial de 18 de octubre de 2011 ha calculado ciertas diferencias económicas basadas fundamentalmente en el tiempo de servicios y otros conceptos que inciden en la pensión pero no están vinculados a su nivelación. En virtud de ello, el Estado sostuvo que dio cabal y estricto cumplimiento a lo resuelto en definitiva en el proceso de amparo mediante la Ej</w:t>
      </w:r>
      <w:r w:rsidR="00173EF1" w:rsidRPr="000864AE">
        <w:rPr>
          <w:rFonts w:ascii="Verdana" w:hAnsi="Verdana" w:cs="Arial"/>
          <w:sz w:val="20"/>
          <w:szCs w:val="20"/>
          <w:lang w:val="es-CR"/>
        </w:rPr>
        <w:t>ecutoria de la Corte Suprema de</w:t>
      </w:r>
      <w:r w:rsidRPr="000864AE">
        <w:rPr>
          <w:rFonts w:ascii="Verdana" w:hAnsi="Verdana" w:cs="Arial"/>
          <w:sz w:val="20"/>
          <w:szCs w:val="20"/>
          <w:lang w:val="es-CR"/>
        </w:rPr>
        <w:t xml:space="preserve"> 25 de octubre de 1993.</w:t>
      </w:r>
      <w:r w:rsidRPr="000864AE">
        <w:rPr>
          <w:rFonts w:ascii="Verdana" w:hAnsi="Verdana" w:cs="Arial"/>
          <w:b/>
          <w:sz w:val="20"/>
          <w:szCs w:val="20"/>
          <w:lang w:val="es-CR"/>
        </w:rPr>
        <w:t xml:space="preserve"> </w:t>
      </w:r>
      <w:r w:rsidRPr="000864AE">
        <w:rPr>
          <w:rFonts w:ascii="Verdana" w:hAnsi="Verdana" w:cs="Arial"/>
          <w:sz w:val="20"/>
          <w:szCs w:val="20"/>
          <w:lang w:val="es-CR"/>
        </w:rPr>
        <w:t>El Estado destacó que el Tribunal Constitucional, mediante resolución de 9 de agosto de 2011, concluyó que no se ha vulnerado los derechos fundamentales de los miembros de ANCEJ</w:t>
      </w:r>
      <w:r w:rsidR="00173EF1" w:rsidRPr="000864AE">
        <w:rPr>
          <w:rFonts w:ascii="Verdana" w:hAnsi="Verdana" w:cs="Arial"/>
          <w:sz w:val="20"/>
          <w:szCs w:val="20"/>
          <w:lang w:val="es-CR"/>
        </w:rPr>
        <w:t>UB-SUNAT, por lo que solicitó</w:t>
      </w:r>
      <w:r w:rsidRPr="000864AE">
        <w:rPr>
          <w:rFonts w:ascii="Verdana" w:hAnsi="Verdana" w:cs="Arial"/>
          <w:sz w:val="20"/>
          <w:szCs w:val="20"/>
          <w:lang w:val="es-CR"/>
        </w:rPr>
        <w:t xml:space="preserve"> que dicha medida de restitución sea rechazada. Por otra parte, respecto a la reparación a las víctimas no tomadas en cuenta, el Estado alegó que previamente se requiere que exista un pronunciamiento judicial sobre el reconocimiento de los derechos de personas que no forman parte de la presente controversia, es decir, de quienes no han agotado los recursos que brinda la jurisdicción interna. Respecto a la conformación de un órgano independiente e imparcial, el Estado manifestó que la necesidad de contar con un órgano con tal función no ha sido debidamente sustentada por los representantes y tal determinación ya fue realizada por los peritos en el marco del proceso de ejecución de sentencia. Finalmente, respecto a la solicitud de nivelación de las pensiones, el Estado sostuvo que corresponde dar cumplimiento a lo dispuesto por los órganos jurisdiccionales, quienes ya se pronunciaron al respecto. Posteriormente, alegó que con la emisión del auto del Tribunal Constitucional de 23 de abril de 2019 se cerró todo debate sobre el presente caso, por lo que solicitó a la Corte que valore y respete dicha decisión, toda vez que la misma ratifica la posición que el Estado ha sostenido a lo largo del proceso</w:t>
      </w:r>
      <w:r w:rsidR="000D03CA" w:rsidRPr="000864AE">
        <w:rPr>
          <w:rFonts w:ascii="Verdana" w:hAnsi="Verdana" w:cs="Arial"/>
          <w:sz w:val="20"/>
          <w:szCs w:val="20"/>
          <w:lang w:val="es-CR"/>
        </w:rPr>
        <w:t>.</w:t>
      </w:r>
    </w:p>
    <w:p w14:paraId="06CC1D83" w14:textId="77777777" w:rsidR="00655238" w:rsidRPr="000864AE" w:rsidRDefault="00655238" w:rsidP="000864AE">
      <w:pPr>
        <w:pStyle w:val="Prrafodelista"/>
        <w:spacing w:after="0" w:line="240" w:lineRule="auto"/>
        <w:ind w:left="0"/>
        <w:jc w:val="both"/>
        <w:rPr>
          <w:rFonts w:ascii="Verdana" w:hAnsi="Verdana"/>
          <w:sz w:val="20"/>
          <w:szCs w:val="20"/>
          <w:lang w:val="es-DO"/>
        </w:rPr>
      </w:pPr>
    </w:p>
    <w:p w14:paraId="398CA76C" w14:textId="1B28FBE3" w:rsidR="000610B2" w:rsidRPr="000864AE" w:rsidRDefault="000610B2" w:rsidP="000864AE">
      <w:pPr>
        <w:pStyle w:val="Prrafodelista"/>
        <w:numPr>
          <w:ilvl w:val="0"/>
          <w:numId w:val="10"/>
        </w:numPr>
        <w:spacing w:after="0" w:line="240" w:lineRule="auto"/>
        <w:ind w:left="0" w:firstLine="0"/>
        <w:jc w:val="both"/>
        <w:rPr>
          <w:rFonts w:ascii="Verdana" w:hAnsi="Verdana"/>
          <w:sz w:val="20"/>
          <w:szCs w:val="20"/>
          <w:lang w:val="es-DO"/>
        </w:rPr>
      </w:pPr>
      <w:r w:rsidRPr="000864AE">
        <w:rPr>
          <w:rFonts w:ascii="Verdana" w:hAnsi="Verdana" w:cs="Arial"/>
          <w:sz w:val="20"/>
          <w:szCs w:val="20"/>
          <w:lang w:val="es-CR"/>
        </w:rPr>
        <w:t xml:space="preserve">En el presente caso, el Tribunal concluyó que el Estado violó el derecho a la protección judicial al no haber garantizado la ejecución integral, sin dilaciones injustificadas, de la sentencia de 25 de octubre de 1993. En tal sentido, la Corte determinó que, pese a haber transcurrido aproximadamente 27 años desde su emisión, el proceso de ejecución de la referida sentencia todavía se encuentra abierto porque aún no se ha hecho efectivo el pago de los reintegros correspondientes a la nivelación de las pensiones de las víctimas durante </w:t>
      </w:r>
      <w:r w:rsidR="00173EF1" w:rsidRPr="000864AE">
        <w:rPr>
          <w:rFonts w:ascii="Verdana" w:hAnsi="Verdana" w:cs="Arial"/>
          <w:sz w:val="20"/>
          <w:szCs w:val="20"/>
          <w:lang w:val="es-CR"/>
        </w:rPr>
        <w:t>el periodo de aplicación de la Tercera Disposición T</w:t>
      </w:r>
      <w:r w:rsidRPr="000864AE">
        <w:rPr>
          <w:rFonts w:ascii="Verdana" w:hAnsi="Verdana" w:cs="Arial"/>
          <w:sz w:val="20"/>
          <w:szCs w:val="20"/>
          <w:lang w:val="es-CR"/>
        </w:rPr>
        <w:t>ransitoria del Decreto 673. En virtud de ello, la Corte determinó que el Estado incumplió con su deber de garantizar los medios necesarios para lograr la ejecución de la sentencia de 25 de octubre de 1993, en contravención a las obligaciones dispuestas en el artículo 25.2.c de la Convención. De igual modo, el Tribunal concluyó que constituye un plazo irrazonable el periodo de 27 de años transcurrido desde la expedición de la sentencia antes mencionada, sin que a la fecha el Estado haya garantizado su cumplimiento integral. Por tanto, la Corte ordena al Estado que garantice el pago efectivo e inmediato de los reintegros pendientes de pago por concepto de lo dispuesto por la sentencia de 25 de octubre de 1993, en los términos fijados por el informe pericial de 18 de octubre de 2011, el cual fue aprobado mediante resoluciones de 13 de juni</w:t>
      </w:r>
      <w:r w:rsidR="00655238" w:rsidRPr="000864AE">
        <w:rPr>
          <w:rFonts w:ascii="Verdana" w:hAnsi="Verdana" w:cs="Arial"/>
          <w:sz w:val="20"/>
          <w:szCs w:val="20"/>
          <w:lang w:val="es-CR"/>
        </w:rPr>
        <w:t>o de 2017 y 23 de abril de 2019.</w:t>
      </w:r>
    </w:p>
    <w:p w14:paraId="63FFBCB0" w14:textId="77777777" w:rsidR="000610B2" w:rsidRPr="000864AE" w:rsidRDefault="000610B2" w:rsidP="000864AE">
      <w:pPr>
        <w:pStyle w:val="Prrafodelista"/>
        <w:spacing w:after="0" w:line="240" w:lineRule="auto"/>
        <w:jc w:val="both"/>
        <w:rPr>
          <w:rFonts w:ascii="Verdana" w:hAnsi="Verdana" w:cs="Arial"/>
          <w:sz w:val="20"/>
          <w:szCs w:val="20"/>
          <w:lang w:val="es-CR"/>
        </w:rPr>
      </w:pPr>
    </w:p>
    <w:p w14:paraId="64F69FB3" w14:textId="77777777" w:rsidR="000610B2" w:rsidRPr="000864AE" w:rsidRDefault="000610B2" w:rsidP="000864AE">
      <w:pPr>
        <w:pStyle w:val="Ttulo3"/>
        <w:numPr>
          <w:ilvl w:val="0"/>
          <w:numId w:val="0"/>
        </w:numPr>
        <w:ind w:left="1353"/>
        <w:rPr>
          <w:rFonts w:cs="Arial"/>
          <w:b w:val="0"/>
          <w:lang w:val="es-CR"/>
        </w:rPr>
      </w:pPr>
      <w:bookmarkStart w:id="100" w:name="_Toc12726739"/>
      <w:bookmarkStart w:id="101" w:name="_Toc27329793"/>
      <w:r w:rsidRPr="000864AE">
        <w:rPr>
          <w:rFonts w:cs="Arial"/>
          <w:lang w:val="es-CR"/>
        </w:rPr>
        <w:t>B.2 Medida de satisfacción</w:t>
      </w:r>
      <w:bookmarkEnd w:id="100"/>
      <w:bookmarkEnd w:id="101"/>
    </w:p>
    <w:p w14:paraId="64598837" w14:textId="77777777" w:rsidR="000610B2" w:rsidRPr="000864AE" w:rsidRDefault="000610B2" w:rsidP="000864AE">
      <w:pPr>
        <w:widowControl w:val="0"/>
        <w:tabs>
          <w:tab w:val="left" w:pos="567"/>
        </w:tabs>
        <w:adjustRightInd w:val="0"/>
        <w:spacing w:after="0" w:line="240" w:lineRule="auto"/>
        <w:jc w:val="both"/>
        <w:textAlignment w:val="baseline"/>
        <w:rPr>
          <w:rFonts w:ascii="Verdana" w:hAnsi="Verdana" w:cs="Arial"/>
          <w:sz w:val="20"/>
          <w:szCs w:val="20"/>
          <w:lang w:val="es-CR"/>
        </w:rPr>
      </w:pPr>
    </w:p>
    <w:p w14:paraId="3626649E" w14:textId="588EA649" w:rsidR="00655238" w:rsidRPr="000864AE" w:rsidRDefault="000610B2" w:rsidP="000864AE">
      <w:pPr>
        <w:pStyle w:val="Prrafodelista"/>
        <w:numPr>
          <w:ilvl w:val="0"/>
          <w:numId w:val="10"/>
        </w:numPr>
        <w:spacing w:after="0" w:line="240" w:lineRule="auto"/>
        <w:ind w:left="0" w:firstLine="0"/>
        <w:jc w:val="both"/>
        <w:rPr>
          <w:rFonts w:ascii="Verdana" w:hAnsi="Verdana"/>
          <w:sz w:val="20"/>
          <w:szCs w:val="20"/>
          <w:lang w:val="es-DO"/>
        </w:rPr>
      </w:pPr>
      <w:r w:rsidRPr="000864AE">
        <w:rPr>
          <w:rFonts w:ascii="Verdana" w:hAnsi="Verdana" w:cs="Arial"/>
          <w:sz w:val="20"/>
          <w:szCs w:val="20"/>
          <w:lang w:val="es-CR"/>
        </w:rPr>
        <w:t xml:space="preserve">Los </w:t>
      </w:r>
      <w:r w:rsidRPr="000864AE">
        <w:rPr>
          <w:rFonts w:ascii="Verdana" w:hAnsi="Verdana" w:cs="Arial"/>
          <w:b/>
          <w:i/>
          <w:sz w:val="20"/>
          <w:szCs w:val="20"/>
          <w:lang w:val="es-CR"/>
        </w:rPr>
        <w:t>representantes</w:t>
      </w:r>
      <w:r w:rsidRPr="000864AE">
        <w:rPr>
          <w:rFonts w:ascii="Verdana" w:hAnsi="Verdana" w:cs="Arial"/>
          <w:sz w:val="20"/>
          <w:szCs w:val="20"/>
          <w:lang w:val="es-CR"/>
        </w:rPr>
        <w:t xml:space="preserve"> solicitaron que el Estado y sus altas autoridades realicen un acto de disculpa pública y reconocimiento de su responsabilidad internacional, así como la publicación de la Sentencia en el Diario Oficial “El Peruano”, con los respectivos títulos y subtítulos, así como la parte resolutiva de la misma. El </w:t>
      </w:r>
      <w:r w:rsidRPr="000864AE">
        <w:rPr>
          <w:rFonts w:ascii="Verdana" w:hAnsi="Verdana" w:cs="Arial"/>
          <w:b/>
          <w:i/>
          <w:sz w:val="20"/>
          <w:szCs w:val="20"/>
          <w:lang w:val="es-CR"/>
        </w:rPr>
        <w:t>Estado</w:t>
      </w:r>
      <w:r w:rsidRPr="000864AE">
        <w:rPr>
          <w:rFonts w:ascii="Verdana" w:hAnsi="Verdana" w:cs="Arial"/>
          <w:sz w:val="20"/>
          <w:szCs w:val="20"/>
          <w:lang w:val="es-CR"/>
        </w:rPr>
        <w:t xml:space="preserve"> señaló que no estima necesario que se ordene esta medida. La </w:t>
      </w:r>
      <w:r w:rsidRPr="000864AE">
        <w:rPr>
          <w:rFonts w:ascii="Verdana" w:hAnsi="Verdana" w:cs="Arial"/>
          <w:b/>
          <w:i/>
          <w:sz w:val="20"/>
          <w:szCs w:val="20"/>
          <w:lang w:val="es-CR"/>
        </w:rPr>
        <w:t xml:space="preserve">Comisión </w:t>
      </w:r>
      <w:r w:rsidRPr="000864AE">
        <w:rPr>
          <w:rFonts w:ascii="Verdana" w:hAnsi="Verdana" w:cs="Arial"/>
          <w:sz w:val="20"/>
          <w:szCs w:val="20"/>
          <w:lang w:val="es-CR"/>
        </w:rPr>
        <w:t>no se pronunció respecto de la solicitud de los representantes.</w:t>
      </w:r>
    </w:p>
    <w:p w14:paraId="64D7635C" w14:textId="77777777" w:rsidR="00655238" w:rsidRPr="000864AE" w:rsidRDefault="00655238" w:rsidP="000864AE">
      <w:pPr>
        <w:pStyle w:val="Prrafodelista"/>
        <w:spacing w:after="0" w:line="240" w:lineRule="auto"/>
        <w:ind w:left="0"/>
        <w:jc w:val="both"/>
        <w:rPr>
          <w:rFonts w:ascii="Verdana" w:hAnsi="Verdana"/>
          <w:sz w:val="20"/>
          <w:szCs w:val="20"/>
          <w:lang w:val="es-DO"/>
        </w:rPr>
      </w:pPr>
    </w:p>
    <w:p w14:paraId="66D86D6C" w14:textId="77777777" w:rsidR="00655238" w:rsidRPr="000864AE" w:rsidRDefault="000610B2" w:rsidP="000864AE">
      <w:pPr>
        <w:pStyle w:val="Prrafodelista"/>
        <w:numPr>
          <w:ilvl w:val="0"/>
          <w:numId w:val="10"/>
        </w:numPr>
        <w:spacing w:after="0" w:line="240" w:lineRule="auto"/>
        <w:ind w:left="0" w:firstLine="0"/>
        <w:jc w:val="both"/>
        <w:rPr>
          <w:rFonts w:ascii="Verdana" w:hAnsi="Verdana"/>
          <w:sz w:val="20"/>
          <w:szCs w:val="20"/>
          <w:lang w:val="es-DO"/>
        </w:rPr>
      </w:pPr>
      <w:r w:rsidRPr="000864AE">
        <w:rPr>
          <w:rFonts w:ascii="Verdana" w:hAnsi="Verdana"/>
          <w:sz w:val="20"/>
          <w:szCs w:val="20"/>
        </w:rPr>
        <w:t>La Corte estima pertinente ordenar, como lo ha hecho en otros casos</w:t>
      </w:r>
      <w:r w:rsidRPr="000864AE">
        <w:rPr>
          <w:rStyle w:val="Refdenotaalpie"/>
          <w:rFonts w:ascii="Verdana" w:hAnsi="Verdana"/>
          <w:sz w:val="20"/>
          <w:szCs w:val="20"/>
        </w:rPr>
        <w:footnoteReference w:id="307"/>
      </w:r>
      <w:r w:rsidRPr="000864AE">
        <w:rPr>
          <w:rFonts w:ascii="Verdana" w:hAnsi="Verdana"/>
          <w:sz w:val="20"/>
          <w:szCs w:val="20"/>
        </w:rPr>
        <w:t>, que el Estado, en el plazo de seis meses contado a partir de la notificación de la presente Sentencia, realice las siguientes publicaciones: a) el resumen oficial de la Sentencia elaborado por la Corte, por una sola vez, en el Diario Oficial y en un diario de amplia circulación nacional, en un tamaño de letra legible y adecuado, y b) la presente Sentencia en su integridad, disponible al menos por un período de un año, en un sitio web del Estado, de manera accesible al público. El Estado deberá́ informar de forma inmediata a esta Corte una vez que proceda a realizar cada una de las publicaciones dispuestas, independientemente del plazo de un año para presentar su primer informe dispuesto en la parte resolutiva de esta Sentencia.</w:t>
      </w:r>
    </w:p>
    <w:p w14:paraId="70E607CE" w14:textId="77777777" w:rsidR="00655238" w:rsidRPr="000864AE" w:rsidRDefault="00655238" w:rsidP="000864AE">
      <w:pPr>
        <w:pStyle w:val="Prrafodelista"/>
        <w:rPr>
          <w:rFonts w:ascii="Verdana" w:hAnsi="Verdana" w:cs="Arial"/>
          <w:sz w:val="20"/>
          <w:szCs w:val="20"/>
          <w:lang w:val="es-CR"/>
        </w:rPr>
      </w:pPr>
    </w:p>
    <w:p w14:paraId="43095E11" w14:textId="17EABF39" w:rsidR="000610B2" w:rsidRPr="000864AE" w:rsidRDefault="000610B2" w:rsidP="000864AE">
      <w:pPr>
        <w:pStyle w:val="Prrafodelista"/>
        <w:numPr>
          <w:ilvl w:val="0"/>
          <w:numId w:val="10"/>
        </w:numPr>
        <w:spacing w:after="0" w:line="240" w:lineRule="auto"/>
        <w:ind w:left="0" w:firstLine="0"/>
        <w:jc w:val="both"/>
        <w:rPr>
          <w:rFonts w:ascii="Verdana" w:hAnsi="Verdana"/>
          <w:sz w:val="20"/>
          <w:szCs w:val="20"/>
          <w:lang w:val="es-DO"/>
        </w:rPr>
      </w:pPr>
      <w:r w:rsidRPr="000864AE">
        <w:rPr>
          <w:rFonts w:ascii="Verdana" w:hAnsi="Verdana" w:cs="Arial"/>
          <w:sz w:val="20"/>
          <w:szCs w:val="20"/>
          <w:lang w:val="es-CR"/>
        </w:rPr>
        <w:t xml:space="preserve">Por otro lado, el Tribunal estima pertinente ordenar que se realice un acto de disculpa pública y reconocimiento de responsabilidad internacional por los hechos del presente caso, en desagravio de las víctimas. En dicho acto se deberá hacer referencia a las violaciones de derechos humanos declaradas en el presente caso, en particular reconociendo la responsabilidad del Estado por las afectaciones </w:t>
      </w:r>
      <w:r w:rsidR="000D03CA" w:rsidRPr="000864AE">
        <w:rPr>
          <w:rFonts w:ascii="Verdana" w:hAnsi="Verdana" w:cs="Arial"/>
          <w:sz w:val="20"/>
          <w:szCs w:val="20"/>
          <w:lang w:val="es-CR"/>
        </w:rPr>
        <w:t>al derecho a la seguridad social</w:t>
      </w:r>
      <w:r w:rsidRPr="000864AE">
        <w:rPr>
          <w:rFonts w:ascii="Verdana" w:hAnsi="Verdana" w:cs="Arial"/>
          <w:sz w:val="20"/>
          <w:szCs w:val="20"/>
          <w:lang w:val="es-CR"/>
        </w:rPr>
        <w:t>. Asimismo, deberá llevarse a cabo mediante una ceremonia pública en presencia de altos funcionarios del Estado y las víctimas. El Estado y las víctimas y/o sus representantes deberán acordar la modalidad de cumplimiento del acto público de reconocimiento, así como las particularidades que se requieran, tales como el lugar y la fecha para su realización</w:t>
      </w:r>
      <w:r w:rsidRPr="000864AE">
        <w:rPr>
          <w:rStyle w:val="Refdenotaalpie"/>
          <w:rFonts w:ascii="Verdana" w:hAnsi="Verdana" w:cs="Arial"/>
          <w:sz w:val="20"/>
          <w:szCs w:val="20"/>
        </w:rPr>
        <w:footnoteReference w:id="308"/>
      </w:r>
      <w:r w:rsidRPr="000864AE">
        <w:rPr>
          <w:rFonts w:ascii="Verdana" w:hAnsi="Verdana" w:cs="Arial"/>
          <w:sz w:val="20"/>
          <w:szCs w:val="20"/>
          <w:lang w:val="es-CR"/>
        </w:rPr>
        <w:t>.</w:t>
      </w:r>
    </w:p>
    <w:p w14:paraId="45B92C4B" w14:textId="77777777" w:rsidR="002D4820" w:rsidRPr="000864AE" w:rsidRDefault="002D4820" w:rsidP="000864AE">
      <w:pPr>
        <w:pStyle w:val="Prrafodelista"/>
        <w:spacing w:after="0" w:line="240" w:lineRule="auto"/>
        <w:ind w:left="0"/>
        <w:jc w:val="both"/>
        <w:rPr>
          <w:rFonts w:ascii="Verdana" w:hAnsi="Verdana"/>
          <w:sz w:val="20"/>
          <w:szCs w:val="20"/>
          <w:lang w:val="es-DO"/>
        </w:rPr>
      </w:pPr>
    </w:p>
    <w:p w14:paraId="68451EB7" w14:textId="77777777" w:rsidR="000610B2" w:rsidRPr="000864AE" w:rsidRDefault="000610B2" w:rsidP="000864AE">
      <w:pPr>
        <w:pStyle w:val="Ttulo3"/>
        <w:numPr>
          <w:ilvl w:val="0"/>
          <w:numId w:val="0"/>
        </w:numPr>
        <w:ind w:left="1353"/>
        <w:rPr>
          <w:rFonts w:cs="Arial"/>
          <w:b w:val="0"/>
          <w:lang w:val="es-CR"/>
        </w:rPr>
      </w:pPr>
      <w:bookmarkStart w:id="102" w:name="_Toc12726740"/>
      <w:bookmarkStart w:id="103" w:name="_Toc27329794"/>
      <w:r w:rsidRPr="000864AE">
        <w:rPr>
          <w:rFonts w:cs="Arial"/>
          <w:lang w:val="es-CR"/>
        </w:rPr>
        <w:t>B.3 Garantías de no repetición</w:t>
      </w:r>
      <w:bookmarkEnd w:id="102"/>
      <w:bookmarkEnd w:id="103"/>
    </w:p>
    <w:p w14:paraId="3EB852E8" w14:textId="77777777" w:rsidR="000610B2" w:rsidRPr="000864AE" w:rsidRDefault="000610B2" w:rsidP="000864AE">
      <w:pPr>
        <w:widowControl w:val="0"/>
        <w:tabs>
          <w:tab w:val="left" w:pos="567"/>
        </w:tabs>
        <w:adjustRightInd w:val="0"/>
        <w:spacing w:after="0" w:line="240" w:lineRule="auto"/>
        <w:jc w:val="both"/>
        <w:textAlignment w:val="baseline"/>
        <w:rPr>
          <w:rFonts w:ascii="Verdana" w:hAnsi="Verdana" w:cs="Arial"/>
          <w:b/>
          <w:sz w:val="20"/>
          <w:szCs w:val="20"/>
          <w:lang w:val="es-CR"/>
        </w:rPr>
      </w:pPr>
    </w:p>
    <w:p w14:paraId="17997502" w14:textId="2FFFB5B7" w:rsidR="00655238" w:rsidRPr="000864AE" w:rsidRDefault="000610B2" w:rsidP="000864AE">
      <w:pPr>
        <w:pStyle w:val="Prrafodelista"/>
        <w:numPr>
          <w:ilvl w:val="0"/>
          <w:numId w:val="10"/>
        </w:numPr>
        <w:spacing w:after="0" w:line="240" w:lineRule="auto"/>
        <w:ind w:left="0" w:firstLine="0"/>
        <w:jc w:val="both"/>
        <w:rPr>
          <w:rFonts w:ascii="Verdana" w:hAnsi="Verdana"/>
          <w:sz w:val="20"/>
          <w:szCs w:val="20"/>
          <w:lang w:val="es-DO"/>
        </w:rPr>
      </w:pPr>
      <w:r w:rsidRPr="000864AE">
        <w:rPr>
          <w:rFonts w:ascii="Verdana" w:hAnsi="Verdana" w:cs="Arial"/>
          <w:sz w:val="20"/>
          <w:szCs w:val="20"/>
          <w:lang w:val="es-CR"/>
        </w:rPr>
        <w:t xml:space="preserve">La </w:t>
      </w:r>
      <w:r w:rsidRPr="000864AE">
        <w:rPr>
          <w:rFonts w:ascii="Verdana" w:hAnsi="Verdana" w:cs="Arial"/>
          <w:b/>
          <w:i/>
          <w:sz w:val="20"/>
          <w:szCs w:val="20"/>
          <w:lang w:val="es-CR"/>
        </w:rPr>
        <w:t xml:space="preserve">Comisión </w:t>
      </w:r>
      <w:r w:rsidRPr="000864AE">
        <w:rPr>
          <w:rFonts w:ascii="Verdana" w:hAnsi="Verdana" w:cs="Arial"/>
          <w:sz w:val="20"/>
          <w:szCs w:val="20"/>
          <w:lang w:val="es-CR"/>
        </w:rPr>
        <w:t>solicitó que el Estado adopte las medidas legislativas o de otra índole necesarias para evitar la repetición de las violaciones declaradas. En tal sentido, solicitó que el Estado disponga las medidas necesarias para: a) asegurar que las empresas estatales cumplan con los fallos judiciales que reconocen derechos pensionarios a ex-trabajadores; b) asegurar que los procesos de ejecución de sentencia cumplan con el estándar convencional de sencillez y rapidez, y c) asegurar que las autoridades judiciales que conocen tales procesos se encuentran facultadas legalmente y apliquen en la práctica los mecanismos coercitivos necesarios para garantizar el cumplimiento de los fallos judiciales.</w:t>
      </w:r>
    </w:p>
    <w:p w14:paraId="1937B4D2" w14:textId="77777777" w:rsidR="00655238" w:rsidRPr="000864AE" w:rsidRDefault="00655238" w:rsidP="000864AE">
      <w:pPr>
        <w:pStyle w:val="Prrafodelista"/>
        <w:spacing w:after="0" w:line="240" w:lineRule="auto"/>
        <w:ind w:left="0"/>
        <w:jc w:val="both"/>
        <w:rPr>
          <w:rFonts w:ascii="Verdana" w:hAnsi="Verdana"/>
          <w:sz w:val="20"/>
          <w:szCs w:val="20"/>
          <w:lang w:val="es-DO"/>
        </w:rPr>
      </w:pPr>
    </w:p>
    <w:p w14:paraId="507A6400" w14:textId="09B07852" w:rsidR="00655238" w:rsidRPr="000864AE" w:rsidRDefault="000610B2" w:rsidP="000864AE">
      <w:pPr>
        <w:pStyle w:val="Prrafodelista"/>
        <w:numPr>
          <w:ilvl w:val="0"/>
          <w:numId w:val="10"/>
        </w:numPr>
        <w:spacing w:after="0" w:line="240" w:lineRule="auto"/>
        <w:ind w:left="0" w:firstLine="0"/>
        <w:jc w:val="both"/>
        <w:rPr>
          <w:rFonts w:ascii="Verdana" w:hAnsi="Verdana"/>
          <w:sz w:val="20"/>
          <w:szCs w:val="20"/>
          <w:lang w:val="es-DO"/>
        </w:rPr>
      </w:pPr>
      <w:r w:rsidRPr="000864AE">
        <w:rPr>
          <w:rFonts w:ascii="Verdana" w:hAnsi="Verdana" w:cs="Arial"/>
          <w:sz w:val="20"/>
          <w:szCs w:val="20"/>
          <w:lang w:val="es-CR"/>
        </w:rPr>
        <w:t>Los</w:t>
      </w:r>
      <w:r w:rsidRPr="000864AE">
        <w:rPr>
          <w:rFonts w:ascii="Verdana" w:hAnsi="Verdana" w:cs="Arial"/>
          <w:b/>
          <w:sz w:val="20"/>
          <w:szCs w:val="20"/>
          <w:lang w:val="es-CR"/>
        </w:rPr>
        <w:t xml:space="preserve"> </w:t>
      </w:r>
      <w:r w:rsidRPr="000864AE">
        <w:rPr>
          <w:rFonts w:ascii="Verdana" w:hAnsi="Verdana" w:cs="Arial"/>
          <w:b/>
          <w:i/>
          <w:sz w:val="20"/>
          <w:szCs w:val="20"/>
          <w:lang w:val="es-CR"/>
        </w:rPr>
        <w:t>representantes</w:t>
      </w:r>
      <w:r w:rsidRPr="000864AE">
        <w:rPr>
          <w:rFonts w:ascii="Verdana" w:hAnsi="Verdana" w:cs="Arial"/>
          <w:b/>
          <w:sz w:val="20"/>
          <w:szCs w:val="20"/>
          <w:lang w:val="es-CR"/>
        </w:rPr>
        <w:t xml:space="preserve"> </w:t>
      </w:r>
      <w:r w:rsidRPr="000864AE">
        <w:rPr>
          <w:rFonts w:ascii="Verdana" w:hAnsi="Verdana" w:cs="Arial"/>
          <w:sz w:val="20"/>
          <w:szCs w:val="20"/>
          <w:lang w:val="es-CR"/>
        </w:rPr>
        <w:t>solicitaron que</w:t>
      </w:r>
      <w:r w:rsidR="002D4820" w:rsidRPr="000864AE">
        <w:rPr>
          <w:rFonts w:ascii="Verdana" w:hAnsi="Verdana" w:cs="Arial"/>
          <w:sz w:val="20"/>
          <w:szCs w:val="20"/>
          <w:lang w:val="es-CR"/>
        </w:rPr>
        <w:t>:</w:t>
      </w:r>
      <w:r w:rsidRPr="000864AE">
        <w:rPr>
          <w:rFonts w:ascii="Verdana" w:hAnsi="Verdana" w:cs="Arial"/>
          <w:sz w:val="20"/>
          <w:szCs w:val="20"/>
          <w:lang w:val="es-CR"/>
        </w:rPr>
        <w:t xml:space="preserve"> a) el Estado efectúe las modificaciones legislativas que correspondan a fin de que se incorporen y garanticen efectivamente las disposiciones de la Convención Americana sobre debido proceso y protección judicial en el orden interno, asegurando la e</w:t>
      </w:r>
      <w:r w:rsidR="002D4820" w:rsidRPr="000864AE">
        <w:rPr>
          <w:rFonts w:ascii="Verdana" w:hAnsi="Verdana" w:cs="Arial"/>
          <w:sz w:val="20"/>
          <w:szCs w:val="20"/>
          <w:lang w:val="es-CR"/>
        </w:rPr>
        <w:t>ficacia de lo ordenado por las s</w:t>
      </w:r>
      <w:r w:rsidRPr="000864AE">
        <w:rPr>
          <w:rFonts w:ascii="Verdana" w:hAnsi="Verdana" w:cs="Arial"/>
          <w:sz w:val="20"/>
          <w:szCs w:val="20"/>
          <w:lang w:val="es-CR"/>
        </w:rPr>
        <w:t xml:space="preserve">entencias relacionadas con la restitución de derechos económicos y sociales, incluyendo la implementación de las medidas recomendadas al efecto por la Defensoría del Pueblo en sus informes consagrados a esta problemática, lo mismo que autorizar reformas al Presupuesto General </w:t>
      </w:r>
      <w:r w:rsidR="002D4820" w:rsidRPr="000864AE">
        <w:rPr>
          <w:rFonts w:ascii="Verdana" w:hAnsi="Verdana" w:cs="Arial"/>
          <w:sz w:val="20"/>
          <w:szCs w:val="20"/>
          <w:lang w:val="es-CR"/>
        </w:rPr>
        <w:t>de Perú</w:t>
      </w:r>
      <w:r w:rsidRPr="000864AE">
        <w:rPr>
          <w:rFonts w:ascii="Verdana" w:hAnsi="Verdana" w:cs="Arial"/>
          <w:sz w:val="20"/>
          <w:szCs w:val="20"/>
          <w:lang w:val="es-CR"/>
        </w:rPr>
        <w:t xml:space="preserve"> a efectos de que incluya la habilitación de una partida específica dotada de recursos suficientes para asegurar el cumplimiento de las sentencias judiciales que obliguen a la restitución de derechos de naturaleza social, de modo que el plazo de estas deudas, en ningún caso, supere el término de </w:t>
      </w:r>
      <w:r w:rsidR="002D4820" w:rsidRPr="000864AE">
        <w:rPr>
          <w:rFonts w:ascii="Verdana" w:hAnsi="Verdana" w:cs="Arial"/>
          <w:sz w:val="20"/>
          <w:szCs w:val="20"/>
          <w:lang w:val="es-CR"/>
        </w:rPr>
        <w:t>un</w:t>
      </w:r>
      <w:r w:rsidRPr="000864AE">
        <w:rPr>
          <w:rFonts w:ascii="Verdana" w:hAnsi="Verdana" w:cs="Arial"/>
          <w:sz w:val="20"/>
          <w:szCs w:val="20"/>
          <w:lang w:val="es-CR"/>
        </w:rPr>
        <w:t xml:space="preserve"> año desde el momento en que se declare firme la resolución judicial que ordene dicho pago, y b) la Corte disponga la expansión de los efectos de la Sentencia a las demás personas que vienen siendo afectadas pero que no hayan sido parte en el presente proceso.</w:t>
      </w:r>
    </w:p>
    <w:p w14:paraId="397F4008" w14:textId="77777777" w:rsidR="00655238" w:rsidRPr="000864AE" w:rsidRDefault="00655238" w:rsidP="000864AE">
      <w:pPr>
        <w:pStyle w:val="Prrafodelista"/>
        <w:spacing w:after="0" w:line="240" w:lineRule="auto"/>
        <w:ind w:left="0"/>
        <w:jc w:val="both"/>
        <w:rPr>
          <w:rFonts w:ascii="Verdana" w:hAnsi="Verdana"/>
          <w:sz w:val="20"/>
          <w:szCs w:val="20"/>
          <w:lang w:val="es-DO"/>
        </w:rPr>
      </w:pPr>
    </w:p>
    <w:p w14:paraId="49468031" w14:textId="08EE73B6" w:rsidR="00655238" w:rsidRPr="000864AE" w:rsidRDefault="000610B2" w:rsidP="000864AE">
      <w:pPr>
        <w:pStyle w:val="Prrafodelista"/>
        <w:numPr>
          <w:ilvl w:val="0"/>
          <w:numId w:val="10"/>
        </w:numPr>
        <w:spacing w:after="0" w:line="240" w:lineRule="auto"/>
        <w:ind w:left="0" w:firstLine="0"/>
        <w:jc w:val="both"/>
        <w:rPr>
          <w:rFonts w:ascii="Verdana" w:hAnsi="Verdana"/>
          <w:sz w:val="20"/>
          <w:szCs w:val="20"/>
          <w:lang w:val="es-DO"/>
        </w:rPr>
      </w:pPr>
      <w:r w:rsidRPr="000864AE">
        <w:rPr>
          <w:rFonts w:ascii="Verdana" w:hAnsi="Verdana" w:cs="Arial"/>
          <w:sz w:val="20"/>
          <w:szCs w:val="20"/>
          <w:lang w:val="es-CR"/>
        </w:rPr>
        <w:t xml:space="preserve">El </w:t>
      </w:r>
      <w:r w:rsidRPr="000864AE">
        <w:rPr>
          <w:rFonts w:ascii="Verdana" w:hAnsi="Verdana" w:cs="Arial"/>
          <w:b/>
          <w:i/>
          <w:sz w:val="20"/>
          <w:szCs w:val="20"/>
          <w:lang w:val="es-CR"/>
        </w:rPr>
        <w:t>Estado</w:t>
      </w:r>
      <w:r w:rsidRPr="000864AE">
        <w:rPr>
          <w:rFonts w:ascii="Verdana" w:hAnsi="Verdana" w:cs="Arial"/>
          <w:sz w:val="20"/>
          <w:szCs w:val="20"/>
          <w:lang w:val="es-CR"/>
        </w:rPr>
        <w:t xml:space="preserve"> sostuvo que el Congreso de la República ha venido analizando, aprobando y modificando leyes de rango inferior referidas al cumplimiento de</w:t>
      </w:r>
      <w:r w:rsidR="002D4820" w:rsidRPr="000864AE">
        <w:rPr>
          <w:rFonts w:ascii="Verdana" w:hAnsi="Verdana" w:cs="Arial"/>
          <w:sz w:val="20"/>
          <w:szCs w:val="20"/>
          <w:lang w:val="es-CR"/>
        </w:rPr>
        <w:t xml:space="preserve"> sentencias y fallos judiciales</w:t>
      </w:r>
      <w:r w:rsidRPr="000864AE">
        <w:rPr>
          <w:rFonts w:ascii="Verdana" w:hAnsi="Verdana" w:cs="Arial"/>
          <w:sz w:val="20"/>
          <w:szCs w:val="20"/>
          <w:lang w:val="es-CR"/>
        </w:rPr>
        <w:t xml:space="preserve">. En tal sentido, alegó que ha tenido y mantiene al día de hoy su voluntad y predisposición de cumplir con fallos y sentencias judiciales emitidos. Asimismo, señaló que el 19 de agosto de 2018 entró en vigencia la Ley 30841, mediante la cual se establece los criterios de priorización de pagos de deudas laborales, previsionales y por violación de derechos humanos a los acreedores adultos mayores de 65 años de edad y a los acreedores </w:t>
      </w:r>
      <w:r w:rsidR="002D4820" w:rsidRPr="000864AE">
        <w:rPr>
          <w:rFonts w:ascii="Verdana" w:hAnsi="Verdana" w:cs="Arial"/>
          <w:sz w:val="20"/>
          <w:szCs w:val="20"/>
          <w:lang w:val="es-CR"/>
        </w:rPr>
        <w:t>con enfermedad en fase avanzada</w:t>
      </w:r>
      <w:r w:rsidRPr="000864AE">
        <w:rPr>
          <w:rFonts w:ascii="Verdana" w:hAnsi="Verdana" w:cs="Arial"/>
          <w:sz w:val="20"/>
          <w:szCs w:val="20"/>
          <w:lang w:val="es-CR"/>
        </w:rPr>
        <w:t>.</w:t>
      </w:r>
      <w:r w:rsidRPr="000864AE">
        <w:rPr>
          <w:rFonts w:ascii="Verdana" w:hAnsi="Verdana" w:cs="Arial"/>
          <w:b/>
          <w:sz w:val="20"/>
          <w:szCs w:val="20"/>
          <w:lang w:val="es-CR"/>
        </w:rPr>
        <w:t xml:space="preserve"> </w:t>
      </w:r>
      <w:r w:rsidRPr="000864AE">
        <w:rPr>
          <w:rFonts w:ascii="Verdana" w:hAnsi="Verdana" w:cs="Arial"/>
          <w:sz w:val="20"/>
          <w:szCs w:val="20"/>
          <w:lang w:val="es-CR"/>
        </w:rPr>
        <w:t xml:space="preserve">Asimismo, en cuanto a la solicitud de los representantes respecto a la expansión de los efectos de la Sentencia a las demás personas afectadas, el Estado sostuvo que dichas personas deberían previamente cumplir con agotar los recursos que </w:t>
      </w:r>
      <w:r w:rsidR="002D4820" w:rsidRPr="000864AE">
        <w:rPr>
          <w:rFonts w:ascii="Verdana" w:hAnsi="Verdana" w:cs="Arial"/>
          <w:sz w:val="20"/>
          <w:szCs w:val="20"/>
          <w:lang w:val="es-CR"/>
        </w:rPr>
        <w:t>brinda la jurisdicción interna.</w:t>
      </w:r>
    </w:p>
    <w:p w14:paraId="6DF3503C" w14:textId="77777777" w:rsidR="00655238" w:rsidRPr="000864AE" w:rsidRDefault="00655238" w:rsidP="000864AE">
      <w:pPr>
        <w:pStyle w:val="Prrafodelista"/>
        <w:rPr>
          <w:rFonts w:ascii="Verdana" w:hAnsi="Verdana"/>
          <w:sz w:val="20"/>
          <w:szCs w:val="20"/>
        </w:rPr>
      </w:pPr>
    </w:p>
    <w:p w14:paraId="05068258" w14:textId="141C456E" w:rsidR="00655238" w:rsidRPr="000864AE" w:rsidRDefault="004B204D" w:rsidP="000864AE">
      <w:pPr>
        <w:pStyle w:val="Prrafodelista"/>
        <w:numPr>
          <w:ilvl w:val="0"/>
          <w:numId w:val="10"/>
        </w:numPr>
        <w:spacing w:after="0" w:line="240" w:lineRule="auto"/>
        <w:ind w:left="0" w:firstLine="0"/>
        <w:jc w:val="both"/>
        <w:rPr>
          <w:rFonts w:ascii="Verdana" w:hAnsi="Verdana"/>
          <w:sz w:val="20"/>
          <w:szCs w:val="20"/>
          <w:lang w:val="es-DO"/>
        </w:rPr>
      </w:pPr>
      <w:r w:rsidRPr="000864AE">
        <w:rPr>
          <w:rFonts w:ascii="Verdana" w:hAnsi="Verdana"/>
          <w:sz w:val="20"/>
          <w:szCs w:val="20"/>
        </w:rPr>
        <w:t>En el presente caso, la Corte ordenó una medida de restitución en virtud de las violaciones a los derechos humanos declaradas en la presente sentencia. No obstante, en razón de lo alegado por la Comisión y los representantes, el Tribunal advierte que otros miembros de ANCEJUB-SUNAT pueden encontrarse en situaciones similares a las analizadas en el presente caso, dada la posible falta de ejecución de sentencias judiciales en cuanto a la nivelación de sus pensiones y al pago de los reintegros que hayan dejado de percibir por la aplicación del Decreto 673. La Corte destaca que en aquellos casos donde existan violaciones a las pensiones de grupos vulnerables, es necesario ordenar garantía</w:t>
      </w:r>
      <w:r w:rsidR="002D4820" w:rsidRPr="000864AE">
        <w:rPr>
          <w:rFonts w:ascii="Verdana" w:hAnsi="Verdana"/>
          <w:sz w:val="20"/>
          <w:szCs w:val="20"/>
        </w:rPr>
        <w:t>s</w:t>
      </w:r>
      <w:r w:rsidRPr="000864AE">
        <w:rPr>
          <w:rFonts w:ascii="Verdana" w:hAnsi="Verdana"/>
          <w:sz w:val="20"/>
          <w:szCs w:val="20"/>
        </w:rPr>
        <w:t xml:space="preserve"> de no repetición. </w:t>
      </w:r>
    </w:p>
    <w:p w14:paraId="431E263E" w14:textId="77777777" w:rsidR="00655238" w:rsidRPr="000864AE" w:rsidRDefault="00655238" w:rsidP="000864AE">
      <w:pPr>
        <w:pStyle w:val="Prrafodelista"/>
        <w:rPr>
          <w:rFonts w:ascii="Verdana" w:hAnsi="Verdana"/>
          <w:sz w:val="20"/>
          <w:szCs w:val="20"/>
        </w:rPr>
      </w:pPr>
    </w:p>
    <w:p w14:paraId="71E9736E" w14:textId="77777777" w:rsidR="00655238" w:rsidRPr="000864AE" w:rsidRDefault="004B204D" w:rsidP="000864AE">
      <w:pPr>
        <w:pStyle w:val="Prrafodelista"/>
        <w:numPr>
          <w:ilvl w:val="0"/>
          <w:numId w:val="10"/>
        </w:numPr>
        <w:spacing w:after="0" w:line="240" w:lineRule="auto"/>
        <w:ind w:left="0" w:firstLine="0"/>
        <w:jc w:val="both"/>
        <w:rPr>
          <w:rFonts w:ascii="Verdana" w:hAnsi="Verdana"/>
          <w:sz w:val="20"/>
          <w:szCs w:val="20"/>
          <w:lang w:val="es-DO"/>
        </w:rPr>
      </w:pPr>
      <w:r w:rsidRPr="000864AE">
        <w:rPr>
          <w:rFonts w:ascii="Verdana" w:hAnsi="Verdana"/>
          <w:sz w:val="20"/>
          <w:szCs w:val="20"/>
        </w:rPr>
        <w:t xml:space="preserve">En virtud de ello, como garantía de no repetición, el Tribunal considera conveniente ordenar al Estado la creación de un registro que identifique: a) otros integrantes de ANCEJUB-SUNAT que no figuran como víctimas en este caso, y b) otras personas que, no siendo miembros de dicha asociación, sean cesantes o jubilados de la Superintendencia Nacional de Administración Tributaria, que enfrentan condiciones similares a las víctimas del presente caso, en el sentido de que han sido beneficiarios de una sentencia judicial o decisión administrativa, ya sea en el marco de un proceso de amparo u cualquier otro recurso judicial o trámite administrativo contra la aplicación del Decreto 673, que les reconoce, restituye u otorga derechos pensionarios, y cuya ejecución no se haya iniciado o todavía se encuentre abierta. </w:t>
      </w:r>
    </w:p>
    <w:p w14:paraId="7226ACFE" w14:textId="77777777" w:rsidR="00655238" w:rsidRPr="000864AE" w:rsidRDefault="00655238" w:rsidP="000864AE">
      <w:pPr>
        <w:pStyle w:val="Prrafodelista"/>
        <w:rPr>
          <w:rFonts w:ascii="Verdana" w:hAnsi="Verdana"/>
          <w:sz w:val="20"/>
          <w:szCs w:val="20"/>
        </w:rPr>
      </w:pPr>
    </w:p>
    <w:p w14:paraId="04A49E33" w14:textId="77777777" w:rsidR="00655238" w:rsidRPr="000864AE" w:rsidRDefault="004B204D" w:rsidP="000864AE">
      <w:pPr>
        <w:pStyle w:val="Prrafodelista"/>
        <w:numPr>
          <w:ilvl w:val="0"/>
          <w:numId w:val="10"/>
        </w:numPr>
        <w:spacing w:after="0" w:line="240" w:lineRule="auto"/>
        <w:ind w:left="0" w:firstLine="0"/>
        <w:jc w:val="both"/>
        <w:rPr>
          <w:rFonts w:ascii="Verdana" w:hAnsi="Verdana"/>
          <w:sz w:val="20"/>
          <w:szCs w:val="20"/>
          <w:lang w:val="es-DO"/>
        </w:rPr>
      </w:pPr>
      <w:r w:rsidRPr="000864AE">
        <w:rPr>
          <w:rFonts w:ascii="Verdana" w:hAnsi="Verdana"/>
          <w:sz w:val="20"/>
          <w:szCs w:val="20"/>
        </w:rPr>
        <w:t xml:space="preserve">El Estado se encargará de: a) crear y manejar el registro, en el que inscribirá e individualizará adecuadamente a todas las personas que reúnan las condiciones referidas en esta medida, y b) recopilar, revisar y registrar la información y/o documentación de su proceso judicial, condiciones de trabajo mientras fue servidor del Estado (puesto, categoría, salario, tiempo de servicios, fecha del cese, etc.) y cualquier otro dato o documento necesario para ejecutar integralmente la sentencia emitida a su favor. </w:t>
      </w:r>
    </w:p>
    <w:p w14:paraId="07335BE2" w14:textId="77777777" w:rsidR="00655238" w:rsidRPr="000864AE" w:rsidRDefault="00655238" w:rsidP="000864AE">
      <w:pPr>
        <w:pStyle w:val="Prrafodelista"/>
        <w:rPr>
          <w:rFonts w:ascii="Verdana" w:hAnsi="Verdana" w:cs="Arial"/>
          <w:sz w:val="20"/>
          <w:szCs w:val="20"/>
          <w:lang w:val="es-CR"/>
        </w:rPr>
      </w:pPr>
    </w:p>
    <w:p w14:paraId="3FD0B04A" w14:textId="39F2A4E1" w:rsidR="000610B2" w:rsidRPr="000864AE" w:rsidRDefault="004B204D" w:rsidP="000864AE">
      <w:pPr>
        <w:pStyle w:val="Prrafodelista"/>
        <w:numPr>
          <w:ilvl w:val="0"/>
          <w:numId w:val="10"/>
        </w:numPr>
        <w:spacing w:after="0" w:line="240" w:lineRule="auto"/>
        <w:ind w:left="0" w:firstLine="0"/>
        <w:jc w:val="both"/>
        <w:rPr>
          <w:rFonts w:ascii="Verdana" w:hAnsi="Verdana"/>
          <w:sz w:val="20"/>
          <w:szCs w:val="20"/>
          <w:lang w:val="es-DO"/>
        </w:rPr>
      </w:pPr>
      <w:r w:rsidRPr="000864AE">
        <w:rPr>
          <w:rFonts w:ascii="Verdana" w:hAnsi="Verdana" w:cs="Arial"/>
          <w:sz w:val="20"/>
          <w:szCs w:val="20"/>
          <w:lang w:val="es-CR"/>
        </w:rPr>
        <w:t>Para la creación del referido registro, el Estado cuenta con un plazo de seis meses, contado a partir de la notificación de la Sentencia. Una vez creado el registro, el Estado deberá informar anualmente sobre los avances de la garantía de no repetición antes mencionada por un periodo de tres años. La Corte valorará esta información en la etapa de supervisión de la presente sentencia y se pronunciará al respecto</w:t>
      </w:r>
      <w:r w:rsidR="00655238" w:rsidRPr="000864AE">
        <w:rPr>
          <w:rFonts w:ascii="Verdana" w:hAnsi="Verdana" w:cs="Arial"/>
          <w:sz w:val="20"/>
          <w:szCs w:val="20"/>
          <w:lang w:val="es-CR"/>
        </w:rPr>
        <w:t>.</w:t>
      </w:r>
    </w:p>
    <w:bookmarkEnd w:id="97"/>
    <w:p w14:paraId="4407E272" w14:textId="77777777" w:rsidR="000610B2" w:rsidRPr="000864AE" w:rsidRDefault="000610B2" w:rsidP="000864AE">
      <w:pPr>
        <w:widowControl w:val="0"/>
        <w:tabs>
          <w:tab w:val="left" w:pos="567"/>
        </w:tabs>
        <w:adjustRightInd w:val="0"/>
        <w:spacing w:after="0" w:line="240" w:lineRule="auto"/>
        <w:jc w:val="both"/>
        <w:textAlignment w:val="baseline"/>
        <w:rPr>
          <w:rFonts w:ascii="Verdana" w:hAnsi="Verdana" w:cs="Arial"/>
          <w:b/>
          <w:sz w:val="20"/>
          <w:szCs w:val="20"/>
          <w:lang w:val="es-CR"/>
        </w:rPr>
      </w:pPr>
    </w:p>
    <w:p w14:paraId="7D8707E7" w14:textId="77777777" w:rsidR="000610B2" w:rsidRPr="000864AE" w:rsidRDefault="000610B2" w:rsidP="000864AE">
      <w:pPr>
        <w:pStyle w:val="Ttulo2"/>
        <w:rPr>
          <w:rFonts w:cs="Arial"/>
        </w:rPr>
      </w:pPr>
      <w:bookmarkStart w:id="104" w:name="_Toc12726742"/>
      <w:bookmarkStart w:id="105" w:name="_Toc27329795"/>
      <w:r w:rsidRPr="000864AE">
        <w:rPr>
          <w:rFonts w:cs="Arial"/>
        </w:rPr>
        <w:t>Indemnizaciones compensatorias</w:t>
      </w:r>
      <w:bookmarkEnd w:id="104"/>
      <w:bookmarkEnd w:id="105"/>
    </w:p>
    <w:p w14:paraId="4047169D" w14:textId="77777777" w:rsidR="000610B2" w:rsidRPr="000864AE" w:rsidRDefault="000610B2" w:rsidP="000864AE">
      <w:pPr>
        <w:spacing w:after="0" w:line="240" w:lineRule="auto"/>
        <w:rPr>
          <w:rFonts w:ascii="Verdana" w:hAnsi="Verdana"/>
          <w:sz w:val="20"/>
          <w:szCs w:val="20"/>
          <w:lang w:val="es-CR" w:eastAsia="es-CR"/>
        </w:rPr>
      </w:pPr>
    </w:p>
    <w:p w14:paraId="023B5BE2" w14:textId="77777777" w:rsidR="000610B2" w:rsidRPr="000864AE" w:rsidRDefault="000610B2" w:rsidP="000864AE">
      <w:pPr>
        <w:pStyle w:val="Ttulo3"/>
        <w:numPr>
          <w:ilvl w:val="0"/>
          <w:numId w:val="0"/>
        </w:numPr>
        <w:ind w:left="1353"/>
        <w:rPr>
          <w:rFonts w:cs="Arial"/>
          <w:b w:val="0"/>
          <w:lang w:val="es-CR"/>
        </w:rPr>
      </w:pPr>
      <w:bookmarkStart w:id="106" w:name="_Toc12726743"/>
      <w:bookmarkStart w:id="107" w:name="_Toc27329796"/>
      <w:r w:rsidRPr="000864AE">
        <w:rPr>
          <w:rFonts w:cs="Arial"/>
          <w:lang w:val="es-CR"/>
        </w:rPr>
        <w:t>C.1 Daño material</w:t>
      </w:r>
      <w:bookmarkEnd w:id="106"/>
      <w:bookmarkEnd w:id="107"/>
    </w:p>
    <w:p w14:paraId="3A408E38" w14:textId="77777777" w:rsidR="000610B2" w:rsidRPr="000864AE" w:rsidRDefault="000610B2" w:rsidP="000864AE">
      <w:pPr>
        <w:widowControl w:val="0"/>
        <w:tabs>
          <w:tab w:val="left" w:pos="567"/>
        </w:tabs>
        <w:adjustRightInd w:val="0"/>
        <w:spacing w:after="0" w:line="240" w:lineRule="auto"/>
        <w:jc w:val="both"/>
        <w:textAlignment w:val="baseline"/>
        <w:rPr>
          <w:rFonts w:ascii="Verdana" w:eastAsia="Arial" w:hAnsi="Verdana" w:cs="Arial"/>
          <w:b/>
          <w:sz w:val="20"/>
          <w:szCs w:val="20"/>
          <w:lang w:val="es-ES"/>
        </w:rPr>
      </w:pPr>
    </w:p>
    <w:p w14:paraId="49693D04" w14:textId="4096C357" w:rsidR="00806348" w:rsidRPr="000864AE" w:rsidRDefault="000610B2" w:rsidP="000864AE">
      <w:pPr>
        <w:pStyle w:val="Prrafodelista"/>
        <w:widowControl w:val="0"/>
        <w:numPr>
          <w:ilvl w:val="0"/>
          <w:numId w:val="10"/>
        </w:numPr>
        <w:adjustRightInd w:val="0"/>
        <w:spacing w:after="0" w:line="240" w:lineRule="auto"/>
        <w:ind w:left="0" w:firstLine="0"/>
        <w:jc w:val="both"/>
        <w:textAlignment w:val="baseline"/>
        <w:rPr>
          <w:rFonts w:ascii="Verdana" w:eastAsia="Arial" w:hAnsi="Verdana" w:cs="Arial"/>
          <w:b/>
          <w:sz w:val="20"/>
          <w:szCs w:val="20"/>
          <w:lang w:val="es-ES"/>
        </w:rPr>
      </w:pPr>
      <w:r w:rsidRPr="000864AE">
        <w:rPr>
          <w:rFonts w:ascii="Verdana" w:hAnsi="Verdana" w:cs="Arial"/>
          <w:sz w:val="20"/>
          <w:szCs w:val="20"/>
          <w:lang w:val="es-CR"/>
        </w:rPr>
        <w:t xml:space="preserve">La </w:t>
      </w:r>
      <w:r w:rsidRPr="000864AE">
        <w:rPr>
          <w:rFonts w:ascii="Verdana" w:hAnsi="Verdana" w:cs="Arial"/>
          <w:b/>
          <w:i/>
          <w:sz w:val="20"/>
          <w:szCs w:val="20"/>
          <w:lang w:val="es-CR"/>
        </w:rPr>
        <w:t xml:space="preserve">Comisión </w:t>
      </w:r>
      <w:r w:rsidRPr="000864AE">
        <w:rPr>
          <w:rFonts w:ascii="Verdana" w:hAnsi="Verdana" w:cs="Arial"/>
          <w:sz w:val="20"/>
          <w:szCs w:val="20"/>
          <w:lang w:val="es-CR"/>
        </w:rPr>
        <w:t>solicitó que el Estado repare integralmente las violaciones declaradas, incluyendo una debida compensación que incluya el daño material causado. El tal sentido, indicó que dicha compensación debe ser implementada no sólo respecto de los miembros de la ANCEJUB-SUNAT que continúan con vida, sino también respecto de aquellos que fallecieron a la espera del cumplimiento del fallo en su favor, haciendo efectiva la repara</w:t>
      </w:r>
      <w:r w:rsidR="002D4820" w:rsidRPr="000864AE">
        <w:rPr>
          <w:rFonts w:ascii="Verdana" w:hAnsi="Verdana" w:cs="Arial"/>
          <w:sz w:val="20"/>
          <w:szCs w:val="20"/>
          <w:lang w:val="es-CR"/>
        </w:rPr>
        <w:t>ción respecto de sus familiares</w:t>
      </w:r>
      <w:r w:rsidRPr="000864AE">
        <w:rPr>
          <w:rFonts w:ascii="Verdana" w:hAnsi="Verdana" w:cs="Arial"/>
          <w:sz w:val="20"/>
          <w:szCs w:val="20"/>
          <w:lang w:val="es-CR"/>
        </w:rPr>
        <w:t>.</w:t>
      </w:r>
    </w:p>
    <w:p w14:paraId="72EEB551" w14:textId="77777777" w:rsidR="00806348" w:rsidRPr="000864AE" w:rsidRDefault="00806348" w:rsidP="000864AE">
      <w:pPr>
        <w:pStyle w:val="Prrafodelista"/>
        <w:widowControl w:val="0"/>
        <w:adjustRightInd w:val="0"/>
        <w:spacing w:after="0" w:line="240" w:lineRule="auto"/>
        <w:ind w:left="0"/>
        <w:jc w:val="both"/>
        <w:textAlignment w:val="baseline"/>
        <w:rPr>
          <w:rFonts w:ascii="Verdana" w:eastAsia="Arial" w:hAnsi="Verdana" w:cs="Arial"/>
          <w:b/>
          <w:sz w:val="20"/>
          <w:szCs w:val="20"/>
          <w:lang w:val="es-ES"/>
        </w:rPr>
      </w:pPr>
    </w:p>
    <w:p w14:paraId="57D55CBE" w14:textId="05567268" w:rsidR="00806348" w:rsidRPr="000864AE" w:rsidRDefault="000610B2" w:rsidP="000864AE">
      <w:pPr>
        <w:pStyle w:val="Prrafodelista"/>
        <w:widowControl w:val="0"/>
        <w:numPr>
          <w:ilvl w:val="0"/>
          <w:numId w:val="10"/>
        </w:numPr>
        <w:adjustRightInd w:val="0"/>
        <w:spacing w:after="0" w:line="240" w:lineRule="auto"/>
        <w:ind w:left="0" w:firstLine="0"/>
        <w:jc w:val="both"/>
        <w:textAlignment w:val="baseline"/>
        <w:rPr>
          <w:rFonts w:ascii="Verdana" w:eastAsia="Arial" w:hAnsi="Verdana" w:cs="Arial"/>
          <w:b/>
          <w:sz w:val="20"/>
          <w:szCs w:val="20"/>
          <w:lang w:val="es-ES"/>
        </w:rPr>
      </w:pPr>
      <w:r w:rsidRPr="000864AE">
        <w:rPr>
          <w:rFonts w:ascii="Verdana" w:eastAsia="Arial" w:hAnsi="Verdana" w:cs="Arial"/>
          <w:sz w:val="20"/>
          <w:szCs w:val="20"/>
          <w:lang w:val="es-ES"/>
        </w:rPr>
        <w:t>Los</w:t>
      </w:r>
      <w:r w:rsidRPr="000864AE">
        <w:rPr>
          <w:rFonts w:ascii="Verdana" w:eastAsia="Arial" w:hAnsi="Verdana" w:cs="Arial"/>
          <w:b/>
          <w:sz w:val="20"/>
          <w:szCs w:val="20"/>
          <w:lang w:val="es-ES"/>
        </w:rPr>
        <w:t xml:space="preserve"> </w:t>
      </w:r>
      <w:r w:rsidRPr="000864AE">
        <w:rPr>
          <w:rFonts w:ascii="Verdana" w:eastAsia="Arial" w:hAnsi="Verdana" w:cs="Arial"/>
          <w:b/>
          <w:i/>
          <w:sz w:val="20"/>
          <w:szCs w:val="20"/>
          <w:lang w:val="es-ES"/>
        </w:rPr>
        <w:t>representantes</w:t>
      </w:r>
      <w:r w:rsidRPr="000864AE">
        <w:rPr>
          <w:rFonts w:ascii="Verdana" w:eastAsia="Arial" w:hAnsi="Verdana" w:cs="Arial"/>
          <w:b/>
          <w:sz w:val="20"/>
          <w:szCs w:val="20"/>
          <w:lang w:val="es-ES"/>
        </w:rPr>
        <w:t xml:space="preserve"> </w:t>
      </w:r>
      <w:r w:rsidRPr="000864AE">
        <w:rPr>
          <w:rFonts w:ascii="Verdana" w:eastAsia="Arial" w:hAnsi="Verdana" w:cs="Arial"/>
          <w:sz w:val="20"/>
          <w:szCs w:val="20"/>
          <w:lang w:val="es-ES"/>
        </w:rPr>
        <w:t>solicitaron que el Estado abone a las víctimas la</w:t>
      </w:r>
      <w:r w:rsidR="002D4820" w:rsidRPr="000864AE">
        <w:rPr>
          <w:rFonts w:ascii="Verdana" w:eastAsia="Arial" w:hAnsi="Verdana" w:cs="Arial"/>
          <w:sz w:val="20"/>
          <w:szCs w:val="20"/>
          <w:lang w:val="es-ES"/>
        </w:rPr>
        <w:t>s cantidades no percibidas por e</w:t>
      </w:r>
      <w:r w:rsidRPr="000864AE">
        <w:rPr>
          <w:rFonts w:ascii="Verdana" w:eastAsia="Arial" w:hAnsi="Verdana" w:cs="Arial"/>
          <w:sz w:val="20"/>
          <w:szCs w:val="20"/>
          <w:lang w:val="es-ES"/>
        </w:rPr>
        <w:t xml:space="preserve">stas, que sean determinadas por el órgano independiente e imparcial al que deben tener acceso las víctimas, en relación con las diferencias entre la pensión mensual resultante al mes de diciembre de 2004 y las pensiones congeladas pagadas a partir del mes de enero de 2005, hasta el mes anterior al mes en que cumpla el Estado con empezar a abonar la nueva pensión resultante, con los términos legales correspondientes. En tal sentido, solicitaron que dicho órgano determine, mediante una decisión vinculante y definitiva, el monto indemnizatorio por daño material producido a partir del año 2005, el cual deberá ser pagado por el Estado a cada una de las víctimas </w:t>
      </w:r>
      <w:r w:rsidR="002D4820" w:rsidRPr="000864AE">
        <w:rPr>
          <w:rFonts w:ascii="Verdana" w:eastAsia="Arial" w:hAnsi="Verdana" w:cs="Arial"/>
          <w:sz w:val="20"/>
          <w:szCs w:val="20"/>
          <w:lang w:val="es-ES"/>
        </w:rPr>
        <w:t>o sus sucesores en caso de que e</w:t>
      </w:r>
      <w:r w:rsidRPr="000864AE">
        <w:rPr>
          <w:rFonts w:ascii="Verdana" w:eastAsia="Arial" w:hAnsi="Verdana" w:cs="Arial"/>
          <w:sz w:val="20"/>
          <w:szCs w:val="20"/>
          <w:lang w:val="es-ES"/>
        </w:rPr>
        <w:t xml:space="preserve">stas hubieren fallecido. Asimismo, solicitaron que dicha decisión final se adopte conjuntamente con la primera, dentro del plazo máximo de un año a partir de la notificación de la Sentencia, y el pago del daño material se efectúe dentro del plazo máximo de un año de </w:t>
      </w:r>
      <w:r w:rsidR="002D4820" w:rsidRPr="000864AE">
        <w:rPr>
          <w:rFonts w:ascii="Verdana" w:eastAsia="Arial" w:hAnsi="Verdana" w:cs="Arial"/>
          <w:sz w:val="20"/>
          <w:szCs w:val="20"/>
          <w:lang w:val="es-ES"/>
        </w:rPr>
        <w:t>notificada dicha decisión final</w:t>
      </w:r>
      <w:r w:rsidRPr="000864AE">
        <w:rPr>
          <w:rFonts w:ascii="Verdana" w:eastAsia="Arial" w:hAnsi="Verdana" w:cs="Arial"/>
          <w:sz w:val="20"/>
          <w:szCs w:val="20"/>
          <w:lang w:val="es-ES"/>
        </w:rPr>
        <w:t>.</w:t>
      </w:r>
    </w:p>
    <w:p w14:paraId="5269B15F" w14:textId="77777777" w:rsidR="00806348" w:rsidRPr="000864AE" w:rsidRDefault="00806348" w:rsidP="000864AE">
      <w:pPr>
        <w:pStyle w:val="Prrafodelista"/>
        <w:rPr>
          <w:rFonts w:ascii="Verdana" w:eastAsia="Arial" w:hAnsi="Verdana" w:cs="Arial"/>
          <w:sz w:val="20"/>
          <w:szCs w:val="20"/>
          <w:lang w:val="es-ES"/>
        </w:rPr>
      </w:pPr>
    </w:p>
    <w:p w14:paraId="263E91F5" w14:textId="45EEF72E" w:rsidR="00806348" w:rsidRPr="000864AE" w:rsidRDefault="000610B2" w:rsidP="000864AE">
      <w:pPr>
        <w:pStyle w:val="Prrafodelista"/>
        <w:widowControl w:val="0"/>
        <w:numPr>
          <w:ilvl w:val="0"/>
          <w:numId w:val="10"/>
        </w:numPr>
        <w:adjustRightInd w:val="0"/>
        <w:spacing w:after="0" w:line="240" w:lineRule="auto"/>
        <w:ind w:left="0" w:firstLine="0"/>
        <w:jc w:val="both"/>
        <w:textAlignment w:val="baseline"/>
        <w:rPr>
          <w:rFonts w:ascii="Verdana" w:eastAsia="Arial" w:hAnsi="Verdana" w:cs="Arial"/>
          <w:b/>
          <w:sz w:val="20"/>
          <w:szCs w:val="20"/>
          <w:lang w:val="es-ES"/>
        </w:rPr>
      </w:pPr>
      <w:r w:rsidRPr="000864AE">
        <w:rPr>
          <w:rFonts w:ascii="Verdana" w:eastAsia="Arial" w:hAnsi="Verdana" w:cs="Arial"/>
          <w:sz w:val="20"/>
          <w:szCs w:val="20"/>
          <w:lang w:val="es-ES"/>
        </w:rPr>
        <w:t>El</w:t>
      </w:r>
      <w:r w:rsidRPr="000864AE">
        <w:rPr>
          <w:rFonts w:ascii="Verdana" w:eastAsia="Arial" w:hAnsi="Verdana" w:cs="Arial"/>
          <w:b/>
          <w:sz w:val="20"/>
          <w:szCs w:val="20"/>
          <w:lang w:val="es-ES"/>
        </w:rPr>
        <w:t xml:space="preserve"> </w:t>
      </w:r>
      <w:r w:rsidRPr="000864AE">
        <w:rPr>
          <w:rFonts w:ascii="Verdana" w:eastAsia="Arial" w:hAnsi="Verdana" w:cs="Arial"/>
          <w:b/>
          <w:i/>
          <w:sz w:val="20"/>
          <w:szCs w:val="20"/>
          <w:lang w:val="es-ES"/>
        </w:rPr>
        <w:t>Estado</w:t>
      </w:r>
      <w:r w:rsidRPr="000864AE">
        <w:rPr>
          <w:rFonts w:ascii="Verdana" w:eastAsia="Arial" w:hAnsi="Verdana" w:cs="Arial"/>
          <w:b/>
          <w:sz w:val="20"/>
          <w:szCs w:val="20"/>
          <w:lang w:val="es-ES"/>
        </w:rPr>
        <w:t xml:space="preserve"> </w:t>
      </w:r>
      <w:r w:rsidRPr="000864AE">
        <w:rPr>
          <w:rFonts w:ascii="Verdana" w:eastAsia="Arial" w:hAnsi="Verdana" w:cs="Arial"/>
          <w:sz w:val="20"/>
          <w:szCs w:val="20"/>
          <w:lang w:val="es-ES"/>
        </w:rPr>
        <w:t>sostuvo que no ha vulnerado ningún derecho establecido en la Convención Americana, por lo que no se ha configurado responsabilidad internacional estatal que requiera que se ordene una reparación que incluya daño material, por lo que no es factible reparación alguna a favor de los miembros de la ANCEJUB-SUNAT. Asimismo, alegó que los representantes no aportaron medios probatorios idóneos para acreditar que se les causó un daño ni han sustentado cuál es la relación de causalidad entre los actos u omisiones imputadas al Estado y la generación directa</w:t>
      </w:r>
      <w:r w:rsidR="002D4820" w:rsidRPr="000864AE">
        <w:rPr>
          <w:rFonts w:ascii="Verdana" w:eastAsia="Arial" w:hAnsi="Verdana" w:cs="Arial"/>
          <w:sz w:val="20"/>
          <w:szCs w:val="20"/>
          <w:lang w:val="es-ES"/>
        </w:rPr>
        <w:t xml:space="preserve"> y concreta de daños materiales</w:t>
      </w:r>
      <w:r w:rsidRPr="000864AE">
        <w:rPr>
          <w:rFonts w:ascii="Verdana" w:eastAsia="Arial" w:hAnsi="Verdana" w:cs="Arial"/>
          <w:sz w:val="20"/>
          <w:szCs w:val="20"/>
          <w:lang w:val="es-ES"/>
        </w:rPr>
        <w:t>.</w:t>
      </w:r>
    </w:p>
    <w:p w14:paraId="12FF6992" w14:textId="77777777" w:rsidR="00806348" w:rsidRPr="000864AE" w:rsidRDefault="00806348" w:rsidP="000864AE">
      <w:pPr>
        <w:pStyle w:val="Prrafodelista"/>
        <w:rPr>
          <w:rFonts w:ascii="Verdana" w:eastAsia="Arial" w:hAnsi="Verdana" w:cs="Arial"/>
          <w:sz w:val="20"/>
          <w:szCs w:val="20"/>
          <w:lang w:val="es-ES"/>
        </w:rPr>
      </w:pPr>
    </w:p>
    <w:p w14:paraId="14056412" w14:textId="497233CD" w:rsidR="000610B2" w:rsidRPr="000864AE" w:rsidRDefault="000610B2" w:rsidP="000864AE">
      <w:pPr>
        <w:pStyle w:val="Prrafodelista"/>
        <w:widowControl w:val="0"/>
        <w:numPr>
          <w:ilvl w:val="0"/>
          <w:numId w:val="10"/>
        </w:numPr>
        <w:adjustRightInd w:val="0"/>
        <w:spacing w:after="0" w:line="240" w:lineRule="auto"/>
        <w:ind w:left="0" w:firstLine="0"/>
        <w:jc w:val="both"/>
        <w:textAlignment w:val="baseline"/>
        <w:rPr>
          <w:rFonts w:ascii="Verdana" w:eastAsia="Arial" w:hAnsi="Verdana" w:cs="Arial"/>
          <w:b/>
          <w:sz w:val="20"/>
          <w:szCs w:val="20"/>
          <w:lang w:val="es-ES"/>
        </w:rPr>
      </w:pPr>
      <w:r w:rsidRPr="000864AE">
        <w:rPr>
          <w:rFonts w:ascii="Verdana" w:eastAsia="Arial" w:hAnsi="Verdana" w:cs="Arial"/>
          <w:sz w:val="20"/>
          <w:szCs w:val="20"/>
          <w:lang w:val="es-ES"/>
        </w:rPr>
        <w:t xml:space="preserve">De acuerdo a las violaciones declaradas en esta Sentencia, el Tribunal observa que el daño material ocasionado en el presente caso surge a partir de la inejecución del fallo de la Corte Suprema de Justicia de 25 de octubre de 1993. En virtud de ello, la Corte considera que la medida de restitución ordenada resulta suficiente para reparar el daño material causado a las víctimas. </w:t>
      </w:r>
    </w:p>
    <w:p w14:paraId="2DDCD331" w14:textId="77777777" w:rsidR="000610B2" w:rsidRPr="000864AE" w:rsidRDefault="000610B2" w:rsidP="000864AE">
      <w:pPr>
        <w:widowControl w:val="0"/>
        <w:tabs>
          <w:tab w:val="left" w:pos="567"/>
          <w:tab w:val="num" w:pos="12305"/>
        </w:tabs>
        <w:adjustRightInd w:val="0"/>
        <w:spacing w:after="0" w:line="240" w:lineRule="auto"/>
        <w:jc w:val="both"/>
        <w:textAlignment w:val="baseline"/>
        <w:rPr>
          <w:rFonts w:ascii="Verdana" w:eastAsia="Arial" w:hAnsi="Verdana" w:cs="Arial"/>
          <w:sz w:val="20"/>
          <w:szCs w:val="20"/>
          <w:lang w:val="es-ES"/>
        </w:rPr>
      </w:pPr>
    </w:p>
    <w:p w14:paraId="0B9ED1AD" w14:textId="77777777" w:rsidR="000610B2" w:rsidRPr="000864AE" w:rsidRDefault="000610B2" w:rsidP="000864AE">
      <w:pPr>
        <w:pStyle w:val="Ttulo3"/>
        <w:numPr>
          <w:ilvl w:val="0"/>
          <w:numId w:val="0"/>
        </w:numPr>
        <w:ind w:left="1353"/>
        <w:rPr>
          <w:rFonts w:cs="Arial"/>
          <w:lang w:val="es-CR"/>
        </w:rPr>
      </w:pPr>
      <w:bookmarkStart w:id="108" w:name="_Toc12726744"/>
      <w:bookmarkStart w:id="109" w:name="_Toc27329797"/>
      <w:r w:rsidRPr="000864AE">
        <w:rPr>
          <w:rFonts w:cs="Arial"/>
          <w:lang w:val="es-CR"/>
        </w:rPr>
        <w:t>C.2 Daño inmaterial</w:t>
      </w:r>
      <w:bookmarkEnd w:id="108"/>
      <w:bookmarkEnd w:id="109"/>
    </w:p>
    <w:p w14:paraId="66DE8946" w14:textId="77777777" w:rsidR="000610B2" w:rsidRPr="000864AE" w:rsidRDefault="000610B2" w:rsidP="000864AE">
      <w:pPr>
        <w:widowControl w:val="0"/>
        <w:tabs>
          <w:tab w:val="left" w:pos="567"/>
        </w:tabs>
        <w:adjustRightInd w:val="0"/>
        <w:spacing w:after="0" w:line="240" w:lineRule="auto"/>
        <w:jc w:val="both"/>
        <w:textAlignment w:val="baseline"/>
        <w:rPr>
          <w:rFonts w:ascii="Verdana" w:eastAsia="Arial" w:hAnsi="Verdana" w:cs="Arial"/>
          <w:sz w:val="20"/>
          <w:szCs w:val="20"/>
          <w:lang w:val="es-ES"/>
        </w:rPr>
      </w:pPr>
    </w:p>
    <w:p w14:paraId="643337D0" w14:textId="5F74E763" w:rsidR="00806348" w:rsidRPr="000864AE" w:rsidRDefault="000610B2" w:rsidP="000864AE">
      <w:pPr>
        <w:pStyle w:val="Prrafodelista"/>
        <w:widowControl w:val="0"/>
        <w:numPr>
          <w:ilvl w:val="0"/>
          <w:numId w:val="10"/>
        </w:numPr>
        <w:adjustRightInd w:val="0"/>
        <w:spacing w:after="0" w:line="240" w:lineRule="auto"/>
        <w:ind w:left="0" w:firstLine="0"/>
        <w:jc w:val="both"/>
        <w:textAlignment w:val="baseline"/>
        <w:rPr>
          <w:rFonts w:ascii="Verdana" w:eastAsia="Arial" w:hAnsi="Verdana" w:cs="Arial"/>
          <w:b/>
          <w:sz w:val="20"/>
          <w:szCs w:val="20"/>
          <w:lang w:val="es-ES"/>
        </w:rPr>
      </w:pPr>
      <w:r w:rsidRPr="000864AE">
        <w:rPr>
          <w:rFonts w:ascii="Verdana" w:hAnsi="Verdana" w:cs="Arial"/>
          <w:sz w:val="20"/>
          <w:szCs w:val="20"/>
          <w:lang w:val="es-CR"/>
        </w:rPr>
        <w:t xml:space="preserve">La </w:t>
      </w:r>
      <w:r w:rsidRPr="000864AE">
        <w:rPr>
          <w:rFonts w:ascii="Verdana" w:hAnsi="Verdana" w:cs="Arial"/>
          <w:b/>
          <w:i/>
          <w:sz w:val="20"/>
          <w:szCs w:val="20"/>
          <w:lang w:val="es-CR"/>
        </w:rPr>
        <w:t xml:space="preserve">Comisión </w:t>
      </w:r>
      <w:r w:rsidRPr="000864AE">
        <w:rPr>
          <w:rFonts w:ascii="Verdana" w:hAnsi="Verdana" w:cs="Arial"/>
          <w:sz w:val="20"/>
          <w:szCs w:val="20"/>
          <w:lang w:val="es-CR"/>
        </w:rPr>
        <w:t xml:space="preserve">solicitó que el Estado repare integralmente las violaciones declaradas, incluyendo una debida compensación que incluya el daño inmaterial causado. El tal sentido, indicó que dicha compensación debe ser implementada no sólo respecto de los miembros de ANCEJUB-SUNAT que continúan con vida, sino también respecto de aquellos que fallecieron a la espera del cumplimiento del fallo en su favor, haciendo efectiva la reparación respecto de sus </w:t>
      </w:r>
      <w:r w:rsidR="002D4820" w:rsidRPr="000864AE">
        <w:rPr>
          <w:rFonts w:ascii="Verdana" w:hAnsi="Verdana" w:cs="Arial"/>
          <w:sz w:val="20"/>
          <w:szCs w:val="20"/>
          <w:lang w:val="es-CR"/>
        </w:rPr>
        <w:t>familiares.</w:t>
      </w:r>
    </w:p>
    <w:p w14:paraId="7A171504" w14:textId="77777777" w:rsidR="00806348" w:rsidRPr="000864AE" w:rsidRDefault="00806348" w:rsidP="000864AE">
      <w:pPr>
        <w:pStyle w:val="Prrafodelista"/>
        <w:widowControl w:val="0"/>
        <w:adjustRightInd w:val="0"/>
        <w:spacing w:after="0" w:line="240" w:lineRule="auto"/>
        <w:ind w:left="0"/>
        <w:jc w:val="both"/>
        <w:textAlignment w:val="baseline"/>
        <w:rPr>
          <w:rFonts w:ascii="Verdana" w:eastAsia="Arial" w:hAnsi="Verdana" w:cs="Arial"/>
          <w:b/>
          <w:sz w:val="20"/>
          <w:szCs w:val="20"/>
          <w:lang w:val="es-ES"/>
        </w:rPr>
      </w:pPr>
    </w:p>
    <w:p w14:paraId="0F26A802" w14:textId="592C5A04" w:rsidR="00806348" w:rsidRPr="000864AE" w:rsidRDefault="000610B2" w:rsidP="000864AE">
      <w:pPr>
        <w:pStyle w:val="Prrafodelista"/>
        <w:widowControl w:val="0"/>
        <w:numPr>
          <w:ilvl w:val="0"/>
          <w:numId w:val="10"/>
        </w:numPr>
        <w:adjustRightInd w:val="0"/>
        <w:spacing w:after="0" w:line="240" w:lineRule="auto"/>
        <w:ind w:left="0" w:firstLine="0"/>
        <w:jc w:val="both"/>
        <w:textAlignment w:val="baseline"/>
        <w:rPr>
          <w:rFonts w:ascii="Verdana" w:eastAsia="Arial" w:hAnsi="Verdana" w:cs="Arial"/>
          <w:b/>
          <w:sz w:val="20"/>
          <w:szCs w:val="20"/>
          <w:lang w:val="es-ES"/>
        </w:rPr>
      </w:pPr>
      <w:r w:rsidRPr="000864AE">
        <w:rPr>
          <w:rFonts w:ascii="Verdana" w:eastAsia="Arial" w:hAnsi="Verdana" w:cs="Arial"/>
          <w:sz w:val="20"/>
          <w:szCs w:val="20"/>
          <w:lang w:val="es-ES"/>
        </w:rPr>
        <w:t xml:space="preserve">Los </w:t>
      </w:r>
      <w:r w:rsidRPr="000864AE">
        <w:rPr>
          <w:rFonts w:ascii="Verdana" w:eastAsia="Arial" w:hAnsi="Verdana" w:cs="Arial"/>
          <w:b/>
          <w:i/>
          <w:sz w:val="20"/>
          <w:szCs w:val="20"/>
          <w:lang w:val="es-ES"/>
        </w:rPr>
        <w:t>representantes</w:t>
      </w:r>
      <w:r w:rsidRPr="000864AE">
        <w:rPr>
          <w:rFonts w:ascii="Verdana" w:eastAsia="Arial" w:hAnsi="Verdana" w:cs="Arial"/>
          <w:b/>
          <w:sz w:val="20"/>
          <w:szCs w:val="20"/>
          <w:lang w:val="es-ES"/>
        </w:rPr>
        <w:t xml:space="preserve"> </w:t>
      </w:r>
      <w:r w:rsidRPr="000864AE">
        <w:rPr>
          <w:rFonts w:ascii="Verdana" w:eastAsia="Arial" w:hAnsi="Verdana" w:cs="Arial"/>
          <w:sz w:val="20"/>
          <w:szCs w:val="20"/>
          <w:lang w:val="es-ES"/>
        </w:rPr>
        <w:t>solicitaron que el Estado pague a las víctimas una indemnización por daño inmaterial cuya cuantía comprenda: a) el resarcimiento de la afectación a las víctimas por la excesiva duración del proceso; b) el sufrimiento que provocó a las víctimas la violación de sus derechos humanos, y c) la afectación a su proyec</w:t>
      </w:r>
      <w:r w:rsidR="002D4820" w:rsidRPr="000864AE">
        <w:rPr>
          <w:rFonts w:ascii="Verdana" w:eastAsia="Arial" w:hAnsi="Verdana" w:cs="Arial"/>
          <w:sz w:val="20"/>
          <w:szCs w:val="20"/>
          <w:lang w:val="es-ES"/>
        </w:rPr>
        <w:t>to de vida.</w:t>
      </w:r>
    </w:p>
    <w:p w14:paraId="62DEF31A" w14:textId="77777777" w:rsidR="00806348" w:rsidRPr="000864AE" w:rsidRDefault="00806348" w:rsidP="000864AE">
      <w:pPr>
        <w:pStyle w:val="Prrafodelista"/>
        <w:rPr>
          <w:rFonts w:ascii="Verdana" w:eastAsia="Arial" w:hAnsi="Verdana" w:cs="Arial"/>
          <w:sz w:val="20"/>
          <w:szCs w:val="20"/>
          <w:lang w:val="es-ES"/>
        </w:rPr>
      </w:pPr>
    </w:p>
    <w:p w14:paraId="78E413B4" w14:textId="49BFDD69" w:rsidR="00806348" w:rsidRPr="000864AE" w:rsidRDefault="000610B2" w:rsidP="000864AE">
      <w:pPr>
        <w:pStyle w:val="Prrafodelista"/>
        <w:widowControl w:val="0"/>
        <w:numPr>
          <w:ilvl w:val="0"/>
          <w:numId w:val="10"/>
        </w:numPr>
        <w:adjustRightInd w:val="0"/>
        <w:spacing w:after="0" w:line="240" w:lineRule="auto"/>
        <w:ind w:left="0" w:firstLine="0"/>
        <w:jc w:val="both"/>
        <w:textAlignment w:val="baseline"/>
        <w:rPr>
          <w:rFonts w:ascii="Verdana" w:eastAsia="Arial" w:hAnsi="Verdana" w:cs="Arial"/>
          <w:b/>
          <w:sz w:val="20"/>
          <w:szCs w:val="20"/>
          <w:lang w:val="es-ES"/>
        </w:rPr>
      </w:pPr>
      <w:r w:rsidRPr="000864AE">
        <w:rPr>
          <w:rFonts w:ascii="Verdana" w:eastAsia="Arial" w:hAnsi="Verdana" w:cs="Arial"/>
          <w:sz w:val="20"/>
          <w:szCs w:val="20"/>
          <w:lang w:val="es-ES"/>
        </w:rPr>
        <w:t>El</w:t>
      </w:r>
      <w:r w:rsidRPr="000864AE">
        <w:rPr>
          <w:rFonts w:ascii="Verdana" w:eastAsia="Arial" w:hAnsi="Verdana" w:cs="Arial"/>
          <w:b/>
          <w:sz w:val="20"/>
          <w:szCs w:val="20"/>
          <w:lang w:val="es-ES"/>
        </w:rPr>
        <w:t xml:space="preserve"> </w:t>
      </w:r>
      <w:r w:rsidRPr="000864AE">
        <w:rPr>
          <w:rFonts w:ascii="Verdana" w:eastAsia="Arial" w:hAnsi="Verdana" w:cs="Arial"/>
          <w:b/>
          <w:i/>
          <w:sz w:val="20"/>
          <w:szCs w:val="20"/>
          <w:lang w:val="es-ES"/>
        </w:rPr>
        <w:t>Estado</w:t>
      </w:r>
      <w:r w:rsidRPr="000864AE">
        <w:rPr>
          <w:rFonts w:ascii="Verdana" w:eastAsia="Arial" w:hAnsi="Verdana" w:cs="Arial"/>
          <w:b/>
          <w:sz w:val="20"/>
          <w:szCs w:val="20"/>
          <w:lang w:val="es-ES"/>
        </w:rPr>
        <w:t xml:space="preserve"> </w:t>
      </w:r>
      <w:r w:rsidRPr="000864AE">
        <w:rPr>
          <w:rFonts w:ascii="Verdana" w:eastAsia="Arial" w:hAnsi="Verdana" w:cs="Arial"/>
          <w:sz w:val="20"/>
          <w:szCs w:val="20"/>
          <w:lang w:val="es-ES"/>
        </w:rPr>
        <w:t>sostuvo que no ha vulnerado ningún derecho establecido en la Convención Americana, por lo que no se ha configurado responsabilidad internacional estatal que requiera que se ordene una reparación que incluya daño inmaterial, por lo que no es factible reparación alguna a favor de los miembros de ANCEJUB-SUNAT. Asimismo, respecto a la afectación al proyecto de vida alegada por los representantes, el Estado indicó que dicho criterio ya no es utilizado por la Corte y señaló que el peritaje psicológico aportado por los</w:t>
      </w:r>
      <w:r w:rsidR="002D4820" w:rsidRPr="000864AE">
        <w:rPr>
          <w:rFonts w:ascii="Verdana" w:eastAsia="Arial" w:hAnsi="Verdana" w:cs="Arial"/>
          <w:sz w:val="20"/>
          <w:szCs w:val="20"/>
          <w:lang w:val="es-ES"/>
        </w:rPr>
        <w:t xml:space="preserve"> representantes para este punto</w:t>
      </w:r>
      <w:r w:rsidRPr="000864AE">
        <w:rPr>
          <w:rFonts w:ascii="Verdana" w:eastAsia="Arial" w:hAnsi="Verdana" w:cs="Arial"/>
          <w:sz w:val="20"/>
          <w:szCs w:val="20"/>
          <w:lang w:val="es-ES"/>
        </w:rPr>
        <w:t xml:space="preserve"> fue elaborado antes de que la Corte lo hubiese aceptado y señalado la modalidad en la cual debía ser rendido, por lo que el Estado no tuvo la oportunidad de presentar preguntas a la pericia de parte. En tal sentido, agregó que dicho peritaje se sustenta en entrevistas a nueve personas, así como la realización de un grupo focal que contó con la presencia de 12 miembros de la ANCEJUB-SUNAT, lo cual no puede acreditar de forma acertada e indubitable la presencia de un daño </w:t>
      </w:r>
      <w:r w:rsidR="0081491E" w:rsidRPr="000864AE">
        <w:rPr>
          <w:rFonts w:ascii="Verdana" w:eastAsia="Arial" w:hAnsi="Verdana" w:cs="Arial"/>
          <w:sz w:val="20"/>
          <w:szCs w:val="20"/>
          <w:lang w:val="es-ES"/>
        </w:rPr>
        <w:t>respecto a 703</w:t>
      </w:r>
      <w:r w:rsidRPr="000864AE">
        <w:rPr>
          <w:rFonts w:ascii="Verdana" w:eastAsia="Arial" w:hAnsi="Verdana" w:cs="Arial"/>
          <w:sz w:val="20"/>
          <w:szCs w:val="20"/>
          <w:lang w:val="es-ES"/>
        </w:rPr>
        <w:t xml:space="preserve"> personas. Asimismo, el Estado destacó que las conclusiones de dicho peritaje se basan en la premisa de que existió una reducción de pensiones de jubilación, lo cual no se produjo ni es materia de controversia. Finalmente, respecto a la excesiva dilación del proceso alegada por los representantes, el Estado rei</w:t>
      </w:r>
      <w:r w:rsidR="002D4820" w:rsidRPr="000864AE">
        <w:rPr>
          <w:rFonts w:ascii="Verdana" w:eastAsia="Arial" w:hAnsi="Verdana" w:cs="Arial"/>
          <w:sz w:val="20"/>
          <w:szCs w:val="20"/>
          <w:lang w:val="es-ES"/>
        </w:rPr>
        <w:t>teró la intervención que tuvo</w:t>
      </w:r>
      <w:r w:rsidRPr="000864AE">
        <w:rPr>
          <w:rFonts w:ascii="Verdana" w:eastAsia="Arial" w:hAnsi="Verdana" w:cs="Arial"/>
          <w:sz w:val="20"/>
          <w:szCs w:val="20"/>
          <w:lang w:val="es-ES"/>
        </w:rPr>
        <w:t xml:space="preserve"> ANCEJUB-SUNAT en la dilación del pr</w:t>
      </w:r>
      <w:r w:rsidR="002D4820" w:rsidRPr="000864AE">
        <w:rPr>
          <w:rFonts w:ascii="Verdana" w:eastAsia="Arial" w:hAnsi="Verdana" w:cs="Arial"/>
          <w:sz w:val="20"/>
          <w:szCs w:val="20"/>
          <w:lang w:val="es-ES"/>
        </w:rPr>
        <w:t>oceso judicial en sede interna.</w:t>
      </w:r>
    </w:p>
    <w:p w14:paraId="2175347A" w14:textId="77777777" w:rsidR="00806348" w:rsidRPr="000864AE" w:rsidRDefault="00806348" w:rsidP="000864AE">
      <w:pPr>
        <w:pStyle w:val="Prrafodelista"/>
        <w:widowControl w:val="0"/>
        <w:adjustRightInd w:val="0"/>
        <w:spacing w:after="0" w:line="240" w:lineRule="auto"/>
        <w:ind w:left="0"/>
        <w:jc w:val="both"/>
        <w:textAlignment w:val="baseline"/>
        <w:rPr>
          <w:rFonts w:ascii="Verdana" w:eastAsia="Arial" w:hAnsi="Verdana" w:cs="Arial"/>
          <w:b/>
          <w:sz w:val="20"/>
          <w:szCs w:val="20"/>
          <w:lang w:val="es-ES"/>
        </w:rPr>
      </w:pPr>
    </w:p>
    <w:p w14:paraId="10EB38D2" w14:textId="108B6751" w:rsidR="00806348" w:rsidRPr="000864AE" w:rsidRDefault="000610B2" w:rsidP="000864AE">
      <w:pPr>
        <w:pStyle w:val="Prrafodelista"/>
        <w:widowControl w:val="0"/>
        <w:numPr>
          <w:ilvl w:val="0"/>
          <w:numId w:val="10"/>
        </w:numPr>
        <w:adjustRightInd w:val="0"/>
        <w:spacing w:after="0" w:line="240" w:lineRule="auto"/>
        <w:ind w:left="0" w:firstLine="0"/>
        <w:jc w:val="both"/>
        <w:textAlignment w:val="baseline"/>
        <w:rPr>
          <w:rFonts w:ascii="Verdana" w:eastAsia="Arial" w:hAnsi="Verdana" w:cs="Arial"/>
          <w:b/>
          <w:sz w:val="20"/>
          <w:szCs w:val="20"/>
          <w:lang w:val="es-ES"/>
        </w:rPr>
      </w:pPr>
      <w:r w:rsidRPr="000864AE">
        <w:rPr>
          <w:rFonts w:ascii="Verdana" w:hAnsi="Verdana"/>
          <w:sz w:val="20"/>
          <w:szCs w:val="20"/>
        </w:rPr>
        <w:t>La Corte ha establecido en su jurisprudencia que el daño inmaterial puede comprender tanto los sufrimientos y las aflicciones causados por la violación como el menoscabo de valores muy significativos para las personas y cualquier alteración, de carácter no pecuniario, en las condiciones de existencia de las víctimas. Por otra parte, dado que no es posible asignar al daño inmaterial un equivalente monetario preciso, sólo puede ser objeto de compensación, para los fines de la reparación integral a la</w:t>
      </w:r>
      <w:r w:rsidR="002D4820" w:rsidRPr="000864AE">
        <w:rPr>
          <w:rFonts w:ascii="Verdana" w:hAnsi="Verdana"/>
          <w:sz w:val="20"/>
          <w:szCs w:val="20"/>
        </w:rPr>
        <w:t>s</w:t>
      </w:r>
      <w:r w:rsidRPr="000864AE">
        <w:rPr>
          <w:rFonts w:ascii="Verdana" w:hAnsi="Verdana"/>
          <w:sz w:val="20"/>
          <w:szCs w:val="20"/>
        </w:rPr>
        <w:t xml:space="preserve"> víctima</w:t>
      </w:r>
      <w:r w:rsidR="002D4820" w:rsidRPr="000864AE">
        <w:rPr>
          <w:rFonts w:ascii="Verdana" w:hAnsi="Verdana"/>
          <w:sz w:val="20"/>
          <w:szCs w:val="20"/>
        </w:rPr>
        <w:t>s</w:t>
      </w:r>
      <w:r w:rsidRPr="000864AE">
        <w:rPr>
          <w:rFonts w:ascii="Verdana" w:hAnsi="Verdana"/>
          <w:sz w:val="20"/>
          <w:szCs w:val="20"/>
        </w:rPr>
        <w:t>, mediante el pago de una cantidad de dinero o la entrega de bienes o servicios apreciables en dinero, que el Tribunal determine en aplicación razonable del arbitrio judicial y en términos de equidad</w:t>
      </w:r>
      <w:r w:rsidRPr="000864AE">
        <w:rPr>
          <w:rStyle w:val="Refdenotaalpie"/>
          <w:rFonts w:ascii="Verdana" w:hAnsi="Verdana"/>
          <w:sz w:val="20"/>
          <w:szCs w:val="20"/>
        </w:rPr>
        <w:footnoteReference w:id="309"/>
      </w:r>
      <w:r w:rsidRPr="000864AE">
        <w:rPr>
          <w:rFonts w:ascii="Verdana" w:hAnsi="Verdana"/>
          <w:sz w:val="20"/>
          <w:szCs w:val="20"/>
        </w:rPr>
        <w:t xml:space="preserve">. </w:t>
      </w:r>
    </w:p>
    <w:p w14:paraId="2721C2A1" w14:textId="77777777" w:rsidR="00806348" w:rsidRPr="000864AE" w:rsidRDefault="00806348" w:rsidP="000864AE">
      <w:pPr>
        <w:pStyle w:val="Prrafodelista"/>
        <w:rPr>
          <w:rFonts w:ascii="Verdana" w:eastAsia="Arial" w:hAnsi="Verdana" w:cs="Arial"/>
          <w:sz w:val="20"/>
          <w:szCs w:val="20"/>
          <w:lang w:val="es-ES"/>
        </w:rPr>
      </w:pPr>
    </w:p>
    <w:p w14:paraId="4E539E53" w14:textId="0D504CE1" w:rsidR="00806348" w:rsidRPr="000864AE" w:rsidRDefault="000610B2" w:rsidP="000864AE">
      <w:pPr>
        <w:pStyle w:val="Prrafodelista"/>
        <w:widowControl w:val="0"/>
        <w:numPr>
          <w:ilvl w:val="0"/>
          <w:numId w:val="10"/>
        </w:numPr>
        <w:adjustRightInd w:val="0"/>
        <w:spacing w:after="0" w:line="240" w:lineRule="auto"/>
        <w:ind w:left="0" w:firstLine="0"/>
        <w:jc w:val="both"/>
        <w:textAlignment w:val="baseline"/>
        <w:rPr>
          <w:rFonts w:ascii="Verdana" w:eastAsia="Arial" w:hAnsi="Verdana" w:cs="Arial"/>
          <w:b/>
          <w:sz w:val="20"/>
          <w:szCs w:val="20"/>
          <w:lang w:val="es-ES"/>
        </w:rPr>
      </w:pPr>
      <w:r w:rsidRPr="000864AE">
        <w:rPr>
          <w:rFonts w:ascii="Verdana" w:eastAsia="Arial" w:hAnsi="Verdana" w:cs="Arial"/>
          <w:sz w:val="20"/>
          <w:szCs w:val="20"/>
          <w:lang w:val="es-ES"/>
        </w:rPr>
        <w:t xml:space="preserve">En el presente caso, la Corte determinó que el Estado es responsable por la violación a las garantías judiciales y la protección judicial por la ineficacia de la ejecución de la sentencia de 25 de octubre de 1993 y la violación a la garantía del plazo razonable. Asimismo, determinó que el Estado incumplió con su deber de garantizar el derecho a la seguridad social por la falta de acceso a un recurso judicial efectivo para tutelar este derecho, así como por la falta de información adecuada sobre los efectos prácticos que tendría en el pago de las pensiones de las presuntas víctimas la entrada en vigor de los Decretos 639 y 673, y por el impacto que esto tuvo en </w:t>
      </w:r>
      <w:r w:rsidR="00BB2BA5" w:rsidRPr="000864AE">
        <w:rPr>
          <w:rFonts w:ascii="Verdana" w:eastAsia="Arial" w:hAnsi="Verdana" w:cs="Arial"/>
          <w:sz w:val="20"/>
          <w:szCs w:val="20"/>
          <w:lang w:val="es-ES"/>
        </w:rPr>
        <w:t>el goce de otros derechos</w:t>
      </w:r>
      <w:r w:rsidR="00942A5B" w:rsidRPr="000864AE">
        <w:rPr>
          <w:rFonts w:ascii="Verdana" w:eastAsia="Arial" w:hAnsi="Verdana" w:cs="Arial"/>
          <w:sz w:val="20"/>
          <w:szCs w:val="20"/>
          <w:lang w:val="es-ES"/>
        </w:rPr>
        <w:t>, lo que además constituyó una afectación a su derecho a la vida digna</w:t>
      </w:r>
      <w:r w:rsidRPr="000864AE">
        <w:rPr>
          <w:rFonts w:ascii="Verdana" w:eastAsia="Arial" w:hAnsi="Verdana" w:cs="Arial"/>
          <w:sz w:val="20"/>
          <w:szCs w:val="20"/>
          <w:lang w:val="es-ES"/>
        </w:rPr>
        <w:t>.</w:t>
      </w:r>
      <w:r w:rsidR="00942A5B" w:rsidRPr="000864AE">
        <w:rPr>
          <w:rFonts w:ascii="Verdana" w:eastAsia="Arial" w:hAnsi="Verdana" w:cs="Arial"/>
          <w:sz w:val="20"/>
          <w:szCs w:val="20"/>
          <w:lang w:val="es-ES"/>
        </w:rPr>
        <w:t xml:space="preserve"> Además, la Corte concluyó que el patrimonio de los </w:t>
      </w:r>
      <w:r w:rsidR="002D4820" w:rsidRPr="000864AE">
        <w:rPr>
          <w:rFonts w:ascii="Verdana" w:eastAsia="Arial" w:hAnsi="Verdana" w:cs="Arial"/>
          <w:sz w:val="20"/>
          <w:szCs w:val="20"/>
          <w:lang w:val="es-ES"/>
        </w:rPr>
        <w:t>miembros de ANCEJUB-SUNAT</w:t>
      </w:r>
      <w:r w:rsidR="00942A5B" w:rsidRPr="000864AE">
        <w:rPr>
          <w:rFonts w:ascii="Verdana" w:eastAsia="Arial" w:hAnsi="Verdana" w:cs="Arial"/>
          <w:sz w:val="20"/>
          <w:szCs w:val="20"/>
          <w:lang w:val="es-ES"/>
        </w:rPr>
        <w:t xml:space="preserve"> en virtud del incumplimiento de los reintegros ordenados en la referida sentencia de 1993 constituyó una vulneración a su derecho a la propiedad privada.</w:t>
      </w:r>
      <w:r w:rsidRPr="000864AE">
        <w:rPr>
          <w:rFonts w:ascii="Verdana" w:eastAsia="Arial" w:hAnsi="Verdana" w:cs="Arial"/>
          <w:sz w:val="20"/>
          <w:szCs w:val="20"/>
          <w:lang w:val="es-ES"/>
        </w:rPr>
        <w:t xml:space="preserve"> En virtud de ello, la Corte considera que la incertidumbre, angustia y sufrimiento generados a las víctimas del presente caso como consecuencia del incumplimiento de las decisiones judiciales emitidas respecto a la nivelación de sus pensiones, así como las afectaciones que esto tuvo en el goce de su derecho a la seguridad social</w:t>
      </w:r>
      <w:r w:rsidR="00942A5B" w:rsidRPr="000864AE">
        <w:rPr>
          <w:rFonts w:ascii="Verdana" w:eastAsia="Arial" w:hAnsi="Verdana" w:cs="Arial"/>
          <w:sz w:val="20"/>
          <w:szCs w:val="20"/>
          <w:lang w:val="es-ES"/>
        </w:rPr>
        <w:t>, a la vida digna y a la propiedad</w:t>
      </w:r>
      <w:r w:rsidRPr="000864AE">
        <w:rPr>
          <w:rFonts w:ascii="Verdana" w:eastAsia="Arial" w:hAnsi="Verdana" w:cs="Arial"/>
          <w:sz w:val="20"/>
          <w:szCs w:val="20"/>
          <w:lang w:val="es-ES"/>
        </w:rPr>
        <w:t xml:space="preserve"> es susceptible de reparación, por vía sustitutiva, mediante una indemnización compensatoria por daño inmaterial, conforme a la equidad</w:t>
      </w:r>
      <w:r w:rsidRPr="000864AE">
        <w:rPr>
          <w:rStyle w:val="Refdenotaalpie"/>
          <w:rFonts w:ascii="Verdana" w:eastAsia="Arial" w:hAnsi="Verdana" w:cs="Arial"/>
          <w:sz w:val="20"/>
          <w:szCs w:val="20"/>
          <w:lang w:val="es-ES"/>
        </w:rPr>
        <w:footnoteReference w:id="310"/>
      </w:r>
      <w:r w:rsidR="00A2430D" w:rsidRPr="000864AE">
        <w:rPr>
          <w:rFonts w:ascii="Verdana" w:eastAsia="Arial" w:hAnsi="Verdana" w:cs="Arial"/>
          <w:sz w:val="20"/>
          <w:szCs w:val="20"/>
          <w:lang w:val="es-ES"/>
        </w:rPr>
        <w:t>.</w:t>
      </w:r>
    </w:p>
    <w:p w14:paraId="2CE0B653" w14:textId="77777777" w:rsidR="00806348" w:rsidRPr="000864AE" w:rsidRDefault="00806348" w:rsidP="000864AE">
      <w:pPr>
        <w:pStyle w:val="Prrafodelista"/>
        <w:widowControl w:val="0"/>
        <w:adjustRightInd w:val="0"/>
        <w:spacing w:after="0" w:line="240" w:lineRule="auto"/>
        <w:ind w:left="0"/>
        <w:jc w:val="both"/>
        <w:textAlignment w:val="baseline"/>
        <w:rPr>
          <w:rFonts w:ascii="Verdana" w:eastAsia="Arial" w:hAnsi="Verdana" w:cs="Arial"/>
          <w:b/>
          <w:sz w:val="20"/>
          <w:szCs w:val="20"/>
          <w:lang w:val="es-ES"/>
        </w:rPr>
      </w:pPr>
    </w:p>
    <w:p w14:paraId="3C12F19C" w14:textId="6018AB22" w:rsidR="000610B2" w:rsidRPr="000864AE" w:rsidRDefault="000610B2" w:rsidP="000864AE">
      <w:pPr>
        <w:pStyle w:val="Prrafodelista"/>
        <w:widowControl w:val="0"/>
        <w:numPr>
          <w:ilvl w:val="0"/>
          <w:numId w:val="10"/>
        </w:numPr>
        <w:adjustRightInd w:val="0"/>
        <w:spacing w:after="0" w:line="240" w:lineRule="auto"/>
        <w:ind w:left="0" w:firstLine="0"/>
        <w:jc w:val="both"/>
        <w:textAlignment w:val="baseline"/>
        <w:rPr>
          <w:rFonts w:ascii="Verdana" w:eastAsia="Arial" w:hAnsi="Verdana" w:cs="Arial"/>
          <w:b/>
          <w:sz w:val="20"/>
          <w:szCs w:val="20"/>
          <w:lang w:val="es-ES"/>
        </w:rPr>
      </w:pPr>
      <w:r w:rsidRPr="000864AE">
        <w:rPr>
          <w:rFonts w:ascii="Verdana" w:eastAsia="Arial" w:hAnsi="Verdana" w:cs="Arial"/>
          <w:sz w:val="20"/>
          <w:szCs w:val="20"/>
          <w:lang w:val="es-ES"/>
        </w:rPr>
        <w:t xml:space="preserve">Por lo tanto, la Corte dicta, en equidad, por concepto de daño inmaterial, la cantidad de US$ </w:t>
      </w:r>
      <w:r w:rsidR="00804A58" w:rsidRPr="000864AE">
        <w:rPr>
          <w:rFonts w:ascii="Verdana" w:eastAsia="Arial" w:hAnsi="Verdana" w:cs="Arial"/>
          <w:sz w:val="20"/>
          <w:szCs w:val="20"/>
          <w:lang w:val="es-ES"/>
        </w:rPr>
        <w:t>25</w:t>
      </w:r>
      <w:r w:rsidRPr="000864AE">
        <w:rPr>
          <w:rFonts w:ascii="Verdana" w:eastAsia="Arial" w:hAnsi="Verdana" w:cs="Arial"/>
          <w:sz w:val="20"/>
          <w:szCs w:val="20"/>
          <w:lang w:val="es-ES"/>
        </w:rPr>
        <w:t>,000.00 (</w:t>
      </w:r>
      <w:r w:rsidR="00804A58" w:rsidRPr="000864AE">
        <w:rPr>
          <w:rFonts w:ascii="Verdana" w:eastAsia="Arial" w:hAnsi="Verdana" w:cs="Arial"/>
          <w:sz w:val="20"/>
          <w:szCs w:val="20"/>
          <w:lang w:val="es-ES"/>
        </w:rPr>
        <w:t>veinticinco</w:t>
      </w:r>
      <w:r w:rsidR="00B15331" w:rsidRPr="000864AE">
        <w:rPr>
          <w:rFonts w:ascii="Verdana" w:eastAsia="Arial" w:hAnsi="Verdana" w:cs="Arial"/>
          <w:sz w:val="20"/>
          <w:szCs w:val="20"/>
          <w:lang w:val="es-ES"/>
        </w:rPr>
        <w:t xml:space="preserve"> </w:t>
      </w:r>
      <w:r w:rsidRPr="000864AE">
        <w:rPr>
          <w:rFonts w:ascii="Verdana" w:eastAsia="Arial" w:hAnsi="Verdana" w:cs="Arial"/>
          <w:sz w:val="20"/>
          <w:szCs w:val="20"/>
          <w:lang w:val="es-ES"/>
        </w:rPr>
        <w:t xml:space="preserve">mil dólares de los Estados Unidos de América) a favor de cada una de las víctimas que figuran en el </w:t>
      </w:r>
      <w:r w:rsidR="0081491E" w:rsidRPr="000864AE">
        <w:rPr>
          <w:rFonts w:ascii="Verdana" w:eastAsia="Arial" w:hAnsi="Verdana" w:cs="Arial"/>
          <w:sz w:val="20"/>
          <w:szCs w:val="20"/>
          <w:lang w:val="es-ES"/>
        </w:rPr>
        <w:t>A</w:t>
      </w:r>
      <w:r w:rsidRPr="000864AE">
        <w:rPr>
          <w:rFonts w:ascii="Verdana" w:eastAsia="Arial" w:hAnsi="Verdana" w:cs="Arial"/>
          <w:sz w:val="20"/>
          <w:szCs w:val="20"/>
          <w:lang w:val="es-ES"/>
        </w:rPr>
        <w:t xml:space="preserve">nexo 2 de la presente Sentencia. El Estado deberá efectuar el pago de este monto dentro del plazo de un año, contado a partir de la notificación de la presente Sentencia. </w:t>
      </w:r>
    </w:p>
    <w:p w14:paraId="461E535D" w14:textId="77777777" w:rsidR="002D4820" w:rsidRPr="000864AE" w:rsidRDefault="002D4820" w:rsidP="000864AE">
      <w:pPr>
        <w:pStyle w:val="Prrafodelista"/>
        <w:widowControl w:val="0"/>
        <w:adjustRightInd w:val="0"/>
        <w:spacing w:after="0" w:line="240" w:lineRule="auto"/>
        <w:ind w:left="0"/>
        <w:jc w:val="both"/>
        <w:textAlignment w:val="baseline"/>
        <w:rPr>
          <w:rFonts w:ascii="Verdana" w:eastAsia="Arial" w:hAnsi="Verdana" w:cs="Arial"/>
          <w:b/>
          <w:sz w:val="20"/>
          <w:szCs w:val="20"/>
          <w:lang w:val="es-ES"/>
        </w:rPr>
      </w:pPr>
    </w:p>
    <w:p w14:paraId="524A0A19" w14:textId="77777777" w:rsidR="000610B2" w:rsidRPr="000864AE" w:rsidRDefault="000610B2" w:rsidP="000864AE">
      <w:pPr>
        <w:pStyle w:val="Ttulo2"/>
        <w:rPr>
          <w:rFonts w:cs="Arial"/>
          <w:b w:val="0"/>
          <w:i w:val="0"/>
        </w:rPr>
      </w:pPr>
      <w:bookmarkStart w:id="110" w:name="_Toc12726745"/>
      <w:bookmarkStart w:id="111" w:name="_Toc27329798"/>
      <w:r w:rsidRPr="000864AE">
        <w:rPr>
          <w:rFonts w:cs="Arial"/>
        </w:rPr>
        <w:t>Costas y gastos</w:t>
      </w:r>
      <w:bookmarkEnd w:id="110"/>
      <w:bookmarkEnd w:id="111"/>
    </w:p>
    <w:p w14:paraId="7D7241E3" w14:textId="77777777" w:rsidR="000610B2" w:rsidRPr="000864AE" w:rsidRDefault="000610B2" w:rsidP="000864AE">
      <w:pPr>
        <w:widowControl w:val="0"/>
        <w:tabs>
          <w:tab w:val="left" w:pos="567"/>
        </w:tabs>
        <w:adjustRightInd w:val="0"/>
        <w:spacing w:after="0" w:line="240" w:lineRule="auto"/>
        <w:jc w:val="both"/>
        <w:textAlignment w:val="baseline"/>
        <w:rPr>
          <w:rFonts w:ascii="Verdana" w:hAnsi="Verdana" w:cs="Arial"/>
          <w:b/>
          <w:sz w:val="20"/>
          <w:szCs w:val="20"/>
          <w:lang w:val="es-CR"/>
        </w:rPr>
      </w:pPr>
    </w:p>
    <w:p w14:paraId="38D30F67" w14:textId="5410A497" w:rsidR="00806348" w:rsidRPr="000864AE" w:rsidRDefault="00615425" w:rsidP="000864AE">
      <w:pPr>
        <w:pStyle w:val="Prrafodelista"/>
        <w:widowControl w:val="0"/>
        <w:numPr>
          <w:ilvl w:val="0"/>
          <w:numId w:val="10"/>
        </w:numPr>
        <w:adjustRightInd w:val="0"/>
        <w:spacing w:after="0" w:line="240" w:lineRule="auto"/>
        <w:ind w:left="0" w:firstLine="0"/>
        <w:jc w:val="both"/>
        <w:textAlignment w:val="baseline"/>
        <w:rPr>
          <w:rFonts w:ascii="Verdana" w:eastAsia="Arial" w:hAnsi="Verdana" w:cs="Arial"/>
          <w:b/>
          <w:sz w:val="20"/>
          <w:szCs w:val="20"/>
          <w:lang w:val="es-ES"/>
        </w:rPr>
      </w:pPr>
      <w:r w:rsidRPr="000864AE">
        <w:rPr>
          <w:rFonts w:ascii="Verdana" w:hAnsi="Verdana" w:cs="Arial"/>
          <w:sz w:val="20"/>
          <w:szCs w:val="20"/>
          <w:lang w:val="es-CR"/>
        </w:rPr>
        <w:t>En su escrito de solicitudes, argumentos y pruebas, los</w:t>
      </w:r>
      <w:r w:rsidRPr="000864AE">
        <w:rPr>
          <w:rFonts w:ascii="Verdana" w:hAnsi="Verdana" w:cs="Arial"/>
          <w:sz w:val="20"/>
          <w:szCs w:val="20"/>
          <w:lang w:val="es-ES"/>
        </w:rPr>
        <w:t xml:space="preserve"> </w:t>
      </w:r>
      <w:r w:rsidRPr="000864AE">
        <w:rPr>
          <w:rFonts w:ascii="Verdana" w:hAnsi="Verdana" w:cs="Arial"/>
          <w:b/>
          <w:i/>
          <w:sz w:val="20"/>
          <w:szCs w:val="20"/>
          <w:lang w:val="es-ES"/>
        </w:rPr>
        <w:t>representantes</w:t>
      </w:r>
      <w:r w:rsidRPr="000864AE">
        <w:rPr>
          <w:rFonts w:ascii="Verdana" w:hAnsi="Verdana" w:cs="Arial"/>
          <w:sz w:val="20"/>
          <w:szCs w:val="20"/>
          <w:lang w:val="es-ES"/>
        </w:rPr>
        <w:t xml:space="preserve"> solicitaron el pago de las costas y gastos en que hayan incurrido las víctimas y/o sus representantes para seguir el caso ante la Comisión y la Corte. </w:t>
      </w:r>
      <w:r w:rsidRPr="000864AE">
        <w:rPr>
          <w:rFonts w:ascii="Verdana" w:hAnsi="Verdana" w:cs="Arial"/>
          <w:sz w:val="20"/>
          <w:szCs w:val="20"/>
          <w:lang w:val="es-CR"/>
        </w:rPr>
        <w:t xml:space="preserve">Al respecto, en su contestación el </w:t>
      </w:r>
      <w:r w:rsidRPr="000864AE">
        <w:rPr>
          <w:rFonts w:ascii="Verdana" w:hAnsi="Verdana" w:cs="Arial"/>
          <w:b/>
          <w:i/>
          <w:sz w:val="20"/>
          <w:szCs w:val="20"/>
          <w:lang w:val="es-CR"/>
        </w:rPr>
        <w:t>Estado</w:t>
      </w:r>
      <w:r w:rsidRPr="000864AE">
        <w:rPr>
          <w:rFonts w:ascii="Verdana" w:hAnsi="Verdana" w:cs="Arial"/>
          <w:sz w:val="20"/>
          <w:szCs w:val="20"/>
          <w:lang w:val="es-CR"/>
        </w:rPr>
        <w:t xml:space="preserve"> sostuvo que la solicitud de costas y gastos supone la presentación de los recibos y demás documentos que justifiquen la procedencia de la reparación. En tal sentido, destacó que los representantes no adjuntaron la documentación que sustenta dichos gastos, por lo que consideró que su pretensión es inaceptable. Posteriormente, en su escrito de alegatos finales escritos, los representantes adjuntaron como anexos una serie de facturas y comprobantes de pago por un monto aproximado de US$ 85,000.00 (ochenta y cinco mil dólares de los Estados Unidos de América). Frente a ello, en su escrito de alegatos finales escritos el Estado objetó la admisibilidad de varios de esos comprobantes por considerar que los mismos: a) no están relacionados con el objeto de este proceso, b) no cumplen con los requisitos formale</w:t>
      </w:r>
      <w:r w:rsidR="002D4820" w:rsidRPr="000864AE">
        <w:rPr>
          <w:rFonts w:ascii="Verdana" w:hAnsi="Verdana" w:cs="Arial"/>
          <w:sz w:val="20"/>
          <w:szCs w:val="20"/>
          <w:lang w:val="es-CR"/>
        </w:rPr>
        <w:t>s de emisión o c) son ilegibles</w:t>
      </w:r>
      <w:r w:rsidRPr="000864AE">
        <w:rPr>
          <w:rFonts w:ascii="Verdana" w:hAnsi="Verdana" w:cs="Arial"/>
          <w:sz w:val="20"/>
          <w:szCs w:val="20"/>
          <w:lang w:val="es-CR"/>
        </w:rPr>
        <w:t>.</w:t>
      </w:r>
    </w:p>
    <w:p w14:paraId="1CEE99E5" w14:textId="77777777" w:rsidR="00806348" w:rsidRPr="000864AE" w:rsidRDefault="00806348" w:rsidP="000864AE">
      <w:pPr>
        <w:pStyle w:val="Prrafodelista"/>
        <w:widowControl w:val="0"/>
        <w:adjustRightInd w:val="0"/>
        <w:spacing w:after="0" w:line="240" w:lineRule="auto"/>
        <w:ind w:left="0"/>
        <w:jc w:val="both"/>
        <w:textAlignment w:val="baseline"/>
        <w:rPr>
          <w:rFonts w:ascii="Verdana" w:eastAsia="Arial" w:hAnsi="Verdana" w:cs="Arial"/>
          <w:b/>
          <w:sz w:val="20"/>
          <w:szCs w:val="20"/>
          <w:lang w:val="es-ES"/>
        </w:rPr>
      </w:pPr>
    </w:p>
    <w:p w14:paraId="0D41BF1A" w14:textId="77777777" w:rsidR="00806348" w:rsidRPr="000864AE" w:rsidRDefault="00615425" w:rsidP="000864AE">
      <w:pPr>
        <w:pStyle w:val="Prrafodelista"/>
        <w:widowControl w:val="0"/>
        <w:numPr>
          <w:ilvl w:val="0"/>
          <w:numId w:val="10"/>
        </w:numPr>
        <w:adjustRightInd w:val="0"/>
        <w:spacing w:after="0" w:line="240" w:lineRule="auto"/>
        <w:ind w:left="0" w:firstLine="0"/>
        <w:jc w:val="both"/>
        <w:textAlignment w:val="baseline"/>
        <w:rPr>
          <w:rFonts w:ascii="Verdana" w:eastAsia="Arial" w:hAnsi="Verdana" w:cs="Arial"/>
          <w:b/>
          <w:sz w:val="20"/>
          <w:szCs w:val="20"/>
          <w:lang w:val="es-ES"/>
        </w:rPr>
      </w:pPr>
      <w:r w:rsidRPr="000864AE">
        <w:rPr>
          <w:rFonts w:ascii="Verdana" w:hAnsi="Verdana"/>
          <w:sz w:val="20"/>
          <w:szCs w:val="20"/>
        </w:rPr>
        <w:t>La Corte reitera que, conforme a su jurisprudencia</w:t>
      </w:r>
      <w:r w:rsidRPr="000864AE">
        <w:rPr>
          <w:rStyle w:val="Refdenotaalpie"/>
          <w:rFonts w:ascii="Verdana" w:hAnsi="Verdana"/>
        </w:rPr>
        <w:footnoteReference w:id="311"/>
      </w:r>
      <w:r w:rsidRPr="000864AE">
        <w:rPr>
          <w:rFonts w:ascii="Verdana" w:hAnsi="Verdana"/>
          <w:sz w:val="20"/>
          <w:szCs w:val="20"/>
        </w:rPr>
        <w:t>, las costas y gastos hacen parte del concepto de reparación, toda vez que la actividad desplegada por las víctimas con el fin de obtener justicia, tanto a nivel nacional como internacional, implica erogaciones que deben ser compensadas cuando la responsabilidad internacional del Estado es declarada mediante una sentencia condenatoria. En cuanto al reembolso de las costas y gastos, corresponde al Tribunal apreciar prudentemente su alcance, el cual comprende los gastos generados ante las autoridades de la jurisdicción interna, así como los generados en el curso del proceso ante el Sistema Interamericano, teniendo en cuenta las circunstancias del caso concreto y la naturaleza de la jurisdicción internacional de protección de los derechos humanos. Esta apreciación puede ser realizada con base en el principio de equidad y tomando en cuenta los gastos señalados por las partes, siempre que su quantum sea razonable</w:t>
      </w:r>
      <w:r w:rsidRPr="000864AE">
        <w:rPr>
          <w:rStyle w:val="Refdenotaalpie"/>
          <w:rFonts w:ascii="Verdana" w:hAnsi="Verdana"/>
        </w:rPr>
        <w:footnoteReference w:id="312"/>
      </w:r>
      <w:r w:rsidRPr="000864AE">
        <w:rPr>
          <w:rFonts w:ascii="Verdana" w:hAnsi="Verdana"/>
          <w:sz w:val="20"/>
          <w:szCs w:val="20"/>
        </w:rPr>
        <w:t>.</w:t>
      </w:r>
    </w:p>
    <w:p w14:paraId="683FC5AA" w14:textId="77777777" w:rsidR="00806348" w:rsidRPr="000864AE" w:rsidRDefault="00806348" w:rsidP="000864AE">
      <w:pPr>
        <w:pStyle w:val="Prrafodelista"/>
        <w:rPr>
          <w:rFonts w:ascii="Verdana" w:hAnsi="Verdana"/>
          <w:sz w:val="20"/>
          <w:szCs w:val="20"/>
        </w:rPr>
      </w:pPr>
    </w:p>
    <w:p w14:paraId="5C56F560" w14:textId="77777777" w:rsidR="00806348" w:rsidRPr="000864AE" w:rsidRDefault="00615425" w:rsidP="000864AE">
      <w:pPr>
        <w:pStyle w:val="Prrafodelista"/>
        <w:widowControl w:val="0"/>
        <w:numPr>
          <w:ilvl w:val="0"/>
          <w:numId w:val="10"/>
        </w:numPr>
        <w:adjustRightInd w:val="0"/>
        <w:spacing w:after="0" w:line="240" w:lineRule="auto"/>
        <w:ind w:left="0" w:firstLine="0"/>
        <w:jc w:val="both"/>
        <w:textAlignment w:val="baseline"/>
        <w:rPr>
          <w:rFonts w:ascii="Verdana" w:eastAsia="Arial" w:hAnsi="Verdana" w:cs="Arial"/>
          <w:b/>
          <w:sz w:val="20"/>
          <w:szCs w:val="20"/>
          <w:lang w:val="es-ES"/>
        </w:rPr>
      </w:pPr>
      <w:r w:rsidRPr="000864AE">
        <w:rPr>
          <w:rFonts w:ascii="Verdana" w:hAnsi="Verdana"/>
          <w:sz w:val="20"/>
          <w:szCs w:val="20"/>
        </w:rPr>
        <w:t>Este Tribunal ha señalado que “las pretensiones de las víctimas o sus representantes en materia de costas y gastos, y las pruebas que las sustentan, deben presentarse a la Corte en el primer momento procesal que se les concede, esto es, en el escrito de solicitudes y argumentos, sin perjuicio de que tales pretensiones se actualicen en un momento posterior, conforme a las nuevas costas y gastos en que se haya incurrido con ocasión del procedimiento ante esta Corte”</w:t>
      </w:r>
      <w:r w:rsidRPr="000864AE">
        <w:rPr>
          <w:rStyle w:val="Refdenotaalpie"/>
          <w:rFonts w:ascii="Verdana" w:hAnsi="Verdana"/>
        </w:rPr>
        <w:footnoteReference w:id="313"/>
      </w:r>
      <w:r w:rsidRPr="000864AE">
        <w:rPr>
          <w:rFonts w:ascii="Verdana" w:hAnsi="Verdana"/>
          <w:sz w:val="20"/>
          <w:szCs w:val="20"/>
        </w:rPr>
        <w:t>. Asimismo, la Corte reitera que “no es suficiente la remisión de documentos probatorios, sino que se requiere que las partes hagan una argumentación que relacione la prueba con el hecho que se considera representado, y que, al tratarse de alegados desembolsos económicos, se establezcan con claridad los rubros y la justificación de los mismos”</w:t>
      </w:r>
      <w:r w:rsidRPr="000864AE">
        <w:rPr>
          <w:rStyle w:val="Refdenotaalpie"/>
          <w:rFonts w:ascii="Verdana" w:hAnsi="Verdana"/>
        </w:rPr>
        <w:footnoteReference w:id="314"/>
      </w:r>
      <w:r w:rsidRPr="000864AE">
        <w:rPr>
          <w:rFonts w:ascii="Verdana" w:hAnsi="Verdana"/>
          <w:sz w:val="20"/>
          <w:szCs w:val="20"/>
        </w:rPr>
        <w:t>.</w:t>
      </w:r>
    </w:p>
    <w:p w14:paraId="768CC3B5" w14:textId="77777777" w:rsidR="00806348" w:rsidRPr="000864AE" w:rsidRDefault="00806348" w:rsidP="000864AE">
      <w:pPr>
        <w:pStyle w:val="Prrafodelista"/>
        <w:rPr>
          <w:rFonts w:ascii="Verdana" w:eastAsia="Arial" w:hAnsi="Verdana" w:cs="Arial"/>
          <w:sz w:val="20"/>
          <w:szCs w:val="20"/>
          <w:lang w:val="es-ES"/>
        </w:rPr>
      </w:pPr>
    </w:p>
    <w:p w14:paraId="495EC069" w14:textId="185F9ECB" w:rsidR="00615425" w:rsidRPr="000864AE" w:rsidRDefault="00615425" w:rsidP="000864AE">
      <w:pPr>
        <w:pStyle w:val="Prrafodelista"/>
        <w:widowControl w:val="0"/>
        <w:numPr>
          <w:ilvl w:val="0"/>
          <w:numId w:val="10"/>
        </w:numPr>
        <w:adjustRightInd w:val="0"/>
        <w:spacing w:after="0" w:line="240" w:lineRule="auto"/>
        <w:ind w:left="0" w:firstLine="0"/>
        <w:jc w:val="both"/>
        <w:textAlignment w:val="baseline"/>
        <w:rPr>
          <w:rFonts w:ascii="Verdana" w:eastAsia="Arial" w:hAnsi="Verdana" w:cs="Arial"/>
          <w:b/>
          <w:sz w:val="20"/>
          <w:szCs w:val="20"/>
          <w:lang w:val="es-ES"/>
        </w:rPr>
      </w:pPr>
      <w:r w:rsidRPr="000864AE">
        <w:rPr>
          <w:rFonts w:ascii="Verdana" w:eastAsia="Arial" w:hAnsi="Verdana" w:cs="Arial"/>
          <w:sz w:val="20"/>
          <w:szCs w:val="20"/>
          <w:lang w:val="es-ES"/>
        </w:rPr>
        <w:t>En el presente caso, la Corte observa que los representantes no hicieron referencia al monto que pretendían por concepto de gastos y costas en su escrito de solicitudes, argumentos y pruebas, ni aportaron el respaldo probatorio correspondiente. Asimismo, la Corte constata que muchos de los documentos probatorios remitidos por los representantes con sus alegatos finales se encuentran ilegibles o no son claros respecto de su justificación. De esta forma, el Tribunal carece de respaldo probatorio suficiente en relación con los gastos y costas en los cuales incurrieron las víctimas o sus representantes. Sin embargo, la Corte toma en cuenta los montos señalados por los representantes con base en los comprobantes legibles que fueron presentados. Tomando en cuenta lo anterior, el Tribunal considera que el Estado debe pagar, en equidad, la cantidad de US$15,000.00 (quince mil</w:t>
      </w:r>
      <w:r w:rsidRPr="000864AE">
        <w:rPr>
          <w:rFonts w:ascii="Verdana" w:hAnsi="Verdana" w:cs="Arial"/>
          <w:sz w:val="20"/>
          <w:szCs w:val="20"/>
          <w:lang w:val="es-CR"/>
        </w:rPr>
        <w:t xml:space="preserve"> dólares de los Estados Unidos de América) por concepto de costas y gastos, cantidad que </w:t>
      </w:r>
      <w:r w:rsidR="002D4820" w:rsidRPr="000864AE">
        <w:rPr>
          <w:rFonts w:ascii="Verdana" w:hAnsi="Verdana" w:cs="Arial"/>
          <w:sz w:val="20"/>
          <w:szCs w:val="20"/>
          <w:lang w:val="es-CR"/>
        </w:rPr>
        <w:t>deberá</w:t>
      </w:r>
      <w:r w:rsidRPr="000864AE">
        <w:rPr>
          <w:rFonts w:ascii="Verdana" w:hAnsi="Verdana" w:cs="Arial"/>
          <w:sz w:val="20"/>
          <w:szCs w:val="20"/>
          <w:lang w:val="es-CR"/>
        </w:rPr>
        <w:t xml:space="preserve"> dividirse entre los representantes. En el procedimiento de supervisión de cumplimiento de la presente Sentencia, el Tribunal podrá disponer el reembolso por parte del Estado a las víctimas o sus representantes de los gastos razonable</w:t>
      </w:r>
      <w:r w:rsidR="002D4820" w:rsidRPr="000864AE">
        <w:rPr>
          <w:rFonts w:ascii="Verdana" w:hAnsi="Verdana" w:cs="Arial"/>
          <w:sz w:val="20"/>
          <w:szCs w:val="20"/>
          <w:lang w:val="es-CR"/>
        </w:rPr>
        <w:t>s</w:t>
      </w:r>
      <w:r w:rsidRPr="000864AE">
        <w:rPr>
          <w:rFonts w:ascii="Verdana" w:hAnsi="Verdana" w:cs="Arial"/>
          <w:sz w:val="20"/>
          <w:szCs w:val="20"/>
          <w:lang w:val="es-CR"/>
        </w:rPr>
        <w:t xml:space="preserve"> debidamente comprobados en dicha etapa procesal</w:t>
      </w:r>
      <w:r w:rsidRPr="000864AE">
        <w:rPr>
          <w:rStyle w:val="Refdenotaalpie"/>
          <w:rFonts w:ascii="Verdana" w:hAnsi="Verdana" w:cs="Arial"/>
          <w:lang w:val="es-CR"/>
        </w:rPr>
        <w:footnoteReference w:id="315"/>
      </w:r>
      <w:r w:rsidR="00806348" w:rsidRPr="000864AE">
        <w:rPr>
          <w:rFonts w:ascii="Verdana" w:hAnsi="Verdana" w:cs="Arial"/>
          <w:sz w:val="20"/>
          <w:szCs w:val="20"/>
          <w:lang w:val="es-CR"/>
        </w:rPr>
        <w:t>.</w:t>
      </w:r>
    </w:p>
    <w:p w14:paraId="2C3C6FFE" w14:textId="77777777" w:rsidR="000610B2" w:rsidRPr="000864AE" w:rsidRDefault="000610B2" w:rsidP="000864AE">
      <w:pPr>
        <w:widowControl w:val="0"/>
        <w:tabs>
          <w:tab w:val="left" w:pos="567"/>
        </w:tabs>
        <w:adjustRightInd w:val="0"/>
        <w:spacing w:after="0" w:line="240" w:lineRule="auto"/>
        <w:jc w:val="both"/>
        <w:textAlignment w:val="baseline"/>
        <w:rPr>
          <w:rFonts w:ascii="Verdana" w:hAnsi="Verdana"/>
          <w:sz w:val="20"/>
          <w:szCs w:val="20"/>
        </w:rPr>
      </w:pPr>
    </w:p>
    <w:p w14:paraId="25A12F07" w14:textId="77777777" w:rsidR="000610B2" w:rsidRPr="000864AE" w:rsidRDefault="000610B2" w:rsidP="000864AE">
      <w:pPr>
        <w:pStyle w:val="Ttulo2"/>
        <w:rPr>
          <w:rFonts w:cs="Arial"/>
          <w:b w:val="0"/>
          <w:i w:val="0"/>
        </w:rPr>
      </w:pPr>
      <w:bookmarkStart w:id="112" w:name="_Toc12726747"/>
      <w:bookmarkStart w:id="113" w:name="_Toc27329799"/>
      <w:r w:rsidRPr="000864AE">
        <w:rPr>
          <w:rFonts w:cs="Arial"/>
        </w:rPr>
        <w:t>Modalidad de cumplimiento de los pagos ordenados</w:t>
      </w:r>
      <w:bookmarkEnd w:id="112"/>
      <w:bookmarkEnd w:id="113"/>
    </w:p>
    <w:p w14:paraId="3395EB85" w14:textId="77777777" w:rsidR="000610B2" w:rsidRPr="000864AE" w:rsidRDefault="000610B2" w:rsidP="000864AE">
      <w:pPr>
        <w:widowControl w:val="0"/>
        <w:tabs>
          <w:tab w:val="left" w:pos="567"/>
        </w:tabs>
        <w:adjustRightInd w:val="0"/>
        <w:spacing w:after="0" w:line="240" w:lineRule="auto"/>
        <w:jc w:val="both"/>
        <w:textAlignment w:val="baseline"/>
        <w:rPr>
          <w:rFonts w:ascii="Verdana" w:hAnsi="Verdana"/>
          <w:sz w:val="20"/>
          <w:szCs w:val="20"/>
        </w:rPr>
      </w:pPr>
    </w:p>
    <w:p w14:paraId="7553ADDC" w14:textId="77777777" w:rsidR="00806348" w:rsidRPr="000864AE" w:rsidRDefault="000610B2" w:rsidP="000864AE">
      <w:pPr>
        <w:pStyle w:val="Prrafodelista"/>
        <w:widowControl w:val="0"/>
        <w:numPr>
          <w:ilvl w:val="0"/>
          <w:numId w:val="10"/>
        </w:numPr>
        <w:adjustRightInd w:val="0"/>
        <w:spacing w:after="0" w:line="240" w:lineRule="auto"/>
        <w:ind w:left="0" w:firstLine="0"/>
        <w:jc w:val="both"/>
        <w:textAlignment w:val="baseline"/>
        <w:rPr>
          <w:rFonts w:ascii="Verdana" w:eastAsia="Arial" w:hAnsi="Verdana" w:cs="Arial"/>
          <w:b/>
          <w:sz w:val="20"/>
          <w:szCs w:val="20"/>
          <w:lang w:val="es-ES"/>
        </w:rPr>
      </w:pPr>
      <w:r w:rsidRPr="000864AE">
        <w:rPr>
          <w:rFonts w:ascii="Verdana" w:hAnsi="Verdana"/>
          <w:sz w:val="20"/>
          <w:szCs w:val="20"/>
        </w:rPr>
        <w:t>El Estado deberá efectuar el pago de las indemnizaciones por concepto de daño inmaterial y el reintegro de costas y gastos establecidos en la presente Sentencia directamente a las personas indicadas en la misma, dentro del plazo de un año contado a partir de la notificación de la presente Sentencia.</w:t>
      </w:r>
    </w:p>
    <w:p w14:paraId="4C26E186" w14:textId="77777777" w:rsidR="00806348" w:rsidRPr="000864AE" w:rsidRDefault="00806348" w:rsidP="000864AE">
      <w:pPr>
        <w:pStyle w:val="Prrafodelista"/>
        <w:widowControl w:val="0"/>
        <w:adjustRightInd w:val="0"/>
        <w:spacing w:after="0" w:line="240" w:lineRule="auto"/>
        <w:ind w:left="0"/>
        <w:jc w:val="both"/>
        <w:textAlignment w:val="baseline"/>
        <w:rPr>
          <w:rFonts w:ascii="Verdana" w:eastAsia="Arial" w:hAnsi="Verdana" w:cs="Arial"/>
          <w:b/>
          <w:sz w:val="20"/>
          <w:szCs w:val="20"/>
          <w:lang w:val="es-ES"/>
        </w:rPr>
      </w:pPr>
    </w:p>
    <w:p w14:paraId="12B05F85" w14:textId="77777777" w:rsidR="00806348" w:rsidRPr="000864AE" w:rsidRDefault="000610B2" w:rsidP="000864AE">
      <w:pPr>
        <w:pStyle w:val="Prrafodelista"/>
        <w:widowControl w:val="0"/>
        <w:numPr>
          <w:ilvl w:val="0"/>
          <w:numId w:val="10"/>
        </w:numPr>
        <w:adjustRightInd w:val="0"/>
        <w:spacing w:after="0" w:line="240" w:lineRule="auto"/>
        <w:ind w:left="0" w:firstLine="0"/>
        <w:jc w:val="both"/>
        <w:textAlignment w:val="baseline"/>
        <w:rPr>
          <w:rFonts w:ascii="Verdana" w:eastAsia="Arial" w:hAnsi="Verdana" w:cs="Arial"/>
          <w:b/>
          <w:sz w:val="20"/>
          <w:szCs w:val="20"/>
          <w:lang w:val="es-ES"/>
        </w:rPr>
      </w:pPr>
      <w:r w:rsidRPr="000864AE">
        <w:rPr>
          <w:rFonts w:ascii="Verdana" w:hAnsi="Verdana"/>
          <w:sz w:val="20"/>
          <w:szCs w:val="20"/>
        </w:rPr>
        <w:t>En caso de que el beneficiario haya fallecido o fallezca antes de que le sea entregada la cantidad respectiva, esta se entregará directamente a sus derechohabientes, conforme al derecho interno aplicable.</w:t>
      </w:r>
    </w:p>
    <w:p w14:paraId="27BB3C66" w14:textId="77777777" w:rsidR="00806348" w:rsidRPr="000864AE" w:rsidRDefault="00806348" w:rsidP="000864AE">
      <w:pPr>
        <w:pStyle w:val="Prrafodelista"/>
        <w:rPr>
          <w:rFonts w:ascii="Verdana" w:hAnsi="Verdana"/>
          <w:sz w:val="20"/>
          <w:szCs w:val="20"/>
        </w:rPr>
      </w:pPr>
    </w:p>
    <w:p w14:paraId="307027D8" w14:textId="77777777" w:rsidR="00806348" w:rsidRPr="000864AE" w:rsidRDefault="000610B2" w:rsidP="000864AE">
      <w:pPr>
        <w:pStyle w:val="Prrafodelista"/>
        <w:widowControl w:val="0"/>
        <w:numPr>
          <w:ilvl w:val="0"/>
          <w:numId w:val="10"/>
        </w:numPr>
        <w:adjustRightInd w:val="0"/>
        <w:spacing w:after="0" w:line="240" w:lineRule="auto"/>
        <w:ind w:left="0" w:firstLine="0"/>
        <w:jc w:val="both"/>
        <w:textAlignment w:val="baseline"/>
        <w:rPr>
          <w:rFonts w:ascii="Verdana" w:eastAsia="Arial" w:hAnsi="Verdana" w:cs="Arial"/>
          <w:b/>
          <w:sz w:val="20"/>
          <w:szCs w:val="20"/>
          <w:lang w:val="es-ES"/>
        </w:rPr>
      </w:pPr>
      <w:r w:rsidRPr="000864AE">
        <w:rPr>
          <w:rFonts w:ascii="Verdana" w:hAnsi="Verdana"/>
          <w:sz w:val="20"/>
          <w:szCs w:val="20"/>
        </w:rPr>
        <w:t>El Estado deberá cumplir con las obligaciones monetarias mediante el pago en dólares de los Estados Unidos de América o su equivalente en moneda nacional, utilizando para el cálculo respectivo el tipo de cambio que se encuentre vigente en la bolsa de Nueva York, Estados Unidos de América, el día anterior al pago.</w:t>
      </w:r>
    </w:p>
    <w:p w14:paraId="2D867381" w14:textId="77777777" w:rsidR="00806348" w:rsidRPr="000864AE" w:rsidRDefault="00806348" w:rsidP="000864AE">
      <w:pPr>
        <w:pStyle w:val="Prrafodelista"/>
        <w:rPr>
          <w:rFonts w:ascii="Verdana" w:hAnsi="Verdana"/>
          <w:sz w:val="20"/>
          <w:szCs w:val="20"/>
        </w:rPr>
      </w:pPr>
    </w:p>
    <w:p w14:paraId="74348C13" w14:textId="77777777" w:rsidR="00806348" w:rsidRPr="000864AE" w:rsidRDefault="000610B2" w:rsidP="000864AE">
      <w:pPr>
        <w:pStyle w:val="Prrafodelista"/>
        <w:widowControl w:val="0"/>
        <w:numPr>
          <w:ilvl w:val="0"/>
          <w:numId w:val="10"/>
        </w:numPr>
        <w:adjustRightInd w:val="0"/>
        <w:spacing w:after="0" w:line="240" w:lineRule="auto"/>
        <w:ind w:left="0" w:firstLine="0"/>
        <w:jc w:val="both"/>
        <w:textAlignment w:val="baseline"/>
        <w:rPr>
          <w:rFonts w:ascii="Verdana" w:eastAsia="Arial" w:hAnsi="Verdana" w:cs="Arial"/>
          <w:b/>
          <w:sz w:val="20"/>
          <w:szCs w:val="20"/>
          <w:lang w:val="es-ES"/>
        </w:rPr>
      </w:pPr>
      <w:r w:rsidRPr="000864AE">
        <w:rPr>
          <w:rFonts w:ascii="Verdana" w:hAnsi="Verdana"/>
          <w:sz w:val="20"/>
          <w:szCs w:val="20"/>
        </w:rPr>
        <w:t>Si por causas atribuibles a los beneficiarios de las indemnizaciones o a sus derechohabientes no fuese posible el pago de las cantidades determinadas dentro del plazo indicado, el Estado consignará dichos montos a su favor en una cuenta o certificado de depósito en una institución financiera peruana solvente, en dólares de los Estados Unidos de América, y en las condiciones financieras más favorables que permitan la legislación y la práctica bancaria. Si no se reclama la indemnización correspondiente una vez transcurridos diez años, las cantidades serán devueltas al Estado con los intereses devengados.</w:t>
      </w:r>
    </w:p>
    <w:p w14:paraId="61D56648" w14:textId="77777777" w:rsidR="00806348" w:rsidRPr="000864AE" w:rsidRDefault="00806348" w:rsidP="000864AE">
      <w:pPr>
        <w:pStyle w:val="Prrafodelista"/>
        <w:rPr>
          <w:rFonts w:ascii="Verdana" w:hAnsi="Verdana"/>
          <w:sz w:val="20"/>
          <w:szCs w:val="20"/>
        </w:rPr>
      </w:pPr>
    </w:p>
    <w:p w14:paraId="44AE8385" w14:textId="77777777" w:rsidR="00806348" w:rsidRPr="000864AE" w:rsidRDefault="000610B2" w:rsidP="000864AE">
      <w:pPr>
        <w:pStyle w:val="Prrafodelista"/>
        <w:widowControl w:val="0"/>
        <w:numPr>
          <w:ilvl w:val="0"/>
          <w:numId w:val="10"/>
        </w:numPr>
        <w:adjustRightInd w:val="0"/>
        <w:spacing w:after="0" w:line="240" w:lineRule="auto"/>
        <w:ind w:left="0" w:firstLine="0"/>
        <w:jc w:val="both"/>
        <w:textAlignment w:val="baseline"/>
        <w:rPr>
          <w:rFonts w:ascii="Verdana" w:eastAsia="Arial" w:hAnsi="Verdana" w:cs="Arial"/>
          <w:b/>
          <w:sz w:val="20"/>
          <w:szCs w:val="20"/>
          <w:lang w:val="es-ES"/>
        </w:rPr>
      </w:pPr>
      <w:r w:rsidRPr="000864AE">
        <w:rPr>
          <w:rFonts w:ascii="Verdana" w:hAnsi="Verdana"/>
          <w:sz w:val="20"/>
          <w:szCs w:val="20"/>
        </w:rPr>
        <w:t>Las cantidades asignadas en la presente Sentencia como indemnización por daños inmateriales, y como reintegro de costas y gastos, deberán ser entregadas a las personas indicadas en forma íntegra, conforme a lo establecido en esta Sentencia, sin reducciones derivadas de eventuales cargas fiscales.</w:t>
      </w:r>
    </w:p>
    <w:p w14:paraId="7312C603" w14:textId="77777777" w:rsidR="00806348" w:rsidRPr="000864AE" w:rsidRDefault="00806348" w:rsidP="000864AE">
      <w:pPr>
        <w:pStyle w:val="Prrafodelista"/>
        <w:rPr>
          <w:rFonts w:ascii="Verdana" w:hAnsi="Verdana"/>
          <w:sz w:val="20"/>
          <w:szCs w:val="20"/>
        </w:rPr>
      </w:pPr>
    </w:p>
    <w:p w14:paraId="55AE6C77" w14:textId="75F85DBB" w:rsidR="00B86B27" w:rsidRPr="000864AE" w:rsidRDefault="000610B2" w:rsidP="000864AE">
      <w:pPr>
        <w:pStyle w:val="Prrafodelista"/>
        <w:widowControl w:val="0"/>
        <w:numPr>
          <w:ilvl w:val="0"/>
          <w:numId w:val="10"/>
        </w:numPr>
        <w:adjustRightInd w:val="0"/>
        <w:spacing w:after="0" w:line="240" w:lineRule="auto"/>
        <w:ind w:left="0" w:firstLine="0"/>
        <w:jc w:val="both"/>
        <w:textAlignment w:val="baseline"/>
        <w:rPr>
          <w:rFonts w:ascii="Verdana" w:eastAsia="Arial" w:hAnsi="Verdana" w:cs="Arial"/>
          <w:b/>
          <w:sz w:val="20"/>
          <w:szCs w:val="20"/>
          <w:lang w:val="es-ES"/>
        </w:rPr>
      </w:pPr>
      <w:r w:rsidRPr="000864AE">
        <w:rPr>
          <w:rFonts w:ascii="Verdana" w:hAnsi="Verdana"/>
          <w:sz w:val="20"/>
          <w:szCs w:val="20"/>
        </w:rPr>
        <w:t>En caso de que el Estado incurriera en mora, incluyendo en el reintegro de los gastos al Fondo de Asistencia Legal de Víctimas, deberá pagar un interés sobre la cantidad adeudada correspondiente al interés bancario moratorio en Perú.</w:t>
      </w:r>
    </w:p>
    <w:p w14:paraId="582320CE" w14:textId="77777777" w:rsidR="002D4820" w:rsidRPr="000864AE" w:rsidRDefault="002D4820" w:rsidP="000864AE">
      <w:pPr>
        <w:pStyle w:val="Prrafodelista"/>
        <w:widowControl w:val="0"/>
        <w:adjustRightInd w:val="0"/>
        <w:spacing w:after="0" w:line="240" w:lineRule="auto"/>
        <w:ind w:left="0"/>
        <w:jc w:val="both"/>
        <w:textAlignment w:val="baseline"/>
        <w:rPr>
          <w:rFonts w:ascii="Verdana" w:eastAsia="Arial" w:hAnsi="Verdana" w:cs="Arial"/>
          <w:b/>
          <w:sz w:val="20"/>
          <w:szCs w:val="20"/>
          <w:lang w:val="es-ES"/>
        </w:rPr>
      </w:pPr>
    </w:p>
    <w:p w14:paraId="3A2B509B" w14:textId="7979C276" w:rsidR="001E14D8" w:rsidRPr="000864AE" w:rsidRDefault="001E14D8" w:rsidP="000864AE">
      <w:pPr>
        <w:keepNext/>
        <w:keepLines/>
        <w:tabs>
          <w:tab w:val="left" w:pos="851"/>
        </w:tabs>
        <w:spacing w:after="0" w:line="240" w:lineRule="auto"/>
        <w:jc w:val="center"/>
        <w:outlineLvl w:val="0"/>
        <w:rPr>
          <w:rFonts w:ascii="Verdana" w:eastAsia="Times New Roman" w:hAnsi="Verdana" w:cs="Verdana"/>
          <w:b/>
          <w:bCs/>
          <w:caps/>
          <w:snapToGrid w:val="0"/>
          <w:sz w:val="20"/>
          <w:szCs w:val="20"/>
        </w:rPr>
      </w:pPr>
      <w:bookmarkStart w:id="114" w:name="_Toc22846334"/>
      <w:bookmarkStart w:id="115" w:name="_Toc27329800"/>
      <w:r w:rsidRPr="000864AE">
        <w:rPr>
          <w:rFonts w:ascii="Verdana" w:eastAsia="Times New Roman" w:hAnsi="Verdana" w:cs="Verdana"/>
          <w:b/>
          <w:bCs/>
          <w:caps/>
          <w:snapToGrid w:val="0"/>
          <w:sz w:val="20"/>
          <w:szCs w:val="20"/>
        </w:rPr>
        <w:t>X</w:t>
      </w:r>
      <w:r w:rsidRPr="000864AE">
        <w:rPr>
          <w:rFonts w:ascii="Verdana" w:eastAsia="Times New Roman" w:hAnsi="Verdana" w:cs="Verdana"/>
          <w:b/>
          <w:bCs/>
          <w:caps/>
          <w:snapToGrid w:val="0"/>
          <w:sz w:val="20"/>
          <w:szCs w:val="20"/>
        </w:rPr>
        <w:br/>
        <w:t>PUNTOS RESOLUTIVOS</w:t>
      </w:r>
      <w:bookmarkEnd w:id="114"/>
      <w:bookmarkEnd w:id="115"/>
    </w:p>
    <w:p w14:paraId="2AC01790" w14:textId="77777777" w:rsidR="001E14D8" w:rsidRPr="000864AE" w:rsidRDefault="001E14D8" w:rsidP="000864AE">
      <w:pPr>
        <w:tabs>
          <w:tab w:val="left" w:pos="720"/>
        </w:tabs>
        <w:spacing w:after="0" w:line="240" w:lineRule="auto"/>
        <w:ind w:right="-90"/>
        <w:contextualSpacing/>
        <w:rPr>
          <w:rFonts w:ascii="Verdana" w:eastAsia="MS Mincho" w:hAnsi="Verdana"/>
          <w:b/>
          <w:bCs/>
          <w:sz w:val="20"/>
          <w:szCs w:val="20"/>
          <w:lang w:val="es-CR" w:bidi="en-US"/>
        </w:rPr>
      </w:pPr>
    </w:p>
    <w:p w14:paraId="2654AD35" w14:textId="7DF040F4" w:rsidR="001E14D8" w:rsidRPr="000864AE" w:rsidRDefault="001E14D8" w:rsidP="000864AE">
      <w:pPr>
        <w:pStyle w:val="Prrafodelista"/>
        <w:numPr>
          <w:ilvl w:val="0"/>
          <w:numId w:val="10"/>
        </w:numPr>
        <w:tabs>
          <w:tab w:val="left" w:pos="720"/>
        </w:tabs>
        <w:spacing w:after="0" w:line="240" w:lineRule="auto"/>
        <w:ind w:left="0" w:right="-90" w:firstLine="0"/>
        <w:jc w:val="both"/>
        <w:rPr>
          <w:rFonts w:ascii="Verdana" w:eastAsia="MS Mincho" w:hAnsi="Verdana"/>
          <w:bCs/>
          <w:sz w:val="20"/>
          <w:szCs w:val="20"/>
          <w:lang w:val="es-CR" w:bidi="en-US"/>
        </w:rPr>
      </w:pPr>
      <w:r w:rsidRPr="000864AE">
        <w:rPr>
          <w:rFonts w:ascii="Verdana" w:eastAsia="MS Mincho" w:hAnsi="Verdana"/>
          <w:bCs/>
          <w:sz w:val="20"/>
          <w:szCs w:val="20"/>
          <w:lang w:val="es-CR" w:bidi="en-US"/>
        </w:rPr>
        <w:t xml:space="preserve">Por tanto, </w:t>
      </w:r>
    </w:p>
    <w:p w14:paraId="19857F15" w14:textId="77777777" w:rsidR="001E14D8" w:rsidRPr="000864AE" w:rsidRDefault="001E14D8" w:rsidP="000864AE">
      <w:pPr>
        <w:tabs>
          <w:tab w:val="left" w:pos="720"/>
        </w:tabs>
        <w:spacing w:after="0" w:line="240" w:lineRule="auto"/>
        <w:ind w:right="-90"/>
        <w:contextualSpacing/>
        <w:jc w:val="both"/>
        <w:rPr>
          <w:rFonts w:ascii="Verdana" w:eastAsia="MS Mincho" w:hAnsi="Verdana"/>
          <w:b/>
          <w:bCs/>
          <w:sz w:val="20"/>
          <w:szCs w:val="20"/>
          <w:lang w:val="es-CR" w:bidi="en-US"/>
        </w:rPr>
      </w:pPr>
    </w:p>
    <w:p w14:paraId="3168FE47" w14:textId="77777777" w:rsidR="001E14D8" w:rsidRPr="000864AE" w:rsidRDefault="001E14D8" w:rsidP="000864AE">
      <w:pPr>
        <w:tabs>
          <w:tab w:val="left" w:pos="720"/>
        </w:tabs>
        <w:spacing w:after="0" w:line="240" w:lineRule="auto"/>
        <w:ind w:right="-90"/>
        <w:contextualSpacing/>
        <w:jc w:val="both"/>
        <w:rPr>
          <w:rFonts w:ascii="Verdana" w:eastAsia="MS Mincho" w:hAnsi="Verdana"/>
          <w:sz w:val="20"/>
          <w:szCs w:val="20"/>
          <w:lang w:val="es-CR" w:bidi="en-US"/>
        </w:rPr>
      </w:pPr>
      <w:r w:rsidRPr="000864AE">
        <w:rPr>
          <w:rFonts w:ascii="Verdana" w:eastAsia="MS Mincho" w:hAnsi="Verdana"/>
          <w:b/>
          <w:bCs/>
          <w:sz w:val="20"/>
          <w:szCs w:val="20"/>
          <w:lang w:val="es-CR" w:bidi="en-US"/>
        </w:rPr>
        <w:t>LA CORTE,</w:t>
      </w:r>
    </w:p>
    <w:p w14:paraId="23EFC5BB" w14:textId="77777777" w:rsidR="001E14D8" w:rsidRPr="000864AE" w:rsidRDefault="001E14D8" w:rsidP="000864AE">
      <w:pPr>
        <w:tabs>
          <w:tab w:val="left" w:pos="720"/>
        </w:tabs>
        <w:spacing w:after="0" w:line="240" w:lineRule="auto"/>
        <w:ind w:right="-90"/>
        <w:contextualSpacing/>
        <w:jc w:val="both"/>
        <w:rPr>
          <w:rFonts w:ascii="Verdana" w:hAnsi="Verdana"/>
          <w:sz w:val="20"/>
          <w:szCs w:val="20"/>
          <w:lang w:val="es-CR"/>
        </w:rPr>
      </w:pPr>
    </w:p>
    <w:p w14:paraId="40816BE7" w14:textId="20F83087" w:rsidR="001E14D8" w:rsidRPr="000864AE" w:rsidRDefault="001E14D8" w:rsidP="000864AE">
      <w:pPr>
        <w:tabs>
          <w:tab w:val="left" w:pos="720"/>
        </w:tabs>
        <w:spacing w:after="0" w:line="240" w:lineRule="auto"/>
        <w:ind w:right="-90"/>
        <w:contextualSpacing/>
        <w:jc w:val="both"/>
        <w:rPr>
          <w:rFonts w:ascii="Verdana" w:hAnsi="Verdana"/>
          <w:b/>
          <w:sz w:val="20"/>
          <w:szCs w:val="20"/>
          <w:lang w:val="es-CR"/>
        </w:rPr>
      </w:pPr>
      <w:r w:rsidRPr="000864AE">
        <w:rPr>
          <w:rFonts w:ascii="Verdana" w:hAnsi="Verdana"/>
          <w:b/>
          <w:sz w:val="20"/>
          <w:szCs w:val="20"/>
          <w:lang w:val="es-CR"/>
        </w:rPr>
        <w:t xml:space="preserve">DECIDE: </w:t>
      </w:r>
    </w:p>
    <w:p w14:paraId="40155602" w14:textId="77777777" w:rsidR="001E14D8" w:rsidRPr="000864AE" w:rsidRDefault="001E14D8" w:rsidP="000864AE">
      <w:pPr>
        <w:tabs>
          <w:tab w:val="left" w:pos="720"/>
        </w:tabs>
        <w:spacing w:after="0" w:line="240" w:lineRule="auto"/>
        <w:ind w:right="-90"/>
        <w:contextualSpacing/>
        <w:jc w:val="both"/>
        <w:rPr>
          <w:rFonts w:ascii="Verdana" w:hAnsi="Verdana"/>
          <w:sz w:val="20"/>
          <w:szCs w:val="20"/>
          <w:lang w:val="es-CR"/>
        </w:rPr>
      </w:pPr>
    </w:p>
    <w:p w14:paraId="3EF897DA" w14:textId="037FEEE6" w:rsidR="00264901" w:rsidRPr="000864AE" w:rsidRDefault="00264901" w:rsidP="000864AE">
      <w:pPr>
        <w:tabs>
          <w:tab w:val="left" w:pos="720"/>
        </w:tabs>
        <w:spacing w:after="0" w:line="240" w:lineRule="auto"/>
        <w:ind w:right="-90"/>
        <w:contextualSpacing/>
        <w:jc w:val="both"/>
        <w:rPr>
          <w:rFonts w:ascii="Verdana" w:hAnsi="Verdana"/>
          <w:sz w:val="20"/>
          <w:szCs w:val="20"/>
          <w:lang w:val="es-CR"/>
        </w:rPr>
      </w:pPr>
      <w:r w:rsidRPr="000864AE">
        <w:rPr>
          <w:rFonts w:ascii="Verdana" w:hAnsi="Verdana"/>
          <w:sz w:val="20"/>
          <w:szCs w:val="20"/>
          <w:lang w:val="es-CR"/>
        </w:rPr>
        <w:t>Por seis votos a favor y uno en contra,</w:t>
      </w:r>
    </w:p>
    <w:p w14:paraId="4A2056F0" w14:textId="77777777" w:rsidR="00264901" w:rsidRPr="000864AE" w:rsidRDefault="00264901" w:rsidP="000864AE">
      <w:pPr>
        <w:tabs>
          <w:tab w:val="left" w:pos="720"/>
        </w:tabs>
        <w:spacing w:after="0" w:line="240" w:lineRule="auto"/>
        <w:ind w:right="-90"/>
        <w:contextualSpacing/>
        <w:jc w:val="both"/>
        <w:rPr>
          <w:rFonts w:ascii="Verdana" w:hAnsi="Verdana"/>
          <w:sz w:val="20"/>
          <w:szCs w:val="20"/>
          <w:lang w:val="es-CR"/>
        </w:rPr>
      </w:pPr>
    </w:p>
    <w:p w14:paraId="1C6A8740" w14:textId="052FB763" w:rsidR="001E14D8" w:rsidRPr="000864AE" w:rsidRDefault="001E14D8" w:rsidP="000864AE">
      <w:pPr>
        <w:pStyle w:val="Prrafodelista"/>
        <w:numPr>
          <w:ilvl w:val="3"/>
          <w:numId w:val="12"/>
        </w:numPr>
        <w:tabs>
          <w:tab w:val="left" w:pos="720"/>
        </w:tabs>
        <w:spacing w:after="0" w:line="240" w:lineRule="auto"/>
        <w:ind w:left="0" w:right="-90" w:firstLine="0"/>
        <w:jc w:val="both"/>
        <w:rPr>
          <w:rFonts w:ascii="Verdana" w:hAnsi="Verdana"/>
          <w:sz w:val="20"/>
          <w:szCs w:val="20"/>
          <w:lang w:val="es-CR"/>
        </w:rPr>
      </w:pPr>
      <w:r w:rsidRPr="000864AE">
        <w:rPr>
          <w:rFonts w:ascii="Verdana" w:hAnsi="Verdana"/>
          <w:sz w:val="20"/>
          <w:szCs w:val="20"/>
          <w:lang w:val="es-CR"/>
        </w:rPr>
        <w:t>Desestimar la excepción preliminar por falta de agotamiento de los recursos internos</w:t>
      </w:r>
      <w:r w:rsidR="00C050C1" w:rsidRPr="000864AE">
        <w:rPr>
          <w:rFonts w:ascii="Verdana" w:hAnsi="Verdana"/>
          <w:sz w:val="20"/>
          <w:szCs w:val="20"/>
          <w:lang w:val="es-CR"/>
        </w:rPr>
        <w:t xml:space="preserve"> planteada por el Estado</w:t>
      </w:r>
      <w:r w:rsidRPr="000864AE">
        <w:rPr>
          <w:rFonts w:ascii="Verdana" w:hAnsi="Verdana"/>
          <w:sz w:val="20"/>
          <w:szCs w:val="20"/>
          <w:lang w:val="es-CR"/>
        </w:rPr>
        <w:t xml:space="preserve">, de conformidad con los párrafos </w:t>
      </w:r>
      <w:r w:rsidR="008174BD" w:rsidRPr="000864AE">
        <w:rPr>
          <w:rFonts w:ascii="Verdana" w:hAnsi="Verdana"/>
          <w:sz w:val="20"/>
          <w:szCs w:val="20"/>
          <w:lang w:val="es-CR"/>
        </w:rPr>
        <w:t>18</w:t>
      </w:r>
      <w:r w:rsidRPr="000864AE">
        <w:rPr>
          <w:rFonts w:ascii="Verdana" w:hAnsi="Verdana"/>
          <w:sz w:val="20"/>
          <w:szCs w:val="20"/>
          <w:lang w:val="es-CR"/>
        </w:rPr>
        <w:t xml:space="preserve"> a</w:t>
      </w:r>
      <w:r w:rsidR="008174BD" w:rsidRPr="000864AE">
        <w:rPr>
          <w:rFonts w:ascii="Verdana" w:hAnsi="Verdana"/>
          <w:sz w:val="20"/>
          <w:szCs w:val="20"/>
          <w:lang w:val="es-CR"/>
        </w:rPr>
        <w:t>l</w:t>
      </w:r>
      <w:r w:rsidRPr="000864AE">
        <w:rPr>
          <w:rFonts w:ascii="Verdana" w:hAnsi="Verdana"/>
          <w:sz w:val="20"/>
          <w:szCs w:val="20"/>
          <w:lang w:val="es-CR"/>
        </w:rPr>
        <w:t xml:space="preserve"> </w:t>
      </w:r>
      <w:r w:rsidR="008174BD" w:rsidRPr="000864AE">
        <w:rPr>
          <w:rFonts w:ascii="Verdana" w:hAnsi="Verdana"/>
          <w:sz w:val="20"/>
          <w:szCs w:val="20"/>
          <w:lang w:val="es-CR"/>
        </w:rPr>
        <w:t>23</w:t>
      </w:r>
      <w:r w:rsidRPr="000864AE">
        <w:rPr>
          <w:rFonts w:ascii="Verdana" w:hAnsi="Verdana"/>
          <w:sz w:val="20"/>
          <w:szCs w:val="20"/>
          <w:lang w:val="es-CR"/>
        </w:rPr>
        <w:t xml:space="preserve"> de la presente Sentencia.</w:t>
      </w:r>
    </w:p>
    <w:p w14:paraId="634CC70A" w14:textId="77777777" w:rsidR="00D311D1" w:rsidRPr="000864AE" w:rsidRDefault="00D311D1" w:rsidP="000864AE">
      <w:pPr>
        <w:pStyle w:val="Ttulo3"/>
        <w:numPr>
          <w:ilvl w:val="0"/>
          <w:numId w:val="0"/>
        </w:numPr>
        <w:rPr>
          <w:b w:val="0"/>
          <w:i w:val="0"/>
          <w:lang w:val="es-CR"/>
        </w:rPr>
      </w:pPr>
    </w:p>
    <w:p w14:paraId="72F52020" w14:textId="22C6FC90" w:rsidR="001E14D8" w:rsidRPr="000864AE" w:rsidRDefault="00D311D1" w:rsidP="000864AE">
      <w:pPr>
        <w:pStyle w:val="Prrafodelista"/>
        <w:tabs>
          <w:tab w:val="left" w:pos="720"/>
        </w:tabs>
        <w:spacing w:after="0" w:line="240" w:lineRule="auto"/>
        <w:ind w:left="0" w:right="-90"/>
        <w:jc w:val="both"/>
        <w:rPr>
          <w:rFonts w:ascii="Verdana" w:hAnsi="Verdana"/>
          <w:sz w:val="20"/>
          <w:szCs w:val="20"/>
          <w:lang w:val="es-CR"/>
        </w:rPr>
      </w:pPr>
      <w:r w:rsidRPr="000864AE">
        <w:rPr>
          <w:rFonts w:ascii="Verdana" w:hAnsi="Verdana"/>
          <w:sz w:val="20"/>
          <w:szCs w:val="20"/>
        </w:rPr>
        <w:t xml:space="preserve">Disiente el </w:t>
      </w:r>
      <w:r w:rsidR="00111EE8" w:rsidRPr="000864AE">
        <w:rPr>
          <w:rFonts w:ascii="Verdana" w:hAnsi="Verdana"/>
          <w:sz w:val="20"/>
          <w:szCs w:val="20"/>
        </w:rPr>
        <w:t>J</w:t>
      </w:r>
      <w:r w:rsidRPr="000864AE">
        <w:rPr>
          <w:rFonts w:ascii="Verdana" w:hAnsi="Verdana"/>
          <w:sz w:val="20"/>
          <w:szCs w:val="20"/>
        </w:rPr>
        <w:t>uez Eduardo Vio Grossi.</w:t>
      </w:r>
    </w:p>
    <w:p w14:paraId="1FF29077" w14:textId="77777777" w:rsidR="00D311D1" w:rsidRPr="000864AE" w:rsidRDefault="00D311D1" w:rsidP="000864AE">
      <w:pPr>
        <w:pStyle w:val="Prrafodelista"/>
        <w:tabs>
          <w:tab w:val="left" w:pos="720"/>
        </w:tabs>
        <w:spacing w:after="0" w:line="240" w:lineRule="auto"/>
        <w:ind w:left="0" w:right="-90"/>
        <w:jc w:val="both"/>
        <w:rPr>
          <w:rFonts w:ascii="Verdana" w:hAnsi="Verdana"/>
          <w:sz w:val="20"/>
          <w:szCs w:val="20"/>
          <w:lang w:val="es-CR"/>
        </w:rPr>
      </w:pPr>
    </w:p>
    <w:p w14:paraId="273FD4ED" w14:textId="366490FC" w:rsidR="00264901" w:rsidRPr="000864AE" w:rsidRDefault="00264901" w:rsidP="000864AE">
      <w:pPr>
        <w:pStyle w:val="Prrafodelista"/>
        <w:tabs>
          <w:tab w:val="left" w:pos="720"/>
        </w:tabs>
        <w:spacing w:after="0" w:line="240" w:lineRule="auto"/>
        <w:ind w:left="0" w:right="-90"/>
        <w:jc w:val="both"/>
        <w:rPr>
          <w:rFonts w:ascii="Verdana" w:hAnsi="Verdana"/>
          <w:sz w:val="20"/>
          <w:szCs w:val="20"/>
          <w:lang w:val="es-CR"/>
        </w:rPr>
      </w:pPr>
      <w:r w:rsidRPr="000864AE">
        <w:rPr>
          <w:rFonts w:ascii="Verdana" w:hAnsi="Verdana"/>
          <w:sz w:val="20"/>
          <w:szCs w:val="20"/>
          <w:lang w:val="es-CR"/>
        </w:rPr>
        <w:t>Por seis votos a favor y uno en contra,</w:t>
      </w:r>
    </w:p>
    <w:p w14:paraId="3CB7FD37" w14:textId="77777777" w:rsidR="00264901" w:rsidRPr="000864AE" w:rsidRDefault="00264901" w:rsidP="000864AE">
      <w:pPr>
        <w:pStyle w:val="Prrafodelista"/>
        <w:tabs>
          <w:tab w:val="left" w:pos="720"/>
        </w:tabs>
        <w:spacing w:after="0" w:line="240" w:lineRule="auto"/>
        <w:ind w:left="0" w:right="-90"/>
        <w:jc w:val="both"/>
        <w:rPr>
          <w:rFonts w:ascii="Verdana" w:hAnsi="Verdana"/>
          <w:sz w:val="20"/>
          <w:szCs w:val="20"/>
          <w:lang w:val="es-CR"/>
        </w:rPr>
      </w:pPr>
    </w:p>
    <w:p w14:paraId="790C0348" w14:textId="479E5C1D" w:rsidR="001E14D8" w:rsidRPr="000864AE" w:rsidRDefault="00C050C1" w:rsidP="000864AE">
      <w:pPr>
        <w:pStyle w:val="Prrafodelista"/>
        <w:numPr>
          <w:ilvl w:val="3"/>
          <w:numId w:val="12"/>
        </w:numPr>
        <w:tabs>
          <w:tab w:val="left" w:pos="720"/>
        </w:tabs>
        <w:spacing w:after="0" w:line="240" w:lineRule="auto"/>
        <w:ind w:left="0" w:right="-90" w:firstLine="0"/>
        <w:jc w:val="both"/>
        <w:rPr>
          <w:rFonts w:ascii="Verdana" w:hAnsi="Verdana"/>
          <w:sz w:val="20"/>
          <w:szCs w:val="20"/>
          <w:lang w:val="es-CR"/>
        </w:rPr>
      </w:pPr>
      <w:r w:rsidRPr="000864AE">
        <w:rPr>
          <w:rFonts w:ascii="Verdana" w:hAnsi="Verdana"/>
          <w:sz w:val="20"/>
          <w:szCs w:val="20"/>
          <w:lang w:val="es-CR"/>
        </w:rPr>
        <w:t xml:space="preserve">Desestimar la excepción preliminar por cuarta instancia planteada por el Estado, de conformidad con los párrafos </w:t>
      </w:r>
      <w:r w:rsidR="008174BD" w:rsidRPr="000864AE">
        <w:rPr>
          <w:rFonts w:ascii="Verdana" w:hAnsi="Verdana"/>
          <w:sz w:val="20"/>
          <w:szCs w:val="20"/>
          <w:lang w:val="es-CR"/>
        </w:rPr>
        <w:t>27</w:t>
      </w:r>
      <w:r w:rsidRPr="000864AE">
        <w:rPr>
          <w:rFonts w:ascii="Verdana" w:hAnsi="Verdana"/>
          <w:sz w:val="20"/>
          <w:szCs w:val="20"/>
          <w:lang w:val="es-CR"/>
        </w:rPr>
        <w:t xml:space="preserve"> a</w:t>
      </w:r>
      <w:r w:rsidR="008174BD" w:rsidRPr="000864AE">
        <w:rPr>
          <w:rFonts w:ascii="Verdana" w:hAnsi="Verdana"/>
          <w:sz w:val="20"/>
          <w:szCs w:val="20"/>
          <w:lang w:val="es-CR"/>
        </w:rPr>
        <w:t>l 29</w:t>
      </w:r>
      <w:r w:rsidRPr="000864AE">
        <w:rPr>
          <w:rFonts w:ascii="Verdana" w:hAnsi="Verdana"/>
          <w:sz w:val="20"/>
          <w:szCs w:val="20"/>
          <w:lang w:val="es-CR"/>
        </w:rPr>
        <w:t xml:space="preserve"> de la presente Sentencia.</w:t>
      </w:r>
    </w:p>
    <w:p w14:paraId="67ADB16D" w14:textId="77777777" w:rsidR="00264901" w:rsidRPr="000864AE" w:rsidRDefault="00264901" w:rsidP="000864AE">
      <w:pPr>
        <w:spacing w:after="0" w:line="240" w:lineRule="auto"/>
        <w:rPr>
          <w:rFonts w:ascii="Verdana" w:hAnsi="Verdana"/>
          <w:sz w:val="20"/>
          <w:szCs w:val="20"/>
          <w:lang w:val="es-CR"/>
        </w:rPr>
      </w:pPr>
    </w:p>
    <w:p w14:paraId="79A7D5C9" w14:textId="5E435828" w:rsidR="00D311D1" w:rsidRPr="000864AE" w:rsidRDefault="00D311D1" w:rsidP="000864AE">
      <w:pPr>
        <w:pStyle w:val="Prrafodelista"/>
        <w:tabs>
          <w:tab w:val="left" w:pos="720"/>
        </w:tabs>
        <w:spacing w:after="0" w:line="240" w:lineRule="auto"/>
        <w:ind w:left="0" w:right="-90"/>
        <w:jc w:val="both"/>
        <w:rPr>
          <w:rFonts w:ascii="Verdana" w:hAnsi="Verdana"/>
          <w:sz w:val="20"/>
          <w:szCs w:val="20"/>
          <w:lang w:val="es-CR"/>
        </w:rPr>
      </w:pPr>
      <w:r w:rsidRPr="000864AE">
        <w:rPr>
          <w:rFonts w:ascii="Verdana" w:hAnsi="Verdana"/>
          <w:sz w:val="20"/>
          <w:szCs w:val="20"/>
        </w:rPr>
        <w:t xml:space="preserve">Disiente el </w:t>
      </w:r>
      <w:r w:rsidR="00111EE8" w:rsidRPr="000864AE">
        <w:rPr>
          <w:rFonts w:ascii="Verdana" w:hAnsi="Verdana"/>
          <w:sz w:val="20"/>
          <w:szCs w:val="20"/>
        </w:rPr>
        <w:t>J</w:t>
      </w:r>
      <w:r w:rsidRPr="000864AE">
        <w:rPr>
          <w:rFonts w:ascii="Verdana" w:hAnsi="Verdana"/>
          <w:sz w:val="20"/>
          <w:szCs w:val="20"/>
        </w:rPr>
        <w:t>uez Eduardo Vio Grossi.</w:t>
      </w:r>
    </w:p>
    <w:p w14:paraId="4BEA7BC7" w14:textId="77777777" w:rsidR="00D311D1" w:rsidRPr="000864AE" w:rsidRDefault="00D311D1" w:rsidP="000864AE">
      <w:pPr>
        <w:spacing w:after="0" w:line="240" w:lineRule="auto"/>
        <w:rPr>
          <w:rFonts w:ascii="Verdana" w:hAnsi="Verdana"/>
          <w:sz w:val="20"/>
          <w:szCs w:val="20"/>
          <w:lang w:val="es-CR"/>
        </w:rPr>
      </w:pPr>
    </w:p>
    <w:p w14:paraId="2A22894C" w14:textId="674A7B74" w:rsidR="00264901" w:rsidRPr="000864AE" w:rsidRDefault="00264901" w:rsidP="000864AE">
      <w:pPr>
        <w:spacing w:after="0" w:line="240" w:lineRule="auto"/>
        <w:rPr>
          <w:rFonts w:ascii="Verdana" w:hAnsi="Verdana"/>
          <w:sz w:val="20"/>
          <w:szCs w:val="20"/>
          <w:lang w:val="es-CR"/>
        </w:rPr>
      </w:pPr>
      <w:r w:rsidRPr="000864AE">
        <w:rPr>
          <w:rFonts w:ascii="Verdana" w:hAnsi="Verdana"/>
          <w:sz w:val="20"/>
          <w:szCs w:val="20"/>
          <w:lang w:val="es-CR"/>
        </w:rPr>
        <w:t>Por cinco votos a favor y dos en contra,</w:t>
      </w:r>
    </w:p>
    <w:p w14:paraId="409DD88E" w14:textId="77777777" w:rsidR="00264901" w:rsidRPr="000864AE" w:rsidRDefault="00264901" w:rsidP="000864AE">
      <w:pPr>
        <w:pStyle w:val="Prrafodelista"/>
        <w:spacing w:after="0" w:line="240" w:lineRule="auto"/>
        <w:rPr>
          <w:rFonts w:ascii="Verdana" w:hAnsi="Verdana"/>
          <w:sz w:val="20"/>
          <w:szCs w:val="20"/>
          <w:lang w:val="es-CR"/>
        </w:rPr>
      </w:pPr>
    </w:p>
    <w:p w14:paraId="6D103B95" w14:textId="5110F4E7" w:rsidR="00C050C1" w:rsidRPr="000864AE" w:rsidRDefault="00C050C1" w:rsidP="000864AE">
      <w:pPr>
        <w:pStyle w:val="Prrafodelista"/>
        <w:numPr>
          <w:ilvl w:val="3"/>
          <w:numId w:val="12"/>
        </w:numPr>
        <w:tabs>
          <w:tab w:val="left" w:pos="720"/>
        </w:tabs>
        <w:spacing w:after="0" w:line="240" w:lineRule="auto"/>
        <w:ind w:left="0" w:right="-90" w:firstLine="0"/>
        <w:jc w:val="both"/>
        <w:rPr>
          <w:rFonts w:ascii="Verdana" w:hAnsi="Verdana"/>
          <w:sz w:val="20"/>
          <w:szCs w:val="20"/>
          <w:lang w:val="es-CR"/>
        </w:rPr>
      </w:pPr>
      <w:r w:rsidRPr="000864AE">
        <w:rPr>
          <w:rFonts w:ascii="Verdana" w:hAnsi="Verdana"/>
          <w:sz w:val="20"/>
          <w:szCs w:val="20"/>
          <w:lang w:val="es-CR"/>
        </w:rPr>
        <w:t xml:space="preserve">Desestimar la excepción preliminar </w:t>
      </w:r>
      <w:r w:rsidR="00A74C1D" w:rsidRPr="000864AE">
        <w:rPr>
          <w:rFonts w:ascii="Verdana" w:hAnsi="Verdana"/>
          <w:sz w:val="20"/>
          <w:szCs w:val="20"/>
          <w:lang w:val="es-CR"/>
        </w:rPr>
        <w:t xml:space="preserve">en razón de la materia planteada por el Estado, de conformidad con los párrafos </w:t>
      </w:r>
      <w:r w:rsidR="008174BD" w:rsidRPr="000864AE">
        <w:rPr>
          <w:rFonts w:ascii="Verdana" w:hAnsi="Verdana"/>
          <w:sz w:val="20"/>
          <w:szCs w:val="20"/>
          <w:lang w:val="es-CR"/>
        </w:rPr>
        <w:t>33 a</w:t>
      </w:r>
      <w:r w:rsidR="00070F24" w:rsidRPr="000864AE">
        <w:rPr>
          <w:rFonts w:ascii="Verdana" w:hAnsi="Verdana"/>
          <w:sz w:val="20"/>
          <w:szCs w:val="20"/>
          <w:lang w:val="es-CR"/>
        </w:rPr>
        <w:t>l</w:t>
      </w:r>
      <w:r w:rsidR="008174BD" w:rsidRPr="000864AE">
        <w:rPr>
          <w:rFonts w:ascii="Verdana" w:hAnsi="Verdana"/>
          <w:sz w:val="20"/>
          <w:szCs w:val="20"/>
          <w:lang w:val="es-CR"/>
        </w:rPr>
        <w:t xml:space="preserve"> 37</w:t>
      </w:r>
      <w:r w:rsidR="00A74C1D" w:rsidRPr="000864AE">
        <w:rPr>
          <w:rFonts w:ascii="Verdana" w:hAnsi="Verdana"/>
          <w:sz w:val="20"/>
          <w:szCs w:val="20"/>
          <w:lang w:val="es-CR"/>
        </w:rPr>
        <w:t xml:space="preserve"> de la presente Sentencia.</w:t>
      </w:r>
      <w:r w:rsidRPr="000864AE">
        <w:rPr>
          <w:rFonts w:ascii="Verdana" w:hAnsi="Verdana"/>
          <w:sz w:val="20"/>
          <w:szCs w:val="20"/>
          <w:lang w:val="es-CR"/>
        </w:rPr>
        <w:t xml:space="preserve"> </w:t>
      </w:r>
    </w:p>
    <w:p w14:paraId="1DA0C24A" w14:textId="77777777" w:rsidR="001E14D8" w:rsidRPr="000864AE" w:rsidRDefault="001E14D8" w:rsidP="000864AE">
      <w:pPr>
        <w:tabs>
          <w:tab w:val="left" w:pos="720"/>
        </w:tabs>
        <w:spacing w:after="0" w:line="240" w:lineRule="auto"/>
        <w:ind w:right="-90"/>
        <w:contextualSpacing/>
        <w:jc w:val="both"/>
        <w:rPr>
          <w:rFonts w:ascii="Verdana" w:hAnsi="Verdana"/>
          <w:sz w:val="20"/>
          <w:szCs w:val="20"/>
          <w:lang w:val="es-CR"/>
        </w:rPr>
      </w:pPr>
    </w:p>
    <w:p w14:paraId="57B77D10" w14:textId="4676C7B4" w:rsidR="00B90811" w:rsidRPr="000864AE" w:rsidRDefault="00B90811" w:rsidP="000864AE">
      <w:pPr>
        <w:pStyle w:val="Prrafodelista"/>
        <w:tabs>
          <w:tab w:val="left" w:pos="720"/>
        </w:tabs>
        <w:spacing w:after="0" w:line="240" w:lineRule="auto"/>
        <w:ind w:left="0" w:right="-90"/>
        <w:jc w:val="both"/>
        <w:rPr>
          <w:rFonts w:ascii="Verdana" w:hAnsi="Verdana"/>
          <w:sz w:val="20"/>
          <w:szCs w:val="20"/>
          <w:lang w:val="es-CR"/>
        </w:rPr>
      </w:pPr>
      <w:r w:rsidRPr="000864AE">
        <w:rPr>
          <w:rFonts w:ascii="Verdana" w:hAnsi="Verdana"/>
          <w:sz w:val="20"/>
          <w:szCs w:val="20"/>
        </w:rPr>
        <w:t xml:space="preserve">Disienten los </w:t>
      </w:r>
      <w:r w:rsidR="00111EE8" w:rsidRPr="000864AE">
        <w:rPr>
          <w:rFonts w:ascii="Verdana" w:hAnsi="Verdana"/>
          <w:sz w:val="20"/>
          <w:szCs w:val="20"/>
        </w:rPr>
        <w:t>J</w:t>
      </w:r>
      <w:r w:rsidRPr="000864AE">
        <w:rPr>
          <w:rFonts w:ascii="Verdana" w:hAnsi="Verdana"/>
          <w:sz w:val="20"/>
          <w:szCs w:val="20"/>
        </w:rPr>
        <w:t>ueces Eduardo Vio Grossi y Humberto Antonio Sierra Porto.</w:t>
      </w:r>
    </w:p>
    <w:p w14:paraId="1BC01F86" w14:textId="77777777" w:rsidR="00D311D1" w:rsidRPr="000864AE" w:rsidRDefault="00D311D1" w:rsidP="000864AE">
      <w:pPr>
        <w:tabs>
          <w:tab w:val="left" w:pos="720"/>
        </w:tabs>
        <w:spacing w:after="0" w:line="240" w:lineRule="auto"/>
        <w:ind w:right="-90"/>
        <w:contextualSpacing/>
        <w:jc w:val="both"/>
        <w:rPr>
          <w:rFonts w:ascii="Verdana" w:hAnsi="Verdana"/>
          <w:sz w:val="20"/>
          <w:szCs w:val="20"/>
          <w:lang w:val="es-CR"/>
        </w:rPr>
      </w:pPr>
    </w:p>
    <w:p w14:paraId="3B4A5B5D" w14:textId="77777777" w:rsidR="001E14D8" w:rsidRPr="000864AE" w:rsidRDefault="001E14D8" w:rsidP="000864AE">
      <w:pPr>
        <w:tabs>
          <w:tab w:val="left" w:pos="720"/>
        </w:tabs>
        <w:spacing w:after="0" w:line="240" w:lineRule="auto"/>
        <w:ind w:right="-90"/>
        <w:contextualSpacing/>
        <w:jc w:val="both"/>
        <w:rPr>
          <w:rFonts w:ascii="Verdana" w:eastAsia="MS Mincho" w:hAnsi="Verdana"/>
          <w:sz w:val="20"/>
          <w:szCs w:val="20"/>
          <w:lang w:val="es-CR" w:bidi="en-US"/>
        </w:rPr>
      </w:pPr>
      <w:r w:rsidRPr="000864AE">
        <w:rPr>
          <w:rFonts w:ascii="Verdana" w:eastAsia="MS Mincho" w:hAnsi="Verdana"/>
          <w:b/>
          <w:bCs/>
          <w:sz w:val="20"/>
          <w:szCs w:val="20"/>
          <w:lang w:val="es-CR" w:bidi="en-US"/>
        </w:rPr>
        <w:t>DECLARA:</w:t>
      </w:r>
    </w:p>
    <w:p w14:paraId="2E9FC764" w14:textId="77777777" w:rsidR="001E14D8" w:rsidRPr="000864AE" w:rsidRDefault="001E14D8" w:rsidP="000864AE">
      <w:pPr>
        <w:tabs>
          <w:tab w:val="left" w:pos="720"/>
        </w:tabs>
        <w:spacing w:after="0" w:line="240" w:lineRule="auto"/>
        <w:ind w:right="-90"/>
        <w:contextualSpacing/>
        <w:jc w:val="both"/>
        <w:rPr>
          <w:rFonts w:ascii="Verdana" w:eastAsia="MS Mincho" w:hAnsi="Verdana"/>
          <w:sz w:val="20"/>
          <w:szCs w:val="20"/>
          <w:lang w:val="es-CR" w:bidi="en-US"/>
        </w:rPr>
      </w:pPr>
    </w:p>
    <w:p w14:paraId="42B1218B" w14:textId="085BCCC6" w:rsidR="001E14D8" w:rsidRPr="000864AE" w:rsidRDefault="001E14D8" w:rsidP="000864AE">
      <w:pPr>
        <w:tabs>
          <w:tab w:val="left" w:pos="720"/>
        </w:tabs>
        <w:spacing w:after="0" w:line="240" w:lineRule="auto"/>
        <w:ind w:right="-90"/>
        <w:contextualSpacing/>
        <w:jc w:val="both"/>
        <w:rPr>
          <w:rFonts w:ascii="Verdana" w:eastAsia="MS Mincho" w:hAnsi="Verdana"/>
          <w:sz w:val="20"/>
          <w:szCs w:val="20"/>
          <w:lang w:val="es-CR" w:bidi="en-US"/>
        </w:rPr>
      </w:pPr>
      <w:r w:rsidRPr="000864AE">
        <w:rPr>
          <w:rFonts w:ascii="Verdana" w:eastAsia="MS Mincho" w:hAnsi="Verdana"/>
          <w:sz w:val="20"/>
          <w:szCs w:val="20"/>
          <w:lang w:val="es-CR" w:bidi="en-US"/>
        </w:rPr>
        <w:t xml:space="preserve">Por </w:t>
      </w:r>
      <w:r w:rsidR="00264901" w:rsidRPr="000864AE">
        <w:rPr>
          <w:rFonts w:ascii="Verdana" w:eastAsia="MS Mincho" w:hAnsi="Verdana"/>
          <w:sz w:val="20"/>
          <w:szCs w:val="20"/>
          <w:lang w:val="es-CR" w:bidi="en-US"/>
        </w:rPr>
        <w:t>cinco</w:t>
      </w:r>
      <w:r w:rsidR="005E51CD" w:rsidRPr="000864AE">
        <w:rPr>
          <w:rFonts w:ascii="Verdana" w:eastAsia="MS Mincho" w:hAnsi="Verdana"/>
          <w:sz w:val="20"/>
          <w:szCs w:val="20"/>
          <w:lang w:val="es-CR" w:bidi="en-US"/>
        </w:rPr>
        <w:t xml:space="preserve"> votos</w:t>
      </w:r>
      <w:r w:rsidR="00264901" w:rsidRPr="000864AE">
        <w:rPr>
          <w:rFonts w:ascii="Verdana" w:eastAsia="MS Mincho" w:hAnsi="Verdana"/>
          <w:sz w:val="20"/>
          <w:szCs w:val="20"/>
          <w:lang w:val="es-CR" w:bidi="en-US"/>
        </w:rPr>
        <w:t xml:space="preserve"> a favor y dos en contra</w:t>
      </w:r>
      <w:r w:rsidR="005E51CD" w:rsidRPr="000864AE">
        <w:rPr>
          <w:rFonts w:ascii="Verdana" w:eastAsia="MS Mincho" w:hAnsi="Verdana"/>
          <w:sz w:val="20"/>
          <w:szCs w:val="20"/>
          <w:lang w:val="es-CR" w:bidi="en-US"/>
        </w:rPr>
        <w:t xml:space="preserve">, </w:t>
      </w:r>
      <w:r w:rsidRPr="000864AE">
        <w:rPr>
          <w:rFonts w:ascii="Verdana" w:eastAsia="MS Mincho" w:hAnsi="Verdana"/>
          <w:sz w:val="20"/>
          <w:szCs w:val="20"/>
          <w:lang w:val="es-CR" w:bidi="en-US"/>
        </w:rPr>
        <w:t>que:</w:t>
      </w:r>
    </w:p>
    <w:p w14:paraId="20609FA6" w14:textId="77777777" w:rsidR="001E14D8" w:rsidRPr="000864AE" w:rsidRDefault="001E14D8" w:rsidP="000864AE">
      <w:pPr>
        <w:spacing w:after="0" w:line="240" w:lineRule="auto"/>
        <w:ind w:right="-90"/>
        <w:contextualSpacing/>
        <w:jc w:val="both"/>
        <w:rPr>
          <w:rFonts w:ascii="Verdana" w:eastAsia="MS Mincho" w:hAnsi="Verdana"/>
          <w:sz w:val="20"/>
          <w:szCs w:val="20"/>
          <w:lang w:val="es-CR" w:bidi="en-US"/>
        </w:rPr>
      </w:pPr>
    </w:p>
    <w:p w14:paraId="5D601F8A" w14:textId="4614E78E" w:rsidR="005E51CD" w:rsidRPr="000864AE" w:rsidRDefault="00C313CA" w:rsidP="000864AE">
      <w:pPr>
        <w:widowControl w:val="0"/>
        <w:tabs>
          <w:tab w:val="left" w:pos="720"/>
        </w:tabs>
        <w:adjustRightInd w:val="0"/>
        <w:spacing w:after="0" w:line="240" w:lineRule="auto"/>
        <w:ind w:right="-91"/>
        <w:jc w:val="both"/>
        <w:textAlignment w:val="baseline"/>
        <w:rPr>
          <w:rFonts w:ascii="Verdana" w:hAnsi="Verdana"/>
          <w:sz w:val="20"/>
          <w:szCs w:val="20"/>
          <w:lang w:val="es-CR"/>
        </w:rPr>
      </w:pPr>
      <w:r w:rsidRPr="000864AE">
        <w:rPr>
          <w:rFonts w:ascii="Verdana" w:hAnsi="Verdana"/>
          <w:sz w:val="20"/>
          <w:szCs w:val="20"/>
          <w:lang w:val="es-CR"/>
        </w:rPr>
        <w:t>4</w:t>
      </w:r>
      <w:r w:rsidR="001E14D8" w:rsidRPr="000864AE">
        <w:rPr>
          <w:rFonts w:ascii="Verdana" w:hAnsi="Verdana"/>
          <w:sz w:val="20"/>
          <w:szCs w:val="20"/>
          <w:lang w:val="es-CR"/>
        </w:rPr>
        <w:t>.</w:t>
      </w:r>
      <w:r w:rsidR="001E14D8" w:rsidRPr="000864AE">
        <w:rPr>
          <w:rFonts w:ascii="Verdana" w:hAnsi="Verdana"/>
          <w:sz w:val="20"/>
          <w:szCs w:val="20"/>
          <w:lang w:val="es-CR"/>
        </w:rPr>
        <w:tab/>
        <w:t xml:space="preserve">El Estado es responsable por la </w:t>
      </w:r>
      <w:r w:rsidR="00A74C1D" w:rsidRPr="000864AE">
        <w:rPr>
          <w:rFonts w:ascii="Verdana" w:hAnsi="Verdana"/>
          <w:sz w:val="20"/>
          <w:szCs w:val="20"/>
          <w:lang w:val="es-CR"/>
        </w:rPr>
        <w:t xml:space="preserve">violación a los derechos a </w:t>
      </w:r>
      <w:r w:rsidR="00804A58" w:rsidRPr="000864AE">
        <w:rPr>
          <w:rFonts w:ascii="Verdana" w:hAnsi="Verdana"/>
          <w:sz w:val="20"/>
          <w:szCs w:val="20"/>
          <w:lang w:val="es-CR"/>
        </w:rPr>
        <w:t xml:space="preserve">la vida digna, </w:t>
      </w:r>
      <w:r w:rsidR="00A74C1D" w:rsidRPr="000864AE">
        <w:rPr>
          <w:rFonts w:ascii="Verdana" w:hAnsi="Verdana"/>
          <w:sz w:val="20"/>
          <w:szCs w:val="20"/>
          <w:lang w:val="es-CR"/>
        </w:rPr>
        <w:t>las garantías judiciales</w:t>
      </w:r>
      <w:r w:rsidR="00804A58" w:rsidRPr="000864AE">
        <w:rPr>
          <w:rFonts w:ascii="Verdana" w:hAnsi="Verdana"/>
          <w:sz w:val="20"/>
          <w:szCs w:val="20"/>
          <w:lang w:val="es-CR"/>
        </w:rPr>
        <w:t xml:space="preserve">, </w:t>
      </w:r>
      <w:r w:rsidR="005B3F02" w:rsidRPr="000864AE">
        <w:rPr>
          <w:rFonts w:ascii="Verdana" w:hAnsi="Verdana"/>
          <w:sz w:val="20"/>
          <w:szCs w:val="20"/>
          <w:lang w:val="es-CR"/>
        </w:rPr>
        <w:t xml:space="preserve">la </w:t>
      </w:r>
      <w:r w:rsidR="00804A58" w:rsidRPr="000864AE">
        <w:rPr>
          <w:rFonts w:ascii="Verdana" w:hAnsi="Verdana"/>
          <w:sz w:val="20"/>
          <w:szCs w:val="20"/>
          <w:lang w:val="es-CR"/>
        </w:rPr>
        <w:t xml:space="preserve">propiedad, </w:t>
      </w:r>
      <w:r w:rsidR="00A74C1D" w:rsidRPr="000864AE">
        <w:rPr>
          <w:rFonts w:ascii="Verdana" w:hAnsi="Verdana"/>
          <w:sz w:val="20"/>
          <w:szCs w:val="20"/>
          <w:lang w:val="es-CR"/>
        </w:rPr>
        <w:t>la protección judicial</w:t>
      </w:r>
      <w:r w:rsidR="00804A58" w:rsidRPr="000864AE">
        <w:rPr>
          <w:rFonts w:ascii="Verdana" w:hAnsi="Verdana"/>
          <w:sz w:val="20"/>
          <w:szCs w:val="20"/>
          <w:lang w:val="es-CR"/>
        </w:rPr>
        <w:t xml:space="preserve"> y </w:t>
      </w:r>
      <w:r w:rsidR="005B3F02" w:rsidRPr="000864AE">
        <w:rPr>
          <w:rFonts w:ascii="Verdana" w:hAnsi="Verdana"/>
          <w:sz w:val="20"/>
          <w:szCs w:val="20"/>
          <w:lang w:val="es-CR"/>
        </w:rPr>
        <w:t xml:space="preserve">la </w:t>
      </w:r>
      <w:r w:rsidR="00804A58" w:rsidRPr="000864AE">
        <w:rPr>
          <w:rFonts w:ascii="Verdana" w:hAnsi="Verdana"/>
          <w:sz w:val="20"/>
          <w:szCs w:val="20"/>
          <w:lang w:val="es-CR"/>
        </w:rPr>
        <w:t>seguridad social</w:t>
      </w:r>
      <w:r w:rsidR="009D33F0" w:rsidRPr="000864AE">
        <w:rPr>
          <w:rFonts w:ascii="Verdana" w:hAnsi="Verdana"/>
          <w:sz w:val="20"/>
          <w:szCs w:val="20"/>
          <w:lang w:val="es-CR"/>
        </w:rPr>
        <w:t>,</w:t>
      </w:r>
      <w:r w:rsidR="00804A58" w:rsidRPr="000864AE">
        <w:rPr>
          <w:rFonts w:ascii="Verdana" w:hAnsi="Verdana"/>
          <w:sz w:val="20"/>
          <w:szCs w:val="20"/>
          <w:lang w:val="es-CR"/>
        </w:rPr>
        <w:t xml:space="preserve"> </w:t>
      </w:r>
      <w:r w:rsidR="00A74C1D" w:rsidRPr="000864AE">
        <w:rPr>
          <w:rFonts w:ascii="Verdana" w:hAnsi="Verdana"/>
          <w:sz w:val="20"/>
          <w:szCs w:val="20"/>
          <w:lang w:val="es-CR"/>
        </w:rPr>
        <w:t>consagrados</w:t>
      </w:r>
      <w:r w:rsidR="001E14D8" w:rsidRPr="000864AE">
        <w:rPr>
          <w:rFonts w:ascii="Verdana" w:hAnsi="Verdana"/>
          <w:sz w:val="20"/>
          <w:szCs w:val="20"/>
          <w:lang w:val="es-CR"/>
        </w:rPr>
        <w:t xml:space="preserve"> en los artículos </w:t>
      </w:r>
      <w:r w:rsidR="00804A58" w:rsidRPr="000864AE">
        <w:rPr>
          <w:rFonts w:ascii="Verdana" w:hAnsi="Verdana"/>
          <w:sz w:val="20"/>
          <w:szCs w:val="20"/>
          <w:lang w:val="es-CR"/>
        </w:rPr>
        <w:t xml:space="preserve">4.1, </w:t>
      </w:r>
      <w:r w:rsidR="00A74C1D" w:rsidRPr="000864AE">
        <w:rPr>
          <w:rFonts w:ascii="Verdana" w:hAnsi="Verdana"/>
          <w:sz w:val="20"/>
          <w:szCs w:val="20"/>
          <w:lang w:val="es-CR"/>
        </w:rPr>
        <w:t>8</w:t>
      </w:r>
      <w:r w:rsidR="00804A58" w:rsidRPr="000864AE">
        <w:rPr>
          <w:rFonts w:ascii="Verdana" w:hAnsi="Verdana"/>
          <w:sz w:val="20"/>
          <w:szCs w:val="20"/>
          <w:lang w:val="es-CR"/>
        </w:rPr>
        <w:t xml:space="preserve">, 21, </w:t>
      </w:r>
      <w:r w:rsidR="005B3F02" w:rsidRPr="000864AE">
        <w:rPr>
          <w:rFonts w:ascii="Verdana" w:hAnsi="Verdana"/>
          <w:sz w:val="20"/>
          <w:szCs w:val="20"/>
          <w:lang w:val="es-CR"/>
        </w:rPr>
        <w:t>25</w:t>
      </w:r>
      <w:r w:rsidR="00804A58" w:rsidRPr="000864AE">
        <w:rPr>
          <w:rFonts w:ascii="Verdana" w:hAnsi="Verdana"/>
          <w:sz w:val="20"/>
          <w:szCs w:val="20"/>
          <w:lang w:val="es-CR"/>
        </w:rPr>
        <w:t xml:space="preserve"> y 26 </w:t>
      </w:r>
      <w:r w:rsidR="001E14D8" w:rsidRPr="000864AE">
        <w:rPr>
          <w:rFonts w:ascii="Verdana" w:hAnsi="Verdana"/>
          <w:sz w:val="20"/>
          <w:szCs w:val="20"/>
          <w:lang w:val="es-CR"/>
        </w:rPr>
        <w:t xml:space="preserve">de la Convención Americana sobre Derechos Humanos, en relación con el artículo 1.1 del mismo instrumento, en perjuicio </w:t>
      </w:r>
      <w:r w:rsidR="000C0EDC">
        <w:rPr>
          <w:rFonts w:ascii="Verdana" w:hAnsi="Verdana"/>
          <w:sz w:val="20"/>
          <w:szCs w:val="20"/>
          <w:lang w:val="es-CR"/>
        </w:rPr>
        <w:t>de las 597</w:t>
      </w:r>
      <w:r w:rsidR="00A74C1D" w:rsidRPr="000864AE">
        <w:rPr>
          <w:rFonts w:ascii="Verdana" w:hAnsi="Verdana"/>
          <w:sz w:val="20"/>
          <w:szCs w:val="20"/>
          <w:lang w:val="es-CR"/>
        </w:rPr>
        <w:t xml:space="preserve"> personas listadas como víctimas en el Anexo 2 </w:t>
      </w:r>
      <w:r w:rsidR="005E51CD" w:rsidRPr="000864AE">
        <w:rPr>
          <w:rFonts w:ascii="Verdana" w:hAnsi="Verdana"/>
          <w:sz w:val="20"/>
          <w:szCs w:val="20"/>
          <w:lang w:val="es-CR"/>
        </w:rPr>
        <w:t xml:space="preserve">adjunto </w:t>
      </w:r>
      <w:r w:rsidR="00A74C1D" w:rsidRPr="000864AE">
        <w:rPr>
          <w:rFonts w:ascii="Verdana" w:hAnsi="Verdana"/>
          <w:sz w:val="20"/>
          <w:szCs w:val="20"/>
          <w:lang w:val="es-CR"/>
        </w:rPr>
        <w:t>a la presente Sentencia</w:t>
      </w:r>
      <w:r w:rsidR="001E14D8" w:rsidRPr="000864AE">
        <w:rPr>
          <w:rFonts w:ascii="Verdana" w:hAnsi="Verdana"/>
          <w:sz w:val="20"/>
          <w:szCs w:val="20"/>
          <w:lang w:val="es-CR"/>
        </w:rPr>
        <w:t xml:space="preserve">, en los términos de los párrafos </w:t>
      </w:r>
      <w:r w:rsidR="009C1DC6" w:rsidRPr="000864AE">
        <w:rPr>
          <w:rFonts w:ascii="Verdana" w:hAnsi="Verdana"/>
          <w:sz w:val="20"/>
          <w:szCs w:val="20"/>
          <w:lang w:val="es-CR"/>
        </w:rPr>
        <w:t>102 al 196 y del 205</w:t>
      </w:r>
      <w:r w:rsidR="00944B7F" w:rsidRPr="000864AE">
        <w:rPr>
          <w:rFonts w:ascii="Verdana" w:hAnsi="Verdana"/>
          <w:sz w:val="20"/>
          <w:szCs w:val="20"/>
          <w:lang w:val="es-CR"/>
        </w:rPr>
        <w:t xml:space="preserve"> a</w:t>
      </w:r>
      <w:r w:rsidR="00264901" w:rsidRPr="000864AE">
        <w:rPr>
          <w:rFonts w:ascii="Verdana" w:hAnsi="Verdana"/>
          <w:sz w:val="20"/>
          <w:szCs w:val="20"/>
          <w:lang w:val="es-CR"/>
        </w:rPr>
        <w:t>l 20</w:t>
      </w:r>
      <w:r w:rsidR="009C1DC6" w:rsidRPr="000864AE">
        <w:rPr>
          <w:rFonts w:ascii="Verdana" w:hAnsi="Verdana"/>
          <w:sz w:val="20"/>
          <w:szCs w:val="20"/>
          <w:lang w:val="es-CR"/>
        </w:rPr>
        <w:t>7</w:t>
      </w:r>
      <w:r w:rsidR="001E14D8" w:rsidRPr="000864AE">
        <w:rPr>
          <w:rFonts w:ascii="Verdana" w:hAnsi="Verdana"/>
          <w:sz w:val="20"/>
          <w:szCs w:val="20"/>
          <w:lang w:val="es-CR"/>
        </w:rPr>
        <w:t xml:space="preserve"> de la presente Sentencia.</w:t>
      </w:r>
    </w:p>
    <w:p w14:paraId="23616E46" w14:textId="77777777" w:rsidR="00D311D1" w:rsidRPr="000864AE" w:rsidRDefault="00D311D1" w:rsidP="000864AE">
      <w:pPr>
        <w:widowControl w:val="0"/>
        <w:tabs>
          <w:tab w:val="left" w:pos="720"/>
        </w:tabs>
        <w:adjustRightInd w:val="0"/>
        <w:spacing w:after="0" w:line="240" w:lineRule="auto"/>
        <w:ind w:right="-91"/>
        <w:jc w:val="both"/>
        <w:textAlignment w:val="baseline"/>
        <w:rPr>
          <w:rFonts w:ascii="Verdana" w:hAnsi="Verdana"/>
          <w:sz w:val="20"/>
          <w:szCs w:val="20"/>
          <w:lang w:val="es-CR"/>
        </w:rPr>
      </w:pPr>
    </w:p>
    <w:p w14:paraId="7149BB72" w14:textId="297F3676" w:rsidR="00D311D1" w:rsidRPr="000864AE" w:rsidRDefault="00D311D1" w:rsidP="000864AE">
      <w:pPr>
        <w:pStyle w:val="Prrafodelista"/>
        <w:tabs>
          <w:tab w:val="left" w:pos="720"/>
        </w:tabs>
        <w:spacing w:after="0" w:line="240" w:lineRule="auto"/>
        <w:ind w:left="0" w:right="-90"/>
        <w:jc w:val="both"/>
        <w:rPr>
          <w:rFonts w:ascii="Verdana" w:hAnsi="Verdana"/>
          <w:sz w:val="20"/>
          <w:szCs w:val="20"/>
          <w:lang w:val="es-CR"/>
        </w:rPr>
      </w:pPr>
      <w:r w:rsidRPr="000864AE">
        <w:rPr>
          <w:rFonts w:ascii="Verdana" w:hAnsi="Verdana"/>
          <w:sz w:val="20"/>
          <w:szCs w:val="20"/>
        </w:rPr>
        <w:t xml:space="preserve">Disienten los </w:t>
      </w:r>
      <w:r w:rsidR="00111EE8" w:rsidRPr="000864AE">
        <w:rPr>
          <w:rFonts w:ascii="Verdana" w:hAnsi="Verdana"/>
          <w:sz w:val="20"/>
          <w:szCs w:val="20"/>
        </w:rPr>
        <w:t>J</w:t>
      </w:r>
      <w:r w:rsidRPr="000864AE">
        <w:rPr>
          <w:rFonts w:ascii="Verdana" w:hAnsi="Verdana"/>
          <w:sz w:val="20"/>
          <w:szCs w:val="20"/>
        </w:rPr>
        <w:t>ueces Eduardo Vio Grossi y Humberto Antonio Sierra Porto.</w:t>
      </w:r>
    </w:p>
    <w:p w14:paraId="7DB11896" w14:textId="77777777" w:rsidR="001E14D8" w:rsidRPr="000864AE" w:rsidRDefault="001E14D8" w:rsidP="000864AE">
      <w:pPr>
        <w:tabs>
          <w:tab w:val="left" w:pos="720"/>
        </w:tabs>
        <w:spacing w:after="0" w:line="240" w:lineRule="auto"/>
        <w:ind w:right="-90"/>
        <w:contextualSpacing/>
        <w:jc w:val="both"/>
        <w:rPr>
          <w:rFonts w:ascii="Verdana" w:hAnsi="Verdana"/>
          <w:sz w:val="20"/>
          <w:szCs w:val="20"/>
          <w:lang w:val="es-CR"/>
        </w:rPr>
      </w:pPr>
    </w:p>
    <w:p w14:paraId="5568EA31" w14:textId="77777777" w:rsidR="00EE343A" w:rsidRPr="000864AE" w:rsidRDefault="00EE343A" w:rsidP="000864AE">
      <w:pPr>
        <w:tabs>
          <w:tab w:val="left" w:pos="720"/>
        </w:tabs>
        <w:spacing w:after="0" w:line="240" w:lineRule="auto"/>
        <w:ind w:right="-90"/>
        <w:contextualSpacing/>
        <w:jc w:val="both"/>
        <w:rPr>
          <w:rFonts w:ascii="Verdana" w:eastAsia="MS Mincho" w:hAnsi="Verdana"/>
          <w:sz w:val="20"/>
          <w:szCs w:val="20"/>
          <w:lang w:val="es-CR" w:bidi="en-US"/>
        </w:rPr>
      </w:pPr>
      <w:r w:rsidRPr="000864AE">
        <w:rPr>
          <w:rFonts w:ascii="Verdana" w:eastAsia="MS Mincho" w:hAnsi="Verdana"/>
          <w:sz w:val="20"/>
          <w:szCs w:val="20"/>
          <w:lang w:val="es-CR" w:bidi="en-US"/>
        </w:rPr>
        <w:t>Por seis votos a favor y uno en contra, que:</w:t>
      </w:r>
    </w:p>
    <w:p w14:paraId="34ED4613" w14:textId="77777777" w:rsidR="00EE343A" w:rsidRPr="000864AE" w:rsidRDefault="00EE343A" w:rsidP="000864AE">
      <w:pPr>
        <w:tabs>
          <w:tab w:val="left" w:pos="720"/>
        </w:tabs>
        <w:spacing w:after="0" w:line="240" w:lineRule="auto"/>
        <w:ind w:right="-90"/>
        <w:contextualSpacing/>
        <w:jc w:val="both"/>
        <w:rPr>
          <w:rFonts w:ascii="Verdana" w:eastAsia="MS Mincho" w:hAnsi="Verdana"/>
          <w:sz w:val="20"/>
          <w:szCs w:val="20"/>
          <w:lang w:val="es-CR" w:bidi="en-US"/>
        </w:rPr>
      </w:pPr>
    </w:p>
    <w:p w14:paraId="0DA60C70" w14:textId="3E999CCD" w:rsidR="00EE343A" w:rsidRPr="000864AE" w:rsidRDefault="00C313CA" w:rsidP="000864AE">
      <w:pPr>
        <w:widowControl w:val="0"/>
        <w:tabs>
          <w:tab w:val="left" w:pos="567"/>
        </w:tabs>
        <w:adjustRightInd w:val="0"/>
        <w:spacing w:after="0" w:line="240" w:lineRule="auto"/>
        <w:ind w:right="-91"/>
        <w:jc w:val="both"/>
        <w:textAlignment w:val="baseline"/>
        <w:rPr>
          <w:rFonts w:ascii="Verdana" w:hAnsi="Verdana"/>
          <w:kern w:val="2"/>
          <w:sz w:val="20"/>
          <w:szCs w:val="20"/>
          <w:lang w:val="es-CR"/>
        </w:rPr>
      </w:pPr>
      <w:r w:rsidRPr="000864AE">
        <w:rPr>
          <w:rFonts w:ascii="Verdana" w:hAnsi="Verdana"/>
          <w:sz w:val="20"/>
          <w:szCs w:val="20"/>
          <w:lang w:val="es-CR"/>
        </w:rPr>
        <w:t>5</w:t>
      </w:r>
      <w:r w:rsidR="00EE343A" w:rsidRPr="000864AE">
        <w:rPr>
          <w:rFonts w:ascii="Verdana" w:hAnsi="Verdana"/>
          <w:sz w:val="20"/>
          <w:szCs w:val="20"/>
          <w:lang w:val="es-CR"/>
        </w:rPr>
        <w:t xml:space="preserve">. </w:t>
      </w:r>
      <w:r w:rsidR="00EE343A" w:rsidRPr="000864AE">
        <w:rPr>
          <w:rFonts w:ascii="Verdana" w:hAnsi="Verdana"/>
          <w:sz w:val="20"/>
          <w:szCs w:val="20"/>
          <w:lang w:val="es-CR"/>
        </w:rPr>
        <w:tab/>
        <w:t>El Estado no es responsable por la violación al deber de adoptar disposiciones de derecho interno, consagrado en el artículo 2 de la Convención</w:t>
      </w:r>
      <w:r w:rsidR="00EE343A" w:rsidRPr="000864AE">
        <w:rPr>
          <w:rFonts w:ascii="Verdana" w:hAnsi="Verdana"/>
          <w:kern w:val="2"/>
          <w:sz w:val="20"/>
          <w:szCs w:val="20"/>
          <w:lang w:val="es-CR"/>
        </w:rPr>
        <w:t xml:space="preserve"> Americana sobre Derechos Humanos</w:t>
      </w:r>
      <w:r w:rsidR="00EE343A" w:rsidRPr="000864AE">
        <w:rPr>
          <w:rFonts w:ascii="Verdana" w:hAnsi="Verdana"/>
          <w:sz w:val="20"/>
          <w:szCs w:val="20"/>
        </w:rPr>
        <w:t>,</w:t>
      </w:r>
      <w:r w:rsidR="00EE343A" w:rsidRPr="000864AE">
        <w:rPr>
          <w:rFonts w:ascii="Verdana" w:hAnsi="Verdana"/>
          <w:sz w:val="20"/>
          <w:szCs w:val="20"/>
          <w:lang w:val="es-CR"/>
        </w:rPr>
        <w:t xml:space="preserve"> en los términos de los párrafos </w:t>
      </w:r>
      <w:r w:rsidR="009C1DC6" w:rsidRPr="000864AE">
        <w:rPr>
          <w:rFonts w:ascii="Verdana" w:hAnsi="Verdana"/>
          <w:sz w:val="20"/>
          <w:szCs w:val="20"/>
          <w:lang w:val="es-CR"/>
        </w:rPr>
        <w:t>200 al 204</w:t>
      </w:r>
      <w:r w:rsidR="00EE343A" w:rsidRPr="000864AE">
        <w:rPr>
          <w:rFonts w:ascii="Verdana" w:hAnsi="Verdana"/>
          <w:sz w:val="20"/>
          <w:szCs w:val="20"/>
          <w:lang w:val="es-CR"/>
        </w:rPr>
        <w:t xml:space="preserve"> de la presente Sentencia</w:t>
      </w:r>
      <w:r w:rsidR="00EE343A" w:rsidRPr="000864AE">
        <w:rPr>
          <w:rFonts w:ascii="Verdana" w:hAnsi="Verdana"/>
          <w:kern w:val="2"/>
          <w:sz w:val="20"/>
          <w:szCs w:val="20"/>
          <w:lang w:val="es-CR"/>
        </w:rPr>
        <w:t>.</w:t>
      </w:r>
    </w:p>
    <w:p w14:paraId="3270EC95" w14:textId="77777777" w:rsidR="00EE343A" w:rsidRPr="000864AE" w:rsidRDefault="00EE343A" w:rsidP="000864AE">
      <w:pPr>
        <w:tabs>
          <w:tab w:val="left" w:pos="720"/>
        </w:tabs>
        <w:spacing w:after="0" w:line="240" w:lineRule="auto"/>
        <w:ind w:right="-90"/>
        <w:contextualSpacing/>
        <w:jc w:val="both"/>
        <w:rPr>
          <w:rFonts w:ascii="Verdana" w:hAnsi="Verdana"/>
          <w:sz w:val="20"/>
          <w:szCs w:val="20"/>
          <w:lang w:val="es-CR"/>
        </w:rPr>
      </w:pPr>
    </w:p>
    <w:p w14:paraId="335CF3F4" w14:textId="5E9FB8ED" w:rsidR="00D311D1" w:rsidRPr="000864AE" w:rsidRDefault="00D311D1" w:rsidP="000864AE">
      <w:pPr>
        <w:pStyle w:val="Prrafodelista"/>
        <w:tabs>
          <w:tab w:val="left" w:pos="720"/>
        </w:tabs>
        <w:spacing w:after="0" w:line="240" w:lineRule="auto"/>
        <w:ind w:left="0" w:right="-90"/>
        <w:jc w:val="both"/>
        <w:rPr>
          <w:rFonts w:ascii="Verdana" w:hAnsi="Verdana"/>
          <w:sz w:val="20"/>
          <w:szCs w:val="20"/>
          <w:lang w:val="es-CR"/>
        </w:rPr>
      </w:pPr>
      <w:r w:rsidRPr="000864AE">
        <w:rPr>
          <w:rFonts w:ascii="Verdana" w:hAnsi="Verdana"/>
          <w:sz w:val="20"/>
          <w:szCs w:val="20"/>
        </w:rPr>
        <w:t xml:space="preserve">Disiente el </w:t>
      </w:r>
      <w:r w:rsidR="00111EE8" w:rsidRPr="000864AE">
        <w:rPr>
          <w:rFonts w:ascii="Verdana" w:hAnsi="Verdana"/>
          <w:sz w:val="20"/>
          <w:szCs w:val="20"/>
        </w:rPr>
        <w:t>J</w:t>
      </w:r>
      <w:r w:rsidRPr="000864AE">
        <w:rPr>
          <w:rFonts w:ascii="Verdana" w:hAnsi="Verdana"/>
          <w:sz w:val="20"/>
          <w:szCs w:val="20"/>
        </w:rPr>
        <w:t>uez Eduardo Vio Grossi.</w:t>
      </w:r>
    </w:p>
    <w:p w14:paraId="0F1716B9" w14:textId="77777777" w:rsidR="00D311D1" w:rsidRPr="000864AE" w:rsidRDefault="00D311D1" w:rsidP="000864AE">
      <w:pPr>
        <w:tabs>
          <w:tab w:val="left" w:pos="720"/>
        </w:tabs>
        <w:spacing w:after="0" w:line="240" w:lineRule="auto"/>
        <w:ind w:right="-90"/>
        <w:contextualSpacing/>
        <w:jc w:val="both"/>
        <w:rPr>
          <w:rFonts w:ascii="Verdana" w:hAnsi="Verdana"/>
          <w:sz w:val="20"/>
          <w:szCs w:val="20"/>
          <w:lang w:val="es-CR"/>
        </w:rPr>
      </w:pPr>
    </w:p>
    <w:p w14:paraId="0E091F97" w14:textId="77777777" w:rsidR="001E14D8" w:rsidRPr="000864AE" w:rsidRDefault="001E14D8" w:rsidP="000864AE">
      <w:pPr>
        <w:tabs>
          <w:tab w:val="left" w:pos="720"/>
        </w:tabs>
        <w:spacing w:after="0" w:line="240" w:lineRule="auto"/>
        <w:ind w:right="-90"/>
        <w:contextualSpacing/>
        <w:jc w:val="both"/>
        <w:rPr>
          <w:rFonts w:ascii="Verdana" w:eastAsia="MS Mincho" w:hAnsi="Verdana"/>
          <w:b/>
          <w:bCs/>
          <w:sz w:val="20"/>
          <w:szCs w:val="20"/>
          <w:lang w:val="es-CR" w:bidi="en-US"/>
        </w:rPr>
      </w:pPr>
      <w:r w:rsidRPr="000864AE">
        <w:rPr>
          <w:rFonts w:ascii="Verdana" w:eastAsia="MS Mincho" w:hAnsi="Verdana"/>
          <w:b/>
          <w:bCs/>
          <w:sz w:val="20"/>
          <w:szCs w:val="20"/>
          <w:lang w:val="es-CR" w:bidi="en-US"/>
        </w:rPr>
        <w:t>Y DISPONE:</w:t>
      </w:r>
    </w:p>
    <w:p w14:paraId="0F0DA951" w14:textId="77777777" w:rsidR="001E14D8" w:rsidRPr="000864AE" w:rsidRDefault="001E14D8" w:rsidP="000864AE">
      <w:pPr>
        <w:tabs>
          <w:tab w:val="left" w:pos="720"/>
        </w:tabs>
        <w:spacing w:after="0" w:line="240" w:lineRule="auto"/>
        <w:ind w:right="-90"/>
        <w:jc w:val="both"/>
        <w:rPr>
          <w:rFonts w:ascii="Verdana" w:eastAsia="MS Mincho" w:hAnsi="Verdana"/>
          <w:sz w:val="20"/>
          <w:szCs w:val="20"/>
          <w:lang w:val="es-CR" w:bidi="en-US"/>
        </w:rPr>
      </w:pPr>
    </w:p>
    <w:p w14:paraId="1A254A84" w14:textId="0094F909" w:rsidR="001E14D8" w:rsidRPr="000864AE" w:rsidRDefault="001E14D8" w:rsidP="000864AE">
      <w:pPr>
        <w:tabs>
          <w:tab w:val="left" w:pos="720"/>
        </w:tabs>
        <w:spacing w:after="0" w:line="240" w:lineRule="auto"/>
        <w:ind w:right="-90"/>
        <w:jc w:val="both"/>
        <w:rPr>
          <w:rFonts w:ascii="Verdana" w:eastAsia="MS Mincho" w:hAnsi="Verdana"/>
          <w:sz w:val="20"/>
          <w:szCs w:val="20"/>
          <w:lang w:val="es-CR" w:bidi="en-US"/>
        </w:rPr>
      </w:pPr>
      <w:r w:rsidRPr="000864AE">
        <w:rPr>
          <w:rFonts w:ascii="Verdana" w:eastAsia="MS Mincho" w:hAnsi="Verdana"/>
          <w:sz w:val="20"/>
          <w:szCs w:val="20"/>
          <w:lang w:val="es-CR" w:bidi="en-US"/>
        </w:rPr>
        <w:t xml:space="preserve">Por </w:t>
      </w:r>
      <w:r w:rsidR="00B240D4" w:rsidRPr="000864AE">
        <w:rPr>
          <w:rFonts w:ascii="Verdana" w:eastAsia="MS Mincho" w:hAnsi="Verdana"/>
          <w:sz w:val="20"/>
          <w:szCs w:val="20"/>
          <w:lang w:val="es-CR" w:bidi="en-US"/>
        </w:rPr>
        <w:t>seis votos a favor y uno en contra,</w:t>
      </w:r>
      <w:r w:rsidRPr="000864AE">
        <w:rPr>
          <w:rFonts w:ascii="Verdana" w:eastAsia="MS Mincho" w:hAnsi="Verdana"/>
          <w:sz w:val="20"/>
          <w:szCs w:val="20"/>
          <w:lang w:val="es-CR" w:bidi="en-US"/>
        </w:rPr>
        <w:t xml:space="preserve"> que</w:t>
      </w:r>
      <w:r w:rsidR="00B240D4" w:rsidRPr="000864AE">
        <w:rPr>
          <w:rFonts w:ascii="Verdana" w:eastAsia="MS Mincho" w:hAnsi="Verdana"/>
          <w:sz w:val="20"/>
          <w:szCs w:val="20"/>
          <w:lang w:val="es-CR" w:bidi="en-US"/>
        </w:rPr>
        <w:t>:</w:t>
      </w:r>
    </w:p>
    <w:p w14:paraId="23A86560" w14:textId="77777777" w:rsidR="001E14D8" w:rsidRPr="000864AE" w:rsidRDefault="001E14D8" w:rsidP="000864AE">
      <w:pPr>
        <w:widowControl w:val="0"/>
        <w:tabs>
          <w:tab w:val="left" w:pos="567"/>
        </w:tabs>
        <w:adjustRightInd w:val="0"/>
        <w:spacing w:after="0" w:line="240" w:lineRule="auto"/>
        <w:jc w:val="both"/>
        <w:textAlignment w:val="baseline"/>
        <w:rPr>
          <w:rFonts w:ascii="Verdana" w:hAnsi="Verdana"/>
          <w:sz w:val="20"/>
          <w:szCs w:val="20"/>
          <w:lang w:val="es-CR"/>
        </w:rPr>
      </w:pPr>
    </w:p>
    <w:p w14:paraId="2EE08AD5" w14:textId="35AAB9DA" w:rsidR="00DA39FE" w:rsidRPr="000864AE" w:rsidRDefault="00111B66" w:rsidP="000864AE">
      <w:pPr>
        <w:spacing w:after="0" w:line="240" w:lineRule="auto"/>
        <w:jc w:val="both"/>
        <w:rPr>
          <w:rFonts w:ascii="Verdana" w:hAnsi="Verdana"/>
          <w:sz w:val="20"/>
          <w:szCs w:val="20"/>
        </w:rPr>
      </w:pPr>
      <w:r w:rsidRPr="000864AE">
        <w:rPr>
          <w:rFonts w:ascii="Verdana" w:hAnsi="Verdana"/>
          <w:sz w:val="20"/>
          <w:szCs w:val="20"/>
        </w:rPr>
        <w:t>6</w:t>
      </w:r>
      <w:r w:rsidR="001E14D8" w:rsidRPr="000864AE">
        <w:rPr>
          <w:rFonts w:ascii="Verdana" w:hAnsi="Verdana"/>
          <w:sz w:val="20"/>
          <w:szCs w:val="20"/>
        </w:rPr>
        <w:t>.</w:t>
      </w:r>
      <w:r w:rsidR="001E14D8" w:rsidRPr="000864AE">
        <w:rPr>
          <w:rFonts w:ascii="Verdana" w:hAnsi="Verdana"/>
          <w:sz w:val="20"/>
          <w:szCs w:val="20"/>
        </w:rPr>
        <w:tab/>
      </w:r>
      <w:r w:rsidR="00DA39FE" w:rsidRPr="000864AE">
        <w:rPr>
          <w:rFonts w:ascii="Verdana" w:hAnsi="Verdana"/>
          <w:sz w:val="20"/>
          <w:szCs w:val="20"/>
        </w:rPr>
        <w:t>El Estad</w:t>
      </w:r>
      <w:r w:rsidR="00804A58" w:rsidRPr="000864AE">
        <w:rPr>
          <w:rFonts w:ascii="Verdana" w:hAnsi="Verdana"/>
          <w:sz w:val="20"/>
          <w:szCs w:val="20"/>
        </w:rPr>
        <w:t xml:space="preserve">o </w:t>
      </w:r>
      <w:r w:rsidR="00EC79A5" w:rsidRPr="000864AE">
        <w:rPr>
          <w:rFonts w:ascii="Verdana" w:hAnsi="Verdana"/>
          <w:sz w:val="20"/>
          <w:szCs w:val="20"/>
        </w:rPr>
        <w:t>realizar</w:t>
      </w:r>
      <w:r w:rsidR="00EE343A" w:rsidRPr="000864AE">
        <w:rPr>
          <w:rFonts w:ascii="Verdana" w:hAnsi="Verdana"/>
          <w:sz w:val="20"/>
          <w:szCs w:val="20"/>
        </w:rPr>
        <w:t>á</w:t>
      </w:r>
      <w:r w:rsidR="00EC79A5" w:rsidRPr="000864AE">
        <w:rPr>
          <w:rFonts w:ascii="Verdana" w:hAnsi="Verdana"/>
          <w:sz w:val="20"/>
          <w:szCs w:val="20"/>
        </w:rPr>
        <w:t xml:space="preserve"> el pago efectivo e</w:t>
      </w:r>
      <w:r w:rsidR="00DA39FE" w:rsidRPr="000864AE">
        <w:rPr>
          <w:rFonts w:ascii="Verdana" w:hAnsi="Verdana"/>
          <w:sz w:val="20"/>
          <w:szCs w:val="20"/>
        </w:rPr>
        <w:t xml:space="preserve"> inmediato</w:t>
      </w:r>
      <w:r w:rsidR="00EC79A5" w:rsidRPr="000864AE">
        <w:rPr>
          <w:rFonts w:ascii="Verdana" w:hAnsi="Verdana"/>
          <w:sz w:val="20"/>
          <w:szCs w:val="20"/>
        </w:rPr>
        <w:t xml:space="preserve"> de</w:t>
      </w:r>
      <w:r w:rsidR="00DA39FE" w:rsidRPr="000864AE">
        <w:rPr>
          <w:rFonts w:ascii="Verdana" w:hAnsi="Verdana"/>
          <w:sz w:val="20"/>
          <w:szCs w:val="20"/>
        </w:rPr>
        <w:t xml:space="preserve"> los conceptos pendientes </w:t>
      </w:r>
      <w:r w:rsidR="00A80AF9" w:rsidRPr="000864AE">
        <w:rPr>
          <w:rFonts w:ascii="Verdana" w:hAnsi="Verdana"/>
          <w:sz w:val="20"/>
          <w:szCs w:val="20"/>
        </w:rPr>
        <w:t>en virtud</w:t>
      </w:r>
      <w:r w:rsidR="00DA39FE" w:rsidRPr="000864AE">
        <w:rPr>
          <w:rFonts w:ascii="Verdana" w:hAnsi="Verdana"/>
          <w:sz w:val="20"/>
          <w:szCs w:val="20"/>
        </w:rPr>
        <w:t xml:space="preserve"> de lo dispuesto por la sentencia de 25 de octubre de 1993, en los términos del párrafo </w:t>
      </w:r>
      <w:r w:rsidR="009C1DC6" w:rsidRPr="000864AE">
        <w:rPr>
          <w:rFonts w:ascii="Verdana" w:hAnsi="Verdana"/>
          <w:sz w:val="20"/>
          <w:szCs w:val="20"/>
        </w:rPr>
        <w:t>217</w:t>
      </w:r>
      <w:r w:rsidR="00DA39FE" w:rsidRPr="000864AE">
        <w:rPr>
          <w:rFonts w:ascii="Verdana" w:hAnsi="Verdana"/>
          <w:sz w:val="20"/>
          <w:szCs w:val="20"/>
        </w:rPr>
        <w:t xml:space="preserve"> de presente Sentencia.</w:t>
      </w:r>
    </w:p>
    <w:p w14:paraId="1511ED78" w14:textId="77777777" w:rsidR="00DA39FE" w:rsidRPr="000864AE" w:rsidRDefault="00DA39FE" w:rsidP="000864AE">
      <w:pPr>
        <w:spacing w:after="0" w:line="240" w:lineRule="auto"/>
        <w:jc w:val="both"/>
        <w:rPr>
          <w:rFonts w:ascii="Verdana" w:hAnsi="Verdana"/>
          <w:sz w:val="20"/>
          <w:szCs w:val="20"/>
        </w:rPr>
      </w:pPr>
    </w:p>
    <w:p w14:paraId="56EA2E6A" w14:textId="17915804" w:rsidR="00D311D1" w:rsidRPr="000864AE" w:rsidRDefault="00D311D1" w:rsidP="000864AE">
      <w:pPr>
        <w:pStyle w:val="Prrafodelista"/>
        <w:tabs>
          <w:tab w:val="left" w:pos="720"/>
        </w:tabs>
        <w:spacing w:after="0" w:line="240" w:lineRule="auto"/>
        <w:ind w:left="0" w:right="-90"/>
        <w:jc w:val="both"/>
        <w:rPr>
          <w:rFonts w:ascii="Verdana" w:hAnsi="Verdana"/>
          <w:sz w:val="20"/>
          <w:szCs w:val="20"/>
          <w:lang w:val="es-CR"/>
        </w:rPr>
      </w:pPr>
      <w:r w:rsidRPr="000864AE">
        <w:rPr>
          <w:rFonts w:ascii="Verdana" w:hAnsi="Verdana"/>
          <w:sz w:val="20"/>
          <w:szCs w:val="20"/>
        </w:rPr>
        <w:t xml:space="preserve">Disiente el </w:t>
      </w:r>
      <w:r w:rsidR="00111EE8" w:rsidRPr="000864AE">
        <w:rPr>
          <w:rFonts w:ascii="Verdana" w:hAnsi="Verdana"/>
          <w:sz w:val="20"/>
          <w:szCs w:val="20"/>
        </w:rPr>
        <w:t>J</w:t>
      </w:r>
      <w:r w:rsidRPr="000864AE">
        <w:rPr>
          <w:rFonts w:ascii="Verdana" w:hAnsi="Verdana"/>
          <w:sz w:val="20"/>
          <w:szCs w:val="20"/>
        </w:rPr>
        <w:t>uez Eduardo Vio Grossi.</w:t>
      </w:r>
    </w:p>
    <w:p w14:paraId="636C8F22" w14:textId="77777777" w:rsidR="00D311D1" w:rsidRPr="000864AE" w:rsidRDefault="00D311D1" w:rsidP="000864AE">
      <w:pPr>
        <w:spacing w:after="0" w:line="240" w:lineRule="auto"/>
        <w:jc w:val="both"/>
        <w:rPr>
          <w:rFonts w:ascii="Verdana" w:hAnsi="Verdana"/>
          <w:sz w:val="20"/>
          <w:szCs w:val="20"/>
        </w:rPr>
      </w:pPr>
    </w:p>
    <w:p w14:paraId="37FC4EE4" w14:textId="0A624490" w:rsidR="00B240D4" w:rsidRPr="000864AE" w:rsidRDefault="00B240D4" w:rsidP="000864AE">
      <w:pPr>
        <w:spacing w:after="0" w:line="240" w:lineRule="auto"/>
        <w:jc w:val="both"/>
        <w:rPr>
          <w:rFonts w:ascii="Verdana" w:eastAsia="MS Mincho" w:hAnsi="Verdana"/>
          <w:sz w:val="20"/>
          <w:szCs w:val="20"/>
          <w:lang w:val="es-CR" w:bidi="en-US"/>
        </w:rPr>
      </w:pPr>
      <w:r w:rsidRPr="000864AE">
        <w:rPr>
          <w:rFonts w:ascii="Verdana" w:eastAsia="MS Mincho" w:hAnsi="Verdana"/>
          <w:sz w:val="20"/>
          <w:szCs w:val="20"/>
          <w:lang w:val="es-CR" w:bidi="en-US"/>
        </w:rPr>
        <w:t>Por seis votos a favor y uno en contra, que:</w:t>
      </w:r>
    </w:p>
    <w:p w14:paraId="3BEA8B75" w14:textId="77777777" w:rsidR="00B240D4" w:rsidRPr="000864AE" w:rsidRDefault="00B240D4" w:rsidP="000864AE">
      <w:pPr>
        <w:spacing w:after="0" w:line="240" w:lineRule="auto"/>
        <w:jc w:val="both"/>
        <w:rPr>
          <w:rFonts w:ascii="Verdana" w:hAnsi="Verdana"/>
          <w:sz w:val="20"/>
          <w:szCs w:val="20"/>
        </w:rPr>
      </w:pPr>
    </w:p>
    <w:p w14:paraId="43A6DD12" w14:textId="4ACE01DB" w:rsidR="00DA39FE" w:rsidRPr="000864AE" w:rsidRDefault="00111B66" w:rsidP="000864AE">
      <w:pPr>
        <w:spacing w:after="0" w:line="240" w:lineRule="auto"/>
        <w:jc w:val="both"/>
        <w:rPr>
          <w:rFonts w:ascii="Verdana" w:hAnsi="Verdana"/>
          <w:sz w:val="20"/>
          <w:szCs w:val="20"/>
        </w:rPr>
      </w:pPr>
      <w:r w:rsidRPr="000864AE">
        <w:rPr>
          <w:rFonts w:ascii="Verdana" w:hAnsi="Verdana"/>
          <w:sz w:val="20"/>
          <w:szCs w:val="20"/>
        </w:rPr>
        <w:t>7</w:t>
      </w:r>
      <w:r w:rsidR="00DA39FE" w:rsidRPr="000864AE">
        <w:rPr>
          <w:rFonts w:ascii="Verdana" w:hAnsi="Verdana"/>
          <w:sz w:val="20"/>
          <w:szCs w:val="20"/>
        </w:rPr>
        <w:t xml:space="preserve">. </w:t>
      </w:r>
      <w:r w:rsidR="00DA39FE" w:rsidRPr="000864AE">
        <w:rPr>
          <w:rFonts w:ascii="Verdana" w:hAnsi="Verdana"/>
          <w:sz w:val="20"/>
          <w:szCs w:val="20"/>
        </w:rPr>
        <w:tab/>
      </w:r>
      <w:r w:rsidR="001E14D8" w:rsidRPr="000864AE">
        <w:rPr>
          <w:rFonts w:ascii="Verdana" w:hAnsi="Verdana"/>
          <w:sz w:val="20"/>
          <w:szCs w:val="20"/>
        </w:rPr>
        <w:t xml:space="preserve">El Estado </w:t>
      </w:r>
      <w:r w:rsidR="00804A58" w:rsidRPr="000864AE">
        <w:rPr>
          <w:rFonts w:ascii="Verdana" w:hAnsi="Verdana"/>
          <w:sz w:val="20"/>
          <w:szCs w:val="20"/>
        </w:rPr>
        <w:t>realizar</w:t>
      </w:r>
      <w:r w:rsidR="00EE343A" w:rsidRPr="000864AE">
        <w:rPr>
          <w:rFonts w:ascii="Verdana" w:hAnsi="Verdana"/>
          <w:sz w:val="20"/>
          <w:szCs w:val="20"/>
        </w:rPr>
        <w:t>á</w:t>
      </w:r>
      <w:r w:rsidR="001E14D8" w:rsidRPr="000864AE">
        <w:rPr>
          <w:rFonts w:ascii="Verdana" w:hAnsi="Verdana"/>
          <w:sz w:val="20"/>
          <w:szCs w:val="20"/>
        </w:rPr>
        <w:t xml:space="preserve"> las publicaciones indicadas en el párrafo </w:t>
      </w:r>
      <w:r w:rsidR="009C1DC6" w:rsidRPr="000864AE">
        <w:rPr>
          <w:rFonts w:ascii="Verdana" w:hAnsi="Verdana"/>
          <w:sz w:val="20"/>
          <w:szCs w:val="20"/>
        </w:rPr>
        <w:t>219</w:t>
      </w:r>
      <w:r w:rsidR="001E14D8" w:rsidRPr="000864AE">
        <w:rPr>
          <w:rFonts w:ascii="Verdana" w:hAnsi="Verdana"/>
          <w:sz w:val="20"/>
          <w:szCs w:val="20"/>
        </w:rPr>
        <w:t xml:space="preserve"> de la presente Sentencia</w:t>
      </w:r>
      <w:r w:rsidR="00A80AF9" w:rsidRPr="000864AE">
        <w:rPr>
          <w:rFonts w:ascii="Verdana" w:hAnsi="Verdana"/>
          <w:sz w:val="20"/>
          <w:szCs w:val="20"/>
        </w:rPr>
        <w:t xml:space="preserve"> y, dentro del plazo de un año a partir de la notificación de esta Sentencia,</w:t>
      </w:r>
      <w:r w:rsidR="00111EE8" w:rsidRPr="000864AE">
        <w:rPr>
          <w:rFonts w:ascii="Verdana" w:hAnsi="Verdana"/>
          <w:sz w:val="20"/>
          <w:szCs w:val="20"/>
        </w:rPr>
        <w:t xml:space="preserve"> y llevará</w:t>
      </w:r>
      <w:r w:rsidR="00F64C46" w:rsidRPr="000864AE">
        <w:rPr>
          <w:rFonts w:ascii="Verdana" w:hAnsi="Verdana"/>
          <w:sz w:val="20"/>
          <w:szCs w:val="20"/>
        </w:rPr>
        <w:t xml:space="preserve"> a cabo</w:t>
      </w:r>
      <w:r w:rsidR="00A80AF9" w:rsidRPr="000864AE">
        <w:rPr>
          <w:rFonts w:ascii="Verdana" w:hAnsi="Verdana"/>
          <w:sz w:val="20"/>
          <w:szCs w:val="20"/>
        </w:rPr>
        <w:t xml:space="preserve"> un acto público de reconocimiento de responsabilidad internacional en los términos fijados en el párrafo </w:t>
      </w:r>
      <w:r w:rsidR="009C1DC6" w:rsidRPr="000864AE">
        <w:rPr>
          <w:rFonts w:ascii="Verdana" w:hAnsi="Verdana"/>
          <w:sz w:val="20"/>
          <w:szCs w:val="20"/>
        </w:rPr>
        <w:t>220</w:t>
      </w:r>
      <w:r w:rsidR="008404ED" w:rsidRPr="000864AE">
        <w:rPr>
          <w:rFonts w:ascii="Verdana" w:hAnsi="Verdana"/>
          <w:sz w:val="20"/>
          <w:szCs w:val="20"/>
        </w:rPr>
        <w:t xml:space="preserve"> </w:t>
      </w:r>
      <w:r w:rsidR="00A80AF9" w:rsidRPr="000864AE">
        <w:rPr>
          <w:rFonts w:ascii="Verdana" w:hAnsi="Verdana"/>
          <w:sz w:val="20"/>
          <w:szCs w:val="20"/>
        </w:rPr>
        <w:t>de la presente Sentencia</w:t>
      </w:r>
      <w:r w:rsidR="001E14D8" w:rsidRPr="000864AE">
        <w:rPr>
          <w:rFonts w:ascii="Verdana" w:hAnsi="Verdana"/>
          <w:sz w:val="20"/>
          <w:szCs w:val="20"/>
        </w:rPr>
        <w:t>.</w:t>
      </w:r>
    </w:p>
    <w:p w14:paraId="6BD2A6BF" w14:textId="77777777" w:rsidR="00DA39FE" w:rsidRPr="000864AE" w:rsidRDefault="00DA39FE" w:rsidP="000864AE">
      <w:pPr>
        <w:spacing w:after="0" w:line="240" w:lineRule="auto"/>
        <w:jc w:val="both"/>
        <w:rPr>
          <w:rFonts w:ascii="Verdana" w:hAnsi="Verdana"/>
          <w:sz w:val="20"/>
          <w:szCs w:val="20"/>
        </w:rPr>
      </w:pPr>
    </w:p>
    <w:p w14:paraId="24B68AA4" w14:textId="3DE35AB9" w:rsidR="00D311D1" w:rsidRPr="000864AE" w:rsidRDefault="00D311D1" w:rsidP="000864AE">
      <w:pPr>
        <w:pStyle w:val="Prrafodelista"/>
        <w:tabs>
          <w:tab w:val="left" w:pos="720"/>
        </w:tabs>
        <w:spacing w:after="0" w:line="240" w:lineRule="auto"/>
        <w:ind w:left="0" w:right="-90"/>
        <w:jc w:val="both"/>
        <w:rPr>
          <w:rFonts w:ascii="Verdana" w:hAnsi="Verdana"/>
          <w:sz w:val="20"/>
          <w:szCs w:val="20"/>
          <w:lang w:val="es-CR"/>
        </w:rPr>
      </w:pPr>
      <w:r w:rsidRPr="000864AE">
        <w:rPr>
          <w:rFonts w:ascii="Verdana" w:hAnsi="Verdana"/>
          <w:sz w:val="20"/>
          <w:szCs w:val="20"/>
        </w:rPr>
        <w:t xml:space="preserve">Disiente el </w:t>
      </w:r>
      <w:r w:rsidR="00111EE8" w:rsidRPr="000864AE">
        <w:rPr>
          <w:rFonts w:ascii="Verdana" w:hAnsi="Verdana"/>
          <w:sz w:val="20"/>
          <w:szCs w:val="20"/>
        </w:rPr>
        <w:t>J</w:t>
      </w:r>
      <w:r w:rsidRPr="000864AE">
        <w:rPr>
          <w:rFonts w:ascii="Verdana" w:hAnsi="Verdana"/>
          <w:sz w:val="20"/>
          <w:szCs w:val="20"/>
        </w:rPr>
        <w:t>uez Eduardo Vio Grossi.</w:t>
      </w:r>
    </w:p>
    <w:p w14:paraId="688A04F5" w14:textId="77777777" w:rsidR="00D311D1" w:rsidRPr="000864AE" w:rsidRDefault="00D311D1" w:rsidP="000864AE">
      <w:pPr>
        <w:spacing w:after="0" w:line="240" w:lineRule="auto"/>
        <w:jc w:val="both"/>
        <w:rPr>
          <w:rFonts w:ascii="Verdana" w:hAnsi="Verdana"/>
          <w:sz w:val="20"/>
          <w:szCs w:val="20"/>
        </w:rPr>
      </w:pPr>
    </w:p>
    <w:p w14:paraId="5C11FC41" w14:textId="1CBEB1DD" w:rsidR="00B240D4" w:rsidRPr="000864AE" w:rsidRDefault="00B240D4" w:rsidP="000864AE">
      <w:pPr>
        <w:spacing w:after="0" w:line="240" w:lineRule="auto"/>
        <w:jc w:val="both"/>
        <w:rPr>
          <w:rFonts w:ascii="Verdana" w:hAnsi="Verdana"/>
          <w:sz w:val="20"/>
          <w:szCs w:val="20"/>
        </w:rPr>
      </w:pPr>
      <w:r w:rsidRPr="000864AE">
        <w:rPr>
          <w:rFonts w:ascii="Verdana" w:eastAsia="MS Mincho" w:hAnsi="Verdana"/>
          <w:sz w:val="20"/>
          <w:szCs w:val="20"/>
          <w:lang w:val="es-CR" w:bidi="en-US"/>
        </w:rPr>
        <w:t>Por cinco votos a favor y dos en contra, que:</w:t>
      </w:r>
    </w:p>
    <w:p w14:paraId="2CEF5BDC" w14:textId="77777777" w:rsidR="00B240D4" w:rsidRPr="000864AE" w:rsidRDefault="00B240D4" w:rsidP="000864AE">
      <w:pPr>
        <w:spacing w:after="0" w:line="240" w:lineRule="auto"/>
        <w:jc w:val="both"/>
        <w:rPr>
          <w:rFonts w:ascii="Verdana" w:hAnsi="Verdana"/>
          <w:sz w:val="20"/>
          <w:szCs w:val="20"/>
        </w:rPr>
      </w:pPr>
    </w:p>
    <w:p w14:paraId="18B8343F" w14:textId="00BE9B70" w:rsidR="001E14D8" w:rsidRPr="000864AE" w:rsidRDefault="00111B66" w:rsidP="000864AE">
      <w:pPr>
        <w:spacing w:after="0" w:line="240" w:lineRule="auto"/>
        <w:jc w:val="both"/>
        <w:rPr>
          <w:rFonts w:ascii="Verdana" w:hAnsi="Verdana"/>
          <w:sz w:val="20"/>
          <w:szCs w:val="20"/>
        </w:rPr>
      </w:pPr>
      <w:r w:rsidRPr="000864AE">
        <w:rPr>
          <w:rFonts w:ascii="Verdana" w:hAnsi="Verdana"/>
          <w:sz w:val="20"/>
          <w:szCs w:val="20"/>
        </w:rPr>
        <w:t>8</w:t>
      </w:r>
      <w:r w:rsidR="00DA39FE" w:rsidRPr="000864AE">
        <w:rPr>
          <w:rFonts w:ascii="Verdana" w:hAnsi="Verdana"/>
          <w:sz w:val="20"/>
          <w:szCs w:val="20"/>
        </w:rPr>
        <w:t>.</w:t>
      </w:r>
      <w:r w:rsidR="00DA39FE" w:rsidRPr="000864AE">
        <w:rPr>
          <w:rFonts w:ascii="Verdana" w:hAnsi="Verdana"/>
          <w:sz w:val="20"/>
          <w:szCs w:val="20"/>
        </w:rPr>
        <w:tab/>
      </w:r>
      <w:r w:rsidR="001E14D8" w:rsidRPr="000864AE">
        <w:rPr>
          <w:rFonts w:ascii="Verdana" w:hAnsi="Verdana"/>
          <w:sz w:val="20"/>
          <w:szCs w:val="20"/>
        </w:rPr>
        <w:t xml:space="preserve">El Estado </w:t>
      </w:r>
      <w:r w:rsidR="005B3F02" w:rsidRPr="000864AE">
        <w:rPr>
          <w:rFonts w:ascii="Verdana" w:hAnsi="Verdana"/>
          <w:sz w:val="20"/>
          <w:szCs w:val="20"/>
        </w:rPr>
        <w:t>crear</w:t>
      </w:r>
      <w:r w:rsidR="00EE343A" w:rsidRPr="000864AE">
        <w:rPr>
          <w:rFonts w:ascii="Verdana" w:hAnsi="Verdana"/>
          <w:sz w:val="20"/>
          <w:szCs w:val="20"/>
        </w:rPr>
        <w:t>á</w:t>
      </w:r>
      <w:r w:rsidR="001E14D8" w:rsidRPr="000864AE">
        <w:rPr>
          <w:rFonts w:ascii="Verdana" w:hAnsi="Verdana"/>
          <w:sz w:val="20"/>
          <w:szCs w:val="20"/>
        </w:rPr>
        <w:t xml:space="preserve">, dentro de los </w:t>
      </w:r>
      <w:r w:rsidR="009C1DC6" w:rsidRPr="000864AE">
        <w:rPr>
          <w:rFonts w:ascii="Verdana" w:hAnsi="Verdana"/>
          <w:sz w:val="20"/>
          <w:szCs w:val="20"/>
        </w:rPr>
        <w:t>seis</w:t>
      </w:r>
      <w:r w:rsidR="001E14D8" w:rsidRPr="000864AE">
        <w:rPr>
          <w:rFonts w:ascii="Verdana" w:hAnsi="Verdana"/>
          <w:sz w:val="20"/>
          <w:szCs w:val="20"/>
        </w:rPr>
        <w:t xml:space="preserve"> meses que siguen a la notificación de esta Sentencia,</w:t>
      </w:r>
      <w:r w:rsidR="00DA39FE" w:rsidRPr="000864AE">
        <w:rPr>
          <w:rFonts w:ascii="Verdana" w:hAnsi="Verdana"/>
          <w:sz w:val="20"/>
          <w:szCs w:val="20"/>
        </w:rPr>
        <w:t xml:space="preserve"> un </w:t>
      </w:r>
      <w:r w:rsidR="008404ED" w:rsidRPr="000864AE">
        <w:rPr>
          <w:rFonts w:ascii="Verdana" w:hAnsi="Verdana"/>
          <w:sz w:val="20"/>
          <w:szCs w:val="20"/>
        </w:rPr>
        <w:t xml:space="preserve">registro </w:t>
      </w:r>
      <w:r w:rsidR="00DA39FE" w:rsidRPr="000864AE">
        <w:rPr>
          <w:rFonts w:ascii="Verdana" w:hAnsi="Verdana"/>
          <w:sz w:val="20"/>
          <w:szCs w:val="20"/>
        </w:rPr>
        <w:t>para la solución de casos similares al presente, en los términos de</w:t>
      </w:r>
      <w:r w:rsidR="00070F24" w:rsidRPr="000864AE">
        <w:rPr>
          <w:rFonts w:ascii="Verdana" w:hAnsi="Verdana"/>
          <w:sz w:val="20"/>
          <w:szCs w:val="20"/>
        </w:rPr>
        <w:t xml:space="preserve"> </w:t>
      </w:r>
      <w:r w:rsidR="00DA39FE" w:rsidRPr="000864AE">
        <w:rPr>
          <w:rFonts w:ascii="Verdana" w:hAnsi="Verdana"/>
          <w:sz w:val="20"/>
          <w:szCs w:val="20"/>
        </w:rPr>
        <w:t>l</w:t>
      </w:r>
      <w:r w:rsidR="00070F24" w:rsidRPr="000864AE">
        <w:rPr>
          <w:rFonts w:ascii="Verdana" w:hAnsi="Verdana"/>
          <w:sz w:val="20"/>
          <w:szCs w:val="20"/>
        </w:rPr>
        <w:t>os</w:t>
      </w:r>
      <w:r w:rsidR="00DA39FE" w:rsidRPr="000864AE">
        <w:rPr>
          <w:rFonts w:ascii="Verdana" w:hAnsi="Verdana"/>
          <w:sz w:val="20"/>
          <w:szCs w:val="20"/>
        </w:rPr>
        <w:t xml:space="preserve"> párrafo</w:t>
      </w:r>
      <w:r w:rsidR="00070F24" w:rsidRPr="000864AE">
        <w:rPr>
          <w:rFonts w:ascii="Verdana" w:hAnsi="Verdana"/>
          <w:sz w:val="20"/>
          <w:szCs w:val="20"/>
        </w:rPr>
        <w:t xml:space="preserve">s </w:t>
      </w:r>
      <w:r w:rsidR="009C1DC6" w:rsidRPr="000864AE">
        <w:rPr>
          <w:rFonts w:ascii="Verdana" w:hAnsi="Verdana"/>
          <w:sz w:val="20"/>
          <w:szCs w:val="20"/>
        </w:rPr>
        <w:t>225</w:t>
      </w:r>
      <w:r w:rsidR="008404ED" w:rsidRPr="000864AE">
        <w:rPr>
          <w:rFonts w:ascii="Verdana" w:hAnsi="Verdana"/>
          <w:sz w:val="20"/>
          <w:szCs w:val="20"/>
        </w:rPr>
        <w:t xml:space="preserve"> al</w:t>
      </w:r>
      <w:r w:rsidR="00070F24" w:rsidRPr="000864AE">
        <w:rPr>
          <w:rFonts w:ascii="Verdana" w:hAnsi="Verdana"/>
          <w:sz w:val="20"/>
          <w:szCs w:val="20"/>
        </w:rPr>
        <w:t xml:space="preserve"> 2</w:t>
      </w:r>
      <w:r w:rsidR="009C1DC6" w:rsidRPr="000864AE">
        <w:rPr>
          <w:rFonts w:ascii="Verdana" w:hAnsi="Verdana"/>
          <w:sz w:val="20"/>
          <w:szCs w:val="20"/>
        </w:rPr>
        <w:t>27</w:t>
      </w:r>
      <w:r w:rsidR="00A80AF9" w:rsidRPr="000864AE">
        <w:rPr>
          <w:rFonts w:ascii="Verdana" w:hAnsi="Verdana"/>
          <w:sz w:val="20"/>
          <w:szCs w:val="20"/>
        </w:rPr>
        <w:t xml:space="preserve"> de la presente Sentencia</w:t>
      </w:r>
      <w:r w:rsidR="001E14D8" w:rsidRPr="000864AE">
        <w:rPr>
          <w:rFonts w:ascii="Verdana" w:hAnsi="Verdana"/>
          <w:sz w:val="20"/>
          <w:szCs w:val="20"/>
        </w:rPr>
        <w:t>.</w:t>
      </w:r>
    </w:p>
    <w:p w14:paraId="6DB9049D" w14:textId="77777777" w:rsidR="001E14D8" w:rsidRPr="000864AE" w:rsidRDefault="001E14D8" w:rsidP="000864AE">
      <w:pPr>
        <w:spacing w:after="0" w:line="240" w:lineRule="auto"/>
        <w:jc w:val="both"/>
        <w:rPr>
          <w:rFonts w:ascii="Verdana" w:hAnsi="Verdana"/>
          <w:sz w:val="20"/>
          <w:szCs w:val="20"/>
        </w:rPr>
      </w:pPr>
    </w:p>
    <w:p w14:paraId="6807736B" w14:textId="254C5A5E" w:rsidR="00D311D1" w:rsidRPr="000864AE" w:rsidRDefault="00D311D1" w:rsidP="000864AE">
      <w:pPr>
        <w:spacing w:after="0" w:line="240" w:lineRule="auto"/>
        <w:jc w:val="both"/>
        <w:rPr>
          <w:rFonts w:ascii="Verdana" w:hAnsi="Verdana"/>
          <w:sz w:val="20"/>
          <w:szCs w:val="20"/>
        </w:rPr>
      </w:pPr>
      <w:r w:rsidRPr="000864AE">
        <w:rPr>
          <w:rFonts w:ascii="Verdana" w:hAnsi="Verdana"/>
          <w:sz w:val="20"/>
          <w:szCs w:val="20"/>
        </w:rPr>
        <w:t xml:space="preserve">Disienten los </w:t>
      </w:r>
      <w:r w:rsidR="00111EE8" w:rsidRPr="000864AE">
        <w:rPr>
          <w:rFonts w:ascii="Verdana" w:hAnsi="Verdana"/>
          <w:sz w:val="20"/>
          <w:szCs w:val="20"/>
        </w:rPr>
        <w:t>J</w:t>
      </w:r>
      <w:r w:rsidRPr="000864AE">
        <w:rPr>
          <w:rFonts w:ascii="Verdana" w:hAnsi="Verdana"/>
          <w:sz w:val="20"/>
          <w:szCs w:val="20"/>
        </w:rPr>
        <w:t>ueces Eduardo Vio Grossi y Humberto Antonio Sierra Porto.</w:t>
      </w:r>
    </w:p>
    <w:p w14:paraId="57E98D9C" w14:textId="77777777" w:rsidR="00D311D1" w:rsidRPr="000864AE" w:rsidRDefault="00D311D1" w:rsidP="000864AE">
      <w:pPr>
        <w:spacing w:after="0" w:line="240" w:lineRule="auto"/>
        <w:jc w:val="both"/>
        <w:rPr>
          <w:rFonts w:ascii="Verdana" w:hAnsi="Verdana"/>
          <w:sz w:val="20"/>
          <w:szCs w:val="20"/>
        </w:rPr>
      </w:pPr>
    </w:p>
    <w:p w14:paraId="385BDBC4" w14:textId="6F0EA028" w:rsidR="00B240D4" w:rsidRPr="000864AE" w:rsidRDefault="00B240D4" w:rsidP="000864AE">
      <w:pPr>
        <w:spacing w:after="0" w:line="240" w:lineRule="auto"/>
        <w:jc w:val="both"/>
        <w:rPr>
          <w:rFonts w:ascii="Verdana" w:hAnsi="Verdana"/>
          <w:sz w:val="20"/>
          <w:szCs w:val="20"/>
        </w:rPr>
      </w:pPr>
      <w:r w:rsidRPr="000864AE">
        <w:rPr>
          <w:rFonts w:ascii="Verdana" w:eastAsia="MS Mincho" w:hAnsi="Verdana"/>
          <w:sz w:val="20"/>
          <w:szCs w:val="20"/>
          <w:lang w:val="es-CR" w:bidi="en-US"/>
        </w:rPr>
        <w:t>Por cinco votos a favor y dos en contra, que:</w:t>
      </w:r>
    </w:p>
    <w:p w14:paraId="67B8DDA7" w14:textId="77777777" w:rsidR="00B240D4" w:rsidRPr="000864AE" w:rsidRDefault="00B240D4" w:rsidP="000864AE">
      <w:pPr>
        <w:spacing w:after="0" w:line="240" w:lineRule="auto"/>
        <w:jc w:val="both"/>
        <w:rPr>
          <w:rFonts w:ascii="Verdana" w:hAnsi="Verdana"/>
          <w:sz w:val="20"/>
          <w:szCs w:val="20"/>
        </w:rPr>
      </w:pPr>
    </w:p>
    <w:p w14:paraId="6DF2EFEC" w14:textId="513B64F7" w:rsidR="001E14D8" w:rsidRPr="000864AE" w:rsidRDefault="001A5331" w:rsidP="000864AE">
      <w:pPr>
        <w:spacing w:after="0" w:line="240" w:lineRule="auto"/>
        <w:jc w:val="both"/>
        <w:rPr>
          <w:rFonts w:ascii="Verdana" w:hAnsi="Verdana"/>
          <w:sz w:val="20"/>
          <w:szCs w:val="20"/>
        </w:rPr>
      </w:pPr>
      <w:r w:rsidRPr="000864AE">
        <w:rPr>
          <w:rFonts w:ascii="Verdana" w:hAnsi="Verdana"/>
          <w:sz w:val="20"/>
          <w:szCs w:val="20"/>
        </w:rPr>
        <w:t>9</w:t>
      </w:r>
      <w:r w:rsidR="001E14D8" w:rsidRPr="000864AE">
        <w:rPr>
          <w:rFonts w:ascii="Verdana" w:hAnsi="Verdana"/>
          <w:sz w:val="20"/>
          <w:szCs w:val="20"/>
        </w:rPr>
        <w:t xml:space="preserve">. </w:t>
      </w:r>
      <w:r w:rsidR="001E14D8" w:rsidRPr="000864AE">
        <w:rPr>
          <w:rFonts w:ascii="Verdana" w:hAnsi="Verdana"/>
          <w:sz w:val="20"/>
          <w:szCs w:val="20"/>
        </w:rPr>
        <w:tab/>
        <w:t xml:space="preserve">El Estado </w:t>
      </w:r>
      <w:r w:rsidR="005B3F02" w:rsidRPr="000864AE">
        <w:rPr>
          <w:rFonts w:ascii="Verdana" w:hAnsi="Verdana"/>
          <w:sz w:val="20"/>
          <w:szCs w:val="20"/>
        </w:rPr>
        <w:t>pagar</w:t>
      </w:r>
      <w:r w:rsidR="00EE343A" w:rsidRPr="000864AE">
        <w:rPr>
          <w:rFonts w:ascii="Verdana" w:hAnsi="Verdana"/>
          <w:sz w:val="20"/>
          <w:szCs w:val="20"/>
        </w:rPr>
        <w:t>á</w:t>
      </w:r>
      <w:r w:rsidR="001E14D8" w:rsidRPr="000864AE">
        <w:rPr>
          <w:rFonts w:ascii="Verdana" w:hAnsi="Verdana"/>
          <w:sz w:val="20"/>
          <w:szCs w:val="20"/>
        </w:rPr>
        <w:t xml:space="preserve">, dentro del plazo de un año a partir de la notificación de esta Sentencia, </w:t>
      </w:r>
      <w:r w:rsidR="00FA0F95" w:rsidRPr="000864AE">
        <w:rPr>
          <w:rFonts w:ascii="Verdana" w:hAnsi="Verdana"/>
          <w:sz w:val="20"/>
          <w:szCs w:val="20"/>
        </w:rPr>
        <w:t xml:space="preserve">la cantidad fijada en el párrafo </w:t>
      </w:r>
      <w:r w:rsidR="009C1DC6" w:rsidRPr="000864AE">
        <w:rPr>
          <w:rFonts w:ascii="Verdana" w:hAnsi="Verdana"/>
          <w:sz w:val="20"/>
          <w:szCs w:val="20"/>
        </w:rPr>
        <w:t>237</w:t>
      </w:r>
      <w:r w:rsidR="008404ED" w:rsidRPr="000864AE">
        <w:rPr>
          <w:rFonts w:ascii="Verdana" w:hAnsi="Verdana"/>
          <w:sz w:val="20"/>
          <w:szCs w:val="20"/>
        </w:rPr>
        <w:t xml:space="preserve"> </w:t>
      </w:r>
      <w:r w:rsidR="001E14D8" w:rsidRPr="000864AE">
        <w:rPr>
          <w:rFonts w:ascii="Verdana" w:hAnsi="Verdana"/>
          <w:sz w:val="20"/>
          <w:szCs w:val="20"/>
        </w:rPr>
        <w:t>de esta Sentencia, por concepto de indemnización por daño inmaterial, en los términos estab</w:t>
      </w:r>
      <w:r w:rsidR="009C1DC6" w:rsidRPr="000864AE">
        <w:rPr>
          <w:rFonts w:ascii="Verdana" w:hAnsi="Verdana"/>
          <w:sz w:val="20"/>
          <w:szCs w:val="20"/>
        </w:rPr>
        <w:t>lecidos en dicho</w:t>
      </w:r>
      <w:r w:rsidR="001E14D8" w:rsidRPr="000864AE">
        <w:rPr>
          <w:rFonts w:ascii="Verdana" w:hAnsi="Verdana"/>
          <w:sz w:val="20"/>
          <w:szCs w:val="20"/>
        </w:rPr>
        <w:t xml:space="preserve"> </w:t>
      </w:r>
      <w:r w:rsidR="00A80AF9" w:rsidRPr="000864AE">
        <w:rPr>
          <w:rFonts w:ascii="Verdana" w:hAnsi="Verdana"/>
          <w:sz w:val="20"/>
          <w:szCs w:val="20"/>
        </w:rPr>
        <w:t>párrafo</w:t>
      </w:r>
      <w:r w:rsidR="001E14D8" w:rsidRPr="000864AE">
        <w:rPr>
          <w:rFonts w:ascii="Verdana" w:hAnsi="Verdana"/>
          <w:sz w:val="20"/>
          <w:szCs w:val="20"/>
        </w:rPr>
        <w:t>.</w:t>
      </w:r>
    </w:p>
    <w:p w14:paraId="1BEB185D" w14:textId="77777777" w:rsidR="001E14D8" w:rsidRPr="000864AE" w:rsidRDefault="001E14D8" w:rsidP="000864AE">
      <w:pPr>
        <w:widowControl w:val="0"/>
        <w:tabs>
          <w:tab w:val="left" w:pos="567"/>
        </w:tabs>
        <w:adjustRightInd w:val="0"/>
        <w:spacing w:after="0" w:line="240" w:lineRule="auto"/>
        <w:jc w:val="both"/>
        <w:textAlignment w:val="baseline"/>
        <w:rPr>
          <w:rFonts w:ascii="Verdana" w:hAnsi="Verdana"/>
          <w:sz w:val="20"/>
          <w:szCs w:val="20"/>
        </w:rPr>
      </w:pPr>
    </w:p>
    <w:p w14:paraId="78681495" w14:textId="57157FC0" w:rsidR="00D311D1" w:rsidRPr="000864AE" w:rsidRDefault="00D311D1" w:rsidP="000864AE">
      <w:pPr>
        <w:widowControl w:val="0"/>
        <w:tabs>
          <w:tab w:val="left" w:pos="567"/>
        </w:tabs>
        <w:adjustRightInd w:val="0"/>
        <w:spacing w:after="0" w:line="240" w:lineRule="auto"/>
        <w:jc w:val="both"/>
        <w:textAlignment w:val="baseline"/>
        <w:rPr>
          <w:rFonts w:ascii="Verdana" w:hAnsi="Verdana"/>
          <w:sz w:val="20"/>
          <w:szCs w:val="20"/>
        </w:rPr>
      </w:pPr>
      <w:r w:rsidRPr="000864AE">
        <w:rPr>
          <w:rFonts w:ascii="Verdana" w:hAnsi="Verdana"/>
          <w:sz w:val="20"/>
          <w:szCs w:val="20"/>
        </w:rPr>
        <w:t xml:space="preserve">Disienten los </w:t>
      </w:r>
      <w:r w:rsidR="00111EE8" w:rsidRPr="000864AE">
        <w:rPr>
          <w:rFonts w:ascii="Verdana" w:hAnsi="Verdana"/>
          <w:sz w:val="20"/>
          <w:szCs w:val="20"/>
        </w:rPr>
        <w:t>J</w:t>
      </w:r>
      <w:r w:rsidRPr="000864AE">
        <w:rPr>
          <w:rFonts w:ascii="Verdana" w:hAnsi="Verdana"/>
          <w:sz w:val="20"/>
          <w:szCs w:val="20"/>
        </w:rPr>
        <w:t>ueces Eduardo Vio Grossi y Humberto Antonio Sierra Porto.</w:t>
      </w:r>
    </w:p>
    <w:p w14:paraId="30DAE33C" w14:textId="77777777" w:rsidR="00D311D1" w:rsidRPr="000864AE" w:rsidRDefault="00D311D1" w:rsidP="000864AE">
      <w:pPr>
        <w:widowControl w:val="0"/>
        <w:tabs>
          <w:tab w:val="left" w:pos="567"/>
        </w:tabs>
        <w:adjustRightInd w:val="0"/>
        <w:spacing w:after="0" w:line="240" w:lineRule="auto"/>
        <w:jc w:val="both"/>
        <w:textAlignment w:val="baseline"/>
        <w:rPr>
          <w:rFonts w:ascii="Verdana" w:hAnsi="Verdana"/>
          <w:sz w:val="20"/>
          <w:szCs w:val="20"/>
        </w:rPr>
      </w:pPr>
    </w:p>
    <w:p w14:paraId="05580EDE" w14:textId="02BE8CE0" w:rsidR="00B240D4" w:rsidRPr="000864AE" w:rsidRDefault="00B240D4" w:rsidP="000864AE">
      <w:pPr>
        <w:widowControl w:val="0"/>
        <w:tabs>
          <w:tab w:val="left" w:pos="567"/>
        </w:tabs>
        <w:adjustRightInd w:val="0"/>
        <w:spacing w:after="0" w:line="240" w:lineRule="auto"/>
        <w:jc w:val="both"/>
        <w:textAlignment w:val="baseline"/>
        <w:rPr>
          <w:rFonts w:ascii="Verdana" w:hAnsi="Verdana"/>
          <w:sz w:val="20"/>
          <w:szCs w:val="20"/>
        </w:rPr>
      </w:pPr>
      <w:r w:rsidRPr="000864AE">
        <w:rPr>
          <w:rFonts w:ascii="Verdana" w:eastAsia="MS Mincho" w:hAnsi="Verdana"/>
          <w:sz w:val="20"/>
          <w:szCs w:val="20"/>
          <w:lang w:val="es-CR" w:bidi="en-US"/>
        </w:rPr>
        <w:t>Por seis votos a favor y uno en contra, que:</w:t>
      </w:r>
    </w:p>
    <w:p w14:paraId="10FC14CA" w14:textId="77777777" w:rsidR="00B240D4" w:rsidRPr="000864AE" w:rsidRDefault="00B240D4" w:rsidP="000864AE">
      <w:pPr>
        <w:widowControl w:val="0"/>
        <w:tabs>
          <w:tab w:val="left" w:pos="567"/>
        </w:tabs>
        <w:adjustRightInd w:val="0"/>
        <w:spacing w:after="0" w:line="240" w:lineRule="auto"/>
        <w:jc w:val="both"/>
        <w:textAlignment w:val="baseline"/>
        <w:rPr>
          <w:rFonts w:ascii="Verdana" w:hAnsi="Verdana"/>
          <w:sz w:val="20"/>
          <w:szCs w:val="20"/>
        </w:rPr>
      </w:pPr>
    </w:p>
    <w:p w14:paraId="2512635B" w14:textId="6BA53E06" w:rsidR="001E14D8" w:rsidRPr="000864AE" w:rsidRDefault="001A5331" w:rsidP="000864AE">
      <w:pPr>
        <w:spacing w:after="0" w:line="240" w:lineRule="auto"/>
        <w:jc w:val="both"/>
        <w:rPr>
          <w:rFonts w:ascii="Verdana" w:hAnsi="Verdana"/>
          <w:sz w:val="20"/>
          <w:szCs w:val="20"/>
        </w:rPr>
      </w:pPr>
      <w:r w:rsidRPr="000864AE">
        <w:rPr>
          <w:rFonts w:ascii="Verdana" w:hAnsi="Verdana"/>
          <w:sz w:val="20"/>
          <w:szCs w:val="20"/>
        </w:rPr>
        <w:t>10</w:t>
      </w:r>
      <w:r w:rsidR="001E14D8" w:rsidRPr="000864AE">
        <w:rPr>
          <w:rFonts w:ascii="Verdana" w:hAnsi="Verdana"/>
          <w:sz w:val="20"/>
          <w:szCs w:val="20"/>
        </w:rPr>
        <w:t xml:space="preserve">. </w:t>
      </w:r>
      <w:r w:rsidR="001E14D8" w:rsidRPr="000864AE">
        <w:rPr>
          <w:rFonts w:ascii="Verdana" w:hAnsi="Verdana"/>
          <w:sz w:val="20"/>
          <w:szCs w:val="20"/>
        </w:rPr>
        <w:tab/>
        <w:t xml:space="preserve">El Estado </w:t>
      </w:r>
      <w:r w:rsidR="005B3F02" w:rsidRPr="000864AE">
        <w:rPr>
          <w:rFonts w:ascii="Verdana" w:hAnsi="Verdana"/>
          <w:sz w:val="20"/>
          <w:szCs w:val="20"/>
        </w:rPr>
        <w:t>pagar</w:t>
      </w:r>
      <w:r w:rsidR="00EE343A" w:rsidRPr="000864AE">
        <w:rPr>
          <w:rFonts w:ascii="Verdana" w:hAnsi="Verdana"/>
          <w:sz w:val="20"/>
          <w:szCs w:val="20"/>
        </w:rPr>
        <w:t>á</w:t>
      </w:r>
      <w:r w:rsidR="001E14D8" w:rsidRPr="000864AE">
        <w:rPr>
          <w:rFonts w:ascii="Verdana" w:hAnsi="Verdana"/>
          <w:sz w:val="20"/>
          <w:szCs w:val="20"/>
        </w:rPr>
        <w:t xml:space="preserve">, dentro del plazo de un año a partir de la notificación de la presente Sentencia, la cantidad fijada en el párrafo </w:t>
      </w:r>
      <w:r w:rsidR="009C1DC6" w:rsidRPr="000864AE">
        <w:rPr>
          <w:rFonts w:ascii="Verdana" w:hAnsi="Verdana"/>
          <w:sz w:val="20"/>
          <w:szCs w:val="20"/>
        </w:rPr>
        <w:t>241</w:t>
      </w:r>
      <w:r w:rsidR="008404ED" w:rsidRPr="000864AE">
        <w:rPr>
          <w:rFonts w:ascii="Verdana" w:hAnsi="Verdana"/>
          <w:sz w:val="20"/>
          <w:szCs w:val="20"/>
        </w:rPr>
        <w:t xml:space="preserve"> </w:t>
      </w:r>
      <w:r w:rsidR="001E14D8" w:rsidRPr="000864AE">
        <w:rPr>
          <w:rFonts w:ascii="Verdana" w:hAnsi="Verdana"/>
          <w:sz w:val="20"/>
          <w:szCs w:val="20"/>
        </w:rPr>
        <w:t>de esta Sentencia, por concepto de reintegro de costas y gastos, en los términos establecidos en dicho párrafo.</w:t>
      </w:r>
    </w:p>
    <w:p w14:paraId="4D7A5D0B" w14:textId="77777777" w:rsidR="001E14D8" w:rsidRPr="000864AE" w:rsidRDefault="001E14D8" w:rsidP="000864AE">
      <w:pPr>
        <w:widowControl w:val="0"/>
        <w:tabs>
          <w:tab w:val="left" w:pos="567"/>
        </w:tabs>
        <w:adjustRightInd w:val="0"/>
        <w:spacing w:after="0" w:line="240" w:lineRule="auto"/>
        <w:jc w:val="both"/>
        <w:textAlignment w:val="baseline"/>
        <w:rPr>
          <w:rFonts w:ascii="Verdana" w:hAnsi="Verdana"/>
          <w:sz w:val="20"/>
          <w:szCs w:val="20"/>
        </w:rPr>
      </w:pPr>
    </w:p>
    <w:p w14:paraId="4160BEA9" w14:textId="5503D20B" w:rsidR="00D311D1" w:rsidRPr="000864AE" w:rsidRDefault="00D311D1" w:rsidP="000864AE">
      <w:pPr>
        <w:widowControl w:val="0"/>
        <w:tabs>
          <w:tab w:val="left" w:pos="567"/>
        </w:tabs>
        <w:adjustRightInd w:val="0"/>
        <w:spacing w:after="0" w:line="240" w:lineRule="auto"/>
        <w:jc w:val="both"/>
        <w:textAlignment w:val="baseline"/>
        <w:rPr>
          <w:rFonts w:ascii="Verdana" w:hAnsi="Verdana"/>
          <w:sz w:val="20"/>
          <w:szCs w:val="20"/>
        </w:rPr>
      </w:pPr>
      <w:r w:rsidRPr="000864AE">
        <w:rPr>
          <w:rFonts w:ascii="Verdana" w:hAnsi="Verdana"/>
          <w:sz w:val="20"/>
          <w:szCs w:val="20"/>
        </w:rPr>
        <w:t xml:space="preserve">Disiente el </w:t>
      </w:r>
      <w:r w:rsidR="00111EE8" w:rsidRPr="000864AE">
        <w:rPr>
          <w:rFonts w:ascii="Verdana" w:hAnsi="Verdana"/>
          <w:sz w:val="20"/>
          <w:szCs w:val="20"/>
        </w:rPr>
        <w:t>J</w:t>
      </w:r>
      <w:r w:rsidRPr="000864AE">
        <w:rPr>
          <w:rFonts w:ascii="Verdana" w:hAnsi="Verdana"/>
          <w:sz w:val="20"/>
          <w:szCs w:val="20"/>
        </w:rPr>
        <w:t>uez Eduardo Vio Grossi.</w:t>
      </w:r>
    </w:p>
    <w:p w14:paraId="7AC4E1B2" w14:textId="77777777" w:rsidR="00D311D1" w:rsidRPr="000864AE" w:rsidRDefault="00D311D1" w:rsidP="000864AE">
      <w:pPr>
        <w:widowControl w:val="0"/>
        <w:tabs>
          <w:tab w:val="left" w:pos="567"/>
        </w:tabs>
        <w:adjustRightInd w:val="0"/>
        <w:spacing w:after="0" w:line="240" w:lineRule="auto"/>
        <w:jc w:val="both"/>
        <w:textAlignment w:val="baseline"/>
        <w:rPr>
          <w:rFonts w:ascii="Verdana" w:hAnsi="Verdana"/>
          <w:sz w:val="20"/>
          <w:szCs w:val="20"/>
        </w:rPr>
      </w:pPr>
    </w:p>
    <w:p w14:paraId="267FBB0C" w14:textId="7AEF8F99" w:rsidR="00B240D4" w:rsidRPr="000864AE" w:rsidRDefault="00B240D4" w:rsidP="000864AE">
      <w:pPr>
        <w:widowControl w:val="0"/>
        <w:tabs>
          <w:tab w:val="left" w:pos="567"/>
        </w:tabs>
        <w:adjustRightInd w:val="0"/>
        <w:spacing w:after="0" w:line="240" w:lineRule="auto"/>
        <w:jc w:val="both"/>
        <w:textAlignment w:val="baseline"/>
        <w:rPr>
          <w:rFonts w:ascii="Verdana" w:hAnsi="Verdana"/>
          <w:sz w:val="20"/>
          <w:szCs w:val="20"/>
        </w:rPr>
      </w:pPr>
      <w:r w:rsidRPr="000864AE">
        <w:rPr>
          <w:rFonts w:ascii="Verdana" w:hAnsi="Verdana"/>
          <w:sz w:val="20"/>
          <w:szCs w:val="20"/>
        </w:rPr>
        <w:t>Por unanimidad, que:</w:t>
      </w:r>
    </w:p>
    <w:p w14:paraId="491C34C4" w14:textId="77777777" w:rsidR="00B240D4" w:rsidRPr="000864AE" w:rsidRDefault="00B240D4" w:rsidP="000864AE">
      <w:pPr>
        <w:widowControl w:val="0"/>
        <w:tabs>
          <w:tab w:val="left" w:pos="567"/>
        </w:tabs>
        <w:adjustRightInd w:val="0"/>
        <w:spacing w:after="0" w:line="240" w:lineRule="auto"/>
        <w:jc w:val="both"/>
        <w:textAlignment w:val="baseline"/>
        <w:rPr>
          <w:rFonts w:ascii="Verdana" w:hAnsi="Verdana"/>
          <w:sz w:val="20"/>
          <w:szCs w:val="20"/>
        </w:rPr>
      </w:pPr>
    </w:p>
    <w:p w14:paraId="6A5057AB" w14:textId="048B1663" w:rsidR="001E14D8" w:rsidRPr="000864AE" w:rsidRDefault="001A5331" w:rsidP="000864AE">
      <w:pPr>
        <w:widowControl w:val="0"/>
        <w:tabs>
          <w:tab w:val="left" w:pos="567"/>
        </w:tabs>
        <w:adjustRightInd w:val="0"/>
        <w:spacing w:after="0" w:line="240" w:lineRule="auto"/>
        <w:jc w:val="both"/>
        <w:textAlignment w:val="baseline"/>
        <w:rPr>
          <w:rFonts w:ascii="Verdana" w:hAnsi="Verdana"/>
          <w:sz w:val="20"/>
          <w:szCs w:val="20"/>
        </w:rPr>
      </w:pPr>
      <w:r w:rsidRPr="000864AE">
        <w:rPr>
          <w:rFonts w:ascii="Verdana" w:hAnsi="Verdana"/>
          <w:sz w:val="20"/>
          <w:szCs w:val="20"/>
        </w:rPr>
        <w:t>11</w:t>
      </w:r>
      <w:r w:rsidR="001E14D8" w:rsidRPr="000864AE">
        <w:rPr>
          <w:rFonts w:ascii="Verdana" w:hAnsi="Verdana"/>
          <w:sz w:val="20"/>
          <w:szCs w:val="20"/>
        </w:rPr>
        <w:t xml:space="preserve">. </w:t>
      </w:r>
      <w:r w:rsidR="001E14D8" w:rsidRPr="000864AE">
        <w:rPr>
          <w:rFonts w:ascii="Verdana" w:hAnsi="Verdana"/>
          <w:sz w:val="20"/>
          <w:szCs w:val="20"/>
        </w:rPr>
        <w:tab/>
        <w:t xml:space="preserve">El Estado </w:t>
      </w:r>
      <w:r w:rsidR="00EE343A" w:rsidRPr="000864AE">
        <w:rPr>
          <w:rFonts w:ascii="Verdana" w:hAnsi="Verdana"/>
          <w:sz w:val="20"/>
          <w:szCs w:val="20"/>
        </w:rPr>
        <w:t>rendirá</w:t>
      </w:r>
      <w:r w:rsidR="005B3F02" w:rsidRPr="000864AE">
        <w:rPr>
          <w:rFonts w:ascii="Verdana" w:hAnsi="Verdana"/>
          <w:sz w:val="20"/>
          <w:szCs w:val="20"/>
        </w:rPr>
        <w:t xml:space="preserve"> a la Corte</w:t>
      </w:r>
      <w:r w:rsidR="001E14D8" w:rsidRPr="000864AE">
        <w:rPr>
          <w:rFonts w:ascii="Verdana" w:hAnsi="Verdana"/>
          <w:sz w:val="20"/>
          <w:szCs w:val="20"/>
        </w:rPr>
        <w:t xml:space="preserve">, dentro del plazo de un año a partir de la notificación de esta Sentencia, un informe sobre las medidas adoptadas para cumplir con la misma. </w:t>
      </w:r>
    </w:p>
    <w:p w14:paraId="274031CF" w14:textId="77777777" w:rsidR="001E14D8" w:rsidRPr="000864AE" w:rsidRDefault="001E14D8" w:rsidP="000864AE">
      <w:pPr>
        <w:widowControl w:val="0"/>
        <w:tabs>
          <w:tab w:val="left" w:pos="567"/>
        </w:tabs>
        <w:adjustRightInd w:val="0"/>
        <w:spacing w:after="0" w:line="240" w:lineRule="auto"/>
        <w:jc w:val="both"/>
        <w:textAlignment w:val="baseline"/>
        <w:rPr>
          <w:rFonts w:ascii="Verdana" w:hAnsi="Verdana"/>
          <w:sz w:val="20"/>
          <w:szCs w:val="20"/>
        </w:rPr>
      </w:pPr>
    </w:p>
    <w:p w14:paraId="516940E0" w14:textId="77777777" w:rsidR="00B240D4" w:rsidRPr="000864AE" w:rsidRDefault="00B240D4" w:rsidP="000864AE">
      <w:pPr>
        <w:widowControl w:val="0"/>
        <w:tabs>
          <w:tab w:val="left" w:pos="567"/>
        </w:tabs>
        <w:adjustRightInd w:val="0"/>
        <w:spacing w:after="0" w:line="240" w:lineRule="auto"/>
        <w:jc w:val="both"/>
        <w:textAlignment w:val="baseline"/>
        <w:rPr>
          <w:rFonts w:ascii="Verdana" w:hAnsi="Verdana"/>
          <w:sz w:val="20"/>
          <w:szCs w:val="20"/>
        </w:rPr>
      </w:pPr>
      <w:r w:rsidRPr="000864AE">
        <w:rPr>
          <w:rFonts w:ascii="Verdana" w:hAnsi="Verdana"/>
          <w:sz w:val="20"/>
          <w:szCs w:val="20"/>
        </w:rPr>
        <w:t>Por unanimidad, que:</w:t>
      </w:r>
    </w:p>
    <w:p w14:paraId="2FF8D0D8" w14:textId="77777777" w:rsidR="00B240D4" w:rsidRPr="000864AE" w:rsidRDefault="00B240D4" w:rsidP="000864AE">
      <w:pPr>
        <w:widowControl w:val="0"/>
        <w:tabs>
          <w:tab w:val="left" w:pos="567"/>
        </w:tabs>
        <w:adjustRightInd w:val="0"/>
        <w:spacing w:after="0" w:line="240" w:lineRule="auto"/>
        <w:jc w:val="both"/>
        <w:textAlignment w:val="baseline"/>
        <w:rPr>
          <w:rFonts w:ascii="Verdana" w:hAnsi="Verdana"/>
          <w:sz w:val="20"/>
          <w:szCs w:val="20"/>
        </w:rPr>
      </w:pPr>
    </w:p>
    <w:p w14:paraId="64C3A13F" w14:textId="524CCA76" w:rsidR="001E14D8" w:rsidRPr="000864AE" w:rsidRDefault="001A5331" w:rsidP="000864AE">
      <w:pPr>
        <w:widowControl w:val="0"/>
        <w:tabs>
          <w:tab w:val="left" w:pos="567"/>
        </w:tabs>
        <w:adjustRightInd w:val="0"/>
        <w:spacing w:after="0" w:line="240" w:lineRule="auto"/>
        <w:jc w:val="both"/>
        <w:textAlignment w:val="baseline"/>
        <w:rPr>
          <w:rFonts w:ascii="Verdana" w:eastAsia="Arial" w:hAnsi="Verdana" w:cs="Arial"/>
          <w:b/>
          <w:sz w:val="20"/>
          <w:szCs w:val="20"/>
          <w:lang w:val="es-ES"/>
        </w:rPr>
      </w:pPr>
      <w:r w:rsidRPr="000864AE">
        <w:rPr>
          <w:rFonts w:ascii="Verdana" w:hAnsi="Verdana"/>
          <w:sz w:val="20"/>
          <w:szCs w:val="20"/>
        </w:rPr>
        <w:t>12</w:t>
      </w:r>
      <w:r w:rsidR="001E14D8" w:rsidRPr="000864AE">
        <w:rPr>
          <w:rFonts w:ascii="Verdana" w:hAnsi="Verdana"/>
          <w:sz w:val="20"/>
          <w:szCs w:val="20"/>
        </w:rPr>
        <w:t xml:space="preserve">. </w:t>
      </w:r>
      <w:r w:rsidR="001E14D8" w:rsidRPr="000864AE">
        <w:rPr>
          <w:rFonts w:ascii="Verdana" w:hAnsi="Verdana"/>
          <w:sz w:val="20"/>
          <w:szCs w:val="20"/>
        </w:rPr>
        <w:tab/>
        <w:t xml:space="preserve">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con ocasión del mismo. </w:t>
      </w:r>
    </w:p>
    <w:p w14:paraId="400DDFEE" w14:textId="77777777" w:rsidR="001E14D8" w:rsidRPr="000864AE" w:rsidRDefault="001E14D8" w:rsidP="000864AE">
      <w:pPr>
        <w:spacing w:after="0" w:line="240" w:lineRule="auto"/>
        <w:jc w:val="both"/>
        <w:rPr>
          <w:rFonts w:ascii="Verdana" w:hAnsi="Verdana"/>
          <w:sz w:val="20"/>
          <w:szCs w:val="20"/>
          <w:lang w:val="es-ES"/>
        </w:rPr>
      </w:pPr>
    </w:p>
    <w:p w14:paraId="307FE160" w14:textId="44EC9915" w:rsidR="00B240D4" w:rsidRPr="000864AE" w:rsidRDefault="00B45EA2" w:rsidP="000864AE">
      <w:pPr>
        <w:spacing w:after="0" w:line="240" w:lineRule="auto"/>
        <w:jc w:val="both"/>
        <w:rPr>
          <w:rFonts w:ascii="Verdana" w:hAnsi="Verdana"/>
          <w:sz w:val="20"/>
          <w:szCs w:val="20"/>
          <w:lang w:val="es-ES"/>
        </w:rPr>
      </w:pPr>
      <w:r w:rsidRPr="000864AE">
        <w:rPr>
          <w:rFonts w:ascii="Verdana" w:hAnsi="Verdana"/>
          <w:sz w:val="20"/>
          <w:szCs w:val="20"/>
          <w:lang w:val="es-ES"/>
        </w:rPr>
        <w:t>El Juez</w:t>
      </w:r>
      <w:r w:rsidR="00B240D4" w:rsidRPr="000864AE">
        <w:rPr>
          <w:rFonts w:ascii="Verdana" w:hAnsi="Verdana"/>
          <w:sz w:val="20"/>
          <w:szCs w:val="20"/>
          <w:lang w:val="es-ES"/>
        </w:rPr>
        <w:t xml:space="preserve"> Eduardo Vio Grossi</w:t>
      </w:r>
      <w:r w:rsidRPr="000864AE">
        <w:rPr>
          <w:rFonts w:ascii="Verdana" w:hAnsi="Verdana"/>
          <w:sz w:val="20"/>
          <w:szCs w:val="20"/>
          <w:lang w:val="es-ES"/>
        </w:rPr>
        <w:t xml:space="preserve"> dio a conocer su voto</w:t>
      </w:r>
      <w:r w:rsidR="004E5DE0" w:rsidRPr="000864AE">
        <w:rPr>
          <w:rFonts w:ascii="Verdana" w:hAnsi="Verdana"/>
          <w:sz w:val="20"/>
          <w:szCs w:val="20"/>
          <w:lang w:val="es-ES"/>
        </w:rPr>
        <w:t xml:space="preserve"> individual</w:t>
      </w:r>
      <w:r w:rsidRPr="000864AE">
        <w:rPr>
          <w:rFonts w:ascii="Verdana" w:hAnsi="Verdana"/>
          <w:sz w:val="20"/>
          <w:szCs w:val="20"/>
          <w:lang w:val="es-ES"/>
        </w:rPr>
        <w:t xml:space="preserve"> disidente</w:t>
      </w:r>
      <w:r w:rsidR="002270FD" w:rsidRPr="000864AE">
        <w:rPr>
          <w:rFonts w:ascii="Verdana" w:hAnsi="Verdana"/>
          <w:sz w:val="20"/>
          <w:szCs w:val="20"/>
          <w:lang w:val="es-ES"/>
        </w:rPr>
        <w:t>,</w:t>
      </w:r>
      <w:r w:rsidRPr="000864AE">
        <w:rPr>
          <w:rFonts w:ascii="Verdana" w:hAnsi="Verdana"/>
          <w:sz w:val="20"/>
          <w:szCs w:val="20"/>
          <w:lang w:val="es-ES"/>
        </w:rPr>
        <w:t xml:space="preserve"> el Juez Humberto</w:t>
      </w:r>
      <w:r w:rsidR="009C1DC6" w:rsidRPr="000864AE">
        <w:rPr>
          <w:rFonts w:ascii="Verdana" w:hAnsi="Verdana"/>
          <w:sz w:val="20"/>
          <w:szCs w:val="20"/>
          <w:lang w:val="es-ES"/>
        </w:rPr>
        <w:t xml:space="preserve"> Antonio</w:t>
      </w:r>
      <w:r w:rsidRPr="000864AE">
        <w:rPr>
          <w:rFonts w:ascii="Verdana" w:hAnsi="Verdana"/>
          <w:sz w:val="20"/>
          <w:szCs w:val="20"/>
          <w:lang w:val="es-ES"/>
        </w:rPr>
        <w:t xml:space="preserve"> Sierra Porto dio a conocer su voto</w:t>
      </w:r>
      <w:r w:rsidR="004E5DE0" w:rsidRPr="000864AE">
        <w:rPr>
          <w:rFonts w:ascii="Verdana" w:hAnsi="Verdana"/>
          <w:sz w:val="20"/>
          <w:szCs w:val="20"/>
          <w:lang w:val="es-ES"/>
        </w:rPr>
        <w:t xml:space="preserve"> individual</w:t>
      </w:r>
      <w:r w:rsidRPr="000864AE">
        <w:rPr>
          <w:rFonts w:ascii="Verdana" w:hAnsi="Verdana"/>
          <w:sz w:val="20"/>
          <w:szCs w:val="20"/>
          <w:lang w:val="es-ES"/>
        </w:rPr>
        <w:t xml:space="preserve"> parcialmente disidente</w:t>
      </w:r>
      <w:r w:rsidR="002270FD" w:rsidRPr="000864AE">
        <w:rPr>
          <w:rFonts w:ascii="Verdana" w:hAnsi="Verdana"/>
          <w:sz w:val="20"/>
          <w:szCs w:val="20"/>
          <w:lang w:val="es-ES"/>
        </w:rPr>
        <w:t>, y el Juez Ricardo Pérez Manrique dio a conocer su voto individual concurrente.</w:t>
      </w:r>
    </w:p>
    <w:p w14:paraId="59E5AD85" w14:textId="77777777" w:rsidR="00B240D4" w:rsidRPr="000864AE" w:rsidRDefault="00B240D4" w:rsidP="000864AE">
      <w:pPr>
        <w:spacing w:after="0" w:line="240" w:lineRule="auto"/>
        <w:jc w:val="both"/>
        <w:rPr>
          <w:rFonts w:ascii="Verdana" w:hAnsi="Verdana"/>
          <w:sz w:val="20"/>
          <w:szCs w:val="20"/>
          <w:lang w:val="es-ES"/>
        </w:rPr>
      </w:pPr>
    </w:p>
    <w:p w14:paraId="6F547278" w14:textId="0FF6911C" w:rsidR="001E14D8" w:rsidRPr="000864AE" w:rsidRDefault="001E14D8" w:rsidP="000864AE">
      <w:pPr>
        <w:spacing w:after="0" w:line="240" w:lineRule="auto"/>
        <w:jc w:val="both"/>
        <w:rPr>
          <w:rFonts w:ascii="Verdana" w:hAnsi="Verdana"/>
          <w:sz w:val="20"/>
          <w:szCs w:val="20"/>
          <w:lang w:val="es-ES"/>
        </w:rPr>
      </w:pPr>
      <w:r w:rsidRPr="000864AE">
        <w:rPr>
          <w:rFonts w:ascii="Verdana" w:hAnsi="Verdana"/>
          <w:sz w:val="20"/>
          <w:szCs w:val="20"/>
          <w:lang w:val="es-ES"/>
        </w:rPr>
        <w:t>Redactada en San José</w:t>
      </w:r>
      <w:r w:rsidR="001A70B5" w:rsidRPr="000864AE">
        <w:rPr>
          <w:rFonts w:ascii="Verdana" w:hAnsi="Verdana"/>
          <w:sz w:val="20"/>
          <w:szCs w:val="20"/>
          <w:lang w:val="es-ES"/>
        </w:rPr>
        <w:t>, República de Costa Rica, el 21</w:t>
      </w:r>
      <w:r w:rsidRPr="000864AE">
        <w:rPr>
          <w:rFonts w:ascii="Verdana" w:hAnsi="Verdana"/>
          <w:sz w:val="20"/>
          <w:szCs w:val="20"/>
          <w:lang w:val="es-ES"/>
        </w:rPr>
        <w:t xml:space="preserve"> de noviembre de 2019. </w:t>
      </w:r>
    </w:p>
    <w:p w14:paraId="248A42F9" w14:textId="37DF5701" w:rsidR="00804A58" w:rsidRPr="000864AE" w:rsidRDefault="00063CD1" w:rsidP="000864AE">
      <w:pPr>
        <w:rPr>
          <w:rFonts w:ascii="Verdana" w:hAnsi="Verdana"/>
          <w:sz w:val="20"/>
          <w:szCs w:val="20"/>
          <w:lang w:val="es-ES"/>
        </w:rPr>
      </w:pPr>
      <w:r w:rsidRPr="000864AE">
        <w:rPr>
          <w:rFonts w:ascii="Verdana" w:hAnsi="Verdana"/>
          <w:sz w:val="20"/>
          <w:szCs w:val="20"/>
          <w:lang w:val="es-ES"/>
        </w:rPr>
        <w:br w:type="page"/>
      </w:r>
    </w:p>
    <w:p w14:paraId="3CDD6D98" w14:textId="77777777" w:rsidR="00EA38F6" w:rsidRPr="000864AE" w:rsidRDefault="00EA38F6" w:rsidP="000864AE">
      <w:pPr>
        <w:rPr>
          <w:rFonts w:ascii="Verdana" w:hAnsi="Verdana"/>
          <w:sz w:val="20"/>
          <w:szCs w:val="20"/>
          <w:lang w:val="es-ES"/>
        </w:rPr>
      </w:pPr>
    </w:p>
    <w:p w14:paraId="674D17A4" w14:textId="77777777" w:rsidR="00EA38F6" w:rsidRPr="000864AE" w:rsidRDefault="00EA38F6" w:rsidP="000864AE">
      <w:pPr>
        <w:rPr>
          <w:rFonts w:ascii="Verdana" w:hAnsi="Verdana"/>
          <w:sz w:val="20"/>
          <w:szCs w:val="20"/>
          <w:lang w:val="es-ES"/>
        </w:rPr>
      </w:pPr>
    </w:p>
    <w:p w14:paraId="1591ACFE" w14:textId="77777777" w:rsidR="00EA38F6" w:rsidRPr="000864AE" w:rsidRDefault="00EA38F6" w:rsidP="000864AE">
      <w:pPr>
        <w:jc w:val="center"/>
        <w:rPr>
          <w:rFonts w:ascii="Verdana" w:hAnsi="Verdana"/>
          <w:b/>
          <w:noProof/>
          <w:sz w:val="18"/>
          <w:szCs w:val="18"/>
          <w:lang w:eastAsia="es-MX"/>
        </w:rPr>
        <w:sectPr w:rsidR="00EA38F6" w:rsidRPr="000864AE" w:rsidSect="008F4C07">
          <w:headerReference w:type="default" r:id="rId13"/>
          <w:footerReference w:type="default" r:id="rId14"/>
          <w:headerReference w:type="first" r:id="rId15"/>
          <w:pgSz w:w="12240" w:h="15840"/>
          <w:pgMar w:top="1247" w:right="1191" w:bottom="1191" w:left="1247" w:header="720" w:footer="720" w:gutter="0"/>
          <w:cols w:space="720"/>
          <w:titlePg/>
          <w:docGrid w:linePitch="360"/>
        </w:sectPr>
      </w:pPr>
    </w:p>
    <w:tbl>
      <w:tblPr>
        <w:tblStyle w:val="Tablaconcuadrcula"/>
        <w:tblW w:w="4503" w:type="dxa"/>
        <w:tblLook w:val="04A0" w:firstRow="1" w:lastRow="0" w:firstColumn="1" w:lastColumn="0" w:noHBand="0" w:noVBand="1"/>
      </w:tblPr>
      <w:tblGrid>
        <w:gridCol w:w="668"/>
        <w:gridCol w:w="3835"/>
      </w:tblGrid>
      <w:tr w:rsidR="00EA38F6" w:rsidRPr="000864AE" w14:paraId="4D04930E" w14:textId="77777777" w:rsidTr="00AC0C51">
        <w:trPr>
          <w:trHeight w:val="300"/>
        </w:trPr>
        <w:tc>
          <w:tcPr>
            <w:tcW w:w="668" w:type="dxa"/>
            <w:vAlign w:val="center"/>
          </w:tcPr>
          <w:p w14:paraId="532DDACF" w14:textId="1C481D1D" w:rsidR="00EA38F6" w:rsidRPr="000864AE" w:rsidRDefault="00EA38F6" w:rsidP="000864AE">
            <w:pPr>
              <w:jc w:val="center"/>
              <w:rPr>
                <w:rFonts w:ascii="Verdana" w:hAnsi="Verdana"/>
                <w:b/>
                <w:noProof/>
                <w:sz w:val="18"/>
                <w:szCs w:val="18"/>
                <w:lang w:eastAsia="es-MX"/>
              </w:rPr>
            </w:pPr>
            <w:r w:rsidRPr="000864AE">
              <w:rPr>
                <w:rFonts w:ascii="Verdana" w:hAnsi="Verdana"/>
                <w:b/>
                <w:noProof/>
                <w:sz w:val="18"/>
                <w:szCs w:val="18"/>
                <w:lang w:val="es-ES_tradnl" w:eastAsia="es-ES_tradnl"/>
              </w:rPr>
              <mc:AlternateContent>
                <mc:Choice Requires="wps">
                  <w:drawing>
                    <wp:anchor distT="0" distB="0" distL="114300" distR="114300" simplePos="0" relativeHeight="251655680" behindDoc="0" locked="0" layoutInCell="1" allowOverlap="1" wp14:anchorId="27D7DF38" wp14:editId="03DB9A51">
                      <wp:simplePos x="0" y="0"/>
                      <wp:positionH relativeFrom="column">
                        <wp:posOffset>-134620</wp:posOffset>
                      </wp:positionH>
                      <wp:positionV relativeFrom="paragraph">
                        <wp:posOffset>-631825</wp:posOffset>
                      </wp:positionV>
                      <wp:extent cx="6346190" cy="561975"/>
                      <wp:effectExtent l="0" t="0" r="1651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208" cy="561975"/>
                              </a:xfrm>
                              <a:prstGeom prst="rect">
                                <a:avLst/>
                              </a:prstGeom>
                              <a:solidFill>
                                <a:srgbClr val="FFFFFF"/>
                              </a:solidFill>
                              <a:ln w="9525">
                                <a:solidFill>
                                  <a:schemeClr val="bg1"/>
                                </a:solidFill>
                                <a:miter lim="800000"/>
                                <a:headEnd/>
                                <a:tailEnd/>
                              </a:ln>
                            </wps:spPr>
                            <wps:txbx>
                              <w:txbxContent>
                                <w:tbl>
                                  <w:tblPr>
                                    <w:tblStyle w:val="Tablaconcuadrcula"/>
                                    <w:tblW w:w="9889" w:type="dxa"/>
                                    <w:tblLook w:val="04A0" w:firstRow="1" w:lastRow="0" w:firstColumn="1" w:lastColumn="0" w:noHBand="0" w:noVBand="1"/>
                                  </w:tblPr>
                                  <w:tblGrid>
                                    <w:gridCol w:w="9889"/>
                                  </w:tblGrid>
                                  <w:tr w:rsidR="005A5D3C" w14:paraId="52A664A5" w14:textId="77777777" w:rsidTr="00AA5989">
                                    <w:trPr>
                                      <w:trHeight w:val="702"/>
                                    </w:trPr>
                                    <w:tc>
                                      <w:tcPr>
                                        <w:tcW w:w="9889" w:type="dxa"/>
                                        <w:tcBorders>
                                          <w:top w:val="single" w:sz="4" w:space="0" w:color="auto"/>
                                          <w:left w:val="single" w:sz="4" w:space="0" w:color="auto"/>
                                          <w:bottom w:val="single" w:sz="4" w:space="0" w:color="auto"/>
                                          <w:right w:val="single" w:sz="4" w:space="0" w:color="auto"/>
                                        </w:tcBorders>
                                        <w:shd w:val="clear" w:color="auto" w:fill="auto"/>
                                        <w:vAlign w:val="center"/>
                                      </w:tcPr>
                                      <w:p w14:paraId="19D6707F" w14:textId="77777777" w:rsidR="005A5D3C" w:rsidRPr="00AD25A3" w:rsidRDefault="005A5D3C" w:rsidP="00AD25A3">
                                        <w:pPr>
                                          <w:pStyle w:val="Ttulo1"/>
                                          <w:outlineLvl w:val="0"/>
                                        </w:pPr>
                                        <w:bookmarkStart w:id="116" w:name="_Toc27329801"/>
                                        <w:r w:rsidRPr="00AD25A3">
                                          <w:t>ANEXO 1. LISTADO DE PRESUNTAS VÍCTIMAS REMITIDO POR LA CIDH</w:t>
                                        </w:r>
                                        <w:bookmarkEnd w:id="116"/>
                                      </w:p>
                                    </w:tc>
                                  </w:tr>
                                </w:tbl>
                                <w:p w14:paraId="546FE3BC" w14:textId="77777777" w:rsidR="005A5D3C" w:rsidRPr="00DC4289" w:rsidRDefault="005A5D3C" w:rsidP="00EA38F6">
                                  <w:pPr>
                                    <w:jc w:val="center"/>
                                    <w:rPr>
                                      <w:rFonts w:ascii="Verdana" w:hAnsi="Verdana"/>
                                      <w:b/>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7D7DF38" id="_x0000_t202" coordsize="21600,21600" o:spt="202" path="m,l,21600r21600,l21600,xe">
                      <v:stroke joinstyle="miter"/>
                      <v:path gradientshapeok="t" o:connecttype="rect"/>
                    </v:shapetype>
                    <v:shape id="Text Box 2" o:spid="_x0000_s1026" type="#_x0000_t202" style="position:absolute;left:0;text-align:left;margin-left:-10.6pt;margin-top:-49.75pt;width:499.7pt;height:4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" strokecolor="white [3212]">
                      <v:textbox>
                        <w:txbxContent>
                          <w:tbl>
                            <w:tblPr>
                              <w:tblStyle w:val="Tablaconcuadrcula"/>
                              <w:tblW w:w="9889" w:type="dxa"/>
                              <w:tblLook w:val="04A0" w:firstRow="1" w:lastRow="0" w:firstColumn="1" w:lastColumn="0" w:noHBand="0" w:noVBand="1"/>
                            </w:tblPr>
                            <w:tblGrid>
                              <w:gridCol w:w="9889"/>
                            </w:tblGrid>
                            <w:tr w:rsidR="005A5D3C" w14:paraId="52A664A5" w14:textId="77777777" w:rsidTr="00AA5989">
                              <w:trPr>
                                <w:trHeight w:val="702"/>
                              </w:trPr>
                              <w:tc>
                                <w:tcPr>
                                  <w:tcW w:w="9889" w:type="dxa"/>
                                  <w:tcBorders>
                                    <w:top w:val="single" w:sz="4" w:space="0" w:color="auto"/>
                                    <w:left w:val="single" w:sz="4" w:space="0" w:color="auto"/>
                                    <w:bottom w:val="single" w:sz="4" w:space="0" w:color="auto"/>
                                    <w:right w:val="single" w:sz="4" w:space="0" w:color="auto"/>
                                  </w:tcBorders>
                                  <w:shd w:val="clear" w:color="auto" w:fill="auto"/>
                                  <w:vAlign w:val="center"/>
                                </w:tcPr>
                                <w:p w14:paraId="19D6707F" w14:textId="77777777" w:rsidR="005A5D3C" w:rsidRPr="00AD25A3" w:rsidRDefault="005A5D3C" w:rsidP="00AD25A3">
                                  <w:pPr>
                                    <w:pStyle w:val="Ttulo1"/>
                                    <w:outlineLvl w:val="0"/>
                                  </w:pPr>
                                  <w:bookmarkStart w:id="117" w:name="_Toc27329801"/>
                                  <w:r w:rsidRPr="00AD25A3">
                                    <w:t>ANEXO 1. LISTADO DE PRESUNTAS VÍCTIMAS REMITIDO POR LA CIDH</w:t>
                                  </w:r>
                                  <w:bookmarkEnd w:id="117"/>
                                </w:p>
                              </w:tc>
                            </w:tr>
                          </w:tbl>
                          <w:p w14:paraId="546FE3BC" w14:textId="77777777" w:rsidR="005A5D3C" w:rsidRPr="00DC4289" w:rsidRDefault="005A5D3C" w:rsidP="00EA38F6">
                            <w:pPr>
                              <w:jc w:val="center"/>
                              <w:rPr>
                                <w:rFonts w:ascii="Verdana" w:hAnsi="Verdana"/>
                                <w:b/>
                                <w:sz w:val="20"/>
                                <w:szCs w:val="20"/>
                              </w:rPr>
                            </w:pPr>
                          </w:p>
                        </w:txbxContent>
                      </v:textbox>
                    </v:shape>
                  </w:pict>
                </mc:Fallback>
              </mc:AlternateContent>
            </w:r>
            <w:r w:rsidRPr="000864AE">
              <w:rPr>
                <w:rFonts w:ascii="Verdana" w:hAnsi="Verdana"/>
                <w:b/>
                <w:noProof/>
                <w:sz w:val="18"/>
                <w:szCs w:val="18"/>
                <w:lang w:eastAsia="es-MX"/>
              </w:rPr>
              <w:t>N°</w:t>
            </w:r>
          </w:p>
        </w:tc>
        <w:tc>
          <w:tcPr>
            <w:tcW w:w="3835" w:type="dxa"/>
            <w:vAlign w:val="center"/>
          </w:tcPr>
          <w:p w14:paraId="2130178F" w14:textId="77777777" w:rsidR="00EA38F6" w:rsidRPr="000864AE" w:rsidRDefault="00EA38F6" w:rsidP="000864AE">
            <w:pPr>
              <w:jc w:val="center"/>
              <w:rPr>
                <w:rFonts w:ascii="Verdana" w:hAnsi="Verdana"/>
                <w:b/>
                <w:sz w:val="18"/>
                <w:szCs w:val="18"/>
              </w:rPr>
            </w:pPr>
            <w:r w:rsidRPr="000864AE">
              <w:rPr>
                <w:rFonts w:ascii="Verdana" w:hAnsi="Verdana"/>
                <w:b/>
                <w:sz w:val="18"/>
                <w:szCs w:val="18"/>
              </w:rPr>
              <w:t>PRESUNTA VÍCTIMA</w:t>
            </w:r>
          </w:p>
        </w:tc>
      </w:tr>
      <w:tr w:rsidR="00EA38F6" w:rsidRPr="000864AE" w14:paraId="66566EF6" w14:textId="77777777" w:rsidTr="00AC0C51">
        <w:trPr>
          <w:trHeight w:val="300"/>
        </w:trPr>
        <w:tc>
          <w:tcPr>
            <w:tcW w:w="668" w:type="dxa"/>
            <w:vAlign w:val="center"/>
            <w:hideMark/>
          </w:tcPr>
          <w:p w14:paraId="438A4C37"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w:t>
            </w:r>
          </w:p>
        </w:tc>
        <w:tc>
          <w:tcPr>
            <w:tcW w:w="3835" w:type="dxa"/>
            <w:vAlign w:val="center"/>
            <w:hideMark/>
          </w:tcPr>
          <w:p w14:paraId="2B9AA270" w14:textId="77777777" w:rsidR="00EA38F6" w:rsidRPr="000864AE" w:rsidRDefault="00EA38F6" w:rsidP="000864AE">
            <w:pPr>
              <w:rPr>
                <w:rFonts w:ascii="Verdana" w:hAnsi="Verdana"/>
                <w:sz w:val="18"/>
                <w:szCs w:val="18"/>
              </w:rPr>
            </w:pPr>
            <w:r w:rsidRPr="000864AE">
              <w:rPr>
                <w:rFonts w:ascii="Verdana" w:hAnsi="Verdana"/>
                <w:sz w:val="18"/>
                <w:szCs w:val="18"/>
              </w:rPr>
              <w:t>Abanto Carrera Eduardo</w:t>
            </w:r>
          </w:p>
        </w:tc>
      </w:tr>
      <w:tr w:rsidR="00EA38F6" w:rsidRPr="000864AE" w14:paraId="09776D8A" w14:textId="77777777" w:rsidTr="00AC0C51">
        <w:trPr>
          <w:trHeight w:val="300"/>
        </w:trPr>
        <w:tc>
          <w:tcPr>
            <w:tcW w:w="668" w:type="dxa"/>
            <w:vAlign w:val="center"/>
            <w:hideMark/>
          </w:tcPr>
          <w:p w14:paraId="1CEBD020"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w:t>
            </w:r>
          </w:p>
        </w:tc>
        <w:tc>
          <w:tcPr>
            <w:tcW w:w="3835" w:type="dxa"/>
            <w:vAlign w:val="center"/>
            <w:hideMark/>
          </w:tcPr>
          <w:p w14:paraId="1D9C1FAA" w14:textId="77777777" w:rsidR="00EA38F6" w:rsidRPr="000864AE" w:rsidRDefault="00EA38F6" w:rsidP="000864AE">
            <w:pPr>
              <w:rPr>
                <w:rFonts w:ascii="Verdana" w:hAnsi="Verdana"/>
                <w:sz w:val="18"/>
                <w:szCs w:val="18"/>
              </w:rPr>
            </w:pPr>
            <w:r w:rsidRPr="000864AE">
              <w:rPr>
                <w:rFonts w:ascii="Verdana" w:hAnsi="Verdana"/>
                <w:sz w:val="18"/>
                <w:szCs w:val="18"/>
              </w:rPr>
              <w:t>Acha Vergara Luis Antonio</w:t>
            </w:r>
          </w:p>
        </w:tc>
      </w:tr>
      <w:tr w:rsidR="00EA38F6" w:rsidRPr="000864AE" w14:paraId="2FEA0579" w14:textId="77777777" w:rsidTr="00AC0C51">
        <w:trPr>
          <w:trHeight w:val="300"/>
        </w:trPr>
        <w:tc>
          <w:tcPr>
            <w:tcW w:w="668" w:type="dxa"/>
            <w:vAlign w:val="center"/>
            <w:hideMark/>
          </w:tcPr>
          <w:p w14:paraId="45B20420"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w:t>
            </w:r>
          </w:p>
        </w:tc>
        <w:tc>
          <w:tcPr>
            <w:tcW w:w="3835" w:type="dxa"/>
            <w:vAlign w:val="center"/>
            <w:hideMark/>
          </w:tcPr>
          <w:p w14:paraId="595513EB" w14:textId="77777777" w:rsidR="00EA38F6" w:rsidRPr="000864AE" w:rsidRDefault="00EA38F6" w:rsidP="000864AE">
            <w:pPr>
              <w:rPr>
                <w:rFonts w:ascii="Verdana" w:hAnsi="Verdana"/>
                <w:sz w:val="18"/>
                <w:szCs w:val="18"/>
              </w:rPr>
            </w:pPr>
            <w:r w:rsidRPr="000864AE">
              <w:rPr>
                <w:rFonts w:ascii="Verdana" w:hAnsi="Verdana"/>
                <w:sz w:val="18"/>
                <w:szCs w:val="18"/>
              </w:rPr>
              <w:t>Acuña Gayoso Víctor Guillermo</w:t>
            </w:r>
          </w:p>
        </w:tc>
      </w:tr>
      <w:tr w:rsidR="00EA38F6" w:rsidRPr="000864AE" w14:paraId="73EEB88B" w14:textId="77777777" w:rsidTr="00AC0C51">
        <w:trPr>
          <w:trHeight w:val="300"/>
        </w:trPr>
        <w:tc>
          <w:tcPr>
            <w:tcW w:w="668" w:type="dxa"/>
            <w:vAlign w:val="center"/>
            <w:hideMark/>
          </w:tcPr>
          <w:p w14:paraId="3FE0CA66"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w:t>
            </w:r>
          </w:p>
        </w:tc>
        <w:tc>
          <w:tcPr>
            <w:tcW w:w="3835" w:type="dxa"/>
            <w:vAlign w:val="center"/>
            <w:hideMark/>
          </w:tcPr>
          <w:p w14:paraId="2DC183EC" w14:textId="77777777" w:rsidR="00EA38F6" w:rsidRPr="000864AE" w:rsidRDefault="00EA38F6" w:rsidP="000864AE">
            <w:pPr>
              <w:rPr>
                <w:rFonts w:ascii="Verdana" w:hAnsi="Verdana"/>
                <w:sz w:val="18"/>
                <w:szCs w:val="18"/>
              </w:rPr>
            </w:pPr>
            <w:r w:rsidRPr="000864AE">
              <w:rPr>
                <w:rFonts w:ascii="Verdana" w:hAnsi="Verdana"/>
                <w:sz w:val="18"/>
                <w:szCs w:val="18"/>
              </w:rPr>
              <w:t>Adrianzén Palacios Carlos Augusto</w:t>
            </w:r>
          </w:p>
        </w:tc>
      </w:tr>
      <w:tr w:rsidR="00EA38F6" w:rsidRPr="000864AE" w14:paraId="08BF00DD" w14:textId="77777777" w:rsidTr="00AC0C51">
        <w:trPr>
          <w:trHeight w:val="300"/>
        </w:trPr>
        <w:tc>
          <w:tcPr>
            <w:tcW w:w="668" w:type="dxa"/>
            <w:vAlign w:val="center"/>
            <w:hideMark/>
          </w:tcPr>
          <w:p w14:paraId="282A9519"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w:t>
            </w:r>
          </w:p>
        </w:tc>
        <w:tc>
          <w:tcPr>
            <w:tcW w:w="3835" w:type="dxa"/>
            <w:vAlign w:val="center"/>
            <w:hideMark/>
          </w:tcPr>
          <w:p w14:paraId="04A6A971" w14:textId="77777777" w:rsidR="00EA38F6" w:rsidRPr="000864AE" w:rsidRDefault="00EA38F6" w:rsidP="000864AE">
            <w:pPr>
              <w:rPr>
                <w:rFonts w:ascii="Verdana" w:hAnsi="Verdana"/>
                <w:sz w:val="18"/>
                <w:szCs w:val="18"/>
              </w:rPr>
            </w:pPr>
            <w:r w:rsidRPr="000864AE">
              <w:rPr>
                <w:rFonts w:ascii="Verdana" w:hAnsi="Verdana"/>
                <w:sz w:val="18"/>
                <w:szCs w:val="18"/>
              </w:rPr>
              <w:t>Agüero Fitzgerald Estefania Dalmira</w:t>
            </w:r>
          </w:p>
        </w:tc>
      </w:tr>
      <w:tr w:rsidR="00EA38F6" w:rsidRPr="000864AE" w14:paraId="2286F731" w14:textId="77777777" w:rsidTr="00AC0C51">
        <w:trPr>
          <w:trHeight w:val="300"/>
        </w:trPr>
        <w:tc>
          <w:tcPr>
            <w:tcW w:w="668" w:type="dxa"/>
            <w:vAlign w:val="center"/>
            <w:hideMark/>
          </w:tcPr>
          <w:p w14:paraId="2290C33A"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w:t>
            </w:r>
          </w:p>
        </w:tc>
        <w:tc>
          <w:tcPr>
            <w:tcW w:w="3835" w:type="dxa"/>
            <w:vAlign w:val="center"/>
            <w:hideMark/>
          </w:tcPr>
          <w:p w14:paraId="269E509A" w14:textId="77777777" w:rsidR="00EA38F6" w:rsidRPr="000864AE" w:rsidRDefault="00EA38F6" w:rsidP="000864AE">
            <w:pPr>
              <w:rPr>
                <w:rFonts w:ascii="Verdana" w:hAnsi="Verdana"/>
                <w:sz w:val="18"/>
                <w:szCs w:val="18"/>
              </w:rPr>
            </w:pPr>
            <w:r w:rsidRPr="000864AE">
              <w:rPr>
                <w:rFonts w:ascii="Verdana" w:hAnsi="Verdana"/>
                <w:sz w:val="18"/>
                <w:szCs w:val="18"/>
              </w:rPr>
              <w:t>Agüero Granados Peter Manuel</w:t>
            </w:r>
          </w:p>
        </w:tc>
      </w:tr>
      <w:tr w:rsidR="00EA38F6" w:rsidRPr="000864AE" w14:paraId="6F84A6AE" w14:textId="77777777" w:rsidTr="00AC0C51">
        <w:trPr>
          <w:trHeight w:val="300"/>
        </w:trPr>
        <w:tc>
          <w:tcPr>
            <w:tcW w:w="668" w:type="dxa"/>
            <w:vAlign w:val="center"/>
            <w:hideMark/>
          </w:tcPr>
          <w:p w14:paraId="2EC5E513"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7</w:t>
            </w:r>
          </w:p>
        </w:tc>
        <w:tc>
          <w:tcPr>
            <w:tcW w:w="3835" w:type="dxa"/>
            <w:vAlign w:val="center"/>
            <w:hideMark/>
          </w:tcPr>
          <w:p w14:paraId="78F1CE4F" w14:textId="77777777" w:rsidR="00EA38F6" w:rsidRPr="000864AE" w:rsidRDefault="00EA38F6" w:rsidP="000864AE">
            <w:pPr>
              <w:rPr>
                <w:rFonts w:ascii="Verdana" w:hAnsi="Verdana"/>
                <w:sz w:val="18"/>
                <w:szCs w:val="18"/>
              </w:rPr>
            </w:pPr>
            <w:r w:rsidRPr="000864AE">
              <w:rPr>
                <w:rFonts w:ascii="Verdana" w:hAnsi="Verdana"/>
                <w:sz w:val="18"/>
                <w:szCs w:val="18"/>
              </w:rPr>
              <w:t>Aguilar Nole Manuel Erasmo</w:t>
            </w:r>
          </w:p>
        </w:tc>
      </w:tr>
      <w:tr w:rsidR="00EA38F6" w:rsidRPr="000864AE" w14:paraId="6F82F326" w14:textId="77777777" w:rsidTr="00AC0C51">
        <w:trPr>
          <w:trHeight w:val="300"/>
        </w:trPr>
        <w:tc>
          <w:tcPr>
            <w:tcW w:w="668" w:type="dxa"/>
            <w:vAlign w:val="center"/>
            <w:hideMark/>
          </w:tcPr>
          <w:p w14:paraId="4EFB5653"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8</w:t>
            </w:r>
          </w:p>
        </w:tc>
        <w:tc>
          <w:tcPr>
            <w:tcW w:w="3835" w:type="dxa"/>
            <w:vAlign w:val="center"/>
            <w:hideMark/>
          </w:tcPr>
          <w:p w14:paraId="1B2B8466" w14:textId="77777777" w:rsidR="00EA38F6" w:rsidRPr="000864AE" w:rsidRDefault="00EA38F6" w:rsidP="000864AE">
            <w:pPr>
              <w:rPr>
                <w:rFonts w:ascii="Verdana" w:hAnsi="Verdana"/>
                <w:sz w:val="18"/>
                <w:szCs w:val="18"/>
              </w:rPr>
            </w:pPr>
            <w:r w:rsidRPr="000864AE">
              <w:rPr>
                <w:rFonts w:ascii="Verdana" w:hAnsi="Verdana"/>
                <w:sz w:val="18"/>
                <w:szCs w:val="18"/>
              </w:rPr>
              <w:t>Aguilar Obando Juan Manuel</w:t>
            </w:r>
          </w:p>
        </w:tc>
      </w:tr>
      <w:tr w:rsidR="00EA38F6" w:rsidRPr="000864AE" w14:paraId="63300539" w14:textId="77777777" w:rsidTr="00AC0C51">
        <w:trPr>
          <w:trHeight w:val="300"/>
        </w:trPr>
        <w:tc>
          <w:tcPr>
            <w:tcW w:w="668" w:type="dxa"/>
            <w:vAlign w:val="center"/>
            <w:hideMark/>
          </w:tcPr>
          <w:p w14:paraId="0DB6FE8E"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9</w:t>
            </w:r>
          </w:p>
        </w:tc>
        <w:tc>
          <w:tcPr>
            <w:tcW w:w="3835" w:type="dxa"/>
            <w:vAlign w:val="center"/>
            <w:hideMark/>
          </w:tcPr>
          <w:p w14:paraId="405049E7" w14:textId="77777777" w:rsidR="00EA38F6" w:rsidRPr="000864AE" w:rsidRDefault="00EA38F6" w:rsidP="000864AE">
            <w:pPr>
              <w:rPr>
                <w:rFonts w:ascii="Verdana" w:hAnsi="Verdana"/>
                <w:sz w:val="18"/>
                <w:szCs w:val="18"/>
              </w:rPr>
            </w:pPr>
            <w:r w:rsidRPr="000864AE">
              <w:rPr>
                <w:rFonts w:ascii="Verdana" w:hAnsi="Verdana"/>
                <w:sz w:val="18"/>
                <w:szCs w:val="18"/>
              </w:rPr>
              <w:t>Aguilar Ocampo Nilda Consuelo</w:t>
            </w:r>
          </w:p>
        </w:tc>
      </w:tr>
      <w:tr w:rsidR="00EA38F6" w:rsidRPr="000864AE" w14:paraId="242A224E" w14:textId="77777777" w:rsidTr="00AC0C51">
        <w:trPr>
          <w:trHeight w:val="300"/>
        </w:trPr>
        <w:tc>
          <w:tcPr>
            <w:tcW w:w="668" w:type="dxa"/>
            <w:vAlign w:val="center"/>
            <w:hideMark/>
          </w:tcPr>
          <w:p w14:paraId="44454189"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10</w:t>
            </w:r>
          </w:p>
        </w:tc>
        <w:tc>
          <w:tcPr>
            <w:tcW w:w="3835" w:type="dxa"/>
            <w:vAlign w:val="center"/>
            <w:hideMark/>
          </w:tcPr>
          <w:p w14:paraId="2FEFF8D7" w14:textId="77777777" w:rsidR="00EA38F6" w:rsidRPr="000864AE" w:rsidRDefault="00EA38F6" w:rsidP="000864AE">
            <w:pPr>
              <w:rPr>
                <w:rFonts w:ascii="Verdana" w:hAnsi="Verdana"/>
                <w:sz w:val="18"/>
                <w:szCs w:val="18"/>
              </w:rPr>
            </w:pPr>
            <w:r w:rsidRPr="000864AE">
              <w:rPr>
                <w:rFonts w:ascii="Verdana" w:hAnsi="Verdana"/>
                <w:sz w:val="18"/>
                <w:szCs w:val="18"/>
              </w:rPr>
              <w:t>Aguilar Torres Nora</w:t>
            </w:r>
          </w:p>
        </w:tc>
      </w:tr>
      <w:tr w:rsidR="00EA38F6" w:rsidRPr="000864AE" w14:paraId="15D328B9" w14:textId="77777777" w:rsidTr="00AC0C51">
        <w:trPr>
          <w:trHeight w:val="300"/>
        </w:trPr>
        <w:tc>
          <w:tcPr>
            <w:tcW w:w="668" w:type="dxa"/>
            <w:vAlign w:val="center"/>
            <w:hideMark/>
          </w:tcPr>
          <w:p w14:paraId="7F72C7C6"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11</w:t>
            </w:r>
          </w:p>
        </w:tc>
        <w:tc>
          <w:tcPr>
            <w:tcW w:w="3835" w:type="dxa"/>
            <w:vAlign w:val="center"/>
            <w:hideMark/>
          </w:tcPr>
          <w:p w14:paraId="7166F508" w14:textId="77777777" w:rsidR="00EA38F6" w:rsidRPr="000864AE" w:rsidRDefault="00EA38F6" w:rsidP="000864AE">
            <w:pPr>
              <w:rPr>
                <w:rFonts w:ascii="Verdana" w:hAnsi="Verdana"/>
                <w:sz w:val="18"/>
                <w:szCs w:val="18"/>
              </w:rPr>
            </w:pPr>
            <w:r w:rsidRPr="000864AE">
              <w:rPr>
                <w:rFonts w:ascii="Verdana" w:hAnsi="Verdana"/>
                <w:sz w:val="18"/>
                <w:szCs w:val="18"/>
              </w:rPr>
              <w:t>Aguirre Medina Eduardo Dionicio</w:t>
            </w:r>
          </w:p>
        </w:tc>
      </w:tr>
      <w:tr w:rsidR="00EA38F6" w:rsidRPr="000864AE" w14:paraId="000DEB39" w14:textId="77777777" w:rsidTr="00AC0C51">
        <w:trPr>
          <w:trHeight w:val="300"/>
        </w:trPr>
        <w:tc>
          <w:tcPr>
            <w:tcW w:w="668" w:type="dxa"/>
            <w:vAlign w:val="center"/>
            <w:hideMark/>
          </w:tcPr>
          <w:p w14:paraId="60CDFB93"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12</w:t>
            </w:r>
          </w:p>
        </w:tc>
        <w:tc>
          <w:tcPr>
            <w:tcW w:w="3835" w:type="dxa"/>
            <w:vAlign w:val="center"/>
            <w:hideMark/>
          </w:tcPr>
          <w:p w14:paraId="59392359" w14:textId="77777777" w:rsidR="00EA38F6" w:rsidRPr="000864AE" w:rsidRDefault="00EA38F6" w:rsidP="000864AE">
            <w:pPr>
              <w:rPr>
                <w:rFonts w:ascii="Verdana" w:hAnsi="Verdana"/>
                <w:sz w:val="18"/>
                <w:szCs w:val="18"/>
              </w:rPr>
            </w:pPr>
            <w:r w:rsidRPr="000864AE">
              <w:rPr>
                <w:rFonts w:ascii="Verdana" w:hAnsi="Verdana"/>
                <w:sz w:val="18"/>
                <w:szCs w:val="18"/>
              </w:rPr>
              <w:t>Aguirre Utos Francisco</w:t>
            </w:r>
          </w:p>
        </w:tc>
      </w:tr>
      <w:tr w:rsidR="00EA38F6" w:rsidRPr="000864AE" w14:paraId="7E6A180B" w14:textId="77777777" w:rsidTr="00AC0C51">
        <w:trPr>
          <w:trHeight w:val="300"/>
        </w:trPr>
        <w:tc>
          <w:tcPr>
            <w:tcW w:w="668" w:type="dxa"/>
            <w:vAlign w:val="center"/>
            <w:hideMark/>
          </w:tcPr>
          <w:p w14:paraId="31058DAD"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13</w:t>
            </w:r>
          </w:p>
        </w:tc>
        <w:tc>
          <w:tcPr>
            <w:tcW w:w="3835" w:type="dxa"/>
            <w:vAlign w:val="center"/>
            <w:hideMark/>
          </w:tcPr>
          <w:p w14:paraId="3D18E085" w14:textId="77777777" w:rsidR="00EA38F6" w:rsidRPr="000864AE" w:rsidRDefault="00EA38F6" w:rsidP="000864AE">
            <w:pPr>
              <w:rPr>
                <w:rFonts w:ascii="Verdana" w:hAnsi="Verdana"/>
                <w:sz w:val="18"/>
                <w:szCs w:val="18"/>
              </w:rPr>
            </w:pPr>
            <w:r w:rsidRPr="000864AE">
              <w:rPr>
                <w:rFonts w:ascii="Verdana" w:hAnsi="Verdana"/>
                <w:sz w:val="18"/>
                <w:szCs w:val="18"/>
              </w:rPr>
              <w:t>Ajalcriña Cortez Herbig Victor</w:t>
            </w:r>
          </w:p>
        </w:tc>
      </w:tr>
      <w:tr w:rsidR="00EA38F6" w:rsidRPr="000864AE" w14:paraId="7182C8A8" w14:textId="77777777" w:rsidTr="00AC0C51">
        <w:trPr>
          <w:trHeight w:val="300"/>
        </w:trPr>
        <w:tc>
          <w:tcPr>
            <w:tcW w:w="668" w:type="dxa"/>
            <w:vAlign w:val="center"/>
            <w:hideMark/>
          </w:tcPr>
          <w:p w14:paraId="47295402"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14</w:t>
            </w:r>
          </w:p>
        </w:tc>
        <w:tc>
          <w:tcPr>
            <w:tcW w:w="3835" w:type="dxa"/>
            <w:vAlign w:val="center"/>
            <w:hideMark/>
          </w:tcPr>
          <w:p w14:paraId="1788ADDD" w14:textId="77777777" w:rsidR="00EA38F6" w:rsidRPr="000864AE" w:rsidRDefault="00EA38F6" w:rsidP="000864AE">
            <w:pPr>
              <w:rPr>
                <w:rFonts w:ascii="Verdana" w:hAnsi="Verdana"/>
                <w:sz w:val="18"/>
                <w:szCs w:val="18"/>
              </w:rPr>
            </w:pPr>
            <w:r w:rsidRPr="000864AE">
              <w:rPr>
                <w:rFonts w:ascii="Verdana" w:hAnsi="Verdana"/>
                <w:sz w:val="18"/>
                <w:szCs w:val="18"/>
              </w:rPr>
              <w:t>Alarcón Urquizo Primitiva Bertha</w:t>
            </w:r>
          </w:p>
        </w:tc>
      </w:tr>
      <w:tr w:rsidR="00EA38F6" w:rsidRPr="000864AE" w14:paraId="29CFCA2F" w14:textId="77777777" w:rsidTr="00AC0C51">
        <w:trPr>
          <w:trHeight w:val="300"/>
        </w:trPr>
        <w:tc>
          <w:tcPr>
            <w:tcW w:w="668" w:type="dxa"/>
            <w:vAlign w:val="center"/>
            <w:hideMark/>
          </w:tcPr>
          <w:p w14:paraId="4158B8E9"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15</w:t>
            </w:r>
          </w:p>
        </w:tc>
        <w:tc>
          <w:tcPr>
            <w:tcW w:w="3835" w:type="dxa"/>
            <w:vAlign w:val="center"/>
            <w:hideMark/>
          </w:tcPr>
          <w:p w14:paraId="03BAA16F" w14:textId="77777777" w:rsidR="00EA38F6" w:rsidRPr="000864AE" w:rsidRDefault="00EA38F6" w:rsidP="000864AE">
            <w:pPr>
              <w:rPr>
                <w:rFonts w:ascii="Verdana" w:hAnsi="Verdana"/>
                <w:sz w:val="18"/>
                <w:szCs w:val="18"/>
              </w:rPr>
            </w:pPr>
            <w:r w:rsidRPr="000864AE">
              <w:rPr>
                <w:rFonts w:ascii="Verdana" w:hAnsi="Verdana"/>
                <w:sz w:val="18"/>
                <w:szCs w:val="18"/>
              </w:rPr>
              <w:t>Albites Izquierdo Cesar Orlando</w:t>
            </w:r>
          </w:p>
        </w:tc>
      </w:tr>
      <w:tr w:rsidR="00EA38F6" w:rsidRPr="000864AE" w14:paraId="639B7A49" w14:textId="77777777" w:rsidTr="00AC0C51">
        <w:trPr>
          <w:trHeight w:val="300"/>
        </w:trPr>
        <w:tc>
          <w:tcPr>
            <w:tcW w:w="668" w:type="dxa"/>
            <w:vAlign w:val="center"/>
            <w:hideMark/>
          </w:tcPr>
          <w:p w14:paraId="238C4305"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16</w:t>
            </w:r>
          </w:p>
        </w:tc>
        <w:tc>
          <w:tcPr>
            <w:tcW w:w="3835" w:type="dxa"/>
            <w:vAlign w:val="center"/>
            <w:hideMark/>
          </w:tcPr>
          <w:p w14:paraId="56F3D767" w14:textId="77777777" w:rsidR="00EA38F6" w:rsidRPr="000864AE" w:rsidRDefault="00EA38F6" w:rsidP="000864AE">
            <w:pPr>
              <w:rPr>
                <w:rFonts w:ascii="Verdana" w:hAnsi="Verdana"/>
                <w:sz w:val="18"/>
                <w:szCs w:val="18"/>
              </w:rPr>
            </w:pPr>
            <w:r w:rsidRPr="000864AE">
              <w:rPr>
                <w:rFonts w:ascii="Verdana" w:hAnsi="Verdana"/>
                <w:sz w:val="18"/>
                <w:szCs w:val="18"/>
              </w:rPr>
              <w:t>Alegre Sánchez Moisés</w:t>
            </w:r>
          </w:p>
        </w:tc>
      </w:tr>
      <w:tr w:rsidR="00EA38F6" w:rsidRPr="000864AE" w14:paraId="3293DC81" w14:textId="77777777" w:rsidTr="00AC0C51">
        <w:trPr>
          <w:trHeight w:val="300"/>
        </w:trPr>
        <w:tc>
          <w:tcPr>
            <w:tcW w:w="668" w:type="dxa"/>
            <w:vAlign w:val="center"/>
            <w:hideMark/>
          </w:tcPr>
          <w:p w14:paraId="5EAF23A0"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17</w:t>
            </w:r>
          </w:p>
        </w:tc>
        <w:tc>
          <w:tcPr>
            <w:tcW w:w="3835" w:type="dxa"/>
            <w:vAlign w:val="center"/>
            <w:hideMark/>
          </w:tcPr>
          <w:p w14:paraId="7FF69A8C" w14:textId="77777777" w:rsidR="00EA38F6" w:rsidRPr="000864AE" w:rsidRDefault="00EA38F6" w:rsidP="000864AE">
            <w:pPr>
              <w:rPr>
                <w:rFonts w:ascii="Verdana" w:hAnsi="Verdana"/>
                <w:sz w:val="18"/>
                <w:szCs w:val="18"/>
              </w:rPr>
            </w:pPr>
            <w:r w:rsidRPr="000864AE">
              <w:rPr>
                <w:rFonts w:ascii="Verdana" w:hAnsi="Verdana"/>
                <w:sz w:val="18"/>
                <w:szCs w:val="18"/>
              </w:rPr>
              <w:t>Alejos Torres Niceforo</w:t>
            </w:r>
          </w:p>
        </w:tc>
      </w:tr>
      <w:tr w:rsidR="00EA38F6" w:rsidRPr="000864AE" w14:paraId="0C20F409" w14:textId="77777777" w:rsidTr="00AC0C51">
        <w:trPr>
          <w:trHeight w:val="300"/>
        </w:trPr>
        <w:tc>
          <w:tcPr>
            <w:tcW w:w="668" w:type="dxa"/>
            <w:vAlign w:val="center"/>
            <w:hideMark/>
          </w:tcPr>
          <w:p w14:paraId="6D7F0D36"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18</w:t>
            </w:r>
          </w:p>
        </w:tc>
        <w:tc>
          <w:tcPr>
            <w:tcW w:w="3835" w:type="dxa"/>
            <w:vAlign w:val="center"/>
            <w:hideMark/>
          </w:tcPr>
          <w:p w14:paraId="3E2AD457" w14:textId="77777777" w:rsidR="00EA38F6" w:rsidRPr="000864AE" w:rsidRDefault="00EA38F6" w:rsidP="000864AE">
            <w:pPr>
              <w:rPr>
                <w:rFonts w:ascii="Verdana" w:hAnsi="Verdana"/>
                <w:sz w:val="18"/>
                <w:szCs w:val="18"/>
              </w:rPr>
            </w:pPr>
            <w:r w:rsidRPr="000864AE">
              <w:rPr>
                <w:rFonts w:ascii="Verdana" w:hAnsi="Verdana"/>
                <w:sz w:val="18"/>
                <w:szCs w:val="18"/>
              </w:rPr>
              <w:t>Aliaga Ambukka Aurelio</w:t>
            </w:r>
          </w:p>
        </w:tc>
      </w:tr>
      <w:tr w:rsidR="00EA38F6" w:rsidRPr="000864AE" w14:paraId="0CAD72E5" w14:textId="77777777" w:rsidTr="00AC0C51">
        <w:trPr>
          <w:trHeight w:val="300"/>
        </w:trPr>
        <w:tc>
          <w:tcPr>
            <w:tcW w:w="668" w:type="dxa"/>
            <w:vAlign w:val="center"/>
            <w:hideMark/>
          </w:tcPr>
          <w:p w14:paraId="673EBC5B"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19</w:t>
            </w:r>
          </w:p>
        </w:tc>
        <w:tc>
          <w:tcPr>
            <w:tcW w:w="3835" w:type="dxa"/>
            <w:vAlign w:val="center"/>
            <w:hideMark/>
          </w:tcPr>
          <w:p w14:paraId="6CCCED03" w14:textId="77777777" w:rsidR="00EA38F6" w:rsidRPr="000864AE" w:rsidRDefault="00EA38F6" w:rsidP="000864AE">
            <w:pPr>
              <w:rPr>
                <w:rFonts w:ascii="Verdana" w:hAnsi="Verdana"/>
                <w:sz w:val="18"/>
                <w:szCs w:val="18"/>
              </w:rPr>
            </w:pPr>
            <w:r w:rsidRPr="000864AE">
              <w:rPr>
                <w:rFonts w:ascii="Verdana" w:hAnsi="Verdana"/>
                <w:sz w:val="18"/>
                <w:szCs w:val="18"/>
              </w:rPr>
              <w:t>Aliaga Lozano Jorge Horacio</w:t>
            </w:r>
          </w:p>
        </w:tc>
      </w:tr>
      <w:tr w:rsidR="00EA38F6" w:rsidRPr="000864AE" w14:paraId="72EE5C79" w14:textId="77777777" w:rsidTr="00AC0C51">
        <w:trPr>
          <w:trHeight w:val="300"/>
        </w:trPr>
        <w:tc>
          <w:tcPr>
            <w:tcW w:w="668" w:type="dxa"/>
            <w:vAlign w:val="center"/>
            <w:hideMark/>
          </w:tcPr>
          <w:p w14:paraId="751D76C2"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20</w:t>
            </w:r>
          </w:p>
        </w:tc>
        <w:tc>
          <w:tcPr>
            <w:tcW w:w="3835" w:type="dxa"/>
            <w:vAlign w:val="center"/>
            <w:hideMark/>
          </w:tcPr>
          <w:p w14:paraId="0661D9D4" w14:textId="77777777" w:rsidR="00EA38F6" w:rsidRPr="000864AE" w:rsidRDefault="00EA38F6" w:rsidP="000864AE">
            <w:pPr>
              <w:rPr>
                <w:rFonts w:ascii="Verdana" w:hAnsi="Verdana"/>
                <w:sz w:val="18"/>
                <w:szCs w:val="18"/>
              </w:rPr>
            </w:pPr>
            <w:r w:rsidRPr="000864AE">
              <w:rPr>
                <w:rFonts w:ascii="Verdana" w:hAnsi="Verdana"/>
                <w:sz w:val="18"/>
                <w:szCs w:val="18"/>
              </w:rPr>
              <w:t>Alonso Clemente Bertha</w:t>
            </w:r>
          </w:p>
        </w:tc>
      </w:tr>
      <w:tr w:rsidR="00EA38F6" w:rsidRPr="000864AE" w14:paraId="1BDD975C" w14:textId="77777777" w:rsidTr="00AC0C51">
        <w:trPr>
          <w:trHeight w:val="300"/>
        </w:trPr>
        <w:tc>
          <w:tcPr>
            <w:tcW w:w="668" w:type="dxa"/>
            <w:vAlign w:val="center"/>
            <w:hideMark/>
          </w:tcPr>
          <w:p w14:paraId="3D5E9295"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21</w:t>
            </w:r>
          </w:p>
        </w:tc>
        <w:tc>
          <w:tcPr>
            <w:tcW w:w="3835" w:type="dxa"/>
            <w:vAlign w:val="center"/>
            <w:hideMark/>
          </w:tcPr>
          <w:p w14:paraId="702A2515" w14:textId="77777777" w:rsidR="00EA38F6" w:rsidRPr="000864AE" w:rsidRDefault="00EA38F6" w:rsidP="000864AE">
            <w:pPr>
              <w:rPr>
                <w:rFonts w:ascii="Verdana" w:hAnsi="Verdana"/>
                <w:sz w:val="18"/>
                <w:szCs w:val="18"/>
              </w:rPr>
            </w:pPr>
            <w:r w:rsidRPr="000864AE">
              <w:rPr>
                <w:rFonts w:ascii="Verdana" w:hAnsi="Verdana"/>
                <w:sz w:val="18"/>
                <w:szCs w:val="18"/>
              </w:rPr>
              <w:t>Altuna Paredes Adrián Eginhardo</w:t>
            </w:r>
          </w:p>
        </w:tc>
      </w:tr>
      <w:tr w:rsidR="00EA38F6" w:rsidRPr="000864AE" w14:paraId="40899AF6" w14:textId="77777777" w:rsidTr="00AC0C51">
        <w:trPr>
          <w:trHeight w:val="300"/>
        </w:trPr>
        <w:tc>
          <w:tcPr>
            <w:tcW w:w="668" w:type="dxa"/>
            <w:vAlign w:val="center"/>
            <w:hideMark/>
          </w:tcPr>
          <w:p w14:paraId="1F045A4C"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22</w:t>
            </w:r>
          </w:p>
        </w:tc>
        <w:tc>
          <w:tcPr>
            <w:tcW w:w="3835" w:type="dxa"/>
            <w:vAlign w:val="center"/>
            <w:hideMark/>
          </w:tcPr>
          <w:p w14:paraId="0508E018" w14:textId="77777777" w:rsidR="00EA38F6" w:rsidRPr="000864AE" w:rsidRDefault="00EA38F6" w:rsidP="000864AE">
            <w:pPr>
              <w:rPr>
                <w:rFonts w:ascii="Verdana" w:hAnsi="Verdana"/>
                <w:sz w:val="18"/>
                <w:szCs w:val="18"/>
              </w:rPr>
            </w:pPr>
            <w:r w:rsidRPr="000864AE">
              <w:rPr>
                <w:rFonts w:ascii="Verdana" w:hAnsi="Verdana"/>
                <w:sz w:val="18"/>
                <w:szCs w:val="18"/>
              </w:rPr>
              <w:t>Alva Valderrama Alejandrina</w:t>
            </w:r>
          </w:p>
        </w:tc>
      </w:tr>
      <w:tr w:rsidR="00EA38F6" w:rsidRPr="000864AE" w14:paraId="760A9A03" w14:textId="77777777" w:rsidTr="00AC0C51">
        <w:trPr>
          <w:trHeight w:val="300"/>
        </w:trPr>
        <w:tc>
          <w:tcPr>
            <w:tcW w:w="668" w:type="dxa"/>
            <w:vAlign w:val="center"/>
            <w:hideMark/>
          </w:tcPr>
          <w:p w14:paraId="7A0AA994"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23</w:t>
            </w:r>
          </w:p>
        </w:tc>
        <w:tc>
          <w:tcPr>
            <w:tcW w:w="3835" w:type="dxa"/>
            <w:vAlign w:val="center"/>
            <w:hideMark/>
          </w:tcPr>
          <w:p w14:paraId="06188748" w14:textId="77777777" w:rsidR="00EA38F6" w:rsidRPr="000864AE" w:rsidRDefault="00EA38F6" w:rsidP="000864AE">
            <w:pPr>
              <w:rPr>
                <w:rFonts w:ascii="Verdana" w:hAnsi="Verdana"/>
                <w:sz w:val="18"/>
                <w:szCs w:val="18"/>
              </w:rPr>
            </w:pPr>
            <w:r w:rsidRPr="000864AE">
              <w:rPr>
                <w:rFonts w:ascii="Verdana" w:hAnsi="Verdana"/>
                <w:sz w:val="18"/>
                <w:szCs w:val="18"/>
              </w:rPr>
              <w:t>Álvarez Flores Antonio</w:t>
            </w:r>
          </w:p>
        </w:tc>
      </w:tr>
      <w:tr w:rsidR="00EA38F6" w:rsidRPr="000864AE" w14:paraId="11D4E58D" w14:textId="77777777" w:rsidTr="00AC0C51">
        <w:trPr>
          <w:trHeight w:val="300"/>
        </w:trPr>
        <w:tc>
          <w:tcPr>
            <w:tcW w:w="668" w:type="dxa"/>
            <w:vAlign w:val="center"/>
            <w:hideMark/>
          </w:tcPr>
          <w:p w14:paraId="0FC36286"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24</w:t>
            </w:r>
          </w:p>
        </w:tc>
        <w:tc>
          <w:tcPr>
            <w:tcW w:w="3835" w:type="dxa"/>
            <w:vAlign w:val="center"/>
            <w:hideMark/>
          </w:tcPr>
          <w:p w14:paraId="55A764DA" w14:textId="77777777" w:rsidR="00EA38F6" w:rsidRPr="000864AE" w:rsidRDefault="00EA38F6" w:rsidP="000864AE">
            <w:pPr>
              <w:rPr>
                <w:rFonts w:ascii="Verdana" w:hAnsi="Verdana"/>
                <w:sz w:val="18"/>
                <w:szCs w:val="18"/>
              </w:rPr>
            </w:pPr>
            <w:r w:rsidRPr="000864AE">
              <w:rPr>
                <w:rFonts w:ascii="Verdana" w:hAnsi="Verdana"/>
                <w:sz w:val="18"/>
                <w:szCs w:val="18"/>
              </w:rPr>
              <w:t>Álvarez Gonzáles Darma Maximina</w:t>
            </w:r>
          </w:p>
        </w:tc>
      </w:tr>
      <w:tr w:rsidR="00EA38F6" w:rsidRPr="000864AE" w14:paraId="6E17D2A3" w14:textId="77777777" w:rsidTr="00AC0C51">
        <w:trPr>
          <w:trHeight w:val="300"/>
        </w:trPr>
        <w:tc>
          <w:tcPr>
            <w:tcW w:w="668" w:type="dxa"/>
            <w:vAlign w:val="center"/>
            <w:hideMark/>
          </w:tcPr>
          <w:p w14:paraId="2F770A58"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25</w:t>
            </w:r>
          </w:p>
        </w:tc>
        <w:tc>
          <w:tcPr>
            <w:tcW w:w="3835" w:type="dxa"/>
            <w:vAlign w:val="center"/>
            <w:hideMark/>
          </w:tcPr>
          <w:p w14:paraId="04D4ADAF" w14:textId="77777777" w:rsidR="00EA38F6" w:rsidRPr="000864AE" w:rsidRDefault="00EA38F6" w:rsidP="000864AE">
            <w:pPr>
              <w:rPr>
                <w:rFonts w:ascii="Verdana" w:hAnsi="Verdana"/>
                <w:sz w:val="18"/>
                <w:szCs w:val="18"/>
              </w:rPr>
            </w:pPr>
            <w:r w:rsidRPr="000864AE">
              <w:rPr>
                <w:rFonts w:ascii="Verdana" w:hAnsi="Verdana"/>
                <w:sz w:val="18"/>
                <w:szCs w:val="18"/>
              </w:rPr>
              <w:t>Álvarez Pacheco Leocadia Valeria</w:t>
            </w:r>
          </w:p>
        </w:tc>
      </w:tr>
      <w:tr w:rsidR="00EA38F6" w:rsidRPr="000864AE" w14:paraId="122FA3AA" w14:textId="77777777" w:rsidTr="00AC0C51">
        <w:trPr>
          <w:trHeight w:val="300"/>
        </w:trPr>
        <w:tc>
          <w:tcPr>
            <w:tcW w:w="668" w:type="dxa"/>
            <w:vAlign w:val="center"/>
            <w:hideMark/>
          </w:tcPr>
          <w:p w14:paraId="22F89CAB"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26</w:t>
            </w:r>
          </w:p>
        </w:tc>
        <w:tc>
          <w:tcPr>
            <w:tcW w:w="3835" w:type="dxa"/>
            <w:vAlign w:val="center"/>
            <w:hideMark/>
          </w:tcPr>
          <w:p w14:paraId="369F23DD" w14:textId="77777777" w:rsidR="00EA38F6" w:rsidRPr="000864AE" w:rsidRDefault="00EA38F6" w:rsidP="000864AE">
            <w:pPr>
              <w:rPr>
                <w:rFonts w:ascii="Verdana" w:hAnsi="Verdana"/>
                <w:sz w:val="18"/>
                <w:szCs w:val="18"/>
              </w:rPr>
            </w:pPr>
            <w:r w:rsidRPr="000864AE">
              <w:rPr>
                <w:rFonts w:ascii="Verdana" w:hAnsi="Verdana"/>
                <w:sz w:val="18"/>
                <w:szCs w:val="18"/>
              </w:rPr>
              <w:t>Álvarez Ramírez Glicerio</w:t>
            </w:r>
          </w:p>
        </w:tc>
      </w:tr>
      <w:tr w:rsidR="00EA38F6" w:rsidRPr="000864AE" w14:paraId="50B0B834" w14:textId="77777777" w:rsidTr="00AC0C51">
        <w:trPr>
          <w:trHeight w:val="300"/>
        </w:trPr>
        <w:tc>
          <w:tcPr>
            <w:tcW w:w="668" w:type="dxa"/>
            <w:vAlign w:val="center"/>
            <w:hideMark/>
          </w:tcPr>
          <w:p w14:paraId="48A66415"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27</w:t>
            </w:r>
          </w:p>
        </w:tc>
        <w:tc>
          <w:tcPr>
            <w:tcW w:w="3835" w:type="dxa"/>
            <w:vAlign w:val="center"/>
            <w:hideMark/>
          </w:tcPr>
          <w:p w14:paraId="325A63BB" w14:textId="77777777" w:rsidR="00EA38F6" w:rsidRPr="000864AE" w:rsidRDefault="00EA38F6" w:rsidP="000864AE">
            <w:pPr>
              <w:rPr>
                <w:rFonts w:ascii="Verdana" w:hAnsi="Verdana"/>
                <w:sz w:val="18"/>
                <w:szCs w:val="18"/>
              </w:rPr>
            </w:pPr>
            <w:r w:rsidRPr="000864AE">
              <w:rPr>
                <w:rFonts w:ascii="Verdana" w:hAnsi="Verdana"/>
                <w:sz w:val="18"/>
                <w:szCs w:val="18"/>
              </w:rPr>
              <w:t>Alzamora Mendoza Martha Soledad</w:t>
            </w:r>
          </w:p>
        </w:tc>
      </w:tr>
      <w:tr w:rsidR="00EA38F6" w:rsidRPr="000864AE" w14:paraId="1CFE4ABE" w14:textId="77777777" w:rsidTr="00AC0C51">
        <w:trPr>
          <w:trHeight w:val="300"/>
        </w:trPr>
        <w:tc>
          <w:tcPr>
            <w:tcW w:w="668" w:type="dxa"/>
            <w:vAlign w:val="center"/>
            <w:hideMark/>
          </w:tcPr>
          <w:p w14:paraId="2697705E"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28</w:t>
            </w:r>
          </w:p>
        </w:tc>
        <w:tc>
          <w:tcPr>
            <w:tcW w:w="3835" w:type="dxa"/>
            <w:vAlign w:val="center"/>
            <w:hideMark/>
          </w:tcPr>
          <w:p w14:paraId="1ABE98F2" w14:textId="77777777" w:rsidR="00EA38F6" w:rsidRPr="000864AE" w:rsidRDefault="00EA38F6" w:rsidP="000864AE">
            <w:pPr>
              <w:rPr>
                <w:rFonts w:ascii="Verdana" w:hAnsi="Verdana"/>
                <w:sz w:val="18"/>
                <w:szCs w:val="18"/>
              </w:rPr>
            </w:pPr>
            <w:r w:rsidRPr="000864AE">
              <w:rPr>
                <w:rFonts w:ascii="Verdana" w:hAnsi="Verdana"/>
                <w:sz w:val="18"/>
                <w:szCs w:val="18"/>
              </w:rPr>
              <w:t>Alzamora Soto Julia Mercedes</w:t>
            </w:r>
          </w:p>
        </w:tc>
      </w:tr>
      <w:tr w:rsidR="00EA38F6" w:rsidRPr="000864AE" w14:paraId="6F64A28F" w14:textId="77777777" w:rsidTr="00AC0C51">
        <w:trPr>
          <w:trHeight w:val="300"/>
        </w:trPr>
        <w:tc>
          <w:tcPr>
            <w:tcW w:w="668" w:type="dxa"/>
            <w:vAlign w:val="center"/>
            <w:hideMark/>
          </w:tcPr>
          <w:p w14:paraId="628611CB"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29</w:t>
            </w:r>
          </w:p>
        </w:tc>
        <w:tc>
          <w:tcPr>
            <w:tcW w:w="3835" w:type="dxa"/>
            <w:vAlign w:val="center"/>
            <w:hideMark/>
          </w:tcPr>
          <w:p w14:paraId="4C65907B" w14:textId="77777777" w:rsidR="00EA38F6" w:rsidRPr="000864AE" w:rsidRDefault="00EA38F6" w:rsidP="000864AE">
            <w:pPr>
              <w:rPr>
                <w:rFonts w:ascii="Verdana" w:hAnsi="Verdana"/>
                <w:sz w:val="18"/>
                <w:szCs w:val="18"/>
              </w:rPr>
            </w:pPr>
            <w:r w:rsidRPr="000864AE">
              <w:rPr>
                <w:rFonts w:ascii="Verdana" w:hAnsi="Verdana"/>
                <w:sz w:val="18"/>
                <w:szCs w:val="18"/>
              </w:rPr>
              <w:t>Amado Tarazona Jesús Wilde</w:t>
            </w:r>
          </w:p>
        </w:tc>
      </w:tr>
      <w:tr w:rsidR="00EA38F6" w:rsidRPr="000864AE" w14:paraId="52B0E164" w14:textId="77777777" w:rsidTr="00AC0C51">
        <w:trPr>
          <w:trHeight w:val="300"/>
        </w:trPr>
        <w:tc>
          <w:tcPr>
            <w:tcW w:w="668" w:type="dxa"/>
            <w:vAlign w:val="center"/>
            <w:hideMark/>
          </w:tcPr>
          <w:p w14:paraId="02BD4D07"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30</w:t>
            </w:r>
          </w:p>
        </w:tc>
        <w:tc>
          <w:tcPr>
            <w:tcW w:w="3835" w:type="dxa"/>
            <w:vAlign w:val="center"/>
            <w:hideMark/>
          </w:tcPr>
          <w:p w14:paraId="3340A96F" w14:textId="77777777" w:rsidR="00EA38F6" w:rsidRPr="000864AE" w:rsidRDefault="00EA38F6" w:rsidP="000864AE">
            <w:pPr>
              <w:rPr>
                <w:rFonts w:ascii="Verdana" w:hAnsi="Verdana"/>
                <w:sz w:val="18"/>
                <w:szCs w:val="18"/>
              </w:rPr>
            </w:pPr>
            <w:r w:rsidRPr="000864AE">
              <w:rPr>
                <w:rFonts w:ascii="Verdana" w:hAnsi="Verdana"/>
                <w:sz w:val="18"/>
                <w:szCs w:val="18"/>
              </w:rPr>
              <w:t>Ancaya Cortez Emilio Agustín</w:t>
            </w:r>
          </w:p>
        </w:tc>
      </w:tr>
      <w:tr w:rsidR="00EA38F6" w:rsidRPr="000864AE" w14:paraId="797E5E76" w14:textId="77777777" w:rsidTr="00AC0C51">
        <w:trPr>
          <w:trHeight w:val="300"/>
        </w:trPr>
        <w:tc>
          <w:tcPr>
            <w:tcW w:w="668" w:type="dxa"/>
            <w:vAlign w:val="center"/>
            <w:hideMark/>
          </w:tcPr>
          <w:p w14:paraId="66C3908B"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31</w:t>
            </w:r>
          </w:p>
        </w:tc>
        <w:tc>
          <w:tcPr>
            <w:tcW w:w="3835" w:type="dxa"/>
            <w:vAlign w:val="center"/>
            <w:hideMark/>
          </w:tcPr>
          <w:p w14:paraId="778D0ED1" w14:textId="77777777" w:rsidR="00EA38F6" w:rsidRPr="000864AE" w:rsidRDefault="00EA38F6" w:rsidP="000864AE">
            <w:pPr>
              <w:rPr>
                <w:rFonts w:ascii="Verdana" w:hAnsi="Verdana"/>
                <w:sz w:val="18"/>
                <w:szCs w:val="18"/>
              </w:rPr>
            </w:pPr>
            <w:r w:rsidRPr="000864AE">
              <w:rPr>
                <w:rFonts w:ascii="Verdana" w:hAnsi="Verdana"/>
                <w:sz w:val="18"/>
                <w:szCs w:val="18"/>
              </w:rPr>
              <w:t>Antúnez Solís Eduardo Manuel</w:t>
            </w:r>
          </w:p>
        </w:tc>
      </w:tr>
      <w:tr w:rsidR="00EA38F6" w:rsidRPr="000864AE" w14:paraId="094D55D2" w14:textId="77777777" w:rsidTr="00AC0C51">
        <w:trPr>
          <w:trHeight w:val="300"/>
        </w:trPr>
        <w:tc>
          <w:tcPr>
            <w:tcW w:w="668" w:type="dxa"/>
            <w:vAlign w:val="center"/>
            <w:hideMark/>
          </w:tcPr>
          <w:p w14:paraId="7FFABC7D"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32</w:t>
            </w:r>
          </w:p>
        </w:tc>
        <w:tc>
          <w:tcPr>
            <w:tcW w:w="3835" w:type="dxa"/>
            <w:vAlign w:val="center"/>
            <w:hideMark/>
          </w:tcPr>
          <w:p w14:paraId="511E0FB4" w14:textId="77777777" w:rsidR="00EA38F6" w:rsidRPr="000864AE" w:rsidRDefault="00EA38F6" w:rsidP="000864AE">
            <w:pPr>
              <w:rPr>
                <w:rFonts w:ascii="Verdana" w:hAnsi="Verdana"/>
                <w:sz w:val="18"/>
                <w:szCs w:val="18"/>
              </w:rPr>
            </w:pPr>
            <w:r w:rsidRPr="000864AE">
              <w:rPr>
                <w:rFonts w:ascii="Verdana" w:hAnsi="Verdana"/>
                <w:sz w:val="18"/>
                <w:szCs w:val="18"/>
              </w:rPr>
              <w:t>Antúnez Solís Eva Isabel</w:t>
            </w:r>
          </w:p>
        </w:tc>
      </w:tr>
      <w:tr w:rsidR="00EA38F6" w:rsidRPr="000864AE" w14:paraId="382FDD01" w14:textId="77777777" w:rsidTr="00AC0C51">
        <w:trPr>
          <w:trHeight w:val="300"/>
        </w:trPr>
        <w:tc>
          <w:tcPr>
            <w:tcW w:w="668" w:type="dxa"/>
            <w:vAlign w:val="center"/>
            <w:hideMark/>
          </w:tcPr>
          <w:p w14:paraId="76E1FC34"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33</w:t>
            </w:r>
          </w:p>
        </w:tc>
        <w:tc>
          <w:tcPr>
            <w:tcW w:w="3835" w:type="dxa"/>
            <w:vAlign w:val="center"/>
            <w:hideMark/>
          </w:tcPr>
          <w:p w14:paraId="56954974" w14:textId="77777777" w:rsidR="00EA38F6" w:rsidRPr="000864AE" w:rsidRDefault="00EA38F6" w:rsidP="000864AE">
            <w:pPr>
              <w:rPr>
                <w:rFonts w:ascii="Verdana" w:hAnsi="Verdana"/>
                <w:sz w:val="18"/>
                <w:szCs w:val="18"/>
              </w:rPr>
            </w:pPr>
            <w:r w:rsidRPr="000864AE">
              <w:rPr>
                <w:rFonts w:ascii="Verdana" w:hAnsi="Verdana"/>
                <w:sz w:val="18"/>
                <w:szCs w:val="18"/>
              </w:rPr>
              <w:t>Antúnez Solís Teofilo Miguel</w:t>
            </w:r>
          </w:p>
        </w:tc>
      </w:tr>
      <w:tr w:rsidR="00EA38F6" w:rsidRPr="000864AE" w14:paraId="623E4456" w14:textId="77777777" w:rsidTr="00AC0C51">
        <w:trPr>
          <w:trHeight w:val="300"/>
        </w:trPr>
        <w:tc>
          <w:tcPr>
            <w:tcW w:w="668" w:type="dxa"/>
            <w:vAlign w:val="center"/>
            <w:hideMark/>
          </w:tcPr>
          <w:p w14:paraId="1F3E3E7D"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34</w:t>
            </w:r>
          </w:p>
        </w:tc>
        <w:tc>
          <w:tcPr>
            <w:tcW w:w="3835" w:type="dxa"/>
            <w:vAlign w:val="center"/>
            <w:hideMark/>
          </w:tcPr>
          <w:p w14:paraId="31F0140F" w14:textId="77777777" w:rsidR="00EA38F6" w:rsidRPr="000864AE" w:rsidRDefault="00EA38F6" w:rsidP="000864AE">
            <w:pPr>
              <w:rPr>
                <w:rFonts w:ascii="Verdana" w:hAnsi="Verdana"/>
                <w:sz w:val="18"/>
                <w:szCs w:val="18"/>
              </w:rPr>
            </w:pPr>
            <w:r w:rsidRPr="000864AE">
              <w:rPr>
                <w:rFonts w:ascii="Verdana" w:hAnsi="Verdana"/>
                <w:sz w:val="18"/>
                <w:szCs w:val="18"/>
              </w:rPr>
              <w:t>Aquino Landa Gerónimo Víctor</w:t>
            </w:r>
          </w:p>
        </w:tc>
      </w:tr>
      <w:tr w:rsidR="00EA38F6" w:rsidRPr="000864AE" w14:paraId="0C008A87" w14:textId="77777777" w:rsidTr="00AC0C51">
        <w:trPr>
          <w:trHeight w:val="300"/>
        </w:trPr>
        <w:tc>
          <w:tcPr>
            <w:tcW w:w="668" w:type="dxa"/>
            <w:vAlign w:val="center"/>
            <w:hideMark/>
          </w:tcPr>
          <w:p w14:paraId="09D07CA0"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35</w:t>
            </w:r>
          </w:p>
        </w:tc>
        <w:tc>
          <w:tcPr>
            <w:tcW w:w="3835" w:type="dxa"/>
            <w:vAlign w:val="center"/>
            <w:hideMark/>
          </w:tcPr>
          <w:p w14:paraId="1E49B063" w14:textId="77777777" w:rsidR="00EA38F6" w:rsidRPr="000864AE" w:rsidRDefault="00EA38F6" w:rsidP="000864AE">
            <w:pPr>
              <w:rPr>
                <w:rFonts w:ascii="Verdana" w:hAnsi="Verdana"/>
                <w:sz w:val="18"/>
                <w:szCs w:val="18"/>
              </w:rPr>
            </w:pPr>
            <w:r w:rsidRPr="000864AE">
              <w:rPr>
                <w:rFonts w:ascii="Verdana" w:hAnsi="Verdana"/>
                <w:sz w:val="18"/>
                <w:szCs w:val="18"/>
              </w:rPr>
              <w:t>Arámbulo Castillo Carlos Enrique</w:t>
            </w:r>
          </w:p>
        </w:tc>
      </w:tr>
      <w:tr w:rsidR="00EA38F6" w:rsidRPr="000864AE" w14:paraId="452A510A" w14:textId="77777777" w:rsidTr="00AC0C51">
        <w:trPr>
          <w:trHeight w:val="300"/>
        </w:trPr>
        <w:tc>
          <w:tcPr>
            <w:tcW w:w="668" w:type="dxa"/>
            <w:vAlign w:val="center"/>
            <w:hideMark/>
          </w:tcPr>
          <w:p w14:paraId="0BCF183D"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36</w:t>
            </w:r>
          </w:p>
        </w:tc>
        <w:tc>
          <w:tcPr>
            <w:tcW w:w="3835" w:type="dxa"/>
            <w:vAlign w:val="center"/>
            <w:hideMark/>
          </w:tcPr>
          <w:p w14:paraId="22E1A2AB" w14:textId="77777777" w:rsidR="00EA38F6" w:rsidRPr="000864AE" w:rsidRDefault="00EA38F6" w:rsidP="000864AE">
            <w:pPr>
              <w:rPr>
                <w:rFonts w:ascii="Verdana" w:hAnsi="Verdana"/>
                <w:sz w:val="18"/>
                <w:szCs w:val="18"/>
              </w:rPr>
            </w:pPr>
            <w:r w:rsidRPr="000864AE">
              <w:rPr>
                <w:rFonts w:ascii="Verdana" w:hAnsi="Verdana"/>
                <w:sz w:val="18"/>
                <w:szCs w:val="18"/>
              </w:rPr>
              <w:t>Arana Arenas Elsa Betty</w:t>
            </w:r>
          </w:p>
        </w:tc>
      </w:tr>
      <w:tr w:rsidR="00EA38F6" w:rsidRPr="000864AE" w14:paraId="7CBAD77E" w14:textId="77777777" w:rsidTr="00AC0C51">
        <w:trPr>
          <w:trHeight w:val="300"/>
        </w:trPr>
        <w:tc>
          <w:tcPr>
            <w:tcW w:w="668" w:type="dxa"/>
            <w:vAlign w:val="center"/>
            <w:hideMark/>
          </w:tcPr>
          <w:p w14:paraId="0373BB16"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37</w:t>
            </w:r>
          </w:p>
        </w:tc>
        <w:tc>
          <w:tcPr>
            <w:tcW w:w="3835" w:type="dxa"/>
            <w:vAlign w:val="center"/>
            <w:hideMark/>
          </w:tcPr>
          <w:p w14:paraId="09DCF54A" w14:textId="77777777" w:rsidR="00EA38F6" w:rsidRPr="000864AE" w:rsidRDefault="00EA38F6" w:rsidP="000864AE">
            <w:pPr>
              <w:rPr>
                <w:rFonts w:ascii="Verdana" w:hAnsi="Verdana"/>
                <w:sz w:val="18"/>
                <w:szCs w:val="18"/>
              </w:rPr>
            </w:pPr>
            <w:r w:rsidRPr="000864AE">
              <w:rPr>
                <w:rFonts w:ascii="Verdana" w:hAnsi="Verdana"/>
                <w:sz w:val="18"/>
                <w:szCs w:val="18"/>
              </w:rPr>
              <w:t>Arana Flores Pablo Eleazar</w:t>
            </w:r>
          </w:p>
        </w:tc>
      </w:tr>
      <w:tr w:rsidR="00EA38F6" w:rsidRPr="000864AE" w14:paraId="37D1D53F" w14:textId="77777777" w:rsidTr="00AC0C51">
        <w:trPr>
          <w:trHeight w:val="300"/>
        </w:trPr>
        <w:tc>
          <w:tcPr>
            <w:tcW w:w="668" w:type="dxa"/>
            <w:vAlign w:val="center"/>
            <w:hideMark/>
          </w:tcPr>
          <w:p w14:paraId="26EA0525"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38</w:t>
            </w:r>
          </w:p>
        </w:tc>
        <w:tc>
          <w:tcPr>
            <w:tcW w:w="3835" w:type="dxa"/>
            <w:vAlign w:val="center"/>
            <w:hideMark/>
          </w:tcPr>
          <w:p w14:paraId="7AD42664" w14:textId="77777777" w:rsidR="00EA38F6" w:rsidRPr="000864AE" w:rsidRDefault="00EA38F6" w:rsidP="000864AE">
            <w:pPr>
              <w:rPr>
                <w:rFonts w:ascii="Verdana" w:hAnsi="Verdana"/>
                <w:sz w:val="18"/>
                <w:szCs w:val="18"/>
              </w:rPr>
            </w:pPr>
            <w:r w:rsidRPr="000864AE">
              <w:rPr>
                <w:rFonts w:ascii="Verdana" w:hAnsi="Verdana"/>
                <w:sz w:val="18"/>
                <w:szCs w:val="18"/>
              </w:rPr>
              <w:t>Arana Solsol José Cecilio</w:t>
            </w:r>
          </w:p>
        </w:tc>
      </w:tr>
      <w:tr w:rsidR="00EA38F6" w:rsidRPr="000864AE" w14:paraId="55C61108" w14:textId="77777777" w:rsidTr="00AC0C51">
        <w:trPr>
          <w:trHeight w:val="300"/>
        </w:trPr>
        <w:tc>
          <w:tcPr>
            <w:tcW w:w="668" w:type="dxa"/>
            <w:vAlign w:val="center"/>
            <w:hideMark/>
          </w:tcPr>
          <w:p w14:paraId="07EEA2BD"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39</w:t>
            </w:r>
          </w:p>
        </w:tc>
        <w:tc>
          <w:tcPr>
            <w:tcW w:w="3835" w:type="dxa"/>
            <w:vAlign w:val="center"/>
            <w:hideMark/>
          </w:tcPr>
          <w:p w14:paraId="68E5DFC2" w14:textId="77777777" w:rsidR="00EA38F6" w:rsidRPr="000864AE" w:rsidRDefault="00EA38F6" w:rsidP="000864AE">
            <w:pPr>
              <w:rPr>
                <w:rFonts w:ascii="Verdana" w:hAnsi="Verdana"/>
                <w:sz w:val="18"/>
                <w:szCs w:val="18"/>
              </w:rPr>
            </w:pPr>
            <w:r w:rsidRPr="000864AE">
              <w:rPr>
                <w:rFonts w:ascii="Verdana" w:hAnsi="Verdana"/>
                <w:sz w:val="18"/>
                <w:szCs w:val="18"/>
              </w:rPr>
              <w:t>Arancibia Quintanilla Juan Andrés</w:t>
            </w:r>
          </w:p>
        </w:tc>
      </w:tr>
      <w:tr w:rsidR="00EA38F6" w:rsidRPr="000864AE" w14:paraId="7DEA2B6C" w14:textId="77777777" w:rsidTr="00AC0C51">
        <w:trPr>
          <w:trHeight w:val="300"/>
        </w:trPr>
        <w:tc>
          <w:tcPr>
            <w:tcW w:w="668" w:type="dxa"/>
            <w:vAlign w:val="center"/>
            <w:hideMark/>
          </w:tcPr>
          <w:p w14:paraId="2A884DE7"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40</w:t>
            </w:r>
          </w:p>
        </w:tc>
        <w:tc>
          <w:tcPr>
            <w:tcW w:w="3835" w:type="dxa"/>
            <w:vAlign w:val="center"/>
            <w:hideMark/>
          </w:tcPr>
          <w:p w14:paraId="4A216345" w14:textId="77777777" w:rsidR="00EA38F6" w:rsidRPr="000864AE" w:rsidRDefault="00EA38F6" w:rsidP="000864AE">
            <w:pPr>
              <w:rPr>
                <w:rFonts w:ascii="Verdana" w:hAnsi="Verdana"/>
                <w:sz w:val="18"/>
                <w:szCs w:val="18"/>
              </w:rPr>
            </w:pPr>
            <w:r w:rsidRPr="000864AE">
              <w:rPr>
                <w:rFonts w:ascii="Verdana" w:hAnsi="Verdana"/>
                <w:sz w:val="18"/>
                <w:szCs w:val="18"/>
              </w:rPr>
              <w:t>Araujo De La Cuba María Mercedes</w:t>
            </w:r>
          </w:p>
        </w:tc>
      </w:tr>
      <w:tr w:rsidR="00EA38F6" w:rsidRPr="000864AE" w14:paraId="1A2ADC89" w14:textId="77777777" w:rsidTr="00AC0C51">
        <w:trPr>
          <w:trHeight w:val="300"/>
        </w:trPr>
        <w:tc>
          <w:tcPr>
            <w:tcW w:w="668" w:type="dxa"/>
            <w:vAlign w:val="center"/>
            <w:hideMark/>
          </w:tcPr>
          <w:p w14:paraId="1B90DAE1"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41</w:t>
            </w:r>
          </w:p>
        </w:tc>
        <w:tc>
          <w:tcPr>
            <w:tcW w:w="3835" w:type="dxa"/>
            <w:vAlign w:val="center"/>
            <w:hideMark/>
          </w:tcPr>
          <w:p w14:paraId="1F299AF8" w14:textId="77777777" w:rsidR="00EA38F6" w:rsidRPr="000864AE" w:rsidRDefault="00EA38F6" w:rsidP="000864AE">
            <w:pPr>
              <w:rPr>
                <w:rFonts w:ascii="Verdana" w:hAnsi="Verdana"/>
                <w:sz w:val="18"/>
                <w:szCs w:val="18"/>
              </w:rPr>
            </w:pPr>
            <w:r w:rsidRPr="000864AE">
              <w:rPr>
                <w:rFonts w:ascii="Verdana" w:hAnsi="Verdana"/>
                <w:sz w:val="18"/>
                <w:szCs w:val="18"/>
              </w:rPr>
              <w:t>Arenas Arce Luis Enrique</w:t>
            </w:r>
          </w:p>
        </w:tc>
      </w:tr>
      <w:tr w:rsidR="00EA38F6" w:rsidRPr="000864AE" w14:paraId="73158CAD" w14:textId="77777777" w:rsidTr="00AC0C51">
        <w:trPr>
          <w:trHeight w:val="300"/>
        </w:trPr>
        <w:tc>
          <w:tcPr>
            <w:tcW w:w="668" w:type="dxa"/>
            <w:vAlign w:val="center"/>
            <w:hideMark/>
          </w:tcPr>
          <w:p w14:paraId="795B2F56"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42</w:t>
            </w:r>
          </w:p>
        </w:tc>
        <w:tc>
          <w:tcPr>
            <w:tcW w:w="3835" w:type="dxa"/>
            <w:vAlign w:val="center"/>
            <w:hideMark/>
          </w:tcPr>
          <w:p w14:paraId="3A33DF98" w14:textId="77777777" w:rsidR="00EA38F6" w:rsidRPr="000864AE" w:rsidRDefault="00EA38F6" w:rsidP="000864AE">
            <w:pPr>
              <w:rPr>
                <w:rFonts w:ascii="Verdana" w:hAnsi="Verdana"/>
                <w:sz w:val="18"/>
                <w:szCs w:val="18"/>
              </w:rPr>
            </w:pPr>
            <w:r w:rsidRPr="000864AE">
              <w:rPr>
                <w:rFonts w:ascii="Verdana" w:hAnsi="Verdana"/>
                <w:sz w:val="18"/>
                <w:szCs w:val="18"/>
              </w:rPr>
              <w:t>Arenas Medina Luz Esperanza</w:t>
            </w:r>
          </w:p>
        </w:tc>
      </w:tr>
      <w:tr w:rsidR="00EA38F6" w:rsidRPr="000864AE" w14:paraId="6526285F" w14:textId="77777777" w:rsidTr="00AC0C51">
        <w:trPr>
          <w:trHeight w:val="300"/>
        </w:trPr>
        <w:tc>
          <w:tcPr>
            <w:tcW w:w="668" w:type="dxa"/>
            <w:vAlign w:val="center"/>
            <w:hideMark/>
          </w:tcPr>
          <w:p w14:paraId="1CC2CD79"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43</w:t>
            </w:r>
          </w:p>
        </w:tc>
        <w:tc>
          <w:tcPr>
            <w:tcW w:w="3835" w:type="dxa"/>
            <w:vAlign w:val="center"/>
            <w:hideMark/>
          </w:tcPr>
          <w:p w14:paraId="785161E9" w14:textId="77777777" w:rsidR="00EA38F6" w:rsidRPr="000864AE" w:rsidRDefault="00EA38F6" w:rsidP="000864AE">
            <w:pPr>
              <w:rPr>
                <w:rFonts w:ascii="Verdana" w:hAnsi="Verdana"/>
                <w:sz w:val="18"/>
                <w:szCs w:val="18"/>
              </w:rPr>
            </w:pPr>
            <w:r w:rsidRPr="000864AE">
              <w:rPr>
                <w:rFonts w:ascii="Verdana" w:hAnsi="Verdana"/>
                <w:sz w:val="18"/>
                <w:szCs w:val="18"/>
              </w:rPr>
              <w:t>Arévalo Veramatos Rodrigo</w:t>
            </w:r>
          </w:p>
        </w:tc>
      </w:tr>
      <w:tr w:rsidR="00EA38F6" w:rsidRPr="000864AE" w14:paraId="168B900B" w14:textId="77777777" w:rsidTr="00AC0C51">
        <w:trPr>
          <w:trHeight w:val="300"/>
        </w:trPr>
        <w:tc>
          <w:tcPr>
            <w:tcW w:w="668" w:type="dxa"/>
            <w:vAlign w:val="center"/>
            <w:hideMark/>
          </w:tcPr>
          <w:p w14:paraId="03E7A0C1"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44</w:t>
            </w:r>
          </w:p>
        </w:tc>
        <w:tc>
          <w:tcPr>
            <w:tcW w:w="3835" w:type="dxa"/>
            <w:vAlign w:val="center"/>
            <w:hideMark/>
          </w:tcPr>
          <w:p w14:paraId="680EB03A" w14:textId="77777777" w:rsidR="00EA38F6" w:rsidRPr="000864AE" w:rsidRDefault="00EA38F6" w:rsidP="000864AE">
            <w:pPr>
              <w:rPr>
                <w:rFonts w:ascii="Verdana" w:hAnsi="Verdana"/>
                <w:sz w:val="18"/>
                <w:szCs w:val="18"/>
              </w:rPr>
            </w:pPr>
            <w:r w:rsidRPr="000864AE">
              <w:rPr>
                <w:rFonts w:ascii="Verdana" w:hAnsi="Verdana"/>
                <w:sz w:val="18"/>
                <w:szCs w:val="18"/>
              </w:rPr>
              <w:t>Armas Toro Priscila Eugenia</w:t>
            </w:r>
          </w:p>
        </w:tc>
      </w:tr>
      <w:tr w:rsidR="00EA38F6" w:rsidRPr="000864AE" w14:paraId="1B080356" w14:textId="77777777" w:rsidTr="00AC0C51">
        <w:trPr>
          <w:trHeight w:val="300"/>
        </w:trPr>
        <w:tc>
          <w:tcPr>
            <w:tcW w:w="668" w:type="dxa"/>
            <w:vAlign w:val="center"/>
            <w:hideMark/>
          </w:tcPr>
          <w:p w14:paraId="0321A9DA"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45</w:t>
            </w:r>
          </w:p>
        </w:tc>
        <w:tc>
          <w:tcPr>
            <w:tcW w:w="3835" w:type="dxa"/>
            <w:vAlign w:val="center"/>
            <w:hideMark/>
          </w:tcPr>
          <w:p w14:paraId="3D7DB7FC" w14:textId="77777777" w:rsidR="00EA38F6" w:rsidRPr="000864AE" w:rsidRDefault="00EA38F6" w:rsidP="000864AE">
            <w:pPr>
              <w:rPr>
                <w:rFonts w:ascii="Verdana" w:hAnsi="Verdana"/>
                <w:sz w:val="18"/>
                <w:szCs w:val="18"/>
              </w:rPr>
            </w:pPr>
            <w:r w:rsidRPr="000864AE">
              <w:rPr>
                <w:rFonts w:ascii="Verdana" w:hAnsi="Verdana"/>
                <w:sz w:val="18"/>
                <w:szCs w:val="18"/>
              </w:rPr>
              <w:t>Arrese Villalta Juan</w:t>
            </w:r>
          </w:p>
        </w:tc>
      </w:tr>
      <w:tr w:rsidR="00EA38F6" w:rsidRPr="000864AE" w14:paraId="0DA900FE" w14:textId="77777777" w:rsidTr="00AC0C51">
        <w:trPr>
          <w:trHeight w:val="300"/>
        </w:trPr>
        <w:tc>
          <w:tcPr>
            <w:tcW w:w="668" w:type="dxa"/>
            <w:vAlign w:val="center"/>
            <w:hideMark/>
          </w:tcPr>
          <w:p w14:paraId="1D74BAFC"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46</w:t>
            </w:r>
          </w:p>
        </w:tc>
        <w:tc>
          <w:tcPr>
            <w:tcW w:w="3835" w:type="dxa"/>
            <w:vAlign w:val="center"/>
            <w:hideMark/>
          </w:tcPr>
          <w:p w14:paraId="223606A1" w14:textId="77777777" w:rsidR="00EA38F6" w:rsidRPr="000864AE" w:rsidRDefault="00EA38F6" w:rsidP="000864AE">
            <w:pPr>
              <w:rPr>
                <w:rFonts w:ascii="Verdana" w:hAnsi="Verdana"/>
                <w:sz w:val="18"/>
                <w:szCs w:val="18"/>
              </w:rPr>
            </w:pPr>
            <w:r w:rsidRPr="000864AE">
              <w:rPr>
                <w:rFonts w:ascii="Verdana" w:hAnsi="Verdana"/>
                <w:sz w:val="18"/>
                <w:szCs w:val="18"/>
              </w:rPr>
              <w:t>Arriola Oliva Nelli Consuelo</w:t>
            </w:r>
          </w:p>
        </w:tc>
      </w:tr>
      <w:tr w:rsidR="00EA38F6" w:rsidRPr="000864AE" w14:paraId="2BB82ACA" w14:textId="77777777" w:rsidTr="00AC0C51">
        <w:trPr>
          <w:trHeight w:val="300"/>
        </w:trPr>
        <w:tc>
          <w:tcPr>
            <w:tcW w:w="668" w:type="dxa"/>
            <w:vAlign w:val="center"/>
            <w:hideMark/>
          </w:tcPr>
          <w:p w14:paraId="2797D416"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47</w:t>
            </w:r>
          </w:p>
        </w:tc>
        <w:tc>
          <w:tcPr>
            <w:tcW w:w="3835" w:type="dxa"/>
            <w:vAlign w:val="center"/>
            <w:hideMark/>
          </w:tcPr>
          <w:p w14:paraId="06B0123C" w14:textId="77777777" w:rsidR="00EA38F6" w:rsidRPr="000864AE" w:rsidRDefault="00EA38F6" w:rsidP="000864AE">
            <w:pPr>
              <w:rPr>
                <w:rFonts w:ascii="Verdana" w:hAnsi="Verdana"/>
                <w:sz w:val="18"/>
                <w:szCs w:val="18"/>
              </w:rPr>
            </w:pPr>
            <w:r w:rsidRPr="000864AE">
              <w:rPr>
                <w:rFonts w:ascii="Verdana" w:hAnsi="Verdana"/>
                <w:sz w:val="18"/>
                <w:szCs w:val="18"/>
              </w:rPr>
              <w:t>Arteta Cornejo Aurora Manuela</w:t>
            </w:r>
          </w:p>
        </w:tc>
      </w:tr>
      <w:tr w:rsidR="00EA38F6" w:rsidRPr="000864AE" w14:paraId="6C32275B" w14:textId="77777777" w:rsidTr="00AC0C51">
        <w:trPr>
          <w:trHeight w:val="300"/>
        </w:trPr>
        <w:tc>
          <w:tcPr>
            <w:tcW w:w="668" w:type="dxa"/>
            <w:vAlign w:val="center"/>
            <w:hideMark/>
          </w:tcPr>
          <w:p w14:paraId="534E5A8D"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48</w:t>
            </w:r>
          </w:p>
        </w:tc>
        <w:tc>
          <w:tcPr>
            <w:tcW w:w="3835" w:type="dxa"/>
            <w:vAlign w:val="center"/>
            <w:hideMark/>
          </w:tcPr>
          <w:p w14:paraId="7FF4C4E3" w14:textId="77777777" w:rsidR="00EA38F6" w:rsidRPr="000864AE" w:rsidRDefault="00EA38F6" w:rsidP="000864AE">
            <w:pPr>
              <w:rPr>
                <w:rFonts w:ascii="Verdana" w:hAnsi="Verdana"/>
                <w:sz w:val="18"/>
                <w:szCs w:val="18"/>
              </w:rPr>
            </w:pPr>
            <w:r w:rsidRPr="000864AE">
              <w:rPr>
                <w:rFonts w:ascii="Verdana" w:hAnsi="Verdana"/>
                <w:sz w:val="18"/>
                <w:szCs w:val="18"/>
              </w:rPr>
              <w:t>Ascuña Cáceres Héctor Raúl</w:t>
            </w:r>
          </w:p>
        </w:tc>
      </w:tr>
      <w:tr w:rsidR="00EA38F6" w:rsidRPr="000864AE" w14:paraId="6E856FF8" w14:textId="77777777" w:rsidTr="00AC0C51">
        <w:trPr>
          <w:trHeight w:val="300"/>
        </w:trPr>
        <w:tc>
          <w:tcPr>
            <w:tcW w:w="668" w:type="dxa"/>
            <w:vAlign w:val="center"/>
            <w:hideMark/>
          </w:tcPr>
          <w:p w14:paraId="5B1CC7AA"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49</w:t>
            </w:r>
          </w:p>
        </w:tc>
        <w:tc>
          <w:tcPr>
            <w:tcW w:w="3835" w:type="dxa"/>
            <w:vAlign w:val="center"/>
            <w:hideMark/>
          </w:tcPr>
          <w:p w14:paraId="7A24BD77" w14:textId="77777777" w:rsidR="00EA38F6" w:rsidRPr="000864AE" w:rsidRDefault="00EA38F6" w:rsidP="000864AE">
            <w:pPr>
              <w:rPr>
                <w:rFonts w:ascii="Verdana" w:hAnsi="Verdana"/>
                <w:sz w:val="18"/>
                <w:szCs w:val="18"/>
              </w:rPr>
            </w:pPr>
            <w:r w:rsidRPr="000864AE">
              <w:rPr>
                <w:rFonts w:ascii="Verdana" w:hAnsi="Verdana"/>
                <w:sz w:val="18"/>
                <w:szCs w:val="18"/>
              </w:rPr>
              <w:t>Asencio Martel Pedro Constantino</w:t>
            </w:r>
          </w:p>
        </w:tc>
      </w:tr>
      <w:tr w:rsidR="00EA38F6" w:rsidRPr="000864AE" w14:paraId="1313A84A" w14:textId="77777777" w:rsidTr="00AC0C51">
        <w:trPr>
          <w:trHeight w:val="300"/>
        </w:trPr>
        <w:tc>
          <w:tcPr>
            <w:tcW w:w="668" w:type="dxa"/>
            <w:vAlign w:val="center"/>
            <w:hideMark/>
          </w:tcPr>
          <w:p w14:paraId="1025731C"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50</w:t>
            </w:r>
          </w:p>
        </w:tc>
        <w:tc>
          <w:tcPr>
            <w:tcW w:w="3835" w:type="dxa"/>
            <w:vAlign w:val="center"/>
            <w:hideMark/>
          </w:tcPr>
          <w:p w14:paraId="07BDAFF3" w14:textId="77777777" w:rsidR="00EA38F6" w:rsidRPr="000864AE" w:rsidRDefault="00EA38F6" w:rsidP="000864AE">
            <w:pPr>
              <w:rPr>
                <w:rFonts w:ascii="Verdana" w:hAnsi="Verdana"/>
                <w:sz w:val="18"/>
                <w:szCs w:val="18"/>
              </w:rPr>
            </w:pPr>
            <w:r w:rsidRPr="000864AE">
              <w:rPr>
                <w:rFonts w:ascii="Verdana" w:hAnsi="Verdana"/>
                <w:sz w:val="18"/>
                <w:szCs w:val="18"/>
              </w:rPr>
              <w:t>Aspajo Tafur Max Julián</w:t>
            </w:r>
          </w:p>
        </w:tc>
      </w:tr>
      <w:tr w:rsidR="00EA38F6" w:rsidRPr="000864AE" w14:paraId="5E0A1075" w14:textId="77777777" w:rsidTr="00AC0C51">
        <w:trPr>
          <w:trHeight w:val="300"/>
        </w:trPr>
        <w:tc>
          <w:tcPr>
            <w:tcW w:w="668" w:type="dxa"/>
            <w:vAlign w:val="center"/>
            <w:hideMark/>
          </w:tcPr>
          <w:p w14:paraId="742BDC65"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51</w:t>
            </w:r>
          </w:p>
        </w:tc>
        <w:tc>
          <w:tcPr>
            <w:tcW w:w="3835" w:type="dxa"/>
            <w:vAlign w:val="center"/>
            <w:hideMark/>
          </w:tcPr>
          <w:p w14:paraId="51B313C3" w14:textId="77777777" w:rsidR="00EA38F6" w:rsidRPr="000864AE" w:rsidRDefault="00EA38F6" w:rsidP="000864AE">
            <w:pPr>
              <w:rPr>
                <w:rFonts w:ascii="Verdana" w:hAnsi="Verdana"/>
                <w:sz w:val="18"/>
                <w:szCs w:val="18"/>
              </w:rPr>
            </w:pPr>
            <w:r w:rsidRPr="000864AE">
              <w:rPr>
                <w:rFonts w:ascii="Verdana" w:hAnsi="Verdana"/>
                <w:sz w:val="18"/>
                <w:szCs w:val="18"/>
              </w:rPr>
              <w:t>Astete Zamalloa Ruth Marina</w:t>
            </w:r>
          </w:p>
        </w:tc>
      </w:tr>
      <w:tr w:rsidR="00EA38F6" w:rsidRPr="000864AE" w14:paraId="547849A3" w14:textId="77777777" w:rsidTr="00AC0C51">
        <w:trPr>
          <w:trHeight w:val="300"/>
        </w:trPr>
        <w:tc>
          <w:tcPr>
            <w:tcW w:w="668" w:type="dxa"/>
            <w:vAlign w:val="center"/>
            <w:hideMark/>
          </w:tcPr>
          <w:p w14:paraId="43263291"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52</w:t>
            </w:r>
          </w:p>
        </w:tc>
        <w:tc>
          <w:tcPr>
            <w:tcW w:w="3835" w:type="dxa"/>
            <w:vAlign w:val="center"/>
            <w:hideMark/>
          </w:tcPr>
          <w:p w14:paraId="2B6ECB41" w14:textId="77777777" w:rsidR="00EA38F6" w:rsidRPr="000864AE" w:rsidRDefault="00EA38F6" w:rsidP="000864AE">
            <w:pPr>
              <w:rPr>
                <w:rFonts w:ascii="Verdana" w:hAnsi="Verdana"/>
                <w:sz w:val="18"/>
                <w:szCs w:val="18"/>
              </w:rPr>
            </w:pPr>
            <w:r w:rsidRPr="000864AE">
              <w:rPr>
                <w:rFonts w:ascii="Verdana" w:hAnsi="Verdana"/>
                <w:sz w:val="18"/>
                <w:szCs w:val="18"/>
              </w:rPr>
              <w:t>Atarama Lonzoy César Augusto</w:t>
            </w:r>
          </w:p>
        </w:tc>
      </w:tr>
      <w:tr w:rsidR="00EA38F6" w:rsidRPr="000864AE" w14:paraId="7DB3F930" w14:textId="77777777" w:rsidTr="00AC0C51">
        <w:trPr>
          <w:trHeight w:val="300"/>
        </w:trPr>
        <w:tc>
          <w:tcPr>
            <w:tcW w:w="668" w:type="dxa"/>
            <w:vAlign w:val="center"/>
            <w:hideMark/>
          </w:tcPr>
          <w:p w14:paraId="25ADE7EE"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53</w:t>
            </w:r>
          </w:p>
        </w:tc>
        <w:tc>
          <w:tcPr>
            <w:tcW w:w="3835" w:type="dxa"/>
            <w:vAlign w:val="center"/>
            <w:hideMark/>
          </w:tcPr>
          <w:p w14:paraId="1BA756A7" w14:textId="77777777" w:rsidR="00EA38F6" w:rsidRPr="000864AE" w:rsidRDefault="00EA38F6" w:rsidP="000864AE">
            <w:pPr>
              <w:rPr>
                <w:rFonts w:ascii="Verdana" w:hAnsi="Verdana"/>
                <w:sz w:val="18"/>
                <w:szCs w:val="18"/>
              </w:rPr>
            </w:pPr>
            <w:r w:rsidRPr="000864AE">
              <w:rPr>
                <w:rFonts w:ascii="Verdana" w:hAnsi="Verdana"/>
                <w:sz w:val="18"/>
                <w:szCs w:val="18"/>
              </w:rPr>
              <w:t>Auqui Aguilar Celestino</w:t>
            </w:r>
          </w:p>
        </w:tc>
      </w:tr>
      <w:tr w:rsidR="00EA38F6" w:rsidRPr="000864AE" w14:paraId="55395F3C" w14:textId="77777777" w:rsidTr="00AC0C51">
        <w:trPr>
          <w:trHeight w:val="300"/>
        </w:trPr>
        <w:tc>
          <w:tcPr>
            <w:tcW w:w="668" w:type="dxa"/>
            <w:vAlign w:val="center"/>
            <w:hideMark/>
          </w:tcPr>
          <w:p w14:paraId="7C6BB34D"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54</w:t>
            </w:r>
          </w:p>
        </w:tc>
        <w:tc>
          <w:tcPr>
            <w:tcW w:w="3835" w:type="dxa"/>
            <w:vAlign w:val="center"/>
            <w:hideMark/>
          </w:tcPr>
          <w:p w14:paraId="4ACA7D65" w14:textId="77777777" w:rsidR="00EA38F6" w:rsidRPr="000864AE" w:rsidRDefault="00EA38F6" w:rsidP="000864AE">
            <w:pPr>
              <w:rPr>
                <w:rFonts w:ascii="Verdana" w:hAnsi="Verdana"/>
                <w:sz w:val="18"/>
                <w:szCs w:val="18"/>
              </w:rPr>
            </w:pPr>
            <w:r w:rsidRPr="000864AE">
              <w:rPr>
                <w:rFonts w:ascii="Verdana" w:hAnsi="Verdana"/>
                <w:sz w:val="18"/>
                <w:szCs w:val="18"/>
              </w:rPr>
              <w:t>Aybar Bravo Ezequiel Inmaculado</w:t>
            </w:r>
          </w:p>
        </w:tc>
      </w:tr>
      <w:tr w:rsidR="00EA38F6" w:rsidRPr="000864AE" w14:paraId="51AC2639" w14:textId="77777777" w:rsidTr="00AC0C51">
        <w:trPr>
          <w:trHeight w:val="300"/>
        </w:trPr>
        <w:tc>
          <w:tcPr>
            <w:tcW w:w="668" w:type="dxa"/>
            <w:vAlign w:val="center"/>
            <w:hideMark/>
          </w:tcPr>
          <w:p w14:paraId="15076EF2"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55</w:t>
            </w:r>
          </w:p>
        </w:tc>
        <w:tc>
          <w:tcPr>
            <w:tcW w:w="3835" w:type="dxa"/>
            <w:vAlign w:val="center"/>
            <w:hideMark/>
          </w:tcPr>
          <w:p w14:paraId="5937EDD7" w14:textId="77777777" w:rsidR="00EA38F6" w:rsidRPr="000864AE" w:rsidRDefault="00EA38F6" w:rsidP="000864AE">
            <w:pPr>
              <w:rPr>
                <w:rFonts w:ascii="Verdana" w:hAnsi="Verdana"/>
                <w:sz w:val="18"/>
                <w:szCs w:val="18"/>
              </w:rPr>
            </w:pPr>
            <w:r w:rsidRPr="000864AE">
              <w:rPr>
                <w:rFonts w:ascii="Verdana" w:hAnsi="Verdana"/>
                <w:sz w:val="18"/>
                <w:szCs w:val="18"/>
              </w:rPr>
              <w:t>Ayo Sarmiento Cesar Adrián</w:t>
            </w:r>
          </w:p>
        </w:tc>
      </w:tr>
      <w:tr w:rsidR="00EA38F6" w:rsidRPr="000864AE" w14:paraId="5DC5658D" w14:textId="77777777" w:rsidTr="00AC0C51">
        <w:trPr>
          <w:trHeight w:val="300"/>
        </w:trPr>
        <w:tc>
          <w:tcPr>
            <w:tcW w:w="668" w:type="dxa"/>
            <w:vAlign w:val="center"/>
            <w:hideMark/>
          </w:tcPr>
          <w:p w14:paraId="54433FBC"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56</w:t>
            </w:r>
          </w:p>
        </w:tc>
        <w:tc>
          <w:tcPr>
            <w:tcW w:w="3835" w:type="dxa"/>
            <w:vAlign w:val="center"/>
            <w:hideMark/>
          </w:tcPr>
          <w:p w14:paraId="32F0DFC5" w14:textId="77777777" w:rsidR="00EA38F6" w:rsidRPr="000864AE" w:rsidRDefault="00EA38F6" w:rsidP="000864AE">
            <w:pPr>
              <w:rPr>
                <w:rFonts w:ascii="Verdana" w:hAnsi="Verdana"/>
                <w:sz w:val="18"/>
                <w:szCs w:val="18"/>
              </w:rPr>
            </w:pPr>
            <w:r w:rsidRPr="000864AE">
              <w:rPr>
                <w:rFonts w:ascii="Verdana" w:hAnsi="Verdana"/>
                <w:sz w:val="18"/>
                <w:szCs w:val="18"/>
              </w:rPr>
              <w:t>Baissel Tapia Carmen Rosa</w:t>
            </w:r>
          </w:p>
        </w:tc>
      </w:tr>
      <w:tr w:rsidR="00EA38F6" w:rsidRPr="000864AE" w14:paraId="66269038" w14:textId="77777777" w:rsidTr="00AC0C51">
        <w:trPr>
          <w:trHeight w:val="300"/>
        </w:trPr>
        <w:tc>
          <w:tcPr>
            <w:tcW w:w="668" w:type="dxa"/>
            <w:vAlign w:val="center"/>
            <w:hideMark/>
          </w:tcPr>
          <w:p w14:paraId="78D5BC05"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57</w:t>
            </w:r>
          </w:p>
        </w:tc>
        <w:tc>
          <w:tcPr>
            <w:tcW w:w="3835" w:type="dxa"/>
            <w:vAlign w:val="center"/>
            <w:hideMark/>
          </w:tcPr>
          <w:p w14:paraId="3A9AF7F0" w14:textId="77777777" w:rsidR="00EA38F6" w:rsidRPr="000864AE" w:rsidRDefault="00EA38F6" w:rsidP="000864AE">
            <w:pPr>
              <w:rPr>
                <w:rFonts w:ascii="Verdana" w:hAnsi="Verdana"/>
                <w:sz w:val="18"/>
                <w:szCs w:val="18"/>
              </w:rPr>
            </w:pPr>
            <w:r w:rsidRPr="000864AE">
              <w:rPr>
                <w:rFonts w:ascii="Verdana" w:hAnsi="Verdana"/>
                <w:sz w:val="18"/>
                <w:szCs w:val="18"/>
              </w:rPr>
              <w:t>Bajonero Trujillo Fortunato</w:t>
            </w:r>
          </w:p>
        </w:tc>
      </w:tr>
      <w:tr w:rsidR="00EA38F6" w:rsidRPr="000864AE" w14:paraId="68C9FB2A" w14:textId="77777777" w:rsidTr="00AC0C51">
        <w:trPr>
          <w:trHeight w:val="300"/>
        </w:trPr>
        <w:tc>
          <w:tcPr>
            <w:tcW w:w="668" w:type="dxa"/>
            <w:vAlign w:val="center"/>
            <w:hideMark/>
          </w:tcPr>
          <w:p w14:paraId="7077B2F8"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58</w:t>
            </w:r>
          </w:p>
        </w:tc>
        <w:tc>
          <w:tcPr>
            <w:tcW w:w="3835" w:type="dxa"/>
            <w:vAlign w:val="center"/>
            <w:hideMark/>
          </w:tcPr>
          <w:p w14:paraId="3B19D33F" w14:textId="77777777" w:rsidR="00EA38F6" w:rsidRPr="000864AE" w:rsidRDefault="00EA38F6" w:rsidP="000864AE">
            <w:pPr>
              <w:rPr>
                <w:rFonts w:ascii="Verdana" w:hAnsi="Verdana"/>
                <w:sz w:val="18"/>
                <w:szCs w:val="18"/>
              </w:rPr>
            </w:pPr>
            <w:r w:rsidRPr="000864AE">
              <w:rPr>
                <w:rFonts w:ascii="Verdana" w:hAnsi="Verdana"/>
                <w:sz w:val="18"/>
                <w:szCs w:val="18"/>
              </w:rPr>
              <w:t>Balbín Calmet Víctor Raúl</w:t>
            </w:r>
          </w:p>
        </w:tc>
      </w:tr>
      <w:tr w:rsidR="00EA38F6" w:rsidRPr="000864AE" w14:paraId="3AD5BDC8" w14:textId="77777777" w:rsidTr="00AC0C51">
        <w:trPr>
          <w:trHeight w:val="300"/>
        </w:trPr>
        <w:tc>
          <w:tcPr>
            <w:tcW w:w="668" w:type="dxa"/>
            <w:vAlign w:val="center"/>
            <w:hideMark/>
          </w:tcPr>
          <w:p w14:paraId="27B56DF3"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59</w:t>
            </w:r>
          </w:p>
        </w:tc>
        <w:tc>
          <w:tcPr>
            <w:tcW w:w="3835" w:type="dxa"/>
            <w:vAlign w:val="center"/>
            <w:hideMark/>
          </w:tcPr>
          <w:p w14:paraId="7647C822" w14:textId="77777777" w:rsidR="00EA38F6" w:rsidRPr="000864AE" w:rsidRDefault="00EA38F6" w:rsidP="000864AE">
            <w:pPr>
              <w:rPr>
                <w:rFonts w:ascii="Verdana" w:hAnsi="Verdana"/>
                <w:sz w:val="18"/>
                <w:szCs w:val="18"/>
              </w:rPr>
            </w:pPr>
            <w:r w:rsidRPr="000864AE">
              <w:rPr>
                <w:rFonts w:ascii="Verdana" w:hAnsi="Verdana"/>
                <w:sz w:val="18"/>
                <w:szCs w:val="18"/>
              </w:rPr>
              <w:t>Baltodano Sinues Julio</w:t>
            </w:r>
          </w:p>
        </w:tc>
      </w:tr>
      <w:tr w:rsidR="00EA38F6" w:rsidRPr="000864AE" w14:paraId="3A582AA7" w14:textId="77777777" w:rsidTr="00AC0C51">
        <w:trPr>
          <w:trHeight w:val="300"/>
        </w:trPr>
        <w:tc>
          <w:tcPr>
            <w:tcW w:w="668" w:type="dxa"/>
            <w:vAlign w:val="center"/>
            <w:hideMark/>
          </w:tcPr>
          <w:p w14:paraId="34DE7E32"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60</w:t>
            </w:r>
          </w:p>
        </w:tc>
        <w:tc>
          <w:tcPr>
            <w:tcW w:w="3835" w:type="dxa"/>
            <w:vAlign w:val="center"/>
            <w:hideMark/>
          </w:tcPr>
          <w:p w14:paraId="569C0427" w14:textId="77777777" w:rsidR="00EA38F6" w:rsidRPr="000864AE" w:rsidRDefault="00EA38F6" w:rsidP="000864AE">
            <w:pPr>
              <w:rPr>
                <w:rFonts w:ascii="Verdana" w:hAnsi="Verdana"/>
                <w:sz w:val="18"/>
                <w:szCs w:val="18"/>
              </w:rPr>
            </w:pPr>
            <w:r w:rsidRPr="000864AE">
              <w:rPr>
                <w:rFonts w:ascii="Verdana" w:hAnsi="Verdana"/>
                <w:sz w:val="18"/>
                <w:szCs w:val="18"/>
              </w:rPr>
              <w:t>Balvfn Limaymanta Marcos Rodolfo</w:t>
            </w:r>
          </w:p>
        </w:tc>
      </w:tr>
      <w:tr w:rsidR="00EA38F6" w:rsidRPr="000864AE" w14:paraId="0FB8F637" w14:textId="77777777" w:rsidTr="00AC0C51">
        <w:trPr>
          <w:trHeight w:val="300"/>
        </w:trPr>
        <w:tc>
          <w:tcPr>
            <w:tcW w:w="668" w:type="dxa"/>
            <w:vAlign w:val="center"/>
            <w:hideMark/>
          </w:tcPr>
          <w:p w14:paraId="63692461"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61</w:t>
            </w:r>
          </w:p>
        </w:tc>
        <w:tc>
          <w:tcPr>
            <w:tcW w:w="3835" w:type="dxa"/>
            <w:vAlign w:val="center"/>
            <w:hideMark/>
          </w:tcPr>
          <w:p w14:paraId="53A583AA" w14:textId="77777777" w:rsidR="00EA38F6" w:rsidRPr="000864AE" w:rsidRDefault="00EA38F6" w:rsidP="000864AE">
            <w:pPr>
              <w:rPr>
                <w:rFonts w:ascii="Verdana" w:hAnsi="Verdana"/>
                <w:sz w:val="18"/>
                <w:szCs w:val="18"/>
              </w:rPr>
            </w:pPr>
            <w:r w:rsidRPr="000864AE">
              <w:rPr>
                <w:rFonts w:ascii="Verdana" w:hAnsi="Verdana"/>
                <w:sz w:val="18"/>
                <w:szCs w:val="18"/>
              </w:rPr>
              <w:t>Bances Gonzáles Nila Cristina</w:t>
            </w:r>
          </w:p>
        </w:tc>
      </w:tr>
      <w:tr w:rsidR="00EA38F6" w:rsidRPr="000864AE" w14:paraId="2360E805" w14:textId="77777777" w:rsidTr="00AC0C51">
        <w:trPr>
          <w:trHeight w:val="300"/>
        </w:trPr>
        <w:tc>
          <w:tcPr>
            <w:tcW w:w="668" w:type="dxa"/>
            <w:vAlign w:val="center"/>
            <w:hideMark/>
          </w:tcPr>
          <w:p w14:paraId="45CA4D35"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62</w:t>
            </w:r>
          </w:p>
        </w:tc>
        <w:tc>
          <w:tcPr>
            <w:tcW w:w="3835" w:type="dxa"/>
            <w:vAlign w:val="center"/>
            <w:hideMark/>
          </w:tcPr>
          <w:p w14:paraId="7D00D10D" w14:textId="77777777" w:rsidR="00EA38F6" w:rsidRPr="000864AE" w:rsidRDefault="00EA38F6" w:rsidP="000864AE">
            <w:pPr>
              <w:rPr>
                <w:rFonts w:ascii="Verdana" w:hAnsi="Verdana"/>
                <w:sz w:val="18"/>
                <w:szCs w:val="18"/>
              </w:rPr>
            </w:pPr>
            <w:r w:rsidRPr="000864AE">
              <w:rPr>
                <w:rFonts w:ascii="Verdana" w:hAnsi="Verdana"/>
                <w:sz w:val="18"/>
                <w:szCs w:val="18"/>
              </w:rPr>
              <w:t>Barreda Quiroz Florentino Erasmo</w:t>
            </w:r>
          </w:p>
        </w:tc>
      </w:tr>
      <w:tr w:rsidR="00EA38F6" w:rsidRPr="000864AE" w14:paraId="34D20305" w14:textId="77777777" w:rsidTr="00AC0C51">
        <w:trPr>
          <w:trHeight w:val="300"/>
        </w:trPr>
        <w:tc>
          <w:tcPr>
            <w:tcW w:w="668" w:type="dxa"/>
            <w:vAlign w:val="center"/>
            <w:hideMark/>
          </w:tcPr>
          <w:p w14:paraId="57B1CAE0"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63</w:t>
            </w:r>
          </w:p>
        </w:tc>
        <w:tc>
          <w:tcPr>
            <w:tcW w:w="3835" w:type="dxa"/>
            <w:vAlign w:val="center"/>
            <w:hideMark/>
          </w:tcPr>
          <w:p w14:paraId="5AC0E304" w14:textId="77777777" w:rsidR="00EA38F6" w:rsidRPr="000864AE" w:rsidRDefault="00EA38F6" w:rsidP="000864AE">
            <w:pPr>
              <w:rPr>
                <w:rFonts w:ascii="Verdana" w:hAnsi="Verdana"/>
                <w:sz w:val="18"/>
                <w:szCs w:val="18"/>
              </w:rPr>
            </w:pPr>
            <w:r w:rsidRPr="000864AE">
              <w:rPr>
                <w:rFonts w:ascii="Verdana" w:hAnsi="Verdana"/>
                <w:sz w:val="18"/>
                <w:szCs w:val="18"/>
              </w:rPr>
              <w:t>Barrera Bedoya Augusto</w:t>
            </w:r>
          </w:p>
        </w:tc>
      </w:tr>
      <w:tr w:rsidR="00EA38F6" w:rsidRPr="000864AE" w14:paraId="3D81CA0E" w14:textId="77777777" w:rsidTr="00AC0C51">
        <w:trPr>
          <w:trHeight w:val="300"/>
        </w:trPr>
        <w:tc>
          <w:tcPr>
            <w:tcW w:w="668" w:type="dxa"/>
            <w:vAlign w:val="center"/>
            <w:hideMark/>
          </w:tcPr>
          <w:p w14:paraId="77CAA63D"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64</w:t>
            </w:r>
          </w:p>
        </w:tc>
        <w:tc>
          <w:tcPr>
            <w:tcW w:w="3835" w:type="dxa"/>
            <w:vAlign w:val="center"/>
            <w:hideMark/>
          </w:tcPr>
          <w:p w14:paraId="345860AE" w14:textId="77777777" w:rsidR="00EA38F6" w:rsidRPr="000864AE" w:rsidRDefault="00EA38F6" w:rsidP="000864AE">
            <w:pPr>
              <w:rPr>
                <w:rFonts w:ascii="Verdana" w:hAnsi="Verdana"/>
                <w:sz w:val="18"/>
                <w:szCs w:val="18"/>
              </w:rPr>
            </w:pPr>
            <w:r w:rsidRPr="000864AE">
              <w:rPr>
                <w:rFonts w:ascii="Verdana" w:hAnsi="Verdana"/>
                <w:sz w:val="18"/>
                <w:szCs w:val="18"/>
              </w:rPr>
              <w:t>Barrera Cárdenas Grimanesa</w:t>
            </w:r>
          </w:p>
        </w:tc>
      </w:tr>
      <w:tr w:rsidR="00EA38F6" w:rsidRPr="000864AE" w14:paraId="0BB2DCBF" w14:textId="77777777" w:rsidTr="00AC0C51">
        <w:trPr>
          <w:trHeight w:val="300"/>
        </w:trPr>
        <w:tc>
          <w:tcPr>
            <w:tcW w:w="668" w:type="dxa"/>
            <w:vAlign w:val="center"/>
            <w:hideMark/>
          </w:tcPr>
          <w:p w14:paraId="37314292"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65</w:t>
            </w:r>
          </w:p>
        </w:tc>
        <w:tc>
          <w:tcPr>
            <w:tcW w:w="3835" w:type="dxa"/>
            <w:vAlign w:val="center"/>
            <w:hideMark/>
          </w:tcPr>
          <w:p w14:paraId="77D39974" w14:textId="77777777" w:rsidR="00EA38F6" w:rsidRPr="000864AE" w:rsidRDefault="00EA38F6" w:rsidP="000864AE">
            <w:pPr>
              <w:rPr>
                <w:rFonts w:ascii="Verdana" w:hAnsi="Verdana"/>
                <w:sz w:val="18"/>
                <w:szCs w:val="18"/>
              </w:rPr>
            </w:pPr>
            <w:r w:rsidRPr="000864AE">
              <w:rPr>
                <w:rFonts w:ascii="Verdana" w:hAnsi="Verdana"/>
                <w:sz w:val="18"/>
                <w:szCs w:val="18"/>
              </w:rPr>
              <w:t>Barrios Escobar Carlos Enrique</w:t>
            </w:r>
          </w:p>
        </w:tc>
      </w:tr>
      <w:tr w:rsidR="00EA38F6" w:rsidRPr="000864AE" w14:paraId="4C9D9856" w14:textId="77777777" w:rsidTr="00AC0C51">
        <w:trPr>
          <w:trHeight w:val="300"/>
        </w:trPr>
        <w:tc>
          <w:tcPr>
            <w:tcW w:w="668" w:type="dxa"/>
            <w:vAlign w:val="center"/>
            <w:hideMark/>
          </w:tcPr>
          <w:p w14:paraId="67CB4A8D"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66</w:t>
            </w:r>
          </w:p>
        </w:tc>
        <w:tc>
          <w:tcPr>
            <w:tcW w:w="3835" w:type="dxa"/>
            <w:vAlign w:val="center"/>
            <w:hideMark/>
          </w:tcPr>
          <w:p w14:paraId="7CF7E1C7" w14:textId="77777777" w:rsidR="00EA38F6" w:rsidRPr="000864AE" w:rsidRDefault="00EA38F6" w:rsidP="000864AE">
            <w:pPr>
              <w:rPr>
                <w:rFonts w:ascii="Verdana" w:hAnsi="Verdana"/>
                <w:sz w:val="18"/>
                <w:szCs w:val="18"/>
              </w:rPr>
            </w:pPr>
            <w:r w:rsidRPr="000864AE">
              <w:rPr>
                <w:rFonts w:ascii="Verdana" w:hAnsi="Verdana"/>
                <w:sz w:val="18"/>
                <w:szCs w:val="18"/>
              </w:rPr>
              <w:t>Basauri López Rita Mercedes</w:t>
            </w:r>
          </w:p>
        </w:tc>
      </w:tr>
      <w:tr w:rsidR="00EA38F6" w:rsidRPr="000864AE" w14:paraId="1A7CA2E6" w14:textId="77777777" w:rsidTr="00AC0C51">
        <w:trPr>
          <w:trHeight w:val="300"/>
        </w:trPr>
        <w:tc>
          <w:tcPr>
            <w:tcW w:w="668" w:type="dxa"/>
            <w:vAlign w:val="center"/>
            <w:hideMark/>
          </w:tcPr>
          <w:p w14:paraId="54E9FD9F"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67</w:t>
            </w:r>
          </w:p>
        </w:tc>
        <w:tc>
          <w:tcPr>
            <w:tcW w:w="3835" w:type="dxa"/>
            <w:vAlign w:val="center"/>
            <w:hideMark/>
          </w:tcPr>
          <w:p w14:paraId="2FB3A98F" w14:textId="77777777" w:rsidR="00EA38F6" w:rsidRPr="000864AE" w:rsidRDefault="00EA38F6" w:rsidP="000864AE">
            <w:pPr>
              <w:rPr>
                <w:rFonts w:ascii="Verdana" w:hAnsi="Verdana"/>
                <w:sz w:val="18"/>
                <w:szCs w:val="18"/>
              </w:rPr>
            </w:pPr>
            <w:r w:rsidRPr="000864AE">
              <w:rPr>
                <w:rFonts w:ascii="Verdana" w:hAnsi="Verdana"/>
                <w:sz w:val="18"/>
                <w:szCs w:val="18"/>
              </w:rPr>
              <w:t>Bazalar Longobardi Carlos</w:t>
            </w:r>
          </w:p>
        </w:tc>
      </w:tr>
      <w:tr w:rsidR="00EA38F6" w:rsidRPr="000864AE" w14:paraId="70BF10C7" w14:textId="77777777" w:rsidTr="00AC0C51">
        <w:trPr>
          <w:trHeight w:val="300"/>
        </w:trPr>
        <w:tc>
          <w:tcPr>
            <w:tcW w:w="668" w:type="dxa"/>
            <w:vAlign w:val="center"/>
            <w:hideMark/>
          </w:tcPr>
          <w:p w14:paraId="3A822420"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68</w:t>
            </w:r>
          </w:p>
        </w:tc>
        <w:tc>
          <w:tcPr>
            <w:tcW w:w="3835" w:type="dxa"/>
            <w:vAlign w:val="center"/>
            <w:hideMark/>
          </w:tcPr>
          <w:p w14:paraId="2DB0BFE9" w14:textId="77777777" w:rsidR="00EA38F6" w:rsidRPr="000864AE" w:rsidRDefault="00EA38F6" w:rsidP="000864AE">
            <w:pPr>
              <w:rPr>
                <w:rFonts w:ascii="Verdana" w:hAnsi="Verdana"/>
                <w:sz w:val="18"/>
                <w:szCs w:val="18"/>
              </w:rPr>
            </w:pPr>
            <w:r w:rsidRPr="000864AE">
              <w:rPr>
                <w:rFonts w:ascii="Verdana" w:hAnsi="Verdana"/>
                <w:sz w:val="18"/>
                <w:szCs w:val="18"/>
              </w:rPr>
              <w:t>Becerra Chara José Ernesto</w:t>
            </w:r>
          </w:p>
        </w:tc>
      </w:tr>
      <w:tr w:rsidR="00EA38F6" w:rsidRPr="000864AE" w14:paraId="54A5D387" w14:textId="77777777" w:rsidTr="00AC0C51">
        <w:trPr>
          <w:trHeight w:val="300"/>
        </w:trPr>
        <w:tc>
          <w:tcPr>
            <w:tcW w:w="668" w:type="dxa"/>
            <w:vAlign w:val="center"/>
            <w:hideMark/>
          </w:tcPr>
          <w:p w14:paraId="6CF398E7"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69</w:t>
            </w:r>
          </w:p>
        </w:tc>
        <w:tc>
          <w:tcPr>
            <w:tcW w:w="3835" w:type="dxa"/>
            <w:vAlign w:val="center"/>
            <w:hideMark/>
          </w:tcPr>
          <w:p w14:paraId="583DC470" w14:textId="77777777" w:rsidR="00EA38F6" w:rsidRPr="000864AE" w:rsidRDefault="00EA38F6" w:rsidP="000864AE">
            <w:pPr>
              <w:rPr>
                <w:rFonts w:ascii="Verdana" w:hAnsi="Verdana"/>
                <w:sz w:val="18"/>
                <w:szCs w:val="18"/>
              </w:rPr>
            </w:pPr>
            <w:r w:rsidRPr="000864AE">
              <w:rPr>
                <w:rFonts w:ascii="Verdana" w:hAnsi="Verdana"/>
                <w:sz w:val="18"/>
                <w:szCs w:val="18"/>
              </w:rPr>
              <w:t>Bedoya Martínez Julia Alicia</w:t>
            </w:r>
          </w:p>
        </w:tc>
      </w:tr>
      <w:tr w:rsidR="00EA38F6" w:rsidRPr="000864AE" w14:paraId="2E5C5C34" w14:textId="77777777" w:rsidTr="00AC0C51">
        <w:trPr>
          <w:trHeight w:val="300"/>
        </w:trPr>
        <w:tc>
          <w:tcPr>
            <w:tcW w:w="668" w:type="dxa"/>
            <w:vAlign w:val="center"/>
            <w:hideMark/>
          </w:tcPr>
          <w:p w14:paraId="78B0CFE2"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70</w:t>
            </w:r>
          </w:p>
        </w:tc>
        <w:tc>
          <w:tcPr>
            <w:tcW w:w="3835" w:type="dxa"/>
            <w:vAlign w:val="center"/>
            <w:hideMark/>
          </w:tcPr>
          <w:p w14:paraId="32241C3F" w14:textId="77777777" w:rsidR="00EA38F6" w:rsidRPr="000864AE" w:rsidRDefault="00EA38F6" w:rsidP="000864AE">
            <w:pPr>
              <w:rPr>
                <w:rFonts w:ascii="Verdana" w:hAnsi="Verdana"/>
                <w:sz w:val="18"/>
                <w:szCs w:val="18"/>
              </w:rPr>
            </w:pPr>
            <w:r w:rsidRPr="000864AE">
              <w:rPr>
                <w:rFonts w:ascii="Verdana" w:hAnsi="Verdana"/>
                <w:sz w:val="18"/>
                <w:szCs w:val="18"/>
              </w:rPr>
              <w:t>Bejar Canaza Oscar</w:t>
            </w:r>
          </w:p>
        </w:tc>
      </w:tr>
      <w:tr w:rsidR="00EA38F6" w:rsidRPr="000864AE" w14:paraId="7E83F573" w14:textId="77777777" w:rsidTr="00AC0C51">
        <w:trPr>
          <w:trHeight w:val="300"/>
        </w:trPr>
        <w:tc>
          <w:tcPr>
            <w:tcW w:w="668" w:type="dxa"/>
            <w:vAlign w:val="center"/>
            <w:hideMark/>
          </w:tcPr>
          <w:p w14:paraId="2849FD06"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71</w:t>
            </w:r>
          </w:p>
        </w:tc>
        <w:tc>
          <w:tcPr>
            <w:tcW w:w="3835" w:type="dxa"/>
            <w:vAlign w:val="center"/>
            <w:hideMark/>
          </w:tcPr>
          <w:p w14:paraId="397CA99E" w14:textId="77777777" w:rsidR="00EA38F6" w:rsidRPr="000864AE" w:rsidRDefault="00EA38F6" w:rsidP="000864AE">
            <w:pPr>
              <w:rPr>
                <w:rFonts w:ascii="Verdana" w:hAnsi="Verdana"/>
                <w:sz w:val="18"/>
                <w:szCs w:val="18"/>
              </w:rPr>
            </w:pPr>
            <w:r w:rsidRPr="000864AE">
              <w:rPr>
                <w:rFonts w:ascii="Verdana" w:hAnsi="Verdana"/>
                <w:sz w:val="18"/>
                <w:szCs w:val="18"/>
              </w:rPr>
              <w:t>Bello Zerpa Salvador</w:t>
            </w:r>
          </w:p>
        </w:tc>
      </w:tr>
      <w:tr w:rsidR="00EA38F6" w:rsidRPr="000864AE" w14:paraId="0744E99B" w14:textId="77777777" w:rsidTr="00AC0C51">
        <w:trPr>
          <w:trHeight w:val="300"/>
        </w:trPr>
        <w:tc>
          <w:tcPr>
            <w:tcW w:w="668" w:type="dxa"/>
            <w:vAlign w:val="center"/>
            <w:hideMark/>
          </w:tcPr>
          <w:p w14:paraId="276C41ED"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72</w:t>
            </w:r>
          </w:p>
        </w:tc>
        <w:tc>
          <w:tcPr>
            <w:tcW w:w="3835" w:type="dxa"/>
            <w:vAlign w:val="center"/>
            <w:hideMark/>
          </w:tcPr>
          <w:p w14:paraId="7F29F264" w14:textId="77777777" w:rsidR="00EA38F6" w:rsidRPr="000864AE" w:rsidRDefault="00EA38F6" w:rsidP="000864AE">
            <w:pPr>
              <w:rPr>
                <w:rFonts w:ascii="Verdana" w:hAnsi="Verdana"/>
                <w:sz w:val="18"/>
                <w:szCs w:val="18"/>
              </w:rPr>
            </w:pPr>
            <w:r w:rsidRPr="000864AE">
              <w:rPr>
                <w:rFonts w:ascii="Verdana" w:hAnsi="Verdana"/>
                <w:sz w:val="18"/>
                <w:szCs w:val="18"/>
              </w:rPr>
              <w:t>Benaducci Manrique José Francisco</w:t>
            </w:r>
          </w:p>
        </w:tc>
      </w:tr>
      <w:tr w:rsidR="00EA38F6" w:rsidRPr="000864AE" w14:paraId="37F0D4B8" w14:textId="77777777" w:rsidTr="00AC0C51">
        <w:trPr>
          <w:trHeight w:val="300"/>
        </w:trPr>
        <w:tc>
          <w:tcPr>
            <w:tcW w:w="668" w:type="dxa"/>
            <w:vAlign w:val="center"/>
            <w:hideMark/>
          </w:tcPr>
          <w:p w14:paraId="79C29BC6"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73</w:t>
            </w:r>
          </w:p>
        </w:tc>
        <w:tc>
          <w:tcPr>
            <w:tcW w:w="3835" w:type="dxa"/>
            <w:vAlign w:val="center"/>
            <w:hideMark/>
          </w:tcPr>
          <w:p w14:paraId="39DEEB2C" w14:textId="77777777" w:rsidR="00EA38F6" w:rsidRPr="000864AE" w:rsidRDefault="00EA38F6" w:rsidP="000864AE">
            <w:pPr>
              <w:rPr>
                <w:rFonts w:ascii="Verdana" w:hAnsi="Verdana"/>
                <w:sz w:val="18"/>
                <w:szCs w:val="18"/>
              </w:rPr>
            </w:pPr>
            <w:r w:rsidRPr="000864AE">
              <w:rPr>
                <w:rFonts w:ascii="Verdana" w:hAnsi="Verdana"/>
                <w:sz w:val="18"/>
                <w:szCs w:val="18"/>
              </w:rPr>
              <w:t>Benavides Espinoza Fortunato Raúl</w:t>
            </w:r>
          </w:p>
        </w:tc>
      </w:tr>
      <w:tr w:rsidR="00EA38F6" w:rsidRPr="000864AE" w14:paraId="3E6F7244" w14:textId="77777777" w:rsidTr="00AC0C51">
        <w:trPr>
          <w:trHeight w:val="300"/>
        </w:trPr>
        <w:tc>
          <w:tcPr>
            <w:tcW w:w="668" w:type="dxa"/>
            <w:vAlign w:val="center"/>
            <w:hideMark/>
          </w:tcPr>
          <w:p w14:paraId="2D1D799A"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74</w:t>
            </w:r>
          </w:p>
        </w:tc>
        <w:tc>
          <w:tcPr>
            <w:tcW w:w="3835" w:type="dxa"/>
            <w:vAlign w:val="center"/>
            <w:hideMark/>
          </w:tcPr>
          <w:p w14:paraId="5ECECBDB" w14:textId="77777777" w:rsidR="00EA38F6" w:rsidRPr="000864AE" w:rsidRDefault="00EA38F6" w:rsidP="000864AE">
            <w:pPr>
              <w:rPr>
                <w:rFonts w:ascii="Verdana" w:hAnsi="Verdana"/>
                <w:sz w:val="18"/>
                <w:szCs w:val="18"/>
              </w:rPr>
            </w:pPr>
            <w:r w:rsidRPr="000864AE">
              <w:rPr>
                <w:rFonts w:ascii="Verdana" w:hAnsi="Verdana"/>
                <w:sz w:val="18"/>
                <w:szCs w:val="18"/>
              </w:rPr>
              <w:t>Bernal Bustamante José Luis</w:t>
            </w:r>
          </w:p>
        </w:tc>
      </w:tr>
      <w:tr w:rsidR="00EA38F6" w:rsidRPr="000864AE" w14:paraId="6DD8E4E1" w14:textId="77777777" w:rsidTr="00AC0C51">
        <w:trPr>
          <w:trHeight w:val="300"/>
        </w:trPr>
        <w:tc>
          <w:tcPr>
            <w:tcW w:w="668" w:type="dxa"/>
            <w:vAlign w:val="center"/>
            <w:hideMark/>
          </w:tcPr>
          <w:p w14:paraId="547F6F25"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75</w:t>
            </w:r>
          </w:p>
        </w:tc>
        <w:tc>
          <w:tcPr>
            <w:tcW w:w="3835" w:type="dxa"/>
            <w:vAlign w:val="center"/>
            <w:hideMark/>
          </w:tcPr>
          <w:p w14:paraId="37D7D37B" w14:textId="77777777" w:rsidR="00EA38F6" w:rsidRPr="000864AE" w:rsidRDefault="00EA38F6" w:rsidP="000864AE">
            <w:pPr>
              <w:rPr>
                <w:rFonts w:ascii="Verdana" w:hAnsi="Verdana"/>
                <w:sz w:val="18"/>
                <w:szCs w:val="18"/>
              </w:rPr>
            </w:pPr>
            <w:r w:rsidRPr="000864AE">
              <w:rPr>
                <w:rFonts w:ascii="Verdana" w:hAnsi="Verdana"/>
                <w:sz w:val="18"/>
                <w:szCs w:val="18"/>
              </w:rPr>
              <w:t>Bernal Bustamante Juan Adriano</w:t>
            </w:r>
          </w:p>
        </w:tc>
      </w:tr>
      <w:tr w:rsidR="00EA38F6" w:rsidRPr="000864AE" w14:paraId="55A81C6C" w14:textId="77777777" w:rsidTr="00AC0C51">
        <w:trPr>
          <w:trHeight w:val="300"/>
        </w:trPr>
        <w:tc>
          <w:tcPr>
            <w:tcW w:w="668" w:type="dxa"/>
            <w:vAlign w:val="center"/>
            <w:hideMark/>
          </w:tcPr>
          <w:p w14:paraId="34D18BB8"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76</w:t>
            </w:r>
          </w:p>
        </w:tc>
        <w:tc>
          <w:tcPr>
            <w:tcW w:w="3835" w:type="dxa"/>
            <w:vAlign w:val="center"/>
            <w:hideMark/>
          </w:tcPr>
          <w:p w14:paraId="65E9CE9C" w14:textId="77777777" w:rsidR="00EA38F6" w:rsidRPr="000864AE" w:rsidRDefault="00EA38F6" w:rsidP="000864AE">
            <w:pPr>
              <w:rPr>
                <w:rFonts w:ascii="Verdana" w:hAnsi="Verdana"/>
                <w:sz w:val="18"/>
                <w:szCs w:val="18"/>
              </w:rPr>
            </w:pPr>
            <w:r w:rsidRPr="000864AE">
              <w:rPr>
                <w:rFonts w:ascii="Verdana" w:hAnsi="Verdana"/>
                <w:sz w:val="18"/>
                <w:szCs w:val="18"/>
              </w:rPr>
              <w:t>Bernardo Villanueva Dulia María</w:t>
            </w:r>
          </w:p>
        </w:tc>
      </w:tr>
      <w:tr w:rsidR="00EA38F6" w:rsidRPr="000864AE" w14:paraId="1BBAB667" w14:textId="77777777" w:rsidTr="00AC0C51">
        <w:trPr>
          <w:trHeight w:val="300"/>
        </w:trPr>
        <w:tc>
          <w:tcPr>
            <w:tcW w:w="668" w:type="dxa"/>
            <w:vAlign w:val="center"/>
            <w:hideMark/>
          </w:tcPr>
          <w:p w14:paraId="2D574EB3"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77</w:t>
            </w:r>
          </w:p>
        </w:tc>
        <w:tc>
          <w:tcPr>
            <w:tcW w:w="3835" w:type="dxa"/>
            <w:vAlign w:val="center"/>
            <w:hideMark/>
          </w:tcPr>
          <w:p w14:paraId="0972FF59" w14:textId="77777777" w:rsidR="00EA38F6" w:rsidRPr="000864AE" w:rsidRDefault="00EA38F6" w:rsidP="000864AE">
            <w:pPr>
              <w:rPr>
                <w:rFonts w:ascii="Verdana" w:hAnsi="Verdana"/>
                <w:sz w:val="18"/>
                <w:szCs w:val="18"/>
              </w:rPr>
            </w:pPr>
            <w:r w:rsidRPr="000864AE">
              <w:rPr>
                <w:rFonts w:ascii="Verdana" w:hAnsi="Verdana"/>
                <w:sz w:val="18"/>
                <w:szCs w:val="18"/>
              </w:rPr>
              <w:t>Bernuy Acosta Francisco Agelio</w:t>
            </w:r>
          </w:p>
        </w:tc>
      </w:tr>
      <w:tr w:rsidR="00EA38F6" w:rsidRPr="000864AE" w14:paraId="00996D9A" w14:textId="77777777" w:rsidTr="00AC0C51">
        <w:trPr>
          <w:trHeight w:val="300"/>
        </w:trPr>
        <w:tc>
          <w:tcPr>
            <w:tcW w:w="668" w:type="dxa"/>
            <w:vAlign w:val="center"/>
            <w:hideMark/>
          </w:tcPr>
          <w:p w14:paraId="64F44251"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78</w:t>
            </w:r>
          </w:p>
        </w:tc>
        <w:tc>
          <w:tcPr>
            <w:tcW w:w="3835" w:type="dxa"/>
            <w:vAlign w:val="center"/>
            <w:hideMark/>
          </w:tcPr>
          <w:p w14:paraId="09A10069" w14:textId="77777777" w:rsidR="00EA38F6" w:rsidRPr="000864AE" w:rsidRDefault="00EA38F6" w:rsidP="000864AE">
            <w:pPr>
              <w:rPr>
                <w:rFonts w:ascii="Verdana" w:hAnsi="Verdana"/>
                <w:sz w:val="18"/>
                <w:szCs w:val="18"/>
              </w:rPr>
            </w:pPr>
            <w:r w:rsidRPr="000864AE">
              <w:rPr>
                <w:rFonts w:ascii="Verdana" w:hAnsi="Verdana"/>
                <w:sz w:val="18"/>
                <w:szCs w:val="18"/>
              </w:rPr>
              <w:t>Berrocal Barraza Nelly</w:t>
            </w:r>
          </w:p>
        </w:tc>
      </w:tr>
      <w:tr w:rsidR="00EA38F6" w:rsidRPr="000864AE" w14:paraId="536137BB" w14:textId="77777777" w:rsidTr="00AC0C51">
        <w:trPr>
          <w:trHeight w:val="300"/>
        </w:trPr>
        <w:tc>
          <w:tcPr>
            <w:tcW w:w="668" w:type="dxa"/>
            <w:vAlign w:val="center"/>
            <w:hideMark/>
          </w:tcPr>
          <w:p w14:paraId="190E5BEE"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79</w:t>
            </w:r>
          </w:p>
        </w:tc>
        <w:tc>
          <w:tcPr>
            <w:tcW w:w="3835" w:type="dxa"/>
            <w:vAlign w:val="center"/>
            <w:hideMark/>
          </w:tcPr>
          <w:p w14:paraId="56E968AA" w14:textId="77777777" w:rsidR="00EA38F6" w:rsidRPr="000864AE" w:rsidRDefault="00EA38F6" w:rsidP="000864AE">
            <w:pPr>
              <w:rPr>
                <w:rFonts w:ascii="Verdana" w:hAnsi="Verdana"/>
                <w:sz w:val="18"/>
                <w:szCs w:val="18"/>
              </w:rPr>
            </w:pPr>
            <w:r w:rsidRPr="000864AE">
              <w:rPr>
                <w:rFonts w:ascii="Verdana" w:hAnsi="Verdana"/>
                <w:sz w:val="18"/>
                <w:szCs w:val="18"/>
              </w:rPr>
              <w:t>Berrospi Trujillo José Santos</w:t>
            </w:r>
          </w:p>
        </w:tc>
      </w:tr>
      <w:tr w:rsidR="00EA38F6" w:rsidRPr="000864AE" w14:paraId="0D5026AD" w14:textId="77777777" w:rsidTr="00AC0C51">
        <w:trPr>
          <w:trHeight w:val="300"/>
        </w:trPr>
        <w:tc>
          <w:tcPr>
            <w:tcW w:w="668" w:type="dxa"/>
            <w:vAlign w:val="center"/>
            <w:hideMark/>
          </w:tcPr>
          <w:p w14:paraId="53A3EDBB"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80</w:t>
            </w:r>
          </w:p>
        </w:tc>
        <w:tc>
          <w:tcPr>
            <w:tcW w:w="3835" w:type="dxa"/>
            <w:vAlign w:val="center"/>
            <w:hideMark/>
          </w:tcPr>
          <w:p w14:paraId="52E3EEE2" w14:textId="77777777" w:rsidR="00EA38F6" w:rsidRPr="000864AE" w:rsidRDefault="00EA38F6" w:rsidP="000864AE">
            <w:pPr>
              <w:rPr>
                <w:rFonts w:ascii="Verdana" w:hAnsi="Verdana"/>
                <w:sz w:val="18"/>
                <w:szCs w:val="18"/>
              </w:rPr>
            </w:pPr>
            <w:r w:rsidRPr="000864AE">
              <w:rPr>
                <w:rFonts w:ascii="Verdana" w:hAnsi="Verdana"/>
                <w:sz w:val="18"/>
                <w:szCs w:val="18"/>
              </w:rPr>
              <w:t>Blas Navarro José Daniel</w:t>
            </w:r>
          </w:p>
        </w:tc>
      </w:tr>
      <w:tr w:rsidR="00EA38F6" w:rsidRPr="000864AE" w14:paraId="265B05A4" w14:textId="77777777" w:rsidTr="00AC0C51">
        <w:trPr>
          <w:trHeight w:val="300"/>
        </w:trPr>
        <w:tc>
          <w:tcPr>
            <w:tcW w:w="668" w:type="dxa"/>
            <w:vAlign w:val="center"/>
            <w:hideMark/>
          </w:tcPr>
          <w:p w14:paraId="56E874C4"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81</w:t>
            </w:r>
          </w:p>
        </w:tc>
        <w:tc>
          <w:tcPr>
            <w:tcW w:w="3835" w:type="dxa"/>
            <w:vAlign w:val="center"/>
            <w:hideMark/>
          </w:tcPr>
          <w:p w14:paraId="2ED46CB4" w14:textId="77777777" w:rsidR="00EA38F6" w:rsidRPr="000864AE" w:rsidRDefault="00EA38F6" w:rsidP="000864AE">
            <w:pPr>
              <w:rPr>
                <w:rFonts w:ascii="Verdana" w:hAnsi="Verdana"/>
                <w:sz w:val="18"/>
                <w:szCs w:val="18"/>
              </w:rPr>
            </w:pPr>
            <w:r w:rsidRPr="000864AE">
              <w:rPr>
                <w:rFonts w:ascii="Verdana" w:hAnsi="Verdana"/>
                <w:sz w:val="18"/>
                <w:szCs w:val="18"/>
              </w:rPr>
              <w:t>Bobadilla Rojas Nélida Zenaida</w:t>
            </w:r>
          </w:p>
        </w:tc>
      </w:tr>
      <w:tr w:rsidR="00EA38F6" w:rsidRPr="000864AE" w14:paraId="655385CC" w14:textId="77777777" w:rsidTr="00AC0C51">
        <w:trPr>
          <w:trHeight w:val="300"/>
        </w:trPr>
        <w:tc>
          <w:tcPr>
            <w:tcW w:w="668" w:type="dxa"/>
            <w:vAlign w:val="center"/>
            <w:hideMark/>
          </w:tcPr>
          <w:p w14:paraId="0CF42CAA"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82</w:t>
            </w:r>
          </w:p>
        </w:tc>
        <w:tc>
          <w:tcPr>
            <w:tcW w:w="3835" w:type="dxa"/>
            <w:vAlign w:val="center"/>
            <w:hideMark/>
          </w:tcPr>
          <w:p w14:paraId="0E621F32" w14:textId="77777777" w:rsidR="00EA38F6" w:rsidRPr="000864AE" w:rsidRDefault="00EA38F6" w:rsidP="000864AE">
            <w:pPr>
              <w:rPr>
                <w:rFonts w:ascii="Verdana" w:hAnsi="Verdana"/>
                <w:sz w:val="18"/>
                <w:szCs w:val="18"/>
              </w:rPr>
            </w:pPr>
            <w:r w:rsidRPr="000864AE">
              <w:rPr>
                <w:rFonts w:ascii="Verdana" w:hAnsi="Verdana"/>
                <w:sz w:val="18"/>
                <w:szCs w:val="18"/>
              </w:rPr>
              <w:t>Bonilla Gavino Eudora</w:t>
            </w:r>
          </w:p>
        </w:tc>
      </w:tr>
      <w:tr w:rsidR="00EA38F6" w:rsidRPr="000864AE" w14:paraId="4A5E613D" w14:textId="77777777" w:rsidTr="00AC0C51">
        <w:trPr>
          <w:trHeight w:val="300"/>
        </w:trPr>
        <w:tc>
          <w:tcPr>
            <w:tcW w:w="668" w:type="dxa"/>
            <w:vAlign w:val="center"/>
            <w:hideMark/>
          </w:tcPr>
          <w:p w14:paraId="5040CBA2"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83</w:t>
            </w:r>
          </w:p>
        </w:tc>
        <w:tc>
          <w:tcPr>
            <w:tcW w:w="3835" w:type="dxa"/>
            <w:vAlign w:val="center"/>
            <w:hideMark/>
          </w:tcPr>
          <w:p w14:paraId="60D0EE9A" w14:textId="77777777" w:rsidR="00EA38F6" w:rsidRPr="000864AE" w:rsidRDefault="00EA38F6" w:rsidP="000864AE">
            <w:pPr>
              <w:rPr>
                <w:rFonts w:ascii="Verdana" w:hAnsi="Verdana"/>
                <w:sz w:val="18"/>
                <w:szCs w:val="18"/>
              </w:rPr>
            </w:pPr>
            <w:r w:rsidRPr="000864AE">
              <w:rPr>
                <w:rFonts w:ascii="Verdana" w:hAnsi="Verdana"/>
                <w:sz w:val="18"/>
                <w:szCs w:val="18"/>
              </w:rPr>
              <w:t>Bravo Falcón Patricio</w:t>
            </w:r>
          </w:p>
        </w:tc>
      </w:tr>
      <w:tr w:rsidR="00EA38F6" w:rsidRPr="000864AE" w14:paraId="42828FA2" w14:textId="77777777" w:rsidTr="00AC0C51">
        <w:trPr>
          <w:trHeight w:val="300"/>
        </w:trPr>
        <w:tc>
          <w:tcPr>
            <w:tcW w:w="668" w:type="dxa"/>
            <w:vAlign w:val="center"/>
            <w:hideMark/>
          </w:tcPr>
          <w:p w14:paraId="21C52C17"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84</w:t>
            </w:r>
          </w:p>
        </w:tc>
        <w:tc>
          <w:tcPr>
            <w:tcW w:w="3835" w:type="dxa"/>
            <w:vAlign w:val="center"/>
            <w:hideMark/>
          </w:tcPr>
          <w:p w14:paraId="24393A69" w14:textId="77777777" w:rsidR="00EA38F6" w:rsidRPr="000864AE" w:rsidRDefault="00EA38F6" w:rsidP="000864AE">
            <w:pPr>
              <w:rPr>
                <w:rFonts w:ascii="Verdana" w:hAnsi="Verdana"/>
                <w:sz w:val="18"/>
                <w:szCs w:val="18"/>
              </w:rPr>
            </w:pPr>
            <w:r w:rsidRPr="000864AE">
              <w:rPr>
                <w:rFonts w:ascii="Verdana" w:hAnsi="Verdana"/>
                <w:sz w:val="18"/>
                <w:szCs w:val="18"/>
              </w:rPr>
              <w:t>Bravo Hermoza José Arnaldo</w:t>
            </w:r>
          </w:p>
        </w:tc>
      </w:tr>
      <w:tr w:rsidR="00EA38F6" w:rsidRPr="000864AE" w14:paraId="4AC9919F" w14:textId="77777777" w:rsidTr="00AC0C51">
        <w:trPr>
          <w:trHeight w:val="300"/>
        </w:trPr>
        <w:tc>
          <w:tcPr>
            <w:tcW w:w="668" w:type="dxa"/>
            <w:vAlign w:val="center"/>
            <w:hideMark/>
          </w:tcPr>
          <w:p w14:paraId="25CD0A40"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85</w:t>
            </w:r>
          </w:p>
        </w:tc>
        <w:tc>
          <w:tcPr>
            <w:tcW w:w="3835" w:type="dxa"/>
            <w:vAlign w:val="center"/>
            <w:hideMark/>
          </w:tcPr>
          <w:p w14:paraId="460F0F45" w14:textId="77777777" w:rsidR="00EA38F6" w:rsidRPr="000864AE" w:rsidRDefault="00EA38F6" w:rsidP="000864AE">
            <w:pPr>
              <w:rPr>
                <w:rFonts w:ascii="Verdana" w:hAnsi="Verdana"/>
                <w:sz w:val="18"/>
                <w:szCs w:val="18"/>
              </w:rPr>
            </w:pPr>
            <w:r w:rsidRPr="000864AE">
              <w:rPr>
                <w:rFonts w:ascii="Verdana" w:hAnsi="Verdana"/>
                <w:sz w:val="18"/>
                <w:szCs w:val="18"/>
              </w:rPr>
              <w:t>Bringas Rodríguez Oscar Alberto</w:t>
            </w:r>
          </w:p>
        </w:tc>
      </w:tr>
      <w:tr w:rsidR="00EA38F6" w:rsidRPr="000864AE" w14:paraId="27A63DA8" w14:textId="77777777" w:rsidTr="00AC0C51">
        <w:trPr>
          <w:trHeight w:val="300"/>
        </w:trPr>
        <w:tc>
          <w:tcPr>
            <w:tcW w:w="668" w:type="dxa"/>
            <w:vAlign w:val="center"/>
            <w:hideMark/>
          </w:tcPr>
          <w:p w14:paraId="31E46C83"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86</w:t>
            </w:r>
          </w:p>
        </w:tc>
        <w:tc>
          <w:tcPr>
            <w:tcW w:w="3835" w:type="dxa"/>
            <w:vAlign w:val="center"/>
            <w:hideMark/>
          </w:tcPr>
          <w:p w14:paraId="232398B6" w14:textId="77777777" w:rsidR="00EA38F6" w:rsidRPr="000864AE" w:rsidRDefault="00EA38F6" w:rsidP="000864AE">
            <w:pPr>
              <w:rPr>
                <w:rFonts w:ascii="Verdana" w:hAnsi="Verdana"/>
                <w:sz w:val="18"/>
                <w:szCs w:val="18"/>
              </w:rPr>
            </w:pPr>
            <w:r w:rsidRPr="000864AE">
              <w:rPr>
                <w:rFonts w:ascii="Verdana" w:hAnsi="Verdana"/>
                <w:sz w:val="18"/>
                <w:szCs w:val="18"/>
              </w:rPr>
              <w:t>Broncano Vega Pedro Hernán</w:t>
            </w:r>
          </w:p>
        </w:tc>
      </w:tr>
      <w:tr w:rsidR="00EA38F6" w:rsidRPr="000864AE" w14:paraId="06716438" w14:textId="77777777" w:rsidTr="00AC0C51">
        <w:trPr>
          <w:trHeight w:val="300"/>
        </w:trPr>
        <w:tc>
          <w:tcPr>
            <w:tcW w:w="668" w:type="dxa"/>
            <w:vAlign w:val="center"/>
            <w:hideMark/>
          </w:tcPr>
          <w:p w14:paraId="2F983112"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87</w:t>
            </w:r>
          </w:p>
        </w:tc>
        <w:tc>
          <w:tcPr>
            <w:tcW w:w="3835" w:type="dxa"/>
            <w:vAlign w:val="center"/>
            <w:hideMark/>
          </w:tcPr>
          <w:p w14:paraId="7C9F4D9C" w14:textId="77777777" w:rsidR="00EA38F6" w:rsidRPr="000864AE" w:rsidRDefault="00EA38F6" w:rsidP="000864AE">
            <w:pPr>
              <w:rPr>
                <w:rFonts w:ascii="Verdana" w:hAnsi="Verdana"/>
                <w:sz w:val="18"/>
                <w:szCs w:val="18"/>
              </w:rPr>
            </w:pPr>
            <w:r w:rsidRPr="000864AE">
              <w:rPr>
                <w:rFonts w:ascii="Verdana" w:hAnsi="Verdana"/>
                <w:sz w:val="18"/>
                <w:szCs w:val="18"/>
              </w:rPr>
              <w:t>Bueno Bedregal Adrián Emigdio</w:t>
            </w:r>
          </w:p>
        </w:tc>
      </w:tr>
      <w:tr w:rsidR="00EA38F6" w:rsidRPr="000864AE" w14:paraId="4DA4A2D9" w14:textId="77777777" w:rsidTr="00AC0C51">
        <w:trPr>
          <w:trHeight w:val="300"/>
        </w:trPr>
        <w:tc>
          <w:tcPr>
            <w:tcW w:w="668" w:type="dxa"/>
            <w:vAlign w:val="center"/>
            <w:hideMark/>
          </w:tcPr>
          <w:p w14:paraId="471E6646"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88</w:t>
            </w:r>
          </w:p>
        </w:tc>
        <w:tc>
          <w:tcPr>
            <w:tcW w:w="3835" w:type="dxa"/>
            <w:vAlign w:val="center"/>
            <w:hideMark/>
          </w:tcPr>
          <w:p w14:paraId="74467287" w14:textId="77777777" w:rsidR="00EA38F6" w:rsidRPr="000864AE" w:rsidRDefault="00EA38F6" w:rsidP="000864AE">
            <w:pPr>
              <w:rPr>
                <w:rFonts w:ascii="Verdana" w:hAnsi="Verdana"/>
                <w:sz w:val="18"/>
                <w:szCs w:val="18"/>
              </w:rPr>
            </w:pPr>
            <w:r w:rsidRPr="000864AE">
              <w:rPr>
                <w:rFonts w:ascii="Verdana" w:hAnsi="Verdana"/>
                <w:sz w:val="18"/>
                <w:szCs w:val="18"/>
              </w:rPr>
              <w:t>Bustamante Fernández Ramón René</w:t>
            </w:r>
          </w:p>
        </w:tc>
      </w:tr>
      <w:tr w:rsidR="00EA38F6" w:rsidRPr="000864AE" w14:paraId="2727113C" w14:textId="77777777" w:rsidTr="00AC0C51">
        <w:trPr>
          <w:trHeight w:val="300"/>
        </w:trPr>
        <w:tc>
          <w:tcPr>
            <w:tcW w:w="668" w:type="dxa"/>
            <w:vAlign w:val="center"/>
            <w:hideMark/>
          </w:tcPr>
          <w:p w14:paraId="400837C6"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89</w:t>
            </w:r>
          </w:p>
        </w:tc>
        <w:tc>
          <w:tcPr>
            <w:tcW w:w="3835" w:type="dxa"/>
            <w:vAlign w:val="center"/>
            <w:hideMark/>
          </w:tcPr>
          <w:p w14:paraId="165071B6" w14:textId="77777777" w:rsidR="00EA38F6" w:rsidRPr="000864AE" w:rsidRDefault="00EA38F6" w:rsidP="000864AE">
            <w:pPr>
              <w:rPr>
                <w:rFonts w:ascii="Verdana" w:hAnsi="Verdana"/>
                <w:sz w:val="18"/>
                <w:szCs w:val="18"/>
              </w:rPr>
            </w:pPr>
            <w:r w:rsidRPr="000864AE">
              <w:rPr>
                <w:rFonts w:ascii="Verdana" w:hAnsi="Verdana"/>
                <w:sz w:val="18"/>
                <w:szCs w:val="18"/>
              </w:rPr>
              <w:t>Cabrera Landeo María Consuelo</w:t>
            </w:r>
          </w:p>
        </w:tc>
      </w:tr>
      <w:tr w:rsidR="00EA38F6" w:rsidRPr="000864AE" w14:paraId="7AB3995C" w14:textId="77777777" w:rsidTr="00AC0C51">
        <w:trPr>
          <w:trHeight w:val="300"/>
        </w:trPr>
        <w:tc>
          <w:tcPr>
            <w:tcW w:w="668" w:type="dxa"/>
            <w:vAlign w:val="center"/>
            <w:hideMark/>
          </w:tcPr>
          <w:p w14:paraId="20CCF487"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90</w:t>
            </w:r>
          </w:p>
        </w:tc>
        <w:tc>
          <w:tcPr>
            <w:tcW w:w="3835" w:type="dxa"/>
            <w:vAlign w:val="center"/>
            <w:hideMark/>
          </w:tcPr>
          <w:p w14:paraId="71CDAEB0" w14:textId="77777777" w:rsidR="00EA38F6" w:rsidRPr="000864AE" w:rsidRDefault="00EA38F6" w:rsidP="000864AE">
            <w:pPr>
              <w:rPr>
                <w:rFonts w:ascii="Verdana" w:hAnsi="Verdana"/>
                <w:sz w:val="18"/>
                <w:szCs w:val="18"/>
              </w:rPr>
            </w:pPr>
            <w:r w:rsidRPr="000864AE">
              <w:rPr>
                <w:rFonts w:ascii="Verdana" w:hAnsi="Verdana"/>
                <w:sz w:val="18"/>
                <w:szCs w:val="18"/>
              </w:rPr>
              <w:t>Cáceres Peláez Sonia Eva</w:t>
            </w:r>
          </w:p>
        </w:tc>
      </w:tr>
      <w:tr w:rsidR="00EA38F6" w:rsidRPr="000864AE" w14:paraId="630876AC" w14:textId="77777777" w:rsidTr="00AC0C51">
        <w:trPr>
          <w:trHeight w:val="300"/>
        </w:trPr>
        <w:tc>
          <w:tcPr>
            <w:tcW w:w="668" w:type="dxa"/>
            <w:vAlign w:val="center"/>
            <w:hideMark/>
          </w:tcPr>
          <w:p w14:paraId="570F4F56"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91</w:t>
            </w:r>
          </w:p>
        </w:tc>
        <w:tc>
          <w:tcPr>
            <w:tcW w:w="3835" w:type="dxa"/>
            <w:vAlign w:val="center"/>
            <w:hideMark/>
          </w:tcPr>
          <w:p w14:paraId="01638C42" w14:textId="77777777" w:rsidR="00EA38F6" w:rsidRPr="000864AE" w:rsidRDefault="00EA38F6" w:rsidP="000864AE">
            <w:pPr>
              <w:rPr>
                <w:rFonts w:ascii="Verdana" w:hAnsi="Verdana"/>
                <w:sz w:val="18"/>
                <w:szCs w:val="18"/>
              </w:rPr>
            </w:pPr>
            <w:r w:rsidRPr="000864AE">
              <w:rPr>
                <w:rFonts w:ascii="Verdana" w:hAnsi="Verdana"/>
                <w:sz w:val="18"/>
                <w:szCs w:val="18"/>
              </w:rPr>
              <w:t>Cáceres Salazar Rosa Elvira</w:t>
            </w:r>
          </w:p>
        </w:tc>
      </w:tr>
      <w:tr w:rsidR="00EA38F6" w:rsidRPr="000864AE" w14:paraId="07AF61CD" w14:textId="77777777" w:rsidTr="00AC0C51">
        <w:trPr>
          <w:trHeight w:val="300"/>
        </w:trPr>
        <w:tc>
          <w:tcPr>
            <w:tcW w:w="668" w:type="dxa"/>
            <w:vAlign w:val="center"/>
            <w:hideMark/>
          </w:tcPr>
          <w:p w14:paraId="56BD9540"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92</w:t>
            </w:r>
          </w:p>
        </w:tc>
        <w:tc>
          <w:tcPr>
            <w:tcW w:w="3835" w:type="dxa"/>
            <w:vAlign w:val="center"/>
            <w:hideMark/>
          </w:tcPr>
          <w:p w14:paraId="4213ABB7" w14:textId="77777777" w:rsidR="00EA38F6" w:rsidRPr="000864AE" w:rsidRDefault="00EA38F6" w:rsidP="000864AE">
            <w:pPr>
              <w:rPr>
                <w:rFonts w:ascii="Verdana" w:hAnsi="Verdana"/>
                <w:sz w:val="18"/>
                <w:szCs w:val="18"/>
              </w:rPr>
            </w:pPr>
            <w:r w:rsidRPr="000864AE">
              <w:rPr>
                <w:rFonts w:ascii="Verdana" w:hAnsi="Verdana"/>
                <w:sz w:val="18"/>
                <w:szCs w:val="18"/>
              </w:rPr>
              <w:t>Calderón Matta Luisa Amelia</w:t>
            </w:r>
          </w:p>
        </w:tc>
      </w:tr>
      <w:tr w:rsidR="00EA38F6" w:rsidRPr="000864AE" w14:paraId="43558CD2" w14:textId="77777777" w:rsidTr="00AC0C51">
        <w:trPr>
          <w:trHeight w:val="300"/>
        </w:trPr>
        <w:tc>
          <w:tcPr>
            <w:tcW w:w="668" w:type="dxa"/>
            <w:vAlign w:val="center"/>
            <w:hideMark/>
          </w:tcPr>
          <w:p w14:paraId="6E47B289"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93</w:t>
            </w:r>
          </w:p>
        </w:tc>
        <w:tc>
          <w:tcPr>
            <w:tcW w:w="3835" w:type="dxa"/>
            <w:vAlign w:val="center"/>
            <w:hideMark/>
          </w:tcPr>
          <w:p w14:paraId="4F993365" w14:textId="77777777" w:rsidR="00EA38F6" w:rsidRPr="000864AE" w:rsidRDefault="00EA38F6" w:rsidP="000864AE">
            <w:pPr>
              <w:rPr>
                <w:rFonts w:ascii="Verdana" w:hAnsi="Verdana"/>
                <w:sz w:val="18"/>
                <w:szCs w:val="18"/>
              </w:rPr>
            </w:pPr>
            <w:r w:rsidRPr="000864AE">
              <w:rPr>
                <w:rFonts w:ascii="Verdana" w:hAnsi="Verdana"/>
                <w:sz w:val="18"/>
                <w:szCs w:val="18"/>
              </w:rPr>
              <w:t>Camino Williams María Carlota</w:t>
            </w:r>
          </w:p>
        </w:tc>
      </w:tr>
      <w:tr w:rsidR="00EA38F6" w:rsidRPr="000864AE" w14:paraId="57A9E666" w14:textId="77777777" w:rsidTr="00AC0C51">
        <w:trPr>
          <w:trHeight w:val="300"/>
        </w:trPr>
        <w:tc>
          <w:tcPr>
            <w:tcW w:w="668" w:type="dxa"/>
            <w:vAlign w:val="center"/>
            <w:hideMark/>
          </w:tcPr>
          <w:p w14:paraId="44083A0B"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94</w:t>
            </w:r>
          </w:p>
        </w:tc>
        <w:tc>
          <w:tcPr>
            <w:tcW w:w="3835" w:type="dxa"/>
            <w:vAlign w:val="center"/>
            <w:hideMark/>
          </w:tcPr>
          <w:p w14:paraId="0AA7851A" w14:textId="77777777" w:rsidR="00EA38F6" w:rsidRPr="000864AE" w:rsidRDefault="00EA38F6" w:rsidP="000864AE">
            <w:pPr>
              <w:rPr>
                <w:rFonts w:ascii="Verdana" w:hAnsi="Verdana"/>
                <w:sz w:val="18"/>
                <w:szCs w:val="18"/>
              </w:rPr>
            </w:pPr>
            <w:r w:rsidRPr="000864AE">
              <w:rPr>
                <w:rFonts w:ascii="Verdana" w:hAnsi="Verdana"/>
                <w:sz w:val="18"/>
                <w:szCs w:val="18"/>
              </w:rPr>
              <w:t>Campos Serpa Oscar</w:t>
            </w:r>
          </w:p>
        </w:tc>
      </w:tr>
      <w:tr w:rsidR="00EA38F6" w:rsidRPr="000864AE" w14:paraId="0DC073AF" w14:textId="77777777" w:rsidTr="00AC0C51">
        <w:trPr>
          <w:trHeight w:val="300"/>
        </w:trPr>
        <w:tc>
          <w:tcPr>
            <w:tcW w:w="668" w:type="dxa"/>
            <w:vAlign w:val="center"/>
            <w:hideMark/>
          </w:tcPr>
          <w:p w14:paraId="2BF8BA7C"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95</w:t>
            </w:r>
          </w:p>
        </w:tc>
        <w:tc>
          <w:tcPr>
            <w:tcW w:w="3835" w:type="dxa"/>
            <w:vAlign w:val="center"/>
            <w:hideMark/>
          </w:tcPr>
          <w:p w14:paraId="00170250" w14:textId="77777777" w:rsidR="00EA38F6" w:rsidRPr="000864AE" w:rsidRDefault="00EA38F6" w:rsidP="000864AE">
            <w:pPr>
              <w:rPr>
                <w:rFonts w:ascii="Verdana" w:hAnsi="Verdana"/>
                <w:sz w:val="18"/>
                <w:szCs w:val="18"/>
              </w:rPr>
            </w:pPr>
            <w:r w:rsidRPr="000864AE">
              <w:rPr>
                <w:rFonts w:ascii="Verdana" w:hAnsi="Verdana"/>
                <w:sz w:val="18"/>
                <w:szCs w:val="18"/>
              </w:rPr>
              <w:t>Campos Tapia Aníbal</w:t>
            </w:r>
          </w:p>
        </w:tc>
      </w:tr>
      <w:tr w:rsidR="00EA38F6" w:rsidRPr="000864AE" w14:paraId="4A533972" w14:textId="77777777" w:rsidTr="00AC0C51">
        <w:trPr>
          <w:trHeight w:val="300"/>
        </w:trPr>
        <w:tc>
          <w:tcPr>
            <w:tcW w:w="668" w:type="dxa"/>
            <w:vAlign w:val="center"/>
            <w:hideMark/>
          </w:tcPr>
          <w:p w14:paraId="2B22B208"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96</w:t>
            </w:r>
          </w:p>
        </w:tc>
        <w:tc>
          <w:tcPr>
            <w:tcW w:w="3835" w:type="dxa"/>
            <w:vAlign w:val="center"/>
            <w:hideMark/>
          </w:tcPr>
          <w:p w14:paraId="6D14998A" w14:textId="77777777" w:rsidR="00EA38F6" w:rsidRPr="000864AE" w:rsidRDefault="00EA38F6" w:rsidP="000864AE">
            <w:pPr>
              <w:rPr>
                <w:rFonts w:ascii="Verdana" w:hAnsi="Verdana"/>
                <w:sz w:val="18"/>
                <w:szCs w:val="18"/>
              </w:rPr>
            </w:pPr>
            <w:r w:rsidRPr="000864AE">
              <w:rPr>
                <w:rFonts w:ascii="Verdana" w:hAnsi="Verdana"/>
                <w:sz w:val="18"/>
                <w:szCs w:val="18"/>
              </w:rPr>
              <w:t>Canales Daños Rosa Mercedes</w:t>
            </w:r>
          </w:p>
        </w:tc>
      </w:tr>
      <w:tr w:rsidR="00EA38F6" w:rsidRPr="000864AE" w14:paraId="1937CB8F" w14:textId="77777777" w:rsidTr="00AC0C51">
        <w:trPr>
          <w:trHeight w:val="300"/>
        </w:trPr>
        <w:tc>
          <w:tcPr>
            <w:tcW w:w="668" w:type="dxa"/>
            <w:vAlign w:val="center"/>
            <w:hideMark/>
          </w:tcPr>
          <w:p w14:paraId="75CF9D0F"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97</w:t>
            </w:r>
          </w:p>
        </w:tc>
        <w:tc>
          <w:tcPr>
            <w:tcW w:w="3835" w:type="dxa"/>
            <w:vAlign w:val="center"/>
            <w:hideMark/>
          </w:tcPr>
          <w:p w14:paraId="38C92FB4" w14:textId="77777777" w:rsidR="00EA38F6" w:rsidRPr="000864AE" w:rsidRDefault="00EA38F6" w:rsidP="000864AE">
            <w:pPr>
              <w:rPr>
                <w:rFonts w:ascii="Verdana" w:hAnsi="Verdana"/>
                <w:sz w:val="18"/>
                <w:szCs w:val="18"/>
              </w:rPr>
            </w:pPr>
            <w:r w:rsidRPr="000864AE">
              <w:rPr>
                <w:rFonts w:ascii="Verdana" w:hAnsi="Verdana"/>
                <w:sz w:val="18"/>
                <w:szCs w:val="18"/>
              </w:rPr>
              <w:t>Canchaya Camacho Margarita</w:t>
            </w:r>
          </w:p>
        </w:tc>
      </w:tr>
      <w:tr w:rsidR="00EA38F6" w:rsidRPr="000864AE" w14:paraId="70A44A91" w14:textId="77777777" w:rsidTr="00AC0C51">
        <w:trPr>
          <w:trHeight w:val="300"/>
        </w:trPr>
        <w:tc>
          <w:tcPr>
            <w:tcW w:w="668" w:type="dxa"/>
            <w:vAlign w:val="center"/>
            <w:hideMark/>
          </w:tcPr>
          <w:p w14:paraId="0C88E526"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98</w:t>
            </w:r>
          </w:p>
        </w:tc>
        <w:tc>
          <w:tcPr>
            <w:tcW w:w="3835" w:type="dxa"/>
            <w:vAlign w:val="center"/>
            <w:hideMark/>
          </w:tcPr>
          <w:p w14:paraId="7ACB9F1E" w14:textId="77777777" w:rsidR="00EA38F6" w:rsidRPr="000864AE" w:rsidRDefault="00EA38F6" w:rsidP="000864AE">
            <w:pPr>
              <w:rPr>
                <w:rFonts w:ascii="Verdana" w:hAnsi="Verdana"/>
                <w:sz w:val="18"/>
                <w:szCs w:val="18"/>
              </w:rPr>
            </w:pPr>
            <w:r w:rsidRPr="000864AE">
              <w:rPr>
                <w:rFonts w:ascii="Verdana" w:hAnsi="Verdana"/>
                <w:sz w:val="18"/>
                <w:szCs w:val="18"/>
              </w:rPr>
              <w:t>Canchaya Camacho Virgilio Raúl</w:t>
            </w:r>
          </w:p>
        </w:tc>
      </w:tr>
      <w:tr w:rsidR="00EA38F6" w:rsidRPr="000864AE" w14:paraId="05271CE5" w14:textId="77777777" w:rsidTr="00AC0C51">
        <w:trPr>
          <w:trHeight w:val="300"/>
        </w:trPr>
        <w:tc>
          <w:tcPr>
            <w:tcW w:w="668" w:type="dxa"/>
            <w:vAlign w:val="center"/>
            <w:hideMark/>
          </w:tcPr>
          <w:p w14:paraId="69CD8280"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99</w:t>
            </w:r>
          </w:p>
        </w:tc>
        <w:tc>
          <w:tcPr>
            <w:tcW w:w="3835" w:type="dxa"/>
            <w:vAlign w:val="center"/>
            <w:hideMark/>
          </w:tcPr>
          <w:p w14:paraId="0C146303" w14:textId="77777777" w:rsidR="00EA38F6" w:rsidRPr="000864AE" w:rsidRDefault="00EA38F6" w:rsidP="000864AE">
            <w:pPr>
              <w:rPr>
                <w:rFonts w:ascii="Verdana" w:hAnsi="Verdana"/>
                <w:sz w:val="18"/>
                <w:szCs w:val="18"/>
              </w:rPr>
            </w:pPr>
            <w:r w:rsidRPr="000864AE">
              <w:rPr>
                <w:rFonts w:ascii="Verdana" w:hAnsi="Verdana"/>
                <w:sz w:val="18"/>
                <w:szCs w:val="18"/>
              </w:rPr>
              <w:t>Candela Lévano Luisa Aurora</w:t>
            </w:r>
          </w:p>
        </w:tc>
      </w:tr>
      <w:tr w:rsidR="00EA38F6" w:rsidRPr="000864AE" w14:paraId="0BDE459C" w14:textId="77777777" w:rsidTr="00AC0C51">
        <w:trPr>
          <w:trHeight w:val="300"/>
        </w:trPr>
        <w:tc>
          <w:tcPr>
            <w:tcW w:w="668" w:type="dxa"/>
            <w:vAlign w:val="center"/>
            <w:hideMark/>
          </w:tcPr>
          <w:p w14:paraId="488C3683"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100</w:t>
            </w:r>
          </w:p>
        </w:tc>
        <w:tc>
          <w:tcPr>
            <w:tcW w:w="3835" w:type="dxa"/>
            <w:vAlign w:val="center"/>
            <w:hideMark/>
          </w:tcPr>
          <w:p w14:paraId="461417B5" w14:textId="77777777" w:rsidR="00EA38F6" w:rsidRPr="000864AE" w:rsidRDefault="00EA38F6" w:rsidP="000864AE">
            <w:pPr>
              <w:rPr>
                <w:rFonts w:ascii="Verdana" w:hAnsi="Verdana"/>
                <w:sz w:val="18"/>
                <w:szCs w:val="18"/>
              </w:rPr>
            </w:pPr>
            <w:r w:rsidRPr="000864AE">
              <w:rPr>
                <w:rFonts w:ascii="Verdana" w:hAnsi="Verdana"/>
                <w:sz w:val="18"/>
                <w:szCs w:val="18"/>
              </w:rPr>
              <w:t>Candela Lévano Víctor Alfredo</w:t>
            </w:r>
          </w:p>
        </w:tc>
      </w:tr>
      <w:tr w:rsidR="00EA38F6" w:rsidRPr="000864AE" w14:paraId="0944FA05" w14:textId="77777777" w:rsidTr="00AC0C51">
        <w:trPr>
          <w:trHeight w:val="300"/>
        </w:trPr>
        <w:tc>
          <w:tcPr>
            <w:tcW w:w="668" w:type="dxa"/>
            <w:vAlign w:val="center"/>
            <w:hideMark/>
          </w:tcPr>
          <w:p w14:paraId="692136C1"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101</w:t>
            </w:r>
          </w:p>
        </w:tc>
        <w:tc>
          <w:tcPr>
            <w:tcW w:w="3835" w:type="dxa"/>
            <w:vAlign w:val="center"/>
            <w:hideMark/>
          </w:tcPr>
          <w:p w14:paraId="3A3E7616" w14:textId="77777777" w:rsidR="00EA38F6" w:rsidRPr="000864AE" w:rsidRDefault="00EA38F6" w:rsidP="000864AE">
            <w:pPr>
              <w:rPr>
                <w:rFonts w:ascii="Verdana" w:hAnsi="Verdana"/>
                <w:sz w:val="18"/>
                <w:szCs w:val="18"/>
              </w:rPr>
            </w:pPr>
            <w:r w:rsidRPr="000864AE">
              <w:rPr>
                <w:rFonts w:ascii="Verdana" w:hAnsi="Verdana"/>
                <w:sz w:val="18"/>
                <w:szCs w:val="18"/>
              </w:rPr>
              <w:t>Capuñay Martínez Carlos</w:t>
            </w:r>
          </w:p>
        </w:tc>
      </w:tr>
      <w:tr w:rsidR="00EA38F6" w:rsidRPr="000864AE" w14:paraId="6406AC32" w14:textId="77777777" w:rsidTr="00AC0C51">
        <w:trPr>
          <w:trHeight w:val="300"/>
        </w:trPr>
        <w:tc>
          <w:tcPr>
            <w:tcW w:w="668" w:type="dxa"/>
            <w:vAlign w:val="center"/>
            <w:hideMark/>
          </w:tcPr>
          <w:p w14:paraId="363844FE"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102</w:t>
            </w:r>
          </w:p>
        </w:tc>
        <w:tc>
          <w:tcPr>
            <w:tcW w:w="3835" w:type="dxa"/>
            <w:vAlign w:val="center"/>
            <w:hideMark/>
          </w:tcPr>
          <w:p w14:paraId="27BBA070" w14:textId="77777777" w:rsidR="00EA38F6" w:rsidRPr="000864AE" w:rsidRDefault="00EA38F6" w:rsidP="000864AE">
            <w:pPr>
              <w:rPr>
                <w:rFonts w:ascii="Verdana" w:hAnsi="Verdana"/>
                <w:sz w:val="18"/>
                <w:szCs w:val="18"/>
              </w:rPr>
            </w:pPr>
            <w:r w:rsidRPr="000864AE">
              <w:rPr>
                <w:rFonts w:ascii="Verdana" w:hAnsi="Verdana"/>
                <w:sz w:val="18"/>
                <w:szCs w:val="18"/>
              </w:rPr>
              <w:t>Carmona Raez Cesar Teodoro</w:t>
            </w:r>
          </w:p>
        </w:tc>
      </w:tr>
      <w:tr w:rsidR="00EA38F6" w:rsidRPr="000864AE" w14:paraId="64B823E3" w14:textId="77777777" w:rsidTr="00AC0C51">
        <w:trPr>
          <w:trHeight w:val="300"/>
        </w:trPr>
        <w:tc>
          <w:tcPr>
            <w:tcW w:w="668" w:type="dxa"/>
            <w:vAlign w:val="center"/>
            <w:hideMark/>
          </w:tcPr>
          <w:p w14:paraId="6F08ED40"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103</w:t>
            </w:r>
          </w:p>
        </w:tc>
        <w:tc>
          <w:tcPr>
            <w:tcW w:w="3835" w:type="dxa"/>
            <w:vAlign w:val="center"/>
            <w:hideMark/>
          </w:tcPr>
          <w:p w14:paraId="4482B074" w14:textId="77777777" w:rsidR="00EA38F6" w:rsidRPr="000864AE" w:rsidRDefault="00EA38F6" w:rsidP="000864AE">
            <w:pPr>
              <w:rPr>
                <w:rFonts w:ascii="Verdana" w:hAnsi="Verdana"/>
                <w:sz w:val="18"/>
                <w:szCs w:val="18"/>
              </w:rPr>
            </w:pPr>
            <w:r w:rsidRPr="000864AE">
              <w:rPr>
                <w:rFonts w:ascii="Verdana" w:hAnsi="Verdana"/>
                <w:sz w:val="18"/>
                <w:szCs w:val="18"/>
              </w:rPr>
              <w:t>Carpio Chicoma Ketty María</w:t>
            </w:r>
          </w:p>
        </w:tc>
      </w:tr>
      <w:tr w:rsidR="00EA38F6" w:rsidRPr="000864AE" w14:paraId="4FD1599A" w14:textId="77777777" w:rsidTr="00AC0C51">
        <w:trPr>
          <w:trHeight w:val="300"/>
        </w:trPr>
        <w:tc>
          <w:tcPr>
            <w:tcW w:w="668" w:type="dxa"/>
            <w:vAlign w:val="center"/>
            <w:hideMark/>
          </w:tcPr>
          <w:p w14:paraId="07459BD4"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104</w:t>
            </w:r>
          </w:p>
        </w:tc>
        <w:tc>
          <w:tcPr>
            <w:tcW w:w="3835" w:type="dxa"/>
            <w:vAlign w:val="center"/>
            <w:hideMark/>
          </w:tcPr>
          <w:p w14:paraId="1477B7C2" w14:textId="77777777" w:rsidR="00EA38F6" w:rsidRPr="000864AE" w:rsidRDefault="00EA38F6" w:rsidP="000864AE">
            <w:pPr>
              <w:rPr>
                <w:rFonts w:ascii="Verdana" w:hAnsi="Verdana"/>
                <w:sz w:val="18"/>
                <w:szCs w:val="18"/>
              </w:rPr>
            </w:pPr>
            <w:r w:rsidRPr="000864AE">
              <w:rPr>
                <w:rFonts w:ascii="Verdana" w:hAnsi="Verdana"/>
                <w:sz w:val="18"/>
                <w:szCs w:val="18"/>
              </w:rPr>
              <w:t>Carranza Alfaro Constantino Percy</w:t>
            </w:r>
          </w:p>
        </w:tc>
      </w:tr>
      <w:tr w:rsidR="00EA38F6" w:rsidRPr="000864AE" w14:paraId="16313314" w14:textId="77777777" w:rsidTr="00AC0C51">
        <w:trPr>
          <w:trHeight w:val="300"/>
        </w:trPr>
        <w:tc>
          <w:tcPr>
            <w:tcW w:w="668" w:type="dxa"/>
            <w:vAlign w:val="center"/>
            <w:hideMark/>
          </w:tcPr>
          <w:p w14:paraId="2D6757C4"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105</w:t>
            </w:r>
          </w:p>
        </w:tc>
        <w:tc>
          <w:tcPr>
            <w:tcW w:w="3835" w:type="dxa"/>
            <w:vAlign w:val="center"/>
            <w:hideMark/>
          </w:tcPr>
          <w:p w14:paraId="709EC67A" w14:textId="77777777" w:rsidR="00EA38F6" w:rsidRPr="000864AE" w:rsidRDefault="00EA38F6" w:rsidP="000864AE">
            <w:pPr>
              <w:rPr>
                <w:rFonts w:ascii="Verdana" w:hAnsi="Verdana"/>
                <w:sz w:val="18"/>
                <w:szCs w:val="18"/>
              </w:rPr>
            </w:pPr>
            <w:r w:rsidRPr="000864AE">
              <w:rPr>
                <w:rFonts w:ascii="Verdana" w:hAnsi="Verdana"/>
                <w:sz w:val="18"/>
                <w:szCs w:val="18"/>
              </w:rPr>
              <w:t>Carranza Alfaro Magno Alejandro</w:t>
            </w:r>
          </w:p>
        </w:tc>
      </w:tr>
      <w:tr w:rsidR="00EA38F6" w:rsidRPr="000864AE" w14:paraId="46BDFCC8" w14:textId="77777777" w:rsidTr="00AC0C51">
        <w:trPr>
          <w:trHeight w:val="300"/>
        </w:trPr>
        <w:tc>
          <w:tcPr>
            <w:tcW w:w="668" w:type="dxa"/>
            <w:vAlign w:val="center"/>
            <w:hideMark/>
          </w:tcPr>
          <w:p w14:paraId="78814A5F"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106</w:t>
            </w:r>
          </w:p>
        </w:tc>
        <w:tc>
          <w:tcPr>
            <w:tcW w:w="3835" w:type="dxa"/>
            <w:vAlign w:val="center"/>
            <w:hideMark/>
          </w:tcPr>
          <w:p w14:paraId="130F22FD" w14:textId="77777777" w:rsidR="00EA38F6" w:rsidRPr="000864AE" w:rsidRDefault="00EA38F6" w:rsidP="000864AE">
            <w:pPr>
              <w:rPr>
                <w:rFonts w:ascii="Verdana" w:hAnsi="Verdana"/>
                <w:sz w:val="18"/>
                <w:szCs w:val="18"/>
              </w:rPr>
            </w:pPr>
            <w:r w:rsidRPr="000864AE">
              <w:rPr>
                <w:rFonts w:ascii="Verdana" w:hAnsi="Verdana"/>
                <w:sz w:val="18"/>
                <w:szCs w:val="18"/>
              </w:rPr>
              <w:t>Carranza Martínez Victoria Estela</w:t>
            </w:r>
          </w:p>
        </w:tc>
      </w:tr>
      <w:tr w:rsidR="00EA38F6" w:rsidRPr="000864AE" w14:paraId="1937F723" w14:textId="77777777" w:rsidTr="00AC0C51">
        <w:trPr>
          <w:trHeight w:val="300"/>
        </w:trPr>
        <w:tc>
          <w:tcPr>
            <w:tcW w:w="668" w:type="dxa"/>
            <w:vAlign w:val="center"/>
            <w:hideMark/>
          </w:tcPr>
          <w:p w14:paraId="01975954"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107</w:t>
            </w:r>
          </w:p>
        </w:tc>
        <w:tc>
          <w:tcPr>
            <w:tcW w:w="3835" w:type="dxa"/>
            <w:vAlign w:val="center"/>
            <w:hideMark/>
          </w:tcPr>
          <w:p w14:paraId="264AA8BC" w14:textId="77777777" w:rsidR="00EA38F6" w:rsidRPr="000864AE" w:rsidRDefault="00EA38F6" w:rsidP="000864AE">
            <w:pPr>
              <w:rPr>
                <w:rFonts w:ascii="Verdana" w:hAnsi="Verdana"/>
                <w:sz w:val="18"/>
                <w:szCs w:val="18"/>
              </w:rPr>
            </w:pPr>
            <w:r w:rsidRPr="000864AE">
              <w:rPr>
                <w:rFonts w:ascii="Verdana" w:hAnsi="Verdana"/>
                <w:sz w:val="18"/>
                <w:szCs w:val="18"/>
              </w:rPr>
              <w:t>Carranza Ulloa Javier Roberto</w:t>
            </w:r>
          </w:p>
        </w:tc>
      </w:tr>
      <w:tr w:rsidR="00EA38F6" w:rsidRPr="000864AE" w14:paraId="14DE2A41" w14:textId="77777777" w:rsidTr="00AC0C51">
        <w:trPr>
          <w:trHeight w:val="300"/>
        </w:trPr>
        <w:tc>
          <w:tcPr>
            <w:tcW w:w="668" w:type="dxa"/>
            <w:vAlign w:val="center"/>
            <w:hideMark/>
          </w:tcPr>
          <w:p w14:paraId="1310B998"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108</w:t>
            </w:r>
          </w:p>
        </w:tc>
        <w:tc>
          <w:tcPr>
            <w:tcW w:w="3835" w:type="dxa"/>
            <w:vAlign w:val="center"/>
            <w:hideMark/>
          </w:tcPr>
          <w:p w14:paraId="03ACBD13" w14:textId="77777777" w:rsidR="00EA38F6" w:rsidRPr="000864AE" w:rsidRDefault="00EA38F6" w:rsidP="000864AE">
            <w:pPr>
              <w:rPr>
                <w:rFonts w:ascii="Verdana" w:hAnsi="Verdana"/>
                <w:sz w:val="18"/>
                <w:szCs w:val="18"/>
              </w:rPr>
            </w:pPr>
            <w:r w:rsidRPr="000864AE">
              <w:rPr>
                <w:rFonts w:ascii="Verdana" w:hAnsi="Verdana"/>
                <w:sz w:val="18"/>
                <w:szCs w:val="18"/>
              </w:rPr>
              <w:t>Carrasco Ferrel Eloy</w:t>
            </w:r>
          </w:p>
        </w:tc>
      </w:tr>
      <w:tr w:rsidR="00EA38F6" w:rsidRPr="000864AE" w14:paraId="39668862" w14:textId="77777777" w:rsidTr="00AC0C51">
        <w:trPr>
          <w:trHeight w:val="300"/>
        </w:trPr>
        <w:tc>
          <w:tcPr>
            <w:tcW w:w="668" w:type="dxa"/>
            <w:vAlign w:val="center"/>
            <w:hideMark/>
          </w:tcPr>
          <w:p w14:paraId="2A07BF1E"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109</w:t>
            </w:r>
          </w:p>
        </w:tc>
        <w:tc>
          <w:tcPr>
            <w:tcW w:w="3835" w:type="dxa"/>
            <w:vAlign w:val="center"/>
            <w:hideMark/>
          </w:tcPr>
          <w:p w14:paraId="063BA646" w14:textId="77777777" w:rsidR="00EA38F6" w:rsidRPr="000864AE" w:rsidRDefault="00EA38F6" w:rsidP="000864AE">
            <w:pPr>
              <w:rPr>
                <w:rFonts w:ascii="Verdana" w:hAnsi="Verdana"/>
                <w:sz w:val="18"/>
                <w:szCs w:val="18"/>
              </w:rPr>
            </w:pPr>
            <w:r w:rsidRPr="000864AE">
              <w:rPr>
                <w:rFonts w:ascii="Verdana" w:hAnsi="Verdana"/>
                <w:sz w:val="18"/>
                <w:szCs w:val="18"/>
              </w:rPr>
              <w:t>Carrasco Orosco Jamblico Vicente</w:t>
            </w:r>
          </w:p>
        </w:tc>
      </w:tr>
      <w:tr w:rsidR="00EA38F6" w:rsidRPr="000864AE" w14:paraId="62C207B7" w14:textId="77777777" w:rsidTr="00AC0C51">
        <w:trPr>
          <w:trHeight w:val="300"/>
        </w:trPr>
        <w:tc>
          <w:tcPr>
            <w:tcW w:w="668" w:type="dxa"/>
            <w:vAlign w:val="center"/>
            <w:hideMark/>
          </w:tcPr>
          <w:p w14:paraId="2D8AFB98"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110</w:t>
            </w:r>
          </w:p>
        </w:tc>
        <w:tc>
          <w:tcPr>
            <w:tcW w:w="3835" w:type="dxa"/>
            <w:vAlign w:val="center"/>
            <w:hideMark/>
          </w:tcPr>
          <w:p w14:paraId="47E2CC3C" w14:textId="77777777" w:rsidR="00EA38F6" w:rsidRPr="000864AE" w:rsidRDefault="00EA38F6" w:rsidP="000864AE">
            <w:pPr>
              <w:rPr>
                <w:rFonts w:ascii="Verdana" w:hAnsi="Verdana"/>
                <w:sz w:val="18"/>
                <w:szCs w:val="18"/>
              </w:rPr>
            </w:pPr>
            <w:r w:rsidRPr="000864AE">
              <w:rPr>
                <w:rFonts w:ascii="Verdana" w:hAnsi="Verdana"/>
                <w:sz w:val="18"/>
                <w:szCs w:val="18"/>
              </w:rPr>
              <w:t>Carreño Llanos Judith Yolanda</w:t>
            </w:r>
          </w:p>
        </w:tc>
      </w:tr>
      <w:tr w:rsidR="00EA38F6" w:rsidRPr="000864AE" w14:paraId="318B4C20" w14:textId="77777777" w:rsidTr="00AC0C51">
        <w:trPr>
          <w:trHeight w:val="300"/>
        </w:trPr>
        <w:tc>
          <w:tcPr>
            <w:tcW w:w="668" w:type="dxa"/>
            <w:vAlign w:val="center"/>
            <w:hideMark/>
          </w:tcPr>
          <w:p w14:paraId="48AEE33A"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111</w:t>
            </w:r>
          </w:p>
        </w:tc>
        <w:tc>
          <w:tcPr>
            <w:tcW w:w="3835" w:type="dxa"/>
            <w:vAlign w:val="center"/>
            <w:hideMark/>
          </w:tcPr>
          <w:p w14:paraId="7850098D" w14:textId="77777777" w:rsidR="00EA38F6" w:rsidRPr="000864AE" w:rsidRDefault="00EA38F6" w:rsidP="000864AE">
            <w:pPr>
              <w:rPr>
                <w:rFonts w:ascii="Verdana" w:hAnsi="Verdana"/>
                <w:sz w:val="18"/>
                <w:szCs w:val="18"/>
              </w:rPr>
            </w:pPr>
            <w:r w:rsidRPr="000864AE">
              <w:rPr>
                <w:rFonts w:ascii="Verdana" w:hAnsi="Verdana"/>
                <w:sz w:val="18"/>
                <w:szCs w:val="18"/>
              </w:rPr>
              <w:t>Carreño Llanos Luisa Elizabeth</w:t>
            </w:r>
          </w:p>
        </w:tc>
      </w:tr>
      <w:tr w:rsidR="00EA38F6" w:rsidRPr="000864AE" w14:paraId="38206C8F" w14:textId="77777777" w:rsidTr="00AC0C51">
        <w:trPr>
          <w:trHeight w:val="300"/>
        </w:trPr>
        <w:tc>
          <w:tcPr>
            <w:tcW w:w="668" w:type="dxa"/>
            <w:vAlign w:val="center"/>
            <w:hideMark/>
          </w:tcPr>
          <w:p w14:paraId="47F442AA"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112</w:t>
            </w:r>
          </w:p>
        </w:tc>
        <w:tc>
          <w:tcPr>
            <w:tcW w:w="3835" w:type="dxa"/>
            <w:vAlign w:val="center"/>
            <w:hideMark/>
          </w:tcPr>
          <w:p w14:paraId="00AE41D6" w14:textId="77777777" w:rsidR="00EA38F6" w:rsidRPr="000864AE" w:rsidRDefault="00EA38F6" w:rsidP="000864AE">
            <w:pPr>
              <w:rPr>
                <w:rFonts w:ascii="Verdana" w:hAnsi="Verdana"/>
                <w:sz w:val="18"/>
                <w:szCs w:val="18"/>
              </w:rPr>
            </w:pPr>
            <w:r w:rsidRPr="000864AE">
              <w:rPr>
                <w:rFonts w:ascii="Verdana" w:hAnsi="Verdana"/>
                <w:sz w:val="18"/>
                <w:szCs w:val="18"/>
              </w:rPr>
              <w:t>Carreño Mosquera José Carmen</w:t>
            </w:r>
          </w:p>
        </w:tc>
      </w:tr>
      <w:tr w:rsidR="00EA38F6" w:rsidRPr="000864AE" w14:paraId="188DEEE4" w14:textId="77777777" w:rsidTr="00AC0C51">
        <w:trPr>
          <w:trHeight w:val="300"/>
        </w:trPr>
        <w:tc>
          <w:tcPr>
            <w:tcW w:w="668" w:type="dxa"/>
            <w:vAlign w:val="center"/>
            <w:hideMark/>
          </w:tcPr>
          <w:p w14:paraId="4EF17E2B"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113</w:t>
            </w:r>
          </w:p>
        </w:tc>
        <w:tc>
          <w:tcPr>
            <w:tcW w:w="3835" w:type="dxa"/>
            <w:vAlign w:val="center"/>
            <w:hideMark/>
          </w:tcPr>
          <w:p w14:paraId="21822338" w14:textId="77777777" w:rsidR="00EA38F6" w:rsidRPr="000864AE" w:rsidRDefault="00EA38F6" w:rsidP="000864AE">
            <w:pPr>
              <w:rPr>
                <w:rFonts w:ascii="Verdana" w:hAnsi="Verdana"/>
                <w:sz w:val="18"/>
                <w:szCs w:val="18"/>
              </w:rPr>
            </w:pPr>
            <w:r w:rsidRPr="000864AE">
              <w:rPr>
                <w:rFonts w:ascii="Verdana" w:hAnsi="Verdana"/>
                <w:sz w:val="18"/>
                <w:szCs w:val="18"/>
              </w:rPr>
              <w:t>Carrera Sandoval Meisse Helvecia</w:t>
            </w:r>
          </w:p>
        </w:tc>
      </w:tr>
      <w:tr w:rsidR="00EA38F6" w:rsidRPr="000864AE" w14:paraId="6D326C7C" w14:textId="77777777" w:rsidTr="00AC0C51">
        <w:trPr>
          <w:trHeight w:val="300"/>
        </w:trPr>
        <w:tc>
          <w:tcPr>
            <w:tcW w:w="668" w:type="dxa"/>
            <w:vAlign w:val="center"/>
            <w:hideMark/>
          </w:tcPr>
          <w:p w14:paraId="1812689D"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114</w:t>
            </w:r>
          </w:p>
        </w:tc>
        <w:tc>
          <w:tcPr>
            <w:tcW w:w="3835" w:type="dxa"/>
            <w:vAlign w:val="center"/>
            <w:hideMark/>
          </w:tcPr>
          <w:p w14:paraId="154402F7" w14:textId="77777777" w:rsidR="00EA38F6" w:rsidRPr="000864AE" w:rsidRDefault="00EA38F6" w:rsidP="000864AE">
            <w:pPr>
              <w:rPr>
                <w:rFonts w:ascii="Verdana" w:hAnsi="Verdana"/>
                <w:sz w:val="18"/>
                <w:szCs w:val="18"/>
              </w:rPr>
            </w:pPr>
            <w:r w:rsidRPr="000864AE">
              <w:rPr>
                <w:rFonts w:ascii="Verdana" w:hAnsi="Verdana"/>
                <w:sz w:val="18"/>
                <w:szCs w:val="18"/>
              </w:rPr>
              <w:t>Carrillo Granda Sara Cleofe</w:t>
            </w:r>
          </w:p>
        </w:tc>
      </w:tr>
      <w:tr w:rsidR="00EA38F6" w:rsidRPr="000864AE" w14:paraId="5B84FCBB" w14:textId="77777777" w:rsidTr="00AC0C51">
        <w:trPr>
          <w:trHeight w:val="300"/>
        </w:trPr>
        <w:tc>
          <w:tcPr>
            <w:tcW w:w="668" w:type="dxa"/>
            <w:vAlign w:val="center"/>
            <w:hideMark/>
          </w:tcPr>
          <w:p w14:paraId="4278B813"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115</w:t>
            </w:r>
          </w:p>
        </w:tc>
        <w:tc>
          <w:tcPr>
            <w:tcW w:w="3835" w:type="dxa"/>
            <w:vAlign w:val="center"/>
            <w:hideMark/>
          </w:tcPr>
          <w:p w14:paraId="2C3A8174" w14:textId="77777777" w:rsidR="00EA38F6" w:rsidRPr="000864AE" w:rsidRDefault="00EA38F6" w:rsidP="000864AE">
            <w:pPr>
              <w:rPr>
                <w:rFonts w:ascii="Verdana" w:hAnsi="Verdana"/>
                <w:sz w:val="18"/>
                <w:szCs w:val="18"/>
              </w:rPr>
            </w:pPr>
            <w:r w:rsidRPr="000864AE">
              <w:rPr>
                <w:rFonts w:ascii="Verdana" w:hAnsi="Verdana"/>
                <w:sz w:val="18"/>
                <w:szCs w:val="18"/>
              </w:rPr>
              <w:t>Casas Sandoval Emilio Leonardo</w:t>
            </w:r>
          </w:p>
        </w:tc>
      </w:tr>
      <w:tr w:rsidR="00EA38F6" w:rsidRPr="000864AE" w14:paraId="1AC9B410" w14:textId="77777777" w:rsidTr="00AC0C51">
        <w:trPr>
          <w:trHeight w:val="300"/>
        </w:trPr>
        <w:tc>
          <w:tcPr>
            <w:tcW w:w="668" w:type="dxa"/>
            <w:vAlign w:val="center"/>
            <w:hideMark/>
          </w:tcPr>
          <w:p w14:paraId="17E0779D"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116</w:t>
            </w:r>
          </w:p>
        </w:tc>
        <w:tc>
          <w:tcPr>
            <w:tcW w:w="3835" w:type="dxa"/>
            <w:vAlign w:val="center"/>
            <w:hideMark/>
          </w:tcPr>
          <w:p w14:paraId="1959882C" w14:textId="77777777" w:rsidR="00EA38F6" w:rsidRPr="000864AE" w:rsidRDefault="00EA38F6" w:rsidP="000864AE">
            <w:pPr>
              <w:rPr>
                <w:rFonts w:ascii="Verdana" w:hAnsi="Verdana"/>
                <w:sz w:val="18"/>
                <w:szCs w:val="18"/>
              </w:rPr>
            </w:pPr>
            <w:r w:rsidRPr="000864AE">
              <w:rPr>
                <w:rFonts w:ascii="Verdana" w:hAnsi="Verdana"/>
                <w:sz w:val="18"/>
                <w:szCs w:val="18"/>
              </w:rPr>
              <w:t>Cassana Bazán Mercedes Irma</w:t>
            </w:r>
          </w:p>
        </w:tc>
      </w:tr>
      <w:tr w:rsidR="00EA38F6" w:rsidRPr="000864AE" w14:paraId="7CF66E86" w14:textId="77777777" w:rsidTr="00AC0C51">
        <w:trPr>
          <w:trHeight w:val="300"/>
        </w:trPr>
        <w:tc>
          <w:tcPr>
            <w:tcW w:w="668" w:type="dxa"/>
            <w:vAlign w:val="center"/>
            <w:hideMark/>
          </w:tcPr>
          <w:p w14:paraId="470D8681"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117</w:t>
            </w:r>
          </w:p>
        </w:tc>
        <w:tc>
          <w:tcPr>
            <w:tcW w:w="3835" w:type="dxa"/>
            <w:vAlign w:val="center"/>
            <w:hideMark/>
          </w:tcPr>
          <w:p w14:paraId="6CEDE1A5" w14:textId="77777777" w:rsidR="00EA38F6" w:rsidRPr="000864AE" w:rsidRDefault="00EA38F6" w:rsidP="000864AE">
            <w:pPr>
              <w:rPr>
                <w:rFonts w:ascii="Verdana" w:hAnsi="Verdana"/>
                <w:sz w:val="18"/>
                <w:szCs w:val="18"/>
              </w:rPr>
            </w:pPr>
            <w:r w:rsidRPr="000864AE">
              <w:rPr>
                <w:rFonts w:ascii="Verdana" w:hAnsi="Verdana"/>
                <w:sz w:val="18"/>
                <w:szCs w:val="18"/>
              </w:rPr>
              <w:t>Castillo Deza Bertha Cecilia</w:t>
            </w:r>
          </w:p>
        </w:tc>
      </w:tr>
      <w:tr w:rsidR="00EA38F6" w:rsidRPr="000864AE" w14:paraId="484C4FE0" w14:textId="77777777" w:rsidTr="00AC0C51">
        <w:trPr>
          <w:trHeight w:val="300"/>
        </w:trPr>
        <w:tc>
          <w:tcPr>
            <w:tcW w:w="668" w:type="dxa"/>
            <w:vAlign w:val="center"/>
            <w:hideMark/>
          </w:tcPr>
          <w:p w14:paraId="14FB06FD"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118</w:t>
            </w:r>
          </w:p>
        </w:tc>
        <w:tc>
          <w:tcPr>
            <w:tcW w:w="3835" w:type="dxa"/>
            <w:vAlign w:val="center"/>
            <w:hideMark/>
          </w:tcPr>
          <w:p w14:paraId="7D47D892" w14:textId="77777777" w:rsidR="00EA38F6" w:rsidRPr="000864AE" w:rsidRDefault="00EA38F6" w:rsidP="000864AE">
            <w:pPr>
              <w:rPr>
                <w:rFonts w:ascii="Verdana" w:hAnsi="Verdana"/>
                <w:sz w:val="18"/>
                <w:szCs w:val="18"/>
              </w:rPr>
            </w:pPr>
            <w:r w:rsidRPr="000864AE">
              <w:rPr>
                <w:rFonts w:ascii="Verdana" w:hAnsi="Verdana"/>
                <w:sz w:val="18"/>
                <w:szCs w:val="18"/>
              </w:rPr>
              <w:t>Castillo Sánchez Julia Manuela</w:t>
            </w:r>
          </w:p>
        </w:tc>
      </w:tr>
      <w:tr w:rsidR="00EA38F6" w:rsidRPr="000864AE" w14:paraId="1BC71440" w14:textId="77777777" w:rsidTr="00AC0C51">
        <w:trPr>
          <w:trHeight w:val="300"/>
        </w:trPr>
        <w:tc>
          <w:tcPr>
            <w:tcW w:w="668" w:type="dxa"/>
            <w:vAlign w:val="center"/>
            <w:hideMark/>
          </w:tcPr>
          <w:p w14:paraId="32A12183"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119</w:t>
            </w:r>
          </w:p>
        </w:tc>
        <w:tc>
          <w:tcPr>
            <w:tcW w:w="3835" w:type="dxa"/>
            <w:vAlign w:val="center"/>
            <w:hideMark/>
          </w:tcPr>
          <w:p w14:paraId="6A8F6FF6" w14:textId="77777777" w:rsidR="00EA38F6" w:rsidRPr="000864AE" w:rsidRDefault="00EA38F6" w:rsidP="000864AE">
            <w:pPr>
              <w:rPr>
                <w:rFonts w:ascii="Verdana" w:hAnsi="Verdana"/>
                <w:sz w:val="18"/>
                <w:szCs w:val="18"/>
              </w:rPr>
            </w:pPr>
            <w:r w:rsidRPr="000864AE">
              <w:rPr>
                <w:rFonts w:ascii="Verdana" w:hAnsi="Verdana"/>
                <w:sz w:val="18"/>
                <w:szCs w:val="18"/>
              </w:rPr>
              <w:t>Castro Bernales María Rosalinda</w:t>
            </w:r>
          </w:p>
        </w:tc>
      </w:tr>
      <w:tr w:rsidR="00EA38F6" w:rsidRPr="000864AE" w14:paraId="00AAD1CF" w14:textId="77777777" w:rsidTr="00AC0C51">
        <w:trPr>
          <w:trHeight w:val="300"/>
        </w:trPr>
        <w:tc>
          <w:tcPr>
            <w:tcW w:w="668" w:type="dxa"/>
            <w:vAlign w:val="center"/>
            <w:hideMark/>
          </w:tcPr>
          <w:p w14:paraId="3F609399"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120</w:t>
            </w:r>
          </w:p>
        </w:tc>
        <w:tc>
          <w:tcPr>
            <w:tcW w:w="3835" w:type="dxa"/>
            <w:vAlign w:val="center"/>
            <w:hideMark/>
          </w:tcPr>
          <w:p w14:paraId="770B1ED5" w14:textId="77777777" w:rsidR="00EA38F6" w:rsidRPr="000864AE" w:rsidRDefault="00EA38F6" w:rsidP="000864AE">
            <w:pPr>
              <w:rPr>
                <w:rFonts w:ascii="Verdana" w:hAnsi="Verdana"/>
                <w:sz w:val="18"/>
                <w:szCs w:val="18"/>
              </w:rPr>
            </w:pPr>
            <w:r w:rsidRPr="000864AE">
              <w:rPr>
                <w:rFonts w:ascii="Verdana" w:hAnsi="Verdana"/>
                <w:sz w:val="18"/>
                <w:szCs w:val="18"/>
              </w:rPr>
              <w:t>Castro Buendía Fortunato Félix</w:t>
            </w:r>
          </w:p>
        </w:tc>
      </w:tr>
      <w:tr w:rsidR="00EA38F6" w:rsidRPr="000864AE" w14:paraId="6D808B66" w14:textId="77777777" w:rsidTr="00AC0C51">
        <w:trPr>
          <w:trHeight w:val="300"/>
        </w:trPr>
        <w:tc>
          <w:tcPr>
            <w:tcW w:w="668" w:type="dxa"/>
            <w:vAlign w:val="center"/>
            <w:hideMark/>
          </w:tcPr>
          <w:p w14:paraId="343FB290"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121</w:t>
            </w:r>
          </w:p>
        </w:tc>
        <w:tc>
          <w:tcPr>
            <w:tcW w:w="3835" w:type="dxa"/>
            <w:vAlign w:val="center"/>
            <w:hideMark/>
          </w:tcPr>
          <w:p w14:paraId="0AB21948" w14:textId="77777777" w:rsidR="00EA38F6" w:rsidRPr="000864AE" w:rsidRDefault="00EA38F6" w:rsidP="000864AE">
            <w:pPr>
              <w:rPr>
                <w:rFonts w:ascii="Verdana" w:hAnsi="Verdana"/>
                <w:sz w:val="18"/>
                <w:szCs w:val="18"/>
              </w:rPr>
            </w:pPr>
            <w:r w:rsidRPr="000864AE">
              <w:rPr>
                <w:rFonts w:ascii="Verdana" w:hAnsi="Verdana"/>
                <w:sz w:val="18"/>
                <w:szCs w:val="18"/>
              </w:rPr>
              <w:t>Castro Cárdenas Hugo Heraclio</w:t>
            </w:r>
          </w:p>
        </w:tc>
      </w:tr>
      <w:tr w:rsidR="00EA38F6" w:rsidRPr="000864AE" w14:paraId="6181DD35" w14:textId="77777777" w:rsidTr="00AC0C51">
        <w:trPr>
          <w:trHeight w:val="300"/>
        </w:trPr>
        <w:tc>
          <w:tcPr>
            <w:tcW w:w="668" w:type="dxa"/>
            <w:vAlign w:val="center"/>
            <w:hideMark/>
          </w:tcPr>
          <w:p w14:paraId="7770BF00"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122</w:t>
            </w:r>
          </w:p>
        </w:tc>
        <w:tc>
          <w:tcPr>
            <w:tcW w:w="3835" w:type="dxa"/>
            <w:vAlign w:val="center"/>
            <w:hideMark/>
          </w:tcPr>
          <w:p w14:paraId="3B5C5DA9" w14:textId="77777777" w:rsidR="00EA38F6" w:rsidRPr="000864AE" w:rsidRDefault="00EA38F6" w:rsidP="000864AE">
            <w:pPr>
              <w:rPr>
                <w:rFonts w:ascii="Verdana" w:hAnsi="Verdana"/>
                <w:sz w:val="18"/>
                <w:szCs w:val="18"/>
              </w:rPr>
            </w:pPr>
            <w:r w:rsidRPr="000864AE">
              <w:rPr>
                <w:rFonts w:ascii="Verdana" w:hAnsi="Verdana"/>
                <w:sz w:val="18"/>
                <w:szCs w:val="18"/>
              </w:rPr>
              <w:t>Castro Robles Zoila Rosa</w:t>
            </w:r>
          </w:p>
        </w:tc>
      </w:tr>
      <w:tr w:rsidR="00EA38F6" w:rsidRPr="000864AE" w14:paraId="3BF9470C" w14:textId="77777777" w:rsidTr="00AC0C51">
        <w:trPr>
          <w:trHeight w:val="300"/>
        </w:trPr>
        <w:tc>
          <w:tcPr>
            <w:tcW w:w="668" w:type="dxa"/>
            <w:vAlign w:val="center"/>
            <w:hideMark/>
          </w:tcPr>
          <w:p w14:paraId="4E1018AA"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123</w:t>
            </w:r>
          </w:p>
        </w:tc>
        <w:tc>
          <w:tcPr>
            <w:tcW w:w="3835" w:type="dxa"/>
            <w:vAlign w:val="center"/>
            <w:hideMark/>
          </w:tcPr>
          <w:p w14:paraId="5A8F0680" w14:textId="77777777" w:rsidR="00EA38F6" w:rsidRPr="000864AE" w:rsidRDefault="00EA38F6" w:rsidP="000864AE">
            <w:pPr>
              <w:rPr>
                <w:rFonts w:ascii="Verdana" w:hAnsi="Verdana"/>
                <w:sz w:val="18"/>
                <w:szCs w:val="18"/>
              </w:rPr>
            </w:pPr>
            <w:r w:rsidRPr="000864AE">
              <w:rPr>
                <w:rFonts w:ascii="Verdana" w:hAnsi="Verdana"/>
                <w:sz w:val="18"/>
                <w:szCs w:val="18"/>
              </w:rPr>
              <w:t>Castro Vidal María Isabel</w:t>
            </w:r>
          </w:p>
        </w:tc>
      </w:tr>
      <w:tr w:rsidR="00EA38F6" w:rsidRPr="000864AE" w14:paraId="71AE2083" w14:textId="77777777" w:rsidTr="00AC0C51">
        <w:trPr>
          <w:trHeight w:val="300"/>
        </w:trPr>
        <w:tc>
          <w:tcPr>
            <w:tcW w:w="668" w:type="dxa"/>
            <w:vAlign w:val="center"/>
            <w:hideMark/>
          </w:tcPr>
          <w:p w14:paraId="65277C70"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124</w:t>
            </w:r>
          </w:p>
        </w:tc>
        <w:tc>
          <w:tcPr>
            <w:tcW w:w="3835" w:type="dxa"/>
            <w:vAlign w:val="center"/>
            <w:hideMark/>
          </w:tcPr>
          <w:p w14:paraId="36DDAFCD" w14:textId="77777777" w:rsidR="00EA38F6" w:rsidRPr="000864AE" w:rsidRDefault="00EA38F6" w:rsidP="000864AE">
            <w:pPr>
              <w:rPr>
                <w:rFonts w:ascii="Verdana" w:hAnsi="Verdana"/>
                <w:sz w:val="18"/>
                <w:szCs w:val="18"/>
              </w:rPr>
            </w:pPr>
            <w:r w:rsidRPr="000864AE">
              <w:rPr>
                <w:rFonts w:ascii="Verdana" w:hAnsi="Verdana"/>
                <w:sz w:val="18"/>
                <w:szCs w:val="18"/>
              </w:rPr>
              <w:t>Castro Villalobos Santiago Neptalí</w:t>
            </w:r>
          </w:p>
        </w:tc>
      </w:tr>
      <w:tr w:rsidR="00EA38F6" w:rsidRPr="000864AE" w14:paraId="499C28ED" w14:textId="77777777" w:rsidTr="00AC0C51">
        <w:trPr>
          <w:trHeight w:val="300"/>
        </w:trPr>
        <w:tc>
          <w:tcPr>
            <w:tcW w:w="668" w:type="dxa"/>
            <w:vAlign w:val="center"/>
            <w:hideMark/>
          </w:tcPr>
          <w:p w14:paraId="40224803"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125</w:t>
            </w:r>
          </w:p>
        </w:tc>
        <w:tc>
          <w:tcPr>
            <w:tcW w:w="3835" w:type="dxa"/>
            <w:vAlign w:val="center"/>
            <w:hideMark/>
          </w:tcPr>
          <w:p w14:paraId="7E316FD5" w14:textId="77777777" w:rsidR="00EA38F6" w:rsidRPr="000864AE" w:rsidRDefault="00EA38F6" w:rsidP="000864AE">
            <w:pPr>
              <w:rPr>
                <w:rFonts w:ascii="Verdana" w:hAnsi="Verdana"/>
                <w:sz w:val="18"/>
                <w:szCs w:val="18"/>
              </w:rPr>
            </w:pPr>
            <w:r w:rsidRPr="000864AE">
              <w:rPr>
                <w:rFonts w:ascii="Verdana" w:hAnsi="Verdana"/>
                <w:sz w:val="18"/>
                <w:szCs w:val="18"/>
              </w:rPr>
              <w:t>Castromonte Ramírez Artidoro</w:t>
            </w:r>
          </w:p>
        </w:tc>
      </w:tr>
      <w:tr w:rsidR="00EA38F6" w:rsidRPr="000864AE" w14:paraId="0B5425B2" w14:textId="77777777" w:rsidTr="00AC0C51">
        <w:trPr>
          <w:trHeight w:val="300"/>
        </w:trPr>
        <w:tc>
          <w:tcPr>
            <w:tcW w:w="668" w:type="dxa"/>
            <w:vAlign w:val="center"/>
            <w:hideMark/>
          </w:tcPr>
          <w:p w14:paraId="06DAF154"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126</w:t>
            </w:r>
          </w:p>
        </w:tc>
        <w:tc>
          <w:tcPr>
            <w:tcW w:w="3835" w:type="dxa"/>
            <w:vAlign w:val="center"/>
            <w:hideMark/>
          </w:tcPr>
          <w:p w14:paraId="1868E634" w14:textId="77777777" w:rsidR="00EA38F6" w:rsidRPr="000864AE" w:rsidRDefault="00EA38F6" w:rsidP="000864AE">
            <w:pPr>
              <w:rPr>
                <w:rFonts w:ascii="Verdana" w:hAnsi="Verdana"/>
                <w:sz w:val="18"/>
                <w:szCs w:val="18"/>
              </w:rPr>
            </w:pPr>
            <w:r w:rsidRPr="000864AE">
              <w:rPr>
                <w:rFonts w:ascii="Verdana" w:hAnsi="Verdana"/>
                <w:sz w:val="18"/>
                <w:szCs w:val="18"/>
              </w:rPr>
              <w:t>Cavero Ramos Gilberto Víctor</w:t>
            </w:r>
          </w:p>
        </w:tc>
      </w:tr>
      <w:tr w:rsidR="00EA38F6" w:rsidRPr="000864AE" w14:paraId="2CB6CDF9" w14:textId="77777777" w:rsidTr="00AC0C51">
        <w:trPr>
          <w:trHeight w:val="300"/>
        </w:trPr>
        <w:tc>
          <w:tcPr>
            <w:tcW w:w="668" w:type="dxa"/>
            <w:vAlign w:val="center"/>
            <w:hideMark/>
          </w:tcPr>
          <w:p w14:paraId="3636D81C"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127</w:t>
            </w:r>
          </w:p>
        </w:tc>
        <w:tc>
          <w:tcPr>
            <w:tcW w:w="3835" w:type="dxa"/>
            <w:vAlign w:val="center"/>
            <w:hideMark/>
          </w:tcPr>
          <w:p w14:paraId="710D77B8" w14:textId="77777777" w:rsidR="00EA38F6" w:rsidRPr="000864AE" w:rsidRDefault="00EA38F6" w:rsidP="000864AE">
            <w:pPr>
              <w:rPr>
                <w:rFonts w:ascii="Verdana" w:hAnsi="Verdana"/>
                <w:sz w:val="18"/>
                <w:szCs w:val="18"/>
              </w:rPr>
            </w:pPr>
            <w:r w:rsidRPr="000864AE">
              <w:rPr>
                <w:rFonts w:ascii="Verdana" w:hAnsi="Verdana"/>
                <w:sz w:val="18"/>
                <w:szCs w:val="18"/>
              </w:rPr>
              <w:t>Ccalla Huañahui Antonio</w:t>
            </w:r>
          </w:p>
        </w:tc>
      </w:tr>
      <w:tr w:rsidR="00EA38F6" w:rsidRPr="000864AE" w14:paraId="43DD2590" w14:textId="77777777" w:rsidTr="00AC0C51">
        <w:trPr>
          <w:trHeight w:val="300"/>
        </w:trPr>
        <w:tc>
          <w:tcPr>
            <w:tcW w:w="668" w:type="dxa"/>
            <w:vAlign w:val="center"/>
            <w:hideMark/>
          </w:tcPr>
          <w:p w14:paraId="7C08944F"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128</w:t>
            </w:r>
          </w:p>
        </w:tc>
        <w:tc>
          <w:tcPr>
            <w:tcW w:w="3835" w:type="dxa"/>
            <w:vAlign w:val="center"/>
            <w:hideMark/>
          </w:tcPr>
          <w:p w14:paraId="702E8625" w14:textId="77777777" w:rsidR="00EA38F6" w:rsidRPr="000864AE" w:rsidRDefault="00EA38F6" w:rsidP="000864AE">
            <w:pPr>
              <w:rPr>
                <w:rFonts w:ascii="Verdana" w:hAnsi="Verdana"/>
                <w:sz w:val="18"/>
                <w:szCs w:val="18"/>
              </w:rPr>
            </w:pPr>
            <w:r w:rsidRPr="000864AE">
              <w:rPr>
                <w:rFonts w:ascii="Verdana" w:hAnsi="Verdana"/>
                <w:sz w:val="18"/>
                <w:szCs w:val="18"/>
              </w:rPr>
              <w:t>Centeno Zavala Eva Marina</w:t>
            </w:r>
          </w:p>
        </w:tc>
      </w:tr>
      <w:tr w:rsidR="00EA38F6" w:rsidRPr="000864AE" w14:paraId="37E9B75F" w14:textId="77777777" w:rsidTr="00AC0C51">
        <w:trPr>
          <w:trHeight w:val="300"/>
        </w:trPr>
        <w:tc>
          <w:tcPr>
            <w:tcW w:w="668" w:type="dxa"/>
            <w:vAlign w:val="center"/>
            <w:hideMark/>
          </w:tcPr>
          <w:p w14:paraId="15F6E35A"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129</w:t>
            </w:r>
          </w:p>
        </w:tc>
        <w:tc>
          <w:tcPr>
            <w:tcW w:w="3835" w:type="dxa"/>
            <w:vAlign w:val="center"/>
            <w:hideMark/>
          </w:tcPr>
          <w:p w14:paraId="3B7CA599" w14:textId="77777777" w:rsidR="00EA38F6" w:rsidRPr="000864AE" w:rsidRDefault="00EA38F6" w:rsidP="000864AE">
            <w:pPr>
              <w:rPr>
                <w:rFonts w:ascii="Verdana" w:hAnsi="Verdana"/>
                <w:sz w:val="18"/>
                <w:szCs w:val="18"/>
              </w:rPr>
            </w:pPr>
            <w:r w:rsidRPr="000864AE">
              <w:rPr>
                <w:rFonts w:ascii="Verdana" w:hAnsi="Verdana"/>
                <w:sz w:val="18"/>
                <w:szCs w:val="18"/>
              </w:rPr>
              <w:t>Cerna Palomino Manuel Marcial</w:t>
            </w:r>
          </w:p>
        </w:tc>
      </w:tr>
      <w:tr w:rsidR="00EA38F6" w:rsidRPr="000864AE" w14:paraId="68A9D2DE" w14:textId="77777777" w:rsidTr="00AC0C51">
        <w:trPr>
          <w:trHeight w:val="300"/>
        </w:trPr>
        <w:tc>
          <w:tcPr>
            <w:tcW w:w="668" w:type="dxa"/>
            <w:vAlign w:val="center"/>
            <w:hideMark/>
          </w:tcPr>
          <w:p w14:paraId="1C2C9AB8"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130</w:t>
            </w:r>
          </w:p>
        </w:tc>
        <w:tc>
          <w:tcPr>
            <w:tcW w:w="3835" w:type="dxa"/>
            <w:vAlign w:val="center"/>
            <w:hideMark/>
          </w:tcPr>
          <w:p w14:paraId="76384B33" w14:textId="77777777" w:rsidR="00EA38F6" w:rsidRPr="000864AE" w:rsidRDefault="00EA38F6" w:rsidP="000864AE">
            <w:pPr>
              <w:rPr>
                <w:rFonts w:ascii="Verdana" w:hAnsi="Verdana"/>
                <w:sz w:val="18"/>
                <w:szCs w:val="18"/>
              </w:rPr>
            </w:pPr>
            <w:r w:rsidRPr="000864AE">
              <w:rPr>
                <w:rFonts w:ascii="Verdana" w:hAnsi="Verdana"/>
                <w:sz w:val="18"/>
                <w:szCs w:val="18"/>
              </w:rPr>
              <w:t>Cerna Vásquez Cesar</w:t>
            </w:r>
          </w:p>
        </w:tc>
      </w:tr>
      <w:tr w:rsidR="00EA38F6" w:rsidRPr="000864AE" w14:paraId="09041C6A" w14:textId="77777777" w:rsidTr="00AC0C51">
        <w:trPr>
          <w:trHeight w:val="300"/>
        </w:trPr>
        <w:tc>
          <w:tcPr>
            <w:tcW w:w="668" w:type="dxa"/>
            <w:vAlign w:val="center"/>
            <w:hideMark/>
          </w:tcPr>
          <w:p w14:paraId="560B8BDA"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131</w:t>
            </w:r>
          </w:p>
        </w:tc>
        <w:tc>
          <w:tcPr>
            <w:tcW w:w="3835" w:type="dxa"/>
            <w:vAlign w:val="center"/>
            <w:hideMark/>
          </w:tcPr>
          <w:p w14:paraId="1401180B" w14:textId="77777777" w:rsidR="00EA38F6" w:rsidRPr="000864AE" w:rsidRDefault="00EA38F6" w:rsidP="000864AE">
            <w:pPr>
              <w:rPr>
                <w:rFonts w:ascii="Verdana" w:hAnsi="Verdana"/>
                <w:sz w:val="18"/>
                <w:szCs w:val="18"/>
              </w:rPr>
            </w:pPr>
            <w:r w:rsidRPr="000864AE">
              <w:rPr>
                <w:rFonts w:ascii="Verdana" w:hAnsi="Verdana"/>
                <w:sz w:val="18"/>
                <w:szCs w:val="18"/>
              </w:rPr>
              <w:t>Céspedes Vega Martín</w:t>
            </w:r>
          </w:p>
        </w:tc>
      </w:tr>
      <w:tr w:rsidR="00EA38F6" w:rsidRPr="000864AE" w14:paraId="2528D8A5" w14:textId="77777777" w:rsidTr="00AC0C51">
        <w:trPr>
          <w:trHeight w:val="300"/>
        </w:trPr>
        <w:tc>
          <w:tcPr>
            <w:tcW w:w="668" w:type="dxa"/>
            <w:vAlign w:val="center"/>
            <w:hideMark/>
          </w:tcPr>
          <w:p w14:paraId="7DC2CDBE"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132</w:t>
            </w:r>
          </w:p>
        </w:tc>
        <w:tc>
          <w:tcPr>
            <w:tcW w:w="3835" w:type="dxa"/>
            <w:vAlign w:val="center"/>
            <w:hideMark/>
          </w:tcPr>
          <w:p w14:paraId="355BFDEA" w14:textId="77777777" w:rsidR="00EA38F6" w:rsidRPr="000864AE" w:rsidRDefault="00EA38F6" w:rsidP="000864AE">
            <w:pPr>
              <w:rPr>
                <w:rFonts w:ascii="Verdana" w:hAnsi="Verdana"/>
                <w:sz w:val="18"/>
                <w:szCs w:val="18"/>
              </w:rPr>
            </w:pPr>
            <w:r w:rsidRPr="000864AE">
              <w:rPr>
                <w:rFonts w:ascii="Verdana" w:hAnsi="Verdana"/>
                <w:sz w:val="18"/>
                <w:szCs w:val="18"/>
              </w:rPr>
              <w:t>Chaina Fernández Ricardo Luis</w:t>
            </w:r>
          </w:p>
        </w:tc>
      </w:tr>
      <w:tr w:rsidR="00EA38F6" w:rsidRPr="000864AE" w14:paraId="1069F3D2" w14:textId="77777777" w:rsidTr="00AC0C51">
        <w:trPr>
          <w:trHeight w:val="300"/>
        </w:trPr>
        <w:tc>
          <w:tcPr>
            <w:tcW w:w="668" w:type="dxa"/>
            <w:vAlign w:val="center"/>
            <w:hideMark/>
          </w:tcPr>
          <w:p w14:paraId="2B0BF53B"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133</w:t>
            </w:r>
          </w:p>
        </w:tc>
        <w:tc>
          <w:tcPr>
            <w:tcW w:w="3835" w:type="dxa"/>
            <w:vAlign w:val="center"/>
            <w:hideMark/>
          </w:tcPr>
          <w:p w14:paraId="04CB9042" w14:textId="77777777" w:rsidR="00EA38F6" w:rsidRPr="000864AE" w:rsidRDefault="00EA38F6" w:rsidP="000864AE">
            <w:pPr>
              <w:rPr>
                <w:rFonts w:ascii="Verdana" w:hAnsi="Verdana"/>
                <w:sz w:val="18"/>
                <w:szCs w:val="18"/>
              </w:rPr>
            </w:pPr>
            <w:r w:rsidRPr="000864AE">
              <w:rPr>
                <w:rFonts w:ascii="Verdana" w:hAnsi="Verdana"/>
                <w:sz w:val="18"/>
                <w:szCs w:val="18"/>
              </w:rPr>
              <w:t>Chanduvi Ramírez Nelly Ana María</w:t>
            </w:r>
          </w:p>
        </w:tc>
      </w:tr>
      <w:tr w:rsidR="00EA38F6" w:rsidRPr="000864AE" w14:paraId="39DD1253" w14:textId="77777777" w:rsidTr="00AC0C51">
        <w:trPr>
          <w:trHeight w:val="300"/>
        </w:trPr>
        <w:tc>
          <w:tcPr>
            <w:tcW w:w="668" w:type="dxa"/>
            <w:vAlign w:val="center"/>
            <w:hideMark/>
          </w:tcPr>
          <w:p w14:paraId="4BBB6979"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134</w:t>
            </w:r>
          </w:p>
        </w:tc>
        <w:tc>
          <w:tcPr>
            <w:tcW w:w="3835" w:type="dxa"/>
            <w:vAlign w:val="center"/>
            <w:hideMark/>
          </w:tcPr>
          <w:p w14:paraId="6FCA2AE9" w14:textId="77777777" w:rsidR="00EA38F6" w:rsidRPr="000864AE" w:rsidRDefault="00EA38F6" w:rsidP="000864AE">
            <w:pPr>
              <w:rPr>
                <w:rFonts w:ascii="Verdana" w:hAnsi="Verdana"/>
                <w:sz w:val="18"/>
                <w:szCs w:val="18"/>
              </w:rPr>
            </w:pPr>
            <w:r w:rsidRPr="000864AE">
              <w:rPr>
                <w:rFonts w:ascii="Verdana" w:hAnsi="Verdana"/>
                <w:sz w:val="18"/>
                <w:szCs w:val="18"/>
              </w:rPr>
              <w:t>Charahua Flores Edilberto Guillermo</w:t>
            </w:r>
          </w:p>
        </w:tc>
      </w:tr>
      <w:tr w:rsidR="00EA38F6" w:rsidRPr="000864AE" w14:paraId="442325F3" w14:textId="77777777" w:rsidTr="00AC0C51">
        <w:trPr>
          <w:trHeight w:val="300"/>
        </w:trPr>
        <w:tc>
          <w:tcPr>
            <w:tcW w:w="668" w:type="dxa"/>
            <w:vAlign w:val="center"/>
            <w:hideMark/>
          </w:tcPr>
          <w:p w14:paraId="7114C05C"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135</w:t>
            </w:r>
          </w:p>
        </w:tc>
        <w:tc>
          <w:tcPr>
            <w:tcW w:w="3835" w:type="dxa"/>
            <w:vAlign w:val="center"/>
            <w:hideMark/>
          </w:tcPr>
          <w:p w14:paraId="44246AD4" w14:textId="77777777" w:rsidR="00EA38F6" w:rsidRPr="000864AE" w:rsidRDefault="00EA38F6" w:rsidP="000864AE">
            <w:pPr>
              <w:rPr>
                <w:rFonts w:ascii="Verdana" w:hAnsi="Verdana"/>
                <w:sz w:val="18"/>
                <w:szCs w:val="18"/>
              </w:rPr>
            </w:pPr>
            <w:r w:rsidRPr="000864AE">
              <w:rPr>
                <w:rFonts w:ascii="Verdana" w:hAnsi="Verdana"/>
                <w:sz w:val="18"/>
                <w:szCs w:val="18"/>
              </w:rPr>
              <w:t>Chávez Bernal Víctor Francisco</w:t>
            </w:r>
          </w:p>
        </w:tc>
      </w:tr>
      <w:tr w:rsidR="00EA38F6" w:rsidRPr="000864AE" w14:paraId="554E45AA" w14:textId="77777777" w:rsidTr="00AC0C51">
        <w:trPr>
          <w:trHeight w:val="300"/>
        </w:trPr>
        <w:tc>
          <w:tcPr>
            <w:tcW w:w="668" w:type="dxa"/>
            <w:vAlign w:val="center"/>
            <w:hideMark/>
          </w:tcPr>
          <w:p w14:paraId="1373BA70"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136</w:t>
            </w:r>
          </w:p>
        </w:tc>
        <w:tc>
          <w:tcPr>
            <w:tcW w:w="3835" w:type="dxa"/>
            <w:vAlign w:val="center"/>
            <w:hideMark/>
          </w:tcPr>
          <w:p w14:paraId="59C42863" w14:textId="77777777" w:rsidR="00EA38F6" w:rsidRPr="000864AE" w:rsidRDefault="00EA38F6" w:rsidP="000864AE">
            <w:pPr>
              <w:rPr>
                <w:rFonts w:ascii="Verdana" w:hAnsi="Verdana"/>
                <w:sz w:val="18"/>
                <w:szCs w:val="18"/>
              </w:rPr>
            </w:pPr>
            <w:r w:rsidRPr="000864AE">
              <w:rPr>
                <w:rFonts w:ascii="Verdana" w:hAnsi="Verdana"/>
                <w:sz w:val="18"/>
                <w:szCs w:val="18"/>
              </w:rPr>
              <w:t>Chávez Centti Miguel Ángel</w:t>
            </w:r>
          </w:p>
        </w:tc>
      </w:tr>
      <w:tr w:rsidR="00EA38F6" w:rsidRPr="000864AE" w14:paraId="253D3823" w14:textId="77777777" w:rsidTr="00AC0C51">
        <w:trPr>
          <w:trHeight w:val="300"/>
        </w:trPr>
        <w:tc>
          <w:tcPr>
            <w:tcW w:w="668" w:type="dxa"/>
            <w:vAlign w:val="center"/>
            <w:hideMark/>
          </w:tcPr>
          <w:p w14:paraId="36D37395"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137</w:t>
            </w:r>
          </w:p>
        </w:tc>
        <w:tc>
          <w:tcPr>
            <w:tcW w:w="3835" w:type="dxa"/>
            <w:vAlign w:val="center"/>
            <w:hideMark/>
          </w:tcPr>
          <w:p w14:paraId="6905F963" w14:textId="77777777" w:rsidR="00EA38F6" w:rsidRPr="000864AE" w:rsidRDefault="00EA38F6" w:rsidP="000864AE">
            <w:pPr>
              <w:rPr>
                <w:rFonts w:ascii="Verdana" w:hAnsi="Verdana"/>
                <w:sz w:val="18"/>
                <w:szCs w:val="18"/>
              </w:rPr>
            </w:pPr>
            <w:r w:rsidRPr="000864AE">
              <w:rPr>
                <w:rFonts w:ascii="Verdana" w:hAnsi="Verdana"/>
                <w:sz w:val="18"/>
                <w:szCs w:val="18"/>
              </w:rPr>
              <w:t>Chávez Díaz Ángel Rosendo</w:t>
            </w:r>
          </w:p>
        </w:tc>
      </w:tr>
      <w:tr w:rsidR="00EA38F6" w:rsidRPr="000864AE" w14:paraId="25D2B7F0" w14:textId="77777777" w:rsidTr="00AC0C51">
        <w:trPr>
          <w:trHeight w:val="300"/>
        </w:trPr>
        <w:tc>
          <w:tcPr>
            <w:tcW w:w="668" w:type="dxa"/>
            <w:vAlign w:val="center"/>
            <w:hideMark/>
          </w:tcPr>
          <w:p w14:paraId="389F6324"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138</w:t>
            </w:r>
          </w:p>
        </w:tc>
        <w:tc>
          <w:tcPr>
            <w:tcW w:w="3835" w:type="dxa"/>
            <w:vAlign w:val="center"/>
            <w:hideMark/>
          </w:tcPr>
          <w:p w14:paraId="55AB4068" w14:textId="77777777" w:rsidR="00EA38F6" w:rsidRPr="000864AE" w:rsidRDefault="00EA38F6" w:rsidP="000864AE">
            <w:pPr>
              <w:rPr>
                <w:rFonts w:ascii="Verdana" w:hAnsi="Verdana"/>
                <w:sz w:val="18"/>
                <w:szCs w:val="18"/>
              </w:rPr>
            </w:pPr>
            <w:r w:rsidRPr="000864AE">
              <w:rPr>
                <w:rFonts w:ascii="Verdana" w:hAnsi="Verdana"/>
                <w:sz w:val="18"/>
                <w:szCs w:val="18"/>
              </w:rPr>
              <w:t>Chicata Urquizo María Evangelina Salomé</w:t>
            </w:r>
          </w:p>
        </w:tc>
      </w:tr>
      <w:tr w:rsidR="00EA38F6" w:rsidRPr="000864AE" w14:paraId="4EA2A836" w14:textId="77777777" w:rsidTr="00AC0C51">
        <w:trPr>
          <w:trHeight w:val="300"/>
        </w:trPr>
        <w:tc>
          <w:tcPr>
            <w:tcW w:w="668" w:type="dxa"/>
            <w:vAlign w:val="center"/>
            <w:hideMark/>
          </w:tcPr>
          <w:p w14:paraId="1FE74A15"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139</w:t>
            </w:r>
          </w:p>
        </w:tc>
        <w:tc>
          <w:tcPr>
            <w:tcW w:w="3835" w:type="dxa"/>
            <w:vAlign w:val="center"/>
            <w:hideMark/>
          </w:tcPr>
          <w:p w14:paraId="0711BD95" w14:textId="77777777" w:rsidR="00EA38F6" w:rsidRPr="000864AE" w:rsidRDefault="00EA38F6" w:rsidP="000864AE">
            <w:pPr>
              <w:rPr>
                <w:rFonts w:ascii="Verdana" w:hAnsi="Verdana"/>
                <w:sz w:val="18"/>
                <w:szCs w:val="18"/>
              </w:rPr>
            </w:pPr>
            <w:r w:rsidRPr="000864AE">
              <w:rPr>
                <w:rFonts w:ascii="Verdana" w:hAnsi="Verdana"/>
                <w:sz w:val="18"/>
                <w:szCs w:val="18"/>
              </w:rPr>
              <w:t>Chienda Bazo Víctor Nicolás</w:t>
            </w:r>
          </w:p>
        </w:tc>
      </w:tr>
      <w:tr w:rsidR="00EA38F6" w:rsidRPr="000864AE" w14:paraId="5BB1AFEB" w14:textId="77777777" w:rsidTr="00AC0C51">
        <w:trPr>
          <w:trHeight w:val="300"/>
        </w:trPr>
        <w:tc>
          <w:tcPr>
            <w:tcW w:w="668" w:type="dxa"/>
            <w:vAlign w:val="center"/>
            <w:hideMark/>
          </w:tcPr>
          <w:p w14:paraId="511C0A77"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140</w:t>
            </w:r>
          </w:p>
        </w:tc>
        <w:tc>
          <w:tcPr>
            <w:tcW w:w="3835" w:type="dxa"/>
            <w:vAlign w:val="center"/>
            <w:hideMark/>
          </w:tcPr>
          <w:p w14:paraId="3BCA51D2" w14:textId="77777777" w:rsidR="00EA38F6" w:rsidRPr="000864AE" w:rsidRDefault="00EA38F6" w:rsidP="000864AE">
            <w:pPr>
              <w:rPr>
                <w:rFonts w:ascii="Verdana" w:hAnsi="Verdana"/>
                <w:sz w:val="18"/>
                <w:szCs w:val="18"/>
              </w:rPr>
            </w:pPr>
            <w:r w:rsidRPr="000864AE">
              <w:rPr>
                <w:rFonts w:ascii="Verdana" w:hAnsi="Verdana"/>
                <w:sz w:val="18"/>
                <w:szCs w:val="18"/>
              </w:rPr>
              <w:t>Chiriboga Pardo Jesús Eduardo</w:t>
            </w:r>
          </w:p>
        </w:tc>
      </w:tr>
      <w:tr w:rsidR="00EA38F6" w:rsidRPr="000864AE" w14:paraId="74A72615" w14:textId="77777777" w:rsidTr="00AC0C51">
        <w:trPr>
          <w:trHeight w:val="300"/>
        </w:trPr>
        <w:tc>
          <w:tcPr>
            <w:tcW w:w="668" w:type="dxa"/>
            <w:vAlign w:val="center"/>
            <w:hideMark/>
          </w:tcPr>
          <w:p w14:paraId="4AB6A0EA"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141</w:t>
            </w:r>
          </w:p>
        </w:tc>
        <w:tc>
          <w:tcPr>
            <w:tcW w:w="3835" w:type="dxa"/>
            <w:vAlign w:val="center"/>
            <w:hideMark/>
          </w:tcPr>
          <w:p w14:paraId="5B4802FA" w14:textId="77777777" w:rsidR="00EA38F6" w:rsidRPr="000864AE" w:rsidRDefault="00EA38F6" w:rsidP="000864AE">
            <w:pPr>
              <w:rPr>
                <w:rFonts w:ascii="Verdana" w:hAnsi="Verdana"/>
                <w:sz w:val="18"/>
                <w:szCs w:val="18"/>
              </w:rPr>
            </w:pPr>
            <w:r w:rsidRPr="000864AE">
              <w:rPr>
                <w:rFonts w:ascii="Verdana" w:hAnsi="Verdana"/>
                <w:sz w:val="18"/>
                <w:szCs w:val="18"/>
              </w:rPr>
              <w:t>Chirinos Arredondo Nancy Jesús</w:t>
            </w:r>
          </w:p>
        </w:tc>
      </w:tr>
      <w:tr w:rsidR="00EA38F6" w:rsidRPr="000864AE" w14:paraId="0A2A231E" w14:textId="77777777" w:rsidTr="00AC0C51">
        <w:trPr>
          <w:trHeight w:val="300"/>
        </w:trPr>
        <w:tc>
          <w:tcPr>
            <w:tcW w:w="668" w:type="dxa"/>
            <w:vAlign w:val="center"/>
            <w:hideMark/>
          </w:tcPr>
          <w:p w14:paraId="4B6CD7BC"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142</w:t>
            </w:r>
          </w:p>
        </w:tc>
        <w:tc>
          <w:tcPr>
            <w:tcW w:w="3835" w:type="dxa"/>
            <w:vAlign w:val="center"/>
            <w:hideMark/>
          </w:tcPr>
          <w:p w14:paraId="299D148D" w14:textId="77777777" w:rsidR="00EA38F6" w:rsidRPr="000864AE" w:rsidRDefault="00EA38F6" w:rsidP="000864AE">
            <w:pPr>
              <w:rPr>
                <w:rFonts w:ascii="Verdana" w:hAnsi="Verdana"/>
                <w:sz w:val="18"/>
                <w:szCs w:val="18"/>
              </w:rPr>
            </w:pPr>
            <w:r w:rsidRPr="000864AE">
              <w:rPr>
                <w:rFonts w:ascii="Verdana" w:hAnsi="Verdana"/>
                <w:sz w:val="18"/>
                <w:szCs w:val="18"/>
              </w:rPr>
              <w:t>Chois Málaga Armando Juan</w:t>
            </w:r>
          </w:p>
        </w:tc>
      </w:tr>
      <w:tr w:rsidR="00EA38F6" w:rsidRPr="000864AE" w14:paraId="76441B47" w14:textId="77777777" w:rsidTr="00AC0C51">
        <w:trPr>
          <w:trHeight w:val="300"/>
        </w:trPr>
        <w:tc>
          <w:tcPr>
            <w:tcW w:w="668" w:type="dxa"/>
            <w:vAlign w:val="center"/>
            <w:hideMark/>
          </w:tcPr>
          <w:p w14:paraId="0D91EABA"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143</w:t>
            </w:r>
          </w:p>
        </w:tc>
        <w:tc>
          <w:tcPr>
            <w:tcW w:w="3835" w:type="dxa"/>
            <w:vAlign w:val="center"/>
            <w:hideMark/>
          </w:tcPr>
          <w:p w14:paraId="31E69738" w14:textId="77777777" w:rsidR="00EA38F6" w:rsidRPr="000864AE" w:rsidRDefault="00EA38F6" w:rsidP="000864AE">
            <w:pPr>
              <w:rPr>
                <w:rFonts w:ascii="Verdana" w:hAnsi="Verdana"/>
                <w:sz w:val="18"/>
                <w:szCs w:val="18"/>
              </w:rPr>
            </w:pPr>
            <w:r w:rsidRPr="000864AE">
              <w:rPr>
                <w:rFonts w:ascii="Verdana" w:hAnsi="Verdana"/>
                <w:sz w:val="18"/>
                <w:szCs w:val="18"/>
              </w:rPr>
              <w:t>Chuquillanqui Domínguez Judith Elizabeth</w:t>
            </w:r>
          </w:p>
        </w:tc>
      </w:tr>
      <w:tr w:rsidR="00EA38F6" w:rsidRPr="000864AE" w14:paraId="2B49F6F0" w14:textId="77777777" w:rsidTr="00AC0C51">
        <w:trPr>
          <w:trHeight w:val="300"/>
        </w:trPr>
        <w:tc>
          <w:tcPr>
            <w:tcW w:w="668" w:type="dxa"/>
            <w:vAlign w:val="center"/>
            <w:hideMark/>
          </w:tcPr>
          <w:p w14:paraId="2DD76E20"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144</w:t>
            </w:r>
          </w:p>
        </w:tc>
        <w:tc>
          <w:tcPr>
            <w:tcW w:w="3835" w:type="dxa"/>
            <w:vAlign w:val="center"/>
            <w:hideMark/>
          </w:tcPr>
          <w:p w14:paraId="3CA89ADD" w14:textId="77777777" w:rsidR="00EA38F6" w:rsidRPr="000864AE" w:rsidRDefault="00EA38F6" w:rsidP="000864AE">
            <w:pPr>
              <w:rPr>
                <w:rFonts w:ascii="Verdana" w:hAnsi="Verdana"/>
                <w:sz w:val="18"/>
                <w:szCs w:val="18"/>
              </w:rPr>
            </w:pPr>
            <w:r w:rsidRPr="000864AE">
              <w:rPr>
                <w:rFonts w:ascii="Verdana" w:hAnsi="Verdana"/>
                <w:sz w:val="18"/>
                <w:szCs w:val="18"/>
              </w:rPr>
              <w:t>Chuquisengo Castillo Marianella</w:t>
            </w:r>
          </w:p>
        </w:tc>
      </w:tr>
      <w:tr w:rsidR="00EA38F6" w:rsidRPr="000864AE" w14:paraId="19E160E7" w14:textId="77777777" w:rsidTr="00AC0C51">
        <w:trPr>
          <w:trHeight w:val="300"/>
        </w:trPr>
        <w:tc>
          <w:tcPr>
            <w:tcW w:w="668" w:type="dxa"/>
            <w:vAlign w:val="center"/>
            <w:hideMark/>
          </w:tcPr>
          <w:p w14:paraId="4F93292E"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145</w:t>
            </w:r>
          </w:p>
        </w:tc>
        <w:tc>
          <w:tcPr>
            <w:tcW w:w="3835" w:type="dxa"/>
            <w:vAlign w:val="center"/>
            <w:hideMark/>
          </w:tcPr>
          <w:p w14:paraId="5B9FBB4D" w14:textId="77777777" w:rsidR="00EA38F6" w:rsidRPr="000864AE" w:rsidRDefault="00EA38F6" w:rsidP="000864AE">
            <w:pPr>
              <w:rPr>
                <w:rFonts w:ascii="Verdana" w:hAnsi="Verdana"/>
                <w:sz w:val="18"/>
                <w:szCs w:val="18"/>
              </w:rPr>
            </w:pPr>
            <w:r w:rsidRPr="000864AE">
              <w:rPr>
                <w:rFonts w:ascii="Verdana" w:hAnsi="Verdana"/>
                <w:sz w:val="18"/>
                <w:szCs w:val="18"/>
              </w:rPr>
              <w:t>Cipriani Rodríguez Jesús José</w:t>
            </w:r>
          </w:p>
        </w:tc>
      </w:tr>
      <w:tr w:rsidR="00EA38F6" w:rsidRPr="000864AE" w14:paraId="4DC13FDB" w14:textId="77777777" w:rsidTr="00AC0C51">
        <w:trPr>
          <w:trHeight w:val="300"/>
        </w:trPr>
        <w:tc>
          <w:tcPr>
            <w:tcW w:w="668" w:type="dxa"/>
            <w:vAlign w:val="center"/>
            <w:hideMark/>
          </w:tcPr>
          <w:p w14:paraId="764F2EEB"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146</w:t>
            </w:r>
          </w:p>
        </w:tc>
        <w:tc>
          <w:tcPr>
            <w:tcW w:w="3835" w:type="dxa"/>
            <w:vAlign w:val="center"/>
            <w:hideMark/>
          </w:tcPr>
          <w:p w14:paraId="56C7E5A1" w14:textId="77777777" w:rsidR="00EA38F6" w:rsidRPr="000864AE" w:rsidRDefault="00EA38F6" w:rsidP="000864AE">
            <w:pPr>
              <w:rPr>
                <w:rFonts w:ascii="Verdana" w:hAnsi="Verdana"/>
                <w:sz w:val="18"/>
                <w:szCs w:val="18"/>
              </w:rPr>
            </w:pPr>
            <w:r w:rsidRPr="000864AE">
              <w:rPr>
                <w:rFonts w:ascii="Verdana" w:hAnsi="Verdana"/>
                <w:sz w:val="18"/>
                <w:szCs w:val="18"/>
              </w:rPr>
              <w:t>Cipriani Rodríguez Pablo Eusebio</w:t>
            </w:r>
          </w:p>
        </w:tc>
      </w:tr>
      <w:tr w:rsidR="00EA38F6" w:rsidRPr="000864AE" w14:paraId="72B68BCC" w14:textId="77777777" w:rsidTr="00AC0C51">
        <w:trPr>
          <w:trHeight w:val="300"/>
        </w:trPr>
        <w:tc>
          <w:tcPr>
            <w:tcW w:w="668" w:type="dxa"/>
            <w:vAlign w:val="center"/>
            <w:hideMark/>
          </w:tcPr>
          <w:p w14:paraId="09BBA3C1"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147</w:t>
            </w:r>
          </w:p>
        </w:tc>
        <w:tc>
          <w:tcPr>
            <w:tcW w:w="3835" w:type="dxa"/>
            <w:vAlign w:val="center"/>
            <w:hideMark/>
          </w:tcPr>
          <w:p w14:paraId="7E85EBDD" w14:textId="77777777" w:rsidR="00EA38F6" w:rsidRPr="000864AE" w:rsidRDefault="00EA38F6" w:rsidP="000864AE">
            <w:pPr>
              <w:rPr>
                <w:rFonts w:ascii="Verdana" w:hAnsi="Verdana"/>
                <w:sz w:val="18"/>
                <w:szCs w:val="18"/>
              </w:rPr>
            </w:pPr>
            <w:r w:rsidRPr="000864AE">
              <w:rPr>
                <w:rFonts w:ascii="Verdana" w:hAnsi="Verdana"/>
                <w:sz w:val="18"/>
                <w:szCs w:val="18"/>
              </w:rPr>
              <w:t>Ciudad Amaya Francisco</w:t>
            </w:r>
          </w:p>
        </w:tc>
      </w:tr>
      <w:tr w:rsidR="00EA38F6" w:rsidRPr="001913D3" w14:paraId="424DE16C" w14:textId="77777777" w:rsidTr="00AC0C51">
        <w:trPr>
          <w:trHeight w:val="300"/>
        </w:trPr>
        <w:tc>
          <w:tcPr>
            <w:tcW w:w="668" w:type="dxa"/>
            <w:vAlign w:val="center"/>
            <w:hideMark/>
          </w:tcPr>
          <w:p w14:paraId="601DFD87"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148</w:t>
            </w:r>
          </w:p>
        </w:tc>
        <w:tc>
          <w:tcPr>
            <w:tcW w:w="3835" w:type="dxa"/>
            <w:vAlign w:val="center"/>
            <w:hideMark/>
          </w:tcPr>
          <w:p w14:paraId="79941DF3" w14:textId="77777777" w:rsidR="00EA38F6" w:rsidRPr="000864AE" w:rsidRDefault="00EA38F6" w:rsidP="000864AE">
            <w:pPr>
              <w:rPr>
                <w:rFonts w:ascii="Verdana" w:hAnsi="Verdana"/>
                <w:sz w:val="18"/>
                <w:szCs w:val="18"/>
                <w:lang w:val="en-US"/>
              </w:rPr>
            </w:pPr>
            <w:r w:rsidRPr="000864AE">
              <w:rPr>
                <w:rFonts w:ascii="Verdana" w:hAnsi="Verdana"/>
                <w:sz w:val="18"/>
                <w:szCs w:val="18"/>
                <w:lang w:val="en-US"/>
              </w:rPr>
              <w:t>Claros Chavera Manuel Williams Isaías</w:t>
            </w:r>
          </w:p>
        </w:tc>
      </w:tr>
      <w:tr w:rsidR="00EA38F6" w:rsidRPr="000864AE" w14:paraId="3C0167EB" w14:textId="77777777" w:rsidTr="00AC0C51">
        <w:trPr>
          <w:trHeight w:val="300"/>
        </w:trPr>
        <w:tc>
          <w:tcPr>
            <w:tcW w:w="668" w:type="dxa"/>
            <w:vAlign w:val="center"/>
            <w:hideMark/>
          </w:tcPr>
          <w:p w14:paraId="40CDC6AC"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149</w:t>
            </w:r>
          </w:p>
        </w:tc>
        <w:tc>
          <w:tcPr>
            <w:tcW w:w="3835" w:type="dxa"/>
            <w:vAlign w:val="center"/>
            <w:hideMark/>
          </w:tcPr>
          <w:p w14:paraId="314B978A" w14:textId="77777777" w:rsidR="00EA38F6" w:rsidRPr="000864AE" w:rsidRDefault="00EA38F6" w:rsidP="000864AE">
            <w:pPr>
              <w:rPr>
                <w:rFonts w:ascii="Verdana" w:hAnsi="Verdana"/>
                <w:sz w:val="18"/>
                <w:szCs w:val="18"/>
              </w:rPr>
            </w:pPr>
            <w:r w:rsidRPr="000864AE">
              <w:rPr>
                <w:rFonts w:ascii="Verdana" w:hAnsi="Verdana"/>
                <w:sz w:val="18"/>
                <w:szCs w:val="18"/>
              </w:rPr>
              <w:t>Cochachi Aguilar Sebastian</w:t>
            </w:r>
          </w:p>
        </w:tc>
      </w:tr>
      <w:tr w:rsidR="00EA38F6" w:rsidRPr="000864AE" w14:paraId="306E5FD9" w14:textId="77777777" w:rsidTr="00AC0C51">
        <w:trPr>
          <w:trHeight w:val="300"/>
        </w:trPr>
        <w:tc>
          <w:tcPr>
            <w:tcW w:w="668" w:type="dxa"/>
            <w:vAlign w:val="center"/>
            <w:hideMark/>
          </w:tcPr>
          <w:p w14:paraId="1CFC7399"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150</w:t>
            </w:r>
          </w:p>
        </w:tc>
        <w:tc>
          <w:tcPr>
            <w:tcW w:w="3835" w:type="dxa"/>
            <w:vAlign w:val="center"/>
            <w:hideMark/>
          </w:tcPr>
          <w:p w14:paraId="1BEB642A" w14:textId="77777777" w:rsidR="00EA38F6" w:rsidRPr="000864AE" w:rsidRDefault="00EA38F6" w:rsidP="000864AE">
            <w:pPr>
              <w:rPr>
                <w:rFonts w:ascii="Verdana" w:hAnsi="Verdana"/>
                <w:sz w:val="18"/>
                <w:szCs w:val="18"/>
              </w:rPr>
            </w:pPr>
            <w:r w:rsidRPr="000864AE">
              <w:rPr>
                <w:rFonts w:ascii="Verdana" w:hAnsi="Verdana"/>
                <w:sz w:val="18"/>
                <w:szCs w:val="18"/>
              </w:rPr>
              <w:t>Collado Oré Jorge Percy</w:t>
            </w:r>
          </w:p>
        </w:tc>
      </w:tr>
      <w:tr w:rsidR="00EA38F6" w:rsidRPr="000864AE" w14:paraId="3B168CC2" w14:textId="77777777" w:rsidTr="00AC0C51">
        <w:trPr>
          <w:trHeight w:val="300"/>
        </w:trPr>
        <w:tc>
          <w:tcPr>
            <w:tcW w:w="668" w:type="dxa"/>
            <w:vAlign w:val="center"/>
            <w:hideMark/>
          </w:tcPr>
          <w:p w14:paraId="155FD157"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151</w:t>
            </w:r>
          </w:p>
        </w:tc>
        <w:tc>
          <w:tcPr>
            <w:tcW w:w="3835" w:type="dxa"/>
            <w:vAlign w:val="center"/>
            <w:hideMark/>
          </w:tcPr>
          <w:p w14:paraId="17EEB15A" w14:textId="77777777" w:rsidR="00EA38F6" w:rsidRPr="000864AE" w:rsidRDefault="00EA38F6" w:rsidP="000864AE">
            <w:pPr>
              <w:rPr>
                <w:rFonts w:ascii="Verdana" w:hAnsi="Verdana"/>
                <w:sz w:val="18"/>
                <w:szCs w:val="18"/>
              </w:rPr>
            </w:pPr>
            <w:r w:rsidRPr="000864AE">
              <w:rPr>
                <w:rFonts w:ascii="Verdana" w:hAnsi="Verdana"/>
                <w:sz w:val="18"/>
                <w:szCs w:val="18"/>
              </w:rPr>
              <w:t>Concha Cervantes Luis Glider</w:t>
            </w:r>
          </w:p>
        </w:tc>
      </w:tr>
      <w:tr w:rsidR="00EA38F6" w:rsidRPr="000864AE" w14:paraId="78AD37B5" w14:textId="77777777" w:rsidTr="00AC0C51">
        <w:trPr>
          <w:trHeight w:val="300"/>
        </w:trPr>
        <w:tc>
          <w:tcPr>
            <w:tcW w:w="668" w:type="dxa"/>
            <w:vAlign w:val="center"/>
            <w:hideMark/>
          </w:tcPr>
          <w:p w14:paraId="6B22B7C1"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152</w:t>
            </w:r>
          </w:p>
        </w:tc>
        <w:tc>
          <w:tcPr>
            <w:tcW w:w="3835" w:type="dxa"/>
            <w:vAlign w:val="center"/>
            <w:hideMark/>
          </w:tcPr>
          <w:p w14:paraId="2DF059AE" w14:textId="77777777" w:rsidR="00EA38F6" w:rsidRPr="000864AE" w:rsidRDefault="00EA38F6" w:rsidP="000864AE">
            <w:pPr>
              <w:rPr>
                <w:rFonts w:ascii="Verdana" w:hAnsi="Verdana"/>
                <w:sz w:val="18"/>
                <w:szCs w:val="18"/>
              </w:rPr>
            </w:pPr>
            <w:r w:rsidRPr="000864AE">
              <w:rPr>
                <w:rFonts w:ascii="Verdana" w:hAnsi="Verdana"/>
                <w:sz w:val="18"/>
                <w:szCs w:val="18"/>
              </w:rPr>
              <w:t>Cóndor Quispe Rufina Teófila</w:t>
            </w:r>
          </w:p>
        </w:tc>
      </w:tr>
      <w:tr w:rsidR="00EA38F6" w:rsidRPr="000864AE" w14:paraId="52BD71DF" w14:textId="77777777" w:rsidTr="00AC0C51">
        <w:trPr>
          <w:trHeight w:val="300"/>
        </w:trPr>
        <w:tc>
          <w:tcPr>
            <w:tcW w:w="668" w:type="dxa"/>
            <w:vAlign w:val="center"/>
            <w:hideMark/>
          </w:tcPr>
          <w:p w14:paraId="283F103E"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153</w:t>
            </w:r>
          </w:p>
        </w:tc>
        <w:tc>
          <w:tcPr>
            <w:tcW w:w="3835" w:type="dxa"/>
            <w:vAlign w:val="center"/>
            <w:hideMark/>
          </w:tcPr>
          <w:p w14:paraId="165EED2C" w14:textId="77777777" w:rsidR="00EA38F6" w:rsidRPr="000864AE" w:rsidRDefault="00EA38F6" w:rsidP="000864AE">
            <w:pPr>
              <w:rPr>
                <w:rFonts w:ascii="Verdana" w:hAnsi="Verdana"/>
                <w:sz w:val="18"/>
                <w:szCs w:val="18"/>
              </w:rPr>
            </w:pPr>
            <w:r w:rsidRPr="000864AE">
              <w:rPr>
                <w:rFonts w:ascii="Verdana" w:hAnsi="Verdana"/>
                <w:sz w:val="18"/>
                <w:szCs w:val="18"/>
              </w:rPr>
              <w:t>Contreras Abanto Abdón Rufino</w:t>
            </w:r>
          </w:p>
        </w:tc>
      </w:tr>
      <w:tr w:rsidR="00EA38F6" w:rsidRPr="000864AE" w14:paraId="0DFA7634" w14:textId="77777777" w:rsidTr="00AC0C51">
        <w:trPr>
          <w:trHeight w:val="300"/>
        </w:trPr>
        <w:tc>
          <w:tcPr>
            <w:tcW w:w="668" w:type="dxa"/>
            <w:vAlign w:val="center"/>
            <w:hideMark/>
          </w:tcPr>
          <w:p w14:paraId="48C65D64"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154</w:t>
            </w:r>
          </w:p>
        </w:tc>
        <w:tc>
          <w:tcPr>
            <w:tcW w:w="3835" w:type="dxa"/>
            <w:vAlign w:val="center"/>
            <w:hideMark/>
          </w:tcPr>
          <w:p w14:paraId="7CF995F3" w14:textId="77777777" w:rsidR="00EA38F6" w:rsidRPr="000864AE" w:rsidRDefault="00EA38F6" w:rsidP="000864AE">
            <w:pPr>
              <w:rPr>
                <w:rFonts w:ascii="Verdana" w:hAnsi="Verdana"/>
                <w:sz w:val="18"/>
                <w:szCs w:val="18"/>
              </w:rPr>
            </w:pPr>
            <w:r w:rsidRPr="000864AE">
              <w:rPr>
                <w:rFonts w:ascii="Verdana" w:hAnsi="Verdana"/>
                <w:sz w:val="18"/>
                <w:szCs w:val="18"/>
              </w:rPr>
              <w:t>Contreras Gutiérrez Jesús Héctor</w:t>
            </w:r>
          </w:p>
        </w:tc>
      </w:tr>
      <w:tr w:rsidR="00EA38F6" w:rsidRPr="000864AE" w14:paraId="59087D4E" w14:textId="77777777" w:rsidTr="00AC0C51">
        <w:trPr>
          <w:trHeight w:val="300"/>
        </w:trPr>
        <w:tc>
          <w:tcPr>
            <w:tcW w:w="668" w:type="dxa"/>
            <w:vAlign w:val="center"/>
            <w:hideMark/>
          </w:tcPr>
          <w:p w14:paraId="5C956428"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155</w:t>
            </w:r>
          </w:p>
        </w:tc>
        <w:tc>
          <w:tcPr>
            <w:tcW w:w="3835" w:type="dxa"/>
            <w:vAlign w:val="center"/>
            <w:hideMark/>
          </w:tcPr>
          <w:p w14:paraId="6A30465E" w14:textId="77777777" w:rsidR="00EA38F6" w:rsidRPr="000864AE" w:rsidRDefault="00EA38F6" w:rsidP="000864AE">
            <w:pPr>
              <w:rPr>
                <w:rFonts w:ascii="Verdana" w:hAnsi="Verdana"/>
                <w:sz w:val="18"/>
                <w:szCs w:val="18"/>
              </w:rPr>
            </w:pPr>
            <w:r w:rsidRPr="000864AE">
              <w:rPr>
                <w:rFonts w:ascii="Verdana" w:hAnsi="Verdana"/>
                <w:sz w:val="18"/>
                <w:szCs w:val="18"/>
              </w:rPr>
              <w:t>Contreras Ordóñez Rigoberto</w:t>
            </w:r>
          </w:p>
        </w:tc>
      </w:tr>
      <w:tr w:rsidR="00EA38F6" w:rsidRPr="000864AE" w14:paraId="52E6AE4C" w14:textId="77777777" w:rsidTr="00AC0C51">
        <w:trPr>
          <w:trHeight w:val="300"/>
        </w:trPr>
        <w:tc>
          <w:tcPr>
            <w:tcW w:w="668" w:type="dxa"/>
            <w:vAlign w:val="center"/>
            <w:hideMark/>
          </w:tcPr>
          <w:p w14:paraId="35BC0E86"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156</w:t>
            </w:r>
          </w:p>
        </w:tc>
        <w:tc>
          <w:tcPr>
            <w:tcW w:w="3835" w:type="dxa"/>
            <w:vAlign w:val="center"/>
            <w:hideMark/>
          </w:tcPr>
          <w:p w14:paraId="0A8607D2" w14:textId="77777777" w:rsidR="00EA38F6" w:rsidRPr="000864AE" w:rsidRDefault="00EA38F6" w:rsidP="000864AE">
            <w:pPr>
              <w:rPr>
                <w:rFonts w:ascii="Verdana" w:hAnsi="Verdana"/>
                <w:sz w:val="18"/>
                <w:szCs w:val="18"/>
              </w:rPr>
            </w:pPr>
            <w:r w:rsidRPr="000864AE">
              <w:rPr>
                <w:rFonts w:ascii="Verdana" w:hAnsi="Verdana"/>
                <w:sz w:val="18"/>
                <w:szCs w:val="18"/>
              </w:rPr>
              <w:t>Córdova Córdova Ismael Vicente</w:t>
            </w:r>
          </w:p>
        </w:tc>
      </w:tr>
      <w:tr w:rsidR="00EA38F6" w:rsidRPr="000864AE" w14:paraId="12548685" w14:textId="77777777" w:rsidTr="00AC0C51">
        <w:trPr>
          <w:trHeight w:val="300"/>
        </w:trPr>
        <w:tc>
          <w:tcPr>
            <w:tcW w:w="668" w:type="dxa"/>
            <w:vAlign w:val="center"/>
            <w:hideMark/>
          </w:tcPr>
          <w:p w14:paraId="76B97D7C"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157</w:t>
            </w:r>
          </w:p>
        </w:tc>
        <w:tc>
          <w:tcPr>
            <w:tcW w:w="3835" w:type="dxa"/>
            <w:vAlign w:val="center"/>
            <w:hideMark/>
          </w:tcPr>
          <w:p w14:paraId="4510031F" w14:textId="77777777" w:rsidR="00EA38F6" w:rsidRPr="000864AE" w:rsidRDefault="00EA38F6" w:rsidP="000864AE">
            <w:pPr>
              <w:rPr>
                <w:rFonts w:ascii="Verdana" w:hAnsi="Verdana"/>
                <w:sz w:val="18"/>
                <w:szCs w:val="18"/>
              </w:rPr>
            </w:pPr>
            <w:r w:rsidRPr="000864AE">
              <w:rPr>
                <w:rFonts w:ascii="Verdana" w:hAnsi="Verdana"/>
                <w:sz w:val="18"/>
                <w:szCs w:val="18"/>
              </w:rPr>
              <w:t>Córdova De La Cuba Víctor Enrique</w:t>
            </w:r>
          </w:p>
        </w:tc>
      </w:tr>
      <w:tr w:rsidR="00EA38F6" w:rsidRPr="000864AE" w14:paraId="08854FF0" w14:textId="77777777" w:rsidTr="00AC0C51">
        <w:trPr>
          <w:trHeight w:val="300"/>
        </w:trPr>
        <w:tc>
          <w:tcPr>
            <w:tcW w:w="668" w:type="dxa"/>
            <w:vAlign w:val="center"/>
            <w:hideMark/>
          </w:tcPr>
          <w:p w14:paraId="4FB95004"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158</w:t>
            </w:r>
          </w:p>
        </w:tc>
        <w:tc>
          <w:tcPr>
            <w:tcW w:w="3835" w:type="dxa"/>
            <w:vAlign w:val="center"/>
            <w:hideMark/>
          </w:tcPr>
          <w:p w14:paraId="133F9008" w14:textId="77777777" w:rsidR="00EA38F6" w:rsidRPr="000864AE" w:rsidRDefault="00EA38F6" w:rsidP="000864AE">
            <w:pPr>
              <w:rPr>
                <w:rFonts w:ascii="Verdana" w:hAnsi="Verdana"/>
                <w:sz w:val="18"/>
                <w:szCs w:val="18"/>
              </w:rPr>
            </w:pPr>
            <w:r w:rsidRPr="000864AE">
              <w:rPr>
                <w:rFonts w:ascii="Verdana" w:hAnsi="Verdana"/>
                <w:sz w:val="18"/>
                <w:szCs w:val="18"/>
              </w:rPr>
              <w:t>Córdova Díaz Marco Amador</w:t>
            </w:r>
          </w:p>
        </w:tc>
      </w:tr>
      <w:tr w:rsidR="00EA38F6" w:rsidRPr="000864AE" w14:paraId="62B0B0CE" w14:textId="77777777" w:rsidTr="00AC0C51">
        <w:trPr>
          <w:trHeight w:val="300"/>
        </w:trPr>
        <w:tc>
          <w:tcPr>
            <w:tcW w:w="668" w:type="dxa"/>
            <w:vAlign w:val="center"/>
            <w:hideMark/>
          </w:tcPr>
          <w:p w14:paraId="7D58532B"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159</w:t>
            </w:r>
          </w:p>
        </w:tc>
        <w:tc>
          <w:tcPr>
            <w:tcW w:w="3835" w:type="dxa"/>
            <w:vAlign w:val="center"/>
            <w:hideMark/>
          </w:tcPr>
          <w:p w14:paraId="407BA689" w14:textId="77777777" w:rsidR="00EA38F6" w:rsidRPr="000864AE" w:rsidRDefault="00EA38F6" w:rsidP="000864AE">
            <w:pPr>
              <w:rPr>
                <w:rFonts w:ascii="Verdana" w:hAnsi="Verdana"/>
                <w:sz w:val="18"/>
                <w:szCs w:val="18"/>
              </w:rPr>
            </w:pPr>
            <w:r w:rsidRPr="000864AE">
              <w:rPr>
                <w:rFonts w:ascii="Verdana" w:hAnsi="Verdana"/>
                <w:sz w:val="18"/>
                <w:szCs w:val="18"/>
              </w:rPr>
              <w:t>Cori Borja Saturnino</w:t>
            </w:r>
          </w:p>
        </w:tc>
      </w:tr>
      <w:tr w:rsidR="00EA38F6" w:rsidRPr="000864AE" w14:paraId="0F2B8CE5" w14:textId="77777777" w:rsidTr="00AC0C51">
        <w:trPr>
          <w:trHeight w:val="300"/>
        </w:trPr>
        <w:tc>
          <w:tcPr>
            <w:tcW w:w="668" w:type="dxa"/>
            <w:vAlign w:val="center"/>
            <w:hideMark/>
          </w:tcPr>
          <w:p w14:paraId="2F7BC347"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160</w:t>
            </w:r>
          </w:p>
        </w:tc>
        <w:tc>
          <w:tcPr>
            <w:tcW w:w="3835" w:type="dxa"/>
            <w:vAlign w:val="center"/>
            <w:hideMark/>
          </w:tcPr>
          <w:p w14:paraId="39FF389C" w14:textId="77777777" w:rsidR="00EA38F6" w:rsidRPr="000864AE" w:rsidRDefault="00EA38F6" w:rsidP="000864AE">
            <w:pPr>
              <w:rPr>
                <w:rFonts w:ascii="Verdana" w:hAnsi="Verdana"/>
                <w:sz w:val="18"/>
                <w:szCs w:val="18"/>
              </w:rPr>
            </w:pPr>
            <w:r w:rsidRPr="000864AE">
              <w:rPr>
                <w:rFonts w:ascii="Verdana" w:hAnsi="Verdana"/>
                <w:sz w:val="18"/>
                <w:szCs w:val="18"/>
              </w:rPr>
              <w:t>Cornejo Calsina Marcos Delfín</w:t>
            </w:r>
          </w:p>
        </w:tc>
      </w:tr>
      <w:tr w:rsidR="00EA38F6" w:rsidRPr="000864AE" w14:paraId="1B1AF0F4" w14:textId="77777777" w:rsidTr="00AC0C51">
        <w:trPr>
          <w:trHeight w:val="300"/>
        </w:trPr>
        <w:tc>
          <w:tcPr>
            <w:tcW w:w="668" w:type="dxa"/>
            <w:vAlign w:val="center"/>
            <w:hideMark/>
          </w:tcPr>
          <w:p w14:paraId="14C8E6F7"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161</w:t>
            </w:r>
          </w:p>
        </w:tc>
        <w:tc>
          <w:tcPr>
            <w:tcW w:w="3835" w:type="dxa"/>
            <w:vAlign w:val="center"/>
            <w:hideMark/>
          </w:tcPr>
          <w:p w14:paraId="7A5146ED" w14:textId="77777777" w:rsidR="00EA38F6" w:rsidRPr="000864AE" w:rsidRDefault="00EA38F6" w:rsidP="000864AE">
            <w:pPr>
              <w:rPr>
                <w:rFonts w:ascii="Verdana" w:hAnsi="Verdana"/>
                <w:sz w:val="18"/>
                <w:szCs w:val="18"/>
              </w:rPr>
            </w:pPr>
            <w:r w:rsidRPr="000864AE">
              <w:rPr>
                <w:rFonts w:ascii="Verdana" w:hAnsi="Verdana"/>
                <w:sz w:val="18"/>
                <w:szCs w:val="18"/>
              </w:rPr>
              <w:t>Correa Meza Dalila</w:t>
            </w:r>
          </w:p>
        </w:tc>
      </w:tr>
      <w:tr w:rsidR="00EA38F6" w:rsidRPr="000864AE" w14:paraId="6F5FE558" w14:textId="77777777" w:rsidTr="00AC0C51">
        <w:trPr>
          <w:trHeight w:val="300"/>
        </w:trPr>
        <w:tc>
          <w:tcPr>
            <w:tcW w:w="668" w:type="dxa"/>
            <w:vAlign w:val="center"/>
            <w:hideMark/>
          </w:tcPr>
          <w:p w14:paraId="739A880B"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162</w:t>
            </w:r>
          </w:p>
        </w:tc>
        <w:tc>
          <w:tcPr>
            <w:tcW w:w="3835" w:type="dxa"/>
            <w:vAlign w:val="center"/>
            <w:hideMark/>
          </w:tcPr>
          <w:p w14:paraId="0A62122C" w14:textId="77777777" w:rsidR="00EA38F6" w:rsidRPr="000864AE" w:rsidRDefault="00EA38F6" w:rsidP="000864AE">
            <w:pPr>
              <w:rPr>
                <w:rFonts w:ascii="Verdana" w:hAnsi="Verdana"/>
                <w:sz w:val="18"/>
                <w:szCs w:val="18"/>
              </w:rPr>
            </w:pPr>
            <w:r w:rsidRPr="000864AE">
              <w:rPr>
                <w:rFonts w:ascii="Verdana" w:hAnsi="Verdana"/>
                <w:sz w:val="18"/>
                <w:szCs w:val="18"/>
              </w:rPr>
              <w:t>Corzo Morón Juan Alejandro</w:t>
            </w:r>
          </w:p>
        </w:tc>
      </w:tr>
      <w:tr w:rsidR="00EA38F6" w:rsidRPr="000864AE" w14:paraId="154AC1A3" w14:textId="77777777" w:rsidTr="00AC0C51">
        <w:trPr>
          <w:trHeight w:val="300"/>
        </w:trPr>
        <w:tc>
          <w:tcPr>
            <w:tcW w:w="668" w:type="dxa"/>
            <w:vAlign w:val="center"/>
            <w:hideMark/>
          </w:tcPr>
          <w:p w14:paraId="4CEE461F"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163</w:t>
            </w:r>
          </w:p>
        </w:tc>
        <w:tc>
          <w:tcPr>
            <w:tcW w:w="3835" w:type="dxa"/>
            <w:vAlign w:val="center"/>
            <w:hideMark/>
          </w:tcPr>
          <w:p w14:paraId="6C04F57E" w14:textId="77777777" w:rsidR="00EA38F6" w:rsidRPr="000864AE" w:rsidRDefault="00EA38F6" w:rsidP="000864AE">
            <w:pPr>
              <w:rPr>
                <w:rFonts w:ascii="Verdana" w:hAnsi="Verdana"/>
                <w:sz w:val="18"/>
                <w:szCs w:val="18"/>
              </w:rPr>
            </w:pPr>
            <w:r w:rsidRPr="000864AE">
              <w:rPr>
                <w:rFonts w:ascii="Verdana" w:hAnsi="Verdana"/>
                <w:sz w:val="18"/>
                <w:szCs w:val="18"/>
              </w:rPr>
              <w:t>Costa Morales Rosina</w:t>
            </w:r>
          </w:p>
        </w:tc>
      </w:tr>
      <w:tr w:rsidR="00EA38F6" w:rsidRPr="000864AE" w14:paraId="2EEA642F" w14:textId="77777777" w:rsidTr="00AC0C51">
        <w:trPr>
          <w:trHeight w:val="300"/>
        </w:trPr>
        <w:tc>
          <w:tcPr>
            <w:tcW w:w="668" w:type="dxa"/>
            <w:vAlign w:val="center"/>
            <w:hideMark/>
          </w:tcPr>
          <w:p w14:paraId="6FF33C30"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164</w:t>
            </w:r>
          </w:p>
        </w:tc>
        <w:tc>
          <w:tcPr>
            <w:tcW w:w="3835" w:type="dxa"/>
            <w:vAlign w:val="center"/>
            <w:hideMark/>
          </w:tcPr>
          <w:p w14:paraId="6159038F" w14:textId="77777777" w:rsidR="00EA38F6" w:rsidRPr="000864AE" w:rsidRDefault="00EA38F6" w:rsidP="000864AE">
            <w:pPr>
              <w:rPr>
                <w:rFonts w:ascii="Verdana" w:hAnsi="Verdana"/>
                <w:sz w:val="18"/>
                <w:szCs w:val="18"/>
              </w:rPr>
            </w:pPr>
            <w:r w:rsidRPr="000864AE">
              <w:rPr>
                <w:rFonts w:ascii="Verdana" w:hAnsi="Verdana"/>
                <w:sz w:val="18"/>
                <w:szCs w:val="18"/>
              </w:rPr>
              <w:t xml:space="preserve">Cruz Mac Lean Dante Salomón </w:t>
            </w:r>
          </w:p>
        </w:tc>
      </w:tr>
      <w:tr w:rsidR="00EA38F6" w:rsidRPr="000864AE" w14:paraId="60C37438" w14:textId="77777777" w:rsidTr="00AC0C51">
        <w:trPr>
          <w:trHeight w:val="285"/>
        </w:trPr>
        <w:tc>
          <w:tcPr>
            <w:tcW w:w="668" w:type="dxa"/>
            <w:vAlign w:val="center"/>
            <w:hideMark/>
          </w:tcPr>
          <w:p w14:paraId="711233BE"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165</w:t>
            </w:r>
          </w:p>
        </w:tc>
        <w:tc>
          <w:tcPr>
            <w:tcW w:w="3835" w:type="dxa"/>
            <w:vAlign w:val="center"/>
            <w:hideMark/>
          </w:tcPr>
          <w:p w14:paraId="6257E39A" w14:textId="77777777" w:rsidR="00EA38F6" w:rsidRPr="000864AE" w:rsidRDefault="00EA38F6" w:rsidP="000864AE">
            <w:pPr>
              <w:rPr>
                <w:rFonts w:ascii="Verdana" w:hAnsi="Verdana"/>
                <w:sz w:val="18"/>
                <w:szCs w:val="18"/>
              </w:rPr>
            </w:pPr>
            <w:r w:rsidRPr="000864AE">
              <w:rPr>
                <w:rFonts w:ascii="Verdana" w:hAnsi="Verdana"/>
                <w:sz w:val="18"/>
                <w:szCs w:val="18"/>
              </w:rPr>
              <w:t>Cuba Torres José Luis</w:t>
            </w:r>
          </w:p>
        </w:tc>
      </w:tr>
      <w:tr w:rsidR="00EA38F6" w:rsidRPr="000864AE" w14:paraId="05CEC54D" w14:textId="77777777" w:rsidTr="00AC0C51">
        <w:trPr>
          <w:trHeight w:val="300"/>
        </w:trPr>
        <w:tc>
          <w:tcPr>
            <w:tcW w:w="668" w:type="dxa"/>
            <w:vAlign w:val="center"/>
            <w:hideMark/>
          </w:tcPr>
          <w:p w14:paraId="454E6A0D"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166</w:t>
            </w:r>
          </w:p>
        </w:tc>
        <w:tc>
          <w:tcPr>
            <w:tcW w:w="3835" w:type="dxa"/>
            <w:vAlign w:val="center"/>
            <w:hideMark/>
          </w:tcPr>
          <w:p w14:paraId="6C47492A" w14:textId="77777777" w:rsidR="00EA38F6" w:rsidRPr="000864AE" w:rsidRDefault="00EA38F6" w:rsidP="000864AE">
            <w:pPr>
              <w:rPr>
                <w:rFonts w:ascii="Verdana" w:hAnsi="Verdana"/>
                <w:sz w:val="18"/>
                <w:szCs w:val="18"/>
              </w:rPr>
            </w:pPr>
            <w:r w:rsidRPr="000864AE">
              <w:rPr>
                <w:rFonts w:ascii="Verdana" w:hAnsi="Verdana"/>
                <w:sz w:val="18"/>
                <w:szCs w:val="18"/>
              </w:rPr>
              <w:t>Cuervo Larrea Mario Antonio</w:t>
            </w:r>
          </w:p>
        </w:tc>
      </w:tr>
      <w:tr w:rsidR="00EA38F6" w:rsidRPr="000864AE" w14:paraId="5077A379" w14:textId="77777777" w:rsidTr="00AC0C51">
        <w:trPr>
          <w:trHeight w:val="300"/>
        </w:trPr>
        <w:tc>
          <w:tcPr>
            <w:tcW w:w="668" w:type="dxa"/>
            <w:vAlign w:val="center"/>
            <w:hideMark/>
          </w:tcPr>
          <w:p w14:paraId="6873C3F5"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167</w:t>
            </w:r>
          </w:p>
        </w:tc>
        <w:tc>
          <w:tcPr>
            <w:tcW w:w="3835" w:type="dxa"/>
            <w:vAlign w:val="center"/>
            <w:hideMark/>
          </w:tcPr>
          <w:p w14:paraId="3C31758E" w14:textId="77777777" w:rsidR="00EA38F6" w:rsidRPr="000864AE" w:rsidRDefault="00EA38F6" w:rsidP="000864AE">
            <w:pPr>
              <w:rPr>
                <w:rFonts w:ascii="Verdana" w:hAnsi="Verdana"/>
                <w:sz w:val="18"/>
                <w:szCs w:val="18"/>
              </w:rPr>
            </w:pPr>
            <w:r w:rsidRPr="000864AE">
              <w:rPr>
                <w:rFonts w:ascii="Verdana" w:hAnsi="Verdana"/>
                <w:sz w:val="18"/>
                <w:szCs w:val="18"/>
              </w:rPr>
              <w:t>Cueva Lluncor José Francisco</w:t>
            </w:r>
          </w:p>
        </w:tc>
      </w:tr>
      <w:tr w:rsidR="00EA38F6" w:rsidRPr="000864AE" w14:paraId="096BF292" w14:textId="77777777" w:rsidTr="00AC0C51">
        <w:trPr>
          <w:trHeight w:val="300"/>
        </w:trPr>
        <w:tc>
          <w:tcPr>
            <w:tcW w:w="668" w:type="dxa"/>
            <w:vAlign w:val="center"/>
            <w:hideMark/>
          </w:tcPr>
          <w:p w14:paraId="18C73F76"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168</w:t>
            </w:r>
          </w:p>
        </w:tc>
        <w:tc>
          <w:tcPr>
            <w:tcW w:w="3835" w:type="dxa"/>
            <w:vAlign w:val="center"/>
            <w:hideMark/>
          </w:tcPr>
          <w:p w14:paraId="2EDA57ED" w14:textId="77777777" w:rsidR="00EA38F6" w:rsidRPr="000864AE" w:rsidRDefault="00EA38F6" w:rsidP="000864AE">
            <w:pPr>
              <w:rPr>
                <w:rFonts w:ascii="Verdana" w:hAnsi="Verdana"/>
                <w:sz w:val="18"/>
                <w:szCs w:val="18"/>
              </w:rPr>
            </w:pPr>
            <w:r w:rsidRPr="000864AE">
              <w:rPr>
                <w:rFonts w:ascii="Verdana" w:hAnsi="Verdana"/>
                <w:sz w:val="18"/>
                <w:szCs w:val="18"/>
              </w:rPr>
              <w:t>Cunti Bardales Nancy Ruth</w:t>
            </w:r>
          </w:p>
        </w:tc>
      </w:tr>
      <w:tr w:rsidR="00EA38F6" w:rsidRPr="000864AE" w14:paraId="353DF70E" w14:textId="77777777" w:rsidTr="00AC0C51">
        <w:trPr>
          <w:trHeight w:val="300"/>
        </w:trPr>
        <w:tc>
          <w:tcPr>
            <w:tcW w:w="668" w:type="dxa"/>
            <w:vAlign w:val="center"/>
            <w:hideMark/>
          </w:tcPr>
          <w:p w14:paraId="0D458BDB"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169</w:t>
            </w:r>
          </w:p>
        </w:tc>
        <w:tc>
          <w:tcPr>
            <w:tcW w:w="3835" w:type="dxa"/>
            <w:vAlign w:val="center"/>
            <w:hideMark/>
          </w:tcPr>
          <w:p w14:paraId="4013089B" w14:textId="77777777" w:rsidR="00EA38F6" w:rsidRPr="000864AE" w:rsidRDefault="00EA38F6" w:rsidP="000864AE">
            <w:pPr>
              <w:rPr>
                <w:rFonts w:ascii="Verdana" w:hAnsi="Verdana"/>
                <w:sz w:val="18"/>
                <w:szCs w:val="18"/>
              </w:rPr>
            </w:pPr>
            <w:r w:rsidRPr="000864AE">
              <w:rPr>
                <w:rFonts w:ascii="Verdana" w:hAnsi="Verdana"/>
                <w:sz w:val="18"/>
                <w:szCs w:val="18"/>
              </w:rPr>
              <w:t>Cunyas Pino Luis Antonio</w:t>
            </w:r>
          </w:p>
        </w:tc>
      </w:tr>
      <w:tr w:rsidR="00EA38F6" w:rsidRPr="000864AE" w14:paraId="086D8A8F" w14:textId="77777777" w:rsidTr="00AC0C51">
        <w:trPr>
          <w:trHeight w:val="300"/>
        </w:trPr>
        <w:tc>
          <w:tcPr>
            <w:tcW w:w="668" w:type="dxa"/>
            <w:vAlign w:val="center"/>
            <w:hideMark/>
          </w:tcPr>
          <w:p w14:paraId="253B9846"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170</w:t>
            </w:r>
          </w:p>
        </w:tc>
        <w:tc>
          <w:tcPr>
            <w:tcW w:w="3835" w:type="dxa"/>
            <w:vAlign w:val="center"/>
            <w:hideMark/>
          </w:tcPr>
          <w:p w14:paraId="7A4D7424" w14:textId="77777777" w:rsidR="00EA38F6" w:rsidRPr="000864AE" w:rsidRDefault="00EA38F6" w:rsidP="000864AE">
            <w:pPr>
              <w:rPr>
                <w:rFonts w:ascii="Verdana" w:hAnsi="Verdana"/>
                <w:sz w:val="18"/>
                <w:szCs w:val="18"/>
              </w:rPr>
            </w:pPr>
            <w:r w:rsidRPr="000864AE">
              <w:rPr>
                <w:rFonts w:ascii="Verdana" w:hAnsi="Verdana"/>
                <w:sz w:val="18"/>
                <w:szCs w:val="18"/>
              </w:rPr>
              <w:t>Curse Montoya Jorge</w:t>
            </w:r>
          </w:p>
        </w:tc>
      </w:tr>
      <w:tr w:rsidR="00EA38F6" w:rsidRPr="000864AE" w14:paraId="51FA7D9A" w14:textId="77777777" w:rsidTr="00AC0C51">
        <w:trPr>
          <w:trHeight w:val="300"/>
        </w:trPr>
        <w:tc>
          <w:tcPr>
            <w:tcW w:w="668" w:type="dxa"/>
            <w:vAlign w:val="center"/>
            <w:hideMark/>
          </w:tcPr>
          <w:p w14:paraId="6D693EA1"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171</w:t>
            </w:r>
          </w:p>
        </w:tc>
        <w:tc>
          <w:tcPr>
            <w:tcW w:w="3835" w:type="dxa"/>
            <w:vAlign w:val="center"/>
            <w:hideMark/>
          </w:tcPr>
          <w:p w14:paraId="7994868B" w14:textId="77777777" w:rsidR="00EA38F6" w:rsidRPr="000864AE" w:rsidRDefault="00EA38F6" w:rsidP="000864AE">
            <w:pPr>
              <w:rPr>
                <w:rFonts w:ascii="Verdana" w:hAnsi="Verdana"/>
                <w:sz w:val="18"/>
                <w:szCs w:val="18"/>
              </w:rPr>
            </w:pPr>
            <w:r w:rsidRPr="000864AE">
              <w:rPr>
                <w:rFonts w:ascii="Verdana" w:hAnsi="Verdana"/>
                <w:sz w:val="18"/>
                <w:szCs w:val="18"/>
              </w:rPr>
              <w:t>Daga Soto Máximo</w:t>
            </w:r>
          </w:p>
        </w:tc>
      </w:tr>
      <w:tr w:rsidR="00EA38F6" w:rsidRPr="000864AE" w14:paraId="51B7BD33" w14:textId="77777777" w:rsidTr="00AC0C51">
        <w:trPr>
          <w:trHeight w:val="300"/>
        </w:trPr>
        <w:tc>
          <w:tcPr>
            <w:tcW w:w="668" w:type="dxa"/>
            <w:vAlign w:val="center"/>
            <w:hideMark/>
          </w:tcPr>
          <w:p w14:paraId="11B16792"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172</w:t>
            </w:r>
          </w:p>
        </w:tc>
        <w:tc>
          <w:tcPr>
            <w:tcW w:w="3835" w:type="dxa"/>
            <w:vAlign w:val="center"/>
            <w:hideMark/>
          </w:tcPr>
          <w:p w14:paraId="5DDF11B9" w14:textId="77777777" w:rsidR="00EA38F6" w:rsidRPr="000864AE" w:rsidRDefault="00EA38F6" w:rsidP="000864AE">
            <w:pPr>
              <w:rPr>
                <w:rFonts w:ascii="Verdana" w:hAnsi="Verdana"/>
                <w:sz w:val="18"/>
                <w:szCs w:val="18"/>
              </w:rPr>
            </w:pPr>
            <w:r w:rsidRPr="000864AE">
              <w:rPr>
                <w:rFonts w:ascii="Verdana" w:hAnsi="Verdana"/>
                <w:sz w:val="18"/>
                <w:szCs w:val="18"/>
              </w:rPr>
              <w:t>Dávila Avellaneda Demetrio</w:t>
            </w:r>
          </w:p>
        </w:tc>
      </w:tr>
      <w:tr w:rsidR="00EA38F6" w:rsidRPr="000864AE" w14:paraId="595D7421" w14:textId="77777777" w:rsidTr="00AC0C51">
        <w:trPr>
          <w:trHeight w:val="300"/>
        </w:trPr>
        <w:tc>
          <w:tcPr>
            <w:tcW w:w="668" w:type="dxa"/>
            <w:vAlign w:val="center"/>
            <w:hideMark/>
          </w:tcPr>
          <w:p w14:paraId="10E222F3"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173</w:t>
            </w:r>
          </w:p>
        </w:tc>
        <w:tc>
          <w:tcPr>
            <w:tcW w:w="3835" w:type="dxa"/>
            <w:vAlign w:val="center"/>
            <w:hideMark/>
          </w:tcPr>
          <w:p w14:paraId="4E637A73" w14:textId="77777777" w:rsidR="00EA38F6" w:rsidRPr="000864AE" w:rsidRDefault="00EA38F6" w:rsidP="000864AE">
            <w:pPr>
              <w:rPr>
                <w:rFonts w:ascii="Verdana" w:hAnsi="Verdana"/>
                <w:sz w:val="18"/>
                <w:szCs w:val="18"/>
              </w:rPr>
            </w:pPr>
            <w:r w:rsidRPr="000864AE">
              <w:rPr>
                <w:rFonts w:ascii="Verdana" w:hAnsi="Verdana"/>
                <w:sz w:val="18"/>
                <w:szCs w:val="18"/>
              </w:rPr>
              <w:t>Dávila Mango Nemo Andrés</w:t>
            </w:r>
          </w:p>
        </w:tc>
      </w:tr>
      <w:tr w:rsidR="00EA38F6" w:rsidRPr="000864AE" w14:paraId="03F6038D" w14:textId="77777777" w:rsidTr="00AC0C51">
        <w:trPr>
          <w:trHeight w:val="300"/>
        </w:trPr>
        <w:tc>
          <w:tcPr>
            <w:tcW w:w="668" w:type="dxa"/>
            <w:vAlign w:val="center"/>
            <w:hideMark/>
          </w:tcPr>
          <w:p w14:paraId="713CF478"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174</w:t>
            </w:r>
          </w:p>
        </w:tc>
        <w:tc>
          <w:tcPr>
            <w:tcW w:w="3835" w:type="dxa"/>
            <w:vAlign w:val="center"/>
            <w:hideMark/>
          </w:tcPr>
          <w:p w14:paraId="4A7BA1AB" w14:textId="77777777" w:rsidR="00EA38F6" w:rsidRPr="000864AE" w:rsidRDefault="00EA38F6" w:rsidP="000864AE">
            <w:pPr>
              <w:rPr>
                <w:rFonts w:ascii="Verdana" w:hAnsi="Verdana"/>
                <w:sz w:val="18"/>
                <w:szCs w:val="18"/>
              </w:rPr>
            </w:pPr>
            <w:r w:rsidRPr="000864AE">
              <w:rPr>
                <w:rFonts w:ascii="Verdana" w:hAnsi="Verdana"/>
                <w:sz w:val="18"/>
                <w:szCs w:val="18"/>
              </w:rPr>
              <w:t>Dávila Ramírez Segundo Diómedes</w:t>
            </w:r>
          </w:p>
        </w:tc>
      </w:tr>
      <w:tr w:rsidR="00EA38F6" w:rsidRPr="000864AE" w14:paraId="51C1E078" w14:textId="77777777" w:rsidTr="00AC0C51">
        <w:trPr>
          <w:trHeight w:val="300"/>
        </w:trPr>
        <w:tc>
          <w:tcPr>
            <w:tcW w:w="668" w:type="dxa"/>
            <w:vAlign w:val="center"/>
            <w:hideMark/>
          </w:tcPr>
          <w:p w14:paraId="0FF2F751"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175</w:t>
            </w:r>
          </w:p>
        </w:tc>
        <w:tc>
          <w:tcPr>
            <w:tcW w:w="3835" w:type="dxa"/>
            <w:vAlign w:val="center"/>
            <w:hideMark/>
          </w:tcPr>
          <w:p w14:paraId="77068FA7" w14:textId="77777777" w:rsidR="00EA38F6" w:rsidRPr="000864AE" w:rsidRDefault="00EA38F6" w:rsidP="000864AE">
            <w:pPr>
              <w:rPr>
                <w:rFonts w:ascii="Verdana" w:hAnsi="Verdana"/>
                <w:sz w:val="18"/>
                <w:szCs w:val="18"/>
              </w:rPr>
            </w:pPr>
            <w:r w:rsidRPr="000864AE">
              <w:rPr>
                <w:rFonts w:ascii="Verdana" w:hAnsi="Verdana"/>
                <w:sz w:val="18"/>
                <w:szCs w:val="18"/>
              </w:rPr>
              <w:t>Dávila Reátegui Jorge Alberto</w:t>
            </w:r>
          </w:p>
        </w:tc>
      </w:tr>
      <w:tr w:rsidR="00EA38F6" w:rsidRPr="000864AE" w14:paraId="02EC2039" w14:textId="77777777" w:rsidTr="00AC0C51">
        <w:trPr>
          <w:trHeight w:val="300"/>
        </w:trPr>
        <w:tc>
          <w:tcPr>
            <w:tcW w:w="668" w:type="dxa"/>
            <w:vAlign w:val="center"/>
            <w:hideMark/>
          </w:tcPr>
          <w:p w14:paraId="15CD3D87"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176</w:t>
            </w:r>
          </w:p>
        </w:tc>
        <w:tc>
          <w:tcPr>
            <w:tcW w:w="3835" w:type="dxa"/>
            <w:vAlign w:val="center"/>
            <w:hideMark/>
          </w:tcPr>
          <w:p w14:paraId="7DBE2707" w14:textId="77777777" w:rsidR="00EA38F6" w:rsidRPr="000864AE" w:rsidRDefault="00EA38F6" w:rsidP="000864AE">
            <w:pPr>
              <w:rPr>
                <w:rFonts w:ascii="Verdana" w:hAnsi="Verdana"/>
                <w:sz w:val="18"/>
                <w:szCs w:val="18"/>
              </w:rPr>
            </w:pPr>
            <w:r w:rsidRPr="000864AE">
              <w:rPr>
                <w:rFonts w:ascii="Verdana" w:hAnsi="Verdana"/>
                <w:sz w:val="18"/>
                <w:szCs w:val="18"/>
              </w:rPr>
              <w:t>De La Cruz Casos Oswaldo</w:t>
            </w:r>
          </w:p>
        </w:tc>
      </w:tr>
      <w:tr w:rsidR="00EA38F6" w:rsidRPr="000864AE" w14:paraId="3970AB8E" w14:textId="77777777" w:rsidTr="00AC0C51">
        <w:trPr>
          <w:trHeight w:val="300"/>
        </w:trPr>
        <w:tc>
          <w:tcPr>
            <w:tcW w:w="668" w:type="dxa"/>
            <w:vAlign w:val="center"/>
            <w:hideMark/>
          </w:tcPr>
          <w:p w14:paraId="379CD4BE"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177</w:t>
            </w:r>
          </w:p>
        </w:tc>
        <w:tc>
          <w:tcPr>
            <w:tcW w:w="3835" w:type="dxa"/>
            <w:vAlign w:val="center"/>
            <w:hideMark/>
          </w:tcPr>
          <w:p w14:paraId="169A530C" w14:textId="77777777" w:rsidR="00EA38F6" w:rsidRPr="000864AE" w:rsidRDefault="00EA38F6" w:rsidP="000864AE">
            <w:pPr>
              <w:rPr>
                <w:rFonts w:ascii="Verdana" w:hAnsi="Verdana"/>
                <w:sz w:val="18"/>
                <w:szCs w:val="18"/>
              </w:rPr>
            </w:pPr>
            <w:r w:rsidRPr="000864AE">
              <w:rPr>
                <w:rFonts w:ascii="Verdana" w:hAnsi="Verdana"/>
                <w:sz w:val="18"/>
                <w:szCs w:val="18"/>
              </w:rPr>
              <w:t>De La Cruz López Juan</w:t>
            </w:r>
          </w:p>
        </w:tc>
      </w:tr>
      <w:tr w:rsidR="00EA38F6" w:rsidRPr="000864AE" w14:paraId="51E16A8E" w14:textId="77777777" w:rsidTr="00AC0C51">
        <w:trPr>
          <w:trHeight w:val="300"/>
        </w:trPr>
        <w:tc>
          <w:tcPr>
            <w:tcW w:w="668" w:type="dxa"/>
            <w:vAlign w:val="center"/>
            <w:hideMark/>
          </w:tcPr>
          <w:p w14:paraId="32724945"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178</w:t>
            </w:r>
          </w:p>
        </w:tc>
        <w:tc>
          <w:tcPr>
            <w:tcW w:w="3835" w:type="dxa"/>
            <w:vAlign w:val="center"/>
            <w:hideMark/>
          </w:tcPr>
          <w:p w14:paraId="65719802" w14:textId="77777777" w:rsidR="00EA38F6" w:rsidRPr="000864AE" w:rsidRDefault="00EA38F6" w:rsidP="000864AE">
            <w:pPr>
              <w:rPr>
                <w:rFonts w:ascii="Verdana" w:hAnsi="Verdana"/>
                <w:sz w:val="18"/>
                <w:szCs w:val="18"/>
              </w:rPr>
            </w:pPr>
            <w:r w:rsidRPr="000864AE">
              <w:rPr>
                <w:rFonts w:ascii="Verdana" w:hAnsi="Verdana"/>
                <w:sz w:val="18"/>
                <w:szCs w:val="18"/>
              </w:rPr>
              <w:t>De La Fuente Guzmán María Adelina</w:t>
            </w:r>
          </w:p>
        </w:tc>
      </w:tr>
      <w:tr w:rsidR="00EA38F6" w:rsidRPr="000864AE" w14:paraId="4EAA7CE0" w14:textId="77777777" w:rsidTr="00AC0C51">
        <w:trPr>
          <w:trHeight w:val="300"/>
        </w:trPr>
        <w:tc>
          <w:tcPr>
            <w:tcW w:w="668" w:type="dxa"/>
            <w:vAlign w:val="center"/>
            <w:hideMark/>
          </w:tcPr>
          <w:p w14:paraId="4FC19DA8"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179</w:t>
            </w:r>
          </w:p>
        </w:tc>
        <w:tc>
          <w:tcPr>
            <w:tcW w:w="3835" w:type="dxa"/>
            <w:vAlign w:val="center"/>
            <w:hideMark/>
          </w:tcPr>
          <w:p w14:paraId="51CA083A" w14:textId="77777777" w:rsidR="00EA38F6" w:rsidRPr="000864AE" w:rsidRDefault="00EA38F6" w:rsidP="000864AE">
            <w:pPr>
              <w:rPr>
                <w:rFonts w:ascii="Verdana" w:hAnsi="Verdana"/>
                <w:sz w:val="18"/>
                <w:szCs w:val="18"/>
              </w:rPr>
            </w:pPr>
            <w:r w:rsidRPr="000864AE">
              <w:rPr>
                <w:rFonts w:ascii="Verdana" w:hAnsi="Verdana"/>
                <w:sz w:val="18"/>
                <w:szCs w:val="18"/>
              </w:rPr>
              <w:t>Del Carmen Sánchez Martha</w:t>
            </w:r>
          </w:p>
        </w:tc>
      </w:tr>
      <w:tr w:rsidR="00EA38F6" w:rsidRPr="000864AE" w14:paraId="61F82D44" w14:textId="77777777" w:rsidTr="00AC0C51">
        <w:trPr>
          <w:trHeight w:val="300"/>
        </w:trPr>
        <w:tc>
          <w:tcPr>
            <w:tcW w:w="668" w:type="dxa"/>
            <w:vAlign w:val="center"/>
            <w:hideMark/>
          </w:tcPr>
          <w:p w14:paraId="7D85751D"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180</w:t>
            </w:r>
          </w:p>
        </w:tc>
        <w:tc>
          <w:tcPr>
            <w:tcW w:w="3835" w:type="dxa"/>
            <w:vAlign w:val="center"/>
            <w:hideMark/>
          </w:tcPr>
          <w:p w14:paraId="03EACE47" w14:textId="77777777" w:rsidR="00EA38F6" w:rsidRPr="000864AE" w:rsidRDefault="00EA38F6" w:rsidP="000864AE">
            <w:pPr>
              <w:rPr>
                <w:rFonts w:ascii="Verdana" w:hAnsi="Verdana"/>
                <w:sz w:val="18"/>
                <w:szCs w:val="18"/>
              </w:rPr>
            </w:pPr>
            <w:r w:rsidRPr="000864AE">
              <w:rPr>
                <w:rFonts w:ascii="Verdana" w:hAnsi="Verdana"/>
                <w:sz w:val="18"/>
                <w:szCs w:val="18"/>
              </w:rPr>
              <w:t>Del Pino Martínez Carmen Ofelia</w:t>
            </w:r>
          </w:p>
        </w:tc>
      </w:tr>
      <w:tr w:rsidR="00EA38F6" w:rsidRPr="000864AE" w14:paraId="2F4305F3" w14:textId="77777777" w:rsidTr="00AC0C51">
        <w:trPr>
          <w:trHeight w:val="300"/>
        </w:trPr>
        <w:tc>
          <w:tcPr>
            <w:tcW w:w="668" w:type="dxa"/>
            <w:vAlign w:val="center"/>
            <w:hideMark/>
          </w:tcPr>
          <w:p w14:paraId="08ED81BE"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181</w:t>
            </w:r>
          </w:p>
        </w:tc>
        <w:tc>
          <w:tcPr>
            <w:tcW w:w="3835" w:type="dxa"/>
            <w:vAlign w:val="center"/>
            <w:hideMark/>
          </w:tcPr>
          <w:p w14:paraId="1A97090D" w14:textId="77777777" w:rsidR="00EA38F6" w:rsidRPr="000864AE" w:rsidRDefault="00EA38F6" w:rsidP="000864AE">
            <w:pPr>
              <w:rPr>
                <w:rFonts w:ascii="Verdana" w:hAnsi="Verdana"/>
                <w:sz w:val="18"/>
                <w:szCs w:val="18"/>
              </w:rPr>
            </w:pPr>
            <w:r w:rsidRPr="000864AE">
              <w:rPr>
                <w:rFonts w:ascii="Verdana" w:hAnsi="Verdana"/>
                <w:sz w:val="18"/>
                <w:szCs w:val="18"/>
              </w:rPr>
              <w:t>Del Valle Gonzáles Jorge Atilio</w:t>
            </w:r>
          </w:p>
        </w:tc>
      </w:tr>
      <w:tr w:rsidR="00EA38F6" w:rsidRPr="000864AE" w14:paraId="62B083FB" w14:textId="77777777" w:rsidTr="00AC0C51">
        <w:trPr>
          <w:trHeight w:val="300"/>
        </w:trPr>
        <w:tc>
          <w:tcPr>
            <w:tcW w:w="668" w:type="dxa"/>
            <w:vAlign w:val="center"/>
            <w:hideMark/>
          </w:tcPr>
          <w:p w14:paraId="39480708"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182</w:t>
            </w:r>
          </w:p>
        </w:tc>
        <w:tc>
          <w:tcPr>
            <w:tcW w:w="3835" w:type="dxa"/>
            <w:vAlign w:val="center"/>
            <w:hideMark/>
          </w:tcPr>
          <w:p w14:paraId="1B4289E3" w14:textId="77777777" w:rsidR="00EA38F6" w:rsidRPr="000864AE" w:rsidRDefault="00EA38F6" w:rsidP="000864AE">
            <w:pPr>
              <w:rPr>
                <w:rFonts w:ascii="Verdana" w:hAnsi="Verdana"/>
                <w:sz w:val="18"/>
                <w:szCs w:val="18"/>
              </w:rPr>
            </w:pPr>
            <w:r w:rsidRPr="000864AE">
              <w:rPr>
                <w:rFonts w:ascii="Verdana" w:hAnsi="Verdana"/>
                <w:sz w:val="18"/>
                <w:szCs w:val="18"/>
              </w:rPr>
              <w:t>Delgado Coronado Rosalie</w:t>
            </w:r>
          </w:p>
        </w:tc>
      </w:tr>
      <w:tr w:rsidR="00EA38F6" w:rsidRPr="000864AE" w14:paraId="21E4675F" w14:textId="77777777" w:rsidTr="00AC0C51">
        <w:trPr>
          <w:trHeight w:val="300"/>
        </w:trPr>
        <w:tc>
          <w:tcPr>
            <w:tcW w:w="668" w:type="dxa"/>
            <w:vAlign w:val="center"/>
            <w:hideMark/>
          </w:tcPr>
          <w:p w14:paraId="28C42F11"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183</w:t>
            </w:r>
          </w:p>
        </w:tc>
        <w:tc>
          <w:tcPr>
            <w:tcW w:w="3835" w:type="dxa"/>
            <w:vAlign w:val="center"/>
            <w:hideMark/>
          </w:tcPr>
          <w:p w14:paraId="094E74D3" w14:textId="77777777" w:rsidR="00EA38F6" w:rsidRPr="000864AE" w:rsidRDefault="00EA38F6" w:rsidP="000864AE">
            <w:pPr>
              <w:rPr>
                <w:rFonts w:ascii="Verdana" w:hAnsi="Verdana"/>
                <w:sz w:val="18"/>
                <w:szCs w:val="18"/>
              </w:rPr>
            </w:pPr>
            <w:r w:rsidRPr="000864AE">
              <w:rPr>
                <w:rFonts w:ascii="Verdana" w:hAnsi="Verdana"/>
                <w:sz w:val="18"/>
                <w:szCs w:val="18"/>
              </w:rPr>
              <w:t>Delgado Pedrozo Samuel Daniel</w:t>
            </w:r>
          </w:p>
        </w:tc>
      </w:tr>
      <w:tr w:rsidR="00EA38F6" w:rsidRPr="000864AE" w14:paraId="5B669A4C" w14:textId="77777777" w:rsidTr="00AC0C51">
        <w:trPr>
          <w:trHeight w:val="300"/>
        </w:trPr>
        <w:tc>
          <w:tcPr>
            <w:tcW w:w="668" w:type="dxa"/>
            <w:vAlign w:val="center"/>
            <w:hideMark/>
          </w:tcPr>
          <w:p w14:paraId="525E5B23"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184</w:t>
            </w:r>
          </w:p>
        </w:tc>
        <w:tc>
          <w:tcPr>
            <w:tcW w:w="3835" w:type="dxa"/>
            <w:vAlign w:val="center"/>
            <w:hideMark/>
          </w:tcPr>
          <w:p w14:paraId="08DB2D54" w14:textId="77777777" w:rsidR="00EA38F6" w:rsidRPr="000864AE" w:rsidRDefault="00EA38F6" w:rsidP="000864AE">
            <w:pPr>
              <w:rPr>
                <w:rFonts w:ascii="Verdana" w:hAnsi="Verdana"/>
                <w:sz w:val="18"/>
                <w:szCs w:val="18"/>
              </w:rPr>
            </w:pPr>
            <w:r w:rsidRPr="000864AE">
              <w:rPr>
                <w:rFonts w:ascii="Verdana" w:hAnsi="Verdana"/>
                <w:sz w:val="18"/>
                <w:szCs w:val="18"/>
              </w:rPr>
              <w:t>Delgado Rojas Ledy Bessy</w:t>
            </w:r>
          </w:p>
        </w:tc>
      </w:tr>
      <w:tr w:rsidR="00EA38F6" w:rsidRPr="000864AE" w14:paraId="0F4A830B" w14:textId="77777777" w:rsidTr="00AC0C51">
        <w:trPr>
          <w:trHeight w:val="300"/>
        </w:trPr>
        <w:tc>
          <w:tcPr>
            <w:tcW w:w="668" w:type="dxa"/>
            <w:vAlign w:val="center"/>
            <w:hideMark/>
          </w:tcPr>
          <w:p w14:paraId="0A3A4AF3"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185</w:t>
            </w:r>
          </w:p>
        </w:tc>
        <w:tc>
          <w:tcPr>
            <w:tcW w:w="3835" w:type="dxa"/>
            <w:vAlign w:val="center"/>
            <w:hideMark/>
          </w:tcPr>
          <w:p w14:paraId="795A10FC" w14:textId="77777777" w:rsidR="00EA38F6" w:rsidRPr="000864AE" w:rsidRDefault="00EA38F6" w:rsidP="000864AE">
            <w:pPr>
              <w:rPr>
                <w:rFonts w:ascii="Verdana" w:hAnsi="Verdana"/>
                <w:sz w:val="18"/>
                <w:szCs w:val="18"/>
              </w:rPr>
            </w:pPr>
            <w:r w:rsidRPr="000864AE">
              <w:rPr>
                <w:rFonts w:ascii="Verdana" w:hAnsi="Verdana"/>
                <w:sz w:val="18"/>
                <w:szCs w:val="18"/>
              </w:rPr>
              <w:t>Díaz Calderón Sixto Wenceslao</w:t>
            </w:r>
          </w:p>
        </w:tc>
      </w:tr>
      <w:tr w:rsidR="00EA38F6" w:rsidRPr="000864AE" w14:paraId="4DD64122" w14:textId="77777777" w:rsidTr="00AC0C51">
        <w:trPr>
          <w:trHeight w:val="300"/>
        </w:trPr>
        <w:tc>
          <w:tcPr>
            <w:tcW w:w="668" w:type="dxa"/>
            <w:vAlign w:val="center"/>
            <w:hideMark/>
          </w:tcPr>
          <w:p w14:paraId="3891FB43"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186</w:t>
            </w:r>
          </w:p>
        </w:tc>
        <w:tc>
          <w:tcPr>
            <w:tcW w:w="3835" w:type="dxa"/>
            <w:vAlign w:val="center"/>
            <w:hideMark/>
          </w:tcPr>
          <w:p w14:paraId="53611101" w14:textId="77777777" w:rsidR="00EA38F6" w:rsidRPr="000864AE" w:rsidRDefault="00EA38F6" w:rsidP="000864AE">
            <w:pPr>
              <w:rPr>
                <w:rFonts w:ascii="Verdana" w:hAnsi="Verdana"/>
                <w:sz w:val="18"/>
                <w:szCs w:val="18"/>
              </w:rPr>
            </w:pPr>
            <w:r w:rsidRPr="000864AE">
              <w:rPr>
                <w:rFonts w:ascii="Verdana" w:hAnsi="Verdana"/>
                <w:sz w:val="18"/>
                <w:szCs w:val="18"/>
              </w:rPr>
              <w:t>Díaz Campoblanco Gladys Clorinda</w:t>
            </w:r>
          </w:p>
        </w:tc>
      </w:tr>
      <w:tr w:rsidR="00EA38F6" w:rsidRPr="000864AE" w14:paraId="4DD4138D" w14:textId="77777777" w:rsidTr="00AC0C51">
        <w:trPr>
          <w:trHeight w:val="300"/>
        </w:trPr>
        <w:tc>
          <w:tcPr>
            <w:tcW w:w="668" w:type="dxa"/>
            <w:vAlign w:val="center"/>
            <w:hideMark/>
          </w:tcPr>
          <w:p w14:paraId="2F8D932A"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187</w:t>
            </w:r>
          </w:p>
        </w:tc>
        <w:tc>
          <w:tcPr>
            <w:tcW w:w="3835" w:type="dxa"/>
            <w:vAlign w:val="center"/>
            <w:hideMark/>
          </w:tcPr>
          <w:p w14:paraId="6553759E" w14:textId="77777777" w:rsidR="00EA38F6" w:rsidRPr="000864AE" w:rsidRDefault="00EA38F6" w:rsidP="000864AE">
            <w:pPr>
              <w:rPr>
                <w:rFonts w:ascii="Verdana" w:hAnsi="Verdana"/>
                <w:sz w:val="18"/>
                <w:szCs w:val="18"/>
              </w:rPr>
            </w:pPr>
            <w:r w:rsidRPr="000864AE">
              <w:rPr>
                <w:rFonts w:ascii="Verdana" w:hAnsi="Verdana"/>
                <w:sz w:val="18"/>
                <w:szCs w:val="18"/>
              </w:rPr>
              <w:t>Díaz Cornejo Gladys Isolina</w:t>
            </w:r>
          </w:p>
        </w:tc>
      </w:tr>
      <w:tr w:rsidR="00EA38F6" w:rsidRPr="000864AE" w14:paraId="1A0B5B69" w14:textId="77777777" w:rsidTr="00AC0C51">
        <w:trPr>
          <w:trHeight w:val="300"/>
        </w:trPr>
        <w:tc>
          <w:tcPr>
            <w:tcW w:w="668" w:type="dxa"/>
            <w:vAlign w:val="center"/>
            <w:hideMark/>
          </w:tcPr>
          <w:p w14:paraId="5BFEEA4D"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188</w:t>
            </w:r>
          </w:p>
        </w:tc>
        <w:tc>
          <w:tcPr>
            <w:tcW w:w="3835" w:type="dxa"/>
            <w:vAlign w:val="center"/>
            <w:hideMark/>
          </w:tcPr>
          <w:p w14:paraId="5D6F8342" w14:textId="77777777" w:rsidR="00EA38F6" w:rsidRPr="000864AE" w:rsidRDefault="00EA38F6" w:rsidP="000864AE">
            <w:pPr>
              <w:rPr>
                <w:rFonts w:ascii="Verdana" w:hAnsi="Verdana"/>
                <w:sz w:val="18"/>
                <w:szCs w:val="18"/>
              </w:rPr>
            </w:pPr>
            <w:r w:rsidRPr="000864AE">
              <w:rPr>
                <w:rFonts w:ascii="Verdana" w:hAnsi="Verdana"/>
                <w:sz w:val="18"/>
                <w:szCs w:val="18"/>
              </w:rPr>
              <w:t>Díaz Delgado Gloria Lucero</w:t>
            </w:r>
          </w:p>
        </w:tc>
      </w:tr>
      <w:tr w:rsidR="00EA38F6" w:rsidRPr="000864AE" w14:paraId="0927BD87" w14:textId="77777777" w:rsidTr="00AC0C51">
        <w:trPr>
          <w:trHeight w:val="300"/>
        </w:trPr>
        <w:tc>
          <w:tcPr>
            <w:tcW w:w="668" w:type="dxa"/>
            <w:vAlign w:val="center"/>
            <w:hideMark/>
          </w:tcPr>
          <w:p w14:paraId="40BE9C38"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189</w:t>
            </w:r>
          </w:p>
        </w:tc>
        <w:tc>
          <w:tcPr>
            <w:tcW w:w="3835" w:type="dxa"/>
            <w:vAlign w:val="center"/>
            <w:hideMark/>
          </w:tcPr>
          <w:p w14:paraId="6B7BD859" w14:textId="77777777" w:rsidR="00EA38F6" w:rsidRPr="000864AE" w:rsidRDefault="00EA38F6" w:rsidP="000864AE">
            <w:pPr>
              <w:rPr>
                <w:rFonts w:ascii="Verdana" w:hAnsi="Verdana"/>
                <w:sz w:val="18"/>
                <w:szCs w:val="18"/>
              </w:rPr>
            </w:pPr>
            <w:r w:rsidRPr="000864AE">
              <w:rPr>
                <w:rFonts w:ascii="Verdana" w:hAnsi="Verdana"/>
                <w:sz w:val="18"/>
                <w:szCs w:val="18"/>
              </w:rPr>
              <w:t>Díaz Reátegui De Mayor Ángela</w:t>
            </w:r>
          </w:p>
        </w:tc>
      </w:tr>
      <w:tr w:rsidR="00EA38F6" w:rsidRPr="000864AE" w14:paraId="578F2E3F" w14:textId="77777777" w:rsidTr="00AC0C51">
        <w:trPr>
          <w:trHeight w:val="300"/>
        </w:trPr>
        <w:tc>
          <w:tcPr>
            <w:tcW w:w="668" w:type="dxa"/>
            <w:vAlign w:val="center"/>
            <w:hideMark/>
          </w:tcPr>
          <w:p w14:paraId="549EACCC"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190</w:t>
            </w:r>
          </w:p>
        </w:tc>
        <w:tc>
          <w:tcPr>
            <w:tcW w:w="3835" w:type="dxa"/>
            <w:vAlign w:val="center"/>
            <w:hideMark/>
          </w:tcPr>
          <w:p w14:paraId="6657F642" w14:textId="77777777" w:rsidR="00EA38F6" w:rsidRPr="000864AE" w:rsidRDefault="00EA38F6" w:rsidP="000864AE">
            <w:pPr>
              <w:rPr>
                <w:rFonts w:ascii="Verdana" w:hAnsi="Verdana"/>
                <w:sz w:val="18"/>
                <w:szCs w:val="18"/>
              </w:rPr>
            </w:pPr>
            <w:r w:rsidRPr="000864AE">
              <w:rPr>
                <w:rFonts w:ascii="Verdana" w:hAnsi="Verdana"/>
                <w:sz w:val="18"/>
                <w:szCs w:val="18"/>
              </w:rPr>
              <w:t>Díaz Silva Judith Juana</w:t>
            </w:r>
          </w:p>
        </w:tc>
      </w:tr>
      <w:tr w:rsidR="00EA38F6" w:rsidRPr="000864AE" w14:paraId="3E4C2090" w14:textId="77777777" w:rsidTr="00AC0C51">
        <w:trPr>
          <w:trHeight w:val="300"/>
        </w:trPr>
        <w:tc>
          <w:tcPr>
            <w:tcW w:w="668" w:type="dxa"/>
            <w:vAlign w:val="center"/>
            <w:hideMark/>
          </w:tcPr>
          <w:p w14:paraId="2AEE12C9"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191</w:t>
            </w:r>
          </w:p>
        </w:tc>
        <w:tc>
          <w:tcPr>
            <w:tcW w:w="3835" w:type="dxa"/>
            <w:vAlign w:val="center"/>
            <w:hideMark/>
          </w:tcPr>
          <w:p w14:paraId="0A537214" w14:textId="77777777" w:rsidR="00EA38F6" w:rsidRPr="000864AE" w:rsidRDefault="00EA38F6" w:rsidP="000864AE">
            <w:pPr>
              <w:rPr>
                <w:rFonts w:ascii="Verdana" w:hAnsi="Verdana"/>
                <w:sz w:val="18"/>
                <w:szCs w:val="18"/>
              </w:rPr>
            </w:pPr>
            <w:r w:rsidRPr="000864AE">
              <w:rPr>
                <w:rFonts w:ascii="Verdana" w:hAnsi="Verdana"/>
                <w:sz w:val="18"/>
                <w:szCs w:val="18"/>
              </w:rPr>
              <w:t>Díaz Villavicencio Víctor Augusto</w:t>
            </w:r>
          </w:p>
        </w:tc>
      </w:tr>
      <w:tr w:rsidR="00EA38F6" w:rsidRPr="000864AE" w14:paraId="44EC35A7" w14:textId="77777777" w:rsidTr="00AC0C51">
        <w:trPr>
          <w:trHeight w:val="300"/>
        </w:trPr>
        <w:tc>
          <w:tcPr>
            <w:tcW w:w="668" w:type="dxa"/>
            <w:vAlign w:val="center"/>
            <w:hideMark/>
          </w:tcPr>
          <w:p w14:paraId="098A101A"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192</w:t>
            </w:r>
          </w:p>
        </w:tc>
        <w:tc>
          <w:tcPr>
            <w:tcW w:w="3835" w:type="dxa"/>
            <w:vAlign w:val="center"/>
            <w:hideMark/>
          </w:tcPr>
          <w:p w14:paraId="10987C7B" w14:textId="77777777" w:rsidR="00EA38F6" w:rsidRPr="000864AE" w:rsidRDefault="00EA38F6" w:rsidP="000864AE">
            <w:pPr>
              <w:rPr>
                <w:rFonts w:ascii="Verdana" w:hAnsi="Verdana"/>
                <w:sz w:val="18"/>
                <w:szCs w:val="18"/>
              </w:rPr>
            </w:pPr>
            <w:r w:rsidRPr="000864AE">
              <w:rPr>
                <w:rFonts w:ascii="Verdana" w:hAnsi="Verdana"/>
                <w:sz w:val="18"/>
                <w:szCs w:val="18"/>
              </w:rPr>
              <w:t>Diez Cerruti Isabel Constanza</w:t>
            </w:r>
          </w:p>
        </w:tc>
      </w:tr>
      <w:tr w:rsidR="00EA38F6" w:rsidRPr="000864AE" w14:paraId="74747EAD" w14:textId="77777777" w:rsidTr="00AC0C51">
        <w:trPr>
          <w:trHeight w:val="300"/>
        </w:trPr>
        <w:tc>
          <w:tcPr>
            <w:tcW w:w="668" w:type="dxa"/>
            <w:vAlign w:val="center"/>
            <w:hideMark/>
          </w:tcPr>
          <w:p w14:paraId="34D31FA3"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193</w:t>
            </w:r>
          </w:p>
        </w:tc>
        <w:tc>
          <w:tcPr>
            <w:tcW w:w="3835" w:type="dxa"/>
            <w:vAlign w:val="center"/>
            <w:hideMark/>
          </w:tcPr>
          <w:p w14:paraId="22716D22" w14:textId="77777777" w:rsidR="00EA38F6" w:rsidRPr="000864AE" w:rsidRDefault="00EA38F6" w:rsidP="000864AE">
            <w:pPr>
              <w:rPr>
                <w:rFonts w:ascii="Verdana" w:hAnsi="Verdana"/>
                <w:sz w:val="18"/>
                <w:szCs w:val="18"/>
              </w:rPr>
            </w:pPr>
            <w:r w:rsidRPr="000864AE">
              <w:rPr>
                <w:rFonts w:ascii="Verdana" w:hAnsi="Verdana"/>
                <w:sz w:val="18"/>
                <w:szCs w:val="18"/>
              </w:rPr>
              <w:t>Domínguez Pando Santos</w:t>
            </w:r>
          </w:p>
        </w:tc>
      </w:tr>
      <w:tr w:rsidR="00EA38F6" w:rsidRPr="000864AE" w14:paraId="07CFC992" w14:textId="77777777" w:rsidTr="00AC0C51">
        <w:trPr>
          <w:trHeight w:val="300"/>
        </w:trPr>
        <w:tc>
          <w:tcPr>
            <w:tcW w:w="668" w:type="dxa"/>
            <w:vAlign w:val="center"/>
            <w:hideMark/>
          </w:tcPr>
          <w:p w14:paraId="342C9E12"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194</w:t>
            </w:r>
          </w:p>
        </w:tc>
        <w:tc>
          <w:tcPr>
            <w:tcW w:w="3835" w:type="dxa"/>
            <w:vAlign w:val="center"/>
            <w:hideMark/>
          </w:tcPr>
          <w:p w14:paraId="2EB8EFAF" w14:textId="77777777" w:rsidR="00EA38F6" w:rsidRPr="000864AE" w:rsidRDefault="00EA38F6" w:rsidP="000864AE">
            <w:pPr>
              <w:rPr>
                <w:rFonts w:ascii="Verdana" w:hAnsi="Verdana"/>
                <w:sz w:val="18"/>
                <w:szCs w:val="18"/>
              </w:rPr>
            </w:pPr>
            <w:r w:rsidRPr="000864AE">
              <w:rPr>
                <w:rFonts w:ascii="Verdana" w:hAnsi="Verdana"/>
                <w:sz w:val="18"/>
                <w:szCs w:val="18"/>
              </w:rPr>
              <w:t>Domínguez Zabaleta Zene</w:t>
            </w:r>
          </w:p>
        </w:tc>
      </w:tr>
      <w:tr w:rsidR="00EA38F6" w:rsidRPr="000864AE" w14:paraId="54D8ED9B" w14:textId="77777777" w:rsidTr="00AC0C51">
        <w:trPr>
          <w:trHeight w:val="300"/>
        </w:trPr>
        <w:tc>
          <w:tcPr>
            <w:tcW w:w="668" w:type="dxa"/>
            <w:vAlign w:val="center"/>
            <w:hideMark/>
          </w:tcPr>
          <w:p w14:paraId="497493F8"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195</w:t>
            </w:r>
          </w:p>
        </w:tc>
        <w:tc>
          <w:tcPr>
            <w:tcW w:w="3835" w:type="dxa"/>
            <w:vAlign w:val="center"/>
            <w:hideMark/>
          </w:tcPr>
          <w:p w14:paraId="185D7833" w14:textId="77777777" w:rsidR="00EA38F6" w:rsidRPr="000864AE" w:rsidRDefault="00EA38F6" w:rsidP="000864AE">
            <w:pPr>
              <w:rPr>
                <w:rFonts w:ascii="Verdana" w:hAnsi="Verdana"/>
                <w:sz w:val="18"/>
                <w:szCs w:val="18"/>
              </w:rPr>
            </w:pPr>
            <w:r w:rsidRPr="000864AE">
              <w:rPr>
                <w:rFonts w:ascii="Verdana" w:hAnsi="Verdana"/>
                <w:sz w:val="18"/>
                <w:szCs w:val="18"/>
              </w:rPr>
              <w:t>Donayre Barrios José Carlos</w:t>
            </w:r>
          </w:p>
        </w:tc>
      </w:tr>
      <w:tr w:rsidR="00EA38F6" w:rsidRPr="000864AE" w14:paraId="6D33AD21" w14:textId="77777777" w:rsidTr="00AC0C51">
        <w:trPr>
          <w:trHeight w:val="300"/>
        </w:trPr>
        <w:tc>
          <w:tcPr>
            <w:tcW w:w="668" w:type="dxa"/>
            <w:vAlign w:val="center"/>
            <w:hideMark/>
          </w:tcPr>
          <w:p w14:paraId="21202C2D"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196</w:t>
            </w:r>
          </w:p>
        </w:tc>
        <w:tc>
          <w:tcPr>
            <w:tcW w:w="3835" w:type="dxa"/>
            <w:vAlign w:val="center"/>
            <w:hideMark/>
          </w:tcPr>
          <w:p w14:paraId="6A4B7E28" w14:textId="77777777" w:rsidR="00EA38F6" w:rsidRPr="000864AE" w:rsidRDefault="00EA38F6" w:rsidP="000864AE">
            <w:pPr>
              <w:rPr>
                <w:rFonts w:ascii="Verdana" w:hAnsi="Verdana"/>
                <w:sz w:val="18"/>
                <w:szCs w:val="18"/>
              </w:rPr>
            </w:pPr>
            <w:r w:rsidRPr="000864AE">
              <w:rPr>
                <w:rFonts w:ascii="Verdana" w:hAnsi="Verdana"/>
                <w:sz w:val="18"/>
                <w:szCs w:val="18"/>
              </w:rPr>
              <w:t>Dugard Marquina Plutarco Julio</w:t>
            </w:r>
          </w:p>
        </w:tc>
      </w:tr>
      <w:tr w:rsidR="00EA38F6" w:rsidRPr="000864AE" w14:paraId="51F32358" w14:textId="77777777" w:rsidTr="00AC0C51">
        <w:trPr>
          <w:trHeight w:val="300"/>
        </w:trPr>
        <w:tc>
          <w:tcPr>
            <w:tcW w:w="668" w:type="dxa"/>
            <w:vAlign w:val="center"/>
            <w:hideMark/>
          </w:tcPr>
          <w:p w14:paraId="7285BAB4"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197</w:t>
            </w:r>
          </w:p>
        </w:tc>
        <w:tc>
          <w:tcPr>
            <w:tcW w:w="3835" w:type="dxa"/>
            <w:vAlign w:val="center"/>
            <w:hideMark/>
          </w:tcPr>
          <w:p w14:paraId="0F588501" w14:textId="77777777" w:rsidR="00EA38F6" w:rsidRPr="000864AE" w:rsidRDefault="00EA38F6" w:rsidP="000864AE">
            <w:pPr>
              <w:rPr>
                <w:rFonts w:ascii="Verdana" w:hAnsi="Verdana"/>
                <w:sz w:val="18"/>
                <w:szCs w:val="18"/>
              </w:rPr>
            </w:pPr>
            <w:r w:rsidRPr="000864AE">
              <w:rPr>
                <w:rFonts w:ascii="Verdana" w:hAnsi="Verdana"/>
                <w:sz w:val="18"/>
                <w:szCs w:val="18"/>
              </w:rPr>
              <w:t>Dulanto Carrillo De Albornoz Enrique</w:t>
            </w:r>
          </w:p>
        </w:tc>
      </w:tr>
      <w:tr w:rsidR="00EA38F6" w:rsidRPr="000864AE" w14:paraId="02CAB59A" w14:textId="77777777" w:rsidTr="00AC0C51">
        <w:trPr>
          <w:trHeight w:val="300"/>
        </w:trPr>
        <w:tc>
          <w:tcPr>
            <w:tcW w:w="668" w:type="dxa"/>
            <w:vAlign w:val="center"/>
            <w:hideMark/>
          </w:tcPr>
          <w:p w14:paraId="779FD8B5"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198</w:t>
            </w:r>
          </w:p>
        </w:tc>
        <w:tc>
          <w:tcPr>
            <w:tcW w:w="3835" w:type="dxa"/>
            <w:vAlign w:val="center"/>
            <w:hideMark/>
          </w:tcPr>
          <w:p w14:paraId="4A498D9E" w14:textId="77777777" w:rsidR="00EA38F6" w:rsidRPr="000864AE" w:rsidRDefault="00EA38F6" w:rsidP="000864AE">
            <w:pPr>
              <w:rPr>
                <w:rFonts w:ascii="Verdana" w:hAnsi="Verdana"/>
                <w:sz w:val="18"/>
                <w:szCs w:val="18"/>
              </w:rPr>
            </w:pPr>
            <w:r w:rsidRPr="000864AE">
              <w:rPr>
                <w:rFonts w:ascii="Verdana" w:hAnsi="Verdana"/>
                <w:sz w:val="18"/>
                <w:szCs w:val="18"/>
              </w:rPr>
              <w:t>Durán Picho Antonio Félix</w:t>
            </w:r>
          </w:p>
        </w:tc>
      </w:tr>
      <w:tr w:rsidR="00EA38F6" w:rsidRPr="000864AE" w14:paraId="44453F00" w14:textId="77777777" w:rsidTr="00AC0C51">
        <w:trPr>
          <w:trHeight w:val="300"/>
        </w:trPr>
        <w:tc>
          <w:tcPr>
            <w:tcW w:w="668" w:type="dxa"/>
            <w:vAlign w:val="center"/>
            <w:hideMark/>
          </w:tcPr>
          <w:p w14:paraId="35A58832"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199</w:t>
            </w:r>
          </w:p>
        </w:tc>
        <w:tc>
          <w:tcPr>
            <w:tcW w:w="3835" w:type="dxa"/>
            <w:vAlign w:val="center"/>
            <w:hideMark/>
          </w:tcPr>
          <w:p w14:paraId="2A66C94C" w14:textId="77777777" w:rsidR="00EA38F6" w:rsidRPr="000864AE" w:rsidRDefault="00EA38F6" w:rsidP="000864AE">
            <w:pPr>
              <w:rPr>
                <w:rFonts w:ascii="Verdana" w:hAnsi="Verdana"/>
                <w:sz w:val="18"/>
                <w:szCs w:val="18"/>
              </w:rPr>
            </w:pPr>
            <w:r w:rsidRPr="000864AE">
              <w:rPr>
                <w:rFonts w:ascii="Verdana" w:hAnsi="Verdana"/>
                <w:sz w:val="18"/>
                <w:szCs w:val="18"/>
              </w:rPr>
              <w:t>Durán Ríos Jorge Eleazar</w:t>
            </w:r>
          </w:p>
        </w:tc>
      </w:tr>
      <w:tr w:rsidR="00EA38F6" w:rsidRPr="000864AE" w14:paraId="5883F685" w14:textId="77777777" w:rsidTr="00AC0C51">
        <w:trPr>
          <w:trHeight w:val="300"/>
        </w:trPr>
        <w:tc>
          <w:tcPr>
            <w:tcW w:w="668" w:type="dxa"/>
            <w:vAlign w:val="center"/>
            <w:hideMark/>
          </w:tcPr>
          <w:p w14:paraId="2F8ECD66"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200</w:t>
            </w:r>
          </w:p>
        </w:tc>
        <w:tc>
          <w:tcPr>
            <w:tcW w:w="3835" w:type="dxa"/>
            <w:vAlign w:val="center"/>
            <w:hideMark/>
          </w:tcPr>
          <w:p w14:paraId="146A9933" w14:textId="77777777" w:rsidR="00EA38F6" w:rsidRPr="000864AE" w:rsidRDefault="00EA38F6" w:rsidP="000864AE">
            <w:pPr>
              <w:rPr>
                <w:rFonts w:ascii="Verdana" w:hAnsi="Verdana"/>
                <w:sz w:val="18"/>
                <w:szCs w:val="18"/>
              </w:rPr>
            </w:pPr>
            <w:r w:rsidRPr="000864AE">
              <w:rPr>
                <w:rFonts w:ascii="Verdana" w:hAnsi="Verdana"/>
                <w:sz w:val="18"/>
                <w:szCs w:val="18"/>
              </w:rPr>
              <w:t>Echecopar Dávila Alberto Alejandro</w:t>
            </w:r>
          </w:p>
        </w:tc>
      </w:tr>
      <w:tr w:rsidR="00EA38F6" w:rsidRPr="000864AE" w14:paraId="28986E5F" w14:textId="77777777" w:rsidTr="00AC0C51">
        <w:trPr>
          <w:trHeight w:val="300"/>
        </w:trPr>
        <w:tc>
          <w:tcPr>
            <w:tcW w:w="668" w:type="dxa"/>
            <w:vAlign w:val="center"/>
            <w:hideMark/>
          </w:tcPr>
          <w:p w14:paraId="5995209C"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201</w:t>
            </w:r>
          </w:p>
        </w:tc>
        <w:tc>
          <w:tcPr>
            <w:tcW w:w="3835" w:type="dxa"/>
            <w:vAlign w:val="center"/>
            <w:hideMark/>
          </w:tcPr>
          <w:p w14:paraId="4910E7C6" w14:textId="77777777" w:rsidR="00EA38F6" w:rsidRPr="000864AE" w:rsidRDefault="00EA38F6" w:rsidP="000864AE">
            <w:pPr>
              <w:rPr>
                <w:rFonts w:ascii="Verdana" w:hAnsi="Verdana"/>
                <w:sz w:val="18"/>
                <w:szCs w:val="18"/>
              </w:rPr>
            </w:pPr>
            <w:r w:rsidRPr="000864AE">
              <w:rPr>
                <w:rFonts w:ascii="Verdana" w:hAnsi="Verdana"/>
                <w:sz w:val="18"/>
                <w:szCs w:val="18"/>
              </w:rPr>
              <w:t>Egocheaga Aguilar Prudencio</w:t>
            </w:r>
          </w:p>
        </w:tc>
      </w:tr>
      <w:tr w:rsidR="00EA38F6" w:rsidRPr="000864AE" w14:paraId="7E165108" w14:textId="77777777" w:rsidTr="00AC0C51">
        <w:trPr>
          <w:trHeight w:val="300"/>
        </w:trPr>
        <w:tc>
          <w:tcPr>
            <w:tcW w:w="668" w:type="dxa"/>
            <w:vAlign w:val="center"/>
            <w:hideMark/>
          </w:tcPr>
          <w:p w14:paraId="7ACF0B60"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202</w:t>
            </w:r>
          </w:p>
        </w:tc>
        <w:tc>
          <w:tcPr>
            <w:tcW w:w="3835" w:type="dxa"/>
            <w:vAlign w:val="center"/>
            <w:hideMark/>
          </w:tcPr>
          <w:p w14:paraId="73F44C0C" w14:textId="77777777" w:rsidR="00EA38F6" w:rsidRPr="000864AE" w:rsidRDefault="00EA38F6" w:rsidP="000864AE">
            <w:pPr>
              <w:rPr>
                <w:rFonts w:ascii="Verdana" w:hAnsi="Verdana"/>
                <w:sz w:val="18"/>
                <w:szCs w:val="18"/>
              </w:rPr>
            </w:pPr>
            <w:r w:rsidRPr="000864AE">
              <w:rPr>
                <w:rFonts w:ascii="Verdana" w:hAnsi="Verdana"/>
                <w:sz w:val="18"/>
                <w:szCs w:val="18"/>
              </w:rPr>
              <w:t>Eguiluz Mazuelos Efraín Sabino</w:t>
            </w:r>
          </w:p>
        </w:tc>
      </w:tr>
      <w:tr w:rsidR="00EA38F6" w:rsidRPr="000864AE" w14:paraId="1FACB082" w14:textId="77777777" w:rsidTr="00AC0C51">
        <w:trPr>
          <w:trHeight w:val="300"/>
        </w:trPr>
        <w:tc>
          <w:tcPr>
            <w:tcW w:w="668" w:type="dxa"/>
            <w:vAlign w:val="center"/>
            <w:hideMark/>
          </w:tcPr>
          <w:p w14:paraId="392F96AB"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203</w:t>
            </w:r>
          </w:p>
        </w:tc>
        <w:tc>
          <w:tcPr>
            <w:tcW w:w="3835" w:type="dxa"/>
            <w:vAlign w:val="center"/>
            <w:hideMark/>
          </w:tcPr>
          <w:p w14:paraId="71B3F436" w14:textId="77777777" w:rsidR="00EA38F6" w:rsidRPr="000864AE" w:rsidRDefault="00EA38F6" w:rsidP="000864AE">
            <w:pPr>
              <w:rPr>
                <w:rFonts w:ascii="Verdana" w:hAnsi="Verdana"/>
                <w:sz w:val="18"/>
                <w:szCs w:val="18"/>
              </w:rPr>
            </w:pPr>
            <w:r w:rsidRPr="000864AE">
              <w:rPr>
                <w:rFonts w:ascii="Verdana" w:hAnsi="Verdana"/>
                <w:sz w:val="18"/>
                <w:szCs w:val="18"/>
              </w:rPr>
              <w:t>Elguera Coronel Carlos Javier</w:t>
            </w:r>
          </w:p>
        </w:tc>
      </w:tr>
      <w:tr w:rsidR="00EA38F6" w:rsidRPr="000864AE" w14:paraId="1B5BA816" w14:textId="77777777" w:rsidTr="00AC0C51">
        <w:trPr>
          <w:trHeight w:val="300"/>
        </w:trPr>
        <w:tc>
          <w:tcPr>
            <w:tcW w:w="668" w:type="dxa"/>
            <w:vAlign w:val="center"/>
            <w:hideMark/>
          </w:tcPr>
          <w:p w14:paraId="3EFC2C7D"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204</w:t>
            </w:r>
          </w:p>
        </w:tc>
        <w:tc>
          <w:tcPr>
            <w:tcW w:w="3835" w:type="dxa"/>
            <w:vAlign w:val="center"/>
            <w:hideMark/>
          </w:tcPr>
          <w:p w14:paraId="6B439944" w14:textId="77777777" w:rsidR="00EA38F6" w:rsidRPr="000864AE" w:rsidRDefault="00EA38F6" w:rsidP="000864AE">
            <w:pPr>
              <w:rPr>
                <w:rFonts w:ascii="Verdana" w:hAnsi="Verdana"/>
                <w:sz w:val="18"/>
                <w:szCs w:val="18"/>
              </w:rPr>
            </w:pPr>
            <w:r w:rsidRPr="000864AE">
              <w:rPr>
                <w:rFonts w:ascii="Verdana" w:hAnsi="Verdana"/>
                <w:sz w:val="18"/>
                <w:szCs w:val="18"/>
              </w:rPr>
              <w:t>Elías Cajo Reynaldo</w:t>
            </w:r>
          </w:p>
        </w:tc>
      </w:tr>
      <w:tr w:rsidR="00EA38F6" w:rsidRPr="000864AE" w14:paraId="5D6F1252" w14:textId="77777777" w:rsidTr="00AC0C51">
        <w:trPr>
          <w:trHeight w:val="300"/>
        </w:trPr>
        <w:tc>
          <w:tcPr>
            <w:tcW w:w="668" w:type="dxa"/>
            <w:vAlign w:val="center"/>
            <w:hideMark/>
          </w:tcPr>
          <w:p w14:paraId="264C1A80"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205</w:t>
            </w:r>
          </w:p>
        </w:tc>
        <w:tc>
          <w:tcPr>
            <w:tcW w:w="3835" w:type="dxa"/>
            <w:vAlign w:val="center"/>
            <w:hideMark/>
          </w:tcPr>
          <w:p w14:paraId="50A1776B" w14:textId="77777777" w:rsidR="00EA38F6" w:rsidRPr="000864AE" w:rsidRDefault="00EA38F6" w:rsidP="000864AE">
            <w:pPr>
              <w:rPr>
                <w:rFonts w:ascii="Verdana" w:hAnsi="Verdana"/>
                <w:sz w:val="18"/>
                <w:szCs w:val="18"/>
              </w:rPr>
            </w:pPr>
            <w:r w:rsidRPr="000864AE">
              <w:rPr>
                <w:rFonts w:ascii="Verdana" w:hAnsi="Verdana"/>
                <w:sz w:val="18"/>
                <w:szCs w:val="18"/>
              </w:rPr>
              <w:t>Elías Herrera Luis Dictino</w:t>
            </w:r>
          </w:p>
        </w:tc>
      </w:tr>
      <w:tr w:rsidR="00EA38F6" w:rsidRPr="000864AE" w14:paraId="08416157" w14:textId="77777777" w:rsidTr="00AC0C51">
        <w:trPr>
          <w:trHeight w:val="300"/>
        </w:trPr>
        <w:tc>
          <w:tcPr>
            <w:tcW w:w="668" w:type="dxa"/>
            <w:vAlign w:val="center"/>
            <w:hideMark/>
          </w:tcPr>
          <w:p w14:paraId="091EB473"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206</w:t>
            </w:r>
          </w:p>
        </w:tc>
        <w:tc>
          <w:tcPr>
            <w:tcW w:w="3835" w:type="dxa"/>
            <w:vAlign w:val="center"/>
            <w:hideMark/>
          </w:tcPr>
          <w:p w14:paraId="79FD5F63" w14:textId="77777777" w:rsidR="00EA38F6" w:rsidRPr="000864AE" w:rsidRDefault="00EA38F6" w:rsidP="000864AE">
            <w:pPr>
              <w:rPr>
                <w:rFonts w:ascii="Verdana" w:hAnsi="Verdana"/>
                <w:sz w:val="18"/>
                <w:szCs w:val="18"/>
              </w:rPr>
            </w:pPr>
            <w:r w:rsidRPr="000864AE">
              <w:rPr>
                <w:rFonts w:ascii="Verdana" w:hAnsi="Verdana"/>
                <w:sz w:val="18"/>
                <w:szCs w:val="18"/>
              </w:rPr>
              <w:t>Enriquez Hilary Pedro Marcial</w:t>
            </w:r>
          </w:p>
        </w:tc>
      </w:tr>
      <w:tr w:rsidR="00EA38F6" w:rsidRPr="000864AE" w14:paraId="770CB78A" w14:textId="77777777" w:rsidTr="00AC0C51">
        <w:trPr>
          <w:trHeight w:val="300"/>
        </w:trPr>
        <w:tc>
          <w:tcPr>
            <w:tcW w:w="668" w:type="dxa"/>
            <w:vAlign w:val="center"/>
            <w:hideMark/>
          </w:tcPr>
          <w:p w14:paraId="4F3FEA32"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207</w:t>
            </w:r>
          </w:p>
        </w:tc>
        <w:tc>
          <w:tcPr>
            <w:tcW w:w="3835" w:type="dxa"/>
            <w:vAlign w:val="center"/>
            <w:hideMark/>
          </w:tcPr>
          <w:p w14:paraId="620864B7" w14:textId="77777777" w:rsidR="00EA38F6" w:rsidRPr="000864AE" w:rsidRDefault="00EA38F6" w:rsidP="000864AE">
            <w:pPr>
              <w:rPr>
                <w:rFonts w:ascii="Verdana" w:hAnsi="Verdana"/>
                <w:sz w:val="18"/>
                <w:szCs w:val="18"/>
              </w:rPr>
            </w:pPr>
            <w:r w:rsidRPr="000864AE">
              <w:rPr>
                <w:rFonts w:ascii="Verdana" w:hAnsi="Verdana"/>
                <w:sz w:val="18"/>
                <w:szCs w:val="18"/>
              </w:rPr>
              <w:t>Enriquez Maguiña Orestes Constantino</w:t>
            </w:r>
          </w:p>
        </w:tc>
      </w:tr>
      <w:tr w:rsidR="00EA38F6" w:rsidRPr="000864AE" w14:paraId="11D47E49" w14:textId="77777777" w:rsidTr="00AC0C51">
        <w:trPr>
          <w:trHeight w:val="300"/>
        </w:trPr>
        <w:tc>
          <w:tcPr>
            <w:tcW w:w="668" w:type="dxa"/>
            <w:vAlign w:val="center"/>
            <w:hideMark/>
          </w:tcPr>
          <w:p w14:paraId="3DEA1B06"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208</w:t>
            </w:r>
          </w:p>
        </w:tc>
        <w:tc>
          <w:tcPr>
            <w:tcW w:w="3835" w:type="dxa"/>
            <w:vAlign w:val="center"/>
            <w:hideMark/>
          </w:tcPr>
          <w:p w14:paraId="591B929D" w14:textId="77777777" w:rsidR="00EA38F6" w:rsidRPr="000864AE" w:rsidRDefault="00EA38F6" w:rsidP="000864AE">
            <w:pPr>
              <w:rPr>
                <w:rFonts w:ascii="Verdana" w:hAnsi="Verdana"/>
                <w:sz w:val="18"/>
                <w:szCs w:val="18"/>
              </w:rPr>
            </w:pPr>
            <w:r w:rsidRPr="000864AE">
              <w:rPr>
                <w:rFonts w:ascii="Verdana" w:hAnsi="Verdana"/>
                <w:sz w:val="18"/>
                <w:szCs w:val="18"/>
              </w:rPr>
              <w:t>Erazo Ramírez José María</w:t>
            </w:r>
          </w:p>
        </w:tc>
      </w:tr>
      <w:tr w:rsidR="00EA38F6" w:rsidRPr="000864AE" w14:paraId="0FA7767F" w14:textId="77777777" w:rsidTr="00AC0C51">
        <w:trPr>
          <w:trHeight w:val="300"/>
        </w:trPr>
        <w:tc>
          <w:tcPr>
            <w:tcW w:w="668" w:type="dxa"/>
            <w:vAlign w:val="center"/>
            <w:hideMark/>
          </w:tcPr>
          <w:p w14:paraId="1FFD638E"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209</w:t>
            </w:r>
          </w:p>
        </w:tc>
        <w:tc>
          <w:tcPr>
            <w:tcW w:w="3835" w:type="dxa"/>
            <w:vAlign w:val="center"/>
            <w:hideMark/>
          </w:tcPr>
          <w:p w14:paraId="56E0F86E" w14:textId="77777777" w:rsidR="00EA38F6" w:rsidRPr="000864AE" w:rsidRDefault="00EA38F6" w:rsidP="000864AE">
            <w:pPr>
              <w:rPr>
                <w:rFonts w:ascii="Verdana" w:hAnsi="Verdana"/>
                <w:sz w:val="18"/>
                <w:szCs w:val="18"/>
              </w:rPr>
            </w:pPr>
            <w:r w:rsidRPr="000864AE">
              <w:rPr>
                <w:rFonts w:ascii="Verdana" w:hAnsi="Verdana"/>
                <w:sz w:val="18"/>
                <w:szCs w:val="18"/>
              </w:rPr>
              <w:t>Escobedo Juárez Celso</w:t>
            </w:r>
          </w:p>
        </w:tc>
      </w:tr>
      <w:tr w:rsidR="00EA38F6" w:rsidRPr="000864AE" w14:paraId="0CC5E021" w14:textId="77777777" w:rsidTr="00AC0C51">
        <w:trPr>
          <w:trHeight w:val="300"/>
        </w:trPr>
        <w:tc>
          <w:tcPr>
            <w:tcW w:w="668" w:type="dxa"/>
            <w:vAlign w:val="center"/>
            <w:hideMark/>
          </w:tcPr>
          <w:p w14:paraId="26799425"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210</w:t>
            </w:r>
          </w:p>
        </w:tc>
        <w:tc>
          <w:tcPr>
            <w:tcW w:w="3835" w:type="dxa"/>
            <w:vAlign w:val="center"/>
            <w:hideMark/>
          </w:tcPr>
          <w:p w14:paraId="21351726" w14:textId="77777777" w:rsidR="00EA38F6" w:rsidRPr="000864AE" w:rsidRDefault="00EA38F6" w:rsidP="000864AE">
            <w:pPr>
              <w:rPr>
                <w:rFonts w:ascii="Verdana" w:hAnsi="Verdana"/>
                <w:sz w:val="18"/>
                <w:szCs w:val="18"/>
              </w:rPr>
            </w:pPr>
            <w:r w:rsidRPr="000864AE">
              <w:rPr>
                <w:rFonts w:ascii="Verdana" w:hAnsi="Verdana"/>
                <w:sz w:val="18"/>
                <w:szCs w:val="18"/>
              </w:rPr>
              <w:t>Espejo Aquije Delfin Fortunato</w:t>
            </w:r>
          </w:p>
        </w:tc>
      </w:tr>
      <w:tr w:rsidR="00EA38F6" w:rsidRPr="000864AE" w14:paraId="694B632E" w14:textId="77777777" w:rsidTr="00AC0C51">
        <w:trPr>
          <w:trHeight w:val="300"/>
        </w:trPr>
        <w:tc>
          <w:tcPr>
            <w:tcW w:w="668" w:type="dxa"/>
            <w:vAlign w:val="center"/>
            <w:hideMark/>
          </w:tcPr>
          <w:p w14:paraId="1E3404DE"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211</w:t>
            </w:r>
          </w:p>
        </w:tc>
        <w:tc>
          <w:tcPr>
            <w:tcW w:w="3835" w:type="dxa"/>
            <w:vAlign w:val="center"/>
            <w:hideMark/>
          </w:tcPr>
          <w:p w14:paraId="4CAB78F0" w14:textId="77777777" w:rsidR="00EA38F6" w:rsidRPr="000864AE" w:rsidRDefault="00EA38F6" w:rsidP="000864AE">
            <w:pPr>
              <w:rPr>
                <w:rFonts w:ascii="Verdana" w:hAnsi="Verdana"/>
                <w:sz w:val="18"/>
                <w:szCs w:val="18"/>
              </w:rPr>
            </w:pPr>
            <w:r w:rsidRPr="000864AE">
              <w:rPr>
                <w:rFonts w:ascii="Verdana" w:hAnsi="Verdana"/>
                <w:sz w:val="18"/>
                <w:szCs w:val="18"/>
              </w:rPr>
              <w:t>Espinoza Alvarado Armando Jorge</w:t>
            </w:r>
          </w:p>
        </w:tc>
      </w:tr>
      <w:tr w:rsidR="00EA38F6" w:rsidRPr="000864AE" w14:paraId="323850EC" w14:textId="77777777" w:rsidTr="00AC0C51">
        <w:trPr>
          <w:trHeight w:val="300"/>
        </w:trPr>
        <w:tc>
          <w:tcPr>
            <w:tcW w:w="668" w:type="dxa"/>
            <w:vAlign w:val="center"/>
            <w:hideMark/>
          </w:tcPr>
          <w:p w14:paraId="0C28CD4E"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212</w:t>
            </w:r>
          </w:p>
        </w:tc>
        <w:tc>
          <w:tcPr>
            <w:tcW w:w="3835" w:type="dxa"/>
            <w:vAlign w:val="center"/>
            <w:hideMark/>
          </w:tcPr>
          <w:p w14:paraId="1458EAE7" w14:textId="77777777" w:rsidR="00EA38F6" w:rsidRPr="000864AE" w:rsidRDefault="00EA38F6" w:rsidP="000864AE">
            <w:pPr>
              <w:rPr>
                <w:rFonts w:ascii="Verdana" w:hAnsi="Verdana"/>
                <w:sz w:val="18"/>
                <w:szCs w:val="18"/>
              </w:rPr>
            </w:pPr>
            <w:r w:rsidRPr="000864AE">
              <w:rPr>
                <w:rFonts w:ascii="Verdana" w:hAnsi="Verdana"/>
                <w:sz w:val="18"/>
                <w:szCs w:val="18"/>
              </w:rPr>
              <w:t>Espinoza Alzamora Manuel Antenor</w:t>
            </w:r>
          </w:p>
        </w:tc>
      </w:tr>
      <w:tr w:rsidR="00EA38F6" w:rsidRPr="000864AE" w14:paraId="5DD66DE1" w14:textId="77777777" w:rsidTr="00AC0C51">
        <w:trPr>
          <w:trHeight w:val="300"/>
        </w:trPr>
        <w:tc>
          <w:tcPr>
            <w:tcW w:w="668" w:type="dxa"/>
            <w:vAlign w:val="center"/>
            <w:hideMark/>
          </w:tcPr>
          <w:p w14:paraId="35853FA2"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213</w:t>
            </w:r>
          </w:p>
        </w:tc>
        <w:tc>
          <w:tcPr>
            <w:tcW w:w="3835" w:type="dxa"/>
            <w:vAlign w:val="center"/>
            <w:hideMark/>
          </w:tcPr>
          <w:p w14:paraId="53E6F1C8" w14:textId="77777777" w:rsidR="00EA38F6" w:rsidRPr="000864AE" w:rsidRDefault="00EA38F6" w:rsidP="000864AE">
            <w:pPr>
              <w:rPr>
                <w:rFonts w:ascii="Verdana" w:hAnsi="Verdana"/>
                <w:sz w:val="18"/>
                <w:szCs w:val="18"/>
              </w:rPr>
            </w:pPr>
            <w:r w:rsidRPr="000864AE">
              <w:rPr>
                <w:rFonts w:ascii="Verdana" w:hAnsi="Verdana"/>
                <w:sz w:val="18"/>
                <w:szCs w:val="18"/>
              </w:rPr>
              <w:t>Espinoza Chávarry Humberto Saúl</w:t>
            </w:r>
          </w:p>
        </w:tc>
      </w:tr>
      <w:tr w:rsidR="00EA38F6" w:rsidRPr="000864AE" w14:paraId="48E17803" w14:textId="77777777" w:rsidTr="00AC0C51">
        <w:trPr>
          <w:trHeight w:val="300"/>
        </w:trPr>
        <w:tc>
          <w:tcPr>
            <w:tcW w:w="668" w:type="dxa"/>
            <w:vAlign w:val="center"/>
            <w:hideMark/>
          </w:tcPr>
          <w:p w14:paraId="064243FB"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214</w:t>
            </w:r>
          </w:p>
        </w:tc>
        <w:tc>
          <w:tcPr>
            <w:tcW w:w="3835" w:type="dxa"/>
            <w:vAlign w:val="center"/>
            <w:hideMark/>
          </w:tcPr>
          <w:p w14:paraId="3736B599" w14:textId="77777777" w:rsidR="00EA38F6" w:rsidRPr="000864AE" w:rsidRDefault="00EA38F6" w:rsidP="000864AE">
            <w:pPr>
              <w:rPr>
                <w:rFonts w:ascii="Verdana" w:hAnsi="Verdana"/>
                <w:sz w:val="18"/>
                <w:szCs w:val="18"/>
              </w:rPr>
            </w:pPr>
            <w:r w:rsidRPr="000864AE">
              <w:rPr>
                <w:rFonts w:ascii="Verdana" w:hAnsi="Verdana"/>
                <w:sz w:val="18"/>
                <w:szCs w:val="18"/>
              </w:rPr>
              <w:t>Espinoza Eyzaguirre María Del Carmen</w:t>
            </w:r>
          </w:p>
        </w:tc>
      </w:tr>
      <w:tr w:rsidR="00EA38F6" w:rsidRPr="000864AE" w14:paraId="23E4A94E" w14:textId="77777777" w:rsidTr="00AC0C51">
        <w:trPr>
          <w:trHeight w:val="300"/>
        </w:trPr>
        <w:tc>
          <w:tcPr>
            <w:tcW w:w="668" w:type="dxa"/>
            <w:vAlign w:val="center"/>
            <w:hideMark/>
          </w:tcPr>
          <w:p w14:paraId="0CC5E53B"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215</w:t>
            </w:r>
          </w:p>
        </w:tc>
        <w:tc>
          <w:tcPr>
            <w:tcW w:w="3835" w:type="dxa"/>
            <w:vAlign w:val="center"/>
            <w:hideMark/>
          </w:tcPr>
          <w:p w14:paraId="1EF7CF9E" w14:textId="77777777" w:rsidR="00EA38F6" w:rsidRPr="000864AE" w:rsidRDefault="00EA38F6" w:rsidP="000864AE">
            <w:pPr>
              <w:rPr>
                <w:rFonts w:ascii="Verdana" w:hAnsi="Verdana"/>
                <w:sz w:val="18"/>
                <w:szCs w:val="18"/>
              </w:rPr>
            </w:pPr>
            <w:r w:rsidRPr="000864AE">
              <w:rPr>
                <w:rFonts w:ascii="Verdana" w:hAnsi="Verdana"/>
                <w:sz w:val="18"/>
                <w:szCs w:val="18"/>
              </w:rPr>
              <w:t>Espinoza Guanilo Héctor Enrique</w:t>
            </w:r>
          </w:p>
        </w:tc>
      </w:tr>
      <w:tr w:rsidR="00EA38F6" w:rsidRPr="000864AE" w14:paraId="2E0CB8F8" w14:textId="77777777" w:rsidTr="00AC0C51">
        <w:trPr>
          <w:trHeight w:val="300"/>
        </w:trPr>
        <w:tc>
          <w:tcPr>
            <w:tcW w:w="668" w:type="dxa"/>
            <w:vAlign w:val="center"/>
            <w:hideMark/>
          </w:tcPr>
          <w:p w14:paraId="163FE510"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216</w:t>
            </w:r>
          </w:p>
        </w:tc>
        <w:tc>
          <w:tcPr>
            <w:tcW w:w="3835" w:type="dxa"/>
            <w:vAlign w:val="center"/>
            <w:hideMark/>
          </w:tcPr>
          <w:p w14:paraId="2C43547B" w14:textId="77777777" w:rsidR="00EA38F6" w:rsidRPr="000864AE" w:rsidRDefault="00EA38F6" w:rsidP="000864AE">
            <w:pPr>
              <w:rPr>
                <w:rFonts w:ascii="Verdana" w:hAnsi="Verdana"/>
                <w:sz w:val="18"/>
                <w:szCs w:val="18"/>
              </w:rPr>
            </w:pPr>
            <w:r w:rsidRPr="000864AE">
              <w:rPr>
                <w:rFonts w:ascii="Verdana" w:hAnsi="Verdana"/>
                <w:sz w:val="18"/>
                <w:szCs w:val="18"/>
              </w:rPr>
              <w:t>Espinoza Ramirez Manuel Demetrio</w:t>
            </w:r>
          </w:p>
        </w:tc>
      </w:tr>
      <w:tr w:rsidR="00EA38F6" w:rsidRPr="000864AE" w14:paraId="39DA254C" w14:textId="77777777" w:rsidTr="00AC0C51">
        <w:trPr>
          <w:trHeight w:val="270"/>
        </w:trPr>
        <w:tc>
          <w:tcPr>
            <w:tcW w:w="668" w:type="dxa"/>
            <w:vAlign w:val="center"/>
            <w:hideMark/>
          </w:tcPr>
          <w:p w14:paraId="3920C41B"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217</w:t>
            </w:r>
          </w:p>
        </w:tc>
        <w:tc>
          <w:tcPr>
            <w:tcW w:w="3835" w:type="dxa"/>
            <w:vAlign w:val="center"/>
            <w:hideMark/>
          </w:tcPr>
          <w:p w14:paraId="39101A9F" w14:textId="77777777" w:rsidR="00EA38F6" w:rsidRPr="000864AE" w:rsidRDefault="00EA38F6" w:rsidP="000864AE">
            <w:pPr>
              <w:rPr>
                <w:rFonts w:ascii="Verdana" w:hAnsi="Verdana"/>
                <w:sz w:val="18"/>
                <w:szCs w:val="18"/>
              </w:rPr>
            </w:pPr>
            <w:r w:rsidRPr="000864AE">
              <w:rPr>
                <w:rFonts w:ascii="Verdana" w:hAnsi="Verdana"/>
                <w:sz w:val="18"/>
                <w:szCs w:val="18"/>
              </w:rPr>
              <w:t>Estela Bravo Corina Elda</w:t>
            </w:r>
          </w:p>
        </w:tc>
      </w:tr>
      <w:tr w:rsidR="00EA38F6" w:rsidRPr="000864AE" w14:paraId="1EB5F906" w14:textId="77777777" w:rsidTr="00AC0C51">
        <w:trPr>
          <w:trHeight w:val="300"/>
        </w:trPr>
        <w:tc>
          <w:tcPr>
            <w:tcW w:w="668" w:type="dxa"/>
            <w:vAlign w:val="center"/>
            <w:hideMark/>
          </w:tcPr>
          <w:p w14:paraId="00D59ECB"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218</w:t>
            </w:r>
          </w:p>
        </w:tc>
        <w:tc>
          <w:tcPr>
            <w:tcW w:w="3835" w:type="dxa"/>
            <w:vAlign w:val="center"/>
            <w:hideMark/>
          </w:tcPr>
          <w:p w14:paraId="1E397E7B" w14:textId="77777777" w:rsidR="00EA38F6" w:rsidRPr="000864AE" w:rsidRDefault="00EA38F6" w:rsidP="000864AE">
            <w:pPr>
              <w:rPr>
                <w:rFonts w:ascii="Verdana" w:hAnsi="Verdana"/>
                <w:sz w:val="18"/>
                <w:szCs w:val="18"/>
              </w:rPr>
            </w:pPr>
            <w:r w:rsidRPr="000864AE">
              <w:rPr>
                <w:rFonts w:ascii="Verdana" w:hAnsi="Verdana"/>
                <w:sz w:val="18"/>
                <w:szCs w:val="18"/>
              </w:rPr>
              <w:t>Esterripa Angeles Rolando Abdias</w:t>
            </w:r>
          </w:p>
        </w:tc>
      </w:tr>
      <w:tr w:rsidR="00EA38F6" w:rsidRPr="000864AE" w14:paraId="5830C834" w14:textId="77777777" w:rsidTr="00AC0C51">
        <w:trPr>
          <w:trHeight w:val="300"/>
        </w:trPr>
        <w:tc>
          <w:tcPr>
            <w:tcW w:w="668" w:type="dxa"/>
            <w:vAlign w:val="center"/>
            <w:hideMark/>
          </w:tcPr>
          <w:p w14:paraId="461F0CF8"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219</w:t>
            </w:r>
          </w:p>
        </w:tc>
        <w:tc>
          <w:tcPr>
            <w:tcW w:w="3835" w:type="dxa"/>
            <w:vAlign w:val="center"/>
            <w:hideMark/>
          </w:tcPr>
          <w:p w14:paraId="3041679D" w14:textId="77777777" w:rsidR="00EA38F6" w:rsidRPr="000864AE" w:rsidRDefault="00EA38F6" w:rsidP="000864AE">
            <w:pPr>
              <w:rPr>
                <w:rFonts w:ascii="Verdana" w:hAnsi="Verdana"/>
                <w:sz w:val="18"/>
                <w:szCs w:val="18"/>
              </w:rPr>
            </w:pPr>
            <w:r w:rsidRPr="000864AE">
              <w:rPr>
                <w:rFonts w:ascii="Verdana" w:hAnsi="Verdana"/>
                <w:sz w:val="18"/>
                <w:szCs w:val="18"/>
              </w:rPr>
              <w:t>Estupiñán Ortiz Juan Alberto</w:t>
            </w:r>
          </w:p>
        </w:tc>
      </w:tr>
      <w:tr w:rsidR="00EA38F6" w:rsidRPr="000864AE" w14:paraId="166CDD0B" w14:textId="77777777" w:rsidTr="00AC0C51">
        <w:trPr>
          <w:trHeight w:val="300"/>
        </w:trPr>
        <w:tc>
          <w:tcPr>
            <w:tcW w:w="668" w:type="dxa"/>
            <w:vAlign w:val="center"/>
            <w:hideMark/>
          </w:tcPr>
          <w:p w14:paraId="627D4862"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220</w:t>
            </w:r>
          </w:p>
        </w:tc>
        <w:tc>
          <w:tcPr>
            <w:tcW w:w="3835" w:type="dxa"/>
            <w:vAlign w:val="center"/>
            <w:hideMark/>
          </w:tcPr>
          <w:p w14:paraId="7B4EBB1A" w14:textId="77777777" w:rsidR="00EA38F6" w:rsidRPr="000864AE" w:rsidRDefault="00EA38F6" w:rsidP="000864AE">
            <w:pPr>
              <w:rPr>
                <w:rFonts w:ascii="Verdana" w:hAnsi="Verdana"/>
                <w:sz w:val="18"/>
                <w:szCs w:val="18"/>
              </w:rPr>
            </w:pPr>
            <w:r w:rsidRPr="000864AE">
              <w:rPr>
                <w:rFonts w:ascii="Verdana" w:hAnsi="Verdana"/>
                <w:sz w:val="18"/>
                <w:szCs w:val="18"/>
              </w:rPr>
              <w:t>Felipa Grimaldo Eduardo Donato</w:t>
            </w:r>
          </w:p>
        </w:tc>
      </w:tr>
      <w:tr w:rsidR="00EA38F6" w:rsidRPr="000864AE" w14:paraId="38EA9372" w14:textId="77777777" w:rsidTr="00AC0C51">
        <w:trPr>
          <w:trHeight w:val="300"/>
        </w:trPr>
        <w:tc>
          <w:tcPr>
            <w:tcW w:w="668" w:type="dxa"/>
            <w:vAlign w:val="center"/>
            <w:hideMark/>
          </w:tcPr>
          <w:p w14:paraId="6968A791"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221</w:t>
            </w:r>
          </w:p>
        </w:tc>
        <w:tc>
          <w:tcPr>
            <w:tcW w:w="3835" w:type="dxa"/>
            <w:vAlign w:val="center"/>
            <w:hideMark/>
          </w:tcPr>
          <w:p w14:paraId="6EF144D5" w14:textId="77777777" w:rsidR="00EA38F6" w:rsidRPr="000864AE" w:rsidRDefault="00EA38F6" w:rsidP="000864AE">
            <w:pPr>
              <w:rPr>
                <w:rFonts w:ascii="Verdana" w:hAnsi="Verdana"/>
                <w:sz w:val="18"/>
                <w:szCs w:val="18"/>
              </w:rPr>
            </w:pPr>
            <w:r w:rsidRPr="000864AE">
              <w:rPr>
                <w:rFonts w:ascii="Verdana" w:hAnsi="Verdana"/>
                <w:sz w:val="18"/>
                <w:szCs w:val="18"/>
              </w:rPr>
              <w:t>Fernández Lara María Soledad</w:t>
            </w:r>
          </w:p>
        </w:tc>
      </w:tr>
      <w:tr w:rsidR="00EA38F6" w:rsidRPr="000864AE" w14:paraId="1B396A8E" w14:textId="77777777" w:rsidTr="00AC0C51">
        <w:trPr>
          <w:trHeight w:val="300"/>
        </w:trPr>
        <w:tc>
          <w:tcPr>
            <w:tcW w:w="668" w:type="dxa"/>
            <w:vAlign w:val="center"/>
            <w:hideMark/>
          </w:tcPr>
          <w:p w14:paraId="1A273DD4"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222</w:t>
            </w:r>
          </w:p>
        </w:tc>
        <w:tc>
          <w:tcPr>
            <w:tcW w:w="3835" w:type="dxa"/>
            <w:vAlign w:val="center"/>
            <w:hideMark/>
          </w:tcPr>
          <w:p w14:paraId="6E7BB771" w14:textId="77777777" w:rsidR="00EA38F6" w:rsidRPr="000864AE" w:rsidRDefault="00EA38F6" w:rsidP="000864AE">
            <w:pPr>
              <w:rPr>
                <w:rFonts w:ascii="Verdana" w:hAnsi="Verdana"/>
                <w:sz w:val="18"/>
                <w:szCs w:val="18"/>
              </w:rPr>
            </w:pPr>
            <w:r w:rsidRPr="000864AE">
              <w:rPr>
                <w:rFonts w:ascii="Verdana" w:hAnsi="Verdana"/>
                <w:sz w:val="18"/>
                <w:szCs w:val="18"/>
              </w:rPr>
              <w:t>Fernández Marrero Vicenta Elvira</w:t>
            </w:r>
          </w:p>
        </w:tc>
      </w:tr>
      <w:tr w:rsidR="00EA38F6" w:rsidRPr="000864AE" w14:paraId="5459C192" w14:textId="77777777" w:rsidTr="00AC0C51">
        <w:trPr>
          <w:trHeight w:val="300"/>
        </w:trPr>
        <w:tc>
          <w:tcPr>
            <w:tcW w:w="668" w:type="dxa"/>
            <w:vAlign w:val="center"/>
            <w:hideMark/>
          </w:tcPr>
          <w:p w14:paraId="04B990D9"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223</w:t>
            </w:r>
          </w:p>
        </w:tc>
        <w:tc>
          <w:tcPr>
            <w:tcW w:w="3835" w:type="dxa"/>
            <w:vAlign w:val="center"/>
            <w:hideMark/>
          </w:tcPr>
          <w:p w14:paraId="5DF67E57" w14:textId="77777777" w:rsidR="00EA38F6" w:rsidRPr="000864AE" w:rsidRDefault="00EA38F6" w:rsidP="000864AE">
            <w:pPr>
              <w:rPr>
                <w:rFonts w:ascii="Verdana" w:hAnsi="Verdana"/>
                <w:sz w:val="18"/>
                <w:szCs w:val="18"/>
              </w:rPr>
            </w:pPr>
            <w:r w:rsidRPr="000864AE">
              <w:rPr>
                <w:rFonts w:ascii="Verdana" w:hAnsi="Verdana"/>
                <w:sz w:val="18"/>
                <w:szCs w:val="18"/>
              </w:rPr>
              <w:t>Fernández Salazar Jorge Isabel</w:t>
            </w:r>
          </w:p>
        </w:tc>
      </w:tr>
      <w:tr w:rsidR="00EA38F6" w:rsidRPr="000864AE" w14:paraId="2F417C1E" w14:textId="77777777" w:rsidTr="00AC0C51">
        <w:trPr>
          <w:trHeight w:val="300"/>
        </w:trPr>
        <w:tc>
          <w:tcPr>
            <w:tcW w:w="668" w:type="dxa"/>
            <w:vAlign w:val="center"/>
            <w:hideMark/>
          </w:tcPr>
          <w:p w14:paraId="1263E272"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224</w:t>
            </w:r>
          </w:p>
        </w:tc>
        <w:tc>
          <w:tcPr>
            <w:tcW w:w="3835" w:type="dxa"/>
            <w:vAlign w:val="center"/>
            <w:hideMark/>
          </w:tcPr>
          <w:p w14:paraId="1CF2F22D" w14:textId="77777777" w:rsidR="00EA38F6" w:rsidRPr="000864AE" w:rsidRDefault="00EA38F6" w:rsidP="000864AE">
            <w:pPr>
              <w:rPr>
                <w:rFonts w:ascii="Verdana" w:hAnsi="Verdana"/>
                <w:sz w:val="18"/>
                <w:szCs w:val="18"/>
              </w:rPr>
            </w:pPr>
            <w:r w:rsidRPr="000864AE">
              <w:rPr>
                <w:rFonts w:ascii="Verdana" w:hAnsi="Verdana"/>
                <w:sz w:val="18"/>
                <w:szCs w:val="18"/>
              </w:rPr>
              <w:t>Figueroa Herbas Enrique Moisés</w:t>
            </w:r>
          </w:p>
        </w:tc>
      </w:tr>
      <w:tr w:rsidR="00EA38F6" w:rsidRPr="000864AE" w14:paraId="7294E61C" w14:textId="77777777" w:rsidTr="00AC0C51">
        <w:trPr>
          <w:trHeight w:val="300"/>
        </w:trPr>
        <w:tc>
          <w:tcPr>
            <w:tcW w:w="668" w:type="dxa"/>
            <w:vAlign w:val="center"/>
            <w:hideMark/>
          </w:tcPr>
          <w:p w14:paraId="7E436795"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225</w:t>
            </w:r>
          </w:p>
        </w:tc>
        <w:tc>
          <w:tcPr>
            <w:tcW w:w="3835" w:type="dxa"/>
            <w:vAlign w:val="center"/>
            <w:hideMark/>
          </w:tcPr>
          <w:p w14:paraId="7AE9B36A" w14:textId="77777777" w:rsidR="00EA38F6" w:rsidRPr="000864AE" w:rsidRDefault="00EA38F6" w:rsidP="000864AE">
            <w:pPr>
              <w:rPr>
                <w:rFonts w:ascii="Verdana" w:hAnsi="Verdana"/>
                <w:sz w:val="18"/>
                <w:szCs w:val="18"/>
              </w:rPr>
            </w:pPr>
            <w:r w:rsidRPr="000864AE">
              <w:rPr>
                <w:rFonts w:ascii="Verdana" w:hAnsi="Verdana"/>
                <w:sz w:val="18"/>
                <w:szCs w:val="18"/>
              </w:rPr>
              <w:t>Figueroa Herbas Jorge Roberto</w:t>
            </w:r>
          </w:p>
        </w:tc>
      </w:tr>
      <w:tr w:rsidR="00EA38F6" w:rsidRPr="000864AE" w14:paraId="62A83C2E" w14:textId="77777777" w:rsidTr="00AC0C51">
        <w:trPr>
          <w:trHeight w:val="300"/>
        </w:trPr>
        <w:tc>
          <w:tcPr>
            <w:tcW w:w="668" w:type="dxa"/>
            <w:vAlign w:val="center"/>
            <w:hideMark/>
          </w:tcPr>
          <w:p w14:paraId="554CC312"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226</w:t>
            </w:r>
          </w:p>
        </w:tc>
        <w:tc>
          <w:tcPr>
            <w:tcW w:w="3835" w:type="dxa"/>
            <w:vAlign w:val="center"/>
            <w:hideMark/>
          </w:tcPr>
          <w:p w14:paraId="7CE46FF6" w14:textId="77777777" w:rsidR="00EA38F6" w:rsidRPr="000864AE" w:rsidRDefault="00EA38F6" w:rsidP="000864AE">
            <w:pPr>
              <w:rPr>
                <w:rFonts w:ascii="Verdana" w:hAnsi="Verdana"/>
                <w:sz w:val="18"/>
                <w:szCs w:val="18"/>
              </w:rPr>
            </w:pPr>
            <w:r w:rsidRPr="000864AE">
              <w:rPr>
                <w:rFonts w:ascii="Verdana" w:hAnsi="Verdana"/>
                <w:sz w:val="18"/>
                <w:szCs w:val="18"/>
              </w:rPr>
              <w:t>Filomeno Landivar Jorge Nicolás</w:t>
            </w:r>
          </w:p>
        </w:tc>
      </w:tr>
      <w:tr w:rsidR="00EA38F6" w:rsidRPr="000864AE" w14:paraId="657FA1CF" w14:textId="77777777" w:rsidTr="00AC0C51">
        <w:trPr>
          <w:trHeight w:val="300"/>
        </w:trPr>
        <w:tc>
          <w:tcPr>
            <w:tcW w:w="668" w:type="dxa"/>
            <w:vAlign w:val="center"/>
            <w:hideMark/>
          </w:tcPr>
          <w:p w14:paraId="6B19AED0"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227</w:t>
            </w:r>
          </w:p>
        </w:tc>
        <w:tc>
          <w:tcPr>
            <w:tcW w:w="3835" w:type="dxa"/>
            <w:vAlign w:val="center"/>
            <w:hideMark/>
          </w:tcPr>
          <w:p w14:paraId="5354564D" w14:textId="77777777" w:rsidR="00EA38F6" w:rsidRPr="000864AE" w:rsidRDefault="00EA38F6" w:rsidP="000864AE">
            <w:pPr>
              <w:rPr>
                <w:rFonts w:ascii="Verdana" w:hAnsi="Verdana"/>
                <w:sz w:val="18"/>
                <w:szCs w:val="18"/>
              </w:rPr>
            </w:pPr>
            <w:r w:rsidRPr="000864AE">
              <w:rPr>
                <w:rFonts w:ascii="Verdana" w:hAnsi="Verdana"/>
                <w:sz w:val="18"/>
                <w:szCs w:val="18"/>
              </w:rPr>
              <w:t>Flores Almeza Wilma Consuelo Juana</w:t>
            </w:r>
          </w:p>
        </w:tc>
      </w:tr>
      <w:tr w:rsidR="00EA38F6" w:rsidRPr="000864AE" w14:paraId="2685E4BD" w14:textId="77777777" w:rsidTr="00AC0C51">
        <w:trPr>
          <w:trHeight w:val="300"/>
        </w:trPr>
        <w:tc>
          <w:tcPr>
            <w:tcW w:w="668" w:type="dxa"/>
            <w:vAlign w:val="center"/>
            <w:hideMark/>
          </w:tcPr>
          <w:p w14:paraId="6C6F7A3B"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228</w:t>
            </w:r>
          </w:p>
        </w:tc>
        <w:tc>
          <w:tcPr>
            <w:tcW w:w="3835" w:type="dxa"/>
            <w:vAlign w:val="center"/>
            <w:hideMark/>
          </w:tcPr>
          <w:p w14:paraId="0BB12931" w14:textId="77777777" w:rsidR="00EA38F6" w:rsidRPr="000864AE" w:rsidRDefault="00EA38F6" w:rsidP="000864AE">
            <w:pPr>
              <w:rPr>
                <w:rFonts w:ascii="Verdana" w:hAnsi="Verdana"/>
                <w:sz w:val="18"/>
                <w:szCs w:val="18"/>
              </w:rPr>
            </w:pPr>
            <w:r w:rsidRPr="000864AE">
              <w:rPr>
                <w:rFonts w:ascii="Verdana" w:hAnsi="Verdana"/>
                <w:sz w:val="18"/>
                <w:szCs w:val="18"/>
              </w:rPr>
              <w:t>Flores Bermúdez Magno Melecio</w:t>
            </w:r>
          </w:p>
        </w:tc>
      </w:tr>
      <w:tr w:rsidR="00EA38F6" w:rsidRPr="000864AE" w14:paraId="1D1F25D7" w14:textId="77777777" w:rsidTr="00AC0C51">
        <w:trPr>
          <w:trHeight w:val="300"/>
        </w:trPr>
        <w:tc>
          <w:tcPr>
            <w:tcW w:w="668" w:type="dxa"/>
            <w:vAlign w:val="center"/>
            <w:hideMark/>
          </w:tcPr>
          <w:p w14:paraId="79A4F961"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229</w:t>
            </w:r>
          </w:p>
        </w:tc>
        <w:tc>
          <w:tcPr>
            <w:tcW w:w="3835" w:type="dxa"/>
            <w:vAlign w:val="center"/>
            <w:hideMark/>
          </w:tcPr>
          <w:p w14:paraId="48FFEC75" w14:textId="77777777" w:rsidR="00EA38F6" w:rsidRPr="000864AE" w:rsidRDefault="00EA38F6" w:rsidP="000864AE">
            <w:pPr>
              <w:rPr>
                <w:rFonts w:ascii="Verdana" w:hAnsi="Verdana"/>
                <w:sz w:val="18"/>
                <w:szCs w:val="18"/>
              </w:rPr>
            </w:pPr>
            <w:r w:rsidRPr="000864AE">
              <w:rPr>
                <w:rFonts w:ascii="Verdana" w:hAnsi="Verdana"/>
                <w:sz w:val="18"/>
                <w:szCs w:val="18"/>
              </w:rPr>
              <w:t>Flores Ferreyra Elmer</w:t>
            </w:r>
          </w:p>
        </w:tc>
      </w:tr>
      <w:tr w:rsidR="00EA38F6" w:rsidRPr="000864AE" w14:paraId="23D4E799" w14:textId="77777777" w:rsidTr="00AC0C51">
        <w:trPr>
          <w:trHeight w:val="300"/>
        </w:trPr>
        <w:tc>
          <w:tcPr>
            <w:tcW w:w="668" w:type="dxa"/>
            <w:vAlign w:val="center"/>
            <w:hideMark/>
          </w:tcPr>
          <w:p w14:paraId="4EFB5AB5"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230</w:t>
            </w:r>
          </w:p>
        </w:tc>
        <w:tc>
          <w:tcPr>
            <w:tcW w:w="3835" w:type="dxa"/>
            <w:vAlign w:val="center"/>
            <w:hideMark/>
          </w:tcPr>
          <w:p w14:paraId="1BD3B509" w14:textId="77777777" w:rsidR="00EA38F6" w:rsidRPr="000864AE" w:rsidRDefault="00EA38F6" w:rsidP="000864AE">
            <w:pPr>
              <w:rPr>
                <w:rFonts w:ascii="Verdana" w:hAnsi="Verdana"/>
                <w:sz w:val="18"/>
                <w:szCs w:val="18"/>
              </w:rPr>
            </w:pPr>
            <w:r w:rsidRPr="000864AE">
              <w:rPr>
                <w:rFonts w:ascii="Verdana" w:hAnsi="Verdana"/>
                <w:sz w:val="18"/>
                <w:szCs w:val="18"/>
              </w:rPr>
              <w:t>Flores Pastor Luis Manuel</w:t>
            </w:r>
          </w:p>
        </w:tc>
      </w:tr>
      <w:tr w:rsidR="00EA38F6" w:rsidRPr="000864AE" w14:paraId="44578E49" w14:textId="77777777" w:rsidTr="00AC0C51">
        <w:trPr>
          <w:trHeight w:val="300"/>
        </w:trPr>
        <w:tc>
          <w:tcPr>
            <w:tcW w:w="668" w:type="dxa"/>
            <w:vAlign w:val="center"/>
            <w:hideMark/>
          </w:tcPr>
          <w:p w14:paraId="39C59D71"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231</w:t>
            </w:r>
          </w:p>
        </w:tc>
        <w:tc>
          <w:tcPr>
            <w:tcW w:w="3835" w:type="dxa"/>
            <w:vAlign w:val="center"/>
            <w:hideMark/>
          </w:tcPr>
          <w:p w14:paraId="6D35CF1D" w14:textId="77777777" w:rsidR="00EA38F6" w:rsidRPr="000864AE" w:rsidRDefault="00EA38F6" w:rsidP="000864AE">
            <w:pPr>
              <w:rPr>
                <w:rFonts w:ascii="Verdana" w:hAnsi="Verdana"/>
                <w:sz w:val="18"/>
                <w:szCs w:val="18"/>
              </w:rPr>
            </w:pPr>
            <w:r w:rsidRPr="000864AE">
              <w:rPr>
                <w:rFonts w:ascii="Verdana" w:hAnsi="Verdana"/>
                <w:sz w:val="18"/>
                <w:szCs w:val="18"/>
              </w:rPr>
              <w:t>Flores Plata Clemente Roberto</w:t>
            </w:r>
          </w:p>
        </w:tc>
      </w:tr>
      <w:tr w:rsidR="00EA38F6" w:rsidRPr="000864AE" w14:paraId="783EAF13" w14:textId="77777777" w:rsidTr="00AC0C51">
        <w:trPr>
          <w:trHeight w:val="300"/>
        </w:trPr>
        <w:tc>
          <w:tcPr>
            <w:tcW w:w="668" w:type="dxa"/>
            <w:vAlign w:val="center"/>
            <w:hideMark/>
          </w:tcPr>
          <w:p w14:paraId="6DFA5F02"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232</w:t>
            </w:r>
          </w:p>
        </w:tc>
        <w:tc>
          <w:tcPr>
            <w:tcW w:w="3835" w:type="dxa"/>
            <w:vAlign w:val="center"/>
            <w:hideMark/>
          </w:tcPr>
          <w:p w14:paraId="391BBD6C" w14:textId="77777777" w:rsidR="00EA38F6" w:rsidRPr="000864AE" w:rsidRDefault="00EA38F6" w:rsidP="000864AE">
            <w:pPr>
              <w:rPr>
                <w:rFonts w:ascii="Verdana" w:hAnsi="Verdana"/>
                <w:sz w:val="18"/>
                <w:szCs w:val="18"/>
              </w:rPr>
            </w:pPr>
            <w:r w:rsidRPr="000864AE">
              <w:rPr>
                <w:rFonts w:ascii="Verdana" w:hAnsi="Verdana"/>
                <w:sz w:val="18"/>
                <w:szCs w:val="18"/>
              </w:rPr>
              <w:t>Flores Sandoval Víctor Marcos</w:t>
            </w:r>
          </w:p>
        </w:tc>
      </w:tr>
      <w:tr w:rsidR="00EA38F6" w:rsidRPr="000864AE" w14:paraId="5047C59A" w14:textId="77777777" w:rsidTr="00AC0C51">
        <w:trPr>
          <w:trHeight w:val="300"/>
        </w:trPr>
        <w:tc>
          <w:tcPr>
            <w:tcW w:w="668" w:type="dxa"/>
            <w:vAlign w:val="center"/>
            <w:hideMark/>
          </w:tcPr>
          <w:p w14:paraId="17CF59C0"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233</w:t>
            </w:r>
          </w:p>
        </w:tc>
        <w:tc>
          <w:tcPr>
            <w:tcW w:w="3835" w:type="dxa"/>
            <w:vAlign w:val="center"/>
            <w:hideMark/>
          </w:tcPr>
          <w:p w14:paraId="08B2D952" w14:textId="77777777" w:rsidR="00EA38F6" w:rsidRPr="000864AE" w:rsidRDefault="00EA38F6" w:rsidP="000864AE">
            <w:pPr>
              <w:rPr>
                <w:rFonts w:ascii="Verdana" w:hAnsi="Verdana"/>
                <w:sz w:val="18"/>
                <w:szCs w:val="18"/>
              </w:rPr>
            </w:pPr>
            <w:r w:rsidRPr="000864AE">
              <w:rPr>
                <w:rFonts w:ascii="Verdana" w:hAnsi="Verdana"/>
                <w:sz w:val="18"/>
                <w:szCs w:val="18"/>
              </w:rPr>
              <w:t>Fonseca Bernuy Enrique Manuel</w:t>
            </w:r>
          </w:p>
        </w:tc>
      </w:tr>
      <w:tr w:rsidR="00EA38F6" w:rsidRPr="0057762C" w14:paraId="548484A9" w14:textId="77777777" w:rsidTr="00AC0C51">
        <w:trPr>
          <w:trHeight w:val="300"/>
        </w:trPr>
        <w:tc>
          <w:tcPr>
            <w:tcW w:w="668" w:type="dxa"/>
            <w:vAlign w:val="center"/>
            <w:hideMark/>
          </w:tcPr>
          <w:p w14:paraId="6C74823B"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234</w:t>
            </w:r>
          </w:p>
        </w:tc>
        <w:tc>
          <w:tcPr>
            <w:tcW w:w="3835" w:type="dxa"/>
            <w:vAlign w:val="center"/>
            <w:hideMark/>
          </w:tcPr>
          <w:p w14:paraId="4CB4F0BE" w14:textId="77777777" w:rsidR="00EA38F6" w:rsidRPr="000864AE" w:rsidRDefault="00EA38F6" w:rsidP="000864AE">
            <w:pPr>
              <w:rPr>
                <w:rFonts w:ascii="Verdana" w:hAnsi="Verdana"/>
                <w:sz w:val="18"/>
                <w:szCs w:val="18"/>
                <w:lang w:val="pt-BR"/>
              </w:rPr>
            </w:pPr>
            <w:r w:rsidRPr="000864AE">
              <w:rPr>
                <w:rFonts w:ascii="Verdana" w:hAnsi="Verdana"/>
                <w:sz w:val="18"/>
                <w:szCs w:val="18"/>
                <w:lang w:val="pt-BR"/>
              </w:rPr>
              <w:t>Franco De Manrique Olga Leonidas</w:t>
            </w:r>
          </w:p>
        </w:tc>
      </w:tr>
      <w:tr w:rsidR="00EA38F6" w:rsidRPr="000864AE" w14:paraId="0A4EF6DD" w14:textId="77777777" w:rsidTr="00AC0C51">
        <w:trPr>
          <w:trHeight w:val="300"/>
        </w:trPr>
        <w:tc>
          <w:tcPr>
            <w:tcW w:w="668" w:type="dxa"/>
            <w:vAlign w:val="center"/>
            <w:hideMark/>
          </w:tcPr>
          <w:p w14:paraId="7AE226DA"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235</w:t>
            </w:r>
          </w:p>
        </w:tc>
        <w:tc>
          <w:tcPr>
            <w:tcW w:w="3835" w:type="dxa"/>
            <w:vAlign w:val="center"/>
            <w:hideMark/>
          </w:tcPr>
          <w:p w14:paraId="50F962C5" w14:textId="77777777" w:rsidR="00EA38F6" w:rsidRPr="000864AE" w:rsidRDefault="00EA38F6" w:rsidP="000864AE">
            <w:pPr>
              <w:rPr>
                <w:rFonts w:ascii="Verdana" w:hAnsi="Verdana"/>
                <w:sz w:val="18"/>
                <w:szCs w:val="18"/>
              </w:rPr>
            </w:pPr>
            <w:r w:rsidRPr="000864AE">
              <w:rPr>
                <w:rFonts w:ascii="Verdana" w:hAnsi="Verdana"/>
                <w:sz w:val="18"/>
                <w:szCs w:val="18"/>
              </w:rPr>
              <w:t>Fry Montoya Enrique Antonio</w:t>
            </w:r>
          </w:p>
        </w:tc>
      </w:tr>
      <w:tr w:rsidR="00EA38F6" w:rsidRPr="000864AE" w14:paraId="3D26B3BD" w14:textId="77777777" w:rsidTr="00AC0C51">
        <w:trPr>
          <w:trHeight w:val="300"/>
        </w:trPr>
        <w:tc>
          <w:tcPr>
            <w:tcW w:w="668" w:type="dxa"/>
            <w:vAlign w:val="center"/>
            <w:hideMark/>
          </w:tcPr>
          <w:p w14:paraId="126120DA"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236</w:t>
            </w:r>
          </w:p>
        </w:tc>
        <w:tc>
          <w:tcPr>
            <w:tcW w:w="3835" w:type="dxa"/>
            <w:vAlign w:val="center"/>
            <w:hideMark/>
          </w:tcPr>
          <w:p w14:paraId="33361740" w14:textId="77777777" w:rsidR="00EA38F6" w:rsidRPr="000864AE" w:rsidRDefault="00EA38F6" w:rsidP="000864AE">
            <w:pPr>
              <w:rPr>
                <w:rFonts w:ascii="Verdana" w:hAnsi="Verdana"/>
                <w:sz w:val="18"/>
                <w:szCs w:val="18"/>
              </w:rPr>
            </w:pPr>
            <w:r w:rsidRPr="000864AE">
              <w:rPr>
                <w:rFonts w:ascii="Verdana" w:hAnsi="Verdana"/>
                <w:sz w:val="18"/>
                <w:szCs w:val="18"/>
              </w:rPr>
              <w:t>Galarza Fernández Pablo Humberto</w:t>
            </w:r>
          </w:p>
        </w:tc>
      </w:tr>
      <w:tr w:rsidR="00EA38F6" w:rsidRPr="0057762C" w14:paraId="72745E26" w14:textId="77777777" w:rsidTr="00AC0C51">
        <w:trPr>
          <w:trHeight w:val="300"/>
        </w:trPr>
        <w:tc>
          <w:tcPr>
            <w:tcW w:w="668" w:type="dxa"/>
            <w:vAlign w:val="center"/>
            <w:hideMark/>
          </w:tcPr>
          <w:p w14:paraId="10CA2A10"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237</w:t>
            </w:r>
          </w:p>
        </w:tc>
        <w:tc>
          <w:tcPr>
            <w:tcW w:w="3835" w:type="dxa"/>
            <w:vAlign w:val="center"/>
            <w:hideMark/>
          </w:tcPr>
          <w:p w14:paraId="36BC5778" w14:textId="77777777" w:rsidR="00EA38F6" w:rsidRPr="000864AE" w:rsidRDefault="00EA38F6" w:rsidP="000864AE">
            <w:pPr>
              <w:rPr>
                <w:rFonts w:ascii="Verdana" w:hAnsi="Verdana"/>
                <w:sz w:val="18"/>
                <w:szCs w:val="18"/>
                <w:lang w:val="pt-BR"/>
              </w:rPr>
            </w:pPr>
            <w:r w:rsidRPr="000864AE">
              <w:rPr>
                <w:rFonts w:ascii="Verdana" w:hAnsi="Verdana"/>
                <w:sz w:val="18"/>
                <w:szCs w:val="18"/>
                <w:lang w:val="pt-BR"/>
              </w:rPr>
              <w:t>Galindo Espinoza Teresa De Jesús</w:t>
            </w:r>
          </w:p>
        </w:tc>
      </w:tr>
      <w:tr w:rsidR="00EA38F6" w:rsidRPr="000864AE" w14:paraId="4510741C" w14:textId="77777777" w:rsidTr="00AC0C51">
        <w:trPr>
          <w:trHeight w:val="300"/>
        </w:trPr>
        <w:tc>
          <w:tcPr>
            <w:tcW w:w="668" w:type="dxa"/>
            <w:vAlign w:val="center"/>
            <w:hideMark/>
          </w:tcPr>
          <w:p w14:paraId="754CC38C"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238</w:t>
            </w:r>
          </w:p>
        </w:tc>
        <w:tc>
          <w:tcPr>
            <w:tcW w:w="3835" w:type="dxa"/>
            <w:vAlign w:val="center"/>
            <w:hideMark/>
          </w:tcPr>
          <w:p w14:paraId="1CF6D9DB" w14:textId="77777777" w:rsidR="00EA38F6" w:rsidRPr="000864AE" w:rsidRDefault="00EA38F6" w:rsidP="000864AE">
            <w:pPr>
              <w:rPr>
                <w:rFonts w:ascii="Verdana" w:hAnsi="Verdana"/>
                <w:sz w:val="18"/>
                <w:szCs w:val="18"/>
              </w:rPr>
            </w:pPr>
            <w:r w:rsidRPr="000864AE">
              <w:rPr>
                <w:rFonts w:ascii="Verdana" w:hAnsi="Verdana"/>
                <w:sz w:val="18"/>
                <w:szCs w:val="18"/>
              </w:rPr>
              <w:t>Gallardo Flores Cesar Augusto</w:t>
            </w:r>
          </w:p>
        </w:tc>
      </w:tr>
      <w:tr w:rsidR="00EA38F6" w:rsidRPr="000864AE" w14:paraId="12FE0C57" w14:textId="77777777" w:rsidTr="00AC0C51">
        <w:trPr>
          <w:trHeight w:val="300"/>
        </w:trPr>
        <w:tc>
          <w:tcPr>
            <w:tcW w:w="668" w:type="dxa"/>
            <w:vAlign w:val="center"/>
            <w:hideMark/>
          </w:tcPr>
          <w:p w14:paraId="23432FF0"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239</w:t>
            </w:r>
          </w:p>
        </w:tc>
        <w:tc>
          <w:tcPr>
            <w:tcW w:w="3835" w:type="dxa"/>
            <w:vAlign w:val="center"/>
            <w:hideMark/>
          </w:tcPr>
          <w:p w14:paraId="6392D4E4" w14:textId="77777777" w:rsidR="00EA38F6" w:rsidRPr="000864AE" w:rsidRDefault="00EA38F6" w:rsidP="000864AE">
            <w:pPr>
              <w:rPr>
                <w:rFonts w:ascii="Verdana" w:hAnsi="Verdana"/>
                <w:sz w:val="18"/>
                <w:szCs w:val="18"/>
              </w:rPr>
            </w:pPr>
            <w:r w:rsidRPr="000864AE">
              <w:rPr>
                <w:rFonts w:ascii="Verdana" w:hAnsi="Verdana"/>
                <w:sz w:val="18"/>
                <w:szCs w:val="18"/>
              </w:rPr>
              <w:t>Gallegos Pérez Norberto</w:t>
            </w:r>
          </w:p>
        </w:tc>
      </w:tr>
      <w:tr w:rsidR="00EA38F6" w:rsidRPr="000864AE" w14:paraId="767558DF" w14:textId="77777777" w:rsidTr="00AC0C51">
        <w:trPr>
          <w:trHeight w:val="300"/>
        </w:trPr>
        <w:tc>
          <w:tcPr>
            <w:tcW w:w="668" w:type="dxa"/>
            <w:vAlign w:val="center"/>
            <w:hideMark/>
          </w:tcPr>
          <w:p w14:paraId="372C3375"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240</w:t>
            </w:r>
          </w:p>
        </w:tc>
        <w:tc>
          <w:tcPr>
            <w:tcW w:w="3835" w:type="dxa"/>
            <w:vAlign w:val="center"/>
            <w:hideMark/>
          </w:tcPr>
          <w:p w14:paraId="35BEDEC7" w14:textId="77777777" w:rsidR="00EA38F6" w:rsidRPr="000864AE" w:rsidRDefault="00EA38F6" w:rsidP="000864AE">
            <w:pPr>
              <w:rPr>
                <w:rFonts w:ascii="Verdana" w:hAnsi="Verdana"/>
                <w:sz w:val="18"/>
                <w:szCs w:val="18"/>
              </w:rPr>
            </w:pPr>
            <w:r w:rsidRPr="000864AE">
              <w:rPr>
                <w:rFonts w:ascii="Verdana" w:hAnsi="Verdana"/>
                <w:sz w:val="18"/>
                <w:szCs w:val="18"/>
              </w:rPr>
              <w:t>Gallo Agurto Cesar Augusto</w:t>
            </w:r>
          </w:p>
        </w:tc>
      </w:tr>
      <w:tr w:rsidR="00EA38F6" w:rsidRPr="000864AE" w14:paraId="417C9883" w14:textId="77777777" w:rsidTr="00AC0C51">
        <w:trPr>
          <w:trHeight w:val="300"/>
        </w:trPr>
        <w:tc>
          <w:tcPr>
            <w:tcW w:w="668" w:type="dxa"/>
            <w:vAlign w:val="center"/>
            <w:hideMark/>
          </w:tcPr>
          <w:p w14:paraId="0EDF6863"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241</w:t>
            </w:r>
          </w:p>
        </w:tc>
        <w:tc>
          <w:tcPr>
            <w:tcW w:w="3835" w:type="dxa"/>
            <w:vAlign w:val="center"/>
            <w:hideMark/>
          </w:tcPr>
          <w:p w14:paraId="2BB45DBB" w14:textId="77777777" w:rsidR="00EA38F6" w:rsidRPr="000864AE" w:rsidRDefault="00EA38F6" w:rsidP="000864AE">
            <w:pPr>
              <w:rPr>
                <w:rFonts w:ascii="Verdana" w:hAnsi="Verdana"/>
                <w:sz w:val="18"/>
                <w:szCs w:val="18"/>
              </w:rPr>
            </w:pPr>
            <w:r w:rsidRPr="000864AE">
              <w:rPr>
                <w:rFonts w:ascii="Verdana" w:hAnsi="Verdana"/>
                <w:sz w:val="18"/>
                <w:szCs w:val="18"/>
              </w:rPr>
              <w:t>Gálvez Mendoza Hernán Antonio</w:t>
            </w:r>
          </w:p>
        </w:tc>
      </w:tr>
      <w:tr w:rsidR="00EA38F6" w:rsidRPr="000864AE" w14:paraId="18F93B78" w14:textId="77777777" w:rsidTr="00AC0C51">
        <w:trPr>
          <w:trHeight w:val="300"/>
        </w:trPr>
        <w:tc>
          <w:tcPr>
            <w:tcW w:w="668" w:type="dxa"/>
            <w:vAlign w:val="center"/>
            <w:hideMark/>
          </w:tcPr>
          <w:p w14:paraId="63F3C1AA"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242</w:t>
            </w:r>
          </w:p>
        </w:tc>
        <w:tc>
          <w:tcPr>
            <w:tcW w:w="3835" w:type="dxa"/>
            <w:vAlign w:val="center"/>
            <w:hideMark/>
          </w:tcPr>
          <w:p w14:paraId="19597C10" w14:textId="77777777" w:rsidR="00EA38F6" w:rsidRPr="000864AE" w:rsidRDefault="00EA38F6" w:rsidP="000864AE">
            <w:pPr>
              <w:rPr>
                <w:rFonts w:ascii="Verdana" w:hAnsi="Verdana"/>
                <w:sz w:val="18"/>
                <w:szCs w:val="18"/>
              </w:rPr>
            </w:pPr>
            <w:r w:rsidRPr="000864AE">
              <w:rPr>
                <w:rFonts w:ascii="Verdana" w:hAnsi="Verdana"/>
                <w:sz w:val="18"/>
                <w:szCs w:val="18"/>
              </w:rPr>
              <w:t>Gamarra Buendía Miguel Abilio</w:t>
            </w:r>
          </w:p>
        </w:tc>
      </w:tr>
      <w:tr w:rsidR="00EA38F6" w:rsidRPr="000864AE" w14:paraId="7C678210" w14:textId="77777777" w:rsidTr="00AC0C51">
        <w:trPr>
          <w:trHeight w:val="300"/>
        </w:trPr>
        <w:tc>
          <w:tcPr>
            <w:tcW w:w="668" w:type="dxa"/>
            <w:vAlign w:val="center"/>
            <w:hideMark/>
          </w:tcPr>
          <w:p w14:paraId="2C6B3347"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243</w:t>
            </w:r>
          </w:p>
        </w:tc>
        <w:tc>
          <w:tcPr>
            <w:tcW w:w="3835" w:type="dxa"/>
            <w:vAlign w:val="center"/>
            <w:hideMark/>
          </w:tcPr>
          <w:p w14:paraId="279AE59D" w14:textId="77777777" w:rsidR="00EA38F6" w:rsidRPr="000864AE" w:rsidRDefault="00EA38F6" w:rsidP="000864AE">
            <w:pPr>
              <w:rPr>
                <w:rFonts w:ascii="Verdana" w:hAnsi="Verdana"/>
                <w:sz w:val="18"/>
                <w:szCs w:val="18"/>
              </w:rPr>
            </w:pPr>
            <w:r w:rsidRPr="000864AE">
              <w:rPr>
                <w:rFonts w:ascii="Verdana" w:hAnsi="Verdana"/>
                <w:sz w:val="18"/>
                <w:szCs w:val="18"/>
              </w:rPr>
              <w:t>Gamarra Romero Simon Gustavo</w:t>
            </w:r>
          </w:p>
        </w:tc>
      </w:tr>
      <w:tr w:rsidR="00EA38F6" w:rsidRPr="000864AE" w14:paraId="31E6DA10" w14:textId="77777777" w:rsidTr="00AC0C51">
        <w:trPr>
          <w:trHeight w:val="300"/>
        </w:trPr>
        <w:tc>
          <w:tcPr>
            <w:tcW w:w="668" w:type="dxa"/>
            <w:vAlign w:val="center"/>
            <w:hideMark/>
          </w:tcPr>
          <w:p w14:paraId="29F58B56"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244</w:t>
            </w:r>
          </w:p>
        </w:tc>
        <w:tc>
          <w:tcPr>
            <w:tcW w:w="3835" w:type="dxa"/>
            <w:vAlign w:val="center"/>
            <w:hideMark/>
          </w:tcPr>
          <w:p w14:paraId="4BEF2EE5" w14:textId="77777777" w:rsidR="00EA38F6" w:rsidRPr="000864AE" w:rsidRDefault="00EA38F6" w:rsidP="000864AE">
            <w:pPr>
              <w:rPr>
                <w:rFonts w:ascii="Verdana" w:hAnsi="Verdana"/>
                <w:sz w:val="18"/>
                <w:szCs w:val="18"/>
              </w:rPr>
            </w:pPr>
            <w:r w:rsidRPr="000864AE">
              <w:rPr>
                <w:rFonts w:ascii="Verdana" w:hAnsi="Verdana"/>
                <w:sz w:val="18"/>
                <w:szCs w:val="18"/>
              </w:rPr>
              <w:t>García Caballero Rafael Cristóbal</w:t>
            </w:r>
          </w:p>
        </w:tc>
      </w:tr>
      <w:tr w:rsidR="00EA38F6" w:rsidRPr="000864AE" w14:paraId="565CBDE6" w14:textId="77777777" w:rsidTr="00AC0C51">
        <w:trPr>
          <w:trHeight w:val="300"/>
        </w:trPr>
        <w:tc>
          <w:tcPr>
            <w:tcW w:w="668" w:type="dxa"/>
            <w:vAlign w:val="center"/>
            <w:hideMark/>
          </w:tcPr>
          <w:p w14:paraId="00486D9C"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245</w:t>
            </w:r>
          </w:p>
        </w:tc>
        <w:tc>
          <w:tcPr>
            <w:tcW w:w="3835" w:type="dxa"/>
            <w:vAlign w:val="center"/>
            <w:hideMark/>
          </w:tcPr>
          <w:p w14:paraId="75A1AC52" w14:textId="77777777" w:rsidR="00EA38F6" w:rsidRPr="000864AE" w:rsidRDefault="00EA38F6" w:rsidP="000864AE">
            <w:pPr>
              <w:rPr>
                <w:rFonts w:ascii="Verdana" w:hAnsi="Verdana"/>
                <w:sz w:val="18"/>
                <w:szCs w:val="18"/>
              </w:rPr>
            </w:pPr>
            <w:r w:rsidRPr="000864AE">
              <w:rPr>
                <w:rFonts w:ascii="Verdana" w:hAnsi="Verdana"/>
                <w:sz w:val="18"/>
                <w:szCs w:val="18"/>
              </w:rPr>
              <w:t>García Hermoza Isidro Juvenal</w:t>
            </w:r>
          </w:p>
        </w:tc>
      </w:tr>
      <w:tr w:rsidR="00EA38F6" w:rsidRPr="000864AE" w14:paraId="57E9888F" w14:textId="77777777" w:rsidTr="00AC0C51">
        <w:trPr>
          <w:trHeight w:val="300"/>
        </w:trPr>
        <w:tc>
          <w:tcPr>
            <w:tcW w:w="668" w:type="dxa"/>
            <w:vAlign w:val="center"/>
            <w:hideMark/>
          </w:tcPr>
          <w:p w14:paraId="3EEE0F60"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246</w:t>
            </w:r>
          </w:p>
        </w:tc>
        <w:tc>
          <w:tcPr>
            <w:tcW w:w="3835" w:type="dxa"/>
            <w:vAlign w:val="center"/>
            <w:hideMark/>
          </w:tcPr>
          <w:p w14:paraId="4DD0A227" w14:textId="77777777" w:rsidR="00EA38F6" w:rsidRPr="000864AE" w:rsidRDefault="00EA38F6" w:rsidP="000864AE">
            <w:pPr>
              <w:rPr>
                <w:rFonts w:ascii="Verdana" w:hAnsi="Verdana"/>
                <w:sz w:val="18"/>
                <w:szCs w:val="18"/>
              </w:rPr>
            </w:pPr>
            <w:r w:rsidRPr="000864AE">
              <w:rPr>
                <w:rFonts w:ascii="Verdana" w:hAnsi="Verdana"/>
                <w:sz w:val="18"/>
                <w:szCs w:val="18"/>
              </w:rPr>
              <w:t>García Muñoz Luisa Guadalupe</w:t>
            </w:r>
          </w:p>
        </w:tc>
      </w:tr>
      <w:tr w:rsidR="00EA38F6" w:rsidRPr="000864AE" w14:paraId="690E1E4F" w14:textId="77777777" w:rsidTr="00AC0C51">
        <w:trPr>
          <w:trHeight w:val="300"/>
        </w:trPr>
        <w:tc>
          <w:tcPr>
            <w:tcW w:w="668" w:type="dxa"/>
            <w:vAlign w:val="center"/>
            <w:hideMark/>
          </w:tcPr>
          <w:p w14:paraId="3528C059"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247</w:t>
            </w:r>
          </w:p>
        </w:tc>
        <w:tc>
          <w:tcPr>
            <w:tcW w:w="3835" w:type="dxa"/>
            <w:vAlign w:val="center"/>
            <w:hideMark/>
          </w:tcPr>
          <w:p w14:paraId="7767ED78" w14:textId="77777777" w:rsidR="00EA38F6" w:rsidRPr="000864AE" w:rsidRDefault="00EA38F6" w:rsidP="000864AE">
            <w:pPr>
              <w:rPr>
                <w:rFonts w:ascii="Verdana" w:hAnsi="Verdana"/>
                <w:sz w:val="18"/>
                <w:szCs w:val="18"/>
              </w:rPr>
            </w:pPr>
            <w:r w:rsidRPr="000864AE">
              <w:rPr>
                <w:rFonts w:ascii="Verdana" w:hAnsi="Verdana"/>
                <w:sz w:val="18"/>
                <w:szCs w:val="18"/>
              </w:rPr>
              <w:t>García Tamariz Carlos Arturo</w:t>
            </w:r>
          </w:p>
        </w:tc>
      </w:tr>
      <w:tr w:rsidR="00EA38F6" w:rsidRPr="000864AE" w14:paraId="173FA11F" w14:textId="77777777" w:rsidTr="00AC0C51">
        <w:trPr>
          <w:trHeight w:val="300"/>
        </w:trPr>
        <w:tc>
          <w:tcPr>
            <w:tcW w:w="668" w:type="dxa"/>
            <w:vAlign w:val="center"/>
            <w:hideMark/>
          </w:tcPr>
          <w:p w14:paraId="5DADB781"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248</w:t>
            </w:r>
          </w:p>
        </w:tc>
        <w:tc>
          <w:tcPr>
            <w:tcW w:w="3835" w:type="dxa"/>
            <w:vAlign w:val="center"/>
            <w:hideMark/>
          </w:tcPr>
          <w:p w14:paraId="6C65C4E6" w14:textId="77777777" w:rsidR="00EA38F6" w:rsidRPr="000864AE" w:rsidRDefault="00EA38F6" w:rsidP="000864AE">
            <w:pPr>
              <w:rPr>
                <w:rFonts w:ascii="Verdana" w:hAnsi="Verdana"/>
                <w:sz w:val="18"/>
                <w:szCs w:val="18"/>
              </w:rPr>
            </w:pPr>
            <w:r w:rsidRPr="000864AE">
              <w:rPr>
                <w:rFonts w:ascii="Verdana" w:hAnsi="Verdana"/>
                <w:sz w:val="18"/>
                <w:szCs w:val="18"/>
              </w:rPr>
              <w:t>García Valdizán Dora</w:t>
            </w:r>
          </w:p>
        </w:tc>
      </w:tr>
      <w:tr w:rsidR="00EA38F6" w:rsidRPr="000864AE" w14:paraId="4B73137D" w14:textId="77777777" w:rsidTr="00AC0C51">
        <w:trPr>
          <w:trHeight w:val="300"/>
        </w:trPr>
        <w:tc>
          <w:tcPr>
            <w:tcW w:w="668" w:type="dxa"/>
            <w:vAlign w:val="center"/>
            <w:hideMark/>
          </w:tcPr>
          <w:p w14:paraId="7F14D596"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249</w:t>
            </w:r>
          </w:p>
        </w:tc>
        <w:tc>
          <w:tcPr>
            <w:tcW w:w="3835" w:type="dxa"/>
            <w:vAlign w:val="center"/>
            <w:hideMark/>
          </w:tcPr>
          <w:p w14:paraId="5D52C597" w14:textId="77777777" w:rsidR="00EA38F6" w:rsidRPr="000864AE" w:rsidRDefault="00EA38F6" w:rsidP="000864AE">
            <w:pPr>
              <w:rPr>
                <w:rFonts w:ascii="Verdana" w:hAnsi="Verdana"/>
                <w:sz w:val="18"/>
                <w:szCs w:val="18"/>
              </w:rPr>
            </w:pPr>
            <w:r w:rsidRPr="000864AE">
              <w:rPr>
                <w:rFonts w:ascii="Verdana" w:hAnsi="Verdana"/>
                <w:sz w:val="18"/>
                <w:szCs w:val="18"/>
              </w:rPr>
              <w:t>Gavilano Mendoza Gertrudis Idilia</w:t>
            </w:r>
          </w:p>
        </w:tc>
      </w:tr>
      <w:tr w:rsidR="00EA38F6" w:rsidRPr="000864AE" w14:paraId="03461B2B" w14:textId="77777777" w:rsidTr="00AC0C51">
        <w:trPr>
          <w:trHeight w:val="300"/>
        </w:trPr>
        <w:tc>
          <w:tcPr>
            <w:tcW w:w="668" w:type="dxa"/>
            <w:vAlign w:val="center"/>
            <w:hideMark/>
          </w:tcPr>
          <w:p w14:paraId="18BF6FE4"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250</w:t>
            </w:r>
          </w:p>
        </w:tc>
        <w:tc>
          <w:tcPr>
            <w:tcW w:w="3835" w:type="dxa"/>
            <w:vAlign w:val="center"/>
            <w:hideMark/>
          </w:tcPr>
          <w:p w14:paraId="03342A44" w14:textId="77777777" w:rsidR="00EA38F6" w:rsidRPr="000864AE" w:rsidRDefault="00EA38F6" w:rsidP="000864AE">
            <w:pPr>
              <w:rPr>
                <w:rFonts w:ascii="Verdana" w:hAnsi="Verdana"/>
                <w:sz w:val="18"/>
                <w:szCs w:val="18"/>
              </w:rPr>
            </w:pPr>
            <w:r w:rsidRPr="000864AE">
              <w:rPr>
                <w:rFonts w:ascii="Verdana" w:hAnsi="Verdana"/>
                <w:sz w:val="18"/>
                <w:szCs w:val="18"/>
              </w:rPr>
              <w:t xml:space="preserve">Geldres Salamanca Elizabeth Victoria </w:t>
            </w:r>
          </w:p>
        </w:tc>
      </w:tr>
      <w:tr w:rsidR="00EA38F6" w:rsidRPr="000864AE" w14:paraId="72EA26FB" w14:textId="77777777" w:rsidTr="00AC0C51">
        <w:trPr>
          <w:trHeight w:val="300"/>
        </w:trPr>
        <w:tc>
          <w:tcPr>
            <w:tcW w:w="668" w:type="dxa"/>
            <w:vAlign w:val="center"/>
            <w:hideMark/>
          </w:tcPr>
          <w:p w14:paraId="338CF766"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251</w:t>
            </w:r>
          </w:p>
        </w:tc>
        <w:tc>
          <w:tcPr>
            <w:tcW w:w="3835" w:type="dxa"/>
            <w:vAlign w:val="center"/>
            <w:hideMark/>
          </w:tcPr>
          <w:p w14:paraId="41FBC610" w14:textId="77777777" w:rsidR="00EA38F6" w:rsidRPr="000864AE" w:rsidRDefault="00EA38F6" w:rsidP="000864AE">
            <w:pPr>
              <w:rPr>
                <w:rFonts w:ascii="Verdana" w:hAnsi="Verdana"/>
                <w:sz w:val="18"/>
                <w:szCs w:val="18"/>
              </w:rPr>
            </w:pPr>
            <w:r w:rsidRPr="000864AE">
              <w:rPr>
                <w:rFonts w:ascii="Verdana" w:hAnsi="Verdana"/>
                <w:sz w:val="18"/>
                <w:szCs w:val="18"/>
              </w:rPr>
              <w:t>Gómez Castañeda Marcos</w:t>
            </w:r>
          </w:p>
        </w:tc>
      </w:tr>
      <w:tr w:rsidR="00EA38F6" w:rsidRPr="000864AE" w14:paraId="578A95AF" w14:textId="77777777" w:rsidTr="00AC0C51">
        <w:trPr>
          <w:trHeight w:val="300"/>
        </w:trPr>
        <w:tc>
          <w:tcPr>
            <w:tcW w:w="668" w:type="dxa"/>
            <w:vAlign w:val="center"/>
            <w:hideMark/>
          </w:tcPr>
          <w:p w14:paraId="1BE65CDA"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252</w:t>
            </w:r>
          </w:p>
        </w:tc>
        <w:tc>
          <w:tcPr>
            <w:tcW w:w="3835" w:type="dxa"/>
            <w:vAlign w:val="center"/>
            <w:hideMark/>
          </w:tcPr>
          <w:p w14:paraId="6F84DFCC" w14:textId="77777777" w:rsidR="00EA38F6" w:rsidRPr="000864AE" w:rsidRDefault="00EA38F6" w:rsidP="000864AE">
            <w:pPr>
              <w:rPr>
                <w:rFonts w:ascii="Verdana" w:hAnsi="Verdana"/>
                <w:sz w:val="18"/>
                <w:szCs w:val="18"/>
              </w:rPr>
            </w:pPr>
            <w:r w:rsidRPr="000864AE">
              <w:rPr>
                <w:rFonts w:ascii="Verdana" w:hAnsi="Verdana"/>
                <w:sz w:val="18"/>
                <w:szCs w:val="18"/>
              </w:rPr>
              <w:t>Gómez Lafaix Irene Violeta</w:t>
            </w:r>
          </w:p>
        </w:tc>
      </w:tr>
      <w:tr w:rsidR="00EA38F6" w:rsidRPr="000864AE" w14:paraId="31F63754" w14:textId="77777777" w:rsidTr="00AC0C51">
        <w:trPr>
          <w:trHeight w:val="300"/>
        </w:trPr>
        <w:tc>
          <w:tcPr>
            <w:tcW w:w="668" w:type="dxa"/>
            <w:vAlign w:val="center"/>
            <w:hideMark/>
          </w:tcPr>
          <w:p w14:paraId="7A9D4F16"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253</w:t>
            </w:r>
          </w:p>
        </w:tc>
        <w:tc>
          <w:tcPr>
            <w:tcW w:w="3835" w:type="dxa"/>
            <w:vAlign w:val="center"/>
            <w:hideMark/>
          </w:tcPr>
          <w:p w14:paraId="7FEFEA23" w14:textId="77777777" w:rsidR="00EA38F6" w:rsidRPr="000864AE" w:rsidRDefault="00EA38F6" w:rsidP="000864AE">
            <w:pPr>
              <w:rPr>
                <w:rFonts w:ascii="Verdana" w:hAnsi="Verdana"/>
                <w:sz w:val="18"/>
                <w:szCs w:val="18"/>
              </w:rPr>
            </w:pPr>
            <w:r w:rsidRPr="000864AE">
              <w:rPr>
                <w:rFonts w:ascii="Verdana" w:hAnsi="Verdana"/>
                <w:sz w:val="18"/>
                <w:szCs w:val="18"/>
              </w:rPr>
              <w:t>Gómez Suárez Elsa Beatriz</w:t>
            </w:r>
          </w:p>
        </w:tc>
      </w:tr>
      <w:tr w:rsidR="00EA38F6" w:rsidRPr="000864AE" w14:paraId="00836821" w14:textId="77777777" w:rsidTr="00AC0C51">
        <w:trPr>
          <w:trHeight w:val="300"/>
        </w:trPr>
        <w:tc>
          <w:tcPr>
            <w:tcW w:w="668" w:type="dxa"/>
            <w:vAlign w:val="center"/>
            <w:hideMark/>
          </w:tcPr>
          <w:p w14:paraId="4DB559AC"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254</w:t>
            </w:r>
          </w:p>
        </w:tc>
        <w:tc>
          <w:tcPr>
            <w:tcW w:w="3835" w:type="dxa"/>
            <w:vAlign w:val="center"/>
            <w:hideMark/>
          </w:tcPr>
          <w:p w14:paraId="413DF240" w14:textId="77777777" w:rsidR="00EA38F6" w:rsidRPr="000864AE" w:rsidRDefault="00EA38F6" w:rsidP="000864AE">
            <w:pPr>
              <w:rPr>
                <w:rFonts w:ascii="Verdana" w:hAnsi="Verdana"/>
                <w:sz w:val="18"/>
                <w:szCs w:val="18"/>
              </w:rPr>
            </w:pPr>
            <w:r w:rsidRPr="000864AE">
              <w:rPr>
                <w:rFonts w:ascii="Verdana" w:hAnsi="Verdana"/>
                <w:sz w:val="18"/>
                <w:szCs w:val="18"/>
              </w:rPr>
              <w:t>Gonzáles Grados Manuel Mariano</w:t>
            </w:r>
          </w:p>
        </w:tc>
      </w:tr>
      <w:tr w:rsidR="00EA38F6" w:rsidRPr="000864AE" w14:paraId="5DBB89CB" w14:textId="77777777" w:rsidTr="00AC0C51">
        <w:trPr>
          <w:trHeight w:val="300"/>
        </w:trPr>
        <w:tc>
          <w:tcPr>
            <w:tcW w:w="668" w:type="dxa"/>
            <w:vAlign w:val="center"/>
            <w:hideMark/>
          </w:tcPr>
          <w:p w14:paraId="4C3E7C86"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255</w:t>
            </w:r>
          </w:p>
        </w:tc>
        <w:tc>
          <w:tcPr>
            <w:tcW w:w="3835" w:type="dxa"/>
            <w:vAlign w:val="center"/>
            <w:hideMark/>
          </w:tcPr>
          <w:p w14:paraId="143C05E9" w14:textId="77777777" w:rsidR="00EA38F6" w:rsidRPr="000864AE" w:rsidRDefault="00EA38F6" w:rsidP="000864AE">
            <w:pPr>
              <w:rPr>
                <w:rFonts w:ascii="Verdana" w:hAnsi="Verdana"/>
                <w:sz w:val="18"/>
                <w:szCs w:val="18"/>
              </w:rPr>
            </w:pPr>
            <w:r w:rsidRPr="000864AE">
              <w:rPr>
                <w:rFonts w:ascii="Verdana" w:hAnsi="Verdana"/>
                <w:sz w:val="18"/>
                <w:szCs w:val="18"/>
              </w:rPr>
              <w:t>Gonzáles Lombard Abrill Raúl</w:t>
            </w:r>
          </w:p>
        </w:tc>
      </w:tr>
      <w:tr w:rsidR="00EA38F6" w:rsidRPr="000864AE" w14:paraId="3A532777" w14:textId="77777777" w:rsidTr="00AC0C51">
        <w:trPr>
          <w:trHeight w:val="300"/>
        </w:trPr>
        <w:tc>
          <w:tcPr>
            <w:tcW w:w="668" w:type="dxa"/>
            <w:vAlign w:val="center"/>
            <w:hideMark/>
          </w:tcPr>
          <w:p w14:paraId="7EA21BE4"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256</w:t>
            </w:r>
          </w:p>
        </w:tc>
        <w:tc>
          <w:tcPr>
            <w:tcW w:w="3835" w:type="dxa"/>
            <w:vAlign w:val="center"/>
            <w:hideMark/>
          </w:tcPr>
          <w:p w14:paraId="2C14F04B" w14:textId="77777777" w:rsidR="00EA38F6" w:rsidRPr="000864AE" w:rsidRDefault="00EA38F6" w:rsidP="000864AE">
            <w:pPr>
              <w:rPr>
                <w:rFonts w:ascii="Verdana" w:hAnsi="Verdana"/>
                <w:sz w:val="18"/>
                <w:szCs w:val="18"/>
              </w:rPr>
            </w:pPr>
            <w:r w:rsidRPr="000864AE">
              <w:rPr>
                <w:rFonts w:ascii="Verdana" w:hAnsi="Verdana"/>
                <w:sz w:val="18"/>
                <w:szCs w:val="18"/>
              </w:rPr>
              <w:t>Gonzáles Rodríguez Fidel</w:t>
            </w:r>
          </w:p>
        </w:tc>
      </w:tr>
      <w:tr w:rsidR="00EA38F6" w:rsidRPr="000864AE" w14:paraId="38AC9977" w14:textId="77777777" w:rsidTr="00AC0C51">
        <w:trPr>
          <w:trHeight w:val="300"/>
        </w:trPr>
        <w:tc>
          <w:tcPr>
            <w:tcW w:w="668" w:type="dxa"/>
            <w:vAlign w:val="center"/>
            <w:hideMark/>
          </w:tcPr>
          <w:p w14:paraId="231DDF3E"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257</w:t>
            </w:r>
          </w:p>
        </w:tc>
        <w:tc>
          <w:tcPr>
            <w:tcW w:w="3835" w:type="dxa"/>
            <w:vAlign w:val="center"/>
            <w:hideMark/>
          </w:tcPr>
          <w:p w14:paraId="4C0A0D49" w14:textId="77777777" w:rsidR="00EA38F6" w:rsidRPr="000864AE" w:rsidRDefault="00EA38F6" w:rsidP="000864AE">
            <w:pPr>
              <w:rPr>
                <w:rFonts w:ascii="Verdana" w:hAnsi="Verdana"/>
                <w:sz w:val="18"/>
                <w:szCs w:val="18"/>
              </w:rPr>
            </w:pPr>
            <w:r w:rsidRPr="000864AE">
              <w:rPr>
                <w:rFonts w:ascii="Verdana" w:hAnsi="Verdana"/>
                <w:sz w:val="18"/>
                <w:szCs w:val="18"/>
              </w:rPr>
              <w:t>Gonzáles Rodríguez Leopoldo</w:t>
            </w:r>
          </w:p>
        </w:tc>
      </w:tr>
      <w:tr w:rsidR="00EA38F6" w:rsidRPr="000864AE" w14:paraId="19F01837" w14:textId="77777777" w:rsidTr="00AC0C51">
        <w:trPr>
          <w:trHeight w:val="300"/>
        </w:trPr>
        <w:tc>
          <w:tcPr>
            <w:tcW w:w="668" w:type="dxa"/>
            <w:vAlign w:val="center"/>
            <w:hideMark/>
          </w:tcPr>
          <w:p w14:paraId="50882BF1"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258</w:t>
            </w:r>
          </w:p>
        </w:tc>
        <w:tc>
          <w:tcPr>
            <w:tcW w:w="3835" w:type="dxa"/>
            <w:vAlign w:val="center"/>
            <w:hideMark/>
          </w:tcPr>
          <w:p w14:paraId="130AA1DB" w14:textId="77777777" w:rsidR="00EA38F6" w:rsidRPr="000864AE" w:rsidRDefault="00EA38F6" w:rsidP="000864AE">
            <w:pPr>
              <w:rPr>
                <w:rFonts w:ascii="Verdana" w:hAnsi="Verdana"/>
                <w:sz w:val="18"/>
                <w:szCs w:val="18"/>
              </w:rPr>
            </w:pPr>
            <w:r w:rsidRPr="000864AE">
              <w:rPr>
                <w:rFonts w:ascii="Verdana" w:hAnsi="Verdana"/>
                <w:sz w:val="18"/>
                <w:szCs w:val="18"/>
              </w:rPr>
              <w:t>Gotelli Lugo Rubén</w:t>
            </w:r>
          </w:p>
        </w:tc>
      </w:tr>
      <w:tr w:rsidR="00EA38F6" w:rsidRPr="000864AE" w14:paraId="431C09CB" w14:textId="77777777" w:rsidTr="00AC0C51">
        <w:trPr>
          <w:trHeight w:val="300"/>
        </w:trPr>
        <w:tc>
          <w:tcPr>
            <w:tcW w:w="668" w:type="dxa"/>
            <w:vAlign w:val="center"/>
            <w:hideMark/>
          </w:tcPr>
          <w:p w14:paraId="2ADDBEAA"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259</w:t>
            </w:r>
          </w:p>
        </w:tc>
        <w:tc>
          <w:tcPr>
            <w:tcW w:w="3835" w:type="dxa"/>
            <w:vAlign w:val="center"/>
            <w:hideMark/>
          </w:tcPr>
          <w:p w14:paraId="17E83A94" w14:textId="77777777" w:rsidR="00EA38F6" w:rsidRPr="000864AE" w:rsidRDefault="00EA38F6" w:rsidP="000864AE">
            <w:pPr>
              <w:rPr>
                <w:rFonts w:ascii="Verdana" w:hAnsi="Verdana"/>
                <w:sz w:val="18"/>
                <w:szCs w:val="18"/>
              </w:rPr>
            </w:pPr>
            <w:r w:rsidRPr="000864AE">
              <w:rPr>
                <w:rFonts w:ascii="Verdana" w:hAnsi="Verdana"/>
                <w:sz w:val="18"/>
                <w:szCs w:val="18"/>
              </w:rPr>
              <w:t>Grande Bolívar Norma Estela</w:t>
            </w:r>
          </w:p>
        </w:tc>
      </w:tr>
      <w:tr w:rsidR="00EA38F6" w:rsidRPr="000864AE" w14:paraId="4095B8D8" w14:textId="77777777" w:rsidTr="00AC0C51">
        <w:trPr>
          <w:trHeight w:val="300"/>
        </w:trPr>
        <w:tc>
          <w:tcPr>
            <w:tcW w:w="668" w:type="dxa"/>
            <w:vAlign w:val="center"/>
            <w:hideMark/>
          </w:tcPr>
          <w:p w14:paraId="25B09C45"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260</w:t>
            </w:r>
          </w:p>
        </w:tc>
        <w:tc>
          <w:tcPr>
            <w:tcW w:w="3835" w:type="dxa"/>
            <w:vAlign w:val="center"/>
            <w:hideMark/>
          </w:tcPr>
          <w:p w14:paraId="0367CFA6" w14:textId="77777777" w:rsidR="00EA38F6" w:rsidRPr="000864AE" w:rsidRDefault="00EA38F6" w:rsidP="000864AE">
            <w:pPr>
              <w:rPr>
                <w:rFonts w:ascii="Verdana" w:hAnsi="Verdana"/>
                <w:sz w:val="18"/>
                <w:szCs w:val="18"/>
              </w:rPr>
            </w:pPr>
            <w:r w:rsidRPr="000864AE">
              <w:rPr>
                <w:rFonts w:ascii="Verdana" w:hAnsi="Verdana"/>
                <w:sz w:val="18"/>
                <w:szCs w:val="18"/>
              </w:rPr>
              <w:t>Grande Cangahuala Gladys Dora</w:t>
            </w:r>
          </w:p>
        </w:tc>
      </w:tr>
      <w:tr w:rsidR="00EA38F6" w:rsidRPr="000864AE" w14:paraId="6DCC17CA" w14:textId="77777777" w:rsidTr="00AC0C51">
        <w:trPr>
          <w:trHeight w:val="300"/>
        </w:trPr>
        <w:tc>
          <w:tcPr>
            <w:tcW w:w="668" w:type="dxa"/>
            <w:vAlign w:val="center"/>
            <w:hideMark/>
          </w:tcPr>
          <w:p w14:paraId="4AE11062"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261</w:t>
            </w:r>
          </w:p>
        </w:tc>
        <w:tc>
          <w:tcPr>
            <w:tcW w:w="3835" w:type="dxa"/>
            <w:vAlign w:val="center"/>
            <w:hideMark/>
          </w:tcPr>
          <w:p w14:paraId="373E583E" w14:textId="77777777" w:rsidR="00EA38F6" w:rsidRPr="000864AE" w:rsidRDefault="00EA38F6" w:rsidP="000864AE">
            <w:pPr>
              <w:rPr>
                <w:rFonts w:ascii="Verdana" w:hAnsi="Verdana"/>
                <w:sz w:val="18"/>
                <w:szCs w:val="18"/>
              </w:rPr>
            </w:pPr>
            <w:r w:rsidRPr="000864AE">
              <w:rPr>
                <w:rFonts w:ascii="Verdana" w:hAnsi="Verdana"/>
                <w:sz w:val="18"/>
                <w:szCs w:val="18"/>
              </w:rPr>
              <w:t>Guerra La Torre Félix Fausto</w:t>
            </w:r>
          </w:p>
        </w:tc>
      </w:tr>
      <w:tr w:rsidR="00EA38F6" w:rsidRPr="000864AE" w14:paraId="64CD34EB" w14:textId="77777777" w:rsidTr="00AC0C51">
        <w:trPr>
          <w:trHeight w:val="300"/>
        </w:trPr>
        <w:tc>
          <w:tcPr>
            <w:tcW w:w="668" w:type="dxa"/>
            <w:vAlign w:val="center"/>
            <w:hideMark/>
          </w:tcPr>
          <w:p w14:paraId="49B99558"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262</w:t>
            </w:r>
          </w:p>
        </w:tc>
        <w:tc>
          <w:tcPr>
            <w:tcW w:w="3835" w:type="dxa"/>
            <w:vAlign w:val="center"/>
            <w:hideMark/>
          </w:tcPr>
          <w:p w14:paraId="6FA33FA3" w14:textId="77777777" w:rsidR="00EA38F6" w:rsidRPr="000864AE" w:rsidRDefault="00EA38F6" w:rsidP="000864AE">
            <w:pPr>
              <w:rPr>
                <w:rFonts w:ascii="Verdana" w:hAnsi="Verdana"/>
                <w:sz w:val="18"/>
                <w:szCs w:val="18"/>
              </w:rPr>
            </w:pPr>
            <w:r w:rsidRPr="000864AE">
              <w:rPr>
                <w:rFonts w:ascii="Verdana" w:hAnsi="Verdana"/>
                <w:sz w:val="18"/>
                <w:szCs w:val="18"/>
              </w:rPr>
              <w:t>Guerrero Díaz César Lucio</w:t>
            </w:r>
          </w:p>
        </w:tc>
      </w:tr>
      <w:tr w:rsidR="00EA38F6" w:rsidRPr="000864AE" w14:paraId="46CD6B46" w14:textId="77777777" w:rsidTr="00AC0C51">
        <w:trPr>
          <w:trHeight w:val="255"/>
        </w:trPr>
        <w:tc>
          <w:tcPr>
            <w:tcW w:w="668" w:type="dxa"/>
            <w:vAlign w:val="center"/>
            <w:hideMark/>
          </w:tcPr>
          <w:p w14:paraId="2F73FA02"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263</w:t>
            </w:r>
          </w:p>
        </w:tc>
        <w:tc>
          <w:tcPr>
            <w:tcW w:w="3835" w:type="dxa"/>
            <w:vAlign w:val="center"/>
            <w:hideMark/>
          </w:tcPr>
          <w:p w14:paraId="0F4AE204" w14:textId="77777777" w:rsidR="00EA38F6" w:rsidRPr="000864AE" w:rsidRDefault="00EA38F6" w:rsidP="000864AE">
            <w:pPr>
              <w:rPr>
                <w:rFonts w:ascii="Verdana" w:hAnsi="Verdana"/>
                <w:sz w:val="18"/>
                <w:szCs w:val="18"/>
              </w:rPr>
            </w:pPr>
            <w:r w:rsidRPr="000864AE">
              <w:rPr>
                <w:rFonts w:ascii="Verdana" w:hAnsi="Verdana"/>
                <w:sz w:val="18"/>
                <w:szCs w:val="18"/>
              </w:rPr>
              <w:t>Guerrero Lucas Humberto</w:t>
            </w:r>
          </w:p>
        </w:tc>
      </w:tr>
      <w:tr w:rsidR="00EA38F6" w:rsidRPr="000864AE" w14:paraId="6E0E5A02" w14:textId="77777777" w:rsidTr="00AC0C51">
        <w:trPr>
          <w:trHeight w:val="300"/>
        </w:trPr>
        <w:tc>
          <w:tcPr>
            <w:tcW w:w="668" w:type="dxa"/>
            <w:vAlign w:val="center"/>
            <w:hideMark/>
          </w:tcPr>
          <w:p w14:paraId="519942A2"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264</w:t>
            </w:r>
          </w:p>
        </w:tc>
        <w:tc>
          <w:tcPr>
            <w:tcW w:w="3835" w:type="dxa"/>
            <w:vAlign w:val="center"/>
            <w:hideMark/>
          </w:tcPr>
          <w:p w14:paraId="7F9E1165" w14:textId="77777777" w:rsidR="00EA38F6" w:rsidRPr="000864AE" w:rsidRDefault="00EA38F6" w:rsidP="000864AE">
            <w:pPr>
              <w:rPr>
                <w:rFonts w:ascii="Verdana" w:hAnsi="Verdana"/>
                <w:sz w:val="18"/>
                <w:szCs w:val="18"/>
              </w:rPr>
            </w:pPr>
            <w:r w:rsidRPr="000864AE">
              <w:rPr>
                <w:rFonts w:ascii="Verdana" w:hAnsi="Verdana"/>
                <w:sz w:val="18"/>
                <w:szCs w:val="18"/>
              </w:rPr>
              <w:t>Guevara Mucha Víctor Luis</w:t>
            </w:r>
          </w:p>
        </w:tc>
      </w:tr>
      <w:tr w:rsidR="00EA38F6" w:rsidRPr="000864AE" w14:paraId="5A6CB219" w14:textId="77777777" w:rsidTr="00AC0C51">
        <w:trPr>
          <w:trHeight w:val="300"/>
        </w:trPr>
        <w:tc>
          <w:tcPr>
            <w:tcW w:w="668" w:type="dxa"/>
            <w:vAlign w:val="center"/>
            <w:hideMark/>
          </w:tcPr>
          <w:p w14:paraId="379FE48E"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265</w:t>
            </w:r>
          </w:p>
        </w:tc>
        <w:tc>
          <w:tcPr>
            <w:tcW w:w="3835" w:type="dxa"/>
            <w:vAlign w:val="center"/>
            <w:hideMark/>
          </w:tcPr>
          <w:p w14:paraId="0C0FEFBC" w14:textId="77777777" w:rsidR="00EA38F6" w:rsidRPr="000864AE" w:rsidRDefault="00EA38F6" w:rsidP="000864AE">
            <w:pPr>
              <w:rPr>
                <w:rFonts w:ascii="Verdana" w:hAnsi="Verdana"/>
                <w:sz w:val="18"/>
                <w:szCs w:val="18"/>
              </w:rPr>
            </w:pPr>
            <w:r w:rsidRPr="000864AE">
              <w:rPr>
                <w:rFonts w:ascii="Verdana" w:hAnsi="Verdana"/>
                <w:sz w:val="18"/>
                <w:szCs w:val="18"/>
              </w:rPr>
              <w:t>Guillén Zarzosa Raymundo Manuel</w:t>
            </w:r>
          </w:p>
        </w:tc>
      </w:tr>
      <w:tr w:rsidR="00EA38F6" w:rsidRPr="000864AE" w14:paraId="097A97A5" w14:textId="77777777" w:rsidTr="00AC0C51">
        <w:trPr>
          <w:trHeight w:val="300"/>
        </w:trPr>
        <w:tc>
          <w:tcPr>
            <w:tcW w:w="668" w:type="dxa"/>
            <w:vAlign w:val="center"/>
            <w:hideMark/>
          </w:tcPr>
          <w:p w14:paraId="16F948C5"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266</w:t>
            </w:r>
          </w:p>
        </w:tc>
        <w:tc>
          <w:tcPr>
            <w:tcW w:w="3835" w:type="dxa"/>
            <w:vAlign w:val="center"/>
            <w:hideMark/>
          </w:tcPr>
          <w:p w14:paraId="74695F51" w14:textId="77777777" w:rsidR="00EA38F6" w:rsidRPr="000864AE" w:rsidRDefault="00EA38F6" w:rsidP="000864AE">
            <w:pPr>
              <w:rPr>
                <w:rFonts w:ascii="Verdana" w:hAnsi="Verdana"/>
                <w:sz w:val="18"/>
                <w:szCs w:val="18"/>
              </w:rPr>
            </w:pPr>
            <w:r w:rsidRPr="000864AE">
              <w:rPr>
                <w:rFonts w:ascii="Verdana" w:hAnsi="Verdana"/>
                <w:sz w:val="18"/>
                <w:szCs w:val="18"/>
              </w:rPr>
              <w:t>Guimet Garro Germán</w:t>
            </w:r>
          </w:p>
        </w:tc>
      </w:tr>
      <w:tr w:rsidR="00EA38F6" w:rsidRPr="000864AE" w14:paraId="151B0616" w14:textId="77777777" w:rsidTr="00AC0C51">
        <w:trPr>
          <w:trHeight w:val="300"/>
        </w:trPr>
        <w:tc>
          <w:tcPr>
            <w:tcW w:w="668" w:type="dxa"/>
            <w:vAlign w:val="center"/>
            <w:hideMark/>
          </w:tcPr>
          <w:p w14:paraId="3F185A1A"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267</w:t>
            </w:r>
          </w:p>
        </w:tc>
        <w:tc>
          <w:tcPr>
            <w:tcW w:w="3835" w:type="dxa"/>
            <w:vAlign w:val="center"/>
            <w:hideMark/>
          </w:tcPr>
          <w:p w14:paraId="24456406" w14:textId="77777777" w:rsidR="00EA38F6" w:rsidRPr="000864AE" w:rsidRDefault="00EA38F6" w:rsidP="000864AE">
            <w:pPr>
              <w:rPr>
                <w:rFonts w:ascii="Verdana" w:hAnsi="Verdana"/>
                <w:sz w:val="18"/>
                <w:szCs w:val="18"/>
              </w:rPr>
            </w:pPr>
            <w:r w:rsidRPr="000864AE">
              <w:rPr>
                <w:rFonts w:ascii="Verdana" w:hAnsi="Verdana"/>
                <w:sz w:val="18"/>
                <w:szCs w:val="18"/>
              </w:rPr>
              <w:t>Guinassi Paz Edgard Román</w:t>
            </w:r>
          </w:p>
        </w:tc>
      </w:tr>
      <w:tr w:rsidR="00EA38F6" w:rsidRPr="000864AE" w14:paraId="3E0541FC" w14:textId="77777777" w:rsidTr="00AC0C51">
        <w:trPr>
          <w:trHeight w:val="300"/>
        </w:trPr>
        <w:tc>
          <w:tcPr>
            <w:tcW w:w="668" w:type="dxa"/>
            <w:vAlign w:val="center"/>
            <w:hideMark/>
          </w:tcPr>
          <w:p w14:paraId="48C52D8B"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268</w:t>
            </w:r>
          </w:p>
        </w:tc>
        <w:tc>
          <w:tcPr>
            <w:tcW w:w="3835" w:type="dxa"/>
            <w:vAlign w:val="center"/>
            <w:hideMark/>
          </w:tcPr>
          <w:p w14:paraId="4F710623" w14:textId="77777777" w:rsidR="00EA38F6" w:rsidRPr="000864AE" w:rsidRDefault="00EA38F6" w:rsidP="000864AE">
            <w:pPr>
              <w:rPr>
                <w:rFonts w:ascii="Verdana" w:hAnsi="Verdana"/>
                <w:sz w:val="18"/>
                <w:szCs w:val="18"/>
              </w:rPr>
            </w:pPr>
            <w:r w:rsidRPr="000864AE">
              <w:rPr>
                <w:rFonts w:ascii="Verdana" w:hAnsi="Verdana"/>
                <w:sz w:val="18"/>
                <w:szCs w:val="18"/>
              </w:rPr>
              <w:t>Guiulfo Castillo Olga Isabel</w:t>
            </w:r>
          </w:p>
        </w:tc>
      </w:tr>
      <w:tr w:rsidR="00EA38F6" w:rsidRPr="000864AE" w14:paraId="31417002" w14:textId="77777777" w:rsidTr="00AC0C51">
        <w:trPr>
          <w:trHeight w:val="300"/>
        </w:trPr>
        <w:tc>
          <w:tcPr>
            <w:tcW w:w="668" w:type="dxa"/>
            <w:vAlign w:val="center"/>
            <w:hideMark/>
          </w:tcPr>
          <w:p w14:paraId="6AC12F25"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269</w:t>
            </w:r>
          </w:p>
        </w:tc>
        <w:tc>
          <w:tcPr>
            <w:tcW w:w="3835" w:type="dxa"/>
            <w:vAlign w:val="center"/>
            <w:hideMark/>
          </w:tcPr>
          <w:p w14:paraId="103A8D0A" w14:textId="77777777" w:rsidR="00EA38F6" w:rsidRPr="000864AE" w:rsidRDefault="00EA38F6" w:rsidP="000864AE">
            <w:pPr>
              <w:rPr>
                <w:rFonts w:ascii="Verdana" w:hAnsi="Verdana"/>
                <w:sz w:val="18"/>
                <w:szCs w:val="18"/>
              </w:rPr>
            </w:pPr>
            <w:r w:rsidRPr="000864AE">
              <w:rPr>
                <w:rFonts w:ascii="Verdana" w:hAnsi="Verdana"/>
                <w:sz w:val="18"/>
                <w:szCs w:val="18"/>
              </w:rPr>
              <w:t>Gutiérrez Martínez Guillermo</w:t>
            </w:r>
          </w:p>
        </w:tc>
      </w:tr>
      <w:tr w:rsidR="00EA38F6" w:rsidRPr="000864AE" w14:paraId="7F7E82B0" w14:textId="77777777" w:rsidTr="00AC0C51">
        <w:trPr>
          <w:trHeight w:val="300"/>
        </w:trPr>
        <w:tc>
          <w:tcPr>
            <w:tcW w:w="668" w:type="dxa"/>
            <w:vAlign w:val="center"/>
            <w:hideMark/>
          </w:tcPr>
          <w:p w14:paraId="3672B91F"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270</w:t>
            </w:r>
          </w:p>
        </w:tc>
        <w:tc>
          <w:tcPr>
            <w:tcW w:w="3835" w:type="dxa"/>
            <w:vAlign w:val="center"/>
            <w:hideMark/>
          </w:tcPr>
          <w:p w14:paraId="6A349D2C" w14:textId="77777777" w:rsidR="00EA38F6" w:rsidRPr="000864AE" w:rsidRDefault="00EA38F6" w:rsidP="000864AE">
            <w:pPr>
              <w:rPr>
                <w:rFonts w:ascii="Verdana" w:hAnsi="Verdana"/>
                <w:sz w:val="18"/>
                <w:szCs w:val="18"/>
              </w:rPr>
            </w:pPr>
            <w:r w:rsidRPr="000864AE">
              <w:rPr>
                <w:rFonts w:ascii="Verdana" w:hAnsi="Verdana"/>
                <w:sz w:val="18"/>
                <w:szCs w:val="18"/>
              </w:rPr>
              <w:t>Gutiérrez Castro Armandina Viviana</w:t>
            </w:r>
          </w:p>
        </w:tc>
      </w:tr>
      <w:tr w:rsidR="00EA38F6" w:rsidRPr="000864AE" w14:paraId="1DD33EE3" w14:textId="77777777" w:rsidTr="00AC0C51">
        <w:trPr>
          <w:trHeight w:val="300"/>
        </w:trPr>
        <w:tc>
          <w:tcPr>
            <w:tcW w:w="668" w:type="dxa"/>
            <w:vAlign w:val="center"/>
            <w:hideMark/>
          </w:tcPr>
          <w:p w14:paraId="336894BF"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271</w:t>
            </w:r>
          </w:p>
        </w:tc>
        <w:tc>
          <w:tcPr>
            <w:tcW w:w="3835" w:type="dxa"/>
            <w:vAlign w:val="center"/>
            <w:hideMark/>
          </w:tcPr>
          <w:p w14:paraId="4E1F3223" w14:textId="77777777" w:rsidR="00EA38F6" w:rsidRPr="000864AE" w:rsidRDefault="00EA38F6" w:rsidP="000864AE">
            <w:pPr>
              <w:rPr>
                <w:rFonts w:ascii="Verdana" w:hAnsi="Verdana"/>
                <w:sz w:val="18"/>
                <w:szCs w:val="18"/>
              </w:rPr>
            </w:pPr>
            <w:r w:rsidRPr="000864AE">
              <w:rPr>
                <w:rFonts w:ascii="Verdana" w:hAnsi="Verdana"/>
                <w:sz w:val="18"/>
                <w:szCs w:val="18"/>
              </w:rPr>
              <w:t>Gutiérrez Cerna Álvaro Augusto</w:t>
            </w:r>
          </w:p>
        </w:tc>
      </w:tr>
      <w:tr w:rsidR="00EA38F6" w:rsidRPr="000864AE" w14:paraId="58BB1E70" w14:textId="77777777" w:rsidTr="00AC0C51">
        <w:trPr>
          <w:trHeight w:val="300"/>
        </w:trPr>
        <w:tc>
          <w:tcPr>
            <w:tcW w:w="668" w:type="dxa"/>
            <w:vAlign w:val="center"/>
            <w:hideMark/>
          </w:tcPr>
          <w:p w14:paraId="4C203998"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272</w:t>
            </w:r>
          </w:p>
        </w:tc>
        <w:tc>
          <w:tcPr>
            <w:tcW w:w="3835" w:type="dxa"/>
            <w:vAlign w:val="center"/>
            <w:hideMark/>
          </w:tcPr>
          <w:p w14:paraId="0B4E5FBA" w14:textId="77777777" w:rsidR="00EA38F6" w:rsidRPr="000864AE" w:rsidRDefault="00EA38F6" w:rsidP="000864AE">
            <w:pPr>
              <w:rPr>
                <w:rFonts w:ascii="Verdana" w:hAnsi="Verdana"/>
                <w:sz w:val="18"/>
                <w:szCs w:val="18"/>
              </w:rPr>
            </w:pPr>
            <w:r w:rsidRPr="000864AE">
              <w:rPr>
                <w:rFonts w:ascii="Verdana" w:hAnsi="Verdana"/>
                <w:sz w:val="18"/>
                <w:szCs w:val="18"/>
              </w:rPr>
              <w:t>Gutiérrez Gálvez Oscar</w:t>
            </w:r>
          </w:p>
        </w:tc>
      </w:tr>
      <w:tr w:rsidR="00EA38F6" w:rsidRPr="000864AE" w14:paraId="6855208B" w14:textId="77777777" w:rsidTr="00AC0C51">
        <w:trPr>
          <w:trHeight w:val="300"/>
        </w:trPr>
        <w:tc>
          <w:tcPr>
            <w:tcW w:w="668" w:type="dxa"/>
            <w:vAlign w:val="center"/>
            <w:hideMark/>
          </w:tcPr>
          <w:p w14:paraId="1D8B8D8D"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273</w:t>
            </w:r>
          </w:p>
        </w:tc>
        <w:tc>
          <w:tcPr>
            <w:tcW w:w="3835" w:type="dxa"/>
            <w:vAlign w:val="center"/>
            <w:hideMark/>
          </w:tcPr>
          <w:p w14:paraId="0DC20C0E" w14:textId="77777777" w:rsidR="00EA38F6" w:rsidRPr="000864AE" w:rsidRDefault="00EA38F6" w:rsidP="000864AE">
            <w:pPr>
              <w:rPr>
                <w:rFonts w:ascii="Verdana" w:hAnsi="Verdana"/>
                <w:sz w:val="18"/>
                <w:szCs w:val="18"/>
              </w:rPr>
            </w:pPr>
            <w:r w:rsidRPr="000864AE">
              <w:rPr>
                <w:rFonts w:ascii="Verdana" w:hAnsi="Verdana"/>
                <w:sz w:val="18"/>
                <w:szCs w:val="18"/>
              </w:rPr>
              <w:t>Gutiérrez Tapia Tomas Wilbert</w:t>
            </w:r>
          </w:p>
        </w:tc>
      </w:tr>
      <w:tr w:rsidR="00EA38F6" w:rsidRPr="000864AE" w14:paraId="355200B8" w14:textId="77777777" w:rsidTr="00AC0C51">
        <w:trPr>
          <w:trHeight w:val="300"/>
        </w:trPr>
        <w:tc>
          <w:tcPr>
            <w:tcW w:w="668" w:type="dxa"/>
            <w:vAlign w:val="center"/>
            <w:hideMark/>
          </w:tcPr>
          <w:p w14:paraId="24CE5BD3"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274</w:t>
            </w:r>
          </w:p>
        </w:tc>
        <w:tc>
          <w:tcPr>
            <w:tcW w:w="3835" w:type="dxa"/>
            <w:vAlign w:val="center"/>
            <w:hideMark/>
          </w:tcPr>
          <w:p w14:paraId="1BA573A3" w14:textId="77777777" w:rsidR="00EA38F6" w:rsidRPr="000864AE" w:rsidRDefault="00EA38F6" w:rsidP="000864AE">
            <w:pPr>
              <w:rPr>
                <w:rFonts w:ascii="Verdana" w:hAnsi="Verdana"/>
                <w:sz w:val="18"/>
                <w:szCs w:val="18"/>
              </w:rPr>
            </w:pPr>
            <w:r w:rsidRPr="000864AE">
              <w:rPr>
                <w:rFonts w:ascii="Verdana" w:hAnsi="Verdana"/>
                <w:sz w:val="18"/>
                <w:szCs w:val="18"/>
              </w:rPr>
              <w:t>Guzmán Reyes Carmen Victoria</w:t>
            </w:r>
          </w:p>
        </w:tc>
      </w:tr>
      <w:tr w:rsidR="00EA38F6" w:rsidRPr="000864AE" w14:paraId="6E3CADC7" w14:textId="77777777" w:rsidTr="00AC0C51">
        <w:trPr>
          <w:trHeight w:val="300"/>
        </w:trPr>
        <w:tc>
          <w:tcPr>
            <w:tcW w:w="668" w:type="dxa"/>
            <w:vAlign w:val="center"/>
            <w:hideMark/>
          </w:tcPr>
          <w:p w14:paraId="25F257C8"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275</w:t>
            </w:r>
          </w:p>
        </w:tc>
        <w:tc>
          <w:tcPr>
            <w:tcW w:w="3835" w:type="dxa"/>
            <w:vAlign w:val="center"/>
            <w:hideMark/>
          </w:tcPr>
          <w:p w14:paraId="5D1E4B54" w14:textId="77777777" w:rsidR="00EA38F6" w:rsidRPr="000864AE" w:rsidRDefault="00EA38F6" w:rsidP="000864AE">
            <w:pPr>
              <w:rPr>
                <w:rFonts w:ascii="Verdana" w:hAnsi="Verdana"/>
                <w:sz w:val="18"/>
                <w:szCs w:val="18"/>
              </w:rPr>
            </w:pPr>
            <w:r w:rsidRPr="000864AE">
              <w:rPr>
                <w:rFonts w:ascii="Verdana" w:hAnsi="Verdana"/>
                <w:sz w:val="18"/>
                <w:szCs w:val="18"/>
              </w:rPr>
              <w:t>Haro Suárez Gladys Marietta</w:t>
            </w:r>
          </w:p>
        </w:tc>
      </w:tr>
      <w:tr w:rsidR="00EA38F6" w:rsidRPr="000864AE" w14:paraId="6D1D0BFD" w14:textId="77777777" w:rsidTr="00AC0C51">
        <w:trPr>
          <w:trHeight w:val="300"/>
        </w:trPr>
        <w:tc>
          <w:tcPr>
            <w:tcW w:w="668" w:type="dxa"/>
            <w:vAlign w:val="center"/>
            <w:hideMark/>
          </w:tcPr>
          <w:p w14:paraId="28E3AA73"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276</w:t>
            </w:r>
          </w:p>
        </w:tc>
        <w:tc>
          <w:tcPr>
            <w:tcW w:w="3835" w:type="dxa"/>
            <w:vAlign w:val="center"/>
            <w:hideMark/>
          </w:tcPr>
          <w:p w14:paraId="410EBAB2" w14:textId="77777777" w:rsidR="00EA38F6" w:rsidRPr="000864AE" w:rsidRDefault="00EA38F6" w:rsidP="000864AE">
            <w:pPr>
              <w:rPr>
                <w:rFonts w:ascii="Verdana" w:hAnsi="Verdana"/>
                <w:sz w:val="18"/>
                <w:szCs w:val="18"/>
              </w:rPr>
            </w:pPr>
            <w:r w:rsidRPr="000864AE">
              <w:rPr>
                <w:rFonts w:ascii="Verdana" w:hAnsi="Verdana"/>
                <w:sz w:val="18"/>
                <w:szCs w:val="18"/>
              </w:rPr>
              <w:t>Heredia Solís Miguel Eugenio</w:t>
            </w:r>
          </w:p>
        </w:tc>
      </w:tr>
      <w:tr w:rsidR="00EA38F6" w:rsidRPr="000864AE" w14:paraId="4A710C21" w14:textId="77777777" w:rsidTr="00AC0C51">
        <w:trPr>
          <w:trHeight w:val="300"/>
        </w:trPr>
        <w:tc>
          <w:tcPr>
            <w:tcW w:w="668" w:type="dxa"/>
            <w:vAlign w:val="center"/>
            <w:hideMark/>
          </w:tcPr>
          <w:p w14:paraId="0E61D423"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277</w:t>
            </w:r>
          </w:p>
        </w:tc>
        <w:tc>
          <w:tcPr>
            <w:tcW w:w="3835" w:type="dxa"/>
            <w:vAlign w:val="center"/>
            <w:hideMark/>
          </w:tcPr>
          <w:p w14:paraId="5A13F37E" w14:textId="77777777" w:rsidR="00EA38F6" w:rsidRPr="000864AE" w:rsidRDefault="00EA38F6" w:rsidP="000864AE">
            <w:pPr>
              <w:rPr>
                <w:rFonts w:ascii="Verdana" w:hAnsi="Verdana"/>
                <w:sz w:val="18"/>
                <w:szCs w:val="18"/>
              </w:rPr>
            </w:pPr>
            <w:r w:rsidRPr="000864AE">
              <w:rPr>
                <w:rFonts w:ascii="Verdana" w:hAnsi="Verdana"/>
                <w:sz w:val="18"/>
                <w:szCs w:val="18"/>
              </w:rPr>
              <w:t>Hernández La Fuente Abraham</w:t>
            </w:r>
          </w:p>
        </w:tc>
      </w:tr>
      <w:tr w:rsidR="00EA38F6" w:rsidRPr="000864AE" w14:paraId="3AAFBA6B" w14:textId="77777777" w:rsidTr="00AC0C51">
        <w:trPr>
          <w:trHeight w:val="300"/>
        </w:trPr>
        <w:tc>
          <w:tcPr>
            <w:tcW w:w="668" w:type="dxa"/>
            <w:vAlign w:val="center"/>
            <w:hideMark/>
          </w:tcPr>
          <w:p w14:paraId="6DEB2248"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278</w:t>
            </w:r>
          </w:p>
        </w:tc>
        <w:tc>
          <w:tcPr>
            <w:tcW w:w="3835" w:type="dxa"/>
            <w:vAlign w:val="center"/>
            <w:hideMark/>
          </w:tcPr>
          <w:p w14:paraId="708F0B41" w14:textId="77777777" w:rsidR="00EA38F6" w:rsidRPr="000864AE" w:rsidRDefault="00EA38F6" w:rsidP="000864AE">
            <w:pPr>
              <w:rPr>
                <w:rFonts w:ascii="Verdana" w:hAnsi="Verdana"/>
                <w:sz w:val="18"/>
                <w:szCs w:val="18"/>
              </w:rPr>
            </w:pPr>
            <w:r w:rsidRPr="000864AE">
              <w:rPr>
                <w:rFonts w:ascii="Verdana" w:hAnsi="Verdana"/>
                <w:sz w:val="18"/>
                <w:szCs w:val="18"/>
              </w:rPr>
              <w:t>Hernández Miranda Ofelia</w:t>
            </w:r>
          </w:p>
        </w:tc>
      </w:tr>
      <w:tr w:rsidR="00EA38F6" w:rsidRPr="000864AE" w14:paraId="381E9716" w14:textId="77777777" w:rsidTr="00AC0C51">
        <w:trPr>
          <w:trHeight w:val="300"/>
        </w:trPr>
        <w:tc>
          <w:tcPr>
            <w:tcW w:w="668" w:type="dxa"/>
            <w:vAlign w:val="center"/>
            <w:hideMark/>
          </w:tcPr>
          <w:p w14:paraId="028F73D1"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279</w:t>
            </w:r>
          </w:p>
        </w:tc>
        <w:tc>
          <w:tcPr>
            <w:tcW w:w="3835" w:type="dxa"/>
            <w:vAlign w:val="center"/>
            <w:hideMark/>
          </w:tcPr>
          <w:p w14:paraId="545ABD57" w14:textId="77777777" w:rsidR="00EA38F6" w:rsidRPr="000864AE" w:rsidRDefault="00EA38F6" w:rsidP="000864AE">
            <w:pPr>
              <w:rPr>
                <w:rFonts w:ascii="Verdana" w:hAnsi="Verdana"/>
                <w:sz w:val="18"/>
                <w:szCs w:val="18"/>
              </w:rPr>
            </w:pPr>
            <w:r w:rsidRPr="000864AE">
              <w:rPr>
                <w:rFonts w:ascii="Verdana" w:hAnsi="Verdana"/>
                <w:sz w:val="18"/>
                <w:szCs w:val="18"/>
              </w:rPr>
              <w:t>Herrera Centurión Carlos Manuel</w:t>
            </w:r>
          </w:p>
        </w:tc>
      </w:tr>
      <w:tr w:rsidR="00EA38F6" w:rsidRPr="000864AE" w14:paraId="793A830D" w14:textId="77777777" w:rsidTr="00AC0C51">
        <w:trPr>
          <w:trHeight w:val="300"/>
        </w:trPr>
        <w:tc>
          <w:tcPr>
            <w:tcW w:w="668" w:type="dxa"/>
            <w:vAlign w:val="center"/>
            <w:hideMark/>
          </w:tcPr>
          <w:p w14:paraId="089707BA"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280</w:t>
            </w:r>
          </w:p>
        </w:tc>
        <w:tc>
          <w:tcPr>
            <w:tcW w:w="3835" w:type="dxa"/>
            <w:vAlign w:val="center"/>
            <w:hideMark/>
          </w:tcPr>
          <w:p w14:paraId="25103128" w14:textId="77777777" w:rsidR="00EA38F6" w:rsidRPr="000864AE" w:rsidRDefault="00EA38F6" w:rsidP="000864AE">
            <w:pPr>
              <w:rPr>
                <w:rFonts w:ascii="Verdana" w:hAnsi="Verdana"/>
                <w:sz w:val="18"/>
                <w:szCs w:val="18"/>
              </w:rPr>
            </w:pPr>
            <w:r w:rsidRPr="000864AE">
              <w:rPr>
                <w:rFonts w:ascii="Verdana" w:hAnsi="Verdana"/>
                <w:sz w:val="18"/>
                <w:szCs w:val="18"/>
              </w:rPr>
              <w:t>Hidalgo Guevara Silvio Raúl</w:t>
            </w:r>
          </w:p>
        </w:tc>
      </w:tr>
      <w:tr w:rsidR="00EA38F6" w:rsidRPr="000864AE" w14:paraId="604A3196" w14:textId="77777777" w:rsidTr="00AC0C51">
        <w:trPr>
          <w:trHeight w:val="300"/>
        </w:trPr>
        <w:tc>
          <w:tcPr>
            <w:tcW w:w="668" w:type="dxa"/>
            <w:vAlign w:val="center"/>
            <w:hideMark/>
          </w:tcPr>
          <w:p w14:paraId="54C27A6A"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281</w:t>
            </w:r>
          </w:p>
        </w:tc>
        <w:tc>
          <w:tcPr>
            <w:tcW w:w="3835" w:type="dxa"/>
            <w:vAlign w:val="center"/>
            <w:hideMark/>
          </w:tcPr>
          <w:p w14:paraId="43DF158A" w14:textId="77777777" w:rsidR="00EA38F6" w:rsidRPr="000864AE" w:rsidRDefault="00EA38F6" w:rsidP="000864AE">
            <w:pPr>
              <w:rPr>
                <w:rFonts w:ascii="Verdana" w:hAnsi="Verdana"/>
                <w:sz w:val="18"/>
                <w:szCs w:val="18"/>
              </w:rPr>
            </w:pPr>
            <w:r w:rsidRPr="000864AE">
              <w:rPr>
                <w:rFonts w:ascii="Verdana" w:hAnsi="Verdana"/>
                <w:sz w:val="18"/>
                <w:szCs w:val="18"/>
              </w:rPr>
              <w:t>Hinojosa Aybar Víctor Hugo</w:t>
            </w:r>
          </w:p>
        </w:tc>
      </w:tr>
      <w:tr w:rsidR="00EA38F6" w:rsidRPr="000864AE" w14:paraId="142597C9" w14:textId="77777777" w:rsidTr="00AC0C51">
        <w:trPr>
          <w:trHeight w:val="300"/>
        </w:trPr>
        <w:tc>
          <w:tcPr>
            <w:tcW w:w="668" w:type="dxa"/>
            <w:vAlign w:val="center"/>
            <w:hideMark/>
          </w:tcPr>
          <w:p w14:paraId="195D3B42"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282</w:t>
            </w:r>
          </w:p>
        </w:tc>
        <w:tc>
          <w:tcPr>
            <w:tcW w:w="3835" w:type="dxa"/>
            <w:vAlign w:val="center"/>
            <w:hideMark/>
          </w:tcPr>
          <w:p w14:paraId="28B71ECE" w14:textId="77777777" w:rsidR="00EA38F6" w:rsidRPr="000864AE" w:rsidRDefault="00EA38F6" w:rsidP="000864AE">
            <w:pPr>
              <w:rPr>
                <w:rFonts w:ascii="Verdana" w:hAnsi="Verdana"/>
                <w:sz w:val="18"/>
                <w:szCs w:val="18"/>
              </w:rPr>
            </w:pPr>
            <w:r w:rsidRPr="000864AE">
              <w:rPr>
                <w:rFonts w:ascii="Verdana" w:hAnsi="Verdana"/>
                <w:sz w:val="18"/>
                <w:szCs w:val="18"/>
              </w:rPr>
              <w:t>Hopkins Cangalaya José Edwing</w:t>
            </w:r>
          </w:p>
        </w:tc>
      </w:tr>
      <w:tr w:rsidR="00EA38F6" w:rsidRPr="000864AE" w14:paraId="540AAA53" w14:textId="77777777" w:rsidTr="00AC0C51">
        <w:trPr>
          <w:trHeight w:val="300"/>
        </w:trPr>
        <w:tc>
          <w:tcPr>
            <w:tcW w:w="668" w:type="dxa"/>
            <w:vAlign w:val="center"/>
            <w:hideMark/>
          </w:tcPr>
          <w:p w14:paraId="013CB06C"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283</w:t>
            </w:r>
          </w:p>
        </w:tc>
        <w:tc>
          <w:tcPr>
            <w:tcW w:w="3835" w:type="dxa"/>
            <w:vAlign w:val="center"/>
            <w:hideMark/>
          </w:tcPr>
          <w:p w14:paraId="1048CDC5" w14:textId="77777777" w:rsidR="00EA38F6" w:rsidRPr="000864AE" w:rsidRDefault="00EA38F6" w:rsidP="000864AE">
            <w:pPr>
              <w:rPr>
                <w:rFonts w:ascii="Verdana" w:hAnsi="Verdana"/>
                <w:sz w:val="18"/>
                <w:szCs w:val="18"/>
              </w:rPr>
            </w:pPr>
            <w:r w:rsidRPr="000864AE">
              <w:rPr>
                <w:rFonts w:ascii="Verdana" w:hAnsi="Verdana"/>
                <w:sz w:val="18"/>
                <w:szCs w:val="18"/>
              </w:rPr>
              <w:t>Horna Arnao Enrique</w:t>
            </w:r>
          </w:p>
        </w:tc>
      </w:tr>
      <w:tr w:rsidR="00EA38F6" w:rsidRPr="000864AE" w14:paraId="6411F715" w14:textId="77777777" w:rsidTr="00AC0C51">
        <w:trPr>
          <w:trHeight w:val="300"/>
        </w:trPr>
        <w:tc>
          <w:tcPr>
            <w:tcW w:w="668" w:type="dxa"/>
            <w:vAlign w:val="center"/>
            <w:hideMark/>
          </w:tcPr>
          <w:p w14:paraId="38351A7E"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284</w:t>
            </w:r>
          </w:p>
        </w:tc>
        <w:tc>
          <w:tcPr>
            <w:tcW w:w="3835" w:type="dxa"/>
            <w:vAlign w:val="center"/>
            <w:hideMark/>
          </w:tcPr>
          <w:p w14:paraId="684617F5" w14:textId="77777777" w:rsidR="00EA38F6" w:rsidRPr="000864AE" w:rsidRDefault="00EA38F6" w:rsidP="000864AE">
            <w:pPr>
              <w:rPr>
                <w:rFonts w:ascii="Verdana" w:hAnsi="Verdana"/>
                <w:sz w:val="18"/>
                <w:szCs w:val="18"/>
              </w:rPr>
            </w:pPr>
            <w:r w:rsidRPr="000864AE">
              <w:rPr>
                <w:rFonts w:ascii="Verdana" w:hAnsi="Verdana"/>
                <w:sz w:val="18"/>
                <w:szCs w:val="18"/>
              </w:rPr>
              <w:t>Hoyos Díaz Humberto Javier</w:t>
            </w:r>
          </w:p>
        </w:tc>
      </w:tr>
      <w:tr w:rsidR="00EA38F6" w:rsidRPr="000864AE" w14:paraId="3C86953C" w14:textId="77777777" w:rsidTr="00AC0C51">
        <w:trPr>
          <w:trHeight w:val="300"/>
        </w:trPr>
        <w:tc>
          <w:tcPr>
            <w:tcW w:w="668" w:type="dxa"/>
            <w:vAlign w:val="center"/>
            <w:hideMark/>
          </w:tcPr>
          <w:p w14:paraId="2040BBBE"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285</w:t>
            </w:r>
          </w:p>
        </w:tc>
        <w:tc>
          <w:tcPr>
            <w:tcW w:w="3835" w:type="dxa"/>
            <w:vAlign w:val="center"/>
            <w:hideMark/>
          </w:tcPr>
          <w:p w14:paraId="6E6F3D11" w14:textId="77777777" w:rsidR="00EA38F6" w:rsidRPr="000864AE" w:rsidRDefault="00EA38F6" w:rsidP="000864AE">
            <w:pPr>
              <w:rPr>
                <w:rFonts w:ascii="Verdana" w:hAnsi="Verdana"/>
                <w:sz w:val="18"/>
                <w:szCs w:val="18"/>
              </w:rPr>
            </w:pPr>
            <w:r w:rsidRPr="000864AE">
              <w:rPr>
                <w:rFonts w:ascii="Verdana" w:hAnsi="Verdana"/>
                <w:sz w:val="18"/>
                <w:szCs w:val="18"/>
              </w:rPr>
              <w:t>Huamán Lozano Constanza</w:t>
            </w:r>
          </w:p>
        </w:tc>
      </w:tr>
      <w:tr w:rsidR="00EA38F6" w:rsidRPr="000864AE" w14:paraId="231FFB4B" w14:textId="77777777" w:rsidTr="00AC0C51">
        <w:trPr>
          <w:trHeight w:val="300"/>
        </w:trPr>
        <w:tc>
          <w:tcPr>
            <w:tcW w:w="668" w:type="dxa"/>
            <w:vAlign w:val="center"/>
            <w:hideMark/>
          </w:tcPr>
          <w:p w14:paraId="1217F38B"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286</w:t>
            </w:r>
          </w:p>
        </w:tc>
        <w:tc>
          <w:tcPr>
            <w:tcW w:w="3835" w:type="dxa"/>
            <w:vAlign w:val="center"/>
            <w:hideMark/>
          </w:tcPr>
          <w:p w14:paraId="3BE6DFAE" w14:textId="77777777" w:rsidR="00EA38F6" w:rsidRPr="000864AE" w:rsidRDefault="00EA38F6" w:rsidP="000864AE">
            <w:pPr>
              <w:rPr>
                <w:rFonts w:ascii="Verdana" w:hAnsi="Verdana"/>
                <w:sz w:val="18"/>
                <w:szCs w:val="18"/>
              </w:rPr>
            </w:pPr>
            <w:r w:rsidRPr="000864AE">
              <w:rPr>
                <w:rFonts w:ascii="Verdana" w:hAnsi="Verdana"/>
                <w:sz w:val="18"/>
                <w:szCs w:val="18"/>
              </w:rPr>
              <w:t>Huamán Torres Fermín</w:t>
            </w:r>
          </w:p>
        </w:tc>
      </w:tr>
      <w:tr w:rsidR="00EA38F6" w:rsidRPr="000864AE" w14:paraId="5EC51244" w14:textId="77777777" w:rsidTr="00AC0C51">
        <w:trPr>
          <w:trHeight w:val="300"/>
        </w:trPr>
        <w:tc>
          <w:tcPr>
            <w:tcW w:w="668" w:type="dxa"/>
            <w:vAlign w:val="center"/>
            <w:hideMark/>
          </w:tcPr>
          <w:p w14:paraId="1CF82100"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287</w:t>
            </w:r>
          </w:p>
        </w:tc>
        <w:tc>
          <w:tcPr>
            <w:tcW w:w="3835" w:type="dxa"/>
            <w:vAlign w:val="center"/>
            <w:hideMark/>
          </w:tcPr>
          <w:p w14:paraId="7616ABAD" w14:textId="77777777" w:rsidR="00EA38F6" w:rsidRPr="000864AE" w:rsidRDefault="00EA38F6" w:rsidP="000864AE">
            <w:pPr>
              <w:rPr>
                <w:rFonts w:ascii="Verdana" w:hAnsi="Verdana"/>
                <w:sz w:val="18"/>
                <w:szCs w:val="18"/>
              </w:rPr>
            </w:pPr>
            <w:r w:rsidRPr="000864AE">
              <w:rPr>
                <w:rFonts w:ascii="Verdana" w:hAnsi="Verdana"/>
                <w:sz w:val="18"/>
                <w:szCs w:val="18"/>
              </w:rPr>
              <w:t>Huamaní Serrano Asterio</w:t>
            </w:r>
          </w:p>
        </w:tc>
      </w:tr>
      <w:tr w:rsidR="00EA38F6" w:rsidRPr="000864AE" w14:paraId="1A727478" w14:textId="77777777" w:rsidTr="00AC0C51">
        <w:trPr>
          <w:trHeight w:val="300"/>
        </w:trPr>
        <w:tc>
          <w:tcPr>
            <w:tcW w:w="668" w:type="dxa"/>
            <w:vAlign w:val="center"/>
            <w:hideMark/>
          </w:tcPr>
          <w:p w14:paraId="495AB5CF"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288</w:t>
            </w:r>
          </w:p>
        </w:tc>
        <w:tc>
          <w:tcPr>
            <w:tcW w:w="3835" w:type="dxa"/>
            <w:vAlign w:val="center"/>
            <w:hideMark/>
          </w:tcPr>
          <w:p w14:paraId="37FDB0C0" w14:textId="77777777" w:rsidR="00EA38F6" w:rsidRPr="000864AE" w:rsidRDefault="00EA38F6" w:rsidP="000864AE">
            <w:pPr>
              <w:rPr>
                <w:rFonts w:ascii="Verdana" w:hAnsi="Verdana"/>
                <w:sz w:val="18"/>
                <w:szCs w:val="18"/>
              </w:rPr>
            </w:pPr>
            <w:r w:rsidRPr="000864AE">
              <w:rPr>
                <w:rFonts w:ascii="Verdana" w:hAnsi="Verdana"/>
                <w:sz w:val="18"/>
                <w:szCs w:val="18"/>
              </w:rPr>
              <w:t>Huambachano Antón Hugo Bernardo</w:t>
            </w:r>
          </w:p>
        </w:tc>
      </w:tr>
      <w:tr w:rsidR="00EA38F6" w:rsidRPr="000864AE" w14:paraId="1E239826" w14:textId="77777777" w:rsidTr="00AC0C51">
        <w:trPr>
          <w:trHeight w:val="300"/>
        </w:trPr>
        <w:tc>
          <w:tcPr>
            <w:tcW w:w="668" w:type="dxa"/>
            <w:vAlign w:val="center"/>
            <w:hideMark/>
          </w:tcPr>
          <w:p w14:paraId="33EAD458"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289</w:t>
            </w:r>
          </w:p>
        </w:tc>
        <w:tc>
          <w:tcPr>
            <w:tcW w:w="3835" w:type="dxa"/>
            <w:vAlign w:val="center"/>
            <w:hideMark/>
          </w:tcPr>
          <w:p w14:paraId="52E10903" w14:textId="77777777" w:rsidR="00EA38F6" w:rsidRPr="000864AE" w:rsidRDefault="00EA38F6" w:rsidP="000864AE">
            <w:pPr>
              <w:rPr>
                <w:rFonts w:ascii="Verdana" w:hAnsi="Verdana"/>
                <w:sz w:val="18"/>
                <w:szCs w:val="18"/>
              </w:rPr>
            </w:pPr>
            <w:r w:rsidRPr="000864AE">
              <w:rPr>
                <w:rFonts w:ascii="Verdana" w:hAnsi="Verdana"/>
                <w:sz w:val="18"/>
                <w:szCs w:val="18"/>
              </w:rPr>
              <w:t>Huapaya Mejía Julia Luz</w:t>
            </w:r>
          </w:p>
        </w:tc>
      </w:tr>
      <w:tr w:rsidR="00EA38F6" w:rsidRPr="000864AE" w14:paraId="37C90614" w14:textId="77777777" w:rsidTr="00AC0C51">
        <w:trPr>
          <w:trHeight w:val="300"/>
        </w:trPr>
        <w:tc>
          <w:tcPr>
            <w:tcW w:w="668" w:type="dxa"/>
            <w:vAlign w:val="center"/>
            <w:hideMark/>
          </w:tcPr>
          <w:p w14:paraId="5690BE66"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290</w:t>
            </w:r>
          </w:p>
        </w:tc>
        <w:tc>
          <w:tcPr>
            <w:tcW w:w="3835" w:type="dxa"/>
            <w:vAlign w:val="center"/>
            <w:hideMark/>
          </w:tcPr>
          <w:p w14:paraId="09E52BAB" w14:textId="77777777" w:rsidR="00EA38F6" w:rsidRPr="000864AE" w:rsidRDefault="00EA38F6" w:rsidP="000864AE">
            <w:pPr>
              <w:rPr>
                <w:rFonts w:ascii="Verdana" w:hAnsi="Verdana"/>
                <w:sz w:val="18"/>
                <w:szCs w:val="18"/>
              </w:rPr>
            </w:pPr>
            <w:r w:rsidRPr="000864AE">
              <w:rPr>
                <w:rFonts w:ascii="Verdana" w:hAnsi="Verdana"/>
                <w:sz w:val="18"/>
                <w:szCs w:val="18"/>
              </w:rPr>
              <w:t>Huaricancha Martínez José Luis</w:t>
            </w:r>
          </w:p>
        </w:tc>
      </w:tr>
      <w:tr w:rsidR="00EA38F6" w:rsidRPr="000864AE" w14:paraId="643DF54E" w14:textId="77777777" w:rsidTr="00AC0C51">
        <w:trPr>
          <w:trHeight w:val="300"/>
        </w:trPr>
        <w:tc>
          <w:tcPr>
            <w:tcW w:w="668" w:type="dxa"/>
            <w:vAlign w:val="center"/>
            <w:hideMark/>
          </w:tcPr>
          <w:p w14:paraId="35FB07A1"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291</w:t>
            </w:r>
          </w:p>
        </w:tc>
        <w:tc>
          <w:tcPr>
            <w:tcW w:w="3835" w:type="dxa"/>
            <w:vAlign w:val="center"/>
            <w:hideMark/>
          </w:tcPr>
          <w:p w14:paraId="7A608792" w14:textId="77777777" w:rsidR="00EA38F6" w:rsidRPr="000864AE" w:rsidRDefault="00EA38F6" w:rsidP="000864AE">
            <w:pPr>
              <w:rPr>
                <w:rFonts w:ascii="Verdana" w:hAnsi="Verdana"/>
                <w:sz w:val="18"/>
                <w:szCs w:val="18"/>
              </w:rPr>
            </w:pPr>
            <w:r w:rsidRPr="000864AE">
              <w:rPr>
                <w:rFonts w:ascii="Verdana" w:hAnsi="Verdana"/>
                <w:sz w:val="18"/>
                <w:szCs w:val="18"/>
              </w:rPr>
              <w:t>Huaygua Velásquez Lizardo</w:t>
            </w:r>
          </w:p>
        </w:tc>
      </w:tr>
      <w:tr w:rsidR="00EA38F6" w:rsidRPr="000864AE" w14:paraId="5A1F3158" w14:textId="77777777" w:rsidTr="00AC0C51">
        <w:trPr>
          <w:trHeight w:val="300"/>
        </w:trPr>
        <w:tc>
          <w:tcPr>
            <w:tcW w:w="668" w:type="dxa"/>
            <w:vAlign w:val="center"/>
            <w:hideMark/>
          </w:tcPr>
          <w:p w14:paraId="37F8A88C"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292</w:t>
            </w:r>
          </w:p>
        </w:tc>
        <w:tc>
          <w:tcPr>
            <w:tcW w:w="3835" w:type="dxa"/>
            <w:vAlign w:val="center"/>
            <w:hideMark/>
          </w:tcPr>
          <w:p w14:paraId="5966DC53" w14:textId="77777777" w:rsidR="00EA38F6" w:rsidRPr="000864AE" w:rsidRDefault="00EA38F6" w:rsidP="000864AE">
            <w:pPr>
              <w:rPr>
                <w:rFonts w:ascii="Verdana" w:hAnsi="Verdana"/>
                <w:sz w:val="18"/>
                <w:szCs w:val="18"/>
              </w:rPr>
            </w:pPr>
            <w:r w:rsidRPr="000864AE">
              <w:rPr>
                <w:rFonts w:ascii="Verdana" w:hAnsi="Verdana"/>
                <w:sz w:val="18"/>
                <w:szCs w:val="18"/>
              </w:rPr>
              <w:t>Huerta Pérez Juan</w:t>
            </w:r>
          </w:p>
        </w:tc>
      </w:tr>
      <w:tr w:rsidR="00EA38F6" w:rsidRPr="000864AE" w14:paraId="16D64D11" w14:textId="77777777" w:rsidTr="00AC0C51">
        <w:trPr>
          <w:trHeight w:val="300"/>
        </w:trPr>
        <w:tc>
          <w:tcPr>
            <w:tcW w:w="668" w:type="dxa"/>
            <w:vAlign w:val="center"/>
            <w:hideMark/>
          </w:tcPr>
          <w:p w14:paraId="79B4EAF6"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293</w:t>
            </w:r>
          </w:p>
        </w:tc>
        <w:tc>
          <w:tcPr>
            <w:tcW w:w="3835" w:type="dxa"/>
            <w:vAlign w:val="center"/>
            <w:hideMark/>
          </w:tcPr>
          <w:p w14:paraId="2CA6D215" w14:textId="77777777" w:rsidR="00EA38F6" w:rsidRPr="000864AE" w:rsidRDefault="00EA38F6" w:rsidP="000864AE">
            <w:pPr>
              <w:rPr>
                <w:rFonts w:ascii="Verdana" w:hAnsi="Verdana"/>
                <w:sz w:val="18"/>
                <w:szCs w:val="18"/>
              </w:rPr>
            </w:pPr>
            <w:r w:rsidRPr="000864AE">
              <w:rPr>
                <w:rFonts w:ascii="Verdana" w:hAnsi="Verdana"/>
                <w:sz w:val="18"/>
                <w:szCs w:val="18"/>
              </w:rPr>
              <w:t>Huilca Chipana Juan De Dios</w:t>
            </w:r>
          </w:p>
        </w:tc>
      </w:tr>
      <w:tr w:rsidR="00EA38F6" w:rsidRPr="000864AE" w14:paraId="7DF974AC" w14:textId="77777777" w:rsidTr="00AC0C51">
        <w:trPr>
          <w:trHeight w:val="300"/>
        </w:trPr>
        <w:tc>
          <w:tcPr>
            <w:tcW w:w="668" w:type="dxa"/>
            <w:vAlign w:val="center"/>
            <w:hideMark/>
          </w:tcPr>
          <w:p w14:paraId="36574C0F"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294</w:t>
            </w:r>
          </w:p>
        </w:tc>
        <w:tc>
          <w:tcPr>
            <w:tcW w:w="3835" w:type="dxa"/>
            <w:vAlign w:val="center"/>
            <w:hideMark/>
          </w:tcPr>
          <w:p w14:paraId="4E0DAED8" w14:textId="77777777" w:rsidR="00EA38F6" w:rsidRPr="000864AE" w:rsidRDefault="00EA38F6" w:rsidP="000864AE">
            <w:pPr>
              <w:rPr>
                <w:rFonts w:ascii="Verdana" w:hAnsi="Verdana"/>
                <w:sz w:val="18"/>
                <w:szCs w:val="18"/>
              </w:rPr>
            </w:pPr>
            <w:r w:rsidRPr="000864AE">
              <w:rPr>
                <w:rFonts w:ascii="Verdana" w:hAnsi="Verdana"/>
                <w:sz w:val="18"/>
                <w:szCs w:val="18"/>
              </w:rPr>
              <w:t>Hunder Perlacios Bernabé Gene</w:t>
            </w:r>
          </w:p>
        </w:tc>
      </w:tr>
      <w:tr w:rsidR="00EA38F6" w:rsidRPr="000864AE" w14:paraId="61B09C3F" w14:textId="77777777" w:rsidTr="00AC0C51">
        <w:trPr>
          <w:trHeight w:val="300"/>
        </w:trPr>
        <w:tc>
          <w:tcPr>
            <w:tcW w:w="668" w:type="dxa"/>
            <w:vAlign w:val="center"/>
            <w:hideMark/>
          </w:tcPr>
          <w:p w14:paraId="65FDF360"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295</w:t>
            </w:r>
          </w:p>
        </w:tc>
        <w:tc>
          <w:tcPr>
            <w:tcW w:w="3835" w:type="dxa"/>
            <w:vAlign w:val="center"/>
            <w:hideMark/>
          </w:tcPr>
          <w:p w14:paraId="5A6EA4AE" w14:textId="77777777" w:rsidR="00EA38F6" w:rsidRPr="000864AE" w:rsidRDefault="00EA38F6" w:rsidP="000864AE">
            <w:pPr>
              <w:rPr>
                <w:rFonts w:ascii="Verdana" w:hAnsi="Verdana"/>
                <w:sz w:val="18"/>
                <w:szCs w:val="18"/>
              </w:rPr>
            </w:pPr>
            <w:r w:rsidRPr="000864AE">
              <w:rPr>
                <w:rFonts w:ascii="Verdana" w:hAnsi="Verdana"/>
                <w:sz w:val="18"/>
                <w:szCs w:val="18"/>
              </w:rPr>
              <w:t>Ibazett Villacorta Germán</w:t>
            </w:r>
          </w:p>
        </w:tc>
      </w:tr>
      <w:tr w:rsidR="00EA38F6" w:rsidRPr="000864AE" w14:paraId="4A5EA275" w14:textId="77777777" w:rsidTr="00AC0C51">
        <w:trPr>
          <w:trHeight w:val="300"/>
        </w:trPr>
        <w:tc>
          <w:tcPr>
            <w:tcW w:w="668" w:type="dxa"/>
            <w:vAlign w:val="center"/>
            <w:hideMark/>
          </w:tcPr>
          <w:p w14:paraId="4F671273"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296</w:t>
            </w:r>
          </w:p>
        </w:tc>
        <w:tc>
          <w:tcPr>
            <w:tcW w:w="3835" w:type="dxa"/>
            <w:vAlign w:val="center"/>
            <w:hideMark/>
          </w:tcPr>
          <w:p w14:paraId="403B9F64" w14:textId="77777777" w:rsidR="00EA38F6" w:rsidRPr="000864AE" w:rsidRDefault="00EA38F6" w:rsidP="000864AE">
            <w:pPr>
              <w:rPr>
                <w:rFonts w:ascii="Verdana" w:hAnsi="Verdana"/>
                <w:sz w:val="18"/>
                <w:szCs w:val="18"/>
              </w:rPr>
            </w:pPr>
            <w:r w:rsidRPr="000864AE">
              <w:rPr>
                <w:rFonts w:ascii="Verdana" w:hAnsi="Verdana"/>
                <w:sz w:val="18"/>
                <w:szCs w:val="18"/>
              </w:rPr>
              <w:t>Iberico Ventocilla Angélica Mercedes</w:t>
            </w:r>
          </w:p>
        </w:tc>
      </w:tr>
      <w:tr w:rsidR="00EA38F6" w:rsidRPr="000864AE" w14:paraId="0D17AA96" w14:textId="77777777" w:rsidTr="00AC0C51">
        <w:trPr>
          <w:trHeight w:val="300"/>
        </w:trPr>
        <w:tc>
          <w:tcPr>
            <w:tcW w:w="668" w:type="dxa"/>
            <w:vAlign w:val="center"/>
            <w:hideMark/>
          </w:tcPr>
          <w:p w14:paraId="2B8B4842"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297</w:t>
            </w:r>
          </w:p>
        </w:tc>
        <w:tc>
          <w:tcPr>
            <w:tcW w:w="3835" w:type="dxa"/>
            <w:vAlign w:val="center"/>
            <w:hideMark/>
          </w:tcPr>
          <w:p w14:paraId="195FD915" w14:textId="77777777" w:rsidR="00EA38F6" w:rsidRPr="000864AE" w:rsidRDefault="00EA38F6" w:rsidP="000864AE">
            <w:pPr>
              <w:rPr>
                <w:rFonts w:ascii="Verdana" w:hAnsi="Verdana"/>
                <w:sz w:val="18"/>
                <w:szCs w:val="18"/>
              </w:rPr>
            </w:pPr>
            <w:r w:rsidRPr="000864AE">
              <w:rPr>
                <w:rFonts w:ascii="Verdana" w:hAnsi="Verdana"/>
                <w:sz w:val="18"/>
                <w:szCs w:val="18"/>
              </w:rPr>
              <w:t>Infantas Lovatón Américo</w:t>
            </w:r>
          </w:p>
        </w:tc>
      </w:tr>
      <w:tr w:rsidR="00EA38F6" w:rsidRPr="000864AE" w14:paraId="40E70099" w14:textId="77777777" w:rsidTr="00AC0C51">
        <w:trPr>
          <w:trHeight w:val="300"/>
        </w:trPr>
        <w:tc>
          <w:tcPr>
            <w:tcW w:w="668" w:type="dxa"/>
            <w:vAlign w:val="center"/>
            <w:hideMark/>
          </w:tcPr>
          <w:p w14:paraId="5FF7F98F"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298</w:t>
            </w:r>
          </w:p>
        </w:tc>
        <w:tc>
          <w:tcPr>
            <w:tcW w:w="3835" w:type="dxa"/>
            <w:vAlign w:val="center"/>
            <w:hideMark/>
          </w:tcPr>
          <w:p w14:paraId="472DBE36" w14:textId="77777777" w:rsidR="00EA38F6" w:rsidRPr="000864AE" w:rsidRDefault="00EA38F6" w:rsidP="000864AE">
            <w:pPr>
              <w:rPr>
                <w:rFonts w:ascii="Verdana" w:hAnsi="Verdana"/>
                <w:sz w:val="18"/>
                <w:szCs w:val="18"/>
              </w:rPr>
            </w:pPr>
            <w:r w:rsidRPr="000864AE">
              <w:rPr>
                <w:rFonts w:ascii="Verdana" w:hAnsi="Verdana"/>
                <w:sz w:val="18"/>
                <w:szCs w:val="18"/>
              </w:rPr>
              <w:t>Infante Vargas Dulio</w:t>
            </w:r>
          </w:p>
        </w:tc>
      </w:tr>
      <w:tr w:rsidR="00EA38F6" w:rsidRPr="000864AE" w14:paraId="0FD0B1B3" w14:textId="77777777" w:rsidTr="00E5193C">
        <w:trPr>
          <w:trHeight w:val="300"/>
        </w:trPr>
        <w:tc>
          <w:tcPr>
            <w:tcW w:w="668" w:type="dxa"/>
            <w:shd w:val="clear" w:color="auto" w:fill="auto"/>
            <w:vAlign w:val="center"/>
            <w:hideMark/>
          </w:tcPr>
          <w:p w14:paraId="790EC565" w14:textId="77777777" w:rsidR="00EA38F6" w:rsidRPr="00E5193C" w:rsidRDefault="00EA38F6" w:rsidP="000864AE">
            <w:pPr>
              <w:jc w:val="right"/>
              <w:rPr>
                <w:rFonts w:ascii="Verdana" w:hAnsi="Verdana"/>
                <w:b/>
                <w:bCs/>
                <w:sz w:val="18"/>
                <w:szCs w:val="18"/>
              </w:rPr>
            </w:pPr>
            <w:r w:rsidRPr="00E5193C">
              <w:rPr>
                <w:rFonts w:ascii="Verdana" w:hAnsi="Verdana"/>
                <w:b/>
                <w:bCs/>
                <w:sz w:val="18"/>
                <w:szCs w:val="18"/>
              </w:rPr>
              <w:t>299</w:t>
            </w:r>
          </w:p>
        </w:tc>
        <w:tc>
          <w:tcPr>
            <w:tcW w:w="3835" w:type="dxa"/>
            <w:shd w:val="clear" w:color="auto" w:fill="auto"/>
            <w:vAlign w:val="center"/>
            <w:hideMark/>
          </w:tcPr>
          <w:p w14:paraId="46B7AF66" w14:textId="77777777" w:rsidR="00EA38F6" w:rsidRPr="00E5193C" w:rsidRDefault="00EA38F6" w:rsidP="000864AE">
            <w:pPr>
              <w:rPr>
                <w:rFonts w:ascii="Verdana" w:hAnsi="Verdana"/>
                <w:sz w:val="18"/>
                <w:szCs w:val="18"/>
              </w:rPr>
            </w:pPr>
            <w:r w:rsidRPr="00E5193C">
              <w:rPr>
                <w:rFonts w:ascii="Verdana" w:hAnsi="Verdana"/>
                <w:sz w:val="18"/>
                <w:szCs w:val="18"/>
              </w:rPr>
              <w:t>Ipanaque Centeno Rafael</w:t>
            </w:r>
          </w:p>
        </w:tc>
      </w:tr>
      <w:tr w:rsidR="00EA38F6" w:rsidRPr="000864AE" w14:paraId="226925B8" w14:textId="77777777" w:rsidTr="00AC0C51">
        <w:trPr>
          <w:trHeight w:val="300"/>
        </w:trPr>
        <w:tc>
          <w:tcPr>
            <w:tcW w:w="668" w:type="dxa"/>
            <w:vAlign w:val="center"/>
            <w:hideMark/>
          </w:tcPr>
          <w:p w14:paraId="543DEB1B"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300</w:t>
            </w:r>
          </w:p>
        </w:tc>
        <w:tc>
          <w:tcPr>
            <w:tcW w:w="3835" w:type="dxa"/>
            <w:vAlign w:val="center"/>
            <w:hideMark/>
          </w:tcPr>
          <w:p w14:paraId="667144CC" w14:textId="77777777" w:rsidR="00EA38F6" w:rsidRPr="000864AE" w:rsidRDefault="00EA38F6" w:rsidP="000864AE">
            <w:pPr>
              <w:rPr>
                <w:rFonts w:ascii="Verdana" w:hAnsi="Verdana"/>
                <w:sz w:val="18"/>
                <w:szCs w:val="18"/>
              </w:rPr>
            </w:pPr>
            <w:r w:rsidRPr="000864AE">
              <w:rPr>
                <w:rFonts w:ascii="Verdana" w:hAnsi="Verdana"/>
                <w:sz w:val="18"/>
                <w:szCs w:val="18"/>
              </w:rPr>
              <w:t>Isla Zevallos Dora Elisa</w:t>
            </w:r>
          </w:p>
        </w:tc>
      </w:tr>
      <w:tr w:rsidR="00EA38F6" w:rsidRPr="000864AE" w14:paraId="5A6DD2F5" w14:textId="77777777" w:rsidTr="00AC0C51">
        <w:trPr>
          <w:trHeight w:val="300"/>
        </w:trPr>
        <w:tc>
          <w:tcPr>
            <w:tcW w:w="668" w:type="dxa"/>
            <w:vAlign w:val="center"/>
            <w:hideMark/>
          </w:tcPr>
          <w:p w14:paraId="36D8D4FE"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301</w:t>
            </w:r>
          </w:p>
        </w:tc>
        <w:tc>
          <w:tcPr>
            <w:tcW w:w="3835" w:type="dxa"/>
            <w:vAlign w:val="center"/>
            <w:hideMark/>
          </w:tcPr>
          <w:p w14:paraId="376FE340" w14:textId="77777777" w:rsidR="00EA38F6" w:rsidRPr="000864AE" w:rsidRDefault="00EA38F6" w:rsidP="000864AE">
            <w:pPr>
              <w:rPr>
                <w:rFonts w:ascii="Verdana" w:hAnsi="Verdana"/>
                <w:sz w:val="18"/>
                <w:szCs w:val="18"/>
              </w:rPr>
            </w:pPr>
            <w:r w:rsidRPr="000864AE">
              <w:rPr>
                <w:rFonts w:ascii="Verdana" w:hAnsi="Verdana"/>
                <w:sz w:val="18"/>
                <w:szCs w:val="18"/>
              </w:rPr>
              <w:t>Jara Loayza José Bernardo</w:t>
            </w:r>
          </w:p>
        </w:tc>
      </w:tr>
      <w:tr w:rsidR="00EA38F6" w:rsidRPr="000864AE" w14:paraId="348962DF" w14:textId="77777777" w:rsidTr="00AC0C51">
        <w:trPr>
          <w:trHeight w:val="300"/>
        </w:trPr>
        <w:tc>
          <w:tcPr>
            <w:tcW w:w="668" w:type="dxa"/>
            <w:vAlign w:val="center"/>
            <w:hideMark/>
          </w:tcPr>
          <w:p w14:paraId="4242F07F"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302</w:t>
            </w:r>
          </w:p>
        </w:tc>
        <w:tc>
          <w:tcPr>
            <w:tcW w:w="3835" w:type="dxa"/>
            <w:vAlign w:val="center"/>
            <w:hideMark/>
          </w:tcPr>
          <w:p w14:paraId="1D111CC5" w14:textId="77777777" w:rsidR="00EA38F6" w:rsidRPr="000864AE" w:rsidRDefault="00EA38F6" w:rsidP="000864AE">
            <w:pPr>
              <w:rPr>
                <w:rFonts w:ascii="Verdana" w:hAnsi="Verdana"/>
                <w:sz w:val="18"/>
                <w:szCs w:val="18"/>
              </w:rPr>
            </w:pPr>
            <w:r w:rsidRPr="000864AE">
              <w:rPr>
                <w:rFonts w:ascii="Verdana" w:hAnsi="Verdana"/>
                <w:sz w:val="18"/>
                <w:szCs w:val="18"/>
              </w:rPr>
              <w:t>Jara Salcedo Julia Constantina</w:t>
            </w:r>
          </w:p>
        </w:tc>
      </w:tr>
      <w:tr w:rsidR="00EA38F6" w:rsidRPr="000864AE" w14:paraId="2038B6F0" w14:textId="77777777" w:rsidTr="00AC0C51">
        <w:trPr>
          <w:trHeight w:val="300"/>
        </w:trPr>
        <w:tc>
          <w:tcPr>
            <w:tcW w:w="668" w:type="dxa"/>
            <w:vAlign w:val="center"/>
            <w:hideMark/>
          </w:tcPr>
          <w:p w14:paraId="15A2CC6C"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303</w:t>
            </w:r>
          </w:p>
        </w:tc>
        <w:tc>
          <w:tcPr>
            <w:tcW w:w="3835" w:type="dxa"/>
            <w:vAlign w:val="center"/>
            <w:hideMark/>
          </w:tcPr>
          <w:p w14:paraId="218902AF" w14:textId="77777777" w:rsidR="00EA38F6" w:rsidRPr="000864AE" w:rsidRDefault="00EA38F6" w:rsidP="000864AE">
            <w:pPr>
              <w:rPr>
                <w:rFonts w:ascii="Verdana" w:hAnsi="Verdana"/>
                <w:sz w:val="18"/>
                <w:szCs w:val="18"/>
              </w:rPr>
            </w:pPr>
            <w:r w:rsidRPr="000864AE">
              <w:rPr>
                <w:rFonts w:ascii="Verdana" w:hAnsi="Verdana"/>
                <w:sz w:val="18"/>
                <w:szCs w:val="18"/>
              </w:rPr>
              <w:t>Javier Mamani Wenceslao</w:t>
            </w:r>
          </w:p>
        </w:tc>
      </w:tr>
      <w:tr w:rsidR="00EA38F6" w:rsidRPr="000864AE" w14:paraId="40B411D7" w14:textId="77777777" w:rsidTr="00AC0C51">
        <w:trPr>
          <w:trHeight w:val="300"/>
        </w:trPr>
        <w:tc>
          <w:tcPr>
            <w:tcW w:w="668" w:type="dxa"/>
            <w:vAlign w:val="center"/>
            <w:hideMark/>
          </w:tcPr>
          <w:p w14:paraId="3ACED3FA"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304</w:t>
            </w:r>
          </w:p>
        </w:tc>
        <w:tc>
          <w:tcPr>
            <w:tcW w:w="3835" w:type="dxa"/>
            <w:vAlign w:val="center"/>
            <w:hideMark/>
          </w:tcPr>
          <w:p w14:paraId="2BA6FFE7" w14:textId="77777777" w:rsidR="00EA38F6" w:rsidRPr="000864AE" w:rsidRDefault="00EA38F6" w:rsidP="000864AE">
            <w:pPr>
              <w:rPr>
                <w:rFonts w:ascii="Verdana" w:hAnsi="Verdana"/>
                <w:sz w:val="18"/>
                <w:szCs w:val="18"/>
              </w:rPr>
            </w:pPr>
            <w:r w:rsidRPr="000864AE">
              <w:rPr>
                <w:rFonts w:ascii="Verdana" w:hAnsi="Verdana"/>
                <w:sz w:val="18"/>
                <w:szCs w:val="18"/>
              </w:rPr>
              <w:t>Jiménez Bravo Ygnacio</w:t>
            </w:r>
          </w:p>
        </w:tc>
      </w:tr>
      <w:tr w:rsidR="00EA38F6" w:rsidRPr="000864AE" w14:paraId="6C060942" w14:textId="77777777" w:rsidTr="00AC0C51">
        <w:trPr>
          <w:trHeight w:val="300"/>
        </w:trPr>
        <w:tc>
          <w:tcPr>
            <w:tcW w:w="668" w:type="dxa"/>
            <w:vAlign w:val="center"/>
            <w:hideMark/>
          </w:tcPr>
          <w:p w14:paraId="571D4589"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305</w:t>
            </w:r>
          </w:p>
        </w:tc>
        <w:tc>
          <w:tcPr>
            <w:tcW w:w="3835" w:type="dxa"/>
            <w:vAlign w:val="center"/>
            <w:hideMark/>
          </w:tcPr>
          <w:p w14:paraId="19019035" w14:textId="77777777" w:rsidR="00EA38F6" w:rsidRPr="000864AE" w:rsidRDefault="00EA38F6" w:rsidP="000864AE">
            <w:pPr>
              <w:rPr>
                <w:rFonts w:ascii="Verdana" w:hAnsi="Verdana"/>
                <w:sz w:val="18"/>
                <w:szCs w:val="18"/>
              </w:rPr>
            </w:pPr>
            <w:r w:rsidRPr="000864AE">
              <w:rPr>
                <w:rFonts w:ascii="Verdana" w:hAnsi="Verdana"/>
                <w:sz w:val="18"/>
                <w:szCs w:val="18"/>
              </w:rPr>
              <w:t>Jiménez Cedano Cesar Enrique</w:t>
            </w:r>
          </w:p>
        </w:tc>
      </w:tr>
      <w:tr w:rsidR="00EA38F6" w:rsidRPr="000864AE" w14:paraId="1B4BF2D0" w14:textId="77777777" w:rsidTr="00AC0C51">
        <w:trPr>
          <w:trHeight w:val="300"/>
        </w:trPr>
        <w:tc>
          <w:tcPr>
            <w:tcW w:w="668" w:type="dxa"/>
            <w:vAlign w:val="center"/>
            <w:hideMark/>
          </w:tcPr>
          <w:p w14:paraId="3E9E182C"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306</w:t>
            </w:r>
          </w:p>
        </w:tc>
        <w:tc>
          <w:tcPr>
            <w:tcW w:w="3835" w:type="dxa"/>
            <w:vAlign w:val="center"/>
            <w:hideMark/>
          </w:tcPr>
          <w:p w14:paraId="521218BD" w14:textId="77777777" w:rsidR="00EA38F6" w:rsidRPr="000864AE" w:rsidRDefault="00EA38F6" w:rsidP="000864AE">
            <w:pPr>
              <w:rPr>
                <w:rFonts w:ascii="Verdana" w:hAnsi="Verdana"/>
                <w:sz w:val="18"/>
                <w:szCs w:val="18"/>
              </w:rPr>
            </w:pPr>
            <w:r w:rsidRPr="000864AE">
              <w:rPr>
                <w:rFonts w:ascii="Verdana" w:hAnsi="Verdana"/>
                <w:sz w:val="18"/>
                <w:szCs w:val="18"/>
              </w:rPr>
              <w:t>Jo Wong Luis Alberto</w:t>
            </w:r>
          </w:p>
        </w:tc>
      </w:tr>
      <w:tr w:rsidR="00EA38F6" w:rsidRPr="000864AE" w14:paraId="749C88D3" w14:textId="77777777" w:rsidTr="00AC0C51">
        <w:trPr>
          <w:trHeight w:val="300"/>
        </w:trPr>
        <w:tc>
          <w:tcPr>
            <w:tcW w:w="668" w:type="dxa"/>
            <w:vAlign w:val="center"/>
            <w:hideMark/>
          </w:tcPr>
          <w:p w14:paraId="4BAEDB78"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307</w:t>
            </w:r>
          </w:p>
        </w:tc>
        <w:tc>
          <w:tcPr>
            <w:tcW w:w="3835" w:type="dxa"/>
            <w:vAlign w:val="center"/>
            <w:hideMark/>
          </w:tcPr>
          <w:p w14:paraId="0E26767E" w14:textId="77777777" w:rsidR="00EA38F6" w:rsidRPr="000864AE" w:rsidRDefault="00EA38F6" w:rsidP="000864AE">
            <w:pPr>
              <w:rPr>
                <w:rFonts w:ascii="Verdana" w:hAnsi="Verdana"/>
                <w:sz w:val="18"/>
                <w:szCs w:val="18"/>
              </w:rPr>
            </w:pPr>
            <w:r w:rsidRPr="000864AE">
              <w:rPr>
                <w:rFonts w:ascii="Verdana" w:hAnsi="Verdana"/>
                <w:sz w:val="18"/>
                <w:szCs w:val="18"/>
              </w:rPr>
              <w:t>Jordán Ortiz Elsa</w:t>
            </w:r>
          </w:p>
        </w:tc>
      </w:tr>
      <w:tr w:rsidR="00EA38F6" w:rsidRPr="000864AE" w14:paraId="0AE575FE" w14:textId="77777777" w:rsidTr="00AC0C51">
        <w:trPr>
          <w:trHeight w:val="300"/>
        </w:trPr>
        <w:tc>
          <w:tcPr>
            <w:tcW w:w="668" w:type="dxa"/>
            <w:vAlign w:val="center"/>
            <w:hideMark/>
          </w:tcPr>
          <w:p w14:paraId="343A0AAD"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308</w:t>
            </w:r>
          </w:p>
        </w:tc>
        <w:tc>
          <w:tcPr>
            <w:tcW w:w="3835" w:type="dxa"/>
            <w:vAlign w:val="center"/>
            <w:hideMark/>
          </w:tcPr>
          <w:p w14:paraId="31B86AC9" w14:textId="77777777" w:rsidR="00EA38F6" w:rsidRPr="000864AE" w:rsidRDefault="00EA38F6" w:rsidP="000864AE">
            <w:pPr>
              <w:rPr>
                <w:rFonts w:ascii="Verdana" w:hAnsi="Verdana"/>
                <w:sz w:val="18"/>
                <w:szCs w:val="18"/>
              </w:rPr>
            </w:pPr>
            <w:r w:rsidRPr="000864AE">
              <w:rPr>
                <w:rFonts w:ascii="Verdana" w:hAnsi="Verdana"/>
                <w:sz w:val="18"/>
                <w:szCs w:val="18"/>
              </w:rPr>
              <w:t>Joy García Norma María</w:t>
            </w:r>
          </w:p>
        </w:tc>
      </w:tr>
      <w:tr w:rsidR="00EA38F6" w:rsidRPr="000864AE" w14:paraId="119824B8" w14:textId="77777777" w:rsidTr="00AC0C51">
        <w:trPr>
          <w:trHeight w:val="300"/>
        </w:trPr>
        <w:tc>
          <w:tcPr>
            <w:tcW w:w="668" w:type="dxa"/>
            <w:vAlign w:val="center"/>
            <w:hideMark/>
          </w:tcPr>
          <w:p w14:paraId="1FEC4401"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309</w:t>
            </w:r>
          </w:p>
        </w:tc>
        <w:tc>
          <w:tcPr>
            <w:tcW w:w="3835" w:type="dxa"/>
            <w:vAlign w:val="center"/>
            <w:hideMark/>
          </w:tcPr>
          <w:p w14:paraId="45F98CB7" w14:textId="77777777" w:rsidR="00EA38F6" w:rsidRPr="000864AE" w:rsidRDefault="00EA38F6" w:rsidP="000864AE">
            <w:pPr>
              <w:rPr>
                <w:rFonts w:ascii="Verdana" w:hAnsi="Verdana"/>
                <w:sz w:val="18"/>
                <w:szCs w:val="18"/>
              </w:rPr>
            </w:pPr>
            <w:r w:rsidRPr="000864AE">
              <w:rPr>
                <w:rFonts w:ascii="Verdana" w:hAnsi="Verdana"/>
                <w:sz w:val="18"/>
                <w:szCs w:val="18"/>
              </w:rPr>
              <w:t>Julca Herrera Alejandro Tiburcio</w:t>
            </w:r>
          </w:p>
        </w:tc>
      </w:tr>
      <w:tr w:rsidR="00EA38F6" w:rsidRPr="000864AE" w14:paraId="1415FDB1" w14:textId="77777777" w:rsidTr="00AC0C51">
        <w:trPr>
          <w:trHeight w:val="300"/>
        </w:trPr>
        <w:tc>
          <w:tcPr>
            <w:tcW w:w="668" w:type="dxa"/>
            <w:vAlign w:val="center"/>
            <w:hideMark/>
          </w:tcPr>
          <w:p w14:paraId="14C57153"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310</w:t>
            </w:r>
          </w:p>
        </w:tc>
        <w:tc>
          <w:tcPr>
            <w:tcW w:w="3835" w:type="dxa"/>
            <w:vAlign w:val="center"/>
            <w:hideMark/>
          </w:tcPr>
          <w:p w14:paraId="759945C1" w14:textId="77777777" w:rsidR="00EA38F6" w:rsidRPr="000864AE" w:rsidRDefault="00EA38F6" w:rsidP="000864AE">
            <w:pPr>
              <w:rPr>
                <w:rFonts w:ascii="Verdana" w:hAnsi="Verdana"/>
                <w:sz w:val="18"/>
                <w:szCs w:val="18"/>
              </w:rPr>
            </w:pPr>
            <w:r w:rsidRPr="000864AE">
              <w:rPr>
                <w:rFonts w:ascii="Verdana" w:hAnsi="Verdana"/>
                <w:sz w:val="18"/>
                <w:szCs w:val="18"/>
              </w:rPr>
              <w:t>Koc Chavera Flossy Dolores</w:t>
            </w:r>
          </w:p>
        </w:tc>
      </w:tr>
      <w:tr w:rsidR="00EA38F6" w:rsidRPr="000864AE" w14:paraId="0EC30733" w14:textId="77777777" w:rsidTr="00AC0C51">
        <w:trPr>
          <w:trHeight w:val="300"/>
        </w:trPr>
        <w:tc>
          <w:tcPr>
            <w:tcW w:w="668" w:type="dxa"/>
            <w:vAlign w:val="center"/>
            <w:hideMark/>
          </w:tcPr>
          <w:p w14:paraId="2AB23D74"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311</w:t>
            </w:r>
          </w:p>
        </w:tc>
        <w:tc>
          <w:tcPr>
            <w:tcW w:w="3835" w:type="dxa"/>
            <w:vAlign w:val="center"/>
            <w:hideMark/>
          </w:tcPr>
          <w:p w14:paraId="12EC4FEE" w14:textId="77777777" w:rsidR="00EA38F6" w:rsidRPr="000864AE" w:rsidRDefault="00EA38F6" w:rsidP="000864AE">
            <w:pPr>
              <w:rPr>
                <w:rFonts w:ascii="Verdana" w:hAnsi="Verdana"/>
                <w:sz w:val="18"/>
                <w:szCs w:val="18"/>
              </w:rPr>
            </w:pPr>
            <w:r w:rsidRPr="000864AE">
              <w:rPr>
                <w:rFonts w:ascii="Verdana" w:hAnsi="Verdana"/>
                <w:sz w:val="18"/>
                <w:szCs w:val="18"/>
              </w:rPr>
              <w:t>Kuramoto Huamán María Cruz</w:t>
            </w:r>
          </w:p>
        </w:tc>
      </w:tr>
      <w:tr w:rsidR="00EA38F6" w:rsidRPr="000864AE" w14:paraId="0E475602" w14:textId="77777777" w:rsidTr="00AC0C51">
        <w:trPr>
          <w:trHeight w:val="300"/>
        </w:trPr>
        <w:tc>
          <w:tcPr>
            <w:tcW w:w="668" w:type="dxa"/>
            <w:vAlign w:val="center"/>
            <w:hideMark/>
          </w:tcPr>
          <w:p w14:paraId="6AF7E9AB"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312</w:t>
            </w:r>
          </w:p>
        </w:tc>
        <w:tc>
          <w:tcPr>
            <w:tcW w:w="3835" w:type="dxa"/>
            <w:vAlign w:val="center"/>
            <w:hideMark/>
          </w:tcPr>
          <w:p w14:paraId="43CC4386" w14:textId="77777777" w:rsidR="00EA38F6" w:rsidRPr="000864AE" w:rsidRDefault="00EA38F6" w:rsidP="000864AE">
            <w:pPr>
              <w:rPr>
                <w:rFonts w:ascii="Verdana" w:hAnsi="Verdana"/>
                <w:sz w:val="18"/>
                <w:szCs w:val="18"/>
              </w:rPr>
            </w:pPr>
            <w:r w:rsidRPr="000864AE">
              <w:rPr>
                <w:rFonts w:ascii="Verdana" w:hAnsi="Verdana"/>
                <w:sz w:val="18"/>
                <w:szCs w:val="18"/>
              </w:rPr>
              <w:t>La Rosa Bardales César Antonio</w:t>
            </w:r>
          </w:p>
        </w:tc>
      </w:tr>
      <w:tr w:rsidR="00EA38F6" w:rsidRPr="000864AE" w14:paraId="2A156BCF" w14:textId="77777777" w:rsidTr="00AC0C51">
        <w:trPr>
          <w:trHeight w:val="300"/>
        </w:trPr>
        <w:tc>
          <w:tcPr>
            <w:tcW w:w="668" w:type="dxa"/>
            <w:vAlign w:val="center"/>
            <w:hideMark/>
          </w:tcPr>
          <w:p w14:paraId="61BB3489"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313</w:t>
            </w:r>
          </w:p>
        </w:tc>
        <w:tc>
          <w:tcPr>
            <w:tcW w:w="3835" w:type="dxa"/>
            <w:vAlign w:val="center"/>
            <w:hideMark/>
          </w:tcPr>
          <w:p w14:paraId="65DB533E" w14:textId="77777777" w:rsidR="00EA38F6" w:rsidRPr="000864AE" w:rsidRDefault="00EA38F6" w:rsidP="000864AE">
            <w:pPr>
              <w:rPr>
                <w:rFonts w:ascii="Verdana" w:hAnsi="Verdana"/>
                <w:sz w:val="18"/>
                <w:szCs w:val="18"/>
              </w:rPr>
            </w:pPr>
            <w:r w:rsidRPr="000864AE">
              <w:rPr>
                <w:rFonts w:ascii="Verdana" w:hAnsi="Verdana"/>
                <w:sz w:val="18"/>
                <w:szCs w:val="18"/>
              </w:rPr>
              <w:t>La Rosa Chagaray Clara</w:t>
            </w:r>
          </w:p>
        </w:tc>
      </w:tr>
      <w:tr w:rsidR="00EA38F6" w:rsidRPr="000864AE" w14:paraId="59330437" w14:textId="77777777" w:rsidTr="00AC0C51">
        <w:trPr>
          <w:trHeight w:val="300"/>
        </w:trPr>
        <w:tc>
          <w:tcPr>
            <w:tcW w:w="668" w:type="dxa"/>
            <w:vAlign w:val="center"/>
            <w:hideMark/>
          </w:tcPr>
          <w:p w14:paraId="12D5A876"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314</w:t>
            </w:r>
          </w:p>
        </w:tc>
        <w:tc>
          <w:tcPr>
            <w:tcW w:w="3835" w:type="dxa"/>
            <w:vAlign w:val="center"/>
            <w:hideMark/>
          </w:tcPr>
          <w:p w14:paraId="29AC7C8D" w14:textId="77777777" w:rsidR="00EA38F6" w:rsidRPr="000864AE" w:rsidRDefault="00EA38F6" w:rsidP="000864AE">
            <w:pPr>
              <w:rPr>
                <w:rFonts w:ascii="Verdana" w:hAnsi="Verdana"/>
                <w:sz w:val="18"/>
                <w:szCs w:val="18"/>
              </w:rPr>
            </w:pPr>
            <w:r w:rsidRPr="000864AE">
              <w:rPr>
                <w:rFonts w:ascii="Verdana" w:hAnsi="Verdana"/>
                <w:sz w:val="18"/>
                <w:szCs w:val="18"/>
              </w:rPr>
              <w:t>La Rosa Sanssoni Juan Francisco</w:t>
            </w:r>
          </w:p>
        </w:tc>
      </w:tr>
      <w:tr w:rsidR="00EA38F6" w:rsidRPr="000864AE" w14:paraId="068CF736" w14:textId="77777777" w:rsidTr="00AC0C51">
        <w:trPr>
          <w:trHeight w:val="300"/>
        </w:trPr>
        <w:tc>
          <w:tcPr>
            <w:tcW w:w="668" w:type="dxa"/>
            <w:vAlign w:val="center"/>
            <w:hideMark/>
          </w:tcPr>
          <w:p w14:paraId="15358767"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315</w:t>
            </w:r>
          </w:p>
        </w:tc>
        <w:tc>
          <w:tcPr>
            <w:tcW w:w="3835" w:type="dxa"/>
            <w:vAlign w:val="center"/>
            <w:hideMark/>
          </w:tcPr>
          <w:p w14:paraId="41983097" w14:textId="77777777" w:rsidR="00EA38F6" w:rsidRPr="000864AE" w:rsidRDefault="00EA38F6" w:rsidP="000864AE">
            <w:pPr>
              <w:rPr>
                <w:rFonts w:ascii="Verdana" w:hAnsi="Verdana"/>
                <w:sz w:val="18"/>
                <w:szCs w:val="18"/>
              </w:rPr>
            </w:pPr>
            <w:r w:rsidRPr="000864AE">
              <w:rPr>
                <w:rFonts w:ascii="Verdana" w:hAnsi="Verdana"/>
                <w:sz w:val="18"/>
                <w:szCs w:val="18"/>
              </w:rPr>
              <w:t>La Torre Díaz Clara Gemina</w:t>
            </w:r>
          </w:p>
        </w:tc>
      </w:tr>
      <w:tr w:rsidR="00EA38F6" w:rsidRPr="000864AE" w14:paraId="7DC732EF" w14:textId="77777777" w:rsidTr="00AC0C51">
        <w:trPr>
          <w:trHeight w:val="300"/>
        </w:trPr>
        <w:tc>
          <w:tcPr>
            <w:tcW w:w="668" w:type="dxa"/>
            <w:vAlign w:val="center"/>
            <w:hideMark/>
          </w:tcPr>
          <w:p w14:paraId="68F48ABC"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316</w:t>
            </w:r>
          </w:p>
        </w:tc>
        <w:tc>
          <w:tcPr>
            <w:tcW w:w="3835" w:type="dxa"/>
            <w:vAlign w:val="center"/>
            <w:hideMark/>
          </w:tcPr>
          <w:p w14:paraId="087B5060" w14:textId="77777777" w:rsidR="00EA38F6" w:rsidRPr="000864AE" w:rsidRDefault="00EA38F6" w:rsidP="000864AE">
            <w:pPr>
              <w:rPr>
                <w:rFonts w:ascii="Verdana" w:hAnsi="Verdana"/>
                <w:sz w:val="18"/>
                <w:szCs w:val="18"/>
              </w:rPr>
            </w:pPr>
            <w:r w:rsidRPr="000864AE">
              <w:rPr>
                <w:rFonts w:ascii="Verdana" w:hAnsi="Verdana"/>
                <w:sz w:val="18"/>
                <w:szCs w:val="18"/>
              </w:rPr>
              <w:t>Lara Flores Enrique Sixto</w:t>
            </w:r>
          </w:p>
        </w:tc>
      </w:tr>
      <w:tr w:rsidR="00EA38F6" w:rsidRPr="000864AE" w14:paraId="5F4FAD2A" w14:textId="77777777" w:rsidTr="00AC0C51">
        <w:trPr>
          <w:trHeight w:val="300"/>
        </w:trPr>
        <w:tc>
          <w:tcPr>
            <w:tcW w:w="668" w:type="dxa"/>
            <w:vAlign w:val="center"/>
            <w:hideMark/>
          </w:tcPr>
          <w:p w14:paraId="5DFA06A4"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317</w:t>
            </w:r>
          </w:p>
        </w:tc>
        <w:tc>
          <w:tcPr>
            <w:tcW w:w="3835" w:type="dxa"/>
            <w:vAlign w:val="center"/>
            <w:hideMark/>
          </w:tcPr>
          <w:p w14:paraId="5BDD9951" w14:textId="77777777" w:rsidR="00EA38F6" w:rsidRPr="000864AE" w:rsidRDefault="00EA38F6" w:rsidP="000864AE">
            <w:pPr>
              <w:rPr>
                <w:rFonts w:ascii="Verdana" w:hAnsi="Verdana"/>
                <w:sz w:val="18"/>
                <w:szCs w:val="18"/>
              </w:rPr>
            </w:pPr>
            <w:r w:rsidRPr="000864AE">
              <w:rPr>
                <w:rFonts w:ascii="Verdana" w:hAnsi="Verdana"/>
                <w:sz w:val="18"/>
                <w:szCs w:val="18"/>
              </w:rPr>
              <w:t>Larru Salazar Angélica Dina</w:t>
            </w:r>
          </w:p>
        </w:tc>
      </w:tr>
      <w:tr w:rsidR="00EA38F6" w:rsidRPr="000864AE" w14:paraId="3B10AFB9" w14:textId="77777777" w:rsidTr="00AC0C51">
        <w:trPr>
          <w:trHeight w:val="300"/>
        </w:trPr>
        <w:tc>
          <w:tcPr>
            <w:tcW w:w="668" w:type="dxa"/>
            <w:vAlign w:val="center"/>
            <w:hideMark/>
          </w:tcPr>
          <w:p w14:paraId="0EB2FDF3"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318</w:t>
            </w:r>
          </w:p>
        </w:tc>
        <w:tc>
          <w:tcPr>
            <w:tcW w:w="3835" w:type="dxa"/>
            <w:vAlign w:val="center"/>
            <w:hideMark/>
          </w:tcPr>
          <w:p w14:paraId="03C51704" w14:textId="77777777" w:rsidR="00EA38F6" w:rsidRPr="000864AE" w:rsidRDefault="00EA38F6" w:rsidP="000864AE">
            <w:pPr>
              <w:rPr>
                <w:rFonts w:ascii="Verdana" w:hAnsi="Verdana"/>
                <w:sz w:val="18"/>
                <w:szCs w:val="18"/>
              </w:rPr>
            </w:pPr>
            <w:r w:rsidRPr="000864AE">
              <w:rPr>
                <w:rFonts w:ascii="Verdana" w:hAnsi="Verdana"/>
                <w:sz w:val="18"/>
                <w:szCs w:val="18"/>
              </w:rPr>
              <w:t>Lau Li Justa Virginia</w:t>
            </w:r>
          </w:p>
        </w:tc>
      </w:tr>
      <w:tr w:rsidR="00EA38F6" w:rsidRPr="000864AE" w14:paraId="68DD0856" w14:textId="77777777" w:rsidTr="00AC0C51">
        <w:trPr>
          <w:trHeight w:val="300"/>
        </w:trPr>
        <w:tc>
          <w:tcPr>
            <w:tcW w:w="668" w:type="dxa"/>
            <w:vAlign w:val="center"/>
            <w:hideMark/>
          </w:tcPr>
          <w:p w14:paraId="0A3219B0"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319</w:t>
            </w:r>
          </w:p>
        </w:tc>
        <w:tc>
          <w:tcPr>
            <w:tcW w:w="3835" w:type="dxa"/>
            <w:vAlign w:val="center"/>
            <w:hideMark/>
          </w:tcPr>
          <w:p w14:paraId="3F10215F" w14:textId="77777777" w:rsidR="00EA38F6" w:rsidRPr="000864AE" w:rsidRDefault="00EA38F6" w:rsidP="000864AE">
            <w:pPr>
              <w:rPr>
                <w:rFonts w:ascii="Verdana" w:hAnsi="Verdana"/>
                <w:sz w:val="18"/>
                <w:szCs w:val="18"/>
              </w:rPr>
            </w:pPr>
            <w:r w:rsidRPr="000864AE">
              <w:rPr>
                <w:rFonts w:ascii="Verdana" w:hAnsi="Verdana"/>
                <w:sz w:val="18"/>
                <w:szCs w:val="18"/>
              </w:rPr>
              <w:t>Lau Quintana José</w:t>
            </w:r>
          </w:p>
        </w:tc>
      </w:tr>
      <w:tr w:rsidR="00EA38F6" w:rsidRPr="000864AE" w14:paraId="5FF8DE8D" w14:textId="77777777" w:rsidTr="00AC0C51">
        <w:trPr>
          <w:trHeight w:val="300"/>
        </w:trPr>
        <w:tc>
          <w:tcPr>
            <w:tcW w:w="668" w:type="dxa"/>
            <w:vAlign w:val="center"/>
            <w:hideMark/>
          </w:tcPr>
          <w:p w14:paraId="0295A862"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320</w:t>
            </w:r>
          </w:p>
        </w:tc>
        <w:tc>
          <w:tcPr>
            <w:tcW w:w="3835" w:type="dxa"/>
            <w:vAlign w:val="center"/>
            <w:hideMark/>
          </w:tcPr>
          <w:p w14:paraId="4269629C" w14:textId="77777777" w:rsidR="00EA38F6" w:rsidRPr="000864AE" w:rsidRDefault="00EA38F6" w:rsidP="000864AE">
            <w:pPr>
              <w:rPr>
                <w:rFonts w:ascii="Verdana" w:hAnsi="Verdana"/>
                <w:sz w:val="18"/>
                <w:szCs w:val="18"/>
              </w:rPr>
            </w:pPr>
            <w:r w:rsidRPr="000864AE">
              <w:rPr>
                <w:rFonts w:ascii="Verdana" w:hAnsi="Verdana"/>
                <w:sz w:val="18"/>
                <w:szCs w:val="18"/>
              </w:rPr>
              <w:t>Lazarte Santos Clavio Honorato</w:t>
            </w:r>
          </w:p>
        </w:tc>
      </w:tr>
      <w:tr w:rsidR="00EA38F6" w:rsidRPr="000864AE" w14:paraId="606BB1C3" w14:textId="77777777" w:rsidTr="00AC0C51">
        <w:trPr>
          <w:trHeight w:val="300"/>
        </w:trPr>
        <w:tc>
          <w:tcPr>
            <w:tcW w:w="668" w:type="dxa"/>
            <w:vAlign w:val="center"/>
            <w:hideMark/>
          </w:tcPr>
          <w:p w14:paraId="697EBCEF"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321</w:t>
            </w:r>
          </w:p>
        </w:tc>
        <w:tc>
          <w:tcPr>
            <w:tcW w:w="3835" w:type="dxa"/>
            <w:vAlign w:val="center"/>
            <w:hideMark/>
          </w:tcPr>
          <w:p w14:paraId="3E230460" w14:textId="77777777" w:rsidR="00EA38F6" w:rsidRPr="000864AE" w:rsidRDefault="00EA38F6" w:rsidP="000864AE">
            <w:pPr>
              <w:rPr>
                <w:rFonts w:ascii="Verdana" w:hAnsi="Verdana"/>
                <w:sz w:val="18"/>
                <w:szCs w:val="18"/>
              </w:rPr>
            </w:pPr>
            <w:r w:rsidRPr="000864AE">
              <w:rPr>
                <w:rFonts w:ascii="Verdana" w:hAnsi="Verdana"/>
                <w:sz w:val="18"/>
                <w:szCs w:val="18"/>
              </w:rPr>
              <w:t xml:space="preserve">Lazarte Villanueva Graciela Carmen </w:t>
            </w:r>
          </w:p>
        </w:tc>
      </w:tr>
      <w:tr w:rsidR="00EA38F6" w:rsidRPr="000864AE" w14:paraId="43580A03" w14:textId="77777777" w:rsidTr="00AC0C51">
        <w:trPr>
          <w:trHeight w:val="300"/>
        </w:trPr>
        <w:tc>
          <w:tcPr>
            <w:tcW w:w="668" w:type="dxa"/>
            <w:vAlign w:val="center"/>
            <w:hideMark/>
          </w:tcPr>
          <w:p w14:paraId="1E8F6C58"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322</w:t>
            </w:r>
          </w:p>
        </w:tc>
        <w:tc>
          <w:tcPr>
            <w:tcW w:w="3835" w:type="dxa"/>
            <w:vAlign w:val="center"/>
            <w:hideMark/>
          </w:tcPr>
          <w:p w14:paraId="7F3C3206" w14:textId="77777777" w:rsidR="00EA38F6" w:rsidRPr="000864AE" w:rsidRDefault="00EA38F6" w:rsidP="000864AE">
            <w:pPr>
              <w:rPr>
                <w:rFonts w:ascii="Verdana" w:hAnsi="Verdana"/>
                <w:sz w:val="18"/>
                <w:szCs w:val="18"/>
              </w:rPr>
            </w:pPr>
            <w:r w:rsidRPr="000864AE">
              <w:rPr>
                <w:rFonts w:ascii="Verdana" w:hAnsi="Verdana"/>
                <w:sz w:val="18"/>
                <w:szCs w:val="18"/>
              </w:rPr>
              <w:t>Lazo Bullón Carmen Nelly</w:t>
            </w:r>
          </w:p>
        </w:tc>
      </w:tr>
      <w:tr w:rsidR="00EA38F6" w:rsidRPr="000864AE" w14:paraId="50AE500F" w14:textId="77777777" w:rsidTr="00AC0C51">
        <w:trPr>
          <w:trHeight w:val="300"/>
        </w:trPr>
        <w:tc>
          <w:tcPr>
            <w:tcW w:w="668" w:type="dxa"/>
            <w:vAlign w:val="center"/>
            <w:hideMark/>
          </w:tcPr>
          <w:p w14:paraId="2384FC6B"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323</w:t>
            </w:r>
          </w:p>
        </w:tc>
        <w:tc>
          <w:tcPr>
            <w:tcW w:w="3835" w:type="dxa"/>
            <w:vAlign w:val="center"/>
            <w:hideMark/>
          </w:tcPr>
          <w:p w14:paraId="3FD45ADB" w14:textId="77777777" w:rsidR="00EA38F6" w:rsidRPr="000864AE" w:rsidRDefault="00EA38F6" w:rsidP="000864AE">
            <w:pPr>
              <w:rPr>
                <w:rFonts w:ascii="Verdana" w:hAnsi="Verdana"/>
                <w:sz w:val="18"/>
                <w:szCs w:val="18"/>
              </w:rPr>
            </w:pPr>
            <w:r w:rsidRPr="000864AE">
              <w:rPr>
                <w:rFonts w:ascii="Verdana" w:hAnsi="Verdana"/>
                <w:sz w:val="18"/>
                <w:szCs w:val="18"/>
              </w:rPr>
              <w:t>Lazo García Ezequiel Horacio</w:t>
            </w:r>
          </w:p>
        </w:tc>
      </w:tr>
      <w:tr w:rsidR="00EA38F6" w:rsidRPr="000864AE" w14:paraId="1A8EFA81" w14:textId="77777777" w:rsidTr="00AC0C51">
        <w:trPr>
          <w:trHeight w:val="300"/>
        </w:trPr>
        <w:tc>
          <w:tcPr>
            <w:tcW w:w="668" w:type="dxa"/>
            <w:vAlign w:val="center"/>
            <w:hideMark/>
          </w:tcPr>
          <w:p w14:paraId="4A423ABF"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324</w:t>
            </w:r>
          </w:p>
        </w:tc>
        <w:tc>
          <w:tcPr>
            <w:tcW w:w="3835" w:type="dxa"/>
            <w:vAlign w:val="center"/>
            <w:hideMark/>
          </w:tcPr>
          <w:p w14:paraId="69D48F6B" w14:textId="77777777" w:rsidR="00EA38F6" w:rsidRPr="000864AE" w:rsidRDefault="00EA38F6" w:rsidP="000864AE">
            <w:pPr>
              <w:rPr>
                <w:rFonts w:ascii="Verdana" w:hAnsi="Verdana"/>
                <w:sz w:val="18"/>
                <w:szCs w:val="18"/>
              </w:rPr>
            </w:pPr>
            <w:r w:rsidRPr="000864AE">
              <w:rPr>
                <w:rFonts w:ascii="Verdana" w:hAnsi="Verdana"/>
                <w:sz w:val="18"/>
                <w:szCs w:val="18"/>
              </w:rPr>
              <w:t>León Ángeles Nelly Teodora</w:t>
            </w:r>
          </w:p>
        </w:tc>
      </w:tr>
      <w:tr w:rsidR="00EA38F6" w:rsidRPr="000864AE" w14:paraId="724D6BB6" w14:textId="77777777" w:rsidTr="00AC0C51">
        <w:trPr>
          <w:trHeight w:val="300"/>
        </w:trPr>
        <w:tc>
          <w:tcPr>
            <w:tcW w:w="668" w:type="dxa"/>
            <w:vAlign w:val="center"/>
            <w:hideMark/>
          </w:tcPr>
          <w:p w14:paraId="7A2CD949"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325</w:t>
            </w:r>
          </w:p>
        </w:tc>
        <w:tc>
          <w:tcPr>
            <w:tcW w:w="3835" w:type="dxa"/>
            <w:vAlign w:val="center"/>
            <w:hideMark/>
          </w:tcPr>
          <w:p w14:paraId="2598CF17" w14:textId="77777777" w:rsidR="00EA38F6" w:rsidRPr="000864AE" w:rsidRDefault="00EA38F6" w:rsidP="000864AE">
            <w:pPr>
              <w:rPr>
                <w:rFonts w:ascii="Verdana" w:hAnsi="Verdana"/>
                <w:sz w:val="18"/>
                <w:szCs w:val="18"/>
              </w:rPr>
            </w:pPr>
            <w:r w:rsidRPr="000864AE">
              <w:rPr>
                <w:rFonts w:ascii="Verdana" w:hAnsi="Verdana"/>
                <w:sz w:val="18"/>
                <w:szCs w:val="18"/>
              </w:rPr>
              <w:t>Leturia Romero José Néstor</w:t>
            </w:r>
          </w:p>
        </w:tc>
      </w:tr>
      <w:tr w:rsidR="00EA38F6" w:rsidRPr="000864AE" w14:paraId="71CA1299" w14:textId="77777777" w:rsidTr="00AC0C51">
        <w:trPr>
          <w:trHeight w:val="300"/>
        </w:trPr>
        <w:tc>
          <w:tcPr>
            <w:tcW w:w="668" w:type="dxa"/>
            <w:vAlign w:val="center"/>
            <w:hideMark/>
          </w:tcPr>
          <w:p w14:paraId="1F2A1477"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326</w:t>
            </w:r>
          </w:p>
        </w:tc>
        <w:tc>
          <w:tcPr>
            <w:tcW w:w="3835" w:type="dxa"/>
            <w:vAlign w:val="center"/>
            <w:hideMark/>
          </w:tcPr>
          <w:p w14:paraId="2C5FC9B6" w14:textId="77777777" w:rsidR="00EA38F6" w:rsidRPr="000864AE" w:rsidRDefault="00EA38F6" w:rsidP="000864AE">
            <w:pPr>
              <w:rPr>
                <w:rFonts w:ascii="Verdana" w:hAnsi="Verdana"/>
                <w:sz w:val="18"/>
                <w:szCs w:val="18"/>
              </w:rPr>
            </w:pPr>
            <w:r w:rsidRPr="000864AE">
              <w:rPr>
                <w:rFonts w:ascii="Verdana" w:hAnsi="Verdana"/>
                <w:sz w:val="18"/>
                <w:szCs w:val="18"/>
              </w:rPr>
              <w:t>Lévano Salhuana Luis Alberto</w:t>
            </w:r>
          </w:p>
        </w:tc>
      </w:tr>
      <w:tr w:rsidR="00EA38F6" w:rsidRPr="000864AE" w14:paraId="45E87AA7" w14:textId="77777777" w:rsidTr="00AC0C51">
        <w:trPr>
          <w:trHeight w:val="300"/>
        </w:trPr>
        <w:tc>
          <w:tcPr>
            <w:tcW w:w="668" w:type="dxa"/>
            <w:vAlign w:val="center"/>
            <w:hideMark/>
          </w:tcPr>
          <w:p w14:paraId="70385C5C"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327</w:t>
            </w:r>
          </w:p>
        </w:tc>
        <w:tc>
          <w:tcPr>
            <w:tcW w:w="3835" w:type="dxa"/>
            <w:vAlign w:val="center"/>
            <w:hideMark/>
          </w:tcPr>
          <w:p w14:paraId="3D3C1B1A" w14:textId="77777777" w:rsidR="00EA38F6" w:rsidRPr="000864AE" w:rsidRDefault="00EA38F6" w:rsidP="000864AE">
            <w:pPr>
              <w:rPr>
                <w:rFonts w:ascii="Verdana" w:hAnsi="Verdana"/>
                <w:sz w:val="18"/>
                <w:szCs w:val="18"/>
              </w:rPr>
            </w:pPr>
            <w:r w:rsidRPr="000864AE">
              <w:rPr>
                <w:rFonts w:ascii="Verdana" w:hAnsi="Verdana"/>
                <w:sz w:val="18"/>
                <w:szCs w:val="18"/>
              </w:rPr>
              <w:t>Liberato Martínez Victoria Gladys</w:t>
            </w:r>
          </w:p>
        </w:tc>
      </w:tr>
      <w:tr w:rsidR="00EA38F6" w:rsidRPr="000864AE" w14:paraId="34F1F5E8" w14:textId="77777777" w:rsidTr="00AC0C51">
        <w:trPr>
          <w:trHeight w:val="300"/>
        </w:trPr>
        <w:tc>
          <w:tcPr>
            <w:tcW w:w="668" w:type="dxa"/>
            <w:vAlign w:val="center"/>
            <w:hideMark/>
          </w:tcPr>
          <w:p w14:paraId="02B63A14"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328</w:t>
            </w:r>
          </w:p>
        </w:tc>
        <w:tc>
          <w:tcPr>
            <w:tcW w:w="3835" w:type="dxa"/>
            <w:vAlign w:val="center"/>
            <w:hideMark/>
          </w:tcPr>
          <w:p w14:paraId="23DEC9D7" w14:textId="77777777" w:rsidR="00EA38F6" w:rsidRPr="000864AE" w:rsidRDefault="00EA38F6" w:rsidP="000864AE">
            <w:pPr>
              <w:rPr>
                <w:rFonts w:ascii="Verdana" w:hAnsi="Verdana"/>
                <w:sz w:val="18"/>
                <w:szCs w:val="18"/>
              </w:rPr>
            </w:pPr>
            <w:r w:rsidRPr="000864AE">
              <w:rPr>
                <w:rFonts w:ascii="Verdana" w:hAnsi="Verdana"/>
                <w:sz w:val="18"/>
                <w:szCs w:val="18"/>
              </w:rPr>
              <w:t>Liendo Sánchez Eliana María</w:t>
            </w:r>
          </w:p>
        </w:tc>
      </w:tr>
      <w:tr w:rsidR="00EA38F6" w:rsidRPr="000864AE" w14:paraId="52459157" w14:textId="77777777" w:rsidTr="00AC0C51">
        <w:trPr>
          <w:trHeight w:val="300"/>
        </w:trPr>
        <w:tc>
          <w:tcPr>
            <w:tcW w:w="668" w:type="dxa"/>
            <w:vAlign w:val="center"/>
            <w:hideMark/>
          </w:tcPr>
          <w:p w14:paraId="4173839F"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329</w:t>
            </w:r>
          </w:p>
        </w:tc>
        <w:tc>
          <w:tcPr>
            <w:tcW w:w="3835" w:type="dxa"/>
            <w:vAlign w:val="center"/>
            <w:hideMark/>
          </w:tcPr>
          <w:p w14:paraId="078D4966" w14:textId="77777777" w:rsidR="00EA38F6" w:rsidRPr="000864AE" w:rsidRDefault="00EA38F6" w:rsidP="000864AE">
            <w:pPr>
              <w:rPr>
                <w:rFonts w:ascii="Verdana" w:hAnsi="Verdana"/>
                <w:sz w:val="18"/>
                <w:szCs w:val="18"/>
              </w:rPr>
            </w:pPr>
            <w:r w:rsidRPr="000864AE">
              <w:rPr>
                <w:rFonts w:ascii="Verdana" w:hAnsi="Verdana"/>
                <w:sz w:val="18"/>
                <w:szCs w:val="18"/>
              </w:rPr>
              <w:t>Lituma Agüero Cesar Humberto</w:t>
            </w:r>
          </w:p>
        </w:tc>
      </w:tr>
      <w:tr w:rsidR="00EA38F6" w:rsidRPr="000864AE" w14:paraId="19B91E0B" w14:textId="77777777" w:rsidTr="00AC0C51">
        <w:trPr>
          <w:trHeight w:val="300"/>
        </w:trPr>
        <w:tc>
          <w:tcPr>
            <w:tcW w:w="668" w:type="dxa"/>
            <w:vAlign w:val="center"/>
            <w:hideMark/>
          </w:tcPr>
          <w:p w14:paraId="51E594CA"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330</w:t>
            </w:r>
          </w:p>
        </w:tc>
        <w:tc>
          <w:tcPr>
            <w:tcW w:w="3835" w:type="dxa"/>
            <w:vAlign w:val="center"/>
            <w:hideMark/>
          </w:tcPr>
          <w:p w14:paraId="6F89EF95" w14:textId="77777777" w:rsidR="00EA38F6" w:rsidRPr="000864AE" w:rsidRDefault="00EA38F6" w:rsidP="000864AE">
            <w:pPr>
              <w:rPr>
                <w:rFonts w:ascii="Verdana" w:hAnsi="Verdana"/>
                <w:sz w:val="18"/>
                <w:szCs w:val="18"/>
              </w:rPr>
            </w:pPr>
            <w:r w:rsidRPr="000864AE">
              <w:rPr>
                <w:rFonts w:ascii="Verdana" w:hAnsi="Verdana"/>
                <w:sz w:val="18"/>
                <w:szCs w:val="18"/>
              </w:rPr>
              <w:t>Llamas Ordaya Emma Raquel</w:t>
            </w:r>
          </w:p>
        </w:tc>
      </w:tr>
      <w:tr w:rsidR="00EA38F6" w:rsidRPr="000864AE" w14:paraId="39E3F929" w14:textId="77777777" w:rsidTr="00AC0C51">
        <w:trPr>
          <w:trHeight w:val="300"/>
        </w:trPr>
        <w:tc>
          <w:tcPr>
            <w:tcW w:w="668" w:type="dxa"/>
            <w:vAlign w:val="center"/>
            <w:hideMark/>
          </w:tcPr>
          <w:p w14:paraId="6DC249A9"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331</w:t>
            </w:r>
          </w:p>
        </w:tc>
        <w:tc>
          <w:tcPr>
            <w:tcW w:w="3835" w:type="dxa"/>
            <w:vAlign w:val="center"/>
            <w:hideMark/>
          </w:tcPr>
          <w:p w14:paraId="5190C50A" w14:textId="77777777" w:rsidR="00EA38F6" w:rsidRPr="000864AE" w:rsidRDefault="00EA38F6" w:rsidP="000864AE">
            <w:pPr>
              <w:rPr>
                <w:rFonts w:ascii="Verdana" w:hAnsi="Verdana"/>
                <w:sz w:val="18"/>
                <w:szCs w:val="18"/>
              </w:rPr>
            </w:pPr>
            <w:r w:rsidRPr="000864AE">
              <w:rPr>
                <w:rFonts w:ascii="Verdana" w:hAnsi="Verdana"/>
                <w:sz w:val="18"/>
                <w:szCs w:val="18"/>
              </w:rPr>
              <w:t>Llontop Braco Cristina Del Pilar</w:t>
            </w:r>
          </w:p>
        </w:tc>
      </w:tr>
      <w:tr w:rsidR="00EA38F6" w:rsidRPr="000864AE" w14:paraId="7AF7BFC7" w14:textId="77777777" w:rsidTr="00AC0C51">
        <w:trPr>
          <w:trHeight w:val="300"/>
        </w:trPr>
        <w:tc>
          <w:tcPr>
            <w:tcW w:w="668" w:type="dxa"/>
            <w:vAlign w:val="center"/>
            <w:hideMark/>
          </w:tcPr>
          <w:p w14:paraId="79DA5C47"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332</w:t>
            </w:r>
          </w:p>
        </w:tc>
        <w:tc>
          <w:tcPr>
            <w:tcW w:w="3835" w:type="dxa"/>
            <w:vAlign w:val="center"/>
            <w:hideMark/>
          </w:tcPr>
          <w:p w14:paraId="49130D73" w14:textId="77777777" w:rsidR="00EA38F6" w:rsidRPr="000864AE" w:rsidRDefault="00EA38F6" w:rsidP="000864AE">
            <w:pPr>
              <w:rPr>
                <w:rFonts w:ascii="Verdana" w:hAnsi="Verdana"/>
                <w:sz w:val="18"/>
                <w:szCs w:val="18"/>
              </w:rPr>
            </w:pPr>
            <w:r w:rsidRPr="000864AE">
              <w:rPr>
                <w:rFonts w:ascii="Verdana" w:hAnsi="Verdana"/>
                <w:sz w:val="18"/>
                <w:szCs w:val="18"/>
              </w:rPr>
              <w:t>Llontop Effio Juana Mercedes</w:t>
            </w:r>
          </w:p>
        </w:tc>
      </w:tr>
      <w:tr w:rsidR="00EA38F6" w:rsidRPr="000864AE" w14:paraId="7DA3AC89" w14:textId="77777777" w:rsidTr="00AC0C51">
        <w:trPr>
          <w:trHeight w:val="300"/>
        </w:trPr>
        <w:tc>
          <w:tcPr>
            <w:tcW w:w="668" w:type="dxa"/>
            <w:vAlign w:val="center"/>
            <w:hideMark/>
          </w:tcPr>
          <w:p w14:paraId="0D852EAE"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333</w:t>
            </w:r>
          </w:p>
        </w:tc>
        <w:tc>
          <w:tcPr>
            <w:tcW w:w="3835" w:type="dxa"/>
            <w:vAlign w:val="center"/>
            <w:hideMark/>
          </w:tcPr>
          <w:p w14:paraId="495C8694" w14:textId="77777777" w:rsidR="00EA38F6" w:rsidRPr="000864AE" w:rsidRDefault="00EA38F6" w:rsidP="000864AE">
            <w:pPr>
              <w:rPr>
                <w:rFonts w:ascii="Verdana" w:hAnsi="Verdana"/>
                <w:sz w:val="18"/>
                <w:szCs w:val="18"/>
              </w:rPr>
            </w:pPr>
            <w:r w:rsidRPr="000864AE">
              <w:rPr>
                <w:rFonts w:ascii="Verdana" w:hAnsi="Verdana"/>
                <w:sz w:val="18"/>
                <w:szCs w:val="18"/>
              </w:rPr>
              <w:t>Loayza Paucar Feliciano</w:t>
            </w:r>
          </w:p>
        </w:tc>
      </w:tr>
      <w:tr w:rsidR="00EA38F6" w:rsidRPr="000864AE" w14:paraId="13F2D6F7" w14:textId="77777777" w:rsidTr="00AC0C51">
        <w:trPr>
          <w:trHeight w:val="300"/>
        </w:trPr>
        <w:tc>
          <w:tcPr>
            <w:tcW w:w="668" w:type="dxa"/>
            <w:vAlign w:val="center"/>
            <w:hideMark/>
          </w:tcPr>
          <w:p w14:paraId="0B1EFCA2"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334</w:t>
            </w:r>
          </w:p>
        </w:tc>
        <w:tc>
          <w:tcPr>
            <w:tcW w:w="3835" w:type="dxa"/>
            <w:vAlign w:val="center"/>
            <w:hideMark/>
          </w:tcPr>
          <w:p w14:paraId="3ECE85E1" w14:textId="77777777" w:rsidR="00EA38F6" w:rsidRPr="000864AE" w:rsidRDefault="00EA38F6" w:rsidP="000864AE">
            <w:pPr>
              <w:rPr>
                <w:rFonts w:ascii="Verdana" w:hAnsi="Verdana"/>
                <w:sz w:val="18"/>
                <w:szCs w:val="18"/>
              </w:rPr>
            </w:pPr>
            <w:r w:rsidRPr="000864AE">
              <w:rPr>
                <w:rFonts w:ascii="Verdana" w:hAnsi="Verdana"/>
                <w:sz w:val="18"/>
                <w:szCs w:val="18"/>
              </w:rPr>
              <w:t>Loayza Portilla Graciela</w:t>
            </w:r>
          </w:p>
        </w:tc>
      </w:tr>
      <w:tr w:rsidR="00EA38F6" w:rsidRPr="000864AE" w14:paraId="2BB6B910" w14:textId="77777777" w:rsidTr="00AC0C51">
        <w:trPr>
          <w:trHeight w:val="300"/>
        </w:trPr>
        <w:tc>
          <w:tcPr>
            <w:tcW w:w="668" w:type="dxa"/>
            <w:vAlign w:val="center"/>
            <w:hideMark/>
          </w:tcPr>
          <w:p w14:paraId="662D8D7B"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335</w:t>
            </w:r>
          </w:p>
        </w:tc>
        <w:tc>
          <w:tcPr>
            <w:tcW w:w="3835" w:type="dxa"/>
            <w:vAlign w:val="center"/>
            <w:hideMark/>
          </w:tcPr>
          <w:p w14:paraId="7C999A05" w14:textId="77777777" w:rsidR="00EA38F6" w:rsidRPr="000864AE" w:rsidRDefault="00EA38F6" w:rsidP="000864AE">
            <w:pPr>
              <w:rPr>
                <w:rFonts w:ascii="Verdana" w:hAnsi="Verdana"/>
                <w:sz w:val="18"/>
                <w:szCs w:val="18"/>
              </w:rPr>
            </w:pPr>
            <w:r w:rsidRPr="000864AE">
              <w:rPr>
                <w:rFonts w:ascii="Verdana" w:hAnsi="Verdana"/>
                <w:sz w:val="18"/>
                <w:szCs w:val="18"/>
              </w:rPr>
              <w:t>Lombardo Gonzáles Francisco Gregorio</w:t>
            </w:r>
          </w:p>
        </w:tc>
      </w:tr>
      <w:tr w:rsidR="00EA38F6" w:rsidRPr="000864AE" w14:paraId="063D7AA7" w14:textId="77777777" w:rsidTr="00AC0C51">
        <w:trPr>
          <w:trHeight w:val="300"/>
        </w:trPr>
        <w:tc>
          <w:tcPr>
            <w:tcW w:w="668" w:type="dxa"/>
            <w:vAlign w:val="center"/>
            <w:hideMark/>
          </w:tcPr>
          <w:p w14:paraId="1BE66F69"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336</w:t>
            </w:r>
          </w:p>
        </w:tc>
        <w:tc>
          <w:tcPr>
            <w:tcW w:w="3835" w:type="dxa"/>
            <w:vAlign w:val="center"/>
            <w:hideMark/>
          </w:tcPr>
          <w:p w14:paraId="724CC564" w14:textId="77777777" w:rsidR="00EA38F6" w:rsidRPr="000864AE" w:rsidRDefault="00EA38F6" w:rsidP="000864AE">
            <w:pPr>
              <w:rPr>
                <w:rFonts w:ascii="Verdana" w:hAnsi="Verdana"/>
                <w:sz w:val="18"/>
                <w:szCs w:val="18"/>
              </w:rPr>
            </w:pPr>
            <w:r w:rsidRPr="000864AE">
              <w:rPr>
                <w:rFonts w:ascii="Verdana" w:hAnsi="Verdana"/>
                <w:sz w:val="18"/>
                <w:szCs w:val="18"/>
              </w:rPr>
              <w:t>Loo Reyes Carmen Rosa</w:t>
            </w:r>
          </w:p>
        </w:tc>
      </w:tr>
      <w:tr w:rsidR="00EA38F6" w:rsidRPr="000864AE" w14:paraId="4232B633" w14:textId="77777777" w:rsidTr="00AC0C51">
        <w:trPr>
          <w:trHeight w:val="300"/>
        </w:trPr>
        <w:tc>
          <w:tcPr>
            <w:tcW w:w="668" w:type="dxa"/>
            <w:vAlign w:val="center"/>
            <w:hideMark/>
          </w:tcPr>
          <w:p w14:paraId="7F970CBD"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337</w:t>
            </w:r>
          </w:p>
        </w:tc>
        <w:tc>
          <w:tcPr>
            <w:tcW w:w="3835" w:type="dxa"/>
            <w:vAlign w:val="center"/>
            <w:hideMark/>
          </w:tcPr>
          <w:p w14:paraId="60D0B814" w14:textId="77777777" w:rsidR="00EA38F6" w:rsidRPr="000864AE" w:rsidRDefault="00EA38F6" w:rsidP="000864AE">
            <w:pPr>
              <w:rPr>
                <w:rFonts w:ascii="Verdana" w:hAnsi="Verdana"/>
                <w:sz w:val="18"/>
                <w:szCs w:val="18"/>
              </w:rPr>
            </w:pPr>
            <w:r w:rsidRPr="000864AE">
              <w:rPr>
                <w:rFonts w:ascii="Verdana" w:hAnsi="Verdana"/>
                <w:sz w:val="18"/>
                <w:szCs w:val="18"/>
              </w:rPr>
              <w:t>López Céspedes Alejandro Rubén</w:t>
            </w:r>
          </w:p>
        </w:tc>
      </w:tr>
      <w:tr w:rsidR="00EA38F6" w:rsidRPr="000864AE" w14:paraId="590E16EA" w14:textId="77777777" w:rsidTr="00AC0C51">
        <w:trPr>
          <w:trHeight w:val="300"/>
        </w:trPr>
        <w:tc>
          <w:tcPr>
            <w:tcW w:w="668" w:type="dxa"/>
            <w:vAlign w:val="center"/>
            <w:hideMark/>
          </w:tcPr>
          <w:p w14:paraId="2E84A1B0"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338</w:t>
            </w:r>
          </w:p>
        </w:tc>
        <w:tc>
          <w:tcPr>
            <w:tcW w:w="3835" w:type="dxa"/>
            <w:vAlign w:val="center"/>
            <w:hideMark/>
          </w:tcPr>
          <w:p w14:paraId="313BAAA4" w14:textId="77777777" w:rsidR="00EA38F6" w:rsidRPr="000864AE" w:rsidRDefault="00EA38F6" w:rsidP="000864AE">
            <w:pPr>
              <w:rPr>
                <w:rFonts w:ascii="Verdana" w:hAnsi="Verdana"/>
                <w:sz w:val="18"/>
                <w:szCs w:val="18"/>
              </w:rPr>
            </w:pPr>
            <w:r w:rsidRPr="000864AE">
              <w:rPr>
                <w:rFonts w:ascii="Verdana" w:hAnsi="Verdana"/>
                <w:sz w:val="18"/>
                <w:szCs w:val="18"/>
              </w:rPr>
              <w:t>López Chu Tomas Emilio</w:t>
            </w:r>
          </w:p>
        </w:tc>
      </w:tr>
      <w:tr w:rsidR="00EA38F6" w:rsidRPr="000864AE" w14:paraId="0B364E64" w14:textId="77777777" w:rsidTr="00AC0C51">
        <w:trPr>
          <w:trHeight w:val="300"/>
        </w:trPr>
        <w:tc>
          <w:tcPr>
            <w:tcW w:w="668" w:type="dxa"/>
            <w:vAlign w:val="center"/>
            <w:hideMark/>
          </w:tcPr>
          <w:p w14:paraId="0C91F7D6"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339</w:t>
            </w:r>
          </w:p>
        </w:tc>
        <w:tc>
          <w:tcPr>
            <w:tcW w:w="3835" w:type="dxa"/>
            <w:vAlign w:val="center"/>
            <w:hideMark/>
          </w:tcPr>
          <w:p w14:paraId="56DD84A3" w14:textId="77777777" w:rsidR="00EA38F6" w:rsidRPr="000864AE" w:rsidRDefault="00EA38F6" w:rsidP="000864AE">
            <w:pPr>
              <w:rPr>
                <w:rFonts w:ascii="Verdana" w:hAnsi="Verdana"/>
                <w:sz w:val="18"/>
                <w:szCs w:val="18"/>
              </w:rPr>
            </w:pPr>
            <w:r w:rsidRPr="000864AE">
              <w:rPr>
                <w:rFonts w:ascii="Verdana" w:hAnsi="Verdana"/>
                <w:sz w:val="18"/>
                <w:szCs w:val="18"/>
              </w:rPr>
              <w:t>López Guerrero Dante A.</w:t>
            </w:r>
          </w:p>
        </w:tc>
      </w:tr>
      <w:tr w:rsidR="00EA38F6" w:rsidRPr="000864AE" w14:paraId="13D22731" w14:textId="77777777" w:rsidTr="00AC0C51">
        <w:trPr>
          <w:trHeight w:val="300"/>
        </w:trPr>
        <w:tc>
          <w:tcPr>
            <w:tcW w:w="668" w:type="dxa"/>
            <w:vAlign w:val="center"/>
            <w:hideMark/>
          </w:tcPr>
          <w:p w14:paraId="3D69F864"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340</w:t>
            </w:r>
          </w:p>
        </w:tc>
        <w:tc>
          <w:tcPr>
            <w:tcW w:w="3835" w:type="dxa"/>
            <w:vAlign w:val="center"/>
            <w:hideMark/>
          </w:tcPr>
          <w:p w14:paraId="256AF8A9" w14:textId="77777777" w:rsidR="00EA38F6" w:rsidRPr="000864AE" w:rsidRDefault="00EA38F6" w:rsidP="000864AE">
            <w:pPr>
              <w:rPr>
                <w:rFonts w:ascii="Verdana" w:hAnsi="Verdana"/>
                <w:sz w:val="18"/>
                <w:szCs w:val="18"/>
              </w:rPr>
            </w:pPr>
            <w:r w:rsidRPr="000864AE">
              <w:rPr>
                <w:rFonts w:ascii="Verdana" w:hAnsi="Verdana"/>
                <w:sz w:val="18"/>
                <w:szCs w:val="18"/>
              </w:rPr>
              <w:t>López Paredes Mauricio</w:t>
            </w:r>
          </w:p>
        </w:tc>
      </w:tr>
      <w:tr w:rsidR="00EA38F6" w:rsidRPr="000864AE" w14:paraId="3549D477" w14:textId="77777777" w:rsidTr="00AC0C51">
        <w:trPr>
          <w:trHeight w:val="300"/>
        </w:trPr>
        <w:tc>
          <w:tcPr>
            <w:tcW w:w="668" w:type="dxa"/>
            <w:vAlign w:val="center"/>
            <w:hideMark/>
          </w:tcPr>
          <w:p w14:paraId="00363455"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341</w:t>
            </w:r>
          </w:p>
        </w:tc>
        <w:tc>
          <w:tcPr>
            <w:tcW w:w="3835" w:type="dxa"/>
            <w:vAlign w:val="center"/>
            <w:hideMark/>
          </w:tcPr>
          <w:p w14:paraId="3A8256D4" w14:textId="77777777" w:rsidR="00EA38F6" w:rsidRPr="000864AE" w:rsidRDefault="00EA38F6" w:rsidP="000864AE">
            <w:pPr>
              <w:rPr>
                <w:rFonts w:ascii="Verdana" w:hAnsi="Verdana"/>
                <w:sz w:val="18"/>
                <w:szCs w:val="18"/>
              </w:rPr>
            </w:pPr>
            <w:r w:rsidRPr="000864AE">
              <w:rPr>
                <w:rFonts w:ascii="Verdana" w:hAnsi="Verdana"/>
                <w:sz w:val="18"/>
                <w:szCs w:val="18"/>
              </w:rPr>
              <w:t>López Vera Gladys Lucila</w:t>
            </w:r>
          </w:p>
        </w:tc>
      </w:tr>
      <w:tr w:rsidR="00EA38F6" w:rsidRPr="000864AE" w14:paraId="2516F840" w14:textId="77777777" w:rsidTr="00AC0C51">
        <w:trPr>
          <w:trHeight w:val="300"/>
        </w:trPr>
        <w:tc>
          <w:tcPr>
            <w:tcW w:w="668" w:type="dxa"/>
            <w:vAlign w:val="center"/>
            <w:hideMark/>
          </w:tcPr>
          <w:p w14:paraId="6C68AC19"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342</w:t>
            </w:r>
          </w:p>
        </w:tc>
        <w:tc>
          <w:tcPr>
            <w:tcW w:w="3835" w:type="dxa"/>
            <w:vAlign w:val="center"/>
            <w:hideMark/>
          </w:tcPr>
          <w:p w14:paraId="069F373E" w14:textId="77777777" w:rsidR="00EA38F6" w:rsidRPr="000864AE" w:rsidRDefault="00EA38F6" w:rsidP="000864AE">
            <w:pPr>
              <w:rPr>
                <w:rFonts w:ascii="Verdana" w:hAnsi="Verdana"/>
                <w:sz w:val="18"/>
                <w:szCs w:val="18"/>
              </w:rPr>
            </w:pPr>
            <w:r w:rsidRPr="000864AE">
              <w:rPr>
                <w:rFonts w:ascii="Verdana" w:hAnsi="Verdana"/>
                <w:sz w:val="18"/>
                <w:szCs w:val="18"/>
              </w:rPr>
              <w:t>Lora Reyes Wilfredo Absalon</w:t>
            </w:r>
          </w:p>
        </w:tc>
      </w:tr>
      <w:tr w:rsidR="00EA38F6" w:rsidRPr="000864AE" w14:paraId="1C2CF6A6" w14:textId="77777777" w:rsidTr="00AC0C51">
        <w:trPr>
          <w:trHeight w:val="300"/>
        </w:trPr>
        <w:tc>
          <w:tcPr>
            <w:tcW w:w="668" w:type="dxa"/>
            <w:vAlign w:val="center"/>
            <w:hideMark/>
          </w:tcPr>
          <w:p w14:paraId="7D3E87F6"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343</w:t>
            </w:r>
          </w:p>
        </w:tc>
        <w:tc>
          <w:tcPr>
            <w:tcW w:w="3835" w:type="dxa"/>
            <w:vAlign w:val="center"/>
            <w:hideMark/>
          </w:tcPr>
          <w:p w14:paraId="62F2EAF7" w14:textId="77777777" w:rsidR="00EA38F6" w:rsidRPr="000864AE" w:rsidRDefault="00EA38F6" w:rsidP="000864AE">
            <w:pPr>
              <w:rPr>
                <w:rFonts w:ascii="Verdana" w:hAnsi="Verdana"/>
                <w:sz w:val="18"/>
                <w:szCs w:val="18"/>
              </w:rPr>
            </w:pPr>
            <w:r w:rsidRPr="000864AE">
              <w:rPr>
                <w:rFonts w:ascii="Verdana" w:hAnsi="Verdana"/>
                <w:sz w:val="18"/>
                <w:szCs w:val="18"/>
              </w:rPr>
              <w:t>Loyola Tordoya Nydia Liliana</w:t>
            </w:r>
          </w:p>
        </w:tc>
      </w:tr>
      <w:tr w:rsidR="00EA38F6" w:rsidRPr="000864AE" w14:paraId="06DE27E8" w14:textId="77777777" w:rsidTr="00AC0C51">
        <w:trPr>
          <w:trHeight w:val="300"/>
        </w:trPr>
        <w:tc>
          <w:tcPr>
            <w:tcW w:w="668" w:type="dxa"/>
            <w:vAlign w:val="center"/>
            <w:hideMark/>
          </w:tcPr>
          <w:p w14:paraId="03FF0DE2"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344</w:t>
            </w:r>
          </w:p>
        </w:tc>
        <w:tc>
          <w:tcPr>
            <w:tcW w:w="3835" w:type="dxa"/>
            <w:vAlign w:val="center"/>
            <w:hideMark/>
          </w:tcPr>
          <w:p w14:paraId="6AC446D4" w14:textId="77777777" w:rsidR="00EA38F6" w:rsidRPr="000864AE" w:rsidRDefault="00EA38F6" w:rsidP="000864AE">
            <w:pPr>
              <w:rPr>
                <w:rFonts w:ascii="Verdana" w:hAnsi="Verdana"/>
                <w:sz w:val="18"/>
                <w:szCs w:val="18"/>
              </w:rPr>
            </w:pPr>
            <w:r w:rsidRPr="000864AE">
              <w:rPr>
                <w:rFonts w:ascii="Verdana" w:hAnsi="Verdana"/>
                <w:sz w:val="18"/>
                <w:szCs w:val="18"/>
              </w:rPr>
              <w:t>Lucar Alba Lisandro Ernesto</w:t>
            </w:r>
          </w:p>
        </w:tc>
      </w:tr>
      <w:tr w:rsidR="00EA38F6" w:rsidRPr="000864AE" w14:paraId="75ACAD13" w14:textId="77777777" w:rsidTr="00AC0C51">
        <w:trPr>
          <w:trHeight w:val="300"/>
        </w:trPr>
        <w:tc>
          <w:tcPr>
            <w:tcW w:w="668" w:type="dxa"/>
            <w:vAlign w:val="center"/>
            <w:hideMark/>
          </w:tcPr>
          <w:p w14:paraId="13ADB08C"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345</w:t>
            </w:r>
          </w:p>
        </w:tc>
        <w:tc>
          <w:tcPr>
            <w:tcW w:w="3835" w:type="dxa"/>
            <w:vAlign w:val="center"/>
            <w:hideMark/>
          </w:tcPr>
          <w:p w14:paraId="095AA65B" w14:textId="77777777" w:rsidR="00EA38F6" w:rsidRPr="000864AE" w:rsidRDefault="00EA38F6" w:rsidP="000864AE">
            <w:pPr>
              <w:rPr>
                <w:rFonts w:ascii="Verdana" w:hAnsi="Verdana"/>
                <w:sz w:val="18"/>
                <w:szCs w:val="18"/>
              </w:rPr>
            </w:pPr>
            <w:r w:rsidRPr="000864AE">
              <w:rPr>
                <w:rFonts w:ascii="Verdana" w:hAnsi="Verdana"/>
                <w:sz w:val="18"/>
                <w:szCs w:val="18"/>
              </w:rPr>
              <w:t>Ludeña Cárdenas Fausto</w:t>
            </w:r>
          </w:p>
        </w:tc>
      </w:tr>
      <w:tr w:rsidR="00EA38F6" w:rsidRPr="000864AE" w14:paraId="03FE3178" w14:textId="77777777" w:rsidTr="00AC0C51">
        <w:trPr>
          <w:trHeight w:val="300"/>
        </w:trPr>
        <w:tc>
          <w:tcPr>
            <w:tcW w:w="668" w:type="dxa"/>
            <w:vAlign w:val="center"/>
            <w:hideMark/>
          </w:tcPr>
          <w:p w14:paraId="7C789EB2"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346</w:t>
            </w:r>
          </w:p>
        </w:tc>
        <w:tc>
          <w:tcPr>
            <w:tcW w:w="3835" w:type="dxa"/>
            <w:vAlign w:val="center"/>
            <w:hideMark/>
          </w:tcPr>
          <w:p w14:paraId="3A6D08FA" w14:textId="77777777" w:rsidR="00EA38F6" w:rsidRPr="000864AE" w:rsidRDefault="00EA38F6" w:rsidP="000864AE">
            <w:pPr>
              <w:rPr>
                <w:rFonts w:ascii="Verdana" w:hAnsi="Verdana"/>
                <w:sz w:val="18"/>
                <w:szCs w:val="18"/>
              </w:rPr>
            </w:pPr>
            <w:r w:rsidRPr="000864AE">
              <w:rPr>
                <w:rFonts w:ascii="Verdana" w:hAnsi="Verdana"/>
                <w:sz w:val="18"/>
                <w:szCs w:val="18"/>
              </w:rPr>
              <w:t>Luglio Mar Edgar Américo</w:t>
            </w:r>
          </w:p>
        </w:tc>
      </w:tr>
      <w:tr w:rsidR="00EA38F6" w:rsidRPr="000864AE" w14:paraId="69154B6F" w14:textId="77777777" w:rsidTr="00AC0C51">
        <w:trPr>
          <w:trHeight w:val="300"/>
        </w:trPr>
        <w:tc>
          <w:tcPr>
            <w:tcW w:w="668" w:type="dxa"/>
            <w:vAlign w:val="center"/>
            <w:hideMark/>
          </w:tcPr>
          <w:p w14:paraId="49BC897B"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347</w:t>
            </w:r>
          </w:p>
        </w:tc>
        <w:tc>
          <w:tcPr>
            <w:tcW w:w="3835" w:type="dxa"/>
            <w:vAlign w:val="center"/>
            <w:hideMark/>
          </w:tcPr>
          <w:p w14:paraId="60F3190F" w14:textId="77777777" w:rsidR="00EA38F6" w:rsidRPr="000864AE" w:rsidRDefault="00EA38F6" w:rsidP="000864AE">
            <w:pPr>
              <w:rPr>
                <w:rFonts w:ascii="Verdana" w:hAnsi="Verdana"/>
                <w:sz w:val="18"/>
                <w:szCs w:val="18"/>
              </w:rPr>
            </w:pPr>
            <w:r w:rsidRPr="000864AE">
              <w:rPr>
                <w:rFonts w:ascii="Verdana" w:hAnsi="Verdana"/>
                <w:sz w:val="18"/>
                <w:szCs w:val="18"/>
              </w:rPr>
              <w:t>Lujan Burgos Gregorio Higinio</w:t>
            </w:r>
          </w:p>
        </w:tc>
      </w:tr>
      <w:tr w:rsidR="00EA38F6" w:rsidRPr="000864AE" w14:paraId="11B4D213" w14:textId="77777777" w:rsidTr="00AC0C51">
        <w:trPr>
          <w:trHeight w:val="300"/>
        </w:trPr>
        <w:tc>
          <w:tcPr>
            <w:tcW w:w="668" w:type="dxa"/>
            <w:vAlign w:val="center"/>
            <w:hideMark/>
          </w:tcPr>
          <w:p w14:paraId="70FBCC3F"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348</w:t>
            </w:r>
          </w:p>
        </w:tc>
        <w:tc>
          <w:tcPr>
            <w:tcW w:w="3835" w:type="dxa"/>
            <w:vAlign w:val="center"/>
            <w:hideMark/>
          </w:tcPr>
          <w:p w14:paraId="06D76E72" w14:textId="77777777" w:rsidR="00EA38F6" w:rsidRPr="000864AE" w:rsidRDefault="00EA38F6" w:rsidP="000864AE">
            <w:pPr>
              <w:rPr>
                <w:rFonts w:ascii="Verdana" w:hAnsi="Verdana"/>
                <w:sz w:val="18"/>
                <w:szCs w:val="18"/>
              </w:rPr>
            </w:pPr>
            <w:r w:rsidRPr="000864AE">
              <w:rPr>
                <w:rFonts w:ascii="Verdana" w:hAnsi="Verdana"/>
                <w:sz w:val="18"/>
                <w:szCs w:val="18"/>
              </w:rPr>
              <w:t>Luna Rojas Jesús Nora</w:t>
            </w:r>
          </w:p>
        </w:tc>
      </w:tr>
      <w:tr w:rsidR="00EA38F6" w:rsidRPr="000864AE" w14:paraId="361349F6" w14:textId="77777777" w:rsidTr="00AC0C51">
        <w:trPr>
          <w:trHeight w:val="300"/>
        </w:trPr>
        <w:tc>
          <w:tcPr>
            <w:tcW w:w="668" w:type="dxa"/>
            <w:vAlign w:val="center"/>
            <w:hideMark/>
          </w:tcPr>
          <w:p w14:paraId="60EBE164"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349</w:t>
            </w:r>
          </w:p>
        </w:tc>
        <w:tc>
          <w:tcPr>
            <w:tcW w:w="3835" w:type="dxa"/>
            <w:vAlign w:val="center"/>
            <w:hideMark/>
          </w:tcPr>
          <w:p w14:paraId="5432A5E6" w14:textId="77777777" w:rsidR="00EA38F6" w:rsidRPr="000864AE" w:rsidRDefault="00EA38F6" w:rsidP="000864AE">
            <w:pPr>
              <w:rPr>
                <w:rFonts w:ascii="Verdana" w:hAnsi="Verdana"/>
                <w:sz w:val="18"/>
                <w:szCs w:val="18"/>
              </w:rPr>
            </w:pPr>
            <w:r w:rsidRPr="000864AE">
              <w:rPr>
                <w:rFonts w:ascii="Verdana" w:hAnsi="Verdana"/>
                <w:sz w:val="18"/>
                <w:szCs w:val="18"/>
              </w:rPr>
              <w:t>Macedo Granda Víctor José</w:t>
            </w:r>
          </w:p>
        </w:tc>
      </w:tr>
      <w:tr w:rsidR="00EA38F6" w:rsidRPr="000864AE" w14:paraId="32C7140E" w14:textId="77777777" w:rsidTr="00AC0C51">
        <w:trPr>
          <w:trHeight w:val="300"/>
        </w:trPr>
        <w:tc>
          <w:tcPr>
            <w:tcW w:w="668" w:type="dxa"/>
            <w:vAlign w:val="center"/>
            <w:hideMark/>
          </w:tcPr>
          <w:p w14:paraId="1D09414E"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350</w:t>
            </w:r>
          </w:p>
        </w:tc>
        <w:tc>
          <w:tcPr>
            <w:tcW w:w="3835" w:type="dxa"/>
            <w:vAlign w:val="center"/>
            <w:hideMark/>
          </w:tcPr>
          <w:p w14:paraId="071B0623" w14:textId="77777777" w:rsidR="00EA38F6" w:rsidRPr="000864AE" w:rsidRDefault="00EA38F6" w:rsidP="000864AE">
            <w:pPr>
              <w:rPr>
                <w:rFonts w:ascii="Verdana" w:hAnsi="Verdana"/>
                <w:sz w:val="18"/>
                <w:szCs w:val="18"/>
              </w:rPr>
            </w:pPr>
            <w:r w:rsidRPr="000864AE">
              <w:rPr>
                <w:rFonts w:ascii="Verdana" w:hAnsi="Verdana"/>
                <w:sz w:val="18"/>
                <w:szCs w:val="18"/>
              </w:rPr>
              <w:t>Macedo Medina Dora Emilia</w:t>
            </w:r>
          </w:p>
        </w:tc>
      </w:tr>
      <w:tr w:rsidR="00EA38F6" w:rsidRPr="000864AE" w14:paraId="234F63B6" w14:textId="77777777" w:rsidTr="00AC0C51">
        <w:trPr>
          <w:trHeight w:val="300"/>
        </w:trPr>
        <w:tc>
          <w:tcPr>
            <w:tcW w:w="668" w:type="dxa"/>
            <w:vAlign w:val="center"/>
            <w:hideMark/>
          </w:tcPr>
          <w:p w14:paraId="1A591E6D"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351</w:t>
            </w:r>
          </w:p>
        </w:tc>
        <w:tc>
          <w:tcPr>
            <w:tcW w:w="3835" w:type="dxa"/>
            <w:vAlign w:val="center"/>
            <w:hideMark/>
          </w:tcPr>
          <w:p w14:paraId="67F0FE0F" w14:textId="77777777" w:rsidR="00EA38F6" w:rsidRPr="000864AE" w:rsidRDefault="00EA38F6" w:rsidP="000864AE">
            <w:pPr>
              <w:rPr>
                <w:rFonts w:ascii="Verdana" w:hAnsi="Verdana"/>
                <w:sz w:val="18"/>
                <w:szCs w:val="18"/>
              </w:rPr>
            </w:pPr>
            <w:r w:rsidRPr="000864AE">
              <w:rPr>
                <w:rFonts w:ascii="Verdana" w:hAnsi="Verdana"/>
                <w:sz w:val="18"/>
                <w:szCs w:val="18"/>
              </w:rPr>
              <w:t xml:space="preserve">Machicao Pereyra Jorge Guillermo </w:t>
            </w:r>
          </w:p>
        </w:tc>
      </w:tr>
      <w:tr w:rsidR="00EA38F6" w:rsidRPr="000864AE" w14:paraId="4DC06402" w14:textId="77777777" w:rsidTr="00AC0C51">
        <w:trPr>
          <w:trHeight w:val="300"/>
        </w:trPr>
        <w:tc>
          <w:tcPr>
            <w:tcW w:w="668" w:type="dxa"/>
            <w:vAlign w:val="center"/>
            <w:hideMark/>
          </w:tcPr>
          <w:p w14:paraId="37B103ED"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352</w:t>
            </w:r>
          </w:p>
        </w:tc>
        <w:tc>
          <w:tcPr>
            <w:tcW w:w="3835" w:type="dxa"/>
            <w:vAlign w:val="center"/>
            <w:hideMark/>
          </w:tcPr>
          <w:p w14:paraId="1CF06787" w14:textId="77777777" w:rsidR="00EA38F6" w:rsidRPr="000864AE" w:rsidRDefault="00EA38F6" w:rsidP="000864AE">
            <w:pPr>
              <w:rPr>
                <w:rFonts w:ascii="Verdana" w:hAnsi="Verdana"/>
                <w:sz w:val="18"/>
                <w:szCs w:val="18"/>
              </w:rPr>
            </w:pPr>
            <w:r w:rsidRPr="000864AE">
              <w:rPr>
                <w:rFonts w:ascii="Verdana" w:hAnsi="Verdana"/>
                <w:sz w:val="18"/>
                <w:szCs w:val="18"/>
              </w:rPr>
              <w:t>Makishi Inafuku Vicente</w:t>
            </w:r>
          </w:p>
        </w:tc>
      </w:tr>
      <w:tr w:rsidR="00EA38F6" w:rsidRPr="000864AE" w14:paraId="7339BF95" w14:textId="77777777" w:rsidTr="00AC0C51">
        <w:trPr>
          <w:trHeight w:val="300"/>
        </w:trPr>
        <w:tc>
          <w:tcPr>
            <w:tcW w:w="668" w:type="dxa"/>
            <w:vAlign w:val="center"/>
            <w:hideMark/>
          </w:tcPr>
          <w:p w14:paraId="68C982E1"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353</w:t>
            </w:r>
          </w:p>
        </w:tc>
        <w:tc>
          <w:tcPr>
            <w:tcW w:w="3835" w:type="dxa"/>
            <w:vAlign w:val="center"/>
            <w:hideMark/>
          </w:tcPr>
          <w:p w14:paraId="15AEEFFF" w14:textId="77777777" w:rsidR="00EA38F6" w:rsidRPr="000864AE" w:rsidRDefault="00EA38F6" w:rsidP="000864AE">
            <w:pPr>
              <w:rPr>
                <w:rFonts w:ascii="Verdana" w:hAnsi="Verdana"/>
                <w:sz w:val="18"/>
                <w:szCs w:val="18"/>
              </w:rPr>
            </w:pPr>
            <w:r w:rsidRPr="000864AE">
              <w:rPr>
                <w:rFonts w:ascii="Verdana" w:hAnsi="Verdana"/>
                <w:sz w:val="18"/>
                <w:szCs w:val="18"/>
              </w:rPr>
              <w:t>Manrique Alvarado Jorge Noe</w:t>
            </w:r>
          </w:p>
        </w:tc>
      </w:tr>
      <w:tr w:rsidR="00EA38F6" w:rsidRPr="000864AE" w14:paraId="59CCCBBA" w14:textId="77777777" w:rsidTr="00AC0C51">
        <w:trPr>
          <w:trHeight w:val="300"/>
        </w:trPr>
        <w:tc>
          <w:tcPr>
            <w:tcW w:w="668" w:type="dxa"/>
            <w:vAlign w:val="center"/>
            <w:hideMark/>
          </w:tcPr>
          <w:p w14:paraId="0977AEF1"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354</w:t>
            </w:r>
          </w:p>
        </w:tc>
        <w:tc>
          <w:tcPr>
            <w:tcW w:w="3835" w:type="dxa"/>
            <w:vAlign w:val="center"/>
            <w:hideMark/>
          </w:tcPr>
          <w:p w14:paraId="4F7F181C" w14:textId="77777777" w:rsidR="00EA38F6" w:rsidRPr="000864AE" w:rsidRDefault="00EA38F6" w:rsidP="000864AE">
            <w:pPr>
              <w:rPr>
                <w:rFonts w:ascii="Verdana" w:hAnsi="Verdana"/>
                <w:sz w:val="18"/>
                <w:szCs w:val="18"/>
              </w:rPr>
            </w:pPr>
            <w:r w:rsidRPr="000864AE">
              <w:rPr>
                <w:rFonts w:ascii="Verdana" w:hAnsi="Verdana"/>
                <w:sz w:val="18"/>
                <w:szCs w:val="18"/>
              </w:rPr>
              <w:t>Manrique Sánchez Lea Olga</w:t>
            </w:r>
          </w:p>
        </w:tc>
      </w:tr>
      <w:tr w:rsidR="00EA38F6" w:rsidRPr="000864AE" w14:paraId="167CAC8C" w14:textId="77777777" w:rsidTr="00AC0C51">
        <w:trPr>
          <w:trHeight w:val="300"/>
        </w:trPr>
        <w:tc>
          <w:tcPr>
            <w:tcW w:w="668" w:type="dxa"/>
            <w:vAlign w:val="center"/>
            <w:hideMark/>
          </w:tcPr>
          <w:p w14:paraId="20B08B71"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355</w:t>
            </w:r>
          </w:p>
        </w:tc>
        <w:tc>
          <w:tcPr>
            <w:tcW w:w="3835" w:type="dxa"/>
            <w:vAlign w:val="center"/>
            <w:hideMark/>
          </w:tcPr>
          <w:p w14:paraId="2FE244F8" w14:textId="77777777" w:rsidR="00EA38F6" w:rsidRPr="000864AE" w:rsidRDefault="00EA38F6" w:rsidP="000864AE">
            <w:pPr>
              <w:rPr>
                <w:rFonts w:ascii="Verdana" w:hAnsi="Verdana"/>
                <w:sz w:val="18"/>
                <w:szCs w:val="18"/>
              </w:rPr>
            </w:pPr>
            <w:r w:rsidRPr="000864AE">
              <w:rPr>
                <w:rFonts w:ascii="Verdana" w:hAnsi="Verdana"/>
                <w:sz w:val="18"/>
                <w:szCs w:val="18"/>
              </w:rPr>
              <w:t>Marin Carrera Clodomiro</w:t>
            </w:r>
          </w:p>
        </w:tc>
      </w:tr>
      <w:tr w:rsidR="00EA38F6" w:rsidRPr="000864AE" w14:paraId="0EFCEC73" w14:textId="77777777" w:rsidTr="00AC0C51">
        <w:trPr>
          <w:trHeight w:val="300"/>
        </w:trPr>
        <w:tc>
          <w:tcPr>
            <w:tcW w:w="668" w:type="dxa"/>
            <w:vAlign w:val="center"/>
            <w:hideMark/>
          </w:tcPr>
          <w:p w14:paraId="47F43127"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356</w:t>
            </w:r>
          </w:p>
        </w:tc>
        <w:tc>
          <w:tcPr>
            <w:tcW w:w="3835" w:type="dxa"/>
            <w:vAlign w:val="center"/>
            <w:hideMark/>
          </w:tcPr>
          <w:p w14:paraId="7E0E8B24" w14:textId="77777777" w:rsidR="00EA38F6" w:rsidRPr="000864AE" w:rsidRDefault="00EA38F6" w:rsidP="000864AE">
            <w:pPr>
              <w:rPr>
                <w:rFonts w:ascii="Verdana" w:hAnsi="Verdana"/>
                <w:sz w:val="18"/>
                <w:szCs w:val="18"/>
              </w:rPr>
            </w:pPr>
            <w:r w:rsidRPr="000864AE">
              <w:rPr>
                <w:rFonts w:ascii="Verdana" w:hAnsi="Verdana"/>
                <w:sz w:val="18"/>
                <w:szCs w:val="18"/>
              </w:rPr>
              <w:t>Marmanillo Castro Walter</w:t>
            </w:r>
          </w:p>
        </w:tc>
      </w:tr>
      <w:tr w:rsidR="00EA38F6" w:rsidRPr="000864AE" w14:paraId="224C171C" w14:textId="77777777" w:rsidTr="00AC0C51">
        <w:trPr>
          <w:trHeight w:val="300"/>
        </w:trPr>
        <w:tc>
          <w:tcPr>
            <w:tcW w:w="668" w:type="dxa"/>
            <w:vAlign w:val="center"/>
            <w:hideMark/>
          </w:tcPr>
          <w:p w14:paraId="1807C1BC"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357</w:t>
            </w:r>
          </w:p>
        </w:tc>
        <w:tc>
          <w:tcPr>
            <w:tcW w:w="3835" w:type="dxa"/>
            <w:vAlign w:val="center"/>
            <w:hideMark/>
          </w:tcPr>
          <w:p w14:paraId="7CA0077C" w14:textId="77777777" w:rsidR="00EA38F6" w:rsidRPr="000864AE" w:rsidRDefault="00EA38F6" w:rsidP="000864AE">
            <w:pPr>
              <w:rPr>
                <w:rFonts w:ascii="Verdana" w:hAnsi="Verdana"/>
                <w:sz w:val="18"/>
                <w:szCs w:val="18"/>
              </w:rPr>
            </w:pPr>
            <w:r w:rsidRPr="000864AE">
              <w:rPr>
                <w:rFonts w:ascii="Verdana" w:hAnsi="Verdana"/>
                <w:sz w:val="18"/>
                <w:szCs w:val="18"/>
              </w:rPr>
              <w:t>Márquez Morante María Delia</w:t>
            </w:r>
          </w:p>
        </w:tc>
      </w:tr>
      <w:tr w:rsidR="00EA38F6" w:rsidRPr="000864AE" w14:paraId="6B840E00" w14:textId="77777777" w:rsidTr="00AC0C51">
        <w:trPr>
          <w:trHeight w:val="300"/>
        </w:trPr>
        <w:tc>
          <w:tcPr>
            <w:tcW w:w="668" w:type="dxa"/>
            <w:vAlign w:val="center"/>
            <w:hideMark/>
          </w:tcPr>
          <w:p w14:paraId="5C1F58C6"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358</w:t>
            </w:r>
          </w:p>
        </w:tc>
        <w:tc>
          <w:tcPr>
            <w:tcW w:w="3835" w:type="dxa"/>
            <w:vAlign w:val="center"/>
            <w:hideMark/>
          </w:tcPr>
          <w:p w14:paraId="399D8856" w14:textId="77777777" w:rsidR="00EA38F6" w:rsidRPr="000864AE" w:rsidRDefault="00EA38F6" w:rsidP="000864AE">
            <w:pPr>
              <w:rPr>
                <w:rFonts w:ascii="Verdana" w:hAnsi="Verdana"/>
                <w:sz w:val="18"/>
                <w:szCs w:val="18"/>
              </w:rPr>
            </w:pPr>
            <w:r w:rsidRPr="000864AE">
              <w:rPr>
                <w:rFonts w:ascii="Verdana" w:hAnsi="Verdana"/>
                <w:sz w:val="18"/>
                <w:szCs w:val="18"/>
              </w:rPr>
              <w:t>Márquez Vergara Jesús Antonio</w:t>
            </w:r>
          </w:p>
        </w:tc>
      </w:tr>
      <w:tr w:rsidR="00EA38F6" w:rsidRPr="000864AE" w14:paraId="413E9E4D" w14:textId="77777777" w:rsidTr="00AC0C51">
        <w:trPr>
          <w:trHeight w:val="300"/>
        </w:trPr>
        <w:tc>
          <w:tcPr>
            <w:tcW w:w="668" w:type="dxa"/>
            <w:vAlign w:val="center"/>
            <w:hideMark/>
          </w:tcPr>
          <w:p w14:paraId="441A1022"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359</w:t>
            </w:r>
          </w:p>
        </w:tc>
        <w:tc>
          <w:tcPr>
            <w:tcW w:w="3835" w:type="dxa"/>
            <w:vAlign w:val="center"/>
            <w:hideMark/>
          </w:tcPr>
          <w:p w14:paraId="36E9C530" w14:textId="77777777" w:rsidR="00EA38F6" w:rsidRPr="000864AE" w:rsidRDefault="00EA38F6" w:rsidP="000864AE">
            <w:pPr>
              <w:rPr>
                <w:rFonts w:ascii="Verdana" w:hAnsi="Verdana"/>
                <w:sz w:val="18"/>
                <w:szCs w:val="18"/>
              </w:rPr>
            </w:pPr>
            <w:r w:rsidRPr="000864AE">
              <w:rPr>
                <w:rFonts w:ascii="Verdana" w:hAnsi="Verdana"/>
                <w:sz w:val="18"/>
                <w:szCs w:val="18"/>
              </w:rPr>
              <w:t>Marro Ibarra Luis Ernesto Francisco</w:t>
            </w:r>
          </w:p>
        </w:tc>
      </w:tr>
      <w:tr w:rsidR="00EA38F6" w:rsidRPr="000864AE" w14:paraId="020F3677" w14:textId="77777777" w:rsidTr="00AC0C51">
        <w:trPr>
          <w:trHeight w:val="300"/>
        </w:trPr>
        <w:tc>
          <w:tcPr>
            <w:tcW w:w="668" w:type="dxa"/>
            <w:vAlign w:val="center"/>
            <w:hideMark/>
          </w:tcPr>
          <w:p w14:paraId="1A4BBDFA"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360</w:t>
            </w:r>
          </w:p>
        </w:tc>
        <w:tc>
          <w:tcPr>
            <w:tcW w:w="3835" w:type="dxa"/>
            <w:vAlign w:val="center"/>
            <w:hideMark/>
          </w:tcPr>
          <w:p w14:paraId="66C3D6AA" w14:textId="77777777" w:rsidR="00EA38F6" w:rsidRPr="000864AE" w:rsidRDefault="00EA38F6" w:rsidP="000864AE">
            <w:pPr>
              <w:rPr>
                <w:rFonts w:ascii="Verdana" w:hAnsi="Verdana"/>
                <w:sz w:val="18"/>
                <w:szCs w:val="18"/>
              </w:rPr>
            </w:pPr>
            <w:r w:rsidRPr="000864AE">
              <w:rPr>
                <w:rFonts w:ascii="Verdana" w:hAnsi="Verdana"/>
                <w:sz w:val="18"/>
                <w:szCs w:val="18"/>
              </w:rPr>
              <w:t>Martel López Carlos Orlando</w:t>
            </w:r>
          </w:p>
        </w:tc>
      </w:tr>
      <w:tr w:rsidR="00EA38F6" w:rsidRPr="000864AE" w14:paraId="29FD565B" w14:textId="77777777" w:rsidTr="00AC0C51">
        <w:trPr>
          <w:trHeight w:val="300"/>
        </w:trPr>
        <w:tc>
          <w:tcPr>
            <w:tcW w:w="668" w:type="dxa"/>
            <w:vAlign w:val="center"/>
            <w:hideMark/>
          </w:tcPr>
          <w:p w14:paraId="1CA92CA1"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361</w:t>
            </w:r>
          </w:p>
        </w:tc>
        <w:tc>
          <w:tcPr>
            <w:tcW w:w="3835" w:type="dxa"/>
            <w:vAlign w:val="center"/>
            <w:hideMark/>
          </w:tcPr>
          <w:p w14:paraId="2121D537" w14:textId="77777777" w:rsidR="00EA38F6" w:rsidRPr="000864AE" w:rsidRDefault="00EA38F6" w:rsidP="000864AE">
            <w:pPr>
              <w:rPr>
                <w:rFonts w:ascii="Verdana" w:hAnsi="Verdana"/>
                <w:sz w:val="18"/>
                <w:szCs w:val="18"/>
              </w:rPr>
            </w:pPr>
            <w:r w:rsidRPr="000864AE">
              <w:rPr>
                <w:rFonts w:ascii="Verdana" w:hAnsi="Verdana"/>
                <w:sz w:val="18"/>
                <w:szCs w:val="18"/>
              </w:rPr>
              <w:t>Martínez Luyo Pedro</w:t>
            </w:r>
          </w:p>
        </w:tc>
      </w:tr>
      <w:tr w:rsidR="00EA38F6" w:rsidRPr="000864AE" w14:paraId="2E7A8A81" w14:textId="77777777" w:rsidTr="00AC0C51">
        <w:trPr>
          <w:trHeight w:val="300"/>
        </w:trPr>
        <w:tc>
          <w:tcPr>
            <w:tcW w:w="668" w:type="dxa"/>
            <w:vAlign w:val="center"/>
            <w:hideMark/>
          </w:tcPr>
          <w:p w14:paraId="76E69D73"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362</w:t>
            </w:r>
          </w:p>
        </w:tc>
        <w:tc>
          <w:tcPr>
            <w:tcW w:w="3835" w:type="dxa"/>
            <w:vAlign w:val="center"/>
            <w:hideMark/>
          </w:tcPr>
          <w:p w14:paraId="08332E0E" w14:textId="77777777" w:rsidR="00EA38F6" w:rsidRPr="000864AE" w:rsidRDefault="00EA38F6" w:rsidP="000864AE">
            <w:pPr>
              <w:rPr>
                <w:rFonts w:ascii="Verdana" w:hAnsi="Verdana"/>
                <w:sz w:val="18"/>
                <w:szCs w:val="18"/>
              </w:rPr>
            </w:pPr>
            <w:r w:rsidRPr="000864AE">
              <w:rPr>
                <w:rFonts w:ascii="Verdana" w:hAnsi="Verdana"/>
                <w:sz w:val="18"/>
                <w:szCs w:val="18"/>
              </w:rPr>
              <w:t>Martínez Poblete Ercilia</w:t>
            </w:r>
          </w:p>
        </w:tc>
      </w:tr>
      <w:tr w:rsidR="00EA38F6" w:rsidRPr="000864AE" w14:paraId="2EDB7DE8" w14:textId="77777777" w:rsidTr="00AC0C51">
        <w:trPr>
          <w:trHeight w:val="300"/>
        </w:trPr>
        <w:tc>
          <w:tcPr>
            <w:tcW w:w="668" w:type="dxa"/>
            <w:vAlign w:val="center"/>
            <w:hideMark/>
          </w:tcPr>
          <w:p w14:paraId="2E205247"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363</w:t>
            </w:r>
          </w:p>
        </w:tc>
        <w:tc>
          <w:tcPr>
            <w:tcW w:w="3835" w:type="dxa"/>
            <w:vAlign w:val="center"/>
            <w:hideMark/>
          </w:tcPr>
          <w:p w14:paraId="29013859" w14:textId="77777777" w:rsidR="00EA38F6" w:rsidRPr="000864AE" w:rsidRDefault="00EA38F6" w:rsidP="000864AE">
            <w:pPr>
              <w:rPr>
                <w:rFonts w:ascii="Verdana" w:hAnsi="Verdana"/>
                <w:sz w:val="18"/>
                <w:szCs w:val="18"/>
              </w:rPr>
            </w:pPr>
            <w:r w:rsidRPr="000864AE">
              <w:rPr>
                <w:rFonts w:ascii="Verdana" w:hAnsi="Verdana"/>
                <w:sz w:val="18"/>
                <w:szCs w:val="18"/>
              </w:rPr>
              <w:t>Masías Yarleque Víctor</w:t>
            </w:r>
          </w:p>
        </w:tc>
      </w:tr>
      <w:tr w:rsidR="00EA38F6" w:rsidRPr="000864AE" w14:paraId="4B4658AE" w14:textId="77777777" w:rsidTr="00AC0C51">
        <w:trPr>
          <w:trHeight w:val="300"/>
        </w:trPr>
        <w:tc>
          <w:tcPr>
            <w:tcW w:w="668" w:type="dxa"/>
            <w:vAlign w:val="center"/>
            <w:hideMark/>
          </w:tcPr>
          <w:p w14:paraId="357A0360"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364</w:t>
            </w:r>
          </w:p>
        </w:tc>
        <w:tc>
          <w:tcPr>
            <w:tcW w:w="3835" w:type="dxa"/>
            <w:vAlign w:val="center"/>
            <w:hideMark/>
          </w:tcPr>
          <w:p w14:paraId="24E04867" w14:textId="77777777" w:rsidR="00EA38F6" w:rsidRPr="000864AE" w:rsidRDefault="00EA38F6" w:rsidP="000864AE">
            <w:pPr>
              <w:rPr>
                <w:rFonts w:ascii="Verdana" w:hAnsi="Verdana"/>
                <w:sz w:val="18"/>
                <w:szCs w:val="18"/>
              </w:rPr>
            </w:pPr>
            <w:r w:rsidRPr="000864AE">
              <w:rPr>
                <w:rFonts w:ascii="Verdana" w:hAnsi="Verdana"/>
                <w:sz w:val="18"/>
                <w:szCs w:val="18"/>
              </w:rPr>
              <w:t>Matías Aguirre Mario</w:t>
            </w:r>
          </w:p>
        </w:tc>
      </w:tr>
      <w:tr w:rsidR="00EA38F6" w:rsidRPr="000864AE" w14:paraId="0EA83F63" w14:textId="77777777" w:rsidTr="00AC0C51">
        <w:trPr>
          <w:trHeight w:val="300"/>
        </w:trPr>
        <w:tc>
          <w:tcPr>
            <w:tcW w:w="668" w:type="dxa"/>
            <w:vAlign w:val="center"/>
            <w:hideMark/>
          </w:tcPr>
          <w:p w14:paraId="64C4ED11"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365</w:t>
            </w:r>
          </w:p>
        </w:tc>
        <w:tc>
          <w:tcPr>
            <w:tcW w:w="3835" w:type="dxa"/>
            <w:vAlign w:val="center"/>
            <w:hideMark/>
          </w:tcPr>
          <w:p w14:paraId="71C7878E" w14:textId="77777777" w:rsidR="00EA38F6" w:rsidRPr="000864AE" w:rsidRDefault="00EA38F6" w:rsidP="000864AE">
            <w:pPr>
              <w:rPr>
                <w:rFonts w:ascii="Verdana" w:hAnsi="Verdana"/>
                <w:sz w:val="18"/>
                <w:szCs w:val="18"/>
              </w:rPr>
            </w:pPr>
            <w:r w:rsidRPr="000864AE">
              <w:rPr>
                <w:rFonts w:ascii="Verdana" w:hAnsi="Verdana"/>
                <w:sz w:val="18"/>
                <w:szCs w:val="18"/>
              </w:rPr>
              <w:t>Matysek Icochea Vladimir</w:t>
            </w:r>
          </w:p>
        </w:tc>
      </w:tr>
      <w:tr w:rsidR="00EA38F6" w:rsidRPr="000864AE" w14:paraId="7E6D8507" w14:textId="77777777" w:rsidTr="00AC0C51">
        <w:trPr>
          <w:trHeight w:val="300"/>
        </w:trPr>
        <w:tc>
          <w:tcPr>
            <w:tcW w:w="668" w:type="dxa"/>
            <w:vAlign w:val="center"/>
            <w:hideMark/>
          </w:tcPr>
          <w:p w14:paraId="6794628C"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366</w:t>
            </w:r>
          </w:p>
        </w:tc>
        <w:tc>
          <w:tcPr>
            <w:tcW w:w="3835" w:type="dxa"/>
            <w:vAlign w:val="center"/>
            <w:hideMark/>
          </w:tcPr>
          <w:p w14:paraId="42958DCB" w14:textId="77777777" w:rsidR="00EA38F6" w:rsidRPr="000864AE" w:rsidRDefault="00EA38F6" w:rsidP="000864AE">
            <w:pPr>
              <w:rPr>
                <w:rFonts w:ascii="Verdana" w:hAnsi="Verdana"/>
                <w:sz w:val="18"/>
                <w:szCs w:val="18"/>
              </w:rPr>
            </w:pPr>
            <w:r w:rsidRPr="000864AE">
              <w:rPr>
                <w:rFonts w:ascii="Verdana" w:hAnsi="Verdana"/>
                <w:sz w:val="18"/>
                <w:szCs w:val="18"/>
              </w:rPr>
              <w:t>Mayhua Vía Gregorio</w:t>
            </w:r>
          </w:p>
        </w:tc>
      </w:tr>
      <w:tr w:rsidR="00EA38F6" w:rsidRPr="000864AE" w14:paraId="527AD5F8" w14:textId="77777777" w:rsidTr="00AC0C51">
        <w:trPr>
          <w:trHeight w:val="300"/>
        </w:trPr>
        <w:tc>
          <w:tcPr>
            <w:tcW w:w="668" w:type="dxa"/>
            <w:vAlign w:val="center"/>
            <w:hideMark/>
          </w:tcPr>
          <w:p w14:paraId="4A95470B"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367</w:t>
            </w:r>
          </w:p>
        </w:tc>
        <w:tc>
          <w:tcPr>
            <w:tcW w:w="3835" w:type="dxa"/>
            <w:vAlign w:val="center"/>
            <w:hideMark/>
          </w:tcPr>
          <w:p w14:paraId="5BD3413E" w14:textId="77777777" w:rsidR="00EA38F6" w:rsidRPr="000864AE" w:rsidRDefault="00EA38F6" w:rsidP="000864AE">
            <w:pPr>
              <w:rPr>
                <w:rFonts w:ascii="Verdana" w:hAnsi="Verdana"/>
                <w:sz w:val="18"/>
                <w:szCs w:val="18"/>
              </w:rPr>
            </w:pPr>
            <w:r w:rsidRPr="000864AE">
              <w:rPr>
                <w:rFonts w:ascii="Verdana" w:hAnsi="Verdana"/>
                <w:sz w:val="18"/>
                <w:szCs w:val="18"/>
              </w:rPr>
              <w:t>Mayorca Poma Pedro Manuel</w:t>
            </w:r>
          </w:p>
        </w:tc>
      </w:tr>
      <w:tr w:rsidR="00EA38F6" w:rsidRPr="000864AE" w14:paraId="2044D22E" w14:textId="77777777" w:rsidTr="00AC0C51">
        <w:trPr>
          <w:trHeight w:val="300"/>
        </w:trPr>
        <w:tc>
          <w:tcPr>
            <w:tcW w:w="668" w:type="dxa"/>
            <w:vAlign w:val="center"/>
            <w:hideMark/>
          </w:tcPr>
          <w:p w14:paraId="4D6F5AE4"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368</w:t>
            </w:r>
          </w:p>
        </w:tc>
        <w:tc>
          <w:tcPr>
            <w:tcW w:w="3835" w:type="dxa"/>
            <w:vAlign w:val="center"/>
            <w:hideMark/>
          </w:tcPr>
          <w:p w14:paraId="43FEC7D3" w14:textId="77777777" w:rsidR="00EA38F6" w:rsidRPr="000864AE" w:rsidRDefault="00EA38F6" w:rsidP="000864AE">
            <w:pPr>
              <w:rPr>
                <w:rFonts w:ascii="Verdana" w:hAnsi="Verdana"/>
                <w:sz w:val="18"/>
                <w:szCs w:val="18"/>
              </w:rPr>
            </w:pPr>
            <w:r w:rsidRPr="000864AE">
              <w:rPr>
                <w:rFonts w:ascii="Verdana" w:hAnsi="Verdana"/>
                <w:sz w:val="18"/>
                <w:szCs w:val="18"/>
              </w:rPr>
              <w:t>Medina Aguirre Alberto Alejandro</w:t>
            </w:r>
          </w:p>
        </w:tc>
      </w:tr>
      <w:tr w:rsidR="00EA38F6" w:rsidRPr="000864AE" w14:paraId="3F86E4CE" w14:textId="77777777" w:rsidTr="00AC0C51">
        <w:trPr>
          <w:trHeight w:val="300"/>
        </w:trPr>
        <w:tc>
          <w:tcPr>
            <w:tcW w:w="668" w:type="dxa"/>
            <w:vAlign w:val="center"/>
            <w:hideMark/>
          </w:tcPr>
          <w:p w14:paraId="0B3FF11A"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369</w:t>
            </w:r>
          </w:p>
        </w:tc>
        <w:tc>
          <w:tcPr>
            <w:tcW w:w="3835" w:type="dxa"/>
            <w:vAlign w:val="center"/>
            <w:hideMark/>
          </w:tcPr>
          <w:p w14:paraId="2F112360" w14:textId="77777777" w:rsidR="00EA38F6" w:rsidRPr="000864AE" w:rsidRDefault="00EA38F6" w:rsidP="000864AE">
            <w:pPr>
              <w:rPr>
                <w:rFonts w:ascii="Verdana" w:hAnsi="Verdana"/>
                <w:sz w:val="18"/>
                <w:szCs w:val="18"/>
              </w:rPr>
            </w:pPr>
            <w:r w:rsidRPr="000864AE">
              <w:rPr>
                <w:rFonts w:ascii="Verdana" w:hAnsi="Verdana"/>
                <w:sz w:val="18"/>
                <w:szCs w:val="18"/>
              </w:rPr>
              <w:t>Medina Ayala Andrés</w:t>
            </w:r>
          </w:p>
        </w:tc>
      </w:tr>
      <w:tr w:rsidR="00EA38F6" w:rsidRPr="000864AE" w14:paraId="65B99DD2" w14:textId="77777777" w:rsidTr="00AC0C51">
        <w:trPr>
          <w:trHeight w:val="300"/>
        </w:trPr>
        <w:tc>
          <w:tcPr>
            <w:tcW w:w="668" w:type="dxa"/>
            <w:vAlign w:val="center"/>
            <w:hideMark/>
          </w:tcPr>
          <w:p w14:paraId="35047EE4"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370</w:t>
            </w:r>
          </w:p>
        </w:tc>
        <w:tc>
          <w:tcPr>
            <w:tcW w:w="3835" w:type="dxa"/>
            <w:vAlign w:val="center"/>
            <w:hideMark/>
          </w:tcPr>
          <w:p w14:paraId="0884B252" w14:textId="77777777" w:rsidR="00EA38F6" w:rsidRPr="000864AE" w:rsidRDefault="00EA38F6" w:rsidP="000864AE">
            <w:pPr>
              <w:rPr>
                <w:rFonts w:ascii="Verdana" w:hAnsi="Verdana"/>
                <w:sz w:val="18"/>
                <w:szCs w:val="18"/>
              </w:rPr>
            </w:pPr>
            <w:r w:rsidRPr="000864AE">
              <w:rPr>
                <w:rFonts w:ascii="Verdana" w:hAnsi="Verdana"/>
                <w:sz w:val="18"/>
                <w:szCs w:val="18"/>
              </w:rPr>
              <w:t>Medina Chávez Bertha</w:t>
            </w:r>
          </w:p>
        </w:tc>
      </w:tr>
      <w:tr w:rsidR="00EA38F6" w:rsidRPr="000864AE" w14:paraId="4AF72661" w14:textId="77777777" w:rsidTr="00AC0C51">
        <w:trPr>
          <w:trHeight w:val="300"/>
        </w:trPr>
        <w:tc>
          <w:tcPr>
            <w:tcW w:w="668" w:type="dxa"/>
            <w:vAlign w:val="center"/>
            <w:hideMark/>
          </w:tcPr>
          <w:p w14:paraId="1CE87DAC"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371</w:t>
            </w:r>
          </w:p>
        </w:tc>
        <w:tc>
          <w:tcPr>
            <w:tcW w:w="3835" w:type="dxa"/>
            <w:vAlign w:val="center"/>
            <w:hideMark/>
          </w:tcPr>
          <w:p w14:paraId="1E29F70B" w14:textId="77777777" w:rsidR="00EA38F6" w:rsidRPr="000864AE" w:rsidRDefault="00EA38F6" w:rsidP="000864AE">
            <w:pPr>
              <w:rPr>
                <w:rFonts w:ascii="Verdana" w:hAnsi="Verdana"/>
                <w:sz w:val="18"/>
                <w:szCs w:val="18"/>
              </w:rPr>
            </w:pPr>
            <w:r w:rsidRPr="000864AE">
              <w:rPr>
                <w:rFonts w:ascii="Verdana" w:hAnsi="Verdana"/>
                <w:sz w:val="18"/>
                <w:szCs w:val="18"/>
              </w:rPr>
              <w:t>Medina De La Roca José</w:t>
            </w:r>
          </w:p>
        </w:tc>
      </w:tr>
      <w:tr w:rsidR="00EA38F6" w:rsidRPr="000864AE" w14:paraId="74F90A6C" w14:textId="77777777" w:rsidTr="00AC0C51">
        <w:trPr>
          <w:trHeight w:val="300"/>
        </w:trPr>
        <w:tc>
          <w:tcPr>
            <w:tcW w:w="668" w:type="dxa"/>
            <w:vAlign w:val="center"/>
            <w:hideMark/>
          </w:tcPr>
          <w:p w14:paraId="068838B9"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372</w:t>
            </w:r>
          </w:p>
        </w:tc>
        <w:tc>
          <w:tcPr>
            <w:tcW w:w="3835" w:type="dxa"/>
            <w:vAlign w:val="center"/>
            <w:hideMark/>
          </w:tcPr>
          <w:p w14:paraId="32F4D0BF" w14:textId="77777777" w:rsidR="00EA38F6" w:rsidRPr="000864AE" w:rsidRDefault="00EA38F6" w:rsidP="000864AE">
            <w:pPr>
              <w:rPr>
                <w:rFonts w:ascii="Verdana" w:hAnsi="Verdana"/>
                <w:sz w:val="18"/>
                <w:szCs w:val="18"/>
              </w:rPr>
            </w:pPr>
            <w:r w:rsidRPr="000864AE">
              <w:rPr>
                <w:rFonts w:ascii="Verdana" w:hAnsi="Verdana"/>
                <w:sz w:val="18"/>
                <w:szCs w:val="18"/>
              </w:rPr>
              <w:t>Medina Del Río Evorcio Claver</w:t>
            </w:r>
          </w:p>
        </w:tc>
      </w:tr>
      <w:tr w:rsidR="00EA38F6" w:rsidRPr="000864AE" w14:paraId="35D87CB8" w14:textId="77777777" w:rsidTr="00AC0C51">
        <w:trPr>
          <w:trHeight w:val="300"/>
        </w:trPr>
        <w:tc>
          <w:tcPr>
            <w:tcW w:w="668" w:type="dxa"/>
            <w:vAlign w:val="center"/>
            <w:hideMark/>
          </w:tcPr>
          <w:p w14:paraId="1111C5AD"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373</w:t>
            </w:r>
          </w:p>
        </w:tc>
        <w:tc>
          <w:tcPr>
            <w:tcW w:w="3835" w:type="dxa"/>
            <w:vAlign w:val="center"/>
            <w:hideMark/>
          </w:tcPr>
          <w:p w14:paraId="71D93BD0" w14:textId="77777777" w:rsidR="00EA38F6" w:rsidRPr="000864AE" w:rsidRDefault="00EA38F6" w:rsidP="000864AE">
            <w:pPr>
              <w:rPr>
                <w:rFonts w:ascii="Verdana" w:hAnsi="Verdana"/>
                <w:sz w:val="18"/>
                <w:szCs w:val="18"/>
              </w:rPr>
            </w:pPr>
            <w:r w:rsidRPr="000864AE">
              <w:rPr>
                <w:rFonts w:ascii="Verdana" w:hAnsi="Verdana"/>
                <w:sz w:val="18"/>
                <w:szCs w:val="18"/>
              </w:rPr>
              <w:t>Medrano Tito Evangelina</w:t>
            </w:r>
          </w:p>
        </w:tc>
      </w:tr>
      <w:tr w:rsidR="00EA38F6" w:rsidRPr="000864AE" w14:paraId="0DE093E7" w14:textId="77777777" w:rsidTr="00AC0C51">
        <w:trPr>
          <w:trHeight w:val="300"/>
        </w:trPr>
        <w:tc>
          <w:tcPr>
            <w:tcW w:w="668" w:type="dxa"/>
            <w:vAlign w:val="center"/>
            <w:hideMark/>
          </w:tcPr>
          <w:p w14:paraId="4D3576E2"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374</w:t>
            </w:r>
          </w:p>
        </w:tc>
        <w:tc>
          <w:tcPr>
            <w:tcW w:w="3835" w:type="dxa"/>
            <w:vAlign w:val="center"/>
            <w:hideMark/>
          </w:tcPr>
          <w:p w14:paraId="171EA65A" w14:textId="77777777" w:rsidR="00EA38F6" w:rsidRPr="000864AE" w:rsidRDefault="00EA38F6" w:rsidP="000864AE">
            <w:pPr>
              <w:rPr>
                <w:rFonts w:ascii="Verdana" w:hAnsi="Verdana"/>
                <w:sz w:val="18"/>
                <w:szCs w:val="18"/>
              </w:rPr>
            </w:pPr>
            <w:r w:rsidRPr="000864AE">
              <w:rPr>
                <w:rFonts w:ascii="Verdana" w:hAnsi="Verdana"/>
                <w:sz w:val="18"/>
                <w:szCs w:val="18"/>
              </w:rPr>
              <w:t>Melgar Medina Gil Francisco</w:t>
            </w:r>
          </w:p>
        </w:tc>
      </w:tr>
      <w:tr w:rsidR="00EA38F6" w:rsidRPr="000864AE" w14:paraId="48D8ED56" w14:textId="77777777" w:rsidTr="00AC0C51">
        <w:trPr>
          <w:trHeight w:val="300"/>
        </w:trPr>
        <w:tc>
          <w:tcPr>
            <w:tcW w:w="668" w:type="dxa"/>
            <w:vAlign w:val="center"/>
            <w:hideMark/>
          </w:tcPr>
          <w:p w14:paraId="7B96CA26"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375</w:t>
            </w:r>
          </w:p>
        </w:tc>
        <w:tc>
          <w:tcPr>
            <w:tcW w:w="3835" w:type="dxa"/>
            <w:vAlign w:val="center"/>
            <w:hideMark/>
          </w:tcPr>
          <w:p w14:paraId="62D60DB6" w14:textId="77777777" w:rsidR="00EA38F6" w:rsidRPr="000864AE" w:rsidRDefault="00EA38F6" w:rsidP="000864AE">
            <w:pPr>
              <w:rPr>
                <w:rFonts w:ascii="Verdana" w:hAnsi="Verdana"/>
                <w:sz w:val="18"/>
                <w:szCs w:val="18"/>
              </w:rPr>
            </w:pPr>
            <w:r w:rsidRPr="000864AE">
              <w:rPr>
                <w:rFonts w:ascii="Verdana" w:hAnsi="Verdana"/>
                <w:sz w:val="18"/>
                <w:szCs w:val="18"/>
              </w:rPr>
              <w:t>Mendoza Linares Luis Enrique</w:t>
            </w:r>
          </w:p>
        </w:tc>
      </w:tr>
      <w:tr w:rsidR="00EA38F6" w:rsidRPr="000864AE" w14:paraId="7AED1789" w14:textId="77777777" w:rsidTr="00AC0C51">
        <w:trPr>
          <w:trHeight w:val="300"/>
        </w:trPr>
        <w:tc>
          <w:tcPr>
            <w:tcW w:w="668" w:type="dxa"/>
            <w:vAlign w:val="center"/>
            <w:hideMark/>
          </w:tcPr>
          <w:p w14:paraId="4515DD80"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376</w:t>
            </w:r>
          </w:p>
        </w:tc>
        <w:tc>
          <w:tcPr>
            <w:tcW w:w="3835" w:type="dxa"/>
            <w:vAlign w:val="center"/>
            <w:hideMark/>
          </w:tcPr>
          <w:p w14:paraId="72DF487F" w14:textId="77777777" w:rsidR="00EA38F6" w:rsidRPr="000864AE" w:rsidRDefault="00EA38F6" w:rsidP="000864AE">
            <w:pPr>
              <w:rPr>
                <w:rFonts w:ascii="Verdana" w:hAnsi="Verdana"/>
                <w:sz w:val="18"/>
                <w:szCs w:val="18"/>
              </w:rPr>
            </w:pPr>
            <w:r w:rsidRPr="000864AE">
              <w:rPr>
                <w:rFonts w:ascii="Verdana" w:hAnsi="Verdana"/>
                <w:sz w:val="18"/>
                <w:szCs w:val="18"/>
              </w:rPr>
              <w:t>Mendoza Puppi Julia Josefina</w:t>
            </w:r>
          </w:p>
        </w:tc>
      </w:tr>
      <w:tr w:rsidR="00EA38F6" w:rsidRPr="000864AE" w14:paraId="329F5221" w14:textId="77777777" w:rsidTr="00AC0C51">
        <w:trPr>
          <w:trHeight w:val="300"/>
        </w:trPr>
        <w:tc>
          <w:tcPr>
            <w:tcW w:w="668" w:type="dxa"/>
            <w:vAlign w:val="center"/>
            <w:hideMark/>
          </w:tcPr>
          <w:p w14:paraId="74ACD615"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377</w:t>
            </w:r>
          </w:p>
        </w:tc>
        <w:tc>
          <w:tcPr>
            <w:tcW w:w="3835" w:type="dxa"/>
            <w:vAlign w:val="center"/>
            <w:hideMark/>
          </w:tcPr>
          <w:p w14:paraId="259DD273" w14:textId="77777777" w:rsidR="00EA38F6" w:rsidRPr="000864AE" w:rsidRDefault="00EA38F6" w:rsidP="000864AE">
            <w:pPr>
              <w:rPr>
                <w:rFonts w:ascii="Verdana" w:hAnsi="Verdana"/>
                <w:sz w:val="18"/>
                <w:szCs w:val="18"/>
              </w:rPr>
            </w:pPr>
            <w:r w:rsidRPr="000864AE">
              <w:rPr>
                <w:rFonts w:ascii="Verdana" w:hAnsi="Verdana"/>
                <w:sz w:val="18"/>
                <w:szCs w:val="18"/>
              </w:rPr>
              <w:t>Mendoza Puppi Rosa Amelia</w:t>
            </w:r>
          </w:p>
        </w:tc>
      </w:tr>
      <w:tr w:rsidR="00EA38F6" w:rsidRPr="000864AE" w14:paraId="3B8F2530" w14:textId="77777777" w:rsidTr="00AC0C51">
        <w:trPr>
          <w:trHeight w:val="300"/>
        </w:trPr>
        <w:tc>
          <w:tcPr>
            <w:tcW w:w="668" w:type="dxa"/>
            <w:vAlign w:val="center"/>
            <w:hideMark/>
          </w:tcPr>
          <w:p w14:paraId="251E995A"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378</w:t>
            </w:r>
          </w:p>
        </w:tc>
        <w:tc>
          <w:tcPr>
            <w:tcW w:w="3835" w:type="dxa"/>
            <w:vAlign w:val="center"/>
            <w:hideMark/>
          </w:tcPr>
          <w:p w14:paraId="21EDD19C" w14:textId="77777777" w:rsidR="00EA38F6" w:rsidRPr="000864AE" w:rsidRDefault="00EA38F6" w:rsidP="000864AE">
            <w:pPr>
              <w:rPr>
                <w:rFonts w:ascii="Verdana" w:hAnsi="Verdana"/>
                <w:sz w:val="18"/>
                <w:szCs w:val="18"/>
              </w:rPr>
            </w:pPr>
            <w:r w:rsidRPr="000864AE">
              <w:rPr>
                <w:rFonts w:ascii="Verdana" w:hAnsi="Verdana"/>
                <w:sz w:val="18"/>
                <w:szCs w:val="18"/>
              </w:rPr>
              <w:t>Mendoza Yareta Andrés Jesús</w:t>
            </w:r>
          </w:p>
        </w:tc>
      </w:tr>
      <w:tr w:rsidR="00EA38F6" w:rsidRPr="000864AE" w14:paraId="2592A306" w14:textId="77777777" w:rsidTr="00AC0C51">
        <w:trPr>
          <w:trHeight w:val="300"/>
        </w:trPr>
        <w:tc>
          <w:tcPr>
            <w:tcW w:w="668" w:type="dxa"/>
            <w:vAlign w:val="center"/>
            <w:hideMark/>
          </w:tcPr>
          <w:p w14:paraId="7D928244"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379</w:t>
            </w:r>
          </w:p>
        </w:tc>
        <w:tc>
          <w:tcPr>
            <w:tcW w:w="3835" w:type="dxa"/>
            <w:vAlign w:val="center"/>
            <w:hideMark/>
          </w:tcPr>
          <w:p w14:paraId="789C771E" w14:textId="77777777" w:rsidR="00EA38F6" w:rsidRPr="000864AE" w:rsidRDefault="00EA38F6" w:rsidP="000864AE">
            <w:pPr>
              <w:rPr>
                <w:rFonts w:ascii="Verdana" w:hAnsi="Verdana"/>
                <w:sz w:val="18"/>
                <w:szCs w:val="18"/>
              </w:rPr>
            </w:pPr>
            <w:r w:rsidRPr="000864AE">
              <w:rPr>
                <w:rFonts w:ascii="Verdana" w:hAnsi="Verdana"/>
                <w:sz w:val="18"/>
                <w:szCs w:val="18"/>
              </w:rPr>
              <w:t>Mera Zavaleta José Francisco</w:t>
            </w:r>
          </w:p>
        </w:tc>
      </w:tr>
      <w:tr w:rsidR="00EA38F6" w:rsidRPr="000864AE" w14:paraId="4553198C" w14:textId="77777777" w:rsidTr="00AC0C51">
        <w:trPr>
          <w:trHeight w:val="300"/>
        </w:trPr>
        <w:tc>
          <w:tcPr>
            <w:tcW w:w="668" w:type="dxa"/>
            <w:vAlign w:val="center"/>
            <w:hideMark/>
          </w:tcPr>
          <w:p w14:paraId="0584F107"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380</w:t>
            </w:r>
          </w:p>
        </w:tc>
        <w:tc>
          <w:tcPr>
            <w:tcW w:w="3835" w:type="dxa"/>
            <w:vAlign w:val="center"/>
            <w:hideMark/>
          </w:tcPr>
          <w:p w14:paraId="581F56D5" w14:textId="77777777" w:rsidR="00EA38F6" w:rsidRPr="000864AE" w:rsidRDefault="00EA38F6" w:rsidP="000864AE">
            <w:pPr>
              <w:rPr>
                <w:rFonts w:ascii="Verdana" w:hAnsi="Verdana"/>
                <w:sz w:val="18"/>
                <w:szCs w:val="18"/>
              </w:rPr>
            </w:pPr>
            <w:r w:rsidRPr="000864AE">
              <w:rPr>
                <w:rFonts w:ascii="Verdana" w:hAnsi="Verdana"/>
                <w:sz w:val="18"/>
                <w:szCs w:val="18"/>
              </w:rPr>
              <w:t>Mescua Bonifacio Esther Primitiva</w:t>
            </w:r>
          </w:p>
        </w:tc>
      </w:tr>
      <w:tr w:rsidR="00EA38F6" w:rsidRPr="000864AE" w14:paraId="294D681F" w14:textId="77777777" w:rsidTr="00AC0C51">
        <w:trPr>
          <w:trHeight w:val="270"/>
        </w:trPr>
        <w:tc>
          <w:tcPr>
            <w:tcW w:w="668" w:type="dxa"/>
            <w:vAlign w:val="center"/>
            <w:hideMark/>
          </w:tcPr>
          <w:p w14:paraId="2007E67B"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381</w:t>
            </w:r>
          </w:p>
        </w:tc>
        <w:tc>
          <w:tcPr>
            <w:tcW w:w="3835" w:type="dxa"/>
            <w:vAlign w:val="center"/>
            <w:hideMark/>
          </w:tcPr>
          <w:p w14:paraId="6A21AF42" w14:textId="77777777" w:rsidR="00EA38F6" w:rsidRPr="000864AE" w:rsidRDefault="00EA38F6" w:rsidP="000864AE">
            <w:pPr>
              <w:rPr>
                <w:rFonts w:ascii="Verdana" w:hAnsi="Verdana"/>
                <w:sz w:val="18"/>
                <w:szCs w:val="18"/>
              </w:rPr>
            </w:pPr>
            <w:r w:rsidRPr="000864AE">
              <w:rPr>
                <w:rFonts w:ascii="Verdana" w:hAnsi="Verdana"/>
                <w:sz w:val="18"/>
                <w:szCs w:val="18"/>
              </w:rPr>
              <w:t xml:space="preserve">Mesones Carmona Virginia Victoria </w:t>
            </w:r>
          </w:p>
        </w:tc>
      </w:tr>
      <w:tr w:rsidR="00EA38F6" w:rsidRPr="000864AE" w14:paraId="75CB86BD" w14:textId="77777777" w:rsidTr="00AC0C51">
        <w:trPr>
          <w:trHeight w:val="300"/>
        </w:trPr>
        <w:tc>
          <w:tcPr>
            <w:tcW w:w="668" w:type="dxa"/>
            <w:vAlign w:val="center"/>
            <w:hideMark/>
          </w:tcPr>
          <w:p w14:paraId="19A02B61"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382</w:t>
            </w:r>
          </w:p>
        </w:tc>
        <w:tc>
          <w:tcPr>
            <w:tcW w:w="3835" w:type="dxa"/>
            <w:vAlign w:val="center"/>
            <w:hideMark/>
          </w:tcPr>
          <w:p w14:paraId="30ACF1F8" w14:textId="77777777" w:rsidR="00EA38F6" w:rsidRPr="000864AE" w:rsidRDefault="00EA38F6" w:rsidP="000864AE">
            <w:pPr>
              <w:rPr>
                <w:rFonts w:ascii="Verdana" w:hAnsi="Verdana"/>
                <w:sz w:val="18"/>
                <w:szCs w:val="18"/>
              </w:rPr>
            </w:pPr>
            <w:r w:rsidRPr="000864AE">
              <w:rPr>
                <w:rFonts w:ascii="Verdana" w:hAnsi="Verdana"/>
                <w:sz w:val="18"/>
                <w:szCs w:val="18"/>
              </w:rPr>
              <w:t>Mesones Núñez Ana Emperatriz</w:t>
            </w:r>
          </w:p>
        </w:tc>
      </w:tr>
      <w:tr w:rsidR="00EA38F6" w:rsidRPr="000864AE" w14:paraId="14D9EC70" w14:textId="77777777" w:rsidTr="00AC0C51">
        <w:trPr>
          <w:trHeight w:val="300"/>
        </w:trPr>
        <w:tc>
          <w:tcPr>
            <w:tcW w:w="668" w:type="dxa"/>
            <w:vAlign w:val="center"/>
            <w:hideMark/>
          </w:tcPr>
          <w:p w14:paraId="1BFD0416"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383</w:t>
            </w:r>
          </w:p>
        </w:tc>
        <w:tc>
          <w:tcPr>
            <w:tcW w:w="3835" w:type="dxa"/>
            <w:vAlign w:val="center"/>
            <w:hideMark/>
          </w:tcPr>
          <w:p w14:paraId="54928A8B" w14:textId="77777777" w:rsidR="00EA38F6" w:rsidRPr="000864AE" w:rsidRDefault="00EA38F6" w:rsidP="000864AE">
            <w:pPr>
              <w:rPr>
                <w:rFonts w:ascii="Verdana" w:hAnsi="Verdana"/>
                <w:sz w:val="18"/>
                <w:szCs w:val="18"/>
              </w:rPr>
            </w:pPr>
            <w:r w:rsidRPr="000864AE">
              <w:rPr>
                <w:rFonts w:ascii="Verdana" w:hAnsi="Verdana"/>
                <w:sz w:val="18"/>
                <w:szCs w:val="18"/>
              </w:rPr>
              <w:t>Meza Suárez Beltrán Abraham</w:t>
            </w:r>
          </w:p>
        </w:tc>
      </w:tr>
      <w:tr w:rsidR="00EA38F6" w:rsidRPr="000864AE" w14:paraId="7CDCF950" w14:textId="77777777" w:rsidTr="00AC0C51">
        <w:trPr>
          <w:trHeight w:val="300"/>
        </w:trPr>
        <w:tc>
          <w:tcPr>
            <w:tcW w:w="668" w:type="dxa"/>
            <w:vAlign w:val="center"/>
            <w:hideMark/>
          </w:tcPr>
          <w:p w14:paraId="0750346C"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384</w:t>
            </w:r>
          </w:p>
        </w:tc>
        <w:tc>
          <w:tcPr>
            <w:tcW w:w="3835" w:type="dxa"/>
            <w:vAlign w:val="center"/>
            <w:hideMark/>
          </w:tcPr>
          <w:p w14:paraId="2AF7BB66" w14:textId="77777777" w:rsidR="00EA38F6" w:rsidRPr="000864AE" w:rsidRDefault="00EA38F6" w:rsidP="000864AE">
            <w:pPr>
              <w:rPr>
                <w:rFonts w:ascii="Verdana" w:hAnsi="Verdana"/>
                <w:sz w:val="18"/>
                <w:szCs w:val="18"/>
              </w:rPr>
            </w:pPr>
            <w:r w:rsidRPr="000864AE">
              <w:rPr>
                <w:rFonts w:ascii="Verdana" w:hAnsi="Verdana"/>
                <w:sz w:val="18"/>
                <w:szCs w:val="18"/>
              </w:rPr>
              <w:t>Milla Figueroa Eduardo Gamaniel</w:t>
            </w:r>
          </w:p>
        </w:tc>
      </w:tr>
      <w:tr w:rsidR="00EA38F6" w:rsidRPr="000864AE" w14:paraId="3E777A4F" w14:textId="77777777" w:rsidTr="00AC0C51">
        <w:trPr>
          <w:trHeight w:val="285"/>
        </w:trPr>
        <w:tc>
          <w:tcPr>
            <w:tcW w:w="668" w:type="dxa"/>
            <w:vAlign w:val="center"/>
            <w:hideMark/>
          </w:tcPr>
          <w:p w14:paraId="44557A48"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385</w:t>
            </w:r>
          </w:p>
        </w:tc>
        <w:tc>
          <w:tcPr>
            <w:tcW w:w="3835" w:type="dxa"/>
            <w:vAlign w:val="center"/>
            <w:hideMark/>
          </w:tcPr>
          <w:p w14:paraId="1E40FEB0" w14:textId="77777777" w:rsidR="00EA38F6" w:rsidRPr="000864AE" w:rsidRDefault="00EA38F6" w:rsidP="000864AE">
            <w:pPr>
              <w:rPr>
                <w:rFonts w:ascii="Verdana" w:hAnsi="Verdana"/>
                <w:sz w:val="18"/>
                <w:szCs w:val="18"/>
              </w:rPr>
            </w:pPr>
            <w:r w:rsidRPr="000864AE">
              <w:rPr>
                <w:rFonts w:ascii="Verdana" w:hAnsi="Verdana"/>
                <w:sz w:val="18"/>
                <w:szCs w:val="18"/>
              </w:rPr>
              <w:t>Millones Mateo Luis Antonio Pedro</w:t>
            </w:r>
          </w:p>
        </w:tc>
      </w:tr>
      <w:tr w:rsidR="00EA38F6" w:rsidRPr="000864AE" w14:paraId="1E9853B0" w14:textId="77777777" w:rsidTr="00AC0C51">
        <w:trPr>
          <w:trHeight w:val="300"/>
        </w:trPr>
        <w:tc>
          <w:tcPr>
            <w:tcW w:w="668" w:type="dxa"/>
            <w:vAlign w:val="center"/>
            <w:hideMark/>
          </w:tcPr>
          <w:p w14:paraId="089BF069"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386</w:t>
            </w:r>
          </w:p>
        </w:tc>
        <w:tc>
          <w:tcPr>
            <w:tcW w:w="3835" w:type="dxa"/>
            <w:vAlign w:val="center"/>
            <w:hideMark/>
          </w:tcPr>
          <w:p w14:paraId="6162991A" w14:textId="77777777" w:rsidR="00EA38F6" w:rsidRPr="000864AE" w:rsidRDefault="00EA38F6" w:rsidP="000864AE">
            <w:pPr>
              <w:rPr>
                <w:rFonts w:ascii="Verdana" w:hAnsi="Verdana"/>
                <w:sz w:val="18"/>
                <w:szCs w:val="18"/>
              </w:rPr>
            </w:pPr>
            <w:r w:rsidRPr="000864AE">
              <w:rPr>
                <w:rFonts w:ascii="Verdana" w:hAnsi="Verdana"/>
                <w:sz w:val="18"/>
                <w:szCs w:val="18"/>
              </w:rPr>
              <w:t>Miranda Coronel Weissen</w:t>
            </w:r>
          </w:p>
        </w:tc>
      </w:tr>
      <w:tr w:rsidR="00EA38F6" w:rsidRPr="000864AE" w14:paraId="3AC86768" w14:textId="77777777" w:rsidTr="00AC0C51">
        <w:trPr>
          <w:trHeight w:val="300"/>
        </w:trPr>
        <w:tc>
          <w:tcPr>
            <w:tcW w:w="668" w:type="dxa"/>
            <w:vAlign w:val="center"/>
            <w:hideMark/>
          </w:tcPr>
          <w:p w14:paraId="54CF473A"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387</w:t>
            </w:r>
          </w:p>
        </w:tc>
        <w:tc>
          <w:tcPr>
            <w:tcW w:w="3835" w:type="dxa"/>
            <w:vAlign w:val="center"/>
            <w:hideMark/>
          </w:tcPr>
          <w:p w14:paraId="2EEC5011" w14:textId="77777777" w:rsidR="00EA38F6" w:rsidRPr="000864AE" w:rsidRDefault="00EA38F6" w:rsidP="000864AE">
            <w:pPr>
              <w:rPr>
                <w:rFonts w:ascii="Verdana" w:hAnsi="Verdana"/>
                <w:sz w:val="18"/>
                <w:szCs w:val="18"/>
              </w:rPr>
            </w:pPr>
            <w:r w:rsidRPr="000864AE">
              <w:rPr>
                <w:rFonts w:ascii="Verdana" w:hAnsi="Verdana"/>
                <w:sz w:val="18"/>
                <w:szCs w:val="18"/>
              </w:rPr>
              <w:t xml:space="preserve">Miranda Fontana Manuel Jesús </w:t>
            </w:r>
          </w:p>
        </w:tc>
      </w:tr>
      <w:tr w:rsidR="00EA38F6" w:rsidRPr="000864AE" w14:paraId="0A759224" w14:textId="77777777" w:rsidTr="00AC0C51">
        <w:trPr>
          <w:trHeight w:val="300"/>
        </w:trPr>
        <w:tc>
          <w:tcPr>
            <w:tcW w:w="668" w:type="dxa"/>
            <w:vAlign w:val="center"/>
            <w:hideMark/>
          </w:tcPr>
          <w:p w14:paraId="3533C258"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388</w:t>
            </w:r>
          </w:p>
        </w:tc>
        <w:tc>
          <w:tcPr>
            <w:tcW w:w="3835" w:type="dxa"/>
            <w:vAlign w:val="center"/>
            <w:hideMark/>
          </w:tcPr>
          <w:p w14:paraId="1DB38156" w14:textId="77777777" w:rsidR="00EA38F6" w:rsidRPr="000864AE" w:rsidRDefault="00EA38F6" w:rsidP="000864AE">
            <w:pPr>
              <w:rPr>
                <w:rFonts w:ascii="Verdana" w:hAnsi="Verdana"/>
                <w:sz w:val="18"/>
                <w:szCs w:val="18"/>
              </w:rPr>
            </w:pPr>
            <w:r w:rsidRPr="000864AE">
              <w:rPr>
                <w:rFonts w:ascii="Verdana" w:hAnsi="Verdana"/>
                <w:sz w:val="18"/>
                <w:szCs w:val="18"/>
              </w:rPr>
              <w:t>Miranda Sánchez Gloria Isabel</w:t>
            </w:r>
          </w:p>
        </w:tc>
      </w:tr>
      <w:tr w:rsidR="00EA38F6" w:rsidRPr="000864AE" w14:paraId="088F7085" w14:textId="77777777" w:rsidTr="00AC0C51">
        <w:trPr>
          <w:trHeight w:val="300"/>
        </w:trPr>
        <w:tc>
          <w:tcPr>
            <w:tcW w:w="668" w:type="dxa"/>
            <w:vAlign w:val="center"/>
            <w:hideMark/>
          </w:tcPr>
          <w:p w14:paraId="5B743702"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389</w:t>
            </w:r>
          </w:p>
        </w:tc>
        <w:tc>
          <w:tcPr>
            <w:tcW w:w="3835" w:type="dxa"/>
            <w:vAlign w:val="center"/>
            <w:hideMark/>
          </w:tcPr>
          <w:p w14:paraId="146F2FF4" w14:textId="77777777" w:rsidR="00EA38F6" w:rsidRPr="000864AE" w:rsidRDefault="00EA38F6" w:rsidP="000864AE">
            <w:pPr>
              <w:rPr>
                <w:rFonts w:ascii="Verdana" w:hAnsi="Verdana"/>
                <w:sz w:val="18"/>
                <w:szCs w:val="18"/>
              </w:rPr>
            </w:pPr>
            <w:r w:rsidRPr="000864AE">
              <w:rPr>
                <w:rFonts w:ascii="Verdana" w:hAnsi="Verdana"/>
                <w:sz w:val="18"/>
                <w:szCs w:val="18"/>
              </w:rPr>
              <w:t>Misajel Yupanqui Jesús Bacilio</w:t>
            </w:r>
          </w:p>
        </w:tc>
      </w:tr>
      <w:tr w:rsidR="00EA38F6" w:rsidRPr="000864AE" w14:paraId="10D193EE" w14:textId="77777777" w:rsidTr="00AC0C51">
        <w:trPr>
          <w:trHeight w:val="300"/>
        </w:trPr>
        <w:tc>
          <w:tcPr>
            <w:tcW w:w="668" w:type="dxa"/>
            <w:vAlign w:val="center"/>
            <w:hideMark/>
          </w:tcPr>
          <w:p w14:paraId="01DC5FBC"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390</w:t>
            </w:r>
          </w:p>
        </w:tc>
        <w:tc>
          <w:tcPr>
            <w:tcW w:w="3835" w:type="dxa"/>
            <w:vAlign w:val="center"/>
            <w:hideMark/>
          </w:tcPr>
          <w:p w14:paraId="7E51525C" w14:textId="77777777" w:rsidR="00EA38F6" w:rsidRPr="000864AE" w:rsidRDefault="00EA38F6" w:rsidP="000864AE">
            <w:pPr>
              <w:rPr>
                <w:rFonts w:ascii="Verdana" w:hAnsi="Verdana"/>
                <w:sz w:val="18"/>
                <w:szCs w:val="18"/>
              </w:rPr>
            </w:pPr>
            <w:r w:rsidRPr="000864AE">
              <w:rPr>
                <w:rFonts w:ascii="Verdana" w:hAnsi="Verdana"/>
                <w:sz w:val="18"/>
                <w:szCs w:val="18"/>
              </w:rPr>
              <w:t>Mogollón Pérez Wilfredo</w:t>
            </w:r>
          </w:p>
        </w:tc>
      </w:tr>
      <w:tr w:rsidR="00EA38F6" w:rsidRPr="000864AE" w14:paraId="5E1C5AF8" w14:textId="77777777" w:rsidTr="00AC0C51">
        <w:trPr>
          <w:trHeight w:val="300"/>
        </w:trPr>
        <w:tc>
          <w:tcPr>
            <w:tcW w:w="668" w:type="dxa"/>
            <w:vAlign w:val="center"/>
            <w:hideMark/>
          </w:tcPr>
          <w:p w14:paraId="5324C948"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391</w:t>
            </w:r>
          </w:p>
        </w:tc>
        <w:tc>
          <w:tcPr>
            <w:tcW w:w="3835" w:type="dxa"/>
            <w:vAlign w:val="center"/>
            <w:hideMark/>
          </w:tcPr>
          <w:p w14:paraId="454AB55C" w14:textId="77777777" w:rsidR="00EA38F6" w:rsidRPr="000864AE" w:rsidRDefault="00EA38F6" w:rsidP="000864AE">
            <w:pPr>
              <w:rPr>
                <w:rFonts w:ascii="Verdana" w:hAnsi="Verdana"/>
                <w:sz w:val="18"/>
                <w:szCs w:val="18"/>
              </w:rPr>
            </w:pPr>
            <w:r w:rsidRPr="000864AE">
              <w:rPr>
                <w:rFonts w:ascii="Verdana" w:hAnsi="Verdana"/>
                <w:sz w:val="18"/>
                <w:szCs w:val="18"/>
              </w:rPr>
              <w:t>Mondoñedo Valle Rosa María Jesús</w:t>
            </w:r>
          </w:p>
        </w:tc>
      </w:tr>
      <w:tr w:rsidR="00EA38F6" w:rsidRPr="000864AE" w14:paraId="0951AFC5" w14:textId="77777777" w:rsidTr="00AC0C51">
        <w:trPr>
          <w:trHeight w:val="300"/>
        </w:trPr>
        <w:tc>
          <w:tcPr>
            <w:tcW w:w="668" w:type="dxa"/>
            <w:vAlign w:val="center"/>
            <w:hideMark/>
          </w:tcPr>
          <w:p w14:paraId="00DAC00D"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392</w:t>
            </w:r>
          </w:p>
        </w:tc>
        <w:tc>
          <w:tcPr>
            <w:tcW w:w="3835" w:type="dxa"/>
            <w:vAlign w:val="center"/>
            <w:hideMark/>
          </w:tcPr>
          <w:p w14:paraId="63067209" w14:textId="77777777" w:rsidR="00EA38F6" w:rsidRPr="000864AE" w:rsidRDefault="00EA38F6" w:rsidP="000864AE">
            <w:pPr>
              <w:rPr>
                <w:rFonts w:ascii="Verdana" w:hAnsi="Verdana"/>
                <w:sz w:val="18"/>
                <w:szCs w:val="18"/>
              </w:rPr>
            </w:pPr>
            <w:r w:rsidRPr="000864AE">
              <w:rPr>
                <w:rFonts w:ascii="Verdana" w:hAnsi="Verdana"/>
                <w:sz w:val="18"/>
                <w:szCs w:val="18"/>
              </w:rPr>
              <w:t>Mondragon Meléndez Anselmo Pedro</w:t>
            </w:r>
          </w:p>
        </w:tc>
      </w:tr>
      <w:tr w:rsidR="00EA38F6" w:rsidRPr="000864AE" w14:paraId="32E678E9" w14:textId="77777777" w:rsidTr="00AC0C51">
        <w:trPr>
          <w:trHeight w:val="300"/>
        </w:trPr>
        <w:tc>
          <w:tcPr>
            <w:tcW w:w="668" w:type="dxa"/>
            <w:vAlign w:val="center"/>
            <w:hideMark/>
          </w:tcPr>
          <w:p w14:paraId="1DD0D81C"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393</w:t>
            </w:r>
          </w:p>
        </w:tc>
        <w:tc>
          <w:tcPr>
            <w:tcW w:w="3835" w:type="dxa"/>
            <w:vAlign w:val="center"/>
            <w:hideMark/>
          </w:tcPr>
          <w:p w14:paraId="6FFF5ED8" w14:textId="77777777" w:rsidR="00EA38F6" w:rsidRPr="000864AE" w:rsidRDefault="00EA38F6" w:rsidP="000864AE">
            <w:pPr>
              <w:rPr>
                <w:rFonts w:ascii="Verdana" w:hAnsi="Verdana"/>
                <w:sz w:val="18"/>
                <w:szCs w:val="18"/>
              </w:rPr>
            </w:pPr>
            <w:r w:rsidRPr="000864AE">
              <w:rPr>
                <w:rFonts w:ascii="Verdana" w:hAnsi="Verdana"/>
                <w:sz w:val="18"/>
                <w:szCs w:val="18"/>
              </w:rPr>
              <w:t>Mondragón Orrego Teodoro</w:t>
            </w:r>
          </w:p>
        </w:tc>
      </w:tr>
      <w:tr w:rsidR="00EA38F6" w:rsidRPr="000864AE" w14:paraId="2CD7D6E8" w14:textId="77777777" w:rsidTr="00AC0C51">
        <w:trPr>
          <w:trHeight w:val="300"/>
        </w:trPr>
        <w:tc>
          <w:tcPr>
            <w:tcW w:w="668" w:type="dxa"/>
            <w:vAlign w:val="center"/>
            <w:hideMark/>
          </w:tcPr>
          <w:p w14:paraId="4EB9409C"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394</w:t>
            </w:r>
          </w:p>
        </w:tc>
        <w:tc>
          <w:tcPr>
            <w:tcW w:w="3835" w:type="dxa"/>
            <w:vAlign w:val="center"/>
            <w:hideMark/>
          </w:tcPr>
          <w:p w14:paraId="33F082D4" w14:textId="77777777" w:rsidR="00EA38F6" w:rsidRPr="000864AE" w:rsidRDefault="00EA38F6" w:rsidP="000864AE">
            <w:pPr>
              <w:rPr>
                <w:rFonts w:ascii="Verdana" w:hAnsi="Verdana"/>
                <w:sz w:val="18"/>
                <w:szCs w:val="18"/>
              </w:rPr>
            </w:pPr>
            <w:r w:rsidRPr="000864AE">
              <w:rPr>
                <w:rFonts w:ascii="Verdana" w:hAnsi="Verdana"/>
                <w:sz w:val="18"/>
                <w:szCs w:val="18"/>
              </w:rPr>
              <w:t>Mondragón Vásquez Segundo Avelino</w:t>
            </w:r>
          </w:p>
        </w:tc>
      </w:tr>
      <w:tr w:rsidR="00EA38F6" w:rsidRPr="000864AE" w14:paraId="02906AAF" w14:textId="77777777" w:rsidTr="00AC0C51">
        <w:trPr>
          <w:trHeight w:val="300"/>
        </w:trPr>
        <w:tc>
          <w:tcPr>
            <w:tcW w:w="668" w:type="dxa"/>
            <w:vAlign w:val="center"/>
            <w:hideMark/>
          </w:tcPr>
          <w:p w14:paraId="6F5C5E97"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395</w:t>
            </w:r>
          </w:p>
        </w:tc>
        <w:tc>
          <w:tcPr>
            <w:tcW w:w="3835" w:type="dxa"/>
            <w:vAlign w:val="center"/>
            <w:hideMark/>
          </w:tcPr>
          <w:p w14:paraId="45A5BEAA" w14:textId="77777777" w:rsidR="00EA38F6" w:rsidRPr="000864AE" w:rsidRDefault="00EA38F6" w:rsidP="000864AE">
            <w:pPr>
              <w:rPr>
                <w:rFonts w:ascii="Verdana" w:hAnsi="Verdana"/>
                <w:sz w:val="18"/>
                <w:szCs w:val="18"/>
              </w:rPr>
            </w:pPr>
            <w:r w:rsidRPr="000864AE">
              <w:rPr>
                <w:rFonts w:ascii="Verdana" w:hAnsi="Verdana"/>
                <w:sz w:val="18"/>
                <w:szCs w:val="18"/>
              </w:rPr>
              <w:t>Mongrut Fuentes Antero Alfonzo</w:t>
            </w:r>
          </w:p>
        </w:tc>
      </w:tr>
      <w:tr w:rsidR="00EA38F6" w:rsidRPr="000864AE" w14:paraId="1E1108D3" w14:textId="77777777" w:rsidTr="00AC0C51">
        <w:trPr>
          <w:trHeight w:val="300"/>
        </w:trPr>
        <w:tc>
          <w:tcPr>
            <w:tcW w:w="668" w:type="dxa"/>
            <w:vAlign w:val="center"/>
            <w:hideMark/>
          </w:tcPr>
          <w:p w14:paraId="795976C4"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396</w:t>
            </w:r>
          </w:p>
        </w:tc>
        <w:tc>
          <w:tcPr>
            <w:tcW w:w="3835" w:type="dxa"/>
            <w:vAlign w:val="center"/>
            <w:hideMark/>
          </w:tcPr>
          <w:p w14:paraId="782E2A13" w14:textId="77777777" w:rsidR="00EA38F6" w:rsidRPr="000864AE" w:rsidRDefault="00EA38F6" w:rsidP="000864AE">
            <w:pPr>
              <w:rPr>
                <w:rFonts w:ascii="Verdana" w:hAnsi="Verdana"/>
                <w:sz w:val="18"/>
                <w:szCs w:val="18"/>
              </w:rPr>
            </w:pPr>
            <w:r w:rsidRPr="000864AE">
              <w:rPr>
                <w:rFonts w:ascii="Verdana" w:hAnsi="Verdana"/>
                <w:sz w:val="18"/>
                <w:szCs w:val="18"/>
              </w:rPr>
              <w:t>Montes Ballón Sofía Edelmira</w:t>
            </w:r>
          </w:p>
        </w:tc>
      </w:tr>
      <w:tr w:rsidR="00EA38F6" w:rsidRPr="000864AE" w14:paraId="2E7AD38B" w14:textId="77777777" w:rsidTr="00AC0C51">
        <w:trPr>
          <w:trHeight w:val="300"/>
        </w:trPr>
        <w:tc>
          <w:tcPr>
            <w:tcW w:w="668" w:type="dxa"/>
            <w:vAlign w:val="center"/>
            <w:hideMark/>
          </w:tcPr>
          <w:p w14:paraId="0E8C4C1D"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397</w:t>
            </w:r>
          </w:p>
        </w:tc>
        <w:tc>
          <w:tcPr>
            <w:tcW w:w="3835" w:type="dxa"/>
            <w:vAlign w:val="center"/>
            <w:hideMark/>
          </w:tcPr>
          <w:p w14:paraId="3750B69F" w14:textId="77777777" w:rsidR="00EA38F6" w:rsidRPr="000864AE" w:rsidRDefault="00EA38F6" w:rsidP="000864AE">
            <w:pPr>
              <w:rPr>
                <w:rFonts w:ascii="Verdana" w:hAnsi="Verdana"/>
                <w:sz w:val="18"/>
                <w:szCs w:val="18"/>
              </w:rPr>
            </w:pPr>
            <w:r w:rsidRPr="000864AE">
              <w:rPr>
                <w:rFonts w:ascii="Verdana" w:hAnsi="Verdana"/>
                <w:sz w:val="18"/>
                <w:szCs w:val="18"/>
              </w:rPr>
              <w:t>Monteza Saavedra Segundo Miguel</w:t>
            </w:r>
          </w:p>
        </w:tc>
      </w:tr>
      <w:tr w:rsidR="00EA38F6" w:rsidRPr="000864AE" w14:paraId="132ABB1B" w14:textId="77777777" w:rsidTr="00AC0C51">
        <w:trPr>
          <w:trHeight w:val="300"/>
        </w:trPr>
        <w:tc>
          <w:tcPr>
            <w:tcW w:w="668" w:type="dxa"/>
            <w:vAlign w:val="center"/>
            <w:hideMark/>
          </w:tcPr>
          <w:p w14:paraId="391256E9"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398</w:t>
            </w:r>
          </w:p>
        </w:tc>
        <w:tc>
          <w:tcPr>
            <w:tcW w:w="3835" w:type="dxa"/>
            <w:vAlign w:val="center"/>
            <w:hideMark/>
          </w:tcPr>
          <w:p w14:paraId="0F9CF334" w14:textId="77777777" w:rsidR="00EA38F6" w:rsidRPr="000864AE" w:rsidRDefault="00EA38F6" w:rsidP="000864AE">
            <w:pPr>
              <w:rPr>
                <w:rFonts w:ascii="Verdana" w:hAnsi="Verdana"/>
                <w:sz w:val="18"/>
                <w:szCs w:val="18"/>
              </w:rPr>
            </w:pPr>
            <w:r w:rsidRPr="000864AE">
              <w:rPr>
                <w:rFonts w:ascii="Verdana" w:hAnsi="Verdana"/>
                <w:sz w:val="18"/>
                <w:szCs w:val="18"/>
              </w:rPr>
              <w:t>Montoro Bejarano Julio</w:t>
            </w:r>
          </w:p>
        </w:tc>
      </w:tr>
      <w:tr w:rsidR="00EA38F6" w:rsidRPr="000864AE" w14:paraId="70D79AA8" w14:textId="77777777" w:rsidTr="00AC0C51">
        <w:trPr>
          <w:trHeight w:val="300"/>
        </w:trPr>
        <w:tc>
          <w:tcPr>
            <w:tcW w:w="668" w:type="dxa"/>
            <w:vAlign w:val="center"/>
            <w:hideMark/>
          </w:tcPr>
          <w:p w14:paraId="6958AA89"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399</w:t>
            </w:r>
          </w:p>
        </w:tc>
        <w:tc>
          <w:tcPr>
            <w:tcW w:w="3835" w:type="dxa"/>
            <w:vAlign w:val="center"/>
            <w:hideMark/>
          </w:tcPr>
          <w:p w14:paraId="09933EA9" w14:textId="77777777" w:rsidR="00EA38F6" w:rsidRPr="000864AE" w:rsidRDefault="00EA38F6" w:rsidP="000864AE">
            <w:pPr>
              <w:rPr>
                <w:rFonts w:ascii="Verdana" w:hAnsi="Verdana"/>
                <w:sz w:val="18"/>
                <w:szCs w:val="18"/>
              </w:rPr>
            </w:pPr>
            <w:r w:rsidRPr="000864AE">
              <w:rPr>
                <w:rFonts w:ascii="Verdana" w:hAnsi="Verdana"/>
                <w:sz w:val="18"/>
                <w:szCs w:val="18"/>
              </w:rPr>
              <w:t>Morales Cruzatti Luis Oswaldo</w:t>
            </w:r>
          </w:p>
        </w:tc>
      </w:tr>
      <w:tr w:rsidR="00EA38F6" w:rsidRPr="000864AE" w14:paraId="5F1D9901" w14:textId="77777777" w:rsidTr="00AC0C51">
        <w:trPr>
          <w:trHeight w:val="300"/>
        </w:trPr>
        <w:tc>
          <w:tcPr>
            <w:tcW w:w="668" w:type="dxa"/>
            <w:vAlign w:val="center"/>
            <w:hideMark/>
          </w:tcPr>
          <w:p w14:paraId="1A5500E4"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400</w:t>
            </w:r>
          </w:p>
        </w:tc>
        <w:tc>
          <w:tcPr>
            <w:tcW w:w="3835" w:type="dxa"/>
            <w:vAlign w:val="center"/>
            <w:hideMark/>
          </w:tcPr>
          <w:p w14:paraId="4A0FE6FF" w14:textId="77777777" w:rsidR="00EA38F6" w:rsidRPr="000864AE" w:rsidRDefault="00EA38F6" w:rsidP="000864AE">
            <w:pPr>
              <w:rPr>
                <w:rFonts w:ascii="Verdana" w:hAnsi="Verdana"/>
                <w:sz w:val="18"/>
                <w:szCs w:val="18"/>
              </w:rPr>
            </w:pPr>
            <w:r w:rsidRPr="000864AE">
              <w:rPr>
                <w:rFonts w:ascii="Verdana" w:hAnsi="Verdana"/>
                <w:sz w:val="18"/>
                <w:szCs w:val="18"/>
              </w:rPr>
              <w:t>Morales Vargas Héctor Álvaro</w:t>
            </w:r>
          </w:p>
        </w:tc>
      </w:tr>
      <w:tr w:rsidR="00EA38F6" w:rsidRPr="000864AE" w14:paraId="3B5BC52E" w14:textId="77777777" w:rsidTr="00AC0C51">
        <w:trPr>
          <w:trHeight w:val="300"/>
        </w:trPr>
        <w:tc>
          <w:tcPr>
            <w:tcW w:w="668" w:type="dxa"/>
            <w:vAlign w:val="center"/>
            <w:hideMark/>
          </w:tcPr>
          <w:p w14:paraId="0D83A970"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401</w:t>
            </w:r>
          </w:p>
        </w:tc>
        <w:tc>
          <w:tcPr>
            <w:tcW w:w="3835" w:type="dxa"/>
            <w:vAlign w:val="center"/>
            <w:hideMark/>
          </w:tcPr>
          <w:p w14:paraId="0F07DAA6" w14:textId="77777777" w:rsidR="00EA38F6" w:rsidRPr="000864AE" w:rsidRDefault="00EA38F6" w:rsidP="000864AE">
            <w:pPr>
              <w:rPr>
                <w:rFonts w:ascii="Verdana" w:hAnsi="Verdana"/>
                <w:sz w:val="18"/>
                <w:szCs w:val="18"/>
              </w:rPr>
            </w:pPr>
            <w:r w:rsidRPr="000864AE">
              <w:rPr>
                <w:rFonts w:ascii="Verdana" w:hAnsi="Verdana"/>
                <w:sz w:val="18"/>
                <w:szCs w:val="18"/>
              </w:rPr>
              <w:t>Moran Ascama Jorge Rufino</w:t>
            </w:r>
          </w:p>
        </w:tc>
      </w:tr>
      <w:tr w:rsidR="00EA38F6" w:rsidRPr="000864AE" w14:paraId="7AF1D6E2" w14:textId="77777777" w:rsidTr="00AC0C51">
        <w:trPr>
          <w:trHeight w:val="300"/>
        </w:trPr>
        <w:tc>
          <w:tcPr>
            <w:tcW w:w="668" w:type="dxa"/>
            <w:vAlign w:val="center"/>
            <w:hideMark/>
          </w:tcPr>
          <w:p w14:paraId="4AA85C5D"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402</w:t>
            </w:r>
          </w:p>
        </w:tc>
        <w:tc>
          <w:tcPr>
            <w:tcW w:w="3835" w:type="dxa"/>
            <w:vAlign w:val="center"/>
            <w:hideMark/>
          </w:tcPr>
          <w:p w14:paraId="37EC2FC8" w14:textId="77777777" w:rsidR="00EA38F6" w:rsidRPr="000864AE" w:rsidRDefault="00EA38F6" w:rsidP="000864AE">
            <w:pPr>
              <w:rPr>
                <w:rFonts w:ascii="Verdana" w:hAnsi="Verdana"/>
                <w:sz w:val="18"/>
                <w:szCs w:val="18"/>
              </w:rPr>
            </w:pPr>
            <w:r w:rsidRPr="000864AE">
              <w:rPr>
                <w:rFonts w:ascii="Verdana" w:hAnsi="Verdana"/>
                <w:sz w:val="18"/>
                <w:szCs w:val="18"/>
              </w:rPr>
              <w:t>Moreano Casquino Carmen Bernardina</w:t>
            </w:r>
          </w:p>
        </w:tc>
      </w:tr>
      <w:tr w:rsidR="00EA38F6" w:rsidRPr="000864AE" w14:paraId="50C0B769" w14:textId="77777777" w:rsidTr="00AC0C51">
        <w:trPr>
          <w:trHeight w:val="300"/>
        </w:trPr>
        <w:tc>
          <w:tcPr>
            <w:tcW w:w="668" w:type="dxa"/>
            <w:vAlign w:val="center"/>
            <w:hideMark/>
          </w:tcPr>
          <w:p w14:paraId="2ACD8407"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403</w:t>
            </w:r>
          </w:p>
        </w:tc>
        <w:tc>
          <w:tcPr>
            <w:tcW w:w="3835" w:type="dxa"/>
            <w:vAlign w:val="center"/>
            <w:hideMark/>
          </w:tcPr>
          <w:p w14:paraId="294ED7FC" w14:textId="77777777" w:rsidR="00EA38F6" w:rsidRPr="000864AE" w:rsidRDefault="00EA38F6" w:rsidP="000864AE">
            <w:pPr>
              <w:rPr>
                <w:rFonts w:ascii="Verdana" w:hAnsi="Verdana"/>
                <w:sz w:val="18"/>
                <w:szCs w:val="18"/>
              </w:rPr>
            </w:pPr>
            <w:r w:rsidRPr="000864AE">
              <w:rPr>
                <w:rFonts w:ascii="Verdana" w:hAnsi="Verdana"/>
                <w:sz w:val="18"/>
                <w:szCs w:val="18"/>
              </w:rPr>
              <w:t>Moreno Araujo Eva María</w:t>
            </w:r>
          </w:p>
        </w:tc>
      </w:tr>
      <w:tr w:rsidR="00EA38F6" w:rsidRPr="000864AE" w14:paraId="6CB71AE5" w14:textId="77777777" w:rsidTr="00AC0C51">
        <w:trPr>
          <w:trHeight w:val="300"/>
        </w:trPr>
        <w:tc>
          <w:tcPr>
            <w:tcW w:w="668" w:type="dxa"/>
            <w:vAlign w:val="center"/>
            <w:hideMark/>
          </w:tcPr>
          <w:p w14:paraId="0C492152"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404</w:t>
            </w:r>
          </w:p>
        </w:tc>
        <w:tc>
          <w:tcPr>
            <w:tcW w:w="3835" w:type="dxa"/>
            <w:vAlign w:val="center"/>
            <w:hideMark/>
          </w:tcPr>
          <w:p w14:paraId="6C900906" w14:textId="77777777" w:rsidR="00EA38F6" w:rsidRPr="000864AE" w:rsidRDefault="00EA38F6" w:rsidP="000864AE">
            <w:pPr>
              <w:rPr>
                <w:rFonts w:ascii="Verdana" w:hAnsi="Verdana"/>
                <w:sz w:val="18"/>
                <w:szCs w:val="18"/>
              </w:rPr>
            </w:pPr>
            <w:r w:rsidRPr="000864AE">
              <w:rPr>
                <w:rFonts w:ascii="Verdana" w:hAnsi="Verdana"/>
                <w:sz w:val="18"/>
                <w:szCs w:val="18"/>
              </w:rPr>
              <w:t>Morillo Rojas Sara</w:t>
            </w:r>
          </w:p>
        </w:tc>
      </w:tr>
      <w:tr w:rsidR="00EA38F6" w:rsidRPr="000864AE" w14:paraId="022001AC" w14:textId="77777777" w:rsidTr="00AC0C51">
        <w:trPr>
          <w:trHeight w:val="300"/>
        </w:trPr>
        <w:tc>
          <w:tcPr>
            <w:tcW w:w="668" w:type="dxa"/>
            <w:vAlign w:val="center"/>
            <w:hideMark/>
          </w:tcPr>
          <w:p w14:paraId="478FBCCD"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405</w:t>
            </w:r>
          </w:p>
        </w:tc>
        <w:tc>
          <w:tcPr>
            <w:tcW w:w="3835" w:type="dxa"/>
            <w:vAlign w:val="center"/>
            <w:hideMark/>
          </w:tcPr>
          <w:p w14:paraId="704AD6D1" w14:textId="77777777" w:rsidR="00EA38F6" w:rsidRPr="000864AE" w:rsidRDefault="00EA38F6" w:rsidP="000864AE">
            <w:pPr>
              <w:rPr>
                <w:rFonts w:ascii="Verdana" w:hAnsi="Verdana"/>
                <w:sz w:val="18"/>
                <w:szCs w:val="18"/>
              </w:rPr>
            </w:pPr>
            <w:r w:rsidRPr="000864AE">
              <w:rPr>
                <w:rFonts w:ascii="Verdana" w:hAnsi="Verdana"/>
                <w:sz w:val="18"/>
                <w:szCs w:val="18"/>
              </w:rPr>
              <w:t>Morocho Vásquez Rosa Adelguisa</w:t>
            </w:r>
          </w:p>
        </w:tc>
      </w:tr>
      <w:tr w:rsidR="00EA38F6" w:rsidRPr="000864AE" w14:paraId="249EC7E6" w14:textId="77777777" w:rsidTr="00AC0C51">
        <w:trPr>
          <w:trHeight w:val="300"/>
        </w:trPr>
        <w:tc>
          <w:tcPr>
            <w:tcW w:w="668" w:type="dxa"/>
            <w:vAlign w:val="center"/>
            <w:hideMark/>
          </w:tcPr>
          <w:p w14:paraId="20ECCCC6"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406</w:t>
            </w:r>
          </w:p>
        </w:tc>
        <w:tc>
          <w:tcPr>
            <w:tcW w:w="3835" w:type="dxa"/>
            <w:vAlign w:val="center"/>
            <w:hideMark/>
          </w:tcPr>
          <w:p w14:paraId="37787EA1" w14:textId="77777777" w:rsidR="00EA38F6" w:rsidRPr="000864AE" w:rsidRDefault="00EA38F6" w:rsidP="000864AE">
            <w:pPr>
              <w:rPr>
                <w:rFonts w:ascii="Verdana" w:hAnsi="Verdana"/>
                <w:sz w:val="18"/>
                <w:szCs w:val="18"/>
              </w:rPr>
            </w:pPr>
            <w:r w:rsidRPr="000864AE">
              <w:rPr>
                <w:rFonts w:ascii="Verdana" w:hAnsi="Verdana"/>
                <w:sz w:val="18"/>
                <w:szCs w:val="18"/>
              </w:rPr>
              <w:t>Mostajo Pinazo Carmen Beatriz</w:t>
            </w:r>
          </w:p>
        </w:tc>
      </w:tr>
      <w:tr w:rsidR="00EA38F6" w:rsidRPr="000864AE" w14:paraId="55E041DE" w14:textId="77777777" w:rsidTr="00AC0C51">
        <w:trPr>
          <w:trHeight w:val="300"/>
        </w:trPr>
        <w:tc>
          <w:tcPr>
            <w:tcW w:w="668" w:type="dxa"/>
            <w:vAlign w:val="center"/>
            <w:hideMark/>
          </w:tcPr>
          <w:p w14:paraId="7A677B1F"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407</w:t>
            </w:r>
          </w:p>
        </w:tc>
        <w:tc>
          <w:tcPr>
            <w:tcW w:w="3835" w:type="dxa"/>
            <w:vAlign w:val="center"/>
            <w:hideMark/>
          </w:tcPr>
          <w:p w14:paraId="6EEB59C8" w14:textId="77777777" w:rsidR="00EA38F6" w:rsidRPr="000864AE" w:rsidRDefault="00EA38F6" w:rsidP="000864AE">
            <w:pPr>
              <w:rPr>
                <w:rFonts w:ascii="Verdana" w:hAnsi="Verdana"/>
                <w:sz w:val="18"/>
                <w:szCs w:val="18"/>
              </w:rPr>
            </w:pPr>
            <w:r w:rsidRPr="000864AE">
              <w:rPr>
                <w:rFonts w:ascii="Verdana" w:hAnsi="Verdana"/>
                <w:sz w:val="18"/>
                <w:szCs w:val="18"/>
              </w:rPr>
              <w:t>Moy Pacora Alejandro José</w:t>
            </w:r>
          </w:p>
        </w:tc>
      </w:tr>
      <w:tr w:rsidR="00EA38F6" w:rsidRPr="000864AE" w14:paraId="1B4AEA59" w14:textId="77777777" w:rsidTr="00AC0C51">
        <w:trPr>
          <w:trHeight w:val="300"/>
        </w:trPr>
        <w:tc>
          <w:tcPr>
            <w:tcW w:w="668" w:type="dxa"/>
            <w:vAlign w:val="center"/>
            <w:hideMark/>
          </w:tcPr>
          <w:p w14:paraId="174BD75D"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408</w:t>
            </w:r>
          </w:p>
        </w:tc>
        <w:tc>
          <w:tcPr>
            <w:tcW w:w="3835" w:type="dxa"/>
            <w:vAlign w:val="center"/>
            <w:hideMark/>
          </w:tcPr>
          <w:p w14:paraId="5391CBF9" w14:textId="77777777" w:rsidR="00EA38F6" w:rsidRPr="000864AE" w:rsidRDefault="00EA38F6" w:rsidP="000864AE">
            <w:pPr>
              <w:rPr>
                <w:rFonts w:ascii="Verdana" w:hAnsi="Verdana"/>
                <w:sz w:val="18"/>
                <w:szCs w:val="18"/>
              </w:rPr>
            </w:pPr>
            <w:r w:rsidRPr="000864AE">
              <w:rPr>
                <w:rFonts w:ascii="Verdana" w:hAnsi="Verdana"/>
                <w:sz w:val="18"/>
                <w:szCs w:val="18"/>
              </w:rPr>
              <w:t>Mozo Rivas Agustín</w:t>
            </w:r>
          </w:p>
        </w:tc>
      </w:tr>
      <w:tr w:rsidR="00EA38F6" w:rsidRPr="000864AE" w14:paraId="6CB78CEC" w14:textId="77777777" w:rsidTr="00AC0C51">
        <w:trPr>
          <w:trHeight w:val="300"/>
        </w:trPr>
        <w:tc>
          <w:tcPr>
            <w:tcW w:w="668" w:type="dxa"/>
            <w:vAlign w:val="center"/>
            <w:hideMark/>
          </w:tcPr>
          <w:p w14:paraId="240D1879"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409</w:t>
            </w:r>
          </w:p>
        </w:tc>
        <w:tc>
          <w:tcPr>
            <w:tcW w:w="3835" w:type="dxa"/>
            <w:vAlign w:val="center"/>
            <w:hideMark/>
          </w:tcPr>
          <w:p w14:paraId="2570A004" w14:textId="77777777" w:rsidR="00EA38F6" w:rsidRPr="000864AE" w:rsidRDefault="00EA38F6" w:rsidP="000864AE">
            <w:pPr>
              <w:rPr>
                <w:rFonts w:ascii="Verdana" w:hAnsi="Verdana"/>
                <w:sz w:val="18"/>
                <w:szCs w:val="18"/>
              </w:rPr>
            </w:pPr>
            <w:r w:rsidRPr="000864AE">
              <w:rPr>
                <w:rFonts w:ascii="Verdana" w:hAnsi="Verdana"/>
                <w:sz w:val="18"/>
                <w:szCs w:val="18"/>
              </w:rPr>
              <w:t>Muñoz Campos Ode Raúl</w:t>
            </w:r>
          </w:p>
        </w:tc>
      </w:tr>
      <w:tr w:rsidR="00EA38F6" w:rsidRPr="000864AE" w14:paraId="3352F2B4" w14:textId="77777777" w:rsidTr="00AC0C51">
        <w:trPr>
          <w:trHeight w:val="300"/>
        </w:trPr>
        <w:tc>
          <w:tcPr>
            <w:tcW w:w="668" w:type="dxa"/>
            <w:vAlign w:val="center"/>
            <w:hideMark/>
          </w:tcPr>
          <w:p w14:paraId="58A620E9"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410</w:t>
            </w:r>
          </w:p>
        </w:tc>
        <w:tc>
          <w:tcPr>
            <w:tcW w:w="3835" w:type="dxa"/>
            <w:vAlign w:val="center"/>
            <w:hideMark/>
          </w:tcPr>
          <w:p w14:paraId="78496920" w14:textId="77777777" w:rsidR="00EA38F6" w:rsidRPr="000864AE" w:rsidRDefault="00EA38F6" w:rsidP="000864AE">
            <w:pPr>
              <w:rPr>
                <w:rFonts w:ascii="Verdana" w:hAnsi="Verdana"/>
                <w:sz w:val="18"/>
                <w:szCs w:val="18"/>
              </w:rPr>
            </w:pPr>
            <w:r w:rsidRPr="000864AE">
              <w:rPr>
                <w:rFonts w:ascii="Verdana" w:hAnsi="Verdana"/>
                <w:sz w:val="18"/>
                <w:szCs w:val="18"/>
              </w:rPr>
              <w:t>Muñoz Chávez Ángel</w:t>
            </w:r>
          </w:p>
        </w:tc>
      </w:tr>
      <w:tr w:rsidR="00EA38F6" w:rsidRPr="000864AE" w14:paraId="642164CF" w14:textId="77777777" w:rsidTr="00AC0C51">
        <w:trPr>
          <w:trHeight w:val="300"/>
        </w:trPr>
        <w:tc>
          <w:tcPr>
            <w:tcW w:w="668" w:type="dxa"/>
            <w:vAlign w:val="center"/>
            <w:hideMark/>
          </w:tcPr>
          <w:p w14:paraId="1035A375"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411</w:t>
            </w:r>
          </w:p>
        </w:tc>
        <w:tc>
          <w:tcPr>
            <w:tcW w:w="3835" w:type="dxa"/>
            <w:vAlign w:val="center"/>
            <w:hideMark/>
          </w:tcPr>
          <w:p w14:paraId="74CC7E97" w14:textId="77777777" w:rsidR="00EA38F6" w:rsidRPr="000864AE" w:rsidRDefault="00EA38F6" w:rsidP="000864AE">
            <w:pPr>
              <w:rPr>
                <w:rFonts w:ascii="Verdana" w:hAnsi="Verdana"/>
                <w:sz w:val="18"/>
                <w:szCs w:val="18"/>
              </w:rPr>
            </w:pPr>
            <w:r w:rsidRPr="000864AE">
              <w:rPr>
                <w:rFonts w:ascii="Verdana" w:hAnsi="Verdana"/>
                <w:sz w:val="18"/>
                <w:szCs w:val="18"/>
              </w:rPr>
              <w:t>Muñoz Leguía María Rosa</w:t>
            </w:r>
          </w:p>
        </w:tc>
      </w:tr>
      <w:tr w:rsidR="00EA38F6" w:rsidRPr="000864AE" w14:paraId="1409FAB4" w14:textId="77777777" w:rsidTr="00AC0C51">
        <w:trPr>
          <w:trHeight w:val="300"/>
        </w:trPr>
        <w:tc>
          <w:tcPr>
            <w:tcW w:w="668" w:type="dxa"/>
            <w:vAlign w:val="center"/>
            <w:hideMark/>
          </w:tcPr>
          <w:p w14:paraId="70254013"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412</w:t>
            </w:r>
          </w:p>
        </w:tc>
        <w:tc>
          <w:tcPr>
            <w:tcW w:w="3835" w:type="dxa"/>
            <w:vAlign w:val="center"/>
            <w:hideMark/>
          </w:tcPr>
          <w:p w14:paraId="601801CD" w14:textId="77777777" w:rsidR="00EA38F6" w:rsidRPr="000864AE" w:rsidRDefault="00EA38F6" w:rsidP="000864AE">
            <w:pPr>
              <w:rPr>
                <w:rFonts w:ascii="Verdana" w:hAnsi="Verdana"/>
                <w:sz w:val="18"/>
                <w:szCs w:val="18"/>
              </w:rPr>
            </w:pPr>
            <w:r w:rsidRPr="000864AE">
              <w:rPr>
                <w:rFonts w:ascii="Verdana" w:hAnsi="Verdana"/>
                <w:sz w:val="18"/>
                <w:szCs w:val="18"/>
              </w:rPr>
              <w:t>Muñoz Zambrano Carlos</w:t>
            </w:r>
          </w:p>
        </w:tc>
      </w:tr>
      <w:tr w:rsidR="00EA38F6" w:rsidRPr="000864AE" w14:paraId="719506FB" w14:textId="77777777" w:rsidTr="00AC0C51">
        <w:trPr>
          <w:trHeight w:val="300"/>
        </w:trPr>
        <w:tc>
          <w:tcPr>
            <w:tcW w:w="668" w:type="dxa"/>
            <w:vAlign w:val="center"/>
            <w:hideMark/>
          </w:tcPr>
          <w:p w14:paraId="5DE38E13"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413</w:t>
            </w:r>
          </w:p>
        </w:tc>
        <w:tc>
          <w:tcPr>
            <w:tcW w:w="3835" w:type="dxa"/>
            <w:vAlign w:val="center"/>
            <w:hideMark/>
          </w:tcPr>
          <w:p w14:paraId="7DCE6210" w14:textId="77777777" w:rsidR="00EA38F6" w:rsidRPr="000864AE" w:rsidRDefault="00EA38F6" w:rsidP="000864AE">
            <w:pPr>
              <w:rPr>
                <w:rFonts w:ascii="Verdana" w:hAnsi="Verdana"/>
                <w:sz w:val="18"/>
                <w:szCs w:val="18"/>
              </w:rPr>
            </w:pPr>
            <w:r w:rsidRPr="000864AE">
              <w:rPr>
                <w:rFonts w:ascii="Verdana" w:hAnsi="Verdana"/>
                <w:sz w:val="18"/>
                <w:szCs w:val="18"/>
              </w:rPr>
              <w:t>Napuri Rondoy Jorge Alberto</w:t>
            </w:r>
          </w:p>
        </w:tc>
      </w:tr>
      <w:tr w:rsidR="00EA38F6" w:rsidRPr="000864AE" w14:paraId="5C215E7B" w14:textId="77777777" w:rsidTr="00AC0C51">
        <w:trPr>
          <w:trHeight w:val="300"/>
        </w:trPr>
        <w:tc>
          <w:tcPr>
            <w:tcW w:w="668" w:type="dxa"/>
            <w:vAlign w:val="center"/>
            <w:hideMark/>
          </w:tcPr>
          <w:p w14:paraId="7D39BF18"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414</w:t>
            </w:r>
          </w:p>
        </w:tc>
        <w:tc>
          <w:tcPr>
            <w:tcW w:w="3835" w:type="dxa"/>
            <w:vAlign w:val="center"/>
            <w:hideMark/>
          </w:tcPr>
          <w:p w14:paraId="2B64FBEC" w14:textId="77777777" w:rsidR="00EA38F6" w:rsidRPr="000864AE" w:rsidRDefault="00EA38F6" w:rsidP="000864AE">
            <w:pPr>
              <w:rPr>
                <w:rFonts w:ascii="Verdana" w:hAnsi="Verdana"/>
                <w:sz w:val="18"/>
                <w:szCs w:val="18"/>
              </w:rPr>
            </w:pPr>
            <w:r w:rsidRPr="000864AE">
              <w:rPr>
                <w:rFonts w:ascii="Verdana" w:hAnsi="Verdana"/>
                <w:sz w:val="18"/>
                <w:szCs w:val="18"/>
              </w:rPr>
              <w:t>Navarro Aramburu Silvino Augusto</w:t>
            </w:r>
          </w:p>
        </w:tc>
      </w:tr>
      <w:tr w:rsidR="00EA38F6" w:rsidRPr="000864AE" w14:paraId="45EE3E93" w14:textId="77777777" w:rsidTr="00AC0C51">
        <w:trPr>
          <w:trHeight w:val="300"/>
        </w:trPr>
        <w:tc>
          <w:tcPr>
            <w:tcW w:w="668" w:type="dxa"/>
            <w:vAlign w:val="center"/>
            <w:hideMark/>
          </w:tcPr>
          <w:p w14:paraId="0732750C"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415</w:t>
            </w:r>
          </w:p>
        </w:tc>
        <w:tc>
          <w:tcPr>
            <w:tcW w:w="3835" w:type="dxa"/>
            <w:vAlign w:val="center"/>
            <w:hideMark/>
          </w:tcPr>
          <w:p w14:paraId="35C0F11A" w14:textId="77777777" w:rsidR="00EA38F6" w:rsidRPr="000864AE" w:rsidRDefault="00EA38F6" w:rsidP="000864AE">
            <w:pPr>
              <w:rPr>
                <w:rFonts w:ascii="Verdana" w:hAnsi="Verdana"/>
                <w:sz w:val="18"/>
                <w:szCs w:val="18"/>
              </w:rPr>
            </w:pPr>
            <w:r w:rsidRPr="000864AE">
              <w:rPr>
                <w:rFonts w:ascii="Verdana" w:hAnsi="Verdana"/>
                <w:sz w:val="18"/>
                <w:szCs w:val="18"/>
              </w:rPr>
              <w:t>Navarro Ayaucan Raúl Andrés</w:t>
            </w:r>
          </w:p>
        </w:tc>
      </w:tr>
      <w:tr w:rsidR="00EA38F6" w:rsidRPr="000864AE" w14:paraId="500B6BEB" w14:textId="77777777" w:rsidTr="00AC0C51">
        <w:trPr>
          <w:trHeight w:val="300"/>
        </w:trPr>
        <w:tc>
          <w:tcPr>
            <w:tcW w:w="668" w:type="dxa"/>
            <w:vAlign w:val="center"/>
            <w:hideMark/>
          </w:tcPr>
          <w:p w14:paraId="5FE355DB"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416</w:t>
            </w:r>
          </w:p>
        </w:tc>
        <w:tc>
          <w:tcPr>
            <w:tcW w:w="3835" w:type="dxa"/>
            <w:vAlign w:val="center"/>
            <w:hideMark/>
          </w:tcPr>
          <w:p w14:paraId="2F61A533" w14:textId="77777777" w:rsidR="00EA38F6" w:rsidRPr="000864AE" w:rsidRDefault="00EA38F6" w:rsidP="000864AE">
            <w:pPr>
              <w:rPr>
                <w:rFonts w:ascii="Verdana" w:hAnsi="Verdana"/>
                <w:sz w:val="18"/>
                <w:szCs w:val="18"/>
              </w:rPr>
            </w:pPr>
            <w:r w:rsidRPr="000864AE">
              <w:rPr>
                <w:rFonts w:ascii="Verdana" w:hAnsi="Verdana"/>
                <w:sz w:val="18"/>
                <w:szCs w:val="18"/>
              </w:rPr>
              <w:t>Neyra Salas Luz Bari Miria</w:t>
            </w:r>
          </w:p>
        </w:tc>
      </w:tr>
      <w:tr w:rsidR="00EA38F6" w:rsidRPr="000864AE" w14:paraId="702B6F1B" w14:textId="77777777" w:rsidTr="00AC0C51">
        <w:trPr>
          <w:trHeight w:val="300"/>
        </w:trPr>
        <w:tc>
          <w:tcPr>
            <w:tcW w:w="668" w:type="dxa"/>
            <w:vAlign w:val="center"/>
            <w:hideMark/>
          </w:tcPr>
          <w:p w14:paraId="613800C4"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417</w:t>
            </w:r>
          </w:p>
        </w:tc>
        <w:tc>
          <w:tcPr>
            <w:tcW w:w="3835" w:type="dxa"/>
            <w:vAlign w:val="center"/>
            <w:hideMark/>
          </w:tcPr>
          <w:p w14:paraId="3C825CB5" w14:textId="77777777" w:rsidR="00EA38F6" w:rsidRPr="000864AE" w:rsidRDefault="00EA38F6" w:rsidP="000864AE">
            <w:pPr>
              <w:rPr>
                <w:rFonts w:ascii="Verdana" w:hAnsi="Verdana"/>
                <w:sz w:val="18"/>
                <w:szCs w:val="18"/>
              </w:rPr>
            </w:pPr>
            <w:r w:rsidRPr="000864AE">
              <w:rPr>
                <w:rFonts w:ascii="Verdana" w:hAnsi="Verdana"/>
                <w:sz w:val="18"/>
                <w:szCs w:val="18"/>
              </w:rPr>
              <w:t>Noel Urbina Gilberto</w:t>
            </w:r>
          </w:p>
        </w:tc>
      </w:tr>
      <w:tr w:rsidR="00EA38F6" w:rsidRPr="000864AE" w14:paraId="6D8BA130" w14:textId="77777777" w:rsidTr="00AC0C51">
        <w:trPr>
          <w:trHeight w:val="300"/>
        </w:trPr>
        <w:tc>
          <w:tcPr>
            <w:tcW w:w="668" w:type="dxa"/>
            <w:vAlign w:val="center"/>
            <w:hideMark/>
          </w:tcPr>
          <w:p w14:paraId="4D525977"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418</w:t>
            </w:r>
          </w:p>
        </w:tc>
        <w:tc>
          <w:tcPr>
            <w:tcW w:w="3835" w:type="dxa"/>
            <w:vAlign w:val="center"/>
            <w:hideMark/>
          </w:tcPr>
          <w:p w14:paraId="6B3F1168" w14:textId="77777777" w:rsidR="00EA38F6" w:rsidRPr="000864AE" w:rsidRDefault="00EA38F6" w:rsidP="000864AE">
            <w:pPr>
              <w:rPr>
                <w:rFonts w:ascii="Verdana" w:hAnsi="Verdana"/>
                <w:sz w:val="18"/>
                <w:szCs w:val="18"/>
              </w:rPr>
            </w:pPr>
            <w:r w:rsidRPr="000864AE">
              <w:rPr>
                <w:rFonts w:ascii="Verdana" w:hAnsi="Verdana"/>
                <w:sz w:val="18"/>
                <w:szCs w:val="18"/>
              </w:rPr>
              <w:t>Noriega Cossío Oscar</w:t>
            </w:r>
          </w:p>
        </w:tc>
      </w:tr>
      <w:tr w:rsidR="00EA38F6" w:rsidRPr="000864AE" w14:paraId="60827EF2" w14:textId="77777777" w:rsidTr="00AC0C51">
        <w:trPr>
          <w:trHeight w:val="300"/>
        </w:trPr>
        <w:tc>
          <w:tcPr>
            <w:tcW w:w="668" w:type="dxa"/>
            <w:vAlign w:val="center"/>
            <w:hideMark/>
          </w:tcPr>
          <w:p w14:paraId="20B3A98C"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419</w:t>
            </w:r>
          </w:p>
        </w:tc>
        <w:tc>
          <w:tcPr>
            <w:tcW w:w="3835" w:type="dxa"/>
            <w:vAlign w:val="center"/>
            <w:hideMark/>
          </w:tcPr>
          <w:p w14:paraId="277C241F" w14:textId="77777777" w:rsidR="00EA38F6" w:rsidRPr="000864AE" w:rsidRDefault="00EA38F6" w:rsidP="000864AE">
            <w:pPr>
              <w:rPr>
                <w:rFonts w:ascii="Verdana" w:hAnsi="Verdana"/>
                <w:sz w:val="18"/>
                <w:szCs w:val="18"/>
              </w:rPr>
            </w:pPr>
            <w:r w:rsidRPr="000864AE">
              <w:rPr>
                <w:rFonts w:ascii="Verdana" w:hAnsi="Verdana"/>
                <w:sz w:val="18"/>
                <w:szCs w:val="18"/>
              </w:rPr>
              <w:t>Núñez Alatrista Gloria Ruth</w:t>
            </w:r>
          </w:p>
        </w:tc>
      </w:tr>
      <w:tr w:rsidR="00EA38F6" w:rsidRPr="000864AE" w14:paraId="3AE42490" w14:textId="77777777" w:rsidTr="00AC0C51">
        <w:trPr>
          <w:trHeight w:val="300"/>
        </w:trPr>
        <w:tc>
          <w:tcPr>
            <w:tcW w:w="668" w:type="dxa"/>
            <w:vAlign w:val="center"/>
            <w:hideMark/>
          </w:tcPr>
          <w:p w14:paraId="094CE0E9"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420</w:t>
            </w:r>
          </w:p>
        </w:tc>
        <w:tc>
          <w:tcPr>
            <w:tcW w:w="3835" w:type="dxa"/>
            <w:vAlign w:val="center"/>
            <w:hideMark/>
          </w:tcPr>
          <w:p w14:paraId="655CF9B3" w14:textId="77777777" w:rsidR="00EA38F6" w:rsidRPr="000864AE" w:rsidRDefault="00EA38F6" w:rsidP="000864AE">
            <w:pPr>
              <w:rPr>
                <w:rFonts w:ascii="Verdana" w:hAnsi="Verdana"/>
                <w:sz w:val="18"/>
                <w:szCs w:val="18"/>
              </w:rPr>
            </w:pPr>
            <w:r w:rsidRPr="000864AE">
              <w:rPr>
                <w:rFonts w:ascii="Verdana" w:hAnsi="Verdana"/>
                <w:sz w:val="18"/>
                <w:szCs w:val="18"/>
              </w:rPr>
              <w:t>Núñez Barriga Juan Rolando</w:t>
            </w:r>
          </w:p>
        </w:tc>
      </w:tr>
      <w:tr w:rsidR="00EA38F6" w:rsidRPr="000864AE" w14:paraId="7FCC9C3B" w14:textId="77777777" w:rsidTr="00AC0C51">
        <w:trPr>
          <w:trHeight w:val="300"/>
        </w:trPr>
        <w:tc>
          <w:tcPr>
            <w:tcW w:w="668" w:type="dxa"/>
            <w:vAlign w:val="center"/>
            <w:hideMark/>
          </w:tcPr>
          <w:p w14:paraId="5D5B8EAA"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421</w:t>
            </w:r>
          </w:p>
        </w:tc>
        <w:tc>
          <w:tcPr>
            <w:tcW w:w="3835" w:type="dxa"/>
            <w:vAlign w:val="center"/>
            <w:hideMark/>
          </w:tcPr>
          <w:p w14:paraId="1C7CEE3F" w14:textId="77777777" w:rsidR="00EA38F6" w:rsidRPr="000864AE" w:rsidRDefault="00EA38F6" w:rsidP="000864AE">
            <w:pPr>
              <w:rPr>
                <w:rFonts w:ascii="Verdana" w:hAnsi="Verdana"/>
                <w:sz w:val="18"/>
                <w:szCs w:val="18"/>
              </w:rPr>
            </w:pPr>
            <w:r w:rsidRPr="000864AE">
              <w:rPr>
                <w:rFonts w:ascii="Verdana" w:hAnsi="Verdana"/>
                <w:sz w:val="18"/>
                <w:szCs w:val="18"/>
              </w:rPr>
              <w:t>Núñez Gonzáles Yolanda</w:t>
            </w:r>
          </w:p>
        </w:tc>
      </w:tr>
      <w:tr w:rsidR="00EA38F6" w:rsidRPr="000864AE" w14:paraId="16E29C5C" w14:textId="77777777" w:rsidTr="00AC0C51">
        <w:trPr>
          <w:trHeight w:val="300"/>
        </w:trPr>
        <w:tc>
          <w:tcPr>
            <w:tcW w:w="668" w:type="dxa"/>
            <w:vAlign w:val="center"/>
            <w:hideMark/>
          </w:tcPr>
          <w:p w14:paraId="67929039"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422</w:t>
            </w:r>
          </w:p>
        </w:tc>
        <w:tc>
          <w:tcPr>
            <w:tcW w:w="3835" w:type="dxa"/>
            <w:vAlign w:val="center"/>
            <w:hideMark/>
          </w:tcPr>
          <w:p w14:paraId="7CB3C03B" w14:textId="77777777" w:rsidR="00EA38F6" w:rsidRPr="000864AE" w:rsidRDefault="00EA38F6" w:rsidP="000864AE">
            <w:pPr>
              <w:rPr>
                <w:rFonts w:ascii="Verdana" w:hAnsi="Verdana"/>
                <w:sz w:val="18"/>
                <w:szCs w:val="18"/>
              </w:rPr>
            </w:pPr>
            <w:r w:rsidRPr="000864AE">
              <w:rPr>
                <w:rFonts w:ascii="Verdana" w:hAnsi="Verdana"/>
                <w:sz w:val="18"/>
                <w:szCs w:val="18"/>
              </w:rPr>
              <w:t>Núñez Quispe Gregorio</w:t>
            </w:r>
          </w:p>
        </w:tc>
      </w:tr>
      <w:tr w:rsidR="00EA38F6" w:rsidRPr="000864AE" w14:paraId="1ABF1A58" w14:textId="77777777" w:rsidTr="00AC0C51">
        <w:trPr>
          <w:trHeight w:val="300"/>
        </w:trPr>
        <w:tc>
          <w:tcPr>
            <w:tcW w:w="668" w:type="dxa"/>
            <w:vAlign w:val="center"/>
            <w:hideMark/>
          </w:tcPr>
          <w:p w14:paraId="0E9531E4"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423</w:t>
            </w:r>
          </w:p>
        </w:tc>
        <w:tc>
          <w:tcPr>
            <w:tcW w:w="3835" w:type="dxa"/>
            <w:vAlign w:val="center"/>
            <w:hideMark/>
          </w:tcPr>
          <w:p w14:paraId="0CA7C1B6" w14:textId="77777777" w:rsidR="00EA38F6" w:rsidRPr="000864AE" w:rsidRDefault="00EA38F6" w:rsidP="000864AE">
            <w:pPr>
              <w:rPr>
                <w:rFonts w:ascii="Verdana" w:hAnsi="Verdana"/>
                <w:sz w:val="18"/>
                <w:szCs w:val="18"/>
              </w:rPr>
            </w:pPr>
            <w:r w:rsidRPr="000864AE">
              <w:rPr>
                <w:rFonts w:ascii="Verdana" w:hAnsi="Verdana"/>
                <w:sz w:val="18"/>
                <w:szCs w:val="18"/>
              </w:rPr>
              <w:t>Núñez Talavera Gabriela Gladys</w:t>
            </w:r>
          </w:p>
        </w:tc>
      </w:tr>
      <w:tr w:rsidR="00EA38F6" w:rsidRPr="000864AE" w14:paraId="09BF16B6" w14:textId="77777777" w:rsidTr="00AC0C51">
        <w:trPr>
          <w:trHeight w:val="300"/>
        </w:trPr>
        <w:tc>
          <w:tcPr>
            <w:tcW w:w="668" w:type="dxa"/>
            <w:vAlign w:val="center"/>
            <w:hideMark/>
          </w:tcPr>
          <w:p w14:paraId="3062506D"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424</w:t>
            </w:r>
          </w:p>
        </w:tc>
        <w:tc>
          <w:tcPr>
            <w:tcW w:w="3835" w:type="dxa"/>
            <w:vAlign w:val="center"/>
            <w:hideMark/>
          </w:tcPr>
          <w:p w14:paraId="46B430C0" w14:textId="77777777" w:rsidR="00EA38F6" w:rsidRPr="000864AE" w:rsidRDefault="00EA38F6" w:rsidP="000864AE">
            <w:pPr>
              <w:rPr>
                <w:rFonts w:ascii="Verdana" w:hAnsi="Verdana"/>
                <w:sz w:val="18"/>
                <w:szCs w:val="18"/>
              </w:rPr>
            </w:pPr>
            <w:r w:rsidRPr="000864AE">
              <w:rPr>
                <w:rFonts w:ascii="Verdana" w:hAnsi="Verdana"/>
                <w:sz w:val="18"/>
                <w:szCs w:val="18"/>
              </w:rPr>
              <w:t>Oblitas Carrión Dina Augusta</w:t>
            </w:r>
          </w:p>
        </w:tc>
      </w:tr>
      <w:tr w:rsidR="00EA38F6" w:rsidRPr="000864AE" w14:paraId="71DD44D0" w14:textId="77777777" w:rsidTr="00AC0C51">
        <w:trPr>
          <w:trHeight w:val="300"/>
        </w:trPr>
        <w:tc>
          <w:tcPr>
            <w:tcW w:w="668" w:type="dxa"/>
            <w:vAlign w:val="center"/>
            <w:hideMark/>
          </w:tcPr>
          <w:p w14:paraId="02D6F93F"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425</w:t>
            </w:r>
          </w:p>
        </w:tc>
        <w:tc>
          <w:tcPr>
            <w:tcW w:w="3835" w:type="dxa"/>
            <w:vAlign w:val="center"/>
            <w:hideMark/>
          </w:tcPr>
          <w:p w14:paraId="0C24910D" w14:textId="77777777" w:rsidR="00EA38F6" w:rsidRPr="000864AE" w:rsidRDefault="00EA38F6" w:rsidP="000864AE">
            <w:pPr>
              <w:rPr>
                <w:rFonts w:ascii="Verdana" w:hAnsi="Verdana"/>
                <w:sz w:val="18"/>
                <w:szCs w:val="18"/>
              </w:rPr>
            </w:pPr>
            <w:r w:rsidRPr="000864AE">
              <w:rPr>
                <w:rFonts w:ascii="Verdana" w:hAnsi="Verdana"/>
                <w:sz w:val="18"/>
                <w:szCs w:val="18"/>
              </w:rPr>
              <w:t>Obregón Tello Erlinda</w:t>
            </w:r>
          </w:p>
        </w:tc>
      </w:tr>
      <w:tr w:rsidR="00EA38F6" w:rsidRPr="000864AE" w14:paraId="26F687C9" w14:textId="77777777" w:rsidTr="00AC0C51">
        <w:trPr>
          <w:trHeight w:val="300"/>
        </w:trPr>
        <w:tc>
          <w:tcPr>
            <w:tcW w:w="668" w:type="dxa"/>
            <w:vAlign w:val="center"/>
            <w:hideMark/>
          </w:tcPr>
          <w:p w14:paraId="50A5CD06"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426</w:t>
            </w:r>
          </w:p>
        </w:tc>
        <w:tc>
          <w:tcPr>
            <w:tcW w:w="3835" w:type="dxa"/>
            <w:vAlign w:val="center"/>
            <w:hideMark/>
          </w:tcPr>
          <w:p w14:paraId="03B73846" w14:textId="77777777" w:rsidR="00EA38F6" w:rsidRPr="000864AE" w:rsidRDefault="00EA38F6" w:rsidP="000864AE">
            <w:pPr>
              <w:rPr>
                <w:rFonts w:ascii="Verdana" w:hAnsi="Verdana"/>
                <w:sz w:val="18"/>
                <w:szCs w:val="18"/>
              </w:rPr>
            </w:pPr>
            <w:r w:rsidRPr="000864AE">
              <w:rPr>
                <w:rFonts w:ascii="Verdana" w:hAnsi="Verdana"/>
                <w:sz w:val="18"/>
                <w:szCs w:val="18"/>
              </w:rPr>
              <w:t>Ocrospoma Valdez Fermín Claudio</w:t>
            </w:r>
          </w:p>
        </w:tc>
      </w:tr>
      <w:tr w:rsidR="00EA38F6" w:rsidRPr="000864AE" w14:paraId="39B27517" w14:textId="77777777" w:rsidTr="00AC0C51">
        <w:trPr>
          <w:trHeight w:val="300"/>
        </w:trPr>
        <w:tc>
          <w:tcPr>
            <w:tcW w:w="668" w:type="dxa"/>
            <w:vAlign w:val="center"/>
            <w:hideMark/>
          </w:tcPr>
          <w:p w14:paraId="5AC3DFE4"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427</w:t>
            </w:r>
          </w:p>
        </w:tc>
        <w:tc>
          <w:tcPr>
            <w:tcW w:w="3835" w:type="dxa"/>
            <w:vAlign w:val="center"/>
            <w:hideMark/>
          </w:tcPr>
          <w:p w14:paraId="27711EAC" w14:textId="77777777" w:rsidR="00EA38F6" w:rsidRPr="000864AE" w:rsidRDefault="00EA38F6" w:rsidP="000864AE">
            <w:pPr>
              <w:rPr>
                <w:rFonts w:ascii="Verdana" w:hAnsi="Verdana"/>
                <w:sz w:val="18"/>
                <w:szCs w:val="18"/>
              </w:rPr>
            </w:pPr>
            <w:r w:rsidRPr="000864AE">
              <w:rPr>
                <w:rFonts w:ascii="Verdana" w:hAnsi="Verdana"/>
                <w:sz w:val="18"/>
                <w:szCs w:val="18"/>
              </w:rPr>
              <w:t>Ojeda Macedo Arturo</w:t>
            </w:r>
          </w:p>
        </w:tc>
      </w:tr>
      <w:tr w:rsidR="00EA38F6" w:rsidRPr="000864AE" w14:paraId="1373A497" w14:textId="77777777" w:rsidTr="00AC0C51">
        <w:trPr>
          <w:trHeight w:val="300"/>
        </w:trPr>
        <w:tc>
          <w:tcPr>
            <w:tcW w:w="668" w:type="dxa"/>
            <w:vAlign w:val="center"/>
            <w:hideMark/>
          </w:tcPr>
          <w:p w14:paraId="0E42CD93"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428</w:t>
            </w:r>
          </w:p>
        </w:tc>
        <w:tc>
          <w:tcPr>
            <w:tcW w:w="3835" w:type="dxa"/>
            <w:vAlign w:val="center"/>
            <w:hideMark/>
          </w:tcPr>
          <w:p w14:paraId="33D52831" w14:textId="77777777" w:rsidR="00EA38F6" w:rsidRPr="000864AE" w:rsidRDefault="00EA38F6" w:rsidP="000864AE">
            <w:pPr>
              <w:rPr>
                <w:rFonts w:ascii="Verdana" w:hAnsi="Verdana"/>
                <w:sz w:val="18"/>
                <w:szCs w:val="18"/>
              </w:rPr>
            </w:pPr>
            <w:r w:rsidRPr="000864AE">
              <w:rPr>
                <w:rFonts w:ascii="Verdana" w:hAnsi="Verdana"/>
                <w:sz w:val="18"/>
                <w:szCs w:val="18"/>
              </w:rPr>
              <w:t>Ojeda Ovalle Joaquín Jacinto</w:t>
            </w:r>
          </w:p>
        </w:tc>
      </w:tr>
      <w:tr w:rsidR="00EA38F6" w:rsidRPr="000864AE" w14:paraId="33DFF2D4" w14:textId="77777777" w:rsidTr="00AC0C51">
        <w:trPr>
          <w:trHeight w:val="300"/>
        </w:trPr>
        <w:tc>
          <w:tcPr>
            <w:tcW w:w="668" w:type="dxa"/>
            <w:vAlign w:val="center"/>
            <w:hideMark/>
          </w:tcPr>
          <w:p w14:paraId="567DDE97"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429</w:t>
            </w:r>
          </w:p>
        </w:tc>
        <w:tc>
          <w:tcPr>
            <w:tcW w:w="3835" w:type="dxa"/>
            <w:vAlign w:val="center"/>
            <w:hideMark/>
          </w:tcPr>
          <w:p w14:paraId="35D1275D" w14:textId="77777777" w:rsidR="00EA38F6" w:rsidRPr="000864AE" w:rsidRDefault="00EA38F6" w:rsidP="000864AE">
            <w:pPr>
              <w:rPr>
                <w:rFonts w:ascii="Verdana" w:hAnsi="Verdana"/>
                <w:sz w:val="18"/>
                <w:szCs w:val="18"/>
              </w:rPr>
            </w:pPr>
            <w:r w:rsidRPr="000864AE">
              <w:rPr>
                <w:rFonts w:ascii="Verdana" w:hAnsi="Verdana"/>
                <w:sz w:val="18"/>
                <w:szCs w:val="18"/>
              </w:rPr>
              <w:t>Ojeda Y Lazo Luz Ysolina Juliana</w:t>
            </w:r>
          </w:p>
        </w:tc>
      </w:tr>
      <w:tr w:rsidR="00EA38F6" w:rsidRPr="000864AE" w14:paraId="21627DDC" w14:textId="77777777" w:rsidTr="00AC0C51">
        <w:trPr>
          <w:trHeight w:val="300"/>
        </w:trPr>
        <w:tc>
          <w:tcPr>
            <w:tcW w:w="668" w:type="dxa"/>
            <w:vAlign w:val="center"/>
            <w:hideMark/>
          </w:tcPr>
          <w:p w14:paraId="317372E7"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430</w:t>
            </w:r>
          </w:p>
        </w:tc>
        <w:tc>
          <w:tcPr>
            <w:tcW w:w="3835" w:type="dxa"/>
            <w:vAlign w:val="center"/>
            <w:hideMark/>
          </w:tcPr>
          <w:p w14:paraId="350BD120" w14:textId="77777777" w:rsidR="00EA38F6" w:rsidRPr="000864AE" w:rsidRDefault="00EA38F6" w:rsidP="000864AE">
            <w:pPr>
              <w:rPr>
                <w:rFonts w:ascii="Verdana" w:hAnsi="Verdana"/>
                <w:sz w:val="18"/>
                <w:szCs w:val="18"/>
              </w:rPr>
            </w:pPr>
            <w:r w:rsidRPr="000864AE">
              <w:rPr>
                <w:rFonts w:ascii="Verdana" w:hAnsi="Verdana"/>
                <w:sz w:val="18"/>
                <w:szCs w:val="18"/>
              </w:rPr>
              <w:t>Olivera Torres Iris Mabel</w:t>
            </w:r>
          </w:p>
        </w:tc>
      </w:tr>
      <w:tr w:rsidR="00EA38F6" w:rsidRPr="005A5D3C" w14:paraId="40A1E82A" w14:textId="77777777" w:rsidTr="00AC0C51">
        <w:trPr>
          <w:trHeight w:val="300"/>
        </w:trPr>
        <w:tc>
          <w:tcPr>
            <w:tcW w:w="668" w:type="dxa"/>
            <w:vAlign w:val="center"/>
            <w:hideMark/>
          </w:tcPr>
          <w:p w14:paraId="5A833477"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431</w:t>
            </w:r>
          </w:p>
        </w:tc>
        <w:tc>
          <w:tcPr>
            <w:tcW w:w="3835" w:type="dxa"/>
            <w:vAlign w:val="center"/>
            <w:hideMark/>
          </w:tcPr>
          <w:p w14:paraId="7680A75F" w14:textId="77777777" w:rsidR="00EA38F6" w:rsidRPr="000864AE" w:rsidRDefault="00EA38F6" w:rsidP="000864AE">
            <w:pPr>
              <w:rPr>
                <w:rFonts w:ascii="Verdana" w:hAnsi="Verdana"/>
                <w:sz w:val="18"/>
                <w:szCs w:val="18"/>
                <w:lang w:val="pt-BR"/>
              </w:rPr>
            </w:pPr>
            <w:r w:rsidRPr="000864AE">
              <w:rPr>
                <w:rFonts w:ascii="Verdana" w:hAnsi="Verdana"/>
                <w:sz w:val="18"/>
                <w:szCs w:val="18"/>
                <w:lang w:val="pt-BR"/>
              </w:rPr>
              <w:t>Olivera Torres Judith Manuela Victoria</w:t>
            </w:r>
          </w:p>
        </w:tc>
      </w:tr>
      <w:tr w:rsidR="00EA38F6" w:rsidRPr="000864AE" w14:paraId="28430549" w14:textId="77777777" w:rsidTr="00AC0C51">
        <w:trPr>
          <w:trHeight w:val="300"/>
        </w:trPr>
        <w:tc>
          <w:tcPr>
            <w:tcW w:w="668" w:type="dxa"/>
            <w:vAlign w:val="center"/>
            <w:hideMark/>
          </w:tcPr>
          <w:p w14:paraId="1E546874"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432</w:t>
            </w:r>
          </w:p>
        </w:tc>
        <w:tc>
          <w:tcPr>
            <w:tcW w:w="3835" w:type="dxa"/>
            <w:vAlign w:val="center"/>
            <w:hideMark/>
          </w:tcPr>
          <w:p w14:paraId="2737F1C6" w14:textId="7F899CEA" w:rsidR="00EA38F6" w:rsidRPr="000864AE" w:rsidRDefault="001F62BD" w:rsidP="000864AE">
            <w:pPr>
              <w:rPr>
                <w:rFonts w:ascii="Verdana" w:hAnsi="Verdana"/>
                <w:sz w:val="18"/>
                <w:szCs w:val="18"/>
              </w:rPr>
            </w:pPr>
            <w:r w:rsidRPr="000864AE">
              <w:rPr>
                <w:rFonts w:ascii="Verdana" w:hAnsi="Verdana"/>
                <w:sz w:val="18"/>
                <w:szCs w:val="18"/>
              </w:rPr>
              <w:t>Olórtegui Ángeles Cristi</w:t>
            </w:r>
            <w:r w:rsidR="00EA38F6" w:rsidRPr="000864AE">
              <w:rPr>
                <w:rFonts w:ascii="Verdana" w:hAnsi="Verdana"/>
                <w:sz w:val="18"/>
                <w:szCs w:val="18"/>
              </w:rPr>
              <w:t>n Rodrigo</w:t>
            </w:r>
          </w:p>
        </w:tc>
      </w:tr>
      <w:tr w:rsidR="00EA38F6" w:rsidRPr="000864AE" w14:paraId="68DD1CF3" w14:textId="77777777" w:rsidTr="00AC0C51">
        <w:trPr>
          <w:trHeight w:val="300"/>
        </w:trPr>
        <w:tc>
          <w:tcPr>
            <w:tcW w:w="668" w:type="dxa"/>
            <w:vAlign w:val="center"/>
            <w:hideMark/>
          </w:tcPr>
          <w:p w14:paraId="2E2E7885"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433</w:t>
            </w:r>
          </w:p>
        </w:tc>
        <w:tc>
          <w:tcPr>
            <w:tcW w:w="3835" w:type="dxa"/>
            <w:vAlign w:val="center"/>
            <w:hideMark/>
          </w:tcPr>
          <w:p w14:paraId="47D2463B" w14:textId="77777777" w:rsidR="00EA38F6" w:rsidRPr="000864AE" w:rsidRDefault="00EA38F6" w:rsidP="000864AE">
            <w:pPr>
              <w:rPr>
                <w:rFonts w:ascii="Verdana" w:hAnsi="Verdana"/>
                <w:sz w:val="18"/>
                <w:szCs w:val="18"/>
              </w:rPr>
            </w:pPr>
            <w:r w:rsidRPr="000864AE">
              <w:rPr>
                <w:rFonts w:ascii="Verdana" w:hAnsi="Verdana"/>
                <w:sz w:val="18"/>
                <w:szCs w:val="18"/>
              </w:rPr>
              <w:t>Ordeano Villanueva Demetrio</w:t>
            </w:r>
          </w:p>
        </w:tc>
      </w:tr>
      <w:tr w:rsidR="00EA38F6" w:rsidRPr="000864AE" w14:paraId="4B61D1AE" w14:textId="77777777" w:rsidTr="00AC0C51">
        <w:trPr>
          <w:trHeight w:val="300"/>
        </w:trPr>
        <w:tc>
          <w:tcPr>
            <w:tcW w:w="668" w:type="dxa"/>
            <w:vAlign w:val="center"/>
            <w:hideMark/>
          </w:tcPr>
          <w:p w14:paraId="05AC761D"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434</w:t>
            </w:r>
          </w:p>
        </w:tc>
        <w:tc>
          <w:tcPr>
            <w:tcW w:w="3835" w:type="dxa"/>
            <w:vAlign w:val="center"/>
            <w:hideMark/>
          </w:tcPr>
          <w:p w14:paraId="443BF639" w14:textId="77777777" w:rsidR="00EA38F6" w:rsidRPr="000864AE" w:rsidRDefault="00EA38F6" w:rsidP="000864AE">
            <w:pPr>
              <w:rPr>
                <w:rFonts w:ascii="Verdana" w:hAnsi="Verdana"/>
                <w:sz w:val="18"/>
                <w:szCs w:val="18"/>
              </w:rPr>
            </w:pPr>
            <w:r w:rsidRPr="000864AE">
              <w:rPr>
                <w:rFonts w:ascii="Verdana" w:hAnsi="Verdana"/>
                <w:sz w:val="18"/>
                <w:szCs w:val="18"/>
              </w:rPr>
              <w:t>Orihuela Herrera Luis Mariano</w:t>
            </w:r>
          </w:p>
        </w:tc>
      </w:tr>
      <w:tr w:rsidR="00EA38F6" w:rsidRPr="000864AE" w14:paraId="32AEB14C" w14:textId="77777777" w:rsidTr="00AC0C51">
        <w:trPr>
          <w:trHeight w:val="300"/>
        </w:trPr>
        <w:tc>
          <w:tcPr>
            <w:tcW w:w="668" w:type="dxa"/>
            <w:vAlign w:val="center"/>
            <w:hideMark/>
          </w:tcPr>
          <w:p w14:paraId="02B5EC69"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435</w:t>
            </w:r>
          </w:p>
        </w:tc>
        <w:tc>
          <w:tcPr>
            <w:tcW w:w="3835" w:type="dxa"/>
            <w:vAlign w:val="center"/>
            <w:hideMark/>
          </w:tcPr>
          <w:p w14:paraId="183B36B6" w14:textId="77777777" w:rsidR="00EA38F6" w:rsidRPr="000864AE" w:rsidRDefault="00EA38F6" w:rsidP="000864AE">
            <w:pPr>
              <w:rPr>
                <w:rFonts w:ascii="Verdana" w:hAnsi="Verdana"/>
                <w:sz w:val="18"/>
                <w:szCs w:val="18"/>
              </w:rPr>
            </w:pPr>
            <w:r w:rsidRPr="000864AE">
              <w:rPr>
                <w:rFonts w:ascii="Verdana" w:hAnsi="Verdana"/>
                <w:sz w:val="18"/>
                <w:szCs w:val="18"/>
              </w:rPr>
              <w:t>Orrala Farfán Manuel Jacinto</w:t>
            </w:r>
          </w:p>
        </w:tc>
      </w:tr>
      <w:tr w:rsidR="00EA38F6" w:rsidRPr="000864AE" w14:paraId="75FD63A0" w14:textId="77777777" w:rsidTr="00AC0C51">
        <w:trPr>
          <w:trHeight w:val="300"/>
        </w:trPr>
        <w:tc>
          <w:tcPr>
            <w:tcW w:w="668" w:type="dxa"/>
            <w:vAlign w:val="center"/>
            <w:hideMark/>
          </w:tcPr>
          <w:p w14:paraId="72D47E88"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436</w:t>
            </w:r>
          </w:p>
        </w:tc>
        <w:tc>
          <w:tcPr>
            <w:tcW w:w="3835" w:type="dxa"/>
            <w:vAlign w:val="center"/>
            <w:hideMark/>
          </w:tcPr>
          <w:p w14:paraId="5D072403" w14:textId="77777777" w:rsidR="00EA38F6" w:rsidRPr="000864AE" w:rsidRDefault="00EA38F6" w:rsidP="000864AE">
            <w:pPr>
              <w:rPr>
                <w:rFonts w:ascii="Verdana" w:hAnsi="Verdana"/>
                <w:sz w:val="18"/>
                <w:szCs w:val="18"/>
              </w:rPr>
            </w:pPr>
            <w:r w:rsidRPr="000864AE">
              <w:rPr>
                <w:rFonts w:ascii="Verdana" w:hAnsi="Verdana"/>
                <w:sz w:val="18"/>
                <w:szCs w:val="18"/>
              </w:rPr>
              <w:t>Orrillo Chávez Esau</w:t>
            </w:r>
          </w:p>
        </w:tc>
      </w:tr>
      <w:tr w:rsidR="00EA38F6" w:rsidRPr="000864AE" w14:paraId="1AC5174B" w14:textId="77777777" w:rsidTr="00AC0C51">
        <w:trPr>
          <w:trHeight w:val="300"/>
        </w:trPr>
        <w:tc>
          <w:tcPr>
            <w:tcW w:w="668" w:type="dxa"/>
            <w:vAlign w:val="center"/>
            <w:hideMark/>
          </w:tcPr>
          <w:p w14:paraId="14E3D77B"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437</w:t>
            </w:r>
          </w:p>
        </w:tc>
        <w:tc>
          <w:tcPr>
            <w:tcW w:w="3835" w:type="dxa"/>
            <w:vAlign w:val="center"/>
            <w:hideMark/>
          </w:tcPr>
          <w:p w14:paraId="03CE41F5" w14:textId="77777777" w:rsidR="00EA38F6" w:rsidRPr="000864AE" w:rsidRDefault="00EA38F6" w:rsidP="000864AE">
            <w:pPr>
              <w:rPr>
                <w:rFonts w:ascii="Verdana" w:hAnsi="Verdana"/>
                <w:sz w:val="18"/>
                <w:szCs w:val="18"/>
              </w:rPr>
            </w:pPr>
            <w:r w:rsidRPr="000864AE">
              <w:rPr>
                <w:rFonts w:ascii="Verdana" w:hAnsi="Verdana"/>
                <w:sz w:val="18"/>
                <w:szCs w:val="18"/>
              </w:rPr>
              <w:t>Ortega Ponce Oda Judith</w:t>
            </w:r>
          </w:p>
        </w:tc>
      </w:tr>
      <w:tr w:rsidR="00EA38F6" w:rsidRPr="000864AE" w14:paraId="702593C9" w14:textId="77777777" w:rsidTr="00AC0C51">
        <w:trPr>
          <w:trHeight w:val="300"/>
        </w:trPr>
        <w:tc>
          <w:tcPr>
            <w:tcW w:w="668" w:type="dxa"/>
            <w:vAlign w:val="center"/>
            <w:hideMark/>
          </w:tcPr>
          <w:p w14:paraId="161B5012"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438</w:t>
            </w:r>
          </w:p>
        </w:tc>
        <w:tc>
          <w:tcPr>
            <w:tcW w:w="3835" w:type="dxa"/>
            <w:vAlign w:val="center"/>
            <w:hideMark/>
          </w:tcPr>
          <w:p w14:paraId="30DB8261" w14:textId="77777777" w:rsidR="00EA38F6" w:rsidRPr="000864AE" w:rsidRDefault="00EA38F6" w:rsidP="000864AE">
            <w:pPr>
              <w:rPr>
                <w:rFonts w:ascii="Verdana" w:hAnsi="Verdana"/>
                <w:sz w:val="18"/>
                <w:szCs w:val="18"/>
              </w:rPr>
            </w:pPr>
            <w:r w:rsidRPr="000864AE">
              <w:rPr>
                <w:rFonts w:ascii="Verdana" w:hAnsi="Verdana"/>
                <w:sz w:val="18"/>
                <w:szCs w:val="18"/>
              </w:rPr>
              <w:t>Ortiz Basauri Carmen Eufemia</w:t>
            </w:r>
          </w:p>
        </w:tc>
      </w:tr>
      <w:tr w:rsidR="00EA38F6" w:rsidRPr="000864AE" w14:paraId="382BD3AA" w14:textId="77777777" w:rsidTr="00AC0C51">
        <w:trPr>
          <w:trHeight w:val="300"/>
        </w:trPr>
        <w:tc>
          <w:tcPr>
            <w:tcW w:w="668" w:type="dxa"/>
            <w:vAlign w:val="center"/>
            <w:hideMark/>
          </w:tcPr>
          <w:p w14:paraId="6CA369F9"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439</w:t>
            </w:r>
          </w:p>
        </w:tc>
        <w:tc>
          <w:tcPr>
            <w:tcW w:w="3835" w:type="dxa"/>
            <w:vAlign w:val="center"/>
            <w:hideMark/>
          </w:tcPr>
          <w:p w14:paraId="54255B49" w14:textId="77777777" w:rsidR="00EA38F6" w:rsidRPr="000864AE" w:rsidRDefault="00EA38F6" w:rsidP="000864AE">
            <w:pPr>
              <w:rPr>
                <w:rFonts w:ascii="Verdana" w:hAnsi="Verdana"/>
                <w:sz w:val="18"/>
                <w:szCs w:val="18"/>
              </w:rPr>
            </w:pPr>
            <w:r w:rsidRPr="000864AE">
              <w:rPr>
                <w:rFonts w:ascii="Verdana" w:hAnsi="Verdana"/>
                <w:sz w:val="18"/>
                <w:szCs w:val="18"/>
              </w:rPr>
              <w:t>Ortiz León Mabel Noemf</w:t>
            </w:r>
          </w:p>
        </w:tc>
      </w:tr>
      <w:tr w:rsidR="00EA38F6" w:rsidRPr="000864AE" w14:paraId="2D048AFD" w14:textId="77777777" w:rsidTr="00AC0C51">
        <w:trPr>
          <w:trHeight w:val="300"/>
        </w:trPr>
        <w:tc>
          <w:tcPr>
            <w:tcW w:w="668" w:type="dxa"/>
            <w:vAlign w:val="center"/>
            <w:hideMark/>
          </w:tcPr>
          <w:p w14:paraId="0463F9ED"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440</w:t>
            </w:r>
          </w:p>
        </w:tc>
        <w:tc>
          <w:tcPr>
            <w:tcW w:w="3835" w:type="dxa"/>
            <w:vAlign w:val="center"/>
            <w:hideMark/>
          </w:tcPr>
          <w:p w14:paraId="0A77B26C" w14:textId="77777777" w:rsidR="00EA38F6" w:rsidRPr="000864AE" w:rsidRDefault="00EA38F6" w:rsidP="000864AE">
            <w:pPr>
              <w:rPr>
                <w:rFonts w:ascii="Verdana" w:hAnsi="Verdana"/>
                <w:sz w:val="18"/>
                <w:szCs w:val="18"/>
              </w:rPr>
            </w:pPr>
            <w:r w:rsidRPr="000864AE">
              <w:rPr>
                <w:rFonts w:ascii="Verdana" w:hAnsi="Verdana"/>
                <w:sz w:val="18"/>
                <w:szCs w:val="18"/>
              </w:rPr>
              <w:t>Oshiro Oshiro Rosa Yosiko</w:t>
            </w:r>
          </w:p>
        </w:tc>
      </w:tr>
      <w:tr w:rsidR="00EA38F6" w:rsidRPr="000864AE" w14:paraId="7B58F67D" w14:textId="77777777" w:rsidTr="00AC0C51">
        <w:trPr>
          <w:trHeight w:val="300"/>
        </w:trPr>
        <w:tc>
          <w:tcPr>
            <w:tcW w:w="668" w:type="dxa"/>
            <w:vAlign w:val="center"/>
            <w:hideMark/>
          </w:tcPr>
          <w:p w14:paraId="2254D6C4"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441</w:t>
            </w:r>
          </w:p>
        </w:tc>
        <w:tc>
          <w:tcPr>
            <w:tcW w:w="3835" w:type="dxa"/>
            <w:vAlign w:val="center"/>
            <w:hideMark/>
          </w:tcPr>
          <w:p w14:paraId="2BBFE24A" w14:textId="77777777" w:rsidR="00EA38F6" w:rsidRPr="000864AE" w:rsidRDefault="00EA38F6" w:rsidP="000864AE">
            <w:pPr>
              <w:rPr>
                <w:rFonts w:ascii="Verdana" w:hAnsi="Verdana"/>
                <w:sz w:val="18"/>
                <w:szCs w:val="18"/>
              </w:rPr>
            </w:pPr>
            <w:r w:rsidRPr="000864AE">
              <w:rPr>
                <w:rFonts w:ascii="Verdana" w:hAnsi="Verdana"/>
                <w:sz w:val="18"/>
                <w:szCs w:val="18"/>
              </w:rPr>
              <w:t>Osiro Matusaki Lilian Lucy</w:t>
            </w:r>
          </w:p>
        </w:tc>
      </w:tr>
      <w:tr w:rsidR="00EA38F6" w:rsidRPr="000864AE" w14:paraId="57496277" w14:textId="77777777" w:rsidTr="00AC0C51">
        <w:trPr>
          <w:trHeight w:val="300"/>
        </w:trPr>
        <w:tc>
          <w:tcPr>
            <w:tcW w:w="668" w:type="dxa"/>
            <w:vAlign w:val="center"/>
            <w:hideMark/>
          </w:tcPr>
          <w:p w14:paraId="1EF50FCD"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442</w:t>
            </w:r>
          </w:p>
        </w:tc>
        <w:tc>
          <w:tcPr>
            <w:tcW w:w="3835" w:type="dxa"/>
            <w:vAlign w:val="center"/>
            <w:hideMark/>
          </w:tcPr>
          <w:p w14:paraId="3A6BDEA6" w14:textId="77777777" w:rsidR="00EA38F6" w:rsidRPr="000864AE" w:rsidRDefault="00EA38F6" w:rsidP="000864AE">
            <w:pPr>
              <w:rPr>
                <w:rFonts w:ascii="Verdana" w:hAnsi="Verdana"/>
                <w:sz w:val="18"/>
                <w:szCs w:val="18"/>
              </w:rPr>
            </w:pPr>
            <w:r w:rsidRPr="000864AE">
              <w:rPr>
                <w:rFonts w:ascii="Verdana" w:hAnsi="Verdana"/>
                <w:sz w:val="18"/>
                <w:szCs w:val="18"/>
              </w:rPr>
              <w:t>Otoya Torres María Gusmara</w:t>
            </w:r>
          </w:p>
        </w:tc>
      </w:tr>
      <w:tr w:rsidR="00EA38F6" w:rsidRPr="000864AE" w14:paraId="3E75BA9C" w14:textId="77777777" w:rsidTr="00AC0C51">
        <w:trPr>
          <w:trHeight w:val="300"/>
        </w:trPr>
        <w:tc>
          <w:tcPr>
            <w:tcW w:w="668" w:type="dxa"/>
            <w:vAlign w:val="center"/>
            <w:hideMark/>
          </w:tcPr>
          <w:p w14:paraId="3553591B"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443</w:t>
            </w:r>
          </w:p>
        </w:tc>
        <w:tc>
          <w:tcPr>
            <w:tcW w:w="3835" w:type="dxa"/>
            <w:vAlign w:val="center"/>
            <w:hideMark/>
          </w:tcPr>
          <w:p w14:paraId="598E2D89" w14:textId="77777777" w:rsidR="00EA38F6" w:rsidRPr="000864AE" w:rsidRDefault="00EA38F6" w:rsidP="000864AE">
            <w:pPr>
              <w:rPr>
                <w:rFonts w:ascii="Verdana" w:hAnsi="Verdana"/>
                <w:sz w:val="18"/>
                <w:szCs w:val="18"/>
              </w:rPr>
            </w:pPr>
            <w:r w:rsidRPr="000864AE">
              <w:rPr>
                <w:rFonts w:ascii="Verdana" w:hAnsi="Verdana"/>
                <w:sz w:val="18"/>
                <w:szCs w:val="18"/>
              </w:rPr>
              <w:t>Otoya Velezmoro Miguel Antonio</w:t>
            </w:r>
          </w:p>
        </w:tc>
      </w:tr>
      <w:tr w:rsidR="00EA38F6" w:rsidRPr="000864AE" w14:paraId="26D7C0A6" w14:textId="77777777" w:rsidTr="00AC0C51">
        <w:trPr>
          <w:trHeight w:val="300"/>
        </w:trPr>
        <w:tc>
          <w:tcPr>
            <w:tcW w:w="668" w:type="dxa"/>
            <w:vAlign w:val="center"/>
            <w:hideMark/>
          </w:tcPr>
          <w:p w14:paraId="4584C458"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444</w:t>
            </w:r>
          </w:p>
        </w:tc>
        <w:tc>
          <w:tcPr>
            <w:tcW w:w="3835" w:type="dxa"/>
            <w:vAlign w:val="center"/>
            <w:hideMark/>
          </w:tcPr>
          <w:p w14:paraId="116D3D5D" w14:textId="77777777" w:rsidR="00EA38F6" w:rsidRPr="000864AE" w:rsidRDefault="00EA38F6" w:rsidP="000864AE">
            <w:pPr>
              <w:rPr>
                <w:rFonts w:ascii="Verdana" w:hAnsi="Verdana"/>
                <w:sz w:val="18"/>
                <w:szCs w:val="18"/>
              </w:rPr>
            </w:pPr>
            <w:r w:rsidRPr="000864AE">
              <w:rPr>
                <w:rFonts w:ascii="Verdana" w:hAnsi="Verdana"/>
                <w:sz w:val="18"/>
                <w:szCs w:val="18"/>
              </w:rPr>
              <w:t>Oviedo Gómez Carlos Humberto</w:t>
            </w:r>
          </w:p>
        </w:tc>
      </w:tr>
      <w:tr w:rsidR="00EA38F6" w:rsidRPr="000864AE" w14:paraId="2FFD017B" w14:textId="77777777" w:rsidTr="00AC0C51">
        <w:trPr>
          <w:trHeight w:val="300"/>
        </w:trPr>
        <w:tc>
          <w:tcPr>
            <w:tcW w:w="668" w:type="dxa"/>
            <w:vAlign w:val="center"/>
            <w:hideMark/>
          </w:tcPr>
          <w:p w14:paraId="3E066C0F"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445</w:t>
            </w:r>
          </w:p>
        </w:tc>
        <w:tc>
          <w:tcPr>
            <w:tcW w:w="3835" w:type="dxa"/>
            <w:vAlign w:val="center"/>
            <w:hideMark/>
          </w:tcPr>
          <w:p w14:paraId="176C476E" w14:textId="77777777" w:rsidR="00EA38F6" w:rsidRPr="000864AE" w:rsidRDefault="00EA38F6" w:rsidP="000864AE">
            <w:pPr>
              <w:rPr>
                <w:rFonts w:ascii="Verdana" w:hAnsi="Verdana"/>
                <w:sz w:val="18"/>
                <w:szCs w:val="18"/>
              </w:rPr>
            </w:pPr>
            <w:r w:rsidRPr="000864AE">
              <w:rPr>
                <w:rFonts w:ascii="Verdana" w:hAnsi="Verdana"/>
                <w:sz w:val="18"/>
                <w:szCs w:val="18"/>
              </w:rPr>
              <w:t>Pacheco Camargo Juan</w:t>
            </w:r>
          </w:p>
        </w:tc>
      </w:tr>
      <w:tr w:rsidR="00EA38F6" w:rsidRPr="000864AE" w14:paraId="4A1B12D9" w14:textId="77777777" w:rsidTr="00AC0C51">
        <w:trPr>
          <w:trHeight w:val="300"/>
        </w:trPr>
        <w:tc>
          <w:tcPr>
            <w:tcW w:w="668" w:type="dxa"/>
            <w:vAlign w:val="center"/>
            <w:hideMark/>
          </w:tcPr>
          <w:p w14:paraId="182EA035"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446</w:t>
            </w:r>
          </w:p>
        </w:tc>
        <w:tc>
          <w:tcPr>
            <w:tcW w:w="3835" w:type="dxa"/>
            <w:vAlign w:val="center"/>
            <w:hideMark/>
          </w:tcPr>
          <w:p w14:paraId="4FC4C088" w14:textId="77777777" w:rsidR="00EA38F6" w:rsidRPr="000864AE" w:rsidRDefault="00EA38F6" w:rsidP="000864AE">
            <w:pPr>
              <w:rPr>
                <w:rFonts w:ascii="Verdana" w:hAnsi="Verdana"/>
                <w:sz w:val="18"/>
                <w:szCs w:val="18"/>
              </w:rPr>
            </w:pPr>
            <w:r w:rsidRPr="000864AE">
              <w:rPr>
                <w:rFonts w:ascii="Verdana" w:hAnsi="Verdana"/>
                <w:sz w:val="18"/>
                <w:szCs w:val="18"/>
              </w:rPr>
              <w:t>Pacheco Leyva Leonidas Flavio</w:t>
            </w:r>
          </w:p>
        </w:tc>
      </w:tr>
      <w:tr w:rsidR="00EA38F6" w:rsidRPr="000864AE" w14:paraId="74D10BB3" w14:textId="77777777" w:rsidTr="00AC0C51">
        <w:trPr>
          <w:trHeight w:val="300"/>
        </w:trPr>
        <w:tc>
          <w:tcPr>
            <w:tcW w:w="668" w:type="dxa"/>
            <w:vAlign w:val="center"/>
            <w:hideMark/>
          </w:tcPr>
          <w:p w14:paraId="0BAEE8D3"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447</w:t>
            </w:r>
          </w:p>
        </w:tc>
        <w:tc>
          <w:tcPr>
            <w:tcW w:w="3835" w:type="dxa"/>
            <w:vAlign w:val="center"/>
            <w:hideMark/>
          </w:tcPr>
          <w:p w14:paraId="50269FE6" w14:textId="77777777" w:rsidR="00EA38F6" w:rsidRPr="000864AE" w:rsidRDefault="00EA38F6" w:rsidP="000864AE">
            <w:pPr>
              <w:rPr>
                <w:rFonts w:ascii="Verdana" w:hAnsi="Verdana"/>
                <w:sz w:val="18"/>
                <w:szCs w:val="18"/>
              </w:rPr>
            </w:pPr>
            <w:r w:rsidRPr="000864AE">
              <w:rPr>
                <w:rFonts w:ascii="Verdana" w:hAnsi="Verdana"/>
                <w:sz w:val="18"/>
                <w:szCs w:val="18"/>
              </w:rPr>
              <w:t>Pacheco Tueros Luis Enrique</w:t>
            </w:r>
          </w:p>
        </w:tc>
      </w:tr>
      <w:tr w:rsidR="00EA38F6" w:rsidRPr="000864AE" w14:paraId="02E1F1CC" w14:textId="77777777" w:rsidTr="00AC0C51">
        <w:trPr>
          <w:trHeight w:val="300"/>
        </w:trPr>
        <w:tc>
          <w:tcPr>
            <w:tcW w:w="668" w:type="dxa"/>
            <w:vAlign w:val="center"/>
            <w:hideMark/>
          </w:tcPr>
          <w:p w14:paraId="12BAC75E"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448</w:t>
            </w:r>
          </w:p>
        </w:tc>
        <w:tc>
          <w:tcPr>
            <w:tcW w:w="3835" w:type="dxa"/>
            <w:vAlign w:val="center"/>
            <w:hideMark/>
          </w:tcPr>
          <w:p w14:paraId="227F2602" w14:textId="77777777" w:rsidR="00EA38F6" w:rsidRPr="000864AE" w:rsidRDefault="00EA38F6" w:rsidP="000864AE">
            <w:pPr>
              <w:rPr>
                <w:rFonts w:ascii="Verdana" w:hAnsi="Verdana"/>
                <w:sz w:val="18"/>
                <w:szCs w:val="18"/>
              </w:rPr>
            </w:pPr>
            <w:r w:rsidRPr="000864AE">
              <w:rPr>
                <w:rFonts w:ascii="Verdana" w:hAnsi="Verdana"/>
                <w:sz w:val="18"/>
                <w:szCs w:val="18"/>
              </w:rPr>
              <w:t>Paco Contreras Teodoro Ninfo</w:t>
            </w:r>
          </w:p>
        </w:tc>
      </w:tr>
      <w:tr w:rsidR="00EA38F6" w:rsidRPr="000864AE" w14:paraId="5123C9EF" w14:textId="77777777" w:rsidTr="00AC0C51">
        <w:trPr>
          <w:trHeight w:val="300"/>
        </w:trPr>
        <w:tc>
          <w:tcPr>
            <w:tcW w:w="668" w:type="dxa"/>
            <w:vAlign w:val="center"/>
            <w:hideMark/>
          </w:tcPr>
          <w:p w14:paraId="3105D522"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449</w:t>
            </w:r>
          </w:p>
        </w:tc>
        <w:tc>
          <w:tcPr>
            <w:tcW w:w="3835" w:type="dxa"/>
            <w:vAlign w:val="center"/>
            <w:hideMark/>
          </w:tcPr>
          <w:p w14:paraId="47CE51C5" w14:textId="77777777" w:rsidR="00EA38F6" w:rsidRPr="000864AE" w:rsidRDefault="00EA38F6" w:rsidP="000864AE">
            <w:pPr>
              <w:rPr>
                <w:rFonts w:ascii="Verdana" w:hAnsi="Verdana"/>
                <w:sz w:val="18"/>
                <w:szCs w:val="18"/>
              </w:rPr>
            </w:pPr>
            <w:r w:rsidRPr="000864AE">
              <w:rPr>
                <w:rFonts w:ascii="Verdana" w:hAnsi="Verdana"/>
                <w:sz w:val="18"/>
                <w:szCs w:val="18"/>
              </w:rPr>
              <w:t>Pajuelo Villegas Elsa Haydee</w:t>
            </w:r>
          </w:p>
        </w:tc>
      </w:tr>
      <w:tr w:rsidR="00EA38F6" w:rsidRPr="000864AE" w14:paraId="507322F0" w14:textId="77777777" w:rsidTr="00AC0C51">
        <w:trPr>
          <w:trHeight w:val="300"/>
        </w:trPr>
        <w:tc>
          <w:tcPr>
            <w:tcW w:w="668" w:type="dxa"/>
            <w:vAlign w:val="center"/>
            <w:hideMark/>
          </w:tcPr>
          <w:p w14:paraId="6506A7B8"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450</w:t>
            </w:r>
          </w:p>
        </w:tc>
        <w:tc>
          <w:tcPr>
            <w:tcW w:w="3835" w:type="dxa"/>
            <w:vAlign w:val="center"/>
            <w:hideMark/>
          </w:tcPr>
          <w:p w14:paraId="4B5D2C23" w14:textId="77777777" w:rsidR="00EA38F6" w:rsidRPr="000864AE" w:rsidRDefault="00EA38F6" w:rsidP="000864AE">
            <w:pPr>
              <w:rPr>
                <w:rFonts w:ascii="Verdana" w:hAnsi="Verdana"/>
                <w:sz w:val="18"/>
                <w:szCs w:val="18"/>
              </w:rPr>
            </w:pPr>
            <w:r w:rsidRPr="000864AE">
              <w:rPr>
                <w:rFonts w:ascii="Verdana" w:hAnsi="Verdana"/>
                <w:sz w:val="18"/>
                <w:szCs w:val="18"/>
              </w:rPr>
              <w:t>Palma Flores Ricardo Enrique</w:t>
            </w:r>
          </w:p>
        </w:tc>
      </w:tr>
      <w:tr w:rsidR="00EA38F6" w:rsidRPr="000864AE" w14:paraId="62C1B961" w14:textId="77777777" w:rsidTr="00AC0C51">
        <w:trPr>
          <w:trHeight w:val="300"/>
        </w:trPr>
        <w:tc>
          <w:tcPr>
            <w:tcW w:w="668" w:type="dxa"/>
            <w:vAlign w:val="center"/>
            <w:hideMark/>
          </w:tcPr>
          <w:p w14:paraId="6C10446D"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451</w:t>
            </w:r>
          </w:p>
        </w:tc>
        <w:tc>
          <w:tcPr>
            <w:tcW w:w="3835" w:type="dxa"/>
            <w:vAlign w:val="center"/>
            <w:hideMark/>
          </w:tcPr>
          <w:p w14:paraId="471DF160" w14:textId="77777777" w:rsidR="00EA38F6" w:rsidRPr="000864AE" w:rsidRDefault="00EA38F6" w:rsidP="000864AE">
            <w:pPr>
              <w:rPr>
                <w:rFonts w:ascii="Verdana" w:hAnsi="Verdana"/>
                <w:sz w:val="18"/>
                <w:szCs w:val="18"/>
              </w:rPr>
            </w:pPr>
            <w:r w:rsidRPr="000864AE">
              <w:rPr>
                <w:rFonts w:ascii="Verdana" w:hAnsi="Verdana"/>
                <w:sz w:val="18"/>
                <w:szCs w:val="18"/>
              </w:rPr>
              <w:t>Palma Flores Rosa Elvira</w:t>
            </w:r>
          </w:p>
        </w:tc>
      </w:tr>
      <w:tr w:rsidR="00EA38F6" w:rsidRPr="000864AE" w14:paraId="3065D7F9" w14:textId="77777777" w:rsidTr="00AC0C51">
        <w:trPr>
          <w:trHeight w:val="300"/>
        </w:trPr>
        <w:tc>
          <w:tcPr>
            <w:tcW w:w="668" w:type="dxa"/>
            <w:vAlign w:val="center"/>
            <w:hideMark/>
          </w:tcPr>
          <w:p w14:paraId="3CF19F59"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452</w:t>
            </w:r>
          </w:p>
        </w:tc>
        <w:tc>
          <w:tcPr>
            <w:tcW w:w="3835" w:type="dxa"/>
            <w:vAlign w:val="center"/>
            <w:hideMark/>
          </w:tcPr>
          <w:p w14:paraId="1C7ADC65" w14:textId="77777777" w:rsidR="00EA38F6" w:rsidRPr="000864AE" w:rsidRDefault="00EA38F6" w:rsidP="000864AE">
            <w:pPr>
              <w:rPr>
                <w:rFonts w:ascii="Verdana" w:hAnsi="Verdana"/>
                <w:sz w:val="18"/>
                <w:szCs w:val="18"/>
              </w:rPr>
            </w:pPr>
            <w:r w:rsidRPr="000864AE">
              <w:rPr>
                <w:rFonts w:ascii="Verdana" w:hAnsi="Verdana"/>
                <w:sz w:val="18"/>
                <w:szCs w:val="18"/>
              </w:rPr>
              <w:t>Pantoja Marroquín Hilda Teresa</w:t>
            </w:r>
          </w:p>
        </w:tc>
      </w:tr>
      <w:tr w:rsidR="00EA38F6" w:rsidRPr="000864AE" w14:paraId="150BC973" w14:textId="77777777" w:rsidTr="00AC0C51">
        <w:trPr>
          <w:trHeight w:val="300"/>
        </w:trPr>
        <w:tc>
          <w:tcPr>
            <w:tcW w:w="668" w:type="dxa"/>
            <w:vAlign w:val="center"/>
            <w:hideMark/>
          </w:tcPr>
          <w:p w14:paraId="4E1B37A9"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453</w:t>
            </w:r>
          </w:p>
        </w:tc>
        <w:tc>
          <w:tcPr>
            <w:tcW w:w="3835" w:type="dxa"/>
            <w:vAlign w:val="center"/>
            <w:hideMark/>
          </w:tcPr>
          <w:p w14:paraId="05331DD3" w14:textId="77777777" w:rsidR="00EA38F6" w:rsidRPr="000864AE" w:rsidRDefault="00EA38F6" w:rsidP="000864AE">
            <w:pPr>
              <w:rPr>
                <w:rFonts w:ascii="Verdana" w:hAnsi="Verdana"/>
                <w:sz w:val="18"/>
                <w:szCs w:val="18"/>
              </w:rPr>
            </w:pPr>
            <w:r w:rsidRPr="000864AE">
              <w:rPr>
                <w:rFonts w:ascii="Verdana" w:hAnsi="Verdana"/>
                <w:sz w:val="18"/>
                <w:szCs w:val="18"/>
              </w:rPr>
              <w:t>Pardo Heredia Alejandro</w:t>
            </w:r>
          </w:p>
        </w:tc>
      </w:tr>
      <w:tr w:rsidR="00EA38F6" w:rsidRPr="000864AE" w14:paraId="20735B65" w14:textId="77777777" w:rsidTr="00AC0C51">
        <w:trPr>
          <w:trHeight w:val="300"/>
        </w:trPr>
        <w:tc>
          <w:tcPr>
            <w:tcW w:w="668" w:type="dxa"/>
            <w:vAlign w:val="center"/>
            <w:hideMark/>
          </w:tcPr>
          <w:p w14:paraId="003BF12F"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454</w:t>
            </w:r>
          </w:p>
        </w:tc>
        <w:tc>
          <w:tcPr>
            <w:tcW w:w="3835" w:type="dxa"/>
            <w:vAlign w:val="center"/>
            <w:hideMark/>
          </w:tcPr>
          <w:p w14:paraId="16A05897" w14:textId="77777777" w:rsidR="00EA38F6" w:rsidRPr="000864AE" w:rsidRDefault="00EA38F6" w:rsidP="000864AE">
            <w:pPr>
              <w:rPr>
                <w:rFonts w:ascii="Verdana" w:hAnsi="Verdana"/>
                <w:sz w:val="18"/>
                <w:szCs w:val="18"/>
              </w:rPr>
            </w:pPr>
            <w:r w:rsidRPr="000864AE">
              <w:rPr>
                <w:rFonts w:ascii="Verdana" w:hAnsi="Verdana"/>
                <w:sz w:val="18"/>
                <w:szCs w:val="18"/>
              </w:rPr>
              <w:t>Pardo Vega José Armando</w:t>
            </w:r>
          </w:p>
        </w:tc>
      </w:tr>
      <w:tr w:rsidR="00EA38F6" w:rsidRPr="000864AE" w14:paraId="2248A285" w14:textId="77777777" w:rsidTr="00AC0C51">
        <w:trPr>
          <w:trHeight w:val="300"/>
        </w:trPr>
        <w:tc>
          <w:tcPr>
            <w:tcW w:w="668" w:type="dxa"/>
            <w:vAlign w:val="center"/>
            <w:hideMark/>
          </w:tcPr>
          <w:p w14:paraId="0485FEED"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455</w:t>
            </w:r>
          </w:p>
        </w:tc>
        <w:tc>
          <w:tcPr>
            <w:tcW w:w="3835" w:type="dxa"/>
            <w:vAlign w:val="center"/>
            <w:hideMark/>
          </w:tcPr>
          <w:p w14:paraId="23918FDC" w14:textId="77777777" w:rsidR="00EA38F6" w:rsidRPr="000864AE" w:rsidRDefault="00EA38F6" w:rsidP="000864AE">
            <w:pPr>
              <w:rPr>
                <w:rFonts w:ascii="Verdana" w:hAnsi="Verdana"/>
                <w:sz w:val="18"/>
                <w:szCs w:val="18"/>
              </w:rPr>
            </w:pPr>
            <w:r w:rsidRPr="000864AE">
              <w:rPr>
                <w:rFonts w:ascii="Verdana" w:hAnsi="Verdana"/>
                <w:sz w:val="18"/>
                <w:szCs w:val="18"/>
              </w:rPr>
              <w:t>Paredes Meléndez Teresa Elizabeth</w:t>
            </w:r>
          </w:p>
        </w:tc>
      </w:tr>
      <w:tr w:rsidR="00EA38F6" w:rsidRPr="000864AE" w14:paraId="48CF3EBF" w14:textId="77777777" w:rsidTr="00AC0C51">
        <w:trPr>
          <w:trHeight w:val="300"/>
        </w:trPr>
        <w:tc>
          <w:tcPr>
            <w:tcW w:w="668" w:type="dxa"/>
            <w:vAlign w:val="center"/>
            <w:hideMark/>
          </w:tcPr>
          <w:p w14:paraId="578F999D"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456</w:t>
            </w:r>
          </w:p>
        </w:tc>
        <w:tc>
          <w:tcPr>
            <w:tcW w:w="3835" w:type="dxa"/>
            <w:vAlign w:val="center"/>
            <w:hideMark/>
          </w:tcPr>
          <w:p w14:paraId="3B04F8F2" w14:textId="77777777" w:rsidR="00EA38F6" w:rsidRPr="000864AE" w:rsidRDefault="00EA38F6" w:rsidP="000864AE">
            <w:pPr>
              <w:rPr>
                <w:rFonts w:ascii="Verdana" w:hAnsi="Verdana"/>
                <w:sz w:val="18"/>
                <w:szCs w:val="18"/>
              </w:rPr>
            </w:pPr>
            <w:r w:rsidRPr="000864AE">
              <w:rPr>
                <w:rFonts w:ascii="Verdana" w:hAnsi="Verdana"/>
                <w:sz w:val="18"/>
                <w:szCs w:val="18"/>
              </w:rPr>
              <w:t>Paredes Panduro Luis</w:t>
            </w:r>
          </w:p>
        </w:tc>
      </w:tr>
      <w:tr w:rsidR="00EA38F6" w:rsidRPr="000864AE" w14:paraId="0A10A8B5" w14:textId="77777777" w:rsidTr="00AC0C51">
        <w:trPr>
          <w:trHeight w:val="300"/>
        </w:trPr>
        <w:tc>
          <w:tcPr>
            <w:tcW w:w="668" w:type="dxa"/>
            <w:vAlign w:val="center"/>
            <w:hideMark/>
          </w:tcPr>
          <w:p w14:paraId="51A6EF44"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457</w:t>
            </w:r>
          </w:p>
        </w:tc>
        <w:tc>
          <w:tcPr>
            <w:tcW w:w="3835" w:type="dxa"/>
            <w:vAlign w:val="center"/>
            <w:hideMark/>
          </w:tcPr>
          <w:p w14:paraId="0C35E14B" w14:textId="77777777" w:rsidR="00EA38F6" w:rsidRPr="000864AE" w:rsidRDefault="00EA38F6" w:rsidP="000864AE">
            <w:pPr>
              <w:rPr>
                <w:rFonts w:ascii="Verdana" w:hAnsi="Verdana"/>
                <w:sz w:val="18"/>
                <w:szCs w:val="18"/>
              </w:rPr>
            </w:pPr>
            <w:r w:rsidRPr="000864AE">
              <w:rPr>
                <w:rFonts w:ascii="Verdana" w:hAnsi="Verdana"/>
                <w:sz w:val="18"/>
                <w:szCs w:val="18"/>
              </w:rPr>
              <w:t>Parker Pacheco Estrella Luz</w:t>
            </w:r>
          </w:p>
        </w:tc>
      </w:tr>
      <w:tr w:rsidR="00EA38F6" w:rsidRPr="000864AE" w14:paraId="0EBB2AA2" w14:textId="77777777" w:rsidTr="00AC0C51">
        <w:trPr>
          <w:trHeight w:val="300"/>
        </w:trPr>
        <w:tc>
          <w:tcPr>
            <w:tcW w:w="668" w:type="dxa"/>
            <w:vAlign w:val="center"/>
            <w:hideMark/>
          </w:tcPr>
          <w:p w14:paraId="3C24CC8B"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458</w:t>
            </w:r>
          </w:p>
        </w:tc>
        <w:tc>
          <w:tcPr>
            <w:tcW w:w="3835" w:type="dxa"/>
            <w:vAlign w:val="center"/>
            <w:hideMark/>
          </w:tcPr>
          <w:p w14:paraId="6AC7D173" w14:textId="77777777" w:rsidR="00EA38F6" w:rsidRPr="000864AE" w:rsidRDefault="00EA38F6" w:rsidP="000864AE">
            <w:pPr>
              <w:rPr>
                <w:rFonts w:ascii="Verdana" w:hAnsi="Verdana"/>
                <w:sz w:val="18"/>
                <w:szCs w:val="18"/>
              </w:rPr>
            </w:pPr>
            <w:r w:rsidRPr="000864AE">
              <w:rPr>
                <w:rFonts w:ascii="Verdana" w:hAnsi="Verdana"/>
                <w:sz w:val="18"/>
                <w:szCs w:val="18"/>
              </w:rPr>
              <w:t>Parra Loli Wladimiro Hugo</w:t>
            </w:r>
          </w:p>
        </w:tc>
      </w:tr>
      <w:tr w:rsidR="00EA38F6" w:rsidRPr="000864AE" w14:paraId="198F6EDB" w14:textId="77777777" w:rsidTr="00AC0C51">
        <w:trPr>
          <w:trHeight w:val="300"/>
        </w:trPr>
        <w:tc>
          <w:tcPr>
            <w:tcW w:w="668" w:type="dxa"/>
            <w:vAlign w:val="center"/>
            <w:hideMark/>
          </w:tcPr>
          <w:p w14:paraId="3D5F3416"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459</w:t>
            </w:r>
          </w:p>
        </w:tc>
        <w:tc>
          <w:tcPr>
            <w:tcW w:w="3835" w:type="dxa"/>
            <w:vAlign w:val="center"/>
            <w:hideMark/>
          </w:tcPr>
          <w:p w14:paraId="085E026B" w14:textId="77777777" w:rsidR="00EA38F6" w:rsidRPr="000864AE" w:rsidRDefault="00EA38F6" w:rsidP="000864AE">
            <w:pPr>
              <w:rPr>
                <w:rFonts w:ascii="Verdana" w:hAnsi="Verdana"/>
                <w:sz w:val="18"/>
                <w:szCs w:val="18"/>
              </w:rPr>
            </w:pPr>
            <w:r w:rsidRPr="000864AE">
              <w:rPr>
                <w:rFonts w:ascii="Verdana" w:hAnsi="Verdana"/>
                <w:sz w:val="18"/>
                <w:szCs w:val="18"/>
              </w:rPr>
              <w:t>Parra Sánchez José Santos</w:t>
            </w:r>
          </w:p>
        </w:tc>
      </w:tr>
      <w:tr w:rsidR="00EA38F6" w:rsidRPr="000864AE" w14:paraId="57FBBF10" w14:textId="77777777" w:rsidTr="00AC0C51">
        <w:trPr>
          <w:trHeight w:val="300"/>
        </w:trPr>
        <w:tc>
          <w:tcPr>
            <w:tcW w:w="668" w:type="dxa"/>
            <w:vAlign w:val="center"/>
            <w:hideMark/>
          </w:tcPr>
          <w:p w14:paraId="2E9C92F0"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460</w:t>
            </w:r>
          </w:p>
        </w:tc>
        <w:tc>
          <w:tcPr>
            <w:tcW w:w="3835" w:type="dxa"/>
            <w:vAlign w:val="center"/>
            <w:hideMark/>
          </w:tcPr>
          <w:p w14:paraId="47BDD0B0" w14:textId="77777777" w:rsidR="00EA38F6" w:rsidRPr="000864AE" w:rsidRDefault="00EA38F6" w:rsidP="000864AE">
            <w:pPr>
              <w:rPr>
                <w:rFonts w:ascii="Verdana" w:hAnsi="Verdana"/>
                <w:sz w:val="18"/>
                <w:szCs w:val="18"/>
              </w:rPr>
            </w:pPr>
            <w:r w:rsidRPr="000864AE">
              <w:rPr>
                <w:rFonts w:ascii="Verdana" w:hAnsi="Verdana"/>
                <w:sz w:val="18"/>
                <w:szCs w:val="18"/>
              </w:rPr>
              <w:t>Pasco Fitzgerald Elva Hercilia</w:t>
            </w:r>
          </w:p>
        </w:tc>
      </w:tr>
      <w:tr w:rsidR="00EA38F6" w:rsidRPr="000864AE" w14:paraId="0F1FD7A5" w14:textId="77777777" w:rsidTr="00AC0C51">
        <w:trPr>
          <w:trHeight w:val="300"/>
        </w:trPr>
        <w:tc>
          <w:tcPr>
            <w:tcW w:w="668" w:type="dxa"/>
            <w:vAlign w:val="center"/>
            <w:hideMark/>
          </w:tcPr>
          <w:p w14:paraId="6FDD9B75"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461</w:t>
            </w:r>
          </w:p>
        </w:tc>
        <w:tc>
          <w:tcPr>
            <w:tcW w:w="3835" w:type="dxa"/>
            <w:vAlign w:val="center"/>
            <w:hideMark/>
          </w:tcPr>
          <w:p w14:paraId="23A1BEC2" w14:textId="77777777" w:rsidR="00EA38F6" w:rsidRPr="000864AE" w:rsidRDefault="00EA38F6" w:rsidP="000864AE">
            <w:pPr>
              <w:rPr>
                <w:rFonts w:ascii="Verdana" w:hAnsi="Verdana"/>
                <w:sz w:val="18"/>
                <w:szCs w:val="18"/>
              </w:rPr>
            </w:pPr>
            <w:r w:rsidRPr="000864AE">
              <w:rPr>
                <w:rFonts w:ascii="Verdana" w:hAnsi="Verdana"/>
                <w:sz w:val="18"/>
                <w:szCs w:val="18"/>
              </w:rPr>
              <w:t>Pasquel Ormaza Francisco</w:t>
            </w:r>
          </w:p>
        </w:tc>
      </w:tr>
      <w:tr w:rsidR="00EA38F6" w:rsidRPr="000864AE" w14:paraId="05BFB700" w14:textId="77777777" w:rsidTr="00AC0C51">
        <w:trPr>
          <w:trHeight w:val="300"/>
        </w:trPr>
        <w:tc>
          <w:tcPr>
            <w:tcW w:w="668" w:type="dxa"/>
            <w:vAlign w:val="center"/>
            <w:hideMark/>
          </w:tcPr>
          <w:p w14:paraId="53A08D23"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462</w:t>
            </w:r>
          </w:p>
        </w:tc>
        <w:tc>
          <w:tcPr>
            <w:tcW w:w="3835" w:type="dxa"/>
            <w:vAlign w:val="center"/>
            <w:hideMark/>
          </w:tcPr>
          <w:p w14:paraId="51535A65" w14:textId="77777777" w:rsidR="00EA38F6" w:rsidRPr="000864AE" w:rsidRDefault="00EA38F6" w:rsidP="000864AE">
            <w:pPr>
              <w:rPr>
                <w:rFonts w:ascii="Verdana" w:hAnsi="Verdana"/>
                <w:sz w:val="18"/>
                <w:szCs w:val="18"/>
              </w:rPr>
            </w:pPr>
            <w:r w:rsidRPr="000864AE">
              <w:rPr>
                <w:rFonts w:ascii="Verdana" w:hAnsi="Verdana"/>
                <w:sz w:val="18"/>
                <w:szCs w:val="18"/>
              </w:rPr>
              <w:t>Paulini Efio Elia Nora</w:t>
            </w:r>
          </w:p>
        </w:tc>
      </w:tr>
      <w:tr w:rsidR="00EA38F6" w:rsidRPr="000864AE" w14:paraId="620D4B2B" w14:textId="77777777" w:rsidTr="00AC0C51">
        <w:trPr>
          <w:trHeight w:val="300"/>
        </w:trPr>
        <w:tc>
          <w:tcPr>
            <w:tcW w:w="668" w:type="dxa"/>
            <w:vAlign w:val="center"/>
            <w:hideMark/>
          </w:tcPr>
          <w:p w14:paraId="26DC3A77"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463</w:t>
            </w:r>
          </w:p>
        </w:tc>
        <w:tc>
          <w:tcPr>
            <w:tcW w:w="3835" w:type="dxa"/>
            <w:vAlign w:val="center"/>
            <w:hideMark/>
          </w:tcPr>
          <w:p w14:paraId="69BBBB4C" w14:textId="77777777" w:rsidR="00EA38F6" w:rsidRPr="000864AE" w:rsidRDefault="00EA38F6" w:rsidP="000864AE">
            <w:pPr>
              <w:rPr>
                <w:rFonts w:ascii="Verdana" w:hAnsi="Verdana"/>
                <w:sz w:val="18"/>
                <w:szCs w:val="18"/>
              </w:rPr>
            </w:pPr>
            <w:r w:rsidRPr="000864AE">
              <w:rPr>
                <w:rFonts w:ascii="Verdana" w:hAnsi="Verdana"/>
                <w:sz w:val="18"/>
                <w:szCs w:val="18"/>
              </w:rPr>
              <w:t>Peña Flores Irma</w:t>
            </w:r>
          </w:p>
        </w:tc>
      </w:tr>
      <w:tr w:rsidR="00EA38F6" w:rsidRPr="000864AE" w14:paraId="5A2A64FB" w14:textId="77777777" w:rsidTr="00AC0C51">
        <w:trPr>
          <w:trHeight w:val="300"/>
        </w:trPr>
        <w:tc>
          <w:tcPr>
            <w:tcW w:w="668" w:type="dxa"/>
            <w:vAlign w:val="center"/>
            <w:hideMark/>
          </w:tcPr>
          <w:p w14:paraId="3309946D"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464</w:t>
            </w:r>
          </w:p>
        </w:tc>
        <w:tc>
          <w:tcPr>
            <w:tcW w:w="3835" w:type="dxa"/>
            <w:vAlign w:val="center"/>
            <w:hideMark/>
          </w:tcPr>
          <w:p w14:paraId="118FF158" w14:textId="77777777" w:rsidR="00EA38F6" w:rsidRPr="000864AE" w:rsidRDefault="00EA38F6" w:rsidP="000864AE">
            <w:pPr>
              <w:rPr>
                <w:rFonts w:ascii="Verdana" w:hAnsi="Verdana"/>
                <w:sz w:val="18"/>
                <w:szCs w:val="18"/>
              </w:rPr>
            </w:pPr>
            <w:r w:rsidRPr="000864AE">
              <w:rPr>
                <w:rFonts w:ascii="Verdana" w:hAnsi="Verdana"/>
                <w:sz w:val="18"/>
                <w:szCs w:val="18"/>
              </w:rPr>
              <w:t>Peppe Riega Nicolás</w:t>
            </w:r>
          </w:p>
        </w:tc>
      </w:tr>
      <w:tr w:rsidR="00EA38F6" w:rsidRPr="000864AE" w14:paraId="4E348ECE" w14:textId="77777777" w:rsidTr="00AC0C51">
        <w:trPr>
          <w:trHeight w:val="300"/>
        </w:trPr>
        <w:tc>
          <w:tcPr>
            <w:tcW w:w="668" w:type="dxa"/>
            <w:vAlign w:val="center"/>
            <w:hideMark/>
          </w:tcPr>
          <w:p w14:paraId="2770CAE0"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465</w:t>
            </w:r>
          </w:p>
        </w:tc>
        <w:tc>
          <w:tcPr>
            <w:tcW w:w="3835" w:type="dxa"/>
            <w:vAlign w:val="center"/>
            <w:hideMark/>
          </w:tcPr>
          <w:p w14:paraId="2D23B71D" w14:textId="77777777" w:rsidR="00EA38F6" w:rsidRPr="000864AE" w:rsidRDefault="00EA38F6" w:rsidP="000864AE">
            <w:pPr>
              <w:rPr>
                <w:rFonts w:ascii="Verdana" w:hAnsi="Verdana"/>
                <w:sz w:val="18"/>
                <w:szCs w:val="18"/>
              </w:rPr>
            </w:pPr>
            <w:r w:rsidRPr="000864AE">
              <w:rPr>
                <w:rFonts w:ascii="Verdana" w:hAnsi="Verdana"/>
                <w:sz w:val="18"/>
                <w:szCs w:val="18"/>
              </w:rPr>
              <w:t>Peralta Zegarra Zoila Aurora</w:t>
            </w:r>
          </w:p>
        </w:tc>
      </w:tr>
      <w:tr w:rsidR="00EA38F6" w:rsidRPr="000864AE" w14:paraId="2927CBC0" w14:textId="77777777" w:rsidTr="00AC0C51">
        <w:trPr>
          <w:trHeight w:val="300"/>
        </w:trPr>
        <w:tc>
          <w:tcPr>
            <w:tcW w:w="668" w:type="dxa"/>
            <w:vAlign w:val="center"/>
            <w:hideMark/>
          </w:tcPr>
          <w:p w14:paraId="51574250"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466</w:t>
            </w:r>
          </w:p>
        </w:tc>
        <w:tc>
          <w:tcPr>
            <w:tcW w:w="3835" w:type="dxa"/>
            <w:vAlign w:val="center"/>
            <w:hideMark/>
          </w:tcPr>
          <w:p w14:paraId="1B97C9DC" w14:textId="77777777" w:rsidR="00EA38F6" w:rsidRPr="000864AE" w:rsidRDefault="00EA38F6" w:rsidP="000864AE">
            <w:pPr>
              <w:rPr>
                <w:rFonts w:ascii="Verdana" w:hAnsi="Verdana"/>
                <w:sz w:val="18"/>
                <w:szCs w:val="18"/>
              </w:rPr>
            </w:pPr>
            <w:r w:rsidRPr="000864AE">
              <w:rPr>
                <w:rFonts w:ascii="Verdana" w:hAnsi="Verdana"/>
                <w:sz w:val="18"/>
                <w:szCs w:val="18"/>
              </w:rPr>
              <w:t>Pereyra Echegaray Elsa Rosario</w:t>
            </w:r>
          </w:p>
        </w:tc>
      </w:tr>
      <w:tr w:rsidR="00EA38F6" w:rsidRPr="000864AE" w14:paraId="05A3B7C1" w14:textId="77777777" w:rsidTr="00AC0C51">
        <w:trPr>
          <w:trHeight w:val="300"/>
        </w:trPr>
        <w:tc>
          <w:tcPr>
            <w:tcW w:w="668" w:type="dxa"/>
            <w:vAlign w:val="center"/>
            <w:hideMark/>
          </w:tcPr>
          <w:p w14:paraId="76C03B85"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467</w:t>
            </w:r>
          </w:p>
        </w:tc>
        <w:tc>
          <w:tcPr>
            <w:tcW w:w="3835" w:type="dxa"/>
            <w:vAlign w:val="center"/>
            <w:hideMark/>
          </w:tcPr>
          <w:p w14:paraId="47B8550D" w14:textId="77777777" w:rsidR="00EA38F6" w:rsidRPr="000864AE" w:rsidRDefault="00EA38F6" w:rsidP="000864AE">
            <w:pPr>
              <w:rPr>
                <w:rFonts w:ascii="Verdana" w:hAnsi="Verdana"/>
                <w:sz w:val="18"/>
                <w:szCs w:val="18"/>
              </w:rPr>
            </w:pPr>
            <w:r w:rsidRPr="000864AE">
              <w:rPr>
                <w:rFonts w:ascii="Verdana" w:hAnsi="Verdana"/>
                <w:sz w:val="18"/>
                <w:szCs w:val="18"/>
              </w:rPr>
              <w:t>Pérez Alejos Vicente Wilson</w:t>
            </w:r>
          </w:p>
        </w:tc>
      </w:tr>
      <w:tr w:rsidR="00EA38F6" w:rsidRPr="000864AE" w14:paraId="6032BB10" w14:textId="77777777" w:rsidTr="00AC0C51">
        <w:trPr>
          <w:trHeight w:val="300"/>
        </w:trPr>
        <w:tc>
          <w:tcPr>
            <w:tcW w:w="668" w:type="dxa"/>
            <w:vAlign w:val="center"/>
            <w:hideMark/>
          </w:tcPr>
          <w:p w14:paraId="74CD2D65"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468</w:t>
            </w:r>
          </w:p>
        </w:tc>
        <w:tc>
          <w:tcPr>
            <w:tcW w:w="3835" w:type="dxa"/>
            <w:vAlign w:val="center"/>
            <w:hideMark/>
          </w:tcPr>
          <w:p w14:paraId="7E536410" w14:textId="77777777" w:rsidR="00EA38F6" w:rsidRPr="000864AE" w:rsidRDefault="00EA38F6" w:rsidP="000864AE">
            <w:pPr>
              <w:rPr>
                <w:rFonts w:ascii="Verdana" w:hAnsi="Verdana"/>
                <w:sz w:val="18"/>
                <w:szCs w:val="18"/>
              </w:rPr>
            </w:pPr>
            <w:r w:rsidRPr="000864AE">
              <w:rPr>
                <w:rFonts w:ascii="Verdana" w:hAnsi="Verdana"/>
                <w:sz w:val="18"/>
                <w:szCs w:val="18"/>
              </w:rPr>
              <w:t>Pérez Castro Julián</w:t>
            </w:r>
          </w:p>
        </w:tc>
      </w:tr>
      <w:tr w:rsidR="00EA38F6" w:rsidRPr="000864AE" w14:paraId="763CCA68" w14:textId="77777777" w:rsidTr="00AC0C51">
        <w:trPr>
          <w:trHeight w:val="300"/>
        </w:trPr>
        <w:tc>
          <w:tcPr>
            <w:tcW w:w="668" w:type="dxa"/>
            <w:vAlign w:val="center"/>
            <w:hideMark/>
          </w:tcPr>
          <w:p w14:paraId="153F3B64"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469</w:t>
            </w:r>
          </w:p>
        </w:tc>
        <w:tc>
          <w:tcPr>
            <w:tcW w:w="3835" w:type="dxa"/>
            <w:vAlign w:val="center"/>
            <w:hideMark/>
          </w:tcPr>
          <w:p w14:paraId="35D6385B" w14:textId="77777777" w:rsidR="00EA38F6" w:rsidRPr="000864AE" w:rsidRDefault="00EA38F6" w:rsidP="000864AE">
            <w:pPr>
              <w:rPr>
                <w:rFonts w:ascii="Verdana" w:hAnsi="Verdana"/>
                <w:sz w:val="18"/>
                <w:szCs w:val="18"/>
              </w:rPr>
            </w:pPr>
            <w:r w:rsidRPr="000864AE">
              <w:rPr>
                <w:rFonts w:ascii="Verdana" w:hAnsi="Verdana"/>
                <w:sz w:val="18"/>
                <w:szCs w:val="18"/>
              </w:rPr>
              <w:t>Pérez Choque María Victoria</w:t>
            </w:r>
          </w:p>
        </w:tc>
      </w:tr>
      <w:tr w:rsidR="00EA38F6" w:rsidRPr="000864AE" w14:paraId="1F8CF773" w14:textId="77777777" w:rsidTr="00AC0C51">
        <w:trPr>
          <w:trHeight w:val="300"/>
        </w:trPr>
        <w:tc>
          <w:tcPr>
            <w:tcW w:w="668" w:type="dxa"/>
            <w:vAlign w:val="center"/>
            <w:hideMark/>
          </w:tcPr>
          <w:p w14:paraId="152DDF56"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470</w:t>
            </w:r>
          </w:p>
        </w:tc>
        <w:tc>
          <w:tcPr>
            <w:tcW w:w="3835" w:type="dxa"/>
            <w:vAlign w:val="center"/>
            <w:hideMark/>
          </w:tcPr>
          <w:p w14:paraId="1BDD9AEB" w14:textId="77777777" w:rsidR="00EA38F6" w:rsidRPr="000864AE" w:rsidRDefault="00EA38F6" w:rsidP="000864AE">
            <w:pPr>
              <w:rPr>
                <w:rFonts w:ascii="Verdana" w:hAnsi="Verdana"/>
                <w:sz w:val="18"/>
                <w:szCs w:val="18"/>
              </w:rPr>
            </w:pPr>
            <w:r w:rsidRPr="000864AE">
              <w:rPr>
                <w:rFonts w:ascii="Verdana" w:hAnsi="Verdana"/>
                <w:sz w:val="18"/>
                <w:szCs w:val="18"/>
              </w:rPr>
              <w:t>Pérez Frazer María De Lourdes</w:t>
            </w:r>
          </w:p>
        </w:tc>
      </w:tr>
      <w:tr w:rsidR="00EA38F6" w:rsidRPr="000864AE" w14:paraId="46254BD2" w14:textId="77777777" w:rsidTr="00AC0C51">
        <w:trPr>
          <w:trHeight w:val="300"/>
        </w:trPr>
        <w:tc>
          <w:tcPr>
            <w:tcW w:w="668" w:type="dxa"/>
            <w:vAlign w:val="center"/>
            <w:hideMark/>
          </w:tcPr>
          <w:p w14:paraId="7DFDB497"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471</w:t>
            </w:r>
          </w:p>
        </w:tc>
        <w:tc>
          <w:tcPr>
            <w:tcW w:w="3835" w:type="dxa"/>
            <w:vAlign w:val="center"/>
            <w:hideMark/>
          </w:tcPr>
          <w:p w14:paraId="0905FF71" w14:textId="77777777" w:rsidR="00EA38F6" w:rsidRPr="000864AE" w:rsidRDefault="00EA38F6" w:rsidP="000864AE">
            <w:pPr>
              <w:rPr>
                <w:rFonts w:ascii="Verdana" w:hAnsi="Verdana"/>
                <w:sz w:val="18"/>
                <w:szCs w:val="18"/>
              </w:rPr>
            </w:pPr>
            <w:r w:rsidRPr="000864AE">
              <w:rPr>
                <w:rFonts w:ascii="Verdana" w:hAnsi="Verdana"/>
                <w:sz w:val="18"/>
                <w:szCs w:val="18"/>
              </w:rPr>
              <w:t>Pérez Minaya Luis Mariano</w:t>
            </w:r>
          </w:p>
        </w:tc>
      </w:tr>
      <w:tr w:rsidR="00EA38F6" w:rsidRPr="000864AE" w14:paraId="0A886046" w14:textId="77777777" w:rsidTr="00AC0C51">
        <w:trPr>
          <w:trHeight w:val="300"/>
        </w:trPr>
        <w:tc>
          <w:tcPr>
            <w:tcW w:w="668" w:type="dxa"/>
            <w:vAlign w:val="center"/>
            <w:hideMark/>
          </w:tcPr>
          <w:p w14:paraId="1FDA92DB"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472</w:t>
            </w:r>
          </w:p>
        </w:tc>
        <w:tc>
          <w:tcPr>
            <w:tcW w:w="3835" w:type="dxa"/>
            <w:vAlign w:val="center"/>
            <w:hideMark/>
          </w:tcPr>
          <w:p w14:paraId="1F408DB0" w14:textId="77777777" w:rsidR="00EA38F6" w:rsidRPr="000864AE" w:rsidRDefault="00EA38F6" w:rsidP="000864AE">
            <w:pPr>
              <w:rPr>
                <w:rFonts w:ascii="Verdana" w:hAnsi="Verdana"/>
                <w:sz w:val="18"/>
                <w:szCs w:val="18"/>
              </w:rPr>
            </w:pPr>
            <w:r w:rsidRPr="000864AE">
              <w:rPr>
                <w:rFonts w:ascii="Verdana" w:hAnsi="Verdana"/>
                <w:sz w:val="18"/>
                <w:szCs w:val="18"/>
              </w:rPr>
              <w:t>Pérez Salas Víctor Raúl</w:t>
            </w:r>
          </w:p>
        </w:tc>
      </w:tr>
      <w:tr w:rsidR="00EA38F6" w:rsidRPr="000864AE" w14:paraId="63E68F67" w14:textId="77777777" w:rsidTr="00AC0C51">
        <w:trPr>
          <w:trHeight w:val="300"/>
        </w:trPr>
        <w:tc>
          <w:tcPr>
            <w:tcW w:w="668" w:type="dxa"/>
            <w:vAlign w:val="center"/>
            <w:hideMark/>
          </w:tcPr>
          <w:p w14:paraId="2CE20DE9"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473</w:t>
            </w:r>
          </w:p>
        </w:tc>
        <w:tc>
          <w:tcPr>
            <w:tcW w:w="3835" w:type="dxa"/>
            <w:vAlign w:val="center"/>
            <w:hideMark/>
          </w:tcPr>
          <w:p w14:paraId="773C6B20" w14:textId="77777777" w:rsidR="00EA38F6" w:rsidRPr="000864AE" w:rsidRDefault="00EA38F6" w:rsidP="000864AE">
            <w:pPr>
              <w:rPr>
                <w:rFonts w:ascii="Verdana" w:hAnsi="Verdana"/>
                <w:sz w:val="18"/>
                <w:szCs w:val="18"/>
              </w:rPr>
            </w:pPr>
            <w:r w:rsidRPr="000864AE">
              <w:rPr>
                <w:rFonts w:ascii="Verdana" w:hAnsi="Verdana"/>
                <w:sz w:val="18"/>
                <w:szCs w:val="18"/>
              </w:rPr>
              <w:t>Pérez Vergara Marina Herminia</w:t>
            </w:r>
          </w:p>
        </w:tc>
      </w:tr>
      <w:tr w:rsidR="00EA38F6" w:rsidRPr="000864AE" w14:paraId="730BF16B" w14:textId="77777777" w:rsidTr="00AC0C51">
        <w:trPr>
          <w:trHeight w:val="300"/>
        </w:trPr>
        <w:tc>
          <w:tcPr>
            <w:tcW w:w="668" w:type="dxa"/>
            <w:vAlign w:val="center"/>
            <w:hideMark/>
          </w:tcPr>
          <w:p w14:paraId="1F184819"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474</w:t>
            </w:r>
          </w:p>
        </w:tc>
        <w:tc>
          <w:tcPr>
            <w:tcW w:w="3835" w:type="dxa"/>
            <w:vAlign w:val="center"/>
            <w:hideMark/>
          </w:tcPr>
          <w:p w14:paraId="0192AD38" w14:textId="77777777" w:rsidR="00EA38F6" w:rsidRPr="000864AE" w:rsidRDefault="00EA38F6" w:rsidP="000864AE">
            <w:pPr>
              <w:rPr>
                <w:rFonts w:ascii="Verdana" w:hAnsi="Verdana"/>
                <w:sz w:val="18"/>
                <w:szCs w:val="18"/>
              </w:rPr>
            </w:pPr>
            <w:r w:rsidRPr="000864AE">
              <w:rPr>
                <w:rFonts w:ascii="Verdana" w:hAnsi="Verdana"/>
                <w:sz w:val="18"/>
                <w:szCs w:val="18"/>
              </w:rPr>
              <w:t>Perleche Moncayo Pablo</w:t>
            </w:r>
          </w:p>
        </w:tc>
      </w:tr>
      <w:tr w:rsidR="00EA38F6" w:rsidRPr="000864AE" w14:paraId="5AC02D68" w14:textId="77777777" w:rsidTr="00AC0C51">
        <w:trPr>
          <w:trHeight w:val="300"/>
        </w:trPr>
        <w:tc>
          <w:tcPr>
            <w:tcW w:w="668" w:type="dxa"/>
            <w:vAlign w:val="center"/>
            <w:hideMark/>
          </w:tcPr>
          <w:p w14:paraId="2C3978EE"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475</w:t>
            </w:r>
          </w:p>
        </w:tc>
        <w:tc>
          <w:tcPr>
            <w:tcW w:w="3835" w:type="dxa"/>
            <w:vAlign w:val="center"/>
            <w:hideMark/>
          </w:tcPr>
          <w:p w14:paraId="33E1066C" w14:textId="77777777" w:rsidR="00EA38F6" w:rsidRPr="000864AE" w:rsidRDefault="00EA38F6" w:rsidP="000864AE">
            <w:pPr>
              <w:rPr>
                <w:rFonts w:ascii="Verdana" w:hAnsi="Verdana"/>
                <w:sz w:val="18"/>
                <w:szCs w:val="18"/>
              </w:rPr>
            </w:pPr>
            <w:r w:rsidRPr="000864AE">
              <w:rPr>
                <w:rFonts w:ascii="Verdana" w:hAnsi="Verdana"/>
                <w:sz w:val="18"/>
                <w:szCs w:val="18"/>
              </w:rPr>
              <w:t>Pinedo López Lady</w:t>
            </w:r>
          </w:p>
        </w:tc>
      </w:tr>
      <w:tr w:rsidR="00EA38F6" w:rsidRPr="000864AE" w14:paraId="6629BCD0" w14:textId="77777777" w:rsidTr="00AC0C51">
        <w:trPr>
          <w:trHeight w:val="300"/>
        </w:trPr>
        <w:tc>
          <w:tcPr>
            <w:tcW w:w="668" w:type="dxa"/>
            <w:vAlign w:val="center"/>
            <w:hideMark/>
          </w:tcPr>
          <w:p w14:paraId="199AD643"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476</w:t>
            </w:r>
          </w:p>
        </w:tc>
        <w:tc>
          <w:tcPr>
            <w:tcW w:w="3835" w:type="dxa"/>
            <w:vAlign w:val="center"/>
            <w:hideMark/>
          </w:tcPr>
          <w:p w14:paraId="641A75E5" w14:textId="77777777" w:rsidR="00EA38F6" w:rsidRPr="000864AE" w:rsidRDefault="00EA38F6" w:rsidP="000864AE">
            <w:pPr>
              <w:rPr>
                <w:rFonts w:ascii="Verdana" w:hAnsi="Verdana"/>
                <w:sz w:val="18"/>
                <w:szCs w:val="18"/>
              </w:rPr>
            </w:pPr>
            <w:r w:rsidRPr="000864AE">
              <w:rPr>
                <w:rFonts w:ascii="Verdana" w:hAnsi="Verdana"/>
                <w:sz w:val="18"/>
                <w:szCs w:val="18"/>
              </w:rPr>
              <w:t>Placencia Carranza Hugo Alberto</w:t>
            </w:r>
          </w:p>
        </w:tc>
      </w:tr>
      <w:tr w:rsidR="00EA38F6" w:rsidRPr="000864AE" w14:paraId="70C2052C" w14:textId="77777777" w:rsidTr="00AC0C51">
        <w:trPr>
          <w:trHeight w:val="300"/>
        </w:trPr>
        <w:tc>
          <w:tcPr>
            <w:tcW w:w="668" w:type="dxa"/>
            <w:vAlign w:val="center"/>
            <w:hideMark/>
          </w:tcPr>
          <w:p w14:paraId="6A3D639B"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477</w:t>
            </w:r>
          </w:p>
        </w:tc>
        <w:tc>
          <w:tcPr>
            <w:tcW w:w="3835" w:type="dxa"/>
            <w:vAlign w:val="center"/>
            <w:hideMark/>
          </w:tcPr>
          <w:p w14:paraId="50232EAA" w14:textId="77777777" w:rsidR="00EA38F6" w:rsidRPr="000864AE" w:rsidRDefault="00EA38F6" w:rsidP="000864AE">
            <w:pPr>
              <w:rPr>
                <w:rFonts w:ascii="Verdana" w:hAnsi="Verdana"/>
                <w:sz w:val="18"/>
                <w:szCs w:val="18"/>
              </w:rPr>
            </w:pPr>
            <w:r w:rsidRPr="000864AE">
              <w:rPr>
                <w:rFonts w:ascii="Verdana" w:hAnsi="Verdana"/>
                <w:sz w:val="18"/>
                <w:szCs w:val="18"/>
              </w:rPr>
              <w:t>Plasencia Torres Jorge Guillermo</w:t>
            </w:r>
          </w:p>
        </w:tc>
      </w:tr>
      <w:tr w:rsidR="00EA38F6" w:rsidRPr="000864AE" w14:paraId="73FE577E" w14:textId="77777777" w:rsidTr="00AC0C51">
        <w:trPr>
          <w:trHeight w:val="300"/>
        </w:trPr>
        <w:tc>
          <w:tcPr>
            <w:tcW w:w="668" w:type="dxa"/>
            <w:vAlign w:val="center"/>
            <w:hideMark/>
          </w:tcPr>
          <w:p w14:paraId="5E4D6BE2"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478</w:t>
            </w:r>
          </w:p>
        </w:tc>
        <w:tc>
          <w:tcPr>
            <w:tcW w:w="3835" w:type="dxa"/>
            <w:vAlign w:val="center"/>
            <w:hideMark/>
          </w:tcPr>
          <w:p w14:paraId="5B30A387" w14:textId="77777777" w:rsidR="00EA38F6" w:rsidRPr="000864AE" w:rsidRDefault="00EA38F6" w:rsidP="000864AE">
            <w:pPr>
              <w:rPr>
                <w:rFonts w:ascii="Verdana" w:hAnsi="Verdana"/>
                <w:sz w:val="18"/>
                <w:szCs w:val="18"/>
              </w:rPr>
            </w:pPr>
            <w:r w:rsidRPr="000864AE">
              <w:rPr>
                <w:rFonts w:ascii="Verdana" w:hAnsi="Verdana"/>
                <w:sz w:val="18"/>
                <w:szCs w:val="18"/>
              </w:rPr>
              <w:t>Poblete Loayza Víctor</w:t>
            </w:r>
          </w:p>
        </w:tc>
      </w:tr>
      <w:tr w:rsidR="00EA38F6" w:rsidRPr="000864AE" w14:paraId="67EAB663" w14:textId="77777777" w:rsidTr="00AC0C51">
        <w:trPr>
          <w:trHeight w:val="300"/>
        </w:trPr>
        <w:tc>
          <w:tcPr>
            <w:tcW w:w="668" w:type="dxa"/>
            <w:vAlign w:val="center"/>
            <w:hideMark/>
          </w:tcPr>
          <w:p w14:paraId="7F6F7AB9"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479</w:t>
            </w:r>
          </w:p>
        </w:tc>
        <w:tc>
          <w:tcPr>
            <w:tcW w:w="3835" w:type="dxa"/>
            <w:vAlign w:val="center"/>
            <w:hideMark/>
          </w:tcPr>
          <w:p w14:paraId="72C41872" w14:textId="77777777" w:rsidR="00EA38F6" w:rsidRPr="000864AE" w:rsidRDefault="00EA38F6" w:rsidP="000864AE">
            <w:pPr>
              <w:rPr>
                <w:rFonts w:ascii="Verdana" w:hAnsi="Verdana"/>
                <w:sz w:val="18"/>
                <w:szCs w:val="18"/>
              </w:rPr>
            </w:pPr>
            <w:r w:rsidRPr="000864AE">
              <w:rPr>
                <w:rFonts w:ascii="Verdana" w:hAnsi="Verdana"/>
                <w:sz w:val="18"/>
                <w:szCs w:val="18"/>
              </w:rPr>
              <w:t>Polleri Dongo Cesar Ernesto</w:t>
            </w:r>
          </w:p>
        </w:tc>
      </w:tr>
      <w:tr w:rsidR="00EA38F6" w:rsidRPr="000864AE" w14:paraId="1F7DFAB9" w14:textId="77777777" w:rsidTr="00AC0C51">
        <w:trPr>
          <w:trHeight w:val="300"/>
        </w:trPr>
        <w:tc>
          <w:tcPr>
            <w:tcW w:w="668" w:type="dxa"/>
            <w:vAlign w:val="center"/>
            <w:hideMark/>
          </w:tcPr>
          <w:p w14:paraId="3263E03D"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480</w:t>
            </w:r>
          </w:p>
        </w:tc>
        <w:tc>
          <w:tcPr>
            <w:tcW w:w="3835" w:type="dxa"/>
            <w:vAlign w:val="center"/>
            <w:hideMark/>
          </w:tcPr>
          <w:p w14:paraId="3C9E49B2" w14:textId="77777777" w:rsidR="00EA38F6" w:rsidRPr="000864AE" w:rsidRDefault="00EA38F6" w:rsidP="000864AE">
            <w:pPr>
              <w:rPr>
                <w:rFonts w:ascii="Verdana" w:hAnsi="Verdana"/>
                <w:sz w:val="18"/>
                <w:szCs w:val="18"/>
              </w:rPr>
            </w:pPr>
            <w:r w:rsidRPr="000864AE">
              <w:rPr>
                <w:rFonts w:ascii="Verdana" w:hAnsi="Verdana"/>
                <w:sz w:val="18"/>
                <w:szCs w:val="18"/>
              </w:rPr>
              <w:t>Portilla Palacios Luis</w:t>
            </w:r>
          </w:p>
        </w:tc>
      </w:tr>
      <w:tr w:rsidR="00EA38F6" w:rsidRPr="000864AE" w14:paraId="112D0FB4" w14:textId="77777777" w:rsidTr="00AC0C51">
        <w:trPr>
          <w:trHeight w:val="300"/>
        </w:trPr>
        <w:tc>
          <w:tcPr>
            <w:tcW w:w="668" w:type="dxa"/>
            <w:vAlign w:val="center"/>
            <w:hideMark/>
          </w:tcPr>
          <w:p w14:paraId="3F084281"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481</w:t>
            </w:r>
          </w:p>
        </w:tc>
        <w:tc>
          <w:tcPr>
            <w:tcW w:w="3835" w:type="dxa"/>
            <w:vAlign w:val="center"/>
            <w:hideMark/>
          </w:tcPr>
          <w:p w14:paraId="3AEC2AA7" w14:textId="77777777" w:rsidR="00EA38F6" w:rsidRPr="000864AE" w:rsidRDefault="00EA38F6" w:rsidP="000864AE">
            <w:pPr>
              <w:rPr>
                <w:rFonts w:ascii="Verdana" w:hAnsi="Verdana"/>
                <w:sz w:val="18"/>
                <w:szCs w:val="18"/>
              </w:rPr>
            </w:pPr>
            <w:r w:rsidRPr="000864AE">
              <w:rPr>
                <w:rFonts w:ascii="Verdana" w:hAnsi="Verdana"/>
                <w:sz w:val="18"/>
                <w:szCs w:val="18"/>
              </w:rPr>
              <w:t>Posso Tornero Eduardo</w:t>
            </w:r>
          </w:p>
        </w:tc>
      </w:tr>
      <w:tr w:rsidR="00EA38F6" w:rsidRPr="000864AE" w14:paraId="3C57D53F" w14:textId="77777777" w:rsidTr="00AC0C51">
        <w:trPr>
          <w:trHeight w:val="300"/>
        </w:trPr>
        <w:tc>
          <w:tcPr>
            <w:tcW w:w="668" w:type="dxa"/>
            <w:vAlign w:val="center"/>
            <w:hideMark/>
          </w:tcPr>
          <w:p w14:paraId="08C0275D"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482</w:t>
            </w:r>
          </w:p>
        </w:tc>
        <w:tc>
          <w:tcPr>
            <w:tcW w:w="3835" w:type="dxa"/>
            <w:vAlign w:val="center"/>
            <w:hideMark/>
          </w:tcPr>
          <w:p w14:paraId="4EB2CC63" w14:textId="77777777" w:rsidR="00EA38F6" w:rsidRPr="000864AE" w:rsidRDefault="00EA38F6" w:rsidP="000864AE">
            <w:pPr>
              <w:rPr>
                <w:rFonts w:ascii="Verdana" w:hAnsi="Verdana"/>
                <w:sz w:val="18"/>
                <w:szCs w:val="18"/>
              </w:rPr>
            </w:pPr>
            <w:r w:rsidRPr="000864AE">
              <w:rPr>
                <w:rFonts w:ascii="Verdana" w:hAnsi="Verdana"/>
                <w:sz w:val="18"/>
                <w:szCs w:val="18"/>
              </w:rPr>
              <w:t>Povis Carvajal Gloria Luz</w:t>
            </w:r>
          </w:p>
        </w:tc>
      </w:tr>
      <w:tr w:rsidR="00EA38F6" w:rsidRPr="000864AE" w14:paraId="5D76A02C" w14:textId="77777777" w:rsidTr="00AC0C51">
        <w:trPr>
          <w:trHeight w:val="300"/>
        </w:trPr>
        <w:tc>
          <w:tcPr>
            <w:tcW w:w="668" w:type="dxa"/>
            <w:vAlign w:val="center"/>
            <w:hideMark/>
          </w:tcPr>
          <w:p w14:paraId="109C9F37"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483</w:t>
            </w:r>
          </w:p>
        </w:tc>
        <w:tc>
          <w:tcPr>
            <w:tcW w:w="3835" w:type="dxa"/>
            <w:vAlign w:val="center"/>
            <w:hideMark/>
          </w:tcPr>
          <w:p w14:paraId="6394C5D6" w14:textId="77777777" w:rsidR="00EA38F6" w:rsidRPr="000864AE" w:rsidRDefault="00EA38F6" w:rsidP="000864AE">
            <w:pPr>
              <w:rPr>
                <w:rFonts w:ascii="Verdana" w:hAnsi="Verdana"/>
                <w:sz w:val="18"/>
                <w:szCs w:val="18"/>
              </w:rPr>
            </w:pPr>
            <w:r w:rsidRPr="000864AE">
              <w:rPr>
                <w:rFonts w:ascii="Verdana" w:hAnsi="Verdana"/>
                <w:sz w:val="18"/>
                <w:szCs w:val="18"/>
              </w:rPr>
              <w:t>Prado Pantoja Jorge Luis</w:t>
            </w:r>
          </w:p>
        </w:tc>
      </w:tr>
      <w:tr w:rsidR="00EA38F6" w:rsidRPr="000864AE" w14:paraId="0439E2D4" w14:textId="77777777" w:rsidTr="00AC0C51">
        <w:trPr>
          <w:trHeight w:val="300"/>
        </w:trPr>
        <w:tc>
          <w:tcPr>
            <w:tcW w:w="668" w:type="dxa"/>
            <w:vAlign w:val="center"/>
            <w:hideMark/>
          </w:tcPr>
          <w:p w14:paraId="2AEB945F"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484</w:t>
            </w:r>
          </w:p>
        </w:tc>
        <w:tc>
          <w:tcPr>
            <w:tcW w:w="3835" w:type="dxa"/>
            <w:vAlign w:val="center"/>
            <w:hideMark/>
          </w:tcPr>
          <w:p w14:paraId="2AA7D8EE" w14:textId="77777777" w:rsidR="00EA38F6" w:rsidRPr="000864AE" w:rsidRDefault="00EA38F6" w:rsidP="000864AE">
            <w:pPr>
              <w:rPr>
                <w:rFonts w:ascii="Verdana" w:hAnsi="Verdana"/>
                <w:sz w:val="18"/>
                <w:szCs w:val="18"/>
              </w:rPr>
            </w:pPr>
            <w:r w:rsidRPr="000864AE">
              <w:rPr>
                <w:rFonts w:ascii="Verdana" w:hAnsi="Verdana"/>
                <w:sz w:val="18"/>
                <w:szCs w:val="18"/>
              </w:rPr>
              <w:t>Pujazón Morello Humberto Ernesto</w:t>
            </w:r>
          </w:p>
        </w:tc>
      </w:tr>
      <w:tr w:rsidR="00EA38F6" w:rsidRPr="000864AE" w14:paraId="6687CC29" w14:textId="77777777" w:rsidTr="00AC0C51">
        <w:trPr>
          <w:trHeight w:val="300"/>
        </w:trPr>
        <w:tc>
          <w:tcPr>
            <w:tcW w:w="668" w:type="dxa"/>
            <w:vAlign w:val="center"/>
            <w:hideMark/>
          </w:tcPr>
          <w:p w14:paraId="3BBF939E"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485</w:t>
            </w:r>
          </w:p>
        </w:tc>
        <w:tc>
          <w:tcPr>
            <w:tcW w:w="3835" w:type="dxa"/>
            <w:vAlign w:val="center"/>
            <w:hideMark/>
          </w:tcPr>
          <w:p w14:paraId="3F8EDB81" w14:textId="77777777" w:rsidR="00EA38F6" w:rsidRPr="000864AE" w:rsidRDefault="00EA38F6" w:rsidP="000864AE">
            <w:pPr>
              <w:rPr>
                <w:rFonts w:ascii="Verdana" w:hAnsi="Verdana"/>
                <w:sz w:val="18"/>
                <w:szCs w:val="18"/>
              </w:rPr>
            </w:pPr>
            <w:r w:rsidRPr="000864AE">
              <w:rPr>
                <w:rFonts w:ascii="Verdana" w:hAnsi="Verdana"/>
                <w:sz w:val="18"/>
                <w:szCs w:val="18"/>
              </w:rPr>
              <w:t>Pulgar Omonte Pedro</w:t>
            </w:r>
          </w:p>
        </w:tc>
      </w:tr>
      <w:tr w:rsidR="00EA38F6" w:rsidRPr="000864AE" w14:paraId="2AED0741" w14:textId="77777777" w:rsidTr="00AC0C51">
        <w:trPr>
          <w:trHeight w:val="300"/>
        </w:trPr>
        <w:tc>
          <w:tcPr>
            <w:tcW w:w="668" w:type="dxa"/>
            <w:vAlign w:val="center"/>
            <w:hideMark/>
          </w:tcPr>
          <w:p w14:paraId="02B03B1B"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486</w:t>
            </w:r>
          </w:p>
        </w:tc>
        <w:tc>
          <w:tcPr>
            <w:tcW w:w="3835" w:type="dxa"/>
            <w:vAlign w:val="center"/>
            <w:hideMark/>
          </w:tcPr>
          <w:p w14:paraId="3DD8381A" w14:textId="77777777" w:rsidR="00EA38F6" w:rsidRPr="000864AE" w:rsidRDefault="00EA38F6" w:rsidP="000864AE">
            <w:pPr>
              <w:rPr>
                <w:rFonts w:ascii="Verdana" w:hAnsi="Verdana"/>
                <w:sz w:val="18"/>
                <w:szCs w:val="18"/>
              </w:rPr>
            </w:pPr>
            <w:r w:rsidRPr="000864AE">
              <w:rPr>
                <w:rFonts w:ascii="Verdana" w:hAnsi="Verdana"/>
                <w:sz w:val="18"/>
                <w:szCs w:val="18"/>
              </w:rPr>
              <w:t>Puntriano Torres Ríos Javier Gustavo</w:t>
            </w:r>
          </w:p>
        </w:tc>
      </w:tr>
      <w:tr w:rsidR="00EA38F6" w:rsidRPr="005A5D3C" w14:paraId="00D0A912" w14:textId="77777777" w:rsidTr="00AC0C51">
        <w:trPr>
          <w:trHeight w:val="300"/>
        </w:trPr>
        <w:tc>
          <w:tcPr>
            <w:tcW w:w="668" w:type="dxa"/>
            <w:vAlign w:val="center"/>
            <w:hideMark/>
          </w:tcPr>
          <w:p w14:paraId="623C0FDE"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487</w:t>
            </w:r>
          </w:p>
        </w:tc>
        <w:tc>
          <w:tcPr>
            <w:tcW w:w="3835" w:type="dxa"/>
            <w:vAlign w:val="center"/>
            <w:hideMark/>
          </w:tcPr>
          <w:p w14:paraId="3539ADE3" w14:textId="77777777" w:rsidR="00EA38F6" w:rsidRPr="000864AE" w:rsidRDefault="00EA38F6" w:rsidP="000864AE">
            <w:pPr>
              <w:rPr>
                <w:rFonts w:ascii="Verdana" w:hAnsi="Verdana"/>
                <w:sz w:val="18"/>
                <w:szCs w:val="18"/>
                <w:lang w:val="pt-BR"/>
              </w:rPr>
            </w:pPr>
            <w:r w:rsidRPr="000864AE">
              <w:rPr>
                <w:rFonts w:ascii="Verdana" w:hAnsi="Verdana"/>
                <w:sz w:val="18"/>
                <w:szCs w:val="18"/>
                <w:lang w:val="pt-BR"/>
              </w:rPr>
              <w:t>Queens Arias Soto Jesús Fernando</w:t>
            </w:r>
          </w:p>
        </w:tc>
      </w:tr>
      <w:tr w:rsidR="00EA38F6" w:rsidRPr="000864AE" w14:paraId="341C4510" w14:textId="77777777" w:rsidTr="00AC0C51">
        <w:trPr>
          <w:trHeight w:val="300"/>
        </w:trPr>
        <w:tc>
          <w:tcPr>
            <w:tcW w:w="668" w:type="dxa"/>
            <w:vAlign w:val="center"/>
            <w:hideMark/>
          </w:tcPr>
          <w:p w14:paraId="5FF2D594"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488</w:t>
            </w:r>
          </w:p>
        </w:tc>
        <w:tc>
          <w:tcPr>
            <w:tcW w:w="3835" w:type="dxa"/>
            <w:vAlign w:val="center"/>
            <w:hideMark/>
          </w:tcPr>
          <w:p w14:paraId="01F877E5" w14:textId="77777777" w:rsidR="00EA38F6" w:rsidRPr="000864AE" w:rsidRDefault="00EA38F6" w:rsidP="000864AE">
            <w:pPr>
              <w:rPr>
                <w:rFonts w:ascii="Verdana" w:hAnsi="Verdana"/>
                <w:sz w:val="18"/>
                <w:szCs w:val="18"/>
              </w:rPr>
            </w:pPr>
            <w:r w:rsidRPr="000864AE">
              <w:rPr>
                <w:rFonts w:ascii="Verdana" w:hAnsi="Verdana"/>
                <w:sz w:val="18"/>
                <w:szCs w:val="18"/>
              </w:rPr>
              <w:t>Quevedo Cabrera Máximo Valentín</w:t>
            </w:r>
          </w:p>
        </w:tc>
      </w:tr>
      <w:tr w:rsidR="00EA38F6" w:rsidRPr="000864AE" w14:paraId="5B5218D6" w14:textId="77777777" w:rsidTr="00AC0C51">
        <w:trPr>
          <w:trHeight w:val="300"/>
        </w:trPr>
        <w:tc>
          <w:tcPr>
            <w:tcW w:w="668" w:type="dxa"/>
            <w:vAlign w:val="center"/>
            <w:hideMark/>
          </w:tcPr>
          <w:p w14:paraId="3B924B7C"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489</w:t>
            </w:r>
          </w:p>
        </w:tc>
        <w:tc>
          <w:tcPr>
            <w:tcW w:w="3835" w:type="dxa"/>
            <w:vAlign w:val="center"/>
            <w:hideMark/>
          </w:tcPr>
          <w:p w14:paraId="7666A843" w14:textId="77777777" w:rsidR="00EA38F6" w:rsidRPr="000864AE" w:rsidRDefault="00EA38F6" w:rsidP="000864AE">
            <w:pPr>
              <w:rPr>
                <w:rFonts w:ascii="Verdana" w:hAnsi="Verdana"/>
                <w:sz w:val="18"/>
                <w:szCs w:val="18"/>
              </w:rPr>
            </w:pPr>
            <w:r w:rsidRPr="000864AE">
              <w:rPr>
                <w:rFonts w:ascii="Verdana" w:hAnsi="Verdana"/>
                <w:sz w:val="18"/>
                <w:szCs w:val="18"/>
              </w:rPr>
              <w:t>Quevedo Revilla Servero Gastón</w:t>
            </w:r>
          </w:p>
        </w:tc>
      </w:tr>
      <w:tr w:rsidR="00EA38F6" w:rsidRPr="005A5D3C" w14:paraId="0D25EB64" w14:textId="77777777" w:rsidTr="00AC0C51">
        <w:trPr>
          <w:trHeight w:val="300"/>
        </w:trPr>
        <w:tc>
          <w:tcPr>
            <w:tcW w:w="668" w:type="dxa"/>
            <w:vAlign w:val="center"/>
            <w:hideMark/>
          </w:tcPr>
          <w:p w14:paraId="778FA560"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490</w:t>
            </w:r>
          </w:p>
        </w:tc>
        <w:tc>
          <w:tcPr>
            <w:tcW w:w="3835" w:type="dxa"/>
            <w:vAlign w:val="center"/>
            <w:hideMark/>
          </w:tcPr>
          <w:p w14:paraId="5CC859B2" w14:textId="77777777" w:rsidR="00EA38F6" w:rsidRPr="000864AE" w:rsidRDefault="00EA38F6" w:rsidP="000864AE">
            <w:pPr>
              <w:rPr>
                <w:rFonts w:ascii="Verdana" w:hAnsi="Verdana"/>
                <w:sz w:val="18"/>
                <w:szCs w:val="18"/>
                <w:lang w:val="pt-BR"/>
              </w:rPr>
            </w:pPr>
            <w:r w:rsidRPr="000864AE">
              <w:rPr>
                <w:rFonts w:ascii="Verdana" w:hAnsi="Verdana"/>
                <w:sz w:val="18"/>
                <w:szCs w:val="18"/>
                <w:lang w:val="pt-BR"/>
              </w:rPr>
              <w:t>Quevedo Rivas Jorge José Gabriel</w:t>
            </w:r>
          </w:p>
        </w:tc>
      </w:tr>
      <w:tr w:rsidR="00EA38F6" w:rsidRPr="000864AE" w14:paraId="5DECB81B" w14:textId="77777777" w:rsidTr="00AC0C51">
        <w:trPr>
          <w:trHeight w:val="300"/>
        </w:trPr>
        <w:tc>
          <w:tcPr>
            <w:tcW w:w="668" w:type="dxa"/>
            <w:vAlign w:val="center"/>
            <w:hideMark/>
          </w:tcPr>
          <w:p w14:paraId="02C41A1F"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491</w:t>
            </w:r>
          </w:p>
        </w:tc>
        <w:tc>
          <w:tcPr>
            <w:tcW w:w="3835" w:type="dxa"/>
            <w:vAlign w:val="center"/>
            <w:hideMark/>
          </w:tcPr>
          <w:p w14:paraId="382AD2FB" w14:textId="77777777" w:rsidR="00EA38F6" w:rsidRPr="000864AE" w:rsidRDefault="00EA38F6" w:rsidP="000864AE">
            <w:pPr>
              <w:rPr>
                <w:rFonts w:ascii="Verdana" w:hAnsi="Verdana"/>
                <w:sz w:val="18"/>
                <w:szCs w:val="18"/>
              </w:rPr>
            </w:pPr>
            <w:r w:rsidRPr="000864AE">
              <w:rPr>
                <w:rFonts w:ascii="Verdana" w:hAnsi="Verdana"/>
                <w:sz w:val="18"/>
                <w:szCs w:val="18"/>
              </w:rPr>
              <w:t>Quevedo Rivas María Emperatriz</w:t>
            </w:r>
          </w:p>
        </w:tc>
      </w:tr>
      <w:tr w:rsidR="00EA38F6" w:rsidRPr="000864AE" w14:paraId="38836506" w14:textId="77777777" w:rsidTr="00AC0C51">
        <w:trPr>
          <w:trHeight w:val="300"/>
        </w:trPr>
        <w:tc>
          <w:tcPr>
            <w:tcW w:w="668" w:type="dxa"/>
            <w:vAlign w:val="center"/>
            <w:hideMark/>
          </w:tcPr>
          <w:p w14:paraId="5D5FDB3E"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492</w:t>
            </w:r>
          </w:p>
        </w:tc>
        <w:tc>
          <w:tcPr>
            <w:tcW w:w="3835" w:type="dxa"/>
            <w:vAlign w:val="center"/>
            <w:hideMark/>
          </w:tcPr>
          <w:p w14:paraId="416AC7E5" w14:textId="77777777" w:rsidR="00EA38F6" w:rsidRPr="000864AE" w:rsidRDefault="00EA38F6" w:rsidP="000864AE">
            <w:pPr>
              <w:rPr>
                <w:rFonts w:ascii="Verdana" w:hAnsi="Verdana"/>
                <w:sz w:val="18"/>
                <w:szCs w:val="18"/>
              </w:rPr>
            </w:pPr>
            <w:r w:rsidRPr="000864AE">
              <w:rPr>
                <w:rFonts w:ascii="Verdana" w:hAnsi="Verdana"/>
                <w:sz w:val="18"/>
                <w:szCs w:val="18"/>
              </w:rPr>
              <w:t>Quezada Mejía Sandalio Diego</w:t>
            </w:r>
          </w:p>
        </w:tc>
      </w:tr>
      <w:tr w:rsidR="00EA38F6" w:rsidRPr="000864AE" w14:paraId="60E1ABBA" w14:textId="77777777" w:rsidTr="00AC0C51">
        <w:trPr>
          <w:trHeight w:val="300"/>
        </w:trPr>
        <w:tc>
          <w:tcPr>
            <w:tcW w:w="668" w:type="dxa"/>
            <w:vAlign w:val="center"/>
            <w:hideMark/>
          </w:tcPr>
          <w:p w14:paraId="23C75FF0"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493</w:t>
            </w:r>
          </w:p>
        </w:tc>
        <w:tc>
          <w:tcPr>
            <w:tcW w:w="3835" w:type="dxa"/>
            <w:vAlign w:val="center"/>
            <w:hideMark/>
          </w:tcPr>
          <w:p w14:paraId="32B83BFA" w14:textId="77777777" w:rsidR="00EA38F6" w:rsidRPr="000864AE" w:rsidRDefault="00EA38F6" w:rsidP="000864AE">
            <w:pPr>
              <w:rPr>
                <w:rFonts w:ascii="Verdana" w:hAnsi="Verdana"/>
                <w:sz w:val="18"/>
                <w:szCs w:val="18"/>
              </w:rPr>
            </w:pPr>
            <w:r w:rsidRPr="000864AE">
              <w:rPr>
                <w:rFonts w:ascii="Verdana" w:hAnsi="Verdana"/>
                <w:sz w:val="18"/>
                <w:szCs w:val="18"/>
              </w:rPr>
              <w:t>Quintana Palacios Flora Del Carmen</w:t>
            </w:r>
          </w:p>
        </w:tc>
      </w:tr>
      <w:tr w:rsidR="00EA38F6" w:rsidRPr="000864AE" w14:paraId="0F51ABF8" w14:textId="77777777" w:rsidTr="00AC0C51">
        <w:trPr>
          <w:trHeight w:val="300"/>
        </w:trPr>
        <w:tc>
          <w:tcPr>
            <w:tcW w:w="668" w:type="dxa"/>
            <w:vAlign w:val="center"/>
            <w:hideMark/>
          </w:tcPr>
          <w:p w14:paraId="4C85EA77"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494</w:t>
            </w:r>
          </w:p>
        </w:tc>
        <w:tc>
          <w:tcPr>
            <w:tcW w:w="3835" w:type="dxa"/>
            <w:vAlign w:val="center"/>
            <w:hideMark/>
          </w:tcPr>
          <w:p w14:paraId="4880C6A6" w14:textId="77777777" w:rsidR="00EA38F6" w:rsidRPr="000864AE" w:rsidRDefault="00EA38F6" w:rsidP="000864AE">
            <w:pPr>
              <w:rPr>
                <w:rFonts w:ascii="Verdana" w:hAnsi="Verdana"/>
                <w:sz w:val="18"/>
                <w:szCs w:val="18"/>
              </w:rPr>
            </w:pPr>
            <w:r w:rsidRPr="000864AE">
              <w:rPr>
                <w:rFonts w:ascii="Verdana" w:hAnsi="Verdana"/>
                <w:sz w:val="18"/>
                <w:szCs w:val="18"/>
              </w:rPr>
              <w:t>Quiñe Romero Rosa Elena</w:t>
            </w:r>
          </w:p>
        </w:tc>
      </w:tr>
      <w:tr w:rsidR="00EA38F6" w:rsidRPr="000864AE" w14:paraId="68D566A9" w14:textId="77777777" w:rsidTr="00AC0C51">
        <w:trPr>
          <w:trHeight w:val="300"/>
        </w:trPr>
        <w:tc>
          <w:tcPr>
            <w:tcW w:w="668" w:type="dxa"/>
            <w:vAlign w:val="center"/>
            <w:hideMark/>
          </w:tcPr>
          <w:p w14:paraId="4B3EFE84"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495</w:t>
            </w:r>
          </w:p>
        </w:tc>
        <w:tc>
          <w:tcPr>
            <w:tcW w:w="3835" w:type="dxa"/>
            <w:vAlign w:val="center"/>
            <w:hideMark/>
          </w:tcPr>
          <w:p w14:paraId="4AB6FB59" w14:textId="77777777" w:rsidR="00EA38F6" w:rsidRPr="000864AE" w:rsidRDefault="00EA38F6" w:rsidP="000864AE">
            <w:pPr>
              <w:rPr>
                <w:rFonts w:ascii="Verdana" w:hAnsi="Verdana"/>
                <w:sz w:val="18"/>
                <w:szCs w:val="18"/>
              </w:rPr>
            </w:pPr>
            <w:r w:rsidRPr="000864AE">
              <w:rPr>
                <w:rFonts w:ascii="Verdana" w:hAnsi="Verdana"/>
                <w:sz w:val="18"/>
                <w:szCs w:val="18"/>
              </w:rPr>
              <w:t>Quiroz Cauvi María Rosario</w:t>
            </w:r>
          </w:p>
        </w:tc>
      </w:tr>
      <w:tr w:rsidR="00EA38F6" w:rsidRPr="000864AE" w14:paraId="5FC5CBBC" w14:textId="77777777" w:rsidTr="00AC0C51">
        <w:trPr>
          <w:trHeight w:val="300"/>
        </w:trPr>
        <w:tc>
          <w:tcPr>
            <w:tcW w:w="668" w:type="dxa"/>
            <w:vAlign w:val="center"/>
            <w:hideMark/>
          </w:tcPr>
          <w:p w14:paraId="5DD05FB9"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496</w:t>
            </w:r>
          </w:p>
        </w:tc>
        <w:tc>
          <w:tcPr>
            <w:tcW w:w="3835" w:type="dxa"/>
            <w:vAlign w:val="center"/>
            <w:hideMark/>
          </w:tcPr>
          <w:p w14:paraId="1DF51F7D" w14:textId="77777777" w:rsidR="00EA38F6" w:rsidRPr="000864AE" w:rsidRDefault="00EA38F6" w:rsidP="000864AE">
            <w:pPr>
              <w:rPr>
                <w:rFonts w:ascii="Verdana" w:hAnsi="Verdana"/>
                <w:sz w:val="18"/>
                <w:szCs w:val="18"/>
              </w:rPr>
            </w:pPr>
            <w:r w:rsidRPr="000864AE">
              <w:rPr>
                <w:rFonts w:ascii="Verdana" w:hAnsi="Verdana"/>
                <w:sz w:val="18"/>
                <w:szCs w:val="18"/>
              </w:rPr>
              <w:t>Quiroz Cervera Saúl Orestes</w:t>
            </w:r>
          </w:p>
        </w:tc>
      </w:tr>
      <w:tr w:rsidR="00EA38F6" w:rsidRPr="000864AE" w14:paraId="5BF422FD" w14:textId="77777777" w:rsidTr="00AC0C51">
        <w:trPr>
          <w:trHeight w:val="300"/>
        </w:trPr>
        <w:tc>
          <w:tcPr>
            <w:tcW w:w="668" w:type="dxa"/>
            <w:vAlign w:val="center"/>
            <w:hideMark/>
          </w:tcPr>
          <w:p w14:paraId="4225D685"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497</w:t>
            </w:r>
          </w:p>
        </w:tc>
        <w:tc>
          <w:tcPr>
            <w:tcW w:w="3835" w:type="dxa"/>
            <w:vAlign w:val="center"/>
            <w:hideMark/>
          </w:tcPr>
          <w:p w14:paraId="40A38362" w14:textId="77777777" w:rsidR="00EA38F6" w:rsidRPr="000864AE" w:rsidRDefault="00EA38F6" w:rsidP="000864AE">
            <w:pPr>
              <w:rPr>
                <w:rFonts w:ascii="Verdana" w:hAnsi="Verdana"/>
                <w:sz w:val="18"/>
                <w:szCs w:val="18"/>
              </w:rPr>
            </w:pPr>
            <w:r w:rsidRPr="000864AE">
              <w:rPr>
                <w:rFonts w:ascii="Verdana" w:hAnsi="Verdana"/>
                <w:sz w:val="18"/>
                <w:szCs w:val="18"/>
              </w:rPr>
              <w:t>Quiroz Ortiz Haydee Dehera</w:t>
            </w:r>
          </w:p>
        </w:tc>
      </w:tr>
      <w:tr w:rsidR="00EA38F6" w:rsidRPr="000864AE" w14:paraId="548FCCB3" w14:textId="77777777" w:rsidTr="00AC0C51">
        <w:trPr>
          <w:trHeight w:val="300"/>
        </w:trPr>
        <w:tc>
          <w:tcPr>
            <w:tcW w:w="668" w:type="dxa"/>
            <w:vAlign w:val="center"/>
            <w:hideMark/>
          </w:tcPr>
          <w:p w14:paraId="3FEF1C53"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498</w:t>
            </w:r>
          </w:p>
        </w:tc>
        <w:tc>
          <w:tcPr>
            <w:tcW w:w="3835" w:type="dxa"/>
            <w:vAlign w:val="center"/>
            <w:hideMark/>
          </w:tcPr>
          <w:p w14:paraId="531E82E1" w14:textId="77777777" w:rsidR="00EA38F6" w:rsidRPr="000864AE" w:rsidRDefault="00EA38F6" w:rsidP="000864AE">
            <w:pPr>
              <w:rPr>
                <w:rFonts w:ascii="Verdana" w:hAnsi="Verdana"/>
                <w:sz w:val="18"/>
                <w:szCs w:val="18"/>
              </w:rPr>
            </w:pPr>
            <w:r w:rsidRPr="000864AE">
              <w:rPr>
                <w:rFonts w:ascii="Verdana" w:hAnsi="Verdana"/>
                <w:sz w:val="18"/>
                <w:szCs w:val="18"/>
              </w:rPr>
              <w:t>Quiroz Vallejos Carmen Mercedes</w:t>
            </w:r>
          </w:p>
        </w:tc>
      </w:tr>
      <w:tr w:rsidR="00EA38F6" w:rsidRPr="000864AE" w14:paraId="407C8888" w14:textId="77777777" w:rsidTr="00AC0C51">
        <w:trPr>
          <w:trHeight w:val="300"/>
        </w:trPr>
        <w:tc>
          <w:tcPr>
            <w:tcW w:w="668" w:type="dxa"/>
            <w:vAlign w:val="center"/>
            <w:hideMark/>
          </w:tcPr>
          <w:p w14:paraId="2BACDC80"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499</w:t>
            </w:r>
          </w:p>
        </w:tc>
        <w:tc>
          <w:tcPr>
            <w:tcW w:w="3835" w:type="dxa"/>
            <w:vAlign w:val="center"/>
            <w:hideMark/>
          </w:tcPr>
          <w:p w14:paraId="2193DC70" w14:textId="77777777" w:rsidR="00EA38F6" w:rsidRPr="000864AE" w:rsidRDefault="00EA38F6" w:rsidP="000864AE">
            <w:pPr>
              <w:rPr>
                <w:rFonts w:ascii="Verdana" w:hAnsi="Verdana"/>
                <w:sz w:val="18"/>
                <w:szCs w:val="18"/>
              </w:rPr>
            </w:pPr>
            <w:r w:rsidRPr="000864AE">
              <w:rPr>
                <w:rFonts w:ascii="Verdana" w:hAnsi="Verdana"/>
                <w:sz w:val="18"/>
                <w:szCs w:val="18"/>
              </w:rPr>
              <w:t>Rado Farfán Federico</w:t>
            </w:r>
          </w:p>
        </w:tc>
      </w:tr>
      <w:tr w:rsidR="00EA38F6" w:rsidRPr="000864AE" w14:paraId="2D616C04" w14:textId="77777777" w:rsidTr="00AC0C51">
        <w:trPr>
          <w:trHeight w:val="300"/>
        </w:trPr>
        <w:tc>
          <w:tcPr>
            <w:tcW w:w="668" w:type="dxa"/>
            <w:vAlign w:val="center"/>
            <w:hideMark/>
          </w:tcPr>
          <w:p w14:paraId="048EAD11"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500</w:t>
            </w:r>
          </w:p>
        </w:tc>
        <w:tc>
          <w:tcPr>
            <w:tcW w:w="3835" w:type="dxa"/>
            <w:vAlign w:val="center"/>
            <w:hideMark/>
          </w:tcPr>
          <w:p w14:paraId="7092089D" w14:textId="77777777" w:rsidR="00EA38F6" w:rsidRPr="000864AE" w:rsidRDefault="00EA38F6" w:rsidP="000864AE">
            <w:pPr>
              <w:rPr>
                <w:rFonts w:ascii="Verdana" w:hAnsi="Verdana"/>
                <w:sz w:val="18"/>
                <w:szCs w:val="18"/>
              </w:rPr>
            </w:pPr>
            <w:r w:rsidRPr="000864AE">
              <w:rPr>
                <w:rFonts w:ascii="Verdana" w:hAnsi="Verdana"/>
                <w:sz w:val="18"/>
                <w:szCs w:val="18"/>
              </w:rPr>
              <w:t>Raez Guevara Ana María</w:t>
            </w:r>
          </w:p>
        </w:tc>
      </w:tr>
      <w:tr w:rsidR="00EA38F6" w:rsidRPr="000864AE" w14:paraId="55719712" w14:textId="77777777" w:rsidTr="00AC0C51">
        <w:trPr>
          <w:trHeight w:val="300"/>
        </w:trPr>
        <w:tc>
          <w:tcPr>
            <w:tcW w:w="668" w:type="dxa"/>
            <w:vAlign w:val="center"/>
            <w:hideMark/>
          </w:tcPr>
          <w:p w14:paraId="0D79AE65"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501</w:t>
            </w:r>
          </w:p>
        </w:tc>
        <w:tc>
          <w:tcPr>
            <w:tcW w:w="3835" w:type="dxa"/>
            <w:vAlign w:val="center"/>
            <w:hideMark/>
          </w:tcPr>
          <w:p w14:paraId="10242379" w14:textId="77777777" w:rsidR="00EA38F6" w:rsidRPr="000864AE" w:rsidRDefault="00EA38F6" w:rsidP="000864AE">
            <w:pPr>
              <w:rPr>
                <w:rFonts w:ascii="Verdana" w:hAnsi="Verdana"/>
                <w:sz w:val="18"/>
                <w:szCs w:val="18"/>
              </w:rPr>
            </w:pPr>
            <w:r w:rsidRPr="000864AE">
              <w:rPr>
                <w:rFonts w:ascii="Verdana" w:hAnsi="Verdana"/>
                <w:sz w:val="18"/>
                <w:szCs w:val="18"/>
              </w:rPr>
              <w:t>Ramírez Bustos Damaso Arístides</w:t>
            </w:r>
          </w:p>
        </w:tc>
      </w:tr>
      <w:tr w:rsidR="00EA38F6" w:rsidRPr="000864AE" w14:paraId="7EED2E8F" w14:textId="77777777" w:rsidTr="00AC0C51">
        <w:trPr>
          <w:trHeight w:val="300"/>
        </w:trPr>
        <w:tc>
          <w:tcPr>
            <w:tcW w:w="668" w:type="dxa"/>
            <w:vAlign w:val="center"/>
            <w:hideMark/>
          </w:tcPr>
          <w:p w14:paraId="01BD7DA3"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502</w:t>
            </w:r>
          </w:p>
        </w:tc>
        <w:tc>
          <w:tcPr>
            <w:tcW w:w="3835" w:type="dxa"/>
            <w:vAlign w:val="center"/>
            <w:hideMark/>
          </w:tcPr>
          <w:p w14:paraId="5D897F80" w14:textId="77777777" w:rsidR="00EA38F6" w:rsidRPr="000864AE" w:rsidRDefault="00EA38F6" w:rsidP="000864AE">
            <w:pPr>
              <w:rPr>
                <w:rFonts w:ascii="Verdana" w:hAnsi="Verdana"/>
                <w:sz w:val="18"/>
                <w:szCs w:val="18"/>
              </w:rPr>
            </w:pPr>
            <w:r w:rsidRPr="000864AE">
              <w:rPr>
                <w:rFonts w:ascii="Verdana" w:hAnsi="Verdana"/>
                <w:sz w:val="18"/>
                <w:szCs w:val="18"/>
              </w:rPr>
              <w:t>Ramírez Hoyos Juan Alberto</w:t>
            </w:r>
          </w:p>
        </w:tc>
      </w:tr>
      <w:tr w:rsidR="00EA38F6" w:rsidRPr="000864AE" w14:paraId="33A28187" w14:textId="77777777" w:rsidTr="00AC0C51">
        <w:trPr>
          <w:trHeight w:val="300"/>
        </w:trPr>
        <w:tc>
          <w:tcPr>
            <w:tcW w:w="668" w:type="dxa"/>
            <w:vAlign w:val="center"/>
            <w:hideMark/>
          </w:tcPr>
          <w:p w14:paraId="6C202BB8"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503</w:t>
            </w:r>
          </w:p>
        </w:tc>
        <w:tc>
          <w:tcPr>
            <w:tcW w:w="3835" w:type="dxa"/>
            <w:vAlign w:val="center"/>
            <w:hideMark/>
          </w:tcPr>
          <w:p w14:paraId="293A10C8" w14:textId="77777777" w:rsidR="00EA38F6" w:rsidRPr="000864AE" w:rsidRDefault="00EA38F6" w:rsidP="000864AE">
            <w:pPr>
              <w:rPr>
                <w:rFonts w:ascii="Verdana" w:hAnsi="Verdana"/>
                <w:sz w:val="18"/>
                <w:szCs w:val="18"/>
              </w:rPr>
            </w:pPr>
            <w:r w:rsidRPr="000864AE">
              <w:rPr>
                <w:rFonts w:ascii="Verdana" w:hAnsi="Verdana"/>
                <w:sz w:val="18"/>
                <w:szCs w:val="18"/>
              </w:rPr>
              <w:t>Ramírez Pérez Pablo Gilberto</w:t>
            </w:r>
          </w:p>
        </w:tc>
      </w:tr>
      <w:tr w:rsidR="00EA38F6" w:rsidRPr="000864AE" w14:paraId="1ED0C6F1" w14:textId="77777777" w:rsidTr="00AC0C51">
        <w:trPr>
          <w:trHeight w:val="300"/>
        </w:trPr>
        <w:tc>
          <w:tcPr>
            <w:tcW w:w="668" w:type="dxa"/>
            <w:vAlign w:val="center"/>
            <w:hideMark/>
          </w:tcPr>
          <w:p w14:paraId="7C4FECB5"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504</w:t>
            </w:r>
          </w:p>
        </w:tc>
        <w:tc>
          <w:tcPr>
            <w:tcW w:w="3835" w:type="dxa"/>
            <w:vAlign w:val="center"/>
            <w:hideMark/>
          </w:tcPr>
          <w:p w14:paraId="2138E5B3" w14:textId="77777777" w:rsidR="00EA38F6" w:rsidRPr="000864AE" w:rsidRDefault="00EA38F6" w:rsidP="000864AE">
            <w:pPr>
              <w:rPr>
                <w:rFonts w:ascii="Verdana" w:hAnsi="Verdana"/>
                <w:sz w:val="18"/>
                <w:szCs w:val="18"/>
              </w:rPr>
            </w:pPr>
            <w:r w:rsidRPr="000864AE">
              <w:rPr>
                <w:rFonts w:ascii="Verdana" w:hAnsi="Verdana"/>
                <w:sz w:val="18"/>
                <w:szCs w:val="18"/>
              </w:rPr>
              <w:t>Ramos Ballón Julio Nazario</w:t>
            </w:r>
          </w:p>
        </w:tc>
      </w:tr>
      <w:tr w:rsidR="00EA38F6" w:rsidRPr="000864AE" w14:paraId="725922E3" w14:textId="77777777" w:rsidTr="00AC0C51">
        <w:trPr>
          <w:trHeight w:val="300"/>
        </w:trPr>
        <w:tc>
          <w:tcPr>
            <w:tcW w:w="668" w:type="dxa"/>
            <w:vAlign w:val="center"/>
            <w:hideMark/>
          </w:tcPr>
          <w:p w14:paraId="4A6CC6E5"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505</w:t>
            </w:r>
          </w:p>
        </w:tc>
        <w:tc>
          <w:tcPr>
            <w:tcW w:w="3835" w:type="dxa"/>
            <w:vAlign w:val="center"/>
            <w:hideMark/>
          </w:tcPr>
          <w:p w14:paraId="4A1713A3" w14:textId="77777777" w:rsidR="00EA38F6" w:rsidRPr="000864AE" w:rsidRDefault="00EA38F6" w:rsidP="000864AE">
            <w:pPr>
              <w:rPr>
                <w:rFonts w:ascii="Verdana" w:hAnsi="Verdana"/>
                <w:sz w:val="18"/>
                <w:szCs w:val="18"/>
              </w:rPr>
            </w:pPr>
            <w:r w:rsidRPr="000864AE">
              <w:rPr>
                <w:rFonts w:ascii="Verdana" w:hAnsi="Verdana"/>
                <w:sz w:val="18"/>
                <w:szCs w:val="18"/>
              </w:rPr>
              <w:t>Ramos Camacho Francisco</w:t>
            </w:r>
          </w:p>
        </w:tc>
      </w:tr>
      <w:tr w:rsidR="00EA38F6" w:rsidRPr="000864AE" w14:paraId="70084388" w14:textId="77777777" w:rsidTr="00AC0C51">
        <w:trPr>
          <w:trHeight w:val="300"/>
        </w:trPr>
        <w:tc>
          <w:tcPr>
            <w:tcW w:w="668" w:type="dxa"/>
            <w:vAlign w:val="center"/>
            <w:hideMark/>
          </w:tcPr>
          <w:p w14:paraId="609C5407"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506</w:t>
            </w:r>
          </w:p>
        </w:tc>
        <w:tc>
          <w:tcPr>
            <w:tcW w:w="3835" w:type="dxa"/>
            <w:vAlign w:val="center"/>
            <w:hideMark/>
          </w:tcPr>
          <w:p w14:paraId="68506A3B" w14:textId="77777777" w:rsidR="00EA38F6" w:rsidRPr="000864AE" w:rsidRDefault="00EA38F6" w:rsidP="000864AE">
            <w:pPr>
              <w:rPr>
                <w:rFonts w:ascii="Verdana" w:hAnsi="Verdana"/>
                <w:sz w:val="18"/>
                <w:szCs w:val="18"/>
              </w:rPr>
            </w:pPr>
            <w:r w:rsidRPr="000864AE">
              <w:rPr>
                <w:rFonts w:ascii="Verdana" w:hAnsi="Verdana"/>
                <w:sz w:val="18"/>
                <w:szCs w:val="18"/>
              </w:rPr>
              <w:t>Ramos Correa Carmen</w:t>
            </w:r>
          </w:p>
        </w:tc>
      </w:tr>
      <w:tr w:rsidR="00EA38F6" w:rsidRPr="000864AE" w14:paraId="44C9C7D7" w14:textId="77777777" w:rsidTr="00AC0C51">
        <w:trPr>
          <w:trHeight w:val="300"/>
        </w:trPr>
        <w:tc>
          <w:tcPr>
            <w:tcW w:w="668" w:type="dxa"/>
            <w:vAlign w:val="center"/>
            <w:hideMark/>
          </w:tcPr>
          <w:p w14:paraId="08139A0B"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507</w:t>
            </w:r>
          </w:p>
        </w:tc>
        <w:tc>
          <w:tcPr>
            <w:tcW w:w="3835" w:type="dxa"/>
            <w:vAlign w:val="center"/>
            <w:hideMark/>
          </w:tcPr>
          <w:p w14:paraId="73093F2E" w14:textId="77777777" w:rsidR="00EA38F6" w:rsidRPr="000864AE" w:rsidRDefault="00EA38F6" w:rsidP="000864AE">
            <w:pPr>
              <w:rPr>
                <w:rFonts w:ascii="Verdana" w:hAnsi="Verdana"/>
                <w:sz w:val="18"/>
                <w:szCs w:val="18"/>
              </w:rPr>
            </w:pPr>
            <w:r w:rsidRPr="000864AE">
              <w:rPr>
                <w:rFonts w:ascii="Verdana" w:hAnsi="Verdana"/>
                <w:sz w:val="18"/>
                <w:szCs w:val="18"/>
              </w:rPr>
              <w:t>Ramos Espino Pedro Leoncio</w:t>
            </w:r>
          </w:p>
        </w:tc>
      </w:tr>
      <w:tr w:rsidR="00EA38F6" w:rsidRPr="000864AE" w14:paraId="696B76BF" w14:textId="77777777" w:rsidTr="00AC0C51">
        <w:trPr>
          <w:trHeight w:val="300"/>
        </w:trPr>
        <w:tc>
          <w:tcPr>
            <w:tcW w:w="668" w:type="dxa"/>
            <w:vAlign w:val="center"/>
            <w:hideMark/>
          </w:tcPr>
          <w:p w14:paraId="0C044DF6"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508</w:t>
            </w:r>
          </w:p>
        </w:tc>
        <w:tc>
          <w:tcPr>
            <w:tcW w:w="3835" w:type="dxa"/>
            <w:vAlign w:val="center"/>
            <w:hideMark/>
          </w:tcPr>
          <w:p w14:paraId="1C2F9B74" w14:textId="77777777" w:rsidR="00EA38F6" w:rsidRPr="000864AE" w:rsidRDefault="00EA38F6" w:rsidP="000864AE">
            <w:pPr>
              <w:rPr>
                <w:rFonts w:ascii="Verdana" w:hAnsi="Verdana"/>
                <w:sz w:val="18"/>
                <w:szCs w:val="18"/>
              </w:rPr>
            </w:pPr>
            <w:r w:rsidRPr="000864AE">
              <w:rPr>
                <w:rFonts w:ascii="Verdana" w:hAnsi="Verdana"/>
                <w:sz w:val="18"/>
                <w:szCs w:val="18"/>
              </w:rPr>
              <w:t>Ramos Pacheco Henry Oswaldo</w:t>
            </w:r>
          </w:p>
        </w:tc>
      </w:tr>
      <w:tr w:rsidR="00EA38F6" w:rsidRPr="000864AE" w14:paraId="403F73C2" w14:textId="77777777" w:rsidTr="00AC0C51">
        <w:trPr>
          <w:trHeight w:val="300"/>
        </w:trPr>
        <w:tc>
          <w:tcPr>
            <w:tcW w:w="668" w:type="dxa"/>
            <w:vAlign w:val="center"/>
            <w:hideMark/>
          </w:tcPr>
          <w:p w14:paraId="5AB773C6"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509</w:t>
            </w:r>
          </w:p>
        </w:tc>
        <w:tc>
          <w:tcPr>
            <w:tcW w:w="3835" w:type="dxa"/>
            <w:vAlign w:val="center"/>
            <w:hideMark/>
          </w:tcPr>
          <w:p w14:paraId="4AE14C78" w14:textId="77777777" w:rsidR="00EA38F6" w:rsidRPr="000864AE" w:rsidRDefault="00EA38F6" w:rsidP="000864AE">
            <w:pPr>
              <w:rPr>
                <w:rFonts w:ascii="Verdana" w:hAnsi="Verdana"/>
                <w:sz w:val="18"/>
                <w:szCs w:val="18"/>
              </w:rPr>
            </w:pPr>
            <w:r w:rsidRPr="000864AE">
              <w:rPr>
                <w:rFonts w:ascii="Verdana" w:hAnsi="Verdana"/>
                <w:sz w:val="18"/>
                <w:szCs w:val="18"/>
              </w:rPr>
              <w:t>Reátegui Dubuc Rosa Ida</w:t>
            </w:r>
          </w:p>
        </w:tc>
      </w:tr>
      <w:tr w:rsidR="00EA38F6" w:rsidRPr="000864AE" w14:paraId="40C3E10E" w14:textId="77777777" w:rsidTr="00AC0C51">
        <w:trPr>
          <w:trHeight w:val="300"/>
        </w:trPr>
        <w:tc>
          <w:tcPr>
            <w:tcW w:w="668" w:type="dxa"/>
            <w:vAlign w:val="center"/>
            <w:hideMark/>
          </w:tcPr>
          <w:p w14:paraId="5D489CFC"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510</w:t>
            </w:r>
          </w:p>
        </w:tc>
        <w:tc>
          <w:tcPr>
            <w:tcW w:w="3835" w:type="dxa"/>
            <w:vAlign w:val="center"/>
            <w:hideMark/>
          </w:tcPr>
          <w:p w14:paraId="45BB62A3" w14:textId="77777777" w:rsidR="00EA38F6" w:rsidRPr="000864AE" w:rsidRDefault="00EA38F6" w:rsidP="000864AE">
            <w:pPr>
              <w:rPr>
                <w:rFonts w:ascii="Verdana" w:hAnsi="Verdana"/>
                <w:sz w:val="18"/>
                <w:szCs w:val="18"/>
              </w:rPr>
            </w:pPr>
            <w:r w:rsidRPr="000864AE">
              <w:rPr>
                <w:rFonts w:ascii="Verdana" w:hAnsi="Verdana"/>
                <w:sz w:val="18"/>
                <w:szCs w:val="18"/>
              </w:rPr>
              <w:t>Reátegui Solano Daniel</w:t>
            </w:r>
          </w:p>
        </w:tc>
      </w:tr>
      <w:tr w:rsidR="00EA38F6" w:rsidRPr="000864AE" w14:paraId="485D90E0" w14:textId="77777777" w:rsidTr="00AC0C51">
        <w:trPr>
          <w:trHeight w:val="300"/>
        </w:trPr>
        <w:tc>
          <w:tcPr>
            <w:tcW w:w="668" w:type="dxa"/>
            <w:vAlign w:val="center"/>
            <w:hideMark/>
          </w:tcPr>
          <w:p w14:paraId="359DA7C2"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511</w:t>
            </w:r>
          </w:p>
        </w:tc>
        <w:tc>
          <w:tcPr>
            <w:tcW w:w="3835" w:type="dxa"/>
            <w:vAlign w:val="center"/>
            <w:hideMark/>
          </w:tcPr>
          <w:p w14:paraId="7C3996DD" w14:textId="77777777" w:rsidR="00EA38F6" w:rsidRPr="000864AE" w:rsidRDefault="00EA38F6" w:rsidP="000864AE">
            <w:pPr>
              <w:rPr>
                <w:rFonts w:ascii="Verdana" w:hAnsi="Verdana"/>
                <w:sz w:val="18"/>
                <w:szCs w:val="18"/>
              </w:rPr>
            </w:pPr>
            <w:r w:rsidRPr="000864AE">
              <w:rPr>
                <w:rFonts w:ascii="Verdana" w:hAnsi="Verdana"/>
                <w:sz w:val="18"/>
                <w:szCs w:val="18"/>
              </w:rPr>
              <w:t>Rejas Gómez José Luis</w:t>
            </w:r>
          </w:p>
        </w:tc>
      </w:tr>
      <w:tr w:rsidR="00EA38F6" w:rsidRPr="000864AE" w14:paraId="3A15629D" w14:textId="77777777" w:rsidTr="00AC0C51">
        <w:trPr>
          <w:trHeight w:val="300"/>
        </w:trPr>
        <w:tc>
          <w:tcPr>
            <w:tcW w:w="668" w:type="dxa"/>
            <w:vAlign w:val="center"/>
            <w:hideMark/>
          </w:tcPr>
          <w:p w14:paraId="488BAD21"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512</w:t>
            </w:r>
          </w:p>
        </w:tc>
        <w:tc>
          <w:tcPr>
            <w:tcW w:w="3835" w:type="dxa"/>
            <w:vAlign w:val="center"/>
            <w:hideMark/>
          </w:tcPr>
          <w:p w14:paraId="317D96F7" w14:textId="77777777" w:rsidR="00EA38F6" w:rsidRPr="000864AE" w:rsidRDefault="00EA38F6" w:rsidP="000864AE">
            <w:pPr>
              <w:rPr>
                <w:rFonts w:ascii="Verdana" w:hAnsi="Verdana"/>
                <w:sz w:val="18"/>
                <w:szCs w:val="18"/>
              </w:rPr>
            </w:pPr>
            <w:r w:rsidRPr="000864AE">
              <w:rPr>
                <w:rFonts w:ascii="Verdana" w:hAnsi="Verdana"/>
                <w:sz w:val="18"/>
                <w:szCs w:val="18"/>
              </w:rPr>
              <w:t>Rengifo Hidalgo Ramón</w:t>
            </w:r>
          </w:p>
        </w:tc>
      </w:tr>
      <w:tr w:rsidR="00EA38F6" w:rsidRPr="000864AE" w14:paraId="2F7D8883" w14:textId="77777777" w:rsidTr="00AC0C51">
        <w:trPr>
          <w:trHeight w:val="300"/>
        </w:trPr>
        <w:tc>
          <w:tcPr>
            <w:tcW w:w="668" w:type="dxa"/>
            <w:vAlign w:val="center"/>
            <w:hideMark/>
          </w:tcPr>
          <w:p w14:paraId="6174F58D"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513</w:t>
            </w:r>
          </w:p>
        </w:tc>
        <w:tc>
          <w:tcPr>
            <w:tcW w:w="3835" w:type="dxa"/>
            <w:vAlign w:val="center"/>
            <w:hideMark/>
          </w:tcPr>
          <w:p w14:paraId="5EFD1E3A" w14:textId="77777777" w:rsidR="00EA38F6" w:rsidRPr="000864AE" w:rsidRDefault="00EA38F6" w:rsidP="000864AE">
            <w:pPr>
              <w:rPr>
                <w:rFonts w:ascii="Verdana" w:hAnsi="Verdana"/>
                <w:sz w:val="18"/>
                <w:szCs w:val="18"/>
              </w:rPr>
            </w:pPr>
            <w:r w:rsidRPr="000864AE">
              <w:rPr>
                <w:rFonts w:ascii="Verdana" w:hAnsi="Verdana"/>
                <w:sz w:val="18"/>
                <w:szCs w:val="18"/>
              </w:rPr>
              <w:t>Rengifo Pezo Carlos Advelcader</w:t>
            </w:r>
          </w:p>
        </w:tc>
      </w:tr>
      <w:tr w:rsidR="00EA38F6" w:rsidRPr="000864AE" w14:paraId="4EC82806" w14:textId="77777777" w:rsidTr="00AC0C51">
        <w:trPr>
          <w:trHeight w:val="300"/>
        </w:trPr>
        <w:tc>
          <w:tcPr>
            <w:tcW w:w="668" w:type="dxa"/>
            <w:vAlign w:val="center"/>
            <w:hideMark/>
          </w:tcPr>
          <w:p w14:paraId="7DEAE393"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514</w:t>
            </w:r>
          </w:p>
        </w:tc>
        <w:tc>
          <w:tcPr>
            <w:tcW w:w="3835" w:type="dxa"/>
            <w:vAlign w:val="center"/>
            <w:hideMark/>
          </w:tcPr>
          <w:p w14:paraId="37298460" w14:textId="77777777" w:rsidR="00EA38F6" w:rsidRPr="000864AE" w:rsidRDefault="00EA38F6" w:rsidP="000864AE">
            <w:pPr>
              <w:rPr>
                <w:rFonts w:ascii="Verdana" w:hAnsi="Verdana"/>
                <w:sz w:val="18"/>
                <w:szCs w:val="18"/>
              </w:rPr>
            </w:pPr>
            <w:r w:rsidRPr="000864AE">
              <w:rPr>
                <w:rFonts w:ascii="Verdana" w:hAnsi="Verdana"/>
                <w:sz w:val="18"/>
                <w:szCs w:val="18"/>
              </w:rPr>
              <w:t>Renilla Herrera Raúl Alberto</w:t>
            </w:r>
          </w:p>
        </w:tc>
      </w:tr>
      <w:tr w:rsidR="00EA38F6" w:rsidRPr="000864AE" w14:paraId="0265CFBC" w14:textId="77777777" w:rsidTr="00AC0C51">
        <w:trPr>
          <w:trHeight w:val="300"/>
        </w:trPr>
        <w:tc>
          <w:tcPr>
            <w:tcW w:w="668" w:type="dxa"/>
            <w:vAlign w:val="center"/>
            <w:hideMark/>
          </w:tcPr>
          <w:p w14:paraId="6FB43D27"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515</w:t>
            </w:r>
          </w:p>
        </w:tc>
        <w:tc>
          <w:tcPr>
            <w:tcW w:w="3835" w:type="dxa"/>
            <w:vAlign w:val="center"/>
            <w:hideMark/>
          </w:tcPr>
          <w:p w14:paraId="709AEC3D" w14:textId="77777777" w:rsidR="00EA38F6" w:rsidRPr="000864AE" w:rsidRDefault="00EA38F6" w:rsidP="000864AE">
            <w:pPr>
              <w:rPr>
                <w:rFonts w:ascii="Verdana" w:hAnsi="Verdana"/>
                <w:sz w:val="18"/>
                <w:szCs w:val="18"/>
              </w:rPr>
            </w:pPr>
            <w:r w:rsidRPr="000864AE">
              <w:rPr>
                <w:rFonts w:ascii="Verdana" w:hAnsi="Verdana"/>
                <w:sz w:val="18"/>
                <w:szCs w:val="18"/>
              </w:rPr>
              <w:t>Renilla Herrera Segundo Camilo</w:t>
            </w:r>
          </w:p>
        </w:tc>
      </w:tr>
      <w:tr w:rsidR="00EA38F6" w:rsidRPr="000864AE" w14:paraId="5433394C" w14:textId="77777777" w:rsidTr="00AC0C51">
        <w:trPr>
          <w:trHeight w:val="300"/>
        </w:trPr>
        <w:tc>
          <w:tcPr>
            <w:tcW w:w="668" w:type="dxa"/>
            <w:vAlign w:val="center"/>
            <w:hideMark/>
          </w:tcPr>
          <w:p w14:paraId="16DEFE3F"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516</w:t>
            </w:r>
          </w:p>
        </w:tc>
        <w:tc>
          <w:tcPr>
            <w:tcW w:w="3835" w:type="dxa"/>
            <w:vAlign w:val="center"/>
            <w:hideMark/>
          </w:tcPr>
          <w:p w14:paraId="03CC6B0B" w14:textId="77777777" w:rsidR="00EA38F6" w:rsidRPr="000864AE" w:rsidRDefault="00EA38F6" w:rsidP="000864AE">
            <w:pPr>
              <w:rPr>
                <w:rFonts w:ascii="Verdana" w:hAnsi="Verdana"/>
                <w:sz w:val="18"/>
                <w:szCs w:val="18"/>
              </w:rPr>
            </w:pPr>
            <w:r w:rsidRPr="000864AE">
              <w:rPr>
                <w:rFonts w:ascii="Verdana" w:hAnsi="Verdana"/>
                <w:sz w:val="18"/>
                <w:szCs w:val="18"/>
              </w:rPr>
              <w:t>Reque Cumpa Máximo</w:t>
            </w:r>
          </w:p>
        </w:tc>
      </w:tr>
      <w:tr w:rsidR="00EA38F6" w:rsidRPr="000864AE" w14:paraId="5B4E5031" w14:textId="77777777" w:rsidTr="00AC0C51">
        <w:trPr>
          <w:trHeight w:val="300"/>
        </w:trPr>
        <w:tc>
          <w:tcPr>
            <w:tcW w:w="668" w:type="dxa"/>
            <w:vAlign w:val="center"/>
            <w:hideMark/>
          </w:tcPr>
          <w:p w14:paraId="4C29EA35"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517</w:t>
            </w:r>
          </w:p>
        </w:tc>
        <w:tc>
          <w:tcPr>
            <w:tcW w:w="3835" w:type="dxa"/>
            <w:vAlign w:val="center"/>
            <w:hideMark/>
          </w:tcPr>
          <w:p w14:paraId="7F0AC5AC" w14:textId="77777777" w:rsidR="00EA38F6" w:rsidRPr="000864AE" w:rsidRDefault="00EA38F6" w:rsidP="000864AE">
            <w:pPr>
              <w:rPr>
                <w:rFonts w:ascii="Verdana" w:hAnsi="Verdana"/>
                <w:sz w:val="18"/>
                <w:szCs w:val="18"/>
              </w:rPr>
            </w:pPr>
            <w:r w:rsidRPr="000864AE">
              <w:rPr>
                <w:rFonts w:ascii="Verdana" w:hAnsi="Verdana"/>
                <w:sz w:val="18"/>
                <w:szCs w:val="18"/>
              </w:rPr>
              <w:t>Retamozo Pareja Teofilo</w:t>
            </w:r>
          </w:p>
        </w:tc>
      </w:tr>
      <w:tr w:rsidR="00EA38F6" w:rsidRPr="000864AE" w14:paraId="7DBD87A6" w14:textId="77777777" w:rsidTr="00AC0C51">
        <w:trPr>
          <w:trHeight w:val="300"/>
        </w:trPr>
        <w:tc>
          <w:tcPr>
            <w:tcW w:w="668" w:type="dxa"/>
            <w:vAlign w:val="center"/>
            <w:hideMark/>
          </w:tcPr>
          <w:p w14:paraId="6667599D"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518</w:t>
            </w:r>
          </w:p>
        </w:tc>
        <w:tc>
          <w:tcPr>
            <w:tcW w:w="3835" w:type="dxa"/>
            <w:vAlign w:val="center"/>
            <w:hideMark/>
          </w:tcPr>
          <w:p w14:paraId="25E5D8DE" w14:textId="77777777" w:rsidR="00EA38F6" w:rsidRPr="000864AE" w:rsidRDefault="00EA38F6" w:rsidP="000864AE">
            <w:pPr>
              <w:rPr>
                <w:rFonts w:ascii="Verdana" w:hAnsi="Verdana"/>
                <w:sz w:val="18"/>
                <w:szCs w:val="18"/>
              </w:rPr>
            </w:pPr>
            <w:r w:rsidRPr="000864AE">
              <w:rPr>
                <w:rFonts w:ascii="Verdana" w:hAnsi="Verdana"/>
                <w:sz w:val="18"/>
                <w:szCs w:val="18"/>
              </w:rPr>
              <w:t>Reyes Ato Rolando</w:t>
            </w:r>
          </w:p>
        </w:tc>
      </w:tr>
      <w:tr w:rsidR="00EA38F6" w:rsidRPr="000864AE" w14:paraId="4073CBF8" w14:textId="77777777" w:rsidTr="00AC0C51">
        <w:trPr>
          <w:trHeight w:val="300"/>
        </w:trPr>
        <w:tc>
          <w:tcPr>
            <w:tcW w:w="668" w:type="dxa"/>
            <w:vAlign w:val="center"/>
            <w:hideMark/>
          </w:tcPr>
          <w:p w14:paraId="6B09E4B0"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519</w:t>
            </w:r>
          </w:p>
        </w:tc>
        <w:tc>
          <w:tcPr>
            <w:tcW w:w="3835" w:type="dxa"/>
            <w:vAlign w:val="center"/>
            <w:hideMark/>
          </w:tcPr>
          <w:p w14:paraId="759717AA" w14:textId="77777777" w:rsidR="00EA38F6" w:rsidRPr="000864AE" w:rsidRDefault="00EA38F6" w:rsidP="000864AE">
            <w:pPr>
              <w:rPr>
                <w:rFonts w:ascii="Verdana" w:hAnsi="Verdana"/>
                <w:sz w:val="18"/>
                <w:szCs w:val="18"/>
              </w:rPr>
            </w:pPr>
            <w:r w:rsidRPr="000864AE">
              <w:rPr>
                <w:rFonts w:ascii="Verdana" w:hAnsi="Verdana"/>
                <w:sz w:val="18"/>
                <w:szCs w:val="18"/>
              </w:rPr>
              <w:t>Reyes Sosa Rosa Isabel</w:t>
            </w:r>
          </w:p>
        </w:tc>
      </w:tr>
      <w:tr w:rsidR="00EA38F6" w:rsidRPr="000864AE" w14:paraId="081365F8" w14:textId="77777777" w:rsidTr="00AC0C51">
        <w:trPr>
          <w:trHeight w:val="300"/>
        </w:trPr>
        <w:tc>
          <w:tcPr>
            <w:tcW w:w="668" w:type="dxa"/>
            <w:vAlign w:val="center"/>
            <w:hideMark/>
          </w:tcPr>
          <w:p w14:paraId="3564C2A2"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520</w:t>
            </w:r>
          </w:p>
        </w:tc>
        <w:tc>
          <w:tcPr>
            <w:tcW w:w="3835" w:type="dxa"/>
            <w:vAlign w:val="center"/>
            <w:hideMark/>
          </w:tcPr>
          <w:p w14:paraId="758B9D03" w14:textId="77777777" w:rsidR="00EA38F6" w:rsidRPr="000864AE" w:rsidRDefault="00EA38F6" w:rsidP="000864AE">
            <w:pPr>
              <w:rPr>
                <w:rFonts w:ascii="Verdana" w:hAnsi="Verdana"/>
                <w:sz w:val="18"/>
                <w:szCs w:val="18"/>
              </w:rPr>
            </w:pPr>
            <w:r w:rsidRPr="000864AE">
              <w:rPr>
                <w:rFonts w:ascii="Verdana" w:hAnsi="Verdana"/>
                <w:sz w:val="18"/>
                <w:szCs w:val="18"/>
              </w:rPr>
              <w:t>Reyna Savero Carmen Jerónima</w:t>
            </w:r>
          </w:p>
        </w:tc>
      </w:tr>
      <w:tr w:rsidR="00EA38F6" w:rsidRPr="000864AE" w14:paraId="44EB4E88" w14:textId="77777777" w:rsidTr="00AC0C51">
        <w:trPr>
          <w:trHeight w:val="300"/>
        </w:trPr>
        <w:tc>
          <w:tcPr>
            <w:tcW w:w="668" w:type="dxa"/>
            <w:vAlign w:val="center"/>
            <w:hideMark/>
          </w:tcPr>
          <w:p w14:paraId="6B3B8188"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521</w:t>
            </w:r>
          </w:p>
        </w:tc>
        <w:tc>
          <w:tcPr>
            <w:tcW w:w="3835" w:type="dxa"/>
            <w:vAlign w:val="center"/>
            <w:hideMark/>
          </w:tcPr>
          <w:p w14:paraId="64E51F36" w14:textId="77777777" w:rsidR="00EA38F6" w:rsidRPr="000864AE" w:rsidRDefault="00EA38F6" w:rsidP="000864AE">
            <w:pPr>
              <w:rPr>
                <w:rFonts w:ascii="Verdana" w:hAnsi="Verdana"/>
                <w:sz w:val="18"/>
                <w:szCs w:val="18"/>
              </w:rPr>
            </w:pPr>
            <w:r w:rsidRPr="000864AE">
              <w:rPr>
                <w:rFonts w:ascii="Verdana" w:hAnsi="Verdana"/>
                <w:sz w:val="18"/>
                <w:szCs w:val="18"/>
              </w:rPr>
              <w:t>Ribera Vargas Carlos</w:t>
            </w:r>
          </w:p>
        </w:tc>
      </w:tr>
      <w:tr w:rsidR="00EA38F6" w:rsidRPr="000864AE" w14:paraId="23ECB073" w14:textId="77777777" w:rsidTr="00AC0C51">
        <w:trPr>
          <w:trHeight w:val="300"/>
        </w:trPr>
        <w:tc>
          <w:tcPr>
            <w:tcW w:w="668" w:type="dxa"/>
            <w:vAlign w:val="center"/>
            <w:hideMark/>
          </w:tcPr>
          <w:p w14:paraId="1230912C"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522</w:t>
            </w:r>
          </w:p>
        </w:tc>
        <w:tc>
          <w:tcPr>
            <w:tcW w:w="3835" w:type="dxa"/>
            <w:vAlign w:val="center"/>
            <w:hideMark/>
          </w:tcPr>
          <w:p w14:paraId="6C3E0FAF" w14:textId="77777777" w:rsidR="00EA38F6" w:rsidRPr="000864AE" w:rsidRDefault="00EA38F6" w:rsidP="000864AE">
            <w:pPr>
              <w:rPr>
                <w:rFonts w:ascii="Verdana" w:hAnsi="Verdana"/>
                <w:sz w:val="18"/>
                <w:szCs w:val="18"/>
              </w:rPr>
            </w:pPr>
            <w:r w:rsidRPr="000864AE">
              <w:rPr>
                <w:rFonts w:ascii="Verdana" w:hAnsi="Verdana"/>
                <w:sz w:val="18"/>
                <w:szCs w:val="18"/>
              </w:rPr>
              <w:t>Rioja Sánchez Carmen Micaela</w:t>
            </w:r>
          </w:p>
        </w:tc>
      </w:tr>
      <w:tr w:rsidR="00EA38F6" w:rsidRPr="000864AE" w14:paraId="4E686D6C" w14:textId="77777777" w:rsidTr="00AC0C51">
        <w:trPr>
          <w:trHeight w:val="300"/>
        </w:trPr>
        <w:tc>
          <w:tcPr>
            <w:tcW w:w="668" w:type="dxa"/>
            <w:vAlign w:val="center"/>
            <w:hideMark/>
          </w:tcPr>
          <w:p w14:paraId="4A39F9A1"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523</w:t>
            </w:r>
          </w:p>
        </w:tc>
        <w:tc>
          <w:tcPr>
            <w:tcW w:w="3835" w:type="dxa"/>
            <w:vAlign w:val="center"/>
            <w:hideMark/>
          </w:tcPr>
          <w:p w14:paraId="2D2A64C4" w14:textId="77777777" w:rsidR="00EA38F6" w:rsidRPr="000864AE" w:rsidRDefault="00EA38F6" w:rsidP="000864AE">
            <w:pPr>
              <w:rPr>
                <w:rFonts w:ascii="Verdana" w:hAnsi="Verdana"/>
                <w:sz w:val="18"/>
                <w:szCs w:val="18"/>
              </w:rPr>
            </w:pPr>
            <w:r w:rsidRPr="000864AE">
              <w:rPr>
                <w:rFonts w:ascii="Verdana" w:hAnsi="Verdana"/>
                <w:sz w:val="18"/>
                <w:szCs w:val="18"/>
              </w:rPr>
              <w:t>Ríos Ramos Paulina Laura Pilar</w:t>
            </w:r>
          </w:p>
        </w:tc>
      </w:tr>
      <w:tr w:rsidR="00EA38F6" w:rsidRPr="000864AE" w14:paraId="60AD5F3F" w14:textId="77777777" w:rsidTr="00AC0C51">
        <w:trPr>
          <w:trHeight w:val="300"/>
        </w:trPr>
        <w:tc>
          <w:tcPr>
            <w:tcW w:w="668" w:type="dxa"/>
            <w:vAlign w:val="center"/>
            <w:hideMark/>
          </w:tcPr>
          <w:p w14:paraId="173AA73F"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524</w:t>
            </w:r>
          </w:p>
        </w:tc>
        <w:tc>
          <w:tcPr>
            <w:tcW w:w="3835" w:type="dxa"/>
            <w:vAlign w:val="center"/>
            <w:hideMark/>
          </w:tcPr>
          <w:p w14:paraId="402EDBA7" w14:textId="77777777" w:rsidR="00EA38F6" w:rsidRPr="000864AE" w:rsidRDefault="00EA38F6" w:rsidP="000864AE">
            <w:pPr>
              <w:rPr>
                <w:rFonts w:ascii="Verdana" w:hAnsi="Verdana"/>
                <w:sz w:val="18"/>
                <w:szCs w:val="18"/>
              </w:rPr>
            </w:pPr>
            <w:r w:rsidRPr="000864AE">
              <w:rPr>
                <w:rFonts w:ascii="Verdana" w:hAnsi="Verdana"/>
                <w:sz w:val="18"/>
                <w:szCs w:val="18"/>
              </w:rPr>
              <w:t>Ríos Zavaleta Fortunato David</w:t>
            </w:r>
          </w:p>
        </w:tc>
      </w:tr>
      <w:tr w:rsidR="00EA38F6" w:rsidRPr="000864AE" w14:paraId="6D23FD23" w14:textId="77777777" w:rsidTr="00AC0C51">
        <w:trPr>
          <w:trHeight w:val="300"/>
        </w:trPr>
        <w:tc>
          <w:tcPr>
            <w:tcW w:w="668" w:type="dxa"/>
            <w:vAlign w:val="center"/>
            <w:hideMark/>
          </w:tcPr>
          <w:p w14:paraId="762BDBF6"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525</w:t>
            </w:r>
          </w:p>
        </w:tc>
        <w:tc>
          <w:tcPr>
            <w:tcW w:w="3835" w:type="dxa"/>
            <w:vAlign w:val="center"/>
            <w:hideMark/>
          </w:tcPr>
          <w:p w14:paraId="0BA251AC" w14:textId="77777777" w:rsidR="00EA38F6" w:rsidRPr="000864AE" w:rsidRDefault="00EA38F6" w:rsidP="000864AE">
            <w:pPr>
              <w:rPr>
                <w:rFonts w:ascii="Verdana" w:hAnsi="Verdana"/>
                <w:sz w:val="18"/>
                <w:szCs w:val="18"/>
              </w:rPr>
            </w:pPr>
            <w:r w:rsidRPr="000864AE">
              <w:rPr>
                <w:rFonts w:ascii="Verdana" w:hAnsi="Verdana"/>
                <w:sz w:val="18"/>
                <w:szCs w:val="18"/>
              </w:rPr>
              <w:t>Risso Colmenares Ramón</w:t>
            </w:r>
          </w:p>
        </w:tc>
      </w:tr>
      <w:tr w:rsidR="00EA38F6" w:rsidRPr="000864AE" w14:paraId="39556A2A" w14:textId="77777777" w:rsidTr="00AC0C51">
        <w:trPr>
          <w:trHeight w:val="300"/>
        </w:trPr>
        <w:tc>
          <w:tcPr>
            <w:tcW w:w="668" w:type="dxa"/>
            <w:vAlign w:val="center"/>
            <w:hideMark/>
          </w:tcPr>
          <w:p w14:paraId="18B316C3"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526</w:t>
            </w:r>
          </w:p>
        </w:tc>
        <w:tc>
          <w:tcPr>
            <w:tcW w:w="3835" w:type="dxa"/>
            <w:vAlign w:val="center"/>
            <w:hideMark/>
          </w:tcPr>
          <w:p w14:paraId="297CF1CF" w14:textId="77777777" w:rsidR="00EA38F6" w:rsidRPr="000864AE" w:rsidRDefault="00EA38F6" w:rsidP="000864AE">
            <w:pPr>
              <w:rPr>
                <w:rFonts w:ascii="Verdana" w:hAnsi="Verdana"/>
                <w:sz w:val="18"/>
                <w:szCs w:val="18"/>
              </w:rPr>
            </w:pPr>
            <w:r w:rsidRPr="000864AE">
              <w:rPr>
                <w:rFonts w:ascii="Verdana" w:hAnsi="Verdana"/>
                <w:sz w:val="18"/>
                <w:szCs w:val="18"/>
              </w:rPr>
              <w:t>Rivas Lara Víctor Raúl</w:t>
            </w:r>
          </w:p>
        </w:tc>
      </w:tr>
      <w:tr w:rsidR="00EA38F6" w:rsidRPr="000864AE" w14:paraId="630A52B9" w14:textId="77777777" w:rsidTr="00AC0C51">
        <w:trPr>
          <w:trHeight w:val="300"/>
        </w:trPr>
        <w:tc>
          <w:tcPr>
            <w:tcW w:w="668" w:type="dxa"/>
            <w:vAlign w:val="center"/>
            <w:hideMark/>
          </w:tcPr>
          <w:p w14:paraId="1CD6B08A"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527</w:t>
            </w:r>
          </w:p>
        </w:tc>
        <w:tc>
          <w:tcPr>
            <w:tcW w:w="3835" w:type="dxa"/>
            <w:vAlign w:val="center"/>
            <w:hideMark/>
          </w:tcPr>
          <w:p w14:paraId="733F6B75" w14:textId="77777777" w:rsidR="00EA38F6" w:rsidRPr="000864AE" w:rsidRDefault="00EA38F6" w:rsidP="000864AE">
            <w:pPr>
              <w:rPr>
                <w:rFonts w:ascii="Verdana" w:hAnsi="Verdana"/>
                <w:sz w:val="18"/>
                <w:szCs w:val="18"/>
              </w:rPr>
            </w:pPr>
            <w:r w:rsidRPr="000864AE">
              <w:rPr>
                <w:rFonts w:ascii="Verdana" w:hAnsi="Verdana"/>
                <w:sz w:val="18"/>
                <w:szCs w:val="18"/>
              </w:rPr>
              <w:t>Rivas Puga Enrique</w:t>
            </w:r>
          </w:p>
        </w:tc>
      </w:tr>
      <w:tr w:rsidR="00EA38F6" w:rsidRPr="000864AE" w14:paraId="2F645B41" w14:textId="77777777" w:rsidTr="00AC0C51">
        <w:trPr>
          <w:trHeight w:val="300"/>
        </w:trPr>
        <w:tc>
          <w:tcPr>
            <w:tcW w:w="668" w:type="dxa"/>
            <w:vAlign w:val="center"/>
            <w:hideMark/>
          </w:tcPr>
          <w:p w14:paraId="1E1480B7"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528</w:t>
            </w:r>
          </w:p>
        </w:tc>
        <w:tc>
          <w:tcPr>
            <w:tcW w:w="3835" w:type="dxa"/>
            <w:vAlign w:val="center"/>
            <w:hideMark/>
          </w:tcPr>
          <w:p w14:paraId="139AA97A" w14:textId="77777777" w:rsidR="00EA38F6" w:rsidRPr="000864AE" w:rsidRDefault="00EA38F6" w:rsidP="000864AE">
            <w:pPr>
              <w:rPr>
                <w:rFonts w:ascii="Verdana" w:hAnsi="Verdana"/>
                <w:sz w:val="18"/>
                <w:szCs w:val="18"/>
              </w:rPr>
            </w:pPr>
            <w:r w:rsidRPr="000864AE">
              <w:rPr>
                <w:rFonts w:ascii="Verdana" w:hAnsi="Verdana"/>
                <w:sz w:val="18"/>
                <w:szCs w:val="18"/>
              </w:rPr>
              <w:t>Rivera Egúsquiza Andrés Roberto</w:t>
            </w:r>
          </w:p>
        </w:tc>
      </w:tr>
      <w:tr w:rsidR="00EA38F6" w:rsidRPr="000864AE" w14:paraId="12D75095" w14:textId="77777777" w:rsidTr="00AC0C51">
        <w:trPr>
          <w:trHeight w:val="300"/>
        </w:trPr>
        <w:tc>
          <w:tcPr>
            <w:tcW w:w="668" w:type="dxa"/>
            <w:vAlign w:val="center"/>
            <w:hideMark/>
          </w:tcPr>
          <w:p w14:paraId="380D8D5A"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529</w:t>
            </w:r>
          </w:p>
        </w:tc>
        <w:tc>
          <w:tcPr>
            <w:tcW w:w="3835" w:type="dxa"/>
            <w:vAlign w:val="center"/>
            <w:hideMark/>
          </w:tcPr>
          <w:p w14:paraId="7AF48D22" w14:textId="77777777" w:rsidR="00EA38F6" w:rsidRPr="000864AE" w:rsidRDefault="00EA38F6" w:rsidP="000864AE">
            <w:pPr>
              <w:rPr>
                <w:rFonts w:ascii="Verdana" w:hAnsi="Verdana"/>
                <w:sz w:val="18"/>
                <w:szCs w:val="18"/>
              </w:rPr>
            </w:pPr>
            <w:r w:rsidRPr="000864AE">
              <w:rPr>
                <w:rFonts w:ascii="Verdana" w:hAnsi="Verdana"/>
                <w:sz w:val="18"/>
                <w:szCs w:val="18"/>
              </w:rPr>
              <w:t>Rivera Egúsquiza Augusto A.</w:t>
            </w:r>
          </w:p>
        </w:tc>
      </w:tr>
      <w:tr w:rsidR="00EA38F6" w:rsidRPr="000864AE" w14:paraId="7DCF8484" w14:textId="77777777" w:rsidTr="00AC0C51">
        <w:trPr>
          <w:trHeight w:val="300"/>
        </w:trPr>
        <w:tc>
          <w:tcPr>
            <w:tcW w:w="668" w:type="dxa"/>
            <w:vAlign w:val="center"/>
            <w:hideMark/>
          </w:tcPr>
          <w:p w14:paraId="693B2816"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530</w:t>
            </w:r>
          </w:p>
        </w:tc>
        <w:tc>
          <w:tcPr>
            <w:tcW w:w="3835" w:type="dxa"/>
            <w:vAlign w:val="center"/>
            <w:hideMark/>
          </w:tcPr>
          <w:p w14:paraId="1D7DCA88" w14:textId="77777777" w:rsidR="00EA38F6" w:rsidRPr="000864AE" w:rsidRDefault="00EA38F6" w:rsidP="000864AE">
            <w:pPr>
              <w:rPr>
                <w:rFonts w:ascii="Verdana" w:hAnsi="Verdana"/>
                <w:sz w:val="18"/>
                <w:szCs w:val="18"/>
              </w:rPr>
            </w:pPr>
            <w:r w:rsidRPr="000864AE">
              <w:rPr>
                <w:rFonts w:ascii="Verdana" w:hAnsi="Verdana"/>
                <w:sz w:val="18"/>
                <w:szCs w:val="18"/>
              </w:rPr>
              <w:t>Rivera Valega Román Rodolfo</w:t>
            </w:r>
          </w:p>
        </w:tc>
      </w:tr>
      <w:tr w:rsidR="00EA38F6" w:rsidRPr="000864AE" w14:paraId="4CA222EB" w14:textId="77777777" w:rsidTr="00AC0C51">
        <w:trPr>
          <w:trHeight w:val="300"/>
        </w:trPr>
        <w:tc>
          <w:tcPr>
            <w:tcW w:w="668" w:type="dxa"/>
            <w:vAlign w:val="center"/>
            <w:hideMark/>
          </w:tcPr>
          <w:p w14:paraId="1D1BB63D"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531</w:t>
            </w:r>
          </w:p>
        </w:tc>
        <w:tc>
          <w:tcPr>
            <w:tcW w:w="3835" w:type="dxa"/>
            <w:vAlign w:val="center"/>
            <w:hideMark/>
          </w:tcPr>
          <w:p w14:paraId="4B2B066B" w14:textId="77777777" w:rsidR="00EA38F6" w:rsidRPr="000864AE" w:rsidRDefault="00EA38F6" w:rsidP="000864AE">
            <w:pPr>
              <w:rPr>
                <w:rFonts w:ascii="Verdana" w:hAnsi="Verdana"/>
                <w:sz w:val="18"/>
                <w:szCs w:val="18"/>
              </w:rPr>
            </w:pPr>
            <w:r w:rsidRPr="000864AE">
              <w:rPr>
                <w:rFonts w:ascii="Verdana" w:hAnsi="Verdana"/>
                <w:sz w:val="18"/>
                <w:szCs w:val="18"/>
              </w:rPr>
              <w:t>Riveros Rivas Rubén Abelardo</w:t>
            </w:r>
          </w:p>
        </w:tc>
      </w:tr>
      <w:tr w:rsidR="00EA38F6" w:rsidRPr="000864AE" w14:paraId="61D7E06D" w14:textId="77777777" w:rsidTr="00AC0C51">
        <w:trPr>
          <w:trHeight w:val="300"/>
        </w:trPr>
        <w:tc>
          <w:tcPr>
            <w:tcW w:w="668" w:type="dxa"/>
            <w:vAlign w:val="center"/>
            <w:hideMark/>
          </w:tcPr>
          <w:p w14:paraId="0322685E"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532</w:t>
            </w:r>
          </w:p>
        </w:tc>
        <w:tc>
          <w:tcPr>
            <w:tcW w:w="3835" w:type="dxa"/>
            <w:vAlign w:val="center"/>
            <w:hideMark/>
          </w:tcPr>
          <w:p w14:paraId="5A0A8D34" w14:textId="77777777" w:rsidR="00EA38F6" w:rsidRPr="000864AE" w:rsidRDefault="00EA38F6" w:rsidP="000864AE">
            <w:pPr>
              <w:rPr>
                <w:rFonts w:ascii="Verdana" w:hAnsi="Verdana"/>
                <w:sz w:val="18"/>
                <w:szCs w:val="18"/>
              </w:rPr>
            </w:pPr>
            <w:r w:rsidRPr="000864AE">
              <w:rPr>
                <w:rFonts w:ascii="Verdana" w:hAnsi="Verdana"/>
                <w:sz w:val="18"/>
                <w:szCs w:val="18"/>
              </w:rPr>
              <w:t>Robles Ventocilla Clara Rosa</w:t>
            </w:r>
          </w:p>
        </w:tc>
      </w:tr>
      <w:tr w:rsidR="00EA38F6" w:rsidRPr="000864AE" w14:paraId="1EEBEBFD" w14:textId="77777777" w:rsidTr="00AC0C51">
        <w:trPr>
          <w:trHeight w:val="300"/>
        </w:trPr>
        <w:tc>
          <w:tcPr>
            <w:tcW w:w="668" w:type="dxa"/>
            <w:vAlign w:val="center"/>
            <w:hideMark/>
          </w:tcPr>
          <w:p w14:paraId="31C9B2F4"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533</w:t>
            </w:r>
          </w:p>
        </w:tc>
        <w:tc>
          <w:tcPr>
            <w:tcW w:w="3835" w:type="dxa"/>
            <w:vAlign w:val="center"/>
            <w:hideMark/>
          </w:tcPr>
          <w:p w14:paraId="21E31010" w14:textId="77777777" w:rsidR="00EA38F6" w:rsidRPr="000864AE" w:rsidRDefault="00EA38F6" w:rsidP="000864AE">
            <w:pPr>
              <w:rPr>
                <w:rFonts w:ascii="Verdana" w:hAnsi="Verdana"/>
                <w:sz w:val="18"/>
                <w:szCs w:val="18"/>
              </w:rPr>
            </w:pPr>
            <w:r w:rsidRPr="000864AE">
              <w:rPr>
                <w:rFonts w:ascii="Verdana" w:hAnsi="Verdana"/>
                <w:sz w:val="18"/>
                <w:szCs w:val="18"/>
              </w:rPr>
              <w:t>Roca Vega Blanca Haydee</w:t>
            </w:r>
          </w:p>
        </w:tc>
      </w:tr>
      <w:tr w:rsidR="00EA38F6" w:rsidRPr="000864AE" w14:paraId="75C3E158" w14:textId="77777777" w:rsidTr="00AC0C51">
        <w:trPr>
          <w:trHeight w:val="300"/>
        </w:trPr>
        <w:tc>
          <w:tcPr>
            <w:tcW w:w="668" w:type="dxa"/>
            <w:vAlign w:val="center"/>
            <w:hideMark/>
          </w:tcPr>
          <w:p w14:paraId="5BC908E6"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534</w:t>
            </w:r>
          </w:p>
        </w:tc>
        <w:tc>
          <w:tcPr>
            <w:tcW w:w="3835" w:type="dxa"/>
            <w:vAlign w:val="center"/>
            <w:hideMark/>
          </w:tcPr>
          <w:p w14:paraId="4A673E0A" w14:textId="77777777" w:rsidR="00EA38F6" w:rsidRPr="000864AE" w:rsidRDefault="00EA38F6" w:rsidP="000864AE">
            <w:pPr>
              <w:rPr>
                <w:rFonts w:ascii="Verdana" w:hAnsi="Verdana"/>
                <w:sz w:val="18"/>
                <w:szCs w:val="18"/>
              </w:rPr>
            </w:pPr>
            <w:r w:rsidRPr="000864AE">
              <w:rPr>
                <w:rFonts w:ascii="Verdana" w:hAnsi="Verdana"/>
                <w:sz w:val="18"/>
                <w:szCs w:val="18"/>
              </w:rPr>
              <w:t>Rocca Sánchez Julio Eduardo</w:t>
            </w:r>
          </w:p>
        </w:tc>
      </w:tr>
      <w:tr w:rsidR="00EA38F6" w:rsidRPr="000864AE" w14:paraId="58C8D5FA" w14:textId="77777777" w:rsidTr="00AC0C51">
        <w:trPr>
          <w:trHeight w:val="300"/>
        </w:trPr>
        <w:tc>
          <w:tcPr>
            <w:tcW w:w="668" w:type="dxa"/>
            <w:vAlign w:val="center"/>
            <w:hideMark/>
          </w:tcPr>
          <w:p w14:paraId="76A8D365"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535</w:t>
            </w:r>
          </w:p>
        </w:tc>
        <w:tc>
          <w:tcPr>
            <w:tcW w:w="3835" w:type="dxa"/>
            <w:vAlign w:val="center"/>
            <w:hideMark/>
          </w:tcPr>
          <w:p w14:paraId="45C2AF38" w14:textId="77777777" w:rsidR="00EA38F6" w:rsidRPr="000864AE" w:rsidRDefault="00EA38F6" w:rsidP="000864AE">
            <w:pPr>
              <w:rPr>
                <w:rFonts w:ascii="Verdana" w:hAnsi="Verdana"/>
                <w:sz w:val="18"/>
                <w:szCs w:val="18"/>
              </w:rPr>
            </w:pPr>
            <w:r w:rsidRPr="000864AE">
              <w:rPr>
                <w:rFonts w:ascii="Verdana" w:hAnsi="Verdana"/>
                <w:sz w:val="18"/>
                <w:szCs w:val="18"/>
              </w:rPr>
              <w:t>Rodríguez Arana Manuel Humberto</w:t>
            </w:r>
          </w:p>
        </w:tc>
      </w:tr>
      <w:tr w:rsidR="00EA38F6" w:rsidRPr="000864AE" w14:paraId="6657167E" w14:textId="77777777" w:rsidTr="00AC0C51">
        <w:trPr>
          <w:trHeight w:val="300"/>
        </w:trPr>
        <w:tc>
          <w:tcPr>
            <w:tcW w:w="668" w:type="dxa"/>
            <w:vAlign w:val="center"/>
            <w:hideMark/>
          </w:tcPr>
          <w:p w14:paraId="2BC5C179"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536</w:t>
            </w:r>
          </w:p>
        </w:tc>
        <w:tc>
          <w:tcPr>
            <w:tcW w:w="3835" w:type="dxa"/>
            <w:vAlign w:val="center"/>
            <w:hideMark/>
          </w:tcPr>
          <w:p w14:paraId="5C9BF6C7" w14:textId="77777777" w:rsidR="00EA38F6" w:rsidRPr="000864AE" w:rsidRDefault="00EA38F6" w:rsidP="000864AE">
            <w:pPr>
              <w:rPr>
                <w:rFonts w:ascii="Verdana" w:hAnsi="Verdana"/>
                <w:sz w:val="18"/>
                <w:szCs w:val="18"/>
              </w:rPr>
            </w:pPr>
            <w:r w:rsidRPr="000864AE">
              <w:rPr>
                <w:rFonts w:ascii="Verdana" w:hAnsi="Verdana"/>
                <w:sz w:val="18"/>
                <w:szCs w:val="18"/>
              </w:rPr>
              <w:t>Rodríguez Aguirre Julio Raúl</w:t>
            </w:r>
          </w:p>
        </w:tc>
      </w:tr>
      <w:tr w:rsidR="00EA38F6" w:rsidRPr="000864AE" w14:paraId="6800AFB8" w14:textId="77777777" w:rsidTr="00AC0C51">
        <w:trPr>
          <w:trHeight w:val="300"/>
        </w:trPr>
        <w:tc>
          <w:tcPr>
            <w:tcW w:w="668" w:type="dxa"/>
            <w:vAlign w:val="center"/>
            <w:hideMark/>
          </w:tcPr>
          <w:p w14:paraId="3606D6B0"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537</w:t>
            </w:r>
          </w:p>
        </w:tc>
        <w:tc>
          <w:tcPr>
            <w:tcW w:w="3835" w:type="dxa"/>
            <w:vAlign w:val="center"/>
            <w:hideMark/>
          </w:tcPr>
          <w:p w14:paraId="3F66DB87" w14:textId="77777777" w:rsidR="00EA38F6" w:rsidRPr="000864AE" w:rsidRDefault="00EA38F6" w:rsidP="000864AE">
            <w:pPr>
              <w:rPr>
                <w:rFonts w:ascii="Verdana" w:hAnsi="Verdana"/>
                <w:sz w:val="18"/>
                <w:szCs w:val="18"/>
              </w:rPr>
            </w:pPr>
            <w:r w:rsidRPr="000864AE">
              <w:rPr>
                <w:rFonts w:ascii="Verdana" w:hAnsi="Verdana"/>
                <w:sz w:val="18"/>
                <w:szCs w:val="18"/>
              </w:rPr>
              <w:t>Rodríguez Banda Angélica Josefina</w:t>
            </w:r>
          </w:p>
        </w:tc>
      </w:tr>
      <w:tr w:rsidR="00EA38F6" w:rsidRPr="000864AE" w14:paraId="12987F21" w14:textId="77777777" w:rsidTr="00AC0C51">
        <w:trPr>
          <w:trHeight w:val="300"/>
        </w:trPr>
        <w:tc>
          <w:tcPr>
            <w:tcW w:w="668" w:type="dxa"/>
            <w:vAlign w:val="center"/>
            <w:hideMark/>
          </w:tcPr>
          <w:p w14:paraId="7D621256"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538</w:t>
            </w:r>
          </w:p>
        </w:tc>
        <w:tc>
          <w:tcPr>
            <w:tcW w:w="3835" w:type="dxa"/>
            <w:vAlign w:val="center"/>
            <w:hideMark/>
          </w:tcPr>
          <w:p w14:paraId="36666E0B" w14:textId="77777777" w:rsidR="00EA38F6" w:rsidRPr="000864AE" w:rsidRDefault="00EA38F6" w:rsidP="000864AE">
            <w:pPr>
              <w:rPr>
                <w:rFonts w:ascii="Verdana" w:hAnsi="Verdana"/>
                <w:sz w:val="18"/>
                <w:szCs w:val="18"/>
              </w:rPr>
            </w:pPr>
            <w:r w:rsidRPr="000864AE">
              <w:rPr>
                <w:rFonts w:ascii="Verdana" w:hAnsi="Verdana"/>
                <w:sz w:val="18"/>
                <w:szCs w:val="18"/>
              </w:rPr>
              <w:t>Rodríguez La Madrid Eduardo</w:t>
            </w:r>
          </w:p>
        </w:tc>
      </w:tr>
      <w:tr w:rsidR="00EA38F6" w:rsidRPr="000864AE" w14:paraId="0F8F9200" w14:textId="77777777" w:rsidTr="00AC0C51">
        <w:trPr>
          <w:trHeight w:val="300"/>
        </w:trPr>
        <w:tc>
          <w:tcPr>
            <w:tcW w:w="668" w:type="dxa"/>
            <w:vAlign w:val="center"/>
            <w:hideMark/>
          </w:tcPr>
          <w:p w14:paraId="7F51D460"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539</w:t>
            </w:r>
          </w:p>
        </w:tc>
        <w:tc>
          <w:tcPr>
            <w:tcW w:w="3835" w:type="dxa"/>
            <w:vAlign w:val="center"/>
            <w:hideMark/>
          </w:tcPr>
          <w:p w14:paraId="014D5A58" w14:textId="77777777" w:rsidR="00EA38F6" w:rsidRPr="000864AE" w:rsidRDefault="00EA38F6" w:rsidP="000864AE">
            <w:pPr>
              <w:rPr>
                <w:rFonts w:ascii="Verdana" w:hAnsi="Verdana"/>
                <w:sz w:val="18"/>
                <w:szCs w:val="18"/>
              </w:rPr>
            </w:pPr>
            <w:r w:rsidRPr="000864AE">
              <w:rPr>
                <w:rFonts w:ascii="Verdana" w:hAnsi="Verdana"/>
                <w:sz w:val="18"/>
                <w:szCs w:val="18"/>
              </w:rPr>
              <w:t>Rodríguez Márquez Jaime</w:t>
            </w:r>
          </w:p>
        </w:tc>
      </w:tr>
      <w:tr w:rsidR="00EA38F6" w:rsidRPr="000864AE" w14:paraId="3FB509A6" w14:textId="77777777" w:rsidTr="00AC0C51">
        <w:trPr>
          <w:trHeight w:val="300"/>
        </w:trPr>
        <w:tc>
          <w:tcPr>
            <w:tcW w:w="668" w:type="dxa"/>
            <w:vAlign w:val="center"/>
            <w:hideMark/>
          </w:tcPr>
          <w:p w14:paraId="11E0CE0A"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540</w:t>
            </w:r>
          </w:p>
        </w:tc>
        <w:tc>
          <w:tcPr>
            <w:tcW w:w="3835" w:type="dxa"/>
            <w:vAlign w:val="center"/>
            <w:hideMark/>
          </w:tcPr>
          <w:p w14:paraId="784D11E9" w14:textId="77777777" w:rsidR="00EA38F6" w:rsidRPr="000864AE" w:rsidRDefault="00EA38F6" w:rsidP="000864AE">
            <w:pPr>
              <w:rPr>
                <w:rFonts w:ascii="Verdana" w:hAnsi="Verdana"/>
                <w:sz w:val="18"/>
                <w:szCs w:val="18"/>
              </w:rPr>
            </w:pPr>
            <w:r w:rsidRPr="000864AE">
              <w:rPr>
                <w:rFonts w:ascii="Verdana" w:hAnsi="Verdana"/>
                <w:sz w:val="18"/>
                <w:szCs w:val="18"/>
              </w:rPr>
              <w:t>Rodríguez Rodríguez Benjamin</w:t>
            </w:r>
          </w:p>
        </w:tc>
      </w:tr>
      <w:tr w:rsidR="00EA38F6" w:rsidRPr="000864AE" w14:paraId="6959115B" w14:textId="77777777" w:rsidTr="00AC0C51">
        <w:trPr>
          <w:trHeight w:val="300"/>
        </w:trPr>
        <w:tc>
          <w:tcPr>
            <w:tcW w:w="668" w:type="dxa"/>
            <w:vAlign w:val="center"/>
            <w:hideMark/>
          </w:tcPr>
          <w:p w14:paraId="1F3FFA0D"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541</w:t>
            </w:r>
          </w:p>
        </w:tc>
        <w:tc>
          <w:tcPr>
            <w:tcW w:w="3835" w:type="dxa"/>
            <w:vAlign w:val="center"/>
            <w:hideMark/>
          </w:tcPr>
          <w:p w14:paraId="746888E8" w14:textId="77777777" w:rsidR="00EA38F6" w:rsidRPr="000864AE" w:rsidRDefault="00EA38F6" w:rsidP="000864AE">
            <w:pPr>
              <w:rPr>
                <w:rFonts w:ascii="Verdana" w:hAnsi="Verdana"/>
                <w:sz w:val="18"/>
                <w:szCs w:val="18"/>
              </w:rPr>
            </w:pPr>
            <w:r w:rsidRPr="000864AE">
              <w:rPr>
                <w:rFonts w:ascii="Verdana" w:hAnsi="Verdana"/>
                <w:sz w:val="18"/>
                <w:szCs w:val="18"/>
              </w:rPr>
              <w:t>Rojas Carriedo Yolanda Alejandrina</w:t>
            </w:r>
          </w:p>
        </w:tc>
      </w:tr>
      <w:tr w:rsidR="00EA38F6" w:rsidRPr="000864AE" w14:paraId="4E3CFA83" w14:textId="77777777" w:rsidTr="00AC0C51">
        <w:trPr>
          <w:trHeight w:val="300"/>
        </w:trPr>
        <w:tc>
          <w:tcPr>
            <w:tcW w:w="668" w:type="dxa"/>
            <w:vAlign w:val="center"/>
            <w:hideMark/>
          </w:tcPr>
          <w:p w14:paraId="18FBD19D"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542</w:t>
            </w:r>
          </w:p>
        </w:tc>
        <w:tc>
          <w:tcPr>
            <w:tcW w:w="3835" w:type="dxa"/>
            <w:vAlign w:val="center"/>
            <w:hideMark/>
          </w:tcPr>
          <w:p w14:paraId="0FA529B0" w14:textId="77777777" w:rsidR="00EA38F6" w:rsidRPr="000864AE" w:rsidRDefault="00EA38F6" w:rsidP="000864AE">
            <w:pPr>
              <w:rPr>
                <w:rFonts w:ascii="Verdana" w:hAnsi="Verdana"/>
                <w:sz w:val="18"/>
                <w:szCs w:val="18"/>
              </w:rPr>
            </w:pPr>
            <w:r w:rsidRPr="000864AE">
              <w:rPr>
                <w:rFonts w:ascii="Verdana" w:hAnsi="Verdana"/>
                <w:sz w:val="18"/>
                <w:szCs w:val="18"/>
              </w:rPr>
              <w:t>Rojas Gutiérrez Olga Angélica</w:t>
            </w:r>
          </w:p>
        </w:tc>
      </w:tr>
      <w:tr w:rsidR="00EA38F6" w:rsidRPr="000864AE" w14:paraId="1327AB5A" w14:textId="77777777" w:rsidTr="00AC0C51">
        <w:trPr>
          <w:trHeight w:val="300"/>
        </w:trPr>
        <w:tc>
          <w:tcPr>
            <w:tcW w:w="668" w:type="dxa"/>
            <w:vAlign w:val="center"/>
            <w:hideMark/>
          </w:tcPr>
          <w:p w14:paraId="14634890"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543</w:t>
            </w:r>
          </w:p>
        </w:tc>
        <w:tc>
          <w:tcPr>
            <w:tcW w:w="3835" w:type="dxa"/>
            <w:vAlign w:val="center"/>
            <w:hideMark/>
          </w:tcPr>
          <w:p w14:paraId="3FE36F0A" w14:textId="77777777" w:rsidR="00EA38F6" w:rsidRPr="000864AE" w:rsidRDefault="00EA38F6" w:rsidP="000864AE">
            <w:pPr>
              <w:rPr>
                <w:rFonts w:ascii="Verdana" w:hAnsi="Verdana"/>
                <w:sz w:val="18"/>
                <w:szCs w:val="18"/>
              </w:rPr>
            </w:pPr>
            <w:r w:rsidRPr="000864AE">
              <w:rPr>
                <w:rFonts w:ascii="Verdana" w:hAnsi="Verdana"/>
                <w:sz w:val="18"/>
                <w:szCs w:val="18"/>
              </w:rPr>
              <w:t>Rojas Rosales Aída Roberta</w:t>
            </w:r>
          </w:p>
        </w:tc>
      </w:tr>
      <w:tr w:rsidR="00EA38F6" w:rsidRPr="000864AE" w14:paraId="56F46F12" w14:textId="77777777" w:rsidTr="00AC0C51">
        <w:trPr>
          <w:trHeight w:val="300"/>
        </w:trPr>
        <w:tc>
          <w:tcPr>
            <w:tcW w:w="668" w:type="dxa"/>
            <w:vAlign w:val="center"/>
            <w:hideMark/>
          </w:tcPr>
          <w:p w14:paraId="73E55191"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544</w:t>
            </w:r>
          </w:p>
        </w:tc>
        <w:tc>
          <w:tcPr>
            <w:tcW w:w="3835" w:type="dxa"/>
            <w:vAlign w:val="center"/>
            <w:hideMark/>
          </w:tcPr>
          <w:p w14:paraId="3F771885" w14:textId="77777777" w:rsidR="00EA38F6" w:rsidRPr="000864AE" w:rsidRDefault="00EA38F6" w:rsidP="000864AE">
            <w:pPr>
              <w:rPr>
                <w:rFonts w:ascii="Verdana" w:hAnsi="Verdana"/>
                <w:sz w:val="18"/>
                <w:szCs w:val="18"/>
              </w:rPr>
            </w:pPr>
            <w:r w:rsidRPr="000864AE">
              <w:rPr>
                <w:rFonts w:ascii="Verdana" w:hAnsi="Verdana"/>
                <w:sz w:val="18"/>
                <w:szCs w:val="18"/>
              </w:rPr>
              <w:t>Rojas Rosales Delia Jacinta</w:t>
            </w:r>
          </w:p>
        </w:tc>
      </w:tr>
      <w:tr w:rsidR="00EA38F6" w:rsidRPr="000864AE" w14:paraId="1E138E3A" w14:textId="77777777" w:rsidTr="00AC0C51">
        <w:trPr>
          <w:trHeight w:val="300"/>
        </w:trPr>
        <w:tc>
          <w:tcPr>
            <w:tcW w:w="668" w:type="dxa"/>
            <w:vAlign w:val="center"/>
            <w:hideMark/>
          </w:tcPr>
          <w:p w14:paraId="7A55EDB0"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545</w:t>
            </w:r>
          </w:p>
        </w:tc>
        <w:tc>
          <w:tcPr>
            <w:tcW w:w="3835" w:type="dxa"/>
            <w:vAlign w:val="center"/>
            <w:hideMark/>
          </w:tcPr>
          <w:p w14:paraId="4D8C6535" w14:textId="77777777" w:rsidR="00EA38F6" w:rsidRPr="000864AE" w:rsidRDefault="00EA38F6" w:rsidP="000864AE">
            <w:pPr>
              <w:rPr>
                <w:rFonts w:ascii="Verdana" w:hAnsi="Verdana"/>
                <w:sz w:val="18"/>
                <w:szCs w:val="18"/>
              </w:rPr>
            </w:pPr>
            <w:r w:rsidRPr="000864AE">
              <w:rPr>
                <w:rFonts w:ascii="Verdana" w:hAnsi="Verdana"/>
                <w:sz w:val="18"/>
                <w:szCs w:val="18"/>
              </w:rPr>
              <w:t>Rojas Santos Luis Alberto</w:t>
            </w:r>
          </w:p>
        </w:tc>
      </w:tr>
      <w:tr w:rsidR="00EA38F6" w:rsidRPr="000864AE" w14:paraId="2B6D3937" w14:textId="77777777" w:rsidTr="00AC0C51">
        <w:trPr>
          <w:trHeight w:val="300"/>
        </w:trPr>
        <w:tc>
          <w:tcPr>
            <w:tcW w:w="668" w:type="dxa"/>
            <w:vAlign w:val="center"/>
            <w:hideMark/>
          </w:tcPr>
          <w:p w14:paraId="6F441717"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546</w:t>
            </w:r>
          </w:p>
        </w:tc>
        <w:tc>
          <w:tcPr>
            <w:tcW w:w="3835" w:type="dxa"/>
            <w:vAlign w:val="center"/>
            <w:hideMark/>
          </w:tcPr>
          <w:p w14:paraId="2236CD43" w14:textId="77777777" w:rsidR="00EA38F6" w:rsidRPr="000864AE" w:rsidRDefault="00EA38F6" w:rsidP="000864AE">
            <w:pPr>
              <w:rPr>
                <w:rFonts w:ascii="Verdana" w:hAnsi="Verdana"/>
                <w:sz w:val="18"/>
                <w:szCs w:val="18"/>
              </w:rPr>
            </w:pPr>
            <w:r w:rsidRPr="000864AE">
              <w:rPr>
                <w:rFonts w:ascii="Verdana" w:hAnsi="Verdana"/>
                <w:sz w:val="18"/>
                <w:szCs w:val="18"/>
              </w:rPr>
              <w:t>Rojas Sebastian Pedro Silvio</w:t>
            </w:r>
          </w:p>
        </w:tc>
      </w:tr>
      <w:tr w:rsidR="00EA38F6" w:rsidRPr="000864AE" w14:paraId="65EF9C2B" w14:textId="77777777" w:rsidTr="00AC0C51">
        <w:trPr>
          <w:trHeight w:val="300"/>
        </w:trPr>
        <w:tc>
          <w:tcPr>
            <w:tcW w:w="668" w:type="dxa"/>
            <w:vAlign w:val="center"/>
            <w:hideMark/>
          </w:tcPr>
          <w:p w14:paraId="1838BD76"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547</w:t>
            </w:r>
          </w:p>
        </w:tc>
        <w:tc>
          <w:tcPr>
            <w:tcW w:w="3835" w:type="dxa"/>
            <w:vAlign w:val="center"/>
            <w:hideMark/>
          </w:tcPr>
          <w:p w14:paraId="53C92079" w14:textId="77777777" w:rsidR="00EA38F6" w:rsidRPr="000864AE" w:rsidRDefault="00EA38F6" w:rsidP="000864AE">
            <w:pPr>
              <w:rPr>
                <w:rFonts w:ascii="Verdana" w:hAnsi="Verdana"/>
                <w:sz w:val="18"/>
                <w:szCs w:val="18"/>
              </w:rPr>
            </w:pPr>
            <w:r w:rsidRPr="000864AE">
              <w:rPr>
                <w:rFonts w:ascii="Verdana" w:hAnsi="Verdana"/>
                <w:sz w:val="18"/>
                <w:szCs w:val="18"/>
              </w:rPr>
              <w:t>Rojo Villanueva Mauro Cristóbal</w:t>
            </w:r>
          </w:p>
        </w:tc>
      </w:tr>
      <w:tr w:rsidR="00EA38F6" w:rsidRPr="000864AE" w14:paraId="0F34379A" w14:textId="77777777" w:rsidTr="00AC0C51">
        <w:trPr>
          <w:trHeight w:val="300"/>
        </w:trPr>
        <w:tc>
          <w:tcPr>
            <w:tcW w:w="668" w:type="dxa"/>
            <w:vAlign w:val="center"/>
            <w:hideMark/>
          </w:tcPr>
          <w:p w14:paraId="34471223"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548</w:t>
            </w:r>
          </w:p>
        </w:tc>
        <w:tc>
          <w:tcPr>
            <w:tcW w:w="3835" w:type="dxa"/>
            <w:vAlign w:val="center"/>
            <w:hideMark/>
          </w:tcPr>
          <w:p w14:paraId="258F8D80" w14:textId="77777777" w:rsidR="00EA38F6" w:rsidRPr="000864AE" w:rsidRDefault="00EA38F6" w:rsidP="000864AE">
            <w:pPr>
              <w:rPr>
                <w:rFonts w:ascii="Verdana" w:hAnsi="Verdana"/>
                <w:sz w:val="18"/>
                <w:szCs w:val="18"/>
              </w:rPr>
            </w:pPr>
            <w:r w:rsidRPr="000864AE">
              <w:rPr>
                <w:rFonts w:ascii="Verdana" w:hAnsi="Verdana"/>
                <w:sz w:val="18"/>
                <w:szCs w:val="18"/>
              </w:rPr>
              <w:t>Román Espinoza María Eugenia</w:t>
            </w:r>
          </w:p>
        </w:tc>
      </w:tr>
      <w:tr w:rsidR="00EA38F6" w:rsidRPr="000864AE" w14:paraId="3732BFF1" w14:textId="77777777" w:rsidTr="00AC0C51">
        <w:trPr>
          <w:trHeight w:val="300"/>
        </w:trPr>
        <w:tc>
          <w:tcPr>
            <w:tcW w:w="668" w:type="dxa"/>
            <w:vAlign w:val="center"/>
            <w:hideMark/>
          </w:tcPr>
          <w:p w14:paraId="6145C917"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549</w:t>
            </w:r>
          </w:p>
        </w:tc>
        <w:tc>
          <w:tcPr>
            <w:tcW w:w="3835" w:type="dxa"/>
            <w:vAlign w:val="center"/>
            <w:hideMark/>
          </w:tcPr>
          <w:p w14:paraId="4D404F65" w14:textId="77777777" w:rsidR="00EA38F6" w:rsidRPr="000864AE" w:rsidRDefault="00EA38F6" w:rsidP="000864AE">
            <w:pPr>
              <w:rPr>
                <w:rFonts w:ascii="Verdana" w:hAnsi="Verdana"/>
                <w:sz w:val="18"/>
                <w:szCs w:val="18"/>
              </w:rPr>
            </w:pPr>
            <w:r w:rsidRPr="000864AE">
              <w:rPr>
                <w:rFonts w:ascii="Verdana" w:hAnsi="Verdana"/>
                <w:sz w:val="18"/>
                <w:szCs w:val="18"/>
              </w:rPr>
              <w:t>Romero Díaz Luis</w:t>
            </w:r>
          </w:p>
        </w:tc>
      </w:tr>
      <w:tr w:rsidR="00EA38F6" w:rsidRPr="000864AE" w14:paraId="62AD85A9" w14:textId="77777777" w:rsidTr="00AC0C51">
        <w:trPr>
          <w:trHeight w:val="300"/>
        </w:trPr>
        <w:tc>
          <w:tcPr>
            <w:tcW w:w="668" w:type="dxa"/>
            <w:vAlign w:val="center"/>
            <w:hideMark/>
          </w:tcPr>
          <w:p w14:paraId="30FA49C2"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550</w:t>
            </w:r>
          </w:p>
        </w:tc>
        <w:tc>
          <w:tcPr>
            <w:tcW w:w="3835" w:type="dxa"/>
            <w:vAlign w:val="center"/>
            <w:hideMark/>
          </w:tcPr>
          <w:p w14:paraId="0CEC5CB7" w14:textId="77777777" w:rsidR="00EA38F6" w:rsidRPr="000864AE" w:rsidRDefault="00EA38F6" w:rsidP="000864AE">
            <w:pPr>
              <w:rPr>
                <w:rFonts w:ascii="Verdana" w:hAnsi="Verdana"/>
                <w:sz w:val="18"/>
                <w:szCs w:val="18"/>
              </w:rPr>
            </w:pPr>
            <w:r w:rsidRPr="000864AE">
              <w:rPr>
                <w:rFonts w:ascii="Verdana" w:hAnsi="Verdana"/>
                <w:sz w:val="18"/>
                <w:szCs w:val="18"/>
              </w:rPr>
              <w:t>Rosales De La Cruz Alejandro</w:t>
            </w:r>
          </w:p>
        </w:tc>
      </w:tr>
      <w:tr w:rsidR="00EA38F6" w:rsidRPr="000864AE" w14:paraId="1ACD0E5B" w14:textId="77777777" w:rsidTr="00AC0C51">
        <w:trPr>
          <w:trHeight w:val="300"/>
        </w:trPr>
        <w:tc>
          <w:tcPr>
            <w:tcW w:w="668" w:type="dxa"/>
            <w:vAlign w:val="center"/>
            <w:hideMark/>
          </w:tcPr>
          <w:p w14:paraId="35ED928A"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551</w:t>
            </w:r>
          </w:p>
        </w:tc>
        <w:tc>
          <w:tcPr>
            <w:tcW w:w="3835" w:type="dxa"/>
            <w:vAlign w:val="center"/>
            <w:hideMark/>
          </w:tcPr>
          <w:p w14:paraId="761B926B" w14:textId="77777777" w:rsidR="00EA38F6" w:rsidRPr="000864AE" w:rsidRDefault="00EA38F6" w:rsidP="000864AE">
            <w:pPr>
              <w:rPr>
                <w:rFonts w:ascii="Verdana" w:hAnsi="Verdana"/>
                <w:sz w:val="18"/>
                <w:szCs w:val="18"/>
              </w:rPr>
            </w:pPr>
            <w:r w:rsidRPr="000864AE">
              <w:rPr>
                <w:rFonts w:ascii="Verdana" w:hAnsi="Verdana"/>
                <w:sz w:val="18"/>
                <w:szCs w:val="18"/>
              </w:rPr>
              <w:t>Rosas Flores Juana Arminda</w:t>
            </w:r>
          </w:p>
        </w:tc>
      </w:tr>
      <w:tr w:rsidR="00EA38F6" w:rsidRPr="000864AE" w14:paraId="5FF6B632" w14:textId="77777777" w:rsidTr="00AC0C51">
        <w:trPr>
          <w:trHeight w:val="300"/>
        </w:trPr>
        <w:tc>
          <w:tcPr>
            <w:tcW w:w="668" w:type="dxa"/>
            <w:vAlign w:val="center"/>
            <w:hideMark/>
          </w:tcPr>
          <w:p w14:paraId="47AC79B9"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552</w:t>
            </w:r>
          </w:p>
        </w:tc>
        <w:tc>
          <w:tcPr>
            <w:tcW w:w="3835" w:type="dxa"/>
            <w:vAlign w:val="center"/>
            <w:hideMark/>
          </w:tcPr>
          <w:p w14:paraId="3EC67EAE" w14:textId="77777777" w:rsidR="00EA38F6" w:rsidRPr="000864AE" w:rsidRDefault="00EA38F6" w:rsidP="000864AE">
            <w:pPr>
              <w:rPr>
                <w:rFonts w:ascii="Verdana" w:hAnsi="Verdana"/>
                <w:sz w:val="18"/>
                <w:szCs w:val="18"/>
              </w:rPr>
            </w:pPr>
            <w:r w:rsidRPr="000864AE">
              <w:rPr>
                <w:rFonts w:ascii="Verdana" w:hAnsi="Verdana"/>
                <w:sz w:val="18"/>
                <w:szCs w:val="18"/>
              </w:rPr>
              <w:t>Rosas Salas Víctor Adrián</w:t>
            </w:r>
          </w:p>
        </w:tc>
      </w:tr>
      <w:tr w:rsidR="00EA38F6" w:rsidRPr="000864AE" w14:paraId="2C1D0B5F" w14:textId="77777777" w:rsidTr="00AC0C51">
        <w:trPr>
          <w:trHeight w:val="300"/>
        </w:trPr>
        <w:tc>
          <w:tcPr>
            <w:tcW w:w="668" w:type="dxa"/>
            <w:vAlign w:val="center"/>
            <w:hideMark/>
          </w:tcPr>
          <w:p w14:paraId="16B885F7"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553</w:t>
            </w:r>
          </w:p>
        </w:tc>
        <w:tc>
          <w:tcPr>
            <w:tcW w:w="3835" w:type="dxa"/>
            <w:vAlign w:val="center"/>
            <w:hideMark/>
          </w:tcPr>
          <w:p w14:paraId="3FF81A7D" w14:textId="77777777" w:rsidR="00EA38F6" w:rsidRPr="000864AE" w:rsidRDefault="00EA38F6" w:rsidP="000864AE">
            <w:pPr>
              <w:rPr>
                <w:rFonts w:ascii="Verdana" w:hAnsi="Verdana"/>
                <w:sz w:val="18"/>
                <w:szCs w:val="18"/>
              </w:rPr>
            </w:pPr>
            <w:r w:rsidRPr="000864AE">
              <w:rPr>
                <w:rFonts w:ascii="Verdana" w:hAnsi="Verdana"/>
                <w:sz w:val="18"/>
                <w:szCs w:val="18"/>
              </w:rPr>
              <w:t>Rubio Díaz Ezequiel Teodulo</w:t>
            </w:r>
          </w:p>
        </w:tc>
      </w:tr>
      <w:tr w:rsidR="00EA38F6" w:rsidRPr="000864AE" w14:paraId="0F8D9B01" w14:textId="77777777" w:rsidTr="00AC0C51">
        <w:trPr>
          <w:trHeight w:val="300"/>
        </w:trPr>
        <w:tc>
          <w:tcPr>
            <w:tcW w:w="668" w:type="dxa"/>
            <w:vAlign w:val="center"/>
            <w:hideMark/>
          </w:tcPr>
          <w:p w14:paraId="714A0CCE"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554</w:t>
            </w:r>
          </w:p>
        </w:tc>
        <w:tc>
          <w:tcPr>
            <w:tcW w:w="3835" w:type="dxa"/>
            <w:vAlign w:val="center"/>
            <w:hideMark/>
          </w:tcPr>
          <w:p w14:paraId="40DA3E1C" w14:textId="77777777" w:rsidR="00EA38F6" w:rsidRPr="000864AE" w:rsidRDefault="00EA38F6" w:rsidP="000864AE">
            <w:pPr>
              <w:rPr>
                <w:rFonts w:ascii="Verdana" w:hAnsi="Verdana"/>
                <w:sz w:val="18"/>
                <w:szCs w:val="18"/>
              </w:rPr>
            </w:pPr>
            <w:r w:rsidRPr="000864AE">
              <w:rPr>
                <w:rFonts w:ascii="Verdana" w:hAnsi="Verdana"/>
                <w:sz w:val="18"/>
                <w:szCs w:val="18"/>
              </w:rPr>
              <w:t>Rubio Milla Luis Josue</w:t>
            </w:r>
          </w:p>
        </w:tc>
      </w:tr>
      <w:tr w:rsidR="00EA38F6" w:rsidRPr="000864AE" w14:paraId="464205FE" w14:textId="77777777" w:rsidTr="00AC0C51">
        <w:trPr>
          <w:trHeight w:val="300"/>
        </w:trPr>
        <w:tc>
          <w:tcPr>
            <w:tcW w:w="668" w:type="dxa"/>
            <w:vAlign w:val="center"/>
            <w:hideMark/>
          </w:tcPr>
          <w:p w14:paraId="46803F3E"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555</w:t>
            </w:r>
          </w:p>
        </w:tc>
        <w:tc>
          <w:tcPr>
            <w:tcW w:w="3835" w:type="dxa"/>
            <w:vAlign w:val="center"/>
            <w:hideMark/>
          </w:tcPr>
          <w:p w14:paraId="41070B1C" w14:textId="77777777" w:rsidR="00EA38F6" w:rsidRPr="000864AE" w:rsidRDefault="00EA38F6" w:rsidP="000864AE">
            <w:pPr>
              <w:rPr>
                <w:rFonts w:ascii="Verdana" w:hAnsi="Verdana"/>
                <w:sz w:val="18"/>
                <w:szCs w:val="18"/>
              </w:rPr>
            </w:pPr>
            <w:r w:rsidRPr="000864AE">
              <w:rPr>
                <w:rFonts w:ascii="Verdana" w:hAnsi="Verdana"/>
                <w:sz w:val="18"/>
                <w:szCs w:val="18"/>
              </w:rPr>
              <w:t>Rueda Ruiz Luis Alberto</w:t>
            </w:r>
          </w:p>
        </w:tc>
      </w:tr>
      <w:tr w:rsidR="00EA38F6" w:rsidRPr="000864AE" w14:paraId="2891CD3A" w14:textId="77777777" w:rsidTr="00AC0C51">
        <w:trPr>
          <w:trHeight w:val="300"/>
        </w:trPr>
        <w:tc>
          <w:tcPr>
            <w:tcW w:w="668" w:type="dxa"/>
            <w:vAlign w:val="center"/>
            <w:hideMark/>
          </w:tcPr>
          <w:p w14:paraId="6DECAC6D"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556</w:t>
            </w:r>
          </w:p>
        </w:tc>
        <w:tc>
          <w:tcPr>
            <w:tcW w:w="3835" w:type="dxa"/>
            <w:vAlign w:val="center"/>
            <w:hideMark/>
          </w:tcPr>
          <w:p w14:paraId="2B9FB28E" w14:textId="77777777" w:rsidR="00EA38F6" w:rsidRPr="000864AE" w:rsidRDefault="00EA38F6" w:rsidP="000864AE">
            <w:pPr>
              <w:rPr>
                <w:rFonts w:ascii="Verdana" w:hAnsi="Verdana"/>
                <w:sz w:val="18"/>
                <w:szCs w:val="18"/>
              </w:rPr>
            </w:pPr>
            <w:r w:rsidRPr="000864AE">
              <w:rPr>
                <w:rFonts w:ascii="Verdana" w:hAnsi="Verdana"/>
                <w:sz w:val="18"/>
                <w:szCs w:val="18"/>
              </w:rPr>
              <w:t>Ruiz Orellana Reddy Max</w:t>
            </w:r>
          </w:p>
        </w:tc>
      </w:tr>
      <w:tr w:rsidR="00EA38F6" w:rsidRPr="000864AE" w14:paraId="1DF1E1AC" w14:textId="77777777" w:rsidTr="00AC0C51">
        <w:trPr>
          <w:trHeight w:val="300"/>
        </w:trPr>
        <w:tc>
          <w:tcPr>
            <w:tcW w:w="668" w:type="dxa"/>
            <w:vAlign w:val="center"/>
            <w:hideMark/>
          </w:tcPr>
          <w:p w14:paraId="7C7AE32A"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557</w:t>
            </w:r>
          </w:p>
        </w:tc>
        <w:tc>
          <w:tcPr>
            <w:tcW w:w="3835" w:type="dxa"/>
            <w:vAlign w:val="center"/>
            <w:hideMark/>
          </w:tcPr>
          <w:p w14:paraId="1169ABD6" w14:textId="77777777" w:rsidR="00EA38F6" w:rsidRPr="000864AE" w:rsidRDefault="00EA38F6" w:rsidP="000864AE">
            <w:pPr>
              <w:rPr>
                <w:rFonts w:ascii="Verdana" w:hAnsi="Verdana"/>
                <w:sz w:val="18"/>
                <w:szCs w:val="18"/>
              </w:rPr>
            </w:pPr>
            <w:r w:rsidRPr="000864AE">
              <w:rPr>
                <w:rFonts w:ascii="Verdana" w:hAnsi="Verdana"/>
                <w:sz w:val="18"/>
                <w:szCs w:val="18"/>
              </w:rPr>
              <w:t>Ruiz Tecco Mirza</w:t>
            </w:r>
          </w:p>
        </w:tc>
      </w:tr>
      <w:tr w:rsidR="00EA38F6" w:rsidRPr="000864AE" w14:paraId="3037C9CD" w14:textId="77777777" w:rsidTr="00AC0C51">
        <w:trPr>
          <w:trHeight w:val="300"/>
        </w:trPr>
        <w:tc>
          <w:tcPr>
            <w:tcW w:w="668" w:type="dxa"/>
            <w:vAlign w:val="center"/>
            <w:hideMark/>
          </w:tcPr>
          <w:p w14:paraId="636B4E69"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558</w:t>
            </w:r>
          </w:p>
        </w:tc>
        <w:tc>
          <w:tcPr>
            <w:tcW w:w="3835" w:type="dxa"/>
            <w:vAlign w:val="center"/>
            <w:hideMark/>
          </w:tcPr>
          <w:p w14:paraId="26AC0490" w14:textId="77777777" w:rsidR="00EA38F6" w:rsidRPr="000864AE" w:rsidRDefault="00EA38F6" w:rsidP="000864AE">
            <w:pPr>
              <w:rPr>
                <w:rFonts w:ascii="Verdana" w:hAnsi="Verdana"/>
                <w:sz w:val="18"/>
                <w:szCs w:val="18"/>
              </w:rPr>
            </w:pPr>
            <w:r w:rsidRPr="000864AE">
              <w:rPr>
                <w:rFonts w:ascii="Verdana" w:hAnsi="Verdana"/>
                <w:sz w:val="18"/>
                <w:szCs w:val="18"/>
              </w:rPr>
              <w:t>Ruiz Travezan Graciela Emma</w:t>
            </w:r>
          </w:p>
        </w:tc>
      </w:tr>
      <w:tr w:rsidR="00EA38F6" w:rsidRPr="000864AE" w14:paraId="7A364C76" w14:textId="77777777" w:rsidTr="00AC0C51">
        <w:trPr>
          <w:trHeight w:val="300"/>
        </w:trPr>
        <w:tc>
          <w:tcPr>
            <w:tcW w:w="668" w:type="dxa"/>
            <w:vAlign w:val="center"/>
            <w:hideMark/>
          </w:tcPr>
          <w:p w14:paraId="67458DDE"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559</w:t>
            </w:r>
          </w:p>
        </w:tc>
        <w:tc>
          <w:tcPr>
            <w:tcW w:w="3835" w:type="dxa"/>
            <w:vAlign w:val="center"/>
            <w:hideMark/>
          </w:tcPr>
          <w:p w14:paraId="72607A07" w14:textId="77777777" w:rsidR="00EA38F6" w:rsidRPr="000864AE" w:rsidRDefault="00EA38F6" w:rsidP="000864AE">
            <w:pPr>
              <w:rPr>
                <w:rFonts w:ascii="Verdana" w:hAnsi="Verdana"/>
                <w:sz w:val="18"/>
                <w:szCs w:val="18"/>
              </w:rPr>
            </w:pPr>
            <w:r w:rsidRPr="000864AE">
              <w:rPr>
                <w:rFonts w:ascii="Verdana" w:hAnsi="Verdana"/>
                <w:sz w:val="18"/>
                <w:szCs w:val="18"/>
              </w:rPr>
              <w:t>Saavedra Miñán José Alfredo</w:t>
            </w:r>
          </w:p>
        </w:tc>
      </w:tr>
      <w:tr w:rsidR="00EA38F6" w:rsidRPr="000864AE" w14:paraId="083C259F" w14:textId="77777777" w:rsidTr="00AC0C51">
        <w:trPr>
          <w:trHeight w:val="300"/>
        </w:trPr>
        <w:tc>
          <w:tcPr>
            <w:tcW w:w="668" w:type="dxa"/>
            <w:vAlign w:val="center"/>
            <w:hideMark/>
          </w:tcPr>
          <w:p w14:paraId="102036B1"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560</w:t>
            </w:r>
          </w:p>
        </w:tc>
        <w:tc>
          <w:tcPr>
            <w:tcW w:w="3835" w:type="dxa"/>
            <w:vAlign w:val="center"/>
            <w:hideMark/>
          </w:tcPr>
          <w:p w14:paraId="3EDEE676" w14:textId="77777777" w:rsidR="00EA38F6" w:rsidRPr="000864AE" w:rsidRDefault="00EA38F6" w:rsidP="000864AE">
            <w:pPr>
              <w:rPr>
                <w:rFonts w:ascii="Verdana" w:hAnsi="Verdana"/>
                <w:sz w:val="18"/>
                <w:szCs w:val="18"/>
              </w:rPr>
            </w:pPr>
            <w:r w:rsidRPr="000864AE">
              <w:rPr>
                <w:rFonts w:ascii="Verdana" w:hAnsi="Verdana"/>
                <w:sz w:val="18"/>
                <w:szCs w:val="18"/>
              </w:rPr>
              <w:t>Sáenz Espinoza Guillermo Milciades</w:t>
            </w:r>
          </w:p>
        </w:tc>
      </w:tr>
      <w:tr w:rsidR="00EA38F6" w:rsidRPr="000864AE" w14:paraId="34986D7D" w14:textId="77777777" w:rsidTr="00AC0C51">
        <w:trPr>
          <w:trHeight w:val="300"/>
        </w:trPr>
        <w:tc>
          <w:tcPr>
            <w:tcW w:w="668" w:type="dxa"/>
            <w:vAlign w:val="center"/>
            <w:hideMark/>
          </w:tcPr>
          <w:p w14:paraId="067BF5B2"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561</w:t>
            </w:r>
          </w:p>
        </w:tc>
        <w:tc>
          <w:tcPr>
            <w:tcW w:w="3835" w:type="dxa"/>
            <w:vAlign w:val="center"/>
            <w:hideMark/>
          </w:tcPr>
          <w:p w14:paraId="5C8D523A" w14:textId="77777777" w:rsidR="00EA38F6" w:rsidRPr="000864AE" w:rsidRDefault="00EA38F6" w:rsidP="000864AE">
            <w:pPr>
              <w:rPr>
                <w:rFonts w:ascii="Verdana" w:hAnsi="Verdana"/>
                <w:sz w:val="18"/>
                <w:szCs w:val="18"/>
              </w:rPr>
            </w:pPr>
            <w:r w:rsidRPr="000864AE">
              <w:rPr>
                <w:rFonts w:ascii="Verdana" w:hAnsi="Verdana"/>
                <w:sz w:val="18"/>
                <w:szCs w:val="18"/>
              </w:rPr>
              <w:t>Sáez Rodríguez Mirtha Rosa</w:t>
            </w:r>
          </w:p>
        </w:tc>
      </w:tr>
      <w:tr w:rsidR="00EA38F6" w:rsidRPr="000864AE" w14:paraId="014EAEAA" w14:textId="77777777" w:rsidTr="00AC0C51">
        <w:trPr>
          <w:trHeight w:val="300"/>
        </w:trPr>
        <w:tc>
          <w:tcPr>
            <w:tcW w:w="668" w:type="dxa"/>
            <w:vAlign w:val="center"/>
            <w:hideMark/>
          </w:tcPr>
          <w:p w14:paraId="56AD15E5"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562</w:t>
            </w:r>
          </w:p>
        </w:tc>
        <w:tc>
          <w:tcPr>
            <w:tcW w:w="3835" w:type="dxa"/>
            <w:vAlign w:val="center"/>
            <w:hideMark/>
          </w:tcPr>
          <w:p w14:paraId="492DE8F4" w14:textId="77777777" w:rsidR="00EA38F6" w:rsidRPr="000864AE" w:rsidRDefault="00EA38F6" w:rsidP="000864AE">
            <w:pPr>
              <w:rPr>
                <w:rFonts w:ascii="Verdana" w:hAnsi="Verdana"/>
                <w:sz w:val="18"/>
                <w:szCs w:val="18"/>
              </w:rPr>
            </w:pPr>
            <w:r w:rsidRPr="000864AE">
              <w:rPr>
                <w:rFonts w:ascii="Verdana" w:hAnsi="Verdana"/>
                <w:sz w:val="18"/>
                <w:szCs w:val="18"/>
              </w:rPr>
              <w:t>Sagardia Marquina Higinio</w:t>
            </w:r>
          </w:p>
        </w:tc>
      </w:tr>
      <w:tr w:rsidR="00EA38F6" w:rsidRPr="000864AE" w14:paraId="0F53E121" w14:textId="77777777" w:rsidTr="00AC0C51">
        <w:trPr>
          <w:trHeight w:val="300"/>
        </w:trPr>
        <w:tc>
          <w:tcPr>
            <w:tcW w:w="668" w:type="dxa"/>
            <w:vAlign w:val="center"/>
            <w:hideMark/>
          </w:tcPr>
          <w:p w14:paraId="428F50F4"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563</w:t>
            </w:r>
          </w:p>
        </w:tc>
        <w:tc>
          <w:tcPr>
            <w:tcW w:w="3835" w:type="dxa"/>
            <w:vAlign w:val="center"/>
            <w:hideMark/>
          </w:tcPr>
          <w:p w14:paraId="0F216607" w14:textId="77777777" w:rsidR="00EA38F6" w:rsidRPr="000864AE" w:rsidRDefault="00EA38F6" w:rsidP="000864AE">
            <w:pPr>
              <w:rPr>
                <w:rFonts w:ascii="Verdana" w:hAnsi="Verdana"/>
                <w:sz w:val="18"/>
                <w:szCs w:val="18"/>
              </w:rPr>
            </w:pPr>
            <w:r w:rsidRPr="000864AE">
              <w:rPr>
                <w:rFonts w:ascii="Verdana" w:hAnsi="Verdana"/>
                <w:sz w:val="18"/>
                <w:szCs w:val="18"/>
              </w:rPr>
              <w:t>Salas Paredes Julia Lourdes</w:t>
            </w:r>
          </w:p>
        </w:tc>
      </w:tr>
      <w:tr w:rsidR="00EA38F6" w:rsidRPr="005A5D3C" w14:paraId="6EE70D67" w14:textId="77777777" w:rsidTr="00AC0C51">
        <w:trPr>
          <w:trHeight w:val="300"/>
        </w:trPr>
        <w:tc>
          <w:tcPr>
            <w:tcW w:w="668" w:type="dxa"/>
            <w:vAlign w:val="center"/>
            <w:hideMark/>
          </w:tcPr>
          <w:p w14:paraId="1FF06683"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564</w:t>
            </w:r>
          </w:p>
        </w:tc>
        <w:tc>
          <w:tcPr>
            <w:tcW w:w="3835" w:type="dxa"/>
            <w:vAlign w:val="center"/>
            <w:hideMark/>
          </w:tcPr>
          <w:p w14:paraId="649979EB" w14:textId="77777777" w:rsidR="00EA38F6" w:rsidRPr="000864AE" w:rsidRDefault="00EA38F6" w:rsidP="000864AE">
            <w:pPr>
              <w:rPr>
                <w:rFonts w:ascii="Verdana" w:hAnsi="Verdana"/>
                <w:sz w:val="18"/>
                <w:szCs w:val="18"/>
                <w:lang w:val="pt-BR"/>
              </w:rPr>
            </w:pPr>
            <w:r w:rsidRPr="000864AE">
              <w:rPr>
                <w:rFonts w:ascii="Verdana" w:hAnsi="Verdana"/>
                <w:sz w:val="18"/>
                <w:szCs w:val="18"/>
                <w:lang w:val="pt-BR"/>
              </w:rPr>
              <w:t>Salas Ruiz Caro Edgar Walter</w:t>
            </w:r>
          </w:p>
        </w:tc>
      </w:tr>
      <w:tr w:rsidR="00EA38F6" w:rsidRPr="000864AE" w14:paraId="60B05DDC" w14:textId="77777777" w:rsidTr="00AC0C51">
        <w:trPr>
          <w:trHeight w:val="300"/>
        </w:trPr>
        <w:tc>
          <w:tcPr>
            <w:tcW w:w="668" w:type="dxa"/>
            <w:vAlign w:val="center"/>
            <w:hideMark/>
          </w:tcPr>
          <w:p w14:paraId="30FA0AE0"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565</w:t>
            </w:r>
          </w:p>
        </w:tc>
        <w:tc>
          <w:tcPr>
            <w:tcW w:w="3835" w:type="dxa"/>
            <w:vAlign w:val="center"/>
            <w:hideMark/>
          </w:tcPr>
          <w:p w14:paraId="038000EE" w14:textId="77777777" w:rsidR="00EA38F6" w:rsidRPr="000864AE" w:rsidRDefault="00EA38F6" w:rsidP="000864AE">
            <w:pPr>
              <w:rPr>
                <w:rFonts w:ascii="Verdana" w:hAnsi="Verdana"/>
                <w:sz w:val="18"/>
                <w:szCs w:val="18"/>
              </w:rPr>
            </w:pPr>
            <w:r w:rsidRPr="000864AE">
              <w:rPr>
                <w:rFonts w:ascii="Verdana" w:hAnsi="Verdana"/>
                <w:sz w:val="18"/>
                <w:szCs w:val="18"/>
              </w:rPr>
              <w:t>Salas Ruiz Caro María Elizabeth Ruth</w:t>
            </w:r>
          </w:p>
        </w:tc>
      </w:tr>
      <w:tr w:rsidR="00EA38F6" w:rsidRPr="000864AE" w14:paraId="2C864116" w14:textId="77777777" w:rsidTr="00AC0C51">
        <w:trPr>
          <w:trHeight w:val="300"/>
        </w:trPr>
        <w:tc>
          <w:tcPr>
            <w:tcW w:w="668" w:type="dxa"/>
            <w:vAlign w:val="center"/>
            <w:hideMark/>
          </w:tcPr>
          <w:p w14:paraId="690DB1FD"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566</w:t>
            </w:r>
          </w:p>
        </w:tc>
        <w:tc>
          <w:tcPr>
            <w:tcW w:w="3835" w:type="dxa"/>
            <w:vAlign w:val="center"/>
            <w:hideMark/>
          </w:tcPr>
          <w:p w14:paraId="4D72146C" w14:textId="77777777" w:rsidR="00EA38F6" w:rsidRPr="000864AE" w:rsidRDefault="00EA38F6" w:rsidP="000864AE">
            <w:pPr>
              <w:rPr>
                <w:rFonts w:ascii="Verdana" w:hAnsi="Verdana"/>
                <w:sz w:val="18"/>
                <w:szCs w:val="18"/>
              </w:rPr>
            </w:pPr>
            <w:r w:rsidRPr="000864AE">
              <w:rPr>
                <w:rFonts w:ascii="Verdana" w:hAnsi="Verdana"/>
                <w:sz w:val="18"/>
                <w:szCs w:val="18"/>
              </w:rPr>
              <w:t>Salazar Lozano Lucy Noemy</w:t>
            </w:r>
          </w:p>
        </w:tc>
      </w:tr>
      <w:tr w:rsidR="00EA38F6" w:rsidRPr="000864AE" w14:paraId="7BFA7486" w14:textId="77777777" w:rsidTr="00AC0C51">
        <w:trPr>
          <w:trHeight w:val="300"/>
        </w:trPr>
        <w:tc>
          <w:tcPr>
            <w:tcW w:w="668" w:type="dxa"/>
            <w:vAlign w:val="center"/>
            <w:hideMark/>
          </w:tcPr>
          <w:p w14:paraId="357BB844"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567</w:t>
            </w:r>
          </w:p>
        </w:tc>
        <w:tc>
          <w:tcPr>
            <w:tcW w:w="3835" w:type="dxa"/>
            <w:vAlign w:val="center"/>
            <w:hideMark/>
          </w:tcPr>
          <w:p w14:paraId="6658E949" w14:textId="77777777" w:rsidR="00EA38F6" w:rsidRPr="000864AE" w:rsidRDefault="00EA38F6" w:rsidP="000864AE">
            <w:pPr>
              <w:rPr>
                <w:rFonts w:ascii="Verdana" w:hAnsi="Verdana"/>
                <w:sz w:val="18"/>
                <w:szCs w:val="18"/>
              </w:rPr>
            </w:pPr>
            <w:r w:rsidRPr="000864AE">
              <w:rPr>
                <w:rFonts w:ascii="Verdana" w:hAnsi="Verdana"/>
                <w:sz w:val="18"/>
                <w:szCs w:val="18"/>
              </w:rPr>
              <w:t>Salazar Quiroz Ricardo Hildebrando</w:t>
            </w:r>
          </w:p>
        </w:tc>
      </w:tr>
      <w:tr w:rsidR="00EA38F6" w:rsidRPr="000864AE" w14:paraId="6579C642" w14:textId="77777777" w:rsidTr="00AC0C51">
        <w:trPr>
          <w:trHeight w:val="300"/>
        </w:trPr>
        <w:tc>
          <w:tcPr>
            <w:tcW w:w="668" w:type="dxa"/>
            <w:vAlign w:val="center"/>
            <w:hideMark/>
          </w:tcPr>
          <w:p w14:paraId="5255452B"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568</w:t>
            </w:r>
          </w:p>
        </w:tc>
        <w:tc>
          <w:tcPr>
            <w:tcW w:w="3835" w:type="dxa"/>
            <w:vAlign w:val="center"/>
            <w:hideMark/>
          </w:tcPr>
          <w:p w14:paraId="2C4B72A4" w14:textId="77777777" w:rsidR="00EA38F6" w:rsidRPr="000864AE" w:rsidRDefault="00EA38F6" w:rsidP="000864AE">
            <w:pPr>
              <w:rPr>
                <w:rFonts w:ascii="Verdana" w:hAnsi="Verdana"/>
                <w:sz w:val="18"/>
                <w:szCs w:val="18"/>
              </w:rPr>
            </w:pPr>
            <w:r w:rsidRPr="000864AE">
              <w:rPr>
                <w:rFonts w:ascii="Verdana" w:hAnsi="Verdana"/>
                <w:sz w:val="18"/>
                <w:szCs w:val="18"/>
              </w:rPr>
              <w:t>Saldaña Malqui Alberto</w:t>
            </w:r>
          </w:p>
        </w:tc>
      </w:tr>
      <w:tr w:rsidR="00EA38F6" w:rsidRPr="000864AE" w14:paraId="1FC74A42" w14:textId="77777777" w:rsidTr="00AC0C51">
        <w:trPr>
          <w:trHeight w:val="300"/>
        </w:trPr>
        <w:tc>
          <w:tcPr>
            <w:tcW w:w="668" w:type="dxa"/>
            <w:vAlign w:val="center"/>
            <w:hideMark/>
          </w:tcPr>
          <w:p w14:paraId="0BB7B329"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569</w:t>
            </w:r>
          </w:p>
        </w:tc>
        <w:tc>
          <w:tcPr>
            <w:tcW w:w="3835" w:type="dxa"/>
            <w:vAlign w:val="center"/>
            <w:hideMark/>
          </w:tcPr>
          <w:p w14:paraId="2160F5ED" w14:textId="77777777" w:rsidR="00EA38F6" w:rsidRPr="000864AE" w:rsidRDefault="00EA38F6" w:rsidP="000864AE">
            <w:pPr>
              <w:rPr>
                <w:rFonts w:ascii="Verdana" w:hAnsi="Verdana"/>
                <w:sz w:val="18"/>
                <w:szCs w:val="18"/>
              </w:rPr>
            </w:pPr>
            <w:r w:rsidRPr="000864AE">
              <w:rPr>
                <w:rFonts w:ascii="Verdana" w:hAnsi="Verdana"/>
                <w:sz w:val="18"/>
                <w:szCs w:val="18"/>
              </w:rPr>
              <w:t>Saldaña Serpa Filemón</w:t>
            </w:r>
          </w:p>
        </w:tc>
      </w:tr>
      <w:tr w:rsidR="00EA38F6" w:rsidRPr="000864AE" w14:paraId="28C71E53" w14:textId="77777777" w:rsidTr="00AC0C51">
        <w:trPr>
          <w:trHeight w:val="300"/>
        </w:trPr>
        <w:tc>
          <w:tcPr>
            <w:tcW w:w="668" w:type="dxa"/>
            <w:vAlign w:val="center"/>
            <w:hideMark/>
          </w:tcPr>
          <w:p w14:paraId="3B78928E"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570</w:t>
            </w:r>
          </w:p>
        </w:tc>
        <w:tc>
          <w:tcPr>
            <w:tcW w:w="3835" w:type="dxa"/>
            <w:vAlign w:val="center"/>
            <w:hideMark/>
          </w:tcPr>
          <w:p w14:paraId="1B9B1D7E" w14:textId="77777777" w:rsidR="00EA38F6" w:rsidRPr="000864AE" w:rsidRDefault="00EA38F6" w:rsidP="000864AE">
            <w:pPr>
              <w:rPr>
                <w:rFonts w:ascii="Verdana" w:hAnsi="Verdana"/>
                <w:sz w:val="18"/>
                <w:szCs w:val="18"/>
              </w:rPr>
            </w:pPr>
            <w:r w:rsidRPr="000864AE">
              <w:rPr>
                <w:rFonts w:ascii="Verdana" w:hAnsi="Verdana"/>
                <w:sz w:val="18"/>
                <w:szCs w:val="18"/>
              </w:rPr>
              <w:t>Salhuana Sánchez Yolanda</w:t>
            </w:r>
          </w:p>
        </w:tc>
      </w:tr>
      <w:tr w:rsidR="00EA38F6" w:rsidRPr="000864AE" w14:paraId="23BF2334" w14:textId="77777777" w:rsidTr="00AC0C51">
        <w:trPr>
          <w:trHeight w:val="300"/>
        </w:trPr>
        <w:tc>
          <w:tcPr>
            <w:tcW w:w="668" w:type="dxa"/>
            <w:vAlign w:val="center"/>
            <w:hideMark/>
          </w:tcPr>
          <w:p w14:paraId="79E32ECA"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571</w:t>
            </w:r>
          </w:p>
        </w:tc>
        <w:tc>
          <w:tcPr>
            <w:tcW w:w="3835" w:type="dxa"/>
            <w:vAlign w:val="center"/>
            <w:hideMark/>
          </w:tcPr>
          <w:p w14:paraId="1B86F704" w14:textId="77777777" w:rsidR="00EA38F6" w:rsidRPr="000864AE" w:rsidRDefault="00EA38F6" w:rsidP="000864AE">
            <w:pPr>
              <w:rPr>
                <w:rFonts w:ascii="Verdana" w:hAnsi="Verdana"/>
                <w:sz w:val="18"/>
                <w:szCs w:val="18"/>
              </w:rPr>
            </w:pPr>
            <w:r w:rsidRPr="000864AE">
              <w:rPr>
                <w:rFonts w:ascii="Verdana" w:hAnsi="Verdana"/>
                <w:sz w:val="18"/>
                <w:szCs w:val="18"/>
              </w:rPr>
              <w:t>Salinas Málaga Cesar Augusto</w:t>
            </w:r>
          </w:p>
        </w:tc>
      </w:tr>
      <w:tr w:rsidR="00EA38F6" w:rsidRPr="000864AE" w14:paraId="28C65D22" w14:textId="77777777" w:rsidTr="00AC0C51">
        <w:trPr>
          <w:trHeight w:val="300"/>
        </w:trPr>
        <w:tc>
          <w:tcPr>
            <w:tcW w:w="668" w:type="dxa"/>
            <w:vAlign w:val="center"/>
            <w:hideMark/>
          </w:tcPr>
          <w:p w14:paraId="76B6580E"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572</w:t>
            </w:r>
          </w:p>
        </w:tc>
        <w:tc>
          <w:tcPr>
            <w:tcW w:w="3835" w:type="dxa"/>
            <w:vAlign w:val="center"/>
            <w:hideMark/>
          </w:tcPr>
          <w:p w14:paraId="4C5D0CF1" w14:textId="77777777" w:rsidR="00EA38F6" w:rsidRPr="000864AE" w:rsidRDefault="00EA38F6" w:rsidP="000864AE">
            <w:pPr>
              <w:rPr>
                <w:rFonts w:ascii="Verdana" w:hAnsi="Verdana"/>
                <w:sz w:val="18"/>
                <w:szCs w:val="18"/>
              </w:rPr>
            </w:pPr>
            <w:r w:rsidRPr="000864AE">
              <w:rPr>
                <w:rFonts w:ascii="Verdana" w:hAnsi="Verdana"/>
                <w:sz w:val="18"/>
                <w:szCs w:val="18"/>
              </w:rPr>
              <w:t>Salvador Chafalote Rosa Erlinda</w:t>
            </w:r>
          </w:p>
        </w:tc>
      </w:tr>
      <w:tr w:rsidR="00EA38F6" w:rsidRPr="000864AE" w14:paraId="2B5FB6EA" w14:textId="77777777" w:rsidTr="00AC0C51">
        <w:trPr>
          <w:trHeight w:val="300"/>
        </w:trPr>
        <w:tc>
          <w:tcPr>
            <w:tcW w:w="668" w:type="dxa"/>
            <w:vAlign w:val="center"/>
            <w:hideMark/>
          </w:tcPr>
          <w:p w14:paraId="5CEFA430"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573</w:t>
            </w:r>
          </w:p>
        </w:tc>
        <w:tc>
          <w:tcPr>
            <w:tcW w:w="3835" w:type="dxa"/>
            <w:vAlign w:val="center"/>
            <w:hideMark/>
          </w:tcPr>
          <w:p w14:paraId="707AA02C" w14:textId="77777777" w:rsidR="00EA38F6" w:rsidRPr="000864AE" w:rsidRDefault="00EA38F6" w:rsidP="000864AE">
            <w:pPr>
              <w:rPr>
                <w:rFonts w:ascii="Verdana" w:hAnsi="Verdana"/>
                <w:sz w:val="18"/>
                <w:szCs w:val="18"/>
              </w:rPr>
            </w:pPr>
            <w:r w:rsidRPr="000864AE">
              <w:rPr>
                <w:rFonts w:ascii="Verdana" w:hAnsi="Verdana"/>
                <w:sz w:val="18"/>
                <w:szCs w:val="18"/>
              </w:rPr>
              <w:t>Samaniego Gonzáles Olinda Nora</w:t>
            </w:r>
          </w:p>
        </w:tc>
      </w:tr>
      <w:tr w:rsidR="00EA38F6" w:rsidRPr="000864AE" w14:paraId="2AFCD4E0" w14:textId="77777777" w:rsidTr="00AC0C51">
        <w:trPr>
          <w:trHeight w:val="300"/>
        </w:trPr>
        <w:tc>
          <w:tcPr>
            <w:tcW w:w="668" w:type="dxa"/>
            <w:vAlign w:val="center"/>
            <w:hideMark/>
          </w:tcPr>
          <w:p w14:paraId="11F8FD76"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574</w:t>
            </w:r>
          </w:p>
        </w:tc>
        <w:tc>
          <w:tcPr>
            <w:tcW w:w="3835" w:type="dxa"/>
            <w:vAlign w:val="center"/>
            <w:hideMark/>
          </w:tcPr>
          <w:p w14:paraId="1820522A" w14:textId="77777777" w:rsidR="00EA38F6" w:rsidRPr="000864AE" w:rsidRDefault="00EA38F6" w:rsidP="000864AE">
            <w:pPr>
              <w:rPr>
                <w:rFonts w:ascii="Verdana" w:hAnsi="Verdana"/>
                <w:sz w:val="18"/>
                <w:szCs w:val="18"/>
              </w:rPr>
            </w:pPr>
            <w:r w:rsidRPr="000864AE">
              <w:rPr>
                <w:rFonts w:ascii="Verdana" w:hAnsi="Verdana"/>
                <w:sz w:val="18"/>
                <w:szCs w:val="18"/>
              </w:rPr>
              <w:t>Sánchez Apolinares Elías Eugenio</w:t>
            </w:r>
          </w:p>
        </w:tc>
      </w:tr>
      <w:tr w:rsidR="00EA38F6" w:rsidRPr="000864AE" w14:paraId="032EC820" w14:textId="77777777" w:rsidTr="00AC0C51">
        <w:trPr>
          <w:trHeight w:val="300"/>
        </w:trPr>
        <w:tc>
          <w:tcPr>
            <w:tcW w:w="668" w:type="dxa"/>
            <w:vAlign w:val="center"/>
            <w:hideMark/>
          </w:tcPr>
          <w:p w14:paraId="407F5105"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575</w:t>
            </w:r>
          </w:p>
        </w:tc>
        <w:tc>
          <w:tcPr>
            <w:tcW w:w="3835" w:type="dxa"/>
            <w:vAlign w:val="center"/>
            <w:hideMark/>
          </w:tcPr>
          <w:p w14:paraId="6F53F6C5" w14:textId="77777777" w:rsidR="00EA38F6" w:rsidRPr="000864AE" w:rsidRDefault="00EA38F6" w:rsidP="000864AE">
            <w:pPr>
              <w:rPr>
                <w:rFonts w:ascii="Verdana" w:hAnsi="Verdana"/>
                <w:sz w:val="18"/>
                <w:szCs w:val="18"/>
              </w:rPr>
            </w:pPr>
            <w:r w:rsidRPr="000864AE">
              <w:rPr>
                <w:rFonts w:ascii="Verdana" w:hAnsi="Verdana"/>
                <w:sz w:val="18"/>
                <w:szCs w:val="18"/>
              </w:rPr>
              <w:t>Sánchez Canchari Marina</w:t>
            </w:r>
          </w:p>
        </w:tc>
      </w:tr>
      <w:tr w:rsidR="00EA38F6" w:rsidRPr="000864AE" w14:paraId="1AF5E66A" w14:textId="77777777" w:rsidTr="00AC0C51">
        <w:trPr>
          <w:trHeight w:val="300"/>
        </w:trPr>
        <w:tc>
          <w:tcPr>
            <w:tcW w:w="668" w:type="dxa"/>
            <w:vAlign w:val="center"/>
            <w:hideMark/>
          </w:tcPr>
          <w:p w14:paraId="34C01E1C"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576</w:t>
            </w:r>
          </w:p>
        </w:tc>
        <w:tc>
          <w:tcPr>
            <w:tcW w:w="3835" w:type="dxa"/>
            <w:vAlign w:val="center"/>
            <w:hideMark/>
          </w:tcPr>
          <w:p w14:paraId="494FF1A3" w14:textId="77777777" w:rsidR="00EA38F6" w:rsidRPr="000864AE" w:rsidRDefault="00EA38F6" w:rsidP="000864AE">
            <w:pPr>
              <w:rPr>
                <w:rFonts w:ascii="Verdana" w:hAnsi="Verdana"/>
                <w:sz w:val="18"/>
                <w:szCs w:val="18"/>
              </w:rPr>
            </w:pPr>
            <w:r w:rsidRPr="000864AE">
              <w:rPr>
                <w:rFonts w:ascii="Verdana" w:hAnsi="Verdana"/>
                <w:sz w:val="18"/>
                <w:szCs w:val="18"/>
              </w:rPr>
              <w:t>Sánchez Gambetta Carlos</w:t>
            </w:r>
          </w:p>
        </w:tc>
      </w:tr>
      <w:tr w:rsidR="00EA38F6" w:rsidRPr="000864AE" w14:paraId="0238118E" w14:textId="77777777" w:rsidTr="00AC0C51">
        <w:trPr>
          <w:trHeight w:val="300"/>
        </w:trPr>
        <w:tc>
          <w:tcPr>
            <w:tcW w:w="668" w:type="dxa"/>
            <w:vAlign w:val="center"/>
            <w:hideMark/>
          </w:tcPr>
          <w:p w14:paraId="66952F12"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577</w:t>
            </w:r>
          </w:p>
        </w:tc>
        <w:tc>
          <w:tcPr>
            <w:tcW w:w="3835" w:type="dxa"/>
            <w:vAlign w:val="center"/>
            <w:hideMark/>
          </w:tcPr>
          <w:p w14:paraId="043BB915" w14:textId="77777777" w:rsidR="00EA38F6" w:rsidRPr="000864AE" w:rsidRDefault="00EA38F6" w:rsidP="000864AE">
            <w:pPr>
              <w:rPr>
                <w:rFonts w:ascii="Verdana" w:hAnsi="Verdana"/>
                <w:sz w:val="18"/>
                <w:szCs w:val="18"/>
              </w:rPr>
            </w:pPr>
            <w:r w:rsidRPr="000864AE">
              <w:rPr>
                <w:rFonts w:ascii="Verdana" w:hAnsi="Verdana"/>
                <w:sz w:val="18"/>
                <w:szCs w:val="18"/>
              </w:rPr>
              <w:t>Sánchez Sánchez Antenor</w:t>
            </w:r>
          </w:p>
        </w:tc>
      </w:tr>
      <w:tr w:rsidR="00EA38F6" w:rsidRPr="000864AE" w14:paraId="28421A76" w14:textId="77777777" w:rsidTr="00AC0C51">
        <w:trPr>
          <w:trHeight w:val="300"/>
        </w:trPr>
        <w:tc>
          <w:tcPr>
            <w:tcW w:w="668" w:type="dxa"/>
            <w:vAlign w:val="center"/>
            <w:hideMark/>
          </w:tcPr>
          <w:p w14:paraId="3C062D88"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578</w:t>
            </w:r>
          </w:p>
        </w:tc>
        <w:tc>
          <w:tcPr>
            <w:tcW w:w="3835" w:type="dxa"/>
            <w:vAlign w:val="center"/>
            <w:hideMark/>
          </w:tcPr>
          <w:p w14:paraId="540D960C" w14:textId="77777777" w:rsidR="00EA38F6" w:rsidRPr="000864AE" w:rsidRDefault="00EA38F6" w:rsidP="000864AE">
            <w:pPr>
              <w:rPr>
                <w:rFonts w:ascii="Verdana" w:hAnsi="Verdana"/>
                <w:sz w:val="18"/>
                <w:szCs w:val="18"/>
              </w:rPr>
            </w:pPr>
            <w:r w:rsidRPr="000864AE">
              <w:rPr>
                <w:rFonts w:ascii="Verdana" w:hAnsi="Verdana"/>
                <w:sz w:val="18"/>
                <w:szCs w:val="18"/>
              </w:rPr>
              <w:t>Sánchez Villanueva Antonio</w:t>
            </w:r>
          </w:p>
        </w:tc>
      </w:tr>
      <w:tr w:rsidR="00EA38F6" w:rsidRPr="000864AE" w14:paraId="59080E3C" w14:textId="77777777" w:rsidTr="00AC0C51">
        <w:trPr>
          <w:trHeight w:val="300"/>
        </w:trPr>
        <w:tc>
          <w:tcPr>
            <w:tcW w:w="668" w:type="dxa"/>
            <w:vAlign w:val="center"/>
            <w:hideMark/>
          </w:tcPr>
          <w:p w14:paraId="0AFDDB04"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579</w:t>
            </w:r>
          </w:p>
        </w:tc>
        <w:tc>
          <w:tcPr>
            <w:tcW w:w="3835" w:type="dxa"/>
            <w:vAlign w:val="center"/>
            <w:hideMark/>
          </w:tcPr>
          <w:p w14:paraId="47C7DA21" w14:textId="77777777" w:rsidR="00EA38F6" w:rsidRPr="000864AE" w:rsidRDefault="00EA38F6" w:rsidP="000864AE">
            <w:pPr>
              <w:rPr>
                <w:rFonts w:ascii="Verdana" w:hAnsi="Verdana"/>
                <w:sz w:val="18"/>
                <w:szCs w:val="18"/>
              </w:rPr>
            </w:pPr>
            <w:r w:rsidRPr="000864AE">
              <w:rPr>
                <w:rFonts w:ascii="Verdana" w:hAnsi="Verdana"/>
                <w:sz w:val="18"/>
                <w:szCs w:val="18"/>
              </w:rPr>
              <w:t>Sánchez Villanueva Gregorio</w:t>
            </w:r>
          </w:p>
        </w:tc>
      </w:tr>
      <w:tr w:rsidR="00EA38F6" w:rsidRPr="000864AE" w14:paraId="49A76D25" w14:textId="77777777" w:rsidTr="00AC0C51">
        <w:trPr>
          <w:trHeight w:val="300"/>
        </w:trPr>
        <w:tc>
          <w:tcPr>
            <w:tcW w:w="668" w:type="dxa"/>
            <w:vAlign w:val="center"/>
            <w:hideMark/>
          </w:tcPr>
          <w:p w14:paraId="2517035E"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580</w:t>
            </w:r>
          </w:p>
        </w:tc>
        <w:tc>
          <w:tcPr>
            <w:tcW w:w="3835" w:type="dxa"/>
            <w:vAlign w:val="center"/>
            <w:hideMark/>
          </w:tcPr>
          <w:p w14:paraId="7EE8F261" w14:textId="77777777" w:rsidR="00EA38F6" w:rsidRPr="000864AE" w:rsidRDefault="00EA38F6" w:rsidP="000864AE">
            <w:pPr>
              <w:rPr>
                <w:rFonts w:ascii="Verdana" w:hAnsi="Verdana"/>
                <w:sz w:val="18"/>
                <w:szCs w:val="18"/>
              </w:rPr>
            </w:pPr>
            <w:r w:rsidRPr="000864AE">
              <w:rPr>
                <w:rFonts w:ascii="Verdana" w:hAnsi="Verdana"/>
                <w:sz w:val="18"/>
                <w:szCs w:val="18"/>
              </w:rPr>
              <w:t>Sandoval Valdez Víctor Daniel</w:t>
            </w:r>
          </w:p>
        </w:tc>
      </w:tr>
      <w:tr w:rsidR="00EA38F6" w:rsidRPr="000864AE" w14:paraId="6401DDAA" w14:textId="77777777" w:rsidTr="00AC0C51">
        <w:trPr>
          <w:trHeight w:val="300"/>
        </w:trPr>
        <w:tc>
          <w:tcPr>
            <w:tcW w:w="668" w:type="dxa"/>
            <w:vAlign w:val="center"/>
            <w:hideMark/>
          </w:tcPr>
          <w:p w14:paraId="371312A9"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581</w:t>
            </w:r>
          </w:p>
        </w:tc>
        <w:tc>
          <w:tcPr>
            <w:tcW w:w="3835" w:type="dxa"/>
            <w:vAlign w:val="center"/>
            <w:hideMark/>
          </w:tcPr>
          <w:p w14:paraId="71BFBEA6" w14:textId="77777777" w:rsidR="00EA38F6" w:rsidRPr="000864AE" w:rsidRDefault="00EA38F6" w:rsidP="000864AE">
            <w:pPr>
              <w:rPr>
                <w:rFonts w:ascii="Verdana" w:hAnsi="Verdana"/>
                <w:sz w:val="18"/>
                <w:szCs w:val="18"/>
              </w:rPr>
            </w:pPr>
            <w:r w:rsidRPr="000864AE">
              <w:rPr>
                <w:rFonts w:ascii="Verdana" w:hAnsi="Verdana"/>
                <w:sz w:val="18"/>
                <w:szCs w:val="18"/>
              </w:rPr>
              <w:t>Sansur Velarde Jorge</w:t>
            </w:r>
          </w:p>
        </w:tc>
      </w:tr>
      <w:tr w:rsidR="00EA38F6" w:rsidRPr="000864AE" w14:paraId="448BBE1A" w14:textId="77777777" w:rsidTr="00AC0C51">
        <w:trPr>
          <w:trHeight w:val="300"/>
        </w:trPr>
        <w:tc>
          <w:tcPr>
            <w:tcW w:w="668" w:type="dxa"/>
            <w:vAlign w:val="center"/>
            <w:hideMark/>
          </w:tcPr>
          <w:p w14:paraId="36A1AA3C"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582</w:t>
            </w:r>
          </w:p>
        </w:tc>
        <w:tc>
          <w:tcPr>
            <w:tcW w:w="3835" w:type="dxa"/>
            <w:vAlign w:val="center"/>
            <w:hideMark/>
          </w:tcPr>
          <w:p w14:paraId="730C93B7" w14:textId="77777777" w:rsidR="00EA38F6" w:rsidRPr="000864AE" w:rsidRDefault="00EA38F6" w:rsidP="000864AE">
            <w:pPr>
              <w:rPr>
                <w:rFonts w:ascii="Verdana" w:hAnsi="Verdana"/>
                <w:sz w:val="18"/>
                <w:szCs w:val="18"/>
              </w:rPr>
            </w:pPr>
            <w:r w:rsidRPr="000864AE">
              <w:rPr>
                <w:rFonts w:ascii="Verdana" w:hAnsi="Verdana"/>
                <w:sz w:val="18"/>
                <w:szCs w:val="18"/>
              </w:rPr>
              <w:t>Santander Álvarez Leonidas Justo</w:t>
            </w:r>
          </w:p>
        </w:tc>
      </w:tr>
      <w:tr w:rsidR="00EA38F6" w:rsidRPr="000864AE" w14:paraId="4FF24583" w14:textId="77777777" w:rsidTr="00AC0C51">
        <w:trPr>
          <w:trHeight w:val="300"/>
        </w:trPr>
        <w:tc>
          <w:tcPr>
            <w:tcW w:w="668" w:type="dxa"/>
            <w:vAlign w:val="center"/>
            <w:hideMark/>
          </w:tcPr>
          <w:p w14:paraId="4008D791"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583</w:t>
            </w:r>
          </w:p>
        </w:tc>
        <w:tc>
          <w:tcPr>
            <w:tcW w:w="3835" w:type="dxa"/>
            <w:vAlign w:val="center"/>
            <w:hideMark/>
          </w:tcPr>
          <w:p w14:paraId="2E42B3A3" w14:textId="77777777" w:rsidR="00EA38F6" w:rsidRPr="000864AE" w:rsidRDefault="00EA38F6" w:rsidP="000864AE">
            <w:pPr>
              <w:rPr>
                <w:rFonts w:ascii="Verdana" w:hAnsi="Verdana"/>
                <w:sz w:val="18"/>
                <w:szCs w:val="18"/>
              </w:rPr>
            </w:pPr>
            <w:r w:rsidRPr="000864AE">
              <w:rPr>
                <w:rFonts w:ascii="Verdana" w:hAnsi="Verdana"/>
                <w:sz w:val="18"/>
                <w:szCs w:val="18"/>
              </w:rPr>
              <w:t>Santillán Palomino Daniel Gabriel</w:t>
            </w:r>
          </w:p>
        </w:tc>
      </w:tr>
      <w:tr w:rsidR="00EA38F6" w:rsidRPr="000864AE" w14:paraId="3871FAC2" w14:textId="77777777" w:rsidTr="00AC0C51">
        <w:trPr>
          <w:trHeight w:val="300"/>
        </w:trPr>
        <w:tc>
          <w:tcPr>
            <w:tcW w:w="668" w:type="dxa"/>
            <w:vAlign w:val="center"/>
            <w:hideMark/>
          </w:tcPr>
          <w:p w14:paraId="1C618F81"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584</w:t>
            </w:r>
          </w:p>
        </w:tc>
        <w:tc>
          <w:tcPr>
            <w:tcW w:w="3835" w:type="dxa"/>
            <w:vAlign w:val="center"/>
            <w:hideMark/>
          </w:tcPr>
          <w:p w14:paraId="65CB0454" w14:textId="77777777" w:rsidR="00EA38F6" w:rsidRPr="000864AE" w:rsidRDefault="00EA38F6" w:rsidP="000864AE">
            <w:pPr>
              <w:rPr>
                <w:rFonts w:ascii="Verdana" w:hAnsi="Verdana"/>
                <w:sz w:val="18"/>
                <w:szCs w:val="18"/>
              </w:rPr>
            </w:pPr>
            <w:r w:rsidRPr="000864AE">
              <w:rPr>
                <w:rFonts w:ascii="Verdana" w:hAnsi="Verdana"/>
                <w:sz w:val="18"/>
                <w:szCs w:val="18"/>
              </w:rPr>
              <w:t>Sarmiento Bendezú Federico Francisco</w:t>
            </w:r>
          </w:p>
        </w:tc>
      </w:tr>
      <w:tr w:rsidR="00EA38F6" w:rsidRPr="000864AE" w14:paraId="3FF07601" w14:textId="77777777" w:rsidTr="00AC0C51">
        <w:trPr>
          <w:trHeight w:val="300"/>
        </w:trPr>
        <w:tc>
          <w:tcPr>
            <w:tcW w:w="668" w:type="dxa"/>
            <w:vAlign w:val="center"/>
            <w:hideMark/>
          </w:tcPr>
          <w:p w14:paraId="07ADC211"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585</w:t>
            </w:r>
          </w:p>
        </w:tc>
        <w:tc>
          <w:tcPr>
            <w:tcW w:w="3835" w:type="dxa"/>
            <w:vAlign w:val="center"/>
            <w:hideMark/>
          </w:tcPr>
          <w:p w14:paraId="2FFAB4A2" w14:textId="77777777" w:rsidR="00EA38F6" w:rsidRPr="000864AE" w:rsidRDefault="00EA38F6" w:rsidP="000864AE">
            <w:pPr>
              <w:rPr>
                <w:rFonts w:ascii="Verdana" w:hAnsi="Verdana"/>
                <w:sz w:val="18"/>
                <w:szCs w:val="18"/>
              </w:rPr>
            </w:pPr>
            <w:r w:rsidRPr="000864AE">
              <w:rPr>
                <w:rFonts w:ascii="Verdana" w:hAnsi="Verdana"/>
                <w:sz w:val="18"/>
                <w:szCs w:val="18"/>
              </w:rPr>
              <w:t>Segura Marquina Polidoro</w:t>
            </w:r>
          </w:p>
        </w:tc>
      </w:tr>
      <w:tr w:rsidR="00EA38F6" w:rsidRPr="000864AE" w14:paraId="20FFB351" w14:textId="77777777" w:rsidTr="00AC0C51">
        <w:trPr>
          <w:trHeight w:val="300"/>
        </w:trPr>
        <w:tc>
          <w:tcPr>
            <w:tcW w:w="668" w:type="dxa"/>
            <w:vAlign w:val="center"/>
            <w:hideMark/>
          </w:tcPr>
          <w:p w14:paraId="06EBE553"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586</w:t>
            </w:r>
          </w:p>
        </w:tc>
        <w:tc>
          <w:tcPr>
            <w:tcW w:w="3835" w:type="dxa"/>
            <w:vAlign w:val="center"/>
            <w:hideMark/>
          </w:tcPr>
          <w:p w14:paraId="22C95647" w14:textId="77777777" w:rsidR="00EA38F6" w:rsidRPr="000864AE" w:rsidRDefault="00EA38F6" w:rsidP="000864AE">
            <w:pPr>
              <w:rPr>
                <w:rFonts w:ascii="Verdana" w:hAnsi="Verdana"/>
                <w:sz w:val="18"/>
                <w:szCs w:val="18"/>
              </w:rPr>
            </w:pPr>
            <w:r w:rsidRPr="000864AE">
              <w:rPr>
                <w:rFonts w:ascii="Verdana" w:hAnsi="Verdana"/>
                <w:sz w:val="18"/>
                <w:szCs w:val="18"/>
              </w:rPr>
              <w:t>Seminario Seminario Jorge Guillermo</w:t>
            </w:r>
          </w:p>
        </w:tc>
      </w:tr>
      <w:tr w:rsidR="00EA38F6" w:rsidRPr="000864AE" w14:paraId="1631AF43" w14:textId="77777777" w:rsidTr="00AC0C51">
        <w:trPr>
          <w:trHeight w:val="300"/>
        </w:trPr>
        <w:tc>
          <w:tcPr>
            <w:tcW w:w="668" w:type="dxa"/>
            <w:vAlign w:val="center"/>
            <w:hideMark/>
          </w:tcPr>
          <w:p w14:paraId="0C8EF5E2"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587</w:t>
            </w:r>
          </w:p>
        </w:tc>
        <w:tc>
          <w:tcPr>
            <w:tcW w:w="3835" w:type="dxa"/>
            <w:vAlign w:val="center"/>
            <w:hideMark/>
          </w:tcPr>
          <w:p w14:paraId="637B8F34" w14:textId="77777777" w:rsidR="00EA38F6" w:rsidRPr="000864AE" w:rsidRDefault="00EA38F6" w:rsidP="000864AE">
            <w:pPr>
              <w:rPr>
                <w:rFonts w:ascii="Verdana" w:hAnsi="Verdana"/>
                <w:sz w:val="18"/>
                <w:szCs w:val="18"/>
              </w:rPr>
            </w:pPr>
            <w:r w:rsidRPr="000864AE">
              <w:rPr>
                <w:rFonts w:ascii="Verdana" w:hAnsi="Verdana"/>
                <w:sz w:val="18"/>
                <w:szCs w:val="18"/>
              </w:rPr>
              <w:t>Sihuay Sifuentes Elsa Paulina</w:t>
            </w:r>
          </w:p>
        </w:tc>
      </w:tr>
      <w:tr w:rsidR="00EA38F6" w:rsidRPr="000864AE" w14:paraId="626AA9EB" w14:textId="77777777" w:rsidTr="00AC0C51">
        <w:trPr>
          <w:trHeight w:val="300"/>
        </w:trPr>
        <w:tc>
          <w:tcPr>
            <w:tcW w:w="668" w:type="dxa"/>
            <w:vAlign w:val="center"/>
            <w:hideMark/>
          </w:tcPr>
          <w:p w14:paraId="0B1D4A00"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588</w:t>
            </w:r>
          </w:p>
        </w:tc>
        <w:tc>
          <w:tcPr>
            <w:tcW w:w="3835" w:type="dxa"/>
            <w:vAlign w:val="center"/>
            <w:hideMark/>
          </w:tcPr>
          <w:p w14:paraId="7DAC9F5D" w14:textId="77777777" w:rsidR="00EA38F6" w:rsidRPr="000864AE" w:rsidRDefault="00EA38F6" w:rsidP="000864AE">
            <w:pPr>
              <w:rPr>
                <w:rFonts w:ascii="Verdana" w:hAnsi="Verdana"/>
                <w:sz w:val="18"/>
                <w:szCs w:val="18"/>
              </w:rPr>
            </w:pPr>
            <w:r w:rsidRPr="000864AE">
              <w:rPr>
                <w:rFonts w:ascii="Verdana" w:hAnsi="Verdana"/>
                <w:sz w:val="18"/>
                <w:szCs w:val="18"/>
              </w:rPr>
              <w:t>Silva Flor Lourdes Mercedes</w:t>
            </w:r>
          </w:p>
        </w:tc>
      </w:tr>
      <w:tr w:rsidR="00EA38F6" w:rsidRPr="000864AE" w14:paraId="4E1A4DCA" w14:textId="77777777" w:rsidTr="00AC0C51">
        <w:trPr>
          <w:trHeight w:val="300"/>
        </w:trPr>
        <w:tc>
          <w:tcPr>
            <w:tcW w:w="668" w:type="dxa"/>
            <w:vAlign w:val="center"/>
            <w:hideMark/>
          </w:tcPr>
          <w:p w14:paraId="31059562"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589</w:t>
            </w:r>
          </w:p>
        </w:tc>
        <w:tc>
          <w:tcPr>
            <w:tcW w:w="3835" w:type="dxa"/>
            <w:vAlign w:val="center"/>
            <w:hideMark/>
          </w:tcPr>
          <w:p w14:paraId="3E40917D" w14:textId="77777777" w:rsidR="00EA38F6" w:rsidRPr="000864AE" w:rsidRDefault="00EA38F6" w:rsidP="000864AE">
            <w:pPr>
              <w:rPr>
                <w:rFonts w:ascii="Verdana" w:hAnsi="Verdana"/>
                <w:sz w:val="18"/>
                <w:szCs w:val="18"/>
              </w:rPr>
            </w:pPr>
            <w:r w:rsidRPr="000864AE">
              <w:rPr>
                <w:rFonts w:ascii="Verdana" w:hAnsi="Verdana"/>
                <w:sz w:val="18"/>
                <w:szCs w:val="18"/>
              </w:rPr>
              <w:t>Silva Ludeña Julio Hildebrando</w:t>
            </w:r>
          </w:p>
        </w:tc>
      </w:tr>
      <w:tr w:rsidR="00EA38F6" w:rsidRPr="000864AE" w14:paraId="771AC613" w14:textId="77777777" w:rsidTr="00AC0C51">
        <w:trPr>
          <w:trHeight w:val="300"/>
        </w:trPr>
        <w:tc>
          <w:tcPr>
            <w:tcW w:w="668" w:type="dxa"/>
            <w:vAlign w:val="center"/>
            <w:hideMark/>
          </w:tcPr>
          <w:p w14:paraId="62270F01"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590</w:t>
            </w:r>
          </w:p>
        </w:tc>
        <w:tc>
          <w:tcPr>
            <w:tcW w:w="3835" w:type="dxa"/>
            <w:vAlign w:val="center"/>
            <w:hideMark/>
          </w:tcPr>
          <w:p w14:paraId="0F77844A" w14:textId="77777777" w:rsidR="00EA38F6" w:rsidRPr="000864AE" w:rsidRDefault="00EA38F6" w:rsidP="000864AE">
            <w:pPr>
              <w:rPr>
                <w:rFonts w:ascii="Verdana" w:hAnsi="Verdana"/>
                <w:sz w:val="18"/>
                <w:szCs w:val="18"/>
              </w:rPr>
            </w:pPr>
            <w:r w:rsidRPr="000864AE">
              <w:rPr>
                <w:rFonts w:ascii="Verdana" w:hAnsi="Verdana"/>
                <w:sz w:val="18"/>
                <w:szCs w:val="18"/>
              </w:rPr>
              <w:t>Solano Derteano Emma Francisca</w:t>
            </w:r>
          </w:p>
        </w:tc>
      </w:tr>
      <w:tr w:rsidR="00EA38F6" w:rsidRPr="000864AE" w14:paraId="17F5F828" w14:textId="77777777" w:rsidTr="00AC0C51">
        <w:trPr>
          <w:trHeight w:val="300"/>
        </w:trPr>
        <w:tc>
          <w:tcPr>
            <w:tcW w:w="668" w:type="dxa"/>
            <w:vAlign w:val="center"/>
            <w:hideMark/>
          </w:tcPr>
          <w:p w14:paraId="592DB3C6"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591</w:t>
            </w:r>
          </w:p>
        </w:tc>
        <w:tc>
          <w:tcPr>
            <w:tcW w:w="3835" w:type="dxa"/>
            <w:vAlign w:val="center"/>
            <w:hideMark/>
          </w:tcPr>
          <w:p w14:paraId="495689EC" w14:textId="77777777" w:rsidR="00EA38F6" w:rsidRPr="000864AE" w:rsidRDefault="00EA38F6" w:rsidP="000864AE">
            <w:pPr>
              <w:rPr>
                <w:rFonts w:ascii="Verdana" w:hAnsi="Verdana"/>
                <w:sz w:val="18"/>
                <w:szCs w:val="18"/>
              </w:rPr>
            </w:pPr>
            <w:r w:rsidRPr="000864AE">
              <w:rPr>
                <w:rFonts w:ascii="Verdana" w:hAnsi="Verdana"/>
                <w:sz w:val="18"/>
                <w:szCs w:val="18"/>
              </w:rPr>
              <w:t>Solís Espinoza Miguel</w:t>
            </w:r>
          </w:p>
        </w:tc>
      </w:tr>
      <w:tr w:rsidR="00EA38F6" w:rsidRPr="000864AE" w14:paraId="49E08682" w14:textId="77777777" w:rsidTr="00AC0C51">
        <w:trPr>
          <w:trHeight w:val="300"/>
        </w:trPr>
        <w:tc>
          <w:tcPr>
            <w:tcW w:w="668" w:type="dxa"/>
            <w:vAlign w:val="center"/>
            <w:hideMark/>
          </w:tcPr>
          <w:p w14:paraId="523DCCB4"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592</w:t>
            </w:r>
          </w:p>
        </w:tc>
        <w:tc>
          <w:tcPr>
            <w:tcW w:w="3835" w:type="dxa"/>
            <w:vAlign w:val="center"/>
            <w:hideMark/>
          </w:tcPr>
          <w:p w14:paraId="27E2FBBF" w14:textId="77777777" w:rsidR="00EA38F6" w:rsidRPr="000864AE" w:rsidRDefault="00EA38F6" w:rsidP="000864AE">
            <w:pPr>
              <w:rPr>
                <w:rFonts w:ascii="Verdana" w:hAnsi="Verdana"/>
                <w:sz w:val="18"/>
                <w:szCs w:val="18"/>
              </w:rPr>
            </w:pPr>
            <w:r w:rsidRPr="000864AE">
              <w:rPr>
                <w:rFonts w:ascii="Verdana" w:hAnsi="Verdana"/>
                <w:sz w:val="18"/>
                <w:szCs w:val="18"/>
              </w:rPr>
              <w:t>Soriano Pinche Maria Luisa</w:t>
            </w:r>
          </w:p>
        </w:tc>
      </w:tr>
      <w:tr w:rsidR="00EA38F6" w:rsidRPr="000864AE" w14:paraId="5EA6D97D" w14:textId="77777777" w:rsidTr="00AC0C51">
        <w:trPr>
          <w:trHeight w:val="300"/>
        </w:trPr>
        <w:tc>
          <w:tcPr>
            <w:tcW w:w="668" w:type="dxa"/>
            <w:vAlign w:val="center"/>
            <w:hideMark/>
          </w:tcPr>
          <w:p w14:paraId="459504F0"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593</w:t>
            </w:r>
          </w:p>
        </w:tc>
        <w:tc>
          <w:tcPr>
            <w:tcW w:w="3835" w:type="dxa"/>
            <w:vAlign w:val="center"/>
            <w:hideMark/>
          </w:tcPr>
          <w:p w14:paraId="00EB519E" w14:textId="77777777" w:rsidR="00EA38F6" w:rsidRPr="000864AE" w:rsidRDefault="00EA38F6" w:rsidP="000864AE">
            <w:pPr>
              <w:rPr>
                <w:rFonts w:ascii="Verdana" w:hAnsi="Verdana"/>
                <w:sz w:val="18"/>
                <w:szCs w:val="18"/>
              </w:rPr>
            </w:pPr>
            <w:r w:rsidRPr="000864AE">
              <w:rPr>
                <w:rFonts w:ascii="Verdana" w:hAnsi="Verdana"/>
                <w:sz w:val="18"/>
                <w:szCs w:val="18"/>
              </w:rPr>
              <w:t>Sosa Andrade Marcial</w:t>
            </w:r>
          </w:p>
        </w:tc>
      </w:tr>
      <w:tr w:rsidR="00EA38F6" w:rsidRPr="000864AE" w14:paraId="30D29C9E" w14:textId="77777777" w:rsidTr="00AC0C51">
        <w:trPr>
          <w:trHeight w:val="300"/>
        </w:trPr>
        <w:tc>
          <w:tcPr>
            <w:tcW w:w="668" w:type="dxa"/>
            <w:vAlign w:val="center"/>
            <w:hideMark/>
          </w:tcPr>
          <w:p w14:paraId="41F26801"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594</w:t>
            </w:r>
          </w:p>
        </w:tc>
        <w:tc>
          <w:tcPr>
            <w:tcW w:w="3835" w:type="dxa"/>
            <w:vAlign w:val="center"/>
            <w:hideMark/>
          </w:tcPr>
          <w:p w14:paraId="0B8CBA45" w14:textId="77777777" w:rsidR="00EA38F6" w:rsidRPr="000864AE" w:rsidRDefault="00EA38F6" w:rsidP="000864AE">
            <w:pPr>
              <w:rPr>
                <w:rFonts w:ascii="Verdana" w:hAnsi="Verdana"/>
                <w:sz w:val="18"/>
                <w:szCs w:val="18"/>
              </w:rPr>
            </w:pPr>
            <w:r w:rsidRPr="000864AE">
              <w:rPr>
                <w:rFonts w:ascii="Verdana" w:hAnsi="Verdana"/>
                <w:sz w:val="18"/>
                <w:szCs w:val="18"/>
              </w:rPr>
              <w:t>Sosa Llacza Isabel</w:t>
            </w:r>
          </w:p>
        </w:tc>
      </w:tr>
      <w:tr w:rsidR="00EA38F6" w:rsidRPr="000864AE" w14:paraId="62743284" w14:textId="77777777" w:rsidTr="00AC0C51">
        <w:trPr>
          <w:trHeight w:val="300"/>
        </w:trPr>
        <w:tc>
          <w:tcPr>
            <w:tcW w:w="668" w:type="dxa"/>
            <w:vAlign w:val="center"/>
            <w:hideMark/>
          </w:tcPr>
          <w:p w14:paraId="1ACF320B"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595</w:t>
            </w:r>
          </w:p>
        </w:tc>
        <w:tc>
          <w:tcPr>
            <w:tcW w:w="3835" w:type="dxa"/>
            <w:vAlign w:val="center"/>
            <w:hideMark/>
          </w:tcPr>
          <w:p w14:paraId="19BF7EE7" w14:textId="77777777" w:rsidR="00EA38F6" w:rsidRPr="000864AE" w:rsidRDefault="00EA38F6" w:rsidP="000864AE">
            <w:pPr>
              <w:rPr>
                <w:rFonts w:ascii="Verdana" w:hAnsi="Verdana"/>
                <w:sz w:val="18"/>
                <w:szCs w:val="18"/>
              </w:rPr>
            </w:pPr>
            <w:r w:rsidRPr="000864AE">
              <w:rPr>
                <w:rFonts w:ascii="Verdana" w:hAnsi="Verdana"/>
                <w:sz w:val="18"/>
                <w:szCs w:val="18"/>
              </w:rPr>
              <w:t>Sosa Rojas Víctor Aníbal</w:t>
            </w:r>
          </w:p>
        </w:tc>
      </w:tr>
      <w:tr w:rsidR="00EA38F6" w:rsidRPr="000864AE" w14:paraId="22E101FA" w14:textId="77777777" w:rsidTr="00AC0C51">
        <w:trPr>
          <w:trHeight w:val="300"/>
        </w:trPr>
        <w:tc>
          <w:tcPr>
            <w:tcW w:w="668" w:type="dxa"/>
            <w:vAlign w:val="center"/>
            <w:hideMark/>
          </w:tcPr>
          <w:p w14:paraId="1EC2E08D"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596</w:t>
            </w:r>
          </w:p>
        </w:tc>
        <w:tc>
          <w:tcPr>
            <w:tcW w:w="3835" w:type="dxa"/>
            <w:vAlign w:val="center"/>
            <w:hideMark/>
          </w:tcPr>
          <w:p w14:paraId="352D3898" w14:textId="77777777" w:rsidR="00EA38F6" w:rsidRPr="000864AE" w:rsidRDefault="00EA38F6" w:rsidP="000864AE">
            <w:pPr>
              <w:rPr>
                <w:rFonts w:ascii="Verdana" w:hAnsi="Verdana"/>
                <w:sz w:val="18"/>
                <w:szCs w:val="18"/>
              </w:rPr>
            </w:pPr>
            <w:r w:rsidRPr="000864AE">
              <w:rPr>
                <w:rFonts w:ascii="Verdana" w:hAnsi="Verdana"/>
                <w:sz w:val="18"/>
                <w:szCs w:val="18"/>
              </w:rPr>
              <w:t>Stagnaro Narvaez Carlos Humberto</w:t>
            </w:r>
          </w:p>
        </w:tc>
      </w:tr>
      <w:tr w:rsidR="00EA38F6" w:rsidRPr="000864AE" w14:paraId="4AFC1906" w14:textId="77777777" w:rsidTr="00AC0C51">
        <w:trPr>
          <w:trHeight w:val="300"/>
        </w:trPr>
        <w:tc>
          <w:tcPr>
            <w:tcW w:w="668" w:type="dxa"/>
            <w:vAlign w:val="center"/>
            <w:hideMark/>
          </w:tcPr>
          <w:p w14:paraId="2D1596BC"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597</w:t>
            </w:r>
          </w:p>
        </w:tc>
        <w:tc>
          <w:tcPr>
            <w:tcW w:w="3835" w:type="dxa"/>
            <w:vAlign w:val="center"/>
            <w:hideMark/>
          </w:tcPr>
          <w:p w14:paraId="304465A4" w14:textId="77777777" w:rsidR="00EA38F6" w:rsidRPr="000864AE" w:rsidRDefault="00EA38F6" w:rsidP="000864AE">
            <w:pPr>
              <w:rPr>
                <w:rFonts w:ascii="Verdana" w:hAnsi="Verdana"/>
                <w:sz w:val="18"/>
                <w:szCs w:val="18"/>
              </w:rPr>
            </w:pPr>
            <w:r w:rsidRPr="000864AE">
              <w:rPr>
                <w:rFonts w:ascii="Verdana" w:hAnsi="Verdana"/>
                <w:sz w:val="18"/>
                <w:szCs w:val="18"/>
              </w:rPr>
              <w:t>Stucchi Díaz Martha Raquel</w:t>
            </w:r>
          </w:p>
        </w:tc>
      </w:tr>
      <w:tr w:rsidR="00EA38F6" w:rsidRPr="000864AE" w14:paraId="6D97DD17" w14:textId="77777777" w:rsidTr="00AC0C51">
        <w:trPr>
          <w:trHeight w:val="300"/>
        </w:trPr>
        <w:tc>
          <w:tcPr>
            <w:tcW w:w="668" w:type="dxa"/>
            <w:vAlign w:val="center"/>
            <w:hideMark/>
          </w:tcPr>
          <w:p w14:paraId="4458C9DB"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598</w:t>
            </w:r>
          </w:p>
        </w:tc>
        <w:tc>
          <w:tcPr>
            <w:tcW w:w="3835" w:type="dxa"/>
            <w:vAlign w:val="center"/>
            <w:hideMark/>
          </w:tcPr>
          <w:p w14:paraId="1D44A5C3" w14:textId="77777777" w:rsidR="00EA38F6" w:rsidRPr="000864AE" w:rsidRDefault="00EA38F6" w:rsidP="000864AE">
            <w:pPr>
              <w:rPr>
                <w:rFonts w:ascii="Verdana" w:hAnsi="Verdana"/>
                <w:sz w:val="18"/>
                <w:szCs w:val="18"/>
              </w:rPr>
            </w:pPr>
            <w:r w:rsidRPr="000864AE">
              <w:rPr>
                <w:rFonts w:ascii="Verdana" w:hAnsi="Verdana"/>
                <w:sz w:val="18"/>
                <w:szCs w:val="18"/>
              </w:rPr>
              <w:t>Suárez Cuadrado Aquiles</w:t>
            </w:r>
          </w:p>
        </w:tc>
      </w:tr>
      <w:tr w:rsidR="00EA38F6" w:rsidRPr="000864AE" w14:paraId="4AECC585" w14:textId="77777777" w:rsidTr="00AC0C51">
        <w:trPr>
          <w:trHeight w:val="300"/>
        </w:trPr>
        <w:tc>
          <w:tcPr>
            <w:tcW w:w="668" w:type="dxa"/>
            <w:vAlign w:val="center"/>
            <w:hideMark/>
          </w:tcPr>
          <w:p w14:paraId="76099E7C"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599</w:t>
            </w:r>
          </w:p>
        </w:tc>
        <w:tc>
          <w:tcPr>
            <w:tcW w:w="3835" w:type="dxa"/>
            <w:vAlign w:val="center"/>
            <w:hideMark/>
          </w:tcPr>
          <w:p w14:paraId="6A11E0DF" w14:textId="77777777" w:rsidR="00EA38F6" w:rsidRPr="000864AE" w:rsidRDefault="00EA38F6" w:rsidP="000864AE">
            <w:pPr>
              <w:rPr>
                <w:rFonts w:ascii="Verdana" w:hAnsi="Verdana"/>
                <w:sz w:val="18"/>
                <w:szCs w:val="18"/>
              </w:rPr>
            </w:pPr>
            <w:r w:rsidRPr="000864AE">
              <w:rPr>
                <w:rFonts w:ascii="Verdana" w:hAnsi="Verdana"/>
                <w:sz w:val="18"/>
                <w:szCs w:val="18"/>
              </w:rPr>
              <w:t>Suárez Hernández Ramón Antonio</w:t>
            </w:r>
          </w:p>
        </w:tc>
      </w:tr>
      <w:tr w:rsidR="00EA38F6" w:rsidRPr="000864AE" w14:paraId="633D5C56" w14:textId="77777777" w:rsidTr="00AC0C51">
        <w:trPr>
          <w:trHeight w:val="300"/>
        </w:trPr>
        <w:tc>
          <w:tcPr>
            <w:tcW w:w="668" w:type="dxa"/>
            <w:vAlign w:val="center"/>
            <w:hideMark/>
          </w:tcPr>
          <w:p w14:paraId="7862587A"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600</w:t>
            </w:r>
          </w:p>
        </w:tc>
        <w:tc>
          <w:tcPr>
            <w:tcW w:w="3835" w:type="dxa"/>
            <w:vAlign w:val="center"/>
            <w:hideMark/>
          </w:tcPr>
          <w:p w14:paraId="6FE9465D" w14:textId="77777777" w:rsidR="00EA38F6" w:rsidRPr="000864AE" w:rsidRDefault="00EA38F6" w:rsidP="000864AE">
            <w:pPr>
              <w:rPr>
                <w:rFonts w:ascii="Verdana" w:hAnsi="Verdana"/>
                <w:sz w:val="18"/>
                <w:szCs w:val="18"/>
              </w:rPr>
            </w:pPr>
            <w:r w:rsidRPr="000864AE">
              <w:rPr>
                <w:rFonts w:ascii="Verdana" w:hAnsi="Verdana"/>
                <w:sz w:val="18"/>
                <w:szCs w:val="18"/>
              </w:rPr>
              <w:t>Suárez Molina Susano Tauro</w:t>
            </w:r>
          </w:p>
        </w:tc>
      </w:tr>
      <w:tr w:rsidR="00EA38F6" w:rsidRPr="000864AE" w14:paraId="310C3EF9" w14:textId="77777777" w:rsidTr="00AC0C51">
        <w:trPr>
          <w:trHeight w:val="300"/>
        </w:trPr>
        <w:tc>
          <w:tcPr>
            <w:tcW w:w="668" w:type="dxa"/>
            <w:vAlign w:val="center"/>
            <w:hideMark/>
          </w:tcPr>
          <w:p w14:paraId="440C4781"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601</w:t>
            </w:r>
          </w:p>
        </w:tc>
        <w:tc>
          <w:tcPr>
            <w:tcW w:w="3835" w:type="dxa"/>
            <w:vAlign w:val="center"/>
            <w:hideMark/>
          </w:tcPr>
          <w:p w14:paraId="261FE7CC" w14:textId="77777777" w:rsidR="00EA38F6" w:rsidRPr="000864AE" w:rsidRDefault="00EA38F6" w:rsidP="000864AE">
            <w:pPr>
              <w:rPr>
                <w:rFonts w:ascii="Verdana" w:hAnsi="Verdana"/>
                <w:sz w:val="18"/>
                <w:szCs w:val="18"/>
              </w:rPr>
            </w:pPr>
            <w:r w:rsidRPr="000864AE">
              <w:rPr>
                <w:rFonts w:ascii="Verdana" w:hAnsi="Verdana"/>
                <w:sz w:val="18"/>
                <w:szCs w:val="18"/>
              </w:rPr>
              <w:t>Suárez Palomares Benedicta</w:t>
            </w:r>
          </w:p>
        </w:tc>
      </w:tr>
      <w:tr w:rsidR="00EA38F6" w:rsidRPr="000864AE" w14:paraId="5E3D8576" w14:textId="77777777" w:rsidTr="00AC0C51">
        <w:trPr>
          <w:trHeight w:val="300"/>
        </w:trPr>
        <w:tc>
          <w:tcPr>
            <w:tcW w:w="668" w:type="dxa"/>
            <w:vAlign w:val="center"/>
            <w:hideMark/>
          </w:tcPr>
          <w:p w14:paraId="3DD8A355"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602</w:t>
            </w:r>
          </w:p>
        </w:tc>
        <w:tc>
          <w:tcPr>
            <w:tcW w:w="3835" w:type="dxa"/>
            <w:vAlign w:val="center"/>
            <w:hideMark/>
          </w:tcPr>
          <w:p w14:paraId="3AFEDBA8" w14:textId="77777777" w:rsidR="00EA38F6" w:rsidRPr="000864AE" w:rsidRDefault="00EA38F6" w:rsidP="000864AE">
            <w:pPr>
              <w:rPr>
                <w:rFonts w:ascii="Verdana" w:hAnsi="Verdana"/>
                <w:sz w:val="18"/>
                <w:szCs w:val="18"/>
              </w:rPr>
            </w:pPr>
            <w:r w:rsidRPr="000864AE">
              <w:rPr>
                <w:rFonts w:ascii="Verdana" w:hAnsi="Verdana"/>
                <w:sz w:val="18"/>
                <w:szCs w:val="18"/>
              </w:rPr>
              <w:t>Taboada Baltuano Idalia Antonieta</w:t>
            </w:r>
          </w:p>
        </w:tc>
      </w:tr>
      <w:tr w:rsidR="00EA38F6" w:rsidRPr="000864AE" w14:paraId="72FBC4B2" w14:textId="77777777" w:rsidTr="00AC0C51">
        <w:trPr>
          <w:trHeight w:val="300"/>
        </w:trPr>
        <w:tc>
          <w:tcPr>
            <w:tcW w:w="668" w:type="dxa"/>
            <w:vAlign w:val="center"/>
            <w:hideMark/>
          </w:tcPr>
          <w:p w14:paraId="7935DA01"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603</w:t>
            </w:r>
          </w:p>
        </w:tc>
        <w:tc>
          <w:tcPr>
            <w:tcW w:w="3835" w:type="dxa"/>
            <w:vAlign w:val="center"/>
            <w:hideMark/>
          </w:tcPr>
          <w:p w14:paraId="21F945E9" w14:textId="77777777" w:rsidR="00EA38F6" w:rsidRPr="000864AE" w:rsidRDefault="00EA38F6" w:rsidP="000864AE">
            <w:pPr>
              <w:rPr>
                <w:rFonts w:ascii="Verdana" w:hAnsi="Verdana"/>
                <w:sz w:val="18"/>
                <w:szCs w:val="18"/>
              </w:rPr>
            </w:pPr>
            <w:r w:rsidRPr="000864AE">
              <w:rPr>
                <w:rFonts w:ascii="Verdana" w:hAnsi="Verdana"/>
                <w:sz w:val="18"/>
                <w:szCs w:val="18"/>
              </w:rPr>
              <w:t>Talavera Rospigliosi Laura Rosario</w:t>
            </w:r>
          </w:p>
        </w:tc>
      </w:tr>
      <w:tr w:rsidR="00EA38F6" w:rsidRPr="000864AE" w14:paraId="3654D958" w14:textId="77777777" w:rsidTr="00AC0C51">
        <w:trPr>
          <w:trHeight w:val="300"/>
        </w:trPr>
        <w:tc>
          <w:tcPr>
            <w:tcW w:w="668" w:type="dxa"/>
            <w:vAlign w:val="center"/>
            <w:hideMark/>
          </w:tcPr>
          <w:p w14:paraId="3FB5E4B0"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604</w:t>
            </w:r>
          </w:p>
        </w:tc>
        <w:tc>
          <w:tcPr>
            <w:tcW w:w="3835" w:type="dxa"/>
            <w:vAlign w:val="center"/>
            <w:hideMark/>
          </w:tcPr>
          <w:p w14:paraId="40130FE0" w14:textId="77777777" w:rsidR="00EA38F6" w:rsidRPr="000864AE" w:rsidRDefault="00EA38F6" w:rsidP="000864AE">
            <w:pPr>
              <w:rPr>
                <w:rFonts w:ascii="Verdana" w:hAnsi="Verdana"/>
                <w:sz w:val="18"/>
                <w:szCs w:val="18"/>
              </w:rPr>
            </w:pPr>
            <w:r w:rsidRPr="000864AE">
              <w:rPr>
                <w:rFonts w:ascii="Verdana" w:hAnsi="Verdana"/>
                <w:sz w:val="18"/>
                <w:szCs w:val="18"/>
              </w:rPr>
              <w:t>Tam Loyola Perla Edith</w:t>
            </w:r>
          </w:p>
        </w:tc>
      </w:tr>
      <w:tr w:rsidR="00EA38F6" w:rsidRPr="000864AE" w14:paraId="18652D7F" w14:textId="77777777" w:rsidTr="00AC0C51">
        <w:trPr>
          <w:trHeight w:val="300"/>
        </w:trPr>
        <w:tc>
          <w:tcPr>
            <w:tcW w:w="668" w:type="dxa"/>
            <w:vAlign w:val="center"/>
            <w:hideMark/>
          </w:tcPr>
          <w:p w14:paraId="7022DE0E"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605</w:t>
            </w:r>
          </w:p>
        </w:tc>
        <w:tc>
          <w:tcPr>
            <w:tcW w:w="3835" w:type="dxa"/>
            <w:vAlign w:val="center"/>
            <w:hideMark/>
          </w:tcPr>
          <w:p w14:paraId="04ADBE2B" w14:textId="77777777" w:rsidR="00EA38F6" w:rsidRPr="000864AE" w:rsidRDefault="00EA38F6" w:rsidP="000864AE">
            <w:pPr>
              <w:rPr>
                <w:rFonts w:ascii="Verdana" w:hAnsi="Verdana"/>
                <w:sz w:val="18"/>
                <w:szCs w:val="18"/>
              </w:rPr>
            </w:pPr>
            <w:r w:rsidRPr="000864AE">
              <w:rPr>
                <w:rFonts w:ascii="Verdana" w:hAnsi="Verdana"/>
                <w:sz w:val="18"/>
                <w:szCs w:val="18"/>
              </w:rPr>
              <w:t>Tamara Rivera Orestes</w:t>
            </w:r>
          </w:p>
        </w:tc>
      </w:tr>
      <w:tr w:rsidR="00EA38F6" w:rsidRPr="000864AE" w14:paraId="74F7A1A6" w14:textId="77777777" w:rsidTr="00AC0C51">
        <w:trPr>
          <w:trHeight w:val="300"/>
        </w:trPr>
        <w:tc>
          <w:tcPr>
            <w:tcW w:w="668" w:type="dxa"/>
            <w:vAlign w:val="center"/>
            <w:hideMark/>
          </w:tcPr>
          <w:p w14:paraId="7C8F2B9D"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606</w:t>
            </w:r>
          </w:p>
        </w:tc>
        <w:tc>
          <w:tcPr>
            <w:tcW w:w="3835" w:type="dxa"/>
            <w:vAlign w:val="center"/>
            <w:hideMark/>
          </w:tcPr>
          <w:p w14:paraId="1B891502" w14:textId="77777777" w:rsidR="00EA38F6" w:rsidRPr="000864AE" w:rsidRDefault="00EA38F6" w:rsidP="000864AE">
            <w:pPr>
              <w:rPr>
                <w:rFonts w:ascii="Verdana" w:hAnsi="Verdana"/>
                <w:sz w:val="18"/>
                <w:szCs w:val="18"/>
              </w:rPr>
            </w:pPr>
            <w:r w:rsidRPr="000864AE">
              <w:rPr>
                <w:rFonts w:ascii="Verdana" w:hAnsi="Verdana"/>
                <w:sz w:val="18"/>
                <w:szCs w:val="18"/>
              </w:rPr>
              <w:t>Tapia Gutiérrez José Enrique Leoncio</w:t>
            </w:r>
          </w:p>
        </w:tc>
      </w:tr>
      <w:tr w:rsidR="00EA38F6" w:rsidRPr="000864AE" w14:paraId="7699E2D4" w14:textId="77777777" w:rsidTr="00AC0C51">
        <w:trPr>
          <w:trHeight w:val="300"/>
        </w:trPr>
        <w:tc>
          <w:tcPr>
            <w:tcW w:w="668" w:type="dxa"/>
            <w:vAlign w:val="center"/>
            <w:hideMark/>
          </w:tcPr>
          <w:p w14:paraId="5B0158C9"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607</w:t>
            </w:r>
          </w:p>
        </w:tc>
        <w:tc>
          <w:tcPr>
            <w:tcW w:w="3835" w:type="dxa"/>
            <w:vAlign w:val="center"/>
            <w:hideMark/>
          </w:tcPr>
          <w:p w14:paraId="5DB7FE0B" w14:textId="77777777" w:rsidR="00EA38F6" w:rsidRPr="000864AE" w:rsidRDefault="00EA38F6" w:rsidP="000864AE">
            <w:pPr>
              <w:rPr>
                <w:rFonts w:ascii="Verdana" w:hAnsi="Verdana"/>
                <w:sz w:val="18"/>
                <w:szCs w:val="18"/>
              </w:rPr>
            </w:pPr>
            <w:r w:rsidRPr="000864AE">
              <w:rPr>
                <w:rFonts w:ascii="Verdana" w:hAnsi="Verdana"/>
                <w:sz w:val="18"/>
                <w:szCs w:val="18"/>
              </w:rPr>
              <w:t>Távara Chirinos Carlos Alberto</w:t>
            </w:r>
          </w:p>
        </w:tc>
      </w:tr>
      <w:tr w:rsidR="00EA38F6" w:rsidRPr="000864AE" w14:paraId="5D7F671F" w14:textId="77777777" w:rsidTr="00AC0C51">
        <w:trPr>
          <w:trHeight w:val="300"/>
        </w:trPr>
        <w:tc>
          <w:tcPr>
            <w:tcW w:w="668" w:type="dxa"/>
            <w:vAlign w:val="center"/>
            <w:hideMark/>
          </w:tcPr>
          <w:p w14:paraId="089FE25E"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608</w:t>
            </w:r>
          </w:p>
        </w:tc>
        <w:tc>
          <w:tcPr>
            <w:tcW w:w="3835" w:type="dxa"/>
            <w:vAlign w:val="center"/>
            <w:hideMark/>
          </w:tcPr>
          <w:p w14:paraId="78BBF3A8" w14:textId="77777777" w:rsidR="00EA38F6" w:rsidRPr="000864AE" w:rsidRDefault="00EA38F6" w:rsidP="000864AE">
            <w:pPr>
              <w:rPr>
                <w:rFonts w:ascii="Verdana" w:hAnsi="Verdana"/>
                <w:sz w:val="18"/>
                <w:szCs w:val="18"/>
              </w:rPr>
            </w:pPr>
            <w:r w:rsidRPr="000864AE">
              <w:rPr>
                <w:rFonts w:ascii="Verdana" w:hAnsi="Verdana"/>
                <w:sz w:val="18"/>
                <w:szCs w:val="18"/>
              </w:rPr>
              <w:t>Tenorio Rodríguez Vilma Elisa</w:t>
            </w:r>
          </w:p>
        </w:tc>
      </w:tr>
      <w:tr w:rsidR="00EA38F6" w:rsidRPr="000864AE" w14:paraId="18C28D71" w14:textId="77777777" w:rsidTr="00AC0C51">
        <w:trPr>
          <w:trHeight w:val="300"/>
        </w:trPr>
        <w:tc>
          <w:tcPr>
            <w:tcW w:w="668" w:type="dxa"/>
            <w:vAlign w:val="center"/>
            <w:hideMark/>
          </w:tcPr>
          <w:p w14:paraId="7BA3EA19"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609</w:t>
            </w:r>
          </w:p>
        </w:tc>
        <w:tc>
          <w:tcPr>
            <w:tcW w:w="3835" w:type="dxa"/>
            <w:vAlign w:val="center"/>
            <w:hideMark/>
          </w:tcPr>
          <w:p w14:paraId="5A58B91E" w14:textId="77777777" w:rsidR="00EA38F6" w:rsidRPr="000864AE" w:rsidRDefault="00EA38F6" w:rsidP="000864AE">
            <w:pPr>
              <w:rPr>
                <w:rFonts w:ascii="Verdana" w:hAnsi="Verdana"/>
                <w:sz w:val="18"/>
                <w:szCs w:val="18"/>
              </w:rPr>
            </w:pPr>
            <w:r w:rsidRPr="000864AE">
              <w:rPr>
                <w:rFonts w:ascii="Verdana" w:hAnsi="Verdana"/>
                <w:sz w:val="18"/>
                <w:szCs w:val="18"/>
              </w:rPr>
              <w:t>Terán Márquez Víctor Manuel</w:t>
            </w:r>
          </w:p>
        </w:tc>
      </w:tr>
      <w:tr w:rsidR="00EA38F6" w:rsidRPr="000864AE" w14:paraId="724B678D" w14:textId="77777777" w:rsidTr="00AC0C51">
        <w:trPr>
          <w:trHeight w:val="300"/>
        </w:trPr>
        <w:tc>
          <w:tcPr>
            <w:tcW w:w="668" w:type="dxa"/>
            <w:vAlign w:val="center"/>
            <w:hideMark/>
          </w:tcPr>
          <w:p w14:paraId="7AB8DDD9"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610</w:t>
            </w:r>
          </w:p>
        </w:tc>
        <w:tc>
          <w:tcPr>
            <w:tcW w:w="3835" w:type="dxa"/>
            <w:vAlign w:val="center"/>
            <w:hideMark/>
          </w:tcPr>
          <w:p w14:paraId="2123B7B5" w14:textId="77777777" w:rsidR="00EA38F6" w:rsidRPr="000864AE" w:rsidRDefault="00EA38F6" w:rsidP="000864AE">
            <w:pPr>
              <w:rPr>
                <w:rFonts w:ascii="Verdana" w:hAnsi="Verdana"/>
                <w:sz w:val="18"/>
                <w:szCs w:val="18"/>
              </w:rPr>
            </w:pPr>
            <w:r w:rsidRPr="000864AE">
              <w:rPr>
                <w:rFonts w:ascii="Verdana" w:hAnsi="Verdana"/>
                <w:sz w:val="18"/>
                <w:szCs w:val="18"/>
              </w:rPr>
              <w:t>Terrazas Mejia Rosi Jesús</w:t>
            </w:r>
          </w:p>
        </w:tc>
      </w:tr>
      <w:tr w:rsidR="00EA38F6" w:rsidRPr="000864AE" w14:paraId="0026BF4B" w14:textId="77777777" w:rsidTr="00AC0C51">
        <w:trPr>
          <w:trHeight w:val="300"/>
        </w:trPr>
        <w:tc>
          <w:tcPr>
            <w:tcW w:w="668" w:type="dxa"/>
            <w:vAlign w:val="center"/>
            <w:hideMark/>
          </w:tcPr>
          <w:p w14:paraId="51D09364"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611</w:t>
            </w:r>
          </w:p>
        </w:tc>
        <w:tc>
          <w:tcPr>
            <w:tcW w:w="3835" w:type="dxa"/>
            <w:vAlign w:val="center"/>
            <w:hideMark/>
          </w:tcPr>
          <w:p w14:paraId="49B3573E" w14:textId="77777777" w:rsidR="00EA38F6" w:rsidRPr="000864AE" w:rsidRDefault="00EA38F6" w:rsidP="000864AE">
            <w:pPr>
              <w:rPr>
                <w:rFonts w:ascii="Verdana" w:hAnsi="Verdana"/>
                <w:sz w:val="18"/>
                <w:szCs w:val="18"/>
              </w:rPr>
            </w:pPr>
            <w:r w:rsidRPr="000864AE">
              <w:rPr>
                <w:rFonts w:ascii="Verdana" w:hAnsi="Verdana"/>
                <w:sz w:val="18"/>
                <w:szCs w:val="18"/>
              </w:rPr>
              <w:t>Terreros Monteverde Haydee</w:t>
            </w:r>
          </w:p>
        </w:tc>
      </w:tr>
      <w:tr w:rsidR="00EA38F6" w:rsidRPr="000864AE" w14:paraId="2ECA5E9A" w14:textId="77777777" w:rsidTr="00AC0C51">
        <w:trPr>
          <w:trHeight w:val="300"/>
        </w:trPr>
        <w:tc>
          <w:tcPr>
            <w:tcW w:w="668" w:type="dxa"/>
            <w:vAlign w:val="center"/>
            <w:hideMark/>
          </w:tcPr>
          <w:p w14:paraId="69854496"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612</w:t>
            </w:r>
          </w:p>
        </w:tc>
        <w:tc>
          <w:tcPr>
            <w:tcW w:w="3835" w:type="dxa"/>
            <w:vAlign w:val="center"/>
            <w:hideMark/>
          </w:tcPr>
          <w:p w14:paraId="38A50C01" w14:textId="77777777" w:rsidR="00EA38F6" w:rsidRPr="000864AE" w:rsidRDefault="00EA38F6" w:rsidP="000864AE">
            <w:pPr>
              <w:rPr>
                <w:rFonts w:ascii="Verdana" w:hAnsi="Verdana"/>
                <w:sz w:val="18"/>
                <w:szCs w:val="18"/>
              </w:rPr>
            </w:pPr>
            <w:r w:rsidRPr="000864AE">
              <w:rPr>
                <w:rFonts w:ascii="Verdana" w:hAnsi="Verdana"/>
                <w:sz w:val="18"/>
                <w:szCs w:val="18"/>
              </w:rPr>
              <w:t>Terrones Díaz Elba Nelly</w:t>
            </w:r>
          </w:p>
        </w:tc>
      </w:tr>
      <w:tr w:rsidR="00EA38F6" w:rsidRPr="000864AE" w14:paraId="308FAF1B" w14:textId="77777777" w:rsidTr="00AC0C51">
        <w:trPr>
          <w:trHeight w:val="300"/>
        </w:trPr>
        <w:tc>
          <w:tcPr>
            <w:tcW w:w="668" w:type="dxa"/>
            <w:vAlign w:val="center"/>
            <w:hideMark/>
          </w:tcPr>
          <w:p w14:paraId="249C046D"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613</w:t>
            </w:r>
          </w:p>
        </w:tc>
        <w:tc>
          <w:tcPr>
            <w:tcW w:w="3835" w:type="dxa"/>
            <w:vAlign w:val="center"/>
            <w:hideMark/>
          </w:tcPr>
          <w:p w14:paraId="10629235" w14:textId="77777777" w:rsidR="00EA38F6" w:rsidRPr="000864AE" w:rsidRDefault="00EA38F6" w:rsidP="000864AE">
            <w:pPr>
              <w:rPr>
                <w:rFonts w:ascii="Verdana" w:hAnsi="Verdana"/>
                <w:sz w:val="18"/>
                <w:szCs w:val="18"/>
              </w:rPr>
            </w:pPr>
            <w:r w:rsidRPr="000864AE">
              <w:rPr>
                <w:rFonts w:ascii="Verdana" w:hAnsi="Verdana"/>
                <w:sz w:val="18"/>
                <w:szCs w:val="18"/>
              </w:rPr>
              <w:t>Tipacti Aste Nelly Gabriela</w:t>
            </w:r>
          </w:p>
        </w:tc>
      </w:tr>
      <w:tr w:rsidR="00EA38F6" w:rsidRPr="000864AE" w14:paraId="621C4E44" w14:textId="77777777" w:rsidTr="00AC0C51">
        <w:trPr>
          <w:trHeight w:val="300"/>
        </w:trPr>
        <w:tc>
          <w:tcPr>
            <w:tcW w:w="668" w:type="dxa"/>
            <w:vAlign w:val="center"/>
            <w:hideMark/>
          </w:tcPr>
          <w:p w14:paraId="133D6CF6"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614</w:t>
            </w:r>
          </w:p>
        </w:tc>
        <w:tc>
          <w:tcPr>
            <w:tcW w:w="3835" w:type="dxa"/>
            <w:vAlign w:val="center"/>
            <w:hideMark/>
          </w:tcPr>
          <w:p w14:paraId="3689DE27" w14:textId="77777777" w:rsidR="00EA38F6" w:rsidRPr="000864AE" w:rsidRDefault="00EA38F6" w:rsidP="000864AE">
            <w:pPr>
              <w:rPr>
                <w:rFonts w:ascii="Verdana" w:hAnsi="Verdana"/>
                <w:sz w:val="18"/>
                <w:szCs w:val="18"/>
              </w:rPr>
            </w:pPr>
            <w:r w:rsidRPr="000864AE">
              <w:rPr>
                <w:rFonts w:ascii="Verdana" w:hAnsi="Verdana"/>
                <w:sz w:val="18"/>
                <w:szCs w:val="18"/>
              </w:rPr>
              <w:t>Toledo La Rosa Ramón Lorenzo</w:t>
            </w:r>
          </w:p>
        </w:tc>
      </w:tr>
      <w:tr w:rsidR="00EA38F6" w:rsidRPr="000864AE" w14:paraId="5A61C95A" w14:textId="77777777" w:rsidTr="00AC0C51">
        <w:trPr>
          <w:trHeight w:val="300"/>
        </w:trPr>
        <w:tc>
          <w:tcPr>
            <w:tcW w:w="668" w:type="dxa"/>
            <w:vAlign w:val="center"/>
            <w:hideMark/>
          </w:tcPr>
          <w:p w14:paraId="72F36735"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615</w:t>
            </w:r>
          </w:p>
        </w:tc>
        <w:tc>
          <w:tcPr>
            <w:tcW w:w="3835" w:type="dxa"/>
            <w:vAlign w:val="center"/>
            <w:hideMark/>
          </w:tcPr>
          <w:p w14:paraId="7ECB5AA8" w14:textId="77777777" w:rsidR="00EA38F6" w:rsidRPr="000864AE" w:rsidRDefault="00EA38F6" w:rsidP="000864AE">
            <w:pPr>
              <w:rPr>
                <w:rFonts w:ascii="Verdana" w:hAnsi="Verdana"/>
                <w:sz w:val="18"/>
                <w:szCs w:val="18"/>
              </w:rPr>
            </w:pPr>
            <w:r w:rsidRPr="000864AE">
              <w:rPr>
                <w:rFonts w:ascii="Verdana" w:hAnsi="Verdana"/>
                <w:sz w:val="18"/>
                <w:szCs w:val="18"/>
              </w:rPr>
              <w:t>Toledo Molina Pablo</w:t>
            </w:r>
          </w:p>
        </w:tc>
      </w:tr>
      <w:tr w:rsidR="00EA38F6" w:rsidRPr="000864AE" w14:paraId="0A2C669C" w14:textId="77777777" w:rsidTr="00AC0C51">
        <w:trPr>
          <w:trHeight w:val="300"/>
        </w:trPr>
        <w:tc>
          <w:tcPr>
            <w:tcW w:w="668" w:type="dxa"/>
            <w:vAlign w:val="center"/>
            <w:hideMark/>
          </w:tcPr>
          <w:p w14:paraId="7476784E"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616</w:t>
            </w:r>
          </w:p>
        </w:tc>
        <w:tc>
          <w:tcPr>
            <w:tcW w:w="3835" w:type="dxa"/>
            <w:vAlign w:val="center"/>
            <w:hideMark/>
          </w:tcPr>
          <w:p w14:paraId="7FF236C7" w14:textId="77777777" w:rsidR="00EA38F6" w:rsidRPr="000864AE" w:rsidRDefault="00EA38F6" w:rsidP="000864AE">
            <w:pPr>
              <w:rPr>
                <w:rFonts w:ascii="Verdana" w:hAnsi="Verdana"/>
                <w:sz w:val="18"/>
                <w:szCs w:val="18"/>
              </w:rPr>
            </w:pPr>
            <w:r w:rsidRPr="000864AE">
              <w:rPr>
                <w:rFonts w:ascii="Verdana" w:hAnsi="Verdana"/>
                <w:sz w:val="18"/>
                <w:szCs w:val="18"/>
              </w:rPr>
              <w:t>Tompson Ruiz Rita Amparo</w:t>
            </w:r>
          </w:p>
        </w:tc>
      </w:tr>
      <w:tr w:rsidR="00EA38F6" w:rsidRPr="000864AE" w14:paraId="2888B535" w14:textId="77777777" w:rsidTr="00AC0C51">
        <w:trPr>
          <w:trHeight w:val="300"/>
        </w:trPr>
        <w:tc>
          <w:tcPr>
            <w:tcW w:w="668" w:type="dxa"/>
            <w:vAlign w:val="center"/>
            <w:hideMark/>
          </w:tcPr>
          <w:p w14:paraId="64691AF4"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617</w:t>
            </w:r>
          </w:p>
        </w:tc>
        <w:tc>
          <w:tcPr>
            <w:tcW w:w="3835" w:type="dxa"/>
            <w:vAlign w:val="center"/>
            <w:hideMark/>
          </w:tcPr>
          <w:p w14:paraId="2F3BE9E5" w14:textId="77777777" w:rsidR="00EA38F6" w:rsidRPr="000864AE" w:rsidRDefault="00EA38F6" w:rsidP="000864AE">
            <w:pPr>
              <w:rPr>
                <w:rFonts w:ascii="Verdana" w:hAnsi="Verdana"/>
                <w:sz w:val="18"/>
                <w:szCs w:val="18"/>
              </w:rPr>
            </w:pPr>
            <w:r w:rsidRPr="000864AE">
              <w:rPr>
                <w:rFonts w:ascii="Verdana" w:hAnsi="Verdana"/>
                <w:sz w:val="18"/>
                <w:szCs w:val="18"/>
              </w:rPr>
              <w:t>Torrejón Jiménez Luis Beltrán</w:t>
            </w:r>
          </w:p>
        </w:tc>
      </w:tr>
      <w:tr w:rsidR="00EA38F6" w:rsidRPr="000864AE" w14:paraId="3D3F632B" w14:textId="77777777" w:rsidTr="00AC0C51">
        <w:trPr>
          <w:trHeight w:val="300"/>
        </w:trPr>
        <w:tc>
          <w:tcPr>
            <w:tcW w:w="668" w:type="dxa"/>
            <w:vAlign w:val="center"/>
            <w:hideMark/>
          </w:tcPr>
          <w:p w14:paraId="1F9C82E1"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618</w:t>
            </w:r>
          </w:p>
        </w:tc>
        <w:tc>
          <w:tcPr>
            <w:tcW w:w="3835" w:type="dxa"/>
            <w:vAlign w:val="center"/>
            <w:hideMark/>
          </w:tcPr>
          <w:p w14:paraId="5255B64C" w14:textId="77777777" w:rsidR="00EA38F6" w:rsidRPr="000864AE" w:rsidRDefault="00EA38F6" w:rsidP="000864AE">
            <w:pPr>
              <w:rPr>
                <w:rFonts w:ascii="Verdana" w:hAnsi="Verdana"/>
                <w:sz w:val="18"/>
                <w:szCs w:val="18"/>
              </w:rPr>
            </w:pPr>
            <w:r w:rsidRPr="000864AE">
              <w:rPr>
                <w:rFonts w:ascii="Verdana" w:hAnsi="Verdana"/>
                <w:sz w:val="18"/>
                <w:szCs w:val="18"/>
              </w:rPr>
              <w:t>Torres Araujo Antonio Ramiro</w:t>
            </w:r>
          </w:p>
        </w:tc>
      </w:tr>
      <w:tr w:rsidR="00EA38F6" w:rsidRPr="000864AE" w14:paraId="1F5921BC" w14:textId="77777777" w:rsidTr="00AC0C51">
        <w:trPr>
          <w:trHeight w:val="300"/>
        </w:trPr>
        <w:tc>
          <w:tcPr>
            <w:tcW w:w="668" w:type="dxa"/>
            <w:vAlign w:val="center"/>
            <w:hideMark/>
          </w:tcPr>
          <w:p w14:paraId="43CC2F21"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619</w:t>
            </w:r>
          </w:p>
        </w:tc>
        <w:tc>
          <w:tcPr>
            <w:tcW w:w="3835" w:type="dxa"/>
            <w:vAlign w:val="center"/>
            <w:hideMark/>
          </w:tcPr>
          <w:p w14:paraId="0B38DBE9" w14:textId="77777777" w:rsidR="00EA38F6" w:rsidRPr="000864AE" w:rsidRDefault="00EA38F6" w:rsidP="000864AE">
            <w:pPr>
              <w:rPr>
                <w:rFonts w:ascii="Verdana" w:hAnsi="Verdana"/>
                <w:sz w:val="18"/>
                <w:szCs w:val="18"/>
              </w:rPr>
            </w:pPr>
            <w:r w:rsidRPr="000864AE">
              <w:rPr>
                <w:rFonts w:ascii="Verdana" w:hAnsi="Verdana"/>
                <w:sz w:val="18"/>
                <w:szCs w:val="18"/>
              </w:rPr>
              <w:t>Torres Lazarte Teobaldo Félix</w:t>
            </w:r>
          </w:p>
        </w:tc>
      </w:tr>
      <w:tr w:rsidR="00EA38F6" w:rsidRPr="000864AE" w14:paraId="4D68B662" w14:textId="77777777" w:rsidTr="00AC0C51">
        <w:trPr>
          <w:trHeight w:val="300"/>
        </w:trPr>
        <w:tc>
          <w:tcPr>
            <w:tcW w:w="668" w:type="dxa"/>
            <w:vAlign w:val="center"/>
            <w:hideMark/>
          </w:tcPr>
          <w:p w14:paraId="396FE398"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620</w:t>
            </w:r>
          </w:p>
        </w:tc>
        <w:tc>
          <w:tcPr>
            <w:tcW w:w="3835" w:type="dxa"/>
            <w:vAlign w:val="center"/>
            <w:hideMark/>
          </w:tcPr>
          <w:p w14:paraId="147AFDD6" w14:textId="77777777" w:rsidR="00EA38F6" w:rsidRPr="000864AE" w:rsidRDefault="00EA38F6" w:rsidP="000864AE">
            <w:pPr>
              <w:rPr>
                <w:rFonts w:ascii="Verdana" w:hAnsi="Verdana"/>
                <w:sz w:val="18"/>
                <w:szCs w:val="18"/>
              </w:rPr>
            </w:pPr>
            <w:r w:rsidRPr="000864AE">
              <w:rPr>
                <w:rFonts w:ascii="Verdana" w:hAnsi="Verdana"/>
                <w:sz w:val="18"/>
                <w:szCs w:val="18"/>
              </w:rPr>
              <w:t>Torres Policarpo Emiliano</w:t>
            </w:r>
          </w:p>
        </w:tc>
      </w:tr>
      <w:tr w:rsidR="00EA38F6" w:rsidRPr="000864AE" w14:paraId="40FA88CC" w14:textId="77777777" w:rsidTr="00AC0C51">
        <w:trPr>
          <w:trHeight w:val="300"/>
        </w:trPr>
        <w:tc>
          <w:tcPr>
            <w:tcW w:w="668" w:type="dxa"/>
            <w:vAlign w:val="center"/>
            <w:hideMark/>
          </w:tcPr>
          <w:p w14:paraId="4529BDEB"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621</w:t>
            </w:r>
          </w:p>
        </w:tc>
        <w:tc>
          <w:tcPr>
            <w:tcW w:w="3835" w:type="dxa"/>
            <w:vAlign w:val="center"/>
            <w:hideMark/>
          </w:tcPr>
          <w:p w14:paraId="6D67C4EC" w14:textId="77777777" w:rsidR="00EA38F6" w:rsidRPr="000864AE" w:rsidRDefault="00EA38F6" w:rsidP="000864AE">
            <w:pPr>
              <w:rPr>
                <w:rFonts w:ascii="Verdana" w:hAnsi="Verdana"/>
                <w:sz w:val="18"/>
                <w:szCs w:val="18"/>
              </w:rPr>
            </w:pPr>
            <w:r w:rsidRPr="000864AE">
              <w:rPr>
                <w:rFonts w:ascii="Verdana" w:hAnsi="Verdana"/>
                <w:sz w:val="18"/>
                <w:szCs w:val="18"/>
              </w:rPr>
              <w:t>Torres Sánchez Amancio</w:t>
            </w:r>
          </w:p>
        </w:tc>
      </w:tr>
      <w:tr w:rsidR="00EA38F6" w:rsidRPr="000864AE" w14:paraId="41CDC671" w14:textId="77777777" w:rsidTr="00AC0C51">
        <w:trPr>
          <w:trHeight w:val="300"/>
        </w:trPr>
        <w:tc>
          <w:tcPr>
            <w:tcW w:w="668" w:type="dxa"/>
            <w:vAlign w:val="center"/>
            <w:hideMark/>
          </w:tcPr>
          <w:p w14:paraId="665EC5B6"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622</w:t>
            </w:r>
          </w:p>
        </w:tc>
        <w:tc>
          <w:tcPr>
            <w:tcW w:w="3835" w:type="dxa"/>
            <w:vAlign w:val="center"/>
            <w:hideMark/>
          </w:tcPr>
          <w:p w14:paraId="5CD3BB85" w14:textId="77777777" w:rsidR="00EA38F6" w:rsidRPr="000864AE" w:rsidRDefault="00EA38F6" w:rsidP="000864AE">
            <w:pPr>
              <w:rPr>
                <w:rFonts w:ascii="Verdana" w:hAnsi="Verdana"/>
                <w:sz w:val="18"/>
                <w:szCs w:val="18"/>
              </w:rPr>
            </w:pPr>
            <w:r w:rsidRPr="000864AE">
              <w:rPr>
                <w:rFonts w:ascii="Verdana" w:hAnsi="Verdana"/>
                <w:sz w:val="18"/>
                <w:szCs w:val="18"/>
              </w:rPr>
              <w:t>Tueros Del Risco Nicolás Matías</w:t>
            </w:r>
          </w:p>
        </w:tc>
      </w:tr>
      <w:tr w:rsidR="00EA38F6" w:rsidRPr="000864AE" w14:paraId="4D10F8BF" w14:textId="77777777" w:rsidTr="00AC0C51">
        <w:trPr>
          <w:trHeight w:val="300"/>
        </w:trPr>
        <w:tc>
          <w:tcPr>
            <w:tcW w:w="668" w:type="dxa"/>
            <w:vAlign w:val="center"/>
            <w:hideMark/>
          </w:tcPr>
          <w:p w14:paraId="0E42B0D3"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623</w:t>
            </w:r>
          </w:p>
        </w:tc>
        <w:tc>
          <w:tcPr>
            <w:tcW w:w="3835" w:type="dxa"/>
            <w:vAlign w:val="center"/>
            <w:hideMark/>
          </w:tcPr>
          <w:p w14:paraId="2F8644FA" w14:textId="77777777" w:rsidR="00EA38F6" w:rsidRPr="000864AE" w:rsidRDefault="00EA38F6" w:rsidP="000864AE">
            <w:pPr>
              <w:rPr>
                <w:rFonts w:ascii="Verdana" w:hAnsi="Verdana"/>
                <w:sz w:val="18"/>
                <w:szCs w:val="18"/>
              </w:rPr>
            </w:pPr>
            <w:r w:rsidRPr="000864AE">
              <w:rPr>
                <w:rFonts w:ascii="Verdana" w:hAnsi="Verdana"/>
                <w:sz w:val="18"/>
                <w:szCs w:val="18"/>
              </w:rPr>
              <w:t>Ubillus Morales Juan Carlos</w:t>
            </w:r>
          </w:p>
        </w:tc>
      </w:tr>
      <w:tr w:rsidR="00EA38F6" w:rsidRPr="000864AE" w14:paraId="5A0B8AA9" w14:textId="77777777" w:rsidTr="00AC0C51">
        <w:trPr>
          <w:trHeight w:val="300"/>
        </w:trPr>
        <w:tc>
          <w:tcPr>
            <w:tcW w:w="668" w:type="dxa"/>
            <w:vAlign w:val="center"/>
            <w:hideMark/>
          </w:tcPr>
          <w:p w14:paraId="1F238DA2"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624</w:t>
            </w:r>
          </w:p>
        </w:tc>
        <w:tc>
          <w:tcPr>
            <w:tcW w:w="3835" w:type="dxa"/>
            <w:vAlign w:val="center"/>
            <w:hideMark/>
          </w:tcPr>
          <w:p w14:paraId="31FD35F3" w14:textId="77777777" w:rsidR="00EA38F6" w:rsidRPr="000864AE" w:rsidRDefault="00EA38F6" w:rsidP="000864AE">
            <w:pPr>
              <w:rPr>
                <w:rFonts w:ascii="Verdana" w:hAnsi="Verdana"/>
                <w:sz w:val="18"/>
                <w:szCs w:val="18"/>
              </w:rPr>
            </w:pPr>
            <w:r w:rsidRPr="000864AE">
              <w:rPr>
                <w:rFonts w:ascii="Verdana" w:hAnsi="Verdana"/>
                <w:sz w:val="18"/>
                <w:szCs w:val="18"/>
              </w:rPr>
              <w:t>Uchofen Tiparra Giordano</w:t>
            </w:r>
          </w:p>
        </w:tc>
      </w:tr>
      <w:tr w:rsidR="00EA38F6" w:rsidRPr="000864AE" w14:paraId="2C2F7431" w14:textId="77777777" w:rsidTr="00AC0C51">
        <w:trPr>
          <w:trHeight w:val="300"/>
        </w:trPr>
        <w:tc>
          <w:tcPr>
            <w:tcW w:w="668" w:type="dxa"/>
            <w:vAlign w:val="center"/>
            <w:hideMark/>
          </w:tcPr>
          <w:p w14:paraId="07D35801"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625</w:t>
            </w:r>
          </w:p>
        </w:tc>
        <w:tc>
          <w:tcPr>
            <w:tcW w:w="3835" w:type="dxa"/>
            <w:vAlign w:val="center"/>
            <w:hideMark/>
          </w:tcPr>
          <w:p w14:paraId="51E3D356" w14:textId="77777777" w:rsidR="00EA38F6" w:rsidRPr="000864AE" w:rsidRDefault="00EA38F6" w:rsidP="000864AE">
            <w:pPr>
              <w:rPr>
                <w:rFonts w:ascii="Verdana" w:hAnsi="Verdana"/>
                <w:sz w:val="18"/>
                <w:szCs w:val="18"/>
              </w:rPr>
            </w:pPr>
            <w:r w:rsidRPr="000864AE">
              <w:rPr>
                <w:rFonts w:ascii="Verdana" w:hAnsi="Verdana"/>
                <w:sz w:val="18"/>
                <w:szCs w:val="18"/>
              </w:rPr>
              <w:t>Uchuya Valencia Lorenza Soledad</w:t>
            </w:r>
          </w:p>
        </w:tc>
      </w:tr>
      <w:tr w:rsidR="00EA38F6" w:rsidRPr="000864AE" w14:paraId="77B0F39A" w14:textId="77777777" w:rsidTr="00AC0C51">
        <w:trPr>
          <w:trHeight w:val="300"/>
        </w:trPr>
        <w:tc>
          <w:tcPr>
            <w:tcW w:w="668" w:type="dxa"/>
            <w:vAlign w:val="center"/>
            <w:hideMark/>
          </w:tcPr>
          <w:p w14:paraId="33894F7F"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626</w:t>
            </w:r>
          </w:p>
        </w:tc>
        <w:tc>
          <w:tcPr>
            <w:tcW w:w="3835" w:type="dxa"/>
            <w:vAlign w:val="center"/>
            <w:hideMark/>
          </w:tcPr>
          <w:p w14:paraId="35BB90DB" w14:textId="77777777" w:rsidR="00EA38F6" w:rsidRPr="000864AE" w:rsidRDefault="00EA38F6" w:rsidP="000864AE">
            <w:pPr>
              <w:rPr>
                <w:rFonts w:ascii="Verdana" w:hAnsi="Verdana"/>
                <w:sz w:val="18"/>
                <w:szCs w:val="18"/>
              </w:rPr>
            </w:pPr>
            <w:r w:rsidRPr="000864AE">
              <w:rPr>
                <w:rFonts w:ascii="Verdana" w:hAnsi="Verdana"/>
                <w:sz w:val="18"/>
                <w:szCs w:val="18"/>
              </w:rPr>
              <w:t>Ugaz Diez Canseco Julia</w:t>
            </w:r>
          </w:p>
        </w:tc>
      </w:tr>
      <w:tr w:rsidR="00EA38F6" w:rsidRPr="000864AE" w14:paraId="1720FF40" w14:textId="77777777" w:rsidTr="00AC0C51">
        <w:trPr>
          <w:trHeight w:val="300"/>
        </w:trPr>
        <w:tc>
          <w:tcPr>
            <w:tcW w:w="668" w:type="dxa"/>
            <w:vAlign w:val="center"/>
            <w:hideMark/>
          </w:tcPr>
          <w:p w14:paraId="5A7E572D"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627</w:t>
            </w:r>
          </w:p>
        </w:tc>
        <w:tc>
          <w:tcPr>
            <w:tcW w:w="3835" w:type="dxa"/>
            <w:vAlign w:val="center"/>
            <w:hideMark/>
          </w:tcPr>
          <w:p w14:paraId="3BE3397B" w14:textId="77777777" w:rsidR="00EA38F6" w:rsidRPr="000864AE" w:rsidRDefault="00EA38F6" w:rsidP="000864AE">
            <w:pPr>
              <w:rPr>
                <w:rFonts w:ascii="Verdana" w:hAnsi="Verdana"/>
                <w:sz w:val="18"/>
                <w:szCs w:val="18"/>
              </w:rPr>
            </w:pPr>
            <w:r w:rsidRPr="000864AE">
              <w:rPr>
                <w:rFonts w:ascii="Verdana" w:hAnsi="Verdana"/>
                <w:sz w:val="18"/>
                <w:szCs w:val="18"/>
              </w:rPr>
              <w:t>Unchupaico Godoy Julia Agustina</w:t>
            </w:r>
          </w:p>
        </w:tc>
      </w:tr>
      <w:tr w:rsidR="00EA38F6" w:rsidRPr="000864AE" w14:paraId="193013E2" w14:textId="77777777" w:rsidTr="00AC0C51">
        <w:trPr>
          <w:trHeight w:val="300"/>
        </w:trPr>
        <w:tc>
          <w:tcPr>
            <w:tcW w:w="668" w:type="dxa"/>
            <w:vAlign w:val="center"/>
            <w:hideMark/>
          </w:tcPr>
          <w:p w14:paraId="67ECEC60"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628</w:t>
            </w:r>
          </w:p>
        </w:tc>
        <w:tc>
          <w:tcPr>
            <w:tcW w:w="3835" w:type="dxa"/>
            <w:vAlign w:val="center"/>
            <w:hideMark/>
          </w:tcPr>
          <w:p w14:paraId="07350C93" w14:textId="77777777" w:rsidR="00EA38F6" w:rsidRPr="000864AE" w:rsidRDefault="00EA38F6" w:rsidP="000864AE">
            <w:pPr>
              <w:rPr>
                <w:rFonts w:ascii="Verdana" w:hAnsi="Verdana"/>
                <w:sz w:val="18"/>
                <w:szCs w:val="18"/>
              </w:rPr>
            </w:pPr>
            <w:r w:rsidRPr="000864AE">
              <w:rPr>
                <w:rFonts w:ascii="Verdana" w:hAnsi="Verdana"/>
                <w:sz w:val="18"/>
                <w:szCs w:val="18"/>
              </w:rPr>
              <w:t>Urcia Larios José Higinio</w:t>
            </w:r>
          </w:p>
        </w:tc>
      </w:tr>
      <w:tr w:rsidR="00EA38F6" w:rsidRPr="000864AE" w14:paraId="4983EDE2" w14:textId="77777777" w:rsidTr="00AC0C51">
        <w:trPr>
          <w:trHeight w:val="300"/>
        </w:trPr>
        <w:tc>
          <w:tcPr>
            <w:tcW w:w="668" w:type="dxa"/>
            <w:vAlign w:val="center"/>
            <w:hideMark/>
          </w:tcPr>
          <w:p w14:paraId="64778C95"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629</w:t>
            </w:r>
          </w:p>
        </w:tc>
        <w:tc>
          <w:tcPr>
            <w:tcW w:w="3835" w:type="dxa"/>
            <w:vAlign w:val="center"/>
            <w:hideMark/>
          </w:tcPr>
          <w:p w14:paraId="595914E8" w14:textId="77777777" w:rsidR="00EA38F6" w:rsidRPr="000864AE" w:rsidRDefault="00EA38F6" w:rsidP="000864AE">
            <w:pPr>
              <w:rPr>
                <w:rFonts w:ascii="Verdana" w:hAnsi="Verdana"/>
                <w:sz w:val="18"/>
                <w:szCs w:val="18"/>
              </w:rPr>
            </w:pPr>
            <w:r w:rsidRPr="000864AE">
              <w:rPr>
                <w:rFonts w:ascii="Verdana" w:hAnsi="Verdana"/>
                <w:sz w:val="18"/>
                <w:szCs w:val="18"/>
              </w:rPr>
              <w:t>Uribe Collazos María Francisca</w:t>
            </w:r>
          </w:p>
        </w:tc>
      </w:tr>
      <w:tr w:rsidR="00EA38F6" w:rsidRPr="000864AE" w14:paraId="27C30E0B" w14:textId="77777777" w:rsidTr="00AC0C51">
        <w:trPr>
          <w:trHeight w:val="300"/>
        </w:trPr>
        <w:tc>
          <w:tcPr>
            <w:tcW w:w="668" w:type="dxa"/>
            <w:vAlign w:val="center"/>
            <w:hideMark/>
          </w:tcPr>
          <w:p w14:paraId="6549DCA1"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630</w:t>
            </w:r>
          </w:p>
        </w:tc>
        <w:tc>
          <w:tcPr>
            <w:tcW w:w="3835" w:type="dxa"/>
            <w:vAlign w:val="center"/>
            <w:hideMark/>
          </w:tcPr>
          <w:p w14:paraId="5DA1EB0C" w14:textId="77777777" w:rsidR="00EA38F6" w:rsidRPr="000864AE" w:rsidRDefault="00EA38F6" w:rsidP="000864AE">
            <w:pPr>
              <w:rPr>
                <w:rFonts w:ascii="Verdana" w:hAnsi="Verdana"/>
                <w:sz w:val="18"/>
                <w:szCs w:val="18"/>
              </w:rPr>
            </w:pPr>
            <w:r w:rsidRPr="000864AE">
              <w:rPr>
                <w:rFonts w:ascii="Verdana" w:hAnsi="Verdana"/>
                <w:sz w:val="18"/>
                <w:szCs w:val="18"/>
              </w:rPr>
              <w:t>Urquizo Méndez Miguel Leoncio</w:t>
            </w:r>
          </w:p>
        </w:tc>
      </w:tr>
      <w:tr w:rsidR="00EA38F6" w:rsidRPr="000864AE" w14:paraId="2B422587" w14:textId="77777777" w:rsidTr="00AC0C51">
        <w:trPr>
          <w:trHeight w:val="300"/>
        </w:trPr>
        <w:tc>
          <w:tcPr>
            <w:tcW w:w="668" w:type="dxa"/>
            <w:vAlign w:val="center"/>
            <w:hideMark/>
          </w:tcPr>
          <w:p w14:paraId="00FE77F1"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631</w:t>
            </w:r>
          </w:p>
        </w:tc>
        <w:tc>
          <w:tcPr>
            <w:tcW w:w="3835" w:type="dxa"/>
            <w:vAlign w:val="center"/>
            <w:hideMark/>
          </w:tcPr>
          <w:p w14:paraId="3D4C1804" w14:textId="77777777" w:rsidR="00EA38F6" w:rsidRPr="000864AE" w:rsidRDefault="00EA38F6" w:rsidP="000864AE">
            <w:pPr>
              <w:rPr>
                <w:rFonts w:ascii="Verdana" w:hAnsi="Verdana"/>
                <w:sz w:val="18"/>
                <w:szCs w:val="18"/>
              </w:rPr>
            </w:pPr>
            <w:r w:rsidRPr="000864AE">
              <w:rPr>
                <w:rFonts w:ascii="Verdana" w:hAnsi="Verdana"/>
                <w:sz w:val="18"/>
                <w:szCs w:val="18"/>
              </w:rPr>
              <w:t>Vaccaro Quiñónez Jorge</w:t>
            </w:r>
          </w:p>
        </w:tc>
      </w:tr>
      <w:tr w:rsidR="00EA38F6" w:rsidRPr="000864AE" w14:paraId="7D3CD5B8" w14:textId="77777777" w:rsidTr="00AC0C51">
        <w:trPr>
          <w:trHeight w:val="300"/>
        </w:trPr>
        <w:tc>
          <w:tcPr>
            <w:tcW w:w="668" w:type="dxa"/>
            <w:vAlign w:val="center"/>
            <w:hideMark/>
          </w:tcPr>
          <w:p w14:paraId="23A66358"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632</w:t>
            </w:r>
          </w:p>
        </w:tc>
        <w:tc>
          <w:tcPr>
            <w:tcW w:w="3835" w:type="dxa"/>
            <w:vAlign w:val="center"/>
            <w:hideMark/>
          </w:tcPr>
          <w:p w14:paraId="413DDC65" w14:textId="77777777" w:rsidR="00EA38F6" w:rsidRPr="000864AE" w:rsidRDefault="00EA38F6" w:rsidP="000864AE">
            <w:pPr>
              <w:rPr>
                <w:rFonts w:ascii="Verdana" w:hAnsi="Verdana"/>
                <w:sz w:val="18"/>
                <w:szCs w:val="18"/>
              </w:rPr>
            </w:pPr>
            <w:r w:rsidRPr="000864AE">
              <w:rPr>
                <w:rFonts w:ascii="Verdana" w:hAnsi="Verdana"/>
                <w:sz w:val="18"/>
                <w:szCs w:val="18"/>
              </w:rPr>
              <w:t>Valdez Cuellar María</w:t>
            </w:r>
          </w:p>
        </w:tc>
      </w:tr>
      <w:tr w:rsidR="00EA38F6" w:rsidRPr="000864AE" w14:paraId="2A50433C" w14:textId="77777777" w:rsidTr="00AC0C51">
        <w:trPr>
          <w:trHeight w:val="300"/>
        </w:trPr>
        <w:tc>
          <w:tcPr>
            <w:tcW w:w="668" w:type="dxa"/>
            <w:vAlign w:val="center"/>
            <w:hideMark/>
          </w:tcPr>
          <w:p w14:paraId="21DFFB8B"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633</w:t>
            </w:r>
          </w:p>
        </w:tc>
        <w:tc>
          <w:tcPr>
            <w:tcW w:w="3835" w:type="dxa"/>
            <w:vAlign w:val="center"/>
            <w:hideMark/>
          </w:tcPr>
          <w:p w14:paraId="28C1B52D" w14:textId="77777777" w:rsidR="00EA38F6" w:rsidRPr="000864AE" w:rsidRDefault="00EA38F6" w:rsidP="000864AE">
            <w:pPr>
              <w:rPr>
                <w:rFonts w:ascii="Verdana" w:hAnsi="Verdana"/>
                <w:sz w:val="18"/>
                <w:szCs w:val="18"/>
              </w:rPr>
            </w:pPr>
            <w:r w:rsidRPr="000864AE">
              <w:rPr>
                <w:rFonts w:ascii="Verdana" w:hAnsi="Verdana"/>
                <w:sz w:val="18"/>
                <w:szCs w:val="18"/>
              </w:rPr>
              <w:t>Valdivia Cáceres Rosa</w:t>
            </w:r>
          </w:p>
        </w:tc>
      </w:tr>
      <w:tr w:rsidR="00EA38F6" w:rsidRPr="000864AE" w14:paraId="6BA4AE20" w14:textId="77777777" w:rsidTr="00AC0C51">
        <w:trPr>
          <w:trHeight w:val="300"/>
        </w:trPr>
        <w:tc>
          <w:tcPr>
            <w:tcW w:w="668" w:type="dxa"/>
            <w:vAlign w:val="center"/>
            <w:hideMark/>
          </w:tcPr>
          <w:p w14:paraId="64301E00"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634</w:t>
            </w:r>
          </w:p>
        </w:tc>
        <w:tc>
          <w:tcPr>
            <w:tcW w:w="3835" w:type="dxa"/>
            <w:vAlign w:val="center"/>
            <w:hideMark/>
          </w:tcPr>
          <w:p w14:paraId="24FBD199" w14:textId="77777777" w:rsidR="00EA38F6" w:rsidRPr="000864AE" w:rsidRDefault="00EA38F6" w:rsidP="000864AE">
            <w:pPr>
              <w:rPr>
                <w:rFonts w:ascii="Verdana" w:hAnsi="Verdana"/>
                <w:sz w:val="18"/>
                <w:szCs w:val="18"/>
              </w:rPr>
            </w:pPr>
            <w:r w:rsidRPr="000864AE">
              <w:rPr>
                <w:rFonts w:ascii="Verdana" w:hAnsi="Verdana"/>
                <w:sz w:val="18"/>
                <w:szCs w:val="18"/>
              </w:rPr>
              <w:t>Valdivia Ruiz Eduardo</w:t>
            </w:r>
          </w:p>
        </w:tc>
      </w:tr>
      <w:tr w:rsidR="00EA38F6" w:rsidRPr="000864AE" w14:paraId="4D58906B" w14:textId="77777777" w:rsidTr="00AC0C51">
        <w:trPr>
          <w:trHeight w:val="300"/>
        </w:trPr>
        <w:tc>
          <w:tcPr>
            <w:tcW w:w="668" w:type="dxa"/>
            <w:vAlign w:val="center"/>
            <w:hideMark/>
          </w:tcPr>
          <w:p w14:paraId="27B8EFC5"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635</w:t>
            </w:r>
          </w:p>
        </w:tc>
        <w:tc>
          <w:tcPr>
            <w:tcW w:w="3835" w:type="dxa"/>
            <w:vAlign w:val="center"/>
            <w:hideMark/>
          </w:tcPr>
          <w:p w14:paraId="7CD33300" w14:textId="77777777" w:rsidR="00EA38F6" w:rsidRPr="000864AE" w:rsidRDefault="00EA38F6" w:rsidP="000864AE">
            <w:pPr>
              <w:rPr>
                <w:rFonts w:ascii="Verdana" w:hAnsi="Verdana"/>
                <w:sz w:val="18"/>
                <w:szCs w:val="18"/>
              </w:rPr>
            </w:pPr>
            <w:r w:rsidRPr="000864AE">
              <w:rPr>
                <w:rFonts w:ascii="Verdana" w:hAnsi="Verdana"/>
                <w:sz w:val="18"/>
                <w:szCs w:val="18"/>
              </w:rPr>
              <w:t>Valdivia Velásquez Saturnino Braulio</w:t>
            </w:r>
          </w:p>
        </w:tc>
      </w:tr>
      <w:tr w:rsidR="00EA38F6" w:rsidRPr="000864AE" w14:paraId="549BDC56" w14:textId="77777777" w:rsidTr="00AC0C51">
        <w:trPr>
          <w:trHeight w:val="300"/>
        </w:trPr>
        <w:tc>
          <w:tcPr>
            <w:tcW w:w="668" w:type="dxa"/>
            <w:vAlign w:val="center"/>
            <w:hideMark/>
          </w:tcPr>
          <w:p w14:paraId="59A937CE"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636</w:t>
            </w:r>
          </w:p>
        </w:tc>
        <w:tc>
          <w:tcPr>
            <w:tcW w:w="3835" w:type="dxa"/>
            <w:vAlign w:val="center"/>
            <w:hideMark/>
          </w:tcPr>
          <w:p w14:paraId="4BCEB8FF" w14:textId="77777777" w:rsidR="00EA38F6" w:rsidRPr="000864AE" w:rsidRDefault="00EA38F6" w:rsidP="000864AE">
            <w:pPr>
              <w:rPr>
                <w:rFonts w:ascii="Verdana" w:hAnsi="Verdana"/>
                <w:sz w:val="18"/>
                <w:szCs w:val="18"/>
              </w:rPr>
            </w:pPr>
            <w:r w:rsidRPr="000864AE">
              <w:rPr>
                <w:rFonts w:ascii="Verdana" w:hAnsi="Verdana"/>
                <w:sz w:val="18"/>
                <w:szCs w:val="18"/>
              </w:rPr>
              <w:t>Valenzuela Huamán Santos pablo</w:t>
            </w:r>
          </w:p>
        </w:tc>
      </w:tr>
      <w:tr w:rsidR="00EA38F6" w:rsidRPr="000864AE" w14:paraId="091B5537" w14:textId="77777777" w:rsidTr="00AC0C51">
        <w:trPr>
          <w:trHeight w:val="300"/>
        </w:trPr>
        <w:tc>
          <w:tcPr>
            <w:tcW w:w="668" w:type="dxa"/>
            <w:vAlign w:val="center"/>
            <w:hideMark/>
          </w:tcPr>
          <w:p w14:paraId="7A60B6F1"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637</w:t>
            </w:r>
          </w:p>
        </w:tc>
        <w:tc>
          <w:tcPr>
            <w:tcW w:w="3835" w:type="dxa"/>
            <w:vAlign w:val="center"/>
            <w:hideMark/>
          </w:tcPr>
          <w:p w14:paraId="6B572460" w14:textId="77777777" w:rsidR="00EA38F6" w:rsidRPr="000864AE" w:rsidRDefault="00EA38F6" w:rsidP="000864AE">
            <w:pPr>
              <w:rPr>
                <w:rFonts w:ascii="Verdana" w:hAnsi="Verdana"/>
                <w:sz w:val="18"/>
                <w:szCs w:val="18"/>
              </w:rPr>
            </w:pPr>
            <w:r w:rsidRPr="000864AE">
              <w:rPr>
                <w:rFonts w:ascii="Verdana" w:hAnsi="Verdana"/>
                <w:sz w:val="18"/>
                <w:szCs w:val="18"/>
              </w:rPr>
              <w:t>Valerio Aguirre Inocenta Teofila</w:t>
            </w:r>
          </w:p>
        </w:tc>
      </w:tr>
      <w:tr w:rsidR="00EA38F6" w:rsidRPr="000864AE" w14:paraId="29C2FD62" w14:textId="77777777" w:rsidTr="00AC0C51">
        <w:trPr>
          <w:trHeight w:val="300"/>
        </w:trPr>
        <w:tc>
          <w:tcPr>
            <w:tcW w:w="668" w:type="dxa"/>
            <w:vAlign w:val="center"/>
            <w:hideMark/>
          </w:tcPr>
          <w:p w14:paraId="78A0C677"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638</w:t>
            </w:r>
          </w:p>
        </w:tc>
        <w:tc>
          <w:tcPr>
            <w:tcW w:w="3835" w:type="dxa"/>
            <w:vAlign w:val="center"/>
            <w:hideMark/>
          </w:tcPr>
          <w:p w14:paraId="4AEAB8DE" w14:textId="77777777" w:rsidR="00EA38F6" w:rsidRPr="000864AE" w:rsidRDefault="00EA38F6" w:rsidP="000864AE">
            <w:pPr>
              <w:rPr>
                <w:rFonts w:ascii="Verdana" w:hAnsi="Verdana"/>
                <w:sz w:val="18"/>
                <w:szCs w:val="18"/>
              </w:rPr>
            </w:pPr>
            <w:r w:rsidRPr="000864AE">
              <w:rPr>
                <w:rFonts w:ascii="Verdana" w:hAnsi="Verdana"/>
                <w:sz w:val="18"/>
                <w:szCs w:val="18"/>
              </w:rPr>
              <w:t>Valverde Dancourt Juan Manuel</w:t>
            </w:r>
          </w:p>
        </w:tc>
      </w:tr>
      <w:tr w:rsidR="00EA38F6" w:rsidRPr="000864AE" w14:paraId="2C0186B3" w14:textId="77777777" w:rsidTr="00AC0C51">
        <w:trPr>
          <w:trHeight w:val="300"/>
        </w:trPr>
        <w:tc>
          <w:tcPr>
            <w:tcW w:w="668" w:type="dxa"/>
            <w:vAlign w:val="center"/>
            <w:hideMark/>
          </w:tcPr>
          <w:p w14:paraId="387F5F2F"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639</w:t>
            </w:r>
          </w:p>
        </w:tc>
        <w:tc>
          <w:tcPr>
            <w:tcW w:w="3835" w:type="dxa"/>
            <w:vAlign w:val="center"/>
            <w:hideMark/>
          </w:tcPr>
          <w:p w14:paraId="09736BF7" w14:textId="77777777" w:rsidR="00EA38F6" w:rsidRPr="000864AE" w:rsidRDefault="00EA38F6" w:rsidP="000864AE">
            <w:pPr>
              <w:rPr>
                <w:rFonts w:ascii="Verdana" w:hAnsi="Verdana"/>
                <w:sz w:val="18"/>
                <w:szCs w:val="18"/>
              </w:rPr>
            </w:pPr>
            <w:r w:rsidRPr="000864AE">
              <w:rPr>
                <w:rFonts w:ascii="Verdana" w:hAnsi="Verdana"/>
                <w:sz w:val="18"/>
                <w:szCs w:val="18"/>
              </w:rPr>
              <w:t>Valverde Proaño Zoila Rosa</w:t>
            </w:r>
          </w:p>
        </w:tc>
      </w:tr>
      <w:tr w:rsidR="00EA38F6" w:rsidRPr="000864AE" w14:paraId="0E88B8AA" w14:textId="77777777" w:rsidTr="00AC0C51">
        <w:trPr>
          <w:trHeight w:val="300"/>
        </w:trPr>
        <w:tc>
          <w:tcPr>
            <w:tcW w:w="668" w:type="dxa"/>
            <w:vAlign w:val="center"/>
            <w:hideMark/>
          </w:tcPr>
          <w:p w14:paraId="51993BB2"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640</w:t>
            </w:r>
          </w:p>
        </w:tc>
        <w:tc>
          <w:tcPr>
            <w:tcW w:w="3835" w:type="dxa"/>
            <w:vAlign w:val="center"/>
            <w:hideMark/>
          </w:tcPr>
          <w:p w14:paraId="7E93FE1E" w14:textId="77777777" w:rsidR="00EA38F6" w:rsidRPr="000864AE" w:rsidRDefault="00EA38F6" w:rsidP="000864AE">
            <w:pPr>
              <w:rPr>
                <w:rFonts w:ascii="Verdana" w:hAnsi="Verdana"/>
                <w:sz w:val="18"/>
                <w:szCs w:val="18"/>
              </w:rPr>
            </w:pPr>
            <w:r w:rsidRPr="000864AE">
              <w:rPr>
                <w:rFonts w:ascii="Verdana" w:hAnsi="Verdana"/>
                <w:sz w:val="18"/>
                <w:szCs w:val="18"/>
              </w:rPr>
              <w:t>Varela Alzamora María Asunción</w:t>
            </w:r>
          </w:p>
        </w:tc>
      </w:tr>
      <w:tr w:rsidR="00EA38F6" w:rsidRPr="000864AE" w14:paraId="700DCD56" w14:textId="77777777" w:rsidTr="00AC0C51">
        <w:trPr>
          <w:trHeight w:val="300"/>
        </w:trPr>
        <w:tc>
          <w:tcPr>
            <w:tcW w:w="668" w:type="dxa"/>
            <w:vAlign w:val="center"/>
            <w:hideMark/>
          </w:tcPr>
          <w:p w14:paraId="2E211DA9"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641</w:t>
            </w:r>
          </w:p>
        </w:tc>
        <w:tc>
          <w:tcPr>
            <w:tcW w:w="3835" w:type="dxa"/>
            <w:vAlign w:val="center"/>
            <w:hideMark/>
          </w:tcPr>
          <w:p w14:paraId="477BB64F" w14:textId="77777777" w:rsidR="00EA38F6" w:rsidRPr="000864AE" w:rsidRDefault="00EA38F6" w:rsidP="000864AE">
            <w:pPr>
              <w:rPr>
                <w:rFonts w:ascii="Verdana" w:hAnsi="Verdana"/>
                <w:sz w:val="18"/>
                <w:szCs w:val="18"/>
              </w:rPr>
            </w:pPr>
            <w:r w:rsidRPr="000864AE">
              <w:rPr>
                <w:rFonts w:ascii="Verdana" w:hAnsi="Verdana"/>
                <w:sz w:val="18"/>
                <w:szCs w:val="18"/>
              </w:rPr>
              <w:t>Vargas Cusi Justo Pastor</w:t>
            </w:r>
          </w:p>
        </w:tc>
      </w:tr>
      <w:tr w:rsidR="00EA38F6" w:rsidRPr="000864AE" w14:paraId="4ECCD0CB" w14:textId="77777777" w:rsidTr="00AC0C51">
        <w:trPr>
          <w:trHeight w:val="300"/>
        </w:trPr>
        <w:tc>
          <w:tcPr>
            <w:tcW w:w="668" w:type="dxa"/>
            <w:vAlign w:val="center"/>
            <w:hideMark/>
          </w:tcPr>
          <w:p w14:paraId="5C8B57DF"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642</w:t>
            </w:r>
          </w:p>
        </w:tc>
        <w:tc>
          <w:tcPr>
            <w:tcW w:w="3835" w:type="dxa"/>
            <w:vAlign w:val="center"/>
            <w:hideMark/>
          </w:tcPr>
          <w:p w14:paraId="68B6FB1F" w14:textId="77777777" w:rsidR="00EA38F6" w:rsidRPr="000864AE" w:rsidRDefault="00EA38F6" w:rsidP="000864AE">
            <w:pPr>
              <w:rPr>
                <w:rFonts w:ascii="Verdana" w:hAnsi="Verdana"/>
                <w:sz w:val="18"/>
                <w:szCs w:val="18"/>
              </w:rPr>
            </w:pPr>
            <w:r w:rsidRPr="000864AE">
              <w:rPr>
                <w:rFonts w:ascii="Verdana" w:hAnsi="Verdana"/>
                <w:sz w:val="18"/>
                <w:szCs w:val="18"/>
              </w:rPr>
              <w:t>Vargas Guillén Manuel</w:t>
            </w:r>
          </w:p>
        </w:tc>
      </w:tr>
      <w:tr w:rsidR="00EA38F6" w:rsidRPr="000864AE" w14:paraId="76A3FFFC" w14:textId="77777777" w:rsidTr="00AC0C51">
        <w:trPr>
          <w:trHeight w:val="300"/>
        </w:trPr>
        <w:tc>
          <w:tcPr>
            <w:tcW w:w="668" w:type="dxa"/>
            <w:vAlign w:val="center"/>
            <w:hideMark/>
          </w:tcPr>
          <w:p w14:paraId="2272D13E"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643</w:t>
            </w:r>
          </w:p>
        </w:tc>
        <w:tc>
          <w:tcPr>
            <w:tcW w:w="3835" w:type="dxa"/>
            <w:vAlign w:val="center"/>
            <w:hideMark/>
          </w:tcPr>
          <w:p w14:paraId="29D1F4AB" w14:textId="77777777" w:rsidR="00EA38F6" w:rsidRPr="000864AE" w:rsidRDefault="00EA38F6" w:rsidP="000864AE">
            <w:pPr>
              <w:rPr>
                <w:rFonts w:ascii="Verdana" w:hAnsi="Verdana"/>
                <w:sz w:val="18"/>
                <w:szCs w:val="18"/>
              </w:rPr>
            </w:pPr>
            <w:r w:rsidRPr="000864AE">
              <w:rPr>
                <w:rFonts w:ascii="Verdana" w:hAnsi="Verdana"/>
                <w:sz w:val="18"/>
                <w:szCs w:val="18"/>
              </w:rPr>
              <w:t>Vargas Soriano Napoleón</w:t>
            </w:r>
          </w:p>
        </w:tc>
      </w:tr>
      <w:tr w:rsidR="00EA38F6" w:rsidRPr="000864AE" w14:paraId="71547009" w14:textId="77777777" w:rsidTr="00AC0C51">
        <w:trPr>
          <w:trHeight w:val="300"/>
        </w:trPr>
        <w:tc>
          <w:tcPr>
            <w:tcW w:w="668" w:type="dxa"/>
            <w:vAlign w:val="center"/>
            <w:hideMark/>
          </w:tcPr>
          <w:p w14:paraId="0CA06BC6"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644</w:t>
            </w:r>
          </w:p>
        </w:tc>
        <w:tc>
          <w:tcPr>
            <w:tcW w:w="3835" w:type="dxa"/>
            <w:vAlign w:val="center"/>
            <w:hideMark/>
          </w:tcPr>
          <w:p w14:paraId="01533CE9" w14:textId="77777777" w:rsidR="00EA38F6" w:rsidRPr="000864AE" w:rsidRDefault="00EA38F6" w:rsidP="000864AE">
            <w:pPr>
              <w:rPr>
                <w:rFonts w:ascii="Verdana" w:hAnsi="Verdana"/>
                <w:sz w:val="18"/>
                <w:szCs w:val="18"/>
              </w:rPr>
            </w:pPr>
            <w:r w:rsidRPr="000864AE">
              <w:rPr>
                <w:rFonts w:ascii="Verdana" w:hAnsi="Verdana"/>
                <w:sz w:val="18"/>
                <w:szCs w:val="18"/>
              </w:rPr>
              <w:t>Vargas Utrilla Eustaquio</w:t>
            </w:r>
          </w:p>
        </w:tc>
      </w:tr>
      <w:tr w:rsidR="00EA38F6" w:rsidRPr="000864AE" w14:paraId="7192D22D" w14:textId="77777777" w:rsidTr="00AC0C51">
        <w:trPr>
          <w:trHeight w:val="300"/>
        </w:trPr>
        <w:tc>
          <w:tcPr>
            <w:tcW w:w="668" w:type="dxa"/>
            <w:vAlign w:val="center"/>
            <w:hideMark/>
          </w:tcPr>
          <w:p w14:paraId="4F5B0EB8"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645</w:t>
            </w:r>
          </w:p>
        </w:tc>
        <w:tc>
          <w:tcPr>
            <w:tcW w:w="3835" w:type="dxa"/>
            <w:vAlign w:val="center"/>
            <w:hideMark/>
          </w:tcPr>
          <w:p w14:paraId="73507B30" w14:textId="77777777" w:rsidR="00EA38F6" w:rsidRPr="000864AE" w:rsidRDefault="00EA38F6" w:rsidP="000864AE">
            <w:pPr>
              <w:rPr>
                <w:rFonts w:ascii="Verdana" w:hAnsi="Verdana"/>
                <w:sz w:val="18"/>
                <w:szCs w:val="18"/>
              </w:rPr>
            </w:pPr>
            <w:r w:rsidRPr="000864AE">
              <w:rPr>
                <w:rFonts w:ascii="Verdana" w:hAnsi="Verdana"/>
                <w:sz w:val="18"/>
                <w:szCs w:val="18"/>
              </w:rPr>
              <w:t>Varias Hurtado Eleazar Antonio</w:t>
            </w:r>
          </w:p>
        </w:tc>
      </w:tr>
      <w:tr w:rsidR="00EA38F6" w:rsidRPr="000864AE" w14:paraId="04BEFB53" w14:textId="77777777" w:rsidTr="00AC0C51">
        <w:trPr>
          <w:trHeight w:val="300"/>
        </w:trPr>
        <w:tc>
          <w:tcPr>
            <w:tcW w:w="668" w:type="dxa"/>
            <w:vAlign w:val="center"/>
            <w:hideMark/>
          </w:tcPr>
          <w:p w14:paraId="2895FE5D"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646</w:t>
            </w:r>
          </w:p>
        </w:tc>
        <w:tc>
          <w:tcPr>
            <w:tcW w:w="3835" w:type="dxa"/>
            <w:vAlign w:val="center"/>
            <w:hideMark/>
          </w:tcPr>
          <w:p w14:paraId="1D4BEC8F" w14:textId="77777777" w:rsidR="00EA38F6" w:rsidRPr="000864AE" w:rsidRDefault="00EA38F6" w:rsidP="000864AE">
            <w:pPr>
              <w:rPr>
                <w:rFonts w:ascii="Verdana" w:hAnsi="Verdana"/>
                <w:sz w:val="18"/>
                <w:szCs w:val="18"/>
              </w:rPr>
            </w:pPr>
            <w:r w:rsidRPr="000864AE">
              <w:rPr>
                <w:rFonts w:ascii="Verdana" w:hAnsi="Verdana"/>
                <w:sz w:val="18"/>
                <w:szCs w:val="18"/>
              </w:rPr>
              <w:t>Vásquez Euribe Isabel</w:t>
            </w:r>
          </w:p>
        </w:tc>
      </w:tr>
      <w:tr w:rsidR="00EA38F6" w:rsidRPr="000864AE" w14:paraId="4BACB7A2" w14:textId="77777777" w:rsidTr="00AC0C51">
        <w:trPr>
          <w:trHeight w:val="300"/>
        </w:trPr>
        <w:tc>
          <w:tcPr>
            <w:tcW w:w="668" w:type="dxa"/>
            <w:vAlign w:val="center"/>
            <w:hideMark/>
          </w:tcPr>
          <w:p w14:paraId="2DBC5CAB"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647</w:t>
            </w:r>
          </w:p>
        </w:tc>
        <w:tc>
          <w:tcPr>
            <w:tcW w:w="3835" w:type="dxa"/>
            <w:vAlign w:val="center"/>
            <w:hideMark/>
          </w:tcPr>
          <w:p w14:paraId="2E3BEAD5" w14:textId="77777777" w:rsidR="00EA38F6" w:rsidRPr="000864AE" w:rsidRDefault="00EA38F6" w:rsidP="000864AE">
            <w:pPr>
              <w:rPr>
                <w:rFonts w:ascii="Verdana" w:hAnsi="Verdana"/>
                <w:sz w:val="18"/>
                <w:szCs w:val="18"/>
              </w:rPr>
            </w:pPr>
            <w:r w:rsidRPr="000864AE">
              <w:rPr>
                <w:rFonts w:ascii="Verdana" w:hAnsi="Verdana"/>
                <w:sz w:val="18"/>
                <w:szCs w:val="18"/>
              </w:rPr>
              <w:t>Vásquez Giraldo Carlomagno</w:t>
            </w:r>
          </w:p>
        </w:tc>
      </w:tr>
      <w:tr w:rsidR="00EA38F6" w:rsidRPr="000864AE" w14:paraId="7157B584" w14:textId="77777777" w:rsidTr="00AC0C51">
        <w:trPr>
          <w:trHeight w:val="300"/>
        </w:trPr>
        <w:tc>
          <w:tcPr>
            <w:tcW w:w="668" w:type="dxa"/>
            <w:vAlign w:val="center"/>
            <w:hideMark/>
          </w:tcPr>
          <w:p w14:paraId="3C0D9BEA"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648</w:t>
            </w:r>
          </w:p>
        </w:tc>
        <w:tc>
          <w:tcPr>
            <w:tcW w:w="3835" w:type="dxa"/>
            <w:vAlign w:val="center"/>
            <w:hideMark/>
          </w:tcPr>
          <w:p w14:paraId="71234695" w14:textId="77777777" w:rsidR="00EA38F6" w:rsidRPr="000864AE" w:rsidRDefault="00EA38F6" w:rsidP="000864AE">
            <w:pPr>
              <w:rPr>
                <w:rFonts w:ascii="Verdana" w:hAnsi="Verdana"/>
                <w:sz w:val="18"/>
                <w:szCs w:val="18"/>
              </w:rPr>
            </w:pPr>
            <w:r w:rsidRPr="000864AE">
              <w:rPr>
                <w:rFonts w:ascii="Verdana" w:hAnsi="Verdana"/>
                <w:sz w:val="18"/>
                <w:szCs w:val="18"/>
              </w:rPr>
              <w:t>Vásquez Rivera José Leonidas</w:t>
            </w:r>
          </w:p>
        </w:tc>
      </w:tr>
      <w:tr w:rsidR="00EA38F6" w:rsidRPr="000864AE" w14:paraId="10CEBC76" w14:textId="77777777" w:rsidTr="00AC0C51">
        <w:trPr>
          <w:trHeight w:val="300"/>
        </w:trPr>
        <w:tc>
          <w:tcPr>
            <w:tcW w:w="668" w:type="dxa"/>
            <w:vAlign w:val="center"/>
            <w:hideMark/>
          </w:tcPr>
          <w:p w14:paraId="4CDB7EAA"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649</w:t>
            </w:r>
          </w:p>
        </w:tc>
        <w:tc>
          <w:tcPr>
            <w:tcW w:w="3835" w:type="dxa"/>
            <w:vAlign w:val="center"/>
            <w:hideMark/>
          </w:tcPr>
          <w:p w14:paraId="1B972763" w14:textId="77777777" w:rsidR="00EA38F6" w:rsidRPr="000864AE" w:rsidRDefault="00EA38F6" w:rsidP="000864AE">
            <w:pPr>
              <w:rPr>
                <w:rFonts w:ascii="Verdana" w:hAnsi="Verdana"/>
                <w:sz w:val="18"/>
                <w:szCs w:val="18"/>
              </w:rPr>
            </w:pPr>
            <w:r w:rsidRPr="000864AE">
              <w:rPr>
                <w:rFonts w:ascii="Verdana" w:hAnsi="Verdana"/>
                <w:sz w:val="18"/>
                <w:szCs w:val="18"/>
              </w:rPr>
              <w:t>Vásquez Vásquez Wilber Gonzalo</w:t>
            </w:r>
          </w:p>
        </w:tc>
      </w:tr>
      <w:tr w:rsidR="00EA38F6" w:rsidRPr="000864AE" w14:paraId="0D378F82" w14:textId="77777777" w:rsidTr="00AC0C51">
        <w:trPr>
          <w:trHeight w:val="300"/>
        </w:trPr>
        <w:tc>
          <w:tcPr>
            <w:tcW w:w="668" w:type="dxa"/>
            <w:vAlign w:val="center"/>
            <w:hideMark/>
          </w:tcPr>
          <w:p w14:paraId="6620B6E2"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650</w:t>
            </w:r>
          </w:p>
        </w:tc>
        <w:tc>
          <w:tcPr>
            <w:tcW w:w="3835" w:type="dxa"/>
            <w:vAlign w:val="center"/>
            <w:hideMark/>
          </w:tcPr>
          <w:p w14:paraId="1014E8E7" w14:textId="77777777" w:rsidR="00EA38F6" w:rsidRPr="000864AE" w:rsidRDefault="00EA38F6" w:rsidP="000864AE">
            <w:pPr>
              <w:rPr>
                <w:rFonts w:ascii="Verdana" w:hAnsi="Verdana"/>
                <w:sz w:val="18"/>
                <w:szCs w:val="18"/>
              </w:rPr>
            </w:pPr>
            <w:r w:rsidRPr="000864AE">
              <w:rPr>
                <w:rFonts w:ascii="Verdana" w:hAnsi="Verdana"/>
                <w:sz w:val="18"/>
                <w:szCs w:val="18"/>
              </w:rPr>
              <w:t>Velarde Ortiz Héctor Raúl</w:t>
            </w:r>
          </w:p>
        </w:tc>
      </w:tr>
      <w:tr w:rsidR="00EA38F6" w:rsidRPr="000864AE" w14:paraId="7EFFC7CE" w14:textId="77777777" w:rsidTr="00AC0C51">
        <w:trPr>
          <w:trHeight w:val="300"/>
        </w:trPr>
        <w:tc>
          <w:tcPr>
            <w:tcW w:w="668" w:type="dxa"/>
            <w:vAlign w:val="center"/>
            <w:hideMark/>
          </w:tcPr>
          <w:p w14:paraId="27891A70"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651</w:t>
            </w:r>
          </w:p>
        </w:tc>
        <w:tc>
          <w:tcPr>
            <w:tcW w:w="3835" w:type="dxa"/>
            <w:vAlign w:val="center"/>
            <w:hideMark/>
          </w:tcPr>
          <w:p w14:paraId="51C7F49B" w14:textId="77777777" w:rsidR="00EA38F6" w:rsidRPr="000864AE" w:rsidRDefault="00EA38F6" w:rsidP="000864AE">
            <w:pPr>
              <w:rPr>
                <w:rFonts w:ascii="Verdana" w:hAnsi="Verdana"/>
                <w:sz w:val="18"/>
                <w:szCs w:val="18"/>
              </w:rPr>
            </w:pPr>
            <w:r w:rsidRPr="000864AE">
              <w:rPr>
                <w:rFonts w:ascii="Verdana" w:hAnsi="Verdana"/>
                <w:sz w:val="18"/>
                <w:szCs w:val="18"/>
              </w:rPr>
              <w:t>Velarde Ruesta Conrado Francisco</w:t>
            </w:r>
          </w:p>
        </w:tc>
      </w:tr>
      <w:tr w:rsidR="00EA38F6" w:rsidRPr="000864AE" w14:paraId="59ABDE97" w14:textId="77777777" w:rsidTr="00AC0C51">
        <w:trPr>
          <w:trHeight w:val="300"/>
        </w:trPr>
        <w:tc>
          <w:tcPr>
            <w:tcW w:w="668" w:type="dxa"/>
            <w:vAlign w:val="center"/>
            <w:hideMark/>
          </w:tcPr>
          <w:p w14:paraId="35A12073"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652</w:t>
            </w:r>
          </w:p>
        </w:tc>
        <w:tc>
          <w:tcPr>
            <w:tcW w:w="3835" w:type="dxa"/>
            <w:vAlign w:val="center"/>
            <w:hideMark/>
          </w:tcPr>
          <w:p w14:paraId="0166A3F0" w14:textId="77777777" w:rsidR="00EA38F6" w:rsidRPr="000864AE" w:rsidRDefault="00EA38F6" w:rsidP="000864AE">
            <w:pPr>
              <w:rPr>
                <w:rFonts w:ascii="Verdana" w:hAnsi="Verdana"/>
                <w:sz w:val="18"/>
                <w:szCs w:val="18"/>
              </w:rPr>
            </w:pPr>
            <w:r w:rsidRPr="000864AE">
              <w:rPr>
                <w:rFonts w:ascii="Verdana" w:hAnsi="Verdana"/>
                <w:sz w:val="18"/>
                <w:szCs w:val="18"/>
              </w:rPr>
              <w:t>Velásquez Quezada Pedro</w:t>
            </w:r>
          </w:p>
        </w:tc>
      </w:tr>
      <w:tr w:rsidR="00EA38F6" w:rsidRPr="000864AE" w14:paraId="507267D2" w14:textId="77777777" w:rsidTr="00AC0C51">
        <w:trPr>
          <w:trHeight w:val="300"/>
        </w:trPr>
        <w:tc>
          <w:tcPr>
            <w:tcW w:w="668" w:type="dxa"/>
            <w:vAlign w:val="center"/>
            <w:hideMark/>
          </w:tcPr>
          <w:p w14:paraId="31872DBC"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653</w:t>
            </w:r>
          </w:p>
        </w:tc>
        <w:tc>
          <w:tcPr>
            <w:tcW w:w="3835" w:type="dxa"/>
            <w:vAlign w:val="center"/>
            <w:hideMark/>
          </w:tcPr>
          <w:p w14:paraId="29F2534D" w14:textId="77777777" w:rsidR="00EA38F6" w:rsidRPr="000864AE" w:rsidRDefault="00EA38F6" w:rsidP="000864AE">
            <w:pPr>
              <w:rPr>
                <w:rFonts w:ascii="Verdana" w:hAnsi="Verdana"/>
                <w:sz w:val="18"/>
                <w:szCs w:val="18"/>
              </w:rPr>
            </w:pPr>
            <w:r w:rsidRPr="000864AE">
              <w:rPr>
                <w:rFonts w:ascii="Verdana" w:hAnsi="Verdana"/>
                <w:sz w:val="18"/>
                <w:szCs w:val="18"/>
              </w:rPr>
              <w:t>Velita Palacios Antonio Gamaniel</w:t>
            </w:r>
          </w:p>
        </w:tc>
      </w:tr>
      <w:tr w:rsidR="00EA38F6" w:rsidRPr="005A5D3C" w14:paraId="0A1622F9" w14:textId="77777777" w:rsidTr="00AC0C51">
        <w:trPr>
          <w:trHeight w:val="300"/>
        </w:trPr>
        <w:tc>
          <w:tcPr>
            <w:tcW w:w="668" w:type="dxa"/>
            <w:vAlign w:val="center"/>
            <w:hideMark/>
          </w:tcPr>
          <w:p w14:paraId="5005BBA1"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654</w:t>
            </w:r>
          </w:p>
        </w:tc>
        <w:tc>
          <w:tcPr>
            <w:tcW w:w="3835" w:type="dxa"/>
            <w:vAlign w:val="center"/>
            <w:hideMark/>
          </w:tcPr>
          <w:p w14:paraId="06FBEF40" w14:textId="77777777" w:rsidR="00EA38F6" w:rsidRPr="000864AE" w:rsidRDefault="00EA38F6" w:rsidP="000864AE">
            <w:pPr>
              <w:rPr>
                <w:rFonts w:ascii="Verdana" w:hAnsi="Verdana"/>
                <w:sz w:val="18"/>
                <w:szCs w:val="18"/>
                <w:lang w:val="pt-BR"/>
              </w:rPr>
            </w:pPr>
            <w:r w:rsidRPr="000864AE">
              <w:rPr>
                <w:rFonts w:ascii="Verdana" w:hAnsi="Verdana"/>
                <w:sz w:val="18"/>
                <w:szCs w:val="18"/>
                <w:lang w:val="pt-BR"/>
              </w:rPr>
              <w:t>Venegas Sussoni Fernando José Elías</w:t>
            </w:r>
          </w:p>
        </w:tc>
      </w:tr>
      <w:tr w:rsidR="00EA38F6" w:rsidRPr="000864AE" w14:paraId="6F010E6D" w14:textId="77777777" w:rsidTr="00AC0C51">
        <w:trPr>
          <w:trHeight w:val="300"/>
        </w:trPr>
        <w:tc>
          <w:tcPr>
            <w:tcW w:w="668" w:type="dxa"/>
            <w:vAlign w:val="center"/>
            <w:hideMark/>
          </w:tcPr>
          <w:p w14:paraId="0E487131"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655</w:t>
            </w:r>
          </w:p>
        </w:tc>
        <w:tc>
          <w:tcPr>
            <w:tcW w:w="3835" w:type="dxa"/>
            <w:vAlign w:val="center"/>
            <w:hideMark/>
          </w:tcPr>
          <w:p w14:paraId="0C2B2A43" w14:textId="77777777" w:rsidR="00EA38F6" w:rsidRPr="000864AE" w:rsidRDefault="00EA38F6" w:rsidP="000864AE">
            <w:pPr>
              <w:rPr>
                <w:rFonts w:ascii="Verdana" w:hAnsi="Verdana"/>
                <w:sz w:val="18"/>
                <w:szCs w:val="18"/>
              </w:rPr>
            </w:pPr>
            <w:r w:rsidRPr="000864AE">
              <w:rPr>
                <w:rFonts w:ascii="Verdana" w:hAnsi="Verdana"/>
                <w:sz w:val="18"/>
                <w:szCs w:val="18"/>
              </w:rPr>
              <w:t>Ventocilla Ureta Rafael</w:t>
            </w:r>
          </w:p>
        </w:tc>
      </w:tr>
      <w:tr w:rsidR="00EA38F6" w:rsidRPr="000864AE" w14:paraId="71747A17" w14:textId="77777777" w:rsidTr="00AC0C51">
        <w:trPr>
          <w:trHeight w:val="300"/>
        </w:trPr>
        <w:tc>
          <w:tcPr>
            <w:tcW w:w="668" w:type="dxa"/>
            <w:vAlign w:val="center"/>
            <w:hideMark/>
          </w:tcPr>
          <w:p w14:paraId="16934D62"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656</w:t>
            </w:r>
          </w:p>
        </w:tc>
        <w:tc>
          <w:tcPr>
            <w:tcW w:w="3835" w:type="dxa"/>
            <w:vAlign w:val="center"/>
            <w:hideMark/>
          </w:tcPr>
          <w:p w14:paraId="2C0C5DBA" w14:textId="77777777" w:rsidR="00EA38F6" w:rsidRPr="000864AE" w:rsidRDefault="00EA38F6" w:rsidP="000864AE">
            <w:pPr>
              <w:rPr>
                <w:rFonts w:ascii="Verdana" w:hAnsi="Verdana"/>
                <w:sz w:val="18"/>
                <w:szCs w:val="18"/>
              </w:rPr>
            </w:pPr>
            <w:r w:rsidRPr="000864AE">
              <w:rPr>
                <w:rFonts w:ascii="Verdana" w:hAnsi="Verdana"/>
                <w:sz w:val="18"/>
                <w:szCs w:val="18"/>
              </w:rPr>
              <w:t>Vera Rosas Jesús Eduardo</w:t>
            </w:r>
          </w:p>
        </w:tc>
      </w:tr>
      <w:tr w:rsidR="00EA38F6" w:rsidRPr="000864AE" w14:paraId="0DCCE905" w14:textId="77777777" w:rsidTr="00AC0C51">
        <w:trPr>
          <w:trHeight w:val="300"/>
        </w:trPr>
        <w:tc>
          <w:tcPr>
            <w:tcW w:w="668" w:type="dxa"/>
            <w:vAlign w:val="center"/>
            <w:hideMark/>
          </w:tcPr>
          <w:p w14:paraId="1C7CB62D"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657</w:t>
            </w:r>
          </w:p>
        </w:tc>
        <w:tc>
          <w:tcPr>
            <w:tcW w:w="3835" w:type="dxa"/>
            <w:vAlign w:val="center"/>
            <w:hideMark/>
          </w:tcPr>
          <w:p w14:paraId="77658C86" w14:textId="77777777" w:rsidR="00EA38F6" w:rsidRPr="000864AE" w:rsidRDefault="00EA38F6" w:rsidP="000864AE">
            <w:pPr>
              <w:rPr>
                <w:rFonts w:ascii="Verdana" w:hAnsi="Verdana"/>
                <w:sz w:val="18"/>
                <w:szCs w:val="18"/>
              </w:rPr>
            </w:pPr>
            <w:r w:rsidRPr="000864AE">
              <w:rPr>
                <w:rFonts w:ascii="Verdana" w:hAnsi="Verdana"/>
                <w:sz w:val="18"/>
                <w:szCs w:val="18"/>
              </w:rPr>
              <w:t>Vera Toro Juana Elvira</w:t>
            </w:r>
          </w:p>
        </w:tc>
      </w:tr>
      <w:tr w:rsidR="00EA38F6" w:rsidRPr="000864AE" w14:paraId="5BE46E81" w14:textId="77777777" w:rsidTr="00AC0C51">
        <w:trPr>
          <w:trHeight w:val="300"/>
        </w:trPr>
        <w:tc>
          <w:tcPr>
            <w:tcW w:w="668" w:type="dxa"/>
            <w:vAlign w:val="center"/>
            <w:hideMark/>
          </w:tcPr>
          <w:p w14:paraId="09140D82"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658</w:t>
            </w:r>
          </w:p>
        </w:tc>
        <w:tc>
          <w:tcPr>
            <w:tcW w:w="3835" w:type="dxa"/>
            <w:vAlign w:val="center"/>
            <w:hideMark/>
          </w:tcPr>
          <w:p w14:paraId="6156D98A" w14:textId="77777777" w:rsidR="00EA38F6" w:rsidRPr="000864AE" w:rsidRDefault="00EA38F6" w:rsidP="000864AE">
            <w:pPr>
              <w:rPr>
                <w:rFonts w:ascii="Verdana" w:hAnsi="Verdana"/>
                <w:sz w:val="18"/>
                <w:szCs w:val="18"/>
              </w:rPr>
            </w:pPr>
            <w:r w:rsidRPr="000864AE">
              <w:rPr>
                <w:rFonts w:ascii="Verdana" w:hAnsi="Verdana"/>
                <w:sz w:val="18"/>
                <w:szCs w:val="18"/>
              </w:rPr>
              <w:t>Vera Valderrama Vignar Nerio</w:t>
            </w:r>
          </w:p>
        </w:tc>
      </w:tr>
      <w:tr w:rsidR="00EA38F6" w:rsidRPr="000864AE" w14:paraId="5B41E3E9" w14:textId="77777777" w:rsidTr="00AC0C51">
        <w:trPr>
          <w:trHeight w:val="300"/>
        </w:trPr>
        <w:tc>
          <w:tcPr>
            <w:tcW w:w="668" w:type="dxa"/>
            <w:vAlign w:val="center"/>
            <w:hideMark/>
          </w:tcPr>
          <w:p w14:paraId="65702FDD"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659</w:t>
            </w:r>
          </w:p>
        </w:tc>
        <w:tc>
          <w:tcPr>
            <w:tcW w:w="3835" w:type="dxa"/>
            <w:vAlign w:val="center"/>
            <w:hideMark/>
          </w:tcPr>
          <w:p w14:paraId="1BE92BCC" w14:textId="77777777" w:rsidR="00EA38F6" w:rsidRPr="000864AE" w:rsidRDefault="00EA38F6" w:rsidP="000864AE">
            <w:pPr>
              <w:rPr>
                <w:rFonts w:ascii="Verdana" w:hAnsi="Verdana"/>
                <w:sz w:val="18"/>
                <w:szCs w:val="18"/>
              </w:rPr>
            </w:pPr>
            <w:r w:rsidRPr="000864AE">
              <w:rPr>
                <w:rFonts w:ascii="Verdana" w:hAnsi="Verdana"/>
                <w:sz w:val="18"/>
                <w:szCs w:val="18"/>
              </w:rPr>
              <w:t>Verástegui Oscategui Robin</w:t>
            </w:r>
          </w:p>
        </w:tc>
      </w:tr>
      <w:tr w:rsidR="00EA38F6" w:rsidRPr="000864AE" w14:paraId="6AFF10B4" w14:textId="77777777" w:rsidTr="00AC0C51">
        <w:trPr>
          <w:trHeight w:val="300"/>
        </w:trPr>
        <w:tc>
          <w:tcPr>
            <w:tcW w:w="668" w:type="dxa"/>
            <w:vAlign w:val="center"/>
            <w:hideMark/>
          </w:tcPr>
          <w:p w14:paraId="09D14155"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660</w:t>
            </w:r>
          </w:p>
        </w:tc>
        <w:tc>
          <w:tcPr>
            <w:tcW w:w="3835" w:type="dxa"/>
            <w:vAlign w:val="center"/>
            <w:hideMark/>
          </w:tcPr>
          <w:p w14:paraId="3BC40BA2" w14:textId="77777777" w:rsidR="00EA38F6" w:rsidRPr="000864AE" w:rsidRDefault="00EA38F6" w:rsidP="000864AE">
            <w:pPr>
              <w:rPr>
                <w:rFonts w:ascii="Verdana" w:hAnsi="Verdana"/>
                <w:sz w:val="18"/>
                <w:szCs w:val="18"/>
              </w:rPr>
            </w:pPr>
            <w:r w:rsidRPr="000864AE">
              <w:rPr>
                <w:rFonts w:ascii="Verdana" w:hAnsi="Verdana"/>
                <w:sz w:val="18"/>
                <w:szCs w:val="18"/>
              </w:rPr>
              <w:t>Vicente Dulanto Maura Isabel</w:t>
            </w:r>
          </w:p>
        </w:tc>
      </w:tr>
      <w:tr w:rsidR="00EA38F6" w:rsidRPr="000864AE" w14:paraId="15353940" w14:textId="77777777" w:rsidTr="00AC0C51">
        <w:trPr>
          <w:trHeight w:val="300"/>
        </w:trPr>
        <w:tc>
          <w:tcPr>
            <w:tcW w:w="668" w:type="dxa"/>
            <w:vAlign w:val="center"/>
            <w:hideMark/>
          </w:tcPr>
          <w:p w14:paraId="5630B4D6"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661</w:t>
            </w:r>
          </w:p>
        </w:tc>
        <w:tc>
          <w:tcPr>
            <w:tcW w:w="3835" w:type="dxa"/>
            <w:vAlign w:val="center"/>
            <w:hideMark/>
          </w:tcPr>
          <w:p w14:paraId="259661DE" w14:textId="77777777" w:rsidR="00EA38F6" w:rsidRPr="000864AE" w:rsidRDefault="00EA38F6" w:rsidP="000864AE">
            <w:pPr>
              <w:rPr>
                <w:rFonts w:ascii="Verdana" w:hAnsi="Verdana"/>
                <w:sz w:val="18"/>
                <w:szCs w:val="18"/>
              </w:rPr>
            </w:pPr>
            <w:r w:rsidRPr="000864AE">
              <w:rPr>
                <w:rFonts w:ascii="Verdana" w:hAnsi="Verdana"/>
                <w:sz w:val="18"/>
                <w:szCs w:val="18"/>
              </w:rPr>
              <w:t>Vidaurre Guillermo Juan</w:t>
            </w:r>
          </w:p>
        </w:tc>
      </w:tr>
      <w:tr w:rsidR="00EA38F6" w:rsidRPr="000864AE" w14:paraId="507D8060" w14:textId="77777777" w:rsidTr="00AC0C51">
        <w:trPr>
          <w:trHeight w:val="300"/>
        </w:trPr>
        <w:tc>
          <w:tcPr>
            <w:tcW w:w="668" w:type="dxa"/>
            <w:vAlign w:val="center"/>
            <w:hideMark/>
          </w:tcPr>
          <w:p w14:paraId="35E1F72F"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662</w:t>
            </w:r>
          </w:p>
        </w:tc>
        <w:tc>
          <w:tcPr>
            <w:tcW w:w="3835" w:type="dxa"/>
            <w:vAlign w:val="center"/>
            <w:hideMark/>
          </w:tcPr>
          <w:p w14:paraId="38D4A2FC" w14:textId="77777777" w:rsidR="00EA38F6" w:rsidRPr="000864AE" w:rsidRDefault="00EA38F6" w:rsidP="000864AE">
            <w:pPr>
              <w:rPr>
                <w:rFonts w:ascii="Verdana" w:hAnsi="Verdana"/>
                <w:sz w:val="18"/>
                <w:szCs w:val="18"/>
              </w:rPr>
            </w:pPr>
            <w:r w:rsidRPr="000864AE">
              <w:rPr>
                <w:rFonts w:ascii="Verdana" w:hAnsi="Verdana"/>
                <w:sz w:val="18"/>
                <w:szCs w:val="18"/>
              </w:rPr>
              <w:t>Vidondo Cortez José</w:t>
            </w:r>
          </w:p>
        </w:tc>
      </w:tr>
      <w:tr w:rsidR="00EA38F6" w:rsidRPr="000864AE" w14:paraId="044480F2" w14:textId="77777777" w:rsidTr="00AC0C51">
        <w:trPr>
          <w:trHeight w:val="300"/>
        </w:trPr>
        <w:tc>
          <w:tcPr>
            <w:tcW w:w="668" w:type="dxa"/>
            <w:vAlign w:val="center"/>
            <w:hideMark/>
          </w:tcPr>
          <w:p w14:paraId="79B2D31D"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663</w:t>
            </w:r>
          </w:p>
        </w:tc>
        <w:tc>
          <w:tcPr>
            <w:tcW w:w="3835" w:type="dxa"/>
            <w:vAlign w:val="center"/>
            <w:hideMark/>
          </w:tcPr>
          <w:p w14:paraId="5C5A037C" w14:textId="77777777" w:rsidR="00EA38F6" w:rsidRPr="000864AE" w:rsidRDefault="00EA38F6" w:rsidP="000864AE">
            <w:pPr>
              <w:rPr>
                <w:rFonts w:ascii="Verdana" w:hAnsi="Verdana"/>
                <w:sz w:val="18"/>
                <w:szCs w:val="18"/>
              </w:rPr>
            </w:pPr>
            <w:r w:rsidRPr="000864AE">
              <w:rPr>
                <w:rFonts w:ascii="Verdana" w:hAnsi="Verdana"/>
                <w:sz w:val="18"/>
                <w:szCs w:val="18"/>
              </w:rPr>
              <w:t>Vigil Urdiales Rita María</w:t>
            </w:r>
          </w:p>
        </w:tc>
      </w:tr>
      <w:tr w:rsidR="00EA38F6" w:rsidRPr="000864AE" w14:paraId="188983A7" w14:textId="77777777" w:rsidTr="00AC0C51">
        <w:trPr>
          <w:trHeight w:val="300"/>
        </w:trPr>
        <w:tc>
          <w:tcPr>
            <w:tcW w:w="668" w:type="dxa"/>
            <w:vAlign w:val="center"/>
            <w:hideMark/>
          </w:tcPr>
          <w:p w14:paraId="53136FAC"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664</w:t>
            </w:r>
          </w:p>
        </w:tc>
        <w:tc>
          <w:tcPr>
            <w:tcW w:w="3835" w:type="dxa"/>
            <w:vAlign w:val="center"/>
            <w:hideMark/>
          </w:tcPr>
          <w:p w14:paraId="2BAFF652" w14:textId="77777777" w:rsidR="00EA38F6" w:rsidRPr="000864AE" w:rsidRDefault="00EA38F6" w:rsidP="000864AE">
            <w:pPr>
              <w:rPr>
                <w:rFonts w:ascii="Verdana" w:hAnsi="Verdana"/>
                <w:sz w:val="18"/>
                <w:szCs w:val="18"/>
              </w:rPr>
            </w:pPr>
            <w:r w:rsidRPr="000864AE">
              <w:rPr>
                <w:rFonts w:ascii="Verdana" w:hAnsi="Verdana"/>
                <w:sz w:val="18"/>
                <w:szCs w:val="18"/>
              </w:rPr>
              <w:t>Vigo Flores Carlos</w:t>
            </w:r>
          </w:p>
        </w:tc>
      </w:tr>
      <w:tr w:rsidR="00EA38F6" w:rsidRPr="000864AE" w14:paraId="7AE20137" w14:textId="77777777" w:rsidTr="00AC0C51">
        <w:trPr>
          <w:trHeight w:val="300"/>
        </w:trPr>
        <w:tc>
          <w:tcPr>
            <w:tcW w:w="668" w:type="dxa"/>
            <w:vAlign w:val="center"/>
            <w:hideMark/>
          </w:tcPr>
          <w:p w14:paraId="6E8C6BAA"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665</w:t>
            </w:r>
          </w:p>
        </w:tc>
        <w:tc>
          <w:tcPr>
            <w:tcW w:w="3835" w:type="dxa"/>
            <w:vAlign w:val="center"/>
            <w:hideMark/>
          </w:tcPr>
          <w:p w14:paraId="1C0B5C56" w14:textId="77777777" w:rsidR="00EA38F6" w:rsidRPr="000864AE" w:rsidRDefault="00EA38F6" w:rsidP="000864AE">
            <w:pPr>
              <w:rPr>
                <w:rFonts w:ascii="Verdana" w:hAnsi="Verdana"/>
                <w:sz w:val="18"/>
                <w:szCs w:val="18"/>
              </w:rPr>
            </w:pPr>
            <w:r w:rsidRPr="000864AE">
              <w:rPr>
                <w:rFonts w:ascii="Verdana" w:hAnsi="Verdana"/>
                <w:sz w:val="18"/>
                <w:szCs w:val="18"/>
              </w:rPr>
              <w:t>Vigo Noriega Andrés José</w:t>
            </w:r>
          </w:p>
        </w:tc>
      </w:tr>
      <w:tr w:rsidR="00EA38F6" w:rsidRPr="000864AE" w14:paraId="6A6E84E1" w14:textId="77777777" w:rsidTr="00AC0C51">
        <w:trPr>
          <w:trHeight w:val="300"/>
        </w:trPr>
        <w:tc>
          <w:tcPr>
            <w:tcW w:w="668" w:type="dxa"/>
            <w:vAlign w:val="center"/>
            <w:hideMark/>
          </w:tcPr>
          <w:p w14:paraId="4B55A11A"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666</w:t>
            </w:r>
          </w:p>
        </w:tc>
        <w:tc>
          <w:tcPr>
            <w:tcW w:w="3835" w:type="dxa"/>
            <w:vAlign w:val="center"/>
            <w:hideMark/>
          </w:tcPr>
          <w:p w14:paraId="2F1241AE" w14:textId="77777777" w:rsidR="00EA38F6" w:rsidRPr="000864AE" w:rsidRDefault="00EA38F6" w:rsidP="000864AE">
            <w:pPr>
              <w:rPr>
                <w:rFonts w:ascii="Verdana" w:hAnsi="Verdana"/>
                <w:sz w:val="18"/>
                <w:szCs w:val="18"/>
              </w:rPr>
            </w:pPr>
            <w:r w:rsidRPr="000864AE">
              <w:rPr>
                <w:rFonts w:ascii="Verdana" w:hAnsi="Verdana"/>
                <w:sz w:val="18"/>
                <w:szCs w:val="18"/>
              </w:rPr>
              <w:t>Vilca Nieto Jaime Napoleón</w:t>
            </w:r>
          </w:p>
        </w:tc>
      </w:tr>
      <w:tr w:rsidR="00EA38F6" w:rsidRPr="000864AE" w14:paraId="475577DD" w14:textId="77777777" w:rsidTr="00AC0C51">
        <w:trPr>
          <w:trHeight w:val="300"/>
        </w:trPr>
        <w:tc>
          <w:tcPr>
            <w:tcW w:w="668" w:type="dxa"/>
            <w:vAlign w:val="center"/>
            <w:hideMark/>
          </w:tcPr>
          <w:p w14:paraId="2CEC8F52"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667</w:t>
            </w:r>
          </w:p>
        </w:tc>
        <w:tc>
          <w:tcPr>
            <w:tcW w:w="3835" w:type="dxa"/>
            <w:vAlign w:val="center"/>
            <w:hideMark/>
          </w:tcPr>
          <w:p w14:paraId="0A42FFA1" w14:textId="77777777" w:rsidR="00EA38F6" w:rsidRPr="000864AE" w:rsidRDefault="00EA38F6" w:rsidP="000864AE">
            <w:pPr>
              <w:rPr>
                <w:rFonts w:ascii="Verdana" w:hAnsi="Verdana"/>
                <w:sz w:val="18"/>
                <w:szCs w:val="18"/>
              </w:rPr>
            </w:pPr>
            <w:r w:rsidRPr="000864AE">
              <w:rPr>
                <w:rFonts w:ascii="Verdana" w:hAnsi="Verdana"/>
                <w:sz w:val="18"/>
                <w:szCs w:val="18"/>
              </w:rPr>
              <w:t>Vilcas Palomino Germán</w:t>
            </w:r>
          </w:p>
        </w:tc>
      </w:tr>
      <w:tr w:rsidR="00EA38F6" w:rsidRPr="000864AE" w14:paraId="48F248DB" w14:textId="77777777" w:rsidTr="00AC0C51">
        <w:trPr>
          <w:trHeight w:val="300"/>
        </w:trPr>
        <w:tc>
          <w:tcPr>
            <w:tcW w:w="668" w:type="dxa"/>
            <w:vAlign w:val="center"/>
            <w:hideMark/>
          </w:tcPr>
          <w:p w14:paraId="34E431DA"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668</w:t>
            </w:r>
          </w:p>
        </w:tc>
        <w:tc>
          <w:tcPr>
            <w:tcW w:w="3835" w:type="dxa"/>
            <w:vAlign w:val="center"/>
            <w:hideMark/>
          </w:tcPr>
          <w:p w14:paraId="3159467F" w14:textId="77777777" w:rsidR="00EA38F6" w:rsidRPr="000864AE" w:rsidRDefault="00EA38F6" w:rsidP="000864AE">
            <w:pPr>
              <w:rPr>
                <w:rFonts w:ascii="Verdana" w:hAnsi="Verdana"/>
                <w:sz w:val="18"/>
                <w:szCs w:val="18"/>
              </w:rPr>
            </w:pPr>
            <w:r w:rsidRPr="000864AE">
              <w:rPr>
                <w:rFonts w:ascii="Verdana" w:hAnsi="Verdana"/>
                <w:sz w:val="18"/>
                <w:szCs w:val="18"/>
              </w:rPr>
              <w:t>Vilchez Chávez José Isidro</w:t>
            </w:r>
          </w:p>
        </w:tc>
      </w:tr>
      <w:tr w:rsidR="00EA38F6" w:rsidRPr="000864AE" w14:paraId="7B205838" w14:textId="77777777" w:rsidTr="00AC0C51">
        <w:trPr>
          <w:trHeight w:val="300"/>
        </w:trPr>
        <w:tc>
          <w:tcPr>
            <w:tcW w:w="668" w:type="dxa"/>
            <w:vAlign w:val="center"/>
            <w:hideMark/>
          </w:tcPr>
          <w:p w14:paraId="11E1E7C8"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669</w:t>
            </w:r>
          </w:p>
        </w:tc>
        <w:tc>
          <w:tcPr>
            <w:tcW w:w="3835" w:type="dxa"/>
            <w:vAlign w:val="center"/>
            <w:hideMark/>
          </w:tcPr>
          <w:p w14:paraId="22859E8D" w14:textId="77777777" w:rsidR="00EA38F6" w:rsidRPr="000864AE" w:rsidRDefault="00EA38F6" w:rsidP="000864AE">
            <w:pPr>
              <w:rPr>
                <w:rFonts w:ascii="Verdana" w:hAnsi="Verdana"/>
                <w:sz w:val="18"/>
                <w:szCs w:val="18"/>
              </w:rPr>
            </w:pPr>
            <w:r w:rsidRPr="000864AE">
              <w:rPr>
                <w:rFonts w:ascii="Verdana" w:hAnsi="Verdana"/>
                <w:sz w:val="18"/>
                <w:szCs w:val="18"/>
              </w:rPr>
              <w:t>Vilchez Ordóñez Manuel Isauro</w:t>
            </w:r>
          </w:p>
        </w:tc>
      </w:tr>
      <w:tr w:rsidR="00EA38F6" w:rsidRPr="000864AE" w14:paraId="44A6A8FC" w14:textId="77777777" w:rsidTr="00AC0C51">
        <w:trPr>
          <w:trHeight w:val="300"/>
        </w:trPr>
        <w:tc>
          <w:tcPr>
            <w:tcW w:w="668" w:type="dxa"/>
            <w:vAlign w:val="center"/>
            <w:hideMark/>
          </w:tcPr>
          <w:p w14:paraId="22E543BF"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670</w:t>
            </w:r>
          </w:p>
        </w:tc>
        <w:tc>
          <w:tcPr>
            <w:tcW w:w="3835" w:type="dxa"/>
            <w:vAlign w:val="center"/>
            <w:hideMark/>
          </w:tcPr>
          <w:p w14:paraId="5064C356" w14:textId="77777777" w:rsidR="00EA38F6" w:rsidRPr="000864AE" w:rsidRDefault="00EA38F6" w:rsidP="000864AE">
            <w:pPr>
              <w:rPr>
                <w:rFonts w:ascii="Verdana" w:hAnsi="Verdana"/>
                <w:sz w:val="18"/>
                <w:szCs w:val="18"/>
              </w:rPr>
            </w:pPr>
            <w:r w:rsidRPr="000864AE">
              <w:rPr>
                <w:rFonts w:ascii="Verdana" w:hAnsi="Verdana"/>
                <w:sz w:val="18"/>
                <w:szCs w:val="18"/>
              </w:rPr>
              <w:t>Villacorta Bellota Nemesio</w:t>
            </w:r>
          </w:p>
        </w:tc>
      </w:tr>
      <w:tr w:rsidR="00EA38F6" w:rsidRPr="000864AE" w14:paraId="7298F094" w14:textId="77777777" w:rsidTr="00AC0C51">
        <w:trPr>
          <w:trHeight w:val="300"/>
        </w:trPr>
        <w:tc>
          <w:tcPr>
            <w:tcW w:w="668" w:type="dxa"/>
            <w:vAlign w:val="center"/>
            <w:hideMark/>
          </w:tcPr>
          <w:p w14:paraId="48ADB738"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671</w:t>
            </w:r>
          </w:p>
        </w:tc>
        <w:tc>
          <w:tcPr>
            <w:tcW w:w="3835" w:type="dxa"/>
            <w:vAlign w:val="center"/>
            <w:hideMark/>
          </w:tcPr>
          <w:p w14:paraId="4B5AB9DB" w14:textId="77777777" w:rsidR="00EA38F6" w:rsidRPr="000864AE" w:rsidRDefault="00EA38F6" w:rsidP="000864AE">
            <w:pPr>
              <w:rPr>
                <w:rFonts w:ascii="Verdana" w:hAnsi="Verdana"/>
                <w:sz w:val="18"/>
                <w:szCs w:val="18"/>
              </w:rPr>
            </w:pPr>
            <w:r w:rsidRPr="000864AE">
              <w:rPr>
                <w:rFonts w:ascii="Verdana" w:hAnsi="Verdana"/>
                <w:sz w:val="18"/>
                <w:szCs w:val="18"/>
              </w:rPr>
              <w:t>Villacorta Lozada Cesar</w:t>
            </w:r>
          </w:p>
        </w:tc>
      </w:tr>
      <w:tr w:rsidR="00EA38F6" w:rsidRPr="000864AE" w14:paraId="06F4B936" w14:textId="77777777" w:rsidTr="00AC0C51">
        <w:trPr>
          <w:trHeight w:val="300"/>
        </w:trPr>
        <w:tc>
          <w:tcPr>
            <w:tcW w:w="668" w:type="dxa"/>
            <w:vAlign w:val="center"/>
            <w:hideMark/>
          </w:tcPr>
          <w:p w14:paraId="70525ECA"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672</w:t>
            </w:r>
          </w:p>
        </w:tc>
        <w:tc>
          <w:tcPr>
            <w:tcW w:w="3835" w:type="dxa"/>
            <w:vAlign w:val="center"/>
            <w:hideMark/>
          </w:tcPr>
          <w:p w14:paraId="230B637F" w14:textId="77777777" w:rsidR="00EA38F6" w:rsidRPr="000864AE" w:rsidRDefault="00EA38F6" w:rsidP="000864AE">
            <w:pPr>
              <w:rPr>
                <w:rFonts w:ascii="Verdana" w:hAnsi="Verdana"/>
                <w:sz w:val="18"/>
                <w:szCs w:val="18"/>
              </w:rPr>
            </w:pPr>
            <w:r w:rsidRPr="000864AE">
              <w:rPr>
                <w:rFonts w:ascii="Verdana" w:hAnsi="Verdana"/>
                <w:sz w:val="18"/>
                <w:szCs w:val="18"/>
              </w:rPr>
              <w:t>Villafuerte Rivera Nelly Marcela</w:t>
            </w:r>
          </w:p>
        </w:tc>
      </w:tr>
      <w:tr w:rsidR="00EA38F6" w:rsidRPr="000864AE" w14:paraId="5A21F295" w14:textId="77777777" w:rsidTr="00AC0C51">
        <w:trPr>
          <w:trHeight w:val="300"/>
        </w:trPr>
        <w:tc>
          <w:tcPr>
            <w:tcW w:w="668" w:type="dxa"/>
            <w:vAlign w:val="center"/>
            <w:hideMark/>
          </w:tcPr>
          <w:p w14:paraId="7571F753"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673</w:t>
            </w:r>
          </w:p>
        </w:tc>
        <w:tc>
          <w:tcPr>
            <w:tcW w:w="3835" w:type="dxa"/>
            <w:vAlign w:val="center"/>
            <w:hideMark/>
          </w:tcPr>
          <w:p w14:paraId="302A1986" w14:textId="77777777" w:rsidR="00EA38F6" w:rsidRPr="000864AE" w:rsidRDefault="00EA38F6" w:rsidP="000864AE">
            <w:pPr>
              <w:rPr>
                <w:rFonts w:ascii="Verdana" w:hAnsi="Verdana"/>
                <w:sz w:val="18"/>
                <w:szCs w:val="18"/>
              </w:rPr>
            </w:pPr>
            <w:r w:rsidRPr="000864AE">
              <w:rPr>
                <w:rFonts w:ascii="Verdana" w:hAnsi="Verdana"/>
                <w:sz w:val="18"/>
                <w:szCs w:val="18"/>
              </w:rPr>
              <w:t>Villalobos García Ascención</w:t>
            </w:r>
          </w:p>
        </w:tc>
      </w:tr>
      <w:tr w:rsidR="00EA38F6" w:rsidRPr="000864AE" w14:paraId="64D7675F" w14:textId="77777777" w:rsidTr="00AC0C51">
        <w:trPr>
          <w:trHeight w:val="300"/>
        </w:trPr>
        <w:tc>
          <w:tcPr>
            <w:tcW w:w="668" w:type="dxa"/>
            <w:vAlign w:val="center"/>
            <w:hideMark/>
          </w:tcPr>
          <w:p w14:paraId="63643437"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674</w:t>
            </w:r>
          </w:p>
        </w:tc>
        <w:tc>
          <w:tcPr>
            <w:tcW w:w="3835" w:type="dxa"/>
            <w:vAlign w:val="center"/>
            <w:hideMark/>
          </w:tcPr>
          <w:p w14:paraId="16340603" w14:textId="77777777" w:rsidR="00EA38F6" w:rsidRPr="000864AE" w:rsidRDefault="00EA38F6" w:rsidP="000864AE">
            <w:pPr>
              <w:rPr>
                <w:rFonts w:ascii="Verdana" w:hAnsi="Verdana"/>
                <w:sz w:val="18"/>
                <w:szCs w:val="18"/>
              </w:rPr>
            </w:pPr>
            <w:r w:rsidRPr="000864AE">
              <w:rPr>
                <w:rFonts w:ascii="Verdana" w:hAnsi="Verdana"/>
                <w:sz w:val="18"/>
                <w:szCs w:val="18"/>
              </w:rPr>
              <w:t>Villalobos Ruiz Saturnino Vicente</w:t>
            </w:r>
          </w:p>
        </w:tc>
      </w:tr>
      <w:tr w:rsidR="00EA38F6" w:rsidRPr="000864AE" w14:paraId="43C8CD54" w14:textId="77777777" w:rsidTr="00AC0C51">
        <w:trPr>
          <w:trHeight w:val="300"/>
        </w:trPr>
        <w:tc>
          <w:tcPr>
            <w:tcW w:w="668" w:type="dxa"/>
            <w:vAlign w:val="center"/>
            <w:hideMark/>
          </w:tcPr>
          <w:p w14:paraId="36A58FE3"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675</w:t>
            </w:r>
          </w:p>
        </w:tc>
        <w:tc>
          <w:tcPr>
            <w:tcW w:w="3835" w:type="dxa"/>
            <w:vAlign w:val="center"/>
            <w:hideMark/>
          </w:tcPr>
          <w:p w14:paraId="088DD248" w14:textId="77777777" w:rsidR="00EA38F6" w:rsidRPr="000864AE" w:rsidRDefault="00EA38F6" w:rsidP="000864AE">
            <w:pPr>
              <w:rPr>
                <w:rFonts w:ascii="Verdana" w:hAnsi="Verdana"/>
                <w:sz w:val="18"/>
                <w:szCs w:val="18"/>
              </w:rPr>
            </w:pPr>
            <w:r w:rsidRPr="000864AE">
              <w:rPr>
                <w:rFonts w:ascii="Verdana" w:hAnsi="Verdana"/>
                <w:sz w:val="18"/>
                <w:szCs w:val="18"/>
              </w:rPr>
              <w:t>Villalta Castañeda Jorge Octavio</w:t>
            </w:r>
          </w:p>
        </w:tc>
      </w:tr>
      <w:tr w:rsidR="00EA38F6" w:rsidRPr="000864AE" w14:paraId="223D812D" w14:textId="77777777" w:rsidTr="00AC0C51">
        <w:trPr>
          <w:trHeight w:val="300"/>
        </w:trPr>
        <w:tc>
          <w:tcPr>
            <w:tcW w:w="668" w:type="dxa"/>
            <w:vAlign w:val="center"/>
            <w:hideMark/>
          </w:tcPr>
          <w:p w14:paraId="0979D9B3"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676</w:t>
            </w:r>
          </w:p>
        </w:tc>
        <w:tc>
          <w:tcPr>
            <w:tcW w:w="3835" w:type="dxa"/>
            <w:vAlign w:val="center"/>
            <w:hideMark/>
          </w:tcPr>
          <w:p w14:paraId="22A154C3" w14:textId="77777777" w:rsidR="00EA38F6" w:rsidRPr="000864AE" w:rsidRDefault="00EA38F6" w:rsidP="000864AE">
            <w:pPr>
              <w:rPr>
                <w:rFonts w:ascii="Verdana" w:hAnsi="Verdana"/>
                <w:sz w:val="18"/>
                <w:szCs w:val="18"/>
              </w:rPr>
            </w:pPr>
            <w:r w:rsidRPr="000864AE">
              <w:rPr>
                <w:rFonts w:ascii="Verdana" w:hAnsi="Verdana"/>
                <w:sz w:val="18"/>
                <w:szCs w:val="18"/>
              </w:rPr>
              <w:t>Villanueva Soriano José Reynaldo</w:t>
            </w:r>
          </w:p>
        </w:tc>
      </w:tr>
      <w:tr w:rsidR="00EA38F6" w:rsidRPr="000864AE" w14:paraId="45F532CE" w14:textId="77777777" w:rsidTr="00AC0C51">
        <w:trPr>
          <w:trHeight w:val="300"/>
        </w:trPr>
        <w:tc>
          <w:tcPr>
            <w:tcW w:w="668" w:type="dxa"/>
            <w:vAlign w:val="center"/>
            <w:hideMark/>
          </w:tcPr>
          <w:p w14:paraId="2C916800"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677</w:t>
            </w:r>
          </w:p>
        </w:tc>
        <w:tc>
          <w:tcPr>
            <w:tcW w:w="3835" w:type="dxa"/>
            <w:vAlign w:val="center"/>
            <w:hideMark/>
          </w:tcPr>
          <w:p w14:paraId="614F9ADE" w14:textId="77777777" w:rsidR="00EA38F6" w:rsidRPr="000864AE" w:rsidRDefault="00EA38F6" w:rsidP="000864AE">
            <w:pPr>
              <w:rPr>
                <w:rFonts w:ascii="Verdana" w:hAnsi="Verdana"/>
                <w:sz w:val="18"/>
                <w:szCs w:val="18"/>
              </w:rPr>
            </w:pPr>
            <w:r w:rsidRPr="000864AE">
              <w:rPr>
                <w:rFonts w:ascii="Verdana" w:hAnsi="Verdana"/>
                <w:sz w:val="18"/>
                <w:szCs w:val="18"/>
              </w:rPr>
              <w:t>Villanueva Vidal Carmelo Edmundo</w:t>
            </w:r>
          </w:p>
        </w:tc>
      </w:tr>
      <w:tr w:rsidR="00EA38F6" w:rsidRPr="000864AE" w14:paraId="0266B2EA" w14:textId="77777777" w:rsidTr="00AC0C51">
        <w:trPr>
          <w:trHeight w:val="300"/>
        </w:trPr>
        <w:tc>
          <w:tcPr>
            <w:tcW w:w="668" w:type="dxa"/>
            <w:vAlign w:val="center"/>
            <w:hideMark/>
          </w:tcPr>
          <w:p w14:paraId="6AAAE1D9"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678</w:t>
            </w:r>
          </w:p>
        </w:tc>
        <w:tc>
          <w:tcPr>
            <w:tcW w:w="3835" w:type="dxa"/>
            <w:vAlign w:val="center"/>
            <w:hideMark/>
          </w:tcPr>
          <w:p w14:paraId="38A739F1" w14:textId="77777777" w:rsidR="00EA38F6" w:rsidRPr="000864AE" w:rsidRDefault="00EA38F6" w:rsidP="000864AE">
            <w:pPr>
              <w:rPr>
                <w:rFonts w:ascii="Verdana" w:hAnsi="Verdana"/>
                <w:sz w:val="18"/>
                <w:szCs w:val="18"/>
              </w:rPr>
            </w:pPr>
            <w:r w:rsidRPr="000864AE">
              <w:rPr>
                <w:rFonts w:ascii="Verdana" w:hAnsi="Verdana"/>
                <w:sz w:val="18"/>
                <w:szCs w:val="18"/>
              </w:rPr>
              <w:t>Villar Calagua Isaura María</w:t>
            </w:r>
          </w:p>
        </w:tc>
      </w:tr>
      <w:tr w:rsidR="00EA38F6" w:rsidRPr="000864AE" w14:paraId="7E381232" w14:textId="77777777" w:rsidTr="00AC0C51">
        <w:trPr>
          <w:trHeight w:val="300"/>
        </w:trPr>
        <w:tc>
          <w:tcPr>
            <w:tcW w:w="668" w:type="dxa"/>
            <w:vAlign w:val="center"/>
            <w:hideMark/>
          </w:tcPr>
          <w:p w14:paraId="38EA5EC0"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679</w:t>
            </w:r>
          </w:p>
        </w:tc>
        <w:tc>
          <w:tcPr>
            <w:tcW w:w="3835" w:type="dxa"/>
            <w:vAlign w:val="center"/>
            <w:hideMark/>
          </w:tcPr>
          <w:p w14:paraId="1241B7E2" w14:textId="77777777" w:rsidR="00EA38F6" w:rsidRPr="000864AE" w:rsidRDefault="00EA38F6" w:rsidP="000864AE">
            <w:pPr>
              <w:rPr>
                <w:rFonts w:ascii="Verdana" w:hAnsi="Verdana"/>
                <w:sz w:val="18"/>
                <w:szCs w:val="18"/>
              </w:rPr>
            </w:pPr>
            <w:r w:rsidRPr="000864AE">
              <w:rPr>
                <w:rFonts w:ascii="Verdana" w:hAnsi="Verdana"/>
                <w:sz w:val="18"/>
                <w:szCs w:val="18"/>
              </w:rPr>
              <w:t>Villarán Cavero Carmen Rosa</w:t>
            </w:r>
          </w:p>
        </w:tc>
      </w:tr>
      <w:tr w:rsidR="00EA38F6" w:rsidRPr="000864AE" w14:paraId="5C737991" w14:textId="77777777" w:rsidTr="00AC0C51">
        <w:trPr>
          <w:trHeight w:val="300"/>
        </w:trPr>
        <w:tc>
          <w:tcPr>
            <w:tcW w:w="668" w:type="dxa"/>
            <w:vAlign w:val="center"/>
            <w:hideMark/>
          </w:tcPr>
          <w:p w14:paraId="481EF1BD"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680</w:t>
            </w:r>
          </w:p>
        </w:tc>
        <w:tc>
          <w:tcPr>
            <w:tcW w:w="3835" w:type="dxa"/>
            <w:vAlign w:val="center"/>
            <w:hideMark/>
          </w:tcPr>
          <w:p w14:paraId="662CB6F3" w14:textId="77777777" w:rsidR="00EA38F6" w:rsidRPr="000864AE" w:rsidRDefault="00EA38F6" w:rsidP="000864AE">
            <w:pPr>
              <w:rPr>
                <w:rFonts w:ascii="Verdana" w:hAnsi="Verdana"/>
                <w:sz w:val="18"/>
                <w:szCs w:val="18"/>
              </w:rPr>
            </w:pPr>
            <w:r w:rsidRPr="000864AE">
              <w:rPr>
                <w:rFonts w:ascii="Verdana" w:hAnsi="Verdana"/>
                <w:sz w:val="18"/>
                <w:szCs w:val="18"/>
              </w:rPr>
              <w:t>Villavicencio Valdivia Jaime Alejandro</w:t>
            </w:r>
          </w:p>
        </w:tc>
      </w:tr>
      <w:tr w:rsidR="00EA38F6" w:rsidRPr="000864AE" w14:paraId="181DA5A8" w14:textId="77777777" w:rsidTr="00AC0C51">
        <w:trPr>
          <w:trHeight w:val="300"/>
        </w:trPr>
        <w:tc>
          <w:tcPr>
            <w:tcW w:w="668" w:type="dxa"/>
            <w:vAlign w:val="center"/>
            <w:hideMark/>
          </w:tcPr>
          <w:p w14:paraId="550BA217"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681</w:t>
            </w:r>
          </w:p>
        </w:tc>
        <w:tc>
          <w:tcPr>
            <w:tcW w:w="3835" w:type="dxa"/>
            <w:vAlign w:val="center"/>
            <w:hideMark/>
          </w:tcPr>
          <w:p w14:paraId="3A563435" w14:textId="77777777" w:rsidR="00EA38F6" w:rsidRPr="000864AE" w:rsidRDefault="00EA38F6" w:rsidP="000864AE">
            <w:pPr>
              <w:rPr>
                <w:rFonts w:ascii="Verdana" w:hAnsi="Verdana"/>
                <w:sz w:val="18"/>
                <w:szCs w:val="18"/>
              </w:rPr>
            </w:pPr>
            <w:r w:rsidRPr="000864AE">
              <w:rPr>
                <w:rFonts w:ascii="Verdana" w:hAnsi="Verdana"/>
                <w:sz w:val="18"/>
                <w:szCs w:val="18"/>
              </w:rPr>
              <w:t>Villena Ponce Narda Luz</w:t>
            </w:r>
          </w:p>
        </w:tc>
      </w:tr>
      <w:tr w:rsidR="00EA38F6" w:rsidRPr="000864AE" w14:paraId="50C4ED85" w14:textId="77777777" w:rsidTr="00AC0C51">
        <w:trPr>
          <w:trHeight w:val="300"/>
        </w:trPr>
        <w:tc>
          <w:tcPr>
            <w:tcW w:w="668" w:type="dxa"/>
            <w:vAlign w:val="center"/>
            <w:hideMark/>
          </w:tcPr>
          <w:p w14:paraId="4468CDB0"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682</w:t>
            </w:r>
          </w:p>
        </w:tc>
        <w:tc>
          <w:tcPr>
            <w:tcW w:w="3835" w:type="dxa"/>
            <w:vAlign w:val="center"/>
            <w:hideMark/>
          </w:tcPr>
          <w:p w14:paraId="03A7A07F" w14:textId="77777777" w:rsidR="00EA38F6" w:rsidRPr="000864AE" w:rsidRDefault="00EA38F6" w:rsidP="000864AE">
            <w:pPr>
              <w:rPr>
                <w:rFonts w:ascii="Verdana" w:hAnsi="Verdana"/>
                <w:sz w:val="18"/>
                <w:szCs w:val="18"/>
              </w:rPr>
            </w:pPr>
            <w:r w:rsidRPr="000864AE">
              <w:rPr>
                <w:rFonts w:ascii="Verdana" w:hAnsi="Verdana"/>
                <w:sz w:val="18"/>
                <w:szCs w:val="18"/>
              </w:rPr>
              <w:t>Vivanco Terry Yolanda Cristina</w:t>
            </w:r>
          </w:p>
        </w:tc>
      </w:tr>
      <w:tr w:rsidR="00EA38F6" w:rsidRPr="000864AE" w14:paraId="283E0E21" w14:textId="77777777" w:rsidTr="00AC0C51">
        <w:trPr>
          <w:trHeight w:val="300"/>
        </w:trPr>
        <w:tc>
          <w:tcPr>
            <w:tcW w:w="668" w:type="dxa"/>
            <w:vAlign w:val="center"/>
            <w:hideMark/>
          </w:tcPr>
          <w:p w14:paraId="2DD8E8CD"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683</w:t>
            </w:r>
          </w:p>
        </w:tc>
        <w:tc>
          <w:tcPr>
            <w:tcW w:w="3835" w:type="dxa"/>
            <w:vAlign w:val="center"/>
            <w:hideMark/>
          </w:tcPr>
          <w:p w14:paraId="7567C002" w14:textId="77777777" w:rsidR="00EA38F6" w:rsidRPr="000864AE" w:rsidRDefault="00EA38F6" w:rsidP="000864AE">
            <w:pPr>
              <w:rPr>
                <w:rFonts w:ascii="Verdana" w:hAnsi="Verdana"/>
                <w:sz w:val="18"/>
                <w:szCs w:val="18"/>
              </w:rPr>
            </w:pPr>
            <w:r w:rsidRPr="000864AE">
              <w:rPr>
                <w:rFonts w:ascii="Verdana" w:hAnsi="Verdana"/>
                <w:sz w:val="18"/>
                <w:szCs w:val="18"/>
              </w:rPr>
              <w:t>Weissel Santillán Teodoro</w:t>
            </w:r>
          </w:p>
        </w:tc>
      </w:tr>
      <w:tr w:rsidR="00EA38F6" w:rsidRPr="000864AE" w14:paraId="0CB2D989" w14:textId="77777777" w:rsidTr="00AC0C51">
        <w:trPr>
          <w:trHeight w:val="300"/>
        </w:trPr>
        <w:tc>
          <w:tcPr>
            <w:tcW w:w="668" w:type="dxa"/>
            <w:vAlign w:val="center"/>
            <w:hideMark/>
          </w:tcPr>
          <w:p w14:paraId="6FB0D623"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684</w:t>
            </w:r>
          </w:p>
        </w:tc>
        <w:tc>
          <w:tcPr>
            <w:tcW w:w="3835" w:type="dxa"/>
            <w:vAlign w:val="center"/>
            <w:hideMark/>
          </w:tcPr>
          <w:p w14:paraId="6E13E7DC" w14:textId="77777777" w:rsidR="00EA38F6" w:rsidRPr="000864AE" w:rsidRDefault="00EA38F6" w:rsidP="000864AE">
            <w:pPr>
              <w:rPr>
                <w:rFonts w:ascii="Verdana" w:hAnsi="Verdana"/>
                <w:sz w:val="18"/>
                <w:szCs w:val="18"/>
              </w:rPr>
            </w:pPr>
            <w:r w:rsidRPr="000864AE">
              <w:rPr>
                <w:rFonts w:ascii="Verdana" w:hAnsi="Verdana"/>
                <w:sz w:val="18"/>
                <w:szCs w:val="18"/>
              </w:rPr>
              <w:t>Wong Chang José Germán</w:t>
            </w:r>
          </w:p>
        </w:tc>
      </w:tr>
      <w:tr w:rsidR="00EA38F6" w:rsidRPr="000864AE" w14:paraId="529AFB29" w14:textId="77777777" w:rsidTr="00AC0C51">
        <w:trPr>
          <w:trHeight w:val="300"/>
        </w:trPr>
        <w:tc>
          <w:tcPr>
            <w:tcW w:w="668" w:type="dxa"/>
            <w:vAlign w:val="center"/>
            <w:hideMark/>
          </w:tcPr>
          <w:p w14:paraId="445024ED"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685</w:t>
            </w:r>
          </w:p>
        </w:tc>
        <w:tc>
          <w:tcPr>
            <w:tcW w:w="3835" w:type="dxa"/>
            <w:vAlign w:val="center"/>
            <w:hideMark/>
          </w:tcPr>
          <w:p w14:paraId="51A56EDD" w14:textId="77777777" w:rsidR="00EA38F6" w:rsidRPr="000864AE" w:rsidRDefault="00EA38F6" w:rsidP="000864AE">
            <w:pPr>
              <w:rPr>
                <w:rFonts w:ascii="Verdana" w:hAnsi="Verdana"/>
                <w:sz w:val="18"/>
                <w:szCs w:val="18"/>
              </w:rPr>
            </w:pPr>
            <w:r w:rsidRPr="000864AE">
              <w:rPr>
                <w:rFonts w:ascii="Verdana" w:hAnsi="Verdana"/>
                <w:sz w:val="18"/>
                <w:szCs w:val="18"/>
              </w:rPr>
              <w:t>Yabar Acurio Marina Mauricia</w:t>
            </w:r>
          </w:p>
        </w:tc>
      </w:tr>
      <w:tr w:rsidR="00EA38F6" w:rsidRPr="000864AE" w14:paraId="7F7B6581" w14:textId="77777777" w:rsidTr="00AC0C51">
        <w:trPr>
          <w:trHeight w:val="300"/>
        </w:trPr>
        <w:tc>
          <w:tcPr>
            <w:tcW w:w="668" w:type="dxa"/>
            <w:vAlign w:val="center"/>
            <w:hideMark/>
          </w:tcPr>
          <w:p w14:paraId="1EA23CCC"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686</w:t>
            </w:r>
          </w:p>
        </w:tc>
        <w:tc>
          <w:tcPr>
            <w:tcW w:w="3835" w:type="dxa"/>
            <w:vAlign w:val="center"/>
            <w:hideMark/>
          </w:tcPr>
          <w:p w14:paraId="51031CF9" w14:textId="77777777" w:rsidR="00EA38F6" w:rsidRPr="000864AE" w:rsidRDefault="00EA38F6" w:rsidP="000864AE">
            <w:pPr>
              <w:rPr>
                <w:rFonts w:ascii="Verdana" w:hAnsi="Verdana"/>
                <w:sz w:val="18"/>
                <w:szCs w:val="18"/>
              </w:rPr>
            </w:pPr>
            <w:r w:rsidRPr="000864AE">
              <w:rPr>
                <w:rFonts w:ascii="Verdana" w:hAnsi="Verdana"/>
                <w:sz w:val="18"/>
                <w:szCs w:val="18"/>
              </w:rPr>
              <w:t>Yalta Mezquita Herman</w:t>
            </w:r>
          </w:p>
        </w:tc>
      </w:tr>
      <w:tr w:rsidR="00EA38F6" w:rsidRPr="000864AE" w14:paraId="7D2BC41D" w14:textId="77777777" w:rsidTr="00AC0C51">
        <w:trPr>
          <w:trHeight w:val="300"/>
        </w:trPr>
        <w:tc>
          <w:tcPr>
            <w:tcW w:w="668" w:type="dxa"/>
            <w:vAlign w:val="center"/>
            <w:hideMark/>
          </w:tcPr>
          <w:p w14:paraId="3BF1F907"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687</w:t>
            </w:r>
          </w:p>
        </w:tc>
        <w:tc>
          <w:tcPr>
            <w:tcW w:w="3835" w:type="dxa"/>
            <w:vAlign w:val="center"/>
            <w:hideMark/>
          </w:tcPr>
          <w:p w14:paraId="4CEB626D" w14:textId="77777777" w:rsidR="00EA38F6" w:rsidRPr="000864AE" w:rsidRDefault="00EA38F6" w:rsidP="000864AE">
            <w:pPr>
              <w:rPr>
                <w:rFonts w:ascii="Verdana" w:hAnsi="Verdana"/>
                <w:sz w:val="18"/>
                <w:szCs w:val="18"/>
              </w:rPr>
            </w:pPr>
            <w:r w:rsidRPr="000864AE">
              <w:rPr>
                <w:rFonts w:ascii="Verdana" w:hAnsi="Verdana"/>
                <w:sz w:val="18"/>
                <w:szCs w:val="18"/>
              </w:rPr>
              <w:t>Yana Siguacollo Pablo</w:t>
            </w:r>
          </w:p>
        </w:tc>
      </w:tr>
      <w:tr w:rsidR="00EA38F6" w:rsidRPr="000864AE" w14:paraId="5A904C43" w14:textId="77777777" w:rsidTr="00AC0C51">
        <w:trPr>
          <w:trHeight w:val="300"/>
        </w:trPr>
        <w:tc>
          <w:tcPr>
            <w:tcW w:w="668" w:type="dxa"/>
            <w:vAlign w:val="center"/>
            <w:hideMark/>
          </w:tcPr>
          <w:p w14:paraId="130F888B"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688</w:t>
            </w:r>
          </w:p>
        </w:tc>
        <w:tc>
          <w:tcPr>
            <w:tcW w:w="3835" w:type="dxa"/>
            <w:vAlign w:val="center"/>
            <w:hideMark/>
          </w:tcPr>
          <w:p w14:paraId="55F607A6" w14:textId="77777777" w:rsidR="00EA38F6" w:rsidRPr="000864AE" w:rsidRDefault="00EA38F6" w:rsidP="000864AE">
            <w:pPr>
              <w:rPr>
                <w:rFonts w:ascii="Verdana" w:hAnsi="Verdana"/>
                <w:sz w:val="18"/>
                <w:szCs w:val="18"/>
              </w:rPr>
            </w:pPr>
            <w:r w:rsidRPr="000864AE">
              <w:rPr>
                <w:rFonts w:ascii="Verdana" w:hAnsi="Verdana"/>
                <w:sz w:val="18"/>
                <w:szCs w:val="18"/>
              </w:rPr>
              <w:t>Yoplac Caman José Segundo</w:t>
            </w:r>
          </w:p>
        </w:tc>
      </w:tr>
      <w:tr w:rsidR="00EA38F6" w:rsidRPr="000864AE" w14:paraId="43D44096" w14:textId="77777777" w:rsidTr="00AC0C51">
        <w:trPr>
          <w:trHeight w:val="300"/>
        </w:trPr>
        <w:tc>
          <w:tcPr>
            <w:tcW w:w="668" w:type="dxa"/>
            <w:vAlign w:val="center"/>
            <w:hideMark/>
          </w:tcPr>
          <w:p w14:paraId="6CCA81D3"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689</w:t>
            </w:r>
          </w:p>
        </w:tc>
        <w:tc>
          <w:tcPr>
            <w:tcW w:w="3835" w:type="dxa"/>
            <w:vAlign w:val="center"/>
            <w:hideMark/>
          </w:tcPr>
          <w:p w14:paraId="2FE3738A" w14:textId="77777777" w:rsidR="00EA38F6" w:rsidRPr="000864AE" w:rsidRDefault="00EA38F6" w:rsidP="000864AE">
            <w:pPr>
              <w:rPr>
                <w:rFonts w:ascii="Verdana" w:hAnsi="Verdana"/>
                <w:sz w:val="18"/>
                <w:szCs w:val="18"/>
              </w:rPr>
            </w:pPr>
            <w:r w:rsidRPr="000864AE">
              <w:rPr>
                <w:rFonts w:ascii="Verdana" w:hAnsi="Verdana"/>
                <w:sz w:val="18"/>
                <w:szCs w:val="18"/>
              </w:rPr>
              <w:t>Yoza Yoza Agustín</w:t>
            </w:r>
          </w:p>
        </w:tc>
      </w:tr>
      <w:tr w:rsidR="00EA38F6" w:rsidRPr="000864AE" w14:paraId="51042788" w14:textId="77777777" w:rsidTr="00AC0C51">
        <w:trPr>
          <w:trHeight w:val="300"/>
        </w:trPr>
        <w:tc>
          <w:tcPr>
            <w:tcW w:w="668" w:type="dxa"/>
            <w:vAlign w:val="center"/>
            <w:hideMark/>
          </w:tcPr>
          <w:p w14:paraId="40BE90F6"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690</w:t>
            </w:r>
          </w:p>
        </w:tc>
        <w:tc>
          <w:tcPr>
            <w:tcW w:w="3835" w:type="dxa"/>
            <w:vAlign w:val="center"/>
            <w:hideMark/>
          </w:tcPr>
          <w:p w14:paraId="69CBF85E" w14:textId="71EAF187" w:rsidR="00EA38F6" w:rsidRPr="000864AE" w:rsidRDefault="0029737C" w:rsidP="000864AE">
            <w:pPr>
              <w:rPr>
                <w:rFonts w:ascii="Verdana" w:hAnsi="Verdana"/>
                <w:sz w:val="18"/>
                <w:szCs w:val="18"/>
              </w:rPr>
            </w:pPr>
            <w:r w:rsidRPr="000864AE">
              <w:rPr>
                <w:rFonts w:ascii="Verdana" w:hAnsi="Verdana"/>
                <w:sz w:val="18"/>
                <w:szCs w:val="18"/>
              </w:rPr>
              <w:t>Zaldívar Carhuapoma Jorge</w:t>
            </w:r>
          </w:p>
        </w:tc>
      </w:tr>
      <w:tr w:rsidR="00EA38F6" w:rsidRPr="000864AE" w14:paraId="6F85F0E7" w14:textId="77777777" w:rsidTr="00AC0C51">
        <w:trPr>
          <w:trHeight w:val="300"/>
        </w:trPr>
        <w:tc>
          <w:tcPr>
            <w:tcW w:w="668" w:type="dxa"/>
            <w:vAlign w:val="center"/>
            <w:hideMark/>
          </w:tcPr>
          <w:p w14:paraId="276D7023"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691</w:t>
            </w:r>
          </w:p>
        </w:tc>
        <w:tc>
          <w:tcPr>
            <w:tcW w:w="3835" w:type="dxa"/>
            <w:vAlign w:val="center"/>
            <w:hideMark/>
          </w:tcPr>
          <w:p w14:paraId="2C73BF7D" w14:textId="77777777" w:rsidR="00EA38F6" w:rsidRPr="000864AE" w:rsidRDefault="00EA38F6" w:rsidP="000864AE">
            <w:pPr>
              <w:rPr>
                <w:rFonts w:ascii="Verdana" w:hAnsi="Verdana"/>
                <w:sz w:val="18"/>
                <w:szCs w:val="18"/>
              </w:rPr>
            </w:pPr>
            <w:r w:rsidRPr="000864AE">
              <w:rPr>
                <w:rFonts w:ascii="Verdana" w:hAnsi="Verdana"/>
                <w:sz w:val="18"/>
                <w:szCs w:val="18"/>
              </w:rPr>
              <w:t>Zamora Capelli Olga Alicia</w:t>
            </w:r>
          </w:p>
        </w:tc>
      </w:tr>
      <w:tr w:rsidR="00EA38F6" w:rsidRPr="000864AE" w14:paraId="074660FC" w14:textId="77777777" w:rsidTr="00AC0C51">
        <w:trPr>
          <w:trHeight w:val="300"/>
        </w:trPr>
        <w:tc>
          <w:tcPr>
            <w:tcW w:w="668" w:type="dxa"/>
            <w:vAlign w:val="center"/>
            <w:hideMark/>
          </w:tcPr>
          <w:p w14:paraId="0077CD9A"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692</w:t>
            </w:r>
          </w:p>
        </w:tc>
        <w:tc>
          <w:tcPr>
            <w:tcW w:w="3835" w:type="dxa"/>
            <w:vAlign w:val="center"/>
            <w:hideMark/>
          </w:tcPr>
          <w:p w14:paraId="0F172DD8" w14:textId="77777777" w:rsidR="00EA38F6" w:rsidRPr="000864AE" w:rsidRDefault="00EA38F6" w:rsidP="000864AE">
            <w:pPr>
              <w:rPr>
                <w:rFonts w:ascii="Verdana" w:hAnsi="Verdana"/>
                <w:sz w:val="18"/>
                <w:szCs w:val="18"/>
              </w:rPr>
            </w:pPr>
            <w:r w:rsidRPr="000864AE">
              <w:rPr>
                <w:rFonts w:ascii="Verdana" w:hAnsi="Verdana"/>
                <w:sz w:val="18"/>
                <w:szCs w:val="18"/>
              </w:rPr>
              <w:t>Zamudio Espinoza Silvestre</w:t>
            </w:r>
          </w:p>
        </w:tc>
      </w:tr>
      <w:tr w:rsidR="00EA38F6" w:rsidRPr="000864AE" w14:paraId="64233593" w14:textId="77777777" w:rsidTr="00AC0C51">
        <w:trPr>
          <w:trHeight w:val="300"/>
        </w:trPr>
        <w:tc>
          <w:tcPr>
            <w:tcW w:w="668" w:type="dxa"/>
            <w:vAlign w:val="center"/>
            <w:hideMark/>
          </w:tcPr>
          <w:p w14:paraId="3203544A"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693</w:t>
            </w:r>
          </w:p>
        </w:tc>
        <w:tc>
          <w:tcPr>
            <w:tcW w:w="3835" w:type="dxa"/>
            <w:vAlign w:val="center"/>
            <w:hideMark/>
          </w:tcPr>
          <w:p w14:paraId="44C56792" w14:textId="77777777" w:rsidR="00EA38F6" w:rsidRPr="000864AE" w:rsidRDefault="00EA38F6" w:rsidP="000864AE">
            <w:pPr>
              <w:rPr>
                <w:rFonts w:ascii="Verdana" w:hAnsi="Verdana"/>
                <w:sz w:val="18"/>
                <w:szCs w:val="18"/>
              </w:rPr>
            </w:pPr>
            <w:r w:rsidRPr="000864AE">
              <w:rPr>
                <w:rFonts w:ascii="Verdana" w:hAnsi="Verdana"/>
                <w:sz w:val="18"/>
                <w:szCs w:val="18"/>
              </w:rPr>
              <w:t>Zamudio Rojas Nancy Aurora</w:t>
            </w:r>
          </w:p>
        </w:tc>
      </w:tr>
      <w:tr w:rsidR="00EA38F6" w:rsidRPr="000864AE" w14:paraId="2EFE986C" w14:textId="77777777" w:rsidTr="00AC0C51">
        <w:trPr>
          <w:trHeight w:val="300"/>
        </w:trPr>
        <w:tc>
          <w:tcPr>
            <w:tcW w:w="668" w:type="dxa"/>
            <w:vAlign w:val="center"/>
            <w:hideMark/>
          </w:tcPr>
          <w:p w14:paraId="35CB2F5B"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694</w:t>
            </w:r>
          </w:p>
        </w:tc>
        <w:tc>
          <w:tcPr>
            <w:tcW w:w="3835" w:type="dxa"/>
            <w:vAlign w:val="center"/>
            <w:hideMark/>
          </w:tcPr>
          <w:p w14:paraId="4EE47F90" w14:textId="77777777" w:rsidR="00EA38F6" w:rsidRPr="000864AE" w:rsidRDefault="00EA38F6" w:rsidP="000864AE">
            <w:pPr>
              <w:rPr>
                <w:rFonts w:ascii="Verdana" w:hAnsi="Verdana"/>
                <w:sz w:val="18"/>
                <w:szCs w:val="18"/>
              </w:rPr>
            </w:pPr>
            <w:r w:rsidRPr="000864AE">
              <w:rPr>
                <w:rFonts w:ascii="Verdana" w:hAnsi="Verdana"/>
                <w:sz w:val="18"/>
                <w:szCs w:val="18"/>
              </w:rPr>
              <w:t>Zapana Mamani Florencio</w:t>
            </w:r>
          </w:p>
        </w:tc>
      </w:tr>
      <w:tr w:rsidR="00EA38F6" w:rsidRPr="000864AE" w14:paraId="599BED2E" w14:textId="77777777" w:rsidTr="00AC0C51">
        <w:trPr>
          <w:trHeight w:val="300"/>
        </w:trPr>
        <w:tc>
          <w:tcPr>
            <w:tcW w:w="668" w:type="dxa"/>
            <w:vAlign w:val="center"/>
            <w:hideMark/>
          </w:tcPr>
          <w:p w14:paraId="782A2A4B"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695</w:t>
            </w:r>
          </w:p>
        </w:tc>
        <w:tc>
          <w:tcPr>
            <w:tcW w:w="3835" w:type="dxa"/>
            <w:vAlign w:val="center"/>
            <w:hideMark/>
          </w:tcPr>
          <w:p w14:paraId="04A56EE5" w14:textId="77777777" w:rsidR="00EA38F6" w:rsidRPr="000864AE" w:rsidRDefault="00EA38F6" w:rsidP="000864AE">
            <w:pPr>
              <w:rPr>
                <w:rFonts w:ascii="Verdana" w:hAnsi="Verdana"/>
                <w:sz w:val="18"/>
                <w:szCs w:val="18"/>
              </w:rPr>
            </w:pPr>
            <w:r w:rsidRPr="000864AE">
              <w:rPr>
                <w:rFonts w:ascii="Verdana" w:hAnsi="Verdana"/>
                <w:sz w:val="18"/>
                <w:szCs w:val="18"/>
              </w:rPr>
              <w:t>Zapata Diez Canseco Percy Walter</w:t>
            </w:r>
          </w:p>
        </w:tc>
      </w:tr>
      <w:tr w:rsidR="00EA38F6" w:rsidRPr="000864AE" w14:paraId="3F575471" w14:textId="77777777" w:rsidTr="00AC0C51">
        <w:trPr>
          <w:trHeight w:val="300"/>
        </w:trPr>
        <w:tc>
          <w:tcPr>
            <w:tcW w:w="668" w:type="dxa"/>
            <w:vAlign w:val="center"/>
            <w:hideMark/>
          </w:tcPr>
          <w:p w14:paraId="4DE6DB12"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696</w:t>
            </w:r>
          </w:p>
        </w:tc>
        <w:tc>
          <w:tcPr>
            <w:tcW w:w="3835" w:type="dxa"/>
            <w:vAlign w:val="center"/>
            <w:hideMark/>
          </w:tcPr>
          <w:p w14:paraId="2C6F27D1" w14:textId="77777777" w:rsidR="00EA38F6" w:rsidRPr="000864AE" w:rsidRDefault="00EA38F6" w:rsidP="000864AE">
            <w:pPr>
              <w:rPr>
                <w:rFonts w:ascii="Verdana" w:hAnsi="Verdana"/>
                <w:sz w:val="18"/>
                <w:szCs w:val="18"/>
              </w:rPr>
            </w:pPr>
            <w:r w:rsidRPr="000864AE">
              <w:rPr>
                <w:rFonts w:ascii="Verdana" w:hAnsi="Verdana"/>
                <w:sz w:val="18"/>
                <w:szCs w:val="18"/>
              </w:rPr>
              <w:t>Zavala Vela Gladys Emilia</w:t>
            </w:r>
          </w:p>
        </w:tc>
      </w:tr>
      <w:tr w:rsidR="00EA38F6" w:rsidRPr="000864AE" w14:paraId="1BF95725" w14:textId="77777777" w:rsidTr="00AC0C51">
        <w:trPr>
          <w:trHeight w:val="300"/>
        </w:trPr>
        <w:tc>
          <w:tcPr>
            <w:tcW w:w="668" w:type="dxa"/>
            <w:vAlign w:val="center"/>
            <w:hideMark/>
          </w:tcPr>
          <w:p w14:paraId="144F52E3"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697</w:t>
            </w:r>
          </w:p>
        </w:tc>
        <w:tc>
          <w:tcPr>
            <w:tcW w:w="3835" w:type="dxa"/>
            <w:vAlign w:val="center"/>
            <w:hideMark/>
          </w:tcPr>
          <w:p w14:paraId="422B8E27" w14:textId="77777777" w:rsidR="00EA38F6" w:rsidRPr="000864AE" w:rsidRDefault="00EA38F6" w:rsidP="000864AE">
            <w:pPr>
              <w:rPr>
                <w:rFonts w:ascii="Verdana" w:hAnsi="Verdana"/>
                <w:sz w:val="18"/>
                <w:szCs w:val="18"/>
              </w:rPr>
            </w:pPr>
            <w:r w:rsidRPr="000864AE">
              <w:rPr>
                <w:rFonts w:ascii="Verdana" w:hAnsi="Verdana"/>
                <w:sz w:val="18"/>
                <w:szCs w:val="18"/>
              </w:rPr>
              <w:t>Zavaleta Remy Rosa María Del Pilar</w:t>
            </w:r>
          </w:p>
        </w:tc>
      </w:tr>
      <w:tr w:rsidR="00EA38F6" w:rsidRPr="000864AE" w14:paraId="2E2A7C99" w14:textId="77777777" w:rsidTr="00AC0C51">
        <w:trPr>
          <w:trHeight w:val="300"/>
        </w:trPr>
        <w:tc>
          <w:tcPr>
            <w:tcW w:w="668" w:type="dxa"/>
            <w:vAlign w:val="center"/>
            <w:hideMark/>
          </w:tcPr>
          <w:p w14:paraId="4790EC46"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698</w:t>
            </w:r>
          </w:p>
        </w:tc>
        <w:tc>
          <w:tcPr>
            <w:tcW w:w="3835" w:type="dxa"/>
            <w:vAlign w:val="center"/>
            <w:hideMark/>
          </w:tcPr>
          <w:p w14:paraId="1DC51E5C" w14:textId="77777777" w:rsidR="00EA38F6" w:rsidRPr="000864AE" w:rsidRDefault="00EA38F6" w:rsidP="000864AE">
            <w:pPr>
              <w:rPr>
                <w:rFonts w:ascii="Verdana" w:hAnsi="Verdana"/>
                <w:sz w:val="18"/>
                <w:szCs w:val="18"/>
              </w:rPr>
            </w:pPr>
            <w:r w:rsidRPr="000864AE">
              <w:rPr>
                <w:rFonts w:ascii="Verdana" w:hAnsi="Verdana"/>
                <w:sz w:val="18"/>
                <w:szCs w:val="18"/>
              </w:rPr>
              <w:t>Zavalla Contreras Julio Víctor</w:t>
            </w:r>
          </w:p>
        </w:tc>
      </w:tr>
      <w:tr w:rsidR="00EA38F6" w:rsidRPr="000864AE" w14:paraId="11164FA5" w14:textId="77777777" w:rsidTr="00AC0C51">
        <w:trPr>
          <w:trHeight w:val="300"/>
        </w:trPr>
        <w:tc>
          <w:tcPr>
            <w:tcW w:w="668" w:type="dxa"/>
            <w:vAlign w:val="center"/>
            <w:hideMark/>
          </w:tcPr>
          <w:p w14:paraId="2EFAD6DE"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699</w:t>
            </w:r>
          </w:p>
        </w:tc>
        <w:tc>
          <w:tcPr>
            <w:tcW w:w="3835" w:type="dxa"/>
            <w:vAlign w:val="center"/>
            <w:hideMark/>
          </w:tcPr>
          <w:p w14:paraId="6811E1F5" w14:textId="77777777" w:rsidR="00EA38F6" w:rsidRPr="000864AE" w:rsidRDefault="00EA38F6" w:rsidP="000864AE">
            <w:pPr>
              <w:rPr>
                <w:rFonts w:ascii="Verdana" w:hAnsi="Verdana"/>
                <w:sz w:val="18"/>
                <w:szCs w:val="18"/>
              </w:rPr>
            </w:pPr>
            <w:r w:rsidRPr="000864AE">
              <w:rPr>
                <w:rFonts w:ascii="Verdana" w:hAnsi="Verdana"/>
                <w:sz w:val="18"/>
                <w:szCs w:val="18"/>
              </w:rPr>
              <w:t>Zegarra Matos Mario Antonio</w:t>
            </w:r>
          </w:p>
        </w:tc>
      </w:tr>
      <w:tr w:rsidR="00EA38F6" w:rsidRPr="000864AE" w14:paraId="309D05B0" w14:textId="77777777" w:rsidTr="00AC0C51">
        <w:trPr>
          <w:trHeight w:val="300"/>
        </w:trPr>
        <w:tc>
          <w:tcPr>
            <w:tcW w:w="668" w:type="dxa"/>
            <w:vAlign w:val="center"/>
            <w:hideMark/>
          </w:tcPr>
          <w:p w14:paraId="1FFA260A"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700</w:t>
            </w:r>
          </w:p>
        </w:tc>
        <w:tc>
          <w:tcPr>
            <w:tcW w:w="3835" w:type="dxa"/>
            <w:vAlign w:val="center"/>
            <w:hideMark/>
          </w:tcPr>
          <w:p w14:paraId="5A9210D8" w14:textId="77777777" w:rsidR="00EA38F6" w:rsidRPr="000864AE" w:rsidRDefault="00EA38F6" w:rsidP="000864AE">
            <w:pPr>
              <w:rPr>
                <w:rFonts w:ascii="Verdana" w:hAnsi="Verdana"/>
                <w:sz w:val="18"/>
                <w:szCs w:val="18"/>
              </w:rPr>
            </w:pPr>
            <w:r w:rsidRPr="000864AE">
              <w:rPr>
                <w:rFonts w:ascii="Verdana" w:hAnsi="Verdana"/>
                <w:sz w:val="18"/>
                <w:szCs w:val="18"/>
              </w:rPr>
              <w:t>Zevallos Huamaní Claudio</w:t>
            </w:r>
          </w:p>
        </w:tc>
      </w:tr>
      <w:tr w:rsidR="00EA38F6" w:rsidRPr="000864AE" w14:paraId="116A260D" w14:textId="77777777" w:rsidTr="00AC0C51">
        <w:trPr>
          <w:trHeight w:val="300"/>
        </w:trPr>
        <w:tc>
          <w:tcPr>
            <w:tcW w:w="668" w:type="dxa"/>
            <w:vAlign w:val="center"/>
            <w:hideMark/>
          </w:tcPr>
          <w:p w14:paraId="12EFF4E7"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701</w:t>
            </w:r>
          </w:p>
        </w:tc>
        <w:tc>
          <w:tcPr>
            <w:tcW w:w="3835" w:type="dxa"/>
            <w:vAlign w:val="center"/>
            <w:hideMark/>
          </w:tcPr>
          <w:p w14:paraId="1A92EBBB" w14:textId="77777777" w:rsidR="00EA38F6" w:rsidRPr="000864AE" w:rsidRDefault="00EA38F6" w:rsidP="000864AE">
            <w:pPr>
              <w:rPr>
                <w:rFonts w:ascii="Verdana" w:hAnsi="Verdana"/>
                <w:sz w:val="18"/>
                <w:szCs w:val="18"/>
              </w:rPr>
            </w:pPr>
            <w:r w:rsidRPr="000864AE">
              <w:rPr>
                <w:rFonts w:ascii="Verdana" w:hAnsi="Verdana"/>
                <w:sz w:val="18"/>
                <w:szCs w:val="18"/>
              </w:rPr>
              <w:t>Zumaeta Reátegui Clara Melita</w:t>
            </w:r>
          </w:p>
        </w:tc>
      </w:tr>
      <w:tr w:rsidR="00EA38F6" w:rsidRPr="000864AE" w14:paraId="731DC28D" w14:textId="77777777" w:rsidTr="00AC0C51">
        <w:trPr>
          <w:trHeight w:val="300"/>
        </w:trPr>
        <w:tc>
          <w:tcPr>
            <w:tcW w:w="668" w:type="dxa"/>
            <w:vAlign w:val="center"/>
            <w:hideMark/>
          </w:tcPr>
          <w:p w14:paraId="30426E48"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702</w:t>
            </w:r>
          </w:p>
        </w:tc>
        <w:tc>
          <w:tcPr>
            <w:tcW w:w="3835" w:type="dxa"/>
            <w:vAlign w:val="center"/>
            <w:hideMark/>
          </w:tcPr>
          <w:p w14:paraId="7F8D846A" w14:textId="77777777" w:rsidR="00EA38F6" w:rsidRPr="000864AE" w:rsidRDefault="00EA38F6" w:rsidP="000864AE">
            <w:pPr>
              <w:rPr>
                <w:rFonts w:ascii="Verdana" w:hAnsi="Verdana"/>
                <w:sz w:val="18"/>
                <w:szCs w:val="18"/>
              </w:rPr>
            </w:pPr>
            <w:r w:rsidRPr="000864AE">
              <w:rPr>
                <w:rFonts w:ascii="Verdana" w:hAnsi="Verdana"/>
                <w:sz w:val="18"/>
                <w:szCs w:val="18"/>
              </w:rPr>
              <w:t>Zúñiga Montes Julio Evaristo</w:t>
            </w:r>
          </w:p>
        </w:tc>
      </w:tr>
      <w:tr w:rsidR="00EA38F6" w:rsidRPr="000864AE" w14:paraId="4AE20A43" w14:textId="77777777" w:rsidTr="00AC0C51">
        <w:trPr>
          <w:trHeight w:val="300"/>
        </w:trPr>
        <w:tc>
          <w:tcPr>
            <w:tcW w:w="668" w:type="dxa"/>
            <w:vAlign w:val="center"/>
            <w:hideMark/>
          </w:tcPr>
          <w:p w14:paraId="57BD98BA"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703</w:t>
            </w:r>
          </w:p>
        </w:tc>
        <w:tc>
          <w:tcPr>
            <w:tcW w:w="3835" w:type="dxa"/>
            <w:vAlign w:val="center"/>
            <w:hideMark/>
          </w:tcPr>
          <w:p w14:paraId="1F98FB01" w14:textId="77777777" w:rsidR="00EA38F6" w:rsidRPr="000864AE" w:rsidRDefault="00EA38F6" w:rsidP="000864AE">
            <w:pPr>
              <w:rPr>
                <w:rFonts w:ascii="Verdana" w:hAnsi="Verdana"/>
                <w:sz w:val="18"/>
                <w:szCs w:val="18"/>
              </w:rPr>
            </w:pPr>
            <w:r w:rsidRPr="000864AE">
              <w:rPr>
                <w:rFonts w:ascii="Verdana" w:hAnsi="Verdana"/>
                <w:sz w:val="18"/>
                <w:szCs w:val="18"/>
              </w:rPr>
              <w:t>Zúñiga Stranguich Hilda</w:t>
            </w:r>
          </w:p>
        </w:tc>
      </w:tr>
      <w:tr w:rsidR="00EA38F6" w:rsidRPr="000864AE" w14:paraId="7F5E53A6" w14:textId="77777777" w:rsidTr="00AC0C51">
        <w:trPr>
          <w:trHeight w:val="300"/>
        </w:trPr>
        <w:tc>
          <w:tcPr>
            <w:tcW w:w="668" w:type="dxa"/>
            <w:vAlign w:val="center"/>
            <w:hideMark/>
          </w:tcPr>
          <w:p w14:paraId="5CB08F52" w14:textId="77777777" w:rsidR="00EA38F6" w:rsidRPr="000864AE" w:rsidRDefault="00EA38F6" w:rsidP="000864AE">
            <w:pPr>
              <w:jc w:val="right"/>
              <w:rPr>
                <w:rFonts w:ascii="Verdana" w:hAnsi="Verdana"/>
                <w:b/>
                <w:bCs/>
                <w:sz w:val="18"/>
                <w:szCs w:val="18"/>
              </w:rPr>
            </w:pPr>
            <w:r w:rsidRPr="000864AE">
              <w:rPr>
                <w:rFonts w:ascii="Verdana" w:hAnsi="Verdana"/>
                <w:b/>
                <w:bCs/>
                <w:sz w:val="18"/>
                <w:szCs w:val="18"/>
              </w:rPr>
              <w:t>704</w:t>
            </w:r>
          </w:p>
        </w:tc>
        <w:tc>
          <w:tcPr>
            <w:tcW w:w="3835" w:type="dxa"/>
            <w:vAlign w:val="center"/>
            <w:hideMark/>
          </w:tcPr>
          <w:p w14:paraId="7C77149A" w14:textId="77777777" w:rsidR="00EA38F6" w:rsidRPr="000864AE" w:rsidRDefault="00EA38F6" w:rsidP="000864AE">
            <w:pPr>
              <w:rPr>
                <w:rFonts w:ascii="Verdana" w:hAnsi="Verdana"/>
                <w:sz w:val="18"/>
                <w:szCs w:val="18"/>
              </w:rPr>
            </w:pPr>
            <w:r w:rsidRPr="000864AE">
              <w:rPr>
                <w:rFonts w:ascii="Verdana" w:hAnsi="Verdana"/>
                <w:sz w:val="18"/>
                <w:szCs w:val="18"/>
              </w:rPr>
              <w:t>Zúñiga Vásquez Mariano Claudio</w:t>
            </w:r>
          </w:p>
        </w:tc>
      </w:tr>
    </w:tbl>
    <w:p w14:paraId="5467203E" w14:textId="77777777" w:rsidR="00EA38F6" w:rsidRPr="000864AE" w:rsidRDefault="00EA38F6" w:rsidP="000864AE">
      <w:pPr>
        <w:rPr>
          <w:rFonts w:ascii="Verdana" w:hAnsi="Verdana"/>
        </w:rPr>
        <w:sectPr w:rsidR="00EA38F6" w:rsidRPr="000864AE" w:rsidSect="00EA38F6">
          <w:type w:val="continuous"/>
          <w:pgSz w:w="12240" w:h="15840"/>
          <w:pgMar w:top="1247" w:right="1191" w:bottom="1191" w:left="1247" w:header="720" w:footer="720" w:gutter="0"/>
          <w:lnNumType w:countBy="1"/>
          <w:cols w:num="2" w:space="720"/>
          <w:titlePg/>
          <w:docGrid w:linePitch="360"/>
        </w:sectPr>
      </w:pPr>
    </w:p>
    <w:p w14:paraId="60BC034F" w14:textId="11E973AD" w:rsidR="00EA38F6" w:rsidRPr="000864AE" w:rsidRDefault="00EA38F6" w:rsidP="000864AE">
      <w:pPr>
        <w:rPr>
          <w:rFonts w:ascii="Verdana" w:hAnsi="Verdana"/>
        </w:rPr>
      </w:pPr>
      <w:r w:rsidRPr="000864AE">
        <w:rPr>
          <w:rFonts w:ascii="Verdana" w:hAnsi="Verdana"/>
        </w:rPr>
        <w:br w:type="page"/>
      </w:r>
    </w:p>
    <w:p w14:paraId="145A3C39" w14:textId="2C8F791A" w:rsidR="00AC0C51" w:rsidRPr="000864AE" w:rsidRDefault="00062D8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Arial"/>
          <w:noProof/>
          <w:color w:val="000000"/>
          <w:sz w:val="18"/>
          <w:szCs w:val="18"/>
          <w:lang w:val="es-ES_tradnl" w:eastAsia="es-ES_tradnl"/>
        </w:rPr>
        <mc:AlternateContent>
          <mc:Choice Requires="wps">
            <w:drawing>
              <wp:anchor distT="0" distB="0" distL="114300" distR="114300" simplePos="0" relativeHeight="251658752" behindDoc="0" locked="0" layoutInCell="1" allowOverlap="1" wp14:anchorId="7839CEC6" wp14:editId="4EDDE29A">
                <wp:simplePos x="0" y="0"/>
                <wp:positionH relativeFrom="column">
                  <wp:posOffset>-6350</wp:posOffset>
                </wp:positionH>
                <wp:positionV relativeFrom="paragraph">
                  <wp:posOffset>5734</wp:posOffset>
                </wp:positionV>
                <wp:extent cx="6366680" cy="641445"/>
                <wp:effectExtent l="0" t="0" r="1524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6680" cy="641445"/>
                        </a:xfrm>
                        <a:prstGeom prst="rect">
                          <a:avLst/>
                        </a:prstGeom>
                        <a:solidFill>
                          <a:srgbClr val="FFFFFF"/>
                        </a:solidFill>
                        <a:ln w="9525">
                          <a:solidFill>
                            <a:schemeClr val="bg1"/>
                          </a:solidFill>
                          <a:miter lim="800000"/>
                          <a:headEnd/>
                          <a:tailEnd/>
                        </a:ln>
                      </wps:spPr>
                      <wps:txbx>
                        <w:txbxContent>
                          <w:tbl>
                            <w:tblPr>
                              <w:tblStyle w:val="Tablaconcuadrcula"/>
                              <w:tblW w:w="9747" w:type="dxa"/>
                              <w:tblLook w:val="04A0" w:firstRow="1" w:lastRow="0" w:firstColumn="1" w:lastColumn="0" w:noHBand="0" w:noVBand="1"/>
                            </w:tblPr>
                            <w:tblGrid>
                              <w:gridCol w:w="9747"/>
                            </w:tblGrid>
                            <w:tr w:rsidR="005A5D3C" w14:paraId="2246A4D3" w14:textId="77777777" w:rsidTr="00062D88">
                              <w:trPr>
                                <w:trHeight w:val="716"/>
                              </w:trPr>
                              <w:tc>
                                <w:tcPr>
                                  <w:tcW w:w="9747" w:type="dxa"/>
                                  <w:vAlign w:val="center"/>
                                </w:tcPr>
                                <w:p w14:paraId="6BD69608" w14:textId="77777777" w:rsidR="005A5D3C" w:rsidRPr="00AD25A3" w:rsidRDefault="005A5D3C" w:rsidP="00AD25A3">
                                  <w:pPr>
                                    <w:pStyle w:val="Ttulo1"/>
                                    <w:outlineLvl w:val="0"/>
                                  </w:pPr>
                                  <w:bookmarkStart w:id="118" w:name="_Toc27329802"/>
                                  <w:r w:rsidRPr="00AD25A3">
                                    <w:t>ANEXO 2. LISTADO DE VÍCTIMAS DEL CASO</w:t>
                                  </w:r>
                                  <w:bookmarkEnd w:id="118"/>
                                </w:p>
                              </w:tc>
                            </w:tr>
                          </w:tbl>
                          <w:p w14:paraId="0B2DE622" w14:textId="77777777" w:rsidR="005A5D3C" w:rsidRPr="00705B85" w:rsidRDefault="005A5D3C" w:rsidP="00AC0C51"/>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39CEC6" id="_x0000_s1027" type="#_x0000_t202" style="position:absolute;left:0;text-align:left;margin-left:-.5pt;margin-top:.45pt;width:501.3pt;height: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" strokecolor="white [3212]">
                <v:textbox>
                  <w:txbxContent>
                    <w:tbl>
                      <w:tblPr>
                        <w:tblStyle w:val="Tablaconcuadrcula"/>
                        <w:tblW w:w="9747" w:type="dxa"/>
                        <w:tblLook w:val="04A0" w:firstRow="1" w:lastRow="0" w:firstColumn="1" w:lastColumn="0" w:noHBand="0" w:noVBand="1"/>
                      </w:tblPr>
                      <w:tblGrid>
                        <w:gridCol w:w="9747"/>
                      </w:tblGrid>
                      <w:tr w:rsidR="005A5D3C" w14:paraId="2246A4D3" w14:textId="77777777" w:rsidTr="00062D88">
                        <w:trPr>
                          <w:trHeight w:val="716"/>
                        </w:trPr>
                        <w:tc>
                          <w:tcPr>
                            <w:tcW w:w="9747" w:type="dxa"/>
                            <w:vAlign w:val="center"/>
                          </w:tcPr>
                          <w:p w14:paraId="6BD69608" w14:textId="77777777" w:rsidR="005A5D3C" w:rsidRPr="00AD25A3" w:rsidRDefault="005A5D3C" w:rsidP="00AD25A3">
                            <w:pPr>
                              <w:pStyle w:val="Ttulo1"/>
                              <w:outlineLvl w:val="0"/>
                            </w:pPr>
                            <w:bookmarkStart w:id="119" w:name="_Toc27329802"/>
                            <w:r w:rsidRPr="00AD25A3">
                              <w:t>ANEXO 2. LISTADO DE VÍCTIMAS DEL CASO</w:t>
                            </w:r>
                            <w:bookmarkEnd w:id="119"/>
                          </w:p>
                        </w:tc>
                      </w:tr>
                    </w:tbl>
                    <w:p w14:paraId="0B2DE622" w14:textId="77777777" w:rsidR="005A5D3C" w:rsidRPr="00705B85" w:rsidRDefault="005A5D3C" w:rsidP="00AC0C51"/>
                  </w:txbxContent>
                </v:textbox>
              </v:shape>
            </w:pict>
          </mc:Fallback>
        </mc:AlternateContent>
      </w:r>
    </w:p>
    <w:p w14:paraId="22A79286" w14:textId="77777777" w:rsidR="00AC0C51" w:rsidRPr="000864AE" w:rsidRDefault="00AC0C51" w:rsidP="000864AE">
      <w:pPr>
        <w:spacing w:after="0" w:line="240" w:lineRule="auto"/>
        <w:jc w:val="center"/>
        <w:rPr>
          <w:rFonts w:ascii="Verdana" w:eastAsia="Times New Roman" w:hAnsi="Verdana" w:cs="Times New Roman"/>
          <w:b/>
          <w:color w:val="000000"/>
          <w:sz w:val="18"/>
          <w:szCs w:val="18"/>
          <w:lang w:eastAsia="es-MX"/>
        </w:rPr>
      </w:pPr>
    </w:p>
    <w:p w14:paraId="3FC066E0" w14:textId="77777777" w:rsidR="00AC0C51" w:rsidRPr="000864AE" w:rsidRDefault="00AC0C51" w:rsidP="000864AE">
      <w:pPr>
        <w:spacing w:after="0" w:line="240" w:lineRule="auto"/>
        <w:jc w:val="center"/>
        <w:rPr>
          <w:rFonts w:ascii="Verdana" w:eastAsia="Times New Roman" w:hAnsi="Verdana" w:cs="Times New Roman"/>
          <w:b/>
          <w:color w:val="000000"/>
          <w:sz w:val="18"/>
          <w:szCs w:val="18"/>
          <w:lang w:eastAsia="es-MX"/>
        </w:rPr>
      </w:pPr>
    </w:p>
    <w:p w14:paraId="6DE79A71" w14:textId="77777777" w:rsidR="00AC0C51" w:rsidRPr="000864AE" w:rsidRDefault="00AC0C51" w:rsidP="000864AE">
      <w:pPr>
        <w:spacing w:after="0" w:line="240" w:lineRule="auto"/>
        <w:jc w:val="center"/>
        <w:rPr>
          <w:rFonts w:ascii="Verdana" w:eastAsia="Times New Roman" w:hAnsi="Verdana" w:cs="Times New Roman"/>
          <w:b/>
          <w:color w:val="000000"/>
          <w:sz w:val="18"/>
          <w:szCs w:val="18"/>
          <w:lang w:eastAsia="es-MX"/>
        </w:rPr>
      </w:pPr>
    </w:p>
    <w:p w14:paraId="77E316CA" w14:textId="77777777" w:rsidR="00AC0C51" w:rsidRPr="000864AE" w:rsidRDefault="00AC0C51" w:rsidP="000864AE">
      <w:pPr>
        <w:spacing w:after="0" w:line="240" w:lineRule="auto"/>
        <w:jc w:val="center"/>
        <w:rPr>
          <w:rFonts w:ascii="Verdana" w:eastAsia="Times New Roman" w:hAnsi="Verdana" w:cs="Times New Roman"/>
          <w:b/>
          <w:color w:val="000000"/>
          <w:sz w:val="18"/>
          <w:szCs w:val="18"/>
          <w:lang w:eastAsia="es-MX"/>
        </w:rPr>
      </w:pPr>
    </w:p>
    <w:p w14:paraId="6DB5063B" w14:textId="77777777" w:rsidR="00AC0C51" w:rsidRPr="000864AE" w:rsidRDefault="00AC0C51" w:rsidP="000864AE">
      <w:pPr>
        <w:spacing w:after="0" w:line="240" w:lineRule="auto"/>
        <w:jc w:val="center"/>
        <w:rPr>
          <w:rFonts w:ascii="Verdana" w:eastAsia="Times New Roman" w:hAnsi="Verdana" w:cs="Times New Roman"/>
          <w:b/>
          <w:color w:val="000000"/>
          <w:sz w:val="18"/>
          <w:szCs w:val="18"/>
          <w:lang w:eastAsia="es-MX"/>
        </w:rPr>
        <w:sectPr w:rsidR="00AC0C51" w:rsidRPr="000864AE" w:rsidSect="003B1CB4">
          <w:type w:val="continuous"/>
          <w:pgSz w:w="12240" w:h="15840"/>
          <w:pgMar w:top="1247" w:right="1191" w:bottom="1191" w:left="1247" w:header="720" w:footer="720" w:gutter="0"/>
          <w:cols w:space="720"/>
          <w:titlePg/>
          <w:docGrid w:linePitch="360"/>
        </w:sectPr>
      </w:pPr>
    </w:p>
    <w:tbl>
      <w:tblPr>
        <w:tblW w:w="455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3969"/>
      </w:tblGrid>
      <w:tr w:rsidR="007B74B8" w:rsidRPr="000864AE" w14:paraId="619CF55B"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3665C"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ACF3C"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Acuña Gayoso Víctor Guillermo</w:t>
            </w:r>
          </w:p>
        </w:tc>
      </w:tr>
      <w:tr w:rsidR="007B74B8" w:rsidRPr="000864AE" w14:paraId="2E3DCF33"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D859D"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BC4E8"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Adrianzén Palacios Carlos Augusto</w:t>
            </w:r>
          </w:p>
        </w:tc>
      </w:tr>
      <w:tr w:rsidR="007B74B8" w:rsidRPr="000864AE" w14:paraId="2C77564D"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2A5FB"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6487A"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Agüero Fitzgerald Estefania Dalmira</w:t>
            </w:r>
          </w:p>
        </w:tc>
      </w:tr>
      <w:tr w:rsidR="007B74B8" w:rsidRPr="000864AE" w14:paraId="08877754"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6839D"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40E5A"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Agüero Granados Peter Manuel</w:t>
            </w:r>
          </w:p>
        </w:tc>
      </w:tr>
      <w:tr w:rsidR="007B74B8" w:rsidRPr="000864AE" w14:paraId="09757F7A"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982D1"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C79B2"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Aguilar Nole Manuel Erasmo</w:t>
            </w:r>
          </w:p>
        </w:tc>
      </w:tr>
      <w:tr w:rsidR="007B74B8" w:rsidRPr="000864AE" w14:paraId="54150804"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82EAD"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3AE5C"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Aguilar Ocampo Nilda Consuelo</w:t>
            </w:r>
          </w:p>
        </w:tc>
      </w:tr>
      <w:tr w:rsidR="007B74B8" w:rsidRPr="000864AE" w14:paraId="72D4BA53"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16063"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B951F"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Aguilar Torres Nora</w:t>
            </w:r>
          </w:p>
        </w:tc>
      </w:tr>
      <w:tr w:rsidR="007B74B8" w:rsidRPr="000864AE" w14:paraId="4F759CD6"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CE9ED"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718F7"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Aguirre Utos Francisco</w:t>
            </w:r>
          </w:p>
        </w:tc>
      </w:tr>
      <w:tr w:rsidR="007B74B8" w:rsidRPr="000864AE" w14:paraId="1F939B46"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EA72A"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32FE5E7"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Ajalcriña Cortez Herbig Victor</w:t>
            </w:r>
          </w:p>
        </w:tc>
      </w:tr>
      <w:tr w:rsidR="007B74B8" w:rsidRPr="000864AE" w14:paraId="2E24B2F8"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8836C"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6D2E0" w14:textId="77777777" w:rsidR="007B74B8" w:rsidRPr="000864AE" w:rsidRDefault="007B74B8" w:rsidP="000864AE">
            <w:pPr>
              <w:spacing w:after="0" w:line="240" w:lineRule="auto"/>
              <w:rPr>
                <w:rFonts w:ascii="Verdana" w:eastAsia="Times New Roman" w:hAnsi="Verdana" w:cs="Times New Roman"/>
                <w:color w:val="000000"/>
                <w:sz w:val="18"/>
                <w:szCs w:val="18"/>
                <w:lang w:eastAsia="es-MX"/>
              </w:rPr>
            </w:pPr>
            <w:r w:rsidRPr="000864AE">
              <w:rPr>
                <w:rFonts w:ascii="Verdana" w:eastAsia="Times New Roman" w:hAnsi="Verdana" w:cs="Times New Roman"/>
                <w:color w:val="000000"/>
                <w:sz w:val="18"/>
                <w:szCs w:val="18"/>
                <w:lang w:eastAsia="es-MX"/>
              </w:rPr>
              <w:t>Alarcón Urquizo Primitiva Bertha</w:t>
            </w:r>
          </w:p>
        </w:tc>
      </w:tr>
      <w:tr w:rsidR="007B74B8" w:rsidRPr="000864AE" w14:paraId="77DB5797"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29488"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90757"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Alegre Sánchez Moisés</w:t>
            </w:r>
          </w:p>
        </w:tc>
      </w:tr>
      <w:tr w:rsidR="007B74B8" w:rsidRPr="000864AE" w14:paraId="0DCCC5DB"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C2488"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245CE"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Alejos Torres Niceforo</w:t>
            </w:r>
          </w:p>
        </w:tc>
      </w:tr>
      <w:tr w:rsidR="007B74B8" w:rsidRPr="000864AE" w14:paraId="461F59A3"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F2A1E"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F8648"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Aliaga Ambukka Aurelio</w:t>
            </w:r>
          </w:p>
        </w:tc>
      </w:tr>
      <w:tr w:rsidR="007B74B8" w:rsidRPr="000864AE" w14:paraId="066E0244"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EA81E"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461F0"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Alonso Clemente Bertha</w:t>
            </w:r>
          </w:p>
        </w:tc>
      </w:tr>
      <w:tr w:rsidR="007B74B8" w:rsidRPr="000864AE" w14:paraId="4F40C9E7"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9A885"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2CA8A"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Altuna Paredes Adrián Eginhardo</w:t>
            </w:r>
          </w:p>
        </w:tc>
      </w:tr>
      <w:tr w:rsidR="007B74B8" w:rsidRPr="000864AE" w14:paraId="19E13EAF"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E7E7C"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70D2D"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Alva Valderrama Alejandrina</w:t>
            </w:r>
          </w:p>
        </w:tc>
      </w:tr>
      <w:tr w:rsidR="007B74B8" w:rsidRPr="000864AE" w14:paraId="5AEFEF9A"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E700D"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D9092"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Álvarez Gonzáles Darma Maximina</w:t>
            </w:r>
          </w:p>
        </w:tc>
      </w:tr>
      <w:tr w:rsidR="007B74B8" w:rsidRPr="000864AE" w14:paraId="784E302F"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7DA7C"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5A456"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Álvarez Ramírez Glicerio</w:t>
            </w:r>
          </w:p>
        </w:tc>
      </w:tr>
      <w:tr w:rsidR="007B74B8" w:rsidRPr="000864AE" w14:paraId="07818FDF"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B7D13"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A216F"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Alzamora Mendoza Martha Soledad</w:t>
            </w:r>
          </w:p>
        </w:tc>
      </w:tr>
      <w:tr w:rsidR="007B74B8" w:rsidRPr="000864AE" w14:paraId="5F4E56DB"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90ABF"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E05BA"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Alzamora Soto Julia Mercedes</w:t>
            </w:r>
          </w:p>
        </w:tc>
      </w:tr>
      <w:tr w:rsidR="007B74B8" w:rsidRPr="000864AE" w14:paraId="324B6C26"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708CB"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9298B" w14:textId="77777777" w:rsidR="007B74B8" w:rsidRPr="000864AE" w:rsidRDefault="007B74B8" w:rsidP="000864AE">
            <w:pPr>
              <w:spacing w:after="0" w:line="240" w:lineRule="auto"/>
              <w:rPr>
                <w:rFonts w:ascii="Verdana" w:eastAsia="Times New Roman" w:hAnsi="Verdana" w:cs="Times New Roman"/>
                <w:color w:val="000000"/>
                <w:sz w:val="18"/>
                <w:szCs w:val="18"/>
                <w:lang w:eastAsia="es-MX"/>
              </w:rPr>
            </w:pPr>
            <w:r w:rsidRPr="000864AE">
              <w:rPr>
                <w:rFonts w:ascii="Verdana" w:eastAsia="Times New Roman" w:hAnsi="Verdana" w:cs="Times New Roman"/>
                <w:color w:val="000000"/>
                <w:sz w:val="18"/>
                <w:szCs w:val="18"/>
                <w:lang w:eastAsia="es-MX"/>
              </w:rPr>
              <w:t>Amado Tarazona Jesús Wilde</w:t>
            </w:r>
          </w:p>
        </w:tc>
      </w:tr>
      <w:tr w:rsidR="007B74B8" w:rsidRPr="000864AE" w14:paraId="17BC723C"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0BF8E"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16494"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Antúnez Solís Eduardo Manuel</w:t>
            </w:r>
          </w:p>
        </w:tc>
      </w:tr>
      <w:tr w:rsidR="007B74B8" w:rsidRPr="000864AE" w14:paraId="0B7A24C2"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73400"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2B36C"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Antúnez Solís Eva Isabel</w:t>
            </w:r>
          </w:p>
        </w:tc>
      </w:tr>
      <w:tr w:rsidR="007B74B8" w:rsidRPr="000864AE" w14:paraId="0C5445D4"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0D6F4"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7A33C7D"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Antúnez Solís Teófilo Miguel</w:t>
            </w:r>
          </w:p>
        </w:tc>
      </w:tr>
      <w:tr w:rsidR="007B74B8" w:rsidRPr="000864AE" w14:paraId="707277A3"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79542"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5C423"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Aquino Landa Gerónimo Víctor</w:t>
            </w:r>
          </w:p>
        </w:tc>
      </w:tr>
      <w:tr w:rsidR="007B74B8" w:rsidRPr="000864AE" w14:paraId="5A3982B1"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48B0B"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71551"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Arámbulo Castillo Carlos Enrique</w:t>
            </w:r>
          </w:p>
        </w:tc>
      </w:tr>
      <w:tr w:rsidR="007B74B8" w:rsidRPr="000864AE" w14:paraId="014B2864"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797F7"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DCC81"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Arana Arenas Elsa Betty</w:t>
            </w:r>
          </w:p>
        </w:tc>
      </w:tr>
      <w:tr w:rsidR="007B74B8" w:rsidRPr="000864AE" w14:paraId="4AD6DFB6"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9284B"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BA647"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Arana Flores Pablo Eleazar</w:t>
            </w:r>
          </w:p>
        </w:tc>
      </w:tr>
      <w:tr w:rsidR="007B74B8" w:rsidRPr="000864AE" w14:paraId="7DDFBC1A"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134DE"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5E3C5"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Arana Solsol José Cecilio</w:t>
            </w:r>
          </w:p>
        </w:tc>
      </w:tr>
      <w:tr w:rsidR="007B74B8" w:rsidRPr="000864AE" w14:paraId="3D269455"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032DA"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30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B7CFC"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Arancibia Quintanilla Juan Andrés</w:t>
            </w:r>
          </w:p>
        </w:tc>
      </w:tr>
      <w:tr w:rsidR="007B74B8" w:rsidRPr="000864AE" w14:paraId="5E18D98E"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550FB"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31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06754"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Araujo De La Cuba María Mercedes</w:t>
            </w:r>
          </w:p>
        </w:tc>
      </w:tr>
      <w:tr w:rsidR="007B74B8" w:rsidRPr="000864AE" w14:paraId="58E21796"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F06D5"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32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608F3"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Arenas Arce Luis Enrique</w:t>
            </w:r>
          </w:p>
        </w:tc>
      </w:tr>
      <w:tr w:rsidR="007B74B8" w:rsidRPr="000864AE" w14:paraId="021BB0B5"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FB001"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33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3000064"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Arenas Medina Luz Esperanza</w:t>
            </w:r>
          </w:p>
        </w:tc>
      </w:tr>
      <w:tr w:rsidR="007B74B8" w:rsidRPr="000864AE" w14:paraId="386E740F"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6C1F4"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34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BA24E"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Arévalo Veramatos Rodrigo</w:t>
            </w:r>
          </w:p>
        </w:tc>
      </w:tr>
      <w:tr w:rsidR="007B74B8" w:rsidRPr="000864AE" w14:paraId="16E1C378"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7489B"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35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5591E08"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Armas Toro Priscila Eugenia</w:t>
            </w:r>
          </w:p>
        </w:tc>
      </w:tr>
      <w:tr w:rsidR="007B74B8" w:rsidRPr="000864AE" w14:paraId="4DCD51F0"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49B07"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36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C5609"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Arrese Villalta Juan</w:t>
            </w:r>
          </w:p>
        </w:tc>
      </w:tr>
      <w:tr w:rsidR="007B74B8" w:rsidRPr="000864AE" w14:paraId="099FFCCD"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D46A4"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37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BF557"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Arriola Oliva Nelli Consuelo</w:t>
            </w:r>
          </w:p>
        </w:tc>
      </w:tr>
      <w:tr w:rsidR="007B74B8" w:rsidRPr="000864AE" w14:paraId="429D93BA"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1F10E"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38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982DA"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Arteta Cornejo Aurora Manuela</w:t>
            </w:r>
          </w:p>
        </w:tc>
      </w:tr>
      <w:tr w:rsidR="007B74B8" w:rsidRPr="000864AE" w14:paraId="4E9EE994"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918B1"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39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51B23"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Ascuña Cáceres Héctor Raúl</w:t>
            </w:r>
          </w:p>
        </w:tc>
      </w:tr>
      <w:tr w:rsidR="007B74B8" w:rsidRPr="000864AE" w14:paraId="5F4526D9"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3A0C4"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40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BEB5C6B"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Asencio Martel Pedro Constantino</w:t>
            </w:r>
          </w:p>
        </w:tc>
      </w:tr>
      <w:tr w:rsidR="007B74B8" w:rsidRPr="000864AE" w14:paraId="6571495B"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03296"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41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1A9F0"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Aspajo Tafur Max Julián</w:t>
            </w:r>
          </w:p>
        </w:tc>
      </w:tr>
      <w:tr w:rsidR="007B74B8" w:rsidRPr="000864AE" w14:paraId="608CFFF1"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81AEC"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42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DBB09"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Astete Zamalloa Ruth Marina</w:t>
            </w:r>
          </w:p>
        </w:tc>
      </w:tr>
      <w:tr w:rsidR="007B74B8" w:rsidRPr="000864AE" w14:paraId="08B9E9B0"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398D2"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43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A62B7"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Atarama Lonzoy César Augusto</w:t>
            </w:r>
          </w:p>
        </w:tc>
      </w:tr>
      <w:tr w:rsidR="007B74B8" w:rsidRPr="000864AE" w14:paraId="10E7D68D"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6CB4B"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44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1EB97"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Auqui Aguilar Celestino</w:t>
            </w:r>
          </w:p>
        </w:tc>
      </w:tr>
      <w:tr w:rsidR="007B74B8" w:rsidRPr="000864AE" w14:paraId="07F86390"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E98C5"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45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5D7843A"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Aybar Bravo Ezequiel Inmaculado</w:t>
            </w:r>
          </w:p>
        </w:tc>
      </w:tr>
      <w:tr w:rsidR="007B74B8" w:rsidRPr="000864AE" w14:paraId="736A6423"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05185"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46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43CBA"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Ayo Sarmiento Cesar Adrián</w:t>
            </w:r>
          </w:p>
        </w:tc>
      </w:tr>
      <w:tr w:rsidR="007B74B8" w:rsidRPr="000864AE" w14:paraId="78B1845C"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0983C"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47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D2A02"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Baissel Tapia Carmen Rosa</w:t>
            </w:r>
          </w:p>
        </w:tc>
      </w:tr>
      <w:tr w:rsidR="007B74B8" w:rsidRPr="000864AE" w14:paraId="6B007D4F"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FC484"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48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2E8F9"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Bajonero Trujillo Fortunato</w:t>
            </w:r>
          </w:p>
        </w:tc>
      </w:tr>
      <w:tr w:rsidR="007B74B8" w:rsidRPr="000864AE" w14:paraId="6FF3C4C2"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42C46"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49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3348C"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Baltodano Sinues Julio</w:t>
            </w:r>
          </w:p>
        </w:tc>
      </w:tr>
      <w:tr w:rsidR="007B74B8" w:rsidRPr="000864AE" w14:paraId="20C5FFB1"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047E0"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250E3"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Bances Gonzáles Nila Cristina</w:t>
            </w:r>
          </w:p>
        </w:tc>
      </w:tr>
      <w:tr w:rsidR="007B74B8" w:rsidRPr="000864AE" w14:paraId="2BAA822B"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EDA01"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51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E34BF"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Barreda Quiroz Florentino Erasmo</w:t>
            </w:r>
          </w:p>
        </w:tc>
      </w:tr>
      <w:tr w:rsidR="007B74B8" w:rsidRPr="000864AE" w14:paraId="321AD1B3"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06BFC"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52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B7D82"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Barrera Bedoya Augusto</w:t>
            </w:r>
          </w:p>
        </w:tc>
      </w:tr>
      <w:tr w:rsidR="007B74B8" w:rsidRPr="000864AE" w14:paraId="7793B8F2"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B820A"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53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89472"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Barrera Cárdenas Grimanesa</w:t>
            </w:r>
          </w:p>
        </w:tc>
      </w:tr>
      <w:tr w:rsidR="007B74B8" w:rsidRPr="000864AE" w14:paraId="439E9D1E"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B0C87"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54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C978D" w14:textId="77777777" w:rsidR="007B74B8" w:rsidRPr="000864AE" w:rsidRDefault="007B74B8" w:rsidP="000864AE">
            <w:pPr>
              <w:spacing w:after="0" w:line="240" w:lineRule="auto"/>
              <w:rPr>
                <w:rFonts w:ascii="Verdana" w:eastAsia="Times New Roman" w:hAnsi="Verdana" w:cs="Times New Roman"/>
                <w:color w:val="000000"/>
                <w:sz w:val="18"/>
                <w:szCs w:val="18"/>
                <w:lang w:eastAsia="es-MX"/>
              </w:rPr>
            </w:pPr>
            <w:r w:rsidRPr="000864AE">
              <w:rPr>
                <w:rFonts w:ascii="Verdana" w:eastAsia="Times New Roman" w:hAnsi="Verdana" w:cs="Times New Roman"/>
                <w:color w:val="000000"/>
                <w:sz w:val="18"/>
                <w:szCs w:val="18"/>
                <w:lang w:eastAsia="es-MX"/>
              </w:rPr>
              <w:t>Barrios Escobar Carlos Enrique</w:t>
            </w:r>
          </w:p>
        </w:tc>
      </w:tr>
      <w:tr w:rsidR="007B74B8" w:rsidRPr="000864AE" w14:paraId="2425CFD0"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E57C6"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55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A1288"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Basauri López Rita Mercedes</w:t>
            </w:r>
          </w:p>
        </w:tc>
      </w:tr>
      <w:tr w:rsidR="007B74B8" w:rsidRPr="000864AE" w14:paraId="64F87A6B"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22153"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56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540EC"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Becerra Chara José Ernesto</w:t>
            </w:r>
          </w:p>
        </w:tc>
      </w:tr>
      <w:tr w:rsidR="007B74B8" w:rsidRPr="000864AE" w14:paraId="5BEF512D"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D4F29"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57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2AE24"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Bedoya Martínez Julia Alicia</w:t>
            </w:r>
          </w:p>
        </w:tc>
      </w:tr>
      <w:tr w:rsidR="007B74B8" w:rsidRPr="000864AE" w14:paraId="736977AE"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A0ABD"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58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A9601"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Bello Zerpa Salvador</w:t>
            </w:r>
          </w:p>
        </w:tc>
      </w:tr>
      <w:tr w:rsidR="007B74B8" w:rsidRPr="000864AE" w14:paraId="57C4F0D8"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14DD1"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59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30B4B"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Benaducci Manrique José Francisco</w:t>
            </w:r>
          </w:p>
        </w:tc>
      </w:tr>
      <w:tr w:rsidR="007B74B8" w:rsidRPr="000864AE" w14:paraId="5B422541"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87BF1"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60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78E7E"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Benavides Espinoza Fortunato Raúl</w:t>
            </w:r>
          </w:p>
        </w:tc>
      </w:tr>
      <w:tr w:rsidR="007B74B8" w:rsidRPr="000864AE" w14:paraId="6E2903A0"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C1245"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61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5AADE"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Bernal Bustamante Juan Adriano</w:t>
            </w:r>
          </w:p>
        </w:tc>
      </w:tr>
      <w:tr w:rsidR="007B74B8" w:rsidRPr="000864AE" w14:paraId="5A341502"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D106E"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62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C16D0" w14:textId="77777777" w:rsidR="007B74B8" w:rsidRPr="000864AE" w:rsidRDefault="007B74B8" w:rsidP="000864AE">
            <w:pPr>
              <w:spacing w:after="0" w:line="240" w:lineRule="auto"/>
              <w:rPr>
                <w:rFonts w:ascii="Verdana" w:eastAsia="Times New Roman" w:hAnsi="Verdana" w:cs="Times New Roman"/>
                <w:color w:val="000000"/>
                <w:sz w:val="18"/>
                <w:szCs w:val="18"/>
                <w:lang w:eastAsia="es-MX"/>
              </w:rPr>
            </w:pPr>
            <w:r w:rsidRPr="000864AE">
              <w:rPr>
                <w:rFonts w:ascii="Verdana" w:eastAsia="Times New Roman" w:hAnsi="Verdana" w:cs="Times New Roman"/>
                <w:color w:val="000000"/>
                <w:sz w:val="18"/>
                <w:szCs w:val="18"/>
                <w:lang w:eastAsia="es-MX"/>
              </w:rPr>
              <w:t>Bernardo Villanueva Dulia María</w:t>
            </w:r>
          </w:p>
        </w:tc>
      </w:tr>
      <w:tr w:rsidR="007B74B8" w:rsidRPr="000864AE" w14:paraId="4159380B"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6D9DA"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63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037CB"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Bernuy Acosta Francisco Agelio</w:t>
            </w:r>
          </w:p>
        </w:tc>
      </w:tr>
      <w:tr w:rsidR="007B74B8" w:rsidRPr="000864AE" w14:paraId="2306F76B"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7DAE9"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64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5D91D"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Berrocal Barraza Nelly</w:t>
            </w:r>
          </w:p>
        </w:tc>
      </w:tr>
      <w:tr w:rsidR="007B74B8" w:rsidRPr="000864AE" w14:paraId="58B4A549"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E7B17"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65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51C8A"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Berrospi Trujillo José Santos</w:t>
            </w:r>
          </w:p>
        </w:tc>
      </w:tr>
      <w:tr w:rsidR="007B74B8" w:rsidRPr="000864AE" w14:paraId="3A1CDFB9"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5C27B"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66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A729DCF"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Blas Navarro José Daniel</w:t>
            </w:r>
          </w:p>
        </w:tc>
      </w:tr>
      <w:tr w:rsidR="007B74B8" w:rsidRPr="000864AE" w14:paraId="582CCD4A"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F87AA"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67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434DC"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Bobadilla Rojas Nélida Zenaida</w:t>
            </w:r>
          </w:p>
        </w:tc>
      </w:tr>
      <w:tr w:rsidR="007B74B8" w:rsidRPr="000864AE" w14:paraId="6475C959"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C6E5E"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68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2E7DC"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Bravo Falcón Patricio</w:t>
            </w:r>
          </w:p>
        </w:tc>
      </w:tr>
      <w:tr w:rsidR="007B74B8" w:rsidRPr="000864AE" w14:paraId="2ABFE57A"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A40CA"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69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4369D"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Bravo Hermoza José Arnaldo</w:t>
            </w:r>
          </w:p>
        </w:tc>
      </w:tr>
      <w:tr w:rsidR="007B74B8" w:rsidRPr="000864AE" w14:paraId="5F9E013C"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334E4"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70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0D1D1"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Bringas Rodríguez Oscar Alberto</w:t>
            </w:r>
          </w:p>
        </w:tc>
      </w:tr>
      <w:tr w:rsidR="007B74B8" w:rsidRPr="000864AE" w14:paraId="458E77C2"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2517C"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71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CD119"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Bueno Bedregal Adrián Emigdio</w:t>
            </w:r>
          </w:p>
        </w:tc>
      </w:tr>
      <w:tr w:rsidR="007B74B8" w:rsidRPr="000864AE" w14:paraId="0CC302E4"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538DA"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72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2C1D6"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Bustamante Fernández Ramón René</w:t>
            </w:r>
          </w:p>
        </w:tc>
      </w:tr>
      <w:tr w:rsidR="007B74B8" w:rsidRPr="000864AE" w14:paraId="08D7FF1B"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297A1"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73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FDB2B"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Cabrera Landeo María Consuelo</w:t>
            </w:r>
          </w:p>
        </w:tc>
      </w:tr>
      <w:tr w:rsidR="007B74B8" w:rsidRPr="000864AE" w14:paraId="0917E310"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2534C"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74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2760F"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Cáceres Peláez Sonia Eva</w:t>
            </w:r>
          </w:p>
        </w:tc>
      </w:tr>
      <w:tr w:rsidR="007B74B8" w:rsidRPr="000864AE" w14:paraId="0C584960"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E8678"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75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F29A97F"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Cáceres Salazar Rosa Elvira</w:t>
            </w:r>
          </w:p>
        </w:tc>
      </w:tr>
      <w:tr w:rsidR="007B74B8" w:rsidRPr="000864AE" w14:paraId="2CF1F4F9"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3B25B"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76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E15AA"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Calderón Matta Luisa Amelia</w:t>
            </w:r>
          </w:p>
        </w:tc>
      </w:tr>
      <w:tr w:rsidR="007B74B8" w:rsidRPr="000864AE" w14:paraId="14971B9B"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FC29B"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77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99F74"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Camino Williams María Carlota</w:t>
            </w:r>
          </w:p>
        </w:tc>
      </w:tr>
      <w:tr w:rsidR="007B74B8" w:rsidRPr="000864AE" w14:paraId="0D14FBF6"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AC375"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78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BF9112F"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Campos Tapia Aníbal</w:t>
            </w:r>
          </w:p>
        </w:tc>
      </w:tr>
      <w:tr w:rsidR="007B74B8" w:rsidRPr="000864AE" w14:paraId="031B99C4"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2D592"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79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82DA2"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Canales Daños Rosa Mercedes</w:t>
            </w:r>
          </w:p>
        </w:tc>
      </w:tr>
      <w:tr w:rsidR="007B74B8" w:rsidRPr="000864AE" w14:paraId="794211D7"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6959F"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80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6CF0E"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Canchaya Camacho Margarita</w:t>
            </w:r>
          </w:p>
        </w:tc>
      </w:tr>
      <w:tr w:rsidR="007B74B8" w:rsidRPr="000864AE" w14:paraId="4C91EAB4"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3696D"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81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07268"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Canchaya Camacho Virgilio Raúl</w:t>
            </w:r>
          </w:p>
        </w:tc>
      </w:tr>
      <w:tr w:rsidR="007B74B8" w:rsidRPr="000864AE" w14:paraId="090F21F1"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5DCF3"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82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A1CC9"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Candela Lévano Luisa Aurora</w:t>
            </w:r>
          </w:p>
        </w:tc>
      </w:tr>
      <w:tr w:rsidR="007B74B8" w:rsidRPr="000864AE" w14:paraId="08F89BFE"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5C2A4"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83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8C7E0" w14:textId="77777777" w:rsidR="007B74B8" w:rsidRPr="000864AE" w:rsidRDefault="007B74B8" w:rsidP="000864AE">
            <w:pPr>
              <w:spacing w:after="0" w:line="240" w:lineRule="auto"/>
              <w:rPr>
                <w:rFonts w:ascii="Verdana" w:eastAsia="Times New Roman" w:hAnsi="Verdana" w:cs="Times New Roman"/>
                <w:color w:val="000000"/>
                <w:sz w:val="18"/>
                <w:szCs w:val="18"/>
                <w:lang w:eastAsia="es-MX"/>
              </w:rPr>
            </w:pPr>
            <w:r w:rsidRPr="000864AE">
              <w:rPr>
                <w:rFonts w:ascii="Verdana" w:eastAsia="Times New Roman" w:hAnsi="Verdana" w:cs="Times New Roman"/>
                <w:color w:val="000000"/>
                <w:sz w:val="18"/>
                <w:szCs w:val="18"/>
                <w:lang w:eastAsia="es-MX"/>
              </w:rPr>
              <w:t>Candela Lévano Víctor Alfredo</w:t>
            </w:r>
          </w:p>
        </w:tc>
      </w:tr>
      <w:tr w:rsidR="007B74B8" w:rsidRPr="000864AE" w14:paraId="12631BB6"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51AEB"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84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67353"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Capuñay Martínez Carlos</w:t>
            </w:r>
          </w:p>
        </w:tc>
      </w:tr>
      <w:tr w:rsidR="007B74B8" w:rsidRPr="000864AE" w14:paraId="585DCD8E"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ABF73"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85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F90AC" w14:textId="77777777" w:rsidR="007B74B8" w:rsidRPr="000864AE" w:rsidRDefault="007B74B8" w:rsidP="000864AE">
            <w:pPr>
              <w:spacing w:after="0" w:line="240" w:lineRule="auto"/>
              <w:rPr>
                <w:rFonts w:ascii="Verdana" w:eastAsia="Times New Roman" w:hAnsi="Verdana" w:cs="Times New Roman"/>
                <w:color w:val="000000"/>
                <w:sz w:val="18"/>
                <w:szCs w:val="18"/>
                <w:lang w:eastAsia="es-MX"/>
              </w:rPr>
            </w:pPr>
            <w:r w:rsidRPr="000864AE">
              <w:rPr>
                <w:rFonts w:ascii="Verdana" w:eastAsia="Times New Roman" w:hAnsi="Verdana" w:cs="Times New Roman"/>
                <w:color w:val="000000"/>
                <w:sz w:val="18"/>
                <w:szCs w:val="18"/>
                <w:lang w:eastAsia="es-MX"/>
              </w:rPr>
              <w:t>Carmona Raez Cesar Teodoro</w:t>
            </w:r>
          </w:p>
        </w:tc>
      </w:tr>
      <w:tr w:rsidR="007B74B8" w:rsidRPr="000864AE" w14:paraId="71DB6723"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3ADD5"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86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097C7"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Carpio Chicoma Ketty María</w:t>
            </w:r>
          </w:p>
        </w:tc>
      </w:tr>
      <w:tr w:rsidR="007B74B8" w:rsidRPr="000864AE" w14:paraId="09C8888F"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08C40"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87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12154"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Carranza Alfaro Constantino Percy</w:t>
            </w:r>
          </w:p>
        </w:tc>
      </w:tr>
      <w:tr w:rsidR="007B74B8" w:rsidRPr="000864AE" w14:paraId="2FBD2FFC"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B7EC8"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88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BBEA2"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Carranza Martínez Victoria Estela</w:t>
            </w:r>
          </w:p>
        </w:tc>
      </w:tr>
      <w:tr w:rsidR="007B74B8" w:rsidRPr="000864AE" w14:paraId="53F31E33"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695F1"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89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2E54A"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Carranza Ulloa Javier Roberto</w:t>
            </w:r>
          </w:p>
        </w:tc>
      </w:tr>
      <w:tr w:rsidR="007B74B8" w:rsidRPr="000864AE" w14:paraId="48BDB2AF"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A6DF5"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90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92B44"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Carrasco Ferrel Eloy</w:t>
            </w:r>
          </w:p>
        </w:tc>
      </w:tr>
      <w:tr w:rsidR="007B74B8" w:rsidRPr="000864AE" w14:paraId="42455C0D"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CBB64"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91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DC0AC"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Carrasco Orosco Jamblico Vicente</w:t>
            </w:r>
          </w:p>
        </w:tc>
      </w:tr>
      <w:tr w:rsidR="007B74B8" w:rsidRPr="000864AE" w14:paraId="613419A9"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94931"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92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9E147"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Carreño Llanos Judith Yolanda</w:t>
            </w:r>
          </w:p>
        </w:tc>
      </w:tr>
      <w:tr w:rsidR="007B74B8" w:rsidRPr="000864AE" w14:paraId="4A5D178C"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9636E"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93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8302E"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Carreño Llanos Luisa Elizabeth</w:t>
            </w:r>
          </w:p>
        </w:tc>
      </w:tr>
      <w:tr w:rsidR="007B74B8" w:rsidRPr="000864AE" w14:paraId="1C101E42"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D3098"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94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E3626"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Carreño Mosquera José Carmen</w:t>
            </w:r>
          </w:p>
        </w:tc>
      </w:tr>
      <w:tr w:rsidR="007B74B8" w:rsidRPr="000864AE" w14:paraId="1CB65501"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658446"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95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E90310C"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Carrera Sandoval Meisse Helvecia</w:t>
            </w:r>
          </w:p>
        </w:tc>
      </w:tr>
      <w:tr w:rsidR="007B74B8" w:rsidRPr="000864AE" w14:paraId="15A411E2"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7D152"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96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5F4FA"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Carrillo Granda Sara Cleofe</w:t>
            </w:r>
          </w:p>
        </w:tc>
      </w:tr>
      <w:tr w:rsidR="007B74B8" w:rsidRPr="000864AE" w14:paraId="6158A3DE"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ED6B4"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97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F9BCC"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Cassana Bazán Mercedes Irma</w:t>
            </w:r>
          </w:p>
        </w:tc>
      </w:tr>
      <w:tr w:rsidR="007B74B8" w:rsidRPr="000864AE" w14:paraId="116F3BE6"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375C9"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98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A5657" w14:textId="77777777" w:rsidR="007B74B8" w:rsidRPr="000864AE" w:rsidRDefault="007B74B8" w:rsidP="000864AE">
            <w:pPr>
              <w:spacing w:after="0" w:line="240" w:lineRule="auto"/>
              <w:rPr>
                <w:rFonts w:ascii="Verdana" w:eastAsia="Times New Roman" w:hAnsi="Verdana" w:cs="Times New Roman"/>
                <w:color w:val="000000"/>
                <w:sz w:val="18"/>
                <w:szCs w:val="18"/>
                <w:lang w:eastAsia="es-MX"/>
              </w:rPr>
            </w:pPr>
            <w:r w:rsidRPr="000864AE">
              <w:rPr>
                <w:rFonts w:ascii="Verdana" w:eastAsia="Times New Roman" w:hAnsi="Verdana" w:cs="Times New Roman"/>
                <w:color w:val="000000"/>
                <w:sz w:val="18"/>
                <w:szCs w:val="18"/>
                <w:lang w:eastAsia="es-MX"/>
              </w:rPr>
              <w:t>Castillo Deza Bertha Cecilia</w:t>
            </w:r>
          </w:p>
        </w:tc>
      </w:tr>
      <w:tr w:rsidR="007B74B8" w:rsidRPr="000864AE" w14:paraId="74AA8A8D"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9966E"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99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CFCC9"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Castillo Sánchez Julia Manuela</w:t>
            </w:r>
          </w:p>
        </w:tc>
      </w:tr>
      <w:tr w:rsidR="007B74B8" w:rsidRPr="000864AE" w14:paraId="214F430D"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233C4"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8B972" w14:textId="77777777" w:rsidR="007B74B8" w:rsidRPr="000864AE" w:rsidRDefault="007B74B8" w:rsidP="000864AE">
            <w:pPr>
              <w:spacing w:after="0" w:line="240" w:lineRule="auto"/>
              <w:rPr>
                <w:rFonts w:ascii="Verdana" w:eastAsia="Times New Roman" w:hAnsi="Verdana" w:cs="Times New Roman"/>
                <w:color w:val="000000"/>
                <w:sz w:val="18"/>
                <w:szCs w:val="18"/>
                <w:lang w:eastAsia="es-MX"/>
              </w:rPr>
            </w:pPr>
            <w:r w:rsidRPr="000864AE">
              <w:rPr>
                <w:rFonts w:ascii="Verdana" w:eastAsia="Times New Roman" w:hAnsi="Verdana" w:cs="Times New Roman"/>
                <w:color w:val="000000"/>
                <w:sz w:val="18"/>
                <w:szCs w:val="18"/>
                <w:lang w:eastAsia="es-MX"/>
              </w:rPr>
              <w:t>Castro Bernales María Rosalinda</w:t>
            </w:r>
          </w:p>
        </w:tc>
      </w:tr>
      <w:tr w:rsidR="007B74B8" w:rsidRPr="000864AE" w14:paraId="66B05023"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C0E47"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101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CC1B6"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Castro Buendía Fortunato Félix</w:t>
            </w:r>
          </w:p>
        </w:tc>
      </w:tr>
      <w:tr w:rsidR="007B74B8" w:rsidRPr="000864AE" w14:paraId="0D7D084C"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F3392"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102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A2E40"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Castro Cárdenas Hugo Heraclio</w:t>
            </w:r>
          </w:p>
        </w:tc>
      </w:tr>
      <w:tr w:rsidR="007B74B8" w:rsidRPr="000864AE" w14:paraId="609933B6"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4042F"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103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137DE"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Castro Robles Zoila Rosa</w:t>
            </w:r>
          </w:p>
        </w:tc>
      </w:tr>
      <w:tr w:rsidR="007B74B8" w:rsidRPr="000864AE" w14:paraId="35710A16"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1B4D1"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104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29EBF"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Castro Vidal María Isabel</w:t>
            </w:r>
          </w:p>
        </w:tc>
      </w:tr>
      <w:tr w:rsidR="007B74B8" w:rsidRPr="000864AE" w14:paraId="115E859C"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CBBD8"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105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F1CBE"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Castro Villalobos Santiago Neptalí</w:t>
            </w:r>
          </w:p>
        </w:tc>
      </w:tr>
      <w:tr w:rsidR="007B74B8" w:rsidRPr="000864AE" w14:paraId="151D903E"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86A51"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106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9538B8D"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Castromonte Ramírez Artidoro</w:t>
            </w:r>
          </w:p>
        </w:tc>
      </w:tr>
      <w:tr w:rsidR="007B74B8" w:rsidRPr="000864AE" w14:paraId="60D043D2"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36348"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107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482F2"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Cavero Ramos Gilberto Víctor</w:t>
            </w:r>
          </w:p>
        </w:tc>
      </w:tr>
      <w:tr w:rsidR="007B74B8" w:rsidRPr="000864AE" w14:paraId="7195646E"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6BB30"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108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7E97E"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Centeno Zavala Eva Marina</w:t>
            </w:r>
          </w:p>
        </w:tc>
      </w:tr>
      <w:tr w:rsidR="007B74B8" w:rsidRPr="000864AE" w14:paraId="6730A0E0"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AD21D"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109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B69A4"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Cerna Palomino Manuel Marcial</w:t>
            </w:r>
          </w:p>
        </w:tc>
      </w:tr>
      <w:tr w:rsidR="007B74B8" w:rsidRPr="000864AE" w14:paraId="7B3D26D2"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8AB95"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110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B56C9"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Cerna Vásquez Cesar</w:t>
            </w:r>
          </w:p>
        </w:tc>
      </w:tr>
      <w:tr w:rsidR="007B74B8" w:rsidRPr="000864AE" w14:paraId="56C42294"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74344"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111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C8701"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Céspedes Vega Martín</w:t>
            </w:r>
          </w:p>
        </w:tc>
      </w:tr>
      <w:tr w:rsidR="007B74B8" w:rsidRPr="000864AE" w14:paraId="619FD2E1"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F7337"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112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3CA96"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Chaina Fernández Ricardo Luis</w:t>
            </w:r>
          </w:p>
        </w:tc>
      </w:tr>
      <w:tr w:rsidR="007B74B8" w:rsidRPr="000864AE" w14:paraId="31609084"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9DB47"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113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E0EF5"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Chanduvi Ramírez Nelly Ana María</w:t>
            </w:r>
          </w:p>
        </w:tc>
      </w:tr>
      <w:tr w:rsidR="007B74B8" w:rsidRPr="000864AE" w14:paraId="1C9BE166"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4E4AE"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114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5C10D"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Charahua Flores Edilberto Guillermo</w:t>
            </w:r>
          </w:p>
        </w:tc>
      </w:tr>
      <w:tr w:rsidR="007B74B8" w:rsidRPr="000864AE" w14:paraId="0DE32551"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2B915"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115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328DC"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Chávez Centti Miguel Ángel</w:t>
            </w:r>
          </w:p>
        </w:tc>
      </w:tr>
      <w:tr w:rsidR="007B74B8" w:rsidRPr="000864AE" w14:paraId="54CC0679"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B3A0A"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116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E7284"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Chávez Díaz Ángel Rosendo</w:t>
            </w:r>
          </w:p>
        </w:tc>
      </w:tr>
      <w:tr w:rsidR="007B74B8" w:rsidRPr="000864AE" w14:paraId="3986D02B"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1259A"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117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C5006"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Chienda Bazo Víctor Nicolás</w:t>
            </w:r>
          </w:p>
        </w:tc>
      </w:tr>
      <w:tr w:rsidR="007B74B8" w:rsidRPr="000864AE" w14:paraId="7F0AD41A"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CE13C"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118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96595"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Chiriboga Pardo Jesús Eduardo</w:t>
            </w:r>
          </w:p>
        </w:tc>
      </w:tr>
      <w:tr w:rsidR="007B74B8" w:rsidRPr="000864AE" w14:paraId="57C6C8EA"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7D484"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119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0BB85" w14:textId="77777777" w:rsidR="007B74B8" w:rsidRPr="000864AE" w:rsidRDefault="007B74B8" w:rsidP="000864AE">
            <w:pPr>
              <w:spacing w:after="0" w:line="240" w:lineRule="auto"/>
              <w:rPr>
                <w:rFonts w:ascii="Verdana" w:eastAsia="Times New Roman" w:hAnsi="Verdana" w:cs="Times New Roman"/>
                <w:color w:val="000000"/>
                <w:sz w:val="18"/>
                <w:szCs w:val="18"/>
                <w:lang w:eastAsia="es-MX"/>
              </w:rPr>
            </w:pPr>
            <w:r w:rsidRPr="000864AE">
              <w:rPr>
                <w:rFonts w:ascii="Verdana" w:eastAsia="Times New Roman" w:hAnsi="Verdana" w:cs="Times New Roman"/>
                <w:color w:val="000000"/>
                <w:sz w:val="18"/>
                <w:szCs w:val="18"/>
                <w:lang w:eastAsia="es-MX"/>
              </w:rPr>
              <w:t>Chois Málaga Armando Juan</w:t>
            </w:r>
          </w:p>
        </w:tc>
      </w:tr>
      <w:tr w:rsidR="007B74B8" w:rsidRPr="000864AE" w14:paraId="2FC44F71"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68C8F"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120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AEB5D"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Chuquillanqui Domínguez Judith Elizabeth</w:t>
            </w:r>
          </w:p>
        </w:tc>
      </w:tr>
      <w:tr w:rsidR="007B74B8" w:rsidRPr="000864AE" w14:paraId="015F01C1"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85E85"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121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EDE32"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Chuquisengo Castillo Marianella</w:t>
            </w:r>
          </w:p>
        </w:tc>
      </w:tr>
      <w:tr w:rsidR="007B74B8" w:rsidRPr="000864AE" w14:paraId="1F33AF43"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2F792"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122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06732"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Ciudad Amaya Francisco</w:t>
            </w:r>
          </w:p>
        </w:tc>
      </w:tr>
      <w:tr w:rsidR="007B74B8" w:rsidRPr="001913D3" w14:paraId="034F4532"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7611D"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123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56779" w14:textId="77777777" w:rsidR="007B74B8" w:rsidRPr="000864AE" w:rsidRDefault="007B74B8" w:rsidP="000864AE">
            <w:pPr>
              <w:spacing w:after="0" w:line="240" w:lineRule="auto"/>
              <w:rPr>
                <w:rFonts w:ascii="Verdana" w:eastAsia="Times New Roman" w:hAnsi="Verdana" w:cs="Arial"/>
                <w:color w:val="000000"/>
                <w:sz w:val="18"/>
                <w:szCs w:val="18"/>
                <w:lang w:val="en-US" w:eastAsia="es-MX"/>
              </w:rPr>
            </w:pPr>
            <w:r w:rsidRPr="000864AE">
              <w:rPr>
                <w:rFonts w:ascii="Verdana" w:eastAsia="Times New Roman" w:hAnsi="Verdana" w:cs="Arial"/>
                <w:color w:val="000000"/>
                <w:sz w:val="18"/>
                <w:szCs w:val="18"/>
                <w:lang w:val="en-US" w:eastAsia="es-MX"/>
              </w:rPr>
              <w:t>Claros Chavera Manuel Williams Isaías</w:t>
            </w:r>
          </w:p>
        </w:tc>
      </w:tr>
      <w:tr w:rsidR="007B74B8" w:rsidRPr="000864AE" w14:paraId="31FB31A6"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E3BC9"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124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85B17"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Cochachi Aguilar Sebastian</w:t>
            </w:r>
          </w:p>
        </w:tc>
      </w:tr>
      <w:tr w:rsidR="007B74B8" w:rsidRPr="000864AE" w14:paraId="4CBF5B24"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C768D"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125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CB4C2"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Collado Oré Jorge Percy</w:t>
            </w:r>
          </w:p>
        </w:tc>
      </w:tr>
      <w:tr w:rsidR="007B74B8" w:rsidRPr="000864AE" w14:paraId="30DC258A"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8625F"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126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2BEBD"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Concha Cervantes Luis Glider</w:t>
            </w:r>
          </w:p>
        </w:tc>
      </w:tr>
      <w:tr w:rsidR="007B74B8" w:rsidRPr="000864AE" w14:paraId="36DC0506"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8E08D"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127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B2449"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Cóndor Quispe Rufina Teófila</w:t>
            </w:r>
          </w:p>
        </w:tc>
      </w:tr>
      <w:tr w:rsidR="007B74B8" w:rsidRPr="000864AE" w14:paraId="581C85EA"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97E70"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128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45E90"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Contreras Abanto Abdón Rufino</w:t>
            </w:r>
          </w:p>
        </w:tc>
      </w:tr>
      <w:tr w:rsidR="007B74B8" w:rsidRPr="000864AE" w14:paraId="5FFC11D6"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A4669"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129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C1346"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Contreras Gutiérrez Jesús Héctor</w:t>
            </w:r>
          </w:p>
        </w:tc>
      </w:tr>
      <w:tr w:rsidR="007B74B8" w:rsidRPr="000864AE" w14:paraId="31D992B5"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51B6D"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130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A18E3"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Contreras Ordóñez Rigoberto</w:t>
            </w:r>
          </w:p>
        </w:tc>
      </w:tr>
      <w:tr w:rsidR="007B74B8" w:rsidRPr="000864AE" w14:paraId="38D51165"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E0638"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131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14B5E"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Córdova Córdova Ismael Vicente</w:t>
            </w:r>
          </w:p>
        </w:tc>
      </w:tr>
      <w:tr w:rsidR="007B74B8" w:rsidRPr="000864AE" w14:paraId="3D450AE2"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91BAB"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132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75001"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Córdova De La Cuba Víctor Enrique</w:t>
            </w:r>
          </w:p>
        </w:tc>
      </w:tr>
      <w:tr w:rsidR="007B74B8" w:rsidRPr="000864AE" w14:paraId="5DE0EE38"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F55BF"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133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94B76"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Córdova Díaz Marco Amador</w:t>
            </w:r>
          </w:p>
        </w:tc>
      </w:tr>
      <w:tr w:rsidR="007B74B8" w:rsidRPr="000864AE" w14:paraId="6B44FC3F"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FBA08"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134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13076A8"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Cori Borja Saturnino</w:t>
            </w:r>
          </w:p>
        </w:tc>
      </w:tr>
      <w:tr w:rsidR="007B74B8" w:rsidRPr="000864AE" w14:paraId="4C6BF4FB"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DE868"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135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9D0CB"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Cornejo Calsina Marcos Delfín</w:t>
            </w:r>
          </w:p>
        </w:tc>
      </w:tr>
      <w:tr w:rsidR="007B74B8" w:rsidRPr="000864AE" w14:paraId="683BB045"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21720"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136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E0D94" w14:textId="77777777" w:rsidR="007B74B8" w:rsidRPr="000864AE" w:rsidRDefault="007B74B8" w:rsidP="000864AE">
            <w:pPr>
              <w:spacing w:after="0" w:line="240" w:lineRule="auto"/>
              <w:rPr>
                <w:rFonts w:ascii="Verdana" w:eastAsia="Times New Roman" w:hAnsi="Verdana" w:cs="Times New Roman"/>
                <w:color w:val="000000"/>
                <w:sz w:val="18"/>
                <w:szCs w:val="18"/>
                <w:lang w:eastAsia="es-MX"/>
              </w:rPr>
            </w:pPr>
            <w:r w:rsidRPr="000864AE">
              <w:rPr>
                <w:rFonts w:ascii="Verdana" w:eastAsia="Times New Roman" w:hAnsi="Verdana" w:cs="Times New Roman"/>
                <w:color w:val="000000"/>
                <w:sz w:val="18"/>
                <w:szCs w:val="18"/>
                <w:lang w:eastAsia="es-MX"/>
              </w:rPr>
              <w:t>Corzo Morón Juan Alejandro</w:t>
            </w:r>
          </w:p>
        </w:tc>
      </w:tr>
      <w:tr w:rsidR="007B74B8" w:rsidRPr="000864AE" w14:paraId="4295CA6D"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6282C"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137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00969" w14:textId="77777777" w:rsidR="007B74B8" w:rsidRPr="000864AE" w:rsidRDefault="007B74B8" w:rsidP="000864AE">
            <w:pPr>
              <w:spacing w:after="0" w:line="240" w:lineRule="auto"/>
              <w:rPr>
                <w:rFonts w:ascii="Verdana" w:eastAsia="Times New Roman" w:hAnsi="Verdana" w:cs="Times New Roman"/>
                <w:color w:val="000000"/>
                <w:sz w:val="18"/>
                <w:szCs w:val="18"/>
                <w:lang w:eastAsia="es-MX"/>
              </w:rPr>
            </w:pPr>
            <w:r w:rsidRPr="000864AE">
              <w:rPr>
                <w:rFonts w:ascii="Verdana" w:eastAsia="Times New Roman" w:hAnsi="Verdana" w:cs="Times New Roman"/>
                <w:color w:val="000000"/>
                <w:sz w:val="18"/>
                <w:szCs w:val="18"/>
                <w:lang w:eastAsia="es-MX"/>
              </w:rPr>
              <w:t>Costa Morales Rosina</w:t>
            </w:r>
          </w:p>
        </w:tc>
      </w:tr>
      <w:tr w:rsidR="007B74B8" w:rsidRPr="000864AE" w14:paraId="2B0225B6"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383CE"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138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41EE5" w14:textId="77777777" w:rsidR="007B74B8" w:rsidRPr="000864AE" w:rsidRDefault="007B74B8" w:rsidP="000864AE">
            <w:pPr>
              <w:spacing w:after="0" w:line="240" w:lineRule="auto"/>
              <w:rPr>
                <w:rFonts w:ascii="Verdana" w:eastAsia="Times New Roman" w:hAnsi="Verdana" w:cs="Times New Roman"/>
                <w:color w:val="000000"/>
                <w:sz w:val="18"/>
                <w:szCs w:val="18"/>
                <w:lang w:eastAsia="es-MX"/>
              </w:rPr>
            </w:pPr>
            <w:r w:rsidRPr="000864AE">
              <w:rPr>
                <w:rFonts w:ascii="Verdana" w:eastAsia="Times New Roman" w:hAnsi="Verdana" w:cs="Times New Roman"/>
                <w:color w:val="000000"/>
                <w:sz w:val="18"/>
                <w:szCs w:val="18"/>
                <w:lang w:eastAsia="es-MX"/>
              </w:rPr>
              <w:t>Cruz Mac Lean Dante Salomón Guillermo</w:t>
            </w:r>
          </w:p>
        </w:tc>
      </w:tr>
      <w:tr w:rsidR="007B74B8" w:rsidRPr="000864AE" w14:paraId="426448B8"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D8DE3"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139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1E8FDFA"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Cuba Torres José Luis</w:t>
            </w:r>
          </w:p>
        </w:tc>
      </w:tr>
      <w:tr w:rsidR="007B74B8" w:rsidRPr="000864AE" w14:paraId="78645CA7"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6A013"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140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7BB96"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Cuervo Larrea Mario Antonio</w:t>
            </w:r>
          </w:p>
        </w:tc>
      </w:tr>
      <w:tr w:rsidR="007B74B8" w:rsidRPr="000864AE" w14:paraId="5A8DD8CB"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379D7"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141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5FAA8"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Cueva Lluncor José Francisco</w:t>
            </w:r>
          </w:p>
        </w:tc>
      </w:tr>
      <w:tr w:rsidR="007B74B8" w:rsidRPr="000864AE" w14:paraId="1CE15FC1"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2D4D1"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142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B0D12" w14:textId="77777777" w:rsidR="007B74B8" w:rsidRPr="000864AE" w:rsidRDefault="007B74B8" w:rsidP="000864AE">
            <w:pPr>
              <w:spacing w:after="0" w:line="240" w:lineRule="auto"/>
              <w:rPr>
                <w:rFonts w:ascii="Verdana" w:eastAsia="Times New Roman" w:hAnsi="Verdana" w:cs="Times New Roman"/>
                <w:color w:val="000000"/>
                <w:sz w:val="18"/>
                <w:szCs w:val="18"/>
                <w:lang w:eastAsia="es-MX"/>
              </w:rPr>
            </w:pPr>
            <w:r w:rsidRPr="000864AE">
              <w:rPr>
                <w:rFonts w:ascii="Verdana" w:eastAsia="Times New Roman" w:hAnsi="Verdana" w:cs="Times New Roman"/>
                <w:color w:val="000000"/>
                <w:sz w:val="18"/>
                <w:szCs w:val="18"/>
                <w:lang w:eastAsia="es-MX"/>
              </w:rPr>
              <w:t>Cunti Bardales Nancy Ruth</w:t>
            </w:r>
          </w:p>
        </w:tc>
      </w:tr>
      <w:tr w:rsidR="007B74B8" w:rsidRPr="000864AE" w14:paraId="28A8A5DF"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33E64"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143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D3C8D"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Daga Soto Máximo</w:t>
            </w:r>
          </w:p>
        </w:tc>
      </w:tr>
      <w:tr w:rsidR="007B74B8" w:rsidRPr="000864AE" w14:paraId="1A1ED517"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01BC6"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144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66ADF"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Dávila Avellaneda Demetrio</w:t>
            </w:r>
          </w:p>
        </w:tc>
      </w:tr>
      <w:tr w:rsidR="007B74B8" w:rsidRPr="000864AE" w14:paraId="7472F461"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1924C"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145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63745"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Dávila Mango Nemo Andrés</w:t>
            </w:r>
          </w:p>
        </w:tc>
      </w:tr>
      <w:tr w:rsidR="007B74B8" w:rsidRPr="000864AE" w14:paraId="1B1110D4"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634C8"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146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3CD1F"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Dávila Ramírez Segundo Diómedes</w:t>
            </w:r>
          </w:p>
        </w:tc>
      </w:tr>
      <w:tr w:rsidR="007B74B8" w:rsidRPr="000864AE" w14:paraId="1523C719"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F6470"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147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D0B34"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Dávila Reátegui Jorge Alberto</w:t>
            </w:r>
          </w:p>
        </w:tc>
      </w:tr>
      <w:tr w:rsidR="007B74B8" w:rsidRPr="000864AE" w14:paraId="639E65F5"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9D191"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148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96617"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De La Cruz López Juan</w:t>
            </w:r>
          </w:p>
        </w:tc>
      </w:tr>
      <w:tr w:rsidR="007B74B8" w:rsidRPr="000864AE" w14:paraId="33BF3E69"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A4D88"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149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D38F7"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De La Fuente Guzmán María Adelina</w:t>
            </w:r>
          </w:p>
        </w:tc>
      </w:tr>
      <w:tr w:rsidR="007B74B8" w:rsidRPr="000864AE" w14:paraId="3F464F61"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A2473"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5359B"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Del Carmen Sánchez Martha</w:t>
            </w:r>
          </w:p>
        </w:tc>
      </w:tr>
      <w:tr w:rsidR="007B74B8" w:rsidRPr="000864AE" w14:paraId="7D7075BA"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00E70"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151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69C22"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Del Pino Martínez Carmen Ofelia</w:t>
            </w:r>
          </w:p>
        </w:tc>
      </w:tr>
      <w:tr w:rsidR="007B74B8" w:rsidRPr="000864AE" w14:paraId="7E662CCD"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1554F"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152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2918A" w14:textId="77777777" w:rsidR="007B74B8" w:rsidRPr="000864AE" w:rsidRDefault="007B74B8" w:rsidP="000864AE">
            <w:pPr>
              <w:spacing w:after="0" w:line="240" w:lineRule="auto"/>
              <w:rPr>
                <w:rFonts w:ascii="Verdana" w:eastAsia="Times New Roman" w:hAnsi="Verdana" w:cs="Times New Roman"/>
                <w:color w:val="000000"/>
                <w:sz w:val="18"/>
                <w:szCs w:val="18"/>
                <w:lang w:eastAsia="es-MX"/>
              </w:rPr>
            </w:pPr>
            <w:r w:rsidRPr="000864AE">
              <w:rPr>
                <w:rFonts w:ascii="Verdana" w:eastAsia="Times New Roman" w:hAnsi="Verdana" w:cs="Times New Roman"/>
                <w:color w:val="000000"/>
                <w:sz w:val="18"/>
                <w:szCs w:val="18"/>
                <w:lang w:eastAsia="es-MX"/>
              </w:rPr>
              <w:t>Delgado Coronado Rosalie</w:t>
            </w:r>
          </w:p>
        </w:tc>
      </w:tr>
      <w:tr w:rsidR="007B74B8" w:rsidRPr="000864AE" w14:paraId="154E863C"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1B43A"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153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BE35E"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Delgado Pedrozo Samuel Daniel</w:t>
            </w:r>
          </w:p>
        </w:tc>
      </w:tr>
      <w:tr w:rsidR="007B74B8" w:rsidRPr="000864AE" w14:paraId="1F008B19"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073A8"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154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1AEEC"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Delgado Rojas Ledy Bessy</w:t>
            </w:r>
          </w:p>
        </w:tc>
      </w:tr>
      <w:tr w:rsidR="007B74B8" w:rsidRPr="000864AE" w14:paraId="767BF0A1"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50A95"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155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3E16D"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Díaz Calderón Sixto Wenceslao</w:t>
            </w:r>
          </w:p>
        </w:tc>
      </w:tr>
      <w:tr w:rsidR="007B74B8" w:rsidRPr="000864AE" w14:paraId="5057A4E2"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B4F1F"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156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70AD7"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Díaz Campoblanco Gladys Clorinda</w:t>
            </w:r>
          </w:p>
        </w:tc>
      </w:tr>
      <w:tr w:rsidR="007B74B8" w:rsidRPr="000864AE" w14:paraId="7E03D691"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D5694"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157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F5BDD"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Díaz Cornejo Gladys Isolina</w:t>
            </w:r>
          </w:p>
        </w:tc>
      </w:tr>
      <w:tr w:rsidR="007B74B8" w:rsidRPr="000864AE" w14:paraId="780D1BA5"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B7C19"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158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4BC01"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Díaz Delgado Gloria Lucero</w:t>
            </w:r>
          </w:p>
        </w:tc>
      </w:tr>
      <w:tr w:rsidR="007B74B8" w:rsidRPr="000864AE" w14:paraId="77AF14F6"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A8C5E"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159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7BCB4"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Díaz Reátegui De Mayor Ángela</w:t>
            </w:r>
          </w:p>
        </w:tc>
      </w:tr>
      <w:tr w:rsidR="007B74B8" w:rsidRPr="000864AE" w14:paraId="3ACBE3D8"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41DD3"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160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8F641"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Díaz Silva Judith Juana</w:t>
            </w:r>
          </w:p>
        </w:tc>
      </w:tr>
      <w:tr w:rsidR="007B74B8" w:rsidRPr="000864AE" w14:paraId="0B7A0738"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0B334"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161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7B4A6"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Díaz Villavicencio Víctor Augusto</w:t>
            </w:r>
          </w:p>
        </w:tc>
      </w:tr>
      <w:tr w:rsidR="007B74B8" w:rsidRPr="000864AE" w14:paraId="1A63DC47"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3AAAF"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162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7F661"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Diez Cerruti Isabel Constanza</w:t>
            </w:r>
          </w:p>
        </w:tc>
      </w:tr>
      <w:tr w:rsidR="007B74B8" w:rsidRPr="000864AE" w14:paraId="09A95A99"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65EFF"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163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70FE4"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Domínguez Pando Santos</w:t>
            </w:r>
          </w:p>
        </w:tc>
      </w:tr>
      <w:tr w:rsidR="007B74B8" w:rsidRPr="000864AE" w14:paraId="12419B45"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055EF9"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164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6194390"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Domínguez Zabaleta Zene</w:t>
            </w:r>
          </w:p>
        </w:tc>
      </w:tr>
      <w:tr w:rsidR="007B74B8" w:rsidRPr="000864AE" w14:paraId="32FE6C2B"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E6321"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165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DEA9D"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Donayre Barrios José Carlos</w:t>
            </w:r>
          </w:p>
        </w:tc>
      </w:tr>
      <w:tr w:rsidR="007B74B8" w:rsidRPr="000864AE" w14:paraId="29FB031F"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86D02"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166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AD931"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Dugard Marquina Plutarco Julio</w:t>
            </w:r>
          </w:p>
        </w:tc>
      </w:tr>
      <w:tr w:rsidR="007B74B8" w:rsidRPr="000864AE" w14:paraId="536DC346"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37955"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167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266C8"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Dulanto Carrillo De Albornoz Enrique</w:t>
            </w:r>
          </w:p>
        </w:tc>
      </w:tr>
      <w:tr w:rsidR="007B74B8" w:rsidRPr="000864AE" w14:paraId="4520A700"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92C3F"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168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3423A"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Durán Picho Antonio Félix</w:t>
            </w:r>
          </w:p>
        </w:tc>
      </w:tr>
      <w:tr w:rsidR="007B74B8" w:rsidRPr="000864AE" w14:paraId="48E03C31"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395A0"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169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FE0CF"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Egocheaga Aguilar Prudencio</w:t>
            </w:r>
          </w:p>
        </w:tc>
      </w:tr>
      <w:tr w:rsidR="007B74B8" w:rsidRPr="000864AE" w14:paraId="63B85F17"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1F938"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170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2B5E1"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Eguiluz Mazuelos Efraín Sabino</w:t>
            </w:r>
          </w:p>
        </w:tc>
      </w:tr>
      <w:tr w:rsidR="007B74B8" w:rsidRPr="000864AE" w14:paraId="4C9B9E22"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4D3FE"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171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57A90"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Elías Cajo Reynaldo</w:t>
            </w:r>
          </w:p>
        </w:tc>
      </w:tr>
      <w:tr w:rsidR="007B74B8" w:rsidRPr="000864AE" w14:paraId="5E25384E"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E648F"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172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46C23"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Elías Herrera Luis Dictino</w:t>
            </w:r>
          </w:p>
        </w:tc>
      </w:tr>
      <w:tr w:rsidR="007B74B8" w:rsidRPr="000864AE" w14:paraId="549EB5EE"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DEE03"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173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0D596"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Enriquez Hilary Pedro Marcial</w:t>
            </w:r>
          </w:p>
        </w:tc>
      </w:tr>
      <w:tr w:rsidR="007B74B8" w:rsidRPr="000864AE" w14:paraId="0662AFE3"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64E84"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174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EFCBC" w14:textId="77777777" w:rsidR="007B74B8" w:rsidRPr="000864AE" w:rsidRDefault="007B74B8" w:rsidP="000864AE">
            <w:pPr>
              <w:spacing w:after="0" w:line="240" w:lineRule="auto"/>
              <w:rPr>
                <w:rFonts w:ascii="Verdana" w:eastAsia="Times New Roman" w:hAnsi="Verdana" w:cs="Times New Roman"/>
                <w:color w:val="000000"/>
                <w:sz w:val="18"/>
                <w:szCs w:val="18"/>
                <w:lang w:eastAsia="es-MX"/>
              </w:rPr>
            </w:pPr>
            <w:r w:rsidRPr="000864AE">
              <w:rPr>
                <w:rFonts w:ascii="Verdana" w:eastAsia="Times New Roman" w:hAnsi="Verdana" w:cs="Times New Roman"/>
                <w:color w:val="000000"/>
                <w:sz w:val="18"/>
                <w:szCs w:val="18"/>
                <w:lang w:eastAsia="es-MX"/>
              </w:rPr>
              <w:t>Erazo Ramírez José María</w:t>
            </w:r>
          </w:p>
        </w:tc>
      </w:tr>
      <w:tr w:rsidR="007B74B8" w:rsidRPr="000864AE" w14:paraId="2C76CEC9"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2470C"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175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C57F2"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Escobedo Juárez Celso</w:t>
            </w:r>
          </w:p>
        </w:tc>
      </w:tr>
      <w:tr w:rsidR="007B74B8" w:rsidRPr="000864AE" w14:paraId="118CBAFC"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7AFC3"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176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EB544"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Espinoza Alvarado Armando Jorge</w:t>
            </w:r>
          </w:p>
        </w:tc>
      </w:tr>
      <w:tr w:rsidR="007B74B8" w:rsidRPr="000864AE" w14:paraId="1BA19082"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E21BF"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177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1922C"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Espinoza Alzamora Manuel Antenor</w:t>
            </w:r>
          </w:p>
        </w:tc>
      </w:tr>
      <w:tr w:rsidR="007B74B8" w:rsidRPr="000864AE" w14:paraId="78876093"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17BB5"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178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3963D"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Espinoza Chávarry Humberto Saúl</w:t>
            </w:r>
          </w:p>
        </w:tc>
      </w:tr>
      <w:tr w:rsidR="007B74B8" w:rsidRPr="000864AE" w14:paraId="0697FD77" w14:textId="77777777" w:rsidTr="00AA5989">
        <w:trPr>
          <w:trHeight w:val="28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0CD00"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179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584E4"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Espinoza Eyzaguirre María Del Carmen</w:t>
            </w:r>
          </w:p>
        </w:tc>
      </w:tr>
      <w:tr w:rsidR="007B74B8" w:rsidRPr="000864AE" w14:paraId="7D6FBBEA"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38185"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180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C8324"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Espinoza Guanilo Héctor Enrique</w:t>
            </w:r>
          </w:p>
        </w:tc>
      </w:tr>
      <w:tr w:rsidR="007B74B8" w:rsidRPr="000864AE" w14:paraId="04BF2AB4"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8F6EB"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181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57967"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Espinoza Ramirez Manuel Demetrio</w:t>
            </w:r>
          </w:p>
        </w:tc>
      </w:tr>
      <w:tr w:rsidR="007B74B8" w:rsidRPr="000864AE" w14:paraId="62253DF7"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5FD67"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182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7333C"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Estela Bravo Corina Elda</w:t>
            </w:r>
          </w:p>
        </w:tc>
      </w:tr>
      <w:tr w:rsidR="007B74B8" w:rsidRPr="000864AE" w14:paraId="7937D460"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71D46"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183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AD986"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Esterripa Angeles Rolando Abdias</w:t>
            </w:r>
          </w:p>
        </w:tc>
      </w:tr>
      <w:tr w:rsidR="007B74B8" w:rsidRPr="000864AE" w14:paraId="0DB852C5"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B59E3"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184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452C7"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Felipa Grimaldo Eduardo Donato</w:t>
            </w:r>
          </w:p>
        </w:tc>
      </w:tr>
      <w:tr w:rsidR="007B74B8" w:rsidRPr="000864AE" w14:paraId="18643AA3"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C0510"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185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B2B2D"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Fernández Lara María Soledad</w:t>
            </w:r>
          </w:p>
        </w:tc>
      </w:tr>
      <w:tr w:rsidR="007B74B8" w:rsidRPr="000864AE" w14:paraId="6F8638DD"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A3829"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186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6B95888"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Fernández Marrero Vicenta Elvira</w:t>
            </w:r>
          </w:p>
        </w:tc>
      </w:tr>
      <w:tr w:rsidR="007B74B8" w:rsidRPr="000864AE" w14:paraId="0420D2EA"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05FDD"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187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A5237"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Figueroa Herbas Enrique Moisés</w:t>
            </w:r>
          </w:p>
        </w:tc>
      </w:tr>
      <w:tr w:rsidR="007B74B8" w:rsidRPr="000864AE" w14:paraId="03015C81"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800B2"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188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F9484"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Figueroa Herbas Jorge Roberto</w:t>
            </w:r>
          </w:p>
        </w:tc>
      </w:tr>
      <w:tr w:rsidR="007B74B8" w:rsidRPr="000864AE" w14:paraId="4E150E6D"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67E74"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189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E0DD2"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Filomeno Landivar Jorge Nicolás</w:t>
            </w:r>
          </w:p>
        </w:tc>
      </w:tr>
      <w:tr w:rsidR="007B74B8" w:rsidRPr="000864AE" w14:paraId="1699042B"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73CF9"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190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AD9FA"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Flores Almeza Wilma Consuelo Juana</w:t>
            </w:r>
          </w:p>
        </w:tc>
      </w:tr>
      <w:tr w:rsidR="007B74B8" w:rsidRPr="000864AE" w14:paraId="20A1F544"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1AFE1"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191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4FE6F"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Flores Bermúdez Magno Melecio</w:t>
            </w:r>
          </w:p>
        </w:tc>
      </w:tr>
      <w:tr w:rsidR="007B74B8" w:rsidRPr="000864AE" w14:paraId="1138EA9A"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AFECF"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192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DFB27"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Flores Ferreyra Elmer</w:t>
            </w:r>
          </w:p>
        </w:tc>
      </w:tr>
      <w:tr w:rsidR="007B74B8" w:rsidRPr="000864AE" w14:paraId="03B0B59B"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CD93B"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193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68A9E"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Flores Pastor Luis Manuel</w:t>
            </w:r>
          </w:p>
        </w:tc>
      </w:tr>
      <w:tr w:rsidR="007B74B8" w:rsidRPr="000864AE" w14:paraId="664EE33F"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3A57F"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194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0B6BB"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Flores Plata Clemente Roberto</w:t>
            </w:r>
          </w:p>
        </w:tc>
      </w:tr>
      <w:tr w:rsidR="007B74B8" w:rsidRPr="000864AE" w14:paraId="6EA5F8C3"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0D461"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195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08E0B"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Flores Sandoval Víctor Marcos</w:t>
            </w:r>
          </w:p>
        </w:tc>
      </w:tr>
      <w:tr w:rsidR="007B74B8" w:rsidRPr="000864AE" w14:paraId="483909EC"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53697"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196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A4C3279"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Fonseca Bernuy Enrique Manuel</w:t>
            </w:r>
          </w:p>
        </w:tc>
      </w:tr>
      <w:tr w:rsidR="007B74B8" w:rsidRPr="000864AE" w14:paraId="5111CD28"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E84E4"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197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CF6B8" w14:textId="77777777" w:rsidR="007B74B8" w:rsidRPr="000864AE" w:rsidRDefault="007B74B8" w:rsidP="000864AE">
            <w:pPr>
              <w:spacing w:after="0" w:line="240" w:lineRule="auto"/>
              <w:rPr>
                <w:rFonts w:ascii="Verdana" w:eastAsia="Times New Roman" w:hAnsi="Verdana" w:cs="Times New Roman"/>
                <w:color w:val="000000"/>
                <w:sz w:val="18"/>
                <w:szCs w:val="18"/>
                <w:lang w:eastAsia="es-MX"/>
              </w:rPr>
            </w:pPr>
            <w:r w:rsidRPr="000864AE">
              <w:rPr>
                <w:rFonts w:ascii="Verdana" w:eastAsia="Times New Roman" w:hAnsi="Verdana" w:cs="Times New Roman"/>
                <w:color w:val="000000"/>
                <w:sz w:val="18"/>
                <w:szCs w:val="18"/>
                <w:lang w:eastAsia="es-MX"/>
              </w:rPr>
              <w:t>Fry Montoya Enrique Antonio</w:t>
            </w:r>
          </w:p>
        </w:tc>
      </w:tr>
      <w:tr w:rsidR="007B74B8" w:rsidRPr="000864AE" w14:paraId="00F23FB7"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848FB"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198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489AA"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Galarza Fernández Pablo Humberto</w:t>
            </w:r>
          </w:p>
        </w:tc>
      </w:tr>
      <w:tr w:rsidR="007B74B8" w:rsidRPr="005A5D3C" w14:paraId="181C3DCA"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2F3D2"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199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09CCE" w14:textId="77777777" w:rsidR="007B74B8" w:rsidRPr="000864AE" w:rsidRDefault="007B74B8" w:rsidP="000864AE">
            <w:pPr>
              <w:spacing w:after="0" w:line="240" w:lineRule="auto"/>
              <w:rPr>
                <w:rFonts w:ascii="Verdana" w:eastAsia="Times New Roman" w:hAnsi="Verdana" w:cs="Times New Roman"/>
                <w:color w:val="000000"/>
                <w:sz w:val="18"/>
                <w:szCs w:val="18"/>
                <w:lang w:val="pt-BR" w:eastAsia="es-MX"/>
              </w:rPr>
            </w:pPr>
            <w:r w:rsidRPr="000864AE">
              <w:rPr>
                <w:rFonts w:ascii="Verdana" w:eastAsia="Times New Roman" w:hAnsi="Verdana" w:cs="Times New Roman"/>
                <w:color w:val="000000"/>
                <w:sz w:val="18"/>
                <w:szCs w:val="18"/>
                <w:lang w:val="pt-BR" w:eastAsia="es-MX"/>
              </w:rPr>
              <w:t>Galindo Espinoza Teresa De Jesús</w:t>
            </w:r>
          </w:p>
        </w:tc>
      </w:tr>
      <w:tr w:rsidR="007B74B8" w:rsidRPr="000864AE" w14:paraId="67B53A0A"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B35A5"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5BB75"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Gallardo Flores Cesar Augusto</w:t>
            </w:r>
          </w:p>
        </w:tc>
      </w:tr>
      <w:tr w:rsidR="007B74B8" w:rsidRPr="000864AE" w14:paraId="2E172343"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076DD"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201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CBEF9"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Gallo Agurto Cesar Augusto</w:t>
            </w:r>
          </w:p>
        </w:tc>
      </w:tr>
      <w:tr w:rsidR="007B74B8" w:rsidRPr="000864AE" w14:paraId="7B2209CD"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07BC9"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202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99B92"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Gálvez Mendoza Hernán Antonio</w:t>
            </w:r>
          </w:p>
        </w:tc>
      </w:tr>
      <w:tr w:rsidR="007B74B8" w:rsidRPr="000864AE" w14:paraId="02B8C4AB"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EEE8A"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203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201B7" w14:textId="77777777" w:rsidR="007B74B8" w:rsidRPr="000864AE" w:rsidRDefault="007B74B8" w:rsidP="000864AE">
            <w:pPr>
              <w:spacing w:after="0" w:line="240" w:lineRule="auto"/>
              <w:rPr>
                <w:rFonts w:ascii="Verdana" w:eastAsia="Times New Roman" w:hAnsi="Verdana" w:cs="Times New Roman"/>
                <w:color w:val="000000"/>
                <w:sz w:val="18"/>
                <w:szCs w:val="18"/>
                <w:lang w:eastAsia="es-MX"/>
              </w:rPr>
            </w:pPr>
            <w:r w:rsidRPr="000864AE">
              <w:rPr>
                <w:rFonts w:ascii="Verdana" w:eastAsia="Times New Roman" w:hAnsi="Verdana" w:cs="Times New Roman"/>
                <w:color w:val="000000"/>
                <w:sz w:val="18"/>
                <w:szCs w:val="18"/>
                <w:lang w:eastAsia="es-MX"/>
              </w:rPr>
              <w:t>Gamarra Buendía Miguel Abilio</w:t>
            </w:r>
          </w:p>
        </w:tc>
      </w:tr>
      <w:tr w:rsidR="007B74B8" w:rsidRPr="000864AE" w14:paraId="539DFD6D"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D78EA"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204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4639A"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Gamarra Romero Simon Gustavo</w:t>
            </w:r>
          </w:p>
        </w:tc>
      </w:tr>
      <w:tr w:rsidR="007B74B8" w:rsidRPr="000864AE" w14:paraId="7086B048"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01E47"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205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68845" w14:textId="77777777" w:rsidR="007B74B8" w:rsidRPr="000864AE" w:rsidRDefault="007B74B8" w:rsidP="000864AE">
            <w:pPr>
              <w:spacing w:after="0" w:line="240" w:lineRule="auto"/>
              <w:rPr>
                <w:rFonts w:ascii="Verdana" w:eastAsia="Times New Roman" w:hAnsi="Verdana" w:cs="Times New Roman"/>
                <w:color w:val="000000"/>
                <w:sz w:val="18"/>
                <w:szCs w:val="18"/>
                <w:lang w:eastAsia="es-MX"/>
              </w:rPr>
            </w:pPr>
            <w:r w:rsidRPr="000864AE">
              <w:rPr>
                <w:rFonts w:ascii="Verdana" w:eastAsia="Times New Roman" w:hAnsi="Verdana" w:cs="Times New Roman"/>
                <w:color w:val="000000"/>
                <w:sz w:val="18"/>
                <w:szCs w:val="18"/>
                <w:lang w:eastAsia="es-MX"/>
              </w:rPr>
              <w:t>García Caballero Rafael Cristóbal</w:t>
            </w:r>
          </w:p>
        </w:tc>
      </w:tr>
      <w:tr w:rsidR="007B74B8" w:rsidRPr="000864AE" w14:paraId="1C82F737"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5A59A"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206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EF112"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García Hermoza Isidro Juvenal</w:t>
            </w:r>
          </w:p>
        </w:tc>
      </w:tr>
      <w:tr w:rsidR="007B74B8" w:rsidRPr="000864AE" w14:paraId="6794A608"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2AAE1"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207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278E4" w14:textId="77777777" w:rsidR="007B74B8" w:rsidRPr="000864AE" w:rsidRDefault="007B74B8" w:rsidP="000864AE">
            <w:pPr>
              <w:spacing w:after="0" w:line="240" w:lineRule="auto"/>
              <w:rPr>
                <w:rFonts w:ascii="Verdana" w:eastAsia="Times New Roman" w:hAnsi="Verdana" w:cs="Times New Roman"/>
                <w:color w:val="000000"/>
                <w:sz w:val="18"/>
                <w:szCs w:val="18"/>
                <w:lang w:eastAsia="es-MX"/>
              </w:rPr>
            </w:pPr>
            <w:r w:rsidRPr="000864AE">
              <w:rPr>
                <w:rFonts w:ascii="Verdana" w:eastAsia="Times New Roman" w:hAnsi="Verdana" w:cs="Times New Roman"/>
                <w:color w:val="000000"/>
                <w:sz w:val="18"/>
                <w:szCs w:val="18"/>
                <w:lang w:eastAsia="es-MX"/>
              </w:rPr>
              <w:t>García Muñoz Luisa Guadalupe</w:t>
            </w:r>
          </w:p>
        </w:tc>
      </w:tr>
      <w:tr w:rsidR="007B74B8" w:rsidRPr="000864AE" w14:paraId="37AE0C49"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26DA0"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208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48277"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García Tamariz Carlos Arturo</w:t>
            </w:r>
          </w:p>
        </w:tc>
      </w:tr>
      <w:tr w:rsidR="007B74B8" w:rsidRPr="000864AE" w14:paraId="38E08225"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A2C81"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209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A1E7E"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García Valdizán Dora</w:t>
            </w:r>
          </w:p>
        </w:tc>
      </w:tr>
      <w:tr w:rsidR="007B74B8" w:rsidRPr="000864AE" w14:paraId="18067682"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D8C07"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210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1A011"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Gavilano Mendoza Gertrudis Idilia</w:t>
            </w:r>
          </w:p>
        </w:tc>
      </w:tr>
      <w:tr w:rsidR="007B74B8" w:rsidRPr="000864AE" w14:paraId="61981FB4"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D13E5"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211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11AA5"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 xml:space="preserve">Geldres Salamanca Elizabeth Victoria </w:t>
            </w:r>
          </w:p>
        </w:tc>
      </w:tr>
      <w:tr w:rsidR="007B74B8" w:rsidRPr="000864AE" w14:paraId="1BA5FEAB"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52E95"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212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8DD12"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Gómez Castañeda Marcos</w:t>
            </w:r>
          </w:p>
        </w:tc>
      </w:tr>
      <w:tr w:rsidR="007B74B8" w:rsidRPr="000864AE" w14:paraId="4FDEA200"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794CD"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213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45C87"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Gómez Lafaix Irene Violeta</w:t>
            </w:r>
          </w:p>
        </w:tc>
      </w:tr>
      <w:tr w:rsidR="007B74B8" w:rsidRPr="000864AE" w14:paraId="2C853387"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9B6B0"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214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24BDD"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Gómez Suárez Elsa Beatriz</w:t>
            </w:r>
          </w:p>
        </w:tc>
      </w:tr>
      <w:tr w:rsidR="007B74B8" w:rsidRPr="000864AE" w14:paraId="18E9457F"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69E82"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215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B9A3F"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Gonzáles Grados Manuel Mariano</w:t>
            </w:r>
          </w:p>
        </w:tc>
      </w:tr>
      <w:tr w:rsidR="007B74B8" w:rsidRPr="000864AE" w14:paraId="515B62F5"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BCE1C"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216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EF21E"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Gonzáles Lombard Abrill Raúl</w:t>
            </w:r>
          </w:p>
        </w:tc>
      </w:tr>
      <w:tr w:rsidR="007B74B8" w:rsidRPr="000864AE" w14:paraId="0F555260"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026CC"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217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D3920"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Gonzáles Rodríguez Fidel</w:t>
            </w:r>
          </w:p>
        </w:tc>
      </w:tr>
      <w:tr w:rsidR="007B74B8" w:rsidRPr="000864AE" w14:paraId="11682207"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5E6DE"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218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6C31E"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Gonzáles Rodríguez Leopoldo</w:t>
            </w:r>
          </w:p>
        </w:tc>
      </w:tr>
      <w:tr w:rsidR="007B74B8" w:rsidRPr="000864AE" w14:paraId="6BBB7D2F"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E2EFF"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219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DDF46"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Gotelli Lugo Rubén</w:t>
            </w:r>
          </w:p>
        </w:tc>
      </w:tr>
      <w:tr w:rsidR="007B74B8" w:rsidRPr="000864AE" w14:paraId="7324E56F"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E5E7A"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220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B1F1A"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Grande Bolívar Norma Estela</w:t>
            </w:r>
          </w:p>
        </w:tc>
      </w:tr>
      <w:tr w:rsidR="007B74B8" w:rsidRPr="000864AE" w14:paraId="581890D5"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2CDFB"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221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4FD5C"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Grande Cangahuala Gladys Dora</w:t>
            </w:r>
          </w:p>
        </w:tc>
      </w:tr>
      <w:tr w:rsidR="007B74B8" w:rsidRPr="000864AE" w14:paraId="44A46D47"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9101F"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222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C5FCF"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Guerra La Torre Félix Fausto</w:t>
            </w:r>
          </w:p>
        </w:tc>
      </w:tr>
      <w:tr w:rsidR="007B74B8" w:rsidRPr="000864AE" w14:paraId="4EEFF449"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117E7"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223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EF454"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Guerrero Díaz César Lucio</w:t>
            </w:r>
          </w:p>
        </w:tc>
      </w:tr>
      <w:tr w:rsidR="007B74B8" w:rsidRPr="000864AE" w14:paraId="782FA297"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B7014"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224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7AE1F"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Guevara Mucha Víctor Luis</w:t>
            </w:r>
          </w:p>
        </w:tc>
      </w:tr>
      <w:tr w:rsidR="007B74B8" w:rsidRPr="000864AE" w14:paraId="426792E5"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D780F"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225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3C55F"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Guillén Zarzosa Raymundo Manuel</w:t>
            </w:r>
          </w:p>
        </w:tc>
      </w:tr>
      <w:tr w:rsidR="007B74B8" w:rsidRPr="000864AE" w14:paraId="3FBE4901"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B3CAD"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226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37864"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Guiulfo Castillo Olga Isabel</w:t>
            </w:r>
          </w:p>
        </w:tc>
      </w:tr>
      <w:tr w:rsidR="007B74B8" w:rsidRPr="000864AE" w14:paraId="488C95DF"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37971"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227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6A1DE"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Gutiérrez Cerna Álvaro Augusto</w:t>
            </w:r>
          </w:p>
        </w:tc>
      </w:tr>
      <w:tr w:rsidR="007B74B8" w:rsidRPr="000864AE" w14:paraId="65826A44"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E5CC9"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228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A5D84"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Gutiérrez Gálvez Oscar</w:t>
            </w:r>
          </w:p>
        </w:tc>
      </w:tr>
      <w:tr w:rsidR="007B74B8" w:rsidRPr="000864AE" w14:paraId="2762B826"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3A052"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229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A6006"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Gutiérrez Martínez Guillermo</w:t>
            </w:r>
          </w:p>
        </w:tc>
      </w:tr>
      <w:tr w:rsidR="007B74B8" w:rsidRPr="000864AE" w14:paraId="5C808EE1"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F47EC"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230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6F277"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Gutiérrez Tapia Tomas Wilbert</w:t>
            </w:r>
          </w:p>
        </w:tc>
      </w:tr>
      <w:tr w:rsidR="007B74B8" w:rsidRPr="000864AE" w14:paraId="5D91AD60"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62ACD"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231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4C4E0"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Guzmán Reyes Carmen Victoria</w:t>
            </w:r>
          </w:p>
        </w:tc>
      </w:tr>
      <w:tr w:rsidR="007B74B8" w:rsidRPr="000864AE" w14:paraId="2C148600"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51A36"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232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B5765"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Haro Suárez Gladys Marietta</w:t>
            </w:r>
          </w:p>
        </w:tc>
      </w:tr>
      <w:tr w:rsidR="007B74B8" w:rsidRPr="000864AE" w14:paraId="0A4D21D0" w14:textId="77777777" w:rsidTr="00AA5989">
        <w:trPr>
          <w:trHeight w:val="27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56C58"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233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A243E"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Heredia Solís Miguel Eugenio</w:t>
            </w:r>
          </w:p>
        </w:tc>
      </w:tr>
      <w:tr w:rsidR="007B74B8" w:rsidRPr="000864AE" w14:paraId="4DA4B062"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6E062"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234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AF5CE"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Hernández La Fuente Abraham</w:t>
            </w:r>
          </w:p>
        </w:tc>
      </w:tr>
      <w:tr w:rsidR="007B74B8" w:rsidRPr="000864AE" w14:paraId="18142AD7"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F838E"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235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6C443"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Hernández Miranda Ofelia</w:t>
            </w:r>
          </w:p>
        </w:tc>
      </w:tr>
      <w:tr w:rsidR="007B74B8" w:rsidRPr="000864AE" w14:paraId="4C99A6FD"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C2E2E"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236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47DC4"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Hidalgo Guevara Silvio Raúl</w:t>
            </w:r>
          </w:p>
        </w:tc>
      </w:tr>
      <w:tr w:rsidR="007B74B8" w:rsidRPr="000864AE" w14:paraId="4883AB33"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80922"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237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3334B"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Hinojosa Aybar Víctor Hugo</w:t>
            </w:r>
          </w:p>
        </w:tc>
      </w:tr>
      <w:tr w:rsidR="007B74B8" w:rsidRPr="000864AE" w14:paraId="061A2973"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B8D2E"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238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40CC1"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Hopkins Cangalaya José Edwing</w:t>
            </w:r>
          </w:p>
        </w:tc>
      </w:tr>
      <w:tr w:rsidR="007B74B8" w:rsidRPr="000864AE" w14:paraId="1521D9A5"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4D262"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239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7B685"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Horna Arnao Enrique</w:t>
            </w:r>
          </w:p>
        </w:tc>
      </w:tr>
      <w:tr w:rsidR="007B74B8" w:rsidRPr="000864AE" w14:paraId="27D5A885"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753CD"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240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446B68B"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Hoyos Díaz Humberto Javier</w:t>
            </w:r>
          </w:p>
        </w:tc>
      </w:tr>
      <w:tr w:rsidR="007B74B8" w:rsidRPr="000864AE" w14:paraId="6F61A85B"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ECEBB"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241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DC2A9" w14:textId="77777777" w:rsidR="007B74B8" w:rsidRPr="000864AE" w:rsidRDefault="007B74B8" w:rsidP="000864AE">
            <w:pPr>
              <w:spacing w:after="0" w:line="240" w:lineRule="auto"/>
              <w:rPr>
                <w:rFonts w:ascii="Verdana" w:eastAsia="Times New Roman" w:hAnsi="Verdana" w:cs="Times New Roman"/>
                <w:color w:val="000000"/>
                <w:sz w:val="18"/>
                <w:szCs w:val="18"/>
                <w:lang w:eastAsia="es-MX"/>
              </w:rPr>
            </w:pPr>
            <w:r w:rsidRPr="000864AE">
              <w:rPr>
                <w:rFonts w:ascii="Verdana" w:eastAsia="Times New Roman" w:hAnsi="Verdana" w:cs="Times New Roman"/>
                <w:color w:val="000000"/>
                <w:sz w:val="18"/>
                <w:szCs w:val="18"/>
                <w:lang w:eastAsia="es-MX"/>
              </w:rPr>
              <w:t>Huamán Lozano Constanza</w:t>
            </w:r>
          </w:p>
        </w:tc>
      </w:tr>
      <w:tr w:rsidR="007B74B8" w:rsidRPr="000864AE" w14:paraId="25ABF2B0"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49888"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242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C5B6B"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Huamán Torres Fermín</w:t>
            </w:r>
          </w:p>
        </w:tc>
      </w:tr>
      <w:tr w:rsidR="007B74B8" w:rsidRPr="000864AE" w14:paraId="534136CA"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A031B"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243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9A6135A"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Huamaní Serrano Asterio</w:t>
            </w:r>
          </w:p>
        </w:tc>
      </w:tr>
      <w:tr w:rsidR="007B74B8" w:rsidRPr="000864AE" w14:paraId="699D4506"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FCE16"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244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1C848"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Huambachano Antón Hugo Bernardo</w:t>
            </w:r>
          </w:p>
        </w:tc>
      </w:tr>
      <w:tr w:rsidR="007B74B8" w:rsidRPr="000864AE" w14:paraId="2E12CCBA"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DF356"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245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D0343"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Huapaya Mejía Julia Luz</w:t>
            </w:r>
          </w:p>
        </w:tc>
      </w:tr>
      <w:tr w:rsidR="007B74B8" w:rsidRPr="000864AE" w14:paraId="46524E15"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4B592"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246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65CC8"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Huaricancha Martínez José Luis</w:t>
            </w:r>
          </w:p>
        </w:tc>
      </w:tr>
      <w:tr w:rsidR="007B74B8" w:rsidRPr="000864AE" w14:paraId="1B49D642"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A44E8"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247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26AD8"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Huaygua Velásquez Lizardo</w:t>
            </w:r>
          </w:p>
        </w:tc>
      </w:tr>
      <w:tr w:rsidR="007B74B8" w:rsidRPr="000864AE" w14:paraId="097972EE"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D6A21"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248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D711E"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Huerta Pérez Juan</w:t>
            </w:r>
          </w:p>
        </w:tc>
      </w:tr>
      <w:tr w:rsidR="007B74B8" w:rsidRPr="000864AE" w14:paraId="584603FA"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ABE93"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249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DC406"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Huilca Chipana Juan De Dios</w:t>
            </w:r>
          </w:p>
        </w:tc>
      </w:tr>
      <w:tr w:rsidR="007B74B8" w:rsidRPr="000864AE" w14:paraId="50CCA2E3"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379F2"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9F083"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Hunder Perlacios Bernabé Gene</w:t>
            </w:r>
          </w:p>
        </w:tc>
      </w:tr>
      <w:tr w:rsidR="007B74B8" w:rsidRPr="000864AE" w14:paraId="4BC8CDA2"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1BB60"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251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E34B4"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Ibazett Villacorta Germán</w:t>
            </w:r>
          </w:p>
        </w:tc>
      </w:tr>
      <w:tr w:rsidR="007B74B8" w:rsidRPr="000864AE" w14:paraId="44019461"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59D6F"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252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5A682"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Iberico Ventocilla Angélica Mercedes</w:t>
            </w:r>
          </w:p>
        </w:tc>
      </w:tr>
      <w:tr w:rsidR="007B74B8" w:rsidRPr="000864AE" w14:paraId="1E304B31"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62E33"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253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70FA8"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Infantas Lovatón Américo</w:t>
            </w:r>
          </w:p>
        </w:tc>
      </w:tr>
      <w:tr w:rsidR="007B74B8" w:rsidRPr="000864AE" w14:paraId="2E24E2BF"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16241"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254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33995"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Infante Vargas Dulio</w:t>
            </w:r>
          </w:p>
        </w:tc>
      </w:tr>
      <w:tr w:rsidR="007B74B8" w:rsidRPr="000864AE" w14:paraId="36BA79D6"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B7627"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255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0909BEC"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Isla Zevallos Dora Elisa</w:t>
            </w:r>
          </w:p>
        </w:tc>
      </w:tr>
      <w:tr w:rsidR="007B74B8" w:rsidRPr="000864AE" w14:paraId="3F707200"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0DD10"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256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D6BE2"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Jara Salcedo Julia Constantina</w:t>
            </w:r>
          </w:p>
        </w:tc>
      </w:tr>
      <w:tr w:rsidR="007B74B8" w:rsidRPr="000864AE" w14:paraId="63F90257"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24CFB"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257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01100"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Javier Mamani Wenceslao</w:t>
            </w:r>
          </w:p>
        </w:tc>
      </w:tr>
      <w:tr w:rsidR="007B74B8" w:rsidRPr="000864AE" w14:paraId="48B489A2"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BBF89"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258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FD53F"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Jiménez Bravo Ygnacio</w:t>
            </w:r>
          </w:p>
        </w:tc>
      </w:tr>
      <w:tr w:rsidR="007B74B8" w:rsidRPr="000864AE" w14:paraId="4D8959F9"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0EB16"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259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77FAA"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Jiménez Cedano Cesar Enrique</w:t>
            </w:r>
          </w:p>
        </w:tc>
      </w:tr>
      <w:tr w:rsidR="007B74B8" w:rsidRPr="000864AE" w14:paraId="3EBF6722"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D8EA8"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260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69DC6"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Jo Wong Luis Alberto</w:t>
            </w:r>
          </w:p>
        </w:tc>
      </w:tr>
      <w:tr w:rsidR="007B74B8" w:rsidRPr="000864AE" w14:paraId="4F22322F"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451A7"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261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D4665"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Jordán Ortiz Elsa</w:t>
            </w:r>
          </w:p>
        </w:tc>
      </w:tr>
      <w:tr w:rsidR="007B74B8" w:rsidRPr="000864AE" w14:paraId="42FFF7DA"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C1654"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262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18BE1"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Joy García Norma María</w:t>
            </w:r>
          </w:p>
        </w:tc>
      </w:tr>
      <w:tr w:rsidR="007B74B8" w:rsidRPr="000864AE" w14:paraId="0BBDCBA8"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43A1D"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263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65529"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Julca Herrera Alejandro Tiburcio</w:t>
            </w:r>
          </w:p>
        </w:tc>
      </w:tr>
      <w:tr w:rsidR="007B74B8" w:rsidRPr="000864AE" w14:paraId="2BBD83EF"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AA3A2"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264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428C9"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Koc Chavera Flossy Dolores</w:t>
            </w:r>
          </w:p>
        </w:tc>
      </w:tr>
      <w:tr w:rsidR="007B74B8" w:rsidRPr="000864AE" w14:paraId="4A197836"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B244B"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265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C1B20"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Kuramoto Huamán María Cruz</w:t>
            </w:r>
          </w:p>
        </w:tc>
      </w:tr>
      <w:tr w:rsidR="007B74B8" w:rsidRPr="000864AE" w14:paraId="62A62410"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5846F"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266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687D8"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La Rosa Bardales César Antonio</w:t>
            </w:r>
          </w:p>
        </w:tc>
      </w:tr>
      <w:tr w:rsidR="007B74B8" w:rsidRPr="000864AE" w14:paraId="76D09F96"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2554D"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267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F3C7F"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La Rosa Chagaray Clara</w:t>
            </w:r>
          </w:p>
        </w:tc>
      </w:tr>
      <w:tr w:rsidR="007B74B8" w:rsidRPr="000864AE" w14:paraId="54038A4B"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73A53"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268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54D4F"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La Rosa Sanssoni Juan Francisco</w:t>
            </w:r>
          </w:p>
        </w:tc>
      </w:tr>
      <w:tr w:rsidR="007B74B8" w:rsidRPr="000864AE" w14:paraId="2C22B6BE"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DD3ABC"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269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0230FD2"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La Torre Díaz Clara Gemina</w:t>
            </w:r>
          </w:p>
        </w:tc>
      </w:tr>
      <w:tr w:rsidR="007B74B8" w:rsidRPr="000864AE" w14:paraId="69D3B650"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96D7E"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270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A45C7"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Lara Flores Enrique Sixto</w:t>
            </w:r>
          </w:p>
        </w:tc>
      </w:tr>
      <w:tr w:rsidR="007B74B8" w:rsidRPr="000864AE" w14:paraId="21F7FAF7"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5FECA"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271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C8285"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Larru Salazar Angélica Dina</w:t>
            </w:r>
          </w:p>
        </w:tc>
      </w:tr>
      <w:tr w:rsidR="007B74B8" w:rsidRPr="000864AE" w14:paraId="2C0E72EB"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3969E"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272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610C7"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Lau Li Justa Virginia</w:t>
            </w:r>
          </w:p>
        </w:tc>
      </w:tr>
      <w:tr w:rsidR="007B74B8" w:rsidRPr="000864AE" w14:paraId="55CBAF53"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B65EE"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273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23D04"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Lau Quintana José</w:t>
            </w:r>
          </w:p>
        </w:tc>
      </w:tr>
      <w:tr w:rsidR="007B74B8" w:rsidRPr="000864AE" w14:paraId="30CA7492"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1DA13"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274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7B2FE"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 xml:space="preserve">Lazarte Villanueva Graciela Carmen </w:t>
            </w:r>
          </w:p>
        </w:tc>
      </w:tr>
      <w:tr w:rsidR="007B74B8" w:rsidRPr="000864AE" w14:paraId="48CBEEA4"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6DBA6"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275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566F6"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Lazo García Ezequiel Horacio</w:t>
            </w:r>
          </w:p>
        </w:tc>
      </w:tr>
      <w:tr w:rsidR="007B74B8" w:rsidRPr="000864AE" w14:paraId="1AC1BDC5"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EEC68"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276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04206"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León Ángeles Nelly Teodora</w:t>
            </w:r>
          </w:p>
        </w:tc>
      </w:tr>
      <w:tr w:rsidR="007B74B8" w:rsidRPr="000864AE" w14:paraId="68506FD5"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9DD06"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277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0FA55"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Leturia Romero José Néstor</w:t>
            </w:r>
          </w:p>
        </w:tc>
      </w:tr>
      <w:tr w:rsidR="007B74B8" w:rsidRPr="000864AE" w14:paraId="5A88CA75"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F403A"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278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FE8F5"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Lévano Salhuana Luis Alberto</w:t>
            </w:r>
          </w:p>
        </w:tc>
      </w:tr>
      <w:tr w:rsidR="007B74B8" w:rsidRPr="000864AE" w14:paraId="650E10E3"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BC0F8"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279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6DB76"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Liberato Martínez Victoria Gladys</w:t>
            </w:r>
          </w:p>
        </w:tc>
      </w:tr>
      <w:tr w:rsidR="007B74B8" w:rsidRPr="000864AE" w14:paraId="2C0797AF"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AB831"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280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926F0"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Liendo Sánchez Eliana María</w:t>
            </w:r>
          </w:p>
        </w:tc>
      </w:tr>
      <w:tr w:rsidR="007B74B8" w:rsidRPr="000864AE" w14:paraId="4A1F1ADE"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2EDE4"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281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D0B16"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Lituma Agüero Cesar Humberto</w:t>
            </w:r>
          </w:p>
        </w:tc>
      </w:tr>
      <w:tr w:rsidR="007B74B8" w:rsidRPr="000864AE" w14:paraId="3E78B0CB"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68241" w14:textId="77777777"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282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FCFB5A7"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Llamas Ordaya Emma Raquel</w:t>
            </w:r>
          </w:p>
        </w:tc>
      </w:tr>
      <w:tr w:rsidR="007B74B8" w:rsidRPr="000864AE" w14:paraId="5DE78D73"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7171C" w14:textId="1942F4F2" w:rsidR="007B74B8" w:rsidRPr="000864AE" w:rsidRDefault="007B74B8" w:rsidP="000E1E9B">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28</w:t>
            </w:r>
            <w:r w:rsidR="000E1E9B">
              <w:rPr>
                <w:rFonts w:ascii="Verdana" w:eastAsia="Times New Roman" w:hAnsi="Verdana" w:cs="Times New Roman"/>
                <w:b/>
                <w:color w:val="000000"/>
                <w:sz w:val="18"/>
                <w:szCs w:val="18"/>
                <w:lang w:eastAsia="es-MX"/>
              </w:rPr>
              <w:t>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E4345" w14:textId="77777777" w:rsidR="007B74B8" w:rsidRPr="000864AE" w:rsidRDefault="007B74B8" w:rsidP="000864AE">
            <w:pPr>
              <w:spacing w:after="0" w:line="240" w:lineRule="auto"/>
              <w:rPr>
                <w:rFonts w:ascii="Verdana" w:eastAsia="Times New Roman" w:hAnsi="Verdana" w:cs="Times New Roman"/>
                <w:color w:val="000000"/>
                <w:sz w:val="18"/>
                <w:szCs w:val="18"/>
                <w:lang w:eastAsia="es-MX"/>
              </w:rPr>
            </w:pPr>
            <w:r w:rsidRPr="000864AE">
              <w:rPr>
                <w:rFonts w:ascii="Verdana" w:eastAsia="Times New Roman" w:hAnsi="Verdana" w:cs="Times New Roman"/>
                <w:color w:val="000000"/>
                <w:sz w:val="18"/>
                <w:szCs w:val="18"/>
                <w:lang w:eastAsia="es-MX"/>
              </w:rPr>
              <w:t>Llontop Effio Juana Mercedes</w:t>
            </w:r>
          </w:p>
        </w:tc>
      </w:tr>
      <w:tr w:rsidR="007B74B8" w:rsidRPr="000864AE" w14:paraId="66275222" w14:textId="77777777" w:rsidTr="00AA5989">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A5763" w14:textId="1F80448A"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284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725F0" w14:textId="77777777" w:rsidR="007B74B8" w:rsidRPr="000864AE" w:rsidRDefault="007B74B8" w:rsidP="000864AE">
            <w:pPr>
              <w:spacing w:after="0" w:line="240" w:lineRule="auto"/>
              <w:rPr>
                <w:rFonts w:ascii="Verdana" w:eastAsia="Times New Roman" w:hAnsi="Verdana" w:cs="Times New Roman"/>
                <w:color w:val="000000"/>
                <w:sz w:val="18"/>
                <w:szCs w:val="18"/>
                <w:lang w:eastAsia="es-MX"/>
              </w:rPr>
            </w:pPr>
            <w:r w:rsidRPr="000864AE">
              <w:rPr>
                <w:rFonts w:ascii="Verdana" w:eastAsia="Times New Roman" w:hAnsi="Verdana" w:cs="Arial"/>
                <w:color w:val="000000"/>
                <w:sz w:val="18"/>
                <w:szCs w:val="18"/>
                <w:lang w:eastAsia="es-MX"/>
              </w:rPr>
              <w:t>Loayza Paucar Feliciano</w:t>
            </w:r>
          </w:p>
        </w:tc>
      </w:tr>
      <w:tr w:rsidR="007B74B8" w:rsidRPr="000864AE" w14:paraId="05635956"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6DC6A" w14:textId="0A00BD4F"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285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27DDE"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Loayza Portilla Graciela</w:t>
            </w:r>
          </w:p>
        </w:tc>
      </w:tr>
      <w:tr w:rsidR="007B74B8" w:rsidRPr="000864AE" w14:paraId="4B5E8C23"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6E7BF" w14:textId="6B2D39A5"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286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56A5F"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Lombardo Gonzáles Francisco Gregorio</w:t>
            </w:r>
          </w:p>
        </w:tc>
      </w:tr>
      <w:tr w:rsidR="007B74B8" w:rsidRPr="000864AE" w14:paraId="66A3744E"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2FB74" w14:textId="77C51EE7"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287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5315D"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Loo Reyes Carmen Rosa</w:t>
            </w:r>
          </w:p>
        </w:tc>
      </w:tr>
      <w:tr w:rsidR="007B74B8" w:rsidRPr="000864AE" w14:paraId="6464AFDB"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1C508" w14:textId="2A3B01A9"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288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07E93"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López Céspedes Alejandro Rubén</w:t>
            </w:r>
          </w:p>
        </w:tc>
      </w:tr>
      <w:tr w:rsidR="007B74B8" w:rsidRPr="000864AE" w14:paraId="2A2EF722"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B5854" w14:textId="5AAD7A9D"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289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833FA"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López Chu Tomas Emilio</w:t>
            </w:r>
          </w:p>
        </w:tc>
      </w:tr>
      <w:tr w:rsidR="007B74B8" w:rsidRPr="000864AE" w14:paraId="455878F4"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B89D3" w14:textId="7AC9506D"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290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33F84"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López Guerrero Dante A.</w:t>
            </w:r>
          </w:p>
        </w:tc>
      </w:tr>
      <w:tr w:rsidR="007B74B8" w:rsidRPr="000864AE" w14:paraId="46DDEB9A"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505D9" w14:textId="13730DFC"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291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E548A"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López Paredes Mauricio</w:t>
            </w:r>
          </w:p>
        </w:tc>
      </w:tr>
      <w:tr w:rsidR="007B74B8" w:rsidRPr="000864AE" w14:paraId="2B51A7DF"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458FF" w14:textId="390C2C7F"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292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7179D"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López Vera Gladys Lucila</w:t>
            </w:r>
          </w:p>
        </w:tc>
      </w:tr>
      <w:tr w:rsidR="007B74B8" w:rsidRPr="000864AE" w14:paraId="729540FC"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1D493" w14:textId="4AF9030A"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293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4FEF1"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Lora Reyes Wilfredo Absalon</w:t>
            </w:r>
          </w:p>
        </w:tc>
      </w:tr>
      <w:tr w:rsidR="007B74B8" w:rsidRPr="000864AE" w14:paraId="12CE5808"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AF0CA" w14:textId="0BBEDD3B"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294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A246F4A"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Loyola Tordoya Nydia Liliana</w:t>
            </w:r>
          </w:p>
        </w:tc>
      </w:tr>
      <w:tr w:rsidR="007B74B8" w:rsidRPr="000864AE" w14:paraId="5460FD2A"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3DED6" w14:textId="1A2CEFD3"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295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8667F"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Ludeña Cárdenas Fausto</w:t>
            </w:r>
          </w:p>
        </w:tc>
      </w:tr>
      <w:tr w:rsidR="007B74B8" w:rsidRPr="000864AE" w14:paraId="7F125F2B"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D04BC" w14:textId="26F6C3DE"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296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B56EB"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Luglio Mar Edgar Américo</w:t>
            </w:r>
          </w:p>
        </w:tc>
      </w:tr>
      <w:tr w:rsidR="007B74B8" w:rsidRPr="000864AE" w14:paraId="2F6E92CA"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9E0BD" w14:textId="342E90BC"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297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FB710"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Lujan Burgos Gregorio Higinio</w:t>
            </w:r>
          </w:p>
        </w:tc>
      </w:tr>
      <w:tr w:rsidR="007B74B8" w:rsidRPr="000864AE" w14:paraId="1637ACFE"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22F24" w14:textId="6F1AA961" w:rsidR="007B74B8" w:rsidRPr="00082152"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298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7572A"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2152">
              <w:rPr>
                <w:rFonts w:ascii="Verdana" w:eastAsia="Times New Roman" w:hAnsi="Verdana" w:cs="Arial"/>
                <w:color w:val="000000"/>
                <w:sz w:val="18"/>
                <w:szCs w:val="18"/>
                <w:lang w:eastAsia="es-MX"/>
              </w:rPr>
              <w:t>Luna Rojas Jesús Nora</w:t>
            </w:r>
          </w:p>
        </w:tc>
      </w:tr>
      <w:tr w:rsidR="007B74B8" w:rsidRPr="000864AE" w14:paraId="0AEEA089"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451BB" w14:textId="7A675E57"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299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05B62"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Macedo Medina Dora Emilia</w:t>
            </w:r>
          </w:p>
        </w:tc>
      </w:tr>
      <w:tr w:rsidR="007B74B8" w:rsidRPr="000864AE" w14:paraId="494353C8"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16AC0" w14:textId="20B67591"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956CB"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Makishi Inafuku Vicente</w:t>
            </w:r>
          </w:p>
        </w:tc>
      </w:tr>
      <w:tr w:rsidR="007B74B8" w:rsidRPr="000864AE" w14:paraId="47BE1C2A"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1F5AD" w14:textId="69E081E4"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301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AB567"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Manrique Alvarado Jorge Noe</w:t>
            </w:r>
          </w:p>
        </w:tc>
      </w:tr>
      <w:tr w:rsidR="007B74B8" w:rsidRPr="000864AE" w14:paraId="3218B322"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B58E3" w14:textId="2BD316D7"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302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DF04D"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Manrique Sánchez Lea Olga</w:t>
            </w:r>
          </w:p>
        </w:tc>
      </w:tr>
      <w:tr w:rsidR="007B74B8" w:rsidRPr="000864AE" w14:paraId="7B2D937E"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CEE2C" w14:textId="394794BE"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303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A117C"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Marin Carrera Clodomiro</w:t>
            </w:r>
          </w:p>
        </w:tc>
      </w:tr>
      <w:tr w:rsidR="007B74B8" w:rsidRPr="000864AE" w14:paraId="0E964812"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033A0" w14:textId="7305ACAA"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304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93580"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Marmanillo Castro Walter</w:t>
            </w:r>
          </w:p>
        </w:tc>
      </w:tr>
      <w:tr w:rsidR="007B74B8" w:rsidRPr="000864AE" w14:paraId="570C4EDA"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7827A" w14:textId="61D1F9F5"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305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5550A"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Márquez Morante María Delia</w:t>
            </w:r>
          </w:p>
        </w:tc>
      </w:tr>
      <w:tr w:rsidR="007B74B8" w:rsidRPr="000864AE" w14:paraId="75E91F1D"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9E275" w14:textId="48CFF2F1"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306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14D23"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Times New Roman"/>
                <w:color w:val="000000"/>
                <w:sz w:val="18"/>
                <w:szCs w:val="18"/>
                <w:lang w:eastAsia="es-MX"/>
              </w:rPr>
              <w:t>Marro Ibarra Luis Ernesto Francisco</w:t>
            </w:r>
          </w:p>
        </w:tc>
      </w:tr>
      <w:tr w:rsidR="007B74B8" w:rsidRPr="000864AE" w14:paraId="2E7317F2"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B8EDA" w14:textId="7E9EFFDF"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307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409A6" w14:textId="77777777" w:rsidR="007B74B8" w:rsidRPr="000864AE" w:rsidRDefault="007B74B8" w:rsidP="000864AE">
            <w:pPr>
              <w:spacing w:after="0" w:line="240" w:lineRule="auto"/>
              <w:rPr>
                <w:rFonts w:ascii="Verdana" w:eastAsia="Times New Roman" w:hAnsi="Verdana" w:cs="Times New Roman"/>
                <w:color w:val="000000"/>
                <w:sz w:val="18"/>
                <w:szCs w:val="18"/>
                <w:lang w:eastAsia="es-MX"/>
              </w:rPr>
            </w:pPr>
            <w:r w:rsidRPr="000864AE">
              <w:rPr>
                <w:rFonts w:ascii="Verdana" w:eastAsia="Times New Roman" w:hAnsi="Verdana" w:cs="Arial"/>
                <w:color w:val="000000"/>
                <w:sz w:val="18"/>
                <w:szCs w:val="18"/>
                <w:lang w:eastAsia="es-MX"/>
              </w:rPr>
              <w:t>Martel López Carlos Orlando</w:t>
            </w:r>
          </w:p>
        </w:tc>
      </w:tr>
      <w:tr w:rsidR="007B74B8" w:rsidRPr="000864AE" w14:paraId="60EBD270"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A754F" w14:textId="1E025EDB"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308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31BBC"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Martínez Poblete Ercilia</w:t>
            </w:r>
          </w:p>
        </w:tc>
      </w:tr>
      <w:tr w:rsidR="007B74B8" w:rsidRPr="000864AE" w14:paraId="526975FC"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4F60B" w14:textId="31704B8B"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309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FD84A"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Masías Yarleque Víctor</w:t>
            </w:r>
          </w:p>
        </w:tc>
      </w:tr>
      <w:tr w:rsidR="007B74B8" w:rsidRPr="000864AE" w14:paraId="104B431B"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01BFD" w14:textId="35B5DD32"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310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E91C6"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Matías Aguirre Mario</w:t>
            </w:r>
          </w:p>
        </w:tc>
      </w:tr>
      <w:tr w:rsidR="007B74B8" w:rsidRPr="000864AE" w14:paraId="4AAA6DA7"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A250C" w14:textId="1345F07D"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311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C06B7"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Matysek Icochea Vladimir</w:t>
            </w:r>
          </w:p>
        </w:tc>
      </w:tr>
      <w:tr w:rsidR="007B74B8" w:rsidRPr="000864AE" w14:paraId="086FAF29"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D6AFA" w14:textId="002209E6"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312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D9AFD"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Mayhua Vía Gregorio</w:t>
            </w:r>
          </w:p>
        </w:tc>
      </w:tr>
      <w:tr w:rsidR="007B74B8" w:rsidRPr="000864AE" w14:paraId="715E3681"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F63CE" w14:textId="49B4A1E0"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313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49A3E"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Medina Aguirre Alberto Alejandro</w:t>
            </w:r>
          </w:p>
        </w:tc>
      </w:tr>
      <w:tr w:rsidR="007B74B8" w:rsidRPr="000864AE" w14:paraId="60089A46"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DE7FA" w14:textId="4B204AAD"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314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93811"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Medina Chávez Bertha</w:t>
            </w:r>
          </w:p>
        </w:tc>
      </w:tr>
      <w:tr w:rsidR="007B74B8" w:rsidRPr="000864AE" w14:paraId="32E6A0F6"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34ED0" w14:textId="2AA9C379"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315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3642C"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Times New Roman"/>
                <w:color w:val="000000"/>
                <w:sz w:val="18"/>
                <w:szCs w:val="18"/>
                <w:lang w:eastAsia="es-MX"/>
              </w:rPr>
              <w:t>Medina Del Río Evorcio Claver</w:t>
            </w:r>
          </w:p>
        </w:tc>
      </w:tr>
      <w:tr w:rsidR="007B74B8" w:rsidRPr="000864AE" w14:paraId="397ACCF6"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9C0F4" w14:textId="21C6AA67"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316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C2455" w14:textId="77777777" w:rsidR="007B74B8" w:rsidRPr="000864AE" w:rsidRDefault="007B74B8" w:rsidP="000864AE">
            <w:pPr>
              <w:spacing w:after="0" w:line="240" w:lineRule="auto"/>
              <w:rPr>
                <w:rFonts w:ascii="Verdana" w:eastAsia="Times New Roman" w:hAnsi="Verdana" w:cs="Times New Roman"/>
                <w:color w:val="000000"/>
                <w:sz w:val="18"/>
                <w:szCs w:val="18"/>
                <w:lang w:eastAsia="es-MX"/>
              </w:rPr>
            </w:pPr>
            <w:r w:rsidRPr="000864AE">
              <w:rPr>
                <w:rFonts w:ascii="Verdana" w:eastAsia="Times New Roman" w:hAnsi="Verdana" w:cs="Arial"/>
                <w:color w:val="000000"/>
                <w:sz w:val="18"/>
                <w:szCs w:val="18"/>
                <w:lang w:eastAsia="es-MX"/>
              </w:rPr>
              <w:t>Medrano Tito Evangelina</w:t>
            </w:r>
          </w:p>
        </w:tc>
      </w:tr>
      <w:tr w:rsidR="007B74B8" w:rsidRPr="000864AE" w14:paraId="03D57DDD"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5CB6A" w14:textId="6FD25BBA"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317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97760"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Melgar Medina Gil Francisco</w:t>
            </w:r>
          </w:p>
        </w:tc>
      </w:tr>
      <w:tr w:rsidR="007B74B8" w:rsidRPr="000864AE" w14:paraId="7D263ACC"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A2E8D" w14:textId="4031E2CC"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318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89198"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Mendoza Linares Luis Enrique</w:t>
            </w:r>
          </w:p>
        </w:tc>
      </w:tr>
      <w:tr w:rsidR="007B74B8" w:rsidRPr="000864AE" w14:paraId="6FABD5A6"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AA85C" w14:textId="784CDF10"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319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99BD4"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Mendoza Puppi Julia Josefina</w:t>
            </w:r>
          </w:p>
        </w:tc>
      </w:tr>
      <w:tr w:rsidR="007B74B8" w:rsidRPr="000864AE" w14:paraId="7C96A740"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04601" w14:textId="752E09A4"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320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A6238"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Mendoza Puppi Rosa Amelia</w:t>
            </w:r>
          </w:p>
        </w:tc>
      </w:tr>
      <w:tr w:rsidR="007B74B8" w:rsidRPr="000864AE" w14:paraId="171B77FC"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B4932" w14:textId="030756ED"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321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3E23F"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Mescua Bonifacio Esther Primitiva</w:t>
            </w:r>
          </w:p>
        </w:tc>
      </w:tr>
      <w:tr w:rsidR="007B74B8" w:rsidRPr="000864AE" w14:paraId="3D520758"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6C402" w14:textId="460896ED"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322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A42D1"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Times New Roman"/>
                <w:color w:val="000000"/>
                <w:sz w:val="18"/>
                <w:szCs w:val="18"/>
                <w:lang w:eastAsia="es-MX"/>
              </w:rPr>
              <w:t>Mesones Carmona Virginia Victoria Sofía</w:t>
            </w:r>
          </w:p>
        </w:tc>
      </w:tr>
      <w:tr w:rsidR="007B74B8" w:rsidRPr="000864AE" w14:paraId="4BCDE61B"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09662" w14:textId="45D6C2AC"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323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5F828" w14:textId="77777777" w:rsidR="007B74B8" w:rsidRPr="000864AE" w:rsidRDefault="007B74B8" w:rsidP="000864AE">
            <w:pPr>
              <w:spacing w:after="0" w:line="240" w:lineRule="auto"/>
              <w:rPr>
                <w:rFonts w:ascii="Verdana" w:eastAsia="Times New Roman" w:hAnsi="Verdana" w:cs="Times New Roman"/>
                <w:color w:val="000000"/>
                <w:sz w:val="18"/>
                <w:szCs w:val="18"/>
                <w:lang w:eastAsia="es-MX"/>
              </w:rPr>
            </w:pPr>
            <w:r w:rsidRPr="000864AE">
              <w:rPr>
                <w:rFonts w:ascii="Verdana" w:eastAsia="Times New Roman" w:hAnsi="Verdana" w:cs="Arial"/>
                <w:color w:val="000000"/>
                <w:sz w:val="18"/>
                <w:szCs w:val="18"/>
                <w:lang w:eastAsia="es-MX"/>
              </w:rPr>
              <w:t>Mesones Núñez Ana Emperatriz</w:t>
            </w:r>
          </w:p>
        </w:tc>
      </w:tr>
      <w:tr w:rsidR="007B74B8" w:rsidRPr="000864AE" w14:paraId="037339AE"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16FE7" w14:textId="7EC1F0DC"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324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EBF72"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Meza Suárez Beltrán Abraham</w:t>
            </w:r>
          </w:p>
        </w:tc>
      </w:tr>
      <w:tr w:rsidR="007B74B8" w:rsidRPr="000864AE" w14:paraId="1D7CDC71"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883B3" w14:textId="3778F9D6"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325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172C6"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Milla Figueroa Eduardo Gamaniel</w:t>
            </w:r>
          </w:p>
        </w:tc>
      </w:tr>
      <w:tr w:rsidR="007B74B8" w:rsidRPr="000864AE" w14:paraId="0D65FE23"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18B9A" w14:textId="565DF0AD"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326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587C2"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Miranda Coronel Weissen</w:t>
            </w:r>
          </w:p>
        </w:tc>
      </w:tr>
      <w:tr w:rsidR="007B74B8" w:rsidRPr="000864AE" w14:paraId="1245DAA3"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34455" w14:textId="171E767E"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327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12C85"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Times New Roman"/>
                <w:color w:val="000000"/>
                <w:sz w:val="18"/>
                <w:szCs w:val="18"/>
                <w:lang w:eastAsia="es-MX"/>
              </w:rPr>
              <w:t xml:space="preserve">Miranda Fontana Manuel Jesús </w:t>
            </w:r>
          </w:p>
        </w:tc>
      </w:tr>
      <w:tr w:rsidR="007B74B8" w:rsidRPr="000864AE" w14:paraId="0B75B71B"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15D7C" w14:textId="22A38F7A"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328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C0F5A" w14:textId="77777777" w:rsidR="007B74B8" w:rsidRPr="000864AE" w:rsidRDefault="007B74B8" w:rsidP="000864AE">
            <w:pPr>
              <w:spacing w:after="0" w:line="240" w:lineRule="auto"/>
              <w:rPr>
                <w:rFonts w:ascii="Verdana" w:eastAsia="Times New Roman" w:hAnsi="Verdana" w:cs="Times New Roman"/>
                <w:color w:val="000000"/>
                <w:sz w:val="18"/>
                <w:szCs w:val="18"/>
                <w:lang w:eastAsia="es-MX"/>
              </w:rPr>
            </w:pPr>
            <w:r w:rsidRPr="000864AE">
              <w:rPr>
                <w:rFonts w:ascii="Verdana" w:eastAsia="Times New Roman" w:hAnsi="Verdana" w:cs="Arial"/>
                <w:color w:val="000000"/>
                <w:sz w:val="18"/>
                <w:szCs w:val="18"/>
                <w:lang w:eastAsia="es-MX"/>
              </w:rPr>
              <w:t>Miranda Sánchez Gloria Isabel</w:t>
            </w:r>
          </w:p>
        </w:tc>
      </w:tr>
      <w:tr w:rsidR="007B74B8" w:rsidRPr="000864AE" w14:paraId="71832165"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E3E42" w14:textId="3167C7DE"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329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72D56"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Times New Roman"/>
                <w:color w:val="000000"/>
                <w:sz w:val="18"/>
                <w:szCs w:val="18"/>
                <w:lang w:eastAsia="es-MX"/>
              </w:rPr>
              <w:t>Mogollón Pérez Wilfredo</w:t>
            </w:r>
          </w:p>
        </w:tc>
      </w:tr>
      <w:tr w:rsidR="007B74B8" w:rsidRPr="000864AE" w14:paraId="18524080"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501C6" w14:textId="0902A0BA"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330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1D9EE" w14:textId="77777777" w:rsidR="007B74B8" w:rsidRPr="000864AE" w:rsidRDefault="007B74B8" w:rsidP="000864AE">
            <w:pPr>
              <w:spacing w:after="0" w:line="240" w:lineRule="auto"/>
              <w:rPr>
                <w:rFonts w:ascii="Verdana" w:eastAsia="Times New Roman" w:hAnsi="Verdana" w:cs="Times New Roman"/>
                <w:color w:val="000000"/>
                <w:sz w:val="18"/>
                <w:szCs w:val="18"/>
                <w:lang w:eastAsia="es-MX"/>
              </w:rPr>
            </w:pPr>
            <w:r w:rsidRPr="000864AE">
              <w:rPr>
                <w:rFonts w:ascii="Verdana" w:eastAsia="Times New Roman" w:hAnsi="Verdana" w:cs="Arial"/>
                <w:color w:val="000000"/>
                <w:sz w:val="18"/>
                <w:szCs w:val="18"/>
                <w:lang w:eastAsia="es-MX"/>
              </w:rPr>
              <w:t>Mondragon Meléndez Anselmo Pedro</w:t>
            </w:r>
          </w:p>
        </w:tc>
      </w:tr>
      <w:tr w:rsidR="007B74B8" w:rsidRPr="000864AE" w14:paraId="18586EFE"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13B74" w14:textId="1AC02F3A"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331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29985"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Times New Roman"/>
                <w:color w:val="000000"/>
                <w:sz w:val="18"/>
                <w:szCs w:val="18"/>
                <w:lang w:eastAsia="es-MX"/>
              </w:rPr>
              <w:t>Mondragón Orrego Teodoro</w:t>
            </w:r>
          </w:p>
        </w:tc>
      </w:tr>
      <w:tr w:rsidR="007B74B8" w:rsidRPr="000864AE" w14:paraId="1198DDA5"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6BA6D" w14:textId="3551F96A"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332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AAB41" w14:textId="77777777" w:rsidR="007B74B8" w:rsidRPr="000864AE" w:rsidRDefault="007B74B8" w:rsidP="000864AE">
            <w:pPr>
              <w:spacing w:after="0" w:line="240" w:lineRule="auto"/>
              <w:rPr>
                <w:rFonts w:ascii="Verdana" w:eastAsia="Times New Roman" w:hAnsi="Verdana" w:cs="Times New Roman"/>
                <w:color w:val="000000"/>
                <w:sz w:val="18"/>
                <w:szCs w:val="18"/>
                <w:lang w:eastAsia="es-MX"/>
              </w:rPr>
            </w:pPr>
            <w:r w:rsidRPr="000864AE">
              <w:rPr>
                <w:rFonts w:ascii="Verdana" w:eastAsia="Times New Roman" w:hAnsi="Verdana" w:cs="Arial"/>
                <w:color w:val="000000"/>
                <w:sz w:val="18"/>
                <w:szCs w:val="18"/>
                <w:lang w:eastAsia="es-MX"/>
              </w:rPr>
              <w:t>Mondragón Vásquez Segundo Avelino</w:t>
            </w:r>
          </w:p>
        </w:tc>
      </w:tr>
      <w:tr w:rsidR="007B74B8" w:rsidRPr="000864AE" w14:paraId="67C419B1"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BAE53" w14:textId="3C5DCDF3"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333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B8683"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Mongrut Fuentes Antero Alfonzo</w:t>
            </w:r>
          </w:p>
        </w:tc>
      </w:tr>
      <w:tr w:rsidR="007B74B8" w:rsidRPr="000864AE" w14:paraId="3670302B"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A8DCA" w14:textId="714365D5"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334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E6D34"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Montes Ballón Sofía Edelmira</w:t>
            </w:r>
          </w:p>
        </w:tc>
      </w:tr>
      <w:tr w:rsidR="007B74B8" w:rsidRPr="000864AE" w14:paraId="66C4D38D"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4B804" w14:textId="3CD2B008"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335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4357D"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Monteza Saavedra Segundo Miguel</w:t>
            </w:r>
          </w:p>
        </w:tc>
      </w:tr>
      <w:tr w:rsidR="007B74B8" w:rsidRPr="000864AE" w14:paraId="3F6C238D"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4AB94" w14:textId="52597E75"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336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7210F"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Montoro Bejarano Julio</w:t>
            </w:r>
          </w:p>
        </w:tc>
      </w:tr>
      <w:tr w:rsidR="007B74B8" w:rsidRPr="000864AE" w14:paraId="2374EEF0"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CAFAA" w14:textId="6C639BBE"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337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BE5A0"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Morales Cruzatti Luis Oswaldo</w:t>
            </w:r>
          </w:p>
        </w:tc>
      </w:tr>
      <w:tr w:rsidR="007B74B8" w:rsidRPr="000864AE" w14:paraId="554830CF"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F2F6C" w14:textId="7AFCF991"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338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B31F3"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Morales Vargas Héctor Álvaro</w:t>
            </w:r>
          </w:p>
        </w:tc>
      </w:tr>
      <w:tr w:rsidR="007B74B8" w:rsidRPr="000864AE" w14:paraId="21545ABD"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56704" w14:textId="1419E1FF"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339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DDAEC"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Moran Ascama Jorge Rufino</w:t>
            </w:r>
          </w:p>
        </w:tc>
      </w:tr>
      <w:tr w:rsidR="007B74B8" w:rsidRPr="000864AE" w14:paraId="4A711B53"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9D7AE" w14:textId="608BB044"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340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411F1"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Moreano Casquino Carmen Bernardina</w:t>
            </w:r>
          </w:p>
        </w:tc>
      </w:tr>
      <w:tr w:rsidR="007B74B8" w:rsidRPr="000864AE" w14:paraId="4E2B2905"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211A5" w14:textId="7175BBF8"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341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BE69E"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Moreno Araujo Eva María</w:t>
            </w:r>
          </w:p>
        </w:tc>
      </w:tr>
      <w:tr w:rsidR="007B74B8" w:rsidRPr="000864AE" w14:paraId="49960352"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174B0" w14:textId="3BBF519D"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342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675E7"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Morillo Rojas Sara</w:t>
            </w:r>
          </w:p>
        </w:tc>
      </w:tr>
      <w:tr w:rsidR="007B74B8" w:rsidRPr="000864AE" w14:paraId="6160D3FA"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A49EB" w14:textId="3356C450" w:rsidR="007B74B8" w:rsidRPr="000864AE" w:rsidRDefault="000E1E9B"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343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269C6"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Morocho Vásquez Rosa Adelguisa</w:t>
            </w:r>
          </w:p>
        </w:tc>
      </w:tr>
      <w:tr w:rsidR="007B74B8" w:rsidRPr="000864AE" w14:paraId="431432DC"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1122F" w14:textId="5A3D1009" w:rsidR="007B74B8" w:rsidRPr="00113E03"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344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6137249"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113E03">
              <w:rPr>
                <w:rFonts w:ascii="Verdana" w:eastAsia="Times New Roman" w:hAnsi="Verdana" w:cs="Arial"/>
                <w:color w:val="000000"/>
                <w:sz w:val="18"/>
                <w:szCs w:val="18"/>
                <w:lang w:eastAsia="es-MX"/>
              </w:rPr>
              <w:t>Mostajo Pinazo Carmen Beatriz</w:t>
            </w:r>
          </w:p>
        </w:tc>
      </w:tr>
      <w:tr w:rsidR="007B74B8" w:rsidRPr="000864AE" w14:paraId="2457DD6B"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001AD" w14:textId="53556C07"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345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D4F4C"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Moy Pacora Alejandro José</w:t>
            </w:r>
          </w:p>
        </w:tc>
      </w:tr>
      <w:tr w:rsidR="007B74B8" w:rsidRPr="000864AE" w14:paraId="0CD03259"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61E4C" w14:textId="347E394F"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346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52DF1"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Muñoz Campos Ode Raúl</w:t>
            </w:r>
          </w:p>
        </w:tc>
      </w:tr>
      <w:tr w:rsidR="007B74B8" w:rsidRPr="000864AE" w14:paraId="1CEF4C3F"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831DC" w14:textId="1E05B17E"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347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DA13B"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Muñoz Chávez Ángel</w:t>
            </w:r>
          </w:p>
        </w:tc>
      </w:tr>
      <w:tr w:rsidR="007B74B8" w:rsidRPr="000864AE" w14:paraId="55EF2413"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CD160" w14:textId="165E8FB6"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348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5090419"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Muñoz Leguía María Rosa</w:t>
            </w:r>
          </w:p>
        </w:tc>
      </w:tr>
      <w:tr w:rsidR="007B74B8" w:rsidRPr="000864AE" w14:paraId="7791AADC"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7C372" w14:textId="33A34852"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349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1BE63"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Muñoz Zambrano Carlos</w:t>
            </w:r>
          </w:p>
        </w:tc>
      </w:tr>
      <w:tr w:rsidR="007B74B8" w:rsidRPr="000864AE" w14:paraId="2152FB06"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4C464" w14:textId="258C5E44"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EFD95"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Napuri Rondoy Jorge Alberto</w:t>
            </w:r>
          </w:p>
        </w:tc>
      </w:tr>
      <w:tr w:rsidR="007B74B8" w:rsidRPr="000864AE" w14:paraId="26F592D0"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4CA02" w14:textId="42A1A311"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351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66461"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Navarro Ayaucan Raúl Andrés</w:t>
            </w:r>
          </w:p>
        </w:tc>
      </w:tr>
      <w:tr w:rsidR="007B74B8" w:rsidRPr="000864AE" w14:paraId="2935CCDB"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E0A88" w14:textId="2B1E3C9E"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352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6DC7F"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Neyra Salas Luz Bari Miria</w:t>
            </w:r>
          </w:p>
        </w:tc>
      </w:tr>
      <w:tr w:rsidR="007B74B8" w:rsidRPr="000864AE" w14:paraId="78BADE70"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0A36F" w14:textId="2F18F59C"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353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AA3CF"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Noel Urbina Gilberto</w:t>
            </w:r>
          </w:p>
        </w:tc>
      </w:tr>
      <w:tr w:rsidR="007B74B8" w:rsidRPr="000864AE" w14:paraId="6E1A0357"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46F44" w14:textId="5E4FED15"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354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D51DA"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Noriega Cossío Oscar</w:t>
            </w:r>
          </w:p>
        </w:tc>
      </w:tr>
      <w:tr w:rsidR="007B74B8" w:rsidRPr="000864AE" w14:paraId="25103C90"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F1710" w14:textId="04D9532A"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355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4C7C2"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Núñez Alatrista Gloria Ruth</w:t>
            </w:r>
          </w:p>
        </w:tc>
      </w:tr>
      <w:tr w:rsidR="007B74B8" w:rsidRPr="000864AE" w14:paraId="05568674"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0270B" w14:textId="1A3C6131"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356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6BCD1"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Times New Roman"/>
                <w:color w:val="000000"/>
                <w:sz w:val="18"/>
                <w:szCs w:val="18"/>
                <w:lang w:eastAsia="es-MX"/>
              </w:rPr>
              <w:t>Núñez Gonzáles Yolanda</w:t>
            </w:r>
          </w:p>
        </w:tc>
      </w:tr>
      <w:tr w:rsidR="007B74B8" w:rsidRPr="000864AE" w14:paraId="6B681A2B"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0D286" w14:textId="23805E71"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357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95C55" w14:textId="77777777" w:rsidR="007B74B8" w:rsidRPr="000864AE" w:rsidRDefault="007B74B8" w:rsidP="000864AE">
            <w:pPr>
              <w:spacing w:after="0" w:line="240" w:lineRule="auto"/>
              <w:rPr>
                <w:rFonts w:ascii="Verdana" w:eastAsia="Times New Roman" w:hAnsi="Verdana" w:cs="Times New Roman"/>
                <w:color w:val="000000"/>
                <w:sz w:val="18"/>
                <w:szCs w:val="18"/>
                <w:lang w:eastAsia="es-MX"/>
              </w:rPr>
            </w:pPr>
            <w:r w:rsidRPr="000864AE">
              <w:rPr>
                <w:rFonts w:ascii="Verdana" w:eastAsia="Times New Roman" w:hAnsi="Verdana" w:cs="Arial"/>
                <w:color w:val="000000"/>
                <w:sz w:val="18"/>
                <w:szCs w:val="18"/>
                <w:lang w:eastAsia="es-MX"/>
              </w:rPr>
              <w:t>Núñez Quispe Gregorio</w:t>
            </w:r>
          </w:p>
        </w:tc>
      </w:tr>
      <w:tr w:rsidR="007B74B8" w:rsidRPr="000864AE" w14:paraId="174DF889"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0D60A" w14:textId="25A778EE"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358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FFF31"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Núñez Talavera Gabriela Gladys</w:t>
            </w:r>
          </w:p>
        </w:tc>
      </w:tr>
      <w:tr w:rsidR="007B74B8" w:rsidRPr="000864AE" w14:paraId="37C893EE"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44B4E" w14:textId="134011D0"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359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9B744"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Oblitas Carrión Dina Augusta</w:t>
            </w:r>
          </w:p>
        </w:tc>
      </w:tr>
      <w:tr w:rsidR="007B74B8" w:rsidRPr="000864AE" w14:paraId="24399640"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FDE57" w14:textId="681DD0AE"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360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17105"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Obregón Tello Erlinda</w:t>
            </w:r>
          </w:p>
        </w:tc>
      </w:tr>
      <w:tr w:rsidR="007B74B8" w:rsidRPr="000864AE" w14:paraId="7FB02079"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5C906" w14:textId="618863A4"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361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DD8BA"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Ocrospoma Valdez Fermín Claudio</w:t>
            </w:r>
          </w:p>
        </w:tc>
      </w:tr>
      <w:tr w:rsidR="007B74B8" w:rsidRPr="000864AE" w14:paraId="37646CD4"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AB80C" w14:textId="3FD93CEC"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362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36207"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Ojeda Macedo Arturo</w:t>
            </w:r>
          </w:p>
        </w:tc>
      </w:tr>
      <w:tr w:rsidR="007B74B8" w:rsidRPr="000864AE" w14:paraId="7B688897"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FC308" w14:textId="0065FCE6"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363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9BE5B"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Ojeda Ovalle Joaquín Jacinto</w:t>
            </w:r>
          </w:p>
        </w:tc>
      </w:tr>
      <w:tr w:rsidR="007B74B8" w:rsidRPr="000864AE" w14:paraId="0BBB0953"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CF965" w14:textId="3808D90F"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364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8914D"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Ojeda Y Lazo Luz Ysolina Juliana</w:t>
            </w:r>
          </w:p>
        </w:tc>
      </w:tr>
      <w:tr w:rsidR="007B74B8" w:rsidRPr="000864AE" w14:paraId="0797BB64"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15A2B" w14:textId="06AB7D80"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365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CF31F"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Olivera Torres Iris Mabel</w:t>
            </w:r>
          </w:p>
        </w:tc>
      </w:tr>
      <w:tr w:rsidR="007B74B8" w:rsidRPr="005A5D3C" w14:paraId="36B59D1D"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C979C" w14:textId="5B9C30B3"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366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122ED" w14:textId="77777777" w:rsidR="007B74B8" w:rsidRPr="000864AE" w:rsidRDefault="007B74B8" w:rsidP="000864AE">
            <w:pPr>
              <w:spacing w:after="0" w:line="240" w:lineRule="auto"/>
              <w:rPr>
                <w:rFonts w:ascii="Verdana" w:eastAsia="Times New Roman" w:hAnsi="Verdana" w:cs="Arial"/>
                <w:color w:val="000000"/>
                <w:sz w:val="18"/>
                <w:szCs w:val="18"/>
                <w:lang w:val="pt-BR" w:eastAsia="es-MX"/>
              </w:rPr>
            </w:pPr>
            <w:r w:rsidRPr="000864AE">
              <w:rPr>
                <w:rFonts w:ascii="Verdana" w:eastAsia="Times New Roman" w:hAnsi="Verdana" w:cs="Arial"/>
                <w:color w:val="000000"/>
                <w:sz w:val="18"/>
                <w:szCs w:val="18"/>
                <w:lang w:val="pt-BR" w:eastAsia="es-MX"/>
              </w:rPr>
              <w:t>Olivera Torres Judith Manuela Victoria</w:t>
            </w:r>
          </w:p>
        </w:tc>
      </w:tr>
      <w:tr w:rsidR="007B74B8" w:rsidRPr="000864AE" w14:paraId="1D852AC6"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93228" w14:textId="517D6BBD"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367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61375" w14:textId="1078A688" w:rsidR="007B74B8" w:rsidRPr="000864AE" w:rsidRDefault="001F62BD"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Olórtegui Ángeles Cristi</w:t>
            </w:r>
            <w:r w:rsidR="007B74B8" w:rsidRPr="000864AE">
              <w:rPr>
                <w:rFonts w:ascii="Verdana" w:eastAsia="Times New Roman" w:hAnsi="Verdana" w:cs="Arial"/>
                <w:color w:val="000000"/>
                <w:sz w:val="18"/>
                <w:szCs w:val="18"/>
                <w:lang w:eastAsia="es-MX"/>
              </w:rPr>
              <w:t>n Rodrigo</w:t>
            </w:r>
          </w:p>
        </w:tc>
      </w:tr>
      <w:tr w:rsidR="007B74B8" w:rsidRPr="000864AE" w14:paraId="5CFC9797"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6BB69" w14:textId="728B2235"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368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05794"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Orihuela Herrera Luis Mariano</w:t>
            </w:r>
          </w:p>
        </w:tc>
      </w:tr>
      <w:tr w:rsidR="007B74B8" w:rsidRPr="000864AE" w14:paraId="6B1472D2"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058FD" w14:textId="02822876"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369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2D9A5"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Times New Roman"/>
                <w:color w:val="000000"/>
                <w:sz w:val="18"/>
                <w:szCs w:val="18"/>
                <w:lang w:eastAsia="es-MX"/>
              </w:rPr>
              <w:t>Orrala Farfán Manuel Jacinto</w:t>
            </w:r>
          </w:p>
        </w:tc>
      </w:tr>
      <w:tr w:rsidR="007B74B8" w:rsidRPr="000864AE" w14:paraId="563982AD"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5C101" w14:textId="13A49861"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370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9E741" w14:textId="77777777" w:rsidR="007B74B8" w:rsidRPr="000864AE" w:rsidRDefault="007B74B8" w:rsidP="000864AE">
            <w:pPr>
              <w:spacing w:after="0" w:line="240" w:lineRule="auto"/>
              <w:rPr>
                <w:rFonts w:ascii="Verdana" w:eastAsia="Times New Roman" w:hAnsi="Verdana" w:cs="Times New Roman"/>
                <w:color w:val="000000"/>
                <w:sz w:val="18"/>
                <w:szCs w:val="18"/>
                <w:lang w:eastAsia="es-MX"/>
              </w:rPr>
            </w:pPr>
            <w:r w:rsidRPr="000864AE">
              <w:rPr>
                <w:rFonts w:ascii="Verdana" w:eastAsia="Times New Roman" w:hAnsi="Verdana" w:cs="Arial"/>
                <w:color w:val="000000"/>
                <w:sz w:val="18"/>
                <w:szCs w:val="18"/>
                <w:lang w:eastAsia="es-MX"/>
              </w:rPr>
              <w:t>Orrillo Chávez Esau</w:t>
            </w:r>
          </w:p>
        </w:tc>
      </w:tr>
      <w:tr w:rsidR="007B74B8" w:rsidRPr="000864AE" w14:paraId="72B85879"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70D6C" w14:textId="27D7F14F"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371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ADB9F"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Ortiz Basauri Carmen Eufemia</w:t>
            </w:r>
          </w:p>
        </w:tc>
      </w:tr>
      <w:tr w:rsidR="007B74B8" w:rsidRPr="000864AE" w14:paraId="78F705C6"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270183" w14:textId="6AF0FB99"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372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471B343"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Ortiz León Mabel Noemí</w:t>
            </w:r>
          </w:p>
        </w:tc>
      </w:tr>
      <w:tr w:rsidR="007B74B8" w:rsidRPr="000864AE" w14:paraId="2C7BDB5A"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58779" w14:textId="31CBEE39"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373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B0140"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Oshiro Oshiro Rosa Yosiko</w:t>
            </w:r>
          </w:p>
        </w:tc>
      </w:tr>
      <w:tr w:rsidR="007B74B8" w:rsidRPr="000864AE" w14:paraId="2652ADF1"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9AE323" w14:textId="0DB84929"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374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F088E95"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Osiro Matusaki Lilian Lucy</w:t>
            </w:r>
          </w:p>
        </w:tc>
      </w:tr>
      <w:tr w:rsidR="007B74B8" w:rsidRPr="000864AE" w14:paraId="1AA8B3D5"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7B8C9" w14:textId="701E9866"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375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8E6BC"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Otoya Torres María Gusmara</w:t>
            </w:r>
          </w:p>
        </w:tc>
      </w:tr>
      <w:tr w:rsidR="007B74B8" w:rsidRPr="000864AE" w14:paraId="1BB1D1D6"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7BDD5" w14:textId="1D57D92B"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376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50A6AD9"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Otoya Velezmoro Miguel Antonio</w:t>
            </w:r>
          </w:p>
        </w:tc>
      </w:tr>
      <w:tr w:rsidR="007B74B8" w:rsidRPr="000864AE" w14:paraId="08EAF6D1"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BD1C4" w14:textId="140A1EC5"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377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B0992"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Oviedo Gómez Carlos Humberto</w:t>
            </w:r>
          </w:p>
        </w:tc>
      </w:tr>
      <w:tr w:rsidR="007B74B8" w:rsidRPr="000864AE" w14:paraId="7E0D1A75"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B5C0F" w14:textId="338A686B"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378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784C5"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Pacheco Camargo Juan</w:t>
            </w:r>
          </w:p>
        </w:tc>
      </w:tr>
      <w:tr w:rsidR="007B74B8" w:rsidRPr="000864AE" w14:paraId="09C8C246"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CF0BD" w14:textId="44B255CB"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379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66C74C8"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Pacheco Tueros Luis Enrique</w:t>
            </w:r>
          </w:p>
        </w:tc>
      </w:tr>
      <w:tr w:rsidR="007B74B8" w:rsidRPr="000864AE" w14:paraId="2B93E6C1"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1B1F2" w14:textId="34C731F3"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380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48BCD"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Pajuelo Villegas Elsa Haydee</w:t>
            </w:r>
          </w:p>
        </w:tc>
      </w:tr>
      <w:tr w:rsidR="007B74B8" w:rsidRPr="000864AE" w14:paraId="11361EFF"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84531" w14:textId="6484BABE"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381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342CB"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Palma Flores Ricardo Enrique</w:t>
            </w:r>
          </w:p>
        </w:tc>
      </w:tr>
      <w:tr w:rsidR="007B74B8" w:rsidRPr="000864AE" w14:paraId="63DF6153"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FC76B" w14:textId="4F63FF48"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382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24935"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Palma Flores Rosa Elvira</w:t>
            </w:r>
          </w:p>
        </w:tc>
      </w:tr>
      <w:tr w:rsidR="007B74B8" w:rsidRPr="000864AE" w14:paraId="5A749AB4"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59CA6" w14:textId="617BCCB5"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383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74A91"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Pantoja Marroquín Hilda Teresa</w:t>
            </w:r>
          </w:p>
        </w:tc>
      </w:tr>
      <w:tr w:rsidR="007B74B8" w:rsidRPr="000864AE" w14:paraId="0B5ED1E6"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FD94F" w14:textId="205CECFD"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384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09772"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Pardo Heredia Alejandro</w:t>
            </w:r>
          </w:p>
        </w:tc>
      </w:tr>
      <w:tr w:rsidR="007B74B8" w:rsidRPr="000864AE" w14:paraId="2D04EB8E"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72418" w14:textId="5A1E7E73"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385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087C1"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Pardo Vega José Armando</w:t>
            </w:r>
          </w:p>
        </w:tc>
      </w:tr>
      <w:tr w:rsidR="007B74B8" w:rsidRPr="000864AE" w14:paraId="36732859"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D6467" w14:textId="15142721"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386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197A3"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Paredes Meléndez Teresa Elizabeth</w:t>
            </w:r>
          </w:p>
        </w:tc>
      </w:tr>
      <w:tr w:rsidR="007B74B8" w:rsidRPr="000864AE" w14:paraId="279C26FC"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FB9E4" w14:textId="495A6C90"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387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B5EAE"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Paredes Panduro Luis</w:t>
            </w:r>
          </w:p>
        </w:tc>
      </w:tr>
      <w:tr w:rsidR="007B74B8" w:rsidRPr="000864AE" w14:paraId="366482AE"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4912" w14:textId="780EDC79"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388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001DE"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Parker Pacheco Estrella Luz</w:t>
            </w:r>
          </w:p>
        </w:tc>
      </w:tr>
      <w:tr w:rsidR="007B74B8" w:rsidRPr="000864AE" w14:paraId="47426082"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62FAB" w14:textId="3BDFD3A8"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389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F8086"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Parra Loli Wladimiro Hugo</w:t>
            </w:r>
          </w:p>
        </w:tc>
      </w:tr>
      <w:tr w:rsidR="007B74B8" w:rsidRPr="000864AE" w14:paraId="0BB1B649"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D2E2C" w14:textId="486B9B95"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390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12ABF"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Parra Sánchez José Santos</w:t>
            </w:r>
          </w:p>
        </w:tc>
      </w:tr>
      <w:tr w:rsidR="007B74B8" w:rsidRPr="000864AE" w14:paraId="1A0C865A"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ABA47" w14:textId="467A30AF"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391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912A2"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Pasco Fitzgerald Elva Hercilia</w:t>
            </w:r>
          </w:p>
        </w:tc>
      </w:tr>
      <w:tr w:rsidR="007B74B8" w:rsidRPr="000864AE" w14:paraId="7A15E6B6"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AF8B1" w14:textId="1323167E"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392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3A1E1"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Pasquel Ormaza Francisco</w:t>
            </w:r>
          </w:p>
        </w:tc>
      </w:tr>
      <w:tr w:rsidR="007B74B8" w:rsidRPr="000864AE" w14:paraId="0D6A385D"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0DA3D" w14:textId="50D74D0E"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393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13566"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Paulini Efio Elia Nora</w:t>
            </w:r>
          </w:p>
        </w:tc>
      </w:tr>
      <w:tr w:rsidR="007B74B8" w:rsidRPr="000864AE" w14:paraId="4CD91144"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10501" w14:textId="0FC1D89D"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394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9BA34"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Peña Flores Irma</w:t>
            </w:r>
          </w:p>
        </w:tc>
      </w:tr>
      <w:tr w:rsidR="007B74B8" w:rsidRPr="000864AE" w14:paraId="7841BFDE"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83645" w14:textId="43ABBE20"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395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6C35E"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Peppe Riega Nicolás</w:t>
            </w:r>
          </w:p>
        </w:tc>
      </w:tr>
      <w:tr w:rsidR="007B74B8" w:rsidRPr="000864AE" w14:paraId="3823E326"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A95DF" w14:textId="1924530F"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396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446FB"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Peralta Zegarra Zoila Aurora</w:t>
            </w:r>
          </w:p>
        </w:tc>
      </w:tr>
      <w:tr w:rsidR="007B74B8" w:rsidRPr="000864AE" w14:paraId="334B8FA6"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E0C15" w14:textId="455861BF"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397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27552"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Pereyra Echegaray Elsa Rosario</w:t>
            </w:r>
          </w:p>
        </w:tc>
      </w:tr>
      <w:tr w:rsidR="007B74B8" w:rsidRPr="000864AE" w14:paraId="1080820C"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2AA5E" w14:textId="7C28696A"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398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EDAE6"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Pérez Alejos Vicente Wilson</w:t>
            </w:r>
          </w:p>
        </w:tc>
      </w:tr>
      <w:tr w:rsidR="007B74B8" w:rsidRPr="000864AE" w14:paraId="5C3810EC"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9CDB1" w14:textId="49D0827D"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399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4D624"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Pérez Castro Julián</w:t>
            </w:r>
          </w:p>
        </w:tc>
      </w:tr>
      <w:tr w:rsidR="007B74B8" w:rsidRPr="000864AE" w14:paraId="27B23E43"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E12A9" w14:textId="66BB90AE"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ED0EF"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Pérez Choque María Victoria</w:t>
            </w:r>
          </w:p>
        </w:tc>
      </w:tr>
      <w:tr w:rsidR="007B74B8" w:rsidRPr="000864AE" w14:paraId="4AEA3ABA"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B5738" w14:textId="13511645"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401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DF91A"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Times New Roman"/>
                <w:color w:val="000000"/>
                <w:sz w:val="18"/>
                <w:szCs w:val="18"/>
                <w:lang w:eastAsia="es-MX"/>
              </w:rPr>
              <w:t>Pérez Frazer María De Lourdes</w:t>
            </w:r>
          </w:p>
        </w:tc>
      </w:tr>
      <w:tr w:rsidR="007B74B8" w:rsidRPr="000864AE" w14:paraId="65673A76"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BDB12" w14:textId="3C24B2E4"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402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011CA" w14:textId="77777777" w:rsidR="007B74B8" w:rsidRPr="000864AE" w:rsidRDefault="007B74B8" w:rsidP="000864AE">
            <w:pPr>
              <w:spacing w:after="0" w:line="240" w:lineRule="auto"/>
              <w:rPr>
                <w:rFonts w:ascii="Verdana" w:eastAsia="Times New Roman" w:hAnsi="Verdana" w:cs="Times New Roman"/>
                <w:color w:val="000000"/>
                <w:sz w:val="18"/>
                <w:szCs w:val="18"/>
                <w:lang w:eastAsia="es-MX"/>
              </w:rPr>
            </w:pPr>
            <w:r w:rsidRPr="000864AE">
              <w:rPr>
                <w:rFonts w:ascii="Verdana" w:eastAsia="Times New Roman" w:hAnsi="Verdana" w:cs="Arial"/>
                <w:color w:val="000000"/>
                <w:sz w:val="18"/>
                <w:szCs w:val="18"/>
                <w:lang w:eastAsia="es-MX"/>
              </w:rPr>
              <w:t>Pérez Minaya Luis Mariano</w:t>
            </w:r>
          </w:p>
        </w:tc>
      </w:tr>
      <w:tr w:rsidR="007B74B8" w:rsidRPr="000864AE" w14:paraId="761300A8"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AB707" w14:textId="7646BCCB"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403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C728B"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Pérez Salas Víctor Raúl</w:t>
            </w:r>
          </w:p>
        </w:tc>
      </w:tr>
      <w:tr w:rsidR="007B74B8" w:rsidRPr="000864AE" w14:paraId="1444A4F3"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D15C8" w14:textId="262BC78C"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404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97119"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Pérez Vergara Marina Herminia</w:t>
            </w:r>
          </w:p>
        </w:tc>
      </w:tr>
      <w:tr w:rsidR="007B74B8" w:rsidRPr="000864AE" w14:paraId="03C8C694"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8C217" w14:textId="294737B1"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405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AAE98"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Pinedo López Lady</w:t>
            </w:r>
          </w:p>
        </w:tc>
      </w:tr>
      <w:tr w:rsidR="007B74B8" w:rsidRPr="000864AE" w14:paraId="70E53A48"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6C893" w14:textId="7473DC15"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406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97AB5"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Placencia Carranza Hugo Alberto</w:t>
            </w:r>
          </w:p>
        </w:tc>
      </w:tr>
      <w:tr w:rsidR="007B74B8" w:rsidRPr="000864AE" w14:paraId="2224F69A"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9D5C4" w14:textId="338CD88D"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407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A928D"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Plasencia Torres Jorge Guillermo</w:t>
            </w:r>
          </w:p>
        </w:tc>
      </w:tr>
      <w:tr w:rsidR="007B74B8" w:rsidRPr="000864AE" w14:paraId="5C825DC7"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54171" w14:textId="095B35A8"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408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C8189"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Times New Roman"/>
                <w:color w:val="000000"/>
                <w:sz w:val="18"/>
                <w:szCs w:val="18"/>
                <w:lang w:eastAsia="es-MX"/>
              </w:rPr>
              <w:t>Poblete Loayza Víctor</w:t>
            </w:r>
          </w:p>
        </w:tc>
      </w:tr>
      <w:tr w:rsidR="007B74B8" w:rsidRPr="000864AE" w14:paraId="1A7F12E4" w14:textId="77777777" w:rsidTr="00AA5989">
        <w:trPr>
          <w:trHeight w:val="27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4829F" w14:textId="5FB76FED"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409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3D3BF" w14:textId="77777777" w:rsidR="007B74B8" w:rsidRPr="000864AE" w:rsidRDefault="007B74B8" w:rsidP="000864AE">
            <w:pPr>
              <w:spacing w:after="0" w:line="240" w:lineRule="auto"/>
              <w:rPr>
                <w:rFonts w:ascii="Verdana" w:eastAsia="Times New Roman" w:hAnsi="Verdana" w:cs="Times New Roman"/>
                <w:color w:val="000000"/>
                <w:sz w:val="18"/>
                <w:szCs w:val="18"/>
                <w:lang w:eastAsia="es-MX"/>
              </w:rPr>
            </w:pPr>
            <w:r w:rsidRPr="000864AE">
              <w:rPr>
                <w:rFonts w:ascii="Verdana" w:eastAsia="Times New Roman" w:hAnsi="Verdana" w:cs="Arial"/>
                <w:color w:val="000000"/>
                <w:sz w:val="18"/>
                <w:szCs w:val="18"/>
                <w:lang w:eastAsia="es-MX"/>
              </w:rPr>
              <w:t>Polleri Dongo Cesar Ernesto</w:t>
            </w:r>
          </w:p>
        </w:tc>
      </w:tr>
      <w:tr w:rsidR="007B74B8" w:rsidRPr="000864AE" w14:paraId="289468A4"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479C4" w14:textId="6C0AFF15"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410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00BDF"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Posso Tornero Eduardo</w:t>
            </w:r>
          </w:p>
        </w:tc>
      </w:tr>
      <w:tr w:rsidR="007B74B8" w:rsidRPr="000864AE" w14:paraId="4AAD8632"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F3484" w14:textId="7F204EA6"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411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E9D19"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Povis Carvajal Gloria Luz</w:t>
            </w:r>
          </w:p>
        </w:tc>
      </w:tr>
      <w:tr w:rsidR="007B74B8" w:rsidRPr="000864AE" w14:paraId="3349DA43"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21C41" w14:textId="4AC98468"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412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2DFA0"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Prado Pantoja Jorge Luis</w:t>
            </w:r>
          </w:p>
        </w:tc>
      </w:tr>
      <w:tr w:rsidR="007B74B8" w:rsidRPr="000864AE" w14:paraId="59422F58" w14:textId="77777777" w:rsidTr="00AA5989">
        <w:trPr>
          <w:trHeight w:val="28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70DB7" w14:textId="67EFDBD3"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413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5E2FF"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Pujazón Morello Humberto Ernesto</w:t>
            </w:r>
          </w:p>
        </w:tc>
      </w:tr>
      <w:tr w:rsidR="007B74B8" w:rsidRPr="000864AE" w14:paraId="5695BD29"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F3396" w14:textId="051750B6"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414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ADB8E"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Pulgar Omonte Pedro</w:t>
            </w:r>
          </w:p>
        </w:tc>
      </w:tr>
      <w:tr w:rsidR="007B74B8" w:rsidRPr="000864AE" w14:paraId="2F731833"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6C149" w14:textId="535B099D"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415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1DCDE"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Puntriano Torres Ríos Javier Gustavo</w:t>
            </w:r>
          </w:p>
        </w:tc>
      </w:tr>
      <w:tr w:rsidR="007B74B8" w:rsidRPr="005A5D3C" w14:paraId="00326D27"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4376A" w14:textId="66C09A15"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416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EC403" w14:textId="77777777" w:rsidR="007B74B8" w:rsidRPr="000864AE" w:rsidRDefault="007B74B8" w:rsidP="000864AE">
            <w:pPr>
              <w:spacing w:after="0" w:line="240" w:lineRule="auto"/>
              <w:rPr>
                <w:rFonts w:ascii="Verdana" w:eastAsia="Times New Roman" w:hAnsi="Verdana" w:cs="Arial"/>
                <w:color w:val="000000"/>
                <w:sz w:val="18"/>
                <w:szCs w:val="18"/>
                <w:lang w:val="pt-BR" w:eastAsia="es-MX"/>
              </w:rPr>
            </w:pPr>
            <w:r w:rsidRPr="000864AE">
              <w:rPr>
                <w:rFonts w:ascii="Verdana" w:eastAsia="Times New Roman" w:hAnsi="Verdana" w:cs="Arial"/>
                <w:color w:val="000000"/>
                <w:sz w:val="18"/>
                <w:szCs w:val="18"/>
                <w:lang w:val="pt-BR" w:eastAsia="es-MX"/>
              </w:rPr>
              <w:t>Queens Arias Soto Jesús Fernando</w:t>
            </w:r>
          </w:p>
        </w:tc>
      </w:tr>
      <w:tr w:rsidR="007B74B8" w:rsidRPr="000864AE" w14:paraId="515B091B"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21E47" w14:textId="19A3038E"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417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04A9B"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Times New Roman"/>
                <w:color w:val="000000"/>
                <w:sz w:val="18"/>
                <w:szCs w:val="18"/>
                <w:lang w:eastAsia="es-MX"/>
              </w:rPr>
              <w:t>Quevedo Cabrera Máximo Valentín</w:t>
            </w:r>
          </w:p>
        </w:tc>
      </w:tr>
      <w:tr w:rsidR="007B74B8" w:rsidRPr="005A5D3C" w14:paraId="68FEFDA4"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920C2" w14:textId="68F1C883"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418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A850C" w14:textId="77777777" w:rsidR="007B74B8" w:rsidRPr="000864AE" w:rsidRDefault="007B74B8" w:rsidP="000864AE">
            <w:pPr>
              <w:spacing w:after="0" w:line="240" w:lineRule="auto"/>
              <w:rPr>
                <w:rFonts w:ascii="Verdana" w:eastAsia="Times New Roman" w:hAnsi="Verdana" w:cs="Times New Roman"/>
                <w:color w:val="000000"/>
                <w:sz w:val="18"/>
                <w:szCs w:val="18"/>
                <w:lang w:val="pt-BR" w:eastAsia="es-MX"/>
              </w:rPr>
            </w:pPr>
            <w:r w:rsidRPr="000864AE">
              <w:rPr>
                <w:rFonts w:ascii="Verdana" w:eastAsia="Times New Roman" w:hAnsi="Verdana" w:cs="Arial"/>
                <w:color w:val="000000"/>
                <w:sz w:val="18"/>
                <w:szCs w:val="18"/>
                <w:lang w:val="pt-BR" w:eastAsia="es-MX"/>
              </w:rPr>
              <w:t>Quevedo Rivas Jorge José Gabriel</w:t>
            </w:r>
          </w:p>
        </w:tc>
      </w:tr>
      <w:tr w:rsidR="007B74B8" w:rsidRPr="000864AE" w14:paraId="52F3D909"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56614" w14:textId="0DA6F6C2"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419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9DD83"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Quevedo Rivas María Emperatriz</w:t>
            </w:r>
          </w:p>
        </w:tc>
      </w:tr>
      <w:tr w:rsidR="007B74B8" w:rsidRPr="000864AE" w14:paraId="5C96FD70"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9FE37" w14:textId="0A160765"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420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A7CEB"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Quezada Mejía Sandalio Diego</w:t>
            </w:r>
          </w:p>
        </w:tc>
      </w:tr>
      <w:tr w:rsidR="007B74B8" w:rsidRPr="000864AE" w14:paraId="591027AE"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5A920" w14:textId="3B30FF7C"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421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5F8A1"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Times New Roman"/>
                <w:color w:val="000000"/>
                <w:sz w:val="18"/>
                <w:szCs w:val="18"/>
                <w:lang w:eastAsia="es-MX"/>
              </w:rPr>
              <w:t>Quintana Palacios Flora Del Carmen</w:t>
            </w:r>
          </w:p>
        </w:tc>
      </w:tr>
      <w:tr w:rsidR="007B74B8" w:rsidRPr="000864AE" w14:paraId="59008107"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F2D54" w14:textId="4AC86A2F"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422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AD7AB" w14:textId="77777777" w:rsidR="007B74B8" w:rsidRPr="000864AE" w:rsidRDefault="007B74B8" w:rsidP="000864AE">
            <w:pPr>
              <w:spacing w:after="0" w:line="240" w:lineRule="auto"/>
              <w:rPr>
                <w:rFonts w:ascii="Verdana" w:eastAsia="Times New Roman" w:hAnsi="Verdana" w:cs="Times New Roman"/>
                <w:color w:val="000000"/>
                <w:sz w:val="18"/>
                <w:szCs w:val="18"/>
                <w:lang w:eastAsia="es-MX"/>
              </w:rPr>
            </w:pPr>
            <w:r w:rsidRPr="000864AE">
              <w:rPr>
                <w:rFonts w:ascii="Verdana" w:eastAsia="Times New Roman" w:hAnsi="Verdana" w:cs="Arial"/>
                <w:color w:val="000000"/>
                <w:sz w:val="18"/>
                <w:szCs w:val="18"/>
                <w:lang w:eastAsia="es-MX"/>
              </w:rPr>
              <w:t>Quiñe Romero Rosa Elena</w:t>
            </w:r>
          </w:p>
        </w:tc>
      </w:tr>
      <w:tr w:rsidR="007B74B8" w:rsidRPr="000864AE" w14:paraId="6906FE77"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2D572" w14:textId="0BD22E02"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423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3191C"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Quiroz Cauvi María Rosario</w:t>
            </w:r>
          </w:p>
        </w:tc>
      </w:tr>
      <w:tr w:rsidR="007B74B8" w:rsidRPr="000864AE" w14:paraId="5FDF9765"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D1D62" w14:textId="437CE14B"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424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D0B19"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Quiroz Ortiz Haydee Dehera</w:t>
            </w:r>
          </w:p>
        </w:tc>
      </w:tr>
      <w:tr w:rsidR="007B74B8" w:rsidRPr="000864AE" w14:paraId="14A961CB"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FEB50" w14:textId="6E1B2522"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425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32BF0"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Times New Roman"/>
                <w:color w:val="000000"/>
                <w:sz w:val="18"/>
                <w:szCs w:val="18"/>
                <w:lang w:eastAsia="es-MX"/>
              </w:rPr>
              <w:t>Quiroz Vallejos Carmen Mercedes</w:t>
            </w:r>
          </w:p>
        </w:tc>
      </w:tr>
      <w:tr w:rsidR="007B74B8" w:rsidRPr="000864AE" w14:paraId="54235D36"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966C9" w14:textId="514D64C6"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426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91626" w14:textId="77777777" w:rsidR="007B74B8" w:rsidRPr="000864AE" w:rsidRDefault="007B74B8" w:rsidP="000864AE">
            <w:pPr>
              <w:spacing w:after="0" w:line="240" w:lineRule="auto"/>
              <w:rPr>
                <w:rFonts w:ascii="Verdana" w:eastAsia="Times New Roman" w:hAnsi="Verdana" w:cs="Times New Roman"/>
                <w:color w:val="000000"/>
                <w:sz w:val="18"/>
                <w:szCs w:val="18"/>
                <w:lang w:eastAsia="es-MX"/>
              </w:rPr>
            </w:pPr>
            <w:r w:rsidRPr="000864AE">
              <w:rPr>
                <w:rFonts w:ascii="Verdana" w:eastAsia="Times New Roman" w:hAnsi="Verdana" w:cs="Arial"/>
                <w:color w:val="000000"/>
                <w:sz w:val="18"/>
                <w:szCs w:val="18"/>
                <w:lang w:eastAsia="es-MX"/>
              </w:rPr>
              <w:t>Rado Farfán Federico</w:t>
            </w:r>
          </w:p>
        </w:tc>
      </w:tr>
      <w:tr w:rsidR="007B74B8" w:rsidRPr="000864AE" w14:paraId="49A10B95"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BBD4D" w14:textId="54725162"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427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A2744"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Raez Guevara Ana María</w:t>
            </w:r>
          </w:p>
        </w:tc>
      </w:tr>
      <w:tr w:rsidR="007B74B8" w:rsidRPr="000864AE" w14:paraId="26C96DC5"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62F97" w14:textId="77B2F09D"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428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C933E"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Ramírez Bustos Damaso Arístides</w:t>
            </w:r>
          </w:p>
        </w:tc>
      </w:tr>
      <w:tr w:rsidR="007B74B8" w:rsidRPr="000864AE" w14:paraId="2FE4DC53"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4D38B" w14:textId="11C1F871"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429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43F15"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Ramírez Hoyos Juan Alberto</w:t>
            </w:r>
          </w:p>
        </w:tc>
      </w:tr>
      <w:tr w:rsidR="007B74B8" w:rsidRPr="000864AE" w14:paraId="5109B764"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531DE" w14:textId="6EF44052"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430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70A0E"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Times New Roman"/>
                <w:color w:val="000000"/>
                <w:sz w:val="18"/>
                <w:szCs w:val="18"/>
                <w:lang w:eastAsia="es-MX"/>
              </w:rPr>
              <w:t>Ramírez Pérez Pablo Gilberto</w:t>
            </w:r>
          </w:p>
        </w:tc>
      </w:tr>
      <w:tr w:rsidR="007B74B8" w:rsidRPr="000864AE" w14:paraId="302D6994"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D5E47" w14:textId="486A381D"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431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6B9A9" w14:textId="77777777" w:rsidR="007B74B8" w:rsidRPr="000864AE" w:rsidRDefault="007B74B8" w:rsidP="000864AE">
            <w:pPr>
              <w:spacing w:after="0" w:line="240" w:lineRule="auto"/>
              <w:rPr>
                <w:rFonts w:ascii="Verdana" w:eastAsia="Times New Roman" w:hAnsi="Verdana" w:cs="Times New Roman"/>
                <w:color w:val="000000"/>
                <w:sz w:val="18"/>
                <w:szCs w:val="18"/>
                <w:lang w:eastAsia="es-MX"/>
              </w:rPr>
            </w:pPr>
            <w:r w:rsidRPr="000864AE">
              <w:rPr>
                <w:rFonts w:ascii="Verdana" w:eastAsia="Times New Roman" w:hAnsi="Verdana" w:cs="Arial"/>
                <w:color w:val="000000"/>
                <w:sz w:val="18"/>
                <w:szCs w:val="18"/>
                <w:lang w:eastAsia="es-MX"/>
              </w:rPr>
              <w:t>Ramos Camacho Francisco</w:t>
            </w:r>
          </w:p>
        </w:tc>
      </w:tr>
      <w:tr w:rsidR="007B74B8" w:rsidRPr="000864AE" w14:paraId="34C02489"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81CDE" w14:textId="4F6D0981"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432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86323"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Ramos Correa Carmen</w:t>
            </w:r>
          </w:p>
        </w:tc>
      </w:tr>
      <w:tr w:rsidR="007B74B8" w:rsidRPr="000864AE" w14:paraId="7F963225"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6680C" w14:textId="77013247"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433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26AC1"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Ramos Espino Pedro Leoncio</w:t>
            </w:r>
          </w:p>
        </w:tc>
      </w:tr>
      <w:tr w:rsidR="007B74B8" w:rsidRPr="000864AE" w14:paraId="3AB2F83B"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EB2F2" w14:textId="51CB7869"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434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3D159"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Times New Roman"/>
                <w:color w:val="000000"/>
                <w:sz w:val="18"/>
                <w:szCs w:val="18"/>
                <w:lang w:eastAsia="es-MX"/>
              </w:rPr>
              <w:t>Ramos Pacheco Henry Oswaldo</w:t>
            </w:r>
          </w:p>
        </w:tc>
      </w:tr>
      <w:tr w:rsidR="007B74B8" w:rsidRPr="000864AE" w14:paraId="2BC4B97F"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9D269" w14:textId="25FE72C0"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435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A0452" w14:textId="77777777" w:rsidR="007B74B8" w:rsidRPr="000864AE" w:rsidRDefault="007B74B8" w:rsidP="000864AE">
            <w:pPr>
              <w:spacing w:after="0" w:line="240" w:lineRule="auto"/>
              <w:rPr>
                <w:rFonts w:ascii="Verdana" w:eastAsia="Times New Roman" w:hAnsi="Verdana" w:cs="Times New Roman"/>
                <w:color w:val="000000"/>
                <w:sz w:val="18"/>
                <w:szCs w:val="18"/>
                <w:lang w:eastAsia="es-MX"/>
              </w:rPr>
            </w:pPr>
            <w:r w:rsidRPr="000864AE">
              <w:rPr>
                <w:rFonts w:ascii="Verdana" w:eastAsia="Times New Roman" w:hAnsi="Verdana" w:cs="Arial"/>
                <w:color w:val="000000"/>
                <w:sz w:val="18"/>
                <w:szCs w:val="18"/>
                <w:lang w:eastAsia="es-MX"/>
              </w:rPr>
              <w:t>Reátegui Dubuc Rosa Ida</w:t>
            </w:r>
          </w:p>
        </w:tc>
      </w:tr>
      <w:tr w:rsidR="007B74B8" w:rsidRPr="000864AE" w14:paraId="0E30FF4A"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D12C8" w14:textId="23483C84"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436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64DBC"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Reátegui Solano Daniel</w:t>
            </w:r>
          </w:p>
        </w:tc>
      </w:tr>
      <w:tr w:rsidR="007B74B8" w:rsidRPr="000864AE" w14:paraId="58E72FB0"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E7322" w14:textId="70BE158F"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437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38A24"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Rejas Gómez José Luis</w:t>
            </w:r>
          </w:p>
        </w:tc>
      </w:tr>
      <w:tr w:rsidR="007B74B8" w:rsidRPr="000864AE" w14:paraId="4540E2F9"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D5E03" w14:textId="383F7D09"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438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C6238"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Rengifo Hidalgo Ramón</w:t>
            </w:r>
          </w:p>
        </w:tc>
      </w:tr>
      <w:tr w:rsidR="007B74B8" w:rsidRPr="000864AE" w14:paraId="170049B8"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0421F" w14:textId="30E2D1BC"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439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58D08"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Rengifo Pezo Carlos Advelcader</w:t>
            </w:r>
          </w:p>
        </w:tc>
      </w:tr>
      <w:tr w:rsidR="007B74B8" w:rsidRPr="000864AE" w14:paraId="1EE56B15"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8DB35" w14:textId="4D1D0897"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440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E3F0C"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Times New Roman"/>
                <w:color w:val="000000"/>
                <w:sz w:val="18"/>
                <w:szCs w:val="18"/>
                <w:lang w:eastAsia="es-MX"/>
              </w:rPr>
              <w:t>Renilla Herrera Raúl Alberto</w:t>
            </w:r>
          </w:p>
        </w:tc>
      </w:tr>
      <w:tr w:rsidR="007B74B8" w:rsidRPr="000864AE" w14:paraId="2E444E57"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9BAB0" w14:textId="1C8CFF6A"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441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BE105" w14:textId="77777777" w:rsidR="007B74B8" w:rsidRPr="000864AE" w:rsidRDefault="007B74B8" w:rsidP="000864AE">
            <w:pPr>
              <w:spacing w:after="0" w:line="240" w:lineRule="auto"/>
              <w:rPr>
                <w:rFonts w:ascii="Verdana" w:eastAsia="Times New Roman" w:hAnsi="Verdana" w:cs="Times New Roman"/>
                <w:color w:val="000000"/>
                <w:sz w:val="18"/>
                <w:szCs w:val="18"/>
                <w:lang w:eastAsia="es-MX"/>
              </w:rPr>
            </w:pPr>
            <w:r w:rsidRPr="000864AE">
              <w:rPr>
                <w:rFonts w:ascii="Verdana" w:eastAsia="Times New Roman" w:hAnsi="Verdana" w:cs="Arial"/>
                <w:color w:val="000000"/>
                <w:sz w:val="18"/>
                <w:szCs w:val="18"/>
                <w:lang w:eastAsia="es-MX"/>
              </w:rPr>
              <w:t>Reque Cumpa Máximo</w:t>
            </w:r>
          </w:p>
        </w:tc>
      </w:tr>
      <w:tr w:rsidR="007B74B8" w:rsidRPr="000864AE" w14:paraId="7F97665F"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E2B10" w14:textId="4AAC8FD1"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442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6B4EB"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Retamozo Pareja Teofilo</w:t>
            </w:r>
          </w:p>
        </w:tc>
      </w:tr>
      <w:tr w:rsidR="007B74B8" w:rsidRPr="000864AE" w14:paraId="3E30AD95"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F43E5" w14:textId="1DE9ED22"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443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C8BED"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Reyes Ato Rolando</w:t>
            </w:r>
          </w:p>
        </w:tc>
      </w:tr>
      <w:tr w:rsidR="007B74B8" w:rsidRPr="000864AE" w14:paraId="6F270C36"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00697" w14:textId="0DA0B124"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444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9CA6B"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Reyes Sosa Rosa Isabel</w:t>
            </w:r>
          </w:p>
        </w:tc>
      </w:tr>
      <w:tr w:rsidR="007B74B8" w:rsidRPr="000864AE" w14:paraId="22DD8A45"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C6D4D" w14:textId="7F05A264"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445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9FC37"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Reyna Savero Carmen Jerónima</w:t>
            </w:r>
          </w:p>
        </w:tc>
      </w:tr>
      <w:tr w:rsidR="007B74B8" w:rsidRPr="000864AE" w14:paraId="25ECA98F"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E4D10" w14:textId="7209125B"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446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F2A0A"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Ríos Ramos Paulina Laura Pilar</w:t>
            </w:r>
          </w:p>
        </w:tc>
      </w:tr>
      <w:tr w:rsidR="007B74B8" w:rsidRPr="000864AE" w14:paraId="2A08B316"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1AA52" w14:textId="79DFFBD5"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447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FB753"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Ríos Zavaleta Fortunato David</w:t>
            </w:r>
          </w:p>
        </w:tc>
      </w:tr>
      <w:tr w:rsidR="007B74B8" w:rsidRPr="000864AE" w14:paraId="71CBA088"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B2BDC" w14:textId="484F64D5"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448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E5ABB"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Risso Colmenares Ramón</w:t>
            </w:r>
          </w:p>
        </w:tc>
      </w:tr>
      <w:tr w:rsidR="007B74B8" w:rsidRPr="000864AE" w14:paraId="10F85C49"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A7120" w14:textId="7685F093"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449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2ABDE"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Rivas Puga Enrique</w:t>
            </w:r>
          </w:p>
        </w:tc>
      </w:tr>
      <w:tr w:rsidR="007B74B8" w:rsidRPr="000864AE" w14:paraId="4D28AE29"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92115" w14:textId="63194176"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A76DDD2"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Rivera Egúsquiza Andrés Roberto</w:t>
            </w:r>
          </w:p>
        </w:tc>
      </w:tr>
      <w:tr w:rsidR="007B74B8" w:rsidRPr="000864AE" w14:paraId="3F149EBF"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E31D0" w14:textId="5C936BB5"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451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9C703"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Times New Roman"/>
                <w:color w:val="000000"/>
                <w:sz w:val="18"/>
                <w:szCs w:val="18"/>
                <w:lang w:eastAsia="es-MX"/>
              </w:rPr>
              <w:t>Rivera Egúsquiza Augusto A.</w:t>
            </w:r>
          </w:p>
        </w:tc>
      </w:tr>
      <w:tr w:rsidR="007B74B8" w:rsidRPr="000864AE" w14:paraId="3590A5B4"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AEB5E" w14:textId="2FE9710E"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452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430CB" w14:textId="77777777" w:rsidR="007B74B8" w:rsidRPr="000864AE" w:rsidRDefault="007B74B8" w:rsidP="000864AE">
            <w:pPr>
              <w:spacing w:after="0" w:line="240" w:lineRule="auto"/>
              <w:rPr>
                <w:rFonts w:ascii="Verdana" w:eastAsia="Times New Roman" w:hAnsi="Verdana" w:cs="Times New Roman"/>
                <w:color w:val="000000"/>
                <w:sz w:val="18"/>
                <w:szCs w:val="18"/>
                <w:lang w:eastAsia="es-MX"/>
              </w:rPr>
            </w:pPr>
            <w:r w:rsidRPr="000864AE">
              <w:rPr>
                <w:rFonts w:ascii="Verdana" w:eastAsia="Times New Roman" w:hAnsi="Verdana" w:cs="Arial"/>
                <w:color w:val="000000"/>
                <w:sz w:val="18"/>
                <w:szCs w:val="18"/>
                <w:lang w:eastAsia="es-MX"/>
              </w:rPr>
              <w:t>Rivera Valega Román Rodolfo</w:t>
            </w:r>
          </w:p>
        </w:tc>
      </w:tr>
      <w:tr w:rsidR="007B74B8" w:rsidRPr="000864AE" w14:paraId="674D8C8B"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1A896" w14:textId="173C390E"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453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D2CD3"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Robles Ventocilla Clara Rosa</w:t>
            </w:r>
          </w:p>
        </w:tc>
      </w:tr>
      <w:tr w:rsidR="007B74B8" w:rsidRPr="000864AE" w14:paraId="6C3D8326"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58DEF" w14:textId="4EB6C2FF"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454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2D0B5"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Times New Roman"/>
                <w:color w:val="000000"/>
                <w:sz w:val="18"/>
                <w:szCs w:val="18"/>
                <w:lang w:eastAsia="es-MX"/>
              </w:rPr>
              <w:t>Roca Vega Blanca Haydee</w:t>
            </w:r>
          </w:p>
        </w:tc>
      </w:tr>
      <w:tr w:rsidR="007B74B8" w:rsidRPr="000864AE" w14:paraId="7384BA21"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D2904" w14:textId="00AC6A2E"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455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57B3A9F"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Rocca Sánchez Julio Eduardo</w:t>
            </w:r>
          </w:p>
        </w:tc>
      </w:tr>
      <w:tr w:rsidR="007B74B8" w:rsidRPr="000864AE" w14:paraId="00A34AAE"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5720F" w14:textId="754B1918"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456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57CD9"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Rodríguez Aguirre Julio Raúl</w:t>
            </w:r>
          </w:p>
        </w:tc>
      </w:tr>
      <w:tr w:rsidR="007B74B8" w:rsidRPr="000864AE" w14:paraId="002EF5E2"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4B162" w14:textId="2E3CAB8F"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457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5AA9B" w14:textId="77777777" w:rsidR="007B74B8" w:rsidRPr="000864AE" w:rsidRDefault="007B74B8" w:rsidP="000864AE">
            <w:pPr>
              <w:spacing w:after="0" w:line="240" w:lineRule="auto"/>
              <w:rPr>
                <w:rFonts w:ascii="Verdana" w:eastAsia="Times New Roman" w:hAnsi="Verdana" w:cs="Times New Roman"/>
                <w:color w:val="000000"/>
                <w:sz w:val="18"/>
                <w:szCs w:val="18"/>
                <w:lang w:eastAsia="es-MX"/>
              </w:rPr>
            </w:pPr>
            <w:r w:rsidRPr="000864AE">
              <w:rPr>
                <w:rFonts w:ascii="Verdana" w:eastAsia="Times New Roman" w:hAnsi="Verdana" w:cs="Arial"/>
                <w:color w:val="000000"/>
                <w:sz w:val="18"/>
                <w:szCs w:val="18"/>
                <w:lang w:eastAsia="es-MX"/>
              </w:rPr>
              <w:t>Rodríguez Arana Manuel Humberto</w:t>
            </w:r>
          </w:p>
        </w:tc>
      </w:tr>
      <w:tr w:rsidR="007B74B8" w:rsidRPr="000864AE" w14:paraId="11DF7570"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B9AD2" w14:textId="7440273C"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458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F3B38"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Rodríguez Banda Angélica Josefina</w:t>
            </w:r>
          </w:p>
        </w:tc>
      </w:tr>
      <w:tr w:rsidR="007B74B8" w:rsidRPr="000864AE" w14:paraId="4C857AD8"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915F7" w14:textId="141F44F5"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459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C86A0"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Rodríguez La Madrid Eduardo</w:t>
            </w:r>
          </w:p>
        </w:tc>
      </w:tr>
      <w:tr w:rsidR="007B74B8" w:rsidRPr="000864AE" w14:paraId="1B94FA2A"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69EB0" w14:textId="6EBA5746"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460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2A731"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Rodríguez Márquez Jaime</w:t>
            </w:r>
          </w:p>
        </w:tc>
      </w:tr>
      <w:tr w:rsidR="007B74B8" w:rsidRPr="000864AE" w14:paraId="4B151AB1"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DDE4C" w14:textId="10227127"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461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5D68F"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Rodríguez Rodríguez Benjamin</w:t>
            </w:r>
          </w:p>
        </w:tc>
      </w:tr>
      <w:tr w:rsidR="007B74B8" w:rsidRPr="000864AE" w14:paraId="6C5264E5"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DE420" w14:textId="272A29A4"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462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561B6"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Rojas Carriedo Yolanda Alejandrina</w:t>
            </w:r>
          </w:p>
        </w:tc>
      </w:tr>
      <w:tr w:rsidR="007B74B8" w:rsidRPr="000864AE" w14:paraId="43F0A9E1"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5A6F8" w14:textId="2F5ABA64"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463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342A5"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Rojas Gutiérrez Olga Angélica</w:t>
            </w:r>
          </w:p>
        </w:tc>
      </w:tr>
      <w:tr w:rsidR="007B74B8" w:rsidRPr="000864AE" w14:paraId="05D29055"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1F2FC" w14:textId="2D8465D2"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464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363A4"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Rojas Rosales Aída Roberta</w:t>
            </w:r>
          </w:p>
        </w:tc>
      </w:tr>
      <w:tr w:rsidR="007B74B8" w:rsidRPr="000864AE" w14:paraId="650E5D18"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7B9C2" w14:textId="49DA7CA6"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465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E401D"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Rojas Rosales Delia Jacinta</w:t>
            </w:r>
          </w:p>
        </w:tc>
      </w:tr>
      <w:tr w:rsidR="007B74B8" w:rsidRPr="000864AE" w14:paraId="35477DF7"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64346" w14:textId="65CFF1DF"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466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FC14D"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Rojas Santos Luis Alberto</w:t>
            </w:r>
          </w:p>
        </w:tc>
      </w:tr>
      <w:tr w:rsidR="007B74B8" w:rsidRPr="000864AE" w14:paraId="2B5157F6"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84227" w14:textId="4F8DEC03"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467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E8857"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Rojo Villanueva Mauro Cristóbal</w:t>
            </w:r>
          </w:p>
        </w:tc>
      </w:tr>
      <w:tr w:rsidR="007B74B8" w:rsidRPr="000864AE" w14:paraId="5F7316B0"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8307C" w14:textId="57E4E63B"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468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9071F"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Román Espinoza María Eugenia</w:t>
            </w:r>
          </w:p>
        </w:tc>
      </w:tr>
      <w:tr w:rsidR="007B74B8" w:rsidRPr="000864AE" w14:paraId="48D3602C"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A4364" w14:textId="4864A24D"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469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82AEC"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Romero Díaz Luis</w:t>
            </w:r>
          </w:p>
        </w:tc>
      </w:tr>
      <w:tr w:rsidR="007B74B8" w:rsidRPr="000864AE" w14:paraId="33643EE2"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D59EA" w14:textId="2A75C2ED" w:rsidR="00113E03" w:rsidRPr="000864AE" w:rsidRDefault="00113E03" w:rsidP="00113E03">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470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F4F5C"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Rosales De La Cruz Alejandro</w:t>
            </w:r>
          </w:p>
        </w:tc>
      </w:tr>
      <w:tr w:rsidR="007B74B8" w:rsidRPr="000864AE" w14:paraId="72BE83A5"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D425D" w14:textId="01765F1B"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471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7B099"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Rosas Flores Juana Arminda</w:t>
            </w:r>
          </w:p>
        </w:tc>
      </w:tr>
      <w:tr w:rsidR="007B74B8" w:rsidRPr="000864AE" w14:paraId="6A3D9477"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D3546" w14:textId="2EDD79EA"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472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17A4D"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Rubio Díaz Ezequiel Teodulo</w:t>
            </w:r>
          </w:p>
        </w:tc>
      </w:tr>
      <w:tr w:rsidR="007B74B8" w:rsidRPr="000864AE" w14:paraId="7E34DE6E"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597C9" w14:textId="615C40DB"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473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CCBD7"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Rueda Ruiz Luis Alberto</w:t>
            </w:r>
          </w:p>
        </w:tc>
      </w:tr>
      <w:tr w:rsidR="007B74B8" w:rsidRPr="000864AE" w14:paraId="71968490"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60E4F" w14:textId="00437EF2"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474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FB95B"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Ruiz Travezan Graciela Emma</w:t>
            </w:r>
          </w:p>
        </w:tc>
      </w:tr>
      <w:tr w:rsidR="007B74B8" w:rsidRPr="000864AE" w14:paraId="6655BA4A"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88478" w14:textId="1071F752"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475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EC8AF"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Saavedra Miñán José Alfredo</w:t>
            </w:r>
          </w:p>
        </w:tc>
      </w:tr>
      <w:tr w:rsidR="007B74B8" w:rsidRPr="000864AE" w14:paraId="0F2A01A2"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88520" w14:textId="18DA817B"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476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A77C0BD"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Sáenz Espinoza Guillermo Milciades</w:t>
            </w:r>
          </w:p>
        </w:tc>
      </w:tr>
      <w:tr w:rsidR="007B74B8" w:rsidRPr="000864AE" w14:paraId="30C42FB7"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D6EB4" w14:textId="7A2FF82D"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477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CDAD7"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Sáez Rodríguez Mirtha Rosa</w:t>
            </w:r>
          </w:p>
        </w:tc>
      </w:tr>
      <w:tr w:rsidR="007B74B8" w:rsidRPr="000864AE" w14:paraId="7D1108A7"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74F80" w14:textId="7C3FC9DF"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478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1E168"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Sagardia Marquina Higinio</w:t>
            </w:r>
          </w:p>
        </w:tc>
      </w:tr>
      <w:tr w:rsidR="007B74B8" w:rsidRPr="000864AE" w14:paraId="3E5BB11F"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5DF83" w14:textId="76194358"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479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C6D58"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Salas Paredes Julia Lourdes</w:t>
            </w:r>
          </w:p>
        </w:tc>
      </w:tr>
      <w:tr w:rsidR="007B74B8" w:rsidRPr="005A5D3C" w14:paraId="7FB5F85E"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6B82B" w14:textId="13C43968"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480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43585" w14:textId="77777777" w:rsidR="007B74B8" w:rsidRPr="000864AE" w:rsidRDefault="007B74B8" w:rsidP="000864AE">
            <w:pPr>
              <w:spacing w:after="0" w:line="240" w:lineRule="auto"/>
              <w:rPr>
                <w:rFonts w:ascii="Verdana" w:eastAsia="Times New Roman" w:hAnsi="Verdana" w:cs="Arial"/>
                <w:color w:val="000000"/>
                <w:sz w:val="18"/>
                <w:szCs w:val="18"/>
                <w:lang w:val="pt-BR" w:eastAsia="es-MX"/>
              </w:rPr>
            </w:pPr>
            <w:r w:rsidRPr="000864AE">
              <w:rPr>
                <w:rFonts w:ascii="Verdana" w:eastAsia="Times New Roman" w:hAnsi="Verdana" w:cs="Arial"/>
                <w:color w:val="000000"/>
                <w:sz w:val="18"/>
                <w:szCs w:val="18"/>
                <w:lang w:val="pt-BR" w:eastAsia="es-MX"/>
              </w:rPr>
              <w:t>Salas Ruiz Caro Edgar Walter</w:t>
            </w:r>
          </w:p>
        </w:tc>
      </w:tr>
      <w:tr w:rsidR="007B74B8" w:rsidRPr="000864AE" w14:paraId="151A3BB5"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6322D" w14:textId="28C740C8"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481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F9DEC"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Salas Ruiz Caro María Elizabeth Ruth</w:t>
            </w:r>
          </w:p>
        </w:tc>
      </w:tr>
      <w:tr w:rsidR="007B74B8" w:rsidRPr="000864AE" w14:paraId="475CF5BA"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1587C" w14:textId="4BF9FEB0"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482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C5CB2"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Salazar Lozano Lucy Noemy</w:t>
            </w:r>
          </w:p>
        </w:tc>
      </w:tr>
      <w:tr w:rsidR="007B74B8" w:rsidRPr="000864AE" w14:paraId="529738D6"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BAAF9" w14:textId="78BE5023"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483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AFA74"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Salazar Quiroz Ricardo Hildebrando</w:t>
            </w:r>
          </w:p>
        </w:tc>
      </w:tr>
      <w:tr w:rsidR="007B74B8" w:rsidRPr="000864AE" w14:paraId="0CB73761"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C5DF6" w14:textId="63B654DD"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484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D4F47"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Saldaña Malqui Alberto</w:t>
            </w:r>
          </w:p>
        </w:tc>
      </w:tr>
      <w:tr w:rsidR="007B74B8" w:rsidRPr="000864AE" w14:paraId="78605AE7"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43CF5" w14:textId="0163E489"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485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37019"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Salhuana Sánchez Yolanda</w:t>
            </w:r>
          </w:p>
        </w:tc>
      </w:tr>
      <w:tr w:rsidR="007B74B8" w:rsidRPr="000864AE" w14:paraId="2B1BF89E"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C385F" w14:textId="55751B2A"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486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B5014"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Salvador Chafalote Rosa Erlinda</w:t>
            </w:r>
          </w:p>
        </w:tc>
      </w:tr>
      <w:tr w:rsidR="007B74B8" w:rsidRPr="000864AE" w14:paraId="0BCBBB1B"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D87B5" w14:textId="66F2FBA2"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487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C2170"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Samaniego Gonzáles Olinda Nora</w:t>
            </w:r>
          </w:p>
        </w:tc>
      </w:tr>
      <w:tr w:rsidR="007B74B8" w:rsidRPr="000864AE" w14:paraId="33C11BDB"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5A020" w14:textId="643F21AC"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488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CB0A3"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Sánchez Apolinares Elías Eugenio</w:t>
            </w:r>
          </w:p>
        </w:tc>
      </w:tr>
      <w:tr w:rsidR="007B74B8" w:rsidRPr="000864AE" w14:paraId="274A8545"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674B5" w14:textId="2542341D"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489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7F68F"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Sánchez Canchari Marina</w:t>
            </w:r>
          </w:p>
        </w:tc>
      </w:tr>
      <w:tr w:rsidR="007B74B8" w:rsidRPr="000864AE" w14:paraId="7246509E"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7802E" w14:textId="2CFC41B0"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490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D55ED"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Sánchez Gambetta Carlos</w:t>
            </w:r>
          </w:p>
        </w:tc>
      </w:tr>
      <w:tr w:rsidR="007B74B8" w:rsidRPr="000864AE" w14:paraId="0B2B2FE8"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FB06B" w14:textId="5958E658"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491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FA574"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Sánchez Sánchez Antenor</w:t>
            </w:r>
          </w:p>
        </w:tc>
      </w:tr>
      <w:tr w:rsidR="007B74B8" w:rsidRPr="000864AE" w14:paraId="20AA6C6A"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985D1" w14:textId="0032A5F5"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492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F4EAF"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Sánchez Villanueva Antonio</w:t>
            </w:r>
          </w:p>
        </w:tc>
      </w:tr>
      <w:tr w:rsidR="007B74B8" w:rsidRPr="000864AE" w14:paraId="7A26A2C7"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DD402" w14:textId="0CBB8CA4"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493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B1EBA"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Times New Roman"/>
                <w:color w:val="000000"/>
                <w:sz w:val="18"/>
                <w:szCs w:val="18"/>
                <w:lang w:eastAsia="es-MX"/>
              </w:rPr>
              <w:t>Sandoval Valdez Víctor Daniel</w:t>
            </w:r>
          </w:p>
        </w:tc>
      </w:tr>
      <w:tr w:rsidR="007B74B8" w:rsidRPr="000864AE" w14:paraId="497059A5"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FAAFF" w14:textId="35D8E3AF"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494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FD879" w14:textId="77777777" w:rsidR="007B74B8" w:rsidRPr="000864AE" w:rsidRDefault="007B74B8" w:rsidP="000864AE">
            <w:pPr>
              <w:spacing w:after="0" w:line="240" w:lineRule="auto"/>
              <w:rPr>
                <w:rFonts w:ascii="Verdana" w:eastAsia="Times New Roman" w:hAnsi="Verdana" w:cs="Times New Roman"/>
                <w:color w:val="000000"/>
                <w:sz w:val="18"/>
                <w:szCs w:val="18"/>
                <w:lang w:eastAsia="es-MX"/>
              </w:rPr>
            </w:pPr>
            <w:r w:rsidRPr="000864AE">
              <w:rPr>
                <w:rFonts w:ascii="Verdana" w:eastAsia="Times New Roman" w:hAnsi="Verdana" w:cs="Arial"/>
                <w:color w:val="000000"/>
                <w:sz w:val="18"/>
                <w:szCs w:val="18"/>
                <w:lang w:eastAsia="es-MX"/>
              </w:rPr>
              <w:t>Sansur Velarde Jorge</w:t>
            </w:r>
          </w:p>
        </w:tc>
      </w:tr>
      <w:tr w:rsidR="007B74B8" w:rsidRPr="000864AE" w14:paraId="21F187D2"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BF7EA" w14:textId="78A96F09"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495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2B835"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Santander Álvarez Leonidas Justo</w:t>
            </w:r>
          </w:p>
        </w:tc>
      </w:tr>
      <w:tr w:rsidR="007B74B8" w:rsidRPr="000864AE" w14:paraId="23962144"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45077" w14:textId="0B5EE58A"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496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FC284"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Santillán Palomino Daniel Gabriel</w:t>
            </w:r>
          </w:p>
        </w:tc>
      </w:tr>
      <w:tr w:rsidR="007B74B8" w:rsidRPr="000864AE" w14:paraId="2AE63D5E"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6E2FA" w14:textId="21E77D91"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497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E7048"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Times New Roman"/>
                <w:color w:val="000000"/>
                <w:sz w:val="18"/>
                <w:szCs w:val="18"/>
                <w:lang w:eastAsia="es-MX"/>
              </w:rPr>
              <w:t>Sarmiento Bendezú Federico Francisco</w:t>
            </w:r>
          </w:p>
        </w:tc>
      </w:tr>
      <w:tr w:rsidR="007B74B8" w:rsidRPr="000864AE" w14:paraId="69727A58"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D165D" w14:textId="3CEAF263"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498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FD81C" w14:textId="77777777" w:rsidR="007B74B8" w:rsidRPr="000864AE" w:rsidRDefault="007B74B8" w:rsidP="000864AE">
            <w:pPr>
              <w:spacing w:after="0" w:line="240" w:lineRule="auto"/>
              <w:rPr>
                <w:rFonts w:ascii="Verdana" w:eastAsia="Times New Roman" w:hAnsi="Verdana" w:cs="Times New Roman"/>
                <w:color w:val="000000"/>
                <w:sz w:val="18"/>
                <w:szCs w:val="18"/>
                <w:lang w:eastAsia="es-MX"/>
              </w:rPr>
            </w:pPr>
            <w:r w:rsidRPr="000864AE">
              <w:rPr>
                <w:rFonts w:ascii="Verdana" w:eastAsia="Times New Roman" w:hAnsi="Verdana" w:cs="Arial"/>
                <w:color w:val="000000"/>
                <w:sz w:val="18"/>
                <w:szCs w:val="18"/>
                <w:lang w:eastAsia="es-MX"/>
              </w:rPr>
              <w:t>Segura Marquina Polidoro</w:t>
            </w:r>
          </w:p>
        </w:tc>
      </w:tr>
      <w:tr w:rsidR="007B74B8" w:rsidRPr="000864AE" w14:paraId="2590BD81"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C6971" w14:textId="641E9E26"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499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60E56"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Seminario Seminario Jorge Guillermo</w:t>
            </w:r>
          </w:p>
        </w:tc>
      </w:tr>
      <w:tr w:rsidR="007B74B8" w:rsidRPr="000864AE" w14:paraId="775E889C"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2C38C" w14:textId="180DC368"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4A8DB"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Sihuay Sifuentes Elsa Paulina</w:t>
            </w:r>
          </w:p>
        </w:tc>
      </w:tr>
      <w:tr w:rsidR="007B74B8" w:rsidRPr="000864AE" w14:paraId="710C68AF"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BCB93" w14:textId="3CA15E31"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501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D8677"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Silva Flor Lourdes Mercedes</w:t>
            </w:r>
          </w:p>
        </w:tc>
      </w:tr>
      <w:tr w:rsidR="007B74B8" w:rsidRPr="000864AE" w14:paraId="2946B565"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8E4A2" w14:textId="66060F1A"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502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7D36C"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Solano Derteano Emma Francisca</w:t>
            </w:r>
          </w:p>
        </w:tc>
      </w:tr>
      <w:tr w:rsidR="007B74B8" w:rsidRPr="000864AE" w14:paraId="4BF0C25E"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9B165" w14:textId="74857C3A"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503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73107"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Solís Espinoza Miguel</w:t>
            </w:r>
          </w:p>
        </w:tc>
      </w:tr>
      <w:tr w:rsidR="007B74B8" w:rsidRPr="000864AE" w14:paraId="6369F524"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D6E68" w14:textId="0232D540"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504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178F4"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Times New Roman"/>
                <w:color w:val="000000"/>
                <w:sz w:val="18"/>
                <w:szCs w:val="18"/>
                <w:lang w:eastAsia="es-MX"/>
              </w:rPr>
              <w:t>Soriano Pinche Maria Luisa</w:t>
            </w:r>
          </w:p>
        </w:tc>
      </w:tr>
      <w:tr w:rsidR="007B74B8" w:rsidRPr="000864AE" w14:paraId="1D809BFD"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E515F" w14:textId="243ECB51"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505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4ADE9" w14:textId="77777777" w:rsidR="007B74B8" w:rsidRPr="000864AE" w:rsidRDefault="007B74B8" w:rsidP="000864AE">
            <w:pPr>
              <w:spacing w:after="0" w:line="240" w:lineRule="auto"/>
              <w:rPr>
                <w:rFonts w:ascii="Verdana" w:eastAsia="Times New Roman" w:hAnsi="Verdana" w:cs="Times New Roman"/>
                <w:color w:val="000000"/>
                <w:sz w:val="18"/>
                <w:szCs w:val="18"/>
                <w:lang w:eastAsia="es-MX"/>
              </w:rPr>
            </w:pPr>
            <w:r w:rsidRPr="000864AE">
              <w:rPr>
                <w:rFonts w:ascii="Verdana" w:eastAsia="Times New Roman" w:hAnsi="Verdana" w:cs="Arial"/>
                <w:color w:val="000000"/>
                <w:sz w:val="18"/>
                <w:szCs w:val="18"/>
                <w:lang w:eastAsia="es-MX"/>
              </w:rPr>
              <w:t>Sosa Andrade Marcial</w:t>
            </w:r>
          </w:p>
        </w:tc>
      </w:tr>
      <w:tr w:rsidR="007B74B8" w:rsidRPr="000864AE" w14:paraId="3FF6EAF8"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CF24E" w14:textId="3D0821A9"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506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8796C"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Sosa Llacza Isabel</w:t>
            </w:r>
          </w:p>
        </w:tc>
      </w:tr>
      <w:tr w:rsidR="007B74B8" w:rsidRPr="000864AE" w14:paraId="1124266B"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0F18C" w14:textId="013F2D3C"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507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F96AB"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Sosa Rojas Víctor Aníbal</w:t>
            </w:r>
          </w:p>
        </w:tc>
      </w:tr>
      <w:tr w:rsidR="007B74B8" w:rsidRPr="000864AE" w14:paraId="1873EB03"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299EF" w14:textId="6AF43F0A"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508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82F1B"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Stucchi Díaz Martha Raquel</w:t>
            </w:r>
          </w:p>
        </w:tc>
      </w:tr>
      <w:tr w:rsidR="007B74B8" w:rsidRPr="000864AE" w14:paraId="4B43C1F0"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BA184" w14:textId="3E88ED82"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509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00D1D"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Suárez Cuadrado Aquiles</w:t>
            </w:r>
          </w:p>
        </w:tc>
      </w:tr>
      <w:tr w:rsidR="007B74B8" w:rsidRPr="000864AE" w14:paraId="421D0CA5"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3FB12" w14:textId="325EB4D2"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510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394B7"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Suárez Molina Susano Tauro</w:t>
            </w:r>
          </w:p>
        </w:tc>
      </w:tr>
      <w:tr w:rsidR="007B74B8" w:rsidRPr="000864AE" w14:paraId="78B77ED5"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AE4EA" w14:textId="68BA65AA"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511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CD014"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Taboada Baltuano Idalia Antonieta</w:t>
            </w:r>
          </w:p>
        </w:tc>
      </w:tr>
      <w:tr w:rsidR="007B74B8" w:rsidRPr="000864AE" w14:paraId="1D933BEF"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99CFA" w14:textId="02EE042C"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512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7F65D"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Times New Roman"/>
                <w:color w:val="000000"/>
                <w:sz w:val="18"/>
                <w:szCs w:val="18"/>
                <w:lang w:eastAsia="es-MX"/>
              </w:rPr>
              <w:t>Talavera Rospigliosi Laura Rosario</w:t>
            </w:r>
          </w:p>
        </w:tc>
      </w:tr>
      <w:tr w:rsidR="007B74B8" w:rsidRPr="000864AE" w14:paraId="07AAE8AE"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EF3C0" w14:textId="0459B19F"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513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F89E1DF"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Tam Loyola Perla Edith</w:t>
            </w:r>
          </w:p>
        </w:tc>
      </w:tr>
      <w:tr w:rsidR="007B74B8" w:rsidRPr="000864AE" w14:paraId="007B50BC"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D0552" w14:textId="6BD3D691"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514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1F7C7" w14:textId="77777777" w:rsidR="007B74B8" w:rsidRPr="000864AE" w:rsidRDefault="007B74B8" w:rsidP="000864AE">
            <w:pPr>
              <w:spacing w:after="0" w:line="240" w:lineRule="auto"/>
              <w:rPr>
                <w:rFonts w:ascii="Verdana" w:eastAsia="Times New Roman" w:hAnsi="Verdana" w:cs="Times New Roman"/>
                <w:color w:val="000000"/>
                <w:sz w:val="18"/>
                <w:szCs w:val="18"/>
                <w:lang w:eastAsia="es-MX"/>
              </w:rPr>
            </w:pPr>
            <w:r w:rsidRPr="000864AE">
              <w:rPr>
                <w:rFonts w:ascii="Verdana" w:eastAsia="Times New Roman" w:hAnsi="Verdana" w:cs="Arial"/>
                <w:color w:val="000000"/>
                <w:sz w:val="18"/>
                <w:szCs w:val="18"/>
                <w:lang w:eastAsia="es-MX"/>
              </w:rPr>
              <w:t>Tamara Rivera Orestes</w:t>
            </w:r>
          </w:p>
        </w:tc>
      </w:tr>
      <w:tr w:rsidR="007B74B8" w:rsidRPr="000864AE" w14:paraId="037F6173"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4DBB2" w14:textId="6DB3E5D1"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515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D0A43"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Tapia Gutiérrez José Enrique Leoncio</w:t>
            </w:r>
          </w:p>
        </w:tc>
      </w:tr>
      <w:tr w:rsidR="007B74B8" w:rsidRPr="000864AE" w14:paraId="7315CD90"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A2BCE" w14:textId="1ADD179C"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516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F4C10"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Tenorio Rodríguez Vilma Elisa</w:t>
            </w:r>
          </w:p>
        </w:tc>
      </w:tr>
      <w:tr w:rsidR="007B74B8" w:rsidRPr="000864AE" w14:paraId="1BD4D77C"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BFFA8" w14:textId="2307F96E"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517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B8AB2"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Terán Márquez Víctor Manuel</w:t>
            </w:r>
          </w:p>
        </w:tc>
      </w:tr>
      <w:tr w:rsidR="007B74B8" w:rsidRPr="000864AE" w14:paraId="63C19109"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B7D99" w14:textId="4066F6FB"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518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E305A"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Terrazas Mejia Rosi Jesús</w:t>
            </w:r>
          </w:p>
        </w:tc>
      </w:tr>
      <w:tr w:rsidR="007B74B8" w:rsidRPr="000864AE" w14:paraId="08247381"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5E3C8" w14:textId="4A8F8F4B"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519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03D81"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Terreros Monteverde Haydee</w:t>
            </w:r>
          </w:p>
        </w:tc>
      </w:tr>
      <w:tr w:rsidR="007B74B8" w:rsidRPr="000864AE" w14:paraId="40E8A146"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FD63B" w14:textId="08C78003"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520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A8261"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Terrones Díaz Elba Nelly</w:t>
            </w:r>
          </w:p>
        </w:tc>
      </w:tr>
      <w:tr w:rsidR="007B74B8" w:rsidRPr="000864AE" w14:paraId="759D7858"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FD2B2" w14:textId="6E7A1C54"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521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2CF74"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Tipacti Aste Nelly Gabriela</w:t>
            </w:r>
          </w:p>
        </w:tc>
      </w:tr>
      <w:tr w:rsidR="007B74B8" w:rsidRPr="000864AE" w14:paraId="7A1B87B7"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EB4B1" w14:textId="074A8331"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522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6B35A"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Toledo La Rosa Ramón Lorenzo</w:t>
            </w:r>
          </w:p>
        </w:tc>
      </w:tr>
      <w:tr w:rsidR="007B74B8" w:rsidRPr="000864AE" w14:paraId="3B182D16"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279C9" w14:textId="6AA8A327"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523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6C2B3"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Tompson Ruiz Rita Amparo</w:t>
            </w:r>
          </w:p>
        </w:tc>
      </w:tr>
      <w:tr w:rsidR="007B74B8" w:rsidRPr="000864AE" w14:paraId="5EBB6EC4"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67997" w14:textId="7DC81996"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524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34C1B"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Torrejón Jiménez Luis Beltrán</w:t>
            </w:r>
          </w:p>
        </w:tc>
      </w:tr>
      <w:tr w:rsidR="007B74B8" w:rsidRPr="000864AE" w14:paraId="11D380C0"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52F91" w14:textId="5E6705B5"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525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EA9C4"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Torres Araujo Antonio Ramiro</w:t>
            </w:r>
          </w:p>
        </w:tc>
      </w:tr>
      <w:tr w:rsidR="007B74B8" w:rsidRPr="000864AE" w14:paraId="404A6AAF"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EF03B" w14:textId="1EFAC6FF"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526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30743"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Times New Roman"/>
                <w:color w:val="000000"/>
                <w:sz w:val="18"/>
                <w:szCs w:val="18"/>
                <w:lang w:eastAsia="es-MX"/>
              </w:rPr>
              <w:t>Torres Lazarte Teobaldo Félix</w:t>
            </w:r>
          </w:p>
        </w:tc>
      </w:tr>
      <w:tr w:rsidR="007B74B8" w:rsidRPr="000864AE" w14:paraId="43848B56"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B9125" w14:textId="1BCAC25A"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527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BFC8D" w14:textId="77777777" w:rsidR="007B74B8" w:rsidRPr="000864AE" w:rsidRDefault="007B74B8" w:rsidP="000864AE">
            <w:pPr>
              <w:spacing w:after="0" w:line="240" w:lineRule="auto"/>
              <w:rPr>
                <w:rFonts w:ascii="Verdana" w:eastAsia="Times New Roman" w:hAnsi="Verdana" w:cs="Times New Roman"/>
                <w:color w:val="000000"/>
                <w:sz w:val="18"/>
                <w:szCs w:val="18"/>
                <w:lang w:eastAsia="es-MX"/>
              </w:rPr>
            </w:pPr>
            <w:r w:rsidRPr="000864AE">
              <w:rPr>
                <w:rFonts w:ascii="Verdana" w:eastAsia="Times New Roman" w:hAnsi="Verdana" w:cs="Arial"/>
                <w:color w:val="000000"/>
                <w:sz w:val="18"/>
                <w:szCs w:val="18"/>
                <w:lang w:eastAsia="es-MX"/>
              </w:rPr>
              <w:t>Torres Policarpo Emiliano</w:t>
            </w:r>
          </w:p>
        </w:tc>
      </w:tr>
      <w:tr w:rsidR="007B74B8" w:rsidRPr="000864AE" w14:paraId="3DE736E8"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2321D" w14:textId="26BECC23"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528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97480"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Torres Sánchez Amancio</w:t>
            </w:r>
          </w:p>
        </w:tc>
      </w:tr>
      <w:tr w:rsidR="007B74B8" w:rsidRPr="000864AE" w14:paraId="17123DE4"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2250A" w14:textId="7892AF63"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529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3EAC5"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Tueros Del Risco Nicolás Matías</w:t>
            </w:r>
          </w:p>
        </w:tc>
      </w:tr>
      <w:tr w:rsidR="007B74B8" w:rsidRPr="000864AE" w14:paraId="330DE285"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D21C1" w14:textId="0F3CC5D8"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530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4BF5C"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Ubillus Morales Juan Carlos</w:t>
            </w:r>
          </w:p>
        </w:tc>
      </w:tr>
      <w:tr w:rsidR="007B74B8" w:rsidRPr="000864AE" w14:paraId="725F4230"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7E7B3" w14:textId="76884CE2"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531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0A0A2"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Times New Roman"/>
                <w:color w:val="000000"/>
                <w:sz w:val="18"/>
                <w:szCs w:val="18"/>
                <w:lang w:eastAsia="es-MX"/>
              </w:rPr>
              <w:t>Uchofen Tiparra Giordano</w:t>
            </w:r>
          </w:p>
        </w:tc>
      </w:tr>
      <w:tr w:rsidR="007B74B8" w:rsidRPr="000864AE" w14:paraId="5C72CADA"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B1563" w14:textId="5EB1648F"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532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04ACF" w14:textId="77777777" w:rsidR="007B74B8" w:rsidRPr="000864AE" w:rsidRDefault="007B74B8" w:rsidP="000864AE">
            <w:pPr>
              <w:spacing w:after="0" w:line="240" w:lineRule="auto"/>
              <w:rPr>
                <w:rFonts w:ascii="Verdana" w:eastAsia="Times New Roman" w:hAnsi="Verdana" w:cs="Times New Roman"/>
                <w:color w:val="000000"/>
                <w:sz w:val="18"/>
                <w:szCs w:val="18"/>
                <w:lang w:eastAsia="es-MX"/>
              </w:rPr>
            </w:pPr>
            <w:r w:rsidRPr="000864AE">
              <w:rPr>
                <w:rFonts w:ascii="Verdana" w:eastAsia="Times New Roman" w:hAnsi="Verdana" w:cs="Arial"/>
                <w:color w:val="000000"/>
                <w:sz w:val="18"/>
                <w:szCs w:val="18"/>
                <w:lang w:eastAsia="es-MX"/>
              </w:rPr>
              <w:t>Uchuya Valencia Lorenza Soledad</w:t>
            </w:r>
          </w:p>
        </w:tc>
      </w:tr>
      <w:tr w:rsidR="007B74B8" w:rsidRPr="000864AE" w14:paraId="0E85DB5C"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CFD5D" w14:textId="3BF16746" w:rsidR="00113E03" w:rsidRPr="000864AE" w:rsidRDefault="00113E03" w:rsidP="00113E03">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533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0AF67"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Ugaz Diez Canseco Julia</w:t>
            </w:r>
          </w:p>
        </w:tc>
      </w:tr>
      <w:tr w:rsidR="007B74B8" w:rsidRPr="000864AE" w14:paraId="2DB05675"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D2333" w14:textId="62173AAA"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534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C4003"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Unchupaico Godoy Julia Agustina</w:t>
            </w:r>
          </w:p>
        </w:tc>
      </w:tr>
      <w:tr w:rsidR="007B74B8" w:rsidRPr="000864AE" w14:paraId="1B2C28D7"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19627" w14:textId="25B29D2E"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535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A333B"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Uribe Collazos María Francisca</w:t>
            </w:r>
          </w:p>
        </w:tc>
      </w:tr>
      <w:tr w:rsidR="007B74B8" w:rsidRPr="000864AE" w14:paraId="6C4A7B32"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781BF" w14:textId="03889576"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536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9345B"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Urquizo Méndez Miguel Leoncio</w:t>
            </w:r>
          </w:p>
        </w:tc>
      </w:tr>
      <w:tr w:rsidR="007B74B8" w:rsidRPr="000864AE" w14:paraId="17187AEB"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51BFD" w14:textId="077CBBE8"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537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F5EE6"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Vaccaro Quiñónez Jorge</w:t>
            </w:r>
          </w:p>
        </w:tc>
      </w:tr>
      <w:tr w:rsidR="007B74B8" w:rsidRPr="000864AE" w14:paraId="5AFF9D1C"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057AC" w14:textId="5902EFD5"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538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03434"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Valdez Cuellar María</w:t>
            </w:r>
          </w:p>
        </w:tc>
      </w:tr>
      <w:tr w:rsidR="007B74B8" w:rsidRPr="000864AE" w14:paraId="37333668"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B1C6E" w14:textId="0CEAA3E5"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539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E78F5"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Valdivia Cáceres Rosa</w:t>
            </w:r>
          </w:p>
        </w:tc>
      </w:tr>
      <w:tr w:rsidR="007B74B8" w:rsidRPr="000864AE" w14:paraId="01127C86"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B00BC" w14:textId="0F04E135"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540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7F4AE"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Valdivia Ruiz Eduardo</w:t>
            </w:r>
          </w:p>
        </w:tc>
      </w:tr>
      <w:tr w:rsidR="007B74B8" w:rsidRPr="000864AE" w14:paraId="7EE56CC2"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FD4D5" w14:textId="48373F3D"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541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4B30A"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Valdivia Velásquez Saturnino Braulio</w:t>
            </w:r>
          </w:p>
        </w:tc>
      </w:tr>
      <w:tr w:rsidR="007B74B8" w:rsidRPr="000864AE" w14:paraId="50AAC6F5"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A3E6B" w14:textId="1A97B464"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542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97719"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Valenzuela Huamán Santos pablo</w:t>
            </w:r>
          </w:p>
        </w:tc>
      </w:tr>
      <w:tr w:rsidR="007B74B8" w:rsidRPr="000864AE" w14:paraId="60058C21"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F8CC8" w14:textId="17D14D04"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543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DE89E15"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Valerio Aguirre Inocenta Teofila</w:t>
            </w:r>
          </w:p>
        </w:tc>
      </w:tr>
      <w:tr w:rsidR="007B74B8" w:rsidRPr="000864AE" w14:paraId="438E0976"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DBB9C" w14:textId="6D591CD6"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544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31F8D"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Valverde Dancourt Juan Manuel</w:t>
            </w:r>
          </w:p>
        </w:tc>
      </w:tr>
      <w:tr w:rsidR="007B74B8" w:rsidRPr="000864AE" w14:paraId="245D0393"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DD846" w14:textId="6A051B71"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545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EB831"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Valverde Proaño Zoila Rosa</w:t>
            </w:r>
          </w:p>
        </w:tc>
      </w:tr>
      <w:tr w:rsidR="007B74B8" w:rsidRPr="000864AE" w14:paraId="528D2B61"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ED4BA" w14:textId="233EF92A"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546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3B180"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Varela Alzamora María Asunción</w:t>
            </w:r>
          </w:p>
        </w:tc>
      </w:tr>
      <w:tr w:rsidR="007B74B8" w:rsidRPr="000864AE" w14:paraId="11616CC1"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604B4" w14:textId="3AF13609"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547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F266A"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Vargas Cusi Justo Pastor</w:t>
            </w:r>
          </w:p>
        </w:tc>
      </w:tr>
      <w:tr w:rsidR="007B74B8" w:rsidRPr="000864AE" w14:paraId="7DC5B73E"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5DD16" w14:textId="4D1CC311"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548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F7EF1"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Vargas Guillén Manuel</w:t>
            </w:r>
          </w:p>
        </w:tc>
      </w:tr>
      <w:tr w:rsidR="007B74B8" w:rsidRPr="000864AE" w14:paraId="01FA5DEE"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3C19B" w14:textId="44B1008E"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549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7295C"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Vargas Soriano Napoleón</w:t>
            </w:r>
          </w:p>
        </w:tc>
      </w:tr>
      <w:tr w:rsidR="007B74B8" w:rsidRPr="000864AE" w14:paraId="49C484B6"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22D14" w14:textId="6C3CE10D"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86340"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Vargas Utrilla Eustaquio</w:t>
            </w:r>
          </w:p>
        </w:tc>
      </w:tr>
      <w:tr w:rsidR="007B74B8" w:rsidRPr="000864AE" w14:paraId="71705365"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41AB4" w14:textId="1534EE45"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551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12409"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Varias Hurtado Eleazar Antonio</w:t>
            </w:r>
          </w:p>
        </w:tc>
      </w:tr>
      <w:tr w:rsidR="007B74B8" w:rsidRPr="000864AE" w14:paraId="3C2D2A3D"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C39B5" w14:textId="3C438765"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552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EC3E0"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Vásquez Euribe Isabel</w:t>
            </w:r>
          </w:p>
        </w:tc>
      </w:tr>
      <w:tr w:rsidR="007B74B8" w:rsidRPr="000864AE" w14:paraId="66BB3DC9"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A330A" w14:textId="759C8AFB"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553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4C80C"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Vásquez Giraldo Carlomagno</w:t>
            </w:r>
          </w:p>
        </w:tc>
      </w:tr>
      <w:tr w:rsidR="007B74B8" w:rsidRPr="000864AE" w14:paraId="32ADFE31"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E4886" w14:textId="5BADF8C4"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554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103DD"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Vásquez Rivera José Leonidas</w:t>
            </w:r>
          </w:p>
        </w:tc>
      </w:tr>
      <w:tr w:rsidR="007B74B8" w:rsidRPr="000864AE" w14:paraId="5D65B966"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D6D86" w14:textId="3CBCD7B6"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555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F91B6"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Velarde Ruesta Conrado Francisco</w:t>
            </w:r>
          </w:p>
        </w:tc>
      </w:tr>
      <w:tr w:rsidR="007B74B8" w:rsidRPr="000864AE" w14:paraId="3E6ADF77"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6666F" w14:textId="16E974AD"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556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464C7"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Velásquez Quezada Pedro</w:t>
            </w:r>
          </w:p>
        </w:tc>
      </w:tr>
      <w:tr w:rsidR="007B74B8" w:rsidRPr="000864AE" w14:paraId="3C6C33DC"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BA269" w14:textId="65A2CCD7"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557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2693D"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Velita Palacios Antonio Gamaniel</w:t>
            </w:r>
          </w:p>
        </w:tc>
      </w:tr>
      <w:tr w:rsidR="007B74B8" w:rsidRPr="000864AE" w14:paraId="3EB46839"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E4B93" w14:textId="0869D84B"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558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61946"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Ventocilla Ureta Rafael</w:t>
            </w:r>
          </w:p>
        </w:tc>
      </w:tr>
      <w:tr w:rsidR="007B74B8" w:rsidRPr="000864AE" w14:paraId="4B0F5600"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F2BB9" w14:textId="60900C04"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559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D29F5"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Vera Toro Juana Elvira</w:t>
            </w:r>
          </w:p>
        </w:tc>
      </w:tr>
      <w:tr w:rsidR="007B74B8" w:rsidRPr="000864AE" w14:paraId="28E222A5"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3081B" w14:textId="2E513CFE"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560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ABFF0"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Verástegui Oscategui Robin</w:t>
            </w:r>
          </w:p>
        </w:tc>
      </w:tr>
      <w:tr w:rsidR="007B74B8" w:rsidRPr="000864AE" w14:paraId="13DA08B3"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7E039" w14:textId="026C1D91"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561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19ABC"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Vidaurre Guillermo Juan</w:t>
            </w:r>
          </w:p>
        </w:tc>
      </w:tr>
      <w:tr w:rsidR="007B74B8" w:rsidRPr="000864AE" w14:paraId="0504A919"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C6BCF" w14:textId="1B56E2CA"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562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0A131"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Times New Roman"/>
                <w:color w:val="000000"/>
                <w:sz w:val="18"/>
                <w:szCs w:val="18"/>
                <w:lang w:eastAsia="es-MX"/>
              </w:rPr>
              <w:t>Vidondo Cortez José</w:t>
            </w:r>
          </w:p>
        </w:tc>
      </w:tr>
      <w:tr w:rsidR="007B74B8" w:rsidRPr="000864AE" w14:paraId="44D195CC"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7E4D3" w14:textId="232AD633"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563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223BB" w14:textId="77777777" w:rsidR="007B74B8" w:rsidRPr="000864AE" w:rsidRDefault="007B74B8" w:rsidP="000864AE">
            <w:pPr>
              <w:spacing w:after="0" w:line="240" w:lineRule="auto"/>
              <w:rPr>
                <w:rFonts w:ascii="Verdana" w:eastAsia="Times New Roman" w:hAnsi="Verdana" w:cs="Times New Roman"/>
                <w:color w:val="000000"/>
                <w:sz w:val="18"/>
                <w:szCs w:val="18"/>
                <w:lang w:eastAsia="es-MX"/>
              </w:rPr>
            </w:pPr>
            <w:r w:rsidRPr="000864AE">
              <w:rPr>
                <w:rFonts w:ascii="Verdana" w:eastAsia="Times New Roman" w:hAnsi="Verdana" w:cs="Arial"/>
                <w:color w:val="000000"/>
                <w:sz w:val="18"/>
                <w:szCs w:val="18"/>
                <w:lang w:eastAsia="es-MX"/>
              </w:rPr>
              <w:t>Vigil Urdiales Rita María</w:t>
            </w:r>
          </w:p>
        </w:tc>
      </w:tr>
      <w:tr w:rsidR="007B74B8" w:rsidRPr="000864AE" w14:paraId="4E61CAD5"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C9D49" w14:textId="0F429C38"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564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ABBC1"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Vigo Noriega Andrés José</w:t>
            </w:r>
          </w:p>
        </w:tc>
      </w:tr>
      <w:tr w:rsidR="007B74B8" w:rsidRPr="000864AE" w14:paraId="0B9BDF94"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F208D" w14:textId="7E23B39F"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565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08C87"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Vilcas Palomino Germán</w:t>
            </w:r>
          </w:p>
        </w:tc>
      </w:tr>
      <w:tr w:rsidR="007B74B8" w:rsidRPr="000864AE" w14:paraId="0CD32154"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CDDA5" w14:textId="14583D40"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566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FFB94"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Vilchez Chávez José Isidro</w:t>
            </w:r>
          </w:p>
        </w:tc>
      </w:tr>
      <w:tr w:rsidR="007B74B8" w:rsidRPr="000864AE" w14:paraId="360E6B0B"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24EB6" w14:textId="3F89A7DA"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567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262A0"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Villacorta Bellota Nemesio</w:t>
            </w:r>
          </w:p>
        </w:tc>
      </w:tr>
      <w:tr w:rsidR="007B74B8" w:rsidRPr="000864AE" w14:paraId="60532184"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D5372" w14:textId="01972FD5"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568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71D11"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Villacorta Lozada Cesar</w:t>
            </w:r>
          </w:p>
        </w:tc>
      </w:tr>
      <w:tr w:rsidR="007B74B8" w:rsidRPr="000864AE" w14:paraId="5004993C"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9A708" w14:textId="1E567D65"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569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9D531"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Villafuerte Rivera Nelly Marcela</w:t>
            </w:r>
          </w:p>
        </w:tc>
      </w:tr>
      <w:tr w:rsidR="007B74B8" w:rsidRPr="000864AE" w14:paraId="1682348A"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763F1" w14:textId="2F44DBA9"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570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209E4"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Villalobos García Ascención</w:t>
            </w:r>
          </w:p>
        </w:tc>
      </w:tr>
      <w:tr w:rsidR="007B74B8" w:rsidRPr="000864AE" w14:paraId="2A26EAC3"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65B44" w14:textId="553966FF"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571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7FDF9"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Villalobos Ruiz Saturnino Vicente</w:t>
            </w:r>
          </w:p>
        </w:tc>
      </w:tr>
      <w:tr w:rsidR="007B74B8" w:rsidRPr="000864AE" w14:paraId="2F627E64"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9023F" w14:textId="024DA19C"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572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808B3"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Times New Roman"/>
                <w:color w:val="000000"/>
                <w:sz w:val="18"/>
                <w:szCs w:val="18"/>
                <w:lang w:eastAsia="es-MX"/>
              </w:rPr>
              <w:t>Villalta Castañeda Jorge Octavio</w:t>
            </w:r>
          </w:p>
        </w:tc>
      </w:tr>
      <w:tr w:rsidR="007B74B8" w:rsidRPr="000864AE" w14:paraId="04F3972F"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7811E" w14:textId="1CFCBECF"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573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13DFA" w14:textId="77777777" w:rsidR="007B74B8" w:rsidRPr="000864AE" w:rsidRDefault="007B74B8" w:rsidP="000864AE">
            <w:pPr>
              <w:spacing w:after="0" w:line="240" w:lineRule="auto"/>
              <w:rPr>
                <w:rFonts w:ascii="Verdana" w:eastAsia="Times New Roman" w:hAnsi="Verdana" w:cs="Times New Roman"/>
                <w:color w:val="000000"/>
                <w:sz w:val="18"/>
                <w:szCs w:val="18"/>
                <w:lang w:eastAsia="es-MX"/>
              </w:rPr>
            </w:pPr>
            <w:r w:rsidRPr="000864AE">
              <w:rPr>
                <w:rFonts w:ascii="Verdana" w:eastAsia="Times New Roman" w:hAnsi="Verdana" w:cs="Arial"/>
                <w:color w:val="000000"/>
                <w:sz w:val="18"/>
                <w:szCs w:val="18"/>
                <w:lang w:eastAsia="es-MX"/>
              </w:rPr>
              <w:t>Villanueva Vidal Carmelo Edmundo</w:t>
            </w:r>
          </w:p>
        </w:tc>
      </w:tr>
      <w:tr w:rsidR="007B74B8" w:rsidRPr="000864AE" w14:paraId="59FF7DAE"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BA731" w14:textId="1F29DA99"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574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9B05B"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Villar Calagua Isaura María</w:t>
            </w:r>
          </w:p>
        </w:tc>
      </w:tr>
      <w:tr w:rsidR="007B74B8" w:rsidRPr="000864AE" w14:paraId="11963984"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56842" w14:textId="506EC101"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575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D82F8"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Villarán Cavero Carmen Rosa</w:t>
            </w:r>
          </w:p>
        </w:tc>
      </w:tr>
      <w:tr w:rsidR="007B74B8" w:rsidRPr="000864AE" w14:paraId="0BE5AD4F"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93320" w14:textId="04C80B77"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576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B38FB"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Villavicencio Valdivia Jaime Alejandro</w:t>
            </w:r>
          </w:p>
        </w:tc>
      </w:tr>
      <w:tr w:rsidR="007B74B8" w:rsidRPr="000864AE" w14:paraId="3933FB79"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6650D" w14:textId="689A9850"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577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F63CA"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Villena Ponce Narda Luz</w:t>
            </w:r>
          </w:p>
        </w:tc>
      </w:tr>
      <w:tr w:rsidR="007B74B8" w:rsidRPr="000864AE" w14:paraId="091D5A54"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3288D" w14:textId="66321D2D"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578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769AA"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Times New Roman"/>
                <w:color w:val="000000"/>
                <w:sz w:val="18"/>
                <w:szCs w:val="18"/>
                <w:lang w:eastAsia="es-MX"/>
              </w:rPr>
              <w:t>Vivanco Terry Yolanda Cristina</w:t>
            </w:r>
          </w:p>
        </w:tc>
      </w:tr>
      <w:tr w:rsidR="007B74B8" w:rsidRPr="000864AE" w14:paraId="67A48CAB"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F0B80" w14:textId="64D396CF"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579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9162D" w14:textId="77777777" w:rsidR="007B74B8" w:rsidRPr="000864AE" w:rsidRDefault="007B74B8" w:rsidP="000864AE">
            <w:pPr>
              <w:spacing w:after="0" w:line="240" w:lineRule="auto"/>
              <w:rPr>
                <w:rFonts w:ascii="Verdana" w:eastAsia="Times New Roman" w:hAnsi="Verdana" w:cs="Times New Roman"/>
                <w:color w:val="000000"/>
                <w:sz w:val="18"/>
                <w:szCs w:val="18"/>
                <w:lang w:eastAsia="es-MX"/>
              </w:rPr>
            </w:pPr>
            <w:r w:rsidRPr="000864AE">
              <w:rPr>
                <w:rFonts w:ascii="Verdana" w:eastAsia="Times New Roman" w:hAnsi="Verdana" w:cs="Arial"/>
                <w:color w:val="000000"/>
                <w:sz w:val="18"/>
                <w:szCs w:val="18"/>
                <w:lang w:eastAsia="es-MX"/>
              </w:rPr>
              <w:t>Wong Chang José Germán</w:t>
            </w:r>
          </w:p>
        </w:tc>
      </w:tr>
      <w:tr w:rsidR="007B74B8" w:rsidRPr="000864AE" w14:paraId="586DE0C9"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57189" w14:textId="379F98EC"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58</w:t>
            </w:r>
            <w:r w:rsidR="00113E03">
              <w:rPr>
                <w:rFonts w:ascii="Verdana" w:eastAsia="Times New Roman" w:hAnsi="Verdana" w:cs="Times New Roman"/>
                <w:b/>
                <w:color w:val="000000"/>
                <w:sz w:val="18"/>
                <w:szCs w:val="18"/>
                <w:lang w:eastAsia="es-MX"/>
              </w:rPr>
              <w:t>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16074"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Yabar Acurio Marina Mauricia</w:t>
            </w:r>
          </w:p>
        </w:tc>
      </w:tr>
      <w:tr w:rsidR="007B74B8" w:rsidRPr="000864AE" w14:paraId="4003D79D"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56407" w14:textId="79F414DB"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581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B2555"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Yalta Mezquita Herman</w:t>
            </w:r>
          </w:p>
        </w:tc>
      </w:tr>
      <w:tr w:rsidR="007B74B8" w:rsidRPr="000864AE" w14:paraId="73900017"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3828A" w14:textId="391AE153"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582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3E689"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Yana Siguacollo Pablo</w:t>
            </w:r>
          </w:p>
        </w:tc>
      </w:tr>
      <w:tr w:rsidR="007B74B8" w:rsidRPr="000864AE" w14:paraId="2E5D7613"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068E4" w14:textId="20C7D411"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583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4DA74"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Yoza Yoza Agustín</w:t>
            </w:r>
          </w:p>
        </w:tc>
      </w:tr>
      <w:tr w:rsidR="007B74B8" w:rsidRPr="000864AE" w14:paraId="7845B94A"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779F6" w14:textId="4F4EFD26"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584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EC203"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Zamora Capelli Olga Alicia</w:t>
            </w:r>
          </w:p>
        </w:tc>
      </w:tr>
      <w:tr w:rsidR="007B74B8" w:rsidRPr="000864AE" w14:paraId="78DD0958"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241AC" w14:textId="580E3AA6"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585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E2BA3"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Zamudio Espinoza Silvestre</w:t>
            </w:r>
          </w:p>
        </w:tc>
      </w:tr>
      <w:tr w:rsidR="007B74B8" w:rsidRPr="000864AE" w14:paraId="79B9ED06"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C5BFF" w14:textId="72549CCB"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586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21630"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Zamudio Rojas Nancy Aurora</w:t>
            </w:r>
          </w:p>
        </w:tc>
      </w:tr>
      <w:tr w:rsidR="007B74B8" w:rsidRPr="000864AE" w14:paraId="2C34A57E"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70B38" w14:textId="67D5C330"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587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64FEB"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Zapana Mamani Florencio</w:t>
            </w:r>
          </w:p>
        </w:tc>
      </w:tr>
      <w:tr w:rsidR="007B74B8" w:rsidRPr="000864AE" w14:paraId="64C8CD98"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D924F" w14:textId="6945A077"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588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2E219"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Zapata Diez Canseco Percy Walter</w:t>
            </w:r>
          </w:p>
        </w:tc>
      </w:tr>
      <w:tr w:rsidR="007B74B8" w:rsidRPr="000864AE" w14:paraId="3884A265"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42B5F" w14:textId="3829028B"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589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08540"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Zavala Vela Gladys Emilia</w:t>
            </w:r>
          </w:p>
        </w:tc>
      </w:tr>
      <w:tr w:rsidR="007B74B8" w:rsidRPr="000864AE" w14:paraId="42437848"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6D4BB" w14:textId="697C994A"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590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BF42F"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Zavaleta Remy Rosa María Del Pilar</w:t>
            </w:r>
          </w:p>
        </w:tc>
      </w:tr>
      <w:tr w:rsidR="007B74B8" w:rsidRPr="000864AE" w14:paraId="59262B28"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A2764" w14:textId="09554A6E"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591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5FADF"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Zavalla Contreras Julio Víctor</w:t>
            </w:r>
          </w:p>
        </w:tc>
      </w:tr>
      <w:tr w:rsidR="007B74B8" w:rsidRPr="000864AE" w14:paraId="613CE4CE"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277D2" w14:textId="3D71C1AD"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592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B8867"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Zegarra Matos Mario Antonio</w:t>
            </w:r>
          </w:p>
        </w:tc>
      </w:tr>
      <w:tr w:rsidR="007B74B8" w:rsidRPr="000864AE" w14:paraId="239C376F"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2A9BE" w14:textId="52A64AE9"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593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6E857"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Zevallos Huamaní Claudio</w:t>
            </w:r>
          </w:p>
        </w:tc>
      </w:tr>
      <w:tr w:rsidR="007B74B8" w:rsidRPr="000864AE" w14:paraId="40D34545"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77165" w14:textId="1A46EB30"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594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601E4"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Zumaeta Reátegui Clara Melita</w:t>
            </w:r>
          </w:p>
        </w:tc>
      </w:tr>
      <w:tr w:rsidR="007B74B8" w:rsidRPr="000864AE" w14:paraId="6091FF17"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53FD0" w14:textId="528C2C1F"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595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DB693"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Zúñiga Montes Julio Evaristo</w:t>
            </w:r>
          </w:p>
        </w:tc>
      </w:tr>
      <w:tr w:rsidR="007B74B8" w:rsidRPr="000864AE" w14:paraId="09F10769"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3FF74" w14:textId="14FCB6C1" w:rsidR="007B74B8" w:rsidRPr="000864AE" w:rsidRDefault="007B74B8" w:rsidP="000864AE">
            <w:pPr>
              <w:spacing w:after="0" w:line="240" w:lineRule="auto"/>
              <w:jc w:val="center"/>
              <w:rPr>
                <w:rFonts w:ascii="Verdana" w:eastAsia="Times New Roman" w:hAnsi="Verdana" w:cs="Times New Roman"/>
                <w:b/>
                <w:color w:val="000000"/>
                <w:sz w:val="18"/>
                <w:szCs w:val="18"/>
                <w:lang w:eastAsia="es-MX"/>
              </w:rPr>
            </w:pPr>
            <w:r w:rsidRPr="000864AE">
              <w:rPr>
                <w:rFonts w:ascii="Verdana" w:eastAsia="Times New Roman" w:hAnsi="Verdana" w:cs="Times New Roman"/>
                <w:b/>
                <w:color w:val="000000"/>
                <w:sz w:val="18"/>
                <w:szCs w:val="18"/>
                <w:lang w:eastAsia="es-MX"/>
              </w:rPr>
              <w:t>5</w:t>
            </w:r>
            <w:r w:rsidR="00113E03">
              <w:rPr>
                <w:rFonts w:ascii="Verdana" w:eastAsia="Times New Roman" w:hAnsi="Verdana" w:cs="Times New Roman"/>
                <w:b/>
                <w:color w:val="000000"/>
                <w:sz w:val="18"/>
                <w:szCs w:val="18"/>
                <w:lang w:eastAsia="es-MX"/>
              </w:rPr>
              <w:t>96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BE6C6" w14:textId="77777777" w:rsidR="007B74B8" w:rsidRPr="000864AE"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Zúñiga Stranguich Hilda</w:t>
            </w:r>
          </w:p>
        </w:tc>
      </w:tr>
      <w:tr w:rsidR="007B74B8" w:rsidRPr="000B33B9" w14:paraId="4683D4FE" w14:textId="77777777" w:rsidTr="00AA598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5F393" w14:textId="3B65B5BD" w:rsidR="007B74B8" w:rsidRPr="000864AE" w:rsidRDefault="00113E03" w:rsidP="000864AE">
            <w:pPr>
              <w:spacing w:after="0" w:line="240" w:lineRule="auto"/>
              <w:jc w:val="center"/>
              <w:rPr>
                <w:rFonts w:ascii="Verdana" w:eastAsia="Times New Roman" w:hAnsi="Verdana" w:cs="Times New Roman"/>
                <w:b/>
                <w:color w:val="000000"/>
                <w:sz w:val="18"/>
                <w:szCs w:val="18"/>
                <w:lang w:eastAsia="es-MX"/>
              </w:rPr>
            </w:pPr>
            <w:r>
              <w:rPr>
                <w:rFonts w:ascii="Verdana" w:eastAsia="Times New Roman" w:hAnsi="Verdana" w:cs="Times New Roman"/>
                <w:b/>
                <w:color w:val="000000"/>
                <w:sz w:val="18"/>
                <w:szCs w:val="18"/>
                <w:lang w:eastAsia="es-MX"/>
              </w:rPr>
              <w:t>597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E4398" w14:textId="77777777" w:rsidR="007B74B8" w:rsidRPr="000B33B9" w:rsidRDefault="007B74B8" w:rsidP="000864AE">
            <w:pPr>
              <w:spacing w:after="0" w:line="240" w:lineRule="auto"/>
              <w:rPr>
                <w:rFonts w:ascii="Verdana" w:eastAsia="Times New Roman" w:hAnsi="Verdana" w:cs="Arial"/>
                <w:color w:val="000000"/>
                <w:sz w:val="18"/>
                <w:szCs w:val="18"/>
                <w:lang w:eastAsia="es-MX"/>
              </w:rPr>
            </w:pPr>
            <w:r w:rsidRPr="000864AE">
              <w:rPr>
                <w:rFonts w:ascii="Verdana" w:eastAsia="Times New Roman" w:hAnsi="Verdana" w:cs="Arial"/>
                <w:color w:val="000000"/>
                <w:sz w:val="18"/>
                <w:szCs w:val="18"/>
                <w:lang w:eastAsia="es-MX"/>
              </w:rPr>
              <w:t>Zúñiga Vásquez Mariano Claudio</w:t>
            </w:r>
          </w:p>
        </w:tc>
      </w:tr>
    </w:tbl>
    <w:p w14:paraId="74C5CE85" w14:textId="77777777" w:rsidR="00AC0C51" w:rsidRPr="000B33B9" w:rsidRDefault="00AC0C51" w:rsidP="000864AE">
      <w:pPr>
        <w:rPr>
          <w:rFonts w:ascii="Verdana" w:hAnsi="Verdana"/>
        </w:rPr>
        <w:sectPr w:rsidR="00AC0C51" w:rsidRPr="000B33B9" w:rsidSect="00AC0C51">
          <w:type w:val="continuous"/>
          <w:pgSz w:w="12240" w:h="15840"/>
          <w:pgMar w:top="1247" w:right="1191" w:bottom="1191" w:left="1247" w:header="720" w:footer="720" w:gutter="0"/>
          <w:lnNumType w:countBy="1"/>
          <w:cols w:num="2" w:space="720"/>
          <w:titlePg/>
          <w:docGrid w:linePitch="360"/>
        </w:sectPr>
      </w:pPr>
    </w:p>
    <w:p w14:paraId="6FF57C33" w14:textId="17A05A9F" w:rsidR="0033532B" w:rsidRDefault="0033532B">
      <w:pPr>
        <w:rPr>
          <w:rFonts w:ascii="Verdana" w:hAnsi="Verdana"/>
        </w:rPr>
      </w:pPr>
      <w:r>
        <w:rPr>
          <w:rFonts w:ascii="Verdana" w:hAnsi="Verdana"/>
        </w:rPr>
        <w:br w:type="page"/>
      </w:r>
    </w:p>
    <w:p w14:paraId="0ABD0D43" w14:textId="290DC0EC" w:rsidR="0033532B" w:rsidRPr="00745B6E" w:rsidRDefault="0033532B" w:rsidP="0057762C">
      <w:pPr>
        <w:keepNext/>
        <w:spacing w:after="0" w:line="240" w:lineRule="auto"/>
        <w:jc w:val="both"/>
        <w:outlineLvl w:val="0"/>
        <w:rPr>
          <w:rFonts w:ascii="Verdana" w:hAnsi="Verdana"/>
          <w:sz w:val="20"/>
          <w:lang w:val="es-CR"/>
        </w:rPr>
      </w:pPr>
      <w:r w:rsidRPr="00745B6E">
        <w:rPr>
          <w:rFonts w:ascii="Verdana" w:hAnsi="Verdana"/>
          <w:sz w:val="20"/>
          <w:lang w:val="es-ES"/>
        </w:rPr>
        <w:t xml:space="preserve">Corte IDH. </w:t>
      </w:r>
      <w:r w:rsidRPr="00745B6E">
        <w:rPr>
          <w:rFonts w:ascii="Verdana" w:hAnsi="Verdana"/>
          <w:i/>
          <w:sz w:val="20"/>
          <w:lang w:val="es-ES"/>
        </w:rPr>
        <w:t xml:space="preserve">Caso </w:t>
      </w:r>
      <w:r>
        <w:rPr>
          <w:rFonts w:ascii="Verdana" w:hAnsi="Verdana"/>
          <w:i/>
          <w:sz w:val="20"/>
          <w:lang w:val="es-ES"/>
        </w:rPr>
        <w:t>Asociación Nacional de Cesantes y Jubilados de la Superintendencia Nacional de Administración Tributaria (ANCEJUB-SUNAT)</w:t>
      </w:r>
      <w:r w:rsidRPr="00745B6E">
        <w:rPr>
          <w:rFonts w:ascii="Verdana" w:hAnsi="Verdana"/>
          <w:i/>
          <w:sz w:val="20"/>
          <w:lang w:val="es-ES"/>
        </w:rPr>
        <w:t xml:space="preserve"> Vs. P</w:t>
      </w:r>
      <w:r>
        <w:rPr>
          <w:rFonts w:ascii="Verdana" w:hAnsi="Verdana"/>
          <w:i/>
          <w:sz w:val="20"/>
          <w:lang w:val="es-ES"/>
        </w:rPr>
        <w:t>erú</w:t>
      </w:r>
      <w:r w:rsidRPr="00745B6E">
        <w:rPr>
          <w:rFonts w:ascii="Verdana" w:hAnsi="Verdana"/>
          <w:i/>
          <w:sz w:val="20"/>
          <w:lang w:val="es-ES"/>
        </w:rPr>
        <w:t xml:space="preserve">. </w:t>
      </w:r>
      <w:r>
        <w:rPr>
          <w:rFonts w:ascii="Verdana" w:hAnsi="Verdana"/>
          <w:i/>
          <w:sz w:val="20"/>
          <w:lang w:val="es-ES"/>
        </w:rPr>
        <w:t xml:space="preserve">Excepciones Preliminares, Fondo, Reparaciones y Costas. </w:t>
      </w:r>
      <w:r w:rsidRPr="00E86463">
        <w:rPr>
          <w:rFonts w:ascii="Verdana" w:hAnsi="Verdana"/>
          <w:sz w:val="20"/>
          <w:lang w:val="es-ES"/>
        </w:rPr>
        <w:t>Sentencia de 21 de noviembre de 2019.</w:t>
      </w:r>
    </w:p>
    <w:p w14:paraId="24CBBF82" w14:textId="2AE59D56" w:rsidR="0033532B" w:rsidRDefault="0033532B" w:rsidP="0057762C">
      <w:pPr>
        <w:spacing w:after="0" w:line="240" w:lineRule="auto"/>
        <w:rPr>
          <w:rFonts w:ascii="Verdana" w:hAnsi="Verdana"/>
          <w:sz w:val="20"/>
          <w:lang w:val="es-ES"/>
        </w:rPr>
      </w:pPr>
    </w:p>
    <w:p w14:paraId="1F9F22CB" w14:textId="6AC30703" w:rsidR="0057762C" w:rsidRDefault="0057762C" w:rsidP="0057762C">
      <w:pPr>
        <w:spacing w:after="0" w:line="240" w:lineRule="auto"/>
        <w:rPr>
          <w:rFonts w:ascii="Verdana" w:hAnsi="Verdana"/>
          <w:sz w:val="20"/>
          <w:lang w:val="es-ES"/>
        </w:rPr>
      </w:pPr>
    </w:p>
    <w:p w14:paraId="10A71763" w14:textId="0EFB0CD6" w:rsidR="0057762C" w:rsidRDefault="0057762C" w:rsidP="0057762C">
      <w:pPr>
        <w:spacing w:after="0" w:line="240" w:lineRule="auto"/>
        <w:rPr>
          <w:rFonts w:ascii="Verdana" w:hAnsi="Verdana"/>
          <w:sz w:val="20"/>
          <w:lang w:val="es-ES"/>
        </w:rPr>
      </w:pPr>
    </w:p>
    <w:p w14:paraId="24E81A79" w14:textId="774C4E79" w:rsidR="0057762C" w:rsidRDefault="0057762C" w:rsidP="0057762C">
      <w:pPr>
        <w:spacing w:after="0" w:line="240" w:lineRule="auto"/>
        <w:rPr>
          <w:rFonts w:ascii="Verdana" w:hAnsi="Verdana"/>
          <w:sz w:val="20"/>
          <w:lang w:val="es-ES"/>
        </w:rPr>
      </w:pPr>
    </w:p>
    <w:p w14:paraId="456B72D7" w14:textId="77777777" w:rsidR="0057762C" w:rsidRPr="00745B6E" w:rsidRDefault="0057762C" w:rsidP="0057762C">
      <w:pPr>
        <w:spacing w:after="0" w:line="240" w:lineRule="auto"/>
        <w:rPr>
          <w:rFonts w:ascii="Verdana" w:hAnsi="Verdana"/>
          <w:sz w:val="20"/>
          <w:lang w:val="es-ES"/>
        </w:rPr>
      </w:pPr>
    </w:p>
    <w:p w14:paraId="3CA42D81" w14:textId="0B60DA2A" w:rsidR="0033532B" w:rsidRPr="005A5D3C" w:rsidRDefault="0033532B" w:rsidP="0057762C">
      <w:pPr>
        <w:spacing w:after="0" w:line="240" w:lineRule="auto"/>
        <w:jc w:val="center"/>
        <w:rPr>
          <w:rFonts w:ascii="Verdana" w:hAnsi="Verdana"/>
          <w:sz w:val="20"/>
          <w:lang w:val="pt-BR"/>
        </w:rPr>
      </w:pPr>
      <w:r w:rsidRPr="005A5D3C">
        <w:rPr>
          <w:rFonts w:ascii="Verdana" w:hAnsi="Verdana"/>
          <w:sz w:val="20"/>
          <w:lang w:val="pt-BR"/>
        </w:rPr>
        <w:t xml:space="preserve">Eduardo Ferrer Mac-Gregor Poisot </w:t>
      </w:r>
    </w:p>
    <w:p w14:paraId="64504276" w14:textId="3B9A49CB" w:rsidR="0033532B" w:rsidRPr="005A5D3C" w:rsidRDefault="0033532B" w:rsidP="0057762C">
      <w:pPr>
        <w:spacing w:after="0" w:line="240" w:lineRule="auto"/>
        <w:jc w:val="center"/>
        <w:rPr>
          <w:rFonts w:ascii="Verdana" w:hAnsi="Verdana"/>
          <w:sz w:val="20"/>
          <w:lang w:val="pt-BR"/>
        </w:rPr>
      </w:pPr>
      <w:r w:rsidRPr="005A5D3C">
        <w:rPr>
          <w:rFonts w:ascii="Verdana" w:hAnsi="Verdana"/>
          <w:sz w:val="20"/>
          <w:lang w:val="pt-BR"/>
        </w:rPr>
        <w:t xml:space="preserve">Presidente </w:t>
      </w:r>
    </w:p>
    <w:p w14:paraId="76128686" w14:textId="426A9C69" w:rsidR="0033532B" w:rsidRPr="005A5D3C" w:rsidRDefault="0033532B" w:rsidP="0057762C">
      <w:pPr>
        <w:spacing w:after="0" w:line="240" w:lineRule="auto"/>
        <w:jc w:val="both"/>
        <w:rPr>
          <w:rFonts w:ascii="Verdana" w:hAnsi="Verdana"/>
          <w:sz w:val="20"/>
          <w:lang w:val="pt-BR"/>
        </w:rPr>
      </w:pPr>
    </w:p>
    <w:p w14:paraId="0CFBCBD5" w14:textId="032EF5D9" w:rsidR="0057762C" w:rsidRPr="005A5D3C" w:rsidRDefault="0057762C" w:rsidP="0057762C">
      <w:pPr>
        <w:spacing w:after="0" w:line="240" w:lineRule="auto"/>
        <w:jc w:val="both"/>
        <w:rPr>
          <w:rFonts w:ascii="Verdana" w:hAnsi="Verdana"/>
          <w:sz w:val="20"/>
          <w:lang w:val="pt-BR"/>
        </w:rPr>
      </w:pPr>
    </w:p>
    <w:p w14:paraId="256E2BF9" w14:textId="219B99E1" w:rsidR="0057762C" w:rsidRPr="005A5D3C" w:rsidRDefault="0057762C" w:rsidP="0057762C">
      <w:pPr>
        <w:spacing w:after="0" w:line="240" w:lineRule="auto"/>
        <w:jc w:val="both"/>
        <w:rPr>
          <w:rFonts w:ascii="Verdana" w:hAnsi="Verdana"/>
          <w:sz w:val="20"/>
          <w:lang w:val="pt-BR"/>
        </w:rPr>
      </w:pPr>
    </w:p>
    <w:p w14:paraId="3B7EC949" w14:textId="6A36FE92" w:rsidR="0057762C" w:rsidRPr="005A5D3C" w:rsidRDefault="0057762C" w:rsidP="0057762C">
      <w:pPr>
        <w:spacing w:after="0" w:line="240" w:lineRule="auto"/>
        <w:jc w:val="both"/>
        <w:rPr>
          <w:rFonts w:ascii="Verdana" w:hAnsi="Verdana"/>
          <w:sz w:val="20"/>
          <w:lang w:val="pt-BR"/>
        </w:rPr>
      </w:pPr>
    </w:p>
    <w:p w14:paraId="3F813290" w14:textId="77777777" w:rsidR="0057762C" w:rsidRPr="005A5D3C" w:rsidRDefault="0057762C" w:rsidP="0057762C">
      <w:pPr>
        <w:spacing w:after="0" w:line="240" w:lineRule="auto"/>
        <w:jc w:val="both"/>
        <w:rPr>
          <w:rFonts w:ascii="Verdana" w:hAnsi="Verdana"/>
          <w:sz w:val="20"/>
          <w:lang w:val="pt-BR"/>
        </w:rPr>
      </w:pPr>
    </w:p>
    <w:p w14:paraId="3FBFC4D5" w14:textId="75456B36" w:rsidR="0033532B" w:rsidRPr="005A5D3C" w:rsidRDefault="0033532B" w:rsidP="0057762C">
      <w:pPr>
        <w:spacing w:after="0" w:line="240" w:lineRule="auto"/>
        <w:jc w:val="both"/>
        <w:rPr>
          <w:rFonts w:ascii="Verdana" w:hAnsi="Verdana"/>
          <w:sz w:val="20"/>
          <w:lang w:val="pt-BR"/>
        </w:rPr>
      </w:pPr>
      <w:r w:rsidRPr="005A5D3C">
        <w:rPr>
          <w:rFonts w:ascii="Verdana" w:hAnsi="Verdana"/>
          <w:sz w:val="20"/>
          <w:lang w:val="pt-BR"/>
        </w:rPr>
        <w:t>Eduardo Vio Grossi</w:t>
      </w:r>
      <w:r w:rsidRPr="005A5D3C">
        <w:rPr>
          <w:rFonts w:ascii="Verdana" w:hAnsi="Verdana"/>
          <w:sz w:val="20"/>
          <w:lang w:val="pt-BR"/>
        </w:rPr>
        <w:tab/>
      </w:r>
      <w:r w:rsidRPr="005A5D3C">
        <w:rPr>
          <w:rFonts w:ascii="Verdana" w:hAnsi="Verdana"/>
          <w:sz w:val="20"/>
          <w:lang w:val="pt-BR"/>
        </w:rPr>
        <w:tab/>
      </w:r>
      <w:r w:rsidRPr="005A5D3C">
        <w:rPr>
          <w:rFonts w:ascii="Verdana" w:hAnsi="Verdana"/>
          <w:sz w:val="20"/>
          <w:lang w:val="pt-BR"/>
        </w:rPr>
        <w:tab/>
      </w:r>
      <w:r w:rsidRPr="005A5D3C">
        <w:rPr>
          <w:rFonts w:ascii="Verdana" w:hAnsi="Verdana"/>
          <w:sz w:val="20"/>
          <w:lang w:val="pt-BR"/>
        </w:rPr>
        <w:tab/>
      </w:r>
      <w:r w:rsidRPr="005A5D3C">
        <w:rPr>
          <w:rFonts w:ascii="Verdana" w:hAnsi="Verdana"/>
          <w:sz w:val="20"/>
          <w:lang w:val="pt-BR"/>
        </w:rPr>
        <w:tab/>
      </w:r>
      <w:r w:rsidRPr="005A5D3C">
        <w:rPr>
          <w:rFonts w:ascii="Verdana" w:hAnsi="Verdana"/>
          <w:sz w:val="20"/>
          <w:lang w:val="pt-BR"/>
        </w:rPr>
        <w:tab/>
      </w:r>
      <w:r w:rsidR="0057762C" w:rsidRPr="005A5D3C">
        <w:rPr>
          <w:rFonts w:ascii="Verdana" w:hAnsi="Verdana"/>
          <w:sz w:val="20"/>
          <w:lang w:val="pt-BR"/>
        </w:rPr>
        <w:tab/>
        <w:t xml:space="preserve">   </w:t>
      </w:r>
      <w:r w:rsidRPr="005A5D3C">
        <w:rPr>
          <w:rFonts w:ascii="Verdana" w:hAnsi="Verdana"/>
          <w:sz w:val="20"/>
          <w:lang w:val="pt-BR"/>
        </w:rPr>
        <w:t>Humberto Antonio Sierra Porto</w:t>
      </w:r>
    </w:p>
    <w:p w14:paraId="002D8715" w14:textId="32B95F8B" w:rsidR="0033532B" w:rsidRPr="005A5D3C" w:rsidRDefault="0033532B" w:rsidP="0057762C">
      <w:pPr>
        <w:spacing w:after="0" w:line="240" w:lineRule="auto"/>
        <w:jc w:val="both"/>
        <w:rPr>
          <w:rFonts w:ascii="Verdana" w:hAnsi="Verdana"/>
          <w:sz w:val="20"/>
          <w:lang w:val="pt-BR"/>
        </w:rPr>
      </w:pPr>
    </w:p>
    <w:p w14:paraId="20E0CF38" w14:textId="42BD5A7E" w:rsidR="0057762C" w:rsidRPr="005A5D3C" w:rsidRDefault="0057762C" w:rsidP="0057762C">
      <w:pPr>
        <w:spacing w:after="0" w:line="240" w:lineRule="auto"/>
        <w:jc w:val="both"/>
        <w:rPr>
          <w:rFonts w:ascii="Verdana" w:hAnsi="Verdana"/>
          <w:sz w:val="20"/>
          <w:lang w:val="pt-BR"/>
        </w:rPr>
      </w:pPr>
    </w:p>
    <w:p w14:paraId="7158CC2D" w14:textId="46A0AA73" w:rsidR="0057762C" w:rsidRPr="005A5D3C" w:rsidRDefault="0057762C" w:rsidP="0057762C">
      <w:pPr>
        <w:spacing w:after="0" w:line="240" w:lineRule="auto"/>
        <w:jc w:val="both"/>
        <w:rPr>
          <w:rFonts w:ascii="Verdana" w:hAnsi="Verdana"/>
          <w:sz w:val="20"/>
          <w:lang w:val="pt-BR"/>
        </w:rPr>
      </w:pPr>
    </w:p>
    <w:p w14:paraId="5091C98F" w14:textId="1195E4ED" w:rsidR="0057762C" w:rsidRPr="005A5D3C" w:rsidRDefault="0057762C" w:rsidP="0057762C">
      <w:pPr>
        <w:spacing w:after="0" w:line="240" w:lineRule="auto"/>
        <w:jc w:val="both"/>
        <w:rPr>
          <w:rFonts w:ascii="Verdana" w:hAnsi="Verdana"/>
          <w:sz w:val="20"/>
          <w:lang w:val="pt-BR"/>
        </w:rPr>
      </w:pPr>
    </w:p>
    <w:p w14:paraId="6DA3DB09" w14:textId="2533E56D" w:rsidR="0033532B" w:rsidRPr="005A5D3C" w:rsidRDefault="0033532B" w:rsidP="0057762C">
      <w:pPr>
        <w:spacing w:after="0" w:line="240" w:lineRule="auto"/>
        <w:jc w:val="both"/>
        <w:rPr>
          <w:rFonts w:ascii="Verdana" w:hAnsi="Verdana"/>
          <w:sz w:val="20"/>
          <w:lang w:val="pt-BR"/>
        </w:rPr>
      </w:pPr>
    </w:p>
    <w:p w14:paraId="4216E121" w14:textId="085CA93C" w:rsidR="0033532B" w:rsidRPr="0057762C" w:rsidRDefault="0033532B" w:rsidP="0057762C">
      <w:pPr>
        <w:spacing w:after="0" w:line="240" w:lineRule="auto"/>
        <w:rPr>
          <w:rFonts w:ascii="Verdana" w:hAnsi="Verdana"/>
          <w:sz w:val="20"/>
          <w:lang w:val="pt-BR"/>
        </w:rPr>
      </w:pPr>
      <w:r w:rsidRPr="00745B6E">
        <w:rPr>
          <w:rFonts w:ascii="Verdana" w:hAnsi="Verdana"/>
          <w:sz w:val="20"/>
          <w:lang w:val="es-ES"/>
        </w:rPr>
        <w:t>Elizabeth Odio Benito</w:t>
      </w:r>
      <w:r w:rsidRPr="00745B6E">
        <w:rPr>
          <w:rFonts w:ascii="Verdana" w:hAnsi="Verdana"/>
          <w:sz w:val="20"/>
          <w:lang w:val="es-ES"/>
        </w:rPr>
        <w:tab/>
      </w:r>
      <w:r w:rsidRPr="00745B6E">
        <w:rPr>
          <w:rFonts w:ascii="Verdana" w:hAnsi="Verdana"/>
          <w:sz w:val="20"/>
          <w:lang w:val="es-ES"/>
        </w:rPr>
        <w:tab/>
      </w:r>
      <w:r w:rsidRPr="00745B6E">
        <w:rPr>
          <w:rFonts w:ascii="Verdana" w:hAnsi="Verdana"/>
          <w:sz w:val="20"/>
          <w:lang w:val="es-ES"/>
        </w:rPr>
        <w:tab/>
      </w:r>
      <w:r w:rsidRPr="00745B6E">
        <w:rPr>
          <w:rFonts w:ascii="Verdana" w:hAnsi="Verdana"/>
          <w:sz w:val="20"/>
          <w:lang w:val="es-ES"/>
        </w:rPr>
        <w:tab/>
      </w:r>
      <w:r w:rsidRPr="00745B6E">
        <w:rPr>
          <w:rFonts w:ascii="Verdana" w:hAnsi="Verdana"/>
          <w:sz w:val="20"/>
          <w:lang w:val="es-ES"/>
        </w:rPr>
        <w:tab/>
      </w:r>
      <w:r w:rsidR="0057762C">
        <w:rPr>
          <w:rFonts w:ascii="Verdana" w:hAnsi="Verdana"/>
          <w:sz w:val="20"/>
          <w:lang w:val="es-ES"/>
        </w:rPr>
        <w:tab/>
      </w:r>
      <w:r w:rsidR="0057762C">
        <w:rPr>
          <w:rFonts w:ascii="Verdana" w:hAnsi="Verdana"/>
          <w:sz w:val="20"/>
          <w:lang w:val="es-ES"/>
        </w:rPr>
        <w:tab/>
      </w:r>
      <w:r w:rsidR="0057762C">
        <w:rPr>
          <w:rFonts w:ascii="Verdana" w:hAnsi="Verdana"/>
          <w:sz w:val="20"/>
          <w:lang w:val="es-ES"/>
        </w:rPr>
        <w:tab/>
        <w:t xml:space="preserve">    </w:t>
      </w:r>
      <w:r>
        <w:rPr>
          <w:rFonts w:ascii="Verdana" w:hAnsi="Verdana"/>
          <w:sz w:val="20"/>
          <w:lang w:val="es-ES"/>
        </w:rPr>
        <w:t>Eugenio Raúl Zaffaroni</w:t>
      </w:r>
    </w:p>
    <w:p w14:paraId="6326E475" w14:textId="0377CF7E" w:rsidR="0033532B" w:rsidRPr="0057762C" w:rsidRDefault="0033532B" w:rsidP="0057762C">
      <w:pPr>
        <w:spacing w:after="0" w:line="240" w:lineRule="auto"/>
        <w:jc w:val="both"/>
        <w:rPr>
          <w:rFonts w:ascii="Verdana" w:hAnsi="Verdana"/>
          <w:sz w:val="20"/>
          <w:lang w:val="pt-BR"/>
        </w:rPr>
      </w:pPr>
    </w:p>
    <w:p w14:paraId="6A6617A3" w14:textId="432FBE97" w:rsidR="0057762C" w:rsidRPr="0057762C" w:rsidRDefault="0057762C" w:rsidP="0057762C">
      <w:pPr>
        <w:spacing w:after="0" w:line="240" w:lineRule="auto"/>
        <w:jc w:val="both"/>
        <w:rPr>
          <w:rFonts w:ascii="Verdana" w:hAnsi="Verdana"/>
          <w:sz w:val="20"/>
          <w:lang w:val="pt-BR"/>
        </w:rPr>
      </w:pPr>
    </w:p>
    <w:p w14:paraId="1E2A03C0" w14:textId="265FC2B5" w:rsidR="0057762C" w:rsidRPr="0057762C" w:rsidRDefault="0057762C" w:rsidP="0057762C">
      <w:pPr>
        <w:spacing w:after="0" w:line="240" w:lineRule="auto"/>
        <w:jc w:val="both"/>
        <w:rPr>
          <w:rFonts w:ascii="Verdana" w:hAnsi="Verdana"/>
          <w:sz w:val="20"/>
          <w:lang w:val="pt-BR"/>
        </w:rPr>
      </w:pPr>
    </w:p>
    <w:p w14:paraId="1382F689" w14:textId="6A5F3F52" w:rsidR="0057762C" w:rsidRPr="0057762C" w:rsidRDefault="0057762C" w:rsidP="0057762C">
      <w:pPr>
        <w:spacing w:after="0" w:line="240" w:lineRule="auto"/>
        <w:jc w:val="both"/>
        <w:rPr>
          <w:rFonts w:ascii="Verdana" w:hAnsi="Verdana"/>
          <w:sz w:val="20"/>
          <w:lang w:val="pt-BR"/>
        </w:rPr>
      </w:pPr>
    </w:p>
    <w:p w14:paraId="661742B4" w14:textId="4C0F568A" w:rsidR="0033532B" w:rsidRPr="0057762C" w:rsidRDefault="0033532B" w:rsidP="0057762C">
      <w:pPr>
        <w:spacing w:after="0" w:line="240" w:lineRule="auto"/>
        <w:jc w:val="center"/>
        <w:rPr>
          <w:rFonts w:ascii="Verdana" w:hAnsi="Verdana"/>
          <w:sz w:val="20"/>
          <w:lang w:val="pt-BR"/>
        </w:rPr>
      </w:pPr>
    </w:p>
    <w:p w14:paraId="2566EA4E" w14:textId="27A50EAF" w:rsidR="0033532B" w:rsidRPr="0057762C" w:rsidRDefault="0033532B" w:rsidP="0057762C">
      <w:pPr>
        <w:spacing w:after="0" w:line="240" w:lineRule="auto"/>
        <w:rPr>
          <w:rFonts w:ascii="Verdana" w:hAnsi="Verdana"/>
          <w:sz w:val="20"/>
          <w:lang w:val="pt-BR"/>
        </w:rPr>
      </w:pPr>
      <w:r w:rsidRPr="0057762C">
        <w:rPr>
          <w:rFonts w:ascii="Verdana" w:hAnsi="Verdana"/>
          <w:sz w:val="20"/>
          <w:lang w:val="pt-BR"/>
        </w:rPr>
        <w:t xml:space="preserve">L. Patricio Pazmiño Freire </w:t>
      </w:r>
      <w:r w:rsidRPr="0057762C">
        <w:rPr>
          <w:rFonts w:ascii="Verdana" w:hAnsi="Verdana"/>
          <w:sz w:val="20"/>
          <w:lang w:val="pt-BR"/>
        </w:rPr>
        <w:tab/>
      </w:r>
      <w:r w:rsidRPr="0057762C">
        <w:rPr>
          <w:rFonts w:ascii="Verdana" w:hAnsi="Verdana"/>
          <w:sz w:val="20"/>
          <w:lang w:val="pt-BR"/>
        </w:rPr>
        <w:tab/>
      </w:r>
      <w:r w:rsidRPr="0057762C">
        <w:rPr>
          <w:rFonts w:ascii="Verdana" w:hAnsi="Verdana"/>
          <w:sz w:val="20"/>
          <w:lang w:val="pt-BR"/>
        </w:rPr>
        <w:tab/>
      </w:r>
      <w:r w:rsidRPr="0057762C">
        <w:rPr>
          <w:rFonts w:ascii="Verdana" w:hAnsi="Verdana"/>
          <w:sz w:val="20"/>
          <w:lang w:val="pt-BR"/>
        </w:rPr>
        <w:tab/>
      </w:r>
      <w:r w:rsidR="0057762C">
        <w:rPr>
          <w:rFonts w:ascii="Verdana" w:hAnsi="Verdana"/>
          <w:sz w:val="20"/>
          <w:lang w:val="pt-BR"/>
        </w:rPr>
        <w:tab/>
      </w:r>
      <w:r w:rsidR="0057762C">
        <w:rPr>
          <w:rFonts w:ascii="Verdana" w:hAnsi="Verdana"/>
          <w:sz w:val="20"/>
          <w:lang w:val="pt-BR"/>
        </w:rPr>
        <w:tab/>
        <w:t xml:space="preserve">         </w:t>
      </w:r>
      <w:r w:rsidRPr="0057762C">
        <w:rPr>
          <w:rFonts w:ascii="Verdana" w:hAnsi="Verdana"/>
          <w:sz w:val="20"/>
          <w:lang w:val="pt-BR"/>
        </w:rPr>
        <w:t>Ricardo C. Pérez Manrique</w:t>
      </w:r>
    </w:p>
    <w:p w14:paraId="78376FED" w14:textId="1ED122B0" w:rsidR="0033532B" w:rsidRPr="0057762C" w:rsidRDefault="0033532B" w:rsidP="0057762C">
      <w:pPr>
        <w:spacing w:after="0" w:line="240" w:lineRule="auto"/>
        <w:jc w:val="both"/>
        <w:rPr>
          <w:rFonts w:ascii="Verdana" w:hAnsi="Verdana"/>
          <w:sz w:val="20"/>
          <w:lang w:val="pt-BR"/>
        </w:rPr>
      </w:pPr>
    </w:p>
    <w:p w14:paraId="158E61DC" w14:textId="124CF716" w:rsidR="0057762C" w:rsidRPr="0057762C" w:rsidRDefault="0057762C" w:rsidP="0057762C">
      <w:pPr>
        <w:spacing w:after="0" w:line="240" w:lineRule="auto"/>
        <w:jc w:val="both"/>
        <w:rPr>
          <w:rFonts w:ascii="Verdana" w:hAnsi="Verdana"/>
          <w:sz w:val="20"/>
          <w:lang w:val="pt-BR"/>
        </w:rPr>
      </w:pPr>
    </w:p>
    <w:p w14:paraId="2DAFC961" w14:textId="4BCD6588" w:rsidR="0057762C" w:rsidRPr="0057762C" w:rsidRDefault="0057762C" w:rsidP="0057762C">
      <w:pPr>
        <w:spacing w:after="0" w:line="240" w:lineRule="auto"/>
        <w:jc w:val="both"/>
        <w:rPr>
          <w:rFonts w:ascii="Verdana" w:hAnsi="Verdana"/>
          <w:sz w:val="20"/>
          <w:lang w:val="pt-BR"/>
        </w:rPr>
      </w:pPr>
    </w:p>
    <w:p w14:paraId="21BCDD56" w14:textId="4B3C58CB" w:rsidR="0057762C" w:rsidRPr="0057762C" w:rsidRDefault="0057762C" w:rsidP="0057762C">
      <w:pPr>
        <w:spacing w:after="0" w:line="240" w:lineRule="auto"/>
        <w:jc w:val="both"/>
        <w:rPr>
          <w:rFonts w:ascii="Verdana" w:hAnsi="Verdana"/>
          <w:sz w:val="20"/>
          <w:lang w:val="pt-BR"/>
        </w:rPr>
      </w:pPr>
    </w:p>
    <w:p w14:paraId="1E9D3139" w14:textId="77777777" w:rsidR="0033532B" w:rsidRPr="0057762C" w:rsidRDefault="0033532B" w:rsidP="0057762C">
      <w:pPr>
        <w:spacing w:after="0" w:line="240" w:lineRule="auto"/>
        <w:jc w:val="both"/>
        <w:rPr>
          <w:rFonts w:ascii="Verdana" w:hAnsi="Verdana"/>
          <w:sz w:val="20"/>
          <w:lang w:val="pt-BR"/>
        </w:rPr>
      </w:pPr>
    </w:p>
    <w:p w14:paraId="0F760771" w14:textId="77777777" w:rsidR="0033532B" w:rsidRPr="00745B6E" w:rsidRDefault="0033532B" w:rsidP="0057762C">
      <w:pPr>
        <w:spacing w:after="0" w:line="240" w:lineRule="auto"/>
        <w:jc w:val="center"/>
        <w:rPr>
          <w:rFonts w:ascii="Verdana" w:hAnsi="Verdana"/>
          <w:sz w:val="20"/>
          <w:lang w:val="es-ES"/>
        </w:rPr>
      </w:pPr>
      <w:r w:rsidRPr="00745B6E">
        <w:rPr>
          <w:rFonts w:ascii="Verdana" w:hAnsi="Verdana"/>
          <w:sz w:val="20"/>
          <w:lang w:val="es-ES"/>
        </w:rPr>
        <w:t>Pablo Saavedra Alessandri</w:t>
      </w:r>
    </w:p>
    <w:p w14:paraId="3E082236" w14:textId="77777777" w:rsidR="0033532B" w:rsidRPr="00745B6E" w:rsidRDefault="0033532B" w:rsidP="0057762C">
      <w:pPr>
        <w:spacing w:after="0" w:line="240" w:lineRule="auto"/>
        <w:jc w:val="center"/>
        <w:rPr>
          <w:rFonts w:ascii="Verdana" w:hAnsi="Verdana"/>
          <w:sz w:val="20"/>
          <w:lang w:val="es-ES"/>
        </w:rPr>
      </w:pPr>
      <w:r w:rsidRPr="00745B6E">
        <w:rPr>
          <w:rFonts w:ascii="Verdana" w:hAnsi="Verdana"/>
          <w:sz w:val="20"/>
          <w:lang w:val="es-ES"/>
        </w:rPr>
        <w:t>Secretario</w:t>
      </w:r>
    </w:p>
    <w:p w14:paraId="5829489E" w14:textId="77777777" w:rsidR="0033532B" w:rsidRDefault="0033532B" w:rsidP="0057762C">
      <w:pPr>
        <w:pStyle w:val="Textonotapie"/>
        <w:rPr>
          <w:rFonts w:ascii="Verdana" w:hAnsi="Verdana"/>
          <w:lang w:val="es-ES"/>
        </w:rPr>
      </w:pPr>
    </w:p>
    <w:p w14:paraId="42D3C232" w14:textId="6583F84B" w:rsidR="0033532B" w:rsidRDefault="0033532B" w:rsidP="0057762C">
      <w:pPr>
        <w:pStyle w:val="Textonotapie"/>
        <w:rPr>
          <w:rFonts w:ascii="Verdana" w:hAnsi="Verdana"/>
          <w:lang w:val="es-ES"/>
        </w:rPr>
      </w:pPr>
    </w:p>
    <w:p w14:paraId="12D93D1A" w14:textId="77777777" w:rsidR="0057762C" w:rsidRPr="00745B6E" w:rsidRDefault="0057762C" w:rsidP="0057762C">
      <w:pPr>
        <w:pStyle w:val="Textonotapie"/>
        <w:rPr>
          <w:rFonts w:ascii="Verdana" w:hAnsi="Verdana"/>
          <w:lang w:val="es-ES"/>
        </w:rPr>
      </w:pPr>
    </w:p>
    <w:p w14:paraId="50CDC81D" w14:textId="4E801A2D" w:rsidR="0033532B" w:rsidRPr="00745B6E" w:rsidRDefault="0033532B" w:rsidP="0057762C">
      <w:pPr>
        <w:pStyle w:val="Textonotapie"/>
        <w:rPr>
          <w:rFonts w:ascii="Verdana" w:hAnsi="Verdana"/>
          <w:lang w:val="es-ES"/>
        </w:rPr>
      </w:pPr>
    </w:p>
    <w:p w14:paraId="0182D31C" w14:textId="6F75ECA9" w:rsidR="0033532B" w:rsidRPr="00745B6E" w:rsidRDefault="0033532B" w:rsidP="0057762C">
      <w:pPr>
        <w:spacing w:after="0" w:line="240" w:lineRule="auto"/>
        <w:jc w:val="both"/>
        <w:rPr>
          <w:rFonts w:ascii="Verdana" w:hAnsi="Verdana"/>
          <w:sz w:val="20"/>
          <w:lang w:val="es-ES"/>
        </w:rPr>
      </w:pPr>
      <w:r w:rsidRPr="00745B6E">
        <w:rPr>
          <w:rFonts w:ascii="Verdana" w:hAnsi="Verdana"/>
          <w:sz w:val="20"/>
          <w:lang w:val="es-ES"/>
        </w:rPr>
        <w:t>Comuníquese y ejecútese,</w:t>
      </w:r>
    </w:p>
    <w:p w14:paraId="7CCCD86D" w14:textId="57188849" w:rsidR="0033532B" w:rsidRDefault="0033532B" w:rsidP="0057762C">
      <w:pPr>
        <w:spacing w:after="0" w:line="240" w:lineRule="auto"/>
        <w:jc w:val="both"/>
        <w:rPr>
          <w:rFonts w:ascii="Verdana" w:hAnsi="Verdana"/>
          <w:sz w:val="20"/>
          <w:lang w:val="es-ES"/>
        </w:rPr>
      </w:pPr>
    </w:p>
    <w:p w14:paraId="16F71CB4" w14:textId="2C159AE7" w:rsidR="0057762C" w:rsidRDefault="0057762C" w:rsidP="0057762C">
      <w:pPr>
        <w:spacing w:after="0" w:line="240" w:lineRule="auto"/>
        <w:jc w:val="both"/>
        <w:rPr>
          <w:rFonts w:ascii="Verdana" w:hAnsi="Verdana"/>
          <w:sz w:val="20"/>
          <w:lang w:val="es-ES"/>
        </w:rPr>
      </w:pPr>
    </w:p>
    <w:p w14:paraId="3AD2EBA9" w14:textId="1A04FA9F" w:rsidR="0057762C" w:rsidRDefault="0057762C" w:rsidP="0057762C">
      <w:pPr>
        <w:spacing w:after="0" w:line="240" w:lineRule="auto"/>
        <w:jc w:val="both"/>
        <w:rPr>
          <w:rFonts w:ascii="Verdana" w:hAnsi="Verdana"/>
          <w:sz w:val="20"/>
          <w:lang w:val="es-ES"/>
        </w:rPr>
      </w:pPr>
    </w:p>
    <w:p w14:paraId="5FE0DE47" w14:textId="338BADFA" w:rsidR="0057762C" w:rsidRPr="00745B6E" w:rsidRDefault="0057762C" w:rsidP="0057762C">
      <w:pPr>
        <w:spacing w:after="0" w:line="240" w:lineRule="auto"/>
        <w:jc w:val="both"/>
        <w:rPr>
          <w:rFonts w:ascii="Verdana" w:hAnsi="Verdana"/>
          <w:sz w:val="20"/>
          <w:lang w:val="es-ES"/>
        </w:rPr>
      </w:pPr>
    </w:p>
    <w:p w14:paraId="5997C422" w14:textId="7998D7CF" w:rsidR="0033532B" w:rsidRPr="005A5D3C" w:rsidRDefault="0033532B" w:rsidP="0057762C">
      <w:pPr>
        <w:spacing w:after="0" w:line="240" w:lineRule="auto"/>
        <w:ind w:left="4956"/>
        <w:jc w:val="center"/>
        <w:rPr>
          <w:rFonts w:ascii="Verdana" w:hAnsi="Verdana"/>
          <w:sz w:val="20"/>
          <w:lang w:val="pt-BR"/>
        </w:rPr>
      </w:pPr>
      <w:r w:rsidRPr="005A5D3C">
        <w:rPr>
          <w:rFonts w:ascii="Verdana" w:hAnsi="Verdana"/>
          <w:sz w:val="20"/>
          <w:lang w:val="pt-BR"/>
        </w:rPr>
        <w:t>Eduardo Ferrer Mac-Gregor Poisot</w:t>
      </w:r>
    </w:p>
    <w:p w14:paraId="1DFBD23B" w14:textId="4D927263" w:rsidR="0033532B" w:rsidRPr="00745B6E" w:rsidRDefault="0033532B" w:rsidP="0057762C">
      <w:pPr>
        <w:spacing w:after="0" w:line="240" w:lineRule="auto"/>
        <w:ind w:left="4956"/>
        <w:jc w:val="center"/>
        <w:rPr>
          <w:rFonts w:ascii="Verdana" w:hAnsi="Verdana"/>
          <w:sz w:val="20"/>
          <w:lang w:val="es-ES"/>
        </w:rPr>
      </w:pPr>
      <w:r>
        <w:rPr>
          <w:rFonts w:ascii="Verdana" w:hAnsi="Verdana"/>
          <w:sz w:val="20"/>
          <w:lang w:val="es-ES"/>
        </w:rPr>
        <w:t>Presidente</w:t>
      </w:r>
    </w:p>
    <w:p w14:paraId="60BCE7DD" w14:textId="73EDA8DB" w:rsidR="0033532B" w:rsidRDefault="0033532B" w:rsidP="0057762C">
      <w:pPr>
        <w:spacing w:after="0" w:line="240" w:lineRule="auto"/>
        <w:jc w:val="both"/>
        <w:rPr>
          <w:rFonts w:ascii="Verdana" w:hAnsi="Verdana"/>
          <w:sz w:val="20"/>
          <w:lang w:val="es-ES"/>
        </w:rPr>
      </w:pPr>
    </w:p>
    <w:p w14:paraId="5CDDCD74" w14:textId="441FBF52" w:rsidR="0057762C" w:rsidRDefault="0057762C" w:rsidP="0057762C">
      <w:pPr>
        <w:spacing w:after="0" w:line="240" w:lineRule="auto"/>
        <w:jc w:val="both"/>
        <w:rPr>
          <w:rFonts w:ascii="Verdana" w:hAnsi="Verdana"/>
          <w:sz w:val="20"/>
          <w:lang w:val="es-ES"/>
        </w:rPr>
      </w:pPr>
    </w:p>
    <w:p w14:paraId="10FB8103" w14:textId="5282E3F3" w:rsidR="0057762C" w:rsidRPr="00745B6E" w:rsidRDefault="0057762C" w:rsidP="0057762C">
      <w:pPr>
        <w:spacing w:after="0" w:line="240" w:lineRule="auto"/>
        <w:jc w:val="both"/>
        <w:rPr>
          <w:rFonts w:ascii="Verdana" w:hAnsi="Verdana"/>
          <w:sz w:val="20"/>
          <w:lang w:val="es-ES"/>
        </w:rPr>
      </w:pPr>
    </w:p>
    <w:p w14:paraId="4A17FF99" w14:textId="77777777" w:rsidR="0033532B" w:rsidRPr="00745B6E" w:rsidRDefault="0033532B" w:rsidP="0057762C">
      <w:pPr>
        <w:spacing w:after="0" w:line="240" w:lineRule="auto"/>
        <w:jc w:val="both"/>
        <w:rPr>
          <w:rFonts w:ascii="Verdana" w:hAnsi="Verdana"/>
          <w:sz w:val="20"/>
          <w:lang w:val="es-ES"/>
        </w:rPr>
      </w:pPr>
    </w:p>
    <w:p w14:paraId="15B56328" w14:textId="77777777" w:rsidR="0033532B" w:rsidRPr="00745B6E" w:rsidRDefault="0033532B" w:rsidP="0057762C">
      <w:pPr>
        <w:spacing w:after="0" w:line="240" w:lineRule="auto"/>
        <w:jc w:val="both"/>
        <w:rPr>
          <w:rFonts w:ascii="Verdana" w:hAnsi="Verdana"/>
          <w:sz w:val="20"/>
          <w:lang w:val="es-ES"/>
        </w:rPr>
      </w:pPr>
      <w:r w:rsidRPr="00745B6E">
        <w:rPr>
          <w:rFonts w:ascii="Verdana" w:hAnsi="Verdana"/>
          <w:sz w:val="20"/>
          <w:lang w:val="es-ES"/>
        </w:rPr>
        <w:t>Pablo Saavedra Alessandri</w:t>
      </w:r>
    </w:p>
    <w:p w14:paraId="6AA9AF73" w14:textId="77777777" w:rsidR="0033532B" w:rsidRPr="00745B6E" w:rsidRDefault="0033532B" w:rsidP="0057762C">
      <w:pPr>
        <w:spacing w:after="0" w:line="240" w:lineRule="auto"/>
        <w:rPr>
          <w:rFonts w:ascii="Verdana" w:hAnsi="Verdana"/>
          <w:sz w:val="20"/>
          <w:lang w:val="es-CR"/>
        </w:rPr>
      </w:pPr>
      <w:r w:rsidRPr="00745B6E">
        <w:rPr>
          <w:rFonts w:ascii="Verdana" w:hAnsi="Verdana"/>
          <w:sz w:val="20"/>
          <w:lang w:val="es-ES"/>
        </w:rPr>
        <w:tab/>
      </w:r>
      <w:r w:rsidRPr="00745B6E">
        <w:rPr>
          <w:rFonts w:ascii="Verdana" w:hAnsi="Verdana"/>
          <w:sz w:val="20"/>
          <w:lang w:val="es-CR"/>
        </w:rPr>
        <w:t>Secretario</w:t>
      </w:r>
    </w:p>
    <w:sectPr w:rsidR="0033532B" w:rsidRPr="00745B6E" w:rsidSect="003B1CB4">
      <w:type w:val="continuous"/>
      <w:pgSz w:w="12240" w:h="15840"/>
      <w:pgMar w:top="1247" w:right="1191" w:bottom="1191" w:left="124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61F81" w14:textId="77777777" w:rsidR="009E3EED" w:rsidRDefault="009E3EED" w:rsidP="001C05D8">
      <w:pPr>
        <w:spacing w:after="0" w:line="240" w:lineRule="auto"/>
      </w:pPr>
      <w:r>
        <w:separator/>
      </w:r>
    </w:p>
  </w:endnote>
  <w:endnote w:type="continuationSeparator" w:id="0">
    <w:p w14:paraId="5DF2D4F5" w14:textId="77777777" w:rsidR="009E3EED" w:rsidRDefault="009E3EED" w:rsidP="001C05D8">
      <w:pPr>
        <w:spacing w:after="0" w:line="240" w:lineRule="auto"/>
      </w:pPr>
      <w:r>
        <w:continuationSeparator/>
      </w:r>
    </w:p>
  </w:endnote>
  <w:endnote w:type="continuationNotice" w:id="1">
    <w:p w14:paraId="101698FC" w14:textId="77777777" w:rsidR="009E3EED" w:rsidRDefault="009E3E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Italic">
    <w:altName w:val="Malgun Gothic Semilight"/>
    <w:charset w:val="4D"/>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Robot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JansonTextLTStd-Roma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3577061"/>
      <w:docPartObj>
        <w:docPartGallery w:val="Page Numbers (Bottom of Page)"/>
        <w:docPartUnique/>
      </w:docPartObj>
    </w:sdtPr>
    <w:sdtEndPr>
      <w:rPr>
        <w:noProof/>
      </w:rPr>
    </w:sdtEndPr>
    <w:sdtContent>
      <w:p w14:paraId="73BFBE9A" w14:textId="787633BF" w:rsidR="005A5D3C" w:rsidRDefault="005A5D3C">
        <w:pPr>
          <w:pStyle w:val="Piedepgina"/>
          <w:jc w:val="center"/>
        </w:pPr>
        <w:r w:rsidRPr="0006475E">
          <w:rPr>
            <w:rFonts w:ascii="Verdana" w:hAnsi="Verdana"/>
            <w:sz w:val="20"/>
            <w:szCs w:val="20"/>
          </w:rPr>
          <w:fldChar w:fldCharType="begin"/>
        </w:r>
        <w:r w:rsidRPr="0006475E">
          <w:rPr>
            <w:rFonts w:ascii="Verdana" w:hAnsi="Verdana"/>
            <w:sz w:val="20"/>
            <w:szCs w:val="20"/>
          </w:rPr>
          <w:instrText xml:space="preserve"> PAGE   \* MERGEFORMAT </w:instrText>
        </w:r>
        <w:r w:rsidRPr="0006475E">
          <w:rPr>
            <w:rFonts w:ascii="Verdana" w:hAnsi="Verdana"/>
            <w:sz w:val="20"/>
            <w:szCs w:val="20"/>
          </w:rPr>
          <w:fldChar w:fldCharType="separate"/>
        </w:r>
        <w:r>
          <w:rPr>
            <w:rFonts w:ascii="Verdana" w:hAnsi="Verdana"/>
            <w:noProof/>
            <w:sz w:val="20"/>
            <w:szCs w:val="20"/>
          </w:rPr>
          <w:t>50</w:t>
        </w:r>
        <w:r w:rsidRPr="0006475E">
          <w:rPr>
            <w:rFonts w:ascii="Verdana" w:hAnsi="Verdana"/>
            <w:noProof/>
            <w:sz w:val="20"/>
            <w:szCs w:val="20"/>
          </w:rPr>
          <w:fldChar w:fldCharType="end"/>
        </w:r>
      </w:p>
    </w:sdtContent>
  </w:sdt>
  <w:p w14:paraId="3130ED40" w14:textId="77777777" w:rsidR="005A5D3C" w:rsidRDefault="005A5D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E6C1D" w14:textId="77777777" w:rsidR="009E3EED" w:rsidRDefault="009E3EED" w:rsidP="001C05D8">
      <w:pPr>
        <w:spacing w:after="0" w:line="240" w:lineRule="auto"/>
      </w:pPr>
      <w:r>
        <w:separator/>
      </w:r>
    </w:p>
  </w:footnote>
  <w:footnote w:type="continuationSeparator" w:id="0">
    <w:p w14:paraId="1C3E0013" w14:textId="77777777" w:rsidR="009E3EED" w:rsidRDefault="009E3EED" w:rsidP="001C05D8">
      <w:pPr>
        <w:spacing w:after="0" w:line="240" w:lineRule="auto"/>
      </w:pPr>
      <w:r>
        <w:continuationSeparator/>
      </w:r>
    </w:p>
  </w:footnote>
  <w:footnote w:type="continuationNotice" w:id="1">
    <w:p w14:paraId="32E0A3C5" w14:textId="77777777" w:rsidR="009E3EED" w:rsidRDefault="009E3EED">
      <w:pPr>
        <w:spacing w:after="0" w:line="240" w:lineRule="auto"/>
      </w:pPr>
    </w:p>
  </w:footnote>
  <w:footnote w:id="2">
    <w:p w14:paraId="46C44C8B" w14:textId="5BA48676"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lang w:val="es-CR"/>
        </w:rPr>
        <w:tab/>
        <w:t xml:space="preserve">El informe fue notificado a las partes el 1 de abril de 2009. </w:t>
      </w:r>
    </w:p>
  </w:footnote>
  <w:footnote w:id="3">
    <w:p w14:paraId="260A137F" w14:textId="704578E5"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lang w:val="es-CR"/>
        </w:rPr>
        <w:footnoteRef/>
      </w:r>
      <w:r w:rsidRPr="000B33B9">
        <w:rPr>
          <w:rFonts w:ascii="Verdana" w:hAnsi="Verdana"/>
          <w:sz w:val="16"/>
          <w:szCs w:val="16"/>
          <w:lang w:val="es-CR"/>
        </w:rPr>
        <w:t xml:space="preserve"> </w:t>
      </w:r>
      <w:r w:rsidRPr="000B33B9">
        <w:rPr>
          <w:rFonts w:ascii="Verdana" w:hAnsi="Verdana"/>
          <w:sz w:val="16"/>
          <w:szCs w:val="16"/>
          <w:lang w:val="es-CR"/>
        </w:rPr>
        <w:tab/>
        <w:t>La Comisión designó como sus delegados ante la Corte al Comisionado Paulo Vannuchi y al Secretario Ejecutivo Paulo Abrâo. Asimismo, indicó que Elizabeth Abi-Mershed, Secretaria Ejecutiva Adjunta y Silvia Serrano Guzmán y Erick Acuña Pereda, abogada y abogado de la Secretaría Ejecutiva de la CIDH, actuarán como asesora y asesor legales.</w:t>
      </w:r>
    </w:p>
  </w:footnote>
  <w:footnote w:id="4">
    <w:p w14:paraId="2760C875" w14:textId="255C2444"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sz w:val="16"/>
          <w:szCs w:val="16"/>
          <w:lang w:val="es-CR"/>
        </w:rPr>
        <w:t>Los representantes presentaron nuevamente los anexos al ESAP de conformidad con lo solicitado por la Corte.</w:t>
      </w:r>
    </w:p>
  </w:footnote>
  <w:footnote w:id="5">
    <w:p w14:paraId="279C445B" w14:textId="0028F30A"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lang w:val="es-CR"/>
        </w:rPr>
        <w:footnoteRef/>
      </w:r>
      <w:r w:rsidRPr="000B33B9">
        <w:rPr>
          <w:rFonts w:ascii="Verdana" w:hAnsi="Verdana"/>
          <w:sz w:val="16"/>
          <w:szCs w:val="16"/>
          <w:lang w:val="es-CR"/>
        </w:rPr>
        <w:t xml:space="preserve"> </w:t>
      </w:r>
      <w:r w:rsidRPr="000B33B9">
        <w:rPr>
          <w:rFonts w:ascii="Verdana" w:hAnsi="Verdana"/>
          <w:sz w:val="16"/>
          <w:szCs w:val="16"/>
          <w:lang w:val="es-CR"/>
        </w:rPr>
        <w:tab/>
        <w:t xml:space="preserve">Mediante comunicación de 9 de noviembre de 2018 el Estado designó a Carlos Miguel Reaño Balarezo como Agente Titular y a Silvana Lucía Gómez Salazar y Nilda Peralta Zecenarro como agentes alternas (expediente de fondo, folio 638). </w:t>
      </w:r>
    </w:p>
  </w:footnote>
  <w:footnote w:id="6">
    <w:p w14:paraId="30F70D15" w14:textId="3100D204" w:rsidR="005A5D3C" w:rsidRPr="000B33B9" w:rsidRDefault="005A5D3C" w:rsidP="000B33B9">
      <w:pPr>
        <w:pStyle w:val="Textonotapie"/>
        <w:spacing w:after="120"/>
        <w:jc w:val="both"/>
        <w:rPr>
          <w:rFonts w:ascii="Verdana" w:hAnsi="Verdana"/>
          <w:sz w:val="16"/>
          <w:szCs w:val="16"/>
          <w:lang w:val="es-CR"/>
        </w:rPr>
      </w:pPr>
      <w:r w:rsidRPr="00B756D7">
        <w:rPr>
          <w:rStyle w:val="Refdenotaalpie"/>
          <w:rFonts w:ascii="Verdana" w:hAnsi="Verdana"/>
          <w:sz w:val="16"/>
          <w:szCs w:val="16"/>
          <w:lang w:val="es-CR"/>
        </w:rPr>
        <w:footnoteRef/>
      </w:r>
      <w:r w:rsidRPr="00B756D7">
        <w:rPr>
          <w:rFonts w:ascii="Verdana" w:hAnsi="Verdana"/>
          <w:sz w:val="16"/>
          <w:szCs w:val="16"/>
          <w:lang w:val="es-CR"/>
        </w:rPr>
        <w:t xml:space="preserve"> </w:t>
      </w:r>
      <w:r w:rsidRPr="00B756D7">
        <w:rPr>
          <w:rFonts w:ascii="Verdana" w:hAnsi="Verdana"/>
          <w:sz w:val="16"/>
          <w:szCs w:val="16"/>
          <w:lang w:val="es-CR"/>
        </w:rPr>
        <w:tab/>
      </w:r>
      <w:r w:rsidRPr="00B756D7">
        <w:rPr>
          <w:rFonts w:ascii="Verdana" w:hAnsi="Verdana"/>
          <w:i/>
          <w:sz w:val="16"/>
          <w:szCs w:val="16"/>
          <w:lang w:val="es-CR"/>
        </w:rPr>
        <w:t xml:space="preserve">Cfr. </w:t>
      </w:r>
      <w:r w:rsidRPr="00B756D7">
        <w:rPr>
          <w:rStyle w:val="Textoennegrita"/>
          <w:rFonts w:ascii="Verdana" w:hAnsi="Verdana"/>
          <w:b w:val="0"/>
          <w:i/>
          <w:color w:val="000000"/>
          <w:sz w:val="16"/>
          <w:szCs w:val="16"/>
        </w:rPr>
        <w:t xml:space="preserve">Caso Asociación Nacional de Cesantes y Jubilados de la Superintendencia Nacional de Administración Tributaria (ANCEJUB-SUNAT) Vs. Perú. Convocatoria a audiencia. </w:t>
      </w:r>
      <w:r w:rsidRPr="00B756D7">
        <w:rPr>
          <w:rStyle w:val="Textoennegrita"/>
          <w:rFonts w:ascii="Verdana" w:hAnsi="Verdana"/>
          <w:b w:val="0"/>
          <w:color w:val="000000"/>
          <w:sz w:val="16"/>
          <w:szCs w:val="16"/>
        </w:rPr>
        <w:t>Resolución del Presidente de la Corte Interamericana de Derechos Humanos de 21 de marzo de 2019</w:t>
      </w:r>
      <w:r w:rsidRPr="00B756D7">
        <w:rPr>
          <w:rStyle w:val="Textoennegrita"/>
          <w:rFonts w:ascii="Verdana" w:hAnsi="Verdana"/>
          <w:b w:val="0"/>
          <w:i/>
          <w:color w:val="000000"/>
          <w:sz w:val="16"/>
          <w:szCs w:val="16"/>
        </w:rPr>
        <w:t>.</w:t>
      </w:r>
      <w:r w:rsidRPr="00B756D7">
        <w:rPr>
          <w:rFonts w:ascii="Verdana" w:hAnsi="Verdana"/>
          <w:sz w:val="16"/>
          <w:szCs w:val="16"/>
          <w:lang w:val="es-CR"/>
        </w:rPr>
        <w:t xml:space="preserve"> Disponible en: </w:t>
      </w:r>
      <w:hyperlink r:id="rId1" w:history="1">
        <w:r w:rsidRPr="00B756D7">
          <w:rPr>
            <w:rStyle w:val="Hipervnculo"/>
            <w:rFonts w:ascii="Verdana" w:hAnsi="Verdana"/>
            <w:sz w:val="16"/>
            <w:szCs w:val="16"/>
          </w:rPr>
          <w:t>http://www.corteidh.or.cr/docs/asuntos/ancejub-sunat_21_03_19.pdf</w:t>
        </w:r>
      </w:hyperlink>
    </w:p>
  </w:footnote>
  <w:footnote w:id="7">
    <w:p w14:paraId="10BDB70C" w14:textId="55F6936A"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t xml:space="preserve">A esta audiencia comparecieron: a) por la Comisión Interamericana: el asesor Erick Acuña Pereda; b) por los representantes: los señores Javier Mujica Petit, Carlos Blancas Bustamante y Eddie Rafael Cajaleón Castilla, y c) por el Estado: los señores </w:t>
      </w:r>
      <w:r w:rsidRPr="000B33B9">
        <w:rPr>
          <w:rFonts w:ascii="Verdana" w:hAnsi="Verdana"/>
          <w:sz w:val="16"/>
          <w:szCs w:val="16"/>
          <w:lang w:val="es-CO" w:eastAsia="es-ES"/>
        </w:rPr>
        <w:t>Carlos Miguel Reaño Balarezo, Procurador Público Especializado Supranacional; Silvana Lucía Gómez Salazar, abogada de la Procuraduría Pública Especializada Supranacional; Nilda Peralta Zecenarro, abogada de la Procuraduría Pública Especializada Supranacional; Antenor José Escalante Gonzáles, Procurador Público Titular de la Superintendencia Nacional de Aduana y de Administración Tributaria – SUNAT; Edgar Roney Cuadros Ochoa, Gerente de Asuntos Laborales de la Intendencia Nacional de Recursos Humanos de la Superintendencia Nacional de Aduana y de Administración Tributaria – SUNAT, y Julio César López Ramírez, Supervisor de Asuntos Laborales de la Procuraduría Tributaria de Superintendencia Nacional de Aduana y de Administración Tributaria – SUNAT.</w:t>
      </w:r>
    </w:p>
  </w:footnote>
  <w:footnote w:id="8">
    <w:p w14:paraId="30B78305" w14:textId="3D162490"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t xml:space="preserve">El escrito firmado por Luisa Fernanda Gómez Duque, Matías Cremonte y Rolando Gialdino versa sobre el problema del alcance estructural de incumplimiento de sentencias internas por la República del Perú.  </w:t>
      </w:r>
    </w:p>
  </w:footnote>
  <w:footnote w:id="9">
    <w:p w14:paraId="4E3DA217" w14:textId="272CDE88"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t>El escrito firmado por Carlos Rodríguez Mejía y Alberto León Gómez versa sobre el incumplimiento por parte de Perú de las sentencias de sus Altos Tribunales.</w:t>
      </w:r>
    </w:p>
  </w:footnote>
  <w:footnote w:id="10">
    <w:p w14:paraId="72E38B1C" w14:textId="0EF282B5" w:rsidR="005A5D3C" w:rsidRPr="000B33B9" w:rsidRDefault="005A5D3C" w:rsidP="000B33B9">
      <w:pPr>
        <w:tabs>
          <w:tab w:val="left" w:pos="567"/>
        </w:tabs>
        <w:spacing w:after="120" w:line="240" w:lineRule="auto"/>
        <w:jc w:val="both"/>
        <w:rPr>
          <w:rFonts w:ascii="Verdana" w:hAnsi="Verdana"/>
          <w:sz w:val="16"/>
          <w:szCs w:val="16"/>
          <w:lang w:val="es-CR"/>
        </w:rPr>
      </w:pPr>
      <w:r w:rsidRPr="000B33B9">
        <w:rPr>
          <w:rStyle w:val="Refdenotaalpie"/>
          <w:rFonts w:ascii="Verdana" w:hAnsi="Verdana" w:cs="Times"/>
          <w:sz w:val="16"/>
          <w:szCs w:val="16"/>
          <w:lang w:val="es-ES"/>
        </w:rPr>
        <w:footnoteRef/>
      </w:r>
      <w:r w:rsidRPr="000B33B9">
        <w:rPr>
          <w:rFonts w:ascii="Verdana" w:hAnsi="Verdana"/>
          <w:sz w:val="16"/>
          <w:szCs w:val="16"/>
          <w:lang w:val="es-ES"/>
        </w:rPr>
        <w:tab/>
      </w:r>
      <w:r w:rsidRPr="000B33B9">
        <w:rPr>
          <w:rFonts w:ascii="Verdana" w:hAnsi="Verdana"/>
          <w:i/>
          <w:sz w:val="16"/>
          <w:szCs w:val="16"/>
          <w:lang w:val="es-DO"/>
        </w:rPr>
        <w:t>Cfr. Caso Velásquez Rodríguez Vs. Honduras. Excepciones preliminares</w:t>
      </w:r>
      <w:r w:rsidRPr="000B33B9">
        <w:rPr>
          <w:rFonts w:ascii="Verdana" w:hAnsi="Verdana"/>
          <w:sz w:val="16"/>
          <w:szCs w:val="16"/>
          <w:lang w:val="es-DO"/>
        </w:rPr>
        <w:t xml:space="preserve">. Sentencia de 26 de junio de 1987. Serie C No. 1, párr. 85, y </w:t>
      </w:r>
      <w:r w:rsidRPr="000B33B9">
        <w:rPr>
          <w:rFonts w:ascii="Verdana" w:hAnsi="Verdana"/>
          <w:i/>
          <w:sz w:val="16"/>
          <w:szCs w:val="16"/>
          <w:lang w:val="es-DO"/>
        </w:rPr>
        <w:t xml:space="preserve">Caso Perrone y Preckel Vs. Argentina. Excepciones Preliminares, Fondo, Reparaciones y Costas. </w:t>
      </w:r>
      <w:r w:rsidRPr="000B33B9">
        <w:rPr>
          <w:rFonts w:ascii="Verdana" w:hAnsi="Verdana"/>
          <w:sz w:val="16"/>
          <w:szCs w:val="16"/>
          <w:lang w:val="es-DO"/>
        </w:rPr>
        <w:t>Sentencia de 8 de octubre de 2019. Serie C No. 385, párr. 33.</w:t>
      </w:r>
    </w:p>
  </w:footnote>
  <w:footnote w:id="11">
    <w:p w14:paraId="1D24EBE7" w14:textId="078E8F58" w:rsidR="005A5D3C" w:rsidRPr="00B756D7" w:rsidRDefault="005A5D3C" w:rsidP="000B33B9">
      <w:pPr>
        <w:pStyle w:val="Textonotapie"/>
        <w:tabs>
          <w:tab w:val="left" w:pos="709"/>
        </w:tabs>
        <w:spacing w:after="120"/>
        <w:jc w:val="both"/>
        <w:rPr>
          <w:rFonts w:ascii="Verdana" w:hAnsi="Verdana"/>
          <w:sz w:val="16"/>
          <w:szCs w:val="16"/>
        </w:rPr>
      </w:pPr>
      <w:r w:rsidRPr="00B756D7">
        <w:rPr>
          <w:rStyle w:val="Refdenotaalpie"/>
          <w:rFonts w:ascii="Verdana" w:hAnsi="Verdana"/>
          <w:sz w:val="16"/>
          <w:szCs w:val="16"/>
        </w:rPr>
        <w:footnoteRef/>
      </w:r>
      <w:r w:rsidRPr="00B756D7">
        <w:rPr>
          <w:rFonts w:ascii="Verdana" w:hAnsi="Verdana"/>
          <w:sz w:val="16"/>
          <w:szCs w:val="16"/>
        </w:rPr>
        <w:t xml:space="preserve"> </w:t>
      </w:r>
      <w:r w:rsidRPr="00B756D7">
        <w:rPr>
          <w:rFonts w:ascii="Verdana" w:hAnsi="Verdana"/>
          <w:sz w:val="16"/>
          <w:szCs w:val="16"/>
        </w:rPr>
        <w:tab/>
      </w:r>
      <w:r w:rsidRPr="00B756D7">
        <w:rPr>
          <w:rFonts w:ascii="Verdana" w:hAnsi="Verdana"/>
          <w:i/>
          <w:sz w:val="16"/>
          <w:szCs w:val="16"/>
        </w:rPr>
        <w:t>Cfr.</w:t>
      </w:r>
      <w:r w:rsidRPr="00B756D7">
        <w:rPr>
          <w:rFonts w:ascii="Verdana" w:hAnsi="Verdana"/>
          <w:b/>
          <w:i/>
          <w:sz w:val="16"/>
          <w:szCs w:val="16"/>
        </w:rPr>
        <w:t xml:space="preserve"> </w:t>
      </w:r>
      <w:r w:rsidRPr="00B756D7">
        <w:rPr>
          <w:rStyle w:val="Textoennegrita"/>
          <w:rFonts w:ascii="Verdana" w:hAnsi="Verdana"/>
          <w:b w:val="0"/>
          <w:i/>
          <w:color w:val="000000"/>
          <w:sz w:val="16"/>
          <w:szCs w:val="16"/>
          <w:shd w:val="clear" w:color="auto" w:fill="FFFFFF"/>
        </w:rPr>
        <w:t xml:space="preserve">Caso Velásquez Rodríguez Vs. Honduras. Excepciones Preliminares. </w:t>
      </w:r>
      <w:r w:rsidRPr="00B756D7">
        <w:rPr>
          <w:rStyle w:val="Textoennegrita"/>
          <w:rFonts w:ascii="Verdana" w:hAnsi="Verdana"/>
          <w:b w:val="0"/>
          <w:color w:val="000000"/>
          <w:sz w:val="16"/>
          <w:szCs w:val="16"/>
          <w:shd w:val="clear" w:color="auto" w:fill="FFFFFF"/>
        </w:rPr>
        <w:t>Sentencia de 26 de junio de 1987. Serie C No. 1</w:t>
      </w:r>
      <w:r w:rsidRPr="00B756D7">
        <w:rPr>
          <w:rFonts w:ascii="Verdana" w:hAnsi="Verdana" w:cs="Verdana"/>
          <w:i/>
          <w:sz w:val="16"/>
          <w:szCs w:val="16"/>
          <w:lang w:val="es-ES"/>
        </w:rPr>
        <w:t>,</w:t>
      </w:r>
      <w:r w:rsidRPr="00B756D7">
        <w:rPr>
          <w:rFonts w:ascii="Verdana" w:hAnsi="Verdana" w:cs="Verdana"/>
          <w:sz w:val="16"/>
          <w:szCs w:val="16"/>
          <w:lang w:val="es-ES"/>
        </w:rPr>
        <w:t xml:space="preserve"> párr. 88, y</w:t>
      </w:r>
      <w:r w:rsidRPr="00B756D7">
        <w:rPr>
          <w:rFonts w:ascii="Verdana" w:hAnsi="Verdana" w:cs="Verdana"/>
          <w:b/>
          <w:sz w:val="16"/>
          <w:szCs w:val="16"/>
          <w:lang w:val="es-ES"/>
        </w:rPr>
        <w:t xml:space="preserve"> </w:t>
      </w:r>
      <w:r w:rsidRPr="00B756D7">
        <w:rPr>
          <w:rStyle w:val="Textoennegrita"/>
          <w:rFonts w:ascii="Verdana" w:hAnsi="Verdana"/>
          <w:b w:val="0"/>
          <w:i/>
          <w:color w:val="000000"/>
          <w:sz w:val="16"/>
          <w:szCs w:val="16"/>
        </w:rPr>
        <w:t>Caso Muelle Flores Vs. Perú</w:t>
      </w:r>
      <w:r w:rsidRPr="00B756D7">
        <w:rPr>
          <w:rStyle w:val="Textoennegrita"/>
          <w:rFonts w:ascii="Verdana" w:hAnsi="Verdana"/>
          <w:b w:val="0"/>
          <w:i/>
          <w:color w:val="000000"/>
          <w:sz w:val="16"/>
          <w:szCs w:val="16"/>
          <w:shd w:val="clear" w:color="auto" w:fill="FFFFFF"/>
        </w:rPr>
        <w:t>. Excepciones Preliminares, Fondo, Reparaciones y Costas</w:t>
      </w:r>
      <w:r w:rsidRPr="00B756D7">
        <w:rPr>
          <w:rStyle w:val="Textoennegrita"/>
          <w:rFonts w:ascii="Verdana" w:hAnsi="Verdana"/>
          <w:b w:val="0"/>
          <w:color w:val="000000"/>
          <w:sz w:val="16"/>
          <w:szCs w:val="16"/>
          <w:shd w:val="clear" w:color="auto" w:fill="FFFFFF"/>
        </w:rPr>
        <w:t>. Sentencia de 6 de marzo de 2019. Serie C No. 375, párr. 27.</w:t>
      </w:r>
    </w:p>
  </w:footnote>
  <w:footnote w:id="12">
    <w:p w14:paraId="2C7AAFCC" w14:textId="20DD5B9E" w:rsidR="005A5D3C" w:rsidRPr="000B33B9" w:rsidRDefault="005A5D3C" w:rsidP="000B33B9">
      <w:pPr>
        <w:pStyle w:val="Textonotapie"/>
        <w:tabs>
          <w:tab w:val="left" w:pos="709"/>
        </w:tabs>
        <w:spacing w:after="120"/>
        <w:jc w:val="both"/>
        <w:rPr>
          <w:rFonts w:ascii="Verdana" w:hAnsi="Verdana"/>
          <w:sz w:val="16"/>
          <w:szCs w:val="16"/>
        </w:rPr>
      </w:pPr>
      <w:r w:rsidRPr="00B756D7">
        <w:rPr>
          <w:rStyle w:val="Refdenotaalpie"/>
          <w:rFonts w:ascii="Verdana" w:hAnsi="Verdana" w:cs="Arial"/>
          <w:sz w:val="16"/>
          <w:szCs w:val="16"/>
        </w:rPr>
        <w:footnoteRef/>
      </w:r>
      <w:r w:rsidRPr="00B756D7">
        <w:rPr>
          <w:rFonts w:ascii="Verdana" w:hAnsi="Verdana" w:cs="Arial"/>
          <w:sz w:val="16"/>
          <w:szCs w:val="16"/>
        </w:rPr>
        <w:t xml:space="preserve"> </w:t>
      </w:r>
      <w:r w:rsidRPr="00B756D7">
        <w:rPr>
          <w:rFonts w:ascii="Verdana" w:hAnsi="Verdana" w:cs="Arial"/>
          <w:sz w:val="16"/>
          <w:szCs w:val="16"/>
        </w:rPr>
        <w:tab/>
      </w:r>
      <w:r w:rsidRPr="00B756D7">
        <w:rPr>
          <w:rFonts w:ascii="Verdana" w:hAnsi="Verdana"/>
          <w:i/>
          <w:sz w:val="16"/>
          <w:szCs w:val="16"/>
        </w:rPr>
        <w:t>Cfr.</w:t>
      </w:r>
      <w:r w:rsidRPr="00B756D7">
        <w:rPr>
          <w:rFonts w:ascii="Verdana" w:hAnsi="Verdana"/>
          <w:b/>
          <w:i/>
          <w:sz w:val="16"/>
          <w:szCs w:val="16"/>
        </w:rPr>
        <w:t xml:space="preserve"> </w:t>
      </w:r>
      <w:r w:rsidRPr="00B756D7">
        <w:rPr>
          <w:rStyle w:val="Textoennegrita"/>
          <w:rFonts w:ascii="Verdana" w:hAnsi="Verdana"/>
          <w:b w:val="0"/>
          <w:i/>
          <w:color w:val="000000"/>
          <w:sz w:val="16"/>
          <w:szCs w:val="16"/>
          <w:shd w:val="clear" w:color="auto" w:fill="FFFFFF"/>
        </w:rPr>
        <w:t xml:space="preserve">Caso Velásquez Rodríguez Vs. Honduras. Excepciones Preliminares. </w:t>
      </w:r>
      <w:r w:rsidRPr="00B756D7">
        <w:rPr>
          <w:rStyle w:val="Textoennegrita"/>
          <w:rFonts w:ascii="Verdana" w:hAnsi="Verdana"/>
          <w:b w:val="0"/>
          <w:color w:val="000000"/>
          <w:sz w:val="16"/>
          <w:szCs w:val="16"/>
          <w:shd w:val="clear" w:color="auto" w:fill="FFFFFF"/>
        </w:rPr>
        <w:t>Sentencia de 26 de junio de 1987. Serie C No. 1</w:t>
      </w:r>
      <w:r w:rsidRPr="00B756D7">
        <w:rPr>
          <w:rFonts w:ascii="Verdana" w:hAnsi="Verdana" w:cs="Verdana"/>
          <w:i/>
          <w:sz w:val="16"/>
          <w:szCs w:val="16"/>
          <w:lang w:val="es-ES"/>
        </w:rPr>
        <w:t>,</w:t>
      </w:r>
      <w:r w:rsidRPr="00B756D7">
        <w:rPr>
          <w:rFonts w:ascii="Verdana" w:hAnsi="Verdana" w:cs="Verdana"/>
          <w:sz w:val="16"/>
          <w:szCs w:val="16"/>
          <w:lang w:val="es-ES"/>
        </w:rPr>
        <w:t xml:space="preserve"> párr. 88, y</w:t>
      </w:r>
      <w:r w:rsidRPr="00B756D7">
        <w:rPr>
          <w:rFonts w:ascii="Verdana" w:hAnsi="Verdana" w:cs="Verdana"/>
          <w:b/>
          <w:sz w:val="16"/>
          <w:szCs w:val="16"/>
          <w:lang w:val="es-ES"/>
        </w:rPr>
        <w:t xml:space="preserve"> </w:t>
      </w:r>
      <w:r w:rsidRPr="00B756D7">
        <w:rPr>
          <w:rStyle w:val="Textoennegrita"/>
          <w:rFonts w:ascii="Verdana" w:hAnsi="Verdana"/>
          <w:b w:val="0"/>
          <w:i/>
          <w:color w:val="000000"/>
          <w:sz w:val="16"/>
          <w:szCs w:val="16"/>
          <w:shd w:val="clear" w:color="auto" w:fill="FFFFFF"/>
        </w:rPr>
        <w:t>Caso Muelle Flores Vs. Perú. Excepciones Preliminares, Fondo, Reparaciones y Costas</w:t>
      </w:r>
      <w:r w:rsidRPr="00B756D7">
        <w:rPr>
          <w:rStyle w:val="Textoennegrita"/>
          <w:rFonts w:ascii="Verdana" w:hAnsi="Verdana"/>
          <w:b w:val="0"/>
          <w:color w:val="000000"/>
          <w:sz w:val="16"/>
          <w:szCs w:val="16"/>
          <w:shd w:val="clear" w:color="auto" w:fill="FFFFFF"/>
        </w:rPr>
        <w:t>. Sentencia de 6 de marzo de 2019. Serie C No. 375, párr. 26.</w:t>
      </w:r>
    </w:p>
  </w:footnote>
  <w:footnote w:id="13">
    <w:p w14:paraId="79B6E565" w14:textId="78CF4164"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rPr>
        <w:t>Cfr. Caso Furlan y Familiares Vs. Argentina. Excepciones Preliminares, Fondo, Reparaciones y Costas.</w:t>
      </w:r>
      <w:r w:rsidRPr="000B33B9">
        <w:rPr>
          <w:rFonts w:ascii="Verdana" w:hAnsi="Verdana"/>
          <w:sz w:val="16"/>
          <w:szCs w:val="16"/>
        </w:rPr>
        <w:t xml:space="preserve"> </w:t>
      </w:r>
      <w:r w:rsidRPr="000B33B9">
        <w:rPr>
          <w:rFonts w:ascii="Verdana" w:hAnsi="Verdana"/>
          <w:sz w:val="16"/>
          <w:szCs w:val="16"/>
          <w:lang w:val="pt-BR"/>
        </w:rPr>
        <w:t xml:space="preserve">Sentencia de 31 de agosto de 2012. Serie C No. 246, párr. 29, y </w:t>
      </w:r>
      <w:r w:rsidRPr="000B33B9">
        <w:rPr>
          <w:rFonts w:ascii="Verdana" w:eastAsia="Calibri" w:hAnsi="Verdana"/>
          <w:bCs/>
          <w:i/>
          <w:color w:val="000000"/>
          <w:sz w:val="16"/>
          <w:szCs w:val="16"/>
          <w:shd w:val="clear" w:color="auto" w:fill="FFFFFF"/>
          <w:lang w:val="pt-BR" w:eastAsia="es-CR"/>
        </w:rPr>
        <w:t xml:space="preserve">Caso Favela Nova Brasília Vs. </w:t>
      </w:r>
      <w:r w:rsidRPr="000B33B9">
        <w:rPr>
          <w:rFonts w:ascii="Verdana" w:eastAsia="Calibri" w:hAnsi="Verdana"/>
          <w:bCs/>
          <w:i/>
          <w:color w:val="000000"/>
          <w:sz w:val="16"/>
          <w:szCs w:val="16"/>
          <w:shd w:val="clear" w:color="auto" w:fill="FFFFFF"/>
          <w:lang w:val="es-CR" w:eastAsia="es-CR"/>
        </w:rPr>
        <w:t>Brasil. Excepciones Preliminares, Fondo, Reparaciones y Costas</w:t>
      </w:r>
      <w:r w:rsidRPr="000B33B9">
        <w:rPr>
          <w:rFonts w:ascii="Verdana" w:eastAsia="Calibri" w:hAnsi="Verdana"/>
          <w:bCs/>
          <w:color w:val="000000"/>
          <w:sz w:val="16"/>
          <w:szCs w:val="16"/>
          <w:shd w:val="clear" w:color="auto" w:fill="FFFFFF"/>
          <w:lang w:val="es-CR" w:eastAsia="es-CR"/>
        </w:rPr>
        <w:t>. Sentencia de 16 de febrero de 2017, Serie C No. 333, párr. 78.</w:t>
      </w:r>
    </w:p>
  </w:footnote>
  <w:footnote w:id="14">
    <w:p w14:paraId="06EA828C" w14:textId="0A9FAE87"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lang w:val="es-CR"/>
        </w:rPr>
        <w:t xml:space="preserve"> </w:t>
      </w:r>
      <w:r w:rsidRPr="000B33B9">
        <w:rPr>
          <w:rFonts w:ascii="Verdana" w:hAnsi="Verdana"/>
          <w:sz w:val="16"/>
          <w:szCs w:val="16"/>
          <w:lang w:val="es-CR"/>
        </w:rPr>
        <w:tab/>
      </w:r>
      <w:r w:rsidRPr="000B33B9">
        <w:rPr>
          <w:rFonts w:ascii="Verdana" w:hAnsi="Verdana"/>
          <w:i/>
          <w:sz w:val="16"/>
          <w:szCs w:val="16"/>
          <w:lang w:val="es-CR"/>
        </w:rPr>
        <w:t xml:space="preserve">Cfr. </w:t>
      </w:r>
      <w:r w:rsidRPr="000B33B9">
        <w:rPr>
          <w:rStyle w:val="Textoennegrita"/>
          <w:rFonts w:ascii="Verdana" w:hAnsi="Verdana"/>
          <w:b w:val="0"/>
          <w:i/>
          <w:color w:val="000000"/>
          <w:sz w:val="16"/>
          <w:szCs w:val="16"/>
          <w:shd w:val="clear" w:color="auto" w:fill="FFFFFF"/>
          <w:lang w:val="es-CR"/>
        </w:rPr>
        <w:t xml:space="preserve">Caso Wong Ho Wing Vs. Perú. </w:t>
      </w:r>
      <w:r w:rsidRPr="000B33B9">
        <w:rPr>
          <w:rStyle w:val="Textoennegrita"/>
          <w:rFonts w:ascii="Verdana" w:hAnsi="Verdana"/>
          <w:b w:val="0"/>
          <w:i/>
          <w:color w:val="000000"/>
          <w:sz w:val="16"/>
          <w:szCs w:val="16"/>
          <w:shd w:val="clear" w:color="auto" w:fill="FFFFFF"/>
        </w:rPr>
        <w:t>Excepción Preliminar, Fondo, Reparaciones y Costas</w:t>
      </w:r>
      <w:r w:rsidRPr="000B33B9">
        <w:rPr>
          <w:rStyle w:val="Textoennegrita"/>
          <w:rFonts w:ascii="Verdana" w:hAnsi="Verdana"/>
          <w:b w:val="0"/>
          <w:color w:val="000000"/>
          <w:sz w:val="16"/>
          <w:szCs w:val="16"/>
          <w:shd w:val="clear" w:color="auto" w:fill="FFFFFF"/>
        </w:rPr>
        <w:t>. Sentencia de 30 de junio de 2015. Serie C No. 297, párr. 28.</w:t>
      </w:r>
    </w:p>
  </w:footnote>
  <w:footnote w:id="15">
    <w:p w14:paraId="37CDDE5E" w14:textId="4EFF3157" w:rsidR="005A5D3C" w:rsidRPr="000B33B9" w:rsidRDefault="005A5D3C" w:rsidP="000B33B9">
      <w:pPr>
        <w:pStyle w:val="Textonotapie"/>
        <w:spacing w:after="120"/>
        <w:jc w:val="both"/>
        <w:rPr>
          <w:rFonts w:ascii="Verdana" w:hAnsi="Verdana"/>
          <w:sz w:val="16"/>
          <w:szCs w:val="16"/>
          <w:lang w:val="es-ES"/>
        </w:rPr>
      </w:pPr>
      <w:r w:rsidRPr="000B33B9">
        <w:rPr>
          <w:rStyle w:val="Smbolodenotaalpie"/>
          <w:rFonts w:ascii="Verdana" w:hAnsi="Verdana"/>
          <w:sz w:val="16"/>
          <w:szCs w:val="16"/>
        </w:rPr>
        <w:footnoteRef/>
      </w:r>
      <w:r w:rsidRPr="000B33B9">
        <w:rPr>
          <w:rFonts w:ascii="Verdana" w:hAnsi="Verdana"/>
          <w:sz w:val="16"/>
          <w:szCs w:val="16"/>
          <w:lang w:val="es-ES"/>
        </w:rPr>
        <w:tab/>
      </w:r>
      <w:r w:rsidRPr="000B33B9">
        <w:rPr>
          <w:rFonts w:ascii="Verdana" w:hAnsi="Verdana"/>
          <w:i/>
          <w:sz w:val="16"/>
          <w:szCs w:val="16"/>
          <w:lang w:val="es-ES"/>
        </w:rPr>
        <w:t>Cfr</w:t>
      </w:r>
      <w:r w:rsidRPr="000B33B9">
        <w:rPr>
          <w:rFonts w:ascii="Verdana" w:hAnsi="Verdana"/>
          <w:sz w:val="16"/>
          <w:szCs w:val="16"/>
          <w:lang w:val="es-ES"/>
        </w:rPr>
        <w:t xml:space="preserve">. </w:t>
      </w:r>
      <w:r w:rsidRPr="000B33B9">
        <w:rPr>
          <w:rFonts w:ascii="Verdana" w:hAnsi="Verdana"/>
          <w:i/>
          <w:sz w:val="16"/>
          <w:szCs w:val="16"/>
          <w:lang w:val="es-ES"/>
        </w:rPr>
        <w:t>Caso Cabrera García y Montiel Flores Vs. México. Excepción Preliminar, Fondo, Reparaciones y Costas</w:t>
      </w:r>
      <w:r w:rsidRPr="000B33B9">
        <w:rPr>
          <w:rFonts w:ascii="Verdana" w:hAnsi="Verdana"/>
          <w:sz w:val="16"/>
          <w:szCs w:val="16"/>
          <w:lang w:val="es-ES"/>
        </w:rPr>
        <w:t xml:space="preserve">. Sentencia de 26 de noviembre de 2010. Serie C No. 221, párr. 18, y </w:t>
      </w:r>
      <w:r w:rsidRPr="000B33B9">
        <w:rPr>
          <w:rFonts w:ascii="Verdana" w:hAnsi="Verdana"/>
          <w:i/>
          <w:sz w:val="16"/>
          <w:szCs w:val="16"/>
          <w:lang w:val="es-ES"/>
        </w:rPr>
        <w:t xml:space="preserve">Caso Villamizar Durán y otros Vs. Colombia. Excepción Preliminar, Fondo, Reparaciones y Costas. </w:t>
      </w:r>
      <w:r w:rsidRPr="000B33B9">
        <w:rPr>
          <w:rFonts w:ascii="Verdana" w:hAnsi="Verdana"/>
          <w:sz w:val="16"/>
          <w:szCs w:val="16"/>
          <w:lang w:val="es-ES"/>
        </w:rPr>
        <w:t>Sentencia de 20 de noviembre de 2018. Serie C No. 364, párr. 30.</w:t>
      </w:r>
    </w:p>
  </w:footnote>
  <w:footnote w:id="16">
    <w:p w14:paraId="6FD87EE8" w14:textId="18D0FEA9"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rPr>
        <w:t>Cfr.</w:t>
      </w:r>
      <w:r w:rsidRPr="000B33B9">
        <w:rPr>
          <w:rFonts w:ascii="Verdana" w:hAnsi="Verdana"/>
          <w:sz w:val="16"/>
          <w:szCs w:val="16"/>
        </w:rPr>
        <w:t xml:space="preserve"> </w:t>
      </w:r>
      <w:r w:rsidRPr="000B33B9">
        <w:rPr>
          <w:rFonts w:ascii="Verdana" w:hAnsi="Verdana"/>
          <w:i/>
          <w:sz w:val="16"/>
          <w:szCs w:val="16"/>
        </w:rPr>
        <w:t>Caso de los “Niños de la Calle” (Villagrán Morales y otros) Vs. Guatemala. Fondo</w:t>
      </w:r>
      <w:r w:rsidRPr="000B33B9">
        <w:rPr>
          <w:rFonts w:ascii="Verdana" w:hAnsi="Verdana"/>
          <w:sz w:val="16"/>
          <w:szCs w:val="16"/>
        </w:rPr>
        <w:t xml:space="preserve">. Sentencia de 19 de noviembre de 1999. Serie C No. 63, párr. 222, </w:t>
      </w:r>
      <w:r w:rsidRPr="000B33B9">
        <w:rPr>
          <w:rFonts w:ascii="Verdana" w:hAnsi="Verdana"/>
          <w:sz w:val="16"/>
          <w:szCs w:val="16"/>
          <w:lang w:val="es-ES"/>
        </w:rPr>
        <w:t xml:space="preserve">y </w:t>
      </w:r>
      <w:r w:rsidRPr="000B33B9">
        <w:rPr>
          <w:rFonts w:ascii="Verdana" w:hAnsi="Verdana"/>
          <w:i/>
          <w:sz w:val="16"/>
          <w:szCs w:val="16"/>
          <w:lang w:val="es-ES"/>
        </w:rPr>
        <w:t xml:space="preserve">Caso Villamizar Durán y otros Vs. Colombia. Excepción Preliminar, Fondo, Reparaciones y Costas. </w:t>
      </w:r>
      <w:r w:rsidRPr="000B33B9">
        <w:rPr>
          <w:rFonts w:ascii="Verdana" w:hAnsi="Verdana"/>
          <w:sz w:val="16"/>
          <w:szCs w:val="16"/>
          <w:lang w:val="es-ES"/>
        </w:rPr>
        <w:t>Sentencia de 20 de noviembre de 2018. Serie C No. 364, párr. 30.</w:t>
      </w:r>
    </w:p>
  </w:footnote>
  <w:footnote w:id="17">
    <w:p w14:paraId="5F89846A" w14:textId="1BDCA476"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t xml:space="preserve">Informe 127-2006-JUS/CNDH-SE/CESAPI de 3 de noviembre de 2006 (expediente de fondo, folio 495). </w:t>
      </w:r>
    </w:p>
  </w:footnote>
  <w:footnote w:id="18">
    <w:p w14:paraId="39A9B358" w14:textId="1CD72B82"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t xml:space="preserve">Informe 070-2006-JUS/CNDH-SE/CESAPI de 2 de noviembre de 2006 (expediente de fondo, folio 495). </w:t>
      </w:r>
    </w:p>
  </w:footnote>
  <w:footnote w:id="19">
    <w:p w14:paraId="3E5212D5" w14:textId="0D1A2AA9"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rPr>
        <w:t>Cfr</w:t>
      </w:r>
      <w:r w:rsidRPr="000B33B9">
        <w:rPr>
          <w:rFonts w:ascii="Verdana" w:hAnsi="Verdana"/>
          <w:sz w:val="16"/>
          <w:szCs w:val="16"/>
        </w:rPr>
        <w:t xml:space="preserve">. </w:t>
      </w:r>
      <w:r w:rsidRPr="000B33B9">
        <w:rPr>
          <w:rFonts w:ascii="Verdana" w:hAnsi="Verdana"/>
          <w:bCs/>
          <w:i/>
          <w:sz w:val="16"/>
          <w:szCs w:val="16"/>
        </w:rPr>
        <w:t>Caso Ivcher Bronstein Vs. Perú. Competencia</w:t>
      </w:r>
      <w:r w:rsidRPr="000B33B9">
        <w:rPr>
          <w:rFonts w:ascii="Verdana" w:hAnsi="Verdana"/>
          <w:i/>
          <w:sz w:val="16"/>
          <w:szCs w:val="16"/>
        </w:rPr>
        <w:t>.</w:t>
      </w:r>
      <w:r w:rsidRPr="000B33B9">
        <w:rPr>
          <w:rFonts w:ascii="Verdana" w:hAnsi="Verdana"/>
          <w:sz w:val="16"/>
          <w:szCs w:val="16"/>
        </w:rPr>
        <w:t xml:space="preserve"> Sentencia de 24 de septiembre de 1999. Serie C No. 54, párrs. 32 y 34, y </w:t>
      </w:r>
      <w:r w:rsidRPr="000B33B9">
        <w:rPr>
          <w:rFonts w:ascii="Verdana" w:hAnsi="Verdana"/>
          <w:i/>
          <w:sz w:val="16"/>
          <w:szCs w:val="16"/>
        </w:rPr>
        <w:t xml:space="preserve">Caso San Miguel Sosa y otras Vs. Venezuela. Fondo, Reparaciones y Costas. </w:t>
      </w:r>
      <w:r w:rsidRPr="000B33B9">
        <w:rPr>
          <w:rFonts w:ascii="Verdana" w:hAnsi="Verdana"/>
          <w:sz w:val="16"/>
          <w:szCs w:val="16"/>
        </w:rPr>
        <w:t>Sentencia de 8 de febrero de 2018. Serie C No. 348, párr. 220.</w:t>
      </w:r>
    </w:p>
  </w:footnote>
  <w:footnote w:id="20">
    <w:p w14:paraId="118ABD74" w14:textId="74C5EC8E" w:rsidR="005A5D3C" w:rsidRPr="000B33B9" w:rsidRDefault="005A5D3C" w:rsidP="000B33B9">
      <w:pPr>
        <w:spacing w:after="120" w:line="240" w:lineRule="auto"/>
        <w:jc w:val="both"/>
        <w:rPr>
          <w:rFonts w:ascii="Verdana" w:hAnsi="Verdana"/>
          <w:i/>
          <w:sz w:val="16"/>
          <w:szCs w:val="16"/>
        </w:rPr>
      </w:pPr>
      <w:r w:rsidRPr="000B33B9">
        <w:rPr>
          <w:rStyle w:val="Refdenotaalpie"/>
          <w:rFonts w:ascii="Verdana" w:hAnsi="Verdana"/>
          <w:color w:val="000000"/>
          <w:sz w:val="16"/>
          <w:szCs w:val="16"/>
        </w:rPr>
        <w:footnoteRef/>
      </w:r>
      <w:r w:rsidRPr="000B33B9">
        <w:rPr>
          <w:rFonts w:ascii="Verdana" w:hAnsi="Verdana"/>
          <w:sz w:val="16"/>
          <w:szCs w:val="16"/>
          <w:lang w:val="es-AR"/>
        </w:rPr>
        <w:tab/>
      </w:r>
      <w:r w:rsidRPr="000B33B9">
        <w:rPr>
          <w:rFonts w:ascii="Verdana" w:hAnsi="Verdana"/>
          <w:i/>
          <w:sz w:val="16"/>
          <w:szCs w:val="16"/>
          <w:lang w:val="es-AR"/>
        </w:rPr>
        <w:t xml:space="preserve">Cfr. </w:t>
      </w:r>
      <w:r w:rsidRPr="000B33B9">
        <w:rPr>
          <w:rStyle w:val="Textoennegrita"/>
          <w:rFonts w:ascii="Verdana" w:hAnsi="Verdana"/>
          <w:b w:val="0"/>
          <w:i/>
          <w:color w:val="000000"/>
          <w:sz w:val="16"/>
          <w:szCs w:val="16"/>
          <w:shd w:val="clear" w:color="auto" w:fill="FFFFFF"/>
        </w:rPr>
        <w:t>Caso Lagos del Campo Vs. Perú. Excepciones Preliminares, Fondo, Reparaciones y Costas.</w:t>
      </w:r>
      <w:r w:rsidRPr="000B33B9">
        <w:rPr>
          <w:rStyle w:val="Textoennegrita"/>
          <w:rFonts w:ascii="Verdana" w:hAnsi="Verdana"/>
          <w:b w:val="0"/>
          <w:color w:val="000000"/>
          <w:sz w:val="16"/>
          <w:szCs w:val="16"/>
          <w:shd w:val="clear" w:color="auto" w:fill="FFFFFF"/>
        </w:rPr>
        <w:t xml:space="preserve"> Sentencia de 31 de agosto de 2017. Serie C No. 340, párrs. 142 y 154, y </w:t>
      </w:r>
      <w:r w:rsidRPr="000B33B9">
        <w:rPr>
          <w:rStyle w:val="Textoennegrita"/>
          <w:rFonts w:ascii="Verdana" w:hAnsi="Verdana"/>
          <w:b w:val="0"/>
          <w:i/>
          <w:color w:val="000000"/>
          <w:sz w:val="16"/>
          <w:szCs w:val="16"/>
          <w:shd w:val="clear" w:color="auto" w:fill="FFFFFF"/>
        </w:rPr>
        <w:t>Caso Muelle Flores Vs. Perú. Excepciones Preliminares, Fondo, Reparaciones y Costas.</w:t>
      </w:r>
      <w:r w:rsidRPr="000B33B9">
        <w:rPr>
          <w:rStyle w:val="Textoennegrita"/>
          <w:rFonts w:ascii="Verdana" w:hAnsi="Verdana"/>
          <w:b w:val="0"/>
          <w:color w:val="000000"/>
          <w:sz w:val="16"/>
          <w:szCs w:val="16"/>
          <w:shd w:val="clear" w:color="auto" w:fill="FFFFFF"/>
        </w:rPr>
        <w:t xml:space="preserve"> Sentencia de 6 de marzo de 2019. Serie C No. 375, párr. 35</w:t>
      </w:r>
      <w:r w:rsidRPr="000B33B9">
        <w:rPr>
          <w:rStyle w:val="Textoennegrita"/>
          <w:rFonts w:ascii="Verdana" w:hAnsi="Verdana"/>
          <w:color w:val="000000"/>
          <w:sz w:val="16"/>
          <w:szCs w:val="16"/>
          <w:shd w:val="clear" w:color="auto" w:fill="FFFFFF"/>
        </w:rPr>
        <w:t>.</w:t>
      </w:r>
    </w:p>
  </w:footnote>
  <w:footnote w:id="21">
    <w:p w14:paraId="1292BD1F" w14:textId="754CB751" w:rsidR="005A5D3C" w:rsidRPr="000B33B9" w:rsidRDefault="005A5D3C" w:rsidP="000B33B9">
      <w:pPr>
        <w:pStyle w:val="Textonotapie"/>
        <w:spacing w:after="120"/>
        <w:jc w:val="both"/>
        <w:rPr>
          <w:rFonts w:ascii="Verdana" w:hAnsi="Verdana"/>
          <w:sz w:val="16"/>
          <w:szCs w:val="16"/>
          <w:lang w:val="es-ES"/>
        </w:rPr>
      </w:pPr>
      <w:r w:rsidRPr="000B33B9">
        <w:rPr>
          <w:rStyle w:val="Refdenotaalpie"/>
          <w:rFonts w:ascii="Verdana" w:hAnsi="Verdana"/>
          <w:sz w:val="16"/>
          <w:szCs w:val="16"/>
        </w:rPr>
        <w:footnoteRef/>
      </w:r>
      <w:r w:rsidRPr="000B33B9">
        <w:rPr>
          <w:rFonts w:ascii="Verdana" w:hAnsi="Verdana"/>
          <w:sz w:val="16"/>
          <w:szCs w:val="16"/>
          <w:lang w:val="es-PE"/>
        </w:rPr>
        <w:t xml:space="preserve"> </w:t>
      </w:r>
      <w:r w:rsidRPr="000B33B9">
        <w:rPr>
          <w:rFonts w:ascii="Verdana" w:hAnsi="Verdana"/>
          <w:sz w:val="16"/>
          <w:szCs w:val="16"/>
          <w:lang w:val="es-PE"/>
        </w:rPr>
        <w:tab/>
      </w:r>
      <w:r w:rsidRPr="000B33B9">
        <w:rPr>
          <w:rFonts w:ascii="Verdana" w:hAnsi="Verdana"/>
          <w:bCs/>
          <w:i/>
          <w:sz w:val="16"/>
          <w:szCs w:val="16"/>
          <w:lang w:val="es-CR"/>
        </w:rPr>
        <w:t xml:space="preserve">Caso Cuscul Pivaral y otros Vs. </w:t>
      </w:r>
      <w:r w:rsidRPr="000B33B9">
        <w:rPr>
          <w:rFonts w:ascii="Verdana" w:hAnsi="Verdana"/>
          <w:bCs/>
          <w:i/>
          <w:sz w:val="16"/>
          <w:szCs w:val="16"/>
          <w:lang w:val="es-PE"/>
        </w:rPr>
        <w:t>Guatemala.</w:t>
      </w:r>
      <w:r w:rsidRPr="000B33B9">
        <w:rPr>
          <w:rStyle w:val="Textoennegrita"/>
          <w:rFonts w:ascii="Verdana" w:hAnsi="Verdana"/>
          <w:b w:val="0"/>
          <w:i/>
          <w:color w:val="000000"/>
          <w:sz w:val="16"/>
          <w:szCs w:val="16"/>
          <w:shd w:val="clear" w:color="auto" w:fill="FFFFFF"/>
        </w:rPr>
        <w:t xml:space="preserve"> Excepción Preliminar, Fondo, Reparaciones y Costas</w:t>
      </w:r>
      <w:r w:rsidRPr="000B33B9">
        <w:rPr>
          <w:rFonts w:ascii="Verdana" w:hAnsi="Verdana"/>
          <w:bCs/>
          <w:i/>
          <w:sz w:val="16"/>
          <w:szCs w:val="16"/>
          <w:lang w:val="es-PE"/>
        </w:rPr>
        <w:t xml:space="preserve">. </w:t>
      </w:r>
      <w:r w:rsidRPr="000B33B9">
        <w:rPr>
          <w:rFonts w:ascii="Verdana" w:hAnsi="Verdana"/>
          <w:bCs/>
          <w:sz w:val="16"/>
          <w:szCs w:val="16"/>
          <w:lang w:val="es-PE"/>
        </w:rPr>
        <w:t>Sentencia de 23 de agosto de 2018. Serie C No. 359</w:t>
      </w:r>
      <w:r w:rsidRPr="000B33B9">
        <w:rPr>
          <w:rFonts w:ascii="Verdana" w:hAnsi="Verdana"/>
          <w:bCs/>
          <w:i/>
          <w:sz w:val="16"/>
          <w:szCs w:val="16"/>
          <w:lang w:val="es-PE"/>
        </w:rPr>
        <w:t>,</w:t>
      </w:r>
      <w:r w:rsidRPr="000B33B9">
        <w:rPr>
          <w:rFonts w:ascii="Verdana" w:hAnsi="Verdana"/>
          <w:sz w:val="16"/>
          <w:szCs w:val="16"/>
          <w:lang w:val="es-CR"/>
        </w:rPr>
        <w:t xml:space="preserve"> párrs. </w:t>
      </w:r>
      <w:r w:rsidRPr="000B33B9">
        <w:rPr>
          <w:rFonts w:ascii="Verdana" w:hAnsi="Verdana"/>
          <w:sz w:val="16"/>
          <w:szCs w:val="16"/>
          <w:lang w:val="es-ES"/>
        </w:rPr>
        <w:t xml:space="preserve">75 a 97, y </w:t>
      </w:r>
      <w:r w:rsidRPr="000B33B9">
        <w:rPr>
          <w:rStyle w:val="Textoennegrita"/>
          <w:rFonts w:ascii="Verdana" w:hAnsi="Verdana"/>
          <w:b w:val="0"/>
          <w:i/>
          <w:color w:val="000000"/>
          <w:sz w:val="16"/>
          <w:szCs w:val="16"/>
          <w:shd w:val="clear" w:color="auto" w:fill="FFFFFF"/>
        </w:rPr>
        <w:t>Caso Muelle Flores Vs. Perú. Excepciones Preliminares, Fondo, Reparaciones y Costas</w:t>
      </w:r>
      <w:r w:rsidRPr="000B33B9">
        <w:rPr>
          <w:rStyle w:val="Textoennegrita"/>
          <w:rFonts w:ascii="Verdana" w:hAnsi="Verdana"/>
          <w:b w:val="0"/>
          <w:color w:val="000000"/>
          <w:sz w:val="16"/>
          <w:szCs w:val="16"/>
          <w:shd w:val="clear" w:color="auto" w:fill="FFFFFF"/>
        </w:rPr>
        <w:t>. Sentencia de 6 de marzo de 2019. Serie C No. 375, párr. 36.</w:t>
      </w:r>
    </w:p>
  </w:footnote>
  <w:footnote w:id="22">
    <w:p w14:paraId="226E07A9" w14:textId="31D3AF02"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rPr>
        <w:t xml:space="preserve">Cfr. </w:t>
      </w:r>
      <w:r w:rsidRPr="000B33B9">
        <w:rPr>
          <w:rStyle w:val="Textoennegrita"/>
          <w:rFonts w:ascii="Verdana" w:hAnsi="Verdana"/>
          <w:b w:val="0"/>
          <w:i/>
          <w:color w:val="000000"/>
          <w:sz w:val="16"/>
          <w:szCs w:val="16"/>
          <w:shd w:val="clear" w:color="auto" w:fill="FFFFFF"/>
        </w:rPr>
        <w:t>Caso Muelle Flores Vs. Perú. Excepciones Preliminares, Fondo, Reparaciones y Costas.</w:t>
      </w:r>
      <w:r w:rsidRPr="000B33B9">
        <w:rPr>
          <w:rStyle w:val="Textoennegrita"/>
          <w:rFonts w:ascii="Verdana" w:hAnsi="Verdana"/>
          <w:b w:val="0"/>
          <w:color w:val="000000"/>
          <w:sz w:val="16"/>
          <w:szCs w:val="16"/>
          <w:shd w:val="clear" w:color="auto" w:fill="FFFFFF"/>
        </w:rPr>
        <w:t xml:space="preserve"> Sentencia de 6 de marzo de 2019. Serie C No. 375, párr. 36.</w:t>
      </w:r>
    </w:p>
  </w:footnote>
  <w:footnote w:id="23">
    <w:p w14:paraId="7228971D" w14:textId="5B3C9E1D"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rPr>
        <w:t xml:space="preserve">Cfr. </w:t>
      </w:r>
      <w:r w:rsidRPr="000B33B9">
        <w:rPr>
          <w:rStyle w:val="Textoennegrita"/>
          <w:rFonts w:ascii="Verdana" w:hAnsi="Verdana"/>
          <w:b w:val="0"/>
          <w:i/>
          <w:color w:val="000000"/>
          <w:sz w:val="16"/>
          <w:szCs w:val="16"/>
          <w:shd w:val="clear" w:color="auto" w:fill="FFFFFF"/>
        </w:rPr>
        <w:t>Caso Muelle Flores Vs. Perú. Excepciones Preliminares, Fondo, Reparaciones y Costas.</w:t>
      </w:r>
      <w:r w:rsidRPr="000B33B9">
        <w:rPr>
          <w:rStyle w:val="Textoennegrita"/>
          <w:rFonts w:ascii="Verdana" w:hAnsi="Verdana"/>
          <w:b w:val="0"/>
          <w:color w:val="000000"/>
          <w:sz w:val="16"/>
          <w:szCs w:val="16"/>
          <w:shd w:val="clear" w:color="auto" w:fill="FFFFFF"/>
        </w:rPr>
        <w:t xml:space="preserve"> Sentencia de 6 de marzo de 2019. Serie C No. 375, párr. 37.</w:t>
      </w:r>
    </w:p>
  </w:footnote>
  <w:footnote w:id="24">
    <w:p w14:paraId="0DD12E22" w14:textId="0257AE03" w:rsidR="005A5D3C" w:rsidRPr="000B33B9" w:rsidRDefault="005A5D3C" w:rsidP="000B33B9">
      <w:pPr>
        <w:pStyle w:val="Textonotapie"/>
        <w:spacing w:after="120"/>
        <w:jc w:val="both"/>
        <w:rPr>
          <w:rFonts w:ascii="Verdana" w:hAnsi="Verdana"/>
          <w:i/>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rPr>
        <w:t>Cfr.</w:t>
      </w:r>
      <w:r w:rsidRPr="000B33B9">
        <w:rPr>
          <w:rFonts w:ascii="Verdana" w:hAnsi="Verdana"/>
          <w:sz w:val="16"/>
          <w:szCs w:val="16"/>
        </w:rPr>
        <w:t xml:space="preserve"> </w:t>
      </w:r>
      <w:r w:rsidRPr="000B33B9">
        <w:rPr>
          <w:rFonts w:ascii="Verdana" w:hAnsi="Verdana"/>
          <w:i/>
          <w:sz w:val="16"/>
          <w:szCs w:val="16"/>
        </w:rPr>
        <w:t>Caso Cinco Pensionistas Vs. Perú, Fondo, Reparaciones y Costas.</w:t>
      </w:r>
      <w:r w:rsidRPr="000B33B9">
        <w:rPr>
          <w:rFonts w:ascii="Verdana" w:hAnsi="Verdana"/>
          <w:sz w:val="16"/>
          <w:szCs w:val="16"/>
        </w:rPr>
        <w:t xml:space="preserve"> Sentencia de 28 de febrero de 2003. Serie C No. 98, párr. 155, y </w:t>
      </w:r>
      <w:r w:rsidRPr="000B33B9">
        <w:rPr>
          <w:rStyle w:val="Textoennegrita"/>
          <w:rFonts w:ascii="Verdana" w:hAnsi="Verdana"/>
          <w:b w:val="0"/>
          <w:i/>
          <w:color w:val="000000"/>
          <w:sz w:val="16"/>
          <w:szCs w:val="16"/>
          <w:shd w:val="clear" w:color="auto" w:fill="FFFFFF"/>
        </w:rPr>
        <w:t>Caso Girón y otro Vs. Guatemala. Excepción Preliminar, Fondo, Reparaciones y Costas.</w:t>
      </w:r>
      <w:r w:rsidRPr="000B33B9">
        <w:rPr>
          <w:rStyle w:val="Textoennegrita"/>
          <w:rFonts w:ascii="Verdana" w:hAnsi="Verdana"/>
          <w:b w:val="0"/>
          <w:color w:val="000000"/>
          <w:sz w:val="16"/>
          <w:szCs w:val="16"/>
          <w:shd w:val="clear" w:color="auto" w:fill="FFFFFF"/>
        </w:rPr>
        <w:t xml:space="preserve"> Sentencia de 15 de octubre de 2019. Serie C No. 390, párr. 94.</w:t>
      </w:r>
    </w:p>
  </w:footnote>
  <w:footnote w:id="25">
    <w:p w14:paraId="22129C09" w14:textId="6AB0D9C3"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lang w:val="es-CR"/>
        </w:rPr>
        <w:tab/>
      </w:r>
      <w:r w:rsidRPr="000B33B9">
        <w:rPr>
          <w:rFonts w:ascii="Verdana" w:hAnsi="Verdana"/>
          <w:i/>
          <w:sz w:val="16"/>
          <w:szCs w:val="16"/>
        </w:rPr>
        <w:t>Cfr. Caso Radilla Pacheco Vs. México. Excepciones Preliminares, Fondo, Reparaciones y Costas.</w:t>
      </w:r>
      <w:r w:rsidRPr="000B33B9">
        <w:rPr>
          <w:rFonts w:ascii="Verdana" w:hAnsi="Verdana"/>
          <w:sz w:val="16"/>
          <w:szCs w:val="16"/>
        </w:rPr>
        <w:t xml:space="preserve"> Sentencia de 23 de noviembre de 2009. Serie C No. 209, párr. 110, y </w:t>
      </w:r>
      <w:r w:rsidRPr="000B33B9">
        <w:rPr>
          <w:rFonts w:ascii="Verdana" w:hAnsi="Verdana"/>
          <w:i/>
          <w:sz w:val="16"/>
          <w:szCs w:val="16"/>
          <w:lang w:val="es-CR"/>
        </w:rPr>
        <w:t xml:space="preserve">Caso Trabajadores Cesados de Petroperú y Otros Vs. Perú. </w:t>
      </w:r>
      <w:r w:rsidRPr="000B33B9">
        <w:rPr>
          <w:rFonts w:ascii="Verdana" w:hAnsi="Verdana"/>
          <w:i/>
          <w:sz w:val="16"/>
          <w:szCs w:val="16"/>
        </w:rPr>
        <w:t xml:space="preserve">Excepciones Preliminares, Fondo, Reparaciones y Costas. </w:t>
      </w:r>
      <w:r w:rsidRPr="000B33B9">
        <w:rPr>
          <w:rFonts w:ascii="Verdana" w:hAnsi="Verdana"/>
          <w:sz w:val="16"/>
          <w:szCs w:val="16"/>
        </w:rPr>
        <w:t>Sentencia de 23 de noviembre de 2017. Serie C No. 344, párr. 55.</w:t>
      </w:r>
    </w:p>
  </w:footnote>
  <w:footnote w:id="26">
    <w:p w14:paraId="3EF8B992" w14:textId="1877AC22"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lang w:val="es-CR"/>
        </w:rPr>
        <w:tab/>
      </w:r>
      <w:r w:rsidRPr="000B33B9">
        <w:rPr>
          <w:rFonts w:ascii="Verdana" w:hAnsi="Verdana"/>
          <w:i/>
          <w:sz w:val="16"/>
          <w:szCs w:val="16"/>
          <w:lang w:val="es-CR"/>
        </w:rPr>
        <w:t xml:space="preserve">Cfr. Caso Trabajadores Cesados de Petroperú y Otros Vs. Perú. </w:t>
      </w:r>
      <w:r w:rsidRPr="000B33B9">
        <w:rPr>
          <w:rFonts w:ascii="Verdana" w:hAnsi="Verdana"/>
          <w:i/>
          <w:sz w:val="16"/>
          <w:szCs w:val="16"/>
        </w:rPr>
        <w:t xml:space="preserve">Excepciones Preliminares, Fondo, Reparaciones y Costas. </w:t>
      </w:r>
      <w:r w:rsidRPr="000B33B9">
        <w:rPr>
          <w:rFonts w:ascii="Verdana" w:hAnsi="Verdana"/>
          <w:sz w:val="16"/>
          <w:szCs w:val="16"/>
        </w:rPr>
        <w:t>Sentencia de 23 de noviembre de 2017. Serie C No. 344</w:t>
      </w:r>
      <w:r w:rsidRPr="000B33B9">
        <w:rPr>
          <w:rFonts w:ascii="Verdana" w:hAnsi="Verdana"/>
          <w:i/>
          <w:sz w:val="16"/>
          <w:szCs w:val="16"/>
          <w:lang w:val="es-CR"/>
        </w:rPr>
        <w:t xml:space="preserve">, </w:t>
      </w:r>
      <w:r w:rsidRPr="000B33B9">
        <w:rPr>
          <w:rFonts w:ascii="Verdana" w:hAnsi="Verdana"/>
          <w:sz w:val="16"/>
          <w:szCs w:val="16"/>
          <w:lang w:val="es-CR"/>
        </w:rPr>
        <w:t>párr. 55.</w:t>
      </w:r>
    </w:p>
  </w:footnote>
  <w:footnote w:id="27">
    <w:p w14:paraId="71B835B5" w14:textId="5B47791E"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rPr>
        <w:t xml:space="preserve">Cfr. Caso Velásquez Rodríguez Vs. Honduras. Fondo. </w:t>
      </w:r>
      <w:r w:rsidRPr="000B33B9">
        <w:rPr>
          <w:rFonts w:ascii="Verdana" w:hAnsi="Verdana"/>
          <w:sz w:val="16"/>
          <w:szCs w:val="16"/>
        </w:rPr>
        <w:t xml:space="preserve">Sentencia de 29 de julio de 1988. Serie C No. 4, párr. 140, y </w:t>
      </w:r>
      <w:r w:rsidRPr="000B33B9">
        <w:rPr>
          <w:rFonts w:ascii="Verdana" w:hAnsi="Verdana"/>
          <w:i/>
          <w:sz w:val="16"/>
          <w:szCs w:val="16"/>
        </w:rPr>
        <w:t xml:space="preserve">Caso Romero Feris Vs. Argentina. Fondo, Reparaciones y Costas. </w:t>
      </w:r>
      <w:r w:rsidRPr="000B33B9">
        <w:rPr>
          <w:rFonts w:ascii="Verdana" w:hAnsi="Verdana"/>
          <w:sz w:val="16"/>
          <w:szCs w:val="16"/>
        </w:rPr>
        <w:t>Sentencia de 15 de octubre de 2019. Serie C No. 391, párr. 13.</w:t>
      </w:r>
    </w:p>
  </w:footnote>
  <w:footnote w:id="28">
    <w:p w14:paraId="01BABD12" w14:textId="34412435"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rPr>
        <w:t>Cfr.</w:t>
      </w:r>
      <w:r w:rsidRPr="000B33B9">
        <w:rPr>
          <w:rFonts w:ascii="Verdana" w:hAnsi="Verdana"/>
          <w:sz w:val="16"/>
          <w:szCs w:val="16"/>
        </w:rPr>
        <w:t xml:space="preserve"> </w:t>
      </w:r>
      <w:r w:rsidRPr="000B33B9">
        <w:rPr>
          <w:rFonts w:ascii="Verdana" w:hAnsi="Verdana"/>
          <w:i/>
          <w:sz w:val="16"/>
          <w:szCs w:val="16"/>
        </w:rPr>
        <w:t>Caso Cinco Pensionistas Vs. Perú. Fondo, Reparaciones y Costas.</w:t>
      </w:r>
      <w:r w:rsidRPr="000B33B9">
        <w:rPr>
          <w:rFonts w:ascii="Verdana" w:hAnsi="Verdana"/>
          <w:sz w:val="16"/>
          <w:szCs w:val="16"/>
        </w:rPr>
        <w:t xml:space="preserve"> Sentencia de 28 de febrero de 2003. Serie C No. 98, párr. 154, y </w:t>
      </w:r>
      <w:r w:rsidRPr="000B33B9">
        <w:rPr>
          <w:rStyle w:val="Textoennegrita"/>
          <w:rFonts w:ascii="Verdana" w:hAnsi="Verdana"/>
          <w:b w:val="0"/>
          <w:i/>
          <w:color w:val="000000"/>
          <w:sz w:val="16"/>
          <w:szCs w:val="16"/>
          <w:shd w:val="clear" w:color="auto" w:fill="FFFFFF"/>
        </w:rPr>
        <w:t>Caso Lagos del Campo Vs. Perú. Excepciones Preliminares, Fondo, Reparaciones y Costas.</w:t>
      </w:r>
      <w:r w:rsidRPr="000B33B9">
        <w:rPr>
          <w:rStyle w:val="Textoennegrita"/>
          <w:rFonts w:ascii="Verdana" w:hAnsi="Verdana"/>
          <w:b w:val="0"/>
          <w:color w:val="000000"/>
          <w:sz w:val="16"/>
          <w:szCs w:val="16"/>
          <w:shd w:val="clear" w:color="auto" w:fill="FFFFFF"/>
        </w:rPr>
        <w:t xml:space="preserve"> Sentencia de 31 de agosto de 2017. Serie C No. 340, párr. 24.</w:t>
      </w:r>
    </w:p>
  </w:footnote>
  <w:footnote w:id="29">
    <w:p w14:paraId="73F413BC" w14:textId="7C5620E9"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t>El discurso fue pronunciado el 28 de julio de 2018 y trató las siguientes temáticas: apertura, reforma judicial, reconstrucción con cambios, economía, sectores productivos, transportes y comunicaciones, vivienda, construcción y saneamiento, educación, salud e inclusión social, mujer y poblaciones vulnerables, ambiente, cultura, seguridad, defensa, política exterior y descentralización (expediente de prueba, folio 15751).</w:t>
      </w:r>
    </w:p>
  </w:footnote>
  <w:footnote w:id="30">
    <w:p w14:paraId="75A5F5FA" w14:textId="330A175F"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t>Estas notas tenían por encabezados los siguientes: “Caen los presidentes del Poder Judicial y el CNM por audios de corrupción”, “Investigan a más de 8 mil magistrados”, CNM ratificó a Chávarry a días de difundirse los audios”, “Lucha contra la corrupción: el reto más importante del Gobierno de Vizcarra”, “Sí es posible realizar el referéndum en octubre”, “Colaborador señala que Hinostroza resuelve casos de narcotraficantes”, “Congreso inicia camino para acusar a Chávarry, Hinostroza y Rodríguez”, “Apellido Fujimori se escucha en nuevo audio de Hinostroza”, “Congreso responde a presión del Ejecutivo por reforma judicial”, y “Gobierno busca mayor dureza contra fondos políticos ilícitos” (expediente de prueba, folios del 15771 al 15789).</w:t>
      </w:r>
    </w:p>
  </w:footnote>
  <w:footnote w:id="31">
    <w:p w14:paraId="5F4838D9" w14:textId="502F3B61"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t>En su lista definitiva de declarantes, la Comisión solicitó el traslado de este peritaje.</w:t>
      </w:r>
    </w:p>
  </w:footnote>
  <w:footnote w:id="32">
    <w:p w14:paraId="01E67D3F" w14:textId="621533AF"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lang w:val="es-CR"/>
        </w:rPr>
        <w:tab/>
        <w:t xml:space="preserve">En audiencia pública, la Corte recibió la declaración de una presunta víctima, Ana María Ráez Guevara, y de la perita Frida Vals Gen Rivera, ofrecidas por los representantes y de los peritos Cesar Efraín Abanto Revilla y Dante Ludwing Apolín Meza, propuestos por el Estado. Asimismo, la Corte recibió las declaraciones ante fedatario público de las presuntas víctimas Norma Estrella Grande Bolívar de Cortez y Hugo Alberto Plasencia Carranza, propuestos por los representantes, de los peritos César González Hunt y Reynaldo Bustamante Alacón, propuestos por el Estado y del testigo Héctor Enrique Lama More, propuesto por el Estado. El objeto de las referidas declaraciones está establecido en la Resolución del Presidente de la Corte Interamericana emitida el 21 de marzo de 2019. </w:t>
      </w:r>
    </w:p>
  </w:footnote>
  <w:footnote w:id="33">
    <w:p w14:paraId="5A28DC04" w14:textId="0DC4AF09"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rPr>
        <w:t>Cfr. Caso “Cinco Pensionistas” Vs. Perú. Fondo, Reparaciones y Costas</w:t>
      </w:r>
      <w:r w:rsidRPr="000B33B9">
        <w:rPr>
          <w:rFonts w:ascii="Verdana" w:hAnsi="Verdana"/>
          <w:sz w:val="16"/>
          <w:szCs w:val="16"/>
        </w:rPr>
        <w:t xml:space="preserve">. Sentencia de 28 de febrero de 2003. Serie C No. 98, párr. 153, y </w:t>
      </w:r>
      <w:r w:rsidRPr="000B33B9">
        <w:rPr>
          <w:rFonts w:ascii="Verdana" w:hAnsi="Verdana"/>
          <w:i/>
          <w:sz w:val="16"/>
          <w:szCs w:val="16"/>
        </w:rPr>
        <w:t xml:space="preserve">Caso Romero Feris Vs. Argentina. Fondo, Reparaciones y Costas. </w:t>
      </w:r>
      <w:r w:rsidRPr="000B33B9">
        <w:rPr>
          <w:rFonts w:ascii="Verdana" w:hAnsi="Verdana"/>
          <w:sz w:val="16"/>
          <w:szCs w:val="16"/>
        </w:rPr>
        <w:t>Sentencia de 15 de octubre de 2019. Serie C No. 391, párr. 16.</w:t>
      </w:r>
    </w:p>
  </w:footnote>
  <w:footnote w:id="34">
    <w:p w14:paraId="1919C1FA" w14:textId="31F12214"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t xml:space="preserve">Ley No. 24829 de 7 de junio de 1988 y Decreto Legislativo No. 501 de 29 de noviembre de 1991. </w:t>
      </w:r>
    </w:p>
  </w:footnote>
  <w:footnote w:id="35">
    <w:p w14:paraId="0C33639F" w14:textId="24395686"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t xml:space="preserve">ANCEJUB-SUNAT fue constituida el 15 de marzo de 1991. </w:t>
      </w:r>
      <w:r w:rsidRPr="000B33B9">
        <w:rPr>
          <w:rFonts w:ascii="Verdana" w:hAnsi="Verdana"/>
          <w:i/>
          <w:sz w:val="16"/>
          <w:szCs w:val="16"/>
          <w:lang w:val="es-DO"/>
        </w:rPr>
        <w:t>Cfr.</w:t>
      </w:r>
      <w:r w:rsidRPr="000B33B9">
        <w:rPr>
          <w:rFonts w:ascii="Verdana" w:hAnsi="Verdana"/>
          <w:sz w:val="16"/>
          <w:szCs w:val="16"/>
          <w:lang w:val="es-DO"/>
        </w:rPr>
        <w:t xml:space="preserve"> Resolución del Sexagésimo Tercer Juzgado Especializado en lo Civil de Lima de 24 de junio de 2002 (expediente de prueba, folios del 88 al 91).</w:t>
      </w:r>
    </w:p>
  </w:footnote>
  <w:footnote w:id="36">
    <w:p w14:paraId="2A818F66" w14:textId="4B88875D"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rPr>
        <w:t xml:space="preserve">Cfr. </w:t>
      </w:r>
      <w:r w:rsidRPr="000B33B9">
        <w:rPr>
          <w:rFonts w:ascii="Verdana" w:hAnsi="Verdana"/>
          <w:sz w:val="16"/>
          <w:szCs w:val="16"/>
          <w:lang w:val="es-DO"/>
        </w:rPr>
        <w:t>Decreto Ley No. 20530 de 26 de febrero de 1974 (expediente de prueba, folios del 1590 al 1608).</w:t>
      </w:r>
    </w:p>
  </w:footnote>
  <w:footnote w:id="37">
    <w:p w14:paraId="4766FE37" w14:textId="4C1DB847"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lang w:val="es-CR"/>
        </w:rPr>
        <w:t xml:space="preserve"> </w:t>
      </w:r>
      <w:r w:rsidRPr="000B33B9">
        <w:rPr>
          <w:rFonts w:ascii="Verdana" w:hAnsi="Verdana"/>
          <w:sz w:val="16"/>
          <w:szCs w:val="16"/>
          <w:lang w:val="es-CR"/>
        </w:rPr>
        <w:tab/>
        <w:t>Constitución Política de la República del Perú de 12 de julio de 1979. Disposición Transitoria Octava.</w:t>
      </w:r>
    </w:p>
  </w:footnote>
  <w:footnote w:id="38">
    <w:p w14:paraId="79D790FF" w14:textId="03C136A0"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lang w:val="es-CR"/>
        </w:rPr>
        <w:t xml:space="preserve"> </w:t>
      </w:r>
      <w:r w:rsidRPr="000B33B9">
        <w:rPr>
          <w:rFonts w:ascii="Verdana" w:hAnsi="Verdana"/>
          <w:sz w:val="16"/>
          <w:szCs w:val="16"/>
          <w:lang w:val="es-CR"/>
        </w:rPr>
        <w:tab/>
        <w:t xml:space="preserve">Decreto Ley </w:t>
      </w:r>
      <w:r w:rsidRPr="000B33B9">
        <w:rPr>
          <w:rFonts w:ascii="Verdana" w:hAnsi="Verdana"/>
          <w:sz w:val="16"/>
          <w:szCs w:val="16"/>
          <w:lang w:val="es-DO"/>
        </w:rPr>
        <w:t xml:space="preserve">No. </w:t>
      </w:r>
      <w:r w:rsidRPr="000B33B9">
        <w:rPr>
          <w:rFonts w:ascii="Verdana" w:hAnsi="Verdana"/>
          <w:sz w:val="16"/>
          <w:szCs w:val="16"/>
          <w:lang w:val="es-CR"/>
        </w:rPr>
        <w:t>23495 de 19 de noviembre de 1982, artículos 1 y 5.</w:t>
      </w:r>
    </w:p>
  </w:footnote>
  <w:footnote w:id="39">
    <w:p w14:paraId="5DE2790D" w14:textId="5BA43048"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lang w:val="es-CR"/>
        </w:rPr>
        <w:t xml:space="preserve"> </w:t>
      </w:r>
      <w:r w:rsidRPr="000B33B9">
        <w:rPr>
          <w:rFonts w:ascii="Verdana" w:hAnsi="Verdana"/>
          <w:sz w:val="16"/>
          <w:szCs w:val="16"/>
          <w:lang w:val="es-CR"/>
        </w:rPr>
        <w:tab/>
        <w:t xml:space="preserve">Reglamento de la Ley </w:t>
      </w:r>
      <w:r w:rsidRPr="000B33B9">
        <w:rPr>
          <w:rFonts w:ascii="Verdana" w:hAnsi="Verdana"/>
          <w:sz w:val="16"/>
          <w:szCs w:val="16"/>
          <w:lang w:val="es-DO"/>
        </w:rPr>
        <w:t xml:space="preserve">No. </w:t>
      </w:r>
      <w:r w:rsidRPr="000B33B9">
        <w:rPr>
          <w:rFonts w:ascii="Verdana" w:hAnsi="Verdana"/>
          <w:sz w:val="16"/>
          <w:szCs w:val="16"/>
          <w:lang w:val="es-CR"/>
        </w:rPr>
        <w:t>23495, publicado el 18 de marzo de 1983 (expediente de fondo, folio 995).</w:t>
      </w:r>
    </w:p>
  </w:footnote>
  <w:footnote w:id="40">
    <w:p w14:paraId="544ACFA6" w14:textId="30DC9BCF"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lang w:val="es-CR"/>
        </w:rPr>
        <w:t xml:space="preserve"> </w:t>
      </w:r>
      <w:r w:rsidRPr="000B33B9">
        <w:rPr>
          <w:rFonts w:ascii="Verdana" w:hAnsi="Verdana"/>
          <w:sz w:val="16"/>
          <w:szCs w:val="16"/>
          <w:lang w:val="es-CR"/>
        </w:rPr>
        <w:tab/>
      </w:r>
      <w:r w:rsidRPr="000B33B9">
        <w:rPr>
          <w:rFonts w:ascii="Verdana" w:hAnsi="Verdana"/>
          <w:sz w:val="16"/>
          <w:szCs w:val="16"/>
          <w:lang w:val="es-DO"/>
        </w:rPr>
        <w:t xml:space="preserve">Decreto Legislativo No. 673 de 23 de septiembre de 1991 (expediente de prueba, folios del 15094 al 15096). </w:t>
      </w:r>
    </w:p>
  </w:footnote>
  <w:footnote w:id="41">
    <w:p w14:paraId="550CEAAC" w14:textId="452B8F59"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Resolución No.</w:t>
      </w:r>
      <w:r w:rsidRPr="000B33B9">
        <w:rPr>
          <w:rFonts w:ascii="Verdana" w:hAnsi="Verdana"/>
          <w:sz w:val="16"/>
          <w:szCs w:val="16"/>
          <w:vertAlign w:val="superscript"/>
          <w:lang w:val="es-DO"/>
        </w:rPr>
        <w:t xml:space="preserve"> </w:t>
      </w:r>
      <w:r w:rsidRPr="000B33B9">
        <w:rPr>
          <w:rFonts w:ascii="Verdana" w:hAnsi="Verdana"/>
          <w:sz w:val="16"/>
          <w:szCs w:val="16"/>
          <w:lang w:val="es-DO"/>
        </w:rPr>
        <w:t xml:space="preserve">948 de la SUNAT de julio de 1991 (expediente de prueba, folios 6834 y 6835). </w:t>
      </w:r>
    </w:p>
  </w:footnote>
  <w:footnote w:id="42">
    <w:p w14:paraId="6B939A61" w14:textId="302A1FDA"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rPr>
        <w:t xml:space="preserve">Cfr. </w:t>
      </w:r>
      <w:r w:rsidRPr="000B33B9">
        <w:rPr>
          <w:rFonts w:ascii="Verdana" w:hAnsi="Verdana"/>
          <w:sz w:val="16"/>
          <w:szCs w:val="16"/>
        </w:rPr>
        <w:t>Resolución No. R.S. N°638-91-EF/SUNAT-A00000 de la SUNAT de 10 de abril de 1991 a favor de Álvarez González Darma María (expediente de prueba, folio 6857); Resolución No. R.S. N°334-91-EF/SUNAT-A00000 de la SUNAT de 15 de febrero de 1991 a favor de Álvarez Ramírez Glicerio (expediente de prueba, folio 6861); Resolución No. R.S. N°517-91-EF/SUNAT-A00000 de la SUNAT de 21 de marzo de 1991 a favor de Antúnez Solís Eduardo Manuel (expediente de prueba, folio 6871); Resolución No. R.S. N°532-91-EF/SUNAT-A00000 de la SUNAT de 21 de marzo de 1991 a favor de Benavides Espinoza Fortunato Raúl (expediente de prueba, folio 6965); Resolución No. R.S. N°263-91-EF/SUNAT-A00000 de la SUNAT de 13 de febrero de 1991 a favor de Berrocal Barraza Nelly (expediente de prueba, folio 6974); Resolución No. R.S. N°527-91-EF/SUNAT-A00000 de la SUNAT de 21 de marzo de 1991 a favor de Candela Lévano Víctor Alfredo (expediente de prueba, folio 7025); Resolución No. R.S. N°291-91-EF/SUNAT-A00000 de la SUNAT de 14 de febrero de 1991 a favor de Carranza Alfaro Constantino Percy (expediente de prueba, folio 7033); Resolución No. R.S. N°2053-91-EF/SUNAT-A00000 de la SUNAT de 19 de agosto de 1991 a favor de Carranza Martínez Victoria Estela (expediente de prueba, folio 7043); Resolución No. R.S. N°219-91-EF/SUNAT-A00000 de la SUNAT de 12 de febrero de 1991 a favor de Carrasco Ferrel Eloy (expediente de prueba, folio 7047); Resolución No. R.S. N°181-91-EF/SUNAT-A00000 de la SUNAT de 11 de febrero de 1991 a favor de Carreño Llanos Judith Yolanda (expediente de prueba, folio 7053); Resolución No. R.S. N°214-91-EF/SUNAT-A00000 de la SUNAT de 12 de febrero de 1991 a favor de Carreño Llanos Luisa Elizabeth (expediente de prueba, folio 7057); Resolución No. R.S. N°284-91-EF/SUNAT-A00000 de la SUNAT de 13 de febrero de 1991 a favor de Cassana Bazán Mercedes Irma (expediente de prueba, folio 7069); Resolución No. R.S. N°622-91-EF/SUNAT-A00000 de la SUNAT de 10 de abril de 1991 a favor de Castillo Sánchez Julia Manuela (expediente de prueba, folio 7076); Resolución No. R.S. N°488-91-EF/SUNAT-A00000 de la SUNAT de 21 de marzo de 1991 a favor de Chávez Centti Miguel Ángel (expediente de prueba, folio P7118), y Resolución No. R.S. N°211-91-EF/SUNAT-A00000 de la SUNAT de 12 de febrero de 1991 a favor de Chiriboga Pardo Jesús Eduardo (expediente de prueba, folio 7129).</w:t>
      </w:r>
    </w:p>
  </w:footnote>
  <w:footnote w:id="43">
    <w:p w14:paraId="18966989" w14:textId="0FAA2932"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lang w:val="es-CR"/>
        </w:rPr>
        <w:t xml:space="preserve"> </w:t>
      </w:r>
      <w:r w:rsidRPr="000B33B9">
        <w:rPr>
          <w:rFonts w:ascii="Verdana" w:hAnsi="Verdana"/>
          <w:sz w:val="16"/>
          <w:szCs w:val="16"/>
          <w:lang w:val="es-CR"/>
        </w:rPr>
        <w:tab/>
      </w:r>
      <w:r w:rsidRPr="000B33B9">
        <w:rPr>
          <w:rFonts w:ascii="Verdana" w:hAnsi="Verdana"/>
          <w:i/>
          <w:sz w:val="16"/>
          <w:szCs w:val="16"/>
          <w:lang w:val="es-CR"/>
        </w:rPr>
        <w:t>Cfr</w:t>
      </w:r>
      <w:r w:rsidRPr="000B33B9">
        <w:rPr>
          <w:rFonts w:ascii="Verdana" w:hAnsi="Verdana"/>
          <w:sz w:val="16"/>
          <w:szCs w:val="16"/>
          <w:lang w:val="es-CR"/>
        </w:rPr>
        <w:t xml:space="preserve">. </w:t>
      </w:r>
      <w:r w:rsidRPr="000B33B9">
        <w:rPr>
          <w:rFonts w:ascii="Verdana" w:hAnsi="Verdana"/>
          <w:i/>
          <w:sz w:val="16"/>
          <w:szCs w:val="16"/>
        </w:rPr>
        <w:t>Mutatis mutandis</w:t>
      </w:r>
      <w:r w:rsidRPr="000B33B9">
        <w:rPr>
          <w:rFonts w:ascii="Verdana" w:hAnsi="Verdana"/>
          <w:sz w:val="16"/>
          <w:szCs w:val="16"/>
          <w:lang w:val="es-CR"/>
        </w:rPr>
        <w:t xml:space="preserve">. Decreto Legislativo </w:t>
      </w:r>
      <w:r w:rsidRPr="000B33B9">
        <w:rPr>
          <w:rFonts w:ascii="Verdana" w:hAnsi="Verdana"/>
          <w:sz w:val="16"/>
          <w:szCs w:val="16"/>
          <w:lang w:val="es-DO"/>
        </w:rPr>
        <w:t xml:space="preserve">No. 680 de 9 de octubre de 1981. Artículo 2, literales c y d (expediente de prueba, folios del 15096 al 15100). </w:t>
      </w:r>
    </w:p>
  </w:footnote>
  <w:footnote w:id="44">
    <w:p w14:paraId="5D5B6EA1" w14:textId="7C9D72DA"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xml:space="preserve"> Decreto Legislativo No. 673 de 23 de septiembre de 1991. Artículo 1 (expediente de prueba, folios del 15094 al 15096).</w:t>
      </w:r>
    </w:p>
  </w:footnote>
  <w:footnote w:id="45">
    <w:p w14:paraId="17B009BB" w14:textId="5339B971"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xml:space="preserve"> Decreto Ley No. 19990 de 24 de abril de 1973, artículo 3.</w:t>
      </w:r>
    </w:p>
  </w:footnote>
  <w:footnote w:id="46">
    <w:p w14:paraId="57720C58" w14:textId="4CA7D9BC"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lang w:val="es-CR"/>
        </w:rPr>
        <w:t xml:space="preserve"> </w:t>
      </w:r>
      <w:r w:rsidRPr="000B33B9">
        <w:rPr>
          <w:rFonts w:ascii="Verdana" w:hAnsi="Verdana"/>
          <w:sz w:val="16"/>
          <w:szCs w:val="16"/>
          <w:lang w:val="es-CR"/>
        </w:rPr>
        <w:tab/>
      </w:r>
      <w:r w:rsidRPr="000B33B9">
        <w:rPr>
          <w:rFonts w:ascii="Verdana" w:hAnsi="Verdana"/>
          <w:i/>
          <w:sz w:val="16"/>
          <w:szCs w:val="16"/>
          <w:lang w:val="es-DO"/>
        </w:rPr>
        <w:t xml:space="preserve">Cfr. </w:t>
      </w:r>
      <w:r w:rsidRPr="000B33B9">
        <w:rPr>
          <w:rFonts w:ascii="Verdana" w:hAnsi="Verdana"/>
          <w:sz w:val="16"/>
          <w:szCs w:val="16"/>
          <w:lang w:val="es-DO"/>
        </w:rPr>
        <w:t xml:space="preserve">Decreto Legislativo No. 673 de 23 de septiembre de 1991. Artículo 2 (expediente de prueba, folios del 15094 al 15096). </w:t>
      </w:r>
    </w:p>
  </w:footnote>
  <w:footnote w:id="47">
    <w:p w14:paraId="4E405DAF" w14:textId="2E2B1771"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t xml:space="preserve">Perú. Decreto Legislativo No. 673 de 23 de septiembre de 1991. Artículo 3, literales a, c y d (expediente de prueba, folios del 15094 al 15096). </w:t>
      </w:r>
    </w:p>
  </w:footnote>
  <w:footnote w:id="48">
    <w:p w14:paraId="0C3DBC0F" w14:textId="72D2FFC4"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lang w:val="es-CR"/>
        </w:rPr>
        <w:t xml:space="preserve"> </w:t>
      </w:r>
      <w:r w:rsidRPr="000B33B9">
        <w:rPr>
          <w:rFonts w:ascii="Verdana" w:hAnsi="Verdana"/>
          <w:sz w:val="16"/>
          <w:szCs w:val="16"/>
          <w:lang w:val="es-CR"/>
        </w:rPr>
        <w:tab/>
      </w:r>
      <w:r w:rsidRPr="000B33B9">
        <w:rPr>
          <w:rFonts w:ascii="Verdana" w:hAnsi="Verdana"/>
          <w:sz w:val="16"/>
          <w:szCs w:val="16"/>
          <w:lang w:val="es-DO"/>
        </w:rPr>
        <w:t>Decreto Legislativo No. 673 de 23 de septiembre de 1991. T</w:t>
      </w:r>
      <w:r w:rsidRPr="000B33B9">
        <w:rPr>
          <w:rFonts w:ascii="Verdana" w:hAnsi="Verdana"/>
          <w:sz w:val="16"/>
          <w:szCs w:val="16"/>
          <w:lang w:val="es-CR"/>
        </w:rPr>
        <w:t xml:space="preserve">ercera Disposición Transitoria </w:t>
      </w:r>
      <w:r w:rsidRPr="000B33B9">
        <w:rPr>
          <w:rFonts w:ascii="Verdana" w:hAnsi="Verdana"/>
          <w:sz w:val="16"/>
          <w:szCs w:val="16"/>
          <w:lang w:val="es-DO"/>
        </w:rPr>
        <w:t xml:space="preserve">(expediente de prueba, folios del 15094 al 15096). </w:t>
      </w:r>
    </w:p>
  </w:footnote>
  <w:footnote w:id="49">
    <w:p w14:paraId="376434CF" w14:textId="47696CDC" w:rsidR="005A5D3C" w:rsidRPr="000B33B9" w:rsidRDefault="005A5D3C" w:rsidP="000B33B9">
      <w:pPr>
        <w:pStyle w:val="Textonotapie"/>
        <w:spacing w:after="120"/>
        <w:jc w:val="both"/>
        <w:rPr>
          <w:rFonts w:ascii="Verdana" w:hAnsi="Verdana"/>
          <w:i/>
          <w:sz w:val="16"/>
          <w:szCs w:val="16"/>
        </w:rPr>
      </w:pPr>
      <w:r w:rsidRPr="000B33B9">
        <w:rPr>
          <w:rStyle w:val="Refdenotaalpie"/>
          <w:rFonts w:ascii="Verdana" w:hAnsi="Verdana"/>
          <w:sz w:val="16"/>
          <w:szCs w:val="16"/>
        </w:rPr>
        <w:footnoteRef/>
      </w:r>
      <w:r w:rsidRPr="000B33B9">
        <w:rPr>
          <w:rFonts w:ascii="Verdana" w:hAnsi="Verdana"/>
          <w:sz w:val="16"/>
          <w:szCs w:val="16"/>
          <w:lang w:val="es-CR"/>
        </w:rPr>
        <w:t xml:space="preserve"> </w:t>
      </w:r>
      <w:r w:rsidRPr="000B33B9">
        <w:rPr>
          <w:rFonts w:ascii="Verdana" w:hAnsi="Verdana"/>
          <w:i/>
          <w:sz w:val="16"/>
          <w:szCs w:val="16"/>
        </w:rPr>
        <w:tab/>
      </w:r>
      <w:r w:rsidRPr="000B33B9">
        <w:rPr>
          <w:rFonts w:ascii="Verdana" w:hAnsi="Verdana"/>
          <w:sz w:val="16"/>
          <w:szCs w:val="16"/>
        </w:rPr>
        <w:t xml:space="preserve">Amparo interpuesto por ANCEJUB-SUNAT el 19 de diciembre de 1991, ante el </w:t>
      </w:r>
      <w:r w:rsidRPr="000B33B9">
        <w:rPr>
          <w:rFonts w:ascii="Verdana" w:hAnsi="Verdana" w:cs="Arial"/>
          <w:sz w:val="16"/>
          <w:szCs w:val="16"/>
          <w:lang w:val="es-CR"/>
        </w:rPr>
        <w:t xml:space="preserve">Quinto Juzgado Especializado en lo Civil de Lima (expediente de prueba, folios del 3 al 15). </w:t>
      </w:r>
    </w:p>
  </w:footnote>
  <w:footnote w:id="50">
    <w:p w14:paraId="1A4ACD3B" w14:textId="00BD09FF"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lang w:val="es-DO"/>
        </w:rPr>
        <w:footnoteRef/>
      </w:r>
      <w:r w:rsidRPr="000B33B9">
        <w:rPr>
          <w:rFonts w:ascii="Verdana" w:hAnsi="Verdana"/>
          <w:sz w:val="16"/>
          <w:szCs w:val="16"/>
          <w:lang w:val="es-DO"/>
        </w:rPr>
        <w:t xml:space="preserve"> </w:t>
      </w:r>
      <w:r w:rsidRPr="000B33B9">
        <w:rPr>
          <w:rFonts w:ascii="Verdana" w:hAnsi="Verdana"/>
          <w:sz w:val="16"/>
          <w:szCs w:val="16"/>
          <w:lang w:val="es-DO"/>
        </w:rPr>
        <w:tab/>
        <w:t xml:space="preserve">Resolución del Quinto Juzgado Especializado en lo Civil de Lima de 7 de febrero de 1992 (expediente de prueba, folios del 17 al 19). </w:t>
      </w:r>
    </w:p>
  </w:footnote>
  <w:footnote w:id="51">
    <w:p w14:paraId="42B016B7" w14:textId="2F81C632"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lang w:val="es-DO"/>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xml:space="preserve"> Resolución No. 2287 de la Segunda Sala Civil de la Corte Superior de Lima de 1 de septiembre de 1992 (expediente de prueba, folio 21). </w:t>
      </w:r>
    </w:p>
  </w:footnote>
  <w:footnote w:id="52">
    <w:p w14:paraId="40932CED" w14:textId="721A0F4A"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lang w:val="es-DO"/>
        </w:rPr>
        <w:footnoteRef/>
      </w:r>
      <w:r w:rsidRPr="000B33B9">
        <w:rPr>
          <w:rFonts w:ascii="Verdana" w:hAnsi="Verdana"/>
          <w:sz w:val="16"/>
          <w:szCs w:val="16"/>
          <w:lang w:val="es-DO"/>
        </w:rPr>
        <w:t xml:space="preserve"> </w:t>
      </w:r>
      <w:r w:rsidRPr="000B33B9">
        <w:rPr>
          <w:rFonts w:ascii="Verdana" w:hAnsi="Verdana"/>
          <w:sz w:val="16"/>
          <w:szCs w:val="16"/>
          <w:lang w:val="es-DO"/>
        </w:rPr>
        <w:tab/>
        <w:t>Sentencia de la Corte Suprema de Justicia de la República de 25 de octubre de 1993 (expediente de prueba, folios del 23 al 25).</w:t>
      </w:r>
    </w:p>
  </w:footnote>
  <w:footnote w:id="53">
    <w:p w14:paraId="3BCB765F" w14:textId="2B5BF4D2"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lang w:val="es-DO"/>
        </w:rPr>
        <w:footnoteRef/>
      </w:r>
      <w:r w:rsidRPr="000B33B9">
        <w:rPr>
          <w:rFonts w:ascii="Verdana" w:hAnsi="Verdana"/>
          <w:i/>
          <w:sz w:val="16"/>
          <w:szCs w:val="16"/>
          <w:lang w:val="es-DO"/>
        </w:rPr>
        <w:t xml:space="preserve"> </w:t>
      </w:r>
      <w:r w:rsidRPr="000B33B9">
        <w:rPr>
          <w:rFonts w:ascii="Verdana" w:hAnsi="Verdana"/>
          <w:i/>
          <w:sz w:val="16"/>
          <w:szCs w:val="16"/>
          <w:lang w:val="es-DO"/>
        </w:rPr>
        <w:tab/>
      </w:r>
      <w:r w:rsidRPr="000B33B9">
        <w:rPr>
          <w:rFonts w:ascii="Verdana" w:hAnsi="Verdana"/>
          <w:sz w:val="16"/>
          <w:szCs w:val="16"/>
          <w:lang w:val="es-DO"/>
        </w:rPr>
        <w:t>Resolución del Tribunal Constitucional de 25 de junio de 1996 (expediente de prueba, folio 29).</w:t>
      </w:r>
    </w:p>
  </w:footnote>
  <w:footnote w:id="54">
    <w:p w14:paraId="0788FA0D" w14:textId="0652072F"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lang w:val="es-DO"/>
        </w:rPr>
        <w:footnoteRef/>
      </w:r>
      <w:r w:rsidRPr="000B33B9">
        <w:rPr>
          <w:rFonts w:ascii="Verdana" w:hAnsi="Verdana"/>
          <w:sz w:val="16"/>
          <w:szCs w:val="16"/>
          <w:lang w:val="es-DO"/>
        </w:rPr>
        <w:t xml:space="preserve"> </w:t>
      </w:r>
      <w:r w:rsidRPr="000B33B9">
        <w:rPr>
          <w:rFonts w:ascii="Verdana" w:hAnsi="Verdana"/>
          <w:sz w:val="16"/>
          <w:szCs w:val="16"/>
          <w:lang w:val="es-DO"/>
        </w:rPr>
        <w:tab/>
        <w:t>Resolución del Juzgado Previsional de Lima de 21 de enero de 1997 (expediente de prueba, folio 33).</w:t>
      </w:r>
    </w:p>
  </w:footnote>
  <w:footnote w:id="55">
    <w:p w14:paraId="2CED688A" w14:textId="2B75A254"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lang w:val="es-DO"/>
        </w:rPr>
        <w:footnoteRef/>
      </w:r>
      <w:r w:rsidRPr="000B33B9">
        <w:rPr>
          <w:rFonts w:ascii="Verdana" w:hAnsi="Verdana"/>
          <w:sz w:val="16"/>
          <w:szCs w:val="16"/>
          <w:lang w:val="es-DO"/>
        </w:rPr>
        <w:t xml:space="preserve"> </w:t>
      </w:r>
      <w:r w:rsidRPr="000B33B9">
        <w:rPr>
          <w:rFonts w:ascii="Verdana" w:hAnsi="Verdana"/>
          <w:sz w:val="16"/>
          <w:szCs w:val="16"/>
          <w:lang w:val="es-DO"/>
        </w:rPr>
        <w:tab/>
        <w:t>Recurso de nulidad presentado por el Procurador Público de los asuntos judiciales del MEF el 18 de febrero de 1997 (expediente de prueba, folios del 35 al 37).</w:t>
      </w:r>
    </w:p>
  </w:footnote>
  <w:footnote w:id="56">
    <w:p w14:paraId="2AD0493B" w14:textId="524EF759"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lang w:val="es-DO"/>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xml:space="preserve"> Resolución del Juzgado Previsional de Lima de 8 de abril de 1997 (expediente de prueba, folio 39). </w:t>
      </w:r>
    </w:p>
  </w:footnote>
  <w:footnote w:id="57">
    <w:p w14:paraId="139620C5" w14:textId="5A5398C6" w:rsidR="005A5D3C" w:rsidRPr="000B33B9" w:rsidRDefault="005A5D3C" w:rsidP="000B33B9">
      <w:pPr>
        <w:pStyle w:val="Textonotapie"/>
        <w:tabs>
          <w:tab w:val="left" w:pos="720"/>
          <w:tab w:val="left" w:pos="1440"/>
          <w:tab w:val="left" w:pos="2160"/>
          <w:tab w:val="left" w:pos="2880"/>
          <w:tab w:val="left" w:pos="3600"/>
          <w:tab w:val="left" w:pos="4320"/>
          <w:tab w:val="left" w:pos="5040"/>
          <w:tab w:val="left" w:pos="5760"/>
          <w:tab w:val="left" w:pos="6480"/>
          <w:tab w:val="left" w:pos="7995"/>
        </w:tabs>
        <w:spacing w:after="120"/>
        <w:jc w:val="both"/>
        <w:rPr>
          <w:rFonts w:ascii="Verdana" w:hAnsi="Verdana"/>
          <w:sz w:val="16"/>
          <w:szCs w:val="16"/>
          <w:lang w:val="es-DO"/>
        </w:rPr>
      </w:pPr>
      <w:r w:rsidRPr="000B33B9">
        <w:rPr>
          <w:rStyle w:val="Refdenotaalpie"/>
          <w:rFonts w:ascii="Verdana" w:hAnsi="Verdana"/>
          <w:sz w:val="16"/>
          <w:szCs w:val="16"/>
          <w:lang w:val="es-DO"/>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xml:space="preserve"> Resolución de fecha 18 de agosto de 1997 (expediente de prueba, folio 41).</w:t>
      </w:r>
    </w:p>
  </w:footnote>
  <w:footnote w:id="58">
    <w:p w14:paraId="0173F239" w14:textId="63147910"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lang w:val="es-DO"/>
        </w:rPr>
        <w:footnoteRef/>
      </w:r>
      <w:r w:rsidRPr="000B33B9">
        <w:rPr>
          <w:rFonts w:ascii="Verdana" w:hAnsi="Verdana"/>
          <w:sz w:val="16"/>
          <w:szCs w:val="16"/>
          <w:lang w:val="es-DO"/>
        </w:rPr>
        <w:t xml:space="preserve"> </w:t>
      </w:r>
      <w:r w:rsidRPr="000B33B9">
        <w:rPr>
          <w:rFonts w:ascii="Verdana" w:hAnsi="Verdana"/>
          <w:sz w:val="16"/>
          <w:szCs w:val="16"/>
          <w:lang w:val="es-DO"/>
        </w:rPr>
        <w:tab/>
        <w:t>Resolución del Primer Juzgado Corporativo Transitorio Especializado en Derecho Público de 16 de febrero de 1998 (expediente de prueba, folios 43 y 44).</w:t>
      </w:r>
    </w:p>
  </w:footnote>
  <w:footnote w:id="59">
    <w:p w14:paraId="3E5254D5" w14:textId="38DA6ECD"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lang w:val="es-DO"/>
        </w:rPr>
        <w:footnoteRef/>
      </w:r>
      <w:r w:rsidRPr="000B33B9">
        <w:rPr>
          <w:rFonts w:ascii="Verdana" w:hAnsi="Verdana"/>
          <w:sz w:val="16"/>
          <w:szCs w:val="16"/>
          <w:lang w:val="es-DO"/>
        </w:rPr>
        <w:t xml:space="preserve"> </w:t>
      </w:r>
      <w:r w:rsidRPr="000B33B9">
        <w:rPr>
          <w:rFonts w:ascii="Verdana" w:hAnsi="Verdana"/>
          <w:sz w:val="16"/>
          <w:szCs w:val="16"/>
          <w:lang w:val="es-DO"/>
        </w:rPr>
        <w:tab/>
        <w:t>Resolución de la Sala Corporativa Transitoria Especializada de Derecho Público de 27 de agosto de 1998 (expediente de prueba, folios 46 y 47).</w:t>
      </w:r>
    </w:p>
  </w:footnote>
  <w:footnote w:id="60">
    <w:p w14:paraId="63A710C6" w14:textId="1F4F7E8F"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lang w:val="es-DO"/>
        </w:rPr>
        <w:footnoteRef/>
      </w:r>
      <w:r w:rsidRPr="000B33B9">
        <w:rPr>
          <w:rFonts w:ascii="Verdana" w:hAnsi="Verdana"/>
          <w:sz w:val="16"/>
          <w:szCs w:val="16"/>
          <w:lang w:val="es-DO"/>
        </w:rPr>
        <w:t xml:space="preserve"> </w:t>
      </w:r>
      <w:r w:rsidRPr="000B33B9">
        <w:rPr>
          <w:rFonts w:ascii="Verdana" w:hAnsi="Verdana"/>
          <w:sz w:val="16"/>
          <w:szCs w:val="16"/>
          <w:lang w:val="es-DO"/>
        </w:rPr>
        <w:tab/>
        <w:t>Resolución del Primer Juzgado Corporativo Transitorio Especializado en Derecho Público de 2 de octubre de 1998 (expediente de prueba, folios 49 y 50).</w:t>
      </w:r>
    </w:p>
  </w:footnote>
  <w:footnote w:id="61">
    <w:p w14:paraId="1B3B6069" w14:textId="0FF010D1"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lang w:val="es-DO"/>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xml:space="preserve"> Recurso de apelación interpuesto por ANCEJUB-SUNAT el 15 de octubre de 1998 contra la resolución de 2 de octubre de 1998 (expediente de prueba, folios del 52 al 58).</w:t>
      </w:r>
    </w:p>
  </w:footnote>
  <w:footnote w:id="62">
    <w:p w14:paraId="4FEE65E0" w14:textId="2CFFC660"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lang w:val="es-DO"/>
        </w:rPr>
        <w:footnoteRef/>
      </w:r>
      <w:r w:rsidRPr="000B33B9">
        <w:rPr>
          <w:rFonts w:ascii="Verdana" w:hAnsi="Verdana"/>
          <w:sz w:val="16"/>
          <w:szCs w:val="16"/>
          <w:lang w:val="es-DO"/>
        </w:rPr>
        <w:t xml:space="preserve"> </w:t>
      </w:r>
      <w:r w:rsidRPr="000B33B9">
        <w:rPr>
          <w:rFonts w:ascii="Verdana" w:hAnsi="Verdana"/>
          <w:sz w:val="16"/>
          <w:szCs w:val="16"/>
          <w:lang w:val="es-DO"/>
        </w:rPr>
        <w:tab/>
        <w:t>Resolución de la Sala Corporativa Transitoria Especializada de Derecho Público de 21 de enero de 1999 (expediente de prueba, folio 60).</w:t>
      </w:r>
    </w:p>
  </w:footnote>
  <w:footnote w:id="63">
    <w:p w14:paraId="07C71207" w14:textId="1D1607FD"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lang w:val="es-DO"/>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xml:space="preserve"> Resolución del Tribunal Constitucional de 10 de mayo de 2001, con relación al expediente No. 2001-AA/TC (expediente de prueba, folios del 70 al 73).</w:t>
      </w:r>
    </w:p>
  </w:footnote>
  <w:footnote w:id="64">
    <w:p w14:paraId="7DF21CE5" w14:textId="734B0592"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lang w:val="es-DO"/>
        </w:rPr>
        <w:footnoteRef/>
      </w:r>
      <w:r w:rsidRPr="000B33B9">
        <w:rPr>
          <w:rFonts w:ascii="Verdana" w:hAnsi="Verdana"/>
          <w:sz w:val="16"/>
          <w:szCs w:val="16"/>
          <w:lang w:val="es-DO"/>
        </w:rPr>
        <w:t xml:space="preserve"> </w:t>
      </w:r>
      <w:r w:rsidRPr="000B33B9">
        <w:rPr>
          <w:rFonts w:ascii="Verdana" w:hAnsi="Verdana"/>
          <w:sz w:val="16"/>
          <w:szCs w:val="16"/>
          <w:lang w:val="es-DO"/>
        </w:rPr>
        <w:tab/>
        <w:t>Resolución de la Sala Corporativa Transitoria Especializada de Derecho Público de 25 de noviembre de 1999 (expediente de prueba, folios del 62 al 64).</w:t>
      </w:r>
    </w:p>
  </w:footnote>
  <w:footnote w:id="65">
    <w:p w14:paraId="1FE6252D" w14:textId="1B407046"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lang w:val="es-DO"/>
        </w:rPr>
        <w:footnoteRef/>
      </w:r>
      <w:r w:rsidRPr="000B33B9">
        <w:rPr>
          <w:rFonts w:ascii="Verdana" w:hAnsi="Verdana"/>
          <w:sz w:val="16"/>
          <w:szCs w:val="16"/>
          <w:lang w:val="es-DO"/>
        </w:rPr>
        <w:t xml:space="preserve"> </w:t>
      </w:r>
      <w:r w:rsidRPr="000B33B9">
        <w:rPr>
          <w:rFonts w:ascii="Verdana" w:hAnsi="Verdana"/>
          <w:sz w:val="16"/>
          <w:szCs w:val="16"/>
          <w:lang w:val="es-DO"/>
        </w:rPr>
        <w:tab/>
        <w:t xml:space="preserve">Dictamen No. 588-2000-MP-FN-FSCA, expedido el 6 de abril de 2000 por la Fiscalía Suprema en lo Contencioso Administrativo (expediente de prueba, folio 66). </w:t>
      </w:r>
    </w:p>
  </w:footnote>
  <w:footnote w:id="66">
    <w:p w14:paraId="5B2CEE5C" w14:textId="3C0FDAB3"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lang w:val="es-DO"/>
        </w:rPr>
        <w:footnoteRef/>
      </w:r>
      <w:r w:rsidRPr="000B33B9">
        <w:rPr>
          <w:rFonts w:ascii="Verdana" w:hAnsi="Verdana"/>
          <w:sz w:val="16"/>
          <w:szCs w:val="16"/>
          <w:lang w:val="es-DO"/>
        </w:rPr>
        <w:t xml:space="preserve"> </w:t>
      </w:r>
      <w:r w:rsidRPr="000B33B9">
        <w:rPr>
          <w:rFonts w:ascii="Verdana" w:hAnsi="Verdana"/>
          <w:sz w:val="16"/>
          <w:szCs w:val="16"/>
          <w:lang w:val="es-DO"/>
        </w:rPr>
        <w:tab/>
        <w:t xml:space="preserve">Resolución de la Sala de Derecho Constitucional y Social de la Corte Suprema de Justicia de la República de 25 de agosto de 2000 (expediente de prueba, folio 68). </w:t>
      </w:r>
    </w:p>
  </w:footnote>
  <w:footnote w:id="67">
    <w:p w14:paraId="65C13668" w14:textId="0AF3B8CB"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lang w:val="es-DO"/>
        </w:rPr>
        <w:footnoteRef/>
      </w:r>
      <w:r w:rsidRPr="000B33B9">
        <w:rPr>
          <w:rFonts w:ascii="Verdana" w:hAnsi="Verdana"/>
          <w:sz w:val="16"/>
          <w:szCs w:val="16"/>
          <w:lang w:val="es-DO"/>
        </w:rPr>
        <w:t xml:space="preserve">  </w:t>
      </w:r>
      <w:r w:rsidRPr="000B33B9">
        <w:rPr>
          <w:rFonts w:ascii="Verdana" w:hAnsi="Verdana"/>
          <w:sz w:val="16"/>
          <w:szCs w:val="16"/>
          <w:lang w:val="es-DO"/>
        </w:rPr>
        <w:tab/>
        <w:t>Resolución del Tribunal Constitucional de 10 de mayo de 2001, con relación al expediente No. 2001-AA/TC (expediente de prueba, folios del 70 al 73).</w:t>
      </w:r>
    </w:p>
  </w:footnote>
  <w:footnote w:id="68">
    <w:p w14:paraId="40511EB4" w14:textId="61FFCBC7"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lang w:val="es-DO"/>
        </w:rPr>
        <w:footnoteRef/>
      </w:r>
      <w:r w:rsidRPr="000B33B9">
        <w:rPr>
          <w:rFonts w:ascii="Verdana" w:hAnsi="Verdana"/>
          <w:sz w:val="16"/>
          <w:szCs w:val="16"/>
          <w:lang w:val="es-DO"/>
        </w:rPr>
        <w:t xml:space="preserve"> </w:t>
      </w:r>
      <w:r w:rsidRPr="000B33B9">
        <w:rPr>
          <w:rFonts w:ascii="Verdana" w:hAnsi="Verdana"/>
          <w:sz w:val="16"/>
          <w:szCs w:val="16"/>
          <w:lang w:val="es-DO"/>
        </w:rPr>
        <w:tab/>
        <w:t xml:space="preserve">Auto de la Sexta Sala Civil de la Corte Superior de Justicia de Lima de 25 de marzo de 2002 (expediente de prueba, folio 75). </w:t>
      </w:r>
    </w:p>
  </w:footnote>
  <w:footnote w:id="69">
    <w:p w14:paraId="0313C0F4" w14:textId="1516B7B9"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lang w:val="es-DO"/>
        </w:rPr>
        <w:footnoteRef/>
      </w:r>
      <w:r w:rsidRPr="000B33B9">
        <w:rPr>
          <w:rFonts w:ascii="Verdana" w:hAnsi="Verdana"/>
          <w:sz w:val="16"/>
          <w:szCs w:val="16"/>
          <w:lang w:val="es-DO"/>
        </w:rPr>
        <w:t xml:space="preserve"> </w:t>
      </w:r>
      <w:r w:rsidRPr="000B33B9">
        <w:rPr>
          <w:rFonts w:ascii="Verdana" w:hAnsi="Verdana"/>
          <w:sz w:val="16"/>
          <w:szCs w:val="16"/>
          <w:lang w:val="es-DO"/>
        </w:rPr>
        <w:tab/>
        <w:t xml:space="preserve">Resolución del Sexagésimo Tercer Juzgado Especializado en lo Civil de Lima de 11 de abril de 2002 (expediente de prueba, folios del 77 al 79). </w:t>
      </w:r>
    </w:p>
  </w:footnote>
  <w:footnote w:id="70">
    <w:p w14:paraId="27DDF0C9" w14:textId="589B958F"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 xml:space="preserve">Cfr. </w:t>
      </w:r>
      <w:r w:rsidRPr="000B33B9">
        <w:rPr>
          <w:rFonts w:ascii="Verdana" w:hAnsi="Verdana"/>
          <w:sz w:val="16"/>
          <w:szCs w:val="16"/>
          <w:lang w:val="es-DO"/>
        </w:rPr>
        <w:t xml:space="preserve">Resolución del Sexagésimo Tercer Juzgado Especializado en lo Civil de Lima de 24 de junio de 2002 (expediente de prueba, folios del 88 al 91). </w:t>
      </w:r>
    </w:p>
  </w:footnote>
  <w:footnote w:id="71">
    <w:p w14:paraId="086B25F1" w14:textId="121DE3D7"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t>Resolución del Sexagésimo Tercer Juzgado Especializado en lo Civil de Lima de 23 de septiembre de 2002 (expediente de prueba, folios 113 y 114).</w:t>
      </w:r>
    </w:p>
  </w:footnote>
  <w:footnote w:id="72">
    <w:p w14:paraId="6BA5F27F" w14:textId="5D825F1F"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t>Resolución del Sexagésimo Tercer Juzgado Especializado en lo Civil de Lima de 24 de junio de 2002 (expediente de prueba, folios del 88 al 91).</w:t>
      </w:r>
    </w:p>
  </w:footnote>
  <w:footnote w:id="73">
    <w:p w14:paraId="76369FAD" w14:textId="7928705A"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t>Resolución No.</w:t>
      </w:r>
      <w:r w:rsidRPr="000B33B9">
        <w:rPr>
          <w:rFonts w:ascii="Verdana" w:hAnsi="Verdana"/>
          <w:sz w:val="16"/>
          <w:szCs w:val="16"/>
          <w:lang w:val="es-ES"/>
        </w:rPr>
        <w:t xml:space="preserve"> 042-2002/SUNAT de la SUNAT de 8 de julio de 2002 (expediente de prueba, folios del 15811 al 15822).</w:t>
      </w:r>
    </w:p>
  </w:footnote>
  <w:footnote w:id="74">
    <w:p w14:paraId="58EF66C6" w14:textId="7361CCD2"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t xml:space="preserve">Resolución del Sexagésimo Tercer Juzgado Especializado en lo Civil de Lima de 23 de septiembre de 2002 (expediente de prueba, folios 113 y 114). </w:t>
      </w:r>
    </w:p>
  </w:footnote>
  <w:footnote w:id="75">
    <w:p w14:paraId="5C8F7E14" w14:textId="7DA3C26C"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xml:space="preserve"> Informe pericial de fecha 3 de abril de 2003, rendido por José de la Rosa Pinillos Reyes, contador público colegiado (expediente de prueba, folios del 1221 al 1230).  </w:t>
      </w:r>
    </w:p>
  </w:footnote>
  <w:footnote w:id="76">
    <w:p w14:paraId="14B42CDD" w14:textId="46439948"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xml:space="preserve"> Instancia de 22 de abril de 2003, contentiva de las observaciones de ANCEJUB-SUNAT al informe pericial de 3 de abril de 2003 (expediente de prueba, folios del 132 al 139). </w:t>
      </w:r>
    </w:p>
  </w:footnote>
  <w:footnote w:id="77">
    <w:p w14:paraId="31F8E937" w14:textId="1B502CA1"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sz w:val="16"/>
          <w:szCs w:val="16"/>
          <w:lang w:val="es-DO"/>
        </w:rPr>
        <w:t>Resolución No. 9 del Sexagésimo Sexto Juzgado Especializado en lo Civil de Lima de 21 de abril de 2004 (expediente de prueba, folio 148).</w:t>
      </w:r>
    </w:p>
  </w:footnote>
  <w:footnote w:id="78">
    <w:p w14:paraId="6151A8D0" w14:textId="027120EC"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lang w:val="es-CR"/>
        </w:rPr>
        <w:t xml:space="preserve"> </w:t>
      </w:r>
      <w:r w:rsidRPr="000B33B9">
        <w:rPr>
          <w:rFonts w:ascii="Verdana" w:hAnsi="Verdana"/>
          <w:sz w:val="16"/>
          <w:szCs w:val="16"/>
          <w:lang w:val="es-CR"/>
        </w:rPr>
        <w:tab/>
      </w:r>
      <w:r w:rsidRPr="000B33B9">
        <w:rPr>
          <w:rFonts w:ascii="Verdana" w:hAnsi="Verdana"/>
          <w:i/>
          <w:sz w:val="16"/>
          <w:szCs w:val="16"/>
          <w:lang w:val="es-CR"/>
        </w:rPr>
        <w:t>Cfr</w:t>
      </w:r>
      <w:r w:rsidRPr="000B33B9">
        <w:rPr>
          <w:rFonts w:ascii="Verdana" w:hAnsi="Verdana"/>
          <w:sz w:val="16"/>
          <w:szCs w:val="16"/>
          <w:lang w:val="es-CR"/>
        </w:rPr>
        <w:t xml:space="preserve">. Recurso de nulidad interpuesto por ANCEJUB-SUNAT el 17 de mayo de 2004 </w:t>
      </w:r>
      <w:r w:rsidRPr="000B33B9">
        <w:rPr>
          <w:rFonts w:ascii="Verdana" w:hAnsi="Verdana"/>
          <w:sz w:val="16"/>
          <w:szCs w:val="16"/>
          <w:lang w:val="es-DO"/>
        </w:rPr>
        <w:t xml:space="preserve">contra la </w:t>
      </w:r>
      <w:r w:rsidRPr="000B33B9">
        <w:rPr>
          <w:rFonts w:ascii="Verdana" w:hAnsi="Verdana"/>
          <w:sz w:val="16"/>
          <w:szCs w:val="16"/>
          <w:lang w:val="es-CR"/>
        </w:rPr>
        <w:t xml:space="preserve">resolución No. 9 de 21 de abril de 2004 (expediente de prueba, folios del 150 al 154).   </w:t>
      </w:r>
    </w:p>
  </w:footnote>
  <w:footnote w:id="79">
    <w:p w14:paraId="367934BC" w14:textId="487A7371"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lang w:val="es-CR"/>
        </w:rPr>
        <w:t xml:space="preserve"> </w:t>
      </w:r>
      <w:r w:rsidRPr="000B33B9">
        <w:rPr>
          <w:rFonts w:ascii="Verdana" w:hAnsi="Verdana"/>
          <w:sz w:val="16"/>
          <w:szCs w:val="16"/>
          <w:lang w:val="es-CR"/>
        </w:rPr>
        <w:tab/>
        <w:t xml:space="preserve">Resolución </w:t>
      </w:r>
      <w:r w:rsidRPr="000B33B9">
        <w:rPr>
          <w:rFonts w:ascii="Verdana" w:hAnsi="Verdana"/>
          <w:sz w:val="16"/>
          <w:szCs w:val="16"/>
          <w:lang w:val="es-DO"/>
        </w:rPr>
        <w:t xml:space="preserve">No. </w:t>
      </w:r>
      <w:r w:rsidRPr="000B33B9">
        <w:rPr>
          <w:rFonts w:ascii="Verdana" w:hAnsi="Verdana"/>
          <w:sz w:val="16"/>
          <w:szCs w:val="16"/>
          <w:lang w:val="es-CR"/>
        </w:rPr>
        <w:t>46 del Sexagésimo Sexto Juzgado Especializado en lo Civil de Lima de 5 de mayo de 2005</w:t>
      </w:r>
      <w:r w:rsidRPr="000B33B9">
        <w:rPr>
          <w:rFonts w:ascii="Verdana" w:hAnsi="Verdana"/>
          <w:i/>
          <w:sz w:val="16"/>
          <w:szCs w:val="16"/>
          <w:lang w:val="es-CR"/>
        </w:rPr>
        <w:t xml:space="preserve"> </w:t>
      </w:r>
      <w:r w:rsidRPr="000B33B9">
        <w:rPr>
          <w:rFonts w:ascii="Verdana" w:hAnsi="Verdana"/>
          <w:sz w:val="16"/>
          <w:szCs w:val="16"/>
          <w:lang w:val="es-CR"/>
        </w:rPr>
        <w:t>(expediente de prueba, folios del 161 al 164).</w:t>
      </w:r>
    </w:p>
  </w:footnote>
  <w:footnote w:id="80">
    <w:p w14:paraId="6BB9811B" w14:textId="08858FA1"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lang w:val="es-DO"/>
        </w:rPr>
        <w:t>Cfr</w:t>
      </w:r>
      <w:r w:rsidRPr="000B33B9">
        <w:rPr>
          <w:rFonts w:ascii="Verdana" w:hAnsi="Verdana"/>
          <w:sz w:val="16"/>
          <w:szCs w:val="16"/>
          <w:lang w:val="es-DO"/>
        </w:rPr>
        <w:t>. Resolución de la Sexta Sala Civil de la Corte Superior de Justicia de Lima de 3 de junio de 2005 (expediente de prueba, folios del 15927 al 15935).</w:t>
      </w:r>
    </w:p>
  </w:footnote>
  <w:footnote w:id="81">
    <w:p w14:paraId="5F133907" w14:textId="5C1869D9"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t xml:space="preserve">Resolución No. 80 del </w:t>
      </w:r>
      <w:r w:rsidRPr="000B33B9">
        <w:rPr>
          <w:rFonts w:ascii="Verdana" w:hAnsi="Verdana"/>
          <w:sz w:val="16"/>
          <w:szCs w:val="16"/>
          <w:lang w:val="es-CR"/>
        </w:rPr>
        <w:t xml:space="preserve">Sexagésimo Sexto Juzgado Especializado en lo Civil de Lima de </w:t>
      </w:r>
      <w:r w:rsidRPr="000B33B9">
        <w:rPr>
          <w:rFonts w:ascii="Verdana" w:hAnsi="Verdana"/>
          <w:sz w:val="16"/>
          <w:szCs w:val="16"/>
          <w:lang w:val="es-DO"/>
        </w:rPr>
        <w:t xml:space="preserve">3 de marzo de 2006 </w:t>
      </w:r>
      <w:r w:rsidRPr="000B33B9">
        <w:rPr>
          <w:rFonts w:ascii="Verdana" w:hAnsi="Verdana"/>
          <w:sz w:val="16"/>
          <w:szCs w:val="16"/>
          <w:lang w:val="es-CR"/>
        </w:rPr>
        <w:t>(expediente de prueba, folios del 166 al 171).</w:t>
      </w:r>
    </w:p>
  </w:footnote>
  <w:footnote w:id="82">
    <w:p w14:paraId="4530FFD0" w14:textId="35696FC9"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xml:space="preserve"> Resolución No. 81 del </w:t>
      </w:r>
      <w:r w:rsidRPr="000B33B9">
        <w:rPr>
          <w:rFonts w:ascii="Verdana" w:hAnsi="Verdana"/>
          <w:sz w:val="16"/>
          <w:szCs w:val="16"/>
          <w:lang w:val="es-CR"/>
        </w:rPr>
        <w:t xml:space="preserve">Sexagésimo Sexto Juzgado Especializado en lo Civil de Lima de </w:t>
      </w:r>
      <w:r w:rsidRPr="000B33B9">
        <w:rPr>
          <w:rFonts w:ascii="Verdana" w:hAnsi="Verdana"/>
          <w:sz w:val="16"/>
          <w:szCs w:val="16"/>
          <w:lang w:val="es-DO"/>
        </w:rPr>
        <w:t xml:space="preserve">20 de marzo de 2006 </w:t>
      </w:r>
      <w:r w:rsidRPr="000B33B9">
        <w:rPr>
          <w:rFonts w:ascii="Verdana" w:hAnsi="Verdana"/>
          <w:sz w:val="16"/>
          <w:szCs w:val="16"/>
          <w:lang w:val="es-CR"/>
        </w:rPr>
        <w:t>(expediente de prueba, folios 173 y 174).</w:t>
      </w:r>
    </w:p>
  </w:footnote>
  <w:footnote w:id="83">
    <w:p w14:paraId="0212CA09" w14:textId="0B3EDF96"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t xml:space="preserve">Resolución de la </w:t>
      </w:r>
      <w:r w:rsidRPr="000B33B9">
        <w:rPr>
          <w:rFonts w:ascii="Verdana" w:eastAsia="Calibri" w:hAnsi="Verdana" w:cs="Times New Roman"/>
          <w:sz w:val="16"/>
          <w:szCs w:val="16"/>
          <w:lang w:val="es-ES" w:eastAsia="es-ES"/>
        </w:rPr>
        <w:t xml:space="preserve">Sexta Sala Civil de la Corte Superior de Justicia de Lima de </w:t>
      </w:r>
      <w:r w:rsidRPr="000B33B9">
        <w:rPr>
          <w:rFonts w:ascii="Verdana" w:hAnsi="Verdana"/>
          <w:sz w:val="16"/>
          <w:szCs w:val="16"/>
          <w:lang w:val="es-DO"/>
        </w:rPr>
        <w:t xml:space="preserve">24 de julio de 2006 </w:t>
      </w:r>
      <w:r w:rsidRPr="000B33B9">
        <w:rPr>
          <w:rFonts w:ascii="Verdana" w:hAnsi="Verdana"/>
          <w:sz w:val="16"/>
          <w:szCs w:val="16"/>
          <w:lang w:val="es-CR"/>
        </w:rPr>
        <w:t xml:space="preserve">(expediente de prueba, folios del 176 al 184). </w:t>
      </w:r>
    </w:p>
  </w:footnote>
  <w:footnote w:id="84">
    <w:p w14:paraId="780D6366" w14:textId="6E967D88"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xml:space="preserve"> Resolución No. 138 del </w:t>
      </w:r>
      <w:r w:rsidRPr="000B33B9">
        <w:rPr>
          <w:rFonts w:ascii="Verdana" w:hAnsi="Verdana"/>
          <w:sz w:val="16"/>
          <w:szCs w:val="16"/>
          <w:lang w:val="es-CR"/>
        </w:rPr>
        <w:t xml:space="preserve">Sexagésimo Sexto Juzgado Especializado en lo Civil de Lima de </w:t>
      </w:r>
      <w:r w:rsidRPr="000B33B9">
        <w:rPr>
          <w:rFonts w:ascii="Verdana" w:hAnsi="Verdana"/>
          <w:sz w:val="16"/>
          <w:szCs w:val="16"/>
          <w:lang w:val="es-DO"/>
        </w:rPr>
        <w:t xml:space="preserve">25 de octubre de 2006 </w:t>
      </w:r>
      <w:r w:rsidRPr="000B33B9">
        <w:rPr>
          <w:rFonts w:ascii="Verdana" w:hAnsi="Verdana"/>
          <w:sz w:val="16"/>
          <w:szCs w:val="16"/>
          <w:lang w:val="es-CR"/>
        </w:rPr>
        <w:t>(expediente de prueba, folio 186).</w:t>
      </w:r>
    </w:p>
  </w:footnote>
  <w:footnote w:id="85">
    <w:p w14:paraId="3A25301D" w14:textId="5BE3DB73"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CR"/>
        </w:rPr>
        <w:t>Cfr</w:t>
      </w:r>
      <w:r w:rsidRPr="000B33B9">
        <w:rPr>
          <w:rFonts w:ascii="Verdana" w:hAnsi="Verdana"/>
          <w:sz w:val="16"/>
          <w:szCs w:val="16"/>
          <w:lang w:val="es-CR"/>
        </w:rPr>
        <w:t xml:space="preserve">. Instancia suscrita el 21 de mayo de 2009 por ANCEJUB-SUNAT, dirigida al Vigésimo Tercer Juzgado Especializado en lo Civil de Lima (expediente de prueba, folios 188 y 189). </w:t>
      </w:r>
    </w:p>
  </w:footnote>
  <w:footnote w:id="86">
    <w:p w14:paraId="3FB3A67F" w14:textId="650553BE"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CR"/>
        </w:rPr>
        <w:t>Cfr</w:t>
      </w:r>
      <w:r w:rsidRPr="000B33B9">
        <w:rPr>
          <w:rFonts w:ascii="Verdana" w:hAnsi="Verdana"/>
          <w:sz w:val="16"/>
          <w:szCs w:val="16"/>
          <w:lang w:val="es-CR"/>
        </w:rPr>
        <w:t xml:space="preserve">. Instancia suscrita el 21 de mayo de 2009 por ANCEJUB-SUNAT, dirigida al Vigésimo Tercer Juzgado Especializado en lo Civil de Lima (expediente de prueba, folios 188 y 189). </w:t>
      </w:r>
    </w:p>
  </w:footnote>
  <w:footnote w:id="87">
    <w:p w14:paraId="0550BCF3" w14:textId="5E0C29D7"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xml:space="preserve"> Resolución No. 174 del </w:t>
      </w:r>
      <w:r w:rsidRPr="000B33B9">
        <w:rPr>
          <w:rFonts w:ascii="Verdana" w:hAnsi="Verdana"/>
          <w:sz w:val="16"/>
          <w:szCs w:val="16"/>
          <w:lang w:val="es-ES"/>
        </w:rPr>
        <w:t xml:space="preserve">Vigésimo Tercer Juzgado Especializado en lo Civil de Lima de </w:t>
      </w:r>
      <w:r w:rsidRPr="000B33B9">
        <w:rPr>
          <w:rFonts w:ascii="Verdana" w:hAnsi="Verdana"/>
          <w:sz w:val="16"/>
          <w:szCs w:val="16"/>
          <w:lang w:val="es-DO"/>
        </w:rPr>
        <w:t xml:space="preserve">14 de enero de 2010 </w:t>
      </w:r>
      <w:r w:rsidRPr="000B33B9">
        <w:rPr>
          <w:rFonts w:ascii="Verdana" w:eastAsia="Calibri" w:hAnsi="Verdana" w:cs="Times New Roman"/>
          <w:sz w:val="16"/>
          <w:szCs w:val="16"/>
          <w:lang w:val="es-ES" w:eastAsia="es-ES"/>
        </w:rPr>
        <w:t>(expediente de prueba, folios 196 y 197).</w:t>
      </w:r>
    </w:p>
  </w:footnote>
  <w:footnote w:id="88">
    <w:p w14:paraId="4DA355C0" w14:textId="79CB72E7"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t xml:space="preserve">Solicitud de nulidad interpuesta por ANCEJUB-SUNAT el 22 de marzo de 2010 contra la resolución No. 174 de 14 de enero de 2010 (expediente de prueba, folios del 212 al 216). </w:t>
      </w:r>
    </w:p>
  </w:footnote>
  <w:footnote w:id="89">
    <w:p w14:paraId="25A6EBDC" w14:textId="59BAC175"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iCs/>
          <w:sz w:val="16"/>
          <w:szCs w:val="16"/>
          <w:lang w:val="es-DO"/>
        </w:rPr>
        <w:t>Cfr.</w:t>
      </w:r>
      <w:r w:rsidRPr="000B33B9">
        <w:rPr>
          <w:rFonts w:ascii="Verdana" w:hAnsi="Verdana"/>
          <w:sz w:val="16"/>
          <w:szCs w:val="16"/>
          <w:lang w:val="es-DO"/>
        </w:rPr>
        <w:t xml:space="preserve"> Escrito de 2 de julio de 2010 suscrito por la SUNAT, dirigido al </w:t>
      </w:r>
      <w:r w:rsidRPr="000B33B9">
        <w:rPr>
          <w:rFonts w:ascii="Verdana" w:hAnsi="Verdana"/>
          <w:sz w:val="16"/>
          <w:szCs w:val="16"/>
          <w:lang w:val="es-CR"/>
        </w:rPr>
        <w:t>Vigésimo Tercer Juzgado Especializado en lo Civil de Lima (expediente de prueba, folios del 208 al 210).</w:t>
      </w:r>
    </w:p>
  </w:footnote>
  <w:footnote w:id="90">
    <w:p w14:paraId="74921BA4" w14:textId="131F1034"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lang w:val="es-CR"/>
        </w:rPr>
        <w:t xml:space="preserve"> </w:t>
      </w:r>
      <w:r w:rsidRPr="000B33B9">
        <w:rPr>
          <w:rFonts w:ascii="Verdana" w:hAnsi="Verdana"/>
          <w:sz w:val="16"/>
          <w:szCs w:val="16"/>
          <w:lang w:val="es-CR"/>
        </w:rPr>
        <w:tab/>
      </w:r>
      <w:r w:rsidRPr="000B33B9">
        <w:rPr>
          <w:rFonts w:ascii="Verdana" w:hAnsi="Verdana"/>
          <w:i/>
          <w:sz w:val="16"/>
          <w:szCs w:val="16"/>
          <w:lang w:val="es-CR"/>
        </w:rPr>
        <w:t>Cfr.</w:t>
      </w:r>
      <w:r w:rsidRPr="000B33B9">
        <w:rPr>
          <w:rFonts w:ascii="Verdana" w:hAnsi="Verdana"/>
          <w:sz w:val="16"/>
          <w:szCs w:val="16"/>
          <w:lang w:val="es-CR"/>
        </w:rPr>
        <w:t xml:space="preserve"> Resolución </w:t>
      </w:r>
      <w:r w:rsidRPr="000B33B9">
        <w:rPr>
          <w:rFonts w:ascii="Verdana" w:hAnsi="Verdana"/>
          <w:sz w:val="16"/>
          <w:szCs w:val="16"/>
          <w:lang w:val="es-DO"/>
        </w:rPr>
        <w:t>No.</w:t>
      </w:r>
      <w:r w:rsidRPr="000B33B9">
        <w:rPr>
          <w:rFonts w:ascii="Verdana" w:hAnsi="Verdana"/>
          <w:sz w:val="16"/>
          <w:szCs w:val="16"/>
          <w:lang w:val="es-CR"/>
        </w:rPr>
        <w:t xml:space="preserve"> 190 del Vigésimo Tercer Juzgado Especializado en lo Civil de Lima de 3 de agosto de 2010(expediente de prueba, folios del 219 al 222).</w:t>
      </w:r>
    </w:p>
  </w:footnote>
  <w:footnote w:id="91">
    <w:p w14:paraId="445B02E9" w14:textId="5C2660C8"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xml:space="preserve"> Informe pericial de 18 de octubre de 2011, elaborado por el </w:t>
      </w:r>
      <w:r w:rsidRPr="000B33B9">
        <w:rPr>
          <w:rFonts w:ascii="Verdana" w:hAnsi="Verdana"/>
          <w:sz w:val="16"/>
          <w:szCs w:val="16"/>
          <w:lang w:val="es-ES"/>
        </w:rPr>
        <w:t xml:space="preserve">Equipo Técnico Pericial de la Corte Superior de Justicia de Lima </w:t>
      </w:r>
      <w:r w:rsidRPr="000B33B9">
        <w:rPr>
          <w:rFonts w:ascii="Verdana" w:hAnsi="Verdana"/>
          <w:sz w:val="16"/>
          <w:szCs w:val="16"/>
          <w:lang w:val="es-CR"/>
        </w:rPr>
        <w:t xml:space="preserve">(expediente de prueba, folios del 225 al 238).  </w:t>
      </w:r>
    </w:p>
  </w:footnote>
  <w:footnote w:id="92">
    <w:p w14:paraId="54D83A6F" w14:textId="0ED7758D"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xml:space="preserve"> Resolución No. 212</w:t>
      </w:r>
      <w:r w:rsidRPr="000B33B9">
        <w:rPr>
          <w:rFonts w:ascii="Verdana" w:hAnsi="Verdana"/>
          <w:sz w:val="16"/>
          <w:szCs w:val="16"/>
          <w:lang w:val="es-CR"/>
        </w:rPr>
        <w:t xml:space="preserve"> del Vigésimo Segundo Juzgado Especializado en lo Civil de Lima (expediente de prueba, folio 240) de 21 de marzo de 2012, y Oficio </w:t>
      </w:r>
      <w:r w:rsidRPr="000B33B9">
        <w:rPr>
          <w:rFonts w:ascii="Verdana" w:hAnsi="Verdana"/>
          <w:sz w:val="16"/>
          <w:szCs w:val="16"/>
          <w:lang w:val="es-DO"/>
        </w:rPr>
        <w:t>No.</w:t>
      </w:r>
      <w:r w:rsidRPr="000B33B9">
        <w:rPr>
          <w:rFonts w:ascii="Verdana" w:hAnsi="Verdana"/>
          <w:sz w:val="16"/>
          <w:szCs w:val="16"/>
          <w:lang w:val="es-CR"/>
        </w:rPr>
        <w:t xml:space="preserve"> 092-2012-SUNAT-4F0000 de 17 de abril de 2012, dirigido por la </w:t>
      </w:r>
      <w:r w:rsidRPr="000B33B9">
        <w:rPr>
          <w:rFonts w:ascii="Verdana" w:hAnsi="Verdana"/>
          <w:sz w:val="16"/>
          <w:szCs w:val="16"/>
          <w:lang w:val="es-DO"/>
        </w:rPr>
        <w:t xml:space="preserve">SUNAT a ANCEJUB-SUNAT </w:t>
      </w:r>
      <w:r w:rsidRPr="000B33B9">
        <w:rPr>
          <w:rFonts w:ascii="Verdana" w:hAnsi="Verdana"/>
          <w:sz w:val="16"/>
          <w:szCs w:val="16"/>
          <w:lang w:val="es-CR"/>
        </w:rPr>
        <w:t>(expediente de prueba, folio 242).</w:t>
      </w:r>
    </w:p>
  </w:footnote>
  <w:footnote w:id="93">
    <w:p w14:paraId="0646A95E" w14:textId="0124122E"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xml:space="preserve"> </w:t>
      </w:r>
      <w:r w:rsidRPr="000B33B9">
        <w:rPr>
          <w:rFonts w:ascii="Verdana" w:hAnsi="Verdana"/>
          <w:sz w:val="16"/>
          <w:szCs w:val="16"/>
          <w:lang w:val="es-CR"/>
        </w:rPr>
        <w:t>Escrito de 5 septiembre de 2012 suscrito por la SUNAT, dirigido al Vigésimo Segundo Juzgado Especializado en lo Civil de Lima (expediente de pruebas, folios del 244 al 246).</w:t>
      </w:r>
    </w:p>
  </w:footnote>
  <w:footnote w:id="94">
    <w:p w14:paraId="5FDC23FC" w14:textId="655C4048"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xml:space="preserve"> Resolución No. 221</w:t>
      </w:r>
      <w:r w:rsidRPr="000B33B9">
        <w:rPr>
          <w:rFonts w:ascii="Verdana" w:hAnsi="Verdana"/>
          <w:sz w:val="16"/>
          <w:szCs w:val="16"/>
          <w:lang w:val="es-CR"/>
        </w:rPr>
        <w:t xml:space="preserve"> del Vigésimo Segundo Juzgado Especializado en lo Civil de Lima de 21 de septiembre de 2012 (expediente de prueba, folio 248).</w:t>
      </w:r>
    </w:p>
  </w:footnote>
  <w:footnote w:id="95">
    <w:p w14:paraId="66728C06" w14:textId="71A3564D"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xml:space="preserve"> Escrito de</w:t>
      </w:r>
      <w:r w:rsidRPr="000B33B9">
        <w:rPr>
          <w:rFonts w:ascii="Verdana" w:hAnsi="Verdana"/>
          <w:sz w:val="16"/>
          <w:szCs w:val="16"/>
          <w:lang w:val="es-CR"/>
        </w:rPr>
        <w:t xml:space="preserve"> </w:t>
      </w:r>
      <w:r w:rsidRPr="000B33B9">
        <w:rPr>
          <w:rFonts w:ascii="Verdana" w:hAnsi="Verdana"/>
          <w:sz w:val="16"/>
          <w:szCs w:val="16"/>
          <w:lang w:val="es-DO"/>
        </w:rPr>
        <w:t xml:space="preserve">12 de septiembre de 2013 suscrito </w:t>
      </w:r>
      <w:r w:rsidRPr="000B33B9">
        <w:rPr>
          <w:rFonts w:ascii="Verdana" w:hAnsi="Verdana"/>
          <w:sz w:val="16"/>
          <w:szCs w:val="16"/>
          <w:lang w:val="es-CR"/>
        </w:rPr>
        <w:t>por ANCEJUB-SUNAT, dirigido al Vigésimo Segundo Juzgado Especializado en lo Civil de Lima (expediente de prueba, folios del 252 al 256).</w:t>
      </w:r>
    </w:p>
  </w:footnote>
  <w:footnote w:id="96">
    <w:p w14:paraId="79578648" w14:textId="68030A95"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t>Informe pericial No.</w:t>
      </w:r>
      <w:r w:rsidRPr="000B33B9">
        <w:rPr>
          <w:rFonts w:ascii="Verdana" w:hAnsi="Verdana"/>
          <w:sz w:val="16"/>
          <w:szCs w:val="16"/>
          <w:lang w:val="es-ES"/>
        </w:rPr>
        <w:t xml:space="preserve"> 092-2014-JAVM-PJ de 18 de marzo de 2014, elaborado por el </w:t>
      </w:r>
      <w:r w:rsidRPr="000B33B9">
        <w:rPr>
          <w:rFonts w:ascii="Verdana" w:eastAsia="Calibri" w:hAnsi="Verdana" w:cs="Times New Roman"/>
          <w:sz w:val="16"/>
          <w:szCs w:val="16"/>
          <w:lang w:val="es-ES" w:eastAsia="es-ES"/>
        </w:rPr>
        <w:t xml:space="preserve">Equipo Técnico Pericial </w:t>
      </w:r>
      <w:r w:rsidRPr="000B33B9">
        <w:rPr>
          <w:rFonts w:ascii="Verdana" w:hAnsi="Verdana"/>
          <w:sz w:val="16"/>
          <w:szCs w:val="16"/>
          <w:lang w:val="es-ES"/>
        </w:rPr>
        <w:t xml:space="preserve">de la Corte Superior de Justicia de Lima </w:t>
      </w:r>
      <w:r w:rsidRPr="000B33B9">
        <w:rPr>
          <w:rFonts w:ascii="Verdana" w:hAnsi="Verdana"/>
          <w:sz w:val="16"/>
          <w:szCs w:val="16"/>
          <w:lang w:val="es-CR"/>
        </w:rPr>
        <w:t>(expediente de prueba, folios del 258 al 262).</w:t>
      </w:r>
    </w:p>
  </w:footnote>
  <w:footnote w:id="97">
    <w:p w14:paraId="70A148EC" w14:textId="2A1F753D"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xml:space="preserve"> </w:t>
      </w:r>
      <w:r w:rsidRPr="000B33B9">
        <w:rPr>
          <w:rFonts w:ascii="Verdana" w:hAnsi="Verdana"/>
          <w:sz w:val="16"/>
          <w:szCs w:val="16"/>
          <w:lang w:val="es-CR"/>
        </w:rPr>
        <w:t xml:space="preserve">Resolución </w:t>
      </w:r>
      <w:r w:rsidRPr="000B33B9">
        <w:rPr>
          <w:rFonts w:ascii="Verdana" w:hAnsi="Verdana"/>
          <w:sz w:val="16"/>
          <w:szCs w:val="16"/>
          <w:lang w:val="es-DO"/>
        </w:rPr>
        <w:t>No.</w:t>
      </w:r>
      <w:r w:rsidRPr="000B33B9">
        <w:rPr>
          <w:rFonts w:ascii="Verdana" w:hAnsi="Verdana"/>
          <w:sz w:val="16"/>
          <w:szCs w:val="16"/>
          <w:lang w:val="es-CR"/>
        </w:rPr>
        <w:t xml:space="preserve"> 235 del Vigésimo Segundo Juzgado Especializado en lo Civil de Lima de 5 de agosto de 2014 (expediente de prueba, folio 264).  </w:t>
      </w:r>
    </w:p>
  </w:footnote>
  <w:footnote w:id="98">
    <w:p w14:paraId="76778269" w14:textId="29E4CD18"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CR"/>
        </w:rPr>
        <w:t>Cfr.</w:t>
      </w:r>
      <w:r w:rsidRPr="000B33B9">
        <w:rPr>
          <w:rFonts w:ascii="Verdana" w:hAnsi="Verdana"/>
          <w:sz w:val="16"/>
          <w:szCs w:val="16"/>
          <w:lang w:val="es-CR"/>
        </w:rPr>
        <w:t xml:space="preserve"> Comunicación de 31 de mayo de 2016 suscrita por los representantes de las presuntas víctimas, dirigida a la Comisión Interamericana de Derechos Humanos (expediente de prueba, folios del 270 al 274).</w:t>
      </w:r>
    </w:p>
  </w:footnote>
  <w:footnote w:id="99">
    <w:p w14:paraId="61D2FFF0" w14:textId="5A45AD55"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t>Informe pericial No.</w:t>
      </w:r>
      <w:r w:rsidRPr="000B33B9">
        <w:rPr>
          <w:rFonts w:ascii="Verdana" w:hAnsi="Verdana"/>
          <w:sz w:val="16"/>
          <w:szCs w:val="16"/>
          <w:lang w:val="es-ES"/>
        </w:rPr>
        <w:t xml:space="preserve"> 003-2015-ETP-JAVM-PJ de 5 de enero de 2015, elaborado por el </w:t>
      </w:r>
      <w:r w:rsidRPr="000B33B9">
        <w:rPr>
          <w:rFonts w:ascii="Verdana" w:eastAsia="Calibri" w:hAnsi="Verdana" w:cs="Times New Roman"/>
          <w:sz w:val="16"/>
          <w:szCs w:val="16"/>
          <w:lang w:val="es-ES" w:eastAsia="es-ES"/>
        </w:rPr>
        <w:t xml:space="preserve">Equipo Técnico Pericial </w:t>
      </w:r>
      <w:r w:rsidRPr="000B33B9">
        <w:rPr>
          <w:rFonts w:ascii="Verdana" w:hAnsi="Verdana"/>
          <w:sz w:val="16"/>
          <w:szCs w:val="16"/>
          <w:lang w:val="es-ES"/>
        </w:rPr>
        <w:t xml:space="preserve">de la Corte Superior de Justicia de Lima </w:t>
      </w:r>
      <w:r w:rsidRPr="000B33B9">
        <w:rPr>
          <w:rFonts w:ascii="Verdana" w:hAnsi="Verdana"/>
          <w:sz w:val="16"/>
          <w:szCs w:val="16"/>
          <w:lang w:val="es-CR"/>
        </w:rPr>
        <w:t>(expediente de prueba, folio 266).</w:t>
      </w:r>
    </w:p>
  </w:footnote>
  <w:footnote w:id="100">
    <w:p w14:paraId="76B17586" w14:textId="512AFB44"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xml:space="preserve"> </w:t>
      </w:r>
      <w:r w:rsidRPr="000B33B9">
        <w:rPr>
          <w:rFonts w:ascii="Verdana" w:hAnsi="Verdana"/>
          <w:sz w:val="16"/>
          <w:szCs w:val="16"/>
          <w:lang w:val="es-CR"/>
        </w:rPr>
        <w:t>Resolución No. 240 del Segundo Juzgado Especializado en lo Civil de Lima de 28 de mayo de 2015 (expediente de prueba, folio 268).</w:t>
      </w:r>
    </w:p>
  </w:footnote>
  <w:footnote w:id="101">
    <w:p w14:paraId="10F67FA2" w14:textId="250D8675"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xml:space="preserve"> </w:t>
      </w:r>
      <w:r w:rsidRPr="000B33B9">
        <w:rPr>
          <w:rFonts w:ascii="Verdana" w:hAnsi="Verdana"/>
          <w:sz w:val="16"/>
          <w:szCs w:val="16"/>
          <w:lang w:val="es-CR"/>
        </w:rPr>
        <w:t>Queja de 26 de mayo de 2016 suscrita por la SUNAT, dirigida al Magistrado Jefe de la Oficina Desconcentrada de Control de la Magistratura de la Corte Superior de Justicia de Lima (expediente de prueba, folios del 276 al 287).</w:t>
      </w:r>
    </w:p>
  </w:footnote>
  <w:footnote w:id="102">
    <w:p w14:paraId="5B8B1755" w14:textId="6DF15213"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xml:space="preserve"> Resolución No. 247 del Segundo Juzgado Especializado en lo Civil de Lima de 13 de junio de 2017 (expediente de prueba, folios del 15871 al 15878).</w:t>
      </w:r>
    </w:p>
  </w:footnote>
  <w:footnote w:id="103">
    <w:p w14:paraId="020AFB8A" w14:textId="0F15E969"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xml:space="preserve"> Escrito de 27 de septiembre de 2016 suscrito por ANCEJUB-SUNAT, dirigido al Segundo Juzgado Especializado en lo Civil de Lima (expediente de prueba, folios del 15879 al 15883). </w:t>
      </w:r>
    </w:p>
  </w:footnote>
  <w:footnote w:id="104">
    <w:p w14:paraId="63315E05" w14:textId="38B8C7DC"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xml:space="preserve"> Resolución No. 247 del Segundo Juzgado Especializado en lo Civil de Lima de 13 de junio de 2017 (expediente de prueba, folios del 15871 al 15878).</w:t>
      </w:r>
    </w:p>
  </w:footnote>
  <w:footnote w:id="105">
    <w:p w14:paraId="77F0D5D5" w14:textId="257CE57E"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xml:space="preserve"> Resolución No.</w:t>
      </w:r>
      <w:r w:rsidRPr="000B33B9">
        <w:rPr>
          <w:rFonts w:ascii="Verdana" w:hAnsi="Verdana"/>
          <w:sz w:val="16"/>
          <w:szCs w:val="16"/>
          <w:vertAlign w:val="superscript"/>
          <w:lang w:val="es-DO"/>
        </w:rPr>
        <w:t xml:space="preserve"> </w:t>
      </w:r>
      <w:r w:rsidRPr="000B33B9">
        <w:rPr>
          <w:rFonts w:ascii="Verdana" w:hAnsi="Verdana"/>
          <w:sz w:val="16"/>
          <w:szCs w:val="16"/>
          <w:lang w:val="es-DO"/>
        </w:rPr>
        <w:t xml:space="preserve">12 de la Tercera Sala Civil de la Corte Superior de Justicia de Lima de 15 de noviembre de 2017 (expediente de prueba, folios del 15886 al 15898). </w:t>
      </w:r>
    </w:p>
  </w:footnote>
  <w:footnote w:id="106">
    <w:p w14:paraId="6D483B6C" w14:textId="60076DD9"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t xml:space="preserve">Certificado de depósito judicial No. 2017000203156, expedido el 14 de agosto de 2017 por el Banco La Nación por la suma de S/186,001.62 (expediente de prueba, folio 15904). </w:t>
      </w:r>
    </w:p>
  </w:footnote>
  <w:footnote w:id="107">
    <w:p w14:paraId="071C7F92" w14:textId="067C2483"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xml:space="preserve">. Escrito de 14 de agosto de 2017 suscrito por la SUNAT, dirigido al Segundo Juzgado Especializado en lo Civil de Lima (expediente de prueba, folio 15902), y Planilla de pago por mandato judicial No. 065-2017-SUNAT/8A1200, expedida por la División de Compensaciones de la Gerencia de Gestión del Empleo de la SUNAT (expediente de prueba, folio 15906). </w:t>
      </w:r>
    </w:p>
  </w:footnote>
  <w:footnote w:id="108">
    <w:p w14:paraId="6B56B5B7" w14:textId="3C81F825"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xml:space="preserve"> Resolución No. 250 del Segundo Juzgado Especializado en lo Civil de Lima de 15 de agosto de 2017 (expediente de prueba, folio 15909). </w:t>
      </w:r>
    </w:p>
  </w:footnote>
  <w:footnote w:id="109">
    <w:p w14:paraId="788617BA" w14:textId="5218E066"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xml:space="preserve"> Resolución No. 12 de la Tercera Sala Civil de la Corte Superior de Justicia de Lima de 15 de noviembre de 2017 (expediente de prueba, folios del 15886 al 15898).</w:t>
      </w:r>
    </w:p>
  </w:footnote>
  <w:footnote w:id="110">
    <w:p w14:paraId="4B492A4A" w14:textId="2CA1CAC9"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t>Recurso de agravio constitucional interpuesto por ANCEJUB-SUNAT el 19 de diciembre de 2017 contra la resolución No. 12 de 15 de noviembre de 2017 (expediente de prueba, folios del 15911 al 15925).</w:t>
      </w:r>
    </w:p>
  </w:footnote>
  <w:footnote w:id="111">
    <w:p w14:paraId="7208EE8C" w14:textId="1E9D1753"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xml:space="preserve"> </w:t>
      </w:r>
      <w:r>
        <w:rPr>
          <w:rFonts w:ascii="Verdana" w:hAnsi="Verdana"/>
          <w:sz w:val="16"/>
          <w:szCs w:val="16"/>
          <w:lang w:val="es-DO"/>
        </w:rPr>
        <w:t>Resolución</w:t>
      </w:r>
      <w:r w:rsidRPr="000B33B9">
        <w:rPr>
          <w:rFonts w:ascii="Verdana" w:hAnsi="Verdana"/>
          <w:sz w:val="16"/>
          <w:szCs w:val="16"/>
          <w:lang w:val="es-DO"/>
        </w:rPr>
        <w:t xml:space="preserve"> del Tribunal Constitucional de 23 de abril de 2019, con relación al expediente No. 00289-2018-PA/TC (prueba superviniente, depositada por el Estado en audiencia pública de fecha 7 de mayo de 2019). </w:t>
      </w:r>
    </w:p>
  </w:footnote>
  <w:footnote w:id="112">
    <w:p w14:paraId="56698EC0" w14:textId="44D9B1F1"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sz w:val="16"/>
          <w:szCs w:val="16"/>
          <w:lang w:val="es-CR"/>
        </w:rPr>
        <w:t xml:space="preserve">La única jueza no incluida fue Pomareda Chávez-Bedoya, que había dictado un voto disidente. </w:t>
      </w:r>
    </w:p>
  </w:footnote>
  <w:footnote w:id="113">
    <w:p w14:paraId="5A5899A1" w14:textId="2FCBDFAC"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CR"/>
        </w:rPr>
        <w:t>Cfr.</w:t>
      </w:r>
      <w:r w:rsidRPr="000B33B9">
        <w:rPr>
          <w:rFonts w:ascii="Verdana" w:hAnsi="Verdana"/>
          <w:sz w:val="16"/>
          <w:szCs w:val="16"/>
          <w:lang w:val="es-CR"/>
        </w:rPr>
        <w:t xml:space="preserve"> Acción de amparo interpuesta por ANCEJUB-SUNAT el 15 de diciembre de 2006 contra los jueces de la </w:t>
      </w:r>
      <w:r w:rsidRPr="000B33B9">
        <w:rPr>
          <w:rFonts w:ascii="Verdana" w:eastAsia="Calibri" w:hAnsi="Verdana" w:cs="Times New Roman"/>
          <w:sz w:val="16"/>
          <w:szCs w:val="16"/>
          <w:lang w:val="es-ES" w:eastAsia="es-ES"/>
        </w:rPr>
        <w:t>Sexta Sala Civil de la Corte Superior de Justicia de Lima</w:t>
      </w:r>
      <w:r w:rsidRPr="000B33B9">
        <w:rPr>
          <w:rFonts w:ascii="Verdana" w:hAnsi="Verdana"/>
          <w:sz w:val="16"/>
          <w:szCs w:val="16"/>
          <w:lang w:val="es-CR"/>
        </w:rPr>
        <w:t xml:space="preserve"> (expediente de prueba, folios del 1081 al 1106).</w:t>
      </w:r>
    </w:p>
  </w:footnote>
  <w:footnote w:id="114">
    <w:p w14:paraId="4206AEB6" w14:textId="4D1A5BE3"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lang w:val="es-CR"/>
        </w:rPr>
        <w:t xml:space="preserve"> </w:t>
      </w:r>
      <w:r w:rsidRPr="000B33B9">
        <w:rPr>
          <w:rFonts w:ascii="Verdana" w:hAnsi="Verdana"/>
          <w:sz w:val="16"/>
          <w:szCs w:val="16"/>
          <w:lang w:val="es-CR"/>
        </w:rPr>
        <w:tab/>
      </w:r>
      <w:r w:rsidRPr="000B33B9">
        <w:rPr>
          <w:rFonts w:ascii="Verdana" w:hAnsi="Verdana"/>
          <w:i/>
          <w:sz w:val="16"/>
          <w:szCs w:val="16"/>
          <w:lang w:val="es-CR"/>
        </w:rPr>
        <w:t>Cfr</w:t>
      </w:r>
      <w:r w:rsidRPr="000B33B9">
        <w:rPr>
          <w:rFonts w:ascii="Verdana" w:hAnsi="Verdana"/>
          <w:sz w:val="16"/>
          <w:szCs w:val="16"/>
          <w:lang w:val="es-CR"/>
        </w:rPr>
        <w:t xml:space="preserve">. Resolución No. 38 de la Séptima Sala Civil de la Corte Superior de Justicia de Lima de 28 de septiembre de 2009 (expediente de prueba, folios del 301 a 313). </w:t>
      </w:r>
    </w:p>
  </w:footnote>
  <w:footnote w:id="115">
    <w:p w14:paraId="5EA6FE21" w14:textId="5A0A7BEE"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lang w:val="es-CR"/>
        </w:rPr>
        <w:t xml:space="preserve"> </w:t>
      </w:r>
      <w:r w:rsidRPr="000B33B9">
        <w:rPr>
          <w:rFonts w:ascii="Verdana" w:hAnsi="Verdana"/>
          <w:sz w:val="16"/>
          <w:szCs w:val="16"/>
          <w:lang w:val="es-CR"/>
        </w:rPr>
        <w:tab/>
      </w:r>
      <w:r w:rsidRPr="000B33B9">
        <w:rPr>
          <w:rFonts w:ascii="Verdana" w:hAnsi="Verdana"/>
          <w:i/>
          <w:sz w:val="16"/>
          <w:szCs w:val="16"/>
          <w:lang w:val="es-CR"/>
        </w:rPr>
        <w:t>Cfr</w:t>
      </w:r>
      <w:r w:rsidRPr="000B33B9">
        <w:rPr>
          <w:rFonts w:ascii="Verdana" w:hAnsi="Verdana"/>
          <w:sz w:val="16"/>
          <w:szCs w:val="16"/>
          <w:lang w:val="es-CR"/>
        </w:rPr>
        <w:t xml:space="preserve">. Recurso de apelación interpuesto por ANCEJUB-SUNAT el 2 de diciembre de 2009 contra la resolución de 28 de septiembre de 2009(expediente de prueba, folios del 289 al 299).  </w:t>
      </w:r>
    </w:p>
  </w:footnote>
  <w:footnote w:id="116">
    <w:p w14:paraId="47703066" w14:textId="01F15D18"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lang w:val="es-CR"/>
        </w:rPr>
        <w:t xml:space="preserve"> </w:t>
      </w:r>
      <w:r w:rsidRPr="000B33B9">
        <w:rPr>
          <w:rFonts w:ascii="Verdana" w:hAnsi="Verdana"/>
          <w:sz w:val="16"/>
          <w:szCs w:val="16"/>
          <w:lang w:val="es-CR"/>
        </w:rPr>
        <w:tab/>
      </w:r>
      <w:r w:rsidRPr="000B33B9">
        <w:rPr>
          <w:rFonts w:ascii="Verdana" w:hAnsi="Verdana"/>
          <w:i/>
          <w:sz w:val="16"/>
          <w:szCs w:val="16"/>
          <w:lang w:val="es-CR"/>
        </w:rPr>
        <w:t>Cfr.</w:t>
      </w:r>
      <w:r w:rsidRPr="000B33B9">
        <w:rPr>
          <w:rFonts w:ascii="Verdana" w:hAnsi="Verdana"/>
          <w:sz w:val="16"/>
          <w:szCs w:val="16"/>
          <w:lang w:val="es-CR"/>
        </w:rPr>
        <w:t xml:space="preserve"> Sentencia de la Sala de Derecho Constitucional y Social de la Corte Suprema de Justicia de la República de 22 de julio de 2010 (expediente de prueba, folios del 315 al 321).</w:t>
      </w:r>
    </w:p>
  </w:footnote>
  <w:footnote w:id="117">
    <w:p w14:paraId="6C3AF44A" w14:textId="6A685559"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lang w:val="es-CR"/>
        </w:rPr>
        <w:t xml:space="preserve"> </w:t>
      </w:r>
      <w:r w:rsidRPr="000B33B9">
        <w:rPr>
          <w:rFonts w:ascii="Verdana" w:hAnsi="Verdana"/>
          <w:sz w:val="16"/>
          <w:szCs w:val="16"/>
          <w:lang w:val="es-CR"/>
        </w:rPr>
        <w:tab/>
        <w:t>Sentencia del Tribunal Constitucional de 9 de agosto de 2011, con relación al expediente No. 00649-2011-PA/TC (expediente de prueba, folios del 15858 al 15868).</w:t>
      </w:r>
    </w:p>
  </w:footnote>
  <w:footnote w:id="118">
    <w:p w14:paraId="2CA70779" w14:textId="5D47255E"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lang w:val="es-CR"/>
        </w:rPr>
        <w:t xml:space="preserve"> </w:t>
      </w:r>
      <w:r w:rsidRPr="000B33B9">
        <w:rPr>
          <w:rFonts w:ascii="Verdana" w:hAnsi="Verdana"/>
          <w:sz w:val="16"/>
          <w:szCs w:val="16"/>
          <w:lang w:val="es-CR"/>
        </w:rPr>
        <w:tab/>
      </w:r>
      <w:r w:rsidRPr="000B33B9">
        <w:rPr>
          <w:rFonts w:ascii="Verdana" w:hAnsi="Verdana"/>
          <w:i/>
          <w:sz w:val="16"/>
          <w:szCs w:val="16"/>
          <w:lang w:val="es-CR"/>
        </w:rPr>
        <w:t>Cfr.</w:t>
      </w:r>
      <w:r w:rsidRPr="000B33B9">
        <w:rPr>
          <w:rFonts w:ascii="Verdana" w:hAnsi="Verdana"/>
          <w:sz w:val="16"/>
          <w:szCs w:val="16"/>
          <w:lang w:val="es-CR"/>
        </w:rPr>
        <w:t xml:space="preserve"> Resolución del Tribunal Constitucional de 22 de septiembre de 2011 (expediente de prueba, folios 331 y 332).</w:t>
      </w:r>
    </w:p>
  </w:footnote>
  <w:footnote w:id="119">
    <w:p w14:paraId="1ED66754" w14:textId="7133C055"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CR"/>
        </w:rPr>
        <w:t xml:space="preserve"> </w:t>
      </w:r>
      <w:r w:rsidRPr="000B33B9">
        <w:rPr>
          <w:rFonts w:ascii="Verdana" w:hAnsi="Verdana"/>
          <w:sz w:val="16"/>
          <w:szCs w:val="16"/>
          <w:lang w:val="es-CR"/>
        </w:rPr>
        <w:tab/>
      </w:r>
      <w:r w:rsidRPr="000B33B9">
        <w:rPr>
          <w:rFonts w:ascii="Verdana" w:hAnsi="Verdana"/>
          <w:i/>
          <w:sz w:val="16"/>
          <w:szCs w:val="16"/>
          <w:lang w:val="es-CR"/>
        </w:rPr>
        <w:t xml:space="preserve">Cfr. </w:t>
      </w:r>
      <w:r w:rsidRPr="000B33B9">
        <w:rPr>
          <w:rFonts w:ascii="Verdana" w:hAnsi="Verdana"/>
          <w:sz w:val="16"/>
          <w:szCs w:val="16"/>
          <w:lang w:val="es-CR"/>
        </w:rPr>
        <w:t xml:space="preserve">Comunicación de 16 de marzo de 1999 suscrita por Rafael Ipanaqué Centeno, dirigida al Superintendente Nacional de Administración Tributaria (expediente de prueba, folios del 6218 al 6220). Instancia de 10 de marzo de 1999 suscrita por Rafael Ipanaqué, dirigida al Primer Juzgado Corporativo Transitorio Especializado de Derecho Público (expediente de prueba, folios del 6258 al 6260). </w:t>
      </w:r>
    </w:p>
  </w:footnote>
  <w:footnote w:id="120">
    <w:p w14:paraId="2246C81A" w14:textId="1D03C799"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CR"/>
        </w:rPr>
        <w:t xml:space="preserve">Cfr. </w:t>
      </w:r>
      <w:r w:rsidRPr="000B33B9">
        <w:rPr>
          <w:rFonts w:ascii="Verdana" w:hAnsi="Verdana"/>
          <w:sz w:val="16"/>
          <w:szCs w:val="16"/>
          <w:lang w:val="es-CR"/>
        </w:rPr>
        <w:t>Comunicación de 10 de marzo de 1999 suscrita por Rafael Ipanaqué Centeno, dirigida a la SUNAT (expediente de prueba, folios del 6212 al 6217).</w:t>
      </w:r>
    </w:p>
  </w:footnote>
  <w:footnote w:id="121">
    <w:p w14:paraId="107744F8" w14:textId="5D29EA69"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CR"/>
        </w:rPr>
        <w:t xml:space="preserve">Cfr. </w:t>
      </w:r>
      <w:r w:rsidRPr="000B33B9">
        <w:rPr>
          <w:rFonts w:ascii="Verdana" w:hAnsi="Verdana"/>
          <w:sz w:val="16"/>
          <w:szCs w:val="16"/>
          <w:lang w:val="es-CR"/>
        </w:rPr>
        <w:t xml:space="preserve">Comunicación de 16 de marzo de 1999 suscrita por Rafael Ipanaqué Centeno, dirigida al Superintendente Nacional de Administración Tributaria (expediente de prueba, folios del 6218 al 6220). </w:t>
      </w:r>
    </w:p>
  </w:footnote>
  <w:footnote w:id="122">
    <w:p w14:paraId="4A9DA86C" w14:textId="41D5D849"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Instancia de</w:t>
      </w:r>
      <w:r w:rsidRPr="000B33B9">
        <w:rPr>
          <w:rFonts w:ascii="Verdana" w:hAnsi="Verdana"/>
          <w:sz w:val="16"/>
          <w:szCs w:val="16"/>
          <w:lang w:val="es-CR"/>
        </w:rPr>
        <w:t xml:space="preserve"> </w:t>
      </w:r>
      <w:r w:rsidRPr="000B33B9">
        <w:rPr>
          <w:rFonts w:ascii="Verdana" w:hAnsi="Verdana"/>
          <w:sz w:val="16"/>
          <w:szCs w:val="16"/>
          <w:lang w:val="es-DO"/>
        </w:rPr>
        <w:t>16 de marzo de 1999 suscrita por Rafael Ipanaqué Centeno, dirigida al</w:t>
      </w:r>
      <w:r w:rsidRPr="000B33B9">
        <w:rPr>
          <w:rFonts w:ascii="Verdana" w:hAnsi="Verdana"/>
          <w:sz w:val="16"/>
          <w:szCs w:val="16"/>
          <w:lang w:val="es-CR"/>
        </w:rPr>
        <w:t xml:space="preserve"> Primer Juzgado Corporativo Transitorio Especializado de Derecho Público (expediente de prueba, folio 6261). </w:t>
      </w:r>
    </w:p>
  </w:footnote>
  <w:footnote w:id="123">
    <w:p w14:paraId="1D531845" w14:textId="71C6968F"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xml:space="preserve"> Carta notarial suscrita el 30 de marzo de 1999 por </w:t>
      </w:r>
      <w:r w:rsidRPr="000B33B9">
        <w:rPr>
          <w:rFonts w:ascii="Verdana" w:hAnsi="Verdana"/>
          <w:sz w:val="16"/>
          <w:szCs w:val="16"/>
          <w:lang w:val="es-CR"/>
        </w:rPr>
        <w:t xml:space="preserve">Rafael Ipanaqué Centeno, ante el notario Manuel Forero (expediente de prueba, folios del 6221 al 6223). </w:t>
      </w:r>
    </w:p>
  </w:footnote>
  <w:footnote w:id="124">
    <w:p w14:paraId="17D6CB29" w14:textId="7DEE773A"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xml:space="preserve"> Resolución del Primer Juzgado Corporativo Transitorio Especializado en Derecho Público de 30 de marzo de 1999 (expediente de prueba, folio 6262). </w:t>
      </w:r>
    </w:p>
  </w:footnote>
  <w:footnote w:id="125">
    <w:p w14:paraId="263CB14C" w14:textId="55EA8C11"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t>Carta No.</w:t>
      </w:r>
      <w:r w:rsidRPr="000B33B9">
        <w:rPr>
          <w:rFonts w:ascii="Verdana" w:hAnsi="Verdana"/>
          <w:sz w:val="16"/>
          <w:szCs w:val="16"/>
          <w:vertAlign w:val="superscript"/>
          <w:lang w:val="es-DO"/>
        </w:rPr>
        <w:t xml:space="preserve"> </w:t>
      </w:r>
      <w:r w:rsidRPr="000B33B9">
        <w:rPr>
          <w:rFonts w:ascii="Verdana" w:hAnsi="Verdana"/>
          <w:sz w:val="16"/>
          <w:szCs w:val="16"/>
          <w:lang w:val="es-DO"/>
        </w:rPr>
        <w:t xml:space="preserve">2054-99-SUNAT-11-4200, dirigida el 5 de abril de 1999 por la SUNAT a Rafael Ipanaqué Centeno (expediente de prueba, folio 6224). </w:t>
      </w:r>
    </w:p>
  </w:footnote>
  <w:footnote w:id="126">
    <w:p w14:paraId="016A7C71" w14:textId="4534B473"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CR"/>
        </w:rPr>
        <w:t xml:space="preserve">Cfr. </w:t>
      </w:r>
      <w:r w:rsidRPr="000B33B9">
        <w:rPr>
          <w:rFonts w:ascii="Verdana" w:hAnsi="Verdana"/>
          <w:sz w:val="16"/>
          <w:szCs w:val="16"/>
          <w:lang w:val="es-CR"/>
        </w:rPr>
        <w:t>Comunicación de 12 de abril de 1999 suscrita por Rafael Ipanaqué Centeno, dirigida a la SUNAT (expediente de prueba, folios del 6225 al 6230).</w:t>
      </w:r>
    </w:p>
  </w:footnote>
  <w:footnote w:id="127">
    <w:p w14:paraId="6D34A7A1" w14:textId="1C9F8B58"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xml:space="preserve"> </w:t>
      </w:r>
      <w:r w:rsidRPr="000B33B9">
        <w:rPr>
          <w:rFonts w:ascii="Verdana" w:hAnsi="Verdana"/>
          <w:sz w:val="16"/>
          <w:szCs w:val="16"/>
          <w:lang w:val="es-CR"/>
        </w:rPr>
        <w:t>Comunicación de 26 de abril de 1999 suscrita por Rafael Ipanaqué Centeno, dirigida a la SUNAT (expediente de prueba, folios del 6231 al 6233).</w:t>
      </w:r>
    </w:p>
  </w:footnote>
  <w:footnote w:id="128">
    <w:p w14:paraId="180FCE9E" w14:textId="0B57D294"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t>Instancia de 26 de abril de 1999 suscrita por</w:t>
      </w:r>
      <w:r w:rsidRPr="000B33B9">
        <w:rPr>
          <w:rFonts w:ascii="Verdana" w:hAnsi="Verdana"/>
          <w:sz w:val="16"/>
          <w:szCs w:val="16"/>
          <w:lang w:val="es-CR"/>
        </w:rPr>
        <w:t xml:space="preserve"> Rafael Ipanaqué Centeno, dirigida al Primer Juzgado Corporativo Transitorio Especializado de Derecho Público (expediente de prueba, folios del 6264 al 6266). </w:t>
      </w:r>
    </w:p>
  </w:footnote>
  <w:footnote w:id="129">
    <w:p w14:paraId="7F13E07F" w14:textId="4B2D872B"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lang w:val="es-CR"/>
        </w:rPr>
        <w:t xml:space="preserve"> </w:t>
      </w:r>
      <w:r w:rsidRPr="000B33B9">
        <w:rPr>
          <w:rFonts w:ascii="Verdana" w:hAnsi="Verdana"/>
          <w:sz w:val="16"/>
          <w:szCs w:val="16"/>
          <w:lang w:val="es-CR"/>
        </w:rPr>
        <w:tab/>
        <w:t xml:space="preserve">Resolución del </w:t>
      </w:r>
      <w:r w:rsidRPr="000B33B9">
        <w:rPr>
          <w:rFonts w:ascii="Verdana" w:eastAsia="Calibri" w:hAnsi="Verdana" w:cs="Times New Roman"/>
          <w:sz w:val="16"/>
          <w:szCs w:val="16"/>
          <w:lang w:val="es-ES" w:eastAsia="es-ES"/>
        </w:rPr>
        <w:t xml:space="preserve">Primer Juzgado Corporativo Transitorio Especializado en Derecho Público de </w:t>
      </w:r>
      <w:r w:rsidRPr="000B33B9">
        <w:rPr>
          <w:rFonts w:ascii="Verdana" w:hAnsi="Verdana"/>
          <w:sz w:val="16"/>
          <w:szCs w:val="16"/>
          <w:lang w:val="es-CR"/>
        </w:rPr>
        <w:t xml:space="preserve">29 de abril de 1999 </w:t>
      </w:r>
      <w:r w:rsidRPr="000B33B9">
        <w:rPr>
          <w:rFonts w:ascii="Verdana" w:eastAsia="Calibri" w:hAnsi="Verdana" w:cs="Times New Roman"/>
          <w:sz w:val="16"/>
          <w:szCs w:val="16"/>
          <w:lang w:val="es-ES" w:eastAsia="es-ES"/>
        </w:rPr>
        <w:t>(expediente de prueba, folios 6273 y 6274).</w:t>
      </w:r>
    </w:p>
  </w:footnote>
  <w:footnote w:id="130">
    <w:p w14:paraId="3B7DC2F7" w14:textId="21419D40"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t xml:space="preserve">Recurso de apelación interpuesto por Rafael Ipanaqué Centeno el 13 de abril de 1999 contra la resolución de 29 de abril de 1999 (expediente de prueba, folios del 6276 al 6282). </w:t>
      </w:r>
    </w:p>
  </w:footnote>
  <w:footnote w:id="131">
    <w:p w14:paraId="0536DFD3" w14:textId="62703E59"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sz w:val="16"/>
          <w:szCs w:val="16"/>
          <w:lang w:val="es-CR"/>
        </w:rPr>
        <w:t>Comunicación de 17 de mayo de 1999 suscrita por Rafael Ipanaqué Centeno, dirigida a la SUNAT (expediente de prueba, folios 6236 y 6237). Comunicación de 1 de junio de 1999 suscrita por Rafael Ipanaqué Centeno, dirigida a la SUNAT (expediente de prueba, folios del 6238 al 6240).</w:t>
      </w:r>
    </w:p>
  </w:footnote>
  <w:footnote w:id="132">
    <w:p w14:paraId="07804226" w14:textId="6AB1AE87"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xml:space="preserve"> Escrito de 14 de junio de 1999 suscrito por Rafael Ipanaqué Centeno, dirigido a la Sala Corporativa Transitoria Especializada de Derecho Público (expediente de prueba, folios del 6283 al 6286).  </w:t>
      </w:r>
    </w:p>
  </w:footnote>
  <w:footnote w:id="133">
    <w:p w14:paraId="5E7671B6" w14:textId="76919DBF"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xml:space="preserve"> Carta No.</w:t>
      </w:r>
      <w:r w:rsidRPr="000B33B9">
        <w:rPr>
          <w:rFonts w:ascii="Verdana" w:hAnsi="Verdana"/>
          <w:sz w:val="16"/>
          <w:szCs w:val="16"/>
          <w:vertAlign w:val="superscript"/>
          <w:lang w:val="es-DO"/>
        </w:rPr>
        <w:t xml:space="preserve"> </w:t>
      </w:r>
      <w:r w:rsidRPr="000B33B9">
        <w:rPr>
          <w:rFonts w:ascii="Verdana" w:hAnsi="Verdana"/>
          <w:sz w:val="16"/>
          <w:szCs w:val="16"/>
          <w:lang w:val="es-DO"/>
        </w:rPr>
        <w:t xml:space="preserve">4157-99-M00000, dirigida el 23 de junio de 1999 por la SUNAT a Rafael Ipanaqué Centeno (expediente de prueba, folios 6241 y 6242). </w:t>
      </w:r>
    </w:p>
  </w:footnote>
  <w:footnote w:id="134">
    <w:p w14:paraId="00F53F05" w14:textId="181057E2"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xml:space="preserve"> </w:t>
      </w:r>
      <w:r w:rsidRPr="000B33B9">
        <w:rPr>
          <w:rFonts w:ascii="Verdana" w:hAnsi="Verdana"/>
          <w:sz w:val="16"/>
          <w:szCs w:val="16"/>
          <w:lang w:val="es-CR"/>
        </w:rPr>
        <w:t>Comunicación de 5 de julio de 1999 suscrita por Rafael Ipanaqué Centeno, dirigida a la SUNAT (expediente de prueba, folios del 6243 al 6246). Comunicación de 1 de junio de 1999 suscrita por Rafael Ipanaqué Centeno, dirigida a la SUNAT (expediente de prueba, folio 6247).</w:t>
      </w:r>
    </w:p>
  </w:footnote>
  <w:footnote w:id="135">
    <w:p w14:paraId="5B7F4582" w14:textId="2A42E9F8"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xml:space="preserve"> Carta No.</w:t>
      </w:r>
      <w:r w:rsidRPr="000B33B9">
        <w:rPr>
          <w:rFonts w:ascii="Verdana" w:hAnsi="Verdana"/>
          <w:sz w:val="16"/>
          <w:szCs w:val="16"/>
          <w:vertAlign w:val="superscript"/>
          <w:lang w:val="es-DO"/>
        </w:rPr>
        <w:t xml:space="preserve"> </w:t>
      </w:r>
      <w:r w:rsidRPr="000B33B9">
        <w:rPr>
          <w:rFonts w:ascii="Verdana" w:hAnsi="Verdana"/>
          <w:sz w:val="16"/>
          <w:szCs w:val="16"/>
          <w:lang w:val="es-DO"/>
        </w:rPr>
        <w:t xml:space="preserve">5670-99-MD0100, dirigida el 20 de agosto de 1999 por la SUNAT a Rafael Ipanaqué Centeno (expediente de prueba, folio 6248). </w:t>
      </w:r>
    </w:p>
  </w:footnote>
  <w:footnote w:id="136">
    <w:p w14:paraId="5DD721DB" w14:textId="2C25FA06"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xml:space="preserve"> Resolución de la Sala Corporativa Transitoria Especializada en Derecho Público de 30 de septiembre de 1999 (expediente de prueba, folio 6287). </w:t>
      </w:r>
    </w:p>
  </w:footnote>
  <w:footnote w:id="137">
    <w:p w14:paraId="213AC58C" w14:textId="1F483338"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Carta de 21 de octubre de 1999 suscrita por Rafael Ipanaqué Centeno, dirigida al Presidente de Perú y recibida por el Despacho Presidencial el 22 de octubre de 1999 (expediente de prueba, folios del 6297 al 6299).</w:t>
      </w:r>
    </w:p>
  </w:footnote>
  <w:footnote w:id="138">
    <w:p w14:paraId="66B9506B" w14:textId="1AF2BB13"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xml:space="preserve"> </w:t>
      </w:r>
      <w:r w:rsidRPr="000B33B9">
        <w:rPr>
          <w:rFonts w:ascii="Verdana" w:hAnsi="Verdana"/>
          <w:sz w:val="16"/>
          <w:szCs w:val="16"/>
          <w:lang w:val="es-CR"/>
        </w:rPr>
        <w:t>Comunicación de 22 de octubre de 1999 suscrita por Rafael Ipanaqué Centeno, dirigida a la SUNAT (expediente de prueba, folio 6252 y 6253).</w:t>
      </w:r>
    </w:p>
  </w:footnote>
  <w:footnote w:id="139">
    <w:p w14:paraId="6E4EFA6D" w14:textId="536CFB31"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Carta de 30 de octubre de 1999 suscrita por Rafael Ipanaqué Centeno, dirigida al Presidente de Perú y recibida por el Despacho Presidencial el 3 de noviembre de 1999 (expediente de prueba, folios del 6300 al 6302).</w:t>
      </w:r>
    </w:p>
  </w:footnote>
  <w:footnote w:id="140">
    <w:p w14:paraId="66EA1477" w14:textId="5D4B9314"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t xml:space="preserve">Recurso de reconsideración interpuesto por Rafael Ipanaqué Centeno el 30 de octubre de 1999 ante la SUNAT (expediente de prueba, folios del 6254 al 6256). </w:t>
      </w:r>
    </w:p>
  </w:footnote>
  <w:footnote w:id="141">
    <w:p w14:paraId="130F4DEA" w14:textId="23A613F5"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xml:space="preserve"> Carta No. 8377-99-M00100, dirigida el 1 de diciembre de 1999 por la SUNAT a Rafael Ipanaqué Centeno (expediente de prueba, folio 6257). </w:t>
      </w:r>
    </w:p>
  </w:footnote>
  <w:footnote w:id="142">
    <w:p w14:paraId="7F9A5C4D" w14:textId="77777777"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t>Artículo 8.1 de la Convención Americana.</w:t>
      </w:r>
    </w:p>
  </w:footnote>
  <w:footnote w:id="143">
    <w:p w14:paraId="5FD3E04C" w14:textId="77777777"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lang w:val="es-CR"/>
        </w:rPr>
        <w:tab/>
        <w:t>Artículo 25 de la Convención Americana.</w:t>
      </w:r>
    </w:p>
  </w:footnote>
  <w:footnote w:id="144">
    <w:p w14:paraId="46A769C4" w14:textId="77777777"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t>Artículo 26 de la Convención Americana.</w:t>
      </w:r>
    </w:p>
  </w:footnote>
  <w:footnote w:id="145">
    <w:p w14:paraId="1F916EFA" w14:textId="77777777"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lang w:val="es-CR"/>
        </w:rPr>
        <w:tab/>
        <w:t>Artículo 4.1 de la Convención Americana.</w:t>
      </w:r>
    </w:p>
  </w:footnote>
  <w:footnote w:id="146">
    <w:p w14:paraId="295B4071" w14:textId="77777777"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t>Artículo 21 de la Convención Americana.</w:t>
      </w:r>
    </w:p>
  </w:footnote>
  <w:footnote w:id="147">
    <w:p w14:paraId="5A5C4B74" w14:textId="77777777"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lang w:val="es-CR"/>
        </w:rPr>
        <w:tab/>
        <w:t>Artículo 2 de la Convención Americana.</w:t>
      </w:r>
    </w:p>
  </w:footnote>
  <w:footnote w:id="148">
    <w:p w14:paraId="476AC8AA" w14:textId="47D2E596" w:rsidR="005A5D3C" w:rsidRPr="000B33B9" w:rsidRDefault="005A5D3C" w:rsidP="000B33B9">
      <w:pPr>
        <w:tabs>
          <w:tab w:val="left" w:pos="567"/>
        </w:tabs>
        <w:spacing w:after="120" w:line="240" w:lineRule="auto"/>
        <w:jc w:val="both"/>
        <w:rPr>
          <w:rFonts w:ascii="Verdana" w:hAnsi="Verdana"/>
          <w:i/>
          <w:sz w:val="16"/>
          <w:szCs w:val="16"/>
        </w:rPr>
      </w:pPr>
      <w:r w:rsidRPr="000B33B9">
        <w:rPr>
          <w:rStyle w:val="Refdenotaalpie"/>
          <w:rFonts w:ascii="Verdana" w:eastAsia="Times New Roman" w:hAnsi="Verdana"/>
          <w:spacing w:val="-4"/>
          <w:sz w:val="16"/>
          <w:szCs w:val="16"/>
        </w:rPr>
        <w:footnoteRef/>
      </w:r>
      <w:r w:rsidRPr="000B33B9">
        <w:rPr>
          <w:rFonts w:ascii="Verdana" w:hAnsi="Verdana"/>
          <w:spacing w:val="-4"/>
          <w:sz w:val="16"/>
          <w:szCs w:val="16"/>
        </w:rPr>
        <w:t xml:space="preserve"> </w:t>
      </w:r>
      <w:r w:rsidRPr="000B33B9">
        <w:rPr>
          <w:rFonts w:ascii="Verdana" w:hAnsi="Verdana"/>
          <w:spacing w:val="-4"/>
          <w:sz w:val="16"/>
          <w:szCs w:val="16"/>
        </w:rPr>
        <w:tab/>
      </w:r>
      <w:r w:rsidRPr="000B33B9">
        <w:rPr>
          <w:rFonts w:ascii="Verdana" w:hAnsi="Verdana"/>
          <w:i/>
          <w:spacing w:val="-4"/>
          <w:sz w:val="16"/>
          <w:szCs w:val="16"/>
        </w:rPr>
        <w:t xml:space="preserve">Cfr. </w:t>
      </w:r>
      <w:r w:rsidRPr="000B33B9">
        <w:rPr>
          <w:rFonts w:ascii="Verdana" w:hAnsi="Verdana"/>
          <w:i/>
          <w:sz w:val="16"/>
          <w:szCs w:val="16"/>
        </w:rPr>
        <w:t>Caso de los “Niños de la Calle” (Villagrán Morales y otros) Vs. Guatemala. Fondo</w:t>
      </w:r>
      <w:r w:rsidRPr="000B33B9">
        <w:rPr>
          <w:rFonts w:ascii="Verdana" w:hAnsi="Verdana"/>
          <w:sz w:val="16"/>
          <w:szCs w:val="16"/>
        </w:rPr>
        <w:t xml:space="preserve">. Sentencia de 19 de noviembre de 1999. Serie C No. 63, párr. 237, y </w:t>
      </w:r>
      <w:r w:rsidRPr="000B33B9">
        <w:rPr>
          <w:rFonts w:ascii="Verdana" w:hAnsi="Verdana"/>
          <w:i/>
          <w:sz w:val="16"/>
          <w:szCs w:val="16"/>
        </w:rPr>
        <w:t xml:space="preserve">Caso Romero Feris Vs. Argentina. Fondo, Reparaciones y Costas. </w:t>
      </w:r>
      <w:r w:rsidRPr="000B33B9">
        <w:rPr>
          <w:rFonts w:ascii="Verdana" w:hAnsi="Verdana"/>
          <w:sz w:val="16"/>
          <w:szCs w:val="16"/>
        </w:rPr>
        <w:t>Sentencia de 15 de octubre de 2019. Serie C No. 391, párr. 134.</w:t>
      </w:r>
    </w:p>
  </w:footnote>
  <w:footnote w:id="149">
    <w:p w14:paraId="66A0EF02" w14:textId="58704B86" w:rsidR="005A5D3C" w:rsidRPr="000B33B9" w:rsidRDefault="005A5D3C" w:rsidP="000B33B9">
      <w:pPr>
        <w:tabs>
          <w:tab w:val="left" w:pos="567"/>
        </w:tabs>
        <w:spacing w:after="120" w:line="240" w:lineRule="auto"/>
        <w:jc w:val="both"/>
        <w:rPr>
          <w:rFonts w:ascii="Verdana" w:hAnsi="Verdana"/>
          <w:sz w:val="16"/>
          <w:szCs w:val="16"/>
        </w:rPr>
      </w:pPr>
      <w:r w:rsidRPr="000B33B9">
        <w:rPr>
          <w:rStyle w:val="Refdenotaalpie"/>
          <w:rFonts w:ascii="Verdana" w:eastAsia="Times New Roman" w:hAnsi="Verdana"/>
          <w:spacing w:val="-4"/>
          <w:sz w:val="16"/>
          <w:szCs w:val="16"/>
        </w:rPr>
        <w:footnoteRef/>
      </w:r>
      <w:r w:rsidRPr="000B33B9">
        <w:rPr>
          <w:rFonts w:ascii="Verdana" w:hAnsi="Verdana"/>
          <w:spacing w:val="-4"/>
          <w:sz w:val="16"/>
          <w:szCs w:val="16"/>
        </w:rPr>
        <w:t xml:space="preserve"> </w:t>
      </w:r>
      <w:r w:rsidRPr="000B33B9">
        <w:rPr>
          <w:rFonts w:ascii="Verdana" w:hAnsi="Verdana"/>
          <w:spacing w:val="-4"/>
          <w:sz w:val="16"/>
          <w:szCs w:val="16"/>
        </w:rPr>
        <w:tab/>
      </w:r>
      <w:r w:rsidRPr="000B33B9">
        <w:rPr>
          <w:rFonts w:ascii="Verdana" w:hAnsi="Verdana"/>
          <w:i/>
          <w:sz w:val="16"/>
          <w:szCs w:val="16"/>
        </w:rPr>
        <w:t>Cfr. Caso Baena Ricardo y otros Vs. Panamá. Competencia</w:t>
      </w:r>
      <w:r w:rsidRPr="000B33B9">
        <w:rPr>
          <w:rFonts w:ascii="Verdana" w:hAnsi="Verdana"/>
          <w:sz w:val="16"/>
          <w:szCs w:val="16"/>
        </w:rPr>
        <w:t xml:space="preserve">. Sentencia de 28 de noviembre de 2003. Serie C No. 104, párr. 79, y </w:t>
      </w:r>
      <w:r w:rsidRPr="000B33B9">
        <w:rPr>
          <w:rFonts w:ascii="Verdana" w:hAnsi="Verdana"/>
          <w:i/>
          <w:sz w:val="16"/>
          <w:szCs w:val="16"/>
        </w:rPr>
        <w:t xml:space="preserve">Caso Romero Feris Vs. Argentina. Fondo, Reparaciones y Costas. </w:t>
      </w:r>
      <w:r w:rsidRPr="000B33B9">
        <w:rPr>
          <w:rFonts w:ascii="Verdana" w:hAnsi="Verdana"/>
          <w:sz w:val="16"/>
          <w:szCs w:val="16"/>
        </w:rPr>
        <w:t>Sentencia de 15 de octubre de 2019. Serie C No. 391, párr. 134.</w:t>
      </w:r>
    </w:p>
  </w:footnote>
  <w:footnote w:id="150">
    <w:p w14:paraId="7CE80B85" w14:textId="77777777" w:rsidR="005A5D3C" w:rsidRPr="000B33B9" w:rsidRDefault="005A5D3C" w:rsidP="000B33B9">
      <w:pPr>
        <w:pStyle w:val="Textonotapie"/>
        <w:spacing w:after="120"/>
        <w:jc w:val="both"/>
        <w:rPr>
          <w:rFonts w:ascii="Verdana" w:hAnsi="Verdana"/>
          <w:i/>
          <w:sz w:val="16"/>
          <w:szCs w:val="16"/>
          <w:lang w:val="es-CR"/>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lang w:val="es-CR"/>
        </w:rPr>
        <w:tab/>
      </w:r>
      <w:r w:rsidRPr="000B33B9">
        <w:rPr>
          <w:rFonts w:ascii="Verdana" w:hAnsi="Verdana"/>
          <w:i/>
          <w:sz w:val="16"/>
          <w:szCs w:val="16"/>
          <w:lang w:val="es-CR"/>
        </w:rPr>
        <w:t xml:space="preserve">Cfr. </w:t>
      </w:r>
      <w:r w:rsidRPr="000B33B9">
        <w:rPr>
          <w:rStyle w:val="Textoennegrita"/>
          <w:rFonts w:ascii="Verdana" w:hAnsi="Verdana"/>
          <w:b w:val="0"/>
          <w:i/>
          <w:color w:val="000000"/>
          <w:sz w:val="16"/>
          <w:szCs w:val="16"/>
          <w:shd w:val="clear" w:color="auto" w:fill="FFFFFF"/>
        </w:rPr>
        <w:t>Caso Muelle Flores Vs. Perú. Excepciones Preliminares, Fondo, Reparaciones y Costas</w:t>
      </w:r>
      <w:r w:rsidRPr="000B33B9">
        <w:rPr>
          <w:rStyle w:val="Textoennegrita"/>
          <w:rFonts w:ascii="Verdana" w:hAnsi="Verdana"/>
          <w:b w:val="0"/>
          <w:color w:val="000000"/>
          <w:sz w:val="16"/>
          <w:szCs w:val="16"/>
          <w:shd w:val="clear" w:color="auto" w:fill="FFFFFF"/>
        </w:rPr>
        <w:t>. Sentencia de 6 de marzo de 2019. Serie C No. 375, párr. 124.</w:t>
      </w:r>
    </w:p>
  </w:footnote>
  <w:footnote w:id="151">
    <w:p w14:paraId="6D0EEF9D" w14:textId="61E5FB99" w:rsidR="005A5D3C" w:rsidRPr="000B33B9" w:rsidRDefault="005A5D3C" w:rsidP="000B33B9">
      <w:pPr>
        <w:pStyle w:val="Textonotapie"/>
        <w:spacing w:after="120"/>
        <w:jc w:val="both"/>
        <w:rPr>
          <w:rFonts w:ascii="Verdana" w:hAnsi="Verdana"/>
          <w:spacing w:val="-4"/>
          <w:sz w:val="16"/>
          <w:szCs w:val="16"/>
          <w:lang w:val="es-PE"/>
        </w:rPr>
      </w:pPr>
      <w:r w:rsidRPr="000B33B9">
        <w:rPr>
          <w:rStyle w:val="Refdenotaalpie"/>
          <w:rFonts w:ascii="Verdana" w:eastAsia="Times New Roman" w:hAnsi="Verdana"/>
          <w:sz w:val="16"/>
          <w:szCs w:val="16"/>
          <w:lang w:val="es-CR"/>
        </w:rPr>
        <w:footnoteRef/>
      </w:r>
      <w:r w:rsidRPr="000B33B9">
        <w:rPr>
          <w:rFonts w:ascii="Verdana" w:hAnsi="Verdana"/>
          <w:sz w:val="16"/>
          <w:szCs w:val="16"/>
          <w:lang w:val="es-PE"/>
        </w:rPr>
        <w:tab/>
      </w:r>
      <w:r w:rsidRPr="000B33B9">
        <w:rPr>
          <w:rFonts w:ascii="Verdana" w:hAnsi="Verdana" w:cs="Calibri"/>
          <w:i/>
          <w:sz w:val="16"/>
          <w:szCs w:val="16"/>
          <w:lang w:val="es-PE"/>
        </w:rPr>
        <w:t>Cfr.</w:t>
      </w:r>
      <w:r w:rsidRPr="000B33B9">
        <w:rPr>
          <w:rFonts w:ascii="Verdana" w:hAnsi="Verdana" w:cs="Calibri"/>
          <w:sz w:val="16"/>
          <w:szCs w:val="16"/>
          <w:lang w:val="es-PE"/>
        </w:rPr>
        <w:t xml:space="preserve"> </w:t>
      </w:r>
      <w:r w:rsidRPr="000B33B9">
        <w:rPr>
          <w:rStyle w:val="Textoennegrita"/>
          <w:rFonts w:ascii="Verdana" w:hAnsi="Verdana"/>
          <w:b w:val="0"/>
          <w:sz w:val="16"/>
          <w:szCs w:val="16"/>
          <w:shd w:val="clear" w:color="auto" w:fill="FFFFFF"/>
          <w:lang w:val="es-CR"/>
        </w:rPr>
        <w:t>Garantías judiciales en estados de emergencia (Arts. 27.2, 25 y 8 Convención Americana sobre Derechos Humanos). Opinión Consultiva OC-9/87 de 6 de octubre de 1987. Serie A No. 9, párr. 24</w:t>
      </w:r>
      <w:r w:rsidRPr="000B33B9">
        <w:rPr>
          <w:rFonts w:ascii="Verdana" w:hAnsi="Verdana" w:cs="Calibri"/>
          <w:sz w:val="16"/>
          <w:szCs w:val="16"/>
          <w:lang w:val="es-PE"/>
        </w:rPr>
        <w:t xml:space="preserve">, y </w:t>
      </w:r>
      <w:r w:rsidRPr="000B33B9">
        <w:rPr>
          <w:rStyle w:val="Textoennegrita"/>
          <w:rFonts w:ascii="Verdana" w:hAnsi="Verdana"/>
          <w:b w:val="0"/>
          <w:i/>
          <w:color w:val="000000"/>
          <w:sz w:val="16"/>
          <w:szCs w:val="16"/>
          <w:shd w:val="clear" w:color="auto" w:fill="FFFFFF"/>
        </w:rPr>
        <w:t>Caso Muelle Flores Vs. Perú. Excepciones Preliminares, Fondo, Reparaciones y Costas</w:t>
      </w:r>
      <w:r w:rsidRPr="000B33B9">
        <w:rPr>
          <w:rStyle w:val="Textoennegrita"/>
          <w:rFonts w:ascii="Verdana" w:hAnsi="Verdana"/>
          <w:b w:val="0"/>
          <w:color w:val="000000"/>
          <w:sz w:val="16"/>
          <w:szCs w:val="16"/>
          <w:shd w:val="clear" w:color="auto" w:fill="FFFFFF"/>
        </w:rPr>
        <w:t>. Sentencia de 6 de marzo de 2019. Serie C No. 375, párr. 125.</w:t>
      </w:r>
    </w:p>
  </w:footnote>
  <w:footnote w:id="152">
    <w:p w14:paraId="710B5570" w14:textId="195C5715"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eastAsia="Times New Roman" w:hAnsi="Verdana"/>
          <w:spacing w:val="-4"/>
          <w:sz w:val="16"/>
          <w:szCs w:val="16"/>
        </w:rPr>
        <w:footnoteRef/>
      </w:r>
      <w:r w:rsidRPr="000B33B9">
        <w:rPr>
          <w:rFonts w:ascii="Verdana" w:hAnsi="Verdana"/>
          <w:sz w:val="16"/>
          <w:szCs w:val="16"/>
          <w:lang w:val="es-CR"/>
        </w:rPr>
        <w:t xml:space="preserve"> </w:t>
      </w:r>
      <w:r w:rsidRPr="000B33B9">
        <w:rPr>
          <w:rFonts w:ascii="Verdana" w:hAnsi="Verdana"/>
          <w:sz w:val="16"/>
          <w:szCs w:val="16"/>
          <w:lang w:val="es-CR"/>
        </w:rPr>
        <w:tab/>
      </w:r>
      <w:r w:rsidRPr="000B33B9">
        <w:rPr>
          <w:rFonts w:ascii="Verdana" w:hAnsi="Verdana"/>
          <w:i/>
          <w:sz w:val="16"/>
          <w:szCs w:val="16"/>
        </w:rPr>
        <w:t>Cfr.</w:t>
      </w:r>
      <w:r w:rsidRPr="000B33B9">
        <w:rPr>
          <w:rFonts w:ascii="Verdana" w:hAnsi="Verdana"/>
          <w:sz w:val="16"/>
          <w:szCs w:val="16"/>
        </w:rPr>
        <w:t xml:space="preserve"> </w:t>
      </w:r>
      <w:r w:rsidRPr="000B33B9">
        <w:rPr>
          <w:rFonts w:ascii="Verdana" w:hAnsi="Verdana"/>
          <w:i/>
          <w:sz w:val="16"/>
          <w:szCs w:val="16"/>
        </w:rPr>
        <w:t>Caso Las Palmeras Vs. Colombia. Reparaciones y Costas</w:t>
      </w:r>
      <w:r w:rsidRPr="000B33B9">
        <w:rPr>
          <w:rFonts w:ascii="Verdana" w:hAnsi="Verdana"/>
          <w:sz w:val="16"/>
          <w:szCs w:val="16"/>
        </w:rPr>
        <w:t xml:space="preserve">. Sentencia de 26 noviembre de 2002. Serie C No. 96, párr. 58, y </w:t>
      </w:r>
      <w:r w:rsidRPr="000B33B9">
        <w:rPr>
          <w:rFonts w:ascii="Verdana" w:hAnsi="Verdana"/>
          <w:i/>
          <w:sz w:val="16"/>
          <w:szCs w:val="16"/>
        </w:rPr>
        <w:t xml:space="preserve">Caso Romero Feris Vs. Argentina. Fondo, Reparaciones y Costas. </w:t>
      </w:r>
      <w:r w:rsidRPr="000B33B9">
        <w:rPr>
          <w:rFonts w:ascii="Verdana" w:hAnsi="Verdana"/>
          <w:sz w:val="16"/>
          <w:szCs w:val="16"/>
        </w:rPr>
        <w:t>Sentencia de 15 de octubre de 2019. Serie C No. 391, párr. 135.</w:t>
      </w:r>
    </w:p>
  </w:footnote>
  <w:footnote w:id="153">
    <w:p w14:paraId="5AD9B02F" w14:textId="77777777"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lang w:val="es-CR"/>
        </w:rPr>
        <w:t xml:space="preserve"> </w:t>
      </w:r>
      <w:r w:rsidRPr="000B33B9">
        <w:rPr>
          <w:rFonts w:ascii="Verdana" w:hAnsi="Verdana"/>
          <w:sz w:val="16"/>
          <w:szCs w:val="16"/>
          <w:lang w:val="es-CR"/>
        </w:rPr>
        <w:tab/>
      </w:r>
      <w:r w:rsidRPr="000B33B9">
        <w:rPr>
          <w:rFonts w:ascii="Verdana" w:hAnsi="Verdana"/>
          <w:i/>
          <w:sz w:val="16"/>
          <w:szCs w:val="16"/>
          <w:lang w:val="es-CR"/>
        </w:rPr>
        <w:t>Cfr. Caso Mejía Idrovo Vs. Ecuador. Excepciones Preliminares, Fondo, Reparaciones y Costas</w:t>
      </w:r>
      <w:r w:rsidRPr="000B33B9">
        <w:rPr>
          <w:rFonts w:ascii="Verdana" w:hAnsi="Verdana"/>
          <w:sz w:val="16"/>
          <w:szCs w:val="16"/>
          <w:lang w:val="es-CR"/>
        </w:rPr>
        <w:t xml:space="preserve">. Sentencia de 5 de julio de 2011. Serie C No. 228, párr. 105, y </w:t>
      </w:r>
      <w:r w:rsidRPr="000B33B9">
        <w:rPr>
          <w:rStyle w:val="Textoennegrita"/>
          <w:rFonts w:ascii="Verdana" w:hAnsi="Verdana"/>
          <w:b w:val="0"/>
          <w:i/>
          <w:color w:val="000000"/>
          <w:sz w:val="16"/>
          <w:szCs w:val="16"/>
          <w:shd w:val="clear" w:color="auto" w:fill="FFFFFF"/>
        </w:rPr>
        <w:t>Caso Muelle Flores Vs. Perú. Excepciones Preliminares, Fondo, Reparaciones y Costas</w:t>
      </w:r>
      <w:r w:rsidRPr="000B33B9">
        <w:rPr>
          <w:rStyle w:val="Textoennegrita"/>
          <w:rFonts w:ascii="Verdana" w:hAnsi="Verdana"/>
          <w:b w:val="0"/>
          <w:color w:val="000000"/>
          <w:sz w:val="16"/>
          <w:szCs w:val="16"/>
          <w:shd w:val="clear" w:color="auto" w:fill="FFFFFF"/>
        </w:rPr>
        <w:t>. Sentencia de 6 de marzo de 2019. Serie C No. 375, párr. 125.</w:t>
      </w:r>
    </w:p>
  </w:footnote>
  <w:footnote w:id="154">
    <w:p w14:paraId="53554C60" w14:textId="6555E225"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t>Decreto Legislativo No. 276 de 6 de marzo de 1984 (expediente de prueba, folios del 1615 al 1628).</w:t>
      </w:r>
    </w:p>
  </w:footnote>
  <w:footnote w:id="155">
    <w:p w14:paraId="32A08586" w14:textId="251A0C55"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t xml:space="preserve">Decreto Legislativo No. 673 de 23 de septiembre de 1991 </w:t>
      </w:r>
      <w:r w:rsidRPr="000B33B9">
        <w:rPr>
          <w:rFonts w:ascii="Verdana" w:hAnsi="Verdana"/>
          <w:sz w:val="16"/>
          <w:szCs w:val="16"/>
          <w:lang w:val="es-DO"/>
        </w:rPr>
        <w:t xml:space="preserve">(expediente de prueba, folios del 15094 al 15096). </w:t>
      </w:r>
    </w:p>
  </w:footnote>
  <w:footnote w:id="156">
    <w:p w14:paraId="18B3A58B" w14:textId="7955CF3A" w:rsidR="005A5D3C" w:rsidRPr="000B33B9" w:rsidRDefault="005A5D3C" w:rsidP="000B33B9">
      <w:pPr>
        <w:spacing w:after="120" w:line="240" w:lineRule="auto"/>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rPr>
        <w:t xml:space="preserve">Cfr. </w:t>
      </w:r>
      <w:r w:rsidRPr="000B33B9">
        <w:rPr>
          <w:rFonts w:ascii="Verdana" w:hAnsi="Verdana"/>
          <w:sz w:val="16"/>
          <w:szCs w:val="16"/>
        </w:rPr>
        <w:t>Resolución No. R.S. N°638-91-EF/SUNAT-A00000 de la SUNAT de 10 de abril de 1991 a favor de Álvarez González Darma María (expediente de prueba, folio 6857); Resolución No. R.S. N°334-91-EF/SUNAT-A00000 de la SUNAT de 15 de febrero de 1991 a favor de Álvarez Ramírez Glicerio (expediente de prueba, folio 6861); Resolución No. R.S. N°517-91-EF/SUNAT-A00000 de la SUNAT de 21 de marzo de 1991 a favor de Antúnez Solís Eduardo Manuel (expediente de prueba, folio 6871); Resolución No. R.S. N°532-91-EF/SUNAT-A00000 de la SUNAT de 21 de marzo de 1991 a favor de Benavides Espinoza Fortunato Raúl (expediente de prueba, folio 6965); Resolución No. R.S. N°263-91-EF/SUNAT-A00000 de la SUNAT de 13 de febrero de 1991 a favor de Berrocal Barraza Nelly (expediente de prueba, folio 6974); Resolución No. R.S. N°527-91-EF/SUNAT-A00000 de la SUNAT de 21 de marzo de 1991 a favor de Candela Lévano Víctor Alfredo (expediente de prueba, folio 7025); Resolución No. R.S. N°291-91-EF/SUNAT-A00000 de la SUNAT de 14 de febrero de 1991 a favor de Carranza Alfaro Constantino Percy (expediente de prueba, folio 7033); Resolución No. R.S. N°2053-91-EF/SUNAT-A00000 de la SUNAT de 19 de agosto de 1991 a favor de Carranza Martínez Victoria Estela (expediente de prueba, folio 7043); Resolución No. R.S. N°219-91-EF/SUNAT-A00000 de la SUNAT de 12 de febrero de 1991 a favor de Carrasco Ferrel Eloy (expediente de prueba, folio 7047); Resolución No. R.S. N°181-91-EF/SUNAT-A00000 de la SUNAT de 11 de febrero de 1991 a favor de Carreño Llanos Judith Yolanda (expediente de prueba, folio 7053); Resolución No. R.S. N°214-91-EF/SUNAT-A00000 de la SUNAT de 12 de febrero de 1991 a favor de Carreño Llanos Luisa Elizabeth (expediente de prueba, folio 7057); Resolución No. R.S. N°284-91-EF/SUNAT-A00000 de la SUNAT de 13 de febrero de 1991 a favor de Cassana Bazán Mercedes Irma (expediente de prueba, folio 7069); Resolución No. R.S. N°622-91-EF/SUNAT-A00000 de la SUNAT de 10 de abril de 1991 a favor de Castillo Sánchez Julia Manuela (expediente de prueba, folio 7076); Resolución No. R.S. N°488-91-EF/SUNAT-A00000 de la SUNAT de 21 de marzo de 1991 a favor de Chávez Centti Miguel Ángel (expediente de prueba, folio P7118), y Resolución No. R.S. N°211-91-EF/SUNAT-A00000 de la SUNAT de 12 de febrero de 1991 a favor de Chiriboga Pardo Jesús Eduardo (expediente de prueba, folio 7129).</w:t>
      </w:r>
    </w:p>
  </w:footnote>
  <w:footnote w:id="157">
    <w:p w14:paraId="3EE29692" w14:textId="785B7064"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rPr>
        <w:t>Cfr.</w:t>
      </w:r>
      <w:r w:rsidRPr="000B33B9">
        <w:rPr>
          <w:rFonts w:ascii="Verdana" w:hAnsi="Verdana"/>
          <w:sz w:val="16"/>
          <w:szCs w:val="16"/>
        </w:rPr>
        <w:t xml:space="preserve"> Decreto Legislativo No. 673 de 23 de septiembre de 1991. Tercera Disposición Transitoria </w:t>
      </w:r>
      <w:r w:rsidRPr="000B33B9">
        <w:rPr>
          <w:rFonts w:ascii="Verdana" w:hAnsi="Verdana"/>
          <w:sz w:val="16"/>
          <w:szCs w:val="16"/>
          <w:lang w:val="es-DO"/>
        </w:rPr>
        <w:t xml:space="preserve">(expediente de prueba, folios del 15094 al 15096). </w:t>
      </w:r>
      <w:r w:rsidRPr="000B33B9">
        <w:rPr>
          <w:rFonts w:ascii="Verdana" w:hAnsi="Verdana"/>
          <w:sz w:val="16"/>
          <w:szCs w:val="16"/>
        </w:rPr>
        <w:t xml:space="preserve"> </w:t>
      </w:r>
    </w:p>
  </w:footnote>
  <w:footnote w:id="158">
    <w:p w14:paraId="15B7270C" w14:textId="2BB724A5"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rPr>
        <w:t>Cfr.</w:t>
      </w:r>
      <w:r w:rsidRPr="000B33B9">
        <w:rPr>
          <w:rFonts w:ascii="Verdana" w:hAnsi="Verdana"/>
          <w:sz w:val="16"/>
          <w:szCs w:val="16"/>
        </w:rPr>
        <w:t xml:space="preserve"> Decreto Legislativo No. 673 de 23 de septiembre de 1991. Artículo 2 </w:t>
      </w:r>
      <w:r w:rsidRPr="000B33B9">
        <w:rPr>
          <w:rFonts w:ascii="Verdana" w:hAnsi="Verdana"/>
          <w:sz w:val="16"/>
          <w:szCs w:val="16"/>
          <w:lang w:val="es-DO"/>
        </w:rPr>
        <w:t xml:space="preserve">(expediente de prueba, folios del 15094 al 15096). </w:t>
      </w:r>
    </w:p>
  </w:footnote>
  <w:footnote w:id="159">
    <w:p w14:paraId="2E61C031" w14:textId="32CF1074"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lang w:val="es-DO"/>
        </w:rPr>
        <w:t>Cfr.</w:t>
      </w:r>
      <w:r w:rsidRPr="000B33B9">
        <w:rPr>
          <w:rFonts w:ascii="Verdana" w:hAnsi="Verdana"/>
          <w:sz w:val="16"/>
          <w:szCs w:val="16"/>
          <w:lang w:val="es-DO"/>
        </w:rPr>
        <w:t xml:space="preserve"> Sentencia de Corte Suprema de Justicia de la República de 25 de octubre de 1993 (expediente de prueba, folios del 23 al 25).</w:t>
      </w:r>
    </w:p>
  </w:footnote>
  <w:footnote w:id="160">
    <w:p w14:paraId="7716E08E" w14:textId="41A166DD"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lang w:val="es-DO"/>
        </w:rPr>
        <w:t>Cfr.</w:t>
      </w:r>
      <w:r w:rsidRPr="000B33B9">
        <w:rPr>
          <w:rFonts w:ascii="Verdana" w:hAnsi="Verdana"/>
          <w:sz w:val="16"/>
          <w:szCs w:val="16"/>
          <w:lang w:val="es-DO"/>
        </w:rPr>
        <w:t xml:space="preserve"> Resolución del Tribunal Constitucional de 25 de junio de 1996 (expediente de prueba, folio 29).</w:t>
      </w:r>
    </w:p>
  </w:footnote>
  <w:footnote w:id="161">
    <w:p w14:paraId="43B18FBD" w14:textId="17B17E2D"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rPr>
        <w:t>Cfr.</w:t>
      </w:r>
      <w:r w:rsidRPr="000B33B9">
        <w:rPr>
          <w:rFonts w:ascii="Verdana" w:hAnsi="Verdana"/>
          <w:sz w:val="16"/>
          <w:szCs w:val="16"/>
        </w:rPr>
        <w:t xml:space="preserve"> </w:t>
      </w:r>
      <w:r w:rsidRPr="000B33B9">
        <w:rPr>
          <w:rFonts w:ascii="Verdana" w:hAnsi="Verdana"/>
          <w:sz w:val="16"/>
          <w:szCs w:val="16"/>
          <w:lang w:val="es-DO"/>
        </w:rPr>
        <w:t>Resolución del Tribunal Constitucional de 10 de mayo de 2001, con relación al expediente No. 2001-AA/TC (expediente de prueba, folios del 70 al 73).</w:t>
      </w:r>
    </w:p>
  </w:footnote>
  <w:footnote w:id="162">
    <w:p w14:paraId="7115953C" w14:textId="71D89CBA"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sz w:val="16"/>
          <w:szCs w:val="16"/>
          <w:lang w:val="es-DO"/>
        </w:rPr>
        <w:t xml:space="preserve">Decreto Legislativo No. 673 de 23 de septiembre de 1991. </w:t>
      </w:r>
      <w:r w:rsidRPr="000B33B9">
        <w:rPr>
          <w:rFonts w:ascii="Verdana" w:hAnsi="Verdana"/>
          <w:sz w:val="16"/>
          <w:szCs w:val="16"/>
        </w:rPr>
        <w:t xml:space="preserve">Artículo 3 </w:t>
      </w:r>
      <w:r w:rsidRPr="000B33B9">
        <w:rPr>
          <w:rFonts w:ascii="Verdana" w:hAnsi="Verdana"/>
          <w:sz w:val="16"/>
          <w:szCs w:val="16"/>
          <w:lang w:val="es-DO"/>
        </w:rPr>
        <w:t xml:space="preserve">(expediente de prueba, folios del 15094 al 15096). </w:t>
      </w:r>
    </w:p>
  </w:footnote>
  <w:footnote w:id="163">
    <w:p w14:paraId="762C8BB9" w14:textId="5B30CDA5"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sz w:val="16"/>
          <w:szCs w:val="16"/>
          <w:lang w:val="es-CR"/>
        </w:rPr>
        <w:t>Sentencia del Tribunal Constitucional de 9 de agosto de 2011, con relación al expediente No. 00649-2011-PA/TC (expediente de prueba, folios del 15858 al 15868).</w:t>
      </w:r>
    </w:p>
  </w:footnote>
  <w:footnote w:id="164">
    <w:p w14:paraId="517224FE" w14:textId="5EC4FA19" w:rsidR="005A5D3C" w:rsidRPr="000B33B9" w:rsidRDefault="005A5D3C" w:rsidP="000B33B9">
      <w:pPr>
        <w:pStyle w:val="Textonotapie"/>
        <w:widowControl w:val="0"/>
        <w:tabs>
          <w:tab w:val="left" w:pos="426"/>
          <w:tab w:val="left" w:pos="567"/>
        </w:tabs>
        <w:spacing w:after="120"/>
        <w:jc w:val="both"/>
        <w:rPr>
          <w:rFonts w:ascii="Verdana" w:hAnsi="Verdana"/>
          <w:spacing w:val="-4"/>
          <w:sz w:val="16"/>
          <w:szCs w:val="16"/>
          <w:lang w:val="es-CR"/>
        </w:rPr>
      </w:pPr>
      <w:r w:rsidRPr="00B756D7">
        <w:rPr>
          <w:rStyle w:val="Refdenotaalpie"/>
          <w:rFonts w:ascii="Verdana" w:eastAsiaTheme="majorEastAsia" w:hAnsi="Verdana"/>
          <w:spacing w:val="-4"/>
          <w:sz w:val="16"/>
          <w:szCs w:val="16"/>
        </w:rPr>
        <w:footnoteRef/>
      </w:r>
      <w:r w:rsidRPr="00B756D7">
        <w:rPr>
          <w:rFonts w:ascii="Verdana" w:hAnsi="Verdana"/>
          <w:i/>
          <w:spacing w:val="-4"/>
          <w:sz w:val="16"/>
          <w:szCs w:val="16"/>
          <w:lang w:val="es-CR"/>
        </w:rPr>
        <w:t xml:space="preserve"> </w:t>
      </w:r>
      <w:r w:rsidRPr="00B756D7">
        <w:rPr>
          <w:rFonts w:ascii="Verdana" w:hAnsi="Verdana"/>
          <w:i/>
          <w:spacing w:val="-4"/>
          <w:sz w:val="16"/>
          <w:szCs w:val="16"/>
          <w:lang w:val="es-CR"/>
        </w:rPr>
        <w:tab/>
      </w:r>
      <w:r w:rsidRPr="00B756D7">
        <w:rPr>
          <w:rFonts w:ascii="Verdana" w:hAnsi="Verdana"/>
          <w:i/>
          <w:spacing w:val="-4"/>
          <w:sz w:val="16"/>
          <w:szCs w:val="16"/>
          <w:lang w:val="es-CR"/>
        </w:rPr>
        <w:tab/>
      </w:r>
      <w:r w:rsidRPr="00B756D7">
        <w:rPr>
          <w:rFonts w:ascii="Verdana" w:hAnsi="Verdana"/>
          <w:i/>
          <w:spacing w:val="-4"/>
          <w:sz w:val="16"/>
          <w:szCs w:val="16"/>
          <w:lang w:val="es-CR"/>
        </w:rPr>
        <w:tab/>
        <w:t>Cfr.</w:t>
      </w:r>
      <w:r w:rsidRPr="00B756D7">
        <w:rPr>
          <w:rFonts w:ascii="Verdana" w:hAnsi="Verdana"/>
          <w:spacing w:val="-4"/>
          <w:sz w:val="16"/>
          <w:szCs w:val="16"/>
          <w:lang w:val="es-CR"/>
        </w:rPr>
        <w:t xml:space="preserve"> </w:t>
      </w:r>
      <w:r w:rsidRPr="00B756D7">
        <w:rPr>
          <w:rFonts w:ascii="Verdana" w:hAnsi="Verdana" w:cs="Tahoma"/>
          <w:i/>
          <w:sz w:val="16"/>
          <w:szCs w:val="16"/>
          <w:lang w:val="es-CR"/>
        </w:rPr>
        <w:t xml:space="preserve">Caso Apitz Barbera y otros (“Corte Primera de lo Contencioso Administrativo”) Vs. Venezuela. Excepción Preliminar, Fondo, Reparaciones y Costas. </w:t>
      </w:r>
      <w:r w:rsidRPr="00B756D7">
        <w:rPr>
          <w:rFonts w:ascii="Verdana" w:hAnsi="Verdana" w:cs="Tahoma"/>
          <w:sz w:val="16"/>
          <w:szCs w:val="16"/>
          <w:lang w:val="es-CR"/>
        </w:rPr>
        <w:t>Sentencia de 5 de agosto de 2008. Serie C No. 182</w:t>
      </w:r>
      <w:r w:rsidRPr="00B756D7">
        <w:rPr>
          <w:rFonts w:ascii="Verdana" w:hAnsi="Verdana"/>
          <w:i/>
          <w:spacing w:val="-4"/>
          <w:sz w:val="16"/>
          <w:szCs w:val="16"/>
          <w:lang w:val="es-CR"/>
        </w:rPr>
        <w:t xml:space="preserve">, </w:t>
      </w:r>
      <w:r w:rsidRPr="00B756D7">
        <w:rPr>
          <w:rFonts w:ascii="Verdana" w:hAnsi="Verdana"/>
          <w:spacing w:val="-4"/>
          <w:sz w:val="16"/>
          <w:szCs w:val="16"/>
          <w:lang w:val="es-CR"/>
        </w:rPr>
        <w:t xml:space="preserve">párr. 77, y </w:t>
      </w:r>
      <w:r w:rsidRPr="00B756D7">
        <w:rPr>
          <w:rFonts w:ascii="Verdana" w:hAnsi="Verdana"/>
          <w:i/>
          <w:sz w:val="16"/>
          <w:szCs w:val="16"/>
          <w:lang w:val="es-DO"/>
        </w:rPr>
        <w:t>Caso Perrone y Preckel Vs. Argentina. Excepciones Preliminares, Fondo, Reparaciones y Costas.</w:t>
      </w:r>
      <w:r w:rsidRPr="00B756D7">
        <w:rPr>
          <w:rFonts w:ascii="Verdana" w:hAnsi="Verdana"/>
          <w:sz w:val="16"/>
          <w:szCs w:val="16"/>
          <w:lang w:val="es-DO"/>
        </w:rPr>
        <w:t xml:space="preserve"> Sentencia de 8 de octubre de 2019.</w:t>
      </w:r>
      <w:r w:rsidRPr="000B33B9">
        <w:rPr>
          <w:rFonts w:ascii="Verdana" w:hAnsi="Verdana"/>
          <w:sz w:val="16"/>
          <w:szCs w:val="16"/>
          <w:lang w:val="es-DO"/>
        </w:rPr>
        <w:t xml:space="preserve"> Serie C No. 385, párr. 120.</w:t>
      </w:r>
    </w:p>
  </w:footnote>
  <w:footnote w:id="165">
    <w:p w14:paraId="23020682" w14:textId="0ECCFB44"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rPr>
        <w:t>Cfr. Caso Claude Reyes y otros Vs. Chile. Fondo, Reparaciones y Costas</w:t>
      </w:r>
      <w:r w:rsidRPr="000B33B9">
        <w:rPr>
          <w:rFonts w:ascii="Verdana" w:hAnsi="Verdana"/>
          <w:sz w:val="16"/>
          <w:szCs w:val="16"/>
        </w:rPr>
        <w:t>. Sentencia de 19 de septiembre de 2006. Serie C No. 151, párr. 122,</w:t>
      </w:r>
      <w:r w:rsidRPr="000B33B9">
        <w:rPr>
          <w:rFonts w:ascii="Verdana" w:hAnsi="Verdana"/>
          <w:spacing w:val="-4"/>
          <w:sz w:val="16"/>
          <w:szCs w:val="16"/>
          <w:lang w:val="es-CR"/>
        </w:rPr>
        <w:t xml:space="preserve"> y </w:t>
      </w:r>
      <w:r w:rsidRPr="000B33B9">
        <w:rPr>
          <w:rFonts w:ascii="Verdana" w:hAnsi="Verdana"/>
          <w:i/>
          <w:sz w:val="16"/>
          <w:szCs w:val="16"/>
          <w:lang w:val="es-DO"/>
        </w:rPr>
        <w:t>Caso Perrone y Preckel Vs. Argentina. Excepciones Preliminares, Fondo, Reparaciones y Costas.</w:t>
      </w:r>
      <w:r w:rsidRPr="000B33B9">
        <w:rPr>
          <w:rFonts w:ascii="Verdana" w:hAnsi="Verdana"/>
          <w:sz w:val="16"/>
          <w:szCs w:val="16"/>
          <w:lang w:val="es-DO"/>
        </w:rPr>
        <w:t xml:space="preserve"> Sentencia de 8 de octubre de 2019. Serie C No. 385, párr. 120.</w:t>
      </w:r>
      <w:r w:rsidRPr="000B33B9">
        <w:rPr>
          <w:rFonts w:ascii="Verdana" w:hAnsi="Verdana"/>
          <w:sz w:val="16"/>
          <w:szCs w:val="16"/>
        </w:rPr>
        <w:t xml:space="preserve"> </w:t>
      </w:r>
    </w:p>
  </w:footnote>
  <w:footnote w:id="166">
    <w:p w14:paraId="1FC061BA" w14:textId="17669A97"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t xml:space="preserve">Amparo interpuesto por ANCEJUB-SUNAT el 19 de diciembre de 1991, ante el </w:t>
      </w:r>
      <w:r w:rsidRPr="000B33B9">
        <w:rPr>
          <w:rFonts w:ascii="Verdana" w:hAnsi="Verdana" w:cs="Arial"/>
          <w:sz w:val="16"/>
          <w:szCs w:val="16"/>
          <w:lang w:val="es-CR"/>
        </w:rPr>
        <w:t xml:space="preserve">Quinto Juzgado Especializado en lo Civil de Lima (expediente de prueba, folios del 3 al 15). </w:t>
      </w:r>
    </w:p>
  </w:footnote>
  <w:footnote w:id="167">
    <w:p w14:paraId="3271CE66" w14:textId="628942A2"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lang w:val="es-DO"/>
        </w:rPr>
        <w:footnoteRef/>
      </w:r>
      <w:r w:rsidRPr="000B33B9">
        <w:rPr>
          <w:rFonts w:ascii="Verdana" w:hAnsi="Verdana"/>
          <w:sz w:val="16"/>
          <w:szCs w:val="16"/>
          <w:lang w:val="es-DO"/>
        </w:rPr>
        <w:t xml:space="preserve"> </w:t>
      </w:r>
      <w:r w:rsidRPr="000B33B9">
        <w:rPr>
          <w:rFonts w:ascii="Verdana" w:hAnsi="Verdana"/>
          <w:sz w:val="16"/>
          <w:szCs w:val="16"/>
          <w:lang w:val="es-DO"/>
        </w:rPr>
        <w:tab/>
        <w:t>Sentencia de la Corte Suprema de Justicia de la República de 25 de octubre de 1993 (expediente de prueba, folios del 23 al 25).</w:t>
      </w:r>
    </w:p>
  </w:footnote>
  <w:footnote w:id="168">
    <w:p w14:paraId="5307F0E0" w14:textId="77777777"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rPr>
        <w:t>Cfr. Caso García Ibarra y Otros Vs. Ecuador. Excepciones Preliminares, Fondo, Reparaciones y Costas.</w:t>
      </w:r>
      <w:r w:rsidRPr="000B33B9">
        <w:rPr>
          <w:rFonts w:ascii="Verdana" w:hAnsi="Verdana"/>
          <w:sz w:val="16"/>
          <w:szCs w:val="16"/>
        </w:rPr>
        <w:t xml:space="preserve"> Sentencia de 17 de noviembre de 2015. Serie C No. 306, párr. 151. </w:t>
      </w:r>
    </w:p>
  </w:footnote>
  <w:footnote w:id="169">
    <w:p w14:paraId="72B0A8B3" w14:textId="0AB8D039" w:rsidR="005A5D3C" w:rsidRPr="000B33B9" w:rsidRDefault="005A5D3C" w:rsidP="000B33B9">
      <w:pPr>
        <w:pStyle w:val="Textonotapie"/>
        <w:widowControl w:val="0"/>
        <w:tabs>
          <w:tab w:val="left" w:pos="426"/>
          <w:tab w:val="left" w:pos="567"/>
          <w:tab w:val="left" w:pos="709"/>
        </w:tabs>
        <w:spacing w:after="120"/>
        <w:jc w:val="both"/>
        <w:rPr>
          <w:rFonts w:ascii="Verdana" w:hAnsi="Verdana"/>
          <w:spacing w:val="-4"/>
          <w:sz w:val="16"/>
          <w:szCs w:val="16"/>
          <w:lang w:val="es-CR"/>
        </w:rPr>
      </w:pPr>
      <w:r w:rsidRPr="000B33B9">
        <w:rPr>
          <w:rStyle w:val="Refdenotaalpie"/>
          <w:rFonts w:ascii="Verdana" w:eastAsiaTheme="majorEastAsia" w:hAnsi="Verdana"/>
          <w:spacing w:val="-4"/>
          <w:sz w:val="16"/>
          <w:szCs w:val="16"/>
        </w:rPr>
        <w:footnoteRef/>
      </w:r>
      <w:r w:rsidRPr="000B33B9">
        <w:rPr>
          <w:rFonts w:ascii="Verdana" w:hAnsi="Verdana"/>
          <w:i/>
          <w:spacing w:val="-4"/>
          <w:sz w:val="16"/>
          <w:szCs w:val="16"/>
          <w:lang w:val="es-CR"/>
        </w:rPr>
        <w:tab/>
      </w:r>
      <w:r w:rsidRPr="000B33B9">
        <w:rPr>
          <w:rFonts w:ascii="Verdana" w:hAnsi="Verdana"/>
          <w:i/>
          <w:spacing w:val="-4"/>
          <w:sz w:val="16"/>
          <w:szCs w:val="16"/>
          <w:lang w:val="es-CR"/>
        </w:rPr>
        <w:tab/>
      </w:r>
      <w:r w:rsidRPr="000B33B9">
        <w:rPr>
          <w:rFonts w:ascii="Verdana" w:hAnsi="Verdana"/>
          <w:i/>
          <w:spacing w:val="-4"/>
          <w:sz w:val="16"/>
          <w:szCs w:val="16"/>
          <w:lang w:val="es-CR"/>
        </w:rPr>
        <w:tab/>
        <w:t>Cfr</w:t>
      </w:r>
      <w:r w:rsidRPr="000B33B9">
        <w:rPr>
          <w:rFonts w:ascii="Verdana" w:hAnsi="Verdana"/>
          <w:spacing w:val="-4"/>
          <w:sz w:val="16"/>
          <w:szCs w:val="16"/>
          <w:lang w:val="es-CR"/>
        </w:rPr>
        <w:t xml:space="preserve">. </w:t>
      </w:r>
      <w:r w:rsidRPr="000B33B9">
        <w:rPr>
          <w:rFonts w:ascii="Verdana" w:hAnsi="Verdana"/>
          <w:i/>
          <w:sz w:val="16"/>
          <w:szCs w:val="16"/>
        </w:rPr>
        <w:t>Caso López Álvarez Vs. Honduras. Fondo, Reparaciones y Costas</w:t>
      </w:r>
      <w:r w:rsidRPr="000B33B9">
        <w:rPr>
          <w:rFonts w:ascii="Verdana" w:hAnsi="Verdana"/>
          <w:sz w:val="16"/>
          <w:szCs w:val="16"/>
        </w:rPr>
        <w:t>. Sentencia de 1 de febrero de 2006. Serie C No. 141, párr. 96</w:t>
      </w:r>
      <w:r w:rsidRPr="000B33B9">
        <w:rPr>
          <w:rFonts w:ascii="Verdana" w:hAnsi="Verdana"/>
          <w:spacing w:val="-4"/>
          <w:sz w:val="16"/>
          <w:szCs w:val="16"/>
          <w:lang w:val="es-CR"/>
        </w:rPr>
        <w:t xml:space="preserve">, y </w:t>
      </w:r>
      <w:r w:rsidRPr="000B33B9">
        <w:rPr>
          <w:rFonts w:ascii="Verdana" w:hAnsi="Verdana"/>
          <w:i/>
          <w:sz w:val="16"/>
          <w:szCs w:val="16"/>
          <w:lang w:val="es-DO"/>
        </w:rPr>
        <w:t>Caso Perrone y Preckel Vs. Argentina. Excepciones Preliminares, Fondo, Reparaciones y Costas.</w:t>
      </w:r>
      <w:r w:rsidRPr="000B33B9">
        <w:rPr>
          <w:rFonts w:ascii="Verdana" w:hAnsi="Verdana"/>
          <w:sz w:val="16"/>
          <w:szCs w:val="16"/>
          <w:lang w:val="es-DO"/>
        </w:rPr>
        <w:t xml:space="preserve"> Sentencia de 8 de octubre de 2019. Serie C No. 385, párr. 121.</w:t>
      </w:r>
    </w:p>
  </w:footnote>
  <w:footnote w:id="170">
    <w:p w14:paraId="7E44C75F" w14:textId="3DEC8A36" w:rsidR="005A5D3C" w:rsidRPr="000B33B9" w:rsidRDefault="005A5D3C" w:rsidP="000B33B9">
      <w:pPr>
        <w:pStyle w:val="Textonotapie"/>
        <w:widowControl w:val="0"/>
        <w:tabs>
          <w:tab w:val="left" w:pos="709"/>
        </w:tabs>
        <w:spacing w:after="120"/>
        <w:jc w:val="both"/>
        <w:rPr>
          <w:rFonts w:ascii="Verdana" w:hAnsi="Verdana"/>
          <w:sz w:val="16"/>
          <w:szCs w:val="16"/>
          <w:lang w:val="es-CR"/>
        </w:rPr>
      </w:pPr>
      <w:r w:rsidRPr="000B33B9">
        <w:rPr>
          <w:rStyle w:val="Refdenotaalpie"/>
          <w:rFonts w:ascii="Verdana" w:eastAsiaTheme="majorEastAsia" w:hAnsi="Verdana"/>
          <w:sz w:val="16"/>
          <w:szCs w:val="16"/>
        </w:rPr>
        <w:footnoteRef/>
      </w:r>
      <w:r w:rsidRPr="000B33B9">
        <w:rPr>
          <w:rFonts w:ascii="Verdana" w:hAnsi="Verdana"/>
          <w:i/>
          <w:sz w:val="16"/>
          <w:szCs w:val="16"/>
          <w:lang w:val="es-CR"/>
        </w:rPr>
        <w:tab/>
        <w:t xml:space="preserve">Cfr. </w:t>
      </w:r>
      <w:r w:rsidRPr="000B33B9">
        <w:rPr>
          <w:rFonts w:ascii="Verdana" w:hAnsi="Verdana"/>
          <w:bCs/>
          <w:i/>
          <w:sz w:val="16"/>
          <w:szCs w:val="16"/>
          <w:lang w:val="es-CR"/>
        </w:rPr>
        <w:t xml:space="preserve">Caso Velásquez Rodríguez Vs. Honduras. Fondo. </w:t>
      </w:r>
      <w:r w:rsidRPr="000B33B9">
        <w:rPr>
          <w:rFonts w:ascii="Verdana" w:hAnsi="Verdana"/>
          <w:bCs/>
          <w:sz w:val="16"/>
          <w:szCs w:val="16"/>
          <w:lang w:val="es-CR"/>
        </w:rPr>
        <w:t>Sentencia de 29 de julio de 1988. Serie C No. 4, párr. 67</w:t>
      </w:r>
      <w:r w:rsidRPr="000B33B9">
        <w:rPr>
          <w:rFonts w:ascii="Verdana" w:hAnsi="Verdana"/>
          <w:sz w:val="16"/>
          <w:szCs w:val="16"/>
        </w:rPr>
        <w:t xml:space="preserve">, y </w:t>
      </w:r>
      <w:r w:rsidRPr="000B33B9">
        <w:rPr>
          <w:rFonts w:ascii="Verdana" w:hAnsi="Verdana"/>
          <w:i/>
          <w:sz w:val="16"/>
          <w:szCs w:val="16"/>
        </w:rPr>
        <w:t xml:space="preserve">Caso Romero Feris Vs. Argentina. Fondo, Reparaciones y Costas. </w:t>
      </w:r>
      <w:r w:rsidRPr="000B33B9">
        <w:rPr>
          <w:rFonts w:ascii="Verdana" w:hAnsi="Verdana"/>
          <w:sz w:val="16"/>
          <w:szCs w:val="16"/>
        </w:rPr>
        <w:t xml:space="preserve">Sentencia de 15 de octubre de 2019. Serie C No. 391, párr. 135. </w:t>
      </w:r>
    </w:p>
  </w:footnote>
  <w:footnote w:id="171">
    <w:p w14:paraId="2FA17A87" w14:textId="211451A3"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rPr>
        <w:t>Cfr. Caso Barbani Duarte y Otros Vs. Uruguay. Fondo Reparaciones y Costas.</w:t>
      </w:r>
      <w:r w:rsidRPr="000B33B9">
        <w:rPr>
          <w:rFonts w:ascii="Verdana" w:hAnsi="Verdana"/>
          <w:sz w:val="16"/>
          <w:szCs w:val="16"/>
        </w:rPr>
        <w:t xml:space="preserve"> Sentencia de 13 de octubre de 2011. Serie C No. 234, párr. 122, y </w:t>
      </w:r>
      <w:r w:rsidRPr="000B33B9">
        <w:rPr>
          <w:rFonts w:ascii="Verdana" w:hAnsi="Verdana"/>
          <w:i/>
          <w:sz w:val="16"/>
          <w:szCs w:val="16"/>
          <w:lang w:val="es-CR"/>
        </w:rPr>
        <w:t xml:space="preserve">Cfr. Caso Duque Vs. Colombia. </w:t>
      </w:r>
      <w:r w:rsidRPr="000B33B9">
        <w:rPr>
          <w:rFonts w:ascii="Verdana" w:hAnsi="Verdana"/>
          <w:i/>
          <w:sz w:val="16"/>
          <w:szCs w:val="16"/>
          <w:lang w:val="es-DO"/>
        </w:rPr>
        <w:t>Excepciones Preliminares, Fondo, Reparaciones y Costas</w:t>
      </w:r>
      <w:r w:rsidRPr="000B33B9">
        <w:rPr>
          <w:rFonts w:ascii="Verdana" w:hAnsi="Verdana"/>
          <w:sz w:val="16"/>
          <w:szCs w:val="16"/>
          <w:lang w:val="es-CR"/>
        </w:rPr>
        <w:t>. Sentencia de 26 de febrero de 2016. Serie C No. 310, párr. 155.</w:t>
      </w:r>
      <w:r w:rsidRPr="000B33B9">
        <w:rPr>
          <w:rFonts w:ascii="Verdana" w:hAnsi="Verdana"/>
          <w:sz w:val="16"/>
          <w:szCs w:val="16"/>
        </w:rPr>
        <w:t xml:space="preserve"> </w:t>
      </w:r>
    </w:p>
  </w:footnote>
  <w:footnote w:id="172">
    <w:p w14:paraId="60E65FFD" w14:textId="54969097"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Pr>
          <w:rFonts w:ascii="Verdana" w:hAnsi="Verdana"/>
          <w:sz w:val="16"/>
          <w:szCs w:val="16"/>
          <w:lang w:val="es-DO"/>
        </w:rPr>
        <w:t>Resolución</w:t>
      </w:r>
      <w:r w:rsidRPr="000B33B9">
        <w:rPr>
          <w:rFonts w:ascii="Verdana" w:hAnsi="Verdana"/>
          <w:sz w:val="16"/>
          <w:szCs w:val="16"/>
          <w:lang w:val="es-DO"/>
        </w:rPr>
        <w:t xml:space="preserve"> del Tribunal Constitucional de 23 de abril de 2019, con relación al expediente No. 00289-2018-PA/TC (prueba superviniente, depositada por el Estado en audiencia pública de fecha 7 de mayo de 2019).</w:t>
      </w:r>
    </w:p>
  </w:footnote>
  <w:footnote w:id="173">
    <w:p w14:paraId="4C66F6C5" w14:textId="412A4BB9"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sz w:val="16"/>
          <w:szCs w:val="16"/>
          <w:lang w:val="es-DO"/>
        </w:rPr>
        <w:t>Sentencia de la Corte Suprema de Justicia de la República de 25 de octubre de 1993 (expediente de prueba, folios del 23 al 25).</w:t>
      </w:r>
    </w:p>
  </w:footnote>
  <w:footnote w:id="174">
    <w:p w14:paraId="2515CBB8" w14:textId="117D3FC0"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rPr>
        <w:t>Cfr.</w:t>
      </w:r>
      <w:r w:rsidRPr="000B33B9">
        <w:rPr>
          <w:rFonts w:ascii="Verdana" w:hAnsi="Verdana"/>
          <w:sz w:val="16"/>
          <w:szCs w:val="16"/>
        </w:rPr>
        <w:t xml:space="preserve"> Amparo interpuesto por ANCEJUB-SUNAT el 19 de diciembre de 1991, ante el </w:t>
      </w:r>
      <w:r w:rsidRPr="000B33B9">
        <w:rPr>
          <w:rFonts w:ascii="Verdana" w:hAnsi="Verdana" w:cs="Arial"/>
          <w:sz w:val="16"/>
          <w:szCs w:val="16"/>
          <w:lang w:val="es-CR"/>
        </w:rPr>
        <w:t xml:space="preserve">Quinto Juzgado Especializado en lo Civil de Lima (expediente de prueba, folios del 3 al 15). </w:t>
      </w:r>
    </w:p>
  </w:footnote>
  <w:footnote w:id="175">
    <w:p w14:paraId="503517C0" w14:textId="334BAFBE"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lang w:val="es-DO"/>
        </w:rPr>
        <w:t>Cfr.</w:t>
      </w:r>
      <w:r w:rsidRPr="000B33B9">
        <w:rPr>
          <w:rFonts w:ascii="Verdana" w:hAnsi="Verdana"/>
          <w:sz w:val="16"/>
          <w:szCs w:val="16"/>
          <w:lang w:val="es-DO"/>
        </w:rPr>
        <w:t xml:space="preserve"> Resolución del Tribunal Constitucional de 10 de mayo de 2001, con relación al expediente No. 2001-AA/TC (expediente de prueba, folios del 70 al 73).</w:t>
      </w:r>
    </w:p>
  </w:footnote>
  <w:footnote w:id="176">
    <w:p w14:paraId="1FDD0CA6" w14:textId="56E6F47F"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rPr>
        <w:t>Cfr.</w:t>
      </w:r>
      <w:r w:rsidRPr="000B33B9">
        <w:rPr>
          <w:rFonts w:ascii="Verdana" w:hAnsi="Verdana"/>
          <w:sz w:val="16"/>
          <w:szCs w:val="16"/>
        </w:rPr>
        <w:t xml:space="preserve"> </w:t>
      </w:r>
      <w:r w:rsidRPr="000B33B9">
        <w:rPr>
          <w:rFonts w:ascii="Verdana" w:hAnsi="Verdana"/>
          <w:sz w:val="16"/>
          <w:szCs w:val="16"/>
          <w:lang w:val="es-DO"/>
        </w:rPr>
        <w:t xml:space="preserve">Resolución del Sexagésimo Tercer Juzgado Especializado en lo Civil de Lima de 11 de abril de 2002 (expediente de prueba, folios del 77 al 79), y Resolución del Sexagésimo Tercer Juzgado Especializado en lo Civil de Lima de 30 de mayo de 2002 (expediente de prueba, folio 81). </w:t>
      </w:r>
    </w:p>
  </w:footnote>
  <w:footnote w:id="177">
    <w:p w14:paraId="7E3B055B" w14:textId="2AFA2215"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sz w:val="16"/>
          <w:szCs w:val="16"/>
          <w:lang w:val="es-DO"/>
        </w:rPr>
        <w:t>Escrito de 31 de mayo de 2002 suscrito por la SUNAT, dirigido al Sexagésimo Tercer Juzgado Especializado en lo Civil de Lima (expediente de prueba, folios del 83 al 86).</w:t>
      </w:r>
    </w:p>
  </w:footnote>
  <w:footnote w:id="178">
    <w:p w14:paraId="39497815" w14:textId="3BEBA597"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lang w:val="es-DO"/>
        </w:rPr>
        <w:t>Cfr</w:t>
      </w:r>
      <w:r w:rsidRPr="000B33B9">
        <w:rPr>
          <w:rFonts w:ascii="Verdana" w:hAnsi="Verdana"/>
          <w:sz w:val="16"/>
          <w:szCs w:val="16"/>
          <w:lang w:val="es-DO"/>
        </w:rPr>
        <w:t>. Resolución del Sexagésimo Tercer Juzgado Especializado en lo Civil de Lima de 24 de junio de 2002 (expediente de prueba, folios del 88 al 91), y Resolución del Sexagésimo Tercer Juzgado Especializado en lo Civil de Lima de 23 de septiembre de 2002 (expediente de prueba, folios 113 y 114).</w:t>
      </w:r>
    </w:p>
  </w:footnote>
  <w:footnote w:id="179">
    <w:p w14:paraId="52909991" w14:textId="56F67E8C"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lang w:val="es-DO"/>
        </w:rPr>
        <w:t>Cfr</w:t>
      </w:r>
      <w:r w:rsidRPr="000B33B9">
        <w:rPr>
          <w:rFonts w:ascii="Verdana" w:hAnsi="Verdana"/>
          <w:sz w:val="16"/>
          <w:szCs w:val="16"/>
          <w:lang w:val="es-DO"/>
        </w:rPr>
        <w:t xml:space="preserve">. Resolución de la Sexta Sala Civil de la Corte Superior de Lima de 3 de junio de 2005 (expediente de prueba, folios del 15927 al 15935). </w:t>
      </w:r>
    </w:p>
  </w:footnote>
  <w:footnote w:id="180">
    <w:p w14:paraId="15583059" w14:textId="577C2D2E"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rPr>
        <w:t>Cfr.</w:t>
      </w:r>
      <w:r w:rsidRPr="000B33B9">
        <w:rPr>
          <w:rFonts w:ascii="Verdana" w:hAnsi="Verdana"/>
          <w:sz w:val="16"/>
          <w:szCs w:val="16"/>
        </w:rPr>
        <w:t xml:space="preserve"> </w:t>
      </w:r>
      <w:r>
        <w:rPr>
          <w:rFonts w:ascii="Verdana" w:hAnsi="Verdana"/>
          <w:sz w:val="16"/>
          <w:szCs w:val="16"/>
          <w:lang w:val="es-DO"/>
        </w:rPr>
        <w:t>Resolución</w:t>
      </w:r>
      <w:r w:rsidRPr="000B33B9">
        <w:rPr>
          <w:rFonts w:ascii="Verdana" w:hAnsi="Verdana"/>
          <w:sz w:val="16"/>
          <w:szCs w:val="16"/>
          <w:lang w:val="es-DO"/>
        </w:rPr>
        <w:t xml:space="preserve"> del Tribunal Constitucional de 23 de abril de 2019, con relación al expediente No. 00289-2018-PA/TC (prueba superviniente, depositada por el Estado en audiencia pública de fecha 7 de mayo de 2019).</w:t>
      </w:r>
    </w:p>
  </w:footnote>
  <w:footnote w:id="181">
    <w:p w14:paraId="408CB38F" w14:textId="51D0E9E3"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t>El Tribunal advierte que de las 704 personas contempladas por la Comisión en su Informe de Fondo como presuntas víc</w:t>
      </w:r>
      <w:r>
        <w:rPr>
          <w:rFonts w:ascii="Verdana" w:hAnsi="Verdana"/>
          <w:sz w:val="16"/>
          <w:szCs w:val="16"/>
        </w:rPr>
        <w:t>timas, 597</w:t>
      </w:r>
      <w:r w:rsidRPr="000B33B9">
        <w:rPr>
          <w:rFonts w:ascii="Verdana" w:hAnsi="Verdana"/>
          <w:sz w:val="16"/>
          <w:szCs w:val="16"/>
        </w:rPr>
        <w:t xml:space="preserve"> fueron también consideradas como beneficiarias de la sentencia de 25 de octubre de 1993, conforme la resolución de 3 de junio de 2005 y el peritaje de 18 de octubre de 2011. Las personas no contempladas en el Informe de Fondo por parte de la Comisión pero sí contempladas en la sentencia de 3 de junio de 2005 o en peritaje de 18 de octubre de 2011 no constituyen presuntas víctimas del caso. </w:t>
      </w:r>
    </w:p>
  </w:footnote>
  <w:footnote w:id="182">
    <w:p w14:paraId="758B3F1F" w14:textId="715ADB86"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t>La Ley 23495 establece en su artículo 1, literal b, que “el importe de la nivelación se determinará por la diferencia entre el monto de la remuneración que corresponda al cargo o cargo similar determinado y al monto total de la pensión del cesante o jubilado”. Ley 23495 de 19 de noviembre de 1982.</w:t>
      </w:r>
    </w:p>
  </w:footnote>
  <w:footnote w:id="183">
    <w:p w14:paraId="7A01908E" w14:textId="49D60005"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lang w:val="es-CR"/>
        </w:rPr>
        <w:t>Cfr.</w:t>
      </w:r>
      <w:r w:rsidRPr="000B33B9">
        <w:rPr>
          <w:rFonts w:ascii="Verdana" w:hAnsi="Verdana"/>
          <w:sz w:val="16"/>
          <w:szCs w:val="16"/>
          <w:lang w:val="es-CR"/>
        </w:rPr>
        <w:t xml:space="preserve"> Resolución No. 46 del Sexagésimo Sexto Juzgado Especializado en lo Civil de Lima de 5 de mayo de 2005 (expediente de prueba, folios del 161 al 164). </w:t>
      </w:r>
    </w:p>
  </w:footnote>
  <w:footnote w:id="184">
    <w:p w14:paraId="29138103" w14:textId="17639EE4"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lang w:val="es-DO"/>
        </w:rPr>
        <w:t>Cfr.</w:t>
      </w:r>
      <w:r w:rsidRPr="000B33B9">
        <w:rPr>
          <w:rFonts w:ascii="Verdana" w:hAnsi="Verdana"/>
          <w:sz w:val="16"/>
          <w:szCs w:val="16"/>
          <w:lang w:val="es-DO"/>
        </w:rPr>
        <w:t xml:space="preserve"> Resolución de la </w:t>
      </w:r>
      <w:r w:rsidRPr="000B33B9">
        <w:rPr>
          <w:rFonts w:ascii="Verdana" w:eastAsia="Calibri" w:hAnsi="Verdana" w:cs="Times New Roman"/>
          <w:sz w:val="16"/>
          <w:szCs w:val="16"/>
          <w:lang w:val="es-ES" w:eastAsia="es-ES"/>
        </w:rPr>
        <w:t xml:space="preserve">Sexta Sala Civil de la Corte Superior de Justicia de Lima de </w:t>
      </w:r>
      <w:r w:rsidRPr="000B33B9">
        <w:rPr>
          <w:rFonts w:ascii="Verdana" w:hAnsi="Verdana"/>
          <w:sz w:val="16"/>
          <w:szCs w:val="16"/>
          <w:lang w:val="es-DO"/>
        </w:rPr>
        <w:t xml:space="preserve">24 de julio de 2006 </w:t>
      </w:r>
      <w:r w:rsidRPr="000B33B9">
        <w:rPr>
          <w:rFonts w:ascii="Verdana" w:hAnsi="Verdana"/>
          <w:sz w:val="16"/>
          <w:szCs w:val="16"/>
          <w:lang w:val="es-CR"/>
        </w:rPr>
        <w:t>(expediente de prueba, folios del 176 al 184).</w:t>
      </w:r>
    </w:p>
  </w:footnote>
  <w:footnote w:id="185">
    <w:p w14:paraId="6C491971" w14:textId="31EE27DC"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rPr>
        <w:t>Cfr.</w:t>
      </w:r>
      <w:r w:rsidRPr="000B33B9">
        <w:rPr>
          <w:rFonts w:ascii="Verdana" w:hAnsi="Verdana"/>
          <w:sz w:val="16"/>
          <w:szCs w:val="16"/>
        </w:rPr>
        <w:t xml:space="preserve"> </w:t>
      </w:r>
      <w:r w:rsidRPr="000B33B9">
        <w:rPr>
          <w:rFonts w:ascii="Verdana" w:hAnsi="Verdana"/>
          <w:sz w:val="16"/>
          <w:szCs w:val="16"/>
          <w:lang w:val="es-DO"/>
        </w:rPr>
        <w:t xml:space="preserve">Resolución No. 138 del </w:t>
      </w:r>
      <w:r w:rsidRPr="000B33B9">
        <w:rPr>
          <w:rFonts w:ascii="Verdana" w:hAnsi="Verdana"/>
          <w:sz w:val="16"/>
          <w:szCs w:val="16"/>
          <w:lang w:val="es-CR"/>
        </w:rPr>
        <w:t xml:space="preserve">Sexagésimo Sexto Juzgado Especializado en lo Civil de Lima </w:t>
      </w:r>
      <w:r w:rsidRPr="000B33B9">
        <w:rPr>
          <w:rFonts w:ascii="Verdana" w:hAnsi="Verdana"/>
          <w:sz w:val="16"/>
          <w:szCs w:val="16"/>
          <w:lang w:val="es-DO"/>
        </w:rPr>
        <w:t xml:space="preserve">de 25 de octubre de 2006 </w:t>
      </w:r>
      <w:r w:rsidRPr="000B33B9">
        <w:rPr>
          <w:rFonts w:ascii="Verdana" w:hAnsi="Verdana"/>
          <w:sz w:val="16"/>
          <w:szCs w:val="16"/>
          <w:lang w:val="es-CR"/>
        </w:rPr>
        <w:t>(expediente de prueba, folios 173 y 174).</w:t>
      </w:r>
    </w:p>
  </w:footnote>
  <w:footnote w:id="186">
    <w:p w14:paraId="4B61FD96" w14:textId="1CDFA0A0"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lang w:val="es-DO"/>
        </w:rPr>
        <w:t>Cfr.</w:t>
      </w:r>
      <w:r w:rsidRPr="000B33B9">
        <w:rPr>
          <w:rFonts w:ascii="Verdana" w:hAnsi="Verdana"/>
          <w:sz w:val="16"/>
          <w:szCs w:val="16"/>
          <w:lang w:val="es-DO"/>
        </w:rPr>
        <w:t xml:space="preserve"> Resolución No. 247 del Segundo Juzgado Especializado en lo Civil de Lima de 13 de junio de 2017 (expediente de prueba, folios del 15871 al 15878).</w:t>
      </w:r>
    </w:p>
  </w:footnote>
  <w:footnote w:id="187">
    <w:p w14:paraId="094A2EF3" w14:textId="0A1CBA61"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rPr>
        <w:t>Cfr.</w:t>
      </w:r>
      <w:r w:rsidRPr="000B33B9">
        <w:rPr>
          <w:rFonts w:ascii="Verdana" w:hAnsi="Verdana"/>
          <w:sz w:val="16"/>
          <w:szCs w:val="16"/>
        </w:rPr>
        <w:t xml:space="preserve"> </w:t>
      </w:r>
      <w:r w:rsidRPr="000B33B9">
        <w:rPr>
          <w:rFonts w:ascii="Verdana" w:hAnsi="Verdana"/>
          <w:sz w:val="16"/>
          <w:szCs w:val="16"/>
          <w:lang w:val="es-DO"/>
        </w:rPr>
        <w:t xml:space="preserve">Informe pericial </w:t>
      </w:r>
      <w:r w:rsidRPr="000B33B9">
        <w:rPr>
          <w:rFonts w:ascii="Verdana" w:hAnsi="Verdana"/>
          <w:sz w:val="16"/>
          <w:szCs w:val="16"/>
          <w:lang w:val="es-ES"/>
        </w:rPr>
        <w:t xml:space="preserve">No. 092-2014-JAVM-PJ de 18 de marzo de 2014, elaborado por el </w:t>
      </w:r>
      <w:r w:rsidRPr="000B33B9">
        <w:rPr>
          <w:rFonts w:ascii="Verdana" w:eastAsia="Calibri" w:hAnsi="Verdana" w:cs="Times New Roman"/>
          <w:sz w:val="16"/>
          <w:szCs w:val="16"/>
          <w:lang w:val="es-ES" w:eastAsia="es-ES"/>
        </w:rPr>
        <w:t xml:space="preserve">Equipo Técnico Pericial </w:t>
      </w:r>
      <w:r w:rsidRPr="000B33B9">
        <w:rPr>
          <w:rFonts w:ascii="Verdana" w:hAnsi="Verdana"/>
          <w:sz w:val="16"/>
          <w:szCs w:val="16"/>
          <w:lang w:val="es-ES"/>
        </w:rPr>
        <w:t xml:space="preserve">de la Corte Superior de Justicia de Lima </w:t>
      </w:r>
      <w:r w:rsidRPr="000B33B9">
        <w:rPr>
          <w:rFonts w:ascii="Verdana" w:hAnsi="Verdana"/>
          <w:sz w:val="16"/>
          <w:szCs w:val="16"/>
          <w:lang w:val="es-CR"/>
        </w:rPr>
        <w:t>(expediente de prueba, folios del 258 al 262).</w:t>
      </w:r>
    </w:p>
  </w:footnote>
  <w:footnote w:id="188">
    <w:p w14:paraId="7DF7D061" w14:textId="7A49D673"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rPr>
        <w:t>Cfr.</w:t>
      </w:r>
      <w:r w:rsidRPr="000B33B9">
        <w:rPr>
          <w:rFonts w:ascii="Verdana" w:hAnsi="Verdana"/>
          <w:sz w:val="16"/>
          <w:szCs w:val="16"/>
        </w:rPr>
        <w:t xml:space="preserve"> </w:t>
      </w:r>
      <w:r w:rsidRPr="000B33B9">
        <w:rPr>
          <w:rFonts w:ascii="Verdana" w:hAnsi="Verdana"/>
          <w:sz w:val="16"/>
          <w:szCs w:val="16"/>
          <w:lang w:val="es-DO"/>
        </w:rPr>
        <w:t xml:space="preserve">Informe pericial de 18 de octubre de 2011, elaborado por el </w:t>
      </w:r>
      <w:r w:rsidRPr="000B33B9">
        <w:rPr>
          <w:rFonts w:ascii="Verdana" w:hAnsi="Verdana"/>
          <w:sz w:val="16"/>
          <w:szCs w:val="16"/>
          <w:lang w:val="es-ES"/>
        </w:rPr>
        <w:t xml:space="preserve">Equipo Técnico Pericial de la Corte Superior de Justicia de Lima </w:t>
      </w:r>
      <w:r w:rsidRPr="000B33B9">
        <w:rPr>
          <w:rFonts w:ascii="Verdana" w:hAnsi="Verdana"/>
          <w:sz w:val="16"/>
          <w:szCs w:val="16"/>
          <w:lang w:val="es-CR"/>
        </w:rPr>
        <w:t xml:space="preserve">(expediente de prueba, folios del 225 al 238).  </w:t>
      </w:r>
    </w:p>
  </w:footnote>
  <w:footnote w:id="189">
    <w:p w14:paraId="27020A9B" w14:textId="3376F6EE"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xml:space="preserve"> Resolución No. 247 del Segundo Juzgado Especializado en lo Civil de Lima de 13 de junio de 2017 (expediente de prueba, folios del 15871 al 15878).</w:t>
      </w:r>
    </w:p>
  </w:footnote>
  <w:footnote w:id="190">
    <w:p w14:paraId="145DAF68" w14:textId="5795B73C"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t xml:space="preserve">Certificado de depósito judicial No. 2017000203156, expedido el 14 de agosto de 2017 por el Banco La Nación por la suma de S/186,001.62 (expediente de prueba, folio 15904). </w:t>
      </w:r>
    </w:p>
  </w:footnote>
  <w:footnote w:id="191">
    <w:p w14:paraId="691EED1D" w14:textId="3DCB5E77"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xml:space="preserve">. Escrito de 15 de agosto de 2017 suscrito por la SUNAT, dirigido al Segundo Juzgado Especializado en lo Civil de Lima (expediente de prueba, folio 15902), y Planilla de pago por mandato judicial No. 065-2017-SUNAT/8A1200, expedida por la División de Compensaciones de la Gerencia de Gestión del Empleo de la SUNAT (expediente de prueba, folio 15906). </w:t>
      </w:r>
    </w:p>
  </w:footnote>
  <w:footnote w:id="192">
    <w:p w14:paraId="627B648C" w14:textId="118489DB"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Pr>
          <w:rFonts w:ascii="Verdana" w:hAnsi="Verdana"/>
          <w:sz w:val="16"/>
          <w:szCs w:val="16"/>
          <w:lang w:val="es-DO"/>
        </w:rPr>
        <w:t>Resolución</w:t>
      </w:r>
      <w:r w:rsidRPr="000B33B9">
        <w:rPr>
          <w:rFonts w:ascii="Verdana" w:hAnsi="Verdana"/>
          <w:sz w:val="16"/>
          <w:szCs w:val="16"/>
          <w:lang w:val="es-DO"/>
        </w:rPr>
        <w:t xml:space="preserve"> del Tribunal Constitucional de 23 de abril de 2019, con relación al expediente No. 00289-2018-PA/TC (prueba superviniente, depositada por el Estado en audiencia pública de fecha 7 de mayo de 2019).</w:t>
      </w:r>
    </w:p>
  </w:footnote>
  <w:footnote w:id="193">
    <w:p w14:paraId="32CD4818" w14:textId="6EC3E71B"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xml:space="preserve"> Resolución No. 12 de la Tercera Sala Civil de la Corte Superior de Justicia de Lima de 15 de noviembre de 2017 (expediente de prueba, folios del 15886 al 15898).  </w:t>
      </w:r>
    </w:p>
  </w:footnote>
  <w:footnote w:id="194">
    <w:p w14:paraId="08539684" w14:textId="77777777" w:rsidR="005A5D3C" w:rsidRPr="000B33B9" w:rsidRDefault="005A5D3C" w:rsidP="000B33B9">
      <w:pPr>
        <w:pStyle w:val="Textonotapie"/>
        <w:spacing w:after="120"/>
        <w:jc w:val="both"/>
        <w:rPr>
          <w:rFonts w:ascii="Verdana" w:hAnsi="Verdana"/>
          <w:i/>
          <w:iCs/>
          <w:sz w:val="16"/>
          <w:szCs w:val="16"/>
          <w:lang w:val="es-DO"/>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iCs/>
          <w:sz w:val="16"/>
          <w:szCs w:val="16"/>
        </w:rPr>
        <w:t>Cfr.</w:t>
      </w:r>
      <w:r w:rsidRPr="000B33B9">
        <w:rPr>
          <w:rFonts w:ascii="Verdana" w:hAnsi="Verdana"/>
          <w:sz w:val="16"/>
          <w:szCs w:val="16"/>
        </w:rPr>
        <w:t xml:space="preserve"> </w:t>
      </w:r>
      <w:r w:rsidRPr="000B33B9">
        <w:rPr>
          <w:rFonts w:ascii="Verdana" w:hAnsi="Verdana"/>
          <w:i/>
          <w:iCs/>
          <w:sz w:val="16"/>
          <w:szCs w:val="16"/>
        </w:rPr>
        <w:t>Caso Muelle Flores Vs. Per</w:t>
      </w:r>
      <w:r w:rsidRPr="000B33B9">
        <w:rPr>
          <w:rFonts w:ascii="Verdana" w:hAnsi="Verdana"/>
          <w:i/>
          <w:iCs/>
          <w:sz w:val="16"/>
          <w:szCs w:val="16"/>
          <w:lang w:val="es-DO"/>
        </w:rPr>
        <w:t>ú. Excepciones preliminares, fondo, reparaciones y costas</w:t>
      </w:r>
      <w:r w:rsidRPr="000B33B9">
        <w:rPr>
          <w:rFonts w:ascii="Verdana" w:hAnsi="Verdana"/>
          <w:sz w:val="16"/>
          <w:szCs w:val="16"/>
        </w:rPr>
        <w:t xml:space="preserve">. Sentencia de 6 de marzo de 2019. Serie C No. 375, párr. 148. </w:t>
      </w:r>
    </w:p>
  </w:footnote>
  <w:footnote w:id="195">
    <w:p w14:paraId="09C1F89C" w14:textId="7DB45CE2"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t>Por ejemplo, e</w:t>
      </w:r>
      <w:r w:rsidRPr="000B33B9">
        <w:rPr>
          <w:rFonts w:ascii="Verdana" w:hAnsi="Verdana"/>
          <w:sz w:val="16"/>
          <w:szCs w:val="16"/>
          <w:lang w:val="es-ES"/>
        </w:rPr>
        <w:t xml:space="preserve">l 20 de marzo de 2006, el </w:t>
      </w:r>
      <w:r w:rsidRPr="000B33B9">
        <w:rPr>
          <w:rFonts w:ascii="Verdana" w:eastAsia="Calibri" w:hAnsi="Verdana" w:cs="Times New Roman"/>
          <w:sz w:val="16"/>
          <w:szCs w:val="16"/>
          <w:lang w:val="es-ES" w:eastAsia="es-ES"/>
        </w:rPr>
        <w:t xml:space="preserve">Sexagésimo Sexto Juzgado Especializado en lo Civil de Lima expidió la resolución No. 81 que concedió “sin efecto suspensivo” el recurso de apelación interpuesto por la SUNAT. </w:t>
      </w:r>
      <w:r w:rsidRPr="000B33B9">
        <w:rPr>
          <w:rFonts w:ascii="Verdana" w:eastAsia="Calibri" w:hAnsi="Verdana" w:cs="Times New Roman"/>
          <w:i/>
          <w:sz w:val="16"/>
          <w:szCs w:val="16"/>
          <w:lang w:val="es-ES" w:eastAsia="es-ES"/>
        </w:rPr>
        <w:t>Cfr.</w:t>
      </w:r>
      <w:r w:rsidRPr="000B33B9">
        <w:rPr>
          <w:rFonts w:ascii="Verdana" w:eastAsia="Calibri" w:hAnsi="Verdana" w:cs="Times New Roman"/>
          <w:sz w:val="16"/>
          <w:szCs w:val="16"/>
          <w:lang w:val="es-ES" w:eastAsia="es-ES"/>
        </w:rPr>
        <w:t xml:space="preserve"> </w:t>
      </w:r>
      <w:r w:rsidRPr="000B33B9">
        <w:rPr>
          <w:rFonts w:ascii="Verdana" w:hAnsi="Verdana"/>
          <w:sz w:val="16"/>
          <w:szCs w:val="16"/>
          <w:lang w:val="es-DO"/>
        </w:rPr>
        <w:t xml:space="preserve">Resolución No. 81 del </w:t>
      </w:r>
      <w:r w:rsidRPr="000B33B9">
        <w:rPr>
          <w:rFonts w:ascii="Verdana" w:hAnsi="Verdana"/>
          <w:sz w:val="16"/>
          <w:szCs w:val="16"/>
          <w:lang w:val="es-CR"/>
        </w:rPr>
        <w:t xml:space="preserve">Sexagésimo Sexto Juzgado Especializado en lo Civil de Lima de </w:t>
      </w:r>
      <w:r w:rsidRPr="000B33B9">
        <w:rPr>
          <w:rFonts w:ascii="Verdana" w:hAnsi="Verdana"/>
          <w:sz w:val="16"/>
          <w:szCs w:val="16"/>
          <w:lang w:val="es-DO"/>
        </w:rPr>
        <w:t xml:space="preserve">20 de marzo de 2006 </w:t>
      </w:r>
      <w:r w:rsidRPr="000B33B9">
        <w:rPr>
          <w:rFonts w:ascii="Verdana" w:hAnsi="Verdana"/>
          <w:sz w:val="16"/>
          <w:szCs w:val="16"/>
          <w:lang w:val="es-CR"/>
        </w:rPr>
        <w:t>(expediente de prueba, folios 173 y 174).</w:t>
      </w:r>
    </w:p>
  </w:footnote>
  <w:footnote w:id="196">
    <w:p w14:paraId="716B240D" w14:textId="5E1B3638"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t xml:space="preserve">Código Procesal Civil de la República del Perú de 8 de enero de 1993, publicado el 24 de abril de 1993. Artículo 368. </w:t>
      </w:r>
    </w:p>
  </w:footnote>
  <w:footnote w:id="197">
    <w:p w14:paraId="36530D72" w14:textId="03465018"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t xml:space="preserve">Declaración del perito Dante Ludwig Apolín Meza, rendida en la audiencia pública de 7 de mayo de 2019 (p. 108). </w:t>
      </w:r>
    </w:p>
  </w:footnote>
  <w:footnote w:id="198">
    <w:p w14:paraId="0A56DF5B" w14:textId="41C5E530"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rPr>
        <w:t>Cfr.</w:t>
      </w:r>
      <w:r w:rsidRPr="000B33B9">
        <w:rPr>
          <w:rFonts w:ascii="Verdana" w:hAnsi="Verdana"/>
          <w:sz w:val="16"/>
          <w:szCs w:val="16"/>
        </w:rPr>
        <w:t xml:space="preserve"> </w:t>
      </w:r>
      <w:r w:rsidRPr="000B33B9">
        <w:rPr>
          <w:rFonts w:ascii="Verdana" w:hAnsi="Verdana"/>
          <w:i/>
          <w:sz w:val="16"/>
          <w:szCs w:val="16"/>
        </w:rPr>
        <w:t xml:space="preserve">Caso Ivcher Bronstein Vs. Perú. Fondo, Reparaciones y Costas. </w:t>
      </w:r>
      <w:r w:rsidRPr="000B33B9">
        <w:rPr>
          <w:rFonts w:ascii="Verdana" w:hAnsi="Verdana"/>
          <w:sz w:val="16"/>
          <w:szCs w:val="16"/>
        </w:rPr>
        <w:t xml:space="preserve">Sentencia de 6 de febrero de 2001. Serie C No. 74, párr. 137, y </w:t>
      </w:r>
      <w:r w:rsidRPr="000B33B9">
        <w:rPr>
          <w:rFonts w:ascii="Verdana" w:hAnsi="Verdana"/>
          <w:i/>
          <w:sz w:val="16"/>
          <w:szCs w:val="16"/>
        </w:rPr>
        <w:t xml:space="preserve">Caso Romero Feris Vs. Argentina. Fondo, Reparaciones y Costas. </w:t>
      </w:r>
      <w:r w:rsidRPr="000B33B9">
        <w:rPr>
          <w:rFonts w:ascii="Verdana" w:hAnsi="Verdana"/>
          <w:sz w:val="16"/>
          <w:szCs w:val="16"/>
        </w:rPr>
        <w:t xml:space="preserve">Sentencia de 15 de octubre de 2019. Serie C No. 391, párr. 135. </w:t>
      </w:r>
    </w:p>
  </w:footnote>
  <w:footnote w:id="199">
    <w:p w14:paraId="41C36765" w14:textId="2E1F9082"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iCs/>
          <w:sz w:val="16"/>
          <w:szCs w:val="16"/>
        </w:rPr>
        <w:t>Cfr. Caso Mejía Idovro Vs. Ecuador.</w:t>
      </w:r>
      <w:r w:rsidRPr="000B33B9">
        <w:rPr>
          <w:rFonts w:ascii="Verdana" w:hAnsi="Verdana"/>
          <w:i/>
          <w:iCs/>
          <w:sz w:val="16"/>
          <w:szCs w:val="16"/>
          <w:lang w:val="es-DO"/>
        </w:rPr>
        <w:t xml:space="preserve"> Excepciones Preliminares, Fondo, Reparaciones y Costas. </w:t>
      </w:r>
      <w:r w:rsidRPr="000B33B9">
        <w:rPr>
          <w:rFonts w:ascii="Verdana" w:hAnsi="Verdana"/>
          <w:iCs/>
          <w:sz w:val="16"/>
          <w:szCs w:val="16"/>
          <w:lang w:val="es-DO"/>
        </w:rPr>
        <w:t>Sentencia de 5 de julio de 2011. Serie C No. 228, párr. 106</w:t>
      </w:r>
      <w:r w:rsidRPr="000B33B9">
        <w:rPr>
          <w:rFonts w:ascii="Verdana" w:hAnsi="Verdana"/>
          <w:sz w:val="16"/>
          <w:szCs w:val="16"/>
          <w:lang w:val="es-DO"/>
        </w:rPr>
        <w:t xml:space="preserve">, y </w:t>
      </w:r>
      <w:r w:rsidRPr="000B33B9">
        <w:rPr>
          <w:rStyle w:val="Textoennegrita"/>
          <w:rFonts w:ascii="Verdana" w:hAnsi="Verdana"/>
          <w:b w:val="0"/>
          <w:i/>
          <w:color w:val="000000"/>
          <w:sz w:val="16"/>
          <w:szCs w:val="16"/>
          <w:shd w:val="clear" w:color="auto" w:fill="FFFFFF"/>
        </w:rPr>
        <w:t>Caso Muelle Flores Vs. Perú. Excepciones Preliminares, Fondo, Reparaciones y Costas</w:t>
      </w:r>
      <w:r w:rsidRPr="000B33B9">
        <w:rPr>
          <w:rStyle w:val="Textoennegrita"/>
          <w:rFonts w:ascii="Verdana" w:hAnsi="Verdana"/>
          <w:b w:val="0"/>
          <w:color w:val="000000"/>
          <w:sz w:val="16"/>
          <w:szCs w:val="16"/>
          <w:shd w:val="clear" w:color="auto" w:fill="FFFFFF"/>
        </w:rPr>
        <w:t>. Sentencia de 6 de marzo de 2019. Serie C No. 375, párr. 127.</w:t>
      </w:r>
    </w:p>
  </w:footnote>
  <w:footnote w:id="200">
    <w:p w14:paraId="38D721DC" w14:textId="2CDED474"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lang w:val="es-CR"/>
        </w:rPr>
        <w:footnoteRef/>
      </w:r>
      <w:r w:rsidRPr="000B33B9">
        <w:rPr>
          <w:rFonts w:ascii="Verdana" w:hAnsi="Verdana"/>
          <w:sz w:val="16"/>
          <w:szCs w:val="16"/>
          <w:lang w:val="es-CR"/>
        </w:rPr>
        <w:t xml:space="preserve"> </w:t>
      </w:r>
      <w:r w:rsidRPr="000B33B9">
        <w:rPr>
          <w:rFonts w:ascii="Verdana" w:hAnsi="Verdana"/>
          <w:sz w:val="16"/>
          <w:szCs w:val="16"/>
          <w:lang w:val="es-CR"/>
        </w:rPr>
        <w:tab/>
      </w:r>
      <w:r w:rsidRPr="000B33B9">
        <w:rPr>
          <w:rFonts w:ascii="Verdana" w:hAnsi="Verdana"/>
          <w:i/>
          <w:sz w:val="16"/>
          <w:szCs w:val="16"/>
        </w:rPr>
        <w:t>Cfr.</w:t>
      </w:r>
      <w:r w:rsidRPr="000B33B9">
        <w:rPr>
          <w:rFonts w:ascii="Verdana" w:hAnsi="Verdana"/>
          <w:sz w:val="16"/>
          <w:szCs w:val="16"/>
        </w:rPr>
        <w:t xml:space="preserve"> </w:t>
      </w:r>
      <w:r w:rsidRPr="000B33B9">
        <w:rPr>
          <w:rStyle w:val="Textoennegrita"/>
          <w:rFonts w:ascii="Verdana" w:hAnsi="Verdana"/>
          <w:b w:val="0"/>
          <w:i/>
          <w:color w:val="000000"/>
          <w:sz w:val="16"/>
          <w:szCs w:val="16"/>
          <w:shd w:val="clear" w:color="auto" w:fill="FFFFFF"/>
        </w:rPr>
        <w:t>Caso Anzualdo Castro Vs. Perú. Excepción Preliminar, Fondo, Reparaciones y Costas.</w:t>
      </w:r>
      <w:r w:rsidRPr="000B33B9">
        <w:rPr>
          <w:rStyle w:val="Textoennegrita"/>
          <w:rFonts w:ascii="Verdana" w:hAnsi="Verdana"/>
          <w:b w:val="0"/>
          <w:color w:val="000000"/>
          <w:sz w:val="16"/>
          <w:szCs w:val="16"/>
          <w:shd w:val="clear" w:color="auto" w:fill="FFFFFF"/>
        </w:rPr>
        <w:t xml:space="preserve"> Sentencia de 22 de septiembre de 2009. Serie C No. 202</w:t>
      </w:r>
      <w:r w:rsidRPr="000B33B9">
        <w:rPr>
          <w:rFonts w:ascii="Verdana" w:hAnsi="Verdana"/>
          <w:sz w:val="16"/>
          <w:szCs w:val="16"/>
        </w:rPr>
        <w:t>, párr. 156, y</w:t>
      </w:r>
      <w:r w:rsidRPr="000B33B9">
        <w:rPr>
          <w:rFonts w:ascii="Verdana" w:hAnsi="Verdana"/>
          <w:b/>
          <w:sz w:val="16"/>
          <w:szCs w:val="16"/>
        </w:rPr>
        <w:t xml:space="preserve"> </w:t>
      </w:r>
      <w:r w:rsidRPr="000B33B9">
        <w:rPr>
          <w:rStyle w:val="Textoennegrita"/>
          <w:rFonts w:ascii="Verdana" w:hAnsi="Verdana"/>
          <w:b w:val="0"/>
          <w:i/>
          <w:color w:val="000000"/>
          <w:sz w:val="16"/>
          <w:szCs w:val="16"/>
          <w:shd w:val="clear" w:color="auto" w:fill="FFFFFF"/>
        </w:rPr>
        <w:t>Caso Muelle Flores Vs. Perú. Excepciones Preliminares, Fondo, Reparaciones y Costas.</w:t>
      </w:r>
      <w:r w:rsidRPr="000B33B9">
        <w:rPr>
          <w:rStyle w:val="Textoennegrita"/>
          <w:rFonts w:ascii="Verdana" w:hAnsi="Verdana"/>
          <w:b w:val="0"/>
          <w:color w:val="000000"/>
          <w:sz w:val="16"/>
          <w:szCs w:val="16"/>
          <w:shd w:val="clear" w:color="auto" w:fill="FFFFFF"/>
        </w:rPr>
        <w:t xml:space="preserve"> Sentencia de 6 de marzo de 2019. Serie C No. 375, párr. 155.</w:t>
      </w:r>
    </w:p>
  </w:footnote>
  <w:footnote w:id="201">
    <w:p w14:paraId="303AB91C" w14:textId="21C36AC8"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lang w:val="es-DO"/>
        </w:rPr>
        <w:t>Cfr</w:t>
      </w:r>
      <w:r w:rsidRPr="000B33B9">
        <w:rPr>
          <w:rFonts w:ascii="Verdana" w:hAnsi="Verdana"/>
          <w:sz w:val="16"/>
          <w:szCs w:val="16"/>
          <w:lang w:val="es-DO"/>
        </w:rPr>
        <w:t xml:space="preserve">. </w:t>
      </w:r>
      <w:r w:rsidRPr="000B33B9">
        <w:rPr>
          <w:rFonts w:ascii="Verdana" w:hAnsi="Verdana"/>
          <w:i/>
          <w:sz w:val="16"/>
          <w:szCs w:val="16"/>
          <w:lang w:val="es-DO"/>
        </w:rPr>
        <w:t xml:space="preserve">Caso Genie Lacayo Vs. Nicaragua. </w:t>
      </w:r>
      <w:r w:rsidRPr="000B33B9">
        <w:rPr>
          <w:rFonts w:ascii="Verdana" w:hAnsi="Verdana"/>
          <w:i/>
          <w:sz w:val="16"/>
          <w:szCs w:val="16"/>
        </w:rPr>
        <w:t>Fondo, Reparaciones y Costas</w:t>
      </w:r>
      <w:r w:rsidRPr="000B33B9">
        <w:rPr>
          <w:rFonts w:ascii="Verdana" w:hAnsi="Verdana"/>
          <w:sz w:val="16"/>
          <w:szCs w:val="16"/>
        </w:rPr>
        <w:t xml:space="preserve">. Sentencia de 29 de enero de 1997. Serie C No. 30, párr. 78, y </w:t>
      </w:r>
      <w:r w:rsidRPr="000B33B9">
        <w:rPr>
          <w:rFonts w:ascii="Verdana" w:hAnsi="Verdana"/>
          <w:i/>
          <w:sz w:val="16"/>
          <w:szCs w:val="16"/>
          <w:lang w:val="es-DO"/>
        </w:rPr>
        <w:t>Caso Perrone y Preckel Vs. Argentina. Excepciones Preliminares, Fondo, Reparaciones y Costas.</w:t>
      </w:r>
      <w:r w:rsidRPr="000B33B9">
        <w:rPr>
          <w:rFonts w:ascii="Verdana" w:hAnsi="Verdana"/>
          <w:sz w:val="16"/>
          <w:szCs w:val="16"/>
          <w:lang w:val="es-DO"/>
        </w:rPr>
        <w:t xml:space="preserve"> Sentencia de 8 de octubre de 2019. Serie C No. 385, párr. 142.</w:t>
      </w:r>
    </w:p>
  </w:footnote>
  <w:footnote w:id="202">
    <w:p w14:paraId="57DC25E3" w14:textId="359CC8E2"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lang w:val="es-DO"/>
        </w:rPr>
        <w:footnoteRef/>
      </w:r>
      <w:r w:rsidRPr="000B33B9">
        <w:rPr>
          <w:rFonts w:ascii="Verdana" w:hAnsi="Verdana"/>
          <w:sz w:val="16"/>
          <w:szCs w:val="16"/>
          <w:lang w:val="es-DO"/>
        </w:rPr>
        <w:t xml:space="preserve"> </w:t>
      </w:r>
      <w:r w:rsidRPr="000B33B9">
        <w:rPr>
          <w:rFonts w:ascii="Verdana" w:hAnsi="Verdana"/>
          <w:sz w:val="16"/>
          <w:szCs w:val="16"/>
          <w:lang w:val="es-DO"/>
        </w:rPr>
        <w:tab/>
        <w:t>Sentencia de la Corte Suprema de Justicia de la República de 25 de octubre de 1993 (expediente de prueba, folios del 23 al 25).</w:t>
      </w:r>
    </w:p>
  </w:footnote>
  <w:footnote w:id="203">
    <w:p w14:paraId="33A65094" w14:textId="41277EDB"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xml:space="preserve"> Resolución del Sexagésimo Tercer Juzgado Especializado en lo Civil de Lima de 30 de mayo de 2002 (expediente de prueba, folio 81).</w:t>
      </w:r>
    </w:p>
  </w:footnote>
  <w:footnote w:id="204">
    <w:p w14:paraId="0E6E12D0" w14:textId="551157B9"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xml:space="preserve"> Escrito de 31 de mayo de 2002 suscrito por la SUNAT, dirigido al Sexagésimo Tercer Juzgado Especializado en lo Civil de Lima (expediente de prueba, folios del 83 al 86). </w:t>
      </w:r>
    </w:p>
  </w:footnote>
  <w:footnote w:id="205">
    <w:p w14:paraId="2FD46F42" w14:textId="3252C86A"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lang w:val="es-DO"/>
        </w:rPr>
        <w:t>Cfr</w:t>
      </w:r>
      <w:r w:rsidRPr="000B33B9">
        <w:rPr>
          <w:rFonts w:ascii="Verdana" w:hAnsi="Verdana"/>
          <w:sz w:val="16"/>
          <w:szCs w:val="16"/>
          <w:lang w:val="es-DO"/>
        </w:rPr>
        <w:t>. Resolución de la Sexta Sala Civil de la Corte Superior de Lima de 3 de junio de 2005 (expediente de prueba, folios del 15927 al 15935).</w:t>
      </w:r>
    </w:p>
  </w:footnote>
  <w:footnote w:id="206">
    <w:p w14:paraId="03BD0B93" w14:textId="3E1F3BD3"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rPr>
        <w:t>Cfr. Cantos Vs. Argentina. Fondo, Reparaciones y Costas</w:t>
      </w:r>
      <w:r w:rsidRPr="000B33B9">
        <w:rPr>
          <w:rFonts w:ascii="Verdana" w:hAnsi="Verdana"/>
          <w:sz w:val="16"/>
          <w:szCs w:val="16"/>
        </w:rPr>
        <w:t xml:space="preserve">. Sentencia de 28 de noviembre de 2002. Serie C No. 97, párr. 57. </w:t>
      </w:r>
    </w:p>
  </w:footnote>
  <w:footnote w:id="207">
    <w:p w14:paraId="0671BCA7" w14:textId="2A3B8A56"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lang w:val="es-DO"/>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xml:space="preserve"> Resolución del Tribunal Constitucional de 10 de mayo de 2001, con relación al expediente No. 2001-AA/TC (expediente de prueba, folios del 70 al 73).</w:t>
      </w:r>
    </w:p>
  </w:footnote>
  <w:footnote w:id="208">
    <w:p w14:paraId="545F19A0" w14:textId="5E0F3848"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lang w:val="es-DO"/>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xml:space="preserve"> Dictamen No. 588-2000-MP-FN-FSCA de la Fiscalía Suprema en lo Contencioso Administrativo de 6 de abril de 2000 (expediente de prueba, folio 66). </w:t>
      </w:r>
    </w:p>
  </w:footnote>
  <w:footnote w:id="209">
    <w:p w14:paraId="5F66E97D" w14:textId="7E21905B"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lang w:val="es-DO"/>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xml:space="preserve"> Resolución del Tribunal Constitucional de 10 de mayo de 2001, con relación al expediente No. 2001-AA/TC (expediente de prueba, folios del 70 al 73).</w:t>
      </w:r>
    </w:p>
  </w:footnote>
  <w:footnote w:id="210">
    <w:p w14:paraId="0A183C80" w14:textId="5CD68972"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xml:space="preserve"> Resolución del Sexagésimo Tercer Juzgado Especializado en lo Civil de Lima de 24 de junio de 2002 (expediente de prueba, folios del 88 al 91).</w:t>
      </w:r>
    </w:p>
  </w:footnote>
  <w:footnote w:id="211">
    <w:p w14:paraId="5ED5B70A" w14:textId="15480D2A"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xml:space="preserve">. Instancia de 22 de abril de 2003, contentiva de las observaciones de ANCEJUB-SUNAT al informe pericial de 3 de abril de 2003 (expediente de prueba, folios del 132 al 139), y Escrito de 2 de julio de 2010 suscrito por la SUNAT, dirigido al </w:t>
      </w:r>
      <w:r w:rsidRPr="000B33B9">
        <w:rPr>
          <w:rFonts w:ascii="Verdana" w:hAnsi="Verdana"/>
          <w:sz w:val="16"/>
          <w:szCs w:val="16"/>
          <w:lang w:val="es-CR"/>
        </w:rPr>
        <w:t>Vigésimo Tercer Juzgado Especializado en lo Civil de Lima (expediente de prueba, folios del 208 al 2010).</w:t>
      </w:r>
    </w:p>
  </w:footnote>
  <w:footnote w:id="212">
    <w:p w14:paraId="47DBF1D8" w14:textId="08F71DC8"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rPr>
        <w:t>Cfr. Mutatis mutandis, Caso Genie Lacayo Vs. Nicaragua. Fondo, Reparaciones y Costas</w:t>
      </w:r>
      <w:r w:rsidRPr="000B33B9">
        <w:rPr>
          <w:rFonts w:ascii="Verdana" w:hAnsi="Verdana"/>
          <w:sz w:val="16"/>
          <w:szCs w:val="16"/>
        </w:rPr>
        <w:t>. Sentencia de 29 de enero de 1997. Serie C No. 30, párr. 79.</w:t>
      </w:r>
    </w:p>
  </w:footnote>
  <w:footnote w:id="213">
    <w:p w14:paraId="758D9DC6" w14:textId="728C7A55" w:rsidR="005A5D3C" w:rsidRPr="000B33B9" w:rsidRDefault="005A5D3C" w:rsidP="000B33B9">
      <w:pPr>
        <w:pStyle w:val="Textonotapie"/>
        <w:spacing w:after="120"/>
        <w:jc w:val="both"/>
        <w:rPr>
          <w:rFonts w:ascii="Verdana" w:hAnsi="Verdana"/>
          <w:sz w:val="16"/>
          <w:szCs w:val="16"/>
        </w:rPr>
      </w:pPr>
      <w:r w:rsidRPr="009B2521">
        <w:rPr>
          <w:rStyle w:val="Refdenotaalpie"/>
          <w:rFonts w:ascii="Verdana" w:hAnsi="Verdana"/>
          <w:sz w:val="16"/>
          <w:szCs w:val="16"/>
        </w:rPr>
        <w:footnoteRef/>
      </w:r>
      <w:r w:rsidRPr="009B2521">
        <w:rPr>
          <w:rFonts w:ascii="Verdana" w:hAnsi="Verdana"/>
          <w:sz w:val="16"/>
          <w:szCs w:val="16"/>
        </w:rPr>
        <w:t xml:space="preserve"> </w:t>
      </w:r>
      <w:r w:rsidRPr="009B2521">
        <w:rPr>
          <w:rFonts w:ascii="Verdana" w:hAnsi="Verdana"/>
          <w:color w:val="222222"/>
          <w:sz w:val="16"/>
          <w:szCs w:val="16"/>
        </w:rPr>
        <w:t> </w:t>
      </w:r>
      <w:r w:rsidRPr="009B2521">
        <w:rPr>
          <w:rFonts w:ascii="Verdana" w:hAnsi="Verdana"/>
          <w:color w:val="222222"/>
          <w:sz w:val="16"/>
          <w:szCs w:val="16"/>
        </w:rPr>
        <w:tab/>
        <w:t>Resolución de la Sala Corporativa Transitoria Especializada de Derecho Público de 27 de agosto de 1998</w:t>
      </w:r>
      <w:r w:rsidRPr="000B33B9">
        <w:rPr>
          <w:rFonts w:ascii="Verdana" w:hAnsi="Verdana"/>
          <w:color w:val="222222"/>
          <w:sz w:val="16"/>
          <w:szCs w:val="16"/>
          <w:shd w:val="clear" w:color="auto" w:fill="FFFFFF"/>
        </w:rPr>
        <w:t xml:space="preserve"> (expediente de prueba, folios 46 y 47).</w:t>
      </w:r>
    </w:p>
  </w:footnote>
  <w:footnote w:id="214">
    <w:p w14:paraId="54EAA65F" w14:textId="19A54DBA" w:rsidR="005A5D3C" w:rsidRPr="000B33B9" w:rsidRDefault="005A5D3C" w:rsidP="000B33B9">
      <w:pPr>
        <w:pStyle w:val="Textonotapie"/>
        <w:spacing w:after="120"/>
        <w:jc w:val="both"/>
        <w:rPr>
          <w:rFonts w:ascii="Verdana" w:hAnsi="Verdana"/>
          <w:sz w:val="16"/>
          <w:szCs w:val="16"/>
        </w:rPr>
      </w:pPr>
      <w:r w:rsidRPr="009B2521">
        <w:rPr>
          <w:rStyle w:val="Refdenotaalpie"/>
          <w:rFonts w:ascii="Verdana" w:hAnsi="Verdana"/>
          <w:sz w:val="16"/>
          <w:szCs w:val="16"/>
        </w:rPr>
        <w:footnoteRef/>
      </w:r>
      <w:r w:rsidRPr="009B2521">
        <w:rPr>
          <w:rFonts w:ascii="Verdana" w:hAnsi="Verdana"/>
          <w:sz w:val="16"/>
          <w:szCs w:val="16"/>
        </w:rPr>
        <w:t xml:space="preserve"> </w:t>
      </w:r>
      <w:r w:rsidRPr="009B2521">
        <w:rPr>
          <w:rFonts w:ascii="Verdana" w:hAnsi="Verdana"/>
          <w:color w:val="222222"/>
          <w:sz w:val="16"/>
          <w:szCs w:val="16"/>
        </w:rPr>
        <w:t>  </w:t>
      </w:r>
      <w:r w:rsidRPr="009B2521">
        <w:rPr>
          <w:rFonts w:ascii="Verdana" w:hAnsi="Verdana"/>
          <w:color w:val="222222"/>
          <w:sz w:val="16"/>
          <w:szCs w:val="16"/>
        </w:rPr>
        <w:tab/>
        <w:t>Resolución del Primer Juzgado Corporativo Transitorio Especializado en Derecho Público de 2 de octubre de</w:t>
      </w:r>
      <w:r w:rsidRPr="000B33B9">
        <w:rPr>
          <w:rFonts w:ascii="Verdana" w:hAnsi="Verdana"/>
          <w:color w:val="222222"/>
          <w:sz w:val="16"/>
          <w:szCs w:val="16"/>
          <w:shd w:val="clear" w:color="auto" w:fill="FFFFFF"/>
        </w:rPr>
        <w:t xml:space="preserve"> 1998 (expediente de prueba, folios 49 y 50).</w:t>
      </w:r>
    </w:p>
  </w:footnote>
  <w:footnote w:id="215">
    <w:p w14:paraId="48FD64A6" w14:textId="166DA50D"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t>Si previo a la promulgación del Decreto 673 la autoridad encargada del pago de las pensiones era la SUNAT y la sentencia de 25 de octubre de 1993 declaró la inaplicación de la disposición del citado decreto que transfería dicha función al MEF, esto conlleva necesariamente la retrotracción de la situación al estado en que se encontraba antes de que dicha disposición entrara en vigor y, por consiguiente, reinstaura la competencia de la SUNAT.</w:t>
      </w:r>
    </w:p>
  </w:footnote>
  <w:footnote w:id="216">
    <w:p w14:paraId="3C0B21DA" w14:textId="3D72D736"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iCs/>
          <w:sz w:val="16"/>
          <w:szCs w:val="16"/>
        </w:rPr>
        <w:t xml:space="preserve">Cfr. Mutatis mutandis, Caso de la Comunidad </w:t>
      </w:r>
      <w:r w:rsidRPr="000B33B9">
        <w:rPr>
          <w:rFonts w:ascii="Verdana" w:hAnsi="Verdana"/>
          <w:i/>
          <w:iCs/>
          <w:sz w:val="16"/>
          <w:szCs w:val="16"/>
          <w:lang w:val="es-DO"/>
        </w:rPr>
        <w:t>Garífuna de Punta de Piedra y sus Miembros Vs. Honduras. Excepciones Preliminares, Fondo, Reparaciones y Costas</w:t>
      </w:r>
      <w:r w:rsidRPr="000B33B9">
        <w:rPr>
          <w:rFonts w:ascii="Verdana" w:hAnsi="Verdana"/>
          <w:sz w:val="16"/>
          <w:szCs w:val="16"/>
          <w:lang w:val="es-DO"/>
        </w:rPr>
        <w:t>. Sentencia de 8 de octubre de 2015. Serie C No. 304, párr. 249.</w:t>
      </w:r>
    </w:p>
  </w:footnote>
  <w:footnote w:id="217">
    <w:p w14:paraId="121E711B" w14:textId="33959761"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lang w:val="es-DO"/>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xml:space="preserve"> Resolución del Juzgado Previsional de Lima de 21 de enero de 1997 (expediente de prueba, folio 33); Resolución de la Sala Corporativa Transitoria Especializada de Derecho Público de 27 de agosto de 1998 (expediente de prueba, folios 46 y 47); Resolución del Primer Juzgado Corporativo Transitorio Especializado en Derecho Público de 2 de octubre de 1998 (expediente de prueba, folios 49 y 50), y Resolución de la Sala Corporativa Transitoria Especializada de Derecho Público de 21 de enero de 1999 (expediente de prueba, folio 60).</w:t>
      </w:r>
    </w:p>
  </w:footnote>
  <w:footnote w:id="218">
    <w:p w14:paraId="34E5C22C" w14:textId="06A5F506"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lang w:val="es-DO"/>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xml:space="preserve"> Resolución de la Sala Corporativa Transitoria Especializada de Derecho Público de 25 de noviembre de 1999 (expediente de prueba, folios del 62 al 64). </w:t>
      </w:r>
    </w:p>
  </w:footnote>
  <w:footnote w:id="219">
    <w:p w14:paraId="6D56CFA6" w14:textId="364A8724"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sz w:val="16"/>
          <w:szCs w:val="16"/>
          <w:lang w:val="es-DO"/>
        </w:rPr>
        <w:t>Resolución del Tribunal Constitucional de 10 de mayo de 2001, con relación al expediente No. 2001-AA/TC (expediente de prueba, folios del 70 al 73).</w:t>
      </w:r>
    </w:p>
  </w:footnote>
  <w:footnote w:id="220">
    <w:p w14:paraId="3668FFF4" w14:textId="5148E1F2"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xml:space="preserve"> Resolución No. 138 del </w:t>
      </w:r>
      <w:r w:rsidRPr="000B33B9">
        <w:rPr>
          <w:rFonts w:ascii="Verdana" w:hAnsi="Verdana"/>
          <w:sz w:val="16"/>
          <w:szCs w:val="16"/>
          <w:lang w:val="es-CR"/>
        </w:rPr>
        <w:t xml:space="preserve">Sexagésimo Sexto Juzgado Especializado en lo Civil de Lima de </w:t>
      </w:r>
      <w:r w:rsidRPr="000B33B9">
        <w:rPr>
          <w:rFonts w:ascii="Verdana" w:hAnsi="Verdana"/>
          <w:sz w:val="16"/>
          <w:szCs w:val="16"/>
          <w:lang w:val="es-DO"/>
        </w:rPr>
        <w:t xml:space="preserve">25 de octubre de 2006 </w:t>
      </w:r>
      <w:r w:rsidRPr="000B33B9">
        <w:rPr>
          <w:rFonts w:ascii="Verdana" w:hAnsi="Verdana"/>
          <w:sz w:val="16"/>
          <w:szCs w:val="16"/>
          <w:lang w:val="es-CR"/>
        </w:rPr>
        <w:t>(expediente de prueba, folios 173 y 174).</w:t>
      </w:r>
    </w:p>
  </w:footnote>
  <w:footnote w:id="221">
    <w:p w14:paraId="752FF5CD" w14:textId="3D14FB1C"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CR"/>
        </w:rPr>
        <w:t>Cfr</w:t>
      </w:r>
      <w:r w:rsidRPr="000B33B9">
        <w:rPr>
          <w:rFonts w:ascii="Verdana" w:hAnsi="Verdana"/>
          <w:sz w:val="16"/>
          <w:szCs w:val="16"/>
          <w:lang w:val="es-CR"/>
        </w:rPr>
        <w:t xml:space="preserve">. Instancia de 21 de mayo de 2009 suscrita por ANCEJUB-SUNAT, dirigida al Vigésimo Tercer Juzgado Especializado en lo Civil de Lima (expediente de prueba, folios 188 y 189). </w:t>
      </w:r>
    </w:p>
  </w:footnote>
  <w:footnote w:id="222">
    <w:p w14:paraId="4BF5A239" w14:textId="6BFD9175"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xml:space="preserve"> Informe No.</w:t>
      </w:r>
      <w:r w:rsidRPr="000B33B9">
        <w:rPr>
          <w:rFonts w:ascii="Verdana" w:hAnsi="Verdana"/>
          <w:sz w:val="16"/>
          <w:szCs w:val="16"/>
          <w:vertAlign w:val="superscript"/>
          <w:lang w:val="es-DO"/>
        </w:rPr>
        <w:t xml:space="preserve"> </w:t>
      </w:r>
      <w:r w:rsidRPr="000B33B9">
        <w:rPr>
          <w:rFonts w:ascii="Verdana" w:hAnsi="Verdana"/>
          <w:sz w:val="16"/>
          <w:szCs w:val="16"/>
          <w:lang w:val="es-DO"/>
        </w:rPr>
        <w:t xml:space="preserve">001-2008-ETP-CSJLI de 6 de octubre de 2008 suscrito por Roger M. Santibáñez y Fernando Zeballos Velásquez, dirigido a la </w:t>
      </w:r>
      <w:r w:rsidRPr="000B33B9">
        <w:rPr>
          <w:rFonts w:ascii="Verdana" w:eastAsia="Calibri" w:hAnsi="Verdana" w:cs="Times New Roman"/>
          <w:sz w:val="16"/>
          <w:szCs w:val="16"/>
          <w:lang w:val="es-ES" w:eastAsia="es-ES"/>
        </w:rPr>
        <w:t xml:space="preserve">Coordinadora del Equipo Técnico Pericial de la Corte Superior de Justicia de Lima (expediente de prueba, folio 191). </w:t>
      </w:r>
    </w:p>
  </w:footnote>
  <w:footnote w:id="223">
    <w:p w14:paraId="295D3C26" w14:textId="5CF273AE"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CR"/>
        </w:rPr>
        <w:t>Cfr</w:t>
      </w:r>
      <w:r w:rsidRPr="000B33B9">
        <w:rPr>
          <w:rFonts w:ascii="Verdana" w:hAnsi="Verdana"/>
          <w:sz w:val="16"/>
          <w:szCs w:val="16"/>
          <w:lang w:val="es-CR"/>
        </w:rPr>
        <w:t xml:space="preserve">. </w:t>
      </w:r>
      <w:r w:rsidRPr="000B33B9">
        <w:rPr>
          <w:rFonts w:ascii="Verdana" w:hAnsi="Verdana"/>
          <w:sz w:val="16"/>
          <w:szCs w:val="16"/>
          <w:lang w:val="es-DO"/>
        </w:rPr>
        <w:t xml:space="preserve">Informe pericial de 18 de octubre de 2011, elaborado por el </w:t>
      </w:r>
      <w:r w:rsidRPr="000B33B9">
        <w:rPr>
          <w:rFonts w:ascii="Verdana" w:hAnsi="Verdana"/>
          <w:sz w:val="16"/>
          <w:szCs w:val="16"/>
          <w:lang w:val="es-ES"/>
        </w:rPr>
        <w:t xml:space="preserve">Equipo Técnico Pericial de la Corte Superior de Justicia de Lima </w:t>
      </w:r>
      <w:r w:rsidRPr="000B33B9">
        <w:rPr>
          <w:rFonts w:ascii="Verdana" w:hAnsi="Verdana"/>
          <w:sz w:val="16"/>
          <w:szCs w:val="16"/>
          <w:lang w:val="es-CR"/>
        </w:rPr>
        <w:t xml:space="preserve">(expediente de prueba, folios del 225 al 238).  </w:t>
      </w:r>
    </w:p>
  </w:footnote>
  <w:footnote w:id="224">
    <w:p w14:paraId="78D956AB" w14:textId="47038566"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xml:space="preserve"> </w:t>
      </w:r>
      <w:r w:rsidRPr="000B33B9">
        <w:rPr>
          <w:rFonts w:ascii="Verdana" w:hAnsi="Verdana"/>
          <w:sz w:val="16"/>
          <w:szCs w:val="16"/>
          <w:lang w:val="es-CR"/>
        </w:rPr>
        <w:t xml:space="preserve">Resolución No. 240 del Segundo Juzgado Especializado en lo Civil de Lima de 28 de mayo de 2015 (expediente de prueba, folio 268). </w:t>
      </w:r>
    </w:p>
  </w:footnote>
  <w:footnote w:id="225">
    <w:p w14:paraId="44DEC84B" w14:textId="52575384"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xml:space="preserve"> Resolución No. 247 del Segundo Juzgado Especializado en lo Civil de Lima de 13 de junio de 2017 (expediente de prueba, folios del 15871 al 15878).</w:t>
      </w:r>
    </w:p>
  </w:footnote>
  <w:footnote w:id="226">
    <w:p w14:paraId="31B6CDEC" w14:textId="5A707768"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Cfr.</w:t>
      </w:r>
      <w:r w:rsidRPr="000B33B9">
        <w:rPr>
          <w:rFonts w:ascii="Verdana" w:hAnsi="Verdana"/>
          <w:sz w:val="16"/>
          <w:szCs w:val="16"/>
          <w:lang w:val="es-DO"/>
        </w:rPr>
        <w:t xml:space="preserve"> </w:t>
      </w:r>
      <w:r w:rsidRPr="000B33B9">
        <w:rPr>
          <w:rFonts w:ascii="Verdana" w:hAnsi="Verdana"/>
          <w:i/>
          <w:sz w:val="16"/>
          <w:szCs w:val="16"/>
          <w:lang w:val="es-DO"/>
        </w:rPr>
        <w:t>Mutatis mutandis,</w:t>
      </w:r>
      <w:r w:rsidRPr="000B33B9">
        <w:rPr>
          <w:rFonts w:ascii="Verdana" w:hAnsi="Verdana"/>
          <w:sz w:val="16"/>
          <w:szCs w:val="16"/>
          <w:lang w:val="es-DO"/>
        </w:rPr>
        <w:t xml:space="preserve"> </w:t>
      </w:r>
      <w:r w:rsidRPr="000B33B9">
        <w:rPr>
          <w:rFonts w:ascii="Verdana" w:hAnsi="Verdana"/>
          <w:i/>
          <w:sz w:val="16"/>
          <w:szCs w:val="16"/>
          <w:lang w:val="es-DO"/>
        </w:rPr>
        <w:t xml:space="preserve">Caso Muelle Flores Vs. Perú. Excepciones Preliminares, </w:t>
      </w:r>
      <w:r w:rsidRPr="000B33B9">
        <w:rPr>
          <w:rFonts w:ascii="Verdana" w:hAnsi="Verdana"/>
          <w:i/>
          <w:sz w:val="16"/>
          <w:szCs w:val="16"/>
        </w:rPr>
        <w:t xml:space="preserve">Fondo, Reparaciones y Costas. </w:t>
      </w:r>
      <w:r w:rsidRPr="000B33B9">
        <w:rPr>
          <w:rFonts w:ascii="Verdana" w:hAnsi="Verdana"/>
          <w:sz w:val="16"/>
          <w:szCs w:val="16"/>
        </w:rPr>
        <w:t xml:space="preserve">Sentencia de 6 de marzo de 2019. Serie C No. 375, párr. 161. </w:t>
      </w:r>
    </w:p>
  </w:footnote>
  <w:footnote w:id="227">
    <w:p w14:paraId="3EA2CEE4" w14:textId="0A4C5FD2"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rPr>
        <w:t>Cfr.</w:t>
      </w:r>
      <w:r w:rsidRPr="000B33B9">
        <w:rPr>
          <w:rFonts w:ascii="Verdana" w:hAnsi="Verdana"/>
          <w:sz w:val="16"/>
          <w:szCs w:val="16"/>
        </w:rPr>
        <w:t xml:space="preserve"> </w:t>
      </w:r>
      <w:r w:rsidRPr="000B33B9">
        <w:rPr>
          <w:rFonts w:ascii="Verdana" w:hAnsi="Verdana"/>
          <w:i/>
          <w:sz w:val="16"/>
          <w:szCs w:val="16"/>
        </w:rPr>
        <w:t xml:space="preserve">Caso Valle Jaramillo y otros Vs. Colombia. Fondo, Reparaciones y Costas. </w:t>
      </w:r>
      <w:r w:rsidRPr="000B33B9">
        <w:rPr>
          <w:rFonts w:ascii="Verdana" w:hAnsi="Verdana"/>
          <w:sz w:val="16"/>
          <w:szCs w:val="16"/>
        </w:rPr>
        <w:t xml:space="preserve">Sentencia de 27 de noviembre de 2008. Serie C No. 192, párr. 155, y </w:t>
      </w:r>
      <w:r w:rsidRPr="000B33B9">
        <w:rPr>
          <w:rFonts w:ascii="Verdana" w:hAnsi="Verdana"/>
          <w:i/>
          <w:sz w:val="16"/>
          <w:szCs w:val="16"/>
        </w:rPr>
        <w:t>Caso Cuscul Pivaral y Otros Vs. Guatemala.</w:t>
      </w:r>
      <w:r w:rsidRPr="000B33B9">
        <w:rPr>
          <w:rFonts w:ascii="Verdana" w:hAnsi="Verdana"/>
          <w:sz w:val="16"/>
          <w:szCs w:val="16"/>
        </w:rPr>
        <w:t xml:space="preserve"> </w:t>
      </w:r>
      <w:r w:rsidRPr="000B33B9">
        <w:rPr>
          <w:rFonts w:ascii="Verdana" w:hAnsi="Verdana"/>
          <w:i/>
          <w:sz w:val="16"/>
          <w:szCs w:val="16"/>
        </w:rPr>
        <w:t>Excepción Preliminar, Fondo, Reparaciones y Costas</w:t>
      </w:r>
      <w:r w:rsidRPr="000B33B9">
        <w:rPr>
          <w:rFonts w:ascii="Verdana" w:hAnsi="Verdana"/>
          <w:sz w:val="16"/>
          <w:szCs w:val="16"/>
        </w:rPr>
        <w:t xml:space="preserve">. Sentencia de 23 de agosto de 2018. Serie C No. 359, párr. 185. </w:t>
      </w:r>
    </w:p>
  </w:footnote>
  <w:footnote w:id="228">
    <w:p w14:paraId="06E7E037" w14:textId="039F9330"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rPr>
        <w:t>Cfr. Caso Poblete Vilches y Otros Vs. Chile</w:t>
      </w:r>
      <w:r w:rsidRPr="000B33B9">
        <w:rPr>
          <w:rFonts w:ascii="Verdana" w:hAnsi="Verdana"/>
          <w:sz w:val="16"/>
          <w:szCs w:val="16"/>
        </w:rPr>
        <w:t xml:space="preserve">. </w:t>
      </w:r>
      <w:r w:rsidRPr="000B33B9">
        <w:rPr>
          <w:rFonts w:ascii="Verdana" w:hAnsi="Verdana"/>
          <w:i/>
          <w:sz w:val="16"/>
          <w:szCs w:val="16"/>
        </w:rPr>
        <w:t>Fondo, Reparaciones y Costas</w:t>
      </w:r>
      <w:r w:rsidRPr="000B33B9">
        <w:rPr>
          <w:rFonts w:ascii="Verdana" w:hAnsi="Verdana"/>
          <w:sz w:val="16"/>
          <w:szCs w:val="16"/>
        </w:rPr>
        <w:t xml:space="preserve">. Sentencia de 8 de marzo de 2018. Serie C No. 349, párr. 143, y </w:t>
      </w:r>
      <w:r w:rsidRPr="000B33B9">
        <w:rPr>
          <w:rFonts w:ascii="Verdana" w:hAnsi="Verdana"/>
          <w:i/>
          <w:sz w:val="16"/>
          <w:szCs w:val="16"/>
          <w:lang w:val="es-DO"/>
        </w:rPr>
        <w:t xml:space="preserve">Caso Muelle Flores Vs. Perú. Excepciones Preliminares, </w:t>
      </w:r>
      <w:r w:rsidRPr="000B33B9">
        <w:rPr>
          <w:rFonts w:ascii="Verdana" w:hAnsi="Verdana"/>
          <w:i/>
          <w:sz w:val="16"/>
          <w:szCs w:val="16"/>
        </w:rPr>
        <w:t xml:space="preserve">Fondo, Reparaciones y Costas. </w:t>
      </w:r>
      <w:r w:rsidRPr="000B33B9">
        <w:rPr>
          <w:rFonts w:ascii="Verdana" w:hAnsi="Verdana"/>
          <w:sz w:val="16"/>
          <w:szCs w:val="16"/>
        </w:rPr>
        <w:t>Sentencia de 6 de marzo de 2019. Serie C No. 375, párr. 163.</w:t>
      </w:r>
    </w:p>
  </w:footnote>
  <w:footnote w:id="229">
    <w:p w14:paraId="4B3F180B" w14:textId="77777777"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lang w:val="es-DO"/>
        </w:rPr>
        <w:t>Cfr.</w:t>
      </w:r>
      <w:r w:rsidRPr="000B33B9">
        <w:rPr>
          <w:rFonts w:ascii="Verdana" w:hAnsi="Verdana"/>
          <w:sz w:val="16"/>
          <w:szCs w:val="16"/>
          <w:lang w:val="es-DO"/>
        </w:rPr>
        <w:t xml:space="preserve"> </w:t>
      </w:r>
      <w:r w:rsidRPr="000B33B9">
        <w:rPr>
          <w:rFonts w:ascii="Verdana" w:hAnsi="Verdana"/>
          <w:i/>
          <w:sz w:val="16"/>
          <w:szCs w:val="16"/>
          <w:lang w:val="es-DO"/>
        </w:rPr>
        <w:t xml:space="preserve">Muelle Flores Vs. Perú. Excepciones Preliminares, </w:t>
      </w:r>
      <w:r w:rsidRPr="000B33B9">
        <w:rPr>
          <w:rFonts w:ascii="Verdana" w:hAnsi="Verdana"/>
          <w:i/>
          <w:sz w:val="16"/>
          <w:szCs w:val="16"/>
        </w:rPr>
        <w:t xml:space="preserve">Fondo, Reparaciones y Costas. </w:t>
      </w:r>
      <w:r w:rsidRPr="000B33B9">
        <w:rPr>
          <w:rFonts w:ascii="Verdana" w:hAnsi="Verdana"/>
          <w:sz w:val="16"/>
          <w:szCs w:val="16"/>
        </w:rPr>
        <w:t>Sentencia de 6 de marzo de 2019. Serie C No. 375, párr. 162.</w:t>
      </w:r>
      <w:r w:rsidRPr="000B33B9">
        <w:rPr>
          <w:rFonts w:ascii="Verdana" w:hAnsi="Verdana"/>
          <w:i/>
          <w:sz w:val="16"/>
          <w:szCs w:val="16"/>
        </w:rPr>
        <w:t xml:space="preserve"> </w:t>
      </w:r>
    </w:p>
  </w:footnote>
  <w:footnote w:id="230">
    <w:p w14:paraId="396593D7" w14:textId="28FB05FD" w:rsidR="005A5D3C" w:rsidRPr="000B33B9" w:rsidRDefault="005A5D3C" w:rsidP="000B33B9">
      <w:pPr>
        <w:spacing w:after="120" w:line="240" w:lineRule="auto"/>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lang w:val="es-CR"/>
        </w:rPr>
        <w:tab/>
      </w:r>
      <w:r w:rsidRPr="000B33B9">
        <w:rPr>
          <w:rFonts w:ascii="Verdana" w:hAnsi="Verdana"/>
          <w:i/>
          <w:sz w:val="16"/>
          <w:szCs w:val="16"/>
          <w:lang w:val="es-AR"/>
        </w:rPr>
        <w:t xml:space="preserve">Cfr. </w:t>
      </w:r>
      <w:r w:rsidRPr="000B33B9">
        <w:rPr>
          <w:rStyle w:val="Textoennegrita"/>
          <w:rFonts w:ascii="Verdana" w:hAnsi="Verdana"/>
          <w:b w:val="0"/>
          <w:i/>
          <w:color w:val="000000"/>
          <w:sz w:val="16"/>
          <w:szCs w:val="16"/>
          <w:shd w:val="clear" w:color="auto" w:fill="FFFFFF"/>
        </w:rPr>
        <w:t>Caso Lagos del Campo Vs. Perú. Excepciones Preliminares, Fondo, Reparaciones y Costas.</w:t>
      </w:r>
      <w:r w:rsidRPr="000B33B9">
        <w:rPr>
          <w:rStyle w:val="Textoennegrita"/>
          <w:rFonts w:ascii="Verdana" w:hAnsi="Verdana"/>
          <w:b w:val="0"/>
          <w:color w:val="000000"/>
          <w:sz w:val="16"/>
          <w:szCs w:val="16"/>
          <w:shd w:val="clear" w:color="auto" w:fill="FFFFFF"/>
        </w:rPr>
        <w:t xml:space="preserve"> Sentencia de 31 de agosto de 2017. Serie C No. 340, párrs. 141-150 y 154.</w:t>
      </w:r>
    </w:p>
  </w:footnote>
  <w:footnote w:id="231">
    <w:p w14:paraId="08E56504" w14:textId="6523B71B" w:rsidR="005A5D3C" w:rsidRPr="000B33B9" w:rsidRDefault="005A5D3C" w:rsidP="000B33B9">
      <w:pPr>
        <w:pStyle w:val="Textonotapie"/>
        <w:spacing w:after="120"/>
        <w:jc w:val="both"/>
        <w:rPr>
          <w:rFonts w:ascii="Verdana" w:hAnsi="Verdana"/>
          <w:sz w:val="16"/>
          <w:szCs w:val="16"/>
          <w:lang w:val="es-PE"/>
        </w:rPr>
      </w:pPr>
      <w:r w:rsidRPr="000B33B9">
        <w:rPr>
          <w:rStyle w:val="Refdenotaalpie"/>
          <w:rFonts w:ascii="Verdana" w:hAnsi="Verdana"/>
          <w:sz w:val="16"/>
          <w:szCs w:val="16"/>
        </w:rPr>
        <w:footnoteRef/>
      </w:r>
      <w:r w:rsidRPr="000B33B9">
        <w:rPr>
          <w:rFonts w:ascii="Verdana" w:hAnsi="Verdana"/>
          <w:sz w:val="16"/>
          <w:szCs w:val="16"/>
          <w:lang w:val="es-PE"/>
        </w:rPr>
        <w:tab/>
      </w:r>
      <w:r w:rsidRPr="000B33B9">
        <w:rPr>
          <w:rFonts w:ascii="Verdana" w:hAnsi="Verdana"/>
          <w:i/>
          <w:sz w:val="16"/>
          <w:szCs w:val="16"/>
          <w:lang w:val="es-PE"/>
        </w:rPr>
        <w:t>Cfr.</w:t>
      </w:r>
      <w:r w:rsidRPr="000B33B9">
        <w:rPr>
          <w:rFonts w:ascii="Verdana" w:hAnsi="Verdana"/>
          <w:sz w:val="16"/>
          <w:szCs w:val="16"/>
          <w:lang w:val="es-PE"/>
        </w:rPr>
        <w:t xml:space="preserve"> </w:t>
      </w:r>
      <w:r w:rsidRPr="000B33B9">
        <w:rPr>
          <w:rStyle w:val="Textoennegrita"/>
          <w:rFonts w:ascii="Verdana" w:hAnsi="Verdana"/>
          <w:b w:val="0"/>
          <w:i/>
          <w:color w:val="000000"/>
          <w:sz w:val="16"/>
          <w:szCs w:val="16"/>
          <w:shd w:val="clear" w:color="auto" w:fill="FFFFFF"/>
          <w:lang w:val="es-CR"/>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w:t>
      </w:r>
      <w:r w:rsidRPr="000B33B9">
        <w:rPr>
          <w:rStyle w:val="Textoennegrita"/>
          <w:rFonts w:ascii="Verdana" w:hAnsi="Verdana"/>
          <w:b w:val="0"/>
          <w:color w:val="000000"/>
          <w:sz w:val="16"/>
          <w:szCs w:val="16"/>
          <w:shd w:val="clear" w:color="auto" w:fill="FFFFFF"/>
          <w:lang w:val="es-CR"/>
        </w:rPr>
        <w:t xml:space="preserve">). Opinión Consultiva OC-23/17 de 15 de noviembre de 2017. Serie A No. 23, </w:t>
      </w:r>
      <w:r w:rsidRPr="000B33B9">
        <w:rPr>
          <w:rFonts w:ascii="Verdana" w:hAnsi="Verdana"/>
          <w:sz w:val="16"/>
          <w:szCs w:val="16"/>
          <w:lang w:val="es-PE"/>
        </w:rPr>
        <w:t xml:space="preserve">párr. 57; </w:t>
      </w:r>
      <w:r w:rsidRPr="000B33B9">
        <w:rPr>
          <w:rFonts w:ascii="Verdana" w:hAnsi="Verdana"/>
          <w:i/>
          <w:sz w:val="16"/>
          <w:szCs w:val="16"/>
        </w:rPr>
        <w:t>Caso Trabajadores Cesados de Petroperú y otros Vs. Perú. Excepciones Preliminares, Fondo, Reparaciones y Costas</w:t>
      </w:r>
      <w:r w:rsidRPr="000B33B9">
        <w:rPr>
          <w:rFonts w:ascii="Verdana" w:hAnsi="Verdana"/>
          <w:sz w:val="16"/>
          <w:szCs w:val="16"/>
        </w:rPr>
        <w:t xml:space="preserve">. Sentencia de 23 de noviembre de 2017. Serie C No. 344, párr. 192; </w:t>
      </w:r>
      <w:r w:rsidRPr="000B33B9">
        <w:rPr>
          <w:rFonts w:ascii="Verdana" w:hAnsi="Verdana"/>
          <w:i/>
          <w:sz w:val="16"/>
          <w:szCs w:val="16"/>
        </w:rPr>
        <w:t>Caso San Miguel Sosa y otras Vs. Venezuela. Fondo, Reparaciones y Costas</w:t>
      </w:r>
      <w:r w:rsidRPr="000B33B9">
        <w:rPr>
          <w:rFonts w:ascii="Verdana" w:hAnsi="Verdana"/>
          <w:sz w:val="16"/>
          <w:szCs w:val="16"/>
        </w:rPr>
        <w:t xml:space="preserve">. Sentencia de 8 de febrero de 2018. Serie C No. 348, párr. 220; </w:t>
      </w:r>
      <w:r w:rsidRPr="000B33B9">
        <w:rPr>
          <w:rFonts w:ascii="Verdana" w:hAnsi="Verdana"/>
          <w:i/>
          <w:sz w:val="16"/>
          <w:szCs w:val="16"/>
        </w:rPr>
        <w:t>Caso Poblete Vilches y otros Vs. Chile. Fondo, Reparaciones y Costas</w:t>
      </w:r>
      <w:r w:rsidRPr="000B33B9">
        <w:rPr>
          <w:rFonts w:ascii="Verdana" w:hAnsi="Verdana"/>
          <w:sz w:val="16"/>
          <w:szCs w:val="16"/>
        </w:rPr>
        <w:t xml:space="preserve">. Sentencia de 8 de marzo de 2018. Serie C No. 349, párr. 100; </w:t>
      </w:r>
      <w:r w:rsidRPr="000B33B9">
        <w:rPr>
          <w:rFonts w:ascii="Verdana" w:hAnsi="Verdana" w:cstheme="minorHAnsi"/>
          <w:i/>
          <w:sz w:val="16"/>
          <w:szCs w:val="16"/>
        </w:rPr>
        <w:t xml:space="preserve">Caso Cuscul Pivaral y otros Vs. Guatemala. Excepción Preliminar, Fondo, Reparaciones y Costas. </w:t>
      </w:r>
      <w:r w:rsidRPr="000B33B9">
        <w:rPr>
          <w:rFonts w:ascii="Verdana" w:hAnsi="Verdana" w:cstheme="minorHAnsi"/>
          <w:sz w:val="16"/>
          <w:szCs w:val="16"/>
        </w:rPr>
        <w:t xml:space="preserve">Sentencia de 23 de agosto de 2018. Serie C No. 359, párr. 73, y </w:t>
      </w:r>
      <w:r w:rsidRPr="000B33B9">
        <w:rPr>
          <w:rStyle w:val="Textoennegrita"/>
          <w:rFonts w:ascii="Verdana" w:hAnsi="Verdana"/>
          <w:b w:val="0"/>
          <w:i/>
          <w:color w:val="000000"/>
          <w:sz w:val="16"/>
          <w:szCs w:val="16"/>
          <w:shd w:val="clear" w:color="auto" w:fill="FFFFFF"/>
          <w:lang w:val="es-CR"/>
        </w:rPr>
        <w:t>Caso Muelle Flores Vs. Perú. Excepciones Preliminares, Fondo, Reparaciones y Costas.</w:t>
      </w:r>
      <w:r w:rsidRPr="000B33B9">
        <w:rPr>
          <w:rStyle w:val="Textoennegrita"/>
          <w:rFonts w:ascii="Verdana" w:hAnsi="Verdana"/>
          <w:b w:val="0"/>
          <w:color w:val="000000"/>
          <w:sz w:val="16"/>
          <w:szCs w:val="16"/>
          <w:shd w:val="clear" w:color="auto" w:fill="FFFFFF"/>
          <w:lang w:val="es-CR"/>
        </w:rPr>
        <w:t xml:space="preserve"> Sentencia de 6 de marzo de 2019. Serie C No. 375, párr. 175</w:t>
      </w:r>
      <w:r w:rsidRPr="000B33B9">
        <w:rPr>
          <w:rFonts w:ascii="Verdana" w:hAnsi="Verdana"/>
          <w:sz w:val="16"/>
          <w:szCs w:val="16"/>
          <w:lang w:val="es-PE"/>
        </w:rPr>
        <w:t>.</w:t>
      </w:r>
    </w:p>
  </w:footnote>
  <w:footnote w:id="232">
    <w:p w14:paraId="63610FFC" w14:textId="76BD0379" w:rsidR="005A5D3C" w:rsidRPr="000B33B9" w:rsidRDefault="005A5D3C" w:rsidP="000B33B9">
      <w:pPr>
        <w:pStyle w:val="Textonotapie"/>
        <w:spacing w:after="120"/>
        <w:jc w:val="both"/>
        <w:rPr>
          <w:rFonts w:ascii="Verdana" w:hAnsi="Verdana"/>
          <w:sz w:val="16"/>
          <w:szCs w:val="16"/>
          <w:lang w:val="es-PE"/>
        </w:rPr>
      </w:pPr>
      <w:r w:rsidRPr="000B33B9">
        <w:rPr>
          <w:rStyle w:val="Refdenotaalpie"/>
          <w:rFonts w:ascii="Verdana" w:hAnsi="Verdana"/>
          <w:sz w:val="16"/>
          <w:szCs w:val="16"/>
        </w:rPr>
        <w:footnoteRef/>
      </w:r>
      <w:r w:rsidRPr="000B33B9">
        <w:rPr>
          <w:rFonts w:ascii="Verdana" w:hAnsi="Verdana"/>
          <w:sz w:val="16"/>
          <w:szCs w:val="16"/>
          <w:lang w:val="es-PE"/>
        </w:rPr>
        <w:t xml:space="preserve"> </w:t>
      </w:r>
      <w:r w:rsidRPr="000B33B9">
        <w:rPr>
          <w:rFonts w:ascii="Verdana" w:hAnsi="Verdana"/>
          <w:sz w:val="16"/>
          <w:szCs w:val="16"/>
          <w:lang w:val="es-PE"/>
        </w:rPr>
        <w:tab/>
      </w:r>
      <w:r w:rsidRPr="000B33B9">
        <w:rPr>
          <w:rStyle w:val="Textoennegrita"/>
          <w:rFonts w:ascii="Verdana" w:hAnsi="Verdana"/>
          <w:b w:val="0"/>
          <w:i/>
          <w:color w:val="000000"/>
          <w:sz w:val="16"/>
          <w:szCs w:val="16"/>
          <w:shd w:val="clear" w:color="auto" w:fill="FFFFFF"/>
        </w:rPr>
        <w:t>Caso Poblete Vilches y Otros Vs. Chile. Fondo, Reparaciones y Costas.</w:t>
      </w:r>
      <w:r w:rsidRPr="000B33B9">
        <w:rPr>
          <w:rStyle w:val="Textoennegrita"/>
          <w:rFonts w:ascii="Verdana" w:hAnsi="Verdana"/>
          <w:b w:val="0"/>
          <w:color w:val="000000"/>
          <w:sz w:val="16"/>
          <w:szCs w:val="16"/>
          <w:shd w:val="clear" w:color="auto" w:fill="FFFFFF"/>
        </w:rPr>
        <w:t xml:space="preserve"> Sentencia de 8 de marzo de 2018. Serie C No. 349, párr. 103, y </w:t>
      </w:r>
      <w:r w:rsidRPr="000B33B9">
        <w:rPr>
          <w:rStyle w:val="Textoennegrita"/>
          <w:rFonts w:ascii="Verdana" w:hAnsi="Verdana"/>
          <w:b w:val="0"/>
          <w:i/>
          <w:color w:val="000000"/>
          <w:sz w:val="16"/>
          <w:szCs w:val="16"/>
          <w:shd w:val="clear" w:color="auto" w:fill="FFFFFF"/>
        </w:rPr>
        <w:t xml:space="preserve">Cfr. </w:t>
      </w:r>
      <w:r w:rsidRPr="000B33B9">
        <w:rPr>
          <w:rStyle w:val="Textoennegrita"/>
          <w:rFonts w:ascii="Verdana" w:hAnsi="Verdana"/>
          <w:b w:val="0"/>
          <w:i/>
          <w:color w:val="000000"/>
          <w:sz w:val="16"/>
          <w:szCs w:val="16"/>
          <w:shd w:val="clear" w:color="auto" w:fill="FFFFFF"/>
          <w:lang w:val="es-CR"/>
        </w:rPr>
        <w:t>Caso Muelle Flores Vs. Perú. Excepciones Preliminares, Fondo, Reparaciones y Costas.</w:t>
      </w:r>
      <w:r w:rsidRPr="000B33B9">
        <w:rPr>
          <w:rStyle w:val="Textoennegrita"/>
          <w:rFonts w:ascii="Verdana" w:hAnsi="Verdana"/>
          <w:b w:val="0"/>
          <w:color w:val="000000"/>
          <w:sz w:val="16"/>
          <w:szCs w:val="16"/>
          <w:shd w:val="clear" w:color="auto" w:fill="FFFFFF"/>
          <w:lang w:val="es-CR"/>
        </w:rPr>
        <w:t xml:space="preserve"> Sentencia de 6 de marzo de 2019. Serie C No. 375, párrs. 175 y 176</w:t>
      </w:r>
      <w:r w:rsidRPr="000B33B9">
        <w:rPr>
          <w:rFonts w:ascii="Verdana" w:hAnsi="Verdana"/>
          <w:sz w:val="16"/>
          <w:szCs w:val="16"/>
          <w:lang w:val="es-PE"/>
        </w:rPr>
        <w:t>.</w:t>
      </w:r>
    </w:p>
  </w:footnote>
  <w:footnote w:id="233">
    <w:p w14:paraId="1DAF25F8" w14:textId="77777777"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lang w:val="es-CR"/>
        </w:rPr>
        <w:t xml:space="preserve"> </w:t>
      </w:r>
      <w:r w:rsidRPr="000B33B9">
        <w:rPr>
          <w:rFonts w:ascii="Verdana" w:hAnsi="Verdana"/>
          <w:sz w:val="16"/>
          <w:szCs w:val="16"/>
          <w:lang w:val="es-CR"/>
        </w:rPr>
        <w:tab/>
        <w:t xml:space="preserve">El artículo 3.j) de la Carta de la OEA establece: “[l]os Estados americanos reafirman los siguientes principios: </w:t>
      </w:r>
      <w:r w:rsidRPr="000B33B9">
        <w:rPr>
          <w:rFonts w:ascii="Verdana" w:hAnsi="Verdana" w:cs="Tahoma"/>
          <w:color w:val="000000"/>
          <w:sz w:val="16"/>
          <w:szCs w:val="16"/>
          <w:shd w:val="clear" w:color="auto" w:fill="FFFFFF"/>
          <w:lang w:val="es-CR"/>
        </w:rPr>
        <w:t>j) [l]a justicia y la seguridad social son bases de una paz duradera”.</w:t>
      </w:r>
    </w:p>
  </w:footnote>
  <w:footnote w:id="234">
    <w:p w14:paraId="63505264" w14:textId="77777777" w:rsidR="005A5D3C" w:rsidRPr="000B33B9" w:rsidRDefault="005A5D3C" w:rsidP="000B33B9">
      <w:pPr>
        <w:pStyle w:val="style10"/>
        <w:shd w:val="clear" w:color="auto" w:fill="FFFFFF"/>
        <w:spacing w:before="0" w:beforeAutospacing="0" w:after="120" w:afterAutospacing="0"/>
        <w:jc w:val="both"/>
        <w:rPr>
          <w:rFonts w:ascii="Verdana" w:hAnsi="Verdana" w:cs="Tahoma"/>
          <w:color w:val="333333"/>
          <w:sz w:val="16"/>
          <w:szCs w:val="16"/>
          <w:lang w:val="es-PE"/>
        </w:rPr>
      </w:pPr>
      <w:r w:rsidRPr="000B33B9">
        <w:rPr>
          <w:rStyle w:val="Refdenotaalpie"/>
          <w:rFonts w:ascii="Verdana" w:eastAsia="Batang" w:hAnsi="Verdana"/>
          <w:sz w:val="16"/>
          <w:szCs w:val="16"/>
        </w:rPr>
        <w:footnoteRef/>
      </w:r>
      <w:r w:rsidRPr="000B33B9">
        <w:rPr>
          <w:rFonts w:ascii="Verdana" w:hAnsi="Verdana"/>
          <w:sz w:val="16"/>
          <w:szCs w:val="16"/>
          <w:lang w:val="es-CR"/>
        </w:rPr>
        <w:t xml:space="preserve"> </w:t>
      </w:r>
      <w:r w:rsidRPr="000B33B9">
        <w:rPr>
          <w:rFonts w:ascii="Verdana" w:hAnsi="Verdana"/>
          <w:sz w:val="16"/>
          <w:szCs w:val="16"/>
          <w:lang w:val="es-CR"/>
        </w:rPr>
        <w:tab/>
        <w:t xml:space="preserve">El artículo 45.b) de la Carta de la OEA establece: “[l]os Estados miembros, convencidos de que el hombre sólo puede alcanzar la plena realización de sus aspiraciones dentro de un orden social justo, acompañado de desarrollo económico y verdadera paz, convienen en dedicar sus máximos esfuerzos a la aplicación de los siguientes principios y mecanismos: </w:t>
      </w:r>
      <w:r w:rsidRPr="000B33B9">
        <w:rPr>
          <w:rFonts w:ascii="Verdana" w:hAnsi="Verdana" w:cs="Tahoma"/>
          <w:color w:val="000000"/>
          <w:sz w:val="16"/>
          <w:szCs w:val="16"/>
          <w:lang w:val="es-ES"/>
        </w:rPr>
        <w:t>b) [e]l trabajo es un derecho y un deber social, otorga dignidad a quien lo realiza y debe prestarse en condiciones que, incluyendo un régimen de salarios justos, aseguren la vida, la salud y un nivel económico decoroso para el trabajador y su familia, tanto en sus años de trabajo como en su vejez, o cuando cualquier circunstancia lo prive de la posibilidad de trabajar”.</w:t>
      </w:r>
    </w:p>
  </w:footnote>
  <w:footnote w:id="235">
    <w:p w14:paraId="1B75A21E" w14:textId="77777777"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lang w:val="es-CR"/>
        </w:rPr>
        <w:t xml:space="preserve"> </w:t>
      </w:r>
      <w:r w:rsidRPr="000B33B9">
        <w:rPr>
          <w:rFonts w:ascii="Verdana" w:hAnsi="Verdana"/>
          <w:sz w:val="16"/>
          <w:szCs w:val="16"/>
          <w:lang w:val="es-CR"/>
        </w:rPr>
        <w:tab/>
        <w:t>El artículo 45.h) de la Carta de la OEA establece: “[l]os Estados miembros, convencidos de que el hombre sólo puede alcanzar la plena realización de sus aspiraciones dentro de un orden social justo, acompañado de desarrollo económico y verdadera paz, convienen en dedicar sus máximos esfuerzos a la aplicación de los siguientes principios y mecanismos: h) [d]esarrollo de una política eficiente de seguridad social”.</w:t>
      </w:r>
    </w:p>
  </w:footnote>
  <w:footnote w:id="236">
    <w:p w14:paraId="0AD91FEF" w14:textId="77777777"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lang w:val="es-CR"/>
        </w:rPr>
        <w:t xml:space="preserve"> </w:t>
      </w:r>
      <w:r w:rsidRPr="000B33B9">
        <w:rPr>
          <w:rFonts w:ascii="Verdana" w:hAnsi="Verdana"/>
          <w:sz w:val="16"/>
          <w:szCs w:val="16"/>
          <w:lang w:val="es-CR"/>
        </w:rPr>
        <w:tab/>
      </w:r>
      <w:r w:rsidRPr="000B33B9">
        <w:rPr>
          <w:rStyle w:val="Textoennegrita"/>
          <w:rFonts w:ascii="Verdana" w:hAnsi="Verdana"/>
          <w:b w:val="0"/>
          <w:i/>
          <w:color w:val="000000"/>
          <w:sz w:val="16"/>
          <w:szCs w:val="16"/>
          <w:shd w:val="clear" w:color="auto" w:fill="FFFFFF"/>
          <w:lang w:val="es-CR"/>
        </w:rPr>
        <w:t>Caso Muelle Flores Vs. Perú. Excepciones Preliminares, Fondo, Reparaciones y Costas.</w:t>
      </w:r>
      <w:r w:rsidRPr="000B33B9">
        <w:rPr>
          <w:rStyle w:val="Textoennegrita"/>
          <w:rFonts w:ascii="Verdana" w:hAnsi="Verdana"/>
          <w:b w:val="0"/>
          <w:color w:val="000000"/>
          <w:sz w:val="16"/>
          <w:szCs w:val="16"/>
          <w:shd w:val="clear" w:color="auto" w:fill="FFFFFF"/>
          <w:lang w:val="es-CR"/>
        </w:rPr>
        <w:t xml:space="preserve"> Sentencia de 6 de marzo de 2019. Serie C No. 375, párr. 173</w:t>
      </w:r>
      <w:r w:rsidRPr="000B33B9">
        <w:rPr>
          <w:rFonts w:ascii="Verdana" w:hAnsi="Verdana"/>
          <w:sz w:val="16"/>
          <w:szCs w:val="16"/>
          <w:lang w:val="es-PE"/>
        </w:rPr>
        <w:t>.</w:t>
      </w:r>
    </w:p>
  </w:footnote>
  <w:footnote w:id="237">
    <w:p w14:paraId="46AACECB" w14:textId="77777777"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lang w:val="es-CR"/>
        </w:rPr>
        <w:tab/>
      </w:r>
      <w:r w:rsidRPr="000B33B9">
        <w:rPr>
          <w:rFonts w:ascii="Verdana" w:hAnsi="Verdana"/>
          <w:i/>
          <w:sz w:val="16"/>
          <w:szCs w:val="16"/>
          <w:lang w:val="es-CR"/>
        </w:rPr>
        <w:t>Cfr. Caso de la "Masacre de Mapiripán" Vs. Colombia</w:t>
      </w:r>
      <w:r w:rsidRPr="000B33B9">
        <w:rPr>
          <w:rFonts w:ascii="Verdana" w:hAnsi="Verdana"/>
          <w:sz w:val="16"/>
          <w:szCs w:val="16"/>
          <w:lang w:val="es-CR"/>
        </w:rPr>
        <w:t xml:space="preserve">. Sentencia de 15 de septiembre de 2005. Serie C No. 134, párr. 107, y </w:t>
      </w:r>
      <w:r w:rsidRPr="000B33B9">
        <w:rPr>
          <w:rStyle w:val="Textoennegrita"/>
          <w:rFonts w:ascii="Verdana" w:hAnsi="Verdana"/>
          <w:b w:val="0"/>
          <w:i/>
          <w:color w:val="000000"/>
          <w:sz w:val="16"/>
          <w:szCs w:val="16"/>
          <w:shd w:val="clear" w:color="auto" w:fill="FFFFFF"/>
          <w:lang w:val="es-CR"/>
        </w:rPr>
        <w:t>Caso Muelle Flores Vs. Perú. Excepciones Preliminares, Fondo, Reparaciones y Costas</w:t>
      </w:r>
      <w:r w:rsidRPr="000B33B9">
        <w:rPr>
          <w:rStyle w:val="Textoennegrita"/>
          <w:rFonts w:ascii="Verdana" w:hAnsi="Verdana"/>
          <w:b w:val="0"/>
          <w:color w:val="000000"/>
          <w:sz w:val="16"/>
          <w:szCs w:val="16"/>
          <w:shd w:val="clear" w:color="auto" w:fill="FFFFFF"/>
          <w:lang w:val="es-CR"/>
        </w:rPr>
        <w:t>. Sentencia de 6 de marzo de 2019. Serie C No. 375, párr. 174</w:t>
      </w:r>
      <w:r w:rsidRPr="000B33B9">
        <w:rPr>
          <w:rFonts w:ascii="Verdana" w:hAnsi="Verdana"/>
          <w:sz w:val="16"/>
          <w:szCs w:val="16"/>
          <w:lang w:val="es-CR"/>
        </w:rPr>
        <w:t>.</w:t>
      </w:r>
    </w:p>
  </w:footnote>
  <w:footnote w:id="238">
    <w:p w14:paraId="21CC19B7" w14:textId="6F7E9C2A"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lang w:val="es-CR"/>
        </w:rPr>
        <w:tab/>
      </w:r>
      <w:r w:rsidRPr="000B33B9">
        <w:rPr>
          <w:rFonts w:ascii="Verdana" w:hAnsi="Verdana"/>
          <w:i/>
          <w:sz w:val="16"/>
          <w:szCs w:val="16"/>
          <w:lang w:val="es-DO"/>
        </w:rPr>
        <w:t xml:space="preserve">Cfr. Caso familia Pacheco Tineo Vs. </w:t>
      </w:r>
      <w:r w:rsidRPr="000B33B9">
        <w:rPr>
          <w:rFonts w:ascii="Verdana" w:hAnsi="Verdana"/>
          <w:i/>
          <w:sz w:val="16"/>
          <w:szCs w:val="16"/>
          <w:lang w:val="es-CR"/>
        </w:rPr>
        <w:t>Bolivia. Excepciones Preliminares, Fondo, Reparaciones y Costas</w:t>
      </w:r>
      <w:r w:rsidRPr="000B33B9">
        <w:rPr>
          <w:rFonts w:ascii="Verdana" w:hAnsi="Verdana"/>
          <w:sz w:val="16"/>
          <w:szCs w:val="16"/>
          <w:lang w:val="es-CR"/>
        </w:rPr>
        <w:t xml:space="preserve">. Sentencia de 25 de noviembre de 2013. Serie C No. 272, párr. 143, y </w:t>
      </w:r>
      <w:r w:rsidRPr="000B33B9">
        <w:rPr>
          <w:rStyle w:val="Textoennegrita"/>
          <w:rFonts w:ascii="Verdana" w:hAnsi="Verdana"/>
          <w:b w:val="0"/>
          <w:i/>
          <w:color w:val="000000"/>
          <w:sz w:val="16"/>
          <w:szCs w:val="16"/>
          <w:shd w:val="clear" w:color="auto" w:fill="FFFFFF"/>
          <w:lang w:val="es-CR"/>
        </w:rPr>
        <w:t>Caso Muelle Flores Vs. Perú. Excepciones Preliminares, Fondo, Reparaciones y Costas</w:t>
      </w:r>
      <w:r w:rsidRPr="000B33B9">
        <w:rPr>
          <w:rStyle w:val="Textoennegrita"/>
          <w:rFonts w:ascii="Verdana" w:hAnsi="Verdana"/>
          <w:b w:val="0"/>
          <w:color w:val="000000"/>
          <w:sz w:val="16"/>
          <w:szCs w:val="16"/>
          <w:shd w:val="clear" w:color="auto" w:fill="FFFFFF"/>
          <w:lang w:val="es-CR"/>
        </w:rPr>
        <w:t>. Sentencia de 6 de marzo de 2019. Serie C No. 375, párr. 174</w:t>
      </w:r>
      <w:r w:rsidRPr="000B33B9">
        <w:rPr>
          <w:rFonts w:ascii="Verdana" w:hAnsi="Verdana"/>
          <w:sz w:val="16"/>
          <w:szCs w:val="16"/>
          <w:lang w:val="es-PE"/>
        </w:rPr>
        <w:t>.</w:t>
      </w:r>
    </w:p>
  </w:footnote>
  <w:footnote w:id="239">
    <w:p w14:paraId="2E033E66" w14:textId="4CD4C747"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lang w:val="es-CR"/>
        </w:rPr>
        <w:tab/>
      </w:r>
      <w:r w:rsidRPr="000B33B9">
        <w:rPr>
          <w:rFonts w:ascii="Verdana" w:hAnsi="Verdana"/>
          <w:i/>
          <w:sz w:val="16"/>
          <w:szCs w:val="16"/>
          <w:lang w:val="es-CR"/>
        </w:rPr>
        <w:t>Cfr. Caso Gelman Vs. Uruguay. Fondo y Reparaciones</w:t>
      </w:r>
      <w:r w:rsidRPr="000B33B9">
        <w:rPr>
          <w:rFonts w:ascii="Verdana" w:hAnsi="Verdana"/>
          <w:sz w:val="16"/>
          <w:szCs w:val="16"/>
          <w:lang w:val="es-CR"/>
        </w:rPr>
        <w:t xml:space="preserve">. Sentencia de 24 de febrero de 2011. Serie C No. 221, párr. 78 y 121; </w:t>
      </w:r>
      <w:r w:rsidRPr="000B33B9">
        <w:rPr>
          <w:rFonts w:ascii="Verdana" w:hAnsi="Verdana"/>
          <w:i/>
          <w:sz w:val="16"/>
          <w:szCs w:val="16"/>
          <w:lang w:val="es-CR"/>
        </w:rPr>
        <w:t xml:space="preserve">Caso Atala Riffo y niñas Vs. </w:t>
      </w:r>
      <w:r w:rsidRPr="000B33B9">
        <w:rPr>
          <w:rFonts w:ascii="Verdana" w:hAnsi="Verdana"/>
          <w:i/>
          <w:sz w:val="16"/>
          <w:szCs w:val="16"/>
          <w:lang w:val="es-ES"/>
        </w:rPr>
        <w:t xml:space="preserve">Chile. </w:t>
      </w:r>
      <w:r w:rsidRPr="000B33B9">
        <w:rPr>
          <w:rFonts w:ascii="Verdana" w:hAnsi="Verdana"/>
          <w:i/>
          <w:sz w:val="16"/>
          <w:szCs w:val="16"/>
          <w:lang w:val="es-CR"/>
        </w:rPr>
        <w:t>Fondo, Reparaciones y Costas</w:t>
      </w:r>
      <w:r w:rsidRPr="000B33B9">
        <w:rPr>
          <w:rFonts w:ascii="Verdana" w:hAnsi="Verdana"/>
          <w:sz w:val="16"/>
          <w:szCs w:val="16"/>
          <w:lang w:val="es-CR"/>
        </w:rPr>
        <w:t xml:space="preserve">. Sentencia de 24 de febrero de 2012. Serie C No. 239, párr. 83; </w:t>
      </w:r>
      <w:r w:rsidRPr="000B33B9">
        <w:rPr>
          <w:rFonts w:ascii="Verdana" w:hAnsi="Verdana"/>
          <w:i/>
          <w:sz w:val="16"/>
          <w:szCs w:val="16"/>
          <w:lang w:val="es-DO"/>
        </w:rPr>
        <w:t xml:space="preserve">Caso familia Pacheco Tineo Vs. </w:t>
      </w:r>
      <w:r w:rsidRPr="000B33B9">
        <w:rPr>
          <w:rFonts w:ascii="Verdana" w:hAnsi="Verdana"/>
          <w:i/>
          <w:sz w:val="16"/>
          <w:szCs w:val="16"/>
          <w:lang w:val="es-CR"/>
        </w:rPr>
        <w:t>Bolivia. Excepciones Preliminares, Fondo, Reparaciones y Costas</w:t>
      </w:r>
      <w:r w:rsidRPr="000B33B9">
        <w:rPr>
          <w:rFonts w:ascii="Verdana" w:hAnsi="Verdana"/>
          <w:sz w:val="16"/>
          <w:szCs w:val="16"/>
          <w:lang w:val="es-CR"/>
        </w:rPr>
        <w:t xml:space="preserve">. Sentencia de 25 de noviembre de 2013. Serie C No. 272, párr. 129; </w:t>
      </w:r>
      <w:r w:rsidRPr="000B33B9">
        <w:rPr>
          <w:rFonts w:ascii="Verdana" w:hAnsi="Verdana"/>
          <w:i/>
          <w:sz w:val="16"/>
          <w:szCs w:val="16"/>
          <w:lang w:val="es-ES"/>
        </w:rPr>
        <w:t xml:space="preserve">Caso I.V. Vs. Bolivia. </w:t>
      </w:r>
      <w:r w:rsidRPr="000B33B9">
        <w:rPr>
          <w:rFonts w:ascii="Verdana" w:hAnsi="Verdana"/>
          <w:i/>
          <w:sz w:val="16"/>
          <w:szCs w:val="16"/>
          <w:lang w:val="es-CR"/>
        </w:rPr>
        <w:t>Excepciones Preliminares, Fondo, Reparaciones y Costas.</w:t>
      </w:r>
      <w:r w:rsidRPr="000B33B9">
        <w:rPr>
          <w:rFonts w:ascii="Verdana" w:hAnsi="Verdana"/>
          <w:sz w:val="16"/>
          <w:szCs w:val="16"/>
          <w:lang w:val="es-CR"/>
        </w:rPr>
        <w:t xml:space="preserve"> Sentencia de 30 de noviembre de 2016. Serie C No. 329, párr. 168; </w:t>
      </w:r>
      <w:r w:rsidRPr="000B33B9">
        <w:rPr>
          <w:rStyle w:val="Textoennegrita"/>
          <w:rFonts w:ascii="Verdana" w:hAnsi="Verdana" w:cstheme="minorHAnsi"/>
          <w:b w:val="0"/>
          <w:i/>
          <w:color w:val="000000"/>
          <w:sz w:val="16"/>
          <w:szCs w:val="16"/>
        </w:rPr>
        <w:t>Caso Lagos del Campo Vs. Perú.</w:t>
      </w:r>
      <w:r w:rsidRPr="000B33B9">
        <w:rPr>
          <w:rStyle w:val="Textoennegrita"/>
          <w:rFonts w:ascii="Verdana" w:hAnsi="Verdana" w:cstheme="minorHAnsi"/>
          <w:i/>
          <w:color w:val="000000"/>
          <w:sz w:val="16"/>
          <w:szCs w:val="16"/>
        </w:rPr>
        <w:t xml:space="preserve"> </w:t>
      </w:r>
      <w:r w:rsidRPr="000B33B9">
        <w:rPr>
          <w:rFonts w:ascii="Verdana" w:hAnsi="Verdana" w:cstheme="minorHAnsi"/>
          <w:bCs/>
          <w:i/>
          <w:color w:val="000000"/>
          <w:sz w:val="16"/>
          <w:szCs w:val="16"/>
        </w:rPr>
        <w:t xml:space="preserve">Excepciones Preliminares, Fondo, Reparaciones y Costas. </w:t>
      </w:r>
      <w:r w:rsidRPr="000B33B9">
        <w:rPr>
          <w:rFonts w:ascii="Verdana" w:hAnsi="Verdana" w:cstheme="minorHAnsi"/>
          <w:bCs/>
          <w:color w:val="000000"/>
          <w:sz w:val="16"/>
          <w:szCs w:val="16"/>
        </w:rPr>
        <w:t>Sentencia de 31 de</w:t>
      </w:r>
      <w:r w:rsidRPr="000B33B9">
        <w:rPr>
          <w:rFonts w:ascii="Verdana" w:hAnsi="Verdana" w:cstheme="minorHAnsi"/>
          <w:bCs/>
          <w:color w:val="000000"/>
          <w:sz w:val="16"/>
          <w:szCs w:val="16"/>
          <w:shd w:val="clear" w:color="auto" w:fill="FFFFFF"/>
        </w:rPr>
        <w:t xml:space="preserve"> </w:t>
      </w:r>
      <w:r w:rsidRPr="000B33B9">
        <w:rPr>
          <w:rFonts w:ascii="Verdana" w:hAnsi="Verdana" w:cstheme="minorHAnsi"/>
          <w:bCs/>
          <w:color w:val="000000"/>
          <w:sz w:val="16"/>
          <w:szCs w:val="16"/>
        </w:rPr>
        <w:t>agosto de 2017. Serie C No. 340</w:t>
      </w:r>
      <w:r w:rsidRPr="000B33B9">
        <w:rPr>
          <w:rFonts w:ascii="Verdana" w:hAnsi="Verdana"/>
          <w:i/>
          <w:sz w:val="16"/>
          <w:szCs w:val="16"/>
          <w:lang w:val="es-CR"/>
        </w:rPr>
        <w:t>,</w:t>
      </w:r>
      <w:r w:rsidRPr="000B33B9">
        <w:rPr>
          <w:rFonts w:ascii="Verdana" w:hAnsi="Verdana"/>
          <w:sz w:val="16"/>
          <w:szCs w:val="16"/>
          <w:lang w:val="es-ES"/>
        </w:rPr>
        <w:t xml:space="preserve"> párr. 145;</w:t>
      </w:r>
      <w:r w:rsidRPr="000B33B9">
        <w:rPr>
          <w:rStyle w:val="Textoennegrita"/>
          <w:rFonts w:ascii="Verdana" w:hAnsi="Verdana"/>
          <w:b w:val="0"/>
          <w:i/>
          <w:color w:val="000000"/>
          <w:sz w:val="16"/>
          <w:szCs w:val="16"/>
          <w:shd w:val="clear" w:color="auto" w:fill="FFFFFF"/>
        </w:rPr>
        <w:t xml:space="preserve"> Caso Poblete Vilches y Otros Vs. Chile. Fondo, Reparaciones y Costas.</w:t>
      </w:r>
      <w:r w:rsidRPr="000B33B9">
        <w:rPr>
          <w:rStyle w:val="Textoennegrita"/>
          <w:rFonts w:ascii="Verdana" w:hAnsi="Verdana"/>
          <w:b w:val="0"/>
          <w:color w:val="000000"/>
          <w:sz w:val="16"/>
          <w:szCs w:val="16"/>
          <w:shd w:val="clear" w:color="auto" w:fill="FFFFFF"/>
        </w:rPr>
        <w:t xml:space="preserve"> Sentencia de 8 de marzo de 2018. Serie C No. 349,</w:t>
      </w:r>
      <w:r w:rsidRPr="000B33B9">
        <w:rPr>
          <w:rFonts w:ascii="Verdana" w:hAnsi="Verdana"/>
          <w:sz w:val="16"/>
          <w:szCs w:val="16"/>
          <w:lang w:val="es-CR"/>
        </w:rPr>
        <w:t xml:space="preserve"> párr. 103, y </w:t>
      </w:r>
      <w:r w:rsidRPr="000B33B9">
        <w:rPr>
          <w:rFonts w:ascii="Verdana" w:hAnsi="Verdana" w:cstheme="minorHAnsi"/>
          <w:i/>
          <w:sz w:val="16"/>
          <w:szCs w:val="16"/>
        </w:rPr>
        <w:t xml:space="preserve">Caso Cuscul Pivaral y otros Vs. Guatemala. Excepción Preliminar, Fondo, Reparaciones y Costas. </w:t>
      </w:r>
      <w:r w:rsidRPr="000B33B9">
        <w:rPr>
          <w:rFonts w:ascii="Verdana" w:hAnsi="Verdana" w:cstheme="minorHAnsi"/>
          <w:sz w:val="16"/>
          <w:szCs w:val="16"/>
        </w:rPr>
        <w:t>Sentencia de 23 de agosto de 2018. Serie C No. 359</w:t>
      </w:r>
      <w:r w:rsidRPr="000B33B9">
        <w:rPr>
          <w:rFonts w:ascii="Verdana" w:hAnsi="Verdana"/>
          <w:sz w:val="16"/>
          <w:szCs w:val="16"/>
          <w:lang w:val="es-CR"/>
        </w:rPr>
        <w:t>, párr. 100.</w:t>
      </w:r>
    </w:p>
  </w:footnote>
  <w:footnote w:id="240">
    <w:p w14:paraId="4D7D9C61" w14:textId="562324C3"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lang w:val="es-CR"/>
        </w:rPr>
        <w:t xml:space="preserve"> </w:t>
      </w:r>
      <w:r w:rsidRPr="000B33B9">
        <w:rPr>
          <w:rFonts w:ascii="Verdana" w:hAnsi="Verdana"/>
          <w:sz w:val="16"/>
          <w:szCs w:val="16"/>
          <w:lang w:val="es-CR"/>
        </w:rPr>
        <w:tab/>
      </w:r>
      <w:r w:rsidRPr="000B33B9">
        <w:rPr>
          <w:rFonts w:ascii="Verdana" w:hAnsi="Verdana"/>
          <w:i/>
          <w:sz w:val="16"/>
          <w:szCs w:val="16"/>
          <w:lang w:val="es-CR"/>
        </w:rPr>
        <w:t xml:space="preserve">Cfr. </w:t>
      </w:r>
      <w:r w:rsidRPr="000B33B9">
        <w:rPr>
          <w:rStyle w:val="Textoennegrita"/>
          <w:rFonts w:ascii="Verdana" w:hAnsi="Verdana"/>
          <w:b w:val="0"/>
          <w:i/>
          <w:color w:val="000000"/>
          <w:sz w:val="16"/>
          <w:szCs w:val="16"/>
          <w:shd w:val="clear" w:color="auto" w:fill="FFFFFF"/>
          <w:lang w:val="es-CR"/>
        </w:rPr>
        <w:t>Caso Muelle Flores Vs. Perú. Excepciones Preliminares, Fondo, Reparaciones y Costas.</w:t>
      </w:r>
      <w:r w:rsidRPr="000B33B9">
        <w:rPr>
          <w:rStyle w:val="Textoennegrita"/>
          <w:rFonts w:ascii="Verdana" w:hAnsi="Verdana"/>
          <w:b w:val="0"/>
          <w:color w:val="000000"/>
          <w:sz w:val="16"/>
          <w:szCs w:val="16"/>
          <w:shd w:val="clear" w:color="auto" w:fill="FFFFFF"/>
          <w:lang w:val="es-CR"/>
        </w:rPr>
        <w:t xml:space="preserve"> Sentencia de 6 de marzo de 2019. Serie C No. 375, párr. 176</w:t>
      </w:r>
      <w:r w:rsidRPr="000B33B9">
        <w:rPr>
          <w:rFonts w:ascii="Verdana" w:hAnsi="Verdana"/>
          <w:sz w:val="16"/>
          <w:szCs w:val="16"/>
          <w:lang w:val="es-PE"/>
        </w:rPr>
        <w:t>.</w:t>
      </w:r>
    </w:p>
  </w:footnote>
  <w:footnote w:id="241">
    <w:p w14:paraId="66E52075" w14:textId="3B9A4059"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lang w:val="es-CR"/>
        </w:rPr>
        <w:tab/>
      </w:r>
      <w:r w:rsidRPr="000B33B9">
        <w:rPr>
          <w:rFonts w:ascii="Verdana" w:hAnsi="Verdana"/>
          <w:i/>
          <w:sz w:val="16"/>
          <w:szCs w:val="16"/>
          <w:lang w:val="es-DO"/>
        </w:rPr>
        <w:t xml:space="preserve">Cfr. Caso familia Pacheco Tineo Vs. </w:t>
      </w:r>
      <w:r w:rsidRPr="000B33B9">
        <w:rPr>
          <w:rFonts w:ascii="Verdana" w:hAnsi="Verdana"/>
          <w:i/>
          <w:sz w:val="16"/>
          <w:szCs w:val="16"/>
          <w:lang w:val="es-CR"/>
        </w:rPr>
        <w:t>Bolivia. Excepciones Preliminares, Fondo, Reparaciones y Costas</w:t>
      </w:r>
      <w:r w:rsidRPr="000B33B9">
        <w:rPr>
          <w:rFonts w:ascii="Verdana" w:hAnsi="Verdana"/>
          <w:sz w:val="16"/>
          <w:szCs w:val="16"/>
          <w:lang w:val="es-CR"/>
        </w:rPr>
        <w:t xml:space="preserve">. Sentencia de 25 de noviembre de 2013. Serie C No. 272, párr. 143, y </w:t>
      </w:r>
      <w:r w:rsidRPr="000B33B9">
        <w:rPr>
          <w:rStyle w:val="Textoennegrita"/>
          <w:rFonts w:ascii="Verdana" w:hAnsi="Verdana"/>
          <w:b w:val="0"/>
          <w:i/>
          <w:color w:val="000000"/>
          <w:sz w:val="16"/>
          <w:szCs w:val="16"/>
          <w:shd w:val="clear" w:color="auto" w:fill="FFFFFF"/>
          <w:lang w:val="es-CR"/>
        </w:rPr>
        <w:t>Caso Muelle Flores Vs. Perú. Excepciones Preliminares, Fondo, Reparaciones y Costas</w:t>
      </w:r>
      <w:r w:rsidRPr="000B33B9">
        <w:rPr>
          <w:rStyle w:val="Textoennegrita"/>
          <w:rFonts w:ascii="Verdana" w:hAnsi="Verdana"/>
          <w:b w:val="0"/>
          <w:color w:val="000000"/>
          <w:sz w:val="16"/>
          <w:szCs w:val="16"/>
          <w:shd w:val="clear" w:color="auto" w:fill="FFFFFF"/>
          <w:lang w:val="es-CR"/>
        </w:rPr>
        <w:t>. Sentencia de 6 de marzo de 2019. Serie C No. 375, párr. 176</w:t>
      </w:r>
      <w:r w:rsidRPr="000B33B9">
        <w:rPr>
          <w:rFonts w:ascii="Verdana" w:hAnsi="Verdana"/>
          <w:sz w:val="16"/>
          <w:szCs w:val="16"/>
          <w:lang w:val="es-PE"/>
        </w:rPr>
        <w:t>.</w:t>
      </w:r>
    </w:p>
  </w:footnote>
  <w:footnote w:id="242">
    <w:p w14:paraId="7F1B25EE" w14:textId="55D94AB5"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lang w:val="es-CR"/>
        </w:rPr>
        <w:tab/>
      </w:r>
      <w:r w:rsidRPr="000B33B9">
        <w:rPr>
          <w:rFonts w:ascii="Verdana" w:hAnsi="Verdana"/>
          <w:i/>
          <w:sz w:val="16"/>
          <w:szCs w:val="16"/>
          <w:lang w:val="es-CR"/>
        </w:rPr>
        <w:t>Cfr.</w:t>
      </w:r>
      <w:r w:rsidRPr="000B33B9">
        <w:rPr>
          <w:rFonts w:ascii="Verdana" w:hAnsi="Verdana"/>
          <w:sz w:val="16"/>
          <w:szCs w:val="16"/>
          <w:lang w:val="es-CR"/>
        </w:rPr>
        <w:t xml:space="preserve"> Interpretación de la Declaración Americana de los Derechos y Deberes del Hombre, en el marco del artículo 64 de la Convención Americana sobre Derechos Humanos. </w:t>
      </w:r>
      <w:r w:rsidRPr="000B33B9">
        <w:rPr>
          <w:rFonts w:ascii="Verdana" w:hAnsi="Verdana"/>
          <w:i/>
          <w:sz w:val="16"/>
          <w:szCs w:val="16"/>
          <w:lang w:val="es-CR"/>
        </w:rPr>
        <w:t>Opinión Consultiva OC-10/89</w:t>
      </w:r>
      <w:r w:rsidRPr="000B33B9">
        <w:rPr>
          <w:rFonts w:ascii="Verdana" w:hAnsi="Verdana"/>
          <w:sz w:val="16"/>
          <w:szCs w:val="16"/>
          <w:lang w:val="es-CR"/>
        </w:rPr>
        <w:t xml:space="preserve"> de 14 de julio de 1989. Serie A No. 10. párr. 43; </w:t>
      </w:r>
      <w:r w:rsidRPr="000B33B9">
        <w:rPr>
          <w:rFonts w:ascii="Verdana" w:hAnsi="Verdana" w:cstheme="minorHAnsi"/>
          <w:i/>
          <w:sz w:val="16"/>
          <w:szCs w:val="16"/>
        </w:rPr>
        <w:t xml:space="preserve">Caso Cuscul Pivaral y otros Vs. Guatemala. Excepción Preliminar, Fondo, Reparaciones y Costas. </w:t>
      </w:r>
      <w:r w:rsidRPr="000B33B9">
        <w:rPr>
          <w:rFonts w:ascii="Verdana" w:hAnsi="Verdana" w:cstheme="minorHAnsi"/>
          <w:sz w:val="16"/>
          <w:szCs w:val="16"/>
        </w:rPr>
        <w:t xml:space="preserve">Sentencia de 23 de agosto de 2018. Serie C No. 359, </w:t>
      </w:r>
      <w:r w:rsidRPr="000B33B9">
        <w:rPr>
          <w:rFonts w:ascii="Verdana" w:hAnsi="Verdana"/>
          <w:sz w:val="16"/>
          <w:szCs w:val="16"/>
          <w:lang w:val="es-CR"/>
        </w:rPr>
        <w:t xml:space="preserve">párr. 101, y </w:t>
      </w:r>
      <w:r w:rsidRPr="000B33B9">
        <w:rPr>
          <w:rStyle w:val="Textoennegrita"/>
          <w:rFonts w:ascii="Verdana" w:hAnsi="Verdana"/>
          <w:b w:val="0"/>
          <w:i/>
          <w:color w:val="000000"/>
          <w:sz w:val="16"/>
          <w:szCs w:val="16"/>
          <w:shd w:val="clear" w:color="auto" w:fill="FFFFFF"/>
          <w:lang w:val="es-CR"/>
        </w:rPr>
        <w:t>Caso Muelle Flores Vs. Perú. Excepciones Preliminares, Fondo, Reparaciones y Costas</w:t>
      </w:r>
      <w:r w:rsidRPr="000B33B9">
        <w:rPr>
          <w:rStyle w:val="Textoennegrita"/>
          <w:rFonts w:ascii="Verdana" w:hAnsi="Verdana"/>
          <w:b w:val="0"/>
          <w:color w:val="000000"/>
          <w:sz w:val="16"/>
          <w:szCs w:val="16"/>
          <w:shd w:val="clear" w:color="auto" w:fill="FFFFFF"/>
          <w:lang w:val="es-CR"/>
        </w:rPr>
        <w:t>. Sentencia de 6 de marzo de 2019. Serie C No. 375, párr. 175</w:t>
      </w:r>
      <w:r w:rsidRPr="000B33B9">
        <w:rPr>
          <w:rFonts w:ascii="Verdana" w:hAnsi="Verdana"/>
          <w:sz w:val="16"/>
          <w:szCs w:val="16"/>
          <w:lang w:val="es-PE"/>
        </w:rPr>
        <w:t>.</w:t>
      </w:r>
    </w:p>
  </w:footnote>
  <w:footnote w:id="243">
    <w:p w14:paraId="4F8B1E36" w14:textId="79656FB2"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lang w:val="es-CR"/>
        </w:rPr>
        <w:tab/>
      </w:r>
      <w:r w:rsidRPr="000B33B9">
        <w:rPr>
          <w:rFonts w:ascii="Verdana" w:hAnsi="Verdana"/>
          <w:i/>
          <w:sz w:val="16"/>
          <w:szCs w:val="16"/>
          <w:lang w:val="es-CR"/>
        </w:rPr>
        <w:t>Cfr</w:t>
      </w:r>
      <w:r w:rsidRPr="000B33B9">
        <w:rPr>
          <w:rFonts w:ascii="Verdana" w:hAnsi="Verdana"/>
          <w:sz w:val="16"/>
          <w:szCs w:val="16"/>
          <w:lang w:val="es-CR"/>
        </w:rPr>
        <w:t xml:space="preserve">. El Derecho a la Información sobre la Asistencia Consular en el Marco de las Garantías del Debido Proceso Legal. </w:t>
      </w:r>
      <w:r w:rsidRPr="000B33B9">
        <w:rPr>
          <w:rFonts w:ascii="Verdana" w:hAnsi="Verdana"/>
          <w:i/>
          <w:sz w:val="16"/>
          <w:szCs w:val="16"/>
          <w:lang w:val="es-CR"/>
        </w:rPr>
        <w:t>Opinión Consultiva OC-16/99</w:t>
      </w:r>
      <w:r w:rsidRPr="000B33B9">
        <w:rPr>
          <w:rFonts w:ascii="Verdana" w:hAnsi="Verdana"/>
          <w:sz w:val="16"/>
          <w:szCs w:val="16"/>
          <w:lang w:val="es-CR"/>
        </w:rPr>
        <w:t xml:space="preserve"> de 1 de octubre de 1999. Serie A No. 16, párr. 114; </w:t>
      </w:r>
      <w:r w:rsidRPr="000B33B9">
        <w:rPr>
          <w:rStyle w:val="Textoennegrita"/>
          <w:rFonts w:ascii="Verdana" w:hAnsi="Verdana"/>
          <w:b w:val="0"/>
          <w:color w:val="000000"/>
          <w:sz w:val="16"/>
          <w:szCs w:val="16"/>
          <w:shd w:val="clear" w:color="auto" w:fill="FFFFFF"/>
          <w:lang w:val="es-CR"/>
        </w:rPr>
        <w:t xml:space="preserve">La institución del asilo y su reconocimiento como derecho humano en el Sistema Interamericano de protección (interpretación y alcance de los artículos 5, 22.7 y 22.8, en relación con el artículo 1.1 de la Convención Americana sobre Derechos Humanos). </w:t>
      </w:r>
      <w:r w:rsidRPr="000B33B9">
        <w:rPr>
          <w:rStyle w:val="Textoennegrita"/>
          <w:rFonts w:ascii="Verdana" w:hAnsi="Verdana"/>
          <w:b w:val="0"/>
          <w:i/>
          <w:color w:val="000000"/>
          <w:sz w:val="16"/>
          <w:szCs w:val="16"/>
          <w:shd w:val="clear" w:color="auto" w:fill="FFFFFF"/>
          <w:lang w:val="es-CR"/>
        </w:rPr>
        <w:t>Opinión Consultiva OC-25/18</w:t>
      </w:r>
      <w:r w:rsidRPr="000B33B9">
        <w:rPr>
          <w:rStyle w:val="Textoennegrita"/>
          <w:rFonts w:ascii="Verdana" w:hAnsi="Verdana"/>
          <w:b w:val="0"/>
          <w:color w:val="000000"/>
          <w:sz w:val="16"/>
          <w:szCs w:val="16"/>
          <w:shd w:val="clear" w:color="auto" w:fill="FFFFFF"/>
          <w:lang w:val="es-CR"/>
        </w:rPr>
        <w:t xml:space="preserve"> de 30 de mayo de 2018. Serie A No. 25, párr. 137, y </w:t>
      </w:r>
      <w:r w:rsidRPr="000B33B9">
        <w:rPr>
          <w:rStyle w:val="Textoennegrita"/>
          <w:rFonts w:ascii="Verdana" w:hAnsi="Verdana"/>
          <w:b w:val="0"/>
          <w:i/>
          <w:color w:val="000000"/>
          <w:sz w:val="16"/>
          <w:szCs w:val="16"/>
          <w:shd w:val="clear" w:color="auto" w:fill="FFFFFF"/>
          <w:lang w:val="es-CR"/>
        </w:rPr>
        <w:t>Caso Muelle Flores Vs. Perú. Excepciones Preliminares, Fondo, Reparaciones y Costas</w:t>
      </w:r>
      <w:r w:rsidRPr="000B33B9">
        <w:rPr>
          <w:rStyle w:val="Textoennegrita"/>
          <w:rFonts w:ascii="Verdana" w:hAnsi="Verdana"/>
          <w:b w:val="0"/>
          <w:color w:val="000000"/>
          <w:sz w:val="16"/>
          <w:szCs w:val="16"/>
          <w:shd w:val="clear" w:color="auto" w:fill="FFFFFF"/>
          <w:lang w:val="es-CR"/>
        </w:rPr>
        <w:t>. Sentencia de 6 de marzo de 2019. Serie C No. 375, párr. 176</w:t>
      </w:r>
      <w:r w:rsidRPr="000B33B9">
        <w:rPr>
          <w:rFonts w:ascii="Verdana" w:hAnsi="Verdana"/>
          <w:sz w:val="16"/>
          <w:szCs w:val="16"/>
          <w:lang w:val="es-PE"/>
        </w:rPr>
        <w:t>.</w:t>
      </w:r>
    </w:p>
  </w:footnote>
  <w:footnote w:id="244">
    <w:p w14:paraId="2712D61C" w14:textId="77777777"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lang w:val="es-CR"/>
        </w:rPr>
        <w:t xml:space="preserve"> </w:t>
      </w:r>
      <w:r w:rsidRPr="000B33B9">
        <w:rPr>
          <w:rFonts w:ascii="Verdana" w:hAnsi="Verdana"/>
          <w:sz w:val="16"/>
          <w:szCs w:val="16"/>
          <w:lang w:val="es-CR"/>
        </w:rPr>
        <w:tab/>
        <w:t>Aprobada en la Novena Conferencia Panamericana celebrada en Bogotá, Colombia, 1948.</w:t>
      </w:r>
    </w:p>
  </w:footnote>
  <w:footnote w:id="245">
    <w:p w14:paraId="3683B93B" w14:textId="6EB69857"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lang w:val="es-CR"/>
        </w:rPr>
        <w:t xml:space="preserve"> </w:t>
      </w:r>
      <w:r w:rsidRPr="000B33B9">
        <w:rPr>
          <w:rFonts w:ascii="Verdana" w:hAnsi="Verdana"/>
          <w:sz w:val="16"/>
          <w:szCs w:val="16"/>
          <w:lang w:val="es-CR"/>
        </w:rPr>
        <w:tab/>
        <w:t>Adoptado en San Salvador, El Salvador, el 17 de noviembre de 1988, confirmado en la Asamblea de reunión de Asamblea General en el décimo octavo periodo ordinario de sesiones. Entró en vigor el 16 de noviembre de 1999. Perú lo firmó el 17 de noviembre de 1988 y ratificó el 17 de mayo de 1995. El artículo 9 establece que: “</w:t>
      </w:r>
      <w:r w:rsidRPr="000B33B9">
        <w:rPr>
          <w:rFonts w:ascii="Verdana" w:hAnsi="Verdana"/>
          <w:sz w:val="16"/>
          <w:szCs w:val="16"/>
          <w:lang w:val="es-ES"/>
        </w:rPr>
        <w:t>1) Toda persona tiene derecho a la seguridad social que la proteja contra las consecuencias de la vejez y de la incapacidad que la imposibilite física o mentalmente para obtener los medios para llevar una vida digna y decorosa. En caso de muerte del beneficiario, las prestaciones de seguridad social serán aplicadas a sus dependientes. 2) Cuando se trate de personas que se encuentran trabajando, el derecho a la seguridad social cubrirá al menos la atención médica y el subsidio o jubilación en casos de accidentes de trabajo o de enfermedad profesional y, cuando se trate de mujeres, licencia retribuida por maternidad antes y después del parto”.</w:t>
      </w:r>
    </w:p>
  </w:footnote>
  <w:footnote w:id="246">
    <w:p w14:paraId="3508A6B5" w14:textId="77777777" w:rsidR="005A5D3C" w:rsidRPr="000B33B9" w:rsidRDefault="005A5D3C" w:rsidP="000B33B9">
      <w:pPr>
        <w:spacing w:after="120" w:line="240" w:lineRule="auto"/>
        <w:jc w:val="both"/>
        <w:rPr>
          <w:rFonts w:ascii="Verdana" w:eastAsia="Times" w:hAnsi="Verdana" w:cs="Arial"/>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t>Adoptada y proclamada por la Resolución de la Asamblea General 217 A (iii) del 10 de diciembre de 1948 en París. El artículo 25 establece que: “</w:t>
      </w:r>
      <w:r w:rsidRPr="000B33B9">
        <w:rPr>
          <w:rFonts w:ascii="Verdana" w:hAnsi="Verdana"/>
          <w:sz w:val="16"/>
          <w:szCs w:val="16"/>
          <w:shd w:val="clear" w:color="auto" w:fill="FFFFFF"/>
        </w:rPr>
        <w:t>1. 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u otros casos de pérdida de sus medios de subsistencia por circunstancias independientes de su voluntad. 2. La maternidad y la infancia tienen derecho a cuidados y asistencia especiales. Todos los niños, nacidos de matrimonio o fuera de matrimonio, tienen derecho a igual protección social”.</w:t>
      </w:r>
    </w:p>
  </w:footnote>
  <w:footnote w:id="247">
    <w:p w14:paraId="10D2C5FA" w14:textId="77777777"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lang w:val="es-CR"/>
        </w:rPr>
        <w:t xml:space="preserve"> </w:t>
      </w:r>
      <w:r w:rsidRPr="000B33B9">
        <w:rPr>
          <w:rFonts w:ascii="Verdana" w:hAnsi="Verdana"/>
          <w:sz w:val="16"/>
          <w:szCs w:val="16"/>
          <w:lang w:val="es-CR"/>
        </w:rPr>
        <w:tab/>
        <w:t xml:space="preserve">Adoptado y abierto a la firma, ratificación y adhesión por la Asamblea General en su resolución 2200 A (XXI), de 16 de diciembre de 1966. </w:t>
      </w:r>
      <w:r w:rsidRPr="000B33B9">
        <w:rPr>
          <w:rFonts w:ascii="Verdana" w:hAnsi="Verdana"/>
          <w:bCs/>
          <w:sz w:val="16"/>
          <w:szCs w:val="16"/>
          <w:lang w:val="es-CR"/>
        </w:rPr>
        <w:t xml:space="preserve">Entrada en vigor: 3 de enero de 1976. Ratificado por Perú el 28 de abril de 1978. En lo pertinente a la seguridad social, el artículo 10 señala que: “Los Estados Partes en el presente Pacto reconocen que: 2) Se debe conceder especial protección a las madres durante un período de tiempo razonable antes y después del parto. Durante dicho período, a las madres que trabajen se les debe conceder licencia con remuneración o con prestaciones adecuadas de seguridad social. </w:t>
      </w:r>
    </w:p>
  </w:footnote>
  <w:footnote w:id="248">
    <w:p w14:paraId="6F5CA401" w14:textId="71092FF8" w:rsidR="005A5D3C" w:rsidRPr="000B33B9" w:rsidRDefault="005A5D3C" w:rsidP="000B33B9">
      <w:pPr>
        <w:pStyle w:val="NormalWeb"/>
        <w:spacing w:after="120" w:line="240" w:lineRule="auto"/>
        <w:jc w:val="both"/>
        <w:rPr>
          <w:rFonts w:ascii="Verdana" w:hAnsi="Verdana" w:cs="Arial"/>
          <w:color w:val="000000"/>
          <w:sz w:val="16"/>
          <w:szCs w:val="16"/>
          <w:lang w:val="es-PE"/>
        </w:rPr>
      </w:pPr>
      <w:r w:rsidRPr="000B33B9">
        <w:rPr>
          <w:rStyle w:val="Refdenotaalpie"/>
          <w:rFonts w:ascii="Verdana" w:eastAsia="Calibri" w:hAnsi="Verdana"/>
          <w:sz w:val="16"/>
          <w:szCs w:val="16"/>
        </w:rPr>
        <w:footnoteRef/>
      </w:r>
      <w:r w:rsidRPr="000B33B9">
        <w:rPr>
          <w:rFonts w:ascii="Verdana" w:hAnsi="Verdana"/>
          <w:sz w:val="16"/>
          <w:szCs w:val="16"/>
          <w:lang w:val="es-PE"/>
        </w:rPr>
        <w:t xml:space="preserve"> </w:t>
      </w:r>
      <w:r w:rsidRPr="000B33B9">
        <w:rPr>
          <w:rFonts w:ascii="Verdana" w:hAnsi="Verdana"/>
          <w:sz w:val="16"/>
          <w:szCs w:val="16"/>
          <w:lang w:val="es-PE"/>
        </w:rPr>
        <w:tab/>
        <w:t>El artículo 10 establece que: “</w:t>
      </w:r>
      <w:r w:rsidRPr="000B33B9">
        <w:rPr>
          <w:rFonts w:ascii="Verdana" w:hAnsi="Verdana" w:cs="Arial"/>
          <w:bCs/>
          <w:color w:val="000000"/>
          <w:sz w:val="16"/>
          <w:szCs w:val="16"/>
          <w:lang w:val="es-PE"/>
        </w:rPr>
        <w:t>Derecho a la Seguridad Socia</w:t>
      </w:r>
      <w:bookmarkStart w:id="81" w:name="JD_salas1530"/>
      <w:bookmarkEnd w:id="81"/>
      <w:r w:rsidRPr="000B33B9">
        <w:rPr>
          <w:rFonts w:ascii="Verdana" w:hAnsi="Verdana" w:cs="Arial"/>
          <w:bCs/>
          <w:color w:val="000000"/>
          <w:sz w:val="16"/>
          <w:szCs w:val="16"/>
          <w:lang w:val="es-PE"/>
        </w:rPr>
        <w:t>l. Artículo 10.- </w:t>
      </w:r>
      <w:r w:rsidRPr="000B33B9">
        <w:rPr>
          <w:rFonts w:ascii="Verdana" w:hAnsi="Verdana" w:cs="Arial"/>
          <w:color w:val="000000"/>
          <w:sz w:val="16"/>
          <w:szCs w:val="16"/>
          <w:lang w:val="es-PE"/>
        </w:rPr>
        <w:t>El Estado reconoce el derecho universal y progresivo de toda persona a la seguridad social, para su protección frente a las contingencias que precise la ley y para la elevación de su calidad de vida. El artículo 11 establece que: “</w:t>
      </w:r>
      <w:r w:rsidRPr="000B33B9">
        <w:rPr>
          <w:rFonts w:ascii="Verdana" w:hAnsi="Verdana" w:cs="Arial"/>
          <w:bCs/>
          <w:color w:val="000000"/>
          <w:sz w:val="16"/>
          <w:szCs w:val="16"/>
          <w:lang w:val="es-PE"/>
        </w:rPr>
        <w:t>Libre acceso a las prestaciones de salud y pensione</w:t>
      </w:r>
      <w:bookmarkStart w:id="82" w:name="JD_Const.1993_A11"/>
      <w:bookmarkEnd w:id="82"/>
      <w:r w:rsidRPr="000B33B9">
        <w:rPr>
          <w:rFonts w:ascii="Verdana" w:hAnsi="Verdana" w:cs="Arial"/>
          <w:bCs/>
          <w:color w:val="000000"/>
          <w:sz w:val="16"/>
          <w:szCs w:val="16"/>
          <w:lang w:val="es-PE"/>
        </w:rPr>
        <w:t>s. Artículo 11.-</w:t>
      </w:r>
      <w:r w:rsidRPr="000B33B9">
        <w:rPr>
          <w:rFonts w:ascii="Verdana" w:hAnsi="Verdana" w:cs="Arial"/>
          <w:color w:val="000000"/>
          <w:sz w:val="16"/>
          <w:szCs w:val="16"/>
          <w:lang w:val="es-PE"/>
        </w:rPr>
        <w:t>El Estado garantiza el libre acceso a prestaciones de salud y a pensiones, a través de entidades públicas, privadas o mixtas. Supervisa asimismo su eficaz funcionamiento. La ley establece la entidad del Gobierno Nacional que administra los regímenes de pensiones a cargo del Estado</w:t>
      </w:r>
      <w:r w:rsidRPr="000B33B9">
        <w:rPr>
          <w:rFonts w:ascii="Verdana" w:hAnsi="Verdana" w:cs="Arial"/>
          <w:bCs/>
          <w:color w:val="000000"/>
          <w:sz w:val="16"/>
          <w:szCs w:val="16"/>
          <w:lang w:val="es-PE"/>
        </w:rPr>
        <w:t>”.</w:t>
      </w:r>
    </w:p>
  </w:footnote>
  <w:footnote w:id="249">
    <w:p w14:paraId="500C9FE4" w14:textId="77777777"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lang w:val="es-CR"/>
        </w:rPr>
        <w:t xml:space="preserve"> </w:t>
      </w:r>
      <w:r w:rsidRPr="000B33B9">
        <w:rPr>
          <w:rFonts w:ascii="Verdana" w:hAnsi="Verdana"/>
          <w:sz w:val="16"/>
          <w:szCs w:val="16"/>
          <w:lang w:val="es-CR"/>
        </w:rPr>
        <w:tab/>
      </w:r>
      <w:r w:rsidRPr="000B33B9">
        <w:rPr>
          <w:rFonts w:ascii="Verdana" w:hAnsi="Verdana"/>
          <w:i/>
          <w:sz w:val="16"/>
          <w:szCs w:val="16"/>
          <w:lang w:val="es-CR"/>
        </w:rPr>
        <w:t>Cfr.</w:t>
      </w:r>
      <w:r w:rsidRPr="000B33B9">
        <w:rPr>
          <w:rFonts w:ascii="Verdana" w:hAnsi="Verdana"/>
          <w:sz w:val="16"/>
          <w:szCs w:val="16"/>
          <w:lang w:val="es-CR"/>
        </w:rPr>
        <w:t xml:space="preserve"> Grupo de Trabajo para el Análisis de los Informes Nacionales previstos en el Protocolo de San Salvador, </w:t>
      </w:r>
      <w:r w:rsidRPr="000B33B9">
        <w:rPr>
          <w:rFonts w:ascii="Verdana" w:hAnsi="Verdana"/>
          <w:i/>
          <w:sz w:val="16"/>
          <w:szCs w:val="16"/>
          <w:lang w:val="es-CR"/>
        </w:rPr>
        <w:t>Indicadores de progreso para medición de derechos contemplados en el Protocolo de San Salvador</w:t>
      </w:r>
      <w:r w:rsidRPr="000B33B9">
        <w:rPr>
          <w:rFonts w:ascii="Verdana" w:hAnsi="Verdana"/>
          <w:sz w:val="16"/>
          <w:szCs w:val="16"/>
          <w:lang w:val="es-CR"/>
        </w:rPr>
        <w:t xml:space="preserve">, OEA/Ser.L/XXV.2.1; GT/PSS/doc.2/11 rev.2, de 16 diciembre 2011, párr.62. Dicho documento fue realizado con base en las Normas y Lineamientos presentados por la Comisión Interamericana de Derechos Humanos, y </w:t>
      </w:r>
      <w:r w:rsidRPr="000B33B9">
        <w:rPr>
          <w:rStyle w:val="Textoennegrita"/>
          <w:rFonts w:ascii="Verdana" w:hAnsi="Verdana"/>
          <w:b w:val="0"/>
          <w:color w:val="000000"/>
          <w:sz w:val="16"/>
          <w:szCs w:val="16"/>
          <w:shd w:val="clear" w:color="auto" w:fill="FFFFFF"/>
          <w:lang w:val="es-CR"/>
        </w:rPr>
        <w:t>Caso Muelle Flores Vs. Perú. Excepciones Preliminares, Fondo, Reparaciones y Costas. Sentencia de 6 de marzo de 2019. Serie C No. 375, párr. 183</w:t>
      </w:r>
      <w:r w:rsidRPr="000B33B9">
        <w:rPr>
          <w:rFonts w:ascii="Verdana" w:hAnsi="Verdana"/>
          <w:sz w:val="16"/>
          <w:szCs w:val="16"/>
          <w:lang w:val="es-CR"/>
        </w:rPr>
        <w:t>.</w:t>
      </w:r>
    </w:p>
  </w:footnote>
  <w:footnote w:id="250">
    <w:p w14:paraId="0F5ECC77" w14:textId="33AAE9FE"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lang w:val="es-CR"/>
        </w:rPr>
        <w:t xml:space="preserve"> </w:t>
      </w:r>
      <w:r w:rsidRPr="000B33B9">
        <w:rPr>
          <w:rFonts w:ascii="Verdana" w:hAnsi="Verdana"/>
          <w:sz w:val="16"/>
          <w:szCs w:val="16"/>
          <w:lang w:val="es-CR"/>
        </w:rPr>
        <w:tab/>
      </w:r>
      <w:r w:rsidRPr="000B33B9">
        <w:rPr>
          <w:rFonts w:ascii="Verdana" w:hAnsi="Verdana"/>
          <w:i/>
          <w:sz w:val="16"/>
          <w:szCs w:val="16"/>
          <w:lang w:val="es-CR"/>
        </w:rPr>
        <w:t>Cfr.</w:t>
      </w:r>
      <w:r w:rsidRPr="000B33B9">
        <w:rPr>
          <w:rFonts w:ascii="Verdana" w:hAnsi="Verdana"/>
          <w:sz w:val="16"/>
          <w:szCs w:val="16"/>
          <w:lang w:val="es-CR"/>
        </w:rPr>
        <w:t xml:space="preserve"> Grupo de Trabajo para el Análisis de los Informes Nacionales previstos en el Protocolo de San Salvador, </w:t>
      </w:r>
      <w:r w:rsidRPr="000B33B9">
        <w:rPr>
          <w:rFonts w:ascii="Verdana" w:hAnsi="Verdana"/>
          <w:i/>
          <w:sz w:val="16"/>
          <w:szCs w:val="16"/>
          <w:lang w:val="es-CR"/>
        </w:rPr>
        <w:t>Indicadores de progreso para medición de derechos contemplados en el Protocolo de San Salvador</w:t>
      </w:r>
      <w:r w:rsidRPr="000B33B9">
        <w:rPr>
          <w:rFonts w:ascii="Verdana" w:hAnsi="Verdana"/>
          <w:sz w:val="16"/>
          <w:szCs w:val="16"/>
          <w:lang w:val="es-CR"/>
        </w:rPr>
        <w:t xml:space="preserve">, OEA/Ser.L/XXV.2.1; GT/PSS/doc.2/11 rev.2, de 16 diciembre 2011, párr. 62. Dicho documento fue elaborado con base en las Normas y Lineamientos presentados por la Comisión Interamericana de Derechos Humanos, y </w:t>
      </w:r>
      <w:r w:rsidRPr="000B33B9">
        <w:rPr>
          <w:rStyle w:val="Textoennegrita"/>
          <w:rFonts w:ascii="Verdana" w:hAnsi="Verdana"/>
          <w:b w:val="0"/>
          <w:i/>
          <w:color w:val="000000"/>
          <w:sz w:val="16"/>
          <w:szCs w:val="16"/>
          <w:shd w:val="clear" w:color="auto" w:fill="FFFFFF"/>
          <w:lang w:val="es-CR"/>
        </w:rPr>
        <w:t>Caso Muelle Flores Vs. Perú. Excepciones Preliminares, Fondo, Reparaciones y Costas</w:t>
      </w:r>
      <w:r w:rsidRPr="000B33B9">
        <w:rPr>
          <w:rStyle w:val="Textoennegrita"/>
          <w:rFonts w:ascii="Verdana" w:hAnsi="Verdana"/>
          <w:b w:val="0"/>
          <w:color w:val="000000"/>
          <w:sz w:val="16"/>
          <w:szCs w:val="16"/>
          <w:shd w:val="clear" w:color="auto" w:fill="FFFFFF"/>
          <w:lang w:val="es-CR"/>
        </w:rPr>
        <w:t>. Sentencia de 6 de marzo de 2019. Serie C No. 375, párr. 183</w:t>
      </w:r>
      <w:r w:rsidRPr="000B33B9">
        <w:rPr>
          <w:rFonts w:ascii="Verdana" w:hAnsi="Verdana"/>
          <w:sz w:val="16"/>
          <w:szCs w:val="16"/>
          <w:lang w:val="es-CR"/>
        </w:rPr>
        <w:t>.</w:t>
      </w:r>
    </w:p>
  </w:footnote>
  <w:footnote w:id="251">
    <w:p w14:paraId="42D6B484" w14:textId="222B5B42" w:rsidR="005A5D3C" w:rsidRPr="000B33B9" w:rsidRDefault="005A5D3C" w:rsidP="000B33B9">
      <w:pPr>
        <w:spacing w:after="120" w:line="240" w:lineRule="auto"/>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t>Artículo 11 de la Declaración sobre el Progreso y el Desarrollo en lo Social</w:t>
      </w:r>
      <w:r w:rsidRPr="000B33B9">
        <w:rPr>
          <w:rFonts w:ascii="Verdana" w:hAnsi="Verdana" w:cs="Arial"/>
          <w:color w:val="666666"/>
          <w:sz w:val="16"/>
          <w:szCs w:val="16"/>
        </w:rPr>
        <w:t xml:space="preserve"> </w:t>
      </w:r>
      <w:r w:rsidRPr="000B33B9">
        <w:rPr>
          <w:rFonts w:ascii="Verdana" w:hAnsi="Verdana"/>
          <w:sz w:val="16"/>
          <w:szCs w:val="16"/>
        </w:rPr>
        <w:t>de las Naciones Unidas; artículos 11 y 13 de la Convención sobre la Eliminación de todas Formas de Discriminación contra la Mujer de las Naciones Unidas; artículo 26.1 de la Convención sobre los Derechos del Niño; artículo 5, apartado e), 1), iv) de la Convención Internacional sobre la Eliminación de todas Formas de Discriminación Racial; artículos 27 y 54 de la Convención Internacional sobre la Protección de los Derechos de todos los Trabajadores Migratorios y de sus Familiares, y artículos 12, 13 y 14 de la Carta Social Europea.</w:t>
      </w:r>
    </w:p>
  </w:footnote>
  <w:footnote w:id="252">
    <w:p w14:paraId="41D80A23" w14:textId="576234C2"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lang w:val="es-CR"/>
        </w:rPr>
        <w:t xml:space="preserve"> </w:t>
      </w:r>
      <w:r w:rsidRPr="000B33B9">
        <w:rPr>
          <w:rFonts w:ascii="Verdana" w:hAnsi="Verdana"/>
          <w:sz w:val="16"/>
          <w:szCs w:val="16"/>
          <w:lang w:val="es-CR"/>
        </w:rPr>
        <w:tab/>
      </w:r>
      <w:r w:rsidRPr="000B33B9">
        <w:rPr>
          <w:rFonts w:ascii="Verdana" w:hAnsi="Verdana"/>
          <w:i/>
          <w:sz w:val="16"/>
          <w:szCs w:val="16"/>
          <w:lang w:val="es-CR"/>
        </w:rPr>
        <w:t>Cfr</w:t>
      </w:r>
      <w:r w:rsidRPr="000B33B9">
        <w:rPr>
          <w:rFonts w:ascii="Verdana" w:hAnsi="Verdana"/>
          <w:sz w:val="16"/>
          <w:szCs w:val="16"/>
          <w:lang w:val="es-CR"/>
        </w:rPr>
        <w:t xml:space="preserve">. OIT, </w:t>
      </w:r>
      <w:r w:rsidRPr="000B33B9">
        <w:rPr>
          <w:rFonts w:ascii="Verdana" w:hAnsi="Verdana"/>
          <w:i/>
          <w:sz w:val="16"/>
          <w:szCs w:val="16"/>
          <w:lang w:val="es-CR"/>
        </w:rPr>
        <w:t xml:space="preserve">Convenio sobre la seguridad social (norma mínima), No. 102, </w:t>
      </w:r>
      <w:r w:rsidRPr="000B33B9">
        <w:rPr>
          <w:rFonts w:ascii="Verdana" w:hAnsi="Verdana"/>
          <w:sz w:val="16"/>
          <w:szCs w:val="16"/>
          <w:lang w:val="es-CR"/>
        </w:rPr>
        <w:t>adoptado en la 35ª Conferencia General de 28 de junio de 1952</w:t>
      </w:r>
      <w:r w:rsidRPr="000B33B9">
        <w:rPr>
          <w:rFonts w:ascii="Verdana" w:hAnsi="Verdana"/>
          <w:i/>
          <w:sz w:val="16"/>
          <w:szCs w:val="16"/>
          <w:lang w:val="es-CR"/>
        </w:rPr>
        <w:t xml:space="preserve">; </w:t>
      </w:r>
      <w:r w:rsidRPr="000B33B9">
        <w:rPr>
          <w:rFonts w:ascii="Verdana" w:hAnsi="Verdana"/>
          <w:sz w:val="16"/>
          <w:szCs w:val="16"/>
          <w:lang w:val="es-CR"/>
        </w:rPr>
        <w:t xml:space="preserve">OIT, </w:t>
      </w:r>
      <w:r w:rsidRPr="000B33B9">
        <w:rPr>
          <w:rFonts w:ascii="Verdana" w:hAnsi="Verdana"/>
          <w:i/>
          <w:sz w:val="16"/>
          <w:szCs w:val="16"/>
          <w:lang w:val="es-CR"/>
        </w:rPr>
        <w:t xml:space="preserve">Convenio sobre las prestaciones de invalidez, vejez y sobrevivientes, No. 128, </w:t>
      </w:r>
      <w:r w:rsidRPr="000B33B9">
        <w:rPr>
          <w:rFonts w:ascii="Verdana" w:hAnsi="Verdana"/>
          <w:sz w:val="16"/>
          <w:szCs w:val="16"/>
          <w:lang w:val="es-CR"/>
        </w:rPr>
        <w:t xml:space="preserve">adoptado en la 51ª Conferencia General de 29 de junio de 1967; OIT, </w:t>
      </w:r>
      <w:r w:rsidRPr="000B33B9">
        <w:rPr>
          <w:rFonts w:ascii="Verdana" w:hAnsi="Verdana"/>
          <w:i/>
          <w:sz w:val="16"/>
          <w:szCs w:val="16"/>
          <w:lang w:val="es-CR"/>
        </w:rPr>
        <w:t xml:space="preserve">Recomendación No. 67 sobre la seguridad social de los medios de vida, </w:t>
      </w:r>
      <w:r w:rsidRPr="000B33B9">
        <w:rPr>
          <w:rFonts w:ascii="Verdana" w:hAnsi="Verdana"/>
          <w:sz w:val="16"/>
          <w:szCs w:val="16"/>
          <w:lang w:val="es-CR"/>
        </w:rPr>
        <w:t xml:space="preserve">de 1944; OIT, </w:t>
      </w:r>
      <w:r w:rsidRPr="000B33B9">
        <w:rPr>
          <w:rFonts w:ascii="Verdana" w:hAnsi="Verdana"/>
          <w:i/>
          <w:sz w:val="16"/>
          <w:szCs w:val="16"/>
          <w:lang w:val="es-CR"/>
        </w:rPr>
        <w:t>Recomendación No. 167 sobre la conservación de los derechos en materia de seguridad social</w:t>
      </w:r>
      <w:r w:rsidRPr="000B33B9">
        <w:rPr>
          <w:rFonts w:ascii="Verdana" w:hAnsi="Verdana"/>
          <w:sz w:val="16"/>
          <w:szCs w:val="16"/>
          <w:lang w:val="es-CR"/>
        </w:rPr>
        <w:t xml:space="preserve">, de 1983, y OIT, </w:t>
      </w:r>
      <w:r w:rsidRPr="000B33B9">
        <w:rPr>
          <w:rFonts w:ascii="Verdana" w:hAnsi="Verdana"/>
          <w:i/>
          <w:sz w:val="16"/>
          <w:szCs w:val="16"/>
          <w:lang w:val="es-CR"/>
        </w:rPr>
        <w:t xml:space="preserve">Recomendación No. 202 sobre los pisos de protección social, </w:t>
      </w:r>
      <w:r w:rsidRPr="000B33B9">
        <w:rPr>
          <w:rFonts w:ascii="Verdana" w:hAnsi="Verdana"/>
          <w:sz w:val="16"/>
          <w:szCs w:val="16"/>
          <w:lang w:val="es-CR"/>
        </w:rPr>
        <w:t>de 2012.</w:t>
      </w:r>
    </w:p>
  </w:footnote>
  <w:footnote w:id="253">
    <w:p w14:paraId="1809C6EB" w14:textId="77777777"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lang w:val="es-CR"/>
        </w:rPr>
        <w:t xml:space="preserve"> </w:t>
      </w:r>
      <w:r w:rsidRPr="000B33B9">
        <w:rPr>
          <w:rFonts w:ascii="Verdana" w:hAnsi="Verdana"/>
          <w:sz w:val="16"/>
          <w:szCs w:val="16"/>
          <w:lang w:val="es-CR"/>
        </w:rPr>
        <w:tab/>
      </w:r>
      <w:r w:rsidRPr="000B33B9">
        <w:rPr>
          <w:rStyle w:val="Textoennegrita"/>
          <w:rFonts w:ascii="Verdana" w:hAnsi="Verdana"/>
          <w:b w:val="0"/>
          <w:i/>
          <w:color w:val="000000"/>
          <w:sz w:val="16"/>
          <w:szCs w:val="16"/>
          <w:shd w:val="clear" w:color="auto" w:fill="FFFFFF"/>
          <w:lang w:val="es-CR"/>
        </w:rPr>
        <w:t>Caso Muelle Flores Vs. Perú. Excepciones Preliminares, Fondo, Reparaciones y Costas.</w:t>
      </w:r>
      <w:r w:rsidRPr="000B33B9">
        <w:rPr>
          <w:rStyle w:val="Textoennegrita"/>
          <w:rFonts w:ascii="Verdana" w:hAnsi="Verdana"/>
          <w:b w:val="0"/>
          <w:color w:val="000000"/>
          <w:sz w:val="16"/>
          <w:szCs w:val="16"/>
          <w:shd w:val="clear" w:color="auto" w:fill="FFFFFF"/>
          <w:lang w:val="es-CR"/>
        </w:rPr>
        <w:t xml:space="preserve"> Sentencia de 6 de marzo de 2019. Serie C No. 375, párr. 184</w:t>
      </w:r>
      <w:r w:rsidRPr="000B33B9">
        <w:rPr>
          <w:rFonts w:ascii="Verdana" w:hAnsi="Verdana"/>
          <w:sz w:val="16"/>
          <w:szCs w:val="16"/>
          <w:lang w:val="es-CR"/>
        </w:rPr>
        <w:t>.</w:t>
      </w:r>
    </w:p>
  </w:footnote>
  <w:footnote w:id="254">
    <w:p w14:paraId="4A20F5EB" w14:textId="77777777" w:rsidR="005A5D3C" w:rsidRPr="000B33B9" w:rsidRDefault="005A5D3C" w:rsidP="000B33B9">
      <w:pPr>
        <w:autoSpaceDE w:val="0"/>
        <w:autoSpaceDN w:val="0"/>
        <w:spacing w:after="120" w:line="240" w:lineRule="auto"/>
        <w:jc w:val="both"/>
        <w:rPr>
          <w:rFonts w:ascii="Verdana" w:hAnsi="Verdana" w:cs="JansonTextLTStd-Roman"/>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rPr>
        <w:t xml:space="preserve">Cfr. </w:t>
      </w:r>
      <w:r w:rsidRPr="000B33B9">
        <w:rPr>
          <w:rStyle w:val="Textoennegrita"/>
          <w:rFonts w:ascii="Verdana" w:hAnsi="Verdana"/>
          <w:b w:val="0"/>
          <w:i/>
          <w:color w:val="000000"/>
          <w:sz w:val="16"/>
          <w:szCs w:val="16"/>
          <w:shd w:val="clear" w:color="auto" w:fill="FFFFFF"/>
          <w:lang w:val="es-CR"/>
        </w:rPr>
        <w:t>Caso Muelle Flores Vs. Perú. Excepciones Preliminares, Fondo, Reparaciones y Costas</w:t>
      </w:r>
      <w:r w:rsidRPr="000B33B9">
        <w:rPr>
          <w:rStyle w:val="Textoennegrita"/>
          <w:rFonts w:ascii="Verdana" w:hAnsi="Verdana"/>
          <w:b w:val="0"/>
          <w:color w:val="000000"/>
          <w:sz w:val="16"/>
          <w:szCs w:val="16"/>
          <w:shd w:val="clear" w:color="auto" w:fill="FFFFFF"/>
          <w:lang w:val="es-CR"/>
        </w:rPr>
        <w:t>. Sentencia de 6 de marzo de 2019. Serie C No. 375, párr. 185</w:t>
      </w:r>
      <w:r w:rsidRPr="000B33B9">
        <w:rPr>
          <w:rFonts w:ascii="Verdana" w:hAnsi="Verdana"/>
          <w:sz w:val="16"/>
          <w:szCs w:val="16"/>
          <w:lang w:val="es-CR"/>
        </w:rPr>
        <w:t xml:space="preserve">, y </w:t>
      </w:r>
      <w:r w:rsidRPr="000B33B9">
        <w:rPr>
          <w:rFonts w:ascii="Verdana" w:hAnsi="Verdana" w:cs="JansonTextLTStd-Roman"/>
          <w:sz w:val="16"/>
          <w:szCs w:val="16"/>
        </w:rPr>
        <w:t xml:space="preserve">OIT, </w:t>
      </w:r>
      <w:r w:rsidRPr="000B33B9">
        <w:rPr>
          <w:rFonts w:ascii="Verdana" w:hAnsi="Verdana" w:cs="JansonTextLTStd-Roman"/>
          <w:i/>
          <w:sz w:val="16"/>
          <w:szCs w:val="16"/>
        </w:rPr>
        <w:t>“Hechos concretos sobre la seguridad social”</w:t>
      </w:r>
      <w:r w:rsidRPr="000B33B9">
        <w:rPr>
          <w:rFonts w:ascii="Verdana" w:hAnsi="Verdana" w:cs="JansonTextLTStd-Roman"/>
          <w:sz w:val="16"/>
          <w:szCs w:val="16"/>
        </w:rPr>
        <w:t xml:space="preserve">, publicación de la Oficina Internacional del Trabajo, Ginebra, Suiza, 6 de junio de 2003, disponible en: </w:t>
      </w:r>
      <w:hyperlink r:id="rId2" w:history="1">
        <w:r w:rsidRPr="000B33B9">
          <w:rPr>
            <w:rStyle w:val="Hipervnculo"/>
            <w:rFonts w:ascii="Verdana" w:hAnsi="Verdana" w:cs="JansonTextLTStd-Roman"/>
            <w:sz w:val="16"/>
            <w:szCs w:val="16"/>
          </w:rPr>
          <w:t>https://www.ilo.org/wcmsp5/groups/public/---dgreports/---dcomm/documents/publication/wcms_067592.pdf</w:t>
        </w:r>
      </w:hyperlink>
      <w:r w:rsidRPr="000B33B9">
        <w:rPr>
          <w:rFonts w:ascii="Verdana" w:hAnsi="Verdana" w:cs="JansonTextLTStd-Roman"/>
          <w:sz w:val="16"/>
          <w:szCs w:val="16"/>
        </w:rPr>
        <w:t xml:space="preserve"> </w:t>
      </w:r>
    </w:p>
  </w:footnote>
  <w:footnote w:id="255">
    <w:p w14:paraId="6D871C53" w14:textId="77777777"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lang w:val="es-CR"/>
        </w:rPr>
        <w:t xml:space="preserve"> </w:t>
      </w:r>
      <w:r w:rsidRPr="000B33B9">
        <w:rPr>
          <w:rFonts w:ascii="Verdana" w:hAnsi="Verdana"/>
          <w:sz w:val="16"/>
          <w:szCs w:val="16"/>
          <w:lang w:val="es-CR"/>
        </w:rPr>
        <w:tab/>
      </w:r>
      <w:r w:rsidRPr="000B33B9">
        <w:rPr>
          <w:rStyle w:val="Textoennegrita"/>
          <w:rFonts w:ascii="Verdana" w:hAnsi="Verdana"/>
          <w:b w:val="0"/>
          <w:i/>
          <w:color w:val="000000"/>
          <w:sz w:val="16"/>
          <w:szCs w:val="16"/>
          <w:shd w:val="clear" w:color="auto" w:fill="FFFFFF"/>
          <w:lang w:val="es-CR"/>
        </w:rPr>
        <w:t>Caso Muelle Flores Vs. Perú. Excepciones Preliminares, Fondo, Reparaciones y Costas.</w:t>
      </w:r>
      <w:r w:rsidRPr="000B33B9">
        <w:rPr>
          <w:rStyle w:val="Textoennegrita"/>
          <w:rFonts w:ascii="Verdana" w:hAnsi="Verdana"/>
          <w:b w:val="0"/>
          <w:color w:val="000000"/>
          <w:sz w:val="16"/>
          <w:szCs w:val="16"/>
          <w:shd w:val="clear" w:color="auto" w:fill="FFFFFF"/>
          <w:lang w:val="es-CR"/>
        </w:rPr>
        <w:t xml:space="preserve"> Sentencia de 6 de marzo de 2019. Serie C No. 375, párr. 185</w:t>
      </w:r>
      <w:r w:rsidRPr="000B33B9">
        <w:rPr>
          <w:rFonts w:ascii="Verdana" w:hAnsi="Verdana"/>
          <w:sz w:val="16"/>
          <w:szCs w:val="16"/>
          <w:lang w:val="es-CR"/>
        </w:rPr>
        <w:t>.</w:t>
      </w:r>
    </w:p>
  </w:footnote>
  <w:footnote w:id="256">
    <w:p w14:paraId="735681D4" w14:textId="77777777"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lang w:val="es-CR"/>
        </w:rPr>
        <w:t xml:space="preserve"> </w:t>
      </w:r>
      <w:r w:rsidRPr="000B33B9">
        <w:rPr>
          <w:rFonts w:ascii="Verdana" w:hAnsi="Verdana"/>
          <w:sz w:val="16"/>
          <w:szCs w:val="16"/>
          <w:lang w:val="es-CR"/>
        </w:rPr>
        <w:tab/>
      </w:r>
      <w:r w:rsidRPr="000B33B9">
        <w:rPr>
          <w:rFonts w:ascii="Verdana" w:hAnsi="Verdana"/>
          <w:i/>
          <w:sz w:val="16"/>
          <w:szCs w:val="16"/>
          <w:lang w:val="es-CR"/>
        </w:rPr>
        <w:t xml:space="preserve">Cfr. </w:t>
      </w:r>
      <w:r w:rsidRPr="000B33B9">
        <w:rPr>
          <w:rStyle w:val="Textoennegrita"/>
          <w:rFonts w:ascii="Verdana" w:hAnsi="Verdana"/>
          <w:b w:val="0"/>
          <w:i/>
          <w:color w:val="000000"/>
          <w:sz w:val="16"/>
          <w:szCs w:val="16"/>
          <w:shd w:val="clear" w:color="auto" w:fill="FFFFFF"/>
          <w:lang w:val="es-CR"/>
        </w:rPr>
        <w:t>Caso Muelle Flores Vs. Perú. Excepciones Preliminares, Fondo, Reparaciones y Costas.</w:t>
      </w:r>
      <w:r w:rsidRPr="000B33B9">
        <w:rPr>
          <w:rStyle w:val="Textoennegrita"/>
          <w:rFonts w:ascii="Verdana" w:hAnsi="Verdana"/>
          <w:b w:val="0"/>
          <w:color w:val="000000"/>
          <w:sz w:val="16"/>
          <w:szCs w:val="16"/>
          <w:shd w:val="clear" w:color="auto" w:fill="FFFFFF"/>
          <w:lang w:val="es-CR"/>
        </w:rPr>
        <w:t xml:space="preserve"> Sentencia de 6 de marzo de 2019. Serie C No. 375, párr. 186</w:t>
      </w:r>
      <w:r w:rsidRPr="000B33B9">
        <w:rPr>
          <w:rFonts w:ascii="Verdana" w:hAnsi="Verdana"/>
          <w:sz w:val="16"/>
          <w:szCs w:val="16"/>
          <w:lang w:val="es-CR"/>
        </w:rPr>
        <w:t xml:space="preserve">, y ONU, Comité de Derechos Económicos, Sociales y Culturales, </w:t>
      </w:r>
      <w:r w:rsidRPr="000B33B9">
        <w:rPr>
          <w:rFonts w:ascii="Verdana" w:hAnsi="Verdana"/>
          <w:i/>
          <w:sz w:val="16"/>
          <w:szCs w:val="16"/>
          <w:lang w:val="es-CR"/>
        </w:rPr>
        <w:t xml:space="preserve">Observación General No. 19, </w:t>
      </w:r>
      <w:r w:rsidRPr="000B33B9">
        <w:rPr>
          <w:rFonts w:ascii="Verdana" w:hAnsi="Verdana"/>
          <w:i/>
          <w:iCs/>
          <w:sz w:val="16"/>
          <w:szCs w:val="16"/>
          <w:lang w:val="es-CR"/>
        </w:rPr>
        <w:t>El derecho a la seguridad social (artículo 9)</w:t>
      </w:r>
      <w:r w:rsidRPr="000B33B9">
        <w:rPr>
          <w:rFonts w:ascii="Verdana" w:hAnsi="Verdana"/>
          <w:sz w:val="16"/>
          <w:szCs w:val="16"/>
          <w:lang w:val="es-CR"/>
        </w:rPr>
        <w:t>, 4 de febrero de 2008, párr. 2.</w:t>
      </w:r>
    </w:p>
  </w:footnote>
  <w:footnote w:id="257">
    <w:p w14:paraId="58BF8E96" w14:textId="3DB407FD"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lang w:val="es-CR"/>
        </w:rPr>
        <w:t xml:space="preserve"> </w:t>
      </w:r>
      <w:r w:rsidRPr="000B33B9">
        <w:rPr>
          <w:rFonts w:ascii="Verdana" w:hAnsi="Verdana"/>
          <w:sz w:val="16"/>
          <w:szCs w:val="16"/>
          <w:lang w:val="es-CR"/>
        </w:rPr>
        <w:tab/>
      </w:r>
      <w:r w:rsidRPr="000B33B9">
        <w:rPr>
          <w:rFonts w:ascii="Verdana" w:hAnsi="Verdana"/>
          <w:i/>
          <w:sz w:val="16"/>
          <w:szCs w:val="16"/>
          <w:lang w:val="es-CR"/>
        </w:rPr>
        <w:t xml:space="preserve">Cfr. </w:t>
      </w:r>
      <w:r w:rsidRPr="000B33B9">
        <w:rPr>
          <w:rStyle w:val="Textoennegrita"/>
          <w:rFonts w:ascii="Verdana" w:hAnsi="Verdana"/>
          <w:b w:val="0"/>
          <w:i/>
          <w:color w:val="000000"/>
          <w:sz w:val="16"/>
          <w:szCs w:val="16"/>
          <w:shd w:val="clear" w:color="auto" w:fill="FFFFFF"/>
          <w:lang w:val="es-CR"/>
        </w:rPr>
        <w:t>Caso Muelle Flores Vs. Perú. Excepciones Preliminares, Fondo, Reparaciones y Costas.</w:t>
      </w:r>
      <w:r w:rsidRPr="000B33B9">
        <w:rPr>
          <w:rStyle w:val="Textoennegrita"/>
          <w:rFonts w:ascii="Verdana" w:hAnsi="Verdana"/>
          <w:b w:val="0"/>
          <w:color w:val="000000"/>
          <w:sz w:val="16"/>
          <w:szCs w:val="16"/>
          <w:shd w:val="clear" w:color="auto" w:fill="FFFFFF"/>
          <w:lang w:val="es-CR"/>
        </w:rPr>
        <w:t xml:space="preserve"> Sentencia de 6 de marzo de 2019. Serie C No. 375, párr. 187, y </w:t>
      </w:r>
      <w:r w:rsidRPr="000B33B9">
        <w:rPr>
          <w:rFonts w:ascii="Verdana" w:hAnsi="Verdana"/>
          <w:sz w:val="16"/>
          <w:szCs w:val="16"/>
          <w:lang w:val="es-CR"/>
        </w:rPr>
        <w:t xml:space="preserve">ONU, Comité de Derechos Económicos, Sociales y Culturales, </w:t>
      </w:r>
      <w:r w:rsidRPr="000B33B9">
        <w:rPr>
          <w:rFonts w:ascii="Verdana" w:hAnsi="Verdana"/>
          <w:i/>
          <w:sz w:val="16"/>
          <w:szCs w:val="16"/>
          <w:lang w:val="es-CR"/>
        </w:rPr>
        <w:t>Observación General No. 19</w:t>
      </w:r>
      <w:r w:rsidRPr="000B33B9">
        <w:rPr>
          <w:rFonts w:ascii="Verdana" w:hAnsi="Verdana"/>
          <w:sz w:val="16"/>
          <w:szCs w:val="16"/>
          <w:lang w:val="es-CR"/>
        </w:rPr>
        <w:t xml:space="preserve">, </w:t>
      </w:r>
      <w:r w:rsidRPr="000B33B9">
        <w:rPr>
          <w:rFonts w:ascii="Verdana" w:hAnsi="Verdana"/>
          <w:i/>
          <w:iCs/>
          <w:sz w:val="16"/>
          <w:szCs w:val="16"/>
          <w:lang w:val="es-CR"/>
        </w:rPr>
        <w:t>El derecho a la seguridad social (artículo 9)</w:t>
      </w:r>
      <w:r w:rsidRPr="000B33B9">
        <w:rPr>
          <w:rFonts w:ascii="Verdana" w:hAnsi="Verdana"/>
          <w:sz w:val="16"/>
          <w:szCs w:val="16"/>
          <w:lang w:val="es-CR"/>
        </w:rPr>
        <w:t>, 4 de febrero de 2008, párrs. 9 a 28.</w:t>
      </w:r>
    </w:p>
  </w:footnote>
  <w:footnote w:id="258">
    <w:p w14:paraId="47CDF1F9" w14:textId="1E844203"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eastAsia="Times New Roman" w:hAnsi="Verdana"/>
          <w:sz w:val="16"/>
          <w:szCs w:val="16"/>
        </w:rPr>
        <w:footnoteRef/>
      </w:r>
      <w:r w:rsidRPr="000B33B9">
        <w:rPr>
          <w:rFonts w:ascii="Verdana" w:hAnsi="Verdana"/>
          <w:sz w:val="16"/>
          <w:szCs w:val="16"/>
          <w:lang w:val="es-CR"/>
        </w:rPr>
        <w:t xml:space="preserve"> </w:t>
      </w:r>
      <w:r w:rsidRPr="000B33B9">
        <w:rPr>
          <w:rFonts w:ascii="Verdana" w:hAnsi="Verdana"/>
          <w:sz w:val="16"/>
          <w:szCs w:val="16"/>
          <w:lang w:val="es-CR"/>
        </w:rPr>
        <w:tab/>
        <w:t xml:space="preserve">ONU, Comité de Derechos Económicos, Sociales y Culturales, </w:t>
      </w:r>
      <w:r w:rsidRPr="000B33B9">
        <w:rPr>
          <w:rFonts w:ascii="Verdana" w:hAnsi="Verdana"/>
          <w:i/>
          <w:sz w:val="16"/>
          <w:szCs w:val="16"/>
          <w:lang w:val="es-CR"/>
        </w:rPr>
        <w:t xml:space="preserve">Observación General No. 14, El derecho al disfrute del más alto nivel posible de salud (artículo 12), 11 de agosto de 2000. </w:t>
      </w:r>
      <w:r w:rsidRPr="000B33B9">
        <w:rPr>
          <w:rFonts w:ascii="Verdana" w:hAnsi="Verdana"/>
          <w:sz w:val="16"/>
          <w:szCs w:val="16"/>
          <w:lang w:val="es-CR"/>
        </w:rPr>
        <w:t>La cobertura debe incluir cualquier condición de morbilidad, con independencia de sus causas, el embarazo y el parto y sus consecuencias, la atención médica general y práctica y la hospitalización.</w:t>
      </w:r>
    </w:p>
  </w:footnote>
  <w:footnote w:id="259">
    <w:p w14:paraId="2AFB7B76" w14:textId="1D84ECE0" w:rsidR="005A5D3C" w:rsidRPr="000B33B9" w:rsidRDefault="005A5D3C" w:rsidP="000B33B9">
      <w:pPr>
        <w:pStyle w:val="Textonotapie"/>
        <w:spacing w:after="120"/>
        <w:jc w:val="both"/>
        <w:rPr>
          <w:rFonts w:ascii="Verdana" w:hAnsi="Verdana"/>
          <w:i/>
          <w:sz w:val="16"/>
          <w:szCs w:val="16"/>
          <w:lang w:val="es-CR"/>
        </w:rPr>
      </w:pPr>
      <w:r w:rsidRPr="000B33B9">
        <w:rPr>
          <w:rStyle w:val="Refdenotaalpie"/>
          <w:rFonts w:ascii="Verdana" w:eastAsia="Times New Roman" w:hAnsi="Verdana"/>
          <w:sz w:val="16"/>
          <w:szCs w:val="16"/>
        </w:rPr>
        <w:footnoteRef/>
      </w:r>
      <w:r w:rsidRPr="000B33B9">
        <w:rPr>
          <w:rFonts w:ascii="Verdana" w:hAnsi="Verdana"/>
          <w:sz w:val="16"/>
          <w:szCs w:val="16"/>
          <w:lang w:val="es-CR"/>
        </w:rPr>
        <w:t xml:space="preserve"> </w:t>
      </w:r>
      <w:r w:rsidRPr="000B33B9">
        <w:rPr>
          <w:rFonts w:ascii="Verdana" w:hAnsi="Verdana"/>
          <w:sz w:val="16"/>
          <w:szCs w:val="16"/>
          <w:lang w:val="es-CR"/>
        </w:rPr>
        <w:tab/>
        <w:t xml:space="preserve">Véase: ONU, Comité de Derechos Económicos, Sociales y Culturales, </w:t>
      </w:r>
      <w:r w:rsidRPr="000B33B9">
        <w:rPr>
          <w:rFonts w:ascii="Verdana" w:hAnsi="Verdana"/>
          <w:i/>
          <w:sz w:val="16"/>
          <w:szCs w:val="16"/>
          <w:lang w:val="es-CR"/>
        </w:rPr>
        <w:t xml:space="preserve">Observación General No. 6, Los derechos económicos, sociales y culturales de las personas mayores, </w:t>
      </w:r>
      <w:r w:rsidRPr="000B33B9">
        <w:rPr>
          <w:rFonts w:ascii="Verdana" w:hAnsi="Verdana"/>
          <w:sz w:val="16"/>
          <w:szCs w:val="16"/>
          <w:lang w:val="es-CR"/>
        </w:rPr>
        <w:t>de 1995.</w:t>
      </w:r>
    </w:p>
  </w:footnote>
  <w:footnote w:id="260">
    <w:p w14:paraId="624FB5E7" w14:textId="0224D143" w:rsidR="005A5D3C" w:rsidRPr="000B33B9" w:rsidRDefault="005A5D3C" w:rsidP="000B33B9">
      <w:pPr>
        <w:pStyle w:val="Textonotapie"/>
        <w:spacing w:after="120"/>
        <w:jc w:val="both"/>
        <w:rPr>
          <w:rFonts w:ascii="Verdana" w:hAnsi="Verdana"/>
          <w:iCs/>
          <w:sz w:val="16"/>
          <w:szCs w:val="16"/>
          <w:lang w:val="es-ES"/>
        </w:rPr>
      </w:pPr>
      <w:r w:rsidRPr="000B33B9">
        <w:rPr>
          <w:rStyle w:val="Refdenotaalpie"/>
          <w:rFonts w:ascii="Verdana" w:hAnsi="Verdana"/>
          <w:sz w:val="16"/>
          <w:szCs w:val="16"/>
        </w:rPr>
        <w:footnoteRef/>
      </w:r>
      <w:r w:rsidRPr="000B33B9">
        <w:rPr>
          <w:rFonts w:ascii="Verdana" w:hAnsi="Verdana"/>
          <w:sz w:val="16"/>
          <w:szCs w:val="16"/>
          <w:lang w:val="es-CR"/>
        </w:rPr>
        <w:t xml:space="preserve"> </w:t>
      </w:r>
      <w:r w:rsidRPr="000B33B9">
        <w:rPr>
          <w:rFonts w:ascii="Verdana" w:hAnsi="Verdana"/>
          <w:sz w:val="16"/>
          <w:szCs w:val="16"/>
          <w:lang w:val="es-CR"/>
        </w:rPr>
        <w:tab/>
      </w:r>
      <w:r w:rsidRPr="000B33B9">
        <w:rPr>
          <w:rFonts w:ascii="Verdana" w:hAnsi="Verdana"/>
          <w:i/>
          <w:sz w:val="16"/>
          <w:szCs w:val="16"/>
          <w:lang w:val="es-CR"/>
        </w:rPr>
        <w:t xml:space="preserve">Cfr. </w:t>
      </w:r>
      <w:r w:rsidRPr="000B33B9">
        <w:rPr>
          <w:rFonts w:ascii="Verdana" w:hAnsi="Verdana"/>
          <w:sz w:val="16"/>
          <w:szCs w:val="16"/>
          <w:lang w:val="es-CR"/>
        </w:rPr>
        <w:t xml:space="preserve">OIT, </w:t>
      </w:r>
      <w:r w:rsidRPr="000B33B9">
        <w:rPr>
          <w:rFonts w:ascii="Verdana" w:hAnsi="Verdana"/>
          <w:i/>
          <w:sz w:val="16"/>
          <w:szCs w:val="16"/>
          <w:lang w:val="es-CR"/>
        </w:rPr>
        <w:t>Recomendación No. 167 sobre la conservación de los derechos en materia de seguridad social</w:t>
      </w:r>
      <w:r w:rsidRPr="000B33B9">
        <w:rPr>
          <w:rFonts w:ascii="Verdana" w:hAnsi="Verdana"/>
          <w:sz w:val="16"/>
          <w:szCs w:val="16"/>
          <w:lang w:val="es-CR"/>
        </w:rPr>
        <w:t xml:space="preserve">, de 1983. El principio directivo </w:t>
      </w:r>
      <w:r w:rsidRPr="000B33B9">
        <w:rPr>
          <w:rFonts w:ascii="Verdana" w:hAnsi="Verdana"/>
          <w:sz w:val="16"/>
          <w:szCs w:val="16"/>
          <w:lang w:val="es-ES"/>
        </w:rPr>
        <w:t xml:space="preserve">1 dispone que: “Los regímenes de seguridad de los medios de vida deberían aliviar el estado de necesidad e impedir la miseria, restableciendo, en un nivel razonable, las entradas perdidas a causa de la incapacidad para trabajar (comprendida la vejez), o para obtener trabajo remunerado o a causa de la muerte del jefe de familia”. Asimismo, véase </w:t>
      </w:r>
      <w:r w:rsidRPr="000B33B9">
        <w:rPr>
          <w:rFonts w:ascii="Verdana" w:hAnsi="Verdana"/>
          <w:sz w:val="16"/>
          <w:szCs w:val="16"/>
          <w:lang w:val="es-CR"/>
        </w:rPr>
        <w:t xml:space="preserve">OIT, </w:t>
      </w:r>
      <w:r w:rsidRPr="000B33B9">
        <w:rPr>
          <w:rFonts w:ascii="Verdana" w:hAnsi="Verdana"/>
          <w:i/>
          <w:sz w:val="16"/>
          <w:szCs w:val="16"/>
          <w:lang w:val="es-CR"/>
        </w:rPr>
        <w:t xml:space="preserve">Recomendación No. 202 sobre los pisos de protección social, </w:t>
      </w:r>
      <w:r w:rsidRPr="000B33B9">
        <w:rPr>
          <w:rFonts w:ascii="Verdana" w:hAnsi="Verdana"/>
          <w:sz w:val="16"/>
          <w:szCs w:val="16"/>
          <w:lang w:val="es-CR"/>
        </w:rPr>
        <w:t>de 2012, cuyo artículo 3, incisos b) y c), señala que: “</w:t>
      </w:r>
      <w:r w:rsidRPr="000B33B9">
        <w:rPr>
          <w:rFonts w:ascii="Verdana" w:hAnsi="Verdana"/>
          <w:sz w:val="16"/>
          <w:szCs w:val="16"/>
          <w:lang w:val="es-ES"/>
        </w:rPr>
        <w:t xml:space="preserve">3. </w:t>
      </w:r>
      <w:r w:rsidRPr="000B33B9">
        <w:rPr>
          <w:rFonts w:ascii="Verdana" w:hAnsi="Verdana"/>
          <w:iCs/>
          <w:sz w:val="16"/>
          <w:szCs w:val="16"/>
          <w:lang w:val="es-ES"/>
        </w:rPr>
        <w:t>Reconociendo la responsabilidad general y principal del Estado de poner en práctica la presente Recomendación, los Miembros deberían aplicar los siguientes principios: (…) b) derecho a las prestaciones prescrito por la legislación nacional, y c) adecuación y previsibilidad de las prestaciones”. El artículo 4 establece que: “4. Los Miembros, en función de sus circunstancias nacionales, deberían establecer lo más rápidamente posible y mantener pisos de protección social propios que incluyan garantías básicas en materia de seguridad social. Estas garantías deberían asegurar como mínimo que, durante el ciclo de vida, todas las personas necesitadas tengan acceso a una atención de salud esencial y a una seguridad básica del ingreso que aseguren conjuntamente un acceso efectivo a los bienes y servicios definidos como necesarios a nivel nacional”. El artículo 5, incisos a) y d), señala que: “</w:t>
      </w:r>
      <w:bookmarkStart w:id="83" w:name="AP5"/>
      <w:bookmarkEnd w:id="83"/>
      <w:r w:rsidRPr="000B33B9">
        <w:rPr>
          <w:rFonts w:ascii="Verdana" w:hAnsi="Verdana"/>
          <w:iCs/>
          <w:sz w:val="16"/>
          <w:szCs w:val="16"/>
          <w:lang w:val="es-ES"/>
        </w:rPr>
        <w:t>5. Los pisos de protección social mencionados en el párrafo 4 deberían comprender por lo menos las siguientes garantías básicas de seguridad social: a) acceso a un conjunto de bienes y servicios definido a nivel nacional, que constituyen la atención de salud esencial, incluida la atención de la maternidad, que cumpla los criterios de disponibilidad, accesibilidad, aceptabilidad y calidad, (…) d) seguridad básica del ingreso para las personas de edad, por lo menos equivalente a un nivel mínimo definido en el plano nacional”. Asimismo, el artículo 8, incisos b) y c), destaca que: “8.</w:t>
      </w:r>
      <w:r w:rsidRPr="000B33B9">
        <w:rPr>
          <w:rFonts w:ascii="Verdana" w:hAnsi="Verdana"/>
          <w:iCs/>
          <w:sz w:val="16"/>
          <w:szCs w:val="16"/>
          <w:lang w:val="es-CR"/>
        </w:rPr>
        <w:t xml:space="preserve"> </w:t>
      </w:r>
      <w:r w:rsidRPr="000B33B9">
        <w:rPr>
          <w:rFonts w:ascii="Verdana" w:hAnsi="Verdana"/>
          <w:iCs/>
          <w:sz w:val="16"/>
          <w:szCs w:val="16"/>
          <w:lang w:val="es-ES"/>
        </w:rPr>
        <w:t>Al definir las garantías básicas de seguridad social, los Miembros deberían tener debidamente en cuenta lo siguiente: (…) b) la seguridad básica del ingreso debería permitir vivir con dignidad. Los niveles mínimos de ingresos definidos a nivel nacional podrán corresponder al valor monetario de un conjunto de bienes y servicios necesarios, a los umbrales nacionales de pobreza, a los umbrales de ingresos que dan derecho a la asistencia social o a otros umbrales comparables establecidos por la legislación o la práctica nacionales, y podrán tener en cuenta las diferencias regionales; c) los niveles de las garantías básicas de seguridad social deberían ser revisados periódicamente mediante un procedimiento transparente establecido por la legislación o la práctica nacionales, según proceda (…)”.</w:t>
      </w:r>
    </w:p>
  </w:footnote>
  <w:footnote w:id="261">
    <w:p w14:paraId="29EEA0BB" w14:textId="424424A6"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lang w:val="es-CR"/>
        </w:rPr>
        <w:t xml:space="preserve"> </w:t>
      </w:r>
      <w:r w:rsidRPr="000B33B9">
        <w:rPr>
          <w:rFonts w:ascii="Verdana" w:hAnsi="Verdana"/>
          <w:sz w:val="16"/>
          <w:szCs w:val="16"/>
          <w:lang w:val="es-CR"/>
        </w:rPr>
        <w:tab/>
      </w:r>
      <w:r w:rsidRPr="000B33B9">
        <w:rPr>
          <w:rFonts w:ascii="Verdana" w:hAnsi="Verdana"/>
          <w:i/>
          <w:sz w:val="16"/>
          <w:szCs w:val="16"/>
          <w:lang w:val="es-CR"/>
        </w:rPr>
        <w:t xml:space="preserve">Cfr. </w:t>
      </w:r>
      <w:r w:rsidRPr="000B33B9">
        <w:rPr>
          <w:rFonts w:ascii="Verdana" w:hAnsi="Verdana"/>
          <w:sz w:val="16"/>
          <w:szCs w:val="16"/>
          <w:lang w:val="es-CR"/>
        </w:rPr>
        <w:t xml:space="preserve">ONU, Comité de Derechos Económicos, Sociales y Culturales, </w:t>
      </w:r>
      <w:r w:rsidRPr="000B33B9">
        <w:rPr>
          <w:rFonts w:ascii="Verdana" w:hAnsi="Verdana"/>
          <w:i/>
          <w:sz w:val="16"/>
          <w:szCs w:val="16"/>
          <w:lang w:val="es-CR"/>
        </w:rPr>
        <w:t>Observación General No. 19,</w:t>
      </w:r>
      <w:r w:rsidRPr="000B33B9">
        <w:rPr>
          <w:rFonts w:ascii="Verdana" w:hAnsi="Verdana"/>
          <w:sz w:val="16"/>
          <w:szCs w:val="16"/>
          <w:lang w:val="es-CR"/>
        </w:rPr>
        <w:t xml:space="preserve"> </w:t>
      </w:r>
      <w:r w:rsidRPr="000B33B9">
        <w:rPr>
          <w:rFonts w:ascii="Verdana" w:hAnsi="Verdana"/>
          <w:i/>
          <w:iCs/>
          <w:sz w:val="16"/>
          <w:szCs w:val="16"/>
          <w:lang w:val="es-CR"/>
        </w:rPr>
        <w:t>El derecho a la seguridad social (artículo 9)</w:t>
      </w:r>
      <w:r w:rsidRPr="000B33B9">
        <w:rPr>
          <w:rFonts w:ascii="Verdana" w:hAnsi="Verdana"/>
          <w:sz w:val="16"/>
          <w:szCs w:val="16"/>
          <w:lang w:val="es-CR"/>
        </w:rPr>
        <w:t xml:space="preserve">, 4 de febrero de 2008, párr. 77. Véase también OIT, </w:t>
      </w:r>
      <w:r w:rsidRPr="000B33B9">
        <w:rPr>
          <w:rFonts w:ascii="Verdana" w:hAnsi="Verdana"/>
          <w:i/>
          <w:sz w:val="16"/>
          <w:szCs w:val="16"/>
          <w:lang w:val="es-CR"/>
        </w:rPr>
        <w:t xml:space="preserve">Convenio sobre la seguridad social (norma mínima), No. 102, </w:t>
      </w:r>
      <w:r w:rsidRPr="000B33B9">
        <w:rPr>
          <w:rFonts w:ascii="Verdana" w:hAnsi="Verdana"/>
          <w:sz w:val="16"/>
          <w:szCs w:val="16"/>
          <w:lang w:val="es-CR"/>
        </w:rPr>
        <w:t>adoptado en la 35ª Conferencia General de 28 de junio de 1952, artículo 70, inciso 1.</w:t>
      </w:r>
    </w:p>
  </w:footnote>
  <w:footnote w:id="262">
    <w:p w14:paraId="4298FA27" w14:textId="77777777" w:rsidR="005A5D3C" w:rsidRPr="000B33B9" w:rsidRDefault="005A5D3C" w:rsidP="000B33B9">
      <w:pPr>
        <w:tabs>
          <w:tab w:val="left" w:pos="630"/>
        </w:tabs>
        <w:snapToGrid w:val="0"/>
        <w:spacing w:after="120" w:line="240" w:lineRule="auto"/>
        <w:jc w:val="both"/>
        <w:rPr>
          <w:rFonts w:ascii="Verdana" w:hAnsi="Verdana"/>
          <w:snapToGrid w:val="0"/>
          <w:sz w:val="16"/>
          <w:szCs w:val="16"/>
        </w:rPr>
      </w:pPr>
      <w:r w:rsidRPr="000B33B9">
        <w:rPr>
          <w:rStyle w:val="Refdenotaalpie"/>
          <w:rFonts w:ascii="Verdana" w:hAnsi="Verdana"/>
          <w:sz w:val="16"/>
          <w:szCs w:val="16"/>
        </w:rPr>
        <w:footnoteRef/>
      </w:r>
      <w:r w:rsidRPr="000B33B9">
        <w:rPr>
          <w:rFonts w:ascii="Verdana" w:hAnsi="Verdana"/>
          <w:sz w:val="16"/>
          <w:szCs w:val="16"/>
        </w:rPr>
        <w:tab/>
      </w:r>
      <w:r w:rsidRPr="000B33B9">
        <w:rPr>
          <w:rFonts w:ascii="Verdana" w:hAnsi="Verdana"/>
          <w:i/>
          <w:sz w:val="16"/>
          <w:szCs w:val="16"/>
          <w:lang w:val="es-CR"/>
        </w:rPr>
        <w:t xml:space="preserve">Cfr. </w:t>
      </w:r>
      <w:r w:rsidRPr="000B33B9">
        <w:rPr>
          <w:rStyle w:val="Textoennegrita"/>
          <w:rFonts w:ascii="Verdana" w:hAnsi="Verdana"/>
          <w:b w:val="0"/>
          <w:i/>
          <w:color w:val="000000"/>
          <w:sz w:val="16"/>
          <w:szCs w:val="16"/>
          <w:shd w:val="clear" w:color="auto" w:fill="FFFFFF"/>
          <w:lang w:val="es-CR"/>
        </w:rPr>
        <w:t>Caso Muelle Flores Vs. Perú. Excepciones Preliminares, Fondo, Reparaciones y Costas.</w:t>
      </w:r>
      <w:r w:rsidRPr="000B33B9">
        <w:rPr>
          <w:rStyle w:val="Textoennegrita"/>
          <w:rFonts w:ascii="Verdana" w:hAnsi="Verdana"/>
          <w:b w:val="0"/>
          <w:color w:val="000000"/>
          <w:sz w:val="16"/>
          <w:szCs w:val="16"/>
          <w:shd w:val="clear" w:color="auto" w:fill="FFFFFF"/>
          <w:lang w:val="es-CR"/>
        </w:rPr>
        <w:t xml:space="preserve"> Sentencia de 6 de marzo de 2019. Serie C No. 375, párr. 188.</w:t>
      </w:r>
    </w:p>
  </w:footnote>
  <w:footnote w:id="263">
    <w:p w14:paraId="01C18A4E" w14:textId="2333CC9D"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lang w:val="es-CR"/>
        </w:rPr>
        <w:t xml:space="preserve"> </w:t>
      </w:r>
      <w:r w:rsidRPr="000B33B9">
        <w:rPr>
          <w:rFonts w:ascii="Verdana" w:hAnsi="Verdana"/>
          <w:sz w:val="16"/>
          <w:szCs w:val="16"/>
          <w:lang w:val="es-CR"/>
        </w:rPr>
        <w:tab/>
      </w:r>
      <w:r w:rsidRPr="000B33B9">
        <w:rPr>
          <w:rFonts w:ascii="Verdana" w:hAnsi="Verdana"/>
          <w:i/>
          <w:sz w:val="16"/>
          <w:szCs w:val="16"/>
          <w:lang w:val="es-CR"/>
        </w:rPr>
        <w:t xml:space="preserve">Cfr. </w:t>
      </w:r>
      <w:r w:rsidRPr="000B33B9">
        <w:rPr>
          <w:rStyle w:val="Textoennegrita"/>
          <w:rFonts w:ascii="Verdana" w:hAnsi="Verdana"/>
          <w:b w:val="0"/>
          <w:i/>
          <w:color w:val="000000"/>
          <w:sz w:val="16"/>
          <w:szCs w:val="16"/>
          <w:shd w:val="clear" w:color="auto" w:fill="FFFFFF"/>
          <w:lang w:val="es-CR"/>
        </w:rPr>
        <w:t>Caso Muelle Flores Vs. Perú. Excepciones Preliminares, Fondo, Reparaciones y Costas</w:t>
      </w:r>
      <w:r w:rsidRPr="000B33B9">
        <w:rPr>
          <w:rStyle w:val="Textoennegrita"/>
          <w:rFonts w:ascii="Verdana" w:hAnsi="Verdana"/>
          <w:b w:val="0"/>
          <w:color w:val="000000"/>
          <w:sz w:val="16"/>
          <w:szCs w:val="16"/>
          <w:shd w:val="clear" w:color="auto" w:fill="FFFFFF"/>
          <w:lang w:val="es-CR"/>
        </w:rPr>
        <w:t>. Sentencia de 6 de marzo de 2019. Serie C No. 375, párr. 188, y</w:t>
      </w:r>
      <w:r w:rsidRPr="000B33B9">
        <w:rPr>
          <w:rFonts w:ascii="Verdana" w:hAnsi="Verdana"/>
          <w:i/>
          <w:sz w:val="16"/>
          <w:szCs w:val="16"/>
          <w:lang w:val="es-CR"/>
        </w:rPr>
        <w:t xml:space="preserve"> </w:t>
      </w:r>
      <w:r w:rsidRPr="000B33B9">
        <w:rPr>
          <w:rFonts w:ascii="Verdana" w:hAnsi="Verdana"/>
          <w:sz w:val="16"/>
          <w:szCs w:val="16"/>
          <w:lang w:val="es-CR"/>
        </w:rPr>
        <w:t xml:space="preserve">ONU, Comité de Derechos Económicos, Sociales y Culturales, </w:t>
      </w:r>
      <w:r w:rsidRPr="000B33B9">
        <w:rPr>
          <w:rFonts w:ascii="Verdana" w:hAnsi="Verdana"/>
          <w:i/>
          <w:sz w:val="16"/>
          <w:szCs w:val="16"/>
          <w:lang w:val="es-CR"/>
        </w:rPr>
        <w:t>Observación General No. 19,</w:t>
      </w:r>
      <w:r w:rsidRPr="000B33B9">
        <w:rPr>
          <w:rFonts w:ascii="Verdana" w:hAnsi="Verdana"/>
          <w:sz w:val="16"/>
          <w:szCs w:val="16"/>
          <w:lang w:val="es-CR"/>
        </w:rPr>
        <w:t xml:space="preserve"> </w:t>
      </w:r>
      <w:r w:rsidRPr="000B33B9">
        <w:rPr>
          <w:rFonts w:ascii="Verdana" w:hAnsi="Verdana"/>
          <w:i/>
          <w:iCs/>
          <w:sz w:val="16"/>
          <w:szCs w:val="16"/>
          <w:lang w:val="es-CR"/>
        </w:rPr>
        <w:t>El derecho a la seguridad social (artículo 9)</w:t>
      </w:r>
      <w:r w:rsidRPr="000B33B9">
        <w:rPr>
          <w:rFonts w:ascii="Verdana" w:hAnsi="Verdana"/>
          <w:sz w:val="16"/>
          <w:szCs w:val="16"/>
          <w:lang w:val="es-CR"/>
        </w:rPr>
        <w:t>, 4 de febrero de 2008, párr. 78.</w:t>
      </w:r>
    </w:p>
  </w:footnote>
  <w:footnote w:id="264">
    <w:p w14:paraId="78E38788" w14:textId="501ADA72"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lang w:val="es-CR"/>
        </w:rPr>
        <w:tab/>
      </w:r>
      <w:r w:rsidRPr="000B33B9">
        <w:rPr>
          <w:rFonts w:ascii="Verdana" w:hAnsi="Verdana"/>
          <w:i/>
          <w:sz w:val="16"/>
          <w:szCs w:val="16"/>
          <w:lang w:val="es-CR"/>
        </w:rPr>
        <w:t xml:space="preserve">Cfr. Mutatis mutandis. </w:t>
      </w:r>
      <w:r w:rsidRPr="000B33B9">
        <w:rPr>
          <w:rStyle w:val="Textoennegrita"/>
          <w:rFonts w:ascii="Verdana" w:hAnsi="Verdana"/>
          <w:b w:val="0"/>
          <w:i/>
          <w:color w:val="000000"/>
          <w:sz w:val="16"/>
          <w:szCs w:val="16"/>
          <w:shd w:val="clear" w:color="auto" w:fill="FFFFFF"/>
        </w:rPr>
        <w:t>Caso Poblete Vilches y Otros Vs. Chile. Fondo, Reparaciones y Costas.</w:t>
      </w:r>
      <w:r w:rsidRPr="000B33B9">
        <w:rPr>
          <w:rStyle w:val="Textoennegrita"/>
          <w:rFonts w:ascii="Verdana" w:hAnsi="Verdana"/>
          <w:b w:val="0"/>
          <w:color w:val="000000"/>
          <w:sz w:val="16"/>
          <w:szCs w:val="16"/>
          <w:shd w:val="clear" w:color="auto" w:fill="FFFFFF"/>
        </w:rPr>
        <w:t xml:space="preserve"> Sentencia de 8 de marzo de 2018. Serie C No. 349,</w:t>
      </w:r>
      <w:r w:rsidRPr="000B33B9">
        <w:rPr>
          <w:rFonts w:ascii="Verdana" w:hAnsi="Verdana"/>
          <w:sz w:val="16"/>
          <w:szCs w:val="16"/>
          <w:lang w:val="es-CR"/>
        </w:rPr>
        <w:t xml:space="preserve"> párr. 104; </w:t>
      </w:r>
      <w:r w:rsidRPr="000B33B9">
        <w:rPr>
          <w:rFonts w:ascii="Verdana" w:hAnsi="Verdana" w:cstheme="minorHAnsi"/>
          <w:i/>
          <w:sz w:val="16"/>
          <w:szCs w:val="16"/>
        </w:rPr>
        <w:t xml:space="preserve">Caso Cuscul Pivaral y otros Vs. Guatemala. Excepción Preliminar, Fondo, Reparaciones y Costas. </w:t>
      </w:r>
      <w:r w:rsidRPr="000B33B9">
        <w:rPr>
          <w:rFonts w:ascii="Verdana" w:hAnsi="Verdana" w:cstheme="minorHAnsi"/>
          <w:sz w:val="16"/>
          <w:szCs w:val="16"/>
        </w:rPr>
        <w:t>Sentencia de 23 de agosto de 2018. Serie C No. 359</w:t>
      </w:r>
      <w:r w:rsidRPr="000B33B9">
        <w:rPr>
          <w:rFonts w:ascii="Verdana" w:hAnsi="Verdana"/>
          <w:sz w:val="16"/>
          <w:szCs w:val="16"/>
          <w:lang w:val="es-CR"/>
        </w:rPr>
        <w:t xml:space="preserve">, párr. 98, y </w:t>
      </w:r>
      <w:r w:rsidRPr="000B33B9">
        <w:rPr>
          <w:rStyle w:val="Textoennegrita"/>
          <w:rFonts w:ascii="Verdana" w:hAnsi="Verdana"/>
          <w:b w:val="0"/>
          <w:i/>
          <w:color w:val="000000"/>
          <w:sz w:val="16"/>
          <w:szCs w:val="16"/>
          <w:shd w:val="clear" w:color="auto" w:fill="FFFFFF"/>
          <w:lang w:val="es-CR"/>
        </w:rPr>
        <w:t>Caso Muelle Flores Vs. Perú. Excepciones Preliminares, Fondo, Reparaciones y Costas</w:t>
      </w:r>
      <w:r w:rsidRPr="000B33B9">
        <w:rPr>
          <w:rStyle w:val="Textoennegrita"/>
          <w:rFonts w:ascii="Verdana" w:hAnsi="Verdana"/>
          <w:b w:val="0"/>
          <w:color w:val="000000"/>
          <w:sz w:val="16"/>
          <w:szCs w:val="16"/>
          <w:shd w:val="clear" w:color="auto" w:fill="FFFFFF"/>
          <w:lang w:val="es-CR"/>
        </w:rPr>
        <w:t>. Sentencia de 6 de marzo de 2019. Serie C No. 375, párr. 190.</w:t>
      </w:r>
    </w:p>
  </w:footnote>
  <w:footnote w:id="265">
    <w:p w14:paraId="4BD36B43" w14:textId="77777777"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lang w:val="es-CR"/>
        </w:rPr>
        <w:t xml:space="preserve"> </w:t>
      </w:r>
      <w:r w:rsidRPr="000B33B9">
        <w:rPr>
          <w:rFonts w:ascii="Verdana" w:hAnsi="Verdana"/>
          <w:sz w:val="16"/>
          <w:szCs w:val="16"/>
          <w:lang w:val="es-CR"/>
        </w:rPr>
        <w:tab/>
      </w:r>
      <w:r w:rsidRPr="000B33B9">
        <w:rPr>
          <w:rFonts w:ascii="Verdana" w:hAnsi="Verdana"/>
          <w:i/>
          <w:sz w:val="16"/>
          <w:szCs w:val="16"/>
          <w:lang w:val="es-CR"/>
        </w:rPr>
        <w:t xml:space="preserve">Cfr. </w:t>
      </w:r>
      <w:r w:rsidRPr="000B33B9">
        <w:rPr>
          <w:rStyle w:val="Textoennegrita"/>
          <w:rFonts w:ascii="Verdana" w:hAnsi="Verdana"/>
          <w:b w:val="0"/>
          <w:i/>
          <w:color w:val="000000"/>
          <w:sz w:val="16"/>
          <w:szCs w:val="16"/>
          <w:shd w:val="clear" w:color="auto" w:fill="FFFFFF"/>
          <w:lang w:val="es-CR"/>
        </w:rPr>
        <w:t>Caso Muelle Flores Vs. Perú. Excepciones Preliminares, Fondo, Reparaciones y Costas.</w:t>
      </w:r>
      <w:r w:rsidRPr="000B33B9">
        <w:rPr>
          <w:rStyle w:val="Textoennegrita"/>
          <w:rFonts w:ascii="Verdana" w:hAnsi="Verdana"/>
          <w:b w:val="0"/>
          <w:color w:val="000000"/>
          <w:sz w:val="16"/>
          <w:szCs w:val="16"/>
          <w:shd w:val="clear" w:color="auto" w:fill="FFFFFF"/>
          <w:lang w:val="es-CR"/>
        </w:rPr>
        <w:t xml:space="preserve"> Sentencia de 6 de marzo de 2019. Serie C No. 375, párr. 190.</w:t>
      </w:r>
    </w:p>
  </w:footnote>
  <w:footnote w:id="266">
    <w:p w14:paraId="39A2EFBE" w14:textId="032AD625" w:rsidR="005A5D3C" w:rsidRPr="000B33B9" w:rsidRDefault="005A5D3C" w:rsidP="000B33B9">
      <w:pPr>
        <w:pStyle w:val="Textonotapie"/>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lang w:val="es-CR"/>
        </w:rPr>
        <w:tab/>
      </w:r>
      <w:r w:rsidRPr="000B33B9">
        <w:rPr>
          <w:rFonts w:ascii="Verdana" w:hAnsi="Verdana"/>
          <w:i/>
          <w:sz w:val="16"/>
          <w:szCs w:val="16"/>
          <w:lang w:val="es-CR"/>
        </w:rPr>
        <w:t xml:space="preserve">Cfr. </w:t>
      </w:r>
      <w:r w:rsidRPr="000B33B9">
        <w:rPr>
          <w:rStyle w:val="Textoennegrita"/>
          <w:rFonts w:ascii="Verdana" w:hAnsi="Verdana"/>
          <w:b w:val="0"/>
          <w:i/>
          <w:color w:val="000000"/>
          <w:sz w:val="16"/>
          <w:szCs w:val="16"/>
          <w:shd w:val="clear" w:color="auto" w:fill="FFFFFF"/>
          <w:lang w:val="es-CR"/>
        </w:rPr>
        <w:t>Caso Muelle Flores Vs. Perú. Excepciones Preliminares, Fondo, Reparaciones y Costas</w:t>
      </w:r>
      <w:r w:rsidRPr="000B33B9">
        <w:rPr>
          <w:rStyle w:val="Textoennegrita"/>
          <w:rFonts w:ascii="Verdana" w:hAnsi="Verdana"/>
          <w:b w:val="0"/>
          <w:color w:val="000000"/>
          <w:sz w:val="16"/>
          <w:szCs w:val="16"/>
          <w:shd w:val="clear" w:color="auto" w:fill="FFFFFF"/>
          <w:lang w:val="es-CR"/>
        </w:rPr>
        <w:t>. Sentencia de 6 de marzo de 2019. Serie C No. 375, párr. 192.</w:t>
      </w:r>
    </w:p>
  </w:footnote>
  <w:footnote w:id="267">
    <w:p w14:paraId="5C959118" w14:textId="719C9A81"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lang w:val="es-CR"/>
        </w:rPr>
        <w:tab/>
      </w:r>
      <w:r w:rsidRPr="000B33B9">
        <w:rPr>
          <w:rFonts w:ascii="Verdana" w:hAnsi="Verdana"/>
          <w:i/>
          <w:sz w:val="16"/>
          <w:szCs w:val="16"/>
        </w:rPr>
        <w:t xml:space="preserve">Cfr. </w:t>
      </w:r>
      <w:r w:rsidRPr="000B33B9">
        <w:rPr>
          <w:rFonts w:ascii="Verdana" w:hAnsi="Verdana"/>
          <w:i/>
          <w:sz w:val="16"/>
          <w:szCs w:val="16"/>
          <w:lang w:val="es-PE"/>
        </w:rPr>
        <w:t xml:space="preserve">Caso </w:t>
      </w:r>
      <w:r w:rsidRPr="000B33B9">
        <w:rPr>
          <w:rFonts w:ascii="Verdana" w:hAnsi="Verdana"/>
          <w:i/>
          <w:sz w:val="16"/>
          <w:szCs w:val="16"/>
          <w:lang w:val="es-DO"/>
        </w:rPr>
        <w:t xml:space="preserve">Muelle Flores Vs. Perú. Excepciones Preliminares, </w:t>
      </w:r>
      <w:r w:rsidRPr="000B33B9">
        <w:rPr>
          <w:rFonts w:ascii="Verdana" w:hAnsi="Verdana"/>
          <w:i/>
          <w:sz w:val="16"/>
          <w:szCs w:val="16"/>
        </w:rPr>
        <w:t xml:space="preserve">Fondo, Reparaciones y Costas. </w:t>
      </w:r>
      <w:r w:rsidRPr="000B33B9">
        <w:rPr>
          <w:rFonts w:ascii="Verdana" w:hAnsi="Verdana"/>
          <w:sz w:val="16"/>
          <w:szCs w:val="16"/>
        </w:rPr>
        <w:t>Sentencia de 6 de marzo de 2019. Serie C No. 375,</w:t>
      </w:r>
      <w:r w:rsidRPr="000B33B9">
        <w:rPr>
          <w:rFonts w:ascii="Verdana" w:hAnsi="Verdana"/>
          <w:sz w:val="16"/>
          <w:szCs w:val="16"/>
          <w:lang w:val="es-PE"/>
        </w:rPr>
        <w:t xml:space="preserve"> párr. 194</w:t>
      </w:r>
      <w:r w:rsidRPr="000B33B9">
        <w:rPr>
          <w:rFonts w:ascii="Verdana" w:hAnsi="Verdana"/>
          <w:sz w:val="16"/>
          <w:szCs w:val="16"/>
          <w:lang w:val="es-CR"/>
        </w:rPr>
        <w:t>.</w:t>
      </w:r>
    </w:p>
  </w:footnote>
  <w:footnote w:id="268">
    <w:p w14:paraId="70EC36EF" w14:textId="7EBF10CC"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lang w:val="es-PE"/>
        </w:rPr>
        <w:t xml:space="preserve">Caso </w:t>
      </w:r>
      <w:r w:rsidRPr="000B33B9">
        <w:rPr>
          <w:rFonts w:ascii="Verdana" w:hAnsi="Verdana"/>
          <w:i/>
          <w:sz w:val="16"/>
          <w:szCs w:val="16"/>
          <w:lang w:val="es-DO"/>
        </w:rPr>
        <w:t xml:space="preserve">Muelle Flores Vs. Perú. Excepciones Preliminares, </w:t>
      </w:r>
      <w:r w:rsidRPr="000B33B9">
        <w:rPr>
          <w:rFonts w:ascii="Verdana" w:hAnsi="Verdana"/>
          <w:i/>
          <w:sz w:val="16"/>
          <w:szCs w:val="16"/>
        </w:rPr>
        <w:t xml:space="preserve">Fondo, Reparaciones y Costas. </w:t>
      </w:r>
      <w:r w:rsidRPr="000B33B9">
        <w:rPr>
          <w:rFonts w:ascii="Verdana" w:hAnsi="Verdana"/>
          <w:sz w:val="16"/>
          <w:szCs w:val="16"/>
        </w:rPr>
        <w:t>Sentencia de 6 de marzo de 2019. Serie C No. 375</w:t>
      </w:r>
      <w:r w:rsidRPr="000B33B9">
        <w:rPr>
          <w:rFonts w:ascii="Verdana" w:hAnsi="Verdana"/>
          <w:i/>
          <w:sz w:val="16"/>
          <w:szCs w:val="16"/>
        </w:rPr>
        <w:t xml:space="preserve">, </w:t>
      </w:r>
      <w:r w:rsidRPr="000B33B9">
        <w:rPr>
          <w:rFonts w:ascii="Verdana" w:hAnsi="Verdana"/>
          <w:sz w:val="16"/>
          <w:szCs w:val="16"/>
        </w:rPr>
        <w:t xml:space="preserve">párr. 187, y ONU, </w:t>
      </w:r>
      <w:r w:rsidRPr="000B33B9">
        <w:rPr>
          <w:rFonts w:ascii="Verdana" w:hAnsi="Verdana"/>
          <w:sz w:val="16"/>
          <w:szCs w:val="16"/>
          <w:lang w:val="es-CR"/>
        </w:rPr>
        <w:t xml:space="preserve">Comité de Derechos Económicos, Sociales y Culturales. </w:t>
      </w:r>
      <w:r w:rsidRPr="000B33B9">
        <w:rPr>
          <w:rFonts w:ascii="Verdana" w:hAnsi="Verdana"/>
          <w:i/>
          <w:sz w:val="16"/>
          <w:szCs w:val="16"/>
          <w:lang w:val="es-CR"/>
        </w:rPr>
        <w:t xml:space="preserve">Observación General No. 19: </w:t>
      </w:r>
      <w:r w:rsidRPr="000B33B9">
        <w:rPr>
          <w:rFonts w:ascii="Verdana" w:hAnsi="Verdana"/>
          <w:i/>
          <w:iCs/>
          <w:sz w:val="16"/>
          <w:szCs w:val="16"/>
          <w:lang w:val="es-CR"/>
        </w:rPr>
        <w:t>El derecho a la seguridad social (artículo 9)</w:t>
      </w:r>
      <w:r w:rsidRPr="000B33B9">
        <w:rPr>
          <w:rFonts w:ascii="Verdana" w:hAnsi="Verdana"/>
          <w:sz w:val="16"/>
          <w:szCs w:val="16"/>
          <w:lang w:val="es-CR"/>
        </w:rPr>
        <w:t xml:space="preserve">, 4 de febrero de 2008, </w:t>
      </w:r>
      <w:r w:rsidRPr="000B33B9">
        <w:rPr>
          <w:rFonts w:ascii="Verdana" w:hAnsi="Verdana"/>
          <w:sz w:val="16"/>
          <w:szCs w:val="16"/>
        </w:rPr>
        <w:t>párrs. 9 a 28.</w:t>
      </w:r>
    </w:p>
  </w:footnote>
  <w:footnote w:id="269">
    <w:p w14:paraId="31045A46" w14:textId="7416F015" w:rsidR="005A5D3C" w:rsidRPr="000B33B9" w:rsidRDefault="005A5D3C" w:rsidP="000B33B9">
      <w:pPr>
        <w:pStyle w:val="Textonotapie"/>
        <w:spacing w:after="12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sz w:val="16"/>
          <w:szCs w:val="16"/>
          <w:lang w:val="es-DO"/>
        </w:rPr>
        <w:t xml:space="preserve">Perú. Constitución Política de fecha 12 de julio de 1979. Octava Disposición Transitoria. </w:t>
      </w:r>
    </w:p>
  </w:footnote>
  <w:footnote w:id="270">
    <w:p w14:paraId="0F07F531" w14:textId="39707EB2"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rPr>
        <w:t>Cfr</w:t>
      </w:r>
      <w:r w:rsidRPr="000B33B9">
        <w:rPr>
          <w:rFonts w:ascii="Verdana" w:hAnsi="Verdana"/>
          <w:sz w:val="16"/>
          <w:szCs w:val="16"/>
        </w:rPr>
        <w:t xml:space="preserve">. Decreto Legislativo No. 673 de fecha 23 de septiembre de 1991. Artículos 1 y 2 </w:t>
      </w:r>
      <w:r w:rsidRPr="000B33B9">
        <w:rPr>
          <w:rFonts w:ascii="Verdana" w:hAnsi="Verdana"/>
          <w:sz w:val="16"/>
          <w:szCs w:val="16"/>
          <w:lang w:val="es-DO"/>
        </w:rPr>
        <w:t xml:space="preserve">(expediente de prueba, folios del 15094 al 15096). </w:t>
      </w:r>
    </w:p>
  </w:footnote>
  <w:footnote w:id="271">
    <w:p w14:paraId="3F561066" w14:textId="35D343DF" w:rsidR="005A5D3C" w:rsidRPr="000B33B9" w:rsidRDefault="005A5D3C" w:rsidP="000B33B9">
      <w:pPr>
        <w:pStyle w:val="Prrafodelista"/>
        <w:spacing w:after="120" w:line="240" w:lineRule="auto"/>
        <w:ind w:left="0"/>
        <w:contextualSpacing w:val="0"/>
        <w:jc w:val="both"/>
        <w:rPr>
          <w:rFonts w:ascii="Verdana" w:hAnsi="Verdana"/>
          <w:sz w:val="16"/>
          <w:szCs w:val="16"/>
          <w:lang w:val="es-DO"/>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lang w:val="es-CR"/>
        </w:rPr>
        <w:tab/>
      </w:r>
      <w:r w:rsidRPr="000B33B9">
        <w:rPr>
          <w:rFonts w:ascii="Verdana" w:hAnsi="Verdana"/>
          <w:sz w:val="16"/>
          <w:szCs w:val="16"/>
          <w:lang w:val="es-DO"/>
        </w:rPr>
        <w:t>El Tribunal recuerda que la Ley 23495 disponía la nivelación progresiva de las pensiones conforme fueran aumentando las remuneraciones de los trabajadores activos, es decir que a medida que fueran incrementándose los salarios de dichos servidores el monto de las pensiones aumentaría correlativamente. Al haber establecido que, salvo el caso de los trabajadores que ya pertenecían al Decreto 276 y decidieran continuar acogidos al mismo, en lo adelante el régimen general aplicable a los servidores de la SUNAT sería el del Decreto 4916 y que las remuneraciones percibidas con arreglo al mismo no serían pensionables para los cesantes y jubilados comprendidos en el Decreto 20530, como tampoco lo sería el aumento que por concepto de la diferencia con dichos salarios recibirían los trabajadores sujetos al régimen del Decreto 276, el Decreto 673 impactó la progresividad de la nivelación de las pensiones de las víctimas. En otras palabras, como en lo adelante la mayoría de los servidores activos de la SUNAT pertenecerían al régimen laboral privado del Decreto 4916 y sus remuneraciones no tenían carácter pensionable a efectos del Decreto 20530</w:t>
      </w:r>
      <w:r w:rsidRPr="000B33B9">
        <w:rPr>
          <w:rStyle w:val="Refdenotaalpie"/>
          <w:rFonts w:ascii="Verdana" w:hAnsi="Verdana"/>
          <w:sz w:val="16"/>
          <w:szCs w:val="16"/>
          <w:lang w:val="es-DO"/>
        </w:rPr>
        <w:footnoteRef/>
      </w:r>
      <w:r w:rsidRPr="000B33B9">
        <w:rPr>
          <w:rFonts w:ascii="Verdana" w:hAnsi="Verdana"/>
          <w:sz w:val="16"/>
          <w:szCs w:val="16"/>
          <w:lang w:val="es-DO"/>
        </w:rPr>
        <w:t>, las pensiones de las víctimas no aumentarían en proporción a los incrementos salariales que recibirían los trabajadores activos de la SUNAT, como prescribe la Ley 23495, con la excepción de aquellos que pudieran suscitarse en el marco de las remuneraciones otorgadas según el Decreto 276 sin que esto tampoco incluyera los montos a pagar por la diferencia con los salarios del régimen laboral público. Lo anterior implicó necesariamente la limitación de los incrementos en las pensiones que, por concepto del derecho de nivelación progresiva, las víctimas tenían la expectativa de recibir.</w:t>
      </w:r>
    </w:p>
  </w:footnote>
  <w:footnote w:id="272">
    <w:p w14:paraId="63BFEA5A" w14:textId="20418FEE"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rPr>
        <w:t xml:space="preserve"> </w:t>
      </w:r>
      <w:r w:rsidRPr="000B33B9">
        <w:rPr>
          <w:rFonts w:ascii="Verdana" w:hAnsi="Verdana"/>
          <w:sz w:val="16"/>
          <w:szCs w:val="16"/>
        </w:rPr>
        <w:t xml:space="preserve">En sus palabras: “No señor, no hubiéramos renunciado ni mi esposo ni yo, teníamos que ver por nuestros hijos, que tuvieran una educación digna para que luego ellos pudieran vivir bien y darles igual estudios a nuestros hijos”. </w:t>
      </w:r>
      <w:r w:rsidRPr="000B33B9">
        <w:rPr>
          <w:rFonts w:ascii="Verdana" w:hAnsi="Verdana"/>
          <w:i/>
          <w:sz w:val="16"/>
          <w:szCs w:val="16"/>
        </w:rPr>
        <w:t>Cfr.</w:t>
      </w:r>
      <w:r w:rsidRPr="000B33B9">
        <w:rPr>
          <w:rFonts w:ascii="Verdana" w:hAnsi="Verdana"/>
          <w:sz w:val="16"/>
          <w:szCs w:val="16"/>
        </w:rPr>
        <w:t xml:space="preserve"> Declaración de la señora Ana María Ráez Guevara, rendida en audiencia pública de 7 de mayo de 2019 (p. 15). </w:t>
      </w:r>
    </w:p>
  </w:footnote>
  <w:footnote w:id="273">
    <w:p w14:paraId="548E5B9B" w14:textId="3F787098"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t xml:space="preserve">En el peritaje se recogen declaraciones como la siguiente: “Me engañaron, de haberlo imaginado nunca hubiera arriesgado la estabilidad de mi familia, fuimos engañados, eso no es justo”. </w:t>
      </w:r>
      <w:r w:rsidRPr="000B33B9">
        <w:rPr>
          <w:rFonts w:ascii="Verdana" w:hAnsi="Verdana"/>
          <w:i/>
          <w:sz w:val="16"/>
          <w:szCs w:val="16"/>
        </w:rPr>
        <w:t>Cfr.</w:t>
      </w:r>
      <w:r w:rsidRPr="000B33B9">
        <w:rPr>
          <w:rFonts w:ascii="Verdana" w:hAnsi="Verdana"/>
          <w:sz w:val="16"/>
          <w:szCs w:val="16"/>
        </w:rPr>
        <w:t xml:space="preserve"> Peritaje de Viviana Frida Vals Gen Rivera, rendido ante fedatario público el 31 de agosto de 2018 (expediente de prueba, folios del 942 al 959). </w:t>
      </w:r>
    </w:p>
  </w:footnote>
  <w:footnote w:id="274">
    <w:p w14:paraId="088F8DD0" w14:textId="55DE877D"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rPr>
        <w:t>Cfr.</w:t>
      </w:r>
      <w:r w:rsidRPr="000B33B9">
        <w:rPr>
          <w:rFonts w:ascii="Verdana" w:hAnsi="Verdana"/>
          <w:sz w:val="16"/>
          <w:szCs w:val="16"/>
        </w:rPr>
        <w:t xml:space="preserve"> </w:t>
      </w:r>
      <w:r w:rsidRPr="000B33B9">
        <w:rPr>
          <w:rStyle w:val="Textoennegrita"/>
          <w:rFonts w:ascii="Verdana" w:hAnsi="Verdana"/>
          <w:b w:val="0"/>
          <w:i/>
          <w:color w:val="000000"/>
          <w:sz w:val="16"/>
          <w:szCs w:val="16"/>
          <w:shd w:val="clear" w:color="auto" w:fill="FFFFFF"/>
          <w:lang w:val="es-CR"/>
        </w:rPr>
        <w:t>Caso Muelle Flores Vs. Perú. Excepciones Preliminares, Fondo, Reparaciones y Costas</w:t>
      </w:r>
      <w:r w:rsidRPr="000B33B9">
        <w:rPr>
          <w:rStyle w:val="Textoennegrita"/>
          <w:rFonts w:ascii="Verdana" w:hAnsi="Verdana"/>
          <w:b w:val="0"/>
          <w:color w:val="000000"/>
          <w:sz w:val="16"/>
          <w:szCs w:val="16"/>
          <w:shd w:val="clear" w:color="auto" w:fill="FFFFFF"/>
          <w:lang w:val="es-CR"/>
        </w:rPr>
        <w:t xml:space="preserve">. Sentencia de 6 de marzo de 2019. Serie C No. 375, párr. 187, y </w:t>
      </w:r>
      <w:r w:rsidRPr="000B33B9">
        <w:rPr>
          <w:rFonts w:ascii="Verdana" w:hAnsi="Verdana"/>
          <w:sz w:val="16"/>
          <w:szCs w:val="16"/>
          <w:lang w:val="es-CR"/>
        </w:rPr>
        <w:t xml:space="preserve">ONU, Comité de Derechos Económicos, Sociales y Culturales, </w:t>
      </w:r>
      <w:r w:rsidRPr="000B33B9">
        <w:rPr>
          <w:rFonts w:ascii="Verdana" w:hAnsi="Verdana"/>
          <w:i/>
          <w:sz w:val="16"/>
          <w:szCs w:val="16"/>
          <w:lang w:val="es-CR"/>
        </w:rPr>
        <w:t>Observación General No. 19,</w:t>
      </w:r>
      <w:r w:rsidRPr="000B33B9">
        <w:rPr>
          <w:rFonts w:ascii="Verdana" w:hAnsi="Verdana"/>
          <w:sz w:val="16"/>
          <w:szCs w:val="16"/>
          <w:lang w:val="es-CR"/>
        </w:rPr>
        <w:t xml:space="preserve"> </w:t>
      </w:r>
      <w:r w:rsidRPr="000B33B9">
        <w:rPr>
          <w:rFonts w:ascii="Verdana" w:hAnsi="Verdana"/>
          <w:i/>
          <w:iCs/>
          <w:sz w:val="16"/>
          <w:szCs w:val="16"/>
          <w:lang w:val="es-CR"/>
        </w:rPr>
        <w:t>El derecho a la seguridad social (artículo 9)</w:t>
      </w:r>
      <w:r w:rsidRPr="000B33B9">
        <w:rPr>
          <w:rFonts w:ascii="Verdana" w:hAnsi="Verdana"/>
          <w:sz w:val="16"/>
          <w:szCs w:val="16"/>
          <w:lang w:val="es-CR"/>
        </w:rPr>
        <w:t>, 4 de febrero de 2008, párrs. 9 a 28.</w:t>
      </w:r>
    </w:p>
  </w:footnote>
  <w:footnote w:id="275">
    <w:p w14:paraId="06400C6E" w14:textId="227AE589" w:rsidR="005A5D3C" w:rsidRPr="000B33B9" w:rsidRDefault="005A5D3C" w:rsidP="000B33B9">
      <w:pPr>
        <w:pStyle w:val="Textonotapie"/>
        <w:spacing w:after="120"/>
        <w:jc w:val="both"/>
        <w:rPr>
          <w:rFonts w:ascii="Verdana" w:hAnsi="Verdana"/>
          <w:i/>
          <w:sz w:val="16"/>
          <w:szCs w:val="16"/>
          <w:lang w:val="es-CR"/>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lang w:val="es-CR"/>
        </w:rPr>
        <w:tab/>
      </w:r>
      <w:r w:rsidRPr="000B33B9">
        <w:rPr>
          <w:rFonts w:ascii="Verdana" w:hAnsi="Verdana"/>
          <w:i/>
          <w:sz w:val="16"/>
          <w:szCs w:val="16"/>
        </w:rPr>
        <w:t>Cfr.</w:t>
      </w:r>
      <w:r w:rsidRPr="000B33B9">
        <w:rPr>
          <w:rFonts w:ascii="Verdana" w:hAnsi="Verdana"/>
          <w:sz w:val="16"/>
          <w:szCs w:val="16"/>
        </w:rPr>
        <w:t xml:space="preserve"> </w:t>
      </w:r>
      <w:r w:rsidRPr="000B33B9">
        <w:rPr>
          <w:rStyle w:val="Textoennegrita"/>
          <w:rFonts w:ascii="Verdana" w:hAnsi="Verdana"/>
          <w:b w:val="0"/>
          <w:i/>
          <w:color w:val="000000"/>
          <w:sz w:val="16"/>
          <w:szCs w:val="16"/>
          <w:shd w:val="clear" w:color="auto" w:fill="FFFFFF"/>
          <w:lang w:val="es-CR"/>
        </w:rPr>
        <w:t>Caso Muelle Flores Vs. Perú. Excepciones Preliminares, Fondo, Reparaciones y Costas</w:t>
      </w:r>
      <w:r w:rsidRPr="000B33B9">
        <w:rPr>
          <w:rStyle w:val="Textoennegrita"/>
          <w:rFonts w:ascii="Verdana" w:hAnsi="Verdana"/>
          <w:b w:val="0"/>
          <w:color w:val="000000"/>
          <w:sz w:val="16"/>
          <w:szCs w:val="16"/>
          <w:shd w:val="clear" w:color="auto" w:fill="FFFFFF"/>
          <w:lang w:val="es-CR"/>
        </w:rPr>
        <w:t>. Sentencia de 6 de marzo de 2019. Serie C No. 375, párrs. 205 y 206.</w:t>
      </w:r>
    </w:p>
  </w:footnote>
  <w:footnote w:id="276">
    <w:p w14:paraId="62297D59" w14:textId="12B49D17"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rPr>
        <w:t>Cfr. Caso de los “Niños de la Calle” (Villagrán Morales y otros) Vs. Guatemala. Fondo</w:t>
      </w:r>
      <w:r w:rsidRPr="000B33B9">
        <w:rPr>
          <w:rFonts w:ascii="Verdana" w:hAnsi="Verdana"/>
          <w:sz w:val="16"/>
          <w:szCs w:val="16"/>
        </w:rPr>
        <w:t xml:space="preserve">. Sentencia de 19 de noviembre de 1999. Serie C No. 63, párr. 144, y </w:t>
      </w:r>
      <w:r w:rsidRPr="000B33B9">
        <w:rPr>
          <w:rFonts w:ascii="Verdana" w:hAnsi="Verdana" w:cstheme="minorHAnsi"/>
          <w:i/>
          <w:sz w:val="16"/>
          <w:szCs w:val="16"/>
        </w:rPr>
        <w:t xml:space="preserve">Caso Cuscul Pivaral y otros Vs. Guatemala. Excepción Preliminar, Fondo, Reparaciones y Costas. </w:t>
      </w:r>
      <w:r w:rsidRPr="000B33B9">
        <w:rPr>
          <w:rFonts w:ascii="Verdana" w:hAnsi="Verdana" w:cstheme="minorHAnsi"/>
          <w:sz w:val="16"/>
          <w:szCs w:val="16"/>
        </w:rPr>
        <w:t>Sentencia de 23 de agosto de 2018. Serie C No. 359</w:t>
      </w:r>
      <w:r w:rsidRPr="000B33B9">
        <w:rPr>
          <w:rFonts w:ascii="Verdana" w:hAnsi="Verdana"/>
          <w:sz w:val="16"/>
          <w:szCs w:val="16"/>
          <w:lang w:val="es-CR"/>
        </w:rPr>
        <w:t>, párr. 155.</w:t>
      </w:r>
    </w:p>
  </w:footnote>
  <w:footnote w:id="277">
    <w:p w14:paraId="6CBAB1AC" w14:textId="4029A447" w:rsidR="005A5D3C" w:rsidRPr="000B33B9" w:rsidRDefault="005A5D3C" w:rsidP="000B33B9">
      <w:pPr>
        <w:pStyle w:val="Textonotapie"/>
        <w:spacing w:after="120"/>
        <w:jc w:val="both"/>
        <w:rPr>
          <w:rFonts w:ascii="Verdana" w:hAnsi="Verdana"/>
          <w:i/>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rPr>
        <w:t xml:space="preserve">Cfr. Caso Myrna Mack Chang Vs. Guatemala. Fondo, Reparaciones y Costas. </w:t>
      </w:r>
      <w:r w:rsidRPr="000B33B9">
        <w:rPr>
          <w:rFonts w:ascii="Verdana" w:hAnsi="Verdana"/>
          <w:sz w:val="16"/>
          <w:szCs w:val="16"/>
        </w:rPr>
        <w:t xml:space="preserve">Sentencia de 25 de noviembre de 2003. Serie C No. 101, párr. 152, y </w:t>
      </w:r>
      <w:r w:rsidRPr="000B33B9">
        <w:rPr>
          <w:rFonts w:ascii="Verdana" w:hAnsi="Verdana"/>
          <w:i/>
          <w:sz w:val="16"/>
          <w:szCs w:val="16"/>
        </w:rPr>
        <w:t xml:space="preserve">Caso Comunidad Indígena Yakye Axa Vs. Paraguay. Fondo, Reparaciones y Costas. </w:t>
      </w:r>
      <w:r w:rsidRPr="000B33B9">
        <w:rPr>
          <w:rFonts w:ascii="Verdana" w:hAnsi="Verdana"/>
          <w:sz w:val="16"/>
          <w:szCs w:val="16"/>
        </w:rPr>
        <w:t>Sentencia de 17 de junio de 2005. Serie C No. 125, párr. 161.</w:t>
      </w:r>
    </w:p>
  </w:footnote>
  <w:footnote w:id="278">
    <w:p w14:paraId="513EF45E" w14:textId="53E7A4C0"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rPr>
        <w:t>Cfr. Caso de los “Niños de la Calle” (Villagrán Morales y otros) Vs. Guatemala. Fondo</w:t>
      </w:r>
      <w:r w:rsidRPr="000B33B9">
        <w:rPr>
          <w:rFonts w:ascii="Verdana" w:hAnsi="Verdana"/>
          <w:sz w:val="16"/>
          <w:szCs w:val="16"/>
        </w:rPr>
        <w:t xml:space="preserve">. Sentencia de 19 de noviembre de 1999. Serie C No. 63, párr. 144, y </w:t>
      </w:r>
      <w:r w:rsidRPr="000B33B9">
        <w:rPr>
          <w:rFonts w:ascii="Verdana" w:hAnsi="Verdana"/>
          <w:i/>
          <w:sz w:val="16"/>
          <w:szCs w:val="16"/>
        </w:rPr>
        <w:t xml:space="preserve">Caso Comunidad Indígena Yakye Axa Vs. Paraguay. Fondo, Reparaciones y Costas. </w:t>
      </w:r>
      <w:r w:rsidRPr="000B33B9">
        <w:rPr>
          <w:rFonts w:ascii="Verdana" w:hAnsi="Verdana"/>
          <w:sz w:val="16"/>
          <w:szCs w:val="16"/>
        </w:rPr>
        <w:t>Sentencia de 17 de junio de 2005. Serie C No. 125, párr. 162.</w:t>
      </w:r>
    </w:p>
  </w:footnote>
  <w:footnote w:id="279">
    <w:p w14:paraId="77318EBD" w14:textId="4B48F005"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ab/>
      </w:r>
      <w:r w:rsidRPr="000B33B9">
        <w:rPr>
          <w:rFonts w:ascii="Verdana" w:hAnsi="Verdana"/>
          <w:i/>
          <w:sz w:val="16"/>
          <w:szCs w:val="16"/>
        </w:rPr>
        <w:t>Caso “Instituto de Reeducación del Menor” Vs. Paraguay. Excepciones Preliminares, Fondo, Reparaciones y Costas</w:t>
      </w:r>
      <w:r w:rsidRPr="000B33B9">
        <w:rPr>
          <w:rFonts w:ascii="Verdana" w:hAnsi="Verdana"/>
          <w:sz w:val="16"/>
          <w:szCs w:val="16"/>
        </w:rPr>
        <w:t xml:space="preserve">. Sentencia de 2 de septiembre de 2004. Serie C No. 112, párr. 159, y </w:t>
      </w:r>
      <w:r w:rsidRPr="000B33B9">
        <w:rPr>
          <w:rFonts w:ascii="Verdana" w:hAnsi="Verdana"/>
          <w:i/>
          <w:sz w:val="16"/>
          <w:szCs w:val="16"/>
        </w:rPr>
        <w:t>Caso</w:t>
      </w:r>
      <w:r w:rsidRPr="000B33B9">
        <w:rPr>
          <w:rFonts w:ascii="Verdana" w:hAnsi="Verdana"/>
          <w:sz w:val="16"/>
          <w:szCs w:val="16"/>
        </w:rPr>
        <w:t xml:space="preserve"> </w:t>
      </w:r>
      <w:r w:rsidRPr="000B33B9">
        <w:rPr>
          <w:rFonts w:ascii="Verdana" w:hAnsi="Verdana"/>
          <w:i/>
          <w:sz w:val="16"/>
          <w:szCs w:val="16"/>
        </w:rPr>
        <w:t xml:space="preserve">Comunidad Indígena Yakye Axa Vs. Paraguay. Fondo, Reparaciones y Costas. </w:t>
      </w:r>
      <w:r w:rsidRPr="000B33B9">
        <w:rPr>
          <w:rFonts w:ascii="Verdana" w:hAnsi="Verdana"/>
          <w:sz w:val="16"/>
          <w:szCs w:val="16"/>
        </w:rPr>
        <w:t>Sentencia de 17 de junio de 2005. Serie C No. 125, párr. 162.</w:t>
      </w:r>
    </w:p>
  </w:footnote>
  <w:footnote w:id="280">
    <w:p w14:paraId="433DEBA3" w14:textId="10721251" w:rsidR="005A5D3C" w:rsidRPr="000B33B9" w:rsidRDefault="005A5D3C" w:rsidP="000B33B9">
      <w:pPr>
        <w:pStyle w:val="Textonotapie"/>
        <w:spacing w:after="120"/>
        <w:jc w:val="both"/>
        <w:rPr>
          <w:rFonts w:ascii="Verdana" w:hAnsi="Verdana"/>
          <w:i/>
          <w:sz w:val="16"/>
          <w:szCs w:val="16"/>
          <w:lang w:val="es-CR"/>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lang w:val="es-CR"/>
        </w:rPr>
        <w:tab/>
      </w:r>
      <w:r w:rsidRPr="000B33B9">
        <w:rPr>
          <w:rFonts w:ascii="Verdana" w:hAnsi="Verdana"/>
          <w:i/>
          <w:sz w:val="16"/>
          <w:szCs w:val="16"/>
        </w:rPr>
        <w:t>Cfr.</w:t>
      </w:r>
      <w:r w:rsidRPr="000B33B9">
        <w:rPr>
          <w:rFonts w:ascii="Verdana" w:hAnsi="Verdana"/>
          <w:sz w:val="16"/>
          <w:szCs w:val="16"/>
        </w:rPr>
        <w:t xml:space="preserve"> </w:t>
      </w:r>
      <w:r w:rsidRPr="000B33B9">
        <w:rPr>
          <w:rFonts w:ascii="Verdana" w:hAnsi="Verdana"/>
          <w:i/>
          <w:sz w:val="16"/>
          <w:szCs w:val="16"/>
        </w:rPr>
        <w:t>Caso</w:t>
      </w:r>
      <w:r w:rsidRPr="000B33B9">
        <w:rPr>
          <w:rFonts w:ascii="Verdana" w:hAnsi="Verdana"/>
          <w:sz w:val="16"/>
          <w:szCs w:val="16"/>
        </w:rPr>
        <w:t xml:space="preserve"> </w:t>
      </w:r>
      <w:r w:rsidRPr="000B33B9">
        <w:rPr>
          <w:rFonts w:ascii="Verdana" w:hAnsi="Verdana"/>
          <w:i/>
          <w:sz w:val="16"/>
          <w:szCs w:val="16"/>
        </w:rPr>
        <w:t xml:space="preserve">Comunidad Indígena Yakye Axa Vs. Paraguay. Fondo, Reparaciones y Costas. </w:t>
      </w:r>
      <w:r w:rsidRPr="000B33B9">
        <w:rPr>
          <w:rFonts w:ascii="Verdana" w:hAnsi="Verdana"/>
          <w:sz w:val="16"/>
          <w:szCs w:val="16"/>
        </w:rPr>
        <w:t>Sentencia de 17 de junio de 2005. Serie C No. 125, párr. 162.</w:t>
      </w:r>
    </w:p>
  </w:footnote>
  <w:footnote w:id="281">
    <w:p w14:paraId="2D0C31B6" w14:textId="39C4AAFF"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lang w:val="es-CR"/>
        </w:rPr>
        <w:tab/>
      </w:r>
      <w:r w:rsidRPr="000B33B9">
        <w:rPr>
          <w:rStyle w:val="Textoennegrita"/>
          <w:rFonts w:ascii="Verdana" w:hAnsi="Verdana"/>
          <w:b w:val="0"/>
          <w:i/>
          <w:color w:val="000000"/>
          <w:sz w:val="16"/>
          <w:szCs w:val="16"/>
          <w:shd w:val="clear" w:color="auto" w:fill="FFFFFF"/>
        </w:rPr>
        <w:t>Cfr. Caso Poblete Vilches y Otros Vs. Chile. Fondo, Reparaciones y Costas.</w:t>
      </w:r>
      <w:r w:rsidRPr="000B33B9">
        <w:rPr>
          <w:rStyle w:val="Textoennegrita"/>
          <w:rFonts w:ascii="Verdana" w:hAnsi="Verdana"/>
          <w:b w:val="0"/>
          <w:color w:val="000000"/>
          <w:sz w:val="16"/>
          <w:szCs w:val="16"/>
          <w:shd w:val="clear" w:color="auto" w:fill="FFFFFF"/>
        </w:rPr>
        <w:t xml:space="preserve"> Sentencia de 8 de marzo de 2018. Serie C No. 349,</w:t>
      </w:r>
      <w:r w:rsidRPr="000B33B9">
        <w:rPr>
          <w:rFonts w:ascii="Verdana" w:hAnsi="Verdana"/>
          <w:sz w:val="16"/>
          <w:szCs w:val="16"/>
          <w:lang w:val="es-CR"/>
        </w:rPr>
        <w:t xml:space="preserve"> párr. 140, y </w:t>
      </w:r>
      <w:r w:rsidRPr="000B33B9">
        <w:rPr>
          <w:rStyle w:val="Textoennegrita"/>
          <w:rFonts w:ascii="Verdana" w:hAnsi="Verdana"/>
          <w:b w:val="0"/>
          <w:i/>
          <w:color w:val="000000"/>
          <w:sz w:val="16"/>
          <w:szCs w:val="16"/>
          <w:shd w:val="clear" w:color="auto" w:fill="FFFFFF"/>
          <w:lang w:val="es-CR"/>
        </w:rPr>
        <w:t>Caso Muelle Flores Vs. Perú. Excepciones Preliminares, Fondo, Reparaciones y Costas</w:t>
      </w:r>
      <w:r w:rsidRPr="000B33B9">
        <w:rPr>
          <w:rStyle w:val="Textoennegrita"/>
          <w:rFonts w:ascii="Verdana" w:hAnsi="Verdana"/>
          <w:b w:val="0"/>
          <w:color w:val="000000"/>
          <w:sz w:val="16"/>
          <w:szCs w:val="16"/>
          <w:shd w:val="clear" w:color="auto" w:fill="FFFFFF"/>
          <w:lang w:val="es-CR"/>
        </w:rPr>
        <w:t>. Sentencia de 6 de marzo de 2019. Serie C No. 375, párr. 163.</w:t>
      </w:r>
    </w:p>
  </w:footnote>
  <w:footnote w:id="282">
    <w:p w14:paraId="2E55B788" w14:textId="674CA998"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lang w:val="es-CR"/>
        </w:rPr>
        <w:tab/>
      </w:r>
      <w:r w:rsidRPr="000B33B9">
        <w:rPr>
          <w:rFonts w:ascii="Verdana" w:hAnsi="Verdana"/>
          <w:sz w:val="16"/>
          <w:szCs w:val="16"/>
        </w:rPr>
        <w:t xml:space="preserve">Pacto Internacional de Derechos Económicos, Sociales y Culturales. </w:t>
      </w:r>
      <w:r w:rsidRPr="000B33B9">
        <w:rPr>
          <w:rFonts w:ascii="Verdana" w:hAnsi="Verdana"/>
          <w:sz w:val="16"/>
          <w:szCs w:val="16"/>
          <w:lang w:val="es-CR"/>
        </w:rPr>
        <w:t xml:space="preserve">Adoptado y abierto a la firma, ratificación y adhesión por la Asamblea General en su resolución 2200 A (XXI), de 16 de diciembre de 1966. </w:t>
      </w:r>
      <w:r w:rsidRPr="000B33B9">
        <w:rPr>
          <w:rFonts w:ascii="Verdana" w:hAnsi="Verdana"/>
          <w:bCs/>
          <w:sz w:val="16"/>
          <w:szCs w:val="16"/>
          <w:lang w:val="es-CR"/>
        </w:rPr>
        <w:t>Entrada en vigor: 3 de enero de 1976. Ratificado por Perú el 28 de abril de 1978, artículo 11.</w:t>
      </w:r>
    </w:p>
  </w:footnote>
  <w:footnote w:id="283">
    <w:p w14:paraId="3985932C" w14:textId="46F8034C"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lang w:val="es-CR"/>
        </w:rPr>
        <w:tab/>
      </w:r>
      <w:r w:rsidRPr="000B33B9">
        <w:rPr>
          <w:rFonts w:ascii="Verdana" w:hAnsi="Verdana"/>
          <w:sz w:val="16"/>
          <w:szCs w:val="16"/>
        </w:rPr>
        <w:t xml:space="preserve">ONU. Asamblea General, </w:t>
      </w:r>
      <w:r w:rsidRPr="000B33B9">
        <w:rPr>
          <w:rFonts w:ascii="Verdana" w:hAnsi="Verdana"/>
          <w:i/>
          <w:sz w:val="16"/>
          <w:szCs w:val="16"/>
        </w:rPr>
        <w:t>Principios de las Naciones Unidas en Favor de las Personas de Edad</w:t>
      </w:r>
      <w:r w:rsidRPr="000B33B9">
        <w:rPr>
          <w:rFonts w:ascii="Verdana" w:hAnsi="Verdana"/>
          <w:sz w:val="16"/>
          <w:szCs w:val="16"/>
        </w:rPr>
        <w:t>. Aprobados mediante Resolución 46/91 de 16 de diciembre de 1991, principio 1.</w:t>
      </w:r>
    </w:p>
  </w:footnote>
  <w:footnote w:id="284">
    <w:p w14:paraId="487E076B" w14:textId="475E002A"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lang w:val="es-CR"/>
        </w:rPr>
        <w:tab/>
      </w:r>
      <w:r w:rsidRPr="000B33B9">
        <w:rPr>
          <w:rFonts w:ascii="Verdana" w:hAnsi="Verdana"/>
          <w:i/>
          <w:sz w:val="16"/>
          <w:szCs w:val="16"/>
        </w:rPr>
        <w:t>Cfr.</w:t>
      </w:r>
      <w:r w:rsidRPr="000B33B9">
        <w:rPr>
          <w:rFonts w:ascii="Verdana" w:hAnsi="Verdana"/>
          <w:sz w:val="16"/>
          <w:szCs w:val="16"/>
        </w:rPr>
        <w:t xml:space="preserve"> Peritaje de Viviana Frida Vals Gen Rivera, rendido ante fedatario público el 31 de agosto de 2018 (expediente de fondo, folios del 948 al 956).</w:t>
      </w:r>
    </w:p>
  </w:footnote>
  <w:footnote w:id="285">
    <w:p w14:paraId="25EF76C7" w14:textId="26A464F1"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lang w:val="es-CR"/>
        </w:rPr>
        <w:tab/>
      </w:r>
      <w:r w:rsidRPr="000B33B9">
        <w:rPr>
          <w:rFonts w:ascii="Verdana" w:hAnsi="Verdana"/>
          <w:i/>
          <w:sz w:val="16"/>
          <w:szCs w:val="16"/>
        </w:rPr>
        <w:t xml:space="preserve">Cfr. </w:t>
      </w:r>
      <w:r w:rsidRPr="000B33B9">
        <w:rPr>
          <w:rFonts w:ascii="Verdana" w:hAnsi="Verdana"/>
          <w:sz w:val="16"/>
          <w:szCs w:val="16"/>
        </w:rPr>
        <w:t>Peritaje de Viviana Frida Vals Gen Rivera, rendido ante fedatario público el 31 de agosto de 2018 (expediente de prueba, folio 948).</w:t>
      </w:r>
    </w:p>
  </w:footnote>
  <w:footnote w:id="286">
    <w:p w14:paraId="6EAC8123" w14:textId="7FDFC080"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rPr>
        <w:t xml:space="preserve">Cfr. </w:t>
      </w:r>
      <w:r w:rsidRPr="000B33B9">
        <w:rPr>
          <w:rFonts w:ascii="Verdana" w:hAnsi="Verdana"/>
          <w:sz w:val="16"/>
          <w:szCs w:val="16"/>
        </w:rPr>
        <w:t>Peritaje de Viviana Frida Vals Gen Rivera, rendido ante fedatario público el 31 de agosto de 2018 (expediente de prueba, folio 954).</w:t>
      </w:r>
    </w:p>
  </w:footnote>
  <w:footnote w:id="287">
    <w:p w14:paraId="6AE31B8A" w14:textId="6758F6CD" w:rsidR="005A5D3C" w:rsidRPr="000B33B9" w:rsidRDefault="005A5D3C" w:rsidP="000B33B9">
      <w:pPr>
        <w:spacing w:after="120" w:line="240" w:lineRule="auto"/>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i/>
          <w:sz w:val="16"/>
          <w:szCs w:val="16"/>
          <w:lang w:val="es-ES"/>
        </w:rPr>
        <w:tab/>
      </w:r>
      <w:r w:rsidRPr="000B33B9">
        <w:rPr>
          <w:rFonts w:ascii="Verdana" w:hAnsi="Verdana"/>
          <w:i/>
          <w:sz w:val="16"/>
          <w:szCs w:val="16"/>
        </w:rPr>
        <w:t>Cfr.</w:t>
      </w:r>
      <w:r w:rsidRPr="000B33B9">
        <w:rPr>
          <w:rFonts w:ascii="Verdana" w:hAnsi="Verdana"/>
          <w:sz w:val="16"/>
          <w:szCs w:val="16"/>
        </w:rPr>
        <w:t xml:space="preserve"> </w:t>
      </w:r>
      <w:r w:rsidRPr="000B33B9">
        <w:rPr>
          <w:rFonts w:ascii="Verdana" w:hAnsi="Verdana"/>
          <w:i/>
          <w:sz w:val="16"/>
          <w:szCs w:val="16"/>
        </w:rPr>
        <w:t xml:space="preserve">Caso Ivcher Bronstein Vs. Perú. Fondo, Reparaciones y Costas. </w:t>
      </w:r>
      <w:r w:rsidRPr="000B33B9">
        <w:rPr>
          <w:rFonts w:ascii="Verdana" w:hAnsi="Verdana"/>
          <w:sz w:val="16"/>
          <w:szCs w:val="16"/>
        </w:rPr>
        <w:t xml:space="preserve">Sentencia de 6 de febrero de 2001. Serie C No. 74, párrs. 120 y 122, y </w:t>
      </w:r>
      <w:r w:rsidRPr="000B33B9">
        <w:rPr>
          <w:rStyle w:val="Textoennegrita"/>
          <w:rFonts w:ascii="Verdana" w:hAnsi="Verdana"/>
          <w:b w:val="0"/>
          <w:i/>
          <w:color w:val="000000"/>
          <w:sz w:val="16"/>
          <w:szCs w:val="16"/>
          <w:shd w:val="clear" w:color="auto" w:fill="FFFFFF"/>
        </w:rPr>
        <w:t>Caso Muelle Flores Vs. Perú. Excepciones Preliminares, Fondo, Reparaciones y Costas</w:t>
      </w:r>
      <w:r w:rsidRPr="000B33B9">
        <w:rPr>
          <w:rStyle w:val="Textoennegrita"/>
          <w:rFonts w:ascii="Verdana" w:hAnsi="Verdana"/>
          <w:b w:val="0"/>
          <w:color w:val="000000"/>
          <w:sz w:val="16"/>
          <w:szCs w:val="16"/>
          <w:shd w:val="clear" w:color="auto" w:fill="FFFFFF"/>
        </w:rPr>
        <w:t>. Sentencia de 6 de marzo de 2019. Serie C No. 375, párr. 212</w:t>
      </w:r>
      <w:r w:rsidRPr="000B33B9">
        <w:rPr>
          <w:rFonts w:ascii="Verdana" w:hAnsi="Verdana"/>
          <w:sz w:val="16"/>
          <w:szCs w:val="16"/>
        </w:rPr>
        <w:t>.</w:t>
      </w:r>
    </w:p>
  </w:footnote>
  <w:footnote w:id="288">
    <w:p w14:paraId="25A478D7" w14:textId="4D58045D"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rPr>
        <w:t>Cfr.</w:t>
      </w:r>
      <w:r w:rsidRPr="000B33B9">
        <w:rPr>
          <w:rFonts w:ascii="Verdana" w:hAnsi="Verdana"/>
          <w:sz w:val="16"/>
          <w:szCs w:val="16"/>
        </w:rPr>
        <w:t xml:space="preserve"> </w:t>
      </w:r>
      <w:r w:rsidRPr="000B33B9">
        <w:rPr>
          <w:rFonts w:ascii="Verdana" w:hAnsi="Verdana"/>
          <w:i/>
          <w:sz w:val="16"/>
          <w:szCs w:val="16"/>
        </w:rPr>
        <w:t xml:space="preserve">Caso Ivcher Bronstein Vs. Perú. Fondo, Reparaciones y Costas. </w:t>
      </w:r>
      <w:r w:rsidRPr="000B33B9">
        <w:rPr>
          <w:rFonts w:ascii="Verdana" w:hAnsi="Verdana"/>
          <w:sz w:val="16"/>
          <w:szCs w:val="16"/>
        </w:rPr>
        <w:t xml:space="preserve">Sentencia de 6 de febrero de 2001. Serie C No. 74, párr. 122, y </w:t>
      </w:r>
      <w:r w:rsidRPr="000B33B9">
        <w:rPr>
          <w:rStyle w:val="Textoennegrita"/>
          <w:rFonts w:ascii="Verdana" w:hAnsi="Verdana"/>
          <w:b w:val="0"/>
          <w:i/>
          <w:color w:val="000000"/>
          <w:sz w:val="16"/>
          <w:szCs w:val="16"/>
          <w:shd w:val="clear" w:color="auto" w:fill="FFFFFF"/>
        </w:rPr>
        <w:t>Caso Muelle Flores Vs. Perú. Excepciones Preliminares, Fondo, Reparaciones y Costas</w:t>
      </w:r>
      <w:r w:rsidRPr="000B33B9">
        <w:rPr>
          <w:rStyle w:val="Textoennegrita"/>
          <w:rFonts w:ascii="Verdana" w:hAnsi="Verdana"/>
          <w:b w:val="0"/>
          <w:color w:val="000000"/>
          <w:sz w:val="16"/>
          <w:szCs w:val="16"/>
          <w:shd w:val="clear" w:color="auto" w:fill="FFFFFF"/>
        </w:rPr>
        <w:t>. Sentencia de 6 de marzo de 2019. Serie C No. 375, párr. 212</w:t>
      </w:r>
      <w:r w:rsidRPr="000B33B9">
        <w:rPr>
          <w:rFonts w:ascii="Verdana" w:hAnsi="Verdana"/>
          <w:sz w:val="16"/>
          <w:szCs w:val="16"/>
        </w:rPr>
        <w:t>.</w:t>
      </w:r>
    </w:p>
  </w:footnote>
  <w:footnote w:id="289">
    <w:p w14:paraId="31BCA5C0" w14:textId="08143AD2"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rPr>
        <w:t>Cfr.</w:t>
      </w:r>
      <w:r w:rsidRPr="000B33B9">
        <w:rPr>
          <w:rFonts w:ascii="Verdana" w:hAnsi="Verdana"/>
          <w:sz w:val="16"/>
          <w:szCs w:val="16"/>
        </w:rPr>
        <w:t xml:space="preserve"> </w:t>
      </w:r>
      <w:r w:rsidRPr="000B33B9">
        <w:rPr>
          <w:rFonts w:ascii="Verdana" w:hAnsi="Verdana"/>
          <w:i/>
          <w:sz w:val="16"/>
          <w:szCs w:val="16"/>
        </w:rPr>
        <w:t xml:space="preserve">Caso Ivcher Bronstein Vs. Perú. Fondo, Reparaciones y Costas. </w:t>
      </w:r>
      <w:r w:rsidRPr="000B33B9">
        <w:rPr>
          <w:rFonts w:ascii="Verdana" w:hAnsi="Verdana"/>
          <w:sz w:val="16"/>
          <w:szCs w:val="16"/>
        </w:rPr>
        <w:t xml:space="preserve">Sentencia de 6 de febrero de 2001. Serie C No. 74, párr. 128, y </w:t>
      </w:r>
      <w:r w:rsidRPr="000B33B9">
        <w:rPr>
          <w:rFonts w:ascii="Verdana" w:hAnsi="Verdana"/>
          <w:i/>
          <w:sz w:val="16"/>
          <w:szCs w:val="16"/>
        </w:rPr>
        <w:t xml:space="preserve">Caso Andrade Salmón Vs. Bolivia. Fondo, Reparaciones y Costas. </w:t>
      </w:r>
      <w:r w:rsidRPr="000B33B9">
        <w:rPr>
          <w:rFonts w:ascii="Verdana" w:hAnsi="Verdana"/>
          <w:sz w:val="16"/>
          <w:szCs w:val="16"/>
        </w:rPr>
        <w:t>Sentencia de 1 de diciembre de 2016. Serie C No. 330, párr. 111.</w:t>
      </w:r>
    </w:p>
  </w:footnote>
  <w:footnote w:id="290">
    <w:p w14:paraId="2D2F81D4" w14:textId="235D40C8"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t>En igual sentido, y a manera de ejemplo, la Corte observa que el artículo 5 del Protocolo Adicional a la Convención Americana en materia de Derechos Económicos, Sociales y Culturales sólo permite a los Estados establecer limitaciones y restricciones al goce y ejercicio de los derechos económicos, sociales y culturales, “mediante leyes promulgadas con el objeto de preservar el bienestar general dentro de una sociedad democrática, en la medida que no contradigan el propósito y razón de los mismos”.</w:t>
      </w:r>
    </w:p>
  </w:footnote>
  <w:footnote w:id="291">
    <w:p w14:paraId="12947C02" w14:textId="4B74BEA4" w:rsidR="005A5D3C" w:rsidRPr="000B33B9" w:rsidRDefault="005A5D3C" w:rsidP="000B33B9">
      <w:pPr>
        <w:pStyle w:val="Textonotapie"/>
        <w:spacing w:after="120"/>
        <w:jc w:val="both"/>
        <w:rPr>
          <w:rFonts w:ascii="Verdana" w:hAnsi="Verdana"/>
          <w:sz w:val="16"/>
          <w:szCs w:val="16"/>
          <w:lang w:val="es-ES"/>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lang w:val="es-CR"/>
        </w:rPr>
        <w:t xml:space="preserve">Cfr. Caso Salvador Chiriboga Vs. Ecuador. Excepción Preliminar y Fondo. </w:t>
      </w:r>
      <w:r w:rsidRPr="000B33B9">
        <w:rPr>
          <w:rFonts w:ascii="Verdana" w:hAnsi="Verdana"/>
          <w:sz w:val="16"/>
          <w:szCs w:val="16"/>
          <w:lang w:val="es-CR"/>
        </w:rPr>
        <w:t xml:space="preserve">Sentencia de 6 de mayo de 2008. Serie C No. 179, párrs. 60 a 63; </w:t>
      </w:r>
      <w:r w:rsidRPr="000B33B9">
        <w:rPr>
          <w:rFonts w:ascii="Verdana" w:hAnsi="Verdana"/>
          <w:i/>
          <w:sz w:val="16"/>
          <w:szCs w:val="16"/>
          <w:lang w:val="es-CR"/>
        </w:rPr>
        <w:t xml:space="preserve">Caso Mémoli Vs. Argentina. Excepciones Preliminares, </w:t>
      </w:r>
      <w:r w:rsidRPr="000B33B9">
        <w:rPr>
          <w:rFonts w:ascii="Verdana" w:hAnsi="Verdana"/>
          <w:i/>
          <w:sz w:val="16"/>
          <w:szCs w:val="16"/>
        </w:rPr>
        <w:t xml:space="preserve">Fondo, Reparaciones y Costas. </w:t>
      </w:r>
      <w:r w:rsidRPr="000B33B9">
        <w:rPr>
          <w:rFonts w:ascii="Verdana" w:hAnsi="Verdana"/>
          <w:sz w:val="16"/>
          <w:szCs w:val="16"/>
        </w:rPr>
        <w:t xml:space="preserve">Sentencia de 22 de agosto de 2013. Serie C No. 265, párr. 170, y </w:t>
      </w:r>
      <w:r w:rsidRPr="000B33B9">
        <w:rPr>
          <w:rFonts w:ascii="Verdana" w:hAnsi="Verdana"/>
          <w:i/>
          <w:sz w:val="16"/>
          <w:szCs w:val="16"/>
        </w:rPr>
        <w:t xml:space="preserve">Caso Andrade Salmón Vs. Bolivia. Fondo, Reparaciones y Costas. </w:t>
      </w:r>
      <w:r w:rsidRPr="000B33B9">
        <w:rPr>
          <w:rFonts w:ascii="Verdana" w:hAnsi="Verdana"/>
          <w:sz w:val="16"/>
          <w:szCs w:val="16"/>
        </w:rPr>
        <w:t>Sentencia de 1 de diciembre de 2016. Serie C No. 330, párr. 111.</w:t>
      </w:r>
    </w:p>
  </w:footnote>
  <w:footnote w:id="292">
    <w:p w14:paraId="656611F8" w14:textId="4B3B16A1"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lang w:val="es-CR"/>
        </w:rPr>
        <w:t xml:space="preserve"> </w:t>
      </w:r>
      <w:r w:rsidRPr="000B33B9">
        <w:rPr>
          <w:rFonts w:ascii="Verdana" w:hAnsi="Verdana"/>
          <w:sz w:val="16"/>
          <w:szCs w:val="16"/>
          <w:lang w:val="es-CR"/>
        </w:rPr>
        <w:tab/>
      </w:r>
      <w:r w:rsidRPr="000B33B9">
        <w:rPr>
          <w:rFonts w:ascii="Verdana" w:hAnsi="Verdana"/>
          <w:i/>
          <w:sz w:val="16"/>
          <w:szCs w:val="16"/>
        </w:rPr>
        <w:t>Cfr. Caso Cinco Pensionistas Vs. Perú. Fondo, Reparaciones y Costas.</w:t>
      </w:r>
      <w:r w:rsidRPr="000B33B9">
        <w:rPr>
          <w:rFonts w:ascii="Verdana" w:hAnsi="Verdana"/>
          <w:sz w:val="16"/>
          <w:szCs w:val="16"/>
        </w:rPr>
        <w:t xml:space="preserve"> Sentencia de 28 de febrero de 2003. Serie C No. 98, párr. 103; </w:t>
      </w:r>
      <w:r w:rsidRPr="000B33B9">
        <w:rPr>
          <w:rFonts w:ascii="Verdana" w:hAnsi="Verdana"/>
          <w:i/>
          <w:sz w:val="16"/>
          <w:szCs w:val="16"/>
        </w:rPr>
        <w:t xml:space="preserve">Caso Acevedo Buendía y otros (“Cesantes y Jubilados de la Contraloría”) Vs. Perú. Excepción Preliminar, Fondo, Reparaciones y Costas. </w:t>
      </w:r>
      <w:r w:rsidRPr="000B33B9">
        <w:rPr>
          <w:rFonts w:ascii="Verdana" w:hAnsi="Verdana"/>
          <w:sz w:val="16"/>
          <w:szCs w:val="16"/>
        </w:rPr>
        <w:t xml:space="preserve">Sentencia de 1 de julio de 2009. Serie C No. 198, párr. 85, y </w:t>
      </w:r>
      <w:r w:rsidRPr="000B33B9">
        <w:rPr>
          <w:rStyle w:val="Textoennegrita"/>
          <w:rFonts w:ascii="Verdana" w:hAnsi="Verdana"/>
          <w:b w:val="0"/>
          <w:i/>
          <w:color w:val="000000"/>
          <w:sz w:val="16"/>
          <w:szCs w:val="16"/>
          <w:shd w:val="clear" w:color="auto" w:fill="FFFFFF"/>
          <w:lang w:val="es-CR"/>
        </w:rPr>
        <w:t>Caso Muelle Flores Vs. Perú. Excepciones Preliminares, Fondo, Reparaciones y Costas</w:t>
      </w:r>
      <w:r w:rsidRPr="000B33B9">
        <w:rPr>
          <w:rStyle w:val="Textoennegrita"/>
          <w:rFonts w:ascii="Verdana" w:hAnsi="Verdana"/>
          <w:b w:val="0"/>
          <w:color w:val="000000"/>
          <w:sz w:val="16"/>
          <w:szCs w:val="16"/>
          <w:shd w:val="clear" w:color="auto" w:fill="FFFFFF"/>
          <w:lang w:val="es-CR"/>
        </w:rPr>
        <w:t>. Sentencia de 6 de marzo de 2019. Serie C No. 375, párr. 217.</w:t>
      </w:r>
    </w:p>
  </w:footnote>
  <w:footnote w:id="293">
    <w:p w14:paraId="17CC4E9B" w14:textId="09179983"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lang w:val="es-CR"/>
        </w:rPr>
        <w:t xml:space="preserve"> </w:t>
      </w:r>
      <w:r w:rsidRPr="000B33B9">
        <w:rPr>
          <w:rFonts w:ascii="Verdana" w:hAnsi="Verdana"/>
          <w:sz w:val="16"/>
          <w:szCs w:val="16"/>
          <w:lang w:val="es-CR"/>
        </w:rPr>
        <w:tab/>
      </w:r>
      <w:r w:rsidRPr="000B33B9">
        <w:rPr>
          <w:rFonts w:ascii="Verdana" w:hAnsi="Verdana"/>
          <w:i/>
          <w:sz w:val="16"/>
          <w:szCs w:val="16"/>
          <w:lang w:val="es-VE"/>
        </w:rPr>
        <w:t>Cfr</w:t>
      </w:r>
      <w:r w:rsidRPr="000B33B9">
        <w:rPr>
          <w:rFonts w:ascii="Verdana" w:hAnsi="Verdana"/>
          <w:sz w:val="16"/>
          <w:szCs w:val="16"/>
          <w:lang w:val="es-VE"/>
        </w:rPr>
        <w:t xml:space="preserve">. Declaración de </w:t>
      </w:r>
      <w:r w:rsidRPr="000B33B9">
        <w:rPr>
          <w:rFonts w:ascii="Verdana" w:hAnsi="Verdana"/>
          <w:sz w:val="16"/>
          <w:szCs w:val="16"/>
          <w:lang w:val="es-CR"/>
        </w:rPr>
        <w:t>Christian Courtis, rendida ante fedatario público el 30 de agosto de 2018 (expediente de prueba, folio 1833).</w:t>
      </w:r>
    </w:p>
  </w:footnote>
  <w:footnote w:id="294">
    <w:p w14:paraId="48314748" w14:textId="4818E5BD" w:rsidR="005A5D3C" w:rsidRPr="000B33B9" w:rsidRDefault="005A5D3C" w:rsidP="000B33B9">
      <w:pPr>
        <w:pStyle w:val="Textonotapie"/>
        <w:spacing w:after="120"/>
        <w:jc w:val="both"/>
        <w:rPr>
          <w:rFonts w:ascii="Verdana" w:hAnsi="Verdana"/>
          <w:i/>
          <w:sz w:val="16"/>
          <w:szCs w:val="16"/>
          <w:lang w:val="es-CR"/>
        </w:rPr>
      </w:pPr>
      <w:r w:rsidRPr="000B33B9">
        <w:rPr>
          <w:rStyle w:val="Refdenotaalpie"/>
          <w:rFonts w:ascii="Verdana" w:eastAsiaTheme="majorEastAsia" w:hAnsi="Verdana"/>
          <w:sz w:val="16"/>
          <w:szCs w:val="16"/>
        </w:rPr>
        <w:footnoteRef/>
      </w:r>
      <w:r w:rsidRPr="000B33B9">
        <w:rPr>
          <w:rFonts w:ascii="Verdana" w:hAnsi="Verdana"/>
          <w:sz w:val="16"/>
          <w:szCs w:val="16"/>
          <w:lang w:val="es-CR"/>
        </w:rPr>
        <w:t xml:space="preserve"> </w:t>
      </w:r>
      <w:r w:rsidRPr="000B33B9">
        <w:rPr>
          <w:rFonts w:ascii="Verdana" w:hAnsi="Verdana"/>
          <w:sz w:val="16"/>
          <w:szCs w:val="16"/>
          <w:lang w:val="es-CR"/>
        </w:rPr>
        <w:tab/>
      </w:r>
      <w:r w:rsidRPr="000B33B9">
        <w:rPr>
          <w:rFonts w:ascii="Verdana" w:hAnsi="Verdana"/>
          <w:i/>
          <w:sz w:val="16"/>
          <w:szCs w:val="16"/>
          <w:lang w:val="es-CR"/>
        </w:rPr>
        <w:t xml:space="preserve">Cfr. Caso Castillo Petruzzi y otros Vs. Perú. Fondo, Reparaciones y Costas. </w:t>
      </w:r>
      <w:r w:rsidRPr="000B33B9">
        <w:rPr>
          <w:rFonts w:ascii="Verdana" w:hAnsi="Verdana"/>
          <w:sz w:val="16"/>
          <w:szCs w:val="16"/>
          <w:lang w:val="es-CR"/>
        </w:rPr>
        <w:t>Sentencia de 30 de mayo de 1999. Serie C No. 52</w:t>
      </w:r>
      <w:r w:rsidRPr="000B33B9">
        <w:rPr>
          <w:rFonts w:ascii="Verdana" w:hAnsi="Verdana"/>
          <w:i/>
          <w:sz w:val="16"/>
          <w:szCs w:val="16"/>
          <w:lang w:val="es-CR"/>
        </w:rPr>
        <w:t xml:space="preserve">, </w:t>
      </w:r>
      <w:r w:rsidRPr="000B33B9">
        <w:rPr>
          <w:rFonts w:ascii="Verdana" w:hAnsi="Verdana"/>
          <w:sz w:val="16"/>
          <w:szCs w:val="16"/>
          <w:lang w:val="es-CR"/>
        </w:rPr>
        <w:t>párr. 207</w:t>
      </w:r>
      <w:r w:rsidRPr="000B33B9">
        <w:rPr>
          <w:rFonts w:ascii="Verdana" w:hAnsi="Verdana"/>
          <w:i/>
          <w:sz w:val="16"/>
          <w:szCs w:val="16"/>
          <w:lang w:val="es-CR"/>
        </w:rPr>
        <w:t xml:space="preserve">, </w:t>
      </w:r>
      <w:r w:rsidRPr="000B33B9">
        <w:rPr>
          <w:rFonts w:ascii="Verdana" w:hAnsi="Verdana"/>
          <w:sz w:val="16"/>
          <w:szCs w:val="16"/>
          <w:lang w:val="es-CR"/>
        </w:rPr>
        <w:t xml:space="preserve">y </w:t>
      </w:r>
      <w:r w:rsidRPr="000B33B9">
        <w:rPr>
          <w:rFonts w:ascii="Verdana" w:hAnsi="Verdana"/>
          <w:i/>
          <w:sz w:val="16"/>
          <w:szCs w:val="16"/>
          <w:lang w:val="es-CR"/>
        </w:rPr>
        <w:t xml:space="preserve">Caso Gorigoitía Vs. Argentina. Excepción Preliminar, Fondo, Reparaciones y Costas. </w:t>
      </w:r>
      <w:r w:rsidRPr="000B33B9">
        <w:rPr>
          <w:rFonts w:ascii="Verdana" w:hAnsi="Verdana"/>
          <w:sz w:val="16"/>
          <w:szCs w:val="16"/>
          <w:lang w:val="es-CR"/>
        </w:rPr>
        <w:t>Sentencia de 2 de septiembre de 2019. Serie C No. 382, párr. 55.</w:t>
      </w:r>
      <w:r w:rsidRPr="000B33B9">
        <w:rPr>
          <w:rFonts w:ascii="Verdana" w:hAnsi="Verdana"/>
          <w:i/>
          <w:sz w:val="16"/>
          <w:szCs w:val="16"/>
          <w:lang w:val="es-CR"/>
        </w:rPr>
        <w:t xml:space="preserve"> </w:t>
      </w:r>
    </w:p>
  </w:footnote>
  <w:footnote w:id="295">
    <w:p w14:paraId="25887C2F" w14:textId="61161953"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lang w:val="es-CR"/>
        </w:rPr>
        <w:tab/>
      </w:r>
      <w:r w:rsidRPr="000B33B9">
        <w:rPr>
          <w:rFonts w:ascii="Verdana" w:hAnsi="Verdana"/>
          <w:i/>
          <w:iCs/>
          <w:sz w:val="16"/>
          <w:szCs w:val="16"/>
        </w:rPr>
        <w:t>Cfr. Caso Almonacid Arellano</w:t>
      </w:r>
      <w:r w:rsidRPr="000B33B9">
        <w:rPr>
          <w:rFonts w:ascii="Verdana" w:hAnsi="Verdana"/>
          <w:sz w:val="16"/>
          <w:szCs w:val="16"/>
        </w:rPr>
        <w:t xml:space="preserve"> </w:t>
      </w:r>
      <w:r w:rsidRPr="000B33B9">
        <w:rPr>
          <w:rFonts w:ascii="Verdana" w:hAnsi="Verdana"/>
          <w:i/>
          <w:iCs/>
          <w:sz w:val="16"/>
          <w:szCs w:val="16"/>
        </w:rPr>
        <w:t>y otros Vs. Chile</w:t>
      </w:r>
      <w:r w:rsidRPr="000B33B9">
        <w:rPr>
          <w:rFonts w:ascii="Verdana" w:hAnsi="Verdana"/>
          <w:sz w:val="16"/>
          <w:szCs w:val="16"/>
        </w:rPr>
        <w:t xml:space="preserve">. </w:t>
      </w:r>
      <w:r w:rsidRPr="000B33B9">
        <w:rPr>
          <w:rFonts w:ascii="Verdana" w:hAnsi="Verdana"/>
          <w:i/>
          <w:iCs/>
          <w:sz w:val="16"/>
          <w:szCs w:val="16"/>
        </w:rPr>
        <w:t>Excepciones Preliminares, Fondo, Reparaciones y costas</w:t>
      </w:r>
      <w:r w:rsidRPr="000B33B9">
        <w:rPr>
          <w:rFonts w:ascii="Verdana" w:hAnsi="Verdana"/>
          <w:sz w:val="16"/>
          <w:szCs w:val="16"/>
        </w:rPr>
        <w:t xml:space="preserve">. Sentencia de 26 de septiembre de 2006. Serie C No. 154, párr. 124, </w:t>
      </w:r>
      <w:r w:rsidRPr="000B33B9">
        <w:rPr>
          <w:rStyle w:val="Textoennegrita"/>
          <w:rFonts w:ascii="Verdana" w:hAnsi="Verdana"/>
          <w:b w:val="0"/>
          <w:color w:val="000000"/>
          <w:sz w:val="16"/>
          <w:szCs w:val="16"/>
          <w:shd w:val="clear" w:color="auto" w:fill="FFFFFF"/>
        </w:rPr>
        <w:t xml:space="preserve">y </w:t>
      </w:r>
      <w:r w:rsidRPr="000B33B9">
        <w:rPr>
          <w:rFonts w:ascii="Verdana" w:hAnsi="Verdana"/>
          <w:i/>
          <w:sz w:val="16"/>
          <w:szCs w:val="16"/>
          <w:lang w:val="es-CR"/>
        </w:rPr>
        <w:t xml:space="preserve">Caso Gorigoitía Vs. Argentina. Excepción Preliminar, Fondo, Reparaciones y Costas. </w:t>
      </w:r>
      <w:r w:rsidRPr="000B33B9">
        <w:rPr>
          <w:rFonts w:ascii="Verdana" w:hAnsi="Verdana"/>
          <w:sz w:val="16"/>
          <w:szCs w:val="16"/>
          <w:lang w:val="es-CR"/>
        </w:rPr>
        <w:t xml:space="preserve">Sentencia de 2 de septiembre de 2019. Serie C No. 382, párr. 55. </w:t>
      </w:r>
    </w:p>
  </w:footnote>
  <w:footnote w:id="296">
    <w:p w14:paraId="0010E78D" w14:textId="72A1E80A"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rPr>
        <w:t xml:space="preserve">Cfr. </w:t>
      </w:r>
      <w:r w:rsidRPr="000B33B9">
        <w:rPr>
          <w:rStyle w:val="Textoennegrita"/>
          <w:rFonts w:ascii="Verdana" w:hAnsi="Verdana"/>
          <w:b w:val="0"/>
          <w:i/>
          <w:color w:val="000000"/>
          <w:sz w:val="16"/>
          <w:szCs w:val="16"/>
          <w:shd w:val="clear" w:color="auto" w:fill="FFFFFF"/>
        </w:rPr>
        <w:t>Caso Radilla Pacheco Vs. México. Excepciones Preliminares, Fondo, Reparaciones y Costas.</w:t>
      </w:r>
      <w:r w:rsidRPr="000B33B9">
        <w:rPr>
          <w:rStyle w:val="Textoennegrita"/>
          <w:rFonts w:ascii="Verdana" w:hAnsi="Verdana"/>
          <w:b w:val="0"/>
          <w:color w:val="000000"/>
          <w:sz w:val="16"/>
          <w:szCs w:val="16"/>
          <w:shd w:val="clear" w:color="auto" w:fill="FFFFFF"/>
        </w:rPr>
        <w:t xml:space="preserve"> Sentencia de 23 de noviembre de 2009. Serie C No. 209, párr. 340, y </w:t>
      </w:r>
      <w:r w:rsidRPr="000B33B9">
        <w:rPr>
          <w:rFonts w:ascii="Verdana" w:hAnsi="Verdana"/>
          <w:i/>
          <w:sz w:val="16"/>
          <w:szCs w:val="16"/>
          <w:lang w:val="es-CR"/>
        </w:rPr>
        <w:t xml:space="preserve">Caso Gorigoitía Vs. Argentina. Excepción Preliminar, Fondo, Reparaciones y Costas. </w:t>
      </w:r>
      <w:r w:rsidRPr="000B33B9">
        <w:rPr>
          <w:rFonts w:ascii="Verdana" w:hAnsi="Verdana"/>
          <w:sz w:val="16"/>
          <w:szCs w:val="16"/>
          <w:lang w:val="es-CR"/>
        </w:rPr>
        <w:t xml:space="preserve">Sentencia de 2 de septiembre de 2019. Serie C No. 382, párr. 55. </w:t>
      </w:r>
    </w:p>
  </w:footnote>
  <w:footnote w:id="297">
    <w:p w14:paraId="238FC2D9" w14:textId="129335F9"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lang w:val="es-CR"/>
        </w:rPr>
        <w:tab/>
      </w:r>
      <w:r w:rsidRPr="000B33B9">
        <w:rPr>
          <w:rFonts w:ascii="Verdana" w:hAnsi="Verdana"/>
          <w:i/>
          <w:sz w:val="16"/>
          <w:szCs w:val="16"/>
          <w:lang w:val="es-CR"/>
        </w:rPr>
        <w:t xml:space="preserve">Cfr. </w:t>
      </w:r>
      <w:r w:rsidRPr="000B33B9">
        <w:rPr>
          <w:rFonts w:ascii="Verdana" w:hAnsi="Verdana"/>
          <w:i/>
          <w:sz w:val="16"/>
          <w:szCs w:val="16"/>
          <w:lang w:val="es-ES"/>
        </w:rPr>
        <w:t>Caso Acevedo Buendía y otros (“Cesantes y Jubilados de la Contraloría”) Vs. Perú. Excepciones Preliminares, Fondo, Reparaciones y Costas</w:t>
      </w:r>
      <w:r w:rsidRPr="000B33B9">
        <w:rPr>
          <w:rFonts w:ascii="Verdana" w:hAnsi="Verdana"/>
          <w:sz w:val="16"/>
          <w:szCs w:val="16"/>
          <w:lang w:val="es-ES"/>
        </w:rPr>
        <w:t>. Sentencia de 1 de julio de 2009. Serie C No. 198</w:t>
      </w:r>
      <w:r w:rsidRPr="000B33B9">
        <w:rPr>
          <w:rFonts w:ascii="Verdana" w:hAnsi="Verdana"/>
          <w:i/>
          <w:sz w:val="16"/>
          <w:szCs w:val="16"/>
          <w:lang w:val="es-CR"/>
        </w:rPr>
        <w:t xml:space="preserve">, </w:t>
      </w:r>
      <w:r w:rsidRPr="000B33B9">
        <w:rPr>
          <w:rFonts w:ascii="Verdana" w:hAnsi="Verdana"/>
          <w:sz w:val="16"/>
          <w:szCs w:val="16"/>
          <w:lang w:val="es-CR"/>
        </w:rPr>
        <w:t xml:space="preserve">párr. 77, y </w:t>
      </w:r>
      <w:r w:rsidRPr="000B33B9">
        <w:rPr>
          <w:rFonts w:ascii="Verdana" w:hAnsi="Verdana"/>
          <w:i/>
          <w:sz w:val="16"/>
          <w:szCs w:val="16"/>
          <w:lang w:val="es-PE"/>
        </w:rPr>
        <w:t xml:space="preserve">Caso </w:t>
      </w:r>
      <w:r w:rsidRPr="000B33B9">
        <w:rPr>
          <w:rFonts w:ascii="Verdana" w:hAnsi="Verdana"/>
          <w:i/>
          <w:sz w:val="16"/>
          <w:szCs w:val="16"/>
          <w:lang w:val="es-DO"/>
        </w:rPr>
        <w:t xml:space="preserve">Muelle Flores Vs. Perú. Excepciones Preliminares, </w:t>
      </w:r>
      <w:r w:rsidRPr="000B33B9">
        <w:rPr>
          <w:rFonts w:ascii="Verdana" w:hAnsi="Verdana"/>
          <w:i/>
          <w:sz w:val="16"/>
          <w:szCs w:val="16"/>
        </w:rPr>
        <w:t xml:space="preserve">Fondo, Reparaciones y Costas. </w:t>
      </w:r>
      <w:r w:rsidRPr="000B33B9">
        <w:rPr>
          <w:rFonts w:ascii="Verdana" w:hAnsi="Verdana"/>
          <w:sz w:val="16"/>
          <w:szCs w:val="16"/>
        </w:rPr>
        <w:t>Sentencia de 6 de marzo de 2019. Serie C No. 375,</w:t>
      </w:r>
      <w:r w:rsidRPr="000B33B9">
        <w:rPr>
          <w:rFonts w:ascii="Verdana" w:hAnsi="Verdana"/>
          <w:i/>
          <w:sz w:val="16"/>
          <w:szCs w:val="16"/>
          <w:lang w:val="es-CR"/>
        </w:rPr>
        <w:t xml:space="preserve"> </w:t>
      </w:r>
      <w:r w:rsidRPr="000B33B9">
        <w:rPr>
          <w:rFonts w:ascii="Verdana" w:hAnsi="Verdana"/>
          <w:sz w:val="16"/>
          <w:szCs w:val="16"/>
          <w:lang w:val="es-CR"/>
        </w:rPr>
        <w:t>párr. 149.</w:t>
      </w:r>
    </w:p>
  </w:footnote>
  <w:footnote w:id="298">
    <w:p w14:paraId="5D32C244" w14:textId="77777777" w:rsidR="005A5D3C" w:rsidRPr="000B33B9" w:rsidRDefault="005A5D3C" w:rsidP="000B33B9">
      <w:pPr>
        <w:pStyle w:val="Textonotapie"/>
        <w:tabs>
          <w:tab w:val="left" w:pos="709"/>
        </w:tabs>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Style w:val="Textoennegrita"/>
          <w:rFonts w:ascii="Verdana" w:hAnsi="Verdana"/>
          <w:b w:val="0"/>
          <w:i/>
          <w:color w:val="000000"/>
          <w:sz w:val="16"/>
          <w:szCs w:val="16"/>
          <w:shd w:val="clear" w:color="auto" w:fill="FFFFFF"/>
        </w:rPr>
        <w:t>Caso J. Vs. Perú. Excepción Preliminar, Fondo, Reparaciones y Costas.</w:t>
      </w:r>
      <w:r w:rsidRPr="000B33B9">
        <w:rPr>
          <w:rStyle w:val="Textoennegrita"/>
          <w:rFonts w:ascii="Verdana" w:hAnsi="Verdana"/>
          <w:b w:val="0"/>
          <w:color w:val="000000"/>
          <w:sz w:val="16"/>
          <w:szCs w:val="16"/>
          <w:shd w:val="clear" w:color="auto" w:fill="FFFFFF"/>
        </w:rPr>
        <w:t xml:space="preserve"> Sentencia de 27 de noviembre de 2013. Serie C No. 275., párr. 53, </w:t>
      </w:r>
      <w:r w:rsidRPr="000B33B9">
        <w:rPr>
          <w:rFonts w:ascii="Verdana" w:hAnsi="Verdana"/>
          <w:sz w:val="16"/>
          <w:szCs w:val="16"/>
        </w:rPr>
        <w:t xml:space="preserve">y </w:t>
      </w:r>
      <w:r w:rsidRPr="000B33B9">
        <w:rPr>
          <w:rFonts w:ascii="Verdana" w:eastAsia="Calibri" w:hAnsi="Verdana"/>
          <w:bCs/>
          <w:i/>
          <w:color w:val="000000"/>
          <w:sz w:val="16"/>
          <w:szCs w:val="16"/>
          <w:shd w:val="clear" w:color="auto" w:fill="FFFFFF"/>
          <w:lang w:val="es-CR" w:eastAsia="es-CR"/>
        </w:rPr>
        <w:t>Caso Yarce y otras Vs. Colombia. Excepción Preliminar, Fondo, Reparaciones y Costas.</w:t>
      </w:r>
      <w:r w:rsidRPr="000B33B9">
        <w:rPr>
          <w:rFonts w:ascii="Verdana" w:eastAsia="Calibri" w:hAnsi="Verdana"/>
          <w:bCs/>
          <w:color w:val="000000"/>
          <w:sz w:val="16"/>
          <w:szCs w:val="16"/>
          <w:shd w:val="clear" w:color="auto" w:fill="FFFFFF"/>
          <w:lang w:val="es-CR" w:eastAsia="es-CR"/>
        </w:rPr>
        <w:t xml:space="preserve"> Sentencia de 22 de noviembre de 2016. Serie C No. 325, párr. 75.</w:t>
      </w:r>
    </w:p>
  </w:footnote>
  <w:footnote w:id="299">
    <w:p w14:paraId="2144DCC7" w14:textId="659E9089"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lang w:val="es-CR"/>
        </w:rPr>
        <w:footnoteRef/>
      </w:r>
      <w:r w:rsidRPr="000B33B9">
        <w:rPr>
          <w:rFonts w:ascii="Verdana" w:hAnsi="Verdana"/>
          <w:sz w:val="16"/>
          <w:szCs w:val="16"/>
          <w:lang w:val="es-CR"/>
        </w:rPr>
        <w:t xml:space="preserve"> </w:t>
      </w:r>
      <w:r w:rsidRPr="000B33B9">
        <w:rPr>
          <w:rFonts w:ascii="Verdana" w:hAnsi="Verdana"/>
          <w:sz w:val="16"/>
          <w:szCs w:val="16"/>
          <w:lang w:val="es-CR"/>
        </w:rPr>
        <w:tab/>
      </w:r>
      <w:r w:rsidRPr="000B33B9">
        <w:rPr>
          <w:rFonts w:ascii="Verdana" w:hAnsi="Verdana"/>
          <w:i/>
          <w:sz w:val="16"/>
          <w:szCs w:val="16"/>
          <w:lang w:val="es-CR"/>
        </w:rPr>
        <w:t>Cfr</w:t>
      </w:r>
      <w:r w:rsidRPr="000B33B9">
        <w:rPr>
          <w:rFonts w:ascii="Verdana" w:hAnsi="Verdana"/>
          <w:sz w:val="16"/>
          <w:szCs w:val="16"/>
          <w:lang w:val="es-CR"/>
        </w:rPr>
        <w:t xml:space="preserve">. Responsabilidad internacional por expedición y aplicación de leyes violatorias de la Convención (Arts. 1 y 2 Convención Americana sobre Derechos Humanos). </w:t>
      </w:r>
      <w:r w:rsidRPr="000B33B9">
        <w:rPr>
          <w:rFonts w:ascii="Verdana" w:hAnsi="Verdana"/>
          <w:i/>
          <w:sz w:val="16"/>
          <w:szCs w:val="16"/>
          <w:lang w:val="es-CR"/>
        </w:rPr>
        <w:t>Opinión Consultiva OC-14/94</w:t>
      </w:r>
      <w:r w:rsidRPr="000B33B9">
        <w:rPr>
          <w:rFonts w:ascii="Verdana" w:hAnsi="Verdana"/>
          <w:sz w:val="16"/>
          <w:szCs w:val="16"/>
          <w:lang w:val="es-CR"/>
        </w:rPr>
        <w:t xml:space="preserve"> de 9 de diciembre de 1994. Serie A No. 14, párr. 48</w:t>
      </w:r>
      <w:r w:rsidRPr="000B33B9">
        <w:rPr>
          <w:rFonts w:ascii="Verdana" w:hAnsi="Verdana"/>
          <w:sz w:val="16"/>
          <w:szCs w:val="16"/>
        </w:rPr>
        <w:t xml:space="preserve">, y </w:t>
      </w:r>
      <w:r w:rsidRPr="000B33B9">
        <w:rPr>
          <w:rFonts w:ascii="Verdana" w:hAnsi="Verdana"/>
          <w:i/>
          <w:sz w:val="16"/>
          <w:szCs w:val="16"/>
        </w:rPr>
        <w:t xml:space="preserve">Caso Pueblo Indígena Xucuru y sus Miembros Vs. Brasil. Excepciones Preliminares, Fondo, Reparaciones y Costas. </w:t>
      </w:r>
      <w:r w:rsidRPr="000B33B9">
        <w:rPr>
          <w:rFonts w:ascii="Verdana" w:hAnsi="Verdana"/>
          <w:sz w:val="16"/>
          <w:szCs w:val="16"/>
        </w:rPr>
        <w:t>Sentencia de 5 de febrero de 2018. Serie C No. 346, párr. 165.</w:t>
      </w:r>
    </w:p>
  </w:footnote>
  <w:footnote w:id="300">
    <w:p w14:paraId="1B0F4C64" w14:textId="231AE0C9"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ab/>
      </w:r>
      <w:r w:rsidRPr="000B33B9">
        <w:rPr>
          <w:rFonts w:ascii="Verdana" w:hAnsi="Verdana"/>
          <w:i/>
          <w:sz w:val="16"/>
          <w:szCs w:val="16"/>
        </w:rPr>
        <w:t>Cfr. Caso Velásquez Rodríguez Vs. Honduras. Reparaciones y Costas</w:t>
      </w:r>
      <w:r w:rsidRPr="000B33B9">
        <w:rPr>
          <w:rFonts w:ascii="Verdana" w:hAnsi="Verdana"/>
          <w:sz w:val="16"/>
          <w:szCs w:val="16"/>
        </w:rPr>
        <w:t>. Sentencia de 21 de julio de 1989. Serie C No. 7, párr. 26, y</w:t>
      </w:r>
      <w:r w:rsidRPr="000B33B9">
        <w:rPr>
          <w:rFonts w:ascii="Verdana" w:hAnsi="Verdana"/>
          <w:i/>
          <w:sz w:val="16"/>
          <w:szCs w:val="16"/>
        </w:rPr>
        <w:t xml:space="preserve"> Caso Romero Feris Vs. Argentina. Fondo, Reparaciones y Costas. </w:t>
      </w:r>
      <w:r w:rsidRPr="000B33B9">
        <w:rPr>
          <w:rFonts w:ascii="Verdana" w:hAnsi="Verdana"/>
          <w:sz w:val="16"/>
          <w:szCs w:val="16"/>
        </w:rPr>
        <w:t>Sentencia de 15 de octubre de 2019. Serie C No. 391, párr. 176.</w:t>
      </w:r>
    </w:p>
  </w:footnote>
  <w:footnote w:id="301">
    <w:p w14:paraId="34F25FA9" w14:textId="2EA122C4"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rPr>
        <w:t>Cfr. Caso Velásquez Rodríguez Vs. Honduras. Reparaciones y Costas</w:t>
      </w:r>
      <w:r w:rsidRPr="000B33B9">
        <w:rPr>
          <w:rFonts w:ascii="Verdana" w:hAnsi="Verdana"/>
          <w:sz w:val="16"/>
          <w:szCs w:val="16"/>
        </w:rPr>
        <w:t>. Sentencia de 21 de julio de 1989. Serie C No. 7, párr. 26, y</w:t>
      </w:r>
      <w:r w:rsidRPr="000B33B9">
        <w:rPr>
          <w:rFonts w:ascii="Verdana" w:hAnsi="Verdana"/>
          <w:i/>
          <w:sz w:val="16"/>
          <w:szCs w:val="16"/>
        </w:rPr>
        <w:t xml:space="preserve"> Caso Romero Feris Vs. Argentina. Fondo, Reparaciones y Costas. </w:t>
      </w:r>
      <w:r w:rsidRPr="000B33B9">
        <w:rPr>
          <w:rFonts w:ascii="Verdana" w:hAnsi="Verdana"/>
          <w:sz w:val="16"/>
          <w:szCs w:val="16"/>
        </w:rPr>
        <w:t>Sentencia de 15 de octubre de 2019. Serie C No. 391, párr. 177.</w:t>
      </w:r>
    </w:p>
  </w:footnote>
  <w:footnote w:id="302">
    <w:p w14:paraId="514CAD3C" w14:textId="0A333B97"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lang w:val="es-CR"/>
        </w:rPr>
        <w:t>C</w:t>
      </w:r>
      <w:r w:rsidRPr="000B33B9">
        <w:rPr>
          <w:rFonts w:ascii="Verdana" w:hAnsi="Verdana"/>
          <w:i/>
          <w:sz w:val="16"/>
          <w:szCs w:val="16"/>
        </w:rPr>
        <w:t>fr. Caso Velásquez Rodríguez Vs. Honduras. Reparaciones y Costas</w:t>
      </w:r>
      <w:r w:rsidRPr="000B33B9">
        <w:rPr>
          <w:rFonts w:ascii="Verdana" w:hAnsi="Verdana"/>
          <w:sz w:val="16"/>
          <w:szCs w:val="16"/>
        </w:rPr>
        <w:t>. Sentencia de 21 de julio de 1989. Serie C No. 7, párr. 26, y</w:t>
      </w:r>
      <w:r w:rsidRPr="000B33B9">
        <w:rPr>
          <w:rFonts w:ascii="Verdana" w:hAnsi="Verdana"/>
          <w:i/>
          <w:sz w:val="16"/>
          <w:szCs w:val="16"/>
        </w:rPr>
        <w:t xml:space="preserve"> Caso Romero Feris Vs. Argentina. Fondo, Reparaciones y Costas. </w:t>
      </w:r>
      <w:r w:rsidRPr="000B33B9">
        <w:rPr>
          <w:rFonts w:ascii="Verdana" w:hAnsi="Verdana"/>
          <w:sz w:val="16"/>
          <w:szCs w:val="16"/>
        </w:rPr>
        <w:t>Sentencia de 15 de octubre de 2019. Serie C No. 391, párr. 177.</w:t>
      </w:r>
    </w:p>
  </w:footnote>
  <w:footnote w:id="303">
    <w:p w14:paraId="059EC4A5" w14:textId="44EE41E0"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rPr>
        <w:t>Cfr. Caso de la Masacre de Las Dos Erres Vs. Guatemala. Excepción Preliminar, Fondo, Reparaciones y Costas</w:t>
      </w:r>
      <w:r w:rsidRPr="000B33B9">
        <w:rPr>
          <w:rFonts w:ascii="Verdana" w:hAnsi="Verdana"/>
          <w:sz w:val="16"/>
          <w:szCs w:val="16"/>
        </w:rPr>
        <w:t xml:space="preserve">. Sentencia de 24 de noviembre de 2009. Serie C No. 211, párr. 226, y </w:t>
      </w:r>
      <w:r w:rsidRPr="000B33B9">
        <w:rPr>
          <w:rFonts w:ascii="Verdana" w:hAnsi="Verdana"/>
          <w:i/>
          <w:sz w:val="16"/>
          <w:szCs w:val="16"/>
        </w:rPr>
        <w:t xml:space="preserve">Caso Romero Feris Vs. Argentina. Fondo, Reparaciones y Costas. </w:t>
      </w:r>
      <w:r w:rsidRPr="000B33B9">
        <w:rPr>
          <w:rFonts w:ascii="Verdana" w:hAnsi="Verdana"/>
          <w:sz w:val="16"/>
          <w:szCs w:val="16"/>
        </w:rPr>
        <w:t xml:space="preserve">Sentencia de 15 de octubre de 2019. Serie C No. 391, párr. 177. </w:t>
      </w:r>
    </w:p>
  </w:footnote>
  <w:footnote w:id="304">
    <w:p w14:paraId="36EAAC5C" w14:textId="0DCC581D"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ab/>
      </w:r>
      <w:r w:rsidRPr="000B33B9">
        <w:rPr>
          <w:rFonts w:ascii="Verdana" w:hAnsi="Verdana"/>
          <w:i/>
          <w:sz w:val="16"/>
          <w:szCs w:val="16"/>
        </w:rPr>
        <w:t>Cfr. Caso Ticona Estrada y otros Vs. Bolivia. Fondo, Reparaciones y Costas</w:t>
      </w:r>
      <w:r w:rsidRPr="000B33B9">
        <w:rPr>
          <w:rFonts w:ascii="Verdana" w:hAnsi="Verdana"/>
          <w:sz w:val="16"/>
          <w:szCs w:val="16"/>
        </w:rPr>
        <w:t xml:space="preserve">. Sentencia de 27 de noviembre de 2008. Serie C No. 191, párr. 110, y </w:t>
      </w:r>
      <w:r w:rsidRPr="000B33B9">
        <w:rPr>
          <w:rFonts w:ascii="Verdana" w:hAnsi="Verdana"/>
          <w:i/>
          <w:sz w:val="16"/>
          <w:szCs w:val="16"/>
        </w:rPr>
        <w:t xml:space="preserve">Caso Romero Feris Vs. Argentina. Fondo, Reparaciones y Costas. </w:t>
      </w:r>
      <w:r w:rsidRPr="000B33B9">
        <w:rPr>
          <w:rFonts w:ascii="Verdana" w:hAnsi="Verdana"/>
          <w:sz w:val="16"/>
          <w:szCs w:val="16"/>
        </w:rPr>
        <w:t>Sentencia de 15 de octubre de 2019. Serie C No. 391, párr. 178.</w:t>
      </w:r>
    </w:p>
  </w:footnote>
  <w:footnote w:id="305">
    <w:p w14:paraId="63E304A9" w14:textId="467C7BC4"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lang w:val="es-DO"/>
        </w:rPr>
        <w:t xml:space="preserve"> </w:t>
      </w:r>
      <w:r w:rsidRPr="000B33B9">
        <w:rPr>
          <w:rFonts w:ascii="Verdana" w:hAnsi="Verdana"/>
          <w:sz w:val="16"/>
          <w:szCs w:val="16"/>
          <w:lang w:val="es-DO"/>
        </w:rPr>
        <w:tab/>
      </w:r>
      <w:r w:rsidRPr="000B33B9">
        <w:rPr>
          <w:rFonts w:ascii="Verdana" w:hAnsi="Verdana"/>
          <w:i/>
          <w:sz w:val="16"/>
          <w:szCs w:val="16"/>
          <w:lang w:val="es-DO"/>
        </w:rPr>
        <w:t xml:space="preserve">Cfr. Caso Andrade Salmón Vs. </w:t>
      </w:r>
      <w:r w:rsidRPr="000B33B9">
        <w:rPr>
          <w:rFonts w:ascii="Verdana" w:hAnsi="Verdana"/>
          <w:i/>
          <w:sz w:val="16"/>
          <w:szCs w:val="16"/>
        </w:rPr>
        <w:t>Bolivia. Fondo, Reparaciones y Costas</w:t>
      </w:r>
      <w:r w:rsidRPr="000B33B9">
        <w:rPr>
          <w:rFonts w:ascii="Verdana" w:hAnsi="Verdana"/>
          <w:sz w:val="16"/>
          <w:szCs w:val="16"/>
        </w:rPr>
        <w:t xml:space="preserve">. Sentencia de 1 de diciembre de 2016. Serie C No. 330, párr. 189, y </w:t>
      </w:r>
      <w:r w:rsidRPr="000B33B9">
        <w:rPr>
          <w:rFonts w:ascii="Verdana" w:hAnsi="Verdana"/>
          <w:i/>
          <w:sz w:val="16"/>
          <w:szCs w:val="16"/>
        </w:rPr>
        <w:t xml:space="preserve">Caso Romero Feris Vs. Argentina. Fondo, Reparaciones y Costas. </w:t>
      </w:r>
      <w:r w:rsidRPr="000B33B9">
        <w:rPr>
          <w:rFonts w:ascii="Verdana" w:hAnsi="Verdana"/>
          <w:sz w:val="16"/>
          <w:szCs w:val="16"/>
        </w:rPr>
        <w:t>Sentencia de 15 de octubre de 2019. Serie C No. 391, párr. 179.</w:t>
      </w:r>
    </w:p>
  </w:footnote>
  <w:footnote w:id="306">
    <w:p w14:paraId="1736ACED" w14:textId="0654069A"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sz w:val="16"/>
          <w:szCs w:val="16"/>
        </w:rPr>
        <w:tab/>
      </w:r>
      <w:r w:rsidRPr="000B33B9">
        <w:rPr>
          <w:rFonts w:ascii="Verdana" w:hAnsi="Verdana"/>
          <w:i/>
          <w:sz w:val="16"/>
          <w:szCs w:val="16"/>
        </w:rPr>
        <w:t>Cfr. Caso Neira Alegría y otros Vs. Perú. Reparaciones y Costas</w:t>
      </w:r>
      <w:r w:rsidRPr="000B33B9">
        <w:rPr>
          <w:rFonts w:ascii="Verdana" w:hAnsi="Verdana"/>
          <w:sz w:val="16"/>
          <w:szCs w:val="16"/>
        </w:rPr>
        <w:t xml:space="preserve">. Sentencia de 19 de septiembre de 1996. Serie C No. 29, párr. 56, y </w:t>
      </w:r>
      <w:r w:rsidRPr="000B33B9">
        <w:rPr>
          <w:rFonts w:ascii="Verdana" w:hAnsi="Verdana"/>
          <w:i/>
          <w:sz w:val="16"/>
          <w:szCs w:val="16"/>
        </w:rPr>
        <w:t xml:space="preserve">Caso Romero Feris Vs. Argentina. Fondo, Reparaciones y Costas. </w:t>
      </w:r>
      <w:r w:rsidRPr="000B33B9">
        <w:rPr>
          <w:rFonts w:ascii="Verdana" w:hAnsi="Verdana"/>
          <w:sz w:val="16"/>
          <w:szCs w:val="16"/>
        </w:rPr>
        <w:t>Sentencia de 15 de octubre de 2019. Serie C No. 391, párr. 180.</w:t>
      </w:r>
    </w:p>
  </w:footnote>
  <w:footnote w:id="307">
    <w:p w14:paraId="2794B84C" w14:textId="4A50CC98" w:rsidR="005A5D3C" w:rsidRPr="000B33B9" w:rsidRDefault="005A5D3C" w:rsidP="000B33B9">
      <w:pPr>
        <w:spacing w:after="120" w:line="240" w:lineRule="auto"/>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lang w:val="es-ES"/>
        </w:rPr>
        <w:tab/>
      </w:r>
      <w:r w:rsidRPr="000B33B9">
        <w:rPr>
          <w:rFonts w:ascii="Verdana" w:hAnsi="Verdana"/>
          <w:i/>
          <w:sz w:val="16"/>
          <w:szCs w:val="16"/>
        </w:rPr>
        <w:t>Cfr. Inter alia</w:t>
      </w:r>
      <w:r w:rsidRPr="000B33B9">
        <w:rPr>
          <w:rFonts w:ascii="Verdana" w:hAnsi="Verdana"/>
          <w:sz w:val="16"/>
          <w:szCs w:val="16"/>
        </w:rPr>
        <w:t xml:space="preserve">, </w:t>
      </w:r>
      <w:r w:rsidRPr="000B33B9">
        <w:rPr>
          <w:rFonts w:ascii="Verdana" w:hAnsi="Verdana"/>
          <w:i/>
          <w:sz w:val="16"/>
          <w:szCs w:val="16"/>
        </w:rPr>
        <w:t>Caso Cantoral Benavides Vs. Perú. Reparaciones y Costas</w:t>
      </w:r>
      <w:r w:rsidRPr="000B33B9">
        <w:rPr>
          <w:rFonts w:ascii="Verdana" w:hAnsi="Verdana"/>
          <w:sz w:val="16"/>
          <w:szCs w:val="16"/>
        </w:rPr>
        <w:t xml:space="preserve">. </w:t>
      </w:r>
      <w:r w:rsidRPr="005A5D3C">
        <w:rPr>
          <w:rFonts w:ascii="Verdana" w:hAnsi="Verdana"/>
          <w:sz w:val="16"/>
          <w:szCs w:val="16"/>
          <w:lang w:val="pt-BR"/>
        </w:rPr>
        <w:t xml:space="preserve">Sentencia de 3 de diciembre de 2001. </w:t>
      </w:r>
      <w:r w:rsidRPr="000B33B9">
        <w:rPr>
          <w:rFonts w:ascii="Verdana" w:hAnsi="Verdana"/>
          <w:sz w:val="16"/>
          <w:szCs w:val="16"/>
          <w:lang w:val="pt-BR"/>
        </w:rPr>
        <w:t xml:space="preserve">Serie C No. 88, párr. 79; </w:t>
      </w:r>
      <w:r w:rsidRPr="000B33B9">
        <w:rPr>
          <w:rFonts w:ascii="Verdana" w:hAnsi="Verdana"/>
          <w:i/>
          <w:sz w:val="16"/>
          <w:szCs w:val="16"/>
          <w:lang w:val="pt-BR"/>
        </w:rPr>
        <w:t xml:space="preserve">Caso Favela Nova Brasília Vs. Brasil. </w:t>
      </w:r>
      <w:r w:rsidRPr="000B33B9">
        <w:rPr>
          <w:rFonts w:ascii="Verdana" w:hAnsi="Verdana"/>
          <w:i/>
          <w:sz w:val="16"/>
          <w:szCs w:val="16"/>
        </w:rPr>
        <w:t>Excepciones Preliminares, Fondo, Reparaciones y Costas</w:t>
      </w:r>
      <w:r w:rsidRPr="000B33B9">
        <w:rPr>
          <w:rFonts w:ascii="Verdana" w:hAnsi="Verdana"/>
          <w:sz w:val="16"/>
          <w:szCs w:val="16"/>
        </w:rPr>
        <w:t xml:space="preserve">. Sentencia de 16 de febrero de 2017. Serie C No. 333, párr. 300; </w:t>
      </w:r>
      <w:r w:rsidRPr="000B33B9">
        <w:rPr>
          <w:rFonts w:ascii="Verdana" w:hAnsi="Verdana"/>
          <w:i/>
          <w:sz w:val="16"/>
          <w:szCs w:val="16"/>
        </w:rPr>
        <w:t>Caso López Soto y otros Vs. Venezuela. Fondo, Reparaciones y Costas</w:t>
      </w:r>
      <w:r w:rsidRPr="000B33B9">
        <w:rPr>
          <w:rFonts w:ascii="Verdana" w:hAnsi="Verdana"/>
          <w:sz w:val="16"/>
          <w:szCs w:val="16"/>
        </w:rPr>
        <w:t xml:space="preserve">. Sentencia de 26 de septiembre de 2018. Serie C No. 362, párr. 299, y </w:t>
      </w:r>
      <w:r w:rsidRPr="000B33B9">
        <w:rPr>
          <w:rFonts w:ascii="Verdana" w:hAnsi="Verdana"/>
          <w:i/>
          <w:sz w:val="16"/>
          <w:szCs w:val="16"/>
        </w:rPr>
        <w:t xml:space="preserve">Caso Romero Feris Vs. Argentina. Fondo, Reparaciones y Costas. </w:t>
      </w:r>
      <w:r w:rsidRPr="000B33B9">
        <w:rPr>
          <w:rFonts w:ascii="Verdana" w:hAnsi="Verdana"/>
          <w:sz w:val="16"/>
          <w:szCs w:val="16"/>
        </w:rPr>
        <w:t>Sentencia de 15 de octubre de 2019. Serie C No. 391, párr. 185.</w:t>
      </w:r>
    </w:p>
  </w:footnote>
  <w:footnote w:id="308">
    <w:p w14:paraId="0F6EF7EE" w14:textId="402139B6" w:rsidR="005A5D3C" w:rsidRPr="000B33B9" w:rsidRDefault="005A5D3C" w:rsidP="000B33B9">
      <w:pPr>
        <w:pStyle w:val="Textonotapie"/>
        <w:spacing w:after="120"/>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rPr>
        <w:t>Cfr. Caso Radilla Pacheco Vs. México. Excepciones Preliminares, Fondo, Reparaciones y Costas.</w:t>
      </w:r>
      <w:r w:rsidRPr="000B33B9">
        <w:rPr>
          <w:rFonts w:ascii="Verdana" w:hAnsi="Verdana"/>
          <w:sz w:val="16"/>
          <w:szCs w:val="16"/>
        </w:rPr>
        <w:t xml:space="preserve"> Sentencia de 23 de noviembre de 2009. Serie C No. 209, párr. 353</w:t>
      </w:r>
      <w:r w:rsidRPr="000B33B9">
        <w:rPr>
          <w:rFonts w:ascii="Verdana" w:hAnsi="Verdana"/>
          <w:i/>
          <w:sz w:val="16"/>
          <w:szCs w:val="16"/>
        </w:rPr>
        <w:t xml:space="preserve">, y Caso Mujeres Víctimas de Tortura Sexual en Atenco Vs. México. Excepción Preliminar, Fondo, Reparaciones y Costas. </w:t>
      </w:r>
      <w:r w:rsidRPr="000B33B9">
        <w:rPr>
          <w:rFonts w:ascii="Verdana" w:hAnsi="Verdana"/>
          <w:sz w:val="16"/>
          <w:szCs w:val="16"/>
        </w:rPr>
        <w:t xml:space="preserve">Sentencia de 28 de noviembre de 2018. Serie C No. 371, párrs. 347 y 348. </w:t>
      </w:r>
    </w:p>
  </w:footnote>
  <w:footnote w:id="309">
    <w:p w14:paraId="2F2A2168" w14:textId="77777777" w:rsidR="005A5D3C" w:rsidRPr="000B33B9" w:rsidRDefault="005A5D3C" w:rsidP="000B33B9">
      <w:pPr>
        <w:spacing w:after="120" w:line="240" w:lineRule="auto"/>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lang w:val="es-ES"/>
        </w:rPr>
        <w:tab/>
      </w:r>
      <w:r w:rsidRPr="000B33B9">
        <w:rPr>
          <w:rFonts w:ascii="Verdana" w:hAnsi="Verdana"/>
          <w:i/>
          <w:sz w:val="16"/>
          <w:szCs w:val="16"/>
        </w:rPr>
        <w:t>Cfr. Caso de los “Niños de la Calle” (Villagrán Morales y otros) Vs. Guatemala. Reparaciones y Costas.</w:t>
      </w:r>
      <w:r w:rsidRPr="000B33B9">
        <w:rPr>
          <w:rFonts w:ascii="Verdana" w:hAnsi="Verdana"/>
          <w:sz w:val="16"/>
          <w:szCs w:val="16"/>
        </w:rPr>
        <w:t xml:space="preserve"> Sentencia de 26 de mayo de 2001. Serie C No. 77, párr. 84, y </w:t>
      </w:r>
      <w:r w:rsidRPr="000B33B9">
        <w:rPr>
          <w:rFonts w:ascii="Verdana" w:hAnsi="Verdana"/>
          <w:i/>
          <w:sz w:val="16"/>
          <w:szCs w:val="16"/>
        </w:rPr>
        <w:t>Caso Martínez Coronado Vs. Guatemala. Fondo, Reparaciones y Costas.</w:t>
      </w:r>
      <w:r w:rsidRPr="000B33B9">
        <w:rPr>
          <w:rFonts w:ascii="Verdana" w:hAnsi="Verdana"/>
          <w:sz w:val="16"/>
          <w:szCs w:val="16"/>
        </w:rPr>
        <w:t xml:space="preserve"> Sentencia de 10 de mayo de 2019. Serie C No. 376, párr.114.</w:t>
      </w:r>
    </w:p>
  </w:footnote>
  <w:footnote w:id="310">
    <w:p w14:paraId="7E50523E" w14:textId="731F93E1" w:rsidR="005A5D3C" w:rsidRPr="000B33B9" w:rsidRDefault="005A5D3C" w:rsidP="000B33B9">
      <w:pPr>
        <w:pStyle w:val="Textonotapie"/>
        <w:spacing w:after="120"/>
        <w:jc w:val="both"/>
        <w:rPr>
          <w:rFonts w:ascii="Verdana" w:hAnsi="Verdana"/>
          <w:sz w:val="16"/>
          <w:szCs w:val="16"/>
          <w:lang w:val="es-ES"/>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lang w:val="es-ES"/>
        </w:rPr>
        <w:t>Cfr. Caso Acevedo Buendía y otros (“Cesantes y Jubilados de la Contraloría”) Vs. Perú. Excepciones Preliminares, Fondo, Reparaciones y Costas</w:t>
      </w:r>
      <w:r w:rsidRPr="000B33B9">
        <w:rPr>
          <w:rFonts w:ascii="Verdana" w:hAnsi="Verdana"/>
          <w:sz w:val="16"/>
          <w:szCs w:val="16"/>
          <w:lang w:val="es-ES"/>
        </w:rPr>
        <w:t xml:space="preserve">. Sentencia de 1 de julio de 2009. Serie C No. 198, párr. 133, y </w:t>
      </w:r>
      <w:r w:rsidRPr="000B33B9">
        <w:rPr>
          <w:rStyle w:val="Textoennegrita"/>
          <w:rFonts w:ascii="Verdana" w:hAnsi="Verdana"/>
          <w:b w:val="0"/>
          <w:i/>
          <w:color w:val="000000"/>
          <w:sz w:val="16"/>
          <w:szCs w:val="16"/>
          <w:shd w:val="clear" w:color="auto" w:fill="FFFFFF"/>
          <w:lang w:val="es-CR"/>
        </w:rPr>
        <w:t>Caso Muelle Flores Vs. Perú. Excepciones Preliminares, Fondo, Reparaciones y Costas</w:t>
      </w:r>
      <w:r w:rsidRPr="000B33B9">
        <w:rPr>
          <w:rStyle w:val="Textoennegrita"/>
          <w:rFonts w:ascii="Verdana" w:hAnsi="Verdana"/>
          <w:b w:val="0"/>
          <w:color w:val="000000"/>
          <w:sz w:val="16"/>
          <w:szCs w:val="16"/>
          <w:shd w:val="clear" w:color="auto" w:fill="FFFFFF"/>
          <w:lang w:val="es-CR"/>
        </w:rPr>
        <w:t>. Sentencia de 6 de marzo de 2019. Serie C No. 375, párrs. 266 y 267.</w:t>
      </w:r>
    </w:p>
  </w:footnote>
  <w:footnote w:id="311">
    <w:p w14:paraId="530857B5" w14:textId="551B17F4" w:rsidR="005A5D3C" w:rsidRPr="000B33B9" w:rsidRDefault="005A5D3C" w:rsidP="000B33B9">
      <w:pPr>
        <w:spacing w:after="120" w:line="240" w:lineRule="auto"/>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rPr>
        <w:t>Cfr. Caso Garrido y Baigorria Vs. Argentina. Reparaciones y Costas</w:t>
      </w:r>
      <w:r w:rsidRPr="000B33B9">
        <w:rPr>
          <w:rFonts w:ascii="Verdana" w:hAnsi="Verdana"/>
          <w:sz w:val="16"/>
          <w:szCs w:val="16"/>
        </w:rPr>
        <w:t xml:space="preserve">. Sentencia de 27 de agosto de 1998. Serie C No. 39, párr. 79, </w:t>
      </w:r>
      <w:r w:rsidRPr="000B33B9">
        <w:rPr>
          <w:rFonts w:ascii="Verdana" w:hAnsi="Verdana"/>
          <w:i/>
          <w:sz w:val="16"/>
          <w:szCs w:val="16"/>
        </w:rPr>
        <w:t xml:space="preserve">y Caso Romero Feris Vs. Argentina. Fondo, Reparaciones y Costas. </w:t>
      </w:r>
      <w:r w:rsidRPr="000B33B9">
        <w:rPr>
          <w:rFonts w:ascii="Verdana" w:hAnsi="Verdana"/>
          <w:sz w:val="16"/>
          <w:szCs w:val="16"/>
        </w:rPr>
        <w:t>Sentencia de 15 de octubre de 2019. Serie C No. 391, párr. 196.</w:t>
      </w:r>
    </w:p>
  </w:footnote>
  <w:footnote w:id="312">
    <w:p w14:paraId="02199340" w14:textId="3D749931" w:rsidR="005A5D3C" w:rsidRPr="000B33B9" w:rsidRDefault="005A5D3C" w:rsidP="000B33B9">
      <w:pPr>
        <w:spacing w:after="120" w:line="240" w:lineRule="auto"/>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rPr>
        <w:t>Cfr. Caso Garrido y Baigorria Vs. Argentina. Reparaciones y Costas</w:t>
      </w:r>
      <w:r w:rsidRPr="000B33B9">
        <w:rPr>
          <w:rFonts w:ascii="Verdana" w:hAnsi="Verdana"/>
          <w:sz w:val="16"/>
          <w:szCs w:val="16"/>
        </w:rPr>
        <w:t xml:space="preserve">. Sentencia de 27 de agosto de 1998. Serie C No. 39, párr. 82, y </w:t>
      </w:r>
      <w:r w:rsidRPr="000B33B9">
        <w:rPr>
          <w:rFonts w:ascii="Verdana" w:hAnsi="Verdana"/>
          <w:i/>
          <w:sz w:val="16"/>
          <w:szCs w:val="16"/>
        </w:rPr>
        <w:t xml:space="preserve">Caso Romero Feris Vs. Argentina. Fondo, Reparaciones y Costas. </w:t>
      </w:r>
      <w:r w:rsidRPr="000B33B9">
        <w:rPr>
          <w:rFonts w:ascii="Verdana" w:hAnsi="Verdana"/>
          <w:sz w:val="16"/>
          <w:szCs w:val="16"/>
        </w:rPr>
        <w:t>Sentencia de 15 de octubre de 2019. Serie C No. 391, párr. 196.</w:t>
      </w:r>
    </w:p>
  </w:footnote>
  <w:footnote w:id="313">
    <w:p w14:paraId="2A329F38" w14:textId="1FAA275D" w:rsidR="005A5D3C" w:rsidRPr="000B33B9" w:rsidRDefault="005A5D3C" w:rsidP="000B33B9">
      <w:pPr>
        <w:spacing w:after="120" w:line="240" w:lineRule="auto"/>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eastAsia="Verdana" w:hAnsi="Verdana" w:cs="Verdana"/>
          <w:i/>
          <w:sz w:val="16"/>
          <w:szCs w:val="16"/>
          <w:lang w:val="es-ES"/>
        </w:rPr>
        <w:t xml:space="preserve">Cfr. Caso Chaparro Álvarez y Lapo Íñiguez Vs. Ecuador. Excepciones Preliminares, Fondo, Reparaciones y Costas. </w:t>
      </w:r>
      <w:r w:rsidRPr="000B33B9">
        <w:rPr>
          <w:rFonts w:ascii="Verdana" w:eastAsia="Verdana" w:hAnsi="Verdana" w:cs="Verdana"/>
          <w:iCs/>
          <w:sz w:val="16"/>
          <w:szCs w:val="16"/>
          <w:lang w:val="es-ES"/>
        </w:rPr>
        <w:t>Sentencia de 21 de noviembre de 2007. Serie C No. 170</w:t>
      </w:r>
      <w:r w:rsidRPr="000B33B9">
        <w:rPr>
          <w:rFonts w:ascii="Verdana" w:eastAsia="Verdana" w:hAnsi="Verdana" w:cs="Verdana"/>
          <w:sz w:val="16"/>
          <w:szCs w:val="16"/>
          <w:lang w:val="es-ES"/>
        </w:rPr>
        <w:t xml:space="preserve">, párr. 275, y </w:t>
      </w:r>
      <w:r w:rsidRPr="000B33B9">
        <w:rPr>
          <w:rFonts w:ascii="Verdana" w:hAnsi="Verdana"/>
          <w:i/>
          <w:sz w:val="16"/>
          <w:szCs w:val="16"/>
        </w:rPr>
        <w:t xml:space="preserve">Caso Romero Feris Vs. Argentina. Fondo, Reparaciones y Costas. </w:t>
      </w:r>
      <w:r w:rsidRPr="000B33B9">
        <w:rPr>
          <w:rFonts w:ascii="Verdana" w:hAnsi="Verdana"/>
          <w:sz w:val="16"/>
          <w:szCs w:val="16"/>
        </w:rPr>
        <w:t>Sentencia de 15 de octubre de 2019. Serie C No. 391, párr. 197.</w:t>
      </w:r>
    </w:p>
  </w:footnote>
  <w:footnote w:id="314">
    <w:p w14:paraId="7312FE2F" w14:textId="1B1B2B50" w:rsidR="005A5D3C" w:rsidRPr="000B33B9" w:rsidRDefault="005A5D3C" w:rsidP="000B33B9">
      <w:pPr>
        <w:spacing w:after="120" w:line="240" w:lineRule="auto"/>
        <w:jc w:val="both"/>
        <w:rPr>
          <w:rFonts w:ascii="Verdana" w:hAnsi="Verdana"/>
          <w:sz w:val="16"/>
          <w:szCs w:val="16"/>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rPr>
        <w:tab/>
      </w:r>
      <w:r w:rsidRPr="000B33B9">
        <w:rPr>
          <w:rFonts w:ascii="Verdana" w:hAnsi="Verdana"/>
          <w:i/>
          <w:sz w:val="16"/>
          <w:szCs w:val="16"/>
        </w:rPr>
        <w:t>Cfr. Caso Chaparro Álvarez y Lapo Íñiguez Vs. Ecuador. Excepciones Preliminares, Fondo, Reparaciones y Costas</w:t>
      </w:r>
      <w:r w:rsidRPr="000B33B9">
        <w:rPr>
          <w:rFonts w:ascii="Verdana" w:hAnsi="Verdana"/>
          <w:sz w:val="16"/>
          <w:szCs w:val="16"/>
        </w:rPr>
        <w:t xml:space="preserve">. Sentencia de 21 de noviembre de 2007. Serie C No. 170, párr. 277, y </w:t>
      </w:r>
      <w:r w:rsidRPr="000B33B9">
        <w:rPr>
          <w:rFonts w:ascii="Verdana" w:hAnsi="Verdana"/>
          <w:i/>
          <w:sz w:val="16"/>
          <w:szCs w:val="16"/>
        </w:rPr>
        <w:t xml:space="preserve">Caso Romero Feris Vs. Argentina. Fondo, Reparaciones y Costas. </w:t>
      </w:r>
      <w:r w:rsidRPr="000B33B9">
        <w:rPr>
          <w:rFonts w:ascii="Verdana" w:hAnsi="Verdana"/>
          <w:sz w:val="16"/>
          <w:szCs w:val="16"/>
        </w:rPr>
        <w:t xml:space="preserve">Sentencia de 15 de octubre de 2019. Serie C No. 391, párr. 197. </w:t>
      </w:r>
    </w:p>
  </w:footnote>
  <w:footnote w:id="315">
    <w:p w14:paraId="3AAE55EC" w14:textId="4B6FACF5" w:rsidR="005A5D3C" w:rsidRPr="000B33B9" w:rsidRDefault="005A5D3C" w:rsidP="000B33B9">
      <w:pPr>
        <w:pStyle w:val="Textonotapie"/>
        <w:spacing w:after="120"/>
        <w:jc w:val="both"/>
        <w:rPr>
          <w:rFonts w:ascii="Verdana" w:hAnsi="Verdana"/>
          <w:sz w:val="16"/>
          <w:szCs w:val="16"/>
          <w:lang w:val="es-CR"/>
        </w:rPr>
      </w:pPr>
      <w:r w:rsidRPr="000B33B9">
        <w:rPr>
          <w:rStyle w:val="Refdenotaalpie"/>
          <w:rFonts w:ascii="Verdana" w:hAnsi="Verdana"/>
          <w:sz w:val="16"/>
          <w:szCs w:val="16"/>
        </w:rPr>
        <w:footnoteRef/>
      </w:r>
      <w:r w:rsidRPr="000B33B9">
        <w:rPr>
          <w:rFonts w:ascii="Verdana" w:hAnsi="Verdana"/>
          <w:sz w:val="16"/>
          <w:szCs w:val="16"/>
        </w:rPr>
        <w:t xml:space="preserve"> </w:t>
      </w:r>
      <w:r w:rsidRPr="000B33B9">
        <w:rPr>
          <w:rFonts w:ascii="Verdana" w:hAnsi="Verdana"/>
          <w:sz w:val="16"/>
          <w:szCs w:val="16"/>
          <w:lang w:val="es-CR"/>
        </w:rPr>
        <w:tab/>
      </w:r>
      <w:r w:rsidRPr="000B33B9">
        <w:rPr>
          <w:rFonts w:ascii="Verdana" w:hAnsi="Verdana"/>
          <w:i/>
          <w:sz w:val="16"/>
          <w:szCs w:val="16"/>
        </w:rPr>
        <w:t>Cfr. Caso Comunidad Indígena Xákmok Kásek Vs. Paraguay. Fondo, Reparaciones y Costas</w:t>
      </w:r>
      <w:r w:rsidRPr="000B33B9">
        <w:rPr>
          <w:rFonts w:ascii="Verdana" w:hAnsi="Verdana"/>
          <w:sz w:val="16"/>
          <w:szCs w:val="16"/>
        </w:rPr>
        <w:t>. Sentencia de 24 de agosto de 2010. Serie C No. 214, párr. 331</w:t>
      </w:r>
      <w:r w:rsidRPr="000B33B9">
        <w:rPr>
          <w:rFonts w:ascii="Verdana" w:hAnsi="Verdana"/>
          <w:sz w:val="16"/>
          <w:szCs w:val="16"/>
          <w:lang w:val="es-ES"/>
        </w:rPr>
        <w:t xml:space="preserve">, y </w:t>
      </w:r>
      <w:r w:rsidRPr="000B33B9">
        <w:rPr>
          <w:rFonts w:ascii="Verdana" w:hAnsi="Verdana"/>
          <w:i/>
          <w:sz w:val="16"/>
          <w:szCs w:val="16"/>
          <w:lang w:val="es-DO"/>
        </w:rPr>
        <w:t xml:space="preserve">Caso Perrone y Preckel Vs. Argentina. Excepciones Preliminares, Fondo, Reparaciones y Costas. </w:t>
      </w:r>
      <w:r w:rsidRPr="000B33B9">
        <w:rPr>
          <w:rFonts w:ascii="Verdana" w:hAnsi="Verdana"/>
          <w:sz w:val="16"/>
          <w:szCs w:val="16"/>
          <w:lang w:val="es-DO"/>
        </w:rPr>
        <w:t>Sentencia de 8 de octubre de 2019. Serie C No. 385, párr. 177.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A833F" w14:textId="21690BE1" w:rsidR="005A5D3C" w:rsidRPr="003155BE" w:rsidRDefault="005A5D3C" w:rsidP="00FE4657">
    <w:pPr>
      <w:pStyle w:val="Encabezado"/>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015D1" w14:textId="77777777" w:rsidR="005A5D3C" w:rsidRPr="00F83241" w:rsidRDefault="005A5D3C" w:rsidP="00FE4657">
    <w:pPr>
      <w:pStyle w:val="Encabezado"/>
      <w:tabs>
        <w:tab w:val="center" w:pos="8931"/>
        <w:tab w:val="left" w:pos="9498"/>
        <w:tab w:val="left" w:pos="9639"/>
        <w:tab w:val="right" w:pos="10065"/>
      </w:tabs>
      <w:jc w:val="right"/>
      <w:rPr>
        <w:rFonts w:ascii="Verdana" w:hAnsi="Verdana"/>
        <w:i/>
        <w:sz w:val="16"/>
        <w:szCs w:val="16"/>
        <w:lang w:val="es-C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30BBC"/>
    <w:multiLevelType w:val="hybridMultilevel"/>
    <w:tmpl w:val="DAB00F72"/>
    <w:lvl w:ilvl="0" w:tplc="0F3CB792">
      <w:start w:val="1"/>
      <w:numFmt w:val="decimal"/>
      <w:pStyle w:val="Ttulo9"/>
      <w:lvlText w:val="B.2.%1."/>
      <w:lvlJc w:val="left"/>
      <w:pPr>
        <w:ind w:left="2496"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48E27BF"/>
    <w:multiLevelType w:val="hybridMultilevel"/>
    <w:tmpl w:val="C1A8BF66"/>
    <w:lvl w:ilvl="0" w:tplc="2AE2873E">
      <w:start w:val="1"/>
      <w:numFmt w:val="decimal"/>
      <w:pStyle w:val="Ttulo8"/>
      <w:lvlText w:val="D.6.%1."/>
      <w:lvlJc w:val="left"/>
      <w:pPr>
        <w:ind w:left="2496"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F237F54"/>
    <w:multiLevelType w:val="hybridMultilevel"/>
    <w:tmpl w:val="3104C38A"/>
    <w:lvl w:ilvl="0" w:tplc="76261A50">
      <w:start w:val="1"/>
      <w:numFmt w:val="upperLetter"/>
      <w:lvlText w:val="%1."/>
      <w:lvlJc w:val="left"/>
      <w:pPr>
        <w:ind w:left="1068" w:hanging="360"/>
      </w:pPr>
      <w:rPr>
        <w:rFonts w:hint="default"/>
      </w:rPr>
    </w:lvl>
    <w:lvl w:ilvl="1" w:tplc="140A0019">
      <w:start w:val="1"/>
      <w:numFmt w:val="lowerLetter"/>
      <w:lvlText w:val="%2."/>
      <w:lvlJc w:val="left"/>
      <w:pPr>
        <w:ind w:left="-5592" w:hanging="360"/>
      </w:pPr>
    </w:lvl>
    <w:lvl w:ilvl="2" w:tplc="140A001B">
      <w:start w:val="1"/>
      <w:numFmt w:val="lowerRoman"/>
      <w:lvlText w:val="%3."/>
      <w:lvlJc w:val="right"/>
      <w:pPr>
        <w:ind w:left="-4872" w:hanging="180"/>
      </w:pPr>
    </w:lvl>
    <w:lvl w:ilvl="3" w:tplc="140A000F">
      <w:start w:val="1"/>
      <w:numFmt w:val="decimal"/>
      <w:lvlText w:val="%4."/>
      <w:lvlJc w:val="left"/>
      <w:pPr>
        <w:ind w:left="-4152" w:hanging="360"/>
      </w:pPr>
    </w:lvl>
    <w:lvl w:ilvl="4" w:tplc="140A0019">
      <w:start w:val="1"/>
      <w:numFmt w:val="lowerLetter"/>
      <w:lvlText w:val="%5."/>
      <w:lvlJc w:val="left"/>
      <w:pPr>
        <w:ind w:left="-3432" w:hanging="360"/>
      </w:pPr>
    </w:lvl>
    <w:lvl w:ilvl="5" w:tplc="140A001B">
      <w:start w:val="1"/>
      <w:numFmt w:val="lowerRoman"/>
      <w:lvlText w:val="%6."/>
      <w:lvlJc w:val="right"/>
      <w:pPr>
        <w:ind w:left="-2712" w:hanging="180"/>
      </w:pPr>
    </w:lvl>
    <w:lvl w:ilvl="6" w:tplc="140A000F">
      <w:start w:val="1"/>
      <w:numFmt w:val="decimal"/>
      <w:lvlText w:val="%7."/>
      <w:lvlJc w:val="left"/>
      <w:pPr>
        <w:ind w:left="-1992" w:hanging="360"/>
      </w:pPr>
    </w:lvl>
    <w:lvl w:ilvl="7" w:tplc="140A0019">
      <w:start w:val="1"/>
      <w:numFmt w:val="lowerLetter"/>
      <w:lvlText w:val="%8."/>
      <w:lvlJc w:val="left"/>
      <w:pPr>
        <w:ind w:left="-1272" w:hanging="360"/>
      </w:pPr>
    </w:lvl>
    <w:lvl w:ilvl="8" w:tplc="140A001B">
      <w:start w:val="1"/>
      <w:numFmt w:val="lowerRoman"/>
      <w:lvlText w:val="%9."/>
      <w:lvlJc w:val="right"/>
      <w:pPr>
        <w:ind w:left="-552" w:hanging="180"/>
      </w:pPr>
    </w:lvl>
  </w:abstractNum>
  <w:abstractNum w:abstractNumId="3" w15:restartNumberingAfterBreak="0">
    <w:nsid w:val="36A7656C"/>
    <w:multiLevelType w:val="hybridMultilevel"/>
    <w:tmpl w:val="C866A2A8"/>
    <w:lvl w:ilvl="0" w:tplc="AC06FEA2">
      <w:start w:val="1"/>
      <w:numFmt w:val="decimal"/>
      <w:pStyle w:val="Ttulo3"/>
      <w:lvlText w:val="A.%1"/>
      <w:lvlJc w:val="left"/>
      <w:pPr>
        <w:ind w:left="1353" w:hanging="360"/>
      </w:pPr>
      <w:rPr>
        <w:rFonts w:hint="default"/>
        <w:b/>
        <w:i/>
      </w:rPr>
    </w:lvl>
    <w:lvl w:ilvl="1" w:tplc="B1BE33EE">
      <w:start w:val="1"/>
      <w:numFmt w:val="lowerRoman"/>
      <w:lvlText w:val="%2."/>
      <w:lvlJc w:val="left"/>
      <w:pPr>
        <w:ind w:left="786" w:hanging="360"/>
      </w:pPr>
      <w:rPr>
        <w:rFonts w:ascii="Verdana" w:eastAsia="Batang" w:hAnsi="Verdana" w:cstheme="minorBidi"/>
      </w:rPr>
    </w:lvl>
    <w:lvl w:ilvl="2" w:tplc="0409001B">
      <w:start w:val="1"/>
      <w:numFmt w:val="lowerRoman"/>
      <w:lvlText w:val="%3."/>
      <w:lvlJc w:val="right"/>
      <w:pPr>
        <w:ind w:left="1876" w:hanging="180"/>
      </w:pPr>
    </w:lvl>
    <w:lvl w:ilvl="3" w:tplc="B50ACB34">
      <w:start w:val="1"/>
      <w:numFmt w:val="decimal"/>
      <w:lvlText w:val="%4."/>
      <w:lvlJc w:val="left"/>
      <w:pPr>
        <w:ind w:left="2596" w:hanging="360"/>
      </w:pPr>
      <w:rPr>
        <w:rFonts w:ascii="Verdana" w:hAnsi="Verdana" w:hint="default"/>
        <w:i w:val="0"/>
        <w:sz w:val="20"/>
        <w:szCs w:val="20"/>
      </w:r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 w15:restartNumberingAfterBreak="0">
    <w:nsid w:val="37CE29B4"/>
    <w:multiLevelType w:val="hybridMultilevel"/>
    <w:tmpl w:val="BE7EA024"/>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8C05B06"/>
    <w:multiLevelType w:val="hybridMultilevel"/>
    <w:tmpl w:val="E2D24F04"/>
    <w:lvl w:ilvl="0" w:tplc="F1BE891E">
      <w:start w:val="1"/>
      <w:numFmt w:val="decimal"/>
      <w:lvlText w:val="A.%1"/>
      <w:lvlJc w:val="left"/>
      <w:pPr>
        <w:ind w:left="1080" w:hanging="360"/>
      </w:pPr>
      <w:rPr>
        <w:rFonts w:hint="default"/>
        <w:b w:val="0"/>
        <w:i/>
      </w:rPr>
    </w:lvl>
    <w:lvl w:ilvl="1" w:tplc="D8E67496">
      <w:start w:val="1"/>
      <w:numFmt w:val="decimal"/>
      <w:pStyle w:val="Ttulo5"/>
      <w:lvlText w:val="A.1.%2."/>
      <w:lvlJc w:val="left"/>
      <w:pPr>
        <w:ind w:left="347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D3C2673C">
      <w:start w:val="1"/>
      <w:numFmt w:val="upperLetter"/>
      <w:lvlText w:val="%3."/>
      <w:lvlJc w:val="left"/>
      <w:pPr>
        <w:ind w:left="1070" w:hanging="360"/>
      </w:pPr>
      <w:rPr>
        <w:rFont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6" w15:restartNumberingAfterBreak="0">
    <w:nsid w:val="3A8C5AAE"/>
    <w:multiLevelType w:val="hybridMultilevel"/>
    <w:tmpl w:val="C32E5DF8"/>
    <w:lvl w:ilvl="0" w:tplc="722EF180">
      <w:start w:val="1"/>
      <w:numFmt w:val="upperLetter"/>
      <w:pStyle w:val="Ttulo"/>
      <w:lvlText w:val="%1."/>
      <w:lvlJc w:val="left"/>
      <w:pPr>
        <w:ind w:left="720" w:hanging="360"/>
      </w:pPr>
      <w:rPr>
        <w:rFonts w:hint="default"/>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F9B713D"/>
    <w:multiLevelType w:val="hybridMultilevel"/>
    <w:tmpl w:val="9704209E"/>
    <w:lvl w:ilvl="0" w:tplc="7E8E8A74">
      <w:start w:val="1"/>
      <w:numFmt w:val="decimal"/>
      <w:pStyle w:val="NormalNumbered"/>
      <w:lvlText w:val="%1."/>
      <w:lvlJc w:val="left"/>
      <w:pPr>
        <w:ind w:left="720" w:hanging="720"/>
      </w:pPr>
      <w:rPr>
        <w:rFonts w:ascii="Verdana" w:hAnsi="Verdana" w:hint="default"/>
        <w:b w:val="0"/>
        <w:i w:val="0"/>
        <w:strike w:val="0"/>
        <w:color w:val="auto"/>
        <w:sz w:val="20"/>
        <w:szCs w:val="2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CFAC7540">
      <w:start w:val="1"/>
      <w:numFmt w:val="decimal"/>
      <w:lvlText w:val="%4."/>
      <w:lvlJc w:val="left"/>
      <w:pPr>
        <w:ind w:left="2520" w:hanging="360"/>
      </w:pPr>
      <w:rPr>
        <w:b/>
        <w:i/>
      </w:r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484F45A4"/>
    <w:multiLevelType w:val="hybridMultilevel"/>
    <w:tmpl w:val="2892B620"/>
    <w:lvl w:ilvl="0" w:tplc="0E924352">
      <w:start w:val="1"/>
      <w:numFmt w:val="decimal"/>
      <w:pStyle w:val="Ttulo7"/>
      <w:lvlText w:val="D.%1."/>
      <w:lvlJc w:val="left"/>
      <w:pPr>
        <w:ind w:left="1776" w:hanging="360"/>
      </w:pPr>
      <w:rPr>
        <w:rFonts w:hint="default"/>
      </w:rPr>
    </w:lvl>
    <w:lvl w:ilvl="1" w:tplc="140A0003" w:tentative="1">
      <w:start w:val="1"/>
      <w:numFmt w:val="bullet"/>
      <w:lvlText w:val="o"/>
      <w:lvlJc w:val="left"/>
      <w:pPr>
        <w:ind w:left="2496" w:hanging="360"/>
      </w:pPr>
      <w:rPr>
        <w:rFonts w:ascii="Courier New" w:hAnsi="Courier New" w:cs="Courier New"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abstractNum w:abstractNumId="9" w15:restartNumberingAfterBreak="0">
    <w:nsid w:val="56164B7C"/>
    <w:multiLevelType w:val="hybridMultilevel"/>
    <w:tmpl w:val="8CC26DFC"/>
    <w:lvl w:ilvl="0" w:tplc="CF9AFCBE">
      <w:start w:val="1"/>
      <w:numFmt w:val="lowerLetter"/>
      <w:lvlText w:val="%1)"/>
      <w:lvlJc w:val="left"/>
      <w:pPr>
        <w:ind w:left="818" w:hanging="360"/>
      </w:pPr>
      <w:rPr>
        <w:color w:val="auto"/>
      </w:rPr>
    </w:lvl>
    <w:lvl w:ilvl="1" w:tplc="140A0019">
      <w:start w:val="1"/>
      <w:numFmt w:val="lowerLetter"/>
      <w:lvlText w:val="%2."/>
      <w:lvlJc w:val="left"/>
      <w:pPr>
        <w:ind w:left="1538" w:hanging="360"/>
      </w:pPr>
    </w:lvl>
    <w:lvl w:ilvl="2" w:tplc="140A001B">
      <w:start w:val="1"/>
      <w:numFmt w:val="lowerRoman"/>
      <w:lvlText w:val="%3."/>
      <w:lvlJc w:val="right"/>
      <w:pPr>
        <w:ind w:left="2258" w:hanging="180"/>
      </w:pPr>
    </w:lvl>
    <w:lvl w:ilvl="3" w:tplc="140A000F">
      <w:start w:val="1"/>
      <w:numFmt w:val="decimal"/>
      <w:lvlText w:val="%4."/>
      <w:lvlJc w:val="left"/>
      <w:pPr>
        <w:ind w:left="2978" w:hanging="360"/>
      </w:pPr>
    </w:lvl>
    <w:lvl w:ilvl="4" w:tplc="140A0019">
      <w:start w:val="1"/>
      <w:numFmt w:val="lowerLetter"/>
      <w:lvlText w:val="%5."/>
      <w:lvlJc w:val="left"/>
      <w:pPr>
        <w:ind w:left="3698" w:hanging="360"/>
      </w:pPr>
    </w:lvl>
    <w:lvl w:ilvl="5" w:tplc="140A001B">
      <w:start w:val="1"/>
      <w:numFmt w:val="lowerRoman"/>
      <w:lvlText w:val="%6."/>
      <w:lvlJc w:val="right"/>
      <w:pPr>
        <w:ind w:left="4418" w:hanging="180"/>
      </w:pPr>
    </w:lvl>
    <w:lvl w:ilvl="6" w:tplc="140A000F">
      <w:start w:val="1"/>
      <w:numFmt w:val="decimal"/>
      <w:lvlText w:val="%7."/>
      <w:lvlJc w:val="left"/>
      <w:pPr>
        <w:ind w:left="5138" w:hanging="360"/>
      </w:pPr>
    </w:lvl>
    <w:lvl w:ilvl="7" w:tplc="140A0019">
      <w:start w:val="1"/>
      <w:numFmt w:val="lowerLetter"/>
      <w:lvlText w:val="%8."/>
      <w:lvlJc w:val="left"/>
      <w:pPr>
        <w:ind w:left="5858" w:hanging="360"/>
      </w:pPr>
    </w:lvl>
    <w:lvl w:ilvl="8" w:tplc="140A001B">
      <w:start w:val="1"/>
      <w:numFmt w:val="lowerRoman"/>
      <w:lvlText w:val="%9."/>
      <w:lvlJc w:val="right"/>
      <w:pPr>
        <w:ind w:left="6578" w:hanging="180"/>
      </w:pPr>
    </w:lvl>
  </w:abstractNum>
  <w:abstractNum w:abstractNumId="10" w15:restartNumberingAfterBreak="0">
    <w:nsid w:val="64402BA7"/>
    <w:multiLevelType w:val="hybridMultilevel"/>
    <w:tmpl w:val="978C5604"/>
    <w:lvl w:ilvl="0" w:tplc="6A664822">
      <w:start w:val="1"/>
      <w:numFmt w:val="upperLetter"/>
      <w:pStyle w:val="Ttulo2"/>
      <w:lvlText w:val="%1."/>
      <w:lvlJc w:val="left"/>
      <w:pPr>
        <w:ind w:left="928" w:hanging="360"/>
      </w:pPr>
      <w:rPr>
        <w:b/>
        <w:i/>
      </w:r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1" w15:restartNumberingAfterBreak="0">
    <w:nsid w:val="66342309"/>
    <w:multiLevelType w:val="hybridMultilevel"/>
    <w:tmpl w:val="56DE160C"/>
    <w:lvl w:ilvl="0" w:tplc="95CADDD2">
      <w:start w:val="1"/>
      <w:numFmt w:val="decimal"/>
      <w:pStyle w:val="Ttulo6"/>
      <w:lvlText w:val="C.3.%1."/>
      <w:lvlJc w:val="left"/>
      <w:pPr>
        <w:ind w:left="2484" w:hanging="360"/>
      </w:pPr>
      <w:rPr>
        <w:rFonts w:hint="default"/>
        <w:b w:val="0"/>
      </w:rPr>
    </w:lvl>
    <w:lvl w:ilvl="1" w:tplc="140A0003" w:tentative="1">
      <w:start w:val="1"/>
      <w:numFmt w:val="bullet"/>
      <w:lvlText w:val="o"/>
      <w:lvlJc w:val="left"/>
      <w:pPr>
        <w:ind w:left="3204" w:hanging="360"/>
      </w:pPr>
      <w:rPr>
        <w:rFonts w:ascii="Courier New" w:hAnsi="Courier New" w:cs="Courier New" w:hint="default"/>
      </w:rPr>
    </w:lvl>
    <w:lvl w:ilvl="2" w:tplc="140A0005" w:tentative="1">
      <w:start w:val="1"/>
      <w:numFmt w:val="bullet"/>
      <w:lvlText w:val=""/>
      <w:lvlJc w:val="left"/>
      <w:pPr>
        <w:ind w:left="3924" w:hanging="360"/>
      </w:pPr>
      <w:rPr>
        <w:rFonts w:ascii="Wingdings" w:hAnsi="Wingdings" w:hint="default"/>
      </w:rPr>
    </w:lvl>
    <w:lvl w:ilvl="3" w:tplc="140A0001" w:tentative="1">
      <w:start w:val="1"/>
      <w:numFmt w:val="bullet"/>
      <w:lvlText w:val=""/>
      <w:lvlJc w:val="left"/>
      <w:pPr>
        <w:ind w:left="4644" w:hanging="360"/>
      </w:pPr>
      <w:rPr>
        <w:rFonts w:ascii="Symbol" w:hAnsi="Symbol" w:hint="default"/>
      </w:rPr>
    </w:lvl>
    <w:lvl w:ilvl="4" w:tplc="140A0003" w:tentative="1">
      <w:start w:val="1"/>
      <w:numFmt w:val="bullet"/>
      <w:lvlText w:val="o"/>
      <w:lvlJc w:val="left"/>
      <w:pPr>
        <w:ind w:left="5364" w:hanging="360"/>
      </w:pPr>
      <w:rPr>
        <w:rFonts w:ascii="Courier New" w:hAnsi="Courier New" w:cs="Courier New" w:hint="default"/>
      </w:rPr>
    </w:lvl>
    <w:lvl w:ilvl="5" w:tplc="140A0005" w:tentative="1">
      <w:start w:val="1"/>
      <w:numFmt w:val="bullet"/>
      <w:lvlText w:val=""/>
      <w:lvlJc w:val="left"/>
      <w:pPr>
        <w:ind w:left="6084" w:hanging="360"/>
      </w:pPr>
      <w:rPr>
        <w:rFonts w:ascii="Wingdings" w:hAnsi="Wingdings" w:hint="default"/>
      </w:rPr>
    </w:lvl>
    <w:lvl w:ilvl="6" w:tplc="140A0001" w:tentative="1">
      <w:start w:val="1"/>
      <w:numFmt w:val="bullet"/>
      <w:lvlText w:val=""/>
      <w:lvlJc w:val="left"/>
      <w:pPr>
        <w:ind w:left="6804" w:hanging="360"/>
      </w:pPr>
      <w:rPr>
        <w:rFonts w:ascii="Symbol" w:hAnsi="Symbol" w:hint="default"/>
      </w:rPr>
    </w:lvl>
    <w:lvl w:ilvl="7" w:tplc="140A0003" w:tentative="1">
      <w:start w:val="1"/>
      <w:numFmt w:val="bullet"/>
      <w:lvlText w:val="o"/>
      <w:lvlJc w:val="left"/>
      <w:pPr>
        <w:ind w:left="7524" w:hanging="360"/>
      </w:pPr>
      <w:rPr>
        <w:rFonts w:ascii="Courier New" w:hAnsi="Courier New" w:cs="Courier New" w:hint="default"/>
      </w:rPr>
    </w:lvl>
    <w:lvl w:ilvl="8" w:tplc="140A0005" w:tentative="1">
      <w:start w:val="1"/>
      <w:numFmt w:val="bullet"/>
      <w:lvlText w:val=""/>
      <w:lvlJc w:val="left"/>
      <w:pPr>
        <w:ind w:left="8244" w:hanging="360"/>
      </w:pPr>
      <w:rPr>
        <w:rFonts w:ascii="Wingdings" w:hAnsi="Wingdings" w:hint="default"/>
      </w:rPr>
    </w:lvl>
  </w:abstractNum>
  <w:abstractNum w:abstractNumId="12" w15:restartNumberingAfterBreak="0">
    <w:nsid w:val="6C5B3CD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69C045C"/>
    <w:multiLevelType w:val="hybridMultilevel"/>
    <w:tmpl w:val="ED5ED4B6"/>
    <w:lvl w:ilvl="0" w:tplc="C1D6EA0E">
      <w:start w:val="1"/>
      <w:numFmt w:val="decimal"/>
      <w:pStyle w:val="Ttulo4"/>
      <w:lvlText w:val="A.2.%1."/>
      <w:lvlJc w:val="left"/>
      <w:pPr>
        <w:ind w:left="1068" w:hanging="360"/>
      </w:pPr>
      <w:rPr>
        <w:rFonts w:hint="default"/>
        <w:b w:val="0"/>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79354707"/>
    <w:multiLevelType w:val="hybridMultilevel"/>
    <w:tmpl w:val="62D26802"/>
    <w:lvl w:ilvl="0" w:tplc="98A461BC">
      <w:start w:val="1"/>
      <w:numFmt w:val="decimal"/>
      <w:lvlText w:val="%1."/>
      <w:lvlJc w:val="left"/>
      <w:pPr>
        <w:ind w:left="6070" w:hanging="825"/>
      </w:pPr>
      <w:rPr>
        <w:rFonts w:ascii="Verdana" w:eastAsia="Verdana" w:hAnsi="Verdana" w:cs="Verdana" w:hint="default"/>
        <w:b w:val="0"/>
        <w:i w:val="0"/>
        <w:strike w:val="0"/>
        <w:color w:val="auto"/>
        <w:sz w:val="20"/>
        <w:szCs w:val="20"/>
        <w:lang w:val="es-MX"/>
      </w:rPr>
    </w:lvl>
    <w:lvl w:ilvl="1" w:tplc="140A001B">
      <w:start w:val="1"/>
      <w:numFmt w:val="lowerRoman"/>
      <w:lvlText w:val="%2."/>
      <w:lvlJc w:val="right"/>
      <w:pPr>
        <w:ind w:left="1440" w:hanging="360"/>
      </w:pPr>
    </w:lvl>
    <w:lvl w:ilvl="2" w:tplc="811CA528">
      <w:start w:val="1"/>
      <w:numFmt w:val="lowerRoman"/>
      <w:lvlText w:val="%3."/>
      <w:lvlJc w:val="right"/>
      <w:pPr>
        <w:ind w:left="1031" w:hanging="180"/>
      </w:pPr>
      <w:rPr>
        <w:rFonts w:ascii="Verdana" w:eastAsia="Batang" w:hAnsi="Verdana" w:cstheme="minorBidi"/>
        <w:i w:val="0"/>
      </w:rPr>
    </w:lvl>
    <w:lvl w:ilvl="3" w:tplc="664CD6A6">
      <w:start w:val="1"/>
      <w:numFmt w:val="decimal"/>
      <w:lvlText w:val="D.7.%4."/>
      <w:lvlJc w:val="left"/>
      <w:pPr>
        <w:ind w:left="2880" w:hanging="360"/>
      </w:pPr>
      <w:rPr>
        <w:rFonts w:hint="default"/>
        <w:lang w:val="es-AR"/>
      </w:r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5B9ABF92">
      <w:start w:val="1"/>
      <w:numFmt w:val="decimal"/>
      <w:lvlText w:val="A.%7."/>
      <w:lvlJc w:val="left"/>
      <w:pPr>
        <w:ind w:left="1778" w:hanging="360"/>
      </w:pPr>
      <w:rPr>
        <w:rFonts w:hint="default"/>
        <w:b w:val="0"/>
        <w:i/>
      </w:r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5"/>
  </w:num>
  <w:num w:numId="2">
    <w:abstractNumId w:val="11"/>
  </w:num>
  <w:num w:numId="3">
    <w:abstractNumId w:val="8"/>
  </w:num>
  <w:num w:numId="4">
    <w:abstractNumId w:val="13"/>
  </w:num>
  <w:num w:numId="5">
    <w:abstractNumId w:val="1"/>
  </w:num>
  <w:num w:numId="6">
    <w:abstractNumId w:val="0"/>
  </w:num>
  <w:num w:numId="7">
    <w:abstractNumId w:val="12"/>
  </w:num>
  <w:num w:numId="8">
    <w:abstractNumId w:val="6"/>
  </w:num>
  <w:num w:numId="9">
    <w:abstractNumId w:val="7"/>
  </w:num>
  <w:num w:numId="10">
    <w:abstractNumId w:val="1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0"/>
    <w:lvlOverride w:ilvl="0">
      <w:startOverride w:val="1"/>
    </w:lvlOverride>
  </w:num>
  <w:num w:numId="14">
    <w:abstractNumId w:val="10"/>
    <w:lvlOverride w:ilvl="0">
      <w:startOverride w:val="1"/>
    </w:lvlOverride>
  </w:num>
  <w:num w:numId="15">
    <w:abstractNumId w:val="2"/>
  </w:num>
  <w:num w:numId="16">
    <w:abstractNumId w:val="10"/>
    <w:lvlOverride w:ilvl="0">
      <w:startOverride w:val="1"/>
    </w:lvlOverride>
  </w:num>
  <w:num w:numId="17">
    <w:abstractNumId w:val="1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pt-BR" w:vendorID="64" w:dllVersion="6" w:nlCheck="1" w:checkStyle="0"/>
  <w:activeWritingStyle w:appName="MSWord" w:lang="es-MX" w:vendorID="64" w:dllVersion="6" w:nlCheck="1" w:checkStyle="0"/>
  <w:activeWritingStyle w:appName="MSWord" w:lang="es-CR" w:vendorID="64" w:dllVersion="6" w:nlCheck="1" w:checkStyle="0"/>
  <w:activeWritingStyle w:appName="MSWord" w:lang="en-US" w:vendorID="64" w:dllVersion="6" w:nlCheck="1" w:checkStyle="1"/>
  <w:activeWritingStyle w:appName="MSWord" w:lang="es-ES" w:vendorID="64" w:dllVersion="6" w:nlCheck="1" w:checkStyle="0"/>
  <w:activeWritingStyle w:appName="MSWord" w:lang="es-DO" w:vendorID="64" w:dllVersion="6" w:nlCheck="1" w:checkStyle="0"/>
  <w:activeWritingStyle w:appName="MSWord" w:lang="en-GB"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s-PE" w:vendorID="64" w:dllVersion="6" w:nlCheck="1" w:checkStyle="1"/>
  <w:activeWritingStyle w:appName="MSWord" w:lang="es-VE"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DO" w:vendorID="64" w:dllVersion="4096" w:nlCheck="1" w:checkStyle="0"/>
  <w:activeWritingStyle w:appName="MSWord" w:lang="es-MX" w:vendorID="64" w:dllVersion="4096" w:nlCheck="1" w:checkStyle="0"/>
  <w:activeWritingStyle w:appName="MSWord" w:lang="es-CR" w:vendorID="64" w:dllVersion="4096" w:nlCheck="1" w:checkStyle="0"/>
  <w:activeWritingStyle w:appName="MSWord" w:lang="es-ES_tradnl" w:vendorID="64" w:dllVersion="4096" w:nlCheck="1" w:checkStyle="0"/>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5D8"/>
    <w:rsid w:val="00002A1A"/>
    <w:rsid w:val="00005499"/>
    <w:rsid w:val="000065A8"/>
    <w:rsid w:val="00010024"/>
    <w:rsid w:val="000101C1"/>
    <w:rsid w:val="00010512"/>
    <w:rsid w:val="000106BD"/>
    <w:rsid w:val="00010CD8"/>
    <w:rsid w:val="00014862"/>
    <w:rsid w:val="000149E0"/>
    <w:rsid w:val="00016B0C"/>
    <w:rsid w:val="0001711B"/>
    <w:rsid w:val="000178DB"/>
    <w:rsid w:val="0002025B"/>
    <w:rsid w:val="0002065C"/>
    <w:rsid w:val="00022002"/>
    <w:rsid w:val="000233EC"/>
    <w:rsid w:val="00023F97"/>
    <w:rsid w:val="00025674"/>
    <w:rsid w:val="00031854"/>
    <w:rsid w:val="0003291C"/>
    <w:rsid w:val="00032FB7"/>
    <w:rsid w:val="0003409F"/>
    <w:rsid w:val="00034E18"/>
    <w:rsid w:val="00041686"/>
    <w:rsid w:val="0004490E"/>
    <w:rsid w:val="0004797E"/>
    <w:rsid w:val="00052609"/>
    <w:rsid w:val="00053435"/>
    <w:rsid w:val="00053A3B"/>
    <w:rsid w:val="000574C9"/>
    <w:rsid w:val="00057F15"/>
    <w:rsid w:val="0006055E"/>
    <w:rsid w:val="000610B2"/>
    <w:rsid w:val="00062D88"/>
    <w:rsid w:val="00063CD1"/>
    <w:rsid w:val="0006475E"/>
    <w:rsid w:val="0006508C"/>
    <w:rsid w:val="0006544D"/>
    <w:rsid w:val="00067313"/>
    <w:rsid w:val="00070F24"/>
    <w:rsid w:val="00080CCF"/>
    <w:rsid w:val="00081E89"/>
    <w:rsid w:val="00082152"/>
    <w:rsid w:val="000821DA"/>
    <w:rsid w:val="000853B4"/>
    <w:rsid w:val="00085FF5"/>
    <w:rsid w:val="000864AE"/>
    <w:rsid w:val="0008710C"/>
    <w:rsid w:val="00091F4B"/>
    <w:rsid w:val="0009318D"/>
    <w:rsid w:val="00094F32"/>
    <w:rsid w:val="00095F61"/>
    <w:rsid w:val="00095FC2"/>
    <w:rsid w:val="000965F4"/>
    <w:rsid w:val="000A0F03"/>
    <w:rsid w:val="000A12A3"/>
    <w:rsid w:val="000A2A64"/>
    <w:rsid w:val="000B042E"/>
    <w:rsid w:val="000B0439"/>
    <w:rsid w:val="000B07EF"/>
    <w:rsid w:val="000B33B9"/>
    <w:rsid w:val="000B432C"/>
    <w:rsid w:val="000B4A4B"/>
    <w:rsid w:val="000B54D7"/>
    <w:rsid w:val="000B6357"/>
    <w:rsid w:val="000C088D"/>
    <w:rsid w:val="000C09BE"/>
    <w:rsid w:val="000C0D46"/>
    <w:rsid w:val="000C0EDC"/>
    <w:rsid w:val="000C2A35"/>
    <w:rsid w:val="000C41A8"/>
    <w:rsid w:val="000C585F"/>
    <w:rsid w:val="000C7E04"/>
    <w:rsid w:val="000D00FB"/>
    <w:rsid w:val="000D03CA"/>
    <w:rsid w:val="000D0A3E"/>
    <w:rsid w:val="000D0F56"/>
    <w:rsid w:val="000D5FA5"/>
    <w:rsid w:val="000D6EC7"/>
    <w:rsid w:val="000D76FC"/>
    <w:rsid w:val="000E1E9B"/>
    <w:rsid w:val="000E3906"/>
    <w:rsid w:val="000E3998"/>
    <w:rsid w:val="000F0CDE"/>
    <w:rsid w:val="000F1113"/>
    <w:rsid w:val="000F30BD"/>
    <w:rsid w:val="000F53F1"/>
    <w:rsid w:val="000F5400"/>
    <w:rsid w:val="000F682A"/>
    <w:rsid w:val="001002AE"/>
    <w:rsid w:val="00101C0F"/>
    <w:rsid w:val="0010301D"/>
    <w:rsid w:val="0010344D"/>
    <w:rsid w:val="00111B66"/>
    <w:rsid w:val="00111EE8"/>
    <w:rsid w:val="00113E03"/>
    <w:rsid w:val="00114242"/>
    <w:rsid w:val="00116681"/>
    <w:rsid w:val="00116F33"/>
    <w:rsid w:val="00117906"/>
    <w:rsid w:val="001200AE"/>
    <w:rsid w:val="001217FD"/>
    <w:rsid w:val="00121A80"/>
    <w:rsid w:val="0012229F"/>
    <w:rsid w:val="0012316A"/>
    <w:rsid w:val="00130BEF"/>
    <w:rsid w:val="00132173"/>
    <w:rsid w:val="00132F59"/>
    <w:rsid w:val="001335CC"/>
    <w:rsid w:val="00133E9D"/>
    <w:rsid w:val="0013585E"/>
    <w:rsid w:val="001375DD"/>
    <w:rsid w:val="00140182"/>
    <w:rsid w:val="00140F0F"/>
    <w:rsid w:val="00141A6D"/>
    <w:rsid w:val="00146232"/>
    <w:rsid w:val="00151008"/>
    <w:rsid w:val="0015446E"/>
    <w:rsid w:val="00154697"/>
    <w:rsid w:val="00155D18"/>
    <w:rsid w:val="001579B2"/>
    <w:rsid w:val="00157A51"/>
    <w:rsid w:val="00157BEA"/>
    <w:rsid w:val="00157C6A"/>
    <w:rsid w:val="00157CD7"/>
    <w:rsid w:val="00161E94"/>
    <w:rsid w:val="001635AC"/>
    <w:rsid w:val="00163A84"/>
    <w:rsid w:val="0016592A"/>
    <w:rsid w:val="00165D00"/>
    <w:rsid w:val="0017273A"/>
    <w:rsid w:val="00172DD1"/>
    <w:rsid w:val="00173B56"/>
    <w:rsid w:val="00173EF1"/>
    <w:rsid w:val="001741F7"/>
    <w:rsid w:val="00187F77"/>
    <w:rsid w:val="001901D6"/>
    <w:rsid w:val="001913D3"/>
    <w:rsid w:val="00191E9C"/>
    <w:rsid w:val="00192244"/>
    <w:rsid w:val="00192542"/>
    <w:rsid w:val="0019256B"/>
    <w:rsid w:val="00193485"/>
    <w:rsid w:val="00196D41"/>
    <w:rsid w:val="001975B4"/>
    <w:rsid w:val="00197D93"/>
    <w:rsid w:val="00197E27"/>
    <w:rsid w:val="001A1FBA"/>
    <w:rsid w:val="001A2E49"/>
    <w:rsid w:val="001A5331"/>
    <w:rsid w:val="001A70B5"/>
    <w:rsid w:val="001A7205"/>
    <w:rsid w:val="001B0711"/>
    <w:rsid w:val="001B2451"/>
    <w:rsid w:val="001B2E8D"/>
    <w:rsid w:val="001B3833"/>
    <w:rsid w:val="001B77C3"/>
    <w:rsid w:val="001C05D8"/>
    <w:rsid w:val="001C1233"/>
    <w:rsid w:val="001C210E"/>
    <w:rsid w:val="001C3B78"/>
    <w:rsid w:val="001C45D2"/>
    <w:rsid w:val="001C4AF6"/>
    <w:rsid w:val="001C67BD"/>
    <w:rsid w:val="001D2B31"/>
    <w:rsid w:val="001D465E"/>
    <w:rsid w:val="001D7001"/>
    <w:rsid w:val="001D7AA2"/>
    <w:rsid w:val="001E07BF"/>
    <w:rsid w:val="001E14D8"/>
    <w:rsid w:val="001E2D22"/>
    <w:rsid w:val="001E3851"/>
    <w:rsid w:val="001F301D"/>
    <w:rsid w:val="001F35FA"/>
    <w:rsid w:val="001F62BD"/>
    <w:rsid w:val="00201CBB"/>
    <w:rsid w:val="002022BC"/>
    <w:rsid w:val="00202F41"/>
    <w:rsid w:val="0020414E"/>
    <w:rsid w:val="00204520"/>
    <w:rsid w:val="00204C4E"/>
    <w:rsid w:val="002219CE"/>
    <w:rsid w:val="00223943"/>
    <w:rsid w:val="0022397A"/>
    <w:rsid w:val="0022514D"/>
    <w:rsid w:val="0022623B"/>
    <w:rsid w:val="002270FD"/>
    <w:rsid w:val="002304C4"/>
    <w:rsid w:val="002308E1"/>
    <w:rsid w:val="00232EAD"/>
    <w:rsid w:val="00235DD5"/>
    <w:rsid w:val="0023636C"/>
    <w:rsid w:val="002370A6"/>
    <w:rsid w:val="0024211C"/>
    <w:rsid w:val="00243386"/>
    <w:rsid w:val="00245F2A"/>
    <w:rsid w:val="00251AB4"/>
    <w:rsid w:val="002549B7"/>
    <w:rsid w:val="00255266"/>
    <w:rsid w:val="00256A6F"/>
    <w:rsid w:val="00257882"/>
    <w:rsid w:val="00257B5E"/>
    <w:rsid w:val="002632B5"/>
    <w:rsid w:val="00264901"/>
    <w:rsid w:val="00265133"/>
    <w:rsid w:val="00265A2D"/>
    <w:rsid w:val="00267D91"/>
    <w:rsid w:val="00274C5B"/>
    <w:rsid w:val="00275D73"/>
    <w:rsid w:val="002767A8"/>
    <w:rsid w:val="002801E6"/>
    <w:rsid w:val="002821B4"/>
    <w:rsid w:val="002828B5"/>
    <w:rsid w:val="00283EBD"/>
    <w:rsid w:val="0028401E"/>
    <w:rsid w:val="00284E87"/>
    <w:rsid w:val="0029213B"/>
    <w:rsid w:val="0029378E"/>
    <w:rsid w:val="00293C2D"/>
    <w:rsid w:val="00293C8E"/>
    <w:rsid w:val="0029737C"/>
    <w:rsid w:val="00297878"/>
    <w:rsid w:val="002A019E"/>
    <w:rsid w:val="002A06C8"/>
    <w:rsid w:val="002A13E5"/>
    <w:rsid w:val="002A27EA"/>
    <w:rsid w:val="002A2F2C"/>
    <w:rsid w:val="002B063D"/>
    <w:rsid w:val="002B1759"/>
    <w:rsid w:val="002B25FD"/>
    <w:rsid w:val="002B6281"/>
    <w:rsid w:val="002B648D"/>
    <w:rsid w:val="002B69D5"/>
    <w:rsid w:val="002B76BF"/>
    <w:rsid w:val="002B7FC1"/>
    <w:rsid w:val="002C3678"/>
    <w:rsid w:val="002C47FC"/>
    <w:rsid w:val="002C4B85"/>
    <w:rsid w:val="002C580E"/>
    <w:rsid w:val="002D3ACB"/>
    <w:rsid w:val="002D4820"/>
    <w:rsid w:val="002D5050"/>
    <w:rsid w:val="002D6FFB"/>
    <w:rsid w:val="002E0CC2"/>
    <w:rsid w:val="002E4BB4"/>
    <w:rsid w:val="002E5C7E"/>
    <w:rsid w:val="002F1913"/>
    <w:rsid w:val="002F20D8"/>
    <w:rsid w:val="002F2575"/>
    <w:rsid w:val="002F36FF"/>
    <w:rsid w:val="002F464D"/>
    <w:rsid w:val="002F6BB6"/>
    <w:rsid w:val="002F7F52"/>
    <w:rsid w:val="00302E1A"/>
    <w:rsid w:val="00304F1F"/>
    <w:rsid w:val="003066D4"/>
    <w:rsid w:val="0031071D"/>
    <w:rsid w:val="00310DA2"/>
    <w:rsid w:val="00312E94"/>
    <w:rsid w:val="00313979"/>
    <w:rsid w:val="00313EE5"/>
    <w:rsid w:val="003163CE"/>
    <w:rsid w:val="00320517"/>
    <w:rsid w:val="00322DCD"/>
    <w:rsid w:val="00322E11"/>
    <w:rsid w:val="00324D97"/>
    <w:rsid w:val="003256D6"/>
    <w:rsid w:val="003268FB"/>
    <w:rsid w:val="00326CF7"/>
    <w:rsid w:val="00327F03"/>
    <w:rsid w:val="00334026"/>
    <w:rsid w:val="00334748"/>
    <w:rsid w:val="0033532B"/>
    <w:rsid w:val="00336ED7"/>
    <w:rsid w:val="00345E12"/>
    <w:rsid w:val="003464DC"/>
    <w:rsid w:val="003477E0"/>
    <w:rsid w:val="00347E77"/>
    <w:rsid w:val="00351CEC"/>
    <w:rsid w:val="003523AA"/>
    <w:rsid w:val="003541DB"/>
    <w:rsid w:val="00356381"/>
    <w:rsid w:val="003571A5"/>
    <w:rsid w:val="0035743B"/>
    <w:rsid w:val="00361CAD"/>
    <w:rsid w:val="003622FD"/>
    <w:rsid w:val="003628B8"/>
    <w:rsid w:val="003636FF"/>
    <w:rsid w:val="003646AC"/>
    <w:rsid w:val="00364FDC"/>
    <w:rsid w:val="00365034"/>
    <w:rsid w:val="003655AA"/>
    <w:rsid w:val="0037184D"/>
    <w:rsid w:val="0037315C"/>
    <w:rsid w:val="00383ED0"/>
    <w:rsid w:val="0038654D"/>
    <w:rsid w:val="00387453"/>
    <w:rsid w:val="0039102C"/>
    <w:rsid w:val="00394732"/>
    <w:rsid w:val="00396986"/>
    <w:rsid w:val="00397A38"/>
    <w:rsid w:val="003A0415"/>
    <w:rsid w:val="003A17A6"/>
    <w:rsid w:val="003A3F6A"/>
    <w:rsid w:val="003A421C"/>
    <w:rsid w:val="003A4E35"/>
    <w:rsid w:val="003B1CB4"/>
    <w:rsid w:val="003B2DD9"/>
    <w:rsid w:val="003B2E08"/>
    <w:rsid w:val="003B7141"/>
    <w:rsid w:val="003B7162"/>
    <w:rsid w:val="003C0487"/>
    <w:rsid w:val="003C1641"/>
    <w:rsid w:val="003C20DA"/>
    <w:rsid w:val="003D17B7"/>
    <w:rsid w:val="003D20B9"/>
    <w:rsid w:val="003D2A72"/>
    <w:rsid w:val="003D2E9B"/>
    <w:rsid w:val="003D4670"/>
    <w:rsid w:val="003D6B2E"/>
    <w:rsid w:val="003D70BE"/>
    <w:rsid w:val="003D7AE9"/>
    <w:rsid w:val="003E041D"/>
    <w:rsid w:val="003E4B02"/>
    <w:rsid w:val="003E51C3"/>
    <w:rsid w:val="003E598A"/>
    <w:rsid w:val="003E758F"/>
    <w:rsid w:val="003E771D"/>
    <w:rsid w:val="003F2C29"/>
    <w:rsid w:val="003F33A5"/>
    <w:rsid w:val="003F5991"/>
    <w:rsid w:val="00404BD4"/>
    <w:rsid w:val="00406718"/>
    <w:rsid w:val="00406957"/>
    <w:rsid w:val="00410A1D"/>
    <w:rsid w:val="004114DB"/>
    <w:rsid w:val="00414121"/>
    <w:rsid w:val="00415BB4"/>
    <w:rsid w:val="004207C1"/>
    <w:rsid w:val="0042135F"/>
    <w:rsid w:val="00421B53"/>
    <w:rsid w:val="00421CB6"/>
    <w:rsid w:val="00424626"/>
    <w:rsid w:val="00425175"/>
    <w:rsid w:val="00425643"/>
    <w:rsid w:val="00425AD6"/>
    <w:rsid w:val="00430C9B"/>
    <w:rsid w:val="00431290"/>
    <w:rsid w:val="00431B3A"/>
    <w:rsid w:val="00431CA1"/>
    <w:rsid w:val="004331BF"/>
    <w:rsid w:val="00433345"/>
    <w:rsid w:val="00433AF5"/>
    <w:rsid w:val="00435AF6"/>
    <w:rsid w:val="00442A42"/>
    <w:rsid w:val="00442BF9"/>
    <w:rsid w:val="0044343A"/>
    <w:rsid w:val="00443FCC"/>
    <w:rsid w:val="00444481"/>
    <w:rsid w:val="004460A2"/>
    <w:rsid w:val="004461D8"/>
    <w:rsid w:val="004567DC"/>
    <w:rsid w:val="00456CC2"/>
    <w:rsid w:val="0045716E"/>
    <w:rsid w:val="004622C7"/>
    <w:rsid w:val="00462864"/>
    <w:rsid w:val="00465D9F"/>
    <w:rsid w:val="004732FB"/>
    <w:rsid w:val="00474F89"/>
    <w:rsid w:val="00480477"/>
    <w:rsid w:val="0048065B"/>
    <w:rsid w:val="004827CC"/>
    <w:rsid w:val="00482FCB"/>
    <w:rsid w:val="00487B84"/>
    <w:rsid w:val="004901D0"/>
    <w:rsid w:val="00490472"/>
    <w:rsid w:val="00490757"/>
    <w:rsid w:val="00491182"/>
    <w:rsid w:val="004916CC"/>
    <w:rsid w:val="00492D33"/>
    <w:rsid w:val="00492FA2"/>
    <w:rsid w:val="004933DC"/>
    <w:rsid w:val="00493FF7"/>
    <w:rsid w:val="0049488A"/>
    <w:rsid w:val="0049586E"/>
    <w:rsid w:val="00496510"/>
    <w:rsid w:val="0049710E"/>
    <w:rsid w:val="00497461"/>
    <w:rsid w:val="004A3E0F"/>
    <w:rsid w:val="004A43C2"/>
    <w:rsid w:val="004A7693"/>
    <w:rsid w:val="004B1EBE"/>
    <w:rsid w:val="004B204D"/>
    <w:rsid w:val="004B3676"/>
    <w:rsid w:val="004C06FE"/>
    <w:rsid w:val="004C22C1"/>
    <w:rsid w:val="004C2796"/>
    <w:rsid w:val="004E00F7"/>
    <w:rsid w:val="004E0927"/>
    <w:rsid w:val="004E0B3D"/>
    <w:rsid w:val="004E103A"/>
    <w:rsid w:val="004E4D34"/>
    <w:rsid w:val="004E5DE0"/>
    <w:rsid w:val="004F3B08"/>
    <w:rsid w:val="004F4D8C"/>
    <w:rsid w:val="004F5559"/>
    <w:rsid w:val="005002FB"/>
    <w:rsid w:val="00500A60"/>
    <w:rsid w:val="0051368E"/>
    <w:rsid w:val="00520084"/>
    <w:rsid w:val="0052180A"/>
    <w:rsid w:val="00521900"/>
    <w:rsid w:val="0053518E"/>
    <w:rsid w:val="00536467"/>
    <w:rsid w:val="00536736"/>
    <w:rsid w:val="005407F0"/>
    <w:rsid w:val="00545E89"/>
    <w:rsid w:val="005479FB"/>
    <w:rsid w:val="00551F35"/>
    <w:rsid w:val="00552D3C"/>
    <w:rsid w:val="00553B4B"/>
    <w:rsid w:val="00555834"/>
    <w:rsid w:val="00555B63"/>
    <w:rsid w:val="005567D5"/>
    <w:rsid w:val="005577D7"/>
    <w:rsid w:val="00562EE0"/>
    <w:rsid w:val="00564690"/>
    <w:rsid w:val="00564C0E"/>
    <w:rsid w:val="0056578A"/>
    <w:rsid w:val="005704B1"/>
    <w:rsid w:val="00571012"/>
    <w:rsid w:val="0057250F"/>
    <w:rsid w:val="00572A0B"/>
    <w:rsid w:val="00574DFE"/>
    <w:rsid w:val="00576FE8"/>
    <w:rsid w:val="0057762C"/>
    <w:rsid w:val="00581379"/>
    <w:rsid w:val="005857CC"/>
    <w:rsid w:val="00585FFF"/>
    <w:rsid w:val="00586BD7"/>
    <w:rsid w:val="005875BA"/>
    <w:rsid w:val="00590819"/>
    <w:rsid w:val="00592093"/>
    <w:rsid w:val="00595E1A"/>
    <w:rsid w:val="005A137B"/>
    <w:rsid w:val="005A5088"/>
    <w:rsid w:val="005A5D3C"/>
    <w:rsid w:val="005A6DD6"/>
    <w:rsid w:val="005A753A"/>
    <w:rsid w:val="005B1FF2"/>
    <w:rsid w:val="005B3F02"/>
    <w:rsid w:val="005B5586"/>
    <w:rsid w:val="005B6713"/>
    <w:rsid w:val="005C10B4"/>
    <w:rsid w:val="005C2E49"/>
    <w:rsid w:val="005C4357"/>
    <w:rsid w:val="005C5BB7"/>
    <w:rsid w:val="005C6E9B"/>
    <w:rsid w:val="005D19A7"/>
    <w:rsid w:val="005D1D0B"/>
    <w:rsid w:val="005D2D7F"/>
    <w:rsid w:val="005D317B"/>
    <w:rsid w:val="005D4BD7"/>
    <w:rsid w:val="005D50F7"/>
    <w:rsid w:val="005D5ED3"/>
    <w:rsid w:val="005D5ED8"/>
    <w:rsid w:val="005E0119"/>
    <w:rsid w:val="005E0FA1"/>
    <w:rsid w:val="005E20DF"/>
    <w:rsid w:val="005E3160"/>
    <w:rsid w:val="005E51CD"/>
    <w:rsid w:val="005E51F2"/>
    <w:rsid w:val="005E5302"/>
    <w:rsid w:val="005E6948"/>
    <w:rsid w:val="005E7B47"/>
    <w:rsid w:val="005F07C8"/>
    <w:rsid w:val="005F08BB"/>
    <w:rsid w:val="005F43C3"/>
    <w:rsid w:val="005F5C55"/>
    <w:rsid w:val="006013A4"/>
    <w:rsid w:val="00604B8A"/>
    <w:rsid w:val="00606B56"/>
    <w:rsid w:val="00607E6D"/>
    <w:rsid w:val="00610BC5"/>
    <w:rsid w:val="00614120"/>
    <w:rsid w:val="00614398"/>
    <w:rsid w:val="00615425"/>
    <w:rsid w:val="006161CF"/>
    <w:rsid w:val="00621C29"/>
    <w:rsid w:val="00630108"/>
    <w:rsid w:val="006323AC"/>
    <w:rsid w:val="00632A5F"/>
    <w:rsid w:val="00635D4F"/>
    <w:rsid w:val="00636561"/>
    <w:rsid w:val="00636809"/>
    <w:rsid w:val="00636AEF"/>
    <w:rsid w:val="00637034"/>
    <w:rsid w:val="0064020B"/>
    <w:rsid w:val="0064020F"/>
    <w:rsid w:val="00640C2A"/>
    <w:rsid w:val="00640F74"/>
    <w:rsid w:val="0064198F"/>
    <w:rsid w:val="006506EB"/>
    <w:rsid w:val="006512B6"/>
    <w:rsid w:val="00654EBF"/>
    <w:rsid w:val="00655238"/>
    <w:rsid w:val="00655B32"/>
    <w:rsid w:val="00657A37"/>
    <w:rsid w:val="00657DD2"/>
    <w:rsid w:val="00661093"/>
    <w:rsid w:val="00663E14"/>
    <w:rsid w:val="0066704A"/>
    <w:rsid w:val="00667115"/>
    <w:rsid w:val="00667CEA"/>
    <w:rsid w:val="006710A8"/>
    <w:rsid w:val="00671A0B"/>
    <w:rsid w:val="006747AE"/>
    <w:rsid w:val="0067485F"/>
    <w:rsid w:val="00680AB4"/>
    <w:rsid w:val="00682582"/>
    <w:rsid w:val="00684CCE"/>
    <w:rsid w:val="00685A67"/>
    <w:rsid w:val="006933A3"/>
    <w:rsid w:val="00694879"/>
    <w:rsid w:val="006A0135"/>
    <w:rsid w:val="006A566E"/>
    <w:rsid w:val="006A5CC2"/>
    <w:rsid w:val="006A799F"/>
    <w:rsid w:val="006B0067"/>
    <w:rsid w:val="006B1EC8"/>
    <w:rsid w:val="006B271D"/>
    <w:rsid w:val="006B4675"/>
    <w:rsid w:val="006B4D61"/>
    <w:rsid w:val="006B6BA7"/>
    <w:rsid w:val="006B7C55"/>
    <w:rsid w:val="006C06C3"/>
    <w:rsid w:val="006C2CBA"/>
    <w:rsid w:val="006C3E5B"/>
    <w:rsid w:val="006C5D32"/>
    <w:rsid w:val="006D1198"/>
    <w:rsid w:val="006D2C6E"/>
    <w:rsid w:val="006D4002"/>
    <w:rsid w:val="006E163B"/>
    <w:rsid w:val="006E3152"/>
    <w:rsid w:val="006E41A8"/>
    <w:rsid w:val="006E43C9"/>
    <w:rsid w:val="006E489E"/>
    <w:rsid w:val="006E4A9C"/>
    <w:rsid w:val="006E670C"/>
    <w:rsid w:val="006E6931"/>
    <w:rsid w:val="006F14DB"/>
    <w:rsid w:val="006F20BB"/>
    <w:rsid w:val="006F56FD"/>
    <w:rsid w:val="006F5D6E"/>
    <w:rsid w:val="006F5E65"/>
    <w:rsid w:val="006F60B2"/>
    <w:rsid w:val="00701B13"/>
    <w:rsid w:val="007021A7"/>
    <w:rsid w:val="00704BE8"/>
    <w:rsid w:val="00706CF1"/>
    <w:rsid w:val="00713053"/>
    <w:rsid w:val="00713E16"/>
    <w:rsid w:val="0071493D"/>
    <w:rsid w:val="00721095"/>
    <w:rsid w:val="00721252"/>
    <w:rsid w:val="00721329"/>
    <w:rsid w:val="0072745D"/>
    <w:rsid w:val="007309E0"/>
    <w:rsid w:val="00730CA4"/>
    <w:rsid w:val="00731B4A"/>
    <w:rsid w:val="00731DB8"/>
    <w:rsid w:val="0073300F"/>
    <w:rsid w:val="00734C23"/>
    <w:rsid w:val="00736532"/>
    <w:rsid w:val="00745789"/>
    <w:rsid w:val="00745BB3"/>
    <w:rsid w:val="00745BB5"/>
    <w:rsid w:val="00750CE6"/>
    <w:rsid w:val="00755798"/>
    <w:rsid w:val="00761B06"/>
    <w:rsid w:val="00764169"/>
    <w:rsid w:val="00764351"/>
    <w:rsid w:val="00765704"/>
    <w:rsid w:val="00767159"/>
    <w:rsid w:val="00767A63"/>
    <w:rsid w:val="00770FF7"/>
    <w:rsid w:val="00773381"/>
    <w:rsid w:val="00773541"/>
    <w:rsid w:val="00775A04"/>
    <w:rsid w:val="00775B23"/>
    <w:rsid w:val="0077644B"/>
    <w:rsid w:val="00781FA1"/>
    <w:rsid w:val="007838F6"/>
    <w:rsid w:val="007864A6"/>
    <w:rsid w:val="00790FE3"/>
    <w:rsid w:val="00791A52"/>
    <w:rsid w:val="00791AF0"/>
    <w:rsid w:val="00795BE5"/>
    <w:rsid w:val="007A2EAC"/>
    <w:rsid w:val="007A2FFB"/>
    <w:rsid w:val="007A3AB8"/>
    <w:rsid w:val="007A5487"/>
    <w:rsid w:val="007A55EB"/>
    <w:rsid w:val="007B37E0"/>
    <w:rsid w:val="007B74AD"/>
    <w:rsid w:val="007B74B8"/>
    <w:rsid w:val="007C2FBE"/>
    <w:rsid w:val="007C4186"/>
    <w:rsid w:val="007C487A"/>
    <w:rsid w:val="007C64DA"/>
    <w:rsid w:val="007C76FE"/>
    <w:rsid w:val="007D227B"/>
    <w:rsid w:val="007F0E38"/>
    <w:rsid w:val="007F0FE3"/>
    <w:rsid w:val="007F1865"/>
    <w:rsid w:val="007F6256"/>
    <w:rsid w:val="008009BA"/>
    <w:rsid w:val="00801E19"/>
    <w:rsid w:val="00802B50"/>
    <w:rsid w:val="00804A58"/>
    <w:rsid w:val="00804A6C"/>
    <w:rsid w:val="00805A66"/>
    <w:rsid w:val="00806348"/>
    <w:rsid w:val="008073EA"/>
    <w:rsid w:val="008120E3"/>
    <w:rsid w:val="0081491E"/>
    <w:rsid w:val="00815402"/>
    <w:rsid w:val="00815985"/>
    <w:rsid w:val="008166FA"/>
    <w:rsid w:val="008174BD"/>
    <w:rsid w:val="008215EC"/>
    <w:rsid w:val="00822057"/>
    <w:rsid w:val="0082292F"/>
    <w:rsid w:val="00825C06"/>
    <w:rsid w:val="0082670E"/>
    <w:rsid w:val="008314A4"/>
    <w:rsid w:val="0083239C"/>
    <w:rsid w:val="008324C1"/>
    <w:rsid w:val="00832C55"/>
    <w:rsid w:val="008333F3"/>
    <w:rsid w:val="008342AF"/>
    <w:rsid w:val="008351F9"/>
    <w:rsid w:val="008379B6"/>
    <w:rsid w:val="008404E0"/>
    <w:rsid w:val="008404ED"/>
    <w:rsid w:val="008414A4"/>
    <w:rsid w:val="0084247E"/>
    <w:rsid w:val="00843376"/>
    <w:rsid w:val="0084468A"/>
    <w:rsid w:val="00847A68"/>
    <w:rsid w:val="00851757"/>
    <w:rsid w:val="00851BFC"/>
    <w:rsid w:val="008549CC"/>
    <w:rsid w:val="00854DA8"/>
    <w:rsid w:val="00855036"/>
    <w:rsid w:val="00860FB9"/>
    <w:rsid w:val="0086155A"/>
    <w:rsid w:val="00863505"/>
    <w:rsid w:val="00863BC5"/>
    <w:rsid w:val="008745CC"/>
    <w:rsid w:val="008749A3"/>
    <w:rsid w:val="0087526C"/>
    <w:rsid w:val="00875D1F"/>
    <w:rsid w:val="00880825"/>
    <w:rsid w:val="0088184E"/>
    <w:rsid w:val="00883F51"/>
    <w:rsid w:val="008853EA"/>
    <w:rsid w:val="00885563"/>
    <w:rsid w:val="0088656D"/>
    <w:rsid w:val="008A351B"/>
    <w:rsid w:val="008A4331"/>
    <w:rsid w:val="008A43CB"/>
    <w:rsid w:val="008A5826"/>
    <w:rsid w:val="008A672B"/>
    <w:rsid w:val="008A76A8"/>
    <w:rsid w:val="008B00A1"/>
    <w:rsid w:val="008B1B9E"/>
    <w:rsid w:val="008B2C05"/>
    <w:rsid w:val="008B5531"/>
    <w:rsid w:val="008B727A"/>
    <w:rsid w:val="008B78CD"/>
    <w:rsid w:val="008C1342"/>
    <w:rsid w:val="008C28DA"/>
    <w:rsid w:val="008C333B"/>
    <w:rsid w:val="008C4E8B"/>
    <w:rsid w:val="008C5235"/>
    <w:rsid w:val="008D0CC2"/>
    <w:rsid w:val="008D124C"/>
    <w:rsid w:val="008D202F"/>
    <w:rsid w:val="008D454E"/>
    <w:rsid w:val="008E052C"/>
    <w:rsid w:val="008E0EDB"/>
    <w:rsid w:val="008E45D0"/>
    <w:rsid w:val="008E7DF5"/>
    <w:rsid w:val="008F083A"/>
    <w:rsid w:val="008F0C15"/>
    <w:rsid w:val="008F0DEC"/>
    <w:rsid w:val="008F18D9"/>
    <w:rsid w:val="008F22E5"/>
    <w:rsid w:val="008F2FE2"/>
    <w:rsid w:val="008F4C07"/>
    <w:rsid w:val="008F5A3C"/>
    <w:rsid w:val="008F5A53"/>
    <w:rsid w:val="008F68AE"/>
    <w:rsid w:val="008F7AFD"/>
    <w:rsid w:val="00902077"/>
    <w:rsid w:val="009038C8"/>
    <w:rsid w:val="00904755"/>
    <w:rsid w:val="009052B7"/>
    <w:rsid w:val="0090641F"/>
    <w:rsid w:val="00906EE8"/>
    <w:rsid w:val="009109ED"/>
    <w:rsid w:val="009114F5"/>
    <w:rsid w:val="00911F1B"/>
    <w:rsid w:val="00912E28"/>
    <w:rsid w:val="009140E3"/>
    <w:rsid w:val="00916B58"/>
    <w:rsid w:val="00917BB0"/>
    <w:rsid w:val="00921D5A"/>
    <w:rsid w:val="00922848"/>
    <w:rsid w:val="00922870"/>
    <w:rsid w:val="00923B77"/>
    <w:rsid w:val="009257B3"/>
    <w:rsid w:val="009270AB"/>
    <w:rsid w:val="00932941"/>
    <w:rsid w:val="009346C0"/>
    <w:rsid w:val="00935645"/>
    <w:rsid w:val="00935FF1"/>
    <w:rsid w:val="00936D30"/>
    <w:rsid w:val="0093785A"/>
    <w:rsid w:val="00942597"/>
    <w:rsid w:val="00942A5B"/>
    <w:rsid w:val="00942DC1"/>
    <w:rsid w:val="00944B7F"/>
    <w:rsid w:val="00945526"/>
    <w:rsid w:val="009506B4"/>
    <w:rsid w:val="00951B2B"/>
    <w:rsid w:val="00953A15"/>
    <w:rsid w:val="009552DF"/>
    <w:rsid w:val="009577D8"/>
    <w:rsid w:val="0096005C"/>
    <w:rsid w:val="009601D7"/>
    <w:rsid w:val="00962281"/>
    <w:rsid w:val="009642A0"/>
    <w:rsid w:val="009706F2"/>
    <w:rsid w:val="009726DC"/>
    <w:rsid w:val="00976FD7"/>
    <w:rsid w:val="009770E7"/>
    <w:rsid w:val="0097754C"/>
    <w:rsid w:val="00977ACB"/>
    <w:rsid w:val="0098189A"/>
    <w:rsid w:val="0098473C"/>
    <w:rsid w:val="009856B4"/>
    <w:rsid w:val="00985E48"/>
    <w:rsid w:val="00987A08"/>
    <w:rsid w:val="00990210"/>
    <w:rsid w:val="0099289E"/>
    <w:rsid w:val="00994138"/>
    <w:rsid w:val="00996EEB"/>
    <w:rsid w:val="009A09B7"/>
    <w:rsid w:val="009A1066"/>
    <w:rsid w:val="009A1DDB"/>
    <w:rsid w:val="009A42FD"/>
    <w:rsid w:val="009A4984"/>
    <w:rsid w:val="009A4F4F"/>
    <w:rsid w:val="009A787C"/>
    <w:rsid w:val="009A7E6F"/>
    <w:rsid w:val="009B004A"/>
    <w:rsid w:val="009B0400"/>
    <w:rsid w:val="009B05B8"/>
    <w:rsid w:val="009B2521"/>
    <w:rsid w:val="009B573F"/>
    <w:rsid w:val="009B5815"/>
    <w:rsid w:val="009B6C73"/>
    <w:rsid w:val="009B7062"/>
    <w:rsid w:val="009B7184"/>
    <w:rsid w:val="009B7999"/>
    <w:rsid w:val="009C1DC6"/>
    <w:rsid w:val="009C3415"/>
    <w:rsid w:val="009C3E4F"/>
    <w:rsid w:val="009C4B15"/>
    <w:rsid w:val="009C5808"/>
    <w:rsid w:val="009C600B"/>
    <w:rsid w:val="009C6B30"/>
    <w:rsid w:val="009C6E35"/>
    <w:rsid w:val="009C71B6"/>
    <w:rsid w:val="009D0881"/>
    <w:rsid w:val="009D0DFF"/>
    <w:rsid w:val="009D33F0"/>
    <w:rsid w:val="009D3559"/>
    <w:rsid w:val="009D502E"/>
    <w:rsid w:val="009D5ADF"/>
    <w:rsid w:val="009E3A45"/>
    <w:rsid w:val="009E3EED"/>
    <w:rsid w:val="009E46F2"/>
    <w:rsid w:val="009E5158"/>
    <w:rsid w:val="009F2010"/>
    <w:rsid w:val="009F2EFD"/>
    <w:rsid w:val="009F55DF"/>
    <w:rsid w:val="009F6EA9"/>
    <w:rsid w:val="00A01D26"/>
    <w:rsid w:val="00A02AC3"/>
    <w:rsid w:val="00A055A7"/>
    <w:rsid w:val="00A074B7"/>
    <w:rsid w:val="00A14B24"/>
    <w:rsid w:val="00A23770"/>
    <w:rsid w:val="00A2430D"/>
    <w:rsid w:val="00A2567A"/>
    <w:rsid w:val="00A37614"/>
    <w:rsid w:val="00A4003C"/>
    <w:rsid w:val="00A43B48"/>
    <w:rsid w:val="00A47665"/>
    <w:rsid w:val="00A47FA2"/>
    <w:rsid w:val="00A500E4"/>
    <w:rsid w:val="00A50374"/>
    <w:rsid w:val="00A50810"/>
    <w:rsid w:val="00A524D4"/>
    <w:rsid w:val="00A533E5"/>
    <w:rsid w:val="00A53EE4"/>
    <w:rsid w:val="00A53EEB"/>
    <w:rsid w:val="00A54A1A"/>
    <w:rsid w:val="00A555B9"/>
    <w:rsid w:val="00A56A61"/>
    <w:rsid w:val="00A56DA6"/>
    <w:rsid w:val="00A627FA"/>
    <w:rsid w:val="00A665AF"/>
    <w:rsid w:val="00A6683A"/>
    <w:rsid w:val="00A66F44"/>
    <w:rsid w:val="00A675EC"/>
    <w:rsid w:val="00A7367D"/>
    <w:rsid w:val="00A7462B"/>
    <w:rsid w:val="00A74C1D"/>
    <w:rsid w:val="00A7522C"/>
    <w:rsid w:val="00A804FE"/>
    <w:rsid w:val="00A80AC4"/>
    <w:rsid w:val="00A80AF9"/>
    <w:rsid w:val="00A82B59"/>
    <w:rsid w:val="00A8766A"/>
    <w:rsid w:val="00A90ADB"/>
    <w:rsid w:val="00A90E5F"/>
    <w:rsid w:val="00A9170A"/>
    <w:rsid w:val="00A91CD4"/>
    <w:rsid w:val="00A937B4"/>
    <w:rsid w:val="00A93FE5"/>
    <w:rsid w:val="00A945B6"/>
    <w:rsid w:val="00A95232"/>
    <w:rsid w:val="00A97868"/>
    <w:rsid w:val="00AA0357"/>
    <w:rsid w:val="00AA0B94"/>
    <w:rsid w:val="00AA4B6F"/>
    <w:rsid w:val="00AA541A"/>
    <w:rsid w:val="00AA5948"/>
    <w:rsid w:val="00AA5989"/>
    <w:rsid w:val="00AA7D38"/>
    <w:rsid w:val="00AB0FF3"/>
    <w:rsid w:val="00AB2981"/>
    <w:rsid w:val="00AC0031"/>
    <w:rsid w:val="00AC0C51"/>
    <w:rsid w:val="00AC1C2A"/>
    <w:rsid w:val="00AC3BDC"/>
    <w:rsid w:val="00AC7F89"/>
    <w:rsid w:val="00AD1402"/>
    <w:rsid w:val="00AD25A3"/>
    <w:rsid w:val="00AD6B72"/>
    <w:rsid w:val="00AE2B44"/>
    <w:rsid w:val="00AE50C3"/>
    <w:rsid w:val="00AE566E"/>
    <w:rsid w:val="00AE60AA"/>
    <w:rsid w:val="00AE62F4"/>
    <w:rsid w:val="00AF0B74"/>
    <w:rsid w:val="00AF1D36"/>
    <w:rsid w:val="00AF1F59"/>
    <w:rsid w:val="00AF2EBB"/>
    <w:rsid w:val="00AF79A9"/>
    <w:rsid w:val="00B029D3"/>
    <w:rsid w:val="00B0353E"/>
    <w:rsid w:val="00B05765"/>
    <w:rsid w:val="00B06AD2"/>
    <w:rsid w:val="00B0702A"/>
    <w:rsid w:val="00B073FA"/>
    <w:rsid w:val="00B075C4"/>
    <w:rsid w:val="00B07750"/>
    <w:rsid w:val="00B10023"/>
    <w:rsid w:val="00B1167A"/>
    <w:rsid w:val="00B11A5C"/>
    <w:rsid w:val="00B128F9"/>
    <w:rsid w:val="00B12AAE"/>
    <w:rsid w:val="00B134BA"/>
    <w:rsid w:val="00B14315"/>
    <w:rsid w:val="00B15068"/>
    <w:rsid w:val="00B15331"/>
    <w:rsid w:val="00B16B69"/>
    <w:rsid w:val="00B21367"/>
    <w:rsid w:val="00B22D15"/>
    <w:rsid w:val="00B231C1"/>
    <w:rsid w:val="00B240D4"/>
    <w:rsid w:val="00B25FA5"/>
    <w:rsid w:val="00B308B4"/>
    <w:rsid w:val="00B343E6"/>
    <w:rsid w:val="00B405FE"/>
    <w:rsid w:val="00B45EA2"/>
    <w:rsid w:val="00B46C93"/>
    <w:rsid w:val="00B51263"/>
    <w:rsid w:val="00B53B32"/>
    <w:rsid w:val="00B552FF"/>
    <w:rsid w:val="00B5653E"/>
    <w:rsid w:val="00B56FC1"/>
    <w:rsid w:val="00B57243"/>
    <w:rsid w:val="00B616A3"/>
    <w:rsid w:val="00B61799"/>
    <w:rsid w:val="00B61C8C"/>
    <w:rsid w:val="00B62132"/>
    <w:rsid w:val="00B67C33"/>
    <w:rsid w:val="00B70260"/>
    <w:rsid w:val="00B711DF"/>
    <w:rsid w:val="00B749C8"/>
    <w:rsid w:val="00B74BA6"/>
    <w:rsid w:val="00B7511E"/>
    <w:rsid w:val="00B756D7"/>
    <w:rsid w:val="00B7662F"/>
    <w:rsid w:val="00B81C19"/>
    <w:rsid w:val="00B85254"/>
    <w:rsid w:val="00B86B27"/>
    <w:rsid w:val="00B87186"/>
    <w:rsid w:val="00B90811"/>
    <w:rsid w:val="00B91D74"/>
    <w:rsid w:val="00B93B17"/>
    <w:rsid w:val="00B948EF"/>
    <w:rsid w:val="00B9696D"/>
    <w:rsid w:val="00B96B3B"/>
    <w:rsid w:val="00B96E11"/>
    <w:rsid w:val="00BA1095"/>
    <w:rsid w:val="00BB0BC9"/>
    <w:rsid w:val="00BB2501"/>
    <w:rsid w:val="00BB2BA5"/>
    <w:rsid w:val="00BB407F"/>
    <w:rsid w:val="00BB5287"/>
    <w:rsid w:val="00BB6280"/>
    <w:rsid w:val="00BB7F32"/>
    <w:rsid w:val="00BC0595"/>
    <w:rsid w:val="00BC1D76"/>
    <w:rsid w:val="00BC2217"/>
    <w:rsid w:val="00BC239B"/>
    <w:rsid w:val="00BC2760"/>
    <w:rsid w:val="00BC388F"/>
    <w:rsid w:val="00BC42FC"/>
    <w:rsid w:val="00BC5D04"/>
    <w:rsid w:val="00BD05A6"/>
    <w:rsid w:val="00BD08B8"/>
    <w:rsid w:val="00BD1163"/>
    <w:rsid w:val="00BD156F"/>
    <w:rsid w:val="00BD1786"/>
    <w:rsid w:val="00BD4F44"/>
    <w:rsid w:val="00BE24D0"/>
    <w:rsid w:val="00BE32C0"/>
    <w:rsid w:val="00BE3A86"/>
    <w:rsid w:val="00BE57AA"/>
    <w:rsid w:val="00BE5D95"/>
    <w:rsid w:val="00BF0B14"/>
    <w:rsid w:val="00BF5893"/>
    <w:rsid w:val="00BF5DF9"/>
    <w:rsid w:val="00BF7B40"/>
    <w:rsid w:val="00C006CC"/>
    <w:rsid w:val="00C022DE"/>
    <w:rsid w:val="00C050C1"/>
    <w:rsid w:val="00C05DD2"/>
    <w:rsid w:val="00C06400"/>
    <w:rsid w:val="00C06BD9"/>
    <w:rsid w:val="00C12F40"/>
    <w:rsid w:val="00C14F2F"/>
    <w:rsid w:val="00C14FB0"/>
    <w:rsid w:val="00C157A7"/>
    <w:rsid w:val="00C16366"/>
    <w:rsid w:val="00C166ED"/>
    <w:rsid w:val="00C219AA"/>
    <w:rsid w:val="00C25FED"/>
    <w:rsid w:val="00C27554"/>
    <w:rsid w:val="00C27650"/>
    <w:rsid w:val="00C2779B"/>
    <w:rsid w:val="00C27C71"/>
    <w:rsid w:val="00C313CA"/>
    <w:rsid w:val="00C343F4"/>
    <w:rsid w:val="00C401E4"/>
    <w:rsid w:val="00C41E32"/>
    <w:rsid w:val="00C43012"/>
    <w:rsid w:val="00C45EFD"/>
    <w:rsid w:val="00C50ED9"/>
    <w:rsid w:val="00C52349"/>
    <w:rsid w:val="00C52CB3"/>
    <w:rsid w:val="00C53912"/>
    <w:rsid w:val="00C55B34"/>
    <w:rsid w:val="00C604E8"/>
    <w:rsid w:val="00C61306"/>
    <w:rsid w:val="00C61F6B"/>
    <w:rsid w:val="00C643B7"/>
    <w:rsid w:val="00C658EA"/>
    <w:rsid w:val="00C66BDD"/>
    <w:rsid w:val="00C70633"/>
    <w:rsid w:val="00C71807"/>
    <w:rsid w:val="00C71B2D"/>
    <w:rsid w:val="00C729BF"/>
    <w:rsid w:val="00C7592A"/>
    <w:rsid w:val="00C75932"/>
    <w:rsid w:val="00C77A2E"/>
    <w:rsid w:val="00C818BD"/>
    <w:rsid w:val="00C87792"/>
    <w:rsid w:val="00C90B11"/>
    <w:rsid w:val="00C92253"/>
    <w:rsid w:val="00C962FE"/>
    <w:rsid w:val="00CA226C"/>
    <w:rsid w:val="00CA7237"/>
    <w:rsid w:val="00CA7586"/>
    <w:rsid w:val="00CA7747"/>
    <w:rsid w:val="00CA7A59"/>
    <w:rsid w:val="00CB297F"/>
    <w:rsid w:val="00CB5F3B"/>
    <w:rsid w:val="00CB7833"/>
    <w:rsid w:val="00CC03A1"/>
    <w:rsid w:val="00CC56B0"/>
    <w:rsid w:val="00CC60F6"/>
    <w:rsid w:val="00CC6E22"/>
    <w:rsid w:val="00CD1EC2"/>
    <w:rsid w:val="00CD2A15"/>
    <w:rsid w:val="00CD2D3D"/>
    <w:rsid w:val="00CD6B75"/>
    <w:rsid w:val="00CE081A"/>
    <w:rsid w:val="00CE0C33"/>
    <w:rsid w:val="00CE2829"/>
    <w:rsid w:val="00CE4CDC"/>
    <w:rsid w:val="00CE4F03"/>
    <w:rsid w:val="00CE7982"/>
    <w:rsid w:val="00CE7ADE"/>
    <w:rsid w:val="00CF0C7F"/>
    <w:rsid w:val="00CF0F81"/>
    <w:rsid w:val="00CF374A"/>
    <w:rsid w:val="00CF4411"/>
    <w:rsid w:val="00D067C6"/>
    <w:rsid w:val="00D101E5"/>
    <w:rsid w:val="00D101F5"/>
    <w:rsid w:val="00D10BCA"/>
    <w:rsid w:val="00D12C23"/>
    <w:rsid w:val="00D144F0"/>
    <w:rsid w:val="00D1499D"/>
    <w:rsid w:val="00D17468"/>
    <w:rsid w:val="00D22B06"/>
    <w:rsid w:val="00D23743"/>
    <w:rsid w:val="00D243D4"/>
    <w:rsid w:val="00D247CE"/>
    <w:rsid w:val="00D24BDD"/>
    <w:rsid w:val="00D311D1"/>
    <w:rsid w:val="00D3330E"/>
    <w:rsid w:val="00D35009"/>
    <w:rsid w:val="00D3501C"/>
    <w:rsid w:val="00D352D0"/>
    <w:rsid w:val="00D36630"/>
    <w:rsid w:val="00D37269"/>
    <w:rsid w:val="00D37A3B"/>
    <w:rsid w:val="00D45E21"/>
    <w:rsid w:val="00D46BB8"/>
    <w:rsid w:val="00D523D2"/>
    <w:rsid w:val="00D52DFE"/>
    <w:rsid w:val="00D53464"/>
    <w:rsid w:val="00D56E97"/>
    <w:rsid w:val="00D57525"/>
    <w:rsid w:val="00D615D4"/>
    <w:rsid w:val="00D62737"/>
    <w:rsid w:val="00D6354B"/>
    <w:rsid w:val="00D647B1"/>
    <w:rsid w:val="00D64AF7"/>
    <w:rsid w:val="00D65DDB"/>
    <w:rsid w:val="00D66117"/>
    <w:rsid w:val="00D678D6"/>
    <w:rsid w:val="00D702AD"/>
    <w:rsid w:val="00D73493"/>
    <w:rsid w:val="00D84B9E"/>
    <w:rsid w:val="00D87AE1"/>
    <w:rsid w:val="00D90394"/>
    <w:rsid w:val="00D9328A"/>
    <w:rsid w:val="00D95C90"/>
    <w:rsid w:val="00DA1C22"/>
    <w:rsid w:val="00DA39FE"/>
    <w:rsid w:val="00DA5453"/>
    <w:rsid w:val="00DA6263"/>
    <w:rsid w:val="00DB2AA4"/>
    <w:rsid w:val="00DB2DE3"/>
    <w:rsid w:val="00DB444A"/>
    <w:rsid w:val="00DB5ABD"/>
    <w:rsid w:val="00DC1341"/>
    <w:rsid w:val="00DC29ED"/>
    <w:rsid w:val="00DC4147"/>
    <w:rsid w:val="00DD293F"/>
    <w:rsid w:val="00DD2C17"/>
    <w:rsid w:val="00DD3C33"/>
    <w:rsid w:val="00DD5365"/>
    <w:rsid w:val="00DD6C38"/>
    <w:rsid w:val="00DD7C51"/>
    <w:rsid w:val="00DE45AC"/>
    <w:rsid w:val="00DE5B74"/>
    <w:rsid w:val="00DF0BAA"/>
    <w:rsid w:val="00DF242D"/>
    <w:rsid w:val="00DF60B0"/>
    <w:rsid w:val="00E01829"/>
    <w:rsid w:val="00E02655"/>
    <w:rsid w:val="00E02A5C"/>
    <w:rsid w:val="00E03CFE"/>
    <w:rsid w:val="00E04C34"/>
    <w:rsid w:val="00E05C81"/>
    <w:rsid w:val="00E05FB3"/>
    <w:rsid w:val="00E10008"/>
    <w:rsid w:val="00E112A2"/>
    <w:rsid w:val="00E112A8"/>
    <w:rsid w:val="00E114B0"/>
    <w:rsid w:val="00E1296F"/>
    <w:rsid w:val="00E14D45"/>
    <w:rsid w:val="00E15BE2"/>
    <w:rsid w:val="00E167B3"/>
    <w:rsid w:val="00E176B2"/>
    <w:rsid w:val="00E17AE9"/>
    <w:rsid w:val="00E201D1"/>
    <w:rsid w:val="00E21E3E"/>
    <w:rsid w:val="00E23FAD"/>
    <w:rsid w:val="00E249C1"/>
    <w:rsid w:val="00E30CCF"/>
    <w:rsid w:val="00E327EC"/>
    <w:rsid w:val="00E32879"/>
    <w:rsid w:val="00E3367A"/>
    <w:rsid w:val="00E33698"/>
    <w:rsid w:val="00E33DF4"/>
    <w:rsid w:val="00E448E6"/>
    <w:rsid w:val="00E45D11"/>
    <w:rsid w:val="00E47A6B"/>
    <w:rsid w:val="00E50ABE"/>
    <w:rsid w:val="00E510AB"/>
    <w:rsid w:val="00E5193C"/>
    <w:rsid w:val="00E53C10"/>
    <w:rsid w:val="00E5561D"/>
    <w:rsid w:val="00E56D84"/>
    <w:rsid w:val="00E60821"/>
    <w:rsid w:val="00E6103C"/>
    <w:rsid w:val="00E62462"/>
    <w:rsid w:val="00E62C2B"/>
    <w:rsid w:val="00E729D1"/>
    <w:rsid w:val="00E746FE"/>
    <w:rsid w:val="00E75FBA"/>
    <w:rsid w:val="00E77742"/>
    <w:rsid w:val="00E8134D"/>
    <w:rsid w:val="00E82025"/>
    <w:rsid w:val="00E83A1C"/>
    <w:rsid w:val="00E846EA"/>
    <w:rsid w:val="00E85C71"/>
    <w:rsid w:val="00E87C57"/>
    <w:rsid w:val="00E92DE9"/>
    <w:rsid w:val="00E934D6"/>
    <w:rsid w:val="00E93B7C"/>
    <w:rsid w:val="00E93CBC"/>
    <w:rsid w:val="00E93EC3"/>
    <w:rsid w:val="00E9510C"/>
    <w:rsid w:val="00E95E20"/>
    <w:rsid w:val="00E964AA"/>
    <w:rsid w:val="00E97455"/>
    <w:rsid w:val="00EA096F"/>
    <w:rsid w:val="00EA0D57"/>
    <w:rsid w:val="00EA2621"/>
    <w:rsid w:val="00EA32EE"/>
    <w:rsid w:val="00EA38F6"/>
    <w:rsid w:val="00EB0959"/>
    <w:rsid w:val="00EB5567"/>
    <w:rsid w:val="00EC2233"/>
    <w:rsid w:val="00EC54B2"/>
    <w:rsid w:val="00EC7911"/>
    <w:rsid w:val="00EC79A5"/>
    <w:rsid w:val="00EC7B91"/>
    <w:rsid w:val="00ED040B"/>
    <w:rsid w:val="00ED4730"/>
    <w:rsid w:val="00ED764B"/>
    <w:rsid w:val="00EE1C37"/>
    <w:rsid w:val="00EE343A"/>
    <w:rsid w:val="00EE634C"/>
    <w:rsid w:val="00EE69C2"/>
    <w:rsid w:val="00EE7BA1"/>
    <w:rsid w:val="00EF04C2"/>
    <w:rsid w:val="00EF0872"/>
    <w:rsid w:val="00EF2453"/>
    <w:rsid w:val="00EF54D9"/>
    <w:rsid w:val="00EF567E"/>
    <w:rsid w:val="00EF740D"/>
    <w:rsid w:val="00EF7E33"/>
    <w:rsid w:val="00F017FC"/>
    <w:rsid w:val="00F064D1"/>
    <w:rsid w:val="00F06991"/>
    <w:rsid w:val="00F06D56"/>
    <w:rsid w:val="00F11CC4"/>
    <w:rsid w:val="00F12172"/>
    <w:rsid w:val="00F12E2B"/>
    <w:rsid w:val="00F1306D"/>
    <w:rsid w:val="00F17E77"/>
    <w:rsid w:val="00F2232F"/>
    <w:rsid w:val="00F22B98"/>
    <w:rsid w:val="00F249ED"/>
    <w:rsid w:val="00F2547E"/>
    <w:rsid w:val="00F26234"/>
    <w:rsid w:val="00F27910"/>
    <w:rsid w:val="00F30664"/>
    <w:rsid w:val="00F30992"/>
    <w:rsid w:val="00F3194F"/>
    <w:rsid w:val="00F31BAA"/>
    <w:rsid w:val="00F33F8D"/>
    <w:rsid w:val="00F34A49"/>
    <w:rsid w:val="00F36E51"/>
    <w:rsid w:val="00F406CA"/>
    <w:rsid w:val="00F41014"/>
    <w:rsid w:val="00F42084"/>
    <w:rsid w:val="00F43E6F"/>
    <w:rsid w:val="00F46836"/>
    <w:rsid w:val="00F5189F"/>
    <w:rsid w:val="00F559E6"/>
    <w:rsid w:val="00F61EEC"/>
    <w:rsid w:val="00F64C46"/>
    <w:rsid w:val="00F64F56"/>
    <w:rsid w:val="00F65D74"/>
    <w:rsid w:val="00F67EE3"/>
    <w:rsid w:val="00F71F04"/>
    <w:rsid w:val="00F73EB7"/>
    <w:rsid w:val="00F755DE"/>
    <w:rsid w:val="00F75608"/>
    <w:rsid w:val="00F7666D"/>
    <w:rsid w:val="00F76776"/>
    <w:rsid w:val="00F80567"/>
    <w:rsid w:val="00F82822"/>
    <w:rsid w:val="00F82A54"/>
    <w:rsid w:val="00F836EA"/>
    <w:rsid w:val="00F8433A"/>
    <w:rsid w:val="00F84C31"/>
    <w:rsid w:val="00F8530D"/>
    <w:rsid w:val="00F8536F"/>
    <w:rsid w:val="00F91F1D"/>
    <w:rsid w:val="00F95A6A"/>
    <w:rsid w:val="00F96A54"/>
    <w:rsid w:val="00F9795F"/>
    <w:rsid w:val="00FA0F95"/>
    <w:rsid w:val="00FA1C69"/>
    <w:rsid w:val="00FA2965"/>
    <w:rsid w:val="00FA2C9F"/>
    <w:rsid w:val="00FA2D7C"/>
    <w:rsid w:val="00FA301B"/>
    <w:rsid w:val="00FA3F93"/>
    <w:rsid w:val="00FA4CB1"/>
    <w:rsid w:val="00FA511D"/>
    <w:rsid w:val="00FB0348"/>
    <w:rsid w:val="00FB1A73"/>
    <w:rsid w:val="00FB1D56"/>
    <w:rsid w:val="00FB4805"/>
    <w:rsid w:val="00FB5780"/>
    <w:rsid w:val="00FB71FC"/>
    <w:rsid w:val="00FC12F5"/>
    <w:rsid w:val="00FC1345"/>
    <w:rsid w:val="00FC4350"/>
    <w:rsid w:val="00FC49BC"/>
    <w:rsid w:val="00FC608C"/>
    <w:rsid w:val="00FC6F25"/>
    <w:rsid w:val="00FC76E0"/>
    <w:rsid w:val="00FD1855"/>
    <w:rsid w:val="00FE306A"/>
    <w:rsid w:val="00FE372D"/>
    <w:rsid w:val="00FE4657"/>
    <w:rsid w:val="00FE46F1"/>
    <w:rsid w:val="00FF1FF4"/>
    <w:rsid w:val="00FF45C7"/>
    <w:rsid w:val="00FF4FAD"/>
    <w:rsid w:val="00FF6C0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65BBB"/>
  <w15:docId w15:val="{2126274A-7552-3B4E-B86F-BF1F114F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5D8"/>
    <w:rPr>
      <w:rFonts w:eastAsia="Batang"/>
      <w:lang w:val="es-MX"/>
    </w:rPr>
  </w:style>
  <w:style w:type="paragraph" w:styleId="Ttulo1">
    <w:name w:val="heading 1"/>
    <w:aliases w:val="Título Verdana"/>
    <w:basedOn w:val="Normal"/>
    <w:next w:val="Normal"/>
    <w:link w:val="Ttulo1Car"/>
    <w:uiPriority w:val="9"/>
    <w:qFormat/>
    <w:rsid w:val="001C05D8"/>
    <w:pPr>
      <w:spacing w:after="0" w:line="240" w:lineRule="auto"/>
      <w:ind w:right="6"/>
      <w:jc w:val="center"/>
      <w:outlineLvl w:val="0"/>
    </w:pPr>
    <w:rPr>
      <w:rFonts w:ascii="Verdana" w:hAnsi="Verdana"/>
      <w:b/>
      <w:sz w:val="20"/>
      <w:szCs w:val="20"/>
    </w:rPr>
  </w:style>
  <w:style w:type="paragraph" w:styleId="Ttulo2">
    <w:name w:val="heading 2"/>
    <w:basedOn w:val="Normal"/>
    <w:next w:val="Normal"/>
    <w:link w:val="Ttulo2Car"/>
    <w:unhideWhenUsed/>
    <w:qFormat/>
    <w:rsid w:val="001C05D8"/>
    <w:pPr>
      <w:keepNext/>
      <w:keepLines/>
      <w:widowControl w:val="0"/>
      <w:numPr>
        <w:numId w:val="17"/>
      </w:numPr>
      <w:adjustRightInd w:val="0"/>
      <w:spacing w:after="0" w:line="240" w:lineRule="auto"/>
      <w:jc w:val="both"/>
      <w:textAlignment w:val="baseline"/>
      <w:outlineLvl w:val="1"/>
    </w:pPr>
    <w:rPr>
      <w:rFonts w:ascii="Verdana" w:eastAsia="MS Mincho" w:hAnsi="Verdana" w:cs="Times New Roman"/>
      <w:b/>
      <w:i/>
      <w:sz w:val="20"/>
      <w:szCs w:val="20"/>
      <w:lang w:val="es-CR" w:eastAsia="es-CR"/>
    </w:rPr>
  </w:style>
  <w:style w:type="paragraph" w:styleId="Ttulo3">
    <w:name w:val="heading 3"/>
    <w:basedOn w:val="Prrafodelista"/>
    <w:next w:val="Normal"/>
    <w:link w:val="Ttulo3Car"/>
    <w:uiPriority w:val="9"/>
    <w:unhideWhenUsed/>
    <w:qFormat/>
    <w:rsid w:val="001C05D8"/>
    <w:pPr>
      <w:numPr>
        <w:numId w:val="12"/>
      </w:numPr>
      <w:tabs>
        <w:tab w:val="left" w:pos="1276"/>
      </w:tabs>
      <w:spacing w:after="0" w:line="240" w:lineRule="auto"/>
      <w:jc w:val="both"/>
      <w:outlineLvl w:val="2"/>
    </w:pPr>
    <w:rPr>
      <w:rFonts w:ascii="Verdana" w:hAnsi="Verdana"/>
      <w:b/>
      <w:i/>
      <w:sz w:val="20"/>
      <w:szCs w:val="20"/>
    </w:rPr>
  </w:style>
  <w:style w:type="paragraph" w:styleId="Ttulo4">
    <w:name w:val="heading 4"/>
    <w:basedOn w:val="Prrafodelista"/>
    <w:next w:val="Normal"/>
    <w:link w:val="Ttulo4Car"/>
    <w:uiPriority w:val="9"/>
    <w:unhideWhenUsed/>
    <w:qFormat/>
    <w:rsid w:val="001C05D8"/>
    <w:pPr>
      <w:numPr>
        <w:numId w:val="4"/>
      </w:numPr>
      <w:tabs>
        <w:tab w:val="left" w:pos="1418"/>
      </w:tabs>
      <w:spacing w:after="0" w:line="240" w:lineRule="auto"/>
      <w:jc w:val="both"/>
      <w:outlineLvl w:val="3"/>
    </w:pPr>
    <w:rPr>
      <w:rFonts w:ascii="Verdana" w:hAnsi="Verdana"/>
      <w:i/>
      <w:sz w:val="20"/>
      <w:szCs w:val="20"/>
      <w:u w:val="single"/>
    </w:rPr>
  </w:style>
  <w:style w:type="paragraph" w:styleId="Ttulo5">
    <w:name w:val="heading 5"/>
    <w:basedOn w:val="Prrafodelista"/>
    <w:link w:val="Ttulo5Car"/>
    <w:uiPriority w:val="9"/>
    <w:qFormat/>
    <w:rsid w:val="001C05D8"/>
    <w:pPr>
      <w:numPr>
        <w:ilvl w:val="1"/>
        <w:numId w:val="1"/>
      </w:numPr>
      <w:tabs>
        <w:tab w:val="left" w:pos="1418"/>
      </w:tabs>
      <w:spacing w:after="0" w:line="240" w:lineRule="auto"/>
      <w:jc w:val="both"/>
      <w:outlineLvl w:val="4"/>
    </w:pPr>
    <w:rPr>
      <w:rFonts w:ascii="Verdana" w:hAnsi="Verdana"/>
      <w:i/>
      <w:sz w:val="20"/>
      <w:szCs w:val="20"/>
    </w:rPr>
  </w:style>
  <w:style w:type="paragraph" w:styleId="Ttulo6">
    <w:name w:val="heading 6"/>
    <w:basedOn w:val="Prrafodelista"/>
    <w:next w:val="Normal"/>
    <w:link w:val="Ttulo6Car"/>
    <w:uiPriority w:val="9"/>
    <w:unhideWhenUsed/>
    <w:qFormat/>
    <w:rsid w:val="001C05D8"/>
    <w:pPr>
      <w:numPr>
        <w:numId w:val="2"/>
      </w:numPr>
      <w:jc w:val="both"/>
      <w:outlineLvl w:val="5"/>
    </w:pPr>
    <w:rPr>
      <w:rFonts w:ascii="Verdana" w:hAnsi="Verdana"/>
      <w:i/>
      <w:sz w:val="20"/>
      <w:szCs w:val="20"/>
      <w:lang w:val="es-CR"/>
    </w:rPr>
  </w:style>
  <w:style w:type="paragraph" w:styleId="Ttulo7">
    <w:name w:val="heading 7"/>
    <w:basedOn w:val="Prrafodelista"/>
    <w:next w:val="Normal"/>
    <w:link w:val="Ttulo7Car"/>
    <w:uiPriority w:val="9"/>
    <w:unhideWhenUsed/>
    <w:qFormat/>
    <w:rsid w:val="001C05D8"/>
    <w:pPr>
      <w:numPr>
        <w:numId w:val="3"/>
      </w:numPr>
      <w:spacing w:after="0" w:line="240" w:lineRule="auto"/>
      <w:jc w:val="both"/>
      <w:outlineLvl w:val="6"/>
    </w:pPr>
    <w:rPr>
      <w:rFonts w:ascii="Verdana" w:hAnsi="Verdana"/>
      <w:i/>
      <w:sz w:val="20"/>
      <w:szCs w:val="20"/>
      <w:u w:val="single"/>
      <w:lang w:val="es-AR"/>
    </w:rPr>
  </w:style>
  <w:style w:type="paragraph" w:styleId="Ttulo8">
    <w:name w:val="heading 8"/>
    <w:basedOn w:val="Prrafodelista"/>
    <w:next w:val="Normal"/>
    <w:link w:val="Ttulo8Car"/>
    <w:uiPriority w:val="9"/>
    <w:unhideWhenUsed/>
    <w:qFormat/>
    <w:rsid w:val="001C05D8"/>
    <w:pPr>
      <w:numPr>
        <w:numId w:val="5"/>
      </w:numPr>
      <w:spacing w:after="0" w:line="240" w:lineRule="auto"/>
      <w:jc w:val="both"/>
      <w:outlineLvl w:val="7"/>
    </w:pPr>
    <w:rPr>
      <w:rFonts w:ascii="Verdana" w:hAnsi="Verdana" w:cs="Cambria"/>
      <w:i/>
      <w:sz w:val="20"/>
      <w:szCs w:val="20"/>
    </w:rPr>
  </w:style>
  <w:style w:type="paragraph" w:styleId="Ttulo9">
    <w:name w:val="heading 9"/>
    <w:basedOn w:val="Prrafodelista"/>
    <w:next w:val="Normal"/>
    <w:link w:val="Ttulo9Car"/>
    <w:uiPriority w:val="9"/>
    <w:unhideWhenUsed/>
    <w:qFormat/>
    <w:rsid w:val="001C05D8"/>
    <w:pPr>
      <w:numPr>
        <w:numId w:val="6"/>
      </w:numPr>
      <w:autoSpaceDE w:val="0"/>
      <w:autoSpaceDN w:val="0"/>
      <w:adjustRightInd w:val="0"/>
      <w:spacing w:after="0" w:line="240" w:lineRule="auto"/>
      <w:jc w:val="both"/>
      <w:outlineLvl w:val="8"/>
    </w:pPr>
    <w:rPr>
      <w:rFonts w:ascii="Verdana" w:eastAsiaTheme="minorHAnsi" w:hAnsi="Verdana"/>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Verdana Car"/>
    <w:basedOn w:val="Fuentedeprrafopredeter"/>
    <w:link w:val="Ttulo1"/>
    <w:uiPriority w:val="9"/>
    <w:rsid w:val="001C05D8"/>
    <w:rPr>
      <w:rFonts w:ascii="Verdana" w:eastAsia="Batang" w:hAnsi="Verdana"/>
      <w:b/>
      <w:sz w:val="20"/>
      <w:szCs w:val="20"/>
      <w:lang w:val="es-MX"/>
    </w:rPr>
  </w:style>
  <w:style w:type="character" w:customStyle="1" w:styleId="Ttulo2Car">
    <w:name w:val="Título 2 Car"/>
    <w:basedOn w:val="Fuentedeprrafopredeter"/>
    <w:link w:val="Ttulo2"/>
    <w:rsid w:val="001C05D8"/>
    <w:rPr>
      <w:rFonts w:ascii="Verdana" w:eastAsia="MS Mincho" w:hAnsi="Verdana" w:cs="Times New Roman"/>
      <w:b/>
      <w:i/>
      <w:sz w:val="20"/>
      <w:szCs w:val="20"/>
      <w:lang w:val="es-CR" w:eastAsia="es-CR"/>
    </w:rPr>
  </w:style>
  <w:style w:type="character" w:customStyle="1" w:styleId="Ttulo3Car">
    <w:name w:val="Título 3 Car"/>
    <w:basedOn w:val="Fuentedeprrafopredeter"/>
    <w:link w:val="Ttulo3"/>
    <w:uiPriority w:val="9"/>
    <w:rsid w:val="001C05D8"/>
    <w:rPr>
      <w:rFonts w:ascii="Verdana" w:eastAsia="Batang" w:hAnsi="Verdana"/>
      <w:b/>
      <w:i/>
      <w:sz w:val="20"/>
      <w:szCs w:val="20"/>
      <w:lang w:val="es-MX"/>
    </w:rPr>
  </w:style>
  <w:style w:type="character" w:customStyle="1" w:styleId="Ttulo4Car">
    <w:name w:val="Título 4 Car"/>
    <w:basedOn w:val="Fuentedeprrafopredeter"/>
    <w:link w:val="Ttulo4"/>
    <w:uiPriority w:val="9"/>
    <w:rsid w:val="001C05D8"/>
    <w:rPr>
      <w:rFonts w:ascii="Verdana" w:eastAsia="Batang" w:hAnsi="Verdana"/>
      <w:i/>
      <w:sz w:val="20"/>
      <w:szCs w:val="20"/>
      <w:u w:val="single"/>
      <w:lang w:val="es-MX"/>
    </w:rPr>
  </w:style>
  <w:style w:type="character" w:customStyle="1" w:styleId="Ttulo5Car">
    <w:name w:val="Título 5 Car"/>
    <w:basedOn w:val="Fuentedeprrafopredeter"/>
    <w:link w:val="Ttulo5"/>
    <w:uiPriority w:val="9"/>
    <w:rsid w:val="001C05D8"/>
    <w:rPr>
      <w:rFonts w:ascii="Verdana" w:eastAsia="Batang" w:hAnsi="Verdana"/>
      <w:i/>
      <w:sz w:val="20"/>
      <w:szCs w:val="20"/>
      <w:lang w:val="es-MX"/>
    </w:rPr>
  </w:style>
  <w:style w:type="character" w:customStyle="1" w:styleId="Ttulo6Car">
    <w:name w:val="Título 6 Car"/>
    <w:basedOn w:val="Fuentedeprrafopredeter"/>
    <w:link w:val="Ttulo6"/>
    <w:uiPriority w:val="9"/>
    <w:rsid w:val="001C05D8"/>
    <w:rPr>
      <w:rFonts w:ascii="Verdana" w:eastAsia="Batang" w:hAnsi="Verdana"/>
      <w:i/>
      <w:sz w:val="20"/>
      <w:szCs w:val="20"/>
      <w:lang w:val="es-CR"/>
    </w:rPr>
  </w:style>
  <w:style w:type="character" w:customStyle="1" w:styleId="Ttulo7Car">
    <w:name w:val="Título 7 Car"/>
    <w:basedOn w:val="Fuentedeprrafopredeter"/>
    <w:link w:val="Ttulo7"/>
    <w:uiPriority w:val="9"/>
    <w:rsid w:val="001C05D8"/>
    <w:rPr>
      <w:rFonts w:ascii="Verdana" w:eastAsia="Batang" w:hAnsi="Verdana"/>
      <w:i/>
      <w:sz w:val="20"/>
      <w:szCs w:val="20"/>
      <w:u w:val="single"/>
      <w:lang w:val="es-AR"/>
    </w:rPr>
  </w:style>
  <w:style w:type="character" w:customStyle="1" w:styleId="Ttulo8Car">
    <w:name w:val="Título 8 Car"/>
    <w:basedOn w:val="Fuentedeprrafopredeter"/>
    <w:link w:val="Ttulo8"/>
    <w:uiPriority w:val="9"/>
    <w:rsid w:val="001C05D8"/>
    <w:rPr>
      <w:rFonts w:ascii="Verdana" w:eastAsia="Batang" w:hAnsi="Verdana" w:cs="Cambria"/>
      <w:i/>
      <w:sz w:val="20"/>
      <w:szCs w:val="20"/>
      <w:lang w:val="es-MX"/>
    </w:rPr>
  </w:style>
  <w:style w:type="character" w:customStyle="1" w:styleId="Ttulo9Car">
    <w:name w:val="Título 9 Car"/>
    <w:basedOn w:val="Fuentedeprrafopredeter"/>
    <w:link w:val="Ttulo9"/>
    <w:uiPriority w:val="9"/>
    <w:rsid w:val="001C05D8"/>
    <w:rPr>
      <w:rFonts w:ascii="Verdana" w:hAnsi="Verdana"/>
      <w:i/>
      <w:sz w:val="20"/>
      <w:szCs w:val="20"/>
      <w:lang w:val="es-MX"/>
    </w:rPr>
  </w:style>
  <w:style w:type="paragraph" w:styleId="Prrafodelista">
    <w:name w:val="List Paragraph"/>
    <w:aliases w:val="List Paragraph1,Colorful List - Accent 11,Párrafo de lista1,List Paragraph2,Lista vistosa - Énfasis 11,Footnote,Subtle Emphasis1,Footnote1"/>
    <w:basedOn w:val="Normal"/>
    <w:link w:val="PrrafodelistaCar"/>
    <w:uiPriority w:val="99"/>
    <w:qFormat/>
    <w:rsid w:val="001C05D8"/>
    <w:pPr>
      <w:ind w:left="720"/>
      <w:contextualSpacing/>
    </w:pPr>
  </w:style>
  <w:style w:type="character" w:styleId="Refdecomentario">
    <w:name w:val="annotation reference"/>
    <w:basedOn w:val="Fuentedeprrafopredeter"/>
    <w:uiPriority w:val="99"/>
    <w:unhideWhenUsed/>
    <w:rsid w:val="001C05D8"/>
    <w:rPr>
      <w:sz w:val="16"/>
      <w:szCs w:val="16"/>
    </w:rPr>
  </w:style>
  <w:style w:type="paragraph" w:styleId="Textocomentario">
    <w:name w:val="annotation text"/>
    <w:basedOn w:val="Normal"/>
    <w:link w:val="TextocomentarioCar"/>
    <w:uiPriority w:val="99"/>
    <w:unhideWhenUsed/>
    <w:rsid w:val="001C05D8"/>
    <w:pPr>
      <w:spacing w:line="240" w:lineRule="auto"/>
    </w:pPr>
    <w:rPr>
      <w:sz w:val="20"/>
      <w:szCs w:val="20"/>
    </w:rPr>
  </w:style>
  <w:style w:type="character" w:customStyle="1" w:styleId="TextocomentarioCar">
    <w:name w:val="Texto comentario Car"/>
    <w:basedOn w:val="Fuentedeprrafopredeter"/>
    <w:link w:val="Textocomentario"/>
    <w:uiPriority w:val="99"/>
    <w:rsid w:val="001C05D8"/>
    <w:rPr>
      <w:rFonts w:eastAsia="Batang"/>
      <w:sz w:val="20"/>
      <w:szCs w:val="20"/>
      <w:lang w:val="es-MX"/>
    </w:rPr>
  </w:style>
  <w:style w:type="paragraph" w:styleId="Textodeglobo">
    <w:name w:val="Balloon Text"/>
    <w:basedOn w:val="Normal"/>
    <w:link w:val="TextodegloboCar"/>
    <w:uiPriority w:val="99"/>
    <w:semiHidden/>
    <w:unhideWhenUsed/>
    <w:rsid w:val="001C05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05D8"/>
    <w:rPr>
      <w:rFonts w:ascii="Tahoma" w:eastAsia="Batang" w:hAnsi="Tahoma" w:cs="Tahoma"/>
      <w:sz w:val="16"/>
      <w:szCs w:val="16"/>
      <w:lang w:val="es-MX"/>
    </w:rPr>
  </w:style>
  <w:style w:type="paragraph" w:styleId="Textonotapie">
    <w:name w:val="footnote text"/>
    <w:aliases w:val="Footnote Text Char Char Char Char Char,Footnote Text Char Char Char Char,Footnote reference,FA Fu,FA Fußnotentext,FA Fu§notentext,FA Fu?notentext,?notentext,Footnote Text Char Char Char,§notentext,FA,Footnote Text Char Char,?notent,ft,C,5"/>
    <w:basedOn w:val="Normal"/>
    <w:link w:val="TextonotapieCar"/>
    <w:unhideWhenUsed/>
    <w:qFormat/>
    <w:rsid w:val="001C05D8"/>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A Fußnotentext Car,FA Fu§notentext Car,FA Fu?notentext Car,?notentext Car,Footnote Text Char Char Char Car,FA Car1"/>
    <w:basedOn w:val="Fuentedeprrafopredeter"/>
    <w:link w:val="Textonotapie"/>
    <w:qFormat/>
    <w:rsid w:val="001C05D8"/>
    <w:rPr>
      <w:rFonts w:eastAsia="Batang"/>
      <w:sz w:val="20"/>
      <w:szCs w:val="20"/>
      <w:lang w:val="es-MX"/>
    </w:rPr>
  </w:style>
  <w:style w:type="character" w:styleId="Refdenotaalpie">
    <w:name w:val="footnote reference"/>
    <w:aliases w:val="Appel note de bas de page,Footnotes refss,Footnote number,referencia nota al pie,BVI fnr,f,4_G,16 Point,Superscript 6 Point,Texto nota al pie,Footnote Reference Char3,Footnote Reference Char1 Char,Ref. de nota al,Ref. de nota al pi"/>
    <w:basedOn w:val="Fuentedeprrafopredeter"/>
    <w:link w:val="4GChar"/>
    <w:uiPriority w:val="99"/>
    <w:unhideWhenUsed/>
    <w:qFormat/>
    <w:rsid w:val="001C05D8"/>
    <w:rPr>
      <w:vertAlign w:val="superscript"/>
    </w:rPr>
  </w:style>
  <w:style w:type="character" w:styleId="Hipervnculo">
    <w:name w:val="Hyperlink"/>
    <w:aliases w:val="Heading 3 caso"/>
    <w:basedOn w:val="Fuentedeprrafopredeter"/>
    <w:uiPriority w:val="99"/>
    <w:unhideWhenUsed/>
    <w:rsid w:val="001C05D8"/>
    <w:rPr>
      <w:color w:val="0000FF"/>
      <w:u w:val="single"/>
    </w:rPr>
  </w:style>
  <w:style w:type="paragraph" w:styleId="Asuntodelcomentario">
    <w:name w:val="annotation subject"/>
    <w:basedOn w:val="Textocomentario"/>
    <w:next w:val="Textocomentario"/>
    <w:link w:val="AsuntodelcomentarioCar"/>
    <w:uiPriority w:val="99"/>
    <w:semiHidden/>
    <w:unhideWhenUsed/>
    <w:rsid w:val="001C05D8"/>
    <w:rPr>
      <w:b/>
      <w:bCs/>
    </w:rPr>
  </w:style>
  <w:style w:type="character" w:customStyle="1" w:styleId="AsuntodelcomentarioCar">
    <w:name w:val="Asunto del comentario Car"/>
    <w:basedOn w:val="TextocomentarioCar"/>
    <w:link w:val="Asuntodelcomentario"/>
    <w:uiPriority w:val="99"/>
    <w:semiHidden/>
    <w:rsid w:val="001C05D8"/>
    <w:rPr>
      <w:rFonts w:eastAsia="Batang"/>
      <w:b/>
      <w:bCs/>
      <w:sz w:val="20"/>
      <w:szCs w:val="20"/>
      <w:lang w:val="es-MX"/>
    </w:rPr>
  </w:style>
  <w:style w:type="paragraph" w:styleId="Encabezado">
    <w:name w:val="header"/>
    <w:aliases w:val="encabezado"/>
    <w:basedOn w:val="Normal"/>
    <w:link w:val="EncabezadoCar"/>
    <w:uiPriority w:val="99"/>
    <w:unhideWhenUsed/>
    <w:rsid w:val="001C05D8"/>
    <w:pPr>
      <w:tabs>
        <w:tab w:val="center" w:pos="4680"/>
        <w:tab w:val="right" w:pos="9360"/>
      </w:tabs>
      <w:spacing w:after="0" w:line="240" w:lineRule="auto"/>
    </w:pPr>
  </w:style>
  <w:style w:type="character" w:customStyle="1" w:styleId="EncabezadoCar">
    <w:name w:val="Encabezado Car"/>
    <w:aliases w:val="encabezado Car"/>
    <w:basedOn w:val="Fuentedeprrafopredeter"/>
    <w:link w:val="Encabezado"/>
    <w:uiPriority w:val="99"/>
    <w:rsid w:val="001C05D8"/>
    <w:rPr>
      <w:rFonts w:eastAsia="Batang"/>
      <w:lang w:val="es-MX"/>
    </w:rPr>
  </w:style>
  <w:style w:type="paragraph" w:styleId="Piedepgina">
    <w:name w:val="footer"/>
    <w:basedOn w:val="Normal"/>
    <w:link w:val="PiedepginaCar"/>
    <w:uiPriority w:val="99"/>
    <w:unhideWhenUsed/>
    <w:rsid w:val="001C05D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C05D8"/>
    <w:rPr>
      <w:rFonts w:eastAsia="Batang"/>
      <w:lang w:val="es-MX"/>
    </w:rPr>
  </w:style>
  <w:style w:type="character" w:styleId="Hipervnculovisitado">
    <w:name w:val="FollowedHyperlink"/>
    <w:basedOn w:val="Fuentedeprrafopredeter"/>
    <w:uiPriority w:val="99"/>
    <w:semiHidden/>
    <w:unhideWhenUsed/>
    <w:rsid w:val="001C05D8"/>
    <w:rPr>
      <w:color w:val="800080" w:themeColor="followedHyperlink"/>
      <w:u w:val="single"/>
    </w:rPr>
  </w:style>
  <w:style w:type="character" w:styleId="Textoennegrita">
    <w:name w:val="Strong"/>
    <w:aliases w:val="Heading 2.1"/>
    <w:basedOn w:val="Fuentedeprrafopredeter"/>
    <w:uiPriority w:val="22"/>
    <w:qFormat/>
    <w:rsid w:val="001C05D8"/>
    <w:rPr>
      <w:b/>
      <w:bCs/>
    </w:rPr>
  </w:style>
  <w:style w:type="paragraph" w:styleId="Textonotaalfinal">
    <w:name w:val="endnote text"/>
    <w:basedOn w:val="Normal"/>
    <w:link w:val="TextonotaalfinalCar"/>
    <w:uiPriority w:val="99"/>
    <w:unhideWhenUsed/>
    <w:rsid w:val="001C05D8"/>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1C05D8"/>
    <w:rPr>
      <w:rFonts w:eastAsia="Batang"/>
      <w:sz w:val="20"/>
      <w:szCs w:val="20"/>
      <w:lang w:val="es-MX"/>
    </w:rPr>
  </w:style>
  <w:style w:type="character" w:styleId="Refdenotaalfinal">
    <w:name w:val="endnote reference"/>
    <w:basedOn w:val="Fuentedeprrafopredeter"/>
    <w:uiPriority w:val="99"/>
    <w:semiHidden/>
    <w:unhideWhenUsed/>
    <w:rsid w:val="001C05D8"/>
    <w:rPr>
      <w:vertAlign w:val="superscript"/>
    </w:rPr>
  </w:style>
  <w:style w:type="paragraph" w:customStyle="1" w:styleId="Default">
    <w:name w:val="Default"/>
    <w:uiPriority w:val="99"/>
    <w:rsid w:val="001C05D8"/>
    <w:pPr>
      <w:autoSpaceDE w:val="0"/>
      <w:autoSpaceDN w:val="0"/>
      <w:adjustRightInd w:val="0"/>
      <w:spacing w:after="0" w:line="240" w:lineRule="auto"/>
    </w:pPr>
    <w:rPr>
      <w:rFonts w:ascii="Verdana" w:hAnsi="Verdana" w:cs="Verdana"/>
      <w:color w:val="000000"/>
      <w:sz w:val="24"/>
      <w:szCs w:val="24"/>
      <w:lang w:val="es-MX"/>
    </w:rPr>
  </w:style>
  <w:style w:type="paragraph" w:styleId="Revisin">
    <w:name w:val="Revision"/>
    <w:hidden/>
    <w:uiPriority w:val="99"/>
    <w:semiHidden/>
    <w:rsid w:val="001C05D8"/>
    <w:pPr>
      <w:spacing w:after="0" w:line="240" w:lineRule="auto"/>
    </w:pPr>
    <w:rPr>
      <w:rFonts w:eastAsia="Batang"/>
      <w:lang w:val="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C05D8"/>
    <w:pPr>
      <w:spacing w:after="0" w:line="240" w:lineRule="auto"/>
      <w:jc w:val="both"/>
    </w:pPr>
    <w:rPr>
      <w:rFonts w:eastAsiaTheme="minorHAnsi"/>
      <w:vertAlign w:val="superscript"/>
      <w:lang w:val="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1C05D8"/>
    <w:pPr>
      <w:spacing w:before="200" w:after="160" w:line="240" w:lineRule="exact"/>
      <w:ind w:left="357" w:right="51" w:hanging="357"/>
      <w:jc w:val="both"/>
    </w:pPr>
    <w:rPr>
      <w:rFonts w:eastAsiaTheme="minorHAnsi"/>
      <w:vertAlign w:val="superscript"/>
      <w:lang w:val="es-CR"/>
    </w:rPr>
  </w:style>
  <w:style w:type="character" w:customStyle="1" w:styleId="lblnewsfulltext">
    <w:name w:val="lblnewsfulltext"/>
    <w:basedOn w:val="Fuentedeprrafopredeter"/>
    <w:rsid w:val="001C05D8"/>
  </w:style>
  <w:style w:type="character" w:customStyle="1" w:styleId="PrrafodelistaCar">
    <w:name w:val="Párrafo de lista Car"/>
    <w:aliases w:val="List Paragraph1 Car,Colorful List - Accent 11 Car,Párrafo de lista1 Car,List Paragraph2 Car,Lista vistosa - Énfasis 11 Car,Footnote Car,Subtle Emphasis1 Car,Footnote1 Car"/>
    <w:basedOn w:val="Fuentedeprrafopredeter"/>
    <w:link w:val="Prrafodelista"/>
    <w:uiPriority w:val="99"/>
    <w:locked/>
    <w:rsid w:val="001C05D8"/>
    <w:rPr>
      <w:rFonts w:eastAsia="Batang"/>
      <w:lang w:val="es-MX"/>
    </w:rPr>
  </w:style>
  <w:style w:type="character" w:customStyle="1" w:styleId="lblnewstitle">
    <w:name w:val="lblnewstitle"/>
    <w:basedOn w:val="Fuentedeprrafopredeter"/>
    <w:rsid w:val="001C05D8"/>
  </w:style>
  <w:style w:type="character" w:customStyle="1" w:styleId="apple-converted-space">
    <w:name w:val="apple-converted-space"/>
    <w:basedOn w:val="Fuentedeprrafopredeter"/>
    <w:rsid w:val="001C05D8"/>
  </w:style>
  <w:style w:type="paragraph" w:customStyle="1" w:styleId="Style1">
    <w:name w:val="Style1"/>
    <w:basedOn w:val="Textonotapie"/>
    <w:uiPriority w:val="99"/>
    <w:rsid w:val="001C05D8"/>
    <w:pPr>
      <w:ind w:left="357" w:right="51" w:hanging="357"/>
      <w:jc w:val="both"/>
    </w:pPr>
    <w:rPr>
      <w:rFonts w:ascii="Times New Roman" w:eastAsia="Times" w:hAnsi="Times New Roman" w:cs="Times New Roman"/>
      <w:position w:val="6"/>
      <w:sz w:val="18"/>
      <w:lang w:val="es-ES_tradnl" w:bidi="en-US"/>
    </w:rPr>
  </w:style>
  <w:style w:type="paragraph" w:styleId="HTMLconformatoprevio">
    <w:name w:val="HTML Preformatted"/>
    <w:basedOn w:val="Normal"/>
    <w:link w:val="HTMLconformatoprevioCar"/>
    <w:uiPriority w:val="99"/>
    <w:unhideWhenUsed/>
    <w:rsid w:val="001C05D8"/>
    <w:pPr>
      <w:spacing w:after="0" w:line="240" w:lineRule="auto"/>
    </w:pPr>
    <w:rPr>
      <w:rFonts w:ascii="Consolas" w:eastAsiaTheme="minorHAnsi" w:hAnsi="Consolas" w:cs="Consolas"/>
      <w:sz w:val="20"/>
      <w:szCs w:val="20"/>
      <w:lang w:val="es-CR"/>
    </w:rPr>
  </w:style>
  <w:style w:type="character" w:customStyle="1" w:styleId="HTMLconformatoprevioCar">
    <w:name w:val="HTML con formato previo Car"/>
    <w:basedOn w:val="Fuentedeprrafopredeter"/>
    <w:link w:val="HTMLconformatoprevio"/>
    <w:uiPriority w:val="99"/>
    <w:rsid w:val="001C05D8"/>
    <w:rPr>
      <w:rFonts w:ascii="Consolas" w:hAnsi="Consolas" w:cs="Consolas"/>
      <w:sz w:val="20"/>
      <w:szCs w:val="20"/>
      <w:lang w:val="es-CR"/>
    </w:rPr>
  </w:style>
  <w:style w:type="paragraph" w:customStyle="1" w:styleId="style10">
    <w:name w:val="style1"/>
    <w:basedOn w:val="Normal"/>
    <w:uiPriority w:val="99"/>
    <w:rsid w:val="001C05D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lign-justify">
    <w:name w:val="align-justify"/>
    <w:basedOn w:val="Normal"/>
    <w:uiPriority w:val="99"/>
    <w:rsid w:val="001C05D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aliases w:val="Normal (Web) Char1,Normal (Web) Char Char,Normal (Web) Char1 Char,Normal (Web) Char Char Char"/>
    <w:basedOn w:val="Normal"/>
    <w:uiPriority w:val="39"/>
    <w:unhideWhenUsed/>
    <w:qFormat/>
    <w:rsid w:val="001C05D8"/>
    <w:rPr>
      <w:rFonts w:ascii="Times New Roman" w:eastAsiaTheme="minorHAnsi" w:hAnsi="Times New Roman" w:cs="Times New Roman"/>
      <w:sz w:val="24"/>
      <w:szCs w:val="24"/>
    </w:rPr>
  </w:style>
  <w:style w:type="paragraph" w:customStyle="1" w:styleId="Footnotes">
    <w:name w:val="**. Footnotes"/>
    <w:basedOn w:val="Textonotapie"/>
    <w:link w:val="FootnotesChar"/>
    <w:autoRedefine/>
    <w:qFormat/>
    <w:rsid w:val="001C05D8"/>
    <w:pPr>
      <w:widowControl w:val="0"/>
      <w:tabs>
        <w:tab w:val="left" w:pos="567"/>
      </w:tabs>
      <w:spacing w:before="120" w:after="40"/>
      <w:jc w:val="both"/>
    </w:pPr>
    <w:rPr>
      <w:rFonts w:ascii="Verdana" w:hAnsi="Verdana" w:cs="Palatino-Italic"/>
      <w:i/>
      <w:iCs/>
      <w:sz w:val="16"/>
      <w:szCs w:val="16"/>
      <w:lang w:val="en-US"/>
    </w:rPr>
  </w:style>
  <w:style w:type="character" w:customStyle="1" w:styleId="FootnotesChar">
    <w:name w:val="**. Footnotes Char"/>
    <w:basedOn w:val="Fuentedeprrafopredeter"/>
    <w:link w:val="Footnotes"/>
    <w:rsid w:val="001C05D8"/>
    <w:rPr>
      <w:rFonts w:ascii="Verdana" w:eastAsia="Batang" w:hAnsi="Verdana" w:cs="Palatino-Italic"/>
      <w:i/>
      <w:iCs/>
      <w:sz w:val="16"/>
      <w:szCs w:val="16"/>
    </w:rPr>
  </w:style>
  <w:style w:type="character" w:customStyle="1" w:styleId="Smbolodenotaalpie">
    <w:name w:val="Símbolo de nota al pie"/>
    <w:rsid w:val="001C05D8"/>
    <w:rPr>
      <w:rFonts w:cs="Times New Roman"/>
      <w:szCs w:val="20"/>
      <w:vertAlign w:val="superscript"/>
    </w:rPr>
  </w:style>
  <w:style w:type="numbering" w:styleId="111111">
    <w:name w:val="Outline List 2"/>
    <w:basedOn w:val="Sinlista"/>
    <w:uiPriority w:val="99"/>
    <w:semiHidden/>
    <w:unhideWhenUsed/>
    <w:rsid w:val="001C05D8"/>
    <w:pPr>
      <w:numPr>
        <w:numId w:val="7"/>
      </w:numPr>
    </w:pPr>
  </w:style>
  <w:style w:type="character" w:customStyle="1" w:styleId="Estilo1Car">
    <w:name w:val="Estilo1 Car"/>
    <w:link w:val="Estilo1"/>
    <w:locked/>
    <w:rsid w:val="001C05D8"/>
    <w:rPr>
      <w:rFonts w:ascii="Verdana" w:hAnsi="Verdana"/>
    </w:rPr>
  </w:style>
  <w:style w:type="paragraph" w:customStyle="1" w:styleId="Estilo1">
    <w:name w:val="Estilo1"/>
    <w:basedOn w:val="Normal"/>
    <w:link w:val="Estilo1Car"/>
    <w:qFormat/>
    <w:rsid w:val="001C05D8"/>
    <w:pPr>
      <w:tabs>
        <w:tab w:val="left" w:pos="567"/>
        <w:tab w:val="left" w:pos="1134"/>
        <w:tab w:val="num" w:pos="6042"/>
      </w:tabs>
      <w:spacing w:after="120" w:line="240" w:lineRule="auto"/>
      <w:jc w:val="both"/>
    </w:pPr>
    <w:rPr>
      <w:rFonts w:ascii="Verdana" w:eastAsiaTheme="minorHAnsi" w:hAnsi="Verdana"/>
      <w:lang w:val="en-US"/>
    </w:rPr>
  </w:style>
  <w:style w:type="character" w:customStyle="1" w:styleId="Caracteresdenotaalpie">
    <w:name w:val="Caracteres de nota al pie"/>
    <w:rsid w:val="001C05D8"/>
    <w:rPr>
      <w:vertAlign w:val="superscript"/>
    </w:rPr>
  </w:style>
  <w:style w:type="paragraph" w:customStyle="1" w:styleId="Prrafodelista2">
    <w:name w:val="Párrafo de lista2"/>
    <w:basedOn w:val="Normal"/>
    <w:uiPriority w:val="99"/>
    <w:rsid w:val="001C05D8"/>
    <w:pPr>
      <w:spacing w:after="0" w:line="240" w:lineRule="auto"/>
      <w:ind w:left="720"/>
    </w:pPr>
    <w:rPr>
      <w:rFonts w:ascii="Verdana" w:eastAsia="MS Mincho" w:hAnsi="Verdana" w:cs="Times New Roman"/>
      <w:sz w:val="20"/>
      <w:szCs w:val="20"/>
      <w:lang w:val="es-ES_tradnl" w:bidi="en-US"/>
    </w:rPr>
  </w:style>
  <w:style w:type="character" w:customStyle="1" w:styleId="Caracteresdenotafinal">
    <w:name w:val="Caracteres de nota final"/>
    <w:rsid w:val="001C05D8"/>
    <w:rPr>
      <w:vertAlign w:val="superscript"/>
    </w:rPr>
  </w:style>
  <w:style w:type="character" w:styleId="Nmerodelnea">
    <w:name w:val="line number"/>
    <w:basedOn w:val="Fuentedeprrafopredeter"/>
    <w:uiPriority w:val="99"/>
    <w:unhideWhenUsed/>
    <w:rsid w:val="001C05D8"/>
  </w:style>
  <w:style w:type="character" w:customStyle="1" w:styleId="TextonotapieCar1">
    <w:name w:val="Texto nota pie Car1"/>
    <w:aliases w:val="Footnote Text Char Char Char Char Char Car1,Footnote Text Char Char Char Char Car1,Footnote reference Car1,FA Fu Car1,Footnote Text Char Char Char Car1,Footnote Text Cha Car1,FA Fußnotentext Car1,FA Fuﬂnotentext Car1,Ca Car,C Car"/>
    <w:basedOn w:val="Fuentedeprrafopredeter"/>
    <w:uiPriority w:val="99"/>
    <w:qFormat/>
    <w:locked/>
    <w:rsid w:val="001C05D8"/>
    <w:rPr>
      <w:rFonts w:ascii="Verdana" w:eastAsia="MS Mincho" w:hAnsi="Verdana" w:cs="Times"/>
      <w:sz w:val="16"/>
      <w:szCs w:val="24"/>
      <w:lang w:val="es-ES_tradnl"/>
    </w:rPr>
  </w:style>
  <w:style w:type="paragraph" w:styleId="Sinespaciado">
    <w:name w:val="No Spacing"/>
    <w:link w:val="SinespaciadoCar"/>
    <w:uiPriority w:val="1"/>
    <w:qFormat/>
    <w:rsid w:val="001C05D8"/>
    <w:pPr>
      <w:spacing w:after="0" w:line="240" w:lineRule="auto"/>
    </w:pPr>
    <w:rPr>
      <w:lang w:val="es-CR"/>
    </w:rPr>
  </w:style>
  <w:style w:type="paragraph" w:styleId="TtuloTDC">
    <w:name w:val="TOC Heading"/>
    <w:basedOn w:val="Ttulo1"/>
    <w:next w:val="Normal"/>
    <w:uiPriority w:val="39"/>
    <w:unhideWhenUsed/>
    <w:qFormat/>
    <w:rsid w:val="001C05D8"/>
    <w:pPr>
      <w:spacing w:line="276" w:lineRule="auto"/>
      <w:outlineLvl w:val="9"/>
    </w:pPr>
    <w:rPr>
      <w:lang w:val="en-US" w:eastAsia="ja-JP"/>
    </w:rPr>
  </w:style>
  <w:style w:type="paragraph" w:styleId="TDC2">
    <w:name w:val="toc 2"/>
    <w:basedOn w:val="Normal"/>
    <w:next w:val="Normal"/>
    <w:autoRedefine/>
    <w:uiPriority w:val="39"/>
    <w:unhideWhenUsed/>
    <w:qFormat/>
    <w:rsid w:val="0006475E"/>
    <w:pPr>
      <w:tabs>
        <w:tab w:val="left" w:pos="880"/>
        <w:tab w:val="right" w:leader="dot" w:pos="9792"/>
      </w:tabs>
      <w:spacing w:after="0" w:line="240" w:lineRule="auto"/>
      <w:ind w:left="220"/>
      <w:jc w:val="both"/>
    </w:pPr>
    <w:rPr>
      <w:rFonts w:ascii="Verdana" w:eastAsia="MS Mincho" w:hAnsi="Verdana" w:cs="Times New Roman"/>
      <w:bCs/>
      <w:i/>
      <w:smallCaps/>
      <w:noProof/>
      <w:sz w:val="18"/>
      <w:szCs w:val="18"/>
      <w:lang w:val="es-AR" w:eastAsia="es-CR"/>
    </w:rPr>
  </w:style>
  <w:style w:type="paragraph" w:styleId="TDC1">
    <w:name w:val="toc 1"/>
    <w:basedOn w:val="Normal"/>
    <w:next w:val="Normal"/>
    <w:autoRedefine/>
    <w:uiPriority w:val="39"/>
    <w:unhideWhenUsed/>
    <w:qFormat/>
    <w:rsid w:val="00AD25A3"/>
    <w:pPr>
      <w:tabs>
        <w:tab w:val="right" w:leader="dot" w:pos="9792"/>
      </w:tabs>
      <w:spacing w:after="0" w:line="240" w:lineRule="auto"/>
    </w:pPr>
    <w:rPr>
      <w:rFonts w:ascii="Verdana" w:eastAsia="Times New Roman" w:hAnsi="Verdana" w:cs="Verdana"/>
      <w:b/>
      <w:bCs/>
      <w:caps/>
      <w:noProof/>
      <w:snapToGrid w:val="0"/>
      <w:sz w:val="18"/>
      <w:szCs w:val="18"/>
      <w:lang w:val="es-ES_tradnl"/>
    </w:rPr>
  </w:style>
  <w:style w:type="paragraph" w:styleId="TDC3">
    <w:name w:val="toc 3"/>
    <w:basedOn w:val="Normal"/>
    <w:next w:val="Normal"/>
    <w:autoRedefine/>
    <w:uiPriority w:val="39"/>
    <w:unhideWhenUsed/>
    <w:qFormat/>
    <w:rsid w:val="001C05D8"/>
    <w:pPr>
      <w:spacing w:after="0"/>
      <w:ind w:left="440"/>
    </w:pPr>
    <w:rPr>
      <w:i/>
      <w:iCs/>
      <w:sz w:val="20"/>
      <w:szCs w:val="20"/>
    </w:rPr>
  </w:style>
  <w:style w:type="paragraph" w:styleId="Ttulo">
    <w:name w:val="Title"/>
    <w:basedOn w:val="Prrafodelista"/>
    <w:next w:val="Normal"/>
    <w:link w:val="TtuloCar"/>
    <w:uiPriority w:val="10"/>
    <w:qFormat/>
    <w:rsid w:val="001C05D8"/>
    <w:pPr>
      <w:keepNext/>
      <w:keepLines/>
      <w:widowControl w:val="0"/>
      <w:numPr>
        <w:numId w:val="8"/>
      </w:numPr>
      <w:adjustRightInd w:val="0"/>
      <w:spacing w:before="120" w:after="120" w:line="240" w:lineRule="auto"/>
      <w:jc w:val="both"/>
      <w:textAlignment w:val="baseline"/>
      <w:outlineLvl w:val="1"/>
    </w:pPr>
    <w:rPr>
      <w:rFonts w:ascii="Verdana" w:hAnsi="Verdana"/>
      <w:b/>
      <w:i/>
      <w:sz w:val="20"/>
      <w:szCs w:val="20"/>
    </w:rPr>
  </w:style>
  <w:style w:type="character" w:customStyle="1" w:styleId="TtuloCar">
    <w:name w:val="Título Car"/>
    <w:basedOn w:val="Fuentedeprrafopredeter"/>
    <w:link w:val="Ttulo"/>
    <w:uiPriority w:val="10"/>
    <w:rsid w:val="001C05D8"/>
    <w:rPr>
      <w:rFonts w:ascii="Verdana" w:eastAsia="Batang" w:hAnsi="Verdana"/>
      <w:b/>
      <w:i/>
      <w:sz w:val="20"/>
      <w:szCs w:val="20"/>
      <w:lang w:val="es-MX"/>
    </w:rPr>
  </w:style>
  <w:style w:type="paragraph" w:styleId="Subttulo">
    <w:name w:val="Subtitle"/>
    <w:basedOn w:val="Ttulo"/>
    <w:next w:val="Normal"/>
    <w:link w:val="SubttuloCar"/>
    <w:uiPriority w:val="11"/>
    <w:qFormat/>
    <w:rsid w:val="001C05D8"/>
    <w:pPr>
      <w:numPr>
        <w:numId w:val="0"/>
      </w:numPr>
    </w:pPr>
  </w:style>
  <w:style w:type="character" w:customStyle="1" w:styleId="SubttuloCar">
    <w:name w:val="Subtítulo Car"/>
    <w:basedOn w:val="Fuentedeprrafopredeter"/>
    <w:link w:val="Subttulo"/>
    <w:uiPriority w:val="11"/>
    <w:rsid w:val="001C05D8"/>
    <w:rPr>
      <w:rFonts w:ascii="Verdana" w:eastAsia="Batang" w:hAnsi="Verdana"/>
      <w:b/>
      <w:i/>
      <w:sz w:val="20"/>
      <w:szCs w:val="20"/>
      <w:lang w:val="es-MX"/>
    </w:rPr>
  </w:style>
  <w:style w:type="character" w:styleId="nfasissutil">
    <w:name w:val="Subtle Emphasis"/>
    <w:uiPriority w:val="19"/>
    <w:qFormat/>
    <w:rsid w:val="001C05D8"/>
  </w:style>
  <w:style w:type="character" w:styleId="nfasis">
    <w:name w:val="Emphasis"/>
    <w:basedOn w:val="nfasissutil"/>
    <w:uiPriority w:val="20"/>
    <w:qFormat/>
    <w:rsid w:val="001C05D8"/>
  </w:style>
  <w:style w:type="paragraph" w:styleId="TDC5">
    <w:name w:val="toc 5"/>
    <w:basedOn w:val="Normal"/>
    <w:next w:val="Normal"/>
    <w:autoRedefine/>
    <w:uiPriority w:val="39"/>
    <w:unhideWhenUsed/>
    <w:rsid w:val="001C05D8"/>
    <w:pPr>
      <w:spacing w:after="0"/>
      <w:ind w:left="880"/>
    </w:pPr>
    <w:rPr>
      <w:sz w:val="18"/>
      <w:szCs w:val="18"/>
    </w:rPr>
  </w:style>
  <w:style w:type="paragraph" w:styleId="TDC6">
    <w:name w:val="toc 6"/>
    <w:basedOn w:val="Normal"/>
    <w:next w:val="Normal"/>
    <w:autoRedefine/>
    <w:uiPriority w:val="39"/>
    <w:unhideWhenUsed/>
    <w:rsid w:val="001C05D8"/>
    <w:pPr>
      <w:spacing w:after="0"/>
      <w:ind w:left="1100"/>
    </w:pPr>
    <w:rPr>
      <w:sz w:val="18"/>
      <w:szCs w:val="18"/>
    </w:rPr>
  </w:style>
  <w:style w:type="paragraph" w:styleId="TDC7">
    <w:name w:val="toc 7"/>
    <w:basedOn w:val="Normal"/>
    <w:next w:val="Normal"/>
    <w:autoRedefine/>
    <w:uiPriority w:val="39"/>
    <w:unhideWhenUsed/>
    <w:rsid w:val="001C05D8"/>
    <w:pPr>
      <w:spacing w:after="0"/>
      <w:ind w:left="1320"/>
    </w:pPr>
    <w:rPr>
      <w:sz w:val="18"/>
      <w:szCs w:val="18"/>
    </w:rPr>
  </w:style>
  <w:style w:type="paragraph" w:styleId="TDC4">
    <w:name w:val="toc 4"/>
    <w:basedOn w:val="Normal"/>
    <w:next w:val="Normal"/>
    <w:autoRedefine/>
    <w:uiPriority w:val="39"/>
    <w:unhideWhenUsed/>
    <w:rsid w:val="001C05D8"/>
    <w:pPr>
      <w:spacing w:after="0"/>
      <w:ind w:left="660"/>
    </w:pPr>
    <w:rPr>
      <w:sz w:val="18"/>
      <w:szCs w:val="18"/>
    </w:rPr>
  </w:style>
  <w:style w:type="paragraph" w:styleId="TDC8">
    <w:name w:val="toc 8"/>
    <w:basedOn w:val="Normal"/>
    <w:next w:val="Normal"/>
    <w:autoRedefine/>
    <w:uiPriority w:val="39"/>
    <w:unhideWhenUsed/>
    <w:rsid w:val="001C05D8"/>
    <w:pPr>
      <w:spacing w:after="0"/>
      <w:ind w:left="1540"/>
    </w:pPr>
    <w:rPr>
      <w:sz w:val="18"/>
      <w:szCs w:val="18"/>
    </w:rPr>
  </w:style>
  <w:style w:type="paragraph" w:styleId="TDC9">
    <w:name w:val="toc 9"/>
    <w:basedOn w:val="Normal"/>
    <w:next w:val="Normal"/>
    <w:autoRedefine/>
    <w:uiPriority w:val="39"/>
    <w:unhideWhenUsed/>
    <w:rsid w:val="001C05D8"/>
    <w:pPr>
      <w:spacing w:after="0"/>
      <w:ind w:left="1760"/>
    </w:pPr>
    <w:rPr>
      <w:sz w:val="18"/>
      <w:szCs w:val="18"/>
    </w:rPr>
  </w:style>
  <w:style w:type="character" w:customStyle="1" w:styleId="PrrafodeSentenciaChar">
    <w:name w:val="*. Párrafo de Sentencia Char"/>
    <w:link w:val="PrrafodeSentencia"/>
    <w:locked/>
    <w:rsid w:val="001C05D8"/>
    <w:rPr>
      <w:rFonts w:ascii="Verdana" w:eastAsia="Batang" w:hAnsi="Verdana"/>
      <w:spacing w:val="-4"/>
      <w:sz w:val="20"/>
      <w:lang w:eastAsia="es-MX"/>
    </w:rPr>
  </w:style>
  <w:style w:type="paragraph" w:customStyle="1" w:styleId="PrrafodeSentencia">
    <w:name w:val="*. Párrafo de Sentencia"/>
    <w:basedOn w:val="Normal"/>
    <w:next w:val="Normal"/>
    <w:link w:val="PrrafodeSentenciaChar"/>
    <w:qFormat/>
    <w:rsid w:val="001C05D8"/>
    <w:pPr>
      <w:tabs>
        <w:tab w:val="left" w:pos="567"/>
      </w:tabs>
      <w:spacing w:after="0" w:line="240" w:lineRule="auto"/>
      <w:jc w:val="both"/>
    </w:pPr>
    <w:rPr>
      <w:rFonts w:ascii="Verdana" w:hAnsi="Verdana"/>
      <w:spacing w:val="-4"/>
      <w:sz w:val="20"/>
      <w:lang w:val="en-US" w:eastAsia="es-MX"/>
    </w:rPr>
  </w:style>
  <w:style w:type="numbering" w:customStyle="1" w:styleId="NoList1">
    <w:name w:val="No List1"/>
    <w:next w:val="Sinlista"/>
    <w:uiPriority w:val="99"/>
    <w:semiHidden/>
    <w:unhideWhenUsed/>
    <w:rsid w:val="001C05D8"/>
  </w:style>
  <w:style w:type="character" w:customStyle="1" w:styleId="CommentTextChar1">
    <w:name w:val="Comment Text Char1"/>
    <w:basedOn w:val="Fuentedeprrafopredeter"/>
    <w:uiPriority w:val="99"/>
    <w:semiHidden/>
    <w:rsid w:val="001C05D8"/>
    <w:rPr>
      <w:rFonts w:ascii="Times New Roman" w:eastAsia="Calibri" w:hAnsi="Times New Roman" w:cs="Times New Roman"/>
      <w:sz w:val="20"/>
      <w:szCs w:val="20"/>
      <w:lang w:val="es-ES_tradnl"/>
    </w:rPr>
  </w:style>
  <w:style w:type="character" w:customStyle="1" w:styleId="BalloonTextChar1">
    <w:name w:val="Balloon Text Char1"/>
    <w:basedOn w:val="Fuentedeprrafopredeter"/>
    <w:uiPriority w:val="99"/>
    <w:semiHidden/>
    <w:rsid w:val="001C05D8"/>
    <w:rPr>
      <w:rFonts w:ascii="Tahoma" w:eastAsia="Calibri" w:hAnsi="Tahoma" w:cs="Tahoma"/>
      <w:sz w:val="16"/>
      <w:szCs w:val="16"/>
      <w:lang w:val="es-ES_tradnl"/>
    </w:rPr>
  </w:style>
  <w:style w:type="character" w:customStyle="1" w:styleId="apple-style-span">
    <w:name w:val="apple-style-span"/>
    <w:basedOn w:val="Fuentedeprrafopredeter"/>
    <w:rsid w:val="001C05D8"/>
    <w:rPr>
      <w:rFonts w:cs="Times New Roman"/>
    </w:rPr>
  </w:style>
  <w:style w:type="character" w:customStyle="1" w:styleId="Ttulo10">
    <w:name w:val="Título1"/>
    <w:basedOn w:val="Fuentedeprrafopredeter"/>
    <w:rsid w:val="001C05D8"/>
  </w:style>
  <w:style w:type="character" w:customStyle="1" w:styleId="hps">
    <w:name w:val="hps"/>
    <w:basedOn w:val="Fuentedeprrafopredeter"/>
    <w:rsid w:val="001C05D8"/>
  </w:style>
  <w:style w:type="paragraph" w:customStyle="1" w:styleId="2Footnotes">
    <w:name w:val="2. Footnotes"/>
    <w:basedOn w:val="Textonotapie"/>
    <w:link w:val="2FootnotesChar"/>
    <w:autoRedefine/>
    <w:qFormat/>
    <w:rsid w:val="001C05D8"/>
    <w:pPr>
      <w:widowControl w:val="0"/>
      <w:spacing w:before="120" w:after="40"/>
      <w:jc w:val="both"/>
    </w:pPr>
    <w:rPr>
      <w:rFonts w:ascii="Verdana" w:eastAsia="Times New Roman" w:hAnsi="Verdana" w:cs="Palatino-Italic"/>
      <w:iCs/>
      <w:noProof/>
      <w:sz w:val="16"/>
      <w:szCs w:val="18"/>
      <w:lang w:val="en-US"/>
    </w:rPr>
  </w:style>
  <w:style w:type="character" w:customStyle="1" w:styleId="2FootnotesChar">
    <w:name w:val="2. Footnotes Char"/>
    <w:link w:val="2Footnotes"/>
    <w:rsid w:val="001C05D8"/>
    <w:rPr>
      <w:rFonts w:ascii="Verdana" w:eastAsia="Times New Roman" w:hAnsi="Verdana" w:cs="Palatino-Italic"/>
      <w:iCs/>
      <w:noProof/>
      <w:sz w:val="16"/>
      <w:szCs w:val="18"/>
    </w:rPr>
  </w:style>
  <w:style w:type="paragraph" w:customStyle="1" w:styleId="xmsonormal">
    <w:name w:val="x_msonormal"/>
    <w:basedOn w:val="Normal"/>
    <w:uiPriority w:val="99"/>
    <w:rsid w:val="001C05D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ChG">
    <w:name w:val="_ H _Ch_G"/>
    <w:basedOn w:val="Normal"/>
    <w:next w:val="Normal"/>
    <w:uiPriority w:val="99"/>
    <w:rsid w:val="001C05D8"/>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s-ES" w:eastAsia="es-ES"/>
    </w:rPr>
  </w:style>
  <w:style w:type="paragraph" w:customStyle="1" w:styleId="H1G">
    <w:name w:val="_ H_1_G"/>
    <w:basedOn w:val="Normal"/>
    <w:next w:val="Normal"/>
    <w:uiPriority w:val="99"/>
    <w:rsid w:val="001C05D8"/>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s-ES" w:eastAsia="es-ES"/>
    </w:rPr>
  </w:style>
  <w:style w:type="paragraph" w:styleId="Textoindependiente">
    <w:name w:val="Body Text"/>
    <w:basedOn w:val="Normal"/>
    <w:link w:val="TextoindependienteCar"/>
    <w:uiPriority w:val="99"/>
    <w:semiHidden/>
    <w:unhideWhenUsed/>
    <w:rsid w:val="001C05D8"/>
    <w:pPr>
      <w:spacing w:after="0" w:line="240" w:lineRule="auto"/>
      <w:jc w:val="both"/>
    </w:pPr>
    <w:rPr>
      <w:rFonts w:ascii="Garamond" w:eastAsia="Times" w:hAnsi="Garamond" w:cs="Times New Roman"/>
      <w:noProof/>
      <w:szCs w:val="20"/>
      <w:lang w:val="es-ES_tradnl"/>
    </w:rPr>
  </w:style>
  <w:style w:type="character" w:customStyle="1" w:styleId="TextoindependienteCar">
    <w:name w:val="Texto independiente Car"/>
    <w:basedOn w:val="Fuentedeprrafopredeter"/>
    <w:link w:val="Textoindependiente"/>
    <w:uiPriority w:val="99"/>
    <w:semiHidden/>
    <w:rsid w:val="001C05D8"/>
    <w:rPr>
      <w:rFonts w:ascii="Garamond" w:eastAsia="Times" w:hAnsi="Garamond" w:cs="Times New Roman"/>
      <w:noProof/>
      <w:szCs w:val="20"/>
      <w:lang w:val="es-ES_tradnl"/>
    </w:rPr>
  </w:style>
  <w:style w:type="character" w:customStyle="1" w:styleId="SangradetextonormalCar">
    <w:name w:val="Sangría de texto normal Car"/>
    <w:basedOn w:val="Fuentedeprrafopredeter"/>
    <w:link w:val="Sangradetextonormal"/>
    <w:uiPriority w:val="99"/>
    <w:semiHidden/>
    <w:rsid w:val="001C05D8"/>
    <w:rPr>
      <w:rFonts w:ascii="Times New Roman" w:eastAsia="Calibri" w:hAnsi="Times New Roman" w:cs="Times New Roman"/>
      <w:sz w:val="24"/>
      <w:szCs w:val="24"/>
      <w:lang w:val="es-ES_tradnl"/>
    </w:rPr>
  </w:style>
  <w:style w:type="paragraph" w:styleId="Sangradetextonormal">
    <w:name w:val="Body Text Indent"/>
    <w:basedOn w:val="Normal"/>
    <w:link w:val="SangradetextonormalCar"/>
    <w:uiPriority w:val="99"/>
    <w:semiHidden/>
    <w:unhideWhenUsed/>
    <w:rsid w:val="001C05D8"/>
    <w:pPr>
      <w:spacing w:after="120" w:line="240" w:lineRule="auto"/>
      <w:ind w:left="283"/>
    </w:pPr>
    <w:rPr>
      <w:rFonts w:ascii="Times New Roman" w:eastAsia="Calibri" w:hAnsi="Times New Roman" w:cs="Times New Roman"/>
      <w:sz w:val="24"/>
      <w:szCs w:val="24"/>
      <w:lang w:val="es-ES_tradnl"/>
    </w:rPr>
  </w:style>
  <w:style w:type="character" w:customStyle="1" w:styleId="BodyTextIndentChar1">
    <w:name w:val="Body Text Indent Char1"/>
    <w:basedOn w:val="Fuentedeprrafopredeter"/>
    <w:uiPriority w:val="99"/>
    <w:semiHidden/>
    <w:rsid w:val="001C05D8"/>
    <w:rPr>
      <w:rFonts w:eastAsia="Batang"/>
      <w:lang w:val="es-MX"/>
    </w:rPr>
  </w:style>
  <w:style w:type="character" w:customStyle="1" w:styleId="Estilo1Char">
    <w:name w:val="Estilo1 Char"/>
    <w:rsid w:val="001C05D8"/>
    <w:rPr>
      <w:rFonts w:ascii="Verdana" w:eastAsia="Calibri" w:hAnsi="Verdana" w:cs="Times New Roman"/>
      <w:sz w:val="20"/>
      <w:szCs w:val="20"/>
      <w:lang w:val="es-ES"/>
    </w:rPr>
  </w:style>
  <w:style w:type="paragraph" w:customStyle="1" w:styleId="Estilo2">
    <w:name w:val="Estilo2"/>
    <w:basedOn w:val="Normal"/>
    <w:uiPriority w:val="99"/>
    <w:qFormat/>
    <w:rsid w:val="001C05D8"/>
    <w:pPr>
      <w:tabs>
        <w:tab w:val="left" w:pos="567"/>
        <w:tab w:val="left" w:pos="1134"/>
        <w:tab w:val="num" w:pos="4767"/>
      </w:tabs>
      <w:spacing w:after="120" w:line="240" w:lineRule="auto"/>
      <w:ind w:left="4767" w:hanging="360"/>
      <w:jc w:val="both"/>
    </w:pPr>
    <w:rPr>
      <w:rFonts w:ascii="Verdana" w:eastAsia="Calibri" w:hAnsi="Verdana" w:cs="Times New Roman"/>
      <w:sz w:val="20"/>
      <w:szCs w:val="20"/>
      <w:lang w:val="es-ES"/>
    </w:rPr>
  </w:style>
  <w:style w:type="paragraph" w:styleId="Sangra3detindependiente">
    <w:name w:val="Body Text Indent 3"/>
    <w:basedOn w:val="Normal"/>
    <w:link w:val="Sangra3detindependienteCar"/>
    <w:rsid w:val="001C05D8"/>
    <w:pPr>
      <w:spacing w:after="0" w:line="240" w:lineRule="auto"/>
      <w:ind w:left="720"/>
      <w:jc w:val="both"/>
    </w:pPr>
    <w:rPr>
      <w:rFonts w:ascii="Verdana" w:eastAsia="Times" w:hAnsi="Verdana" w:cs="Times New Roman"/>
      <w:b/>
      <w:szCs w:val="20"/>
      <w:lang w:val="es-ES_tradnl" w:eastAsia="es-ES"/>
    </w:rPr>
  </w:style>
  <w:style w:type="character" w:customStyle="1" w:styleId="Sangra3detindependienteCar">
    <w:name w:val="Sangría 3 de t. independiente Car"/>
    <w:basedOn w:val="Fuentedeprrafopredeter"/>
    <w:link w:val="Sangra3detindependiente"/>
    <w:rsid w:val="001C05D8"/>
    <w:rPr>
      <w:rFonts w:ascii="Verdana" w:eastAsia="Times" w:hAnsi="Verdana" w:cs="Times New Roman"/>
      <w:b/>
      <w:szCs w:val="20"/>
      <w:lang w:val="es-ES_tradnl" w:eastAsia="es-ES"/>
    </w:rPr>
  </w:style>
  <w:style w:type="paragraph" w:customStyle="1" w:styleId="Estilo7">
    <w:name w:val="Estilo7"/>
    <w:basedOn w:val="Normal"/>
    <w:uiPriority w:val="99"/>
    <w:qFormat/>
    <w:rsid w:val="001C05D8"/>
    <w:pPr>
      <w:tabs>
        <w:tab w:val="left" w:pos="567"/>
        <w:tab w:val="left" w:pos="851"/>
        <w:tab w:val="num" w:pos="2160"/>
      </w:tabs>
      <w:spacing w:before="120" w:after="120" w:line="240" w:lineRule="auto"/>
      <w:ind w:left="2160" w:hanging="180"/>
      <w:jc w:val="both"/>
    </w:pPr>
    <w:rPr>
      <w:rFonts w:ascii="Verdana" w:hAnsi="Verdana" w:cs="Times New Roman"/>
      <w:b/>
      <w:i/>
      <w:sz w:val="20"/>
      <w:szCs w:val="20"/>
      <w:lang w:val="es-ES_tradnl" w:eastAsia="es-MX"/>
    </w:rPr>
  </w:style>
  <w:style w:type="paragraph" w:customStyle="1" w:styleId="Sangradetindependiente">
    <w:name w:val="Sangr’a de t. independiente"/>
    <w:basedOn w:val="Normal"/>
    <w:uiPriority w:val="99"/>
    <w:rsid w:val="001C05D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ES"/>
    </w:rPr>
  </w:style>
  <w:style w:type="character" w:customStyle="1" w:styleId="normalchar1">
    <w:name w:val="normal__char1"/>
    <w:basedOn w:val="Fuentedeprrafopredeter"/>
    <w:rsid w:val="001C05D8"/>
    <w:rPr>
      <w:rFonts w:ascii="Verdana" w:hAnsi="Verdana" w:hint="default"/>
      <w:sz w:val="20"/>
      <w:szCs w:val="20"/>
    </w:rPr>
  </w:style>
  <w:style w:type="character" w:customStyle="1" w:styleId="FootnoteTextCharCar">
    <w:name w:val="Footnote Text Char Car"/>
    <w:aliases w:val="FA Car,Note de bas de page Car Car Car"/>
    <w:basedOn w:val="Fuentedeprrafopredeter"/>
    <w:uiPriority w:val="99"/>
    <w:locked/>
    <w:rsid w:val="001C05D8"/>
  </w:style>
  <w:style w:type="character" w:customStyle="1" w:styleId="sb8d990e2">
    <w:name w:val="sb8d990e2"/>
    <w:uiPriority w:val="99"/>
    <w:rsid w:val="001C05D8"/>
  </w:style>
  <w:style w:type="character" w:customStyle="1" w:styleId="st1">
    <w:name w:val="st1"/>
    <w:basedOn w:val="Fuentedeprrafopredeter"/>
    <w:rsid w:val="001C05D8"/>
  </w:style>
  <w:style w:type="paragraph" w:customStyle="1" w:styleId="NormalNumbered">
    <w:name w:val="Normal Numbered"/>
    <w:basedOn w:val="Normal"/>
    <w:uiPriority w:val="99"/>
    <w:qFormat/>
    <w:rsid w:val="001C05D8"/>
    <w:pPr>
      <w:numPr>
        <w:numId w:val="9"/>
      </w:numPr>
      <w:spacing w:after="0" w:line="240" w:lineRule="auto"/>
      <w:ind w:left="0" w:firstLine="0"/>
      <w:jc w:val="both"/>
    </w:pPr>
    <w:rPr>
      <w:rFonts w:ascii="Verdana" w:eastAsia="Times New Roman" w:hAnsi="Verdana" w:cs="Times New Roman"/>
      <w:sz w:val="20"/>
      <w:szCs w:val="20"/>
    </w:rPr>
  </w:style>
  <w:style w:type="numbering" w:customStyle="1" w:styleId="NoList11">
    <w:name w:val="No List11"/>
    <w:next w:val="Sinlista"/>
    <w:uiPriority w:val="99"/>
    <w:semiHidden/>
    <w:unhideWhenUsed/>
    <w:rsid w:val="001C05D8"/>
  </w:style>
  <w:style w:type="paragraph" w:customStyle="1" w:styleId="ju-005fpara-002cleft-002cfirst-0020line-003a-0020-00200-0020cm">
    <w:name w:val="ju-005fpara-002cleft-002cfirst-0020line-003a-0020-00200-0020cm"/>
    <w:basedOn w:val="Normal"/>
    <w:uiPriority w:val="99"/>
    <w:rsid w:val="001C05D8"/>
    <w:pPr>
      <w:spacing w:after="135" w:line="240" w:lineRule="auto"/>
    </w:pPr>
    <w:rPr>
      <w:rFonts w:ascii="Times New Roman" w:eastAsia="Times New Roman" w:hAnsi="Times New Roman" w:cs="Times New Roman"/>
      <w:sz w:val="24"/>
      <w:szCs w:val="24"/>
      <w:lang w:eastAsia="es-MX"/>
    </w:rPr>
  </w:style>
  <w:style w:type="character" w:customStyle="1" w:styleId="ju-005fpara-002cleft-002cfirst-0020line-003a-0020-00200-0020cm--char">
    <w:name w:val="ju-005fpara-002cleft-002cfirst-0020line-003a-0020-00200-0020cm--char"/>
    <w:rsid w:val="001C05D8"/>
  </w:style>
  <w:style w:type="character" w:customStyle="1" w:styleId="PrrafodelistaCar1">
    <w:name w:val="Párrafo de lista Car1"/>
    <w:basedOn w:val="Fuentedeprrafopredeter"/>
    <w:uiPriority w:val="99"/>
    <w:locked/>
    <w:rsid w:val="001C05D8"/>
    <w:rPr>
      <w:rFonts w:ascii="Verdana" w:hAnsi="Verdana" w:cs="Verdana"/>
      <w:lang w:eastAsia="en-US"/>
    </w:rPr>
  </w:style>
  <w:style w:type="character" w:customStyle="1" w:styleId="TextocomentarioCar1">
    <w:name w:val="Texto comentario Car1"/>
    <w:basedOn w:val="Fuentedeprrafopredeter"/>
    <w:uiPriority w:val="99"/>
    <w:semiHidden/>
    <w:rsid w:val="001C05D8"/>
    <w:rPr>
      <w:sz w:val="20"/>
      <w:szCs w:val="20"/>
    </w:rPr>
  </w:style>
  <w:style w:type="paragraph" w:customStyle="1" w:styleId="Body1">
    <w:name w:val="Body 1"/>
    <w:link w:val="Body1Char"/>
    <w:rsid w:val="001C05D8"/>
    <w:pPr>
      <w:outlineLvl w:val="0"/>
    </w:pPr>
    <w:rPr>
      <w:rFonts w:ascii="Helvetica" w:eastAsia="ヒラギノ角ゴ Pro W3" w:hAnsi="Helvetica" w:cs="Times New Roman"/>
      <w:color w:val="000000"/>
      <w:szCs w:val="20"/>
      <w:lang w:eastAsia="es-CR"/>
    </w:rPr>
  </w:style>
  <w:style w:type="character" w:customStyle="1" w:styleId="Body1Char">
    <w:name w:val="Body 1 Char"/>
    <w:link w:val="Body1"/>
    <w:rsid w:val="001C05D8"/>
    <w:rPr>
      <w:rFonts w:ascii="Helvetica" w:eastAsia="ヒラギノ角ゴ Pro W3" w:hAnsi="Helvetica" w:cs="Times New Roman"/>
      <w:color w:val="000000"/>
      <w:szCs w:val="20"/>
      <w:lang w:eastAsia="es-CR"/>
    </w:rPr>
  </w:style>
  <w:style w:type="paragraph" w:customStyle="1" w:styleId="style11">
    <w:name w:val="style11"/>
    <w:basedOn w:val="Normal"/>
    <w:uiPriority w:val="99"/>
    <w:rsid w:val="001C05D8"/>
    <w:pPr>
      <w:spacing w:before="192" w:after="192" w:line="240" w:lineRule="auto"/>
      <w:ind w:left="120" w:right="144"/>
      <w:jc w:val="both"/>
    </w:pPr>
    <w:rPr>
      <w:rFonts w:ascii="Times New Roman" w:eastAsia="Times New Roman" w:hAnsi="Times New Roman" w:cs="Times New Roman"/>
      <w:sz w:val="24"/>
      <w:szCs w:val="24"/>
      <w:lang w:eastAsia="es-MX"/>
    </w:rPr>
  </w:style>
  <w:style w:type="character" w:customStyle="1" w:styleId="SinespaciadoCar">
    <w:name w:val="Sin espaciado Car"/>
    <w:basedOn w:val="Fuentedeprrafopredeter"/>
    <w:link w:val="Sinespaciado"/>
    <w:uiPriority w:val="1"/>
    <w:rsid w:val="00574DFE"/>
    <w:rPr>
      <w:lang w:val="es-CR"/>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qFormat/>
    <w:rsid w:val="00500A60"/>
    <w:pPr>
      <w:spacing w:after="160" w:line="240" w:lineRule="exact"/>
    </w:pPr>
    <w:rPr>
      <w:rFonts w:ascii="Verdana" w:eastAsiaTheme="minorHAnsi" w:hAnsi="Verdana"/>
      <w:sz w:val="20"/>
      <w:szCs w:val="20"/>
      <w:vertAlign w:val="superscript"/>
      <w:lang w:val="en-US"/>
    </w:rPr>
  </w:style>
  <w:style w:type="paragraph" w:customStyle="1" w:styleId="xl65">
    <w:name w:val="xl65"/>
    <w:basedOn w:val="Normal"/>
    <w:uiPriority w:val="99"/>
    <w:rsid w:val="00172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0"/>
      <w:szCs w:val="20"/>
      <w:lang w:eastAsia="es-MX"/>
    </w:rPr>
  </w:style>
  <w:style w:type="paragraph" w:customStyle="1" w:styleId="xl66">
    <w:name w:val="xl66"/>
    <w:basedOn w:val="Normal"/>
    <w:uiPriority w:val="99"/>
    <w:rsid w:val="001727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20"/>
      <w:szCs w:val="20"/>
      <w:lang w:eastAsia="es-MX"/>
    </w:rPr>
  </w:style>
  <w:style w:type="paragraph" w:customStyle="1" w:styleId="xl67">
    <w:name w:val="xl67"/>
    <w:basedOn w:val="Normal"/>
    <w:uiPriority w:val="99"/>
    <w:rsid w:val="0017273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Arial" w:eastAsia="Times New Roman" w:hAnsi="Arial" w:cs="Arial"/>
      <w:b/>
      <w:bCs/>
      <w:sz w:val="20"/>
      <w:szCs w:val="20"/>
      <w:lang w:eastAsia="es-MX"/>
    </w:rPr>
  </w:style>
  <w:style w:type="paragraph" w:customStyle="1" w:styleId="xl68">
    <w:name w:val="xl68"/>
    <w:basedOn w:val="Normal"/>
    <w:uiPriority w:val="99"/>
    <w:rsid w:val="0017273A"/>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eastAsia="es-MX"/>
    </w:rPr>
  </w:style>
  <w:style w:type="paragraph" w:customStyle="1" w:styleId="xl69">
    <w:name w:val="xl69"/>
    <w:basedOn w:val="Normal"/>
    <w:uiPriority w:val="99"/>
    <w:rsid w:val="0017273A"/>
    <w:pPr>
      <w:pBdr>
        <w:top w:val="single" w:sz="4" w:space="0" w:color="auto"/>
        <w:left w:val="single" w:sz="4" w:space="0" w:color="auto"/>
        <w:bottom w:val="single" w:sz="4" w:space="0" w:color="auto"/>
      </w:pBdr>
      <w:shd w:val="clear" w:color="000000" w:fill="E6B8B7"/>
      <w:spacing w:before="100" w:beforeAutospacing="1" w:after="100" w:afterAutospacing="1" w:line="240" w:lineRule="auto"/>
    </w:pPr>
    <w:rPr>
      <w:rFonts w:ascii="Arial" w:eastAsia="Times New Roman" w:hAnsi="Arial" w:cs="Arial"/>
      <w:sz w:val="20"/>
      <w:szCs w:val="20"/>
      <w:lang w:eastAsia="es-MX"/>
    </w:rPr>
  </w:style>
  <w:style w:type="paragraph" w:customStyle="1" w:styleId="xl70">
    <w:name w:val="xl70"/>
    <w:basedOn w:val="Normal"/>
    <w:uiPriority w:val="99"/>
    <w:rsid w:val="0017273A"/>
    <w:pPr>
      <w:pBdr>
        <w:top w:val="single" w:sz="4" w:space="0" w:color="auto"/>
        <w:left w:val="single" w:sz="4" w:space="0" w:color="auto"/>
        <w:bottom w:val="single" w:sz="4" w:space="0" w:color="auto"/>
      </w:pBdr>
      <w:shd w:val="clear" w:color="000000" w:fill="E6B8B7"/>
      <w:spacing w:before="100" w:beforeAutospacing="1" w:after="100" w:afterAutospacing="1" w:line="240" w:lineRule="auto"/>
    </w:pPr>
    <w:rPr>
      <w:rFonts w:ascii="Roboto" w:eastAsia="Times New Roman" w:hAnsi="Roboto" w:cs="Times New Roman"/>
      <w:color w:val="000000"/>
      <w:sz w:val="20"/>
      <w:szCs w:val="20"/>
      <w:lang w:eastAsia="es-MX"/>
    </w:rPr>
  </w:style>
  <w:style w:type="paragraph" w:customStyle="1" w:styleId="xl71">
    <w:name w:val="xl71"/>
    <w:basedOn w:val="Normal"/>
    <w:uiPriority w:val="99"/>
    <w:rsid w:val="0017273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Roboto" w:eastAsia="Times New Roman" w:hAnsi="Roboto" w:cs="Times New Roman"/>
      <w:color w:val="000000"/>
      <w:sz w:val="20"/>
      <w:szCs w:val="20"/>
      <w:lang w:eastAsia="es-MX"/>
    </w:rPr>
  </w:style>
  <w:style w:type="table" w:styleId="Tablaconcuadrcula">
    <w:name w:val="Table Grid"/>
    <w:basedOn w:val="Tablanormal"/>
    <w:uiPriority w:val="59"/>
    <w:rsid w:val="0017273A"/>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Título Verdana Char1"/>
    <w:basedOn w:val="Fuentedeprrafopredeter"/>
    <w:uiPriority w:val="9"/>
    <w:rsid w:val="007B74B8"/>
    <w:rPr>
      <w:rFonts w:asciiTheme="majorHAnsi" w:eastAsiaTheme="majorEastAsia" w:hAnsiTheme="majorHAnsi" w:cstheme="majorBidi"/>
      <w:b/>
      <w:bCs/>
      <w:color w:val="365F91" w:themeColor="accent1" w:themeShade="BF"/>
      <w:sz w:val="28"/>
      <w:szCs w:val="28"/>
      <w:lang w:val="es-MX"/>
    </w:rPr>
  </w:style>
  <w:style w:type="character" w:customStyle="1" w:styleId="FootnoteTextChar1">
    <w:name w:val="Footnote Text Char1"/>
    <w:aliases w:val="Footnote Text Char Char Char Char Char Char1,Footnote Text Char Char Char Char Char2,Footnote reference Char1,FA Fu Char1,FA Fußnotentext Char1,FA Fu§notentext Char1,FA Fu?notentext Char1,?notentext Char1,§notentext Char,FA Char"/>
    <w:basedOn w:val="Fuentedeprrafopredeter"/>
    <w:uiPriority w:val="99"/>
    <w:semiHidden/>
    <w:rsid w:val="007B74B8"/>
    <w:rPr>
      <w:rFonts w:eastAsia="Batang"/>
      <w:sz w:val="20"/>
      <w:szCs w:val="20"/>
      <w:lang w:val="es-MX"/>
    </w:rPr>
  </w:style>
  <w:style w:type="character" w:customStyle="1" w:styleId="HeaderChar1">
    <w:name w:val="Header Char1"/>
    <w:aliases w:val="encabezado Char1"/>
    <w:basedOn w:val="Fuentedeprrafopredeter"/>
    <w:uiPriority w:val="99"/>
    <w:semiHidden/>
    <w:rsid w:val="007B74B8"/>
    <w:rPr>
      <w:rFonts w:eastAsia="Batang"/>
      <w:lang w:val="es-MX"/>
    </w:rPr>
  </w:style>
  <w:style w:type="character" w:customStyle="1" w:styleId="TitleChar1">
    <w:name w:val="Title Char1"/>
    <w:basedOn w:val="Fuentedeprrafopredeter"/>
    <w:uiPriority w:val="10"/>
    <w:rsid w:val="007B74B8"/>
    <w:rPr>
      <w:rFonts w:asciiTheme="majorHAnsi" w:eastAsiaTheme="majorEastAsia" w:hAnsiTheme="majorHAnsi" w:cstheme="majorBidi"/>
      <w:color w:val="17365D" w:themeColor="text2" w:themeShade="BF"/>
      <w:spacing w:val="5"/>
      <w:kern w:val="28"/>
      <w:sz w:val="52"/>
      <w:szCs w:val="52"/>
      <w:lang w:val="es-MX"/>
    </w:rPr>
  </w:style>
  <w:style w:type="character" w:customStyle="1" w:styleId="Heading7Char1">
    <w:name w:val="Heading 7 Char1"/>
    <w:basedOn w:val="Fuentedeprrafopredeter"/>
    <w:uiPriority w:val="9"/>
    <w:semiHidden/>
    <w:rsid w:val="007B74B8"/>
    <w:rPr>
      <w:rFonts w:asciiTheme="majorHAnsi" w:eastAsiaTheme="majorEastAsia" w:hAnsiTheme="majorHAnsi" w:cstheme="majorBidi"/>
      <w:i/>
      <w:iCs/>
      <w:color w:val="404040" w:themeColor="text1" w:themeTint="BF"/>
      <w:sz w:val="22"/>
      <w:szCs w:val="22"/>
      <w:lang w:val="es-MX"/>
    </w:rPr>
  </w:style>
  <w:style w:type="character" w:customStyle="1" w:styleId="Heading8Char1">
    <w:name w:val="Heading 8 Char1"/>
    <w:basedOn w:val="Fuentedeprrafopredeter"/>
    <w:uiPriority w:val="9"/>
    <w:semiHidden/>
    <w:rsid w:val="007B74B8"/>
    <w:rPr>
      <w:rFonts w:asciiTheme="majorHAnsi" w:eastAsiaTheme="majorEastAsia" w:hAnsiTheme="majorHAnsi" w:cstheme="majorBidi"/>
      <w:color w:val="404040" w:themeColor="text1" w:themeTint="BF"/>
      <w:lang w:val="es-MX"/>
    </w:rPr>
  </w:style>
  <w:style w:type="character" w:customStyle="1" w:styleId="Heading9Char1">
    <w:name w:val="Heading 9 Char1"/>
    <w:basedOn w:val="Fuentedeprrafopredeter"/>
    <w:uiPriority w:val="9"/>
    <w:semiHidden/>
    <w:rsid w:val="007B74B8"/>
    <w:rPr>
      <w:rFonts w:asciiTheme="majorHAnsi" w:eastAsiaTheme="majorEastAsia" w:hAnsiTheme="majorHAnsi" w:cstheme="majorBidi"/>
      <w:i/>
      <w:iCs/>
      <w:color w:val="404040" w:themeColor="text1" w:themeTint="BF"/>
      <w:lang w:val="es-MX"/>
    </w:rPr>
  </w:style>
  <w:style w:type="character" w:customStyle="1" w:styleId="CommentSubjectChar1">
    <w:name w:val="Comment Subject Char1"/>
    <w:basedOn w:val="CommentTextChar1"/>
    <w:uiPriority w:val="99"/>
    <w:semiHidden/>
    <w:rsid w:val="007B74B8"/>
    <w:rPr>
      <w:rFonts w:ascii="Times New Roman" w:eastAsia="Batang" w:hAnsi="Times New Roman" w:cs="Times New Roman"/>
      <w:b/>
      <w:bCs/>
      <w:sz w:val="20"/>
      <w:szCs w:val="20"/>
      <w:lang w:val="es-MX"/>
    </w:rPr>
  </w:style>
  <w:style w:type="character" w:customStyle="1" w:styleId="FooterChar1">
    <w:name w:val="Footer Char1"/>
    <w:basedOn w:val="Fuentedeprrafopredeter"/>
    <w:uiPriority w:val="99"/>
    <w:semiHidden/>
    <w:rsid w:val="007B74B8"/>
    <w:rPr>
      <w:rFonts w:eastAsia="Batang"/>
      <w:lang w:val="es-MX"/>
    </w:rPr>
  </w:style>
  <w:style w:type="character" w:customStyle="1" w:styleId="EndnoteTextChar1">
    <w:name w:val="Endnote Text Char1"/>
    <w:basedOn w:val="Fuentedeprrafopredeter"/>
    <w:uiPriority w:val="99"/>
    <w:semiHidden/>
    <w:rsid w:val="007B74B8"/>
    <w:rPr>
      <w:rFonts w:eastAsia="Batang"/>
      <w:sz w:val="20"/>
      <w:szCs w:val="20"/>
      <w:lang w:val="es-MX"/>
    </w:rPr>
  </w:style>
  <w:style w:type="character" w:customStyle="1" w:styleId="SubtitleChar1">
    <w:name w:val="Subtitle Char1"/>
    <w:basedOn w:val="Fuentedeprrafopredeter"/>
    <w:uiPriority w:val="11"/>
    <w:rsid w:val="007B74B8"/>
    <w:rPr>
      <w:rFonts w:asciiTheme="majorHAnsi" w:eastAsiaTheme="majorEastAsia" w:hAnsiTheme="majorHAnsi" w:cstheme="majorBidi"/>
      <w:i/>
      <w:iCs/>
      <w:color w:val="4F81BD" w:themeColor="accent1"/>
      <w:spacing w:val="15"/>
      <w:sz w:val="24"/>
      <w:szCs w:val="24"/>
      <w:lang w:val="es-MX"/>
    </w:rPr>
  </w:style>
  <w:style w:type="character" w:customStyle="1" w:styleId="BodyTextChar1">
    <w:name w:val="Body Text Char1"/>
    <w:basedOn w:val="Fuentedeprrafopredeter"/>
    <w:uiPriority w:val="99"/>
    <w:semiHidden/>
    <w:rsid w:val="007B74B8"/>
    <w:rPr>
      <w:rFonts w:eastAsia="Batang"/>
      <w:lang w:val="es-MX"/>
    </w:rPr>
  </w:style>
  <w:style w:type="character" w:customStyle="1" w:styleId="BodyTextIndent3Char1">
    <w:name w:val="Body Text Indent 3 Char1"/>
    <w:basedOn w:val="Fuentedeprrafopredeter"/>
    <w:semiHidden/>
    <w:rsid w:val="007B74B8"/>
    <w:rPr>
      <w:rFonts w:eastAsia="Batang"/>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1613">
      <w:bodyDiv w:val="1"/>
      <w:marLeft w:val="0"/>
      <w:marRight w:val="0"/>
      <w:marTop w:val="0"/>
      <w:marBottom w:val="0"/>
      <w:divBdr>
        <w:top w:val="none" w:sz="0" w:space="0" w:color="auto"/>
        <w:left w:val="none" w:sz="0" w:space="0" w:color="auto"/>
        <w:bottom w:val="none" w:sz="0" w:space="0" w:color="auto"/>
        <w:right w:val="none" w:sz="0" w:space="0" w:color="auto"/>
      </w:divBdr>
    </w:div>
    <w:div w:id="54859877">
      <w:bodyDiv w:val="1"/>
      <w:marLeft w:val="0"/>
      <w:marRight w:val="0"/>
      <w:marTop w:val="0"/>
      <w:marBottom w:val="0"/>
      <w:divBdr>
        <w:top w:val="none" w:sz="0" w:space="0" w:color="auto"/>
        <w:left w:val="none" w:sz="0" w:space="0" w:color="auto"/>
        <w:bottom w:val="none" w:sz="0" w:space="0" w:color="auto"/>
        <w:right w:val="none" w:sz="0" w:space="0" w:color="auto"/>
      </w:divBdr>
    </w:div>
    <w:div w:id="59980975">
      <w:bodyDiv w:val="1"/>
      <w:marLeft w:val="0"/>
      <w:marRight w:val="0"/>
      <w:marTop w:val="0"/>
      <w:marBottom w:val="0"/>
      <w:divBdr>
        <w:top w:val="none" w:sz="0" w:space="0" w:color="auto"/>
        <w:left w:val="none" w:sz="0" w:space="0" w:color="auto"/>
        <w:bottom w:val="none" w:sz="0" w:space="0" w:color="auto"/>
        <w:right w:val="none" w:sz="0" w:space="0" w:color="auto"/>
      </w:divBdr>
    </w:div>
    <w:div w:id="71054178">
      <w:bodyDiv w:val="1"/>
      <w:marLeft w:val="0"/>
      <w:marRight w:val="0"/>
      <w:marTop w:val="0"/>
      <w:marBottom w:val="0"/>
      <w:divBdr>
        <w:top w:val="none" w:sz="0" w:space="0" w:color="auto"/>
        <w:left w:val="none" w:sz="0" w:space="0" w:color="auto"/>
        <w:bottom w:val="none" w:sz="0" w:space="0" w:color="auto"/>
        <w:right w:val="none" w:sz="0" w:space="0" w:color="auto"/>
      </w:divBdr>
    </w:div>
    <w:div w:id="329989529">
      <w:bodyDiv w:val="1"/>
      <w:marLeft w:val="0"/>
      <w:marRight w:val="0"/>
      <w:marTop w:val="0"/>
      <w:marBottom w:val="0"/>
      <w:divBdr>
        <w:top w:val="none" w:sz="0" w:space="0" w:color="auto"/>
        <w:left w:val="none" w:sz="0" w:space="0" w:color="auto"/>
        <w:bottom w:val="none" w:sz="0" w:space="0" w:color="auto"/>
        <w:right w:val="none" w:sz="0" w:space="0" w:color="auto"/>
      </w:divBdr>
    </w:div>
    <w:div w:id="348331928">
      <w:bodyDiv w:val="1"/>
      <w:marLeft w:val="0"/>
      <w:marRight w:val="0"/>
      <w:marTop w:val="0"/>
      <w:marBottom w:val="0"/>
      <w:divBdr>
        <w:top w:val="none" w:sz="0" w:space="0" w:color="auto"/>
        <w:left w:val="none" w:sz="0" w:space="0" w:color="auto"/>
        <w:bottom w:val="none" w:sz="0" w:space="0" w:color="auto"/>
        <w:right w:val="none" w:sz="0" w:space="0" w:color="auto"/>
      </w:divBdr>
    </w:div>
    <w:div w:id="392047320">
      <w:bodyDiv w:val="1"/>
      <w:marLeft w:val="0"/>
      <w:marRight w:val="0"/>
      <w:marTop w:val="0"/>
      <w:marBottom w:val="0"/>
      <w:divBdr>
        <w:top w:val="none" w:sz="0" w:space="0" w:color="auto"/>
        <w:left w:val="none" w:sz="0" w:space="0" w:color="auto"/>
        <w:bottom w:val="none" w:sz="0" w:space="0" w:color="auto"/>
        <w:right w:val="none" w:sz="0" w:space="0" w:color="auto"/>
      </w:divBdr>
    </w:div>
    <w:div w:id="481459649">
      <w:bodyDiv w:val="1"/>
      <w:marLeft w:val="0"/>
      <w:marRight w:val="0"/>
      <w:marTop w:val="0"/>
      <w:marBottom w:val="0"/>
      <w:divBdr>
        <w:top w:val="none" w:sz="0" w:space="0" w:color="auto"/>
        <w:left w:val="none" w:sz="0" w:space="0" w:color="auto"/>
        <w:bottom w:val="none" w:sz="0" w:space="0" w:color="auto"/>
        <w:right w:val="none" w:sz="0" w:space="0" w:color="auto"/>
      </w:divBdr>
    </w:div>
    <w:div w:id="533276630">
      <w:bodyDiv w:val="1"/>
      <w:marLeft w:val="0"/>
      <w:marRight w:val="0"/>
      <w:marTop w:val="0"/>
      <w:marBottom w:val="0"/>
      <w:divBdr>
        <w:top w:val="none" w:sz="0" w:space="0" w:color="auto"/>
        <w:left w:val="none" w:sz="0" w:space="0" w:color="auto"/>
        <w:bottom w:val="none" w:sz="0" w:space="0" w:color="auto"/>
        <w:right w:val="none" w:sz="0" w:space="0" w:color="auto"/>
      </w:divBdr>
    </w:div>
    <w:div w:id="720398249">
      <w:bodyDiv w:val="1"/>
      <w:marLeft w:val="0"/>
      <w:marRight w:val="0"/>
      <w:marTop w:val="0"/>
      <w:marBottom w:val="0"/>
      <w:divBdr>
        <w:top w:val="none" w:sz="0" w:space="0" w:color="auto"/>
        <w:left w:val="none" w:sz="0" w:space="0" w:color="auto"/>
        <w:bottom w:val="none" w:sz="0" w:space="0" w:color="auto"/>
        <w:right w:val="none" w:sz="0" w:space="0" w:color="auto"/>
      </w:divBdr>
    </w:div>
    <w:div w:id="757866255">
      <w:bodyDiv w:val="1"/>
      <w:marLeft w:val="0"/>
      <w:marRight w:val="0"/>
      <w:marTop w:val="0"/>
      <w:marBottom w:val="0"/>
      <w:divBdr>
        <w:top w:val="none" w:sz="0" w:space="0" w:color="auto"/>
        <w:left w:val="none" w:sz="0" w:space="0" w:color="auto"/>
        <w:bottom w:val="none" w:sz="0" w:space="0" w:color="auto"/>
        <w:right w:val="none" w:sz="0" w:space="0" w:color="auto"/>
      </w:divBdr>
    </w:div>
    <w:div w:id="780028280">
      <w:bodyDiv w:val="1"/>
      <w:marLeft w:val="0"/>
      <w:marRight w:val="0"/>
      <w:marTop w:val="0"/>
      <w:marBottom w:val="0"/>
      <w:divBdr>
        <w:top w:val="none" w:sz="0" w:space="0" w:color="auto"/>
        <w:left w:val="none" w:sz="0" w:space="0" w:color="auto"/>
        <w:bottom w:val="none" w:sz="0" w:space="0" w:color="auto"/>
        <w:right w:val="none" w:sz="0" w:space="0" w:color="auto"/>
      </w:divBdr>
    </w:div>
    <w:div w:id="797260138">
      <w:bodyDiv w:val="1"/>
      <w:marLeft w:val="0"/>
      <w:marRight w:val="0"/>
      <w:marTop w:val="0"/>
      <w:marBottom w:val="0"/>
      <w:divBdr>
        <w:top w:val="none" w:sz="0" w:space="0" w:color="auto"/>
        <w:left w:val="none" w:sz="0" w:space="0" w:color="auto"/>
        <w:bottom w:val="none" w:sz="0" w:space="0" w:color="auto"/>
        <w:right w:val="none" w:sz="0" w:space="0" w:color="auto"/>
      </w:divBdr>
    </w:div>
    <w:div w:id="903175621">
      <w:bodyDiv w:val="1"/>
      <w:marLeft w:val="0"/>
      <w:marRight w:val="0"/>
      <w:marTop w:val="0"/>
      <w:marBottom w:val="0"/>
      <w:divBdr>
        <w:top w:val="none" w:sz="0" w:space="0" w:color="auto"/>
        <w:left w:val="none" w:sz="0" w:space="0" w:color="auto"/>
        <w:bottom w:val="none" w:sz="0" w:space="0" w:color="auto"/>
        <w:right w:val="none" w:sz="0" w:space="0" w:color="auto"/>
      </w:divBdr>
    </w:div>
    <w:div w:id="927345337">
      <w:bodyDiv w:val="1"/>
      <w:marLeft w:val="0"/>
      <w:marRight w:val="0"/>
      <w:marTop w:val="0"/>
      <w:marBottom w:val="0"/>
      <w:divBdr>
        <w:top w:val="none" w:sz="0" w:space="0" w:color="auto"/>
        <w:left w:val="none" w:sz="0" w:space="0" w:color="auto"/>
        <w:bottom w:val="none" w:sz="0" w:space="0" w:color="auto"/>
        <w:right w:val="none" w:sz="0" w:space="0" w:color="auto"/>
      </w:divBdr>
      <w:divsChild>
        <w:div w:id="1579514917">
          <w:marLeft w:val="0"/>
          <w:marRight w:val="0"/>
          <w:marTop w:val="0"/>
          <w:marBottom w:val="0"/>
          <w:divBdr>
            <w:top w:val="none" w:sz="0" w:space="0" w:color="auto"/>
            <w:left w:val="none" w:sz="0" w:space="0" w:color="auto"/>
            <w:bottom w:val="none" w:sz="0" w:space="0" w:color="auto"/>
            <w:right w:val="none" w:sz="0" w:space="0" w:color="auto"/>
          </w:divBdr>
          <w:divsChild>
            <w:div w:id="2022392809">
              <w:marLeft w:val="0"/>
              <w:marRight w:val="0"/>
              <w:marTop w:val="0"/>
              <w:marBottom w:val="0"/>
              <w:divBdr>
                <w:top w:val="none" w:sz="0" w:space="0" w:color="auto"/>
                <w:left w:val="none" w:sz="0" w:space="0" w:color="auto"/>
                <w:bottom w:val="none" w:sz="0" w:space="0" w:color="auto"/>
                <w:right w:val="none" w:sz="0" w:space="0" w:color="auto"/>
              </w:divBdr>
              <w:divsChild>
                <w:div w:id="106614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160448">
      <w:bodyDiv w:val="1"/>
      <w:marLeft w:val="0"/>
      <w:marRight w:val="0"/>
      <w:marTop w:val="0"/>
      <w:marBottom w:val="0"/>
      <w:divBdr>
        <w:top w:val="none" w:sz="0" w:space="0" w:color="auto"/>
        <w:left w:val="none" w:sz="0" w:space="0" w:color="auto"/>
        <w:bottom w:val="none" w:sz="0" w:space="0" w:color="auto"/>
        <w:right w:val="none" w:sz="0" w:space="0" w:color="auto"/>
      </w:divBdr>
    </w:div>
    <w:div w:id="1022442801">
      <w:bodyDiv w:val="1"/>
      <w:marLeft w:val="0"/>
      <w:marRight w:val="0"/>
      <w:marTop w:val="0"/>
      <w:marBottom w:val="0"/>
      <w:divBdr>
        <w:top w:val="none" w:sz="0" w:space="0" w:color="auto"/>
        <w:left w:val="none" w:sz="0" w:space="0" w:color="auto"/>
        <w:bottom w:val="none" w:sz="0" w:space="0" w:color="auto"/>
        <w:right w:val="none" w:sz="0" w:space="0" w:color="auto"/>
      </w:divBdr>
    </w:div>
    <w:div w:id="1097561632">
      <w:bodyDiv w:val="1"/>
      <w:marLeft w:val="0"/>
      <w:marRight w:val="0"/>
      <w:marTop w:val="0"/>
      <w:marBottom w:val="0"/>
      <w:divBdr>
        <w:top w:val="none" w:sz="0" w:space="0" w:color="auto"/>
        <w:left w:val="none" w:sz="0" w:space="0" w:color="auto"/>
        <w:bottom w:val="none" w:sz="0" w:space="0" w:color="auto"/>
        <w:right w:val="none" w:sz="0" w:space="0" w:color="auto"/>
      </w:divBdr>
    </w:div>
    <w:div w:id="1152718611">
      <w:bodyDiv w:val="1"/>
      <w:marLeft w:val="0"/>
      <w:marRight w:val="0"/>
      <w:marTop w:val="0"/>
      <w:marBottom w:val="0"/>
      <w:divBdr>
        <w:top w:val="none" w:sz="0" w:space="0" w:color="auto"/>
        <w:left w:val="none" w:sz="0" w:space="0" w:color="auto"/>
        <w:bottom w:val="none" w:sz="0" w:space="0" w:color="auto"/>
        <w:right w:val="none" w:sz="0" w:space="0" w:color="auto"/>
      </w:divBdr>
    </w:div>
    <w:div w:id="1251231783">
      <w:bodyDiv w:val="1"/>
      <w:marLeft w:val="0"/>
      <w:marRight w:val="0"/>
      <w:marTop w:val="0"/>
      <w:marBottom w:val="0"/>
      <w:divBdr>
        <w:top w:val="none" w:sz="0" w:space="0" w:color="auto"/>
        <w:left w:val="none" w:sz="0" w:space="0" w:color="auto"/>
        <w:bottom w:val="none" w:sz="0" w:space="0" w:color="auto"/>
        <w:right w:val="none" w:sz="0" w:space="0" w:color="auto"/>
      </w:divBdr>
    </w:div>
    <w:div w:id="1293747543">
      <w:bodyDiv w:val="1"/>
      <w:marLeft w:val="0"/>
      <w:marRight w:val="0"/>
      <w:marTop w:val="0"/>
      <w:marBottom w:val="0"/>
      <w:divBdr>
        <w:top w:val="none" w:sz="0" w:space="0" w:color="auto"/>
        <w:left w:val="none" w:sz="0" w:space="0" w:color="auto"/>
        <w:bottom w:val="none" w:sz="0" w:space="0" w:color="auto"/>
        <w:right w:val="none" w:sz="0" w:space="0" w:color="auto"/>
      </w:divBdr>
    </w:div>
    <w:div w:id="1320234791">
      <w:bodyDiv w:val="1"/>
      <w:marLeft w:val="0"/>
      <w:marRight w:val="0"/>
      <w:marTop w:val="0"/>
      <w:marBottom w:val="0"/>
      <w:divBdr>
        <w:top w:val="none" w:sz="0" w:space="0" w:color="auto"/>
        <w:left w:val="none" w:sz="0" w:space="0" w:color="auto"/>
        <w:bottom w:val="none" w:sz="0" w:space="0" w:color="auto"/>
        <w:right w:val="none" w:sz="0" w:space="0" w:color="auto"/>
      </w:divBdr>
    </w:div>
    <w:div w:id="1423136902">
      <w:bodyDiv w:val="1"/>
      <w:marLeft w:val="0"/>
      <w:marRight w:val="0"/>
      <w:marTop w:val="0"/>
      <w:marBottom w:val="0"/>
      <w:divBdr>
        <w:top w:val="none" w:sz="0" w:space="0" w:color="auto"/>
        <w:left w:val="none" w:sz="0" w:space="0" w:color="auto"/>
        <w:bottom w:val="none" w:sz="0" w:space="0" w:color="auto"/>
        <w:right w:val="none" w:sz="0" w:space="0" w:color="auto"/>
      </w:divBdr>
    </w:div>
    <w:div w:id="1940986051">
      <w:bodyDiv w:val="1"/>
      <w:marLeft w:val="0"/>
      <w:marRight w:val="0"/>
      <w:marTop w:val="0"/>
      <w:marBottom w:val="0"/>
      <w:divBdr>
        <w:top w:val="none" w:sz="0" w:space="0" w:color="auto"/>
        <w:left w:val="none" w:sz="0" w:space="0" w:color="auto"/>
        <w:bottom w:val="none" w:sz="0" w:space="0" w:color="auto"/>
        <w:right w:val="none" w:sz="0" w:space="0" w:color="auto"/>
      </w:divBdr>
    </w:div>
    <w:div w:id="209127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T:\Tramitacion\01_Pendientes_Sentencia\Ancejub_Sunat_Vs_Per&#250;\9_Notificacion\Proyecto.Sentencia.21.11.ANCEJUB.Validacion.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T:\Tramitacion\01_Pendientes_Sentencia\Ancejub_Sunat_Vs_Per&#250;\9_Notificacion\Proyecto.Sentencia.21.11.ANCEJUB.Validacion.doc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ilo.org/wcmsp5/groups/public/---dgreports/---dcomm/documents/publication/wcms_067592.pdf" TargetMode="External"/><Relationship Id="rId1" Type="http://schemas.openxmlformats.org/officeDocument/2006/relationships/hyperlink" Target="http://www.corteidh.or.cr/docs/asuntos/ancejub-sunat_21_03_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15BEBE2BF87F40A76A9C926EBECC0C" ma:contentTypeVersion="0" ma:contentTypeDescription="Create a new document." ma:contentTypeScope="" ma:versionID="ad8069bb81a7b5dc5c766ad6aa2648b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E8408-19C7-40FC-8770-CA62BBD0B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3F0BB85-7482-48C8-BADC-80C002D9A8B1}">
  <ds:schemaRefs>
    <ds:schemaRef ds:uri="http://schemas.microsoft.com/sharepoint/v3/contenttype/forms"/>
  </ds:schemaRefs>
</ds:datastoreItem>
</file>

<file path=customXml/itemProps3.xml><?xml version="1.0" encoding="utf-8"?>
<ds:datastoreItem xmlns:ds="http://schemas.openxmlformats.org/officeDocument/2006/customXml" ds:itemID="{43E56079-6B69-4AB3-87FF-DFB4CE62FE03}">
  <ds:schemaRefs>
    <ds:schemaRef ds:uri="http://schemas.microsoft.com/office/2006/metadata/properties"/>
  </ds:schemaRefs>
</ds:datastoreItem>
</file>

<file path=customXml/itemProps4.xml><?xml version="1.0" encoding="utf-8"?>
<ds:datastoreItem xmlns:ds="http://schemas.openxmlformats.org/officeDocument/2006/customXml" ds:itemID="{884B71A7-04EF-42F8-995B-CD39E1CA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43981</Words>
  <Characters>241900</Characters>
  <Application>Microsoft Office Word</Application>
  <DocSecurity>0</DocSecurity>
  <Lines>2015</Lines>
  <Paragraphs>570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Corte IDH</vt:lpstr>
      <vt:lpstr/>
    </vt:vector>
  </TitlesOfParts>
  <Company/>
  <LinksUpToDate>false</LinksUpToDate>
  <CharactersWithSpaces>285311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Corte IDH</dc:title>
  <dc:creator>Corte IDH</dc:creator>
  <cp:lastModifiedBy>Francella Hernandez</cp:lastModifiedBy>
  <cp:revision>3</cp:revision>
  <cp:lastPrinted>2020-10-27T22:52:00Z</cp:lastPrinted>
  <dcterms:created xsi:type="dcterms:W3CDTF">2020-10-27T22:52:00Z</dcterms:created>
  <dcterms:modified xsi:type="dcterms:W3CDTF">2020-10-27T22:52:00Z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0x010100D015BEBE2BF87F40A76A9C926EBECC0C</vt:lpwstr>
  </property>
</Properties>
</file>