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FE78A" w14:textId="1AC9ADFB" w:rsidR="00483058" w:rsidRPr="009631AB" w:rsidRDefault="00E451EA" w:rsidP="00734B53">
      <w:pPr>
        <w:spacing w:after="0" w:line="240" w:lineRule="auto"/>
        <w:jc w:val="center"/>
        <w:rPr>
          <w:szCs w:val="20"/>
        </w:rPr>
      </w:pPr>
      <w:bookmarkStart w:id="0" w:name="_GoBack"/>
      <w:bookmarkEnd w:id="0"/>
      <w:r w:rsidRPr="009631AB">
        <w:rPr>
          <w:szCs w:val="20"/>
        </w:rPr>
        <w:tab/>
      </w:r>
    </w:p>
    <w:p w14:paraId="656EDE86" w14:textId="5052560D" w:rsidR="00CD4BCA" w:rsidRPr="009631AB" w:rsidRDefault="00CD4BCA" w:rsidP="00734B53">
      <w:pPr>
        <w:spacing w:after="0" w:line="240" w:lineRule="auto"/>
        <w:jc w:val="center"/>
        <w:rPr>
          <w:rFonts w:eastAsia="MS Mincho" w:cs="Times New Roman"/>
          <w:szCs w:val="20"/>
          <w:lang w:val="es-MX"/>
        </w:rPr>
      </w:pPr>
    </w:p>
    <w:p w14:paraId="695BB350" w14:textId="77777777" w:rsidR="00CD4BCA" w:rsidRPr="009631AB" w:rsidRDefault="00CD4BCA" w:rsidP="00734B53">
      <w:pPr>
        <w:spacing w:after="0" w:line="240" w:lineRule="auto"/>
        <w:jc w:val="center"/>
        <w:rPr>
          <w:rFonts w:eastAsia="MS Mincho" w:cs="Times New Roman"/>
          <w:b/>
          <w:szCs w:val="20"/>
          <w:lang w:val="es-ES"/>
        </w:rPr>
      </w:pPr>
    </w:p>
    <w:p w14:paraId="7DFAEED5" w14:textId="77777777" w:rsidR="00CD4BCA" w:rsidRPr="009631AB" w:rsidRDefault="00CD4BCA" w:rsidP="00734B53">
      <w:pPr>
        <w:spacing w:after="0" w:line="240" w:lineRule="auto"/>
        <w:jc w:val="center"/>
        <w:rPr>
          <w:rFonts w:eastAsia="MS Mincho" w:cs="Times New Roman"/>
          <w:b/>
          <w:szCs w:val="20"/>
          <w:lang w:val="es-ES"/>
        </w:rPr>
      </w:pPr>
    </w:p>
    <w:p w14:paraId="1EA95B5D" w14:textId="77777777" w:rsidR="00CD4BCA" w:rsidRPr="009631AB" w:rsidRDefault="00CD4BCA" w:rsidP="00734B53">
      <w:pPr>
        <w:spacing w:after="0" w:line="240" w:lineRule="auto"/>
        <w:jc w:val="center"/>
        <w:rPr>
          <w:rFonts w:eastAsia="MS Mincho" w:cs="Times New Roman"/>
          <w:b/>
          <w:szCs w:val="20"/>
          <w:lang w:val="es-ES"/>
        </w:rPr>
      </w:pPr>
    </w:p>
    <w:p w14:paraId="6222CD88" w14:textId="77777777" w:rsidR="00CD4BCA" w:rsidRPr="009631AB" w:rsidRDefault="00CD4BCA" w:rsidP="00734B53">
      <w:pPr>
        <w:spacing w:after="0" w:line="240" w:lineRule="auto"/>
        <w:jc w:val="center"/>
        <w:rPr>
          <w:rFonts w:eastAsia="MS Mincho" w:cs="Times New Roman"/>
          <w:b/>
          <w:szCs w:val="20"/>
          <w:lang w:val="es-ES"/>
        </w:rPr>
      </w:pPr>
    </w:p>
    <w:p w14:paraId="6C33D6EF" w14:textId="77777777" w:rsidR="00CD4BCA" w:rsidRPr="009631AB" w:rsidRDefault="00CD4BCA" w:rsidP="00734B53">
      <w:pPr>
        <w:spacing w:after="0" w:line="240" w:lineRule="auto"/>
        <w:jc w:val="center"/>
        <w:rPr>
          <w:rFonts w:eastAsia="MS Mincho" w:cs="Times New Roman"/>
          <w:b/>
          <w:szCs w:val="20"/>
          <w:lang w:val="es-ES"/>
        </w:rPr>
      </w:pPr>
    </w:p>
    <w:p w14:paraId="1BC98AAF" w14:textId="77777777" w:rsidR="00CD4BCA" w:rsidRPr="009631AB" w:rsidRDefault="00CD4BCA" w:rsidP="00734B53">
      <w:pPr>
        <w:spacing w:after="0" w:line="240" w:lineRule="auto"/>
        <w:jc w:val="center"/>
        <w:rPr>
          <w:rFonts w:eastAsia="MS Mincho" w:cs="Times New Roman"/>
          <w:b/>
          <w:szCs w:val="20"/>
          <w:lang w:val="es-ES"/>
        </w:rPr>
      </w:pPr>
    </w:p>
    <w:p w14:paraId="1DDA18CB" w14:textId="77777777" w:rsidR="00CD4BCA" w:rsidRPr="009631AB" w:rsidRDefault="00CD4BCA" w:rsidP="00734B53">
      <w:pPr>
        <w:spacing w:after="0" w:line="240" w:lineRule="auto"/>
        <w:jc w:val="center"/>
        <w:rPr>
          <w:rFonts w:eastAsia="MS Mincho" w:cs="Times New Roman"/>
          <w:b/>
          <w:szCs w:val="20"/>
          <w:lang w:val="es-ES"/>
        </w:rPr>
      </w:pPr>
    </w:p>
    <w:p w14:paraId="52F5E695" w14:textId="77777777" w:rsidR="00CD4BCA" w:rsidRPr="009631AB" w:rsidRDefault="00CD4BCA" w:rsidP="00734B53">
      <w:pPr>
        <w:spacing w:after="0" w:line="240" w:lineRule="auto"/>
        <w:jc w:val="center"/>
        <w:rPr>
          <w:rFonts w:eastAsia="MS Mincho" w:cs="Times New Roman"/>
          <w:b/>
          <w:szCs w:val="20"/>
          <w:lang w:val="es-ES"/>
        </w:rPr>
      </w:pPr>
    </w:p>
    <w:p w14:paraId="77A96936" w14:textId="77777777" w:rsidR="001D1455" w:rsidRPr="009631AB" w:rsidRDefault="001D1455" w:rsidP="00734B53">
      <w:pPr>
        <w:spacing w:after="0" w:line="240" w:lineRule="auto"/>
        <w:jc w:val="center"/>
        <w:rPr>
          <w:rFonts w:eastAsia="MS Mincho" w:cs="Times New Roman"/>
          <w:b/>
          <w:szCs w:val="20"/>
          <w:lang w:val="es-ES"/>
        </w:rPr>
      </w:pPr>
      <w:bookmarkStart w:id="1" w:name="_Toc505939110"/>
      <w:bookmarkStart w:id="2" w:name="_Toc506496091"/>
      <w:r w:rsidRPr="009631AB">
        <w:rPr>
          <w:rFonts w:eastAsia="MS Mincho" w:cs="Times New Roman"/>
          <w:b/>
          <w:szCs w:val="20"/>
          <w:lang w:val="es-ES"/>
        </w:rPr>
        <w:t>CORTE INTERAMERICANA DE DERECHOS HUMANOS</w:t>
      </w:r>
      <w:bookmarkEnd w:id="1"/>
      <w:bookmarkEnd w:id="2"/>
    </w:p>
    <w:p w14:paraId="39363148" w14:textId="77777777" w:rsidR="001D1455" w:rsidRPr="009631AB" w:rsidRDefault="001D1455" w:rsidP="00734B53">
      <w:pPr>
        <w:spacing w:after="0" w:line="240" w:lineRule="auto"/>
        <w:jc w:val="center"/>
        <w:rPr>
          <w:rFonts w:eastAsia="MS Mincho" w:cs="Times New Roman"/>
          <w:b/>
          <w:szCs w:val="20"/>
          <w:lang w:val="es-ES"/>
        </w:rPr>
      </w:pPr>
    </w:p>
    <w:p w14:paraId="6F0D69F3" w14:textId="6C2D7C78" w:rsidR="001D1455" w:rsidRPr="009631AB" w:rsidRDefault="001D1455" w:rsidP="00734B53">
      <w:pPr>
        <w:spacing w:after="0" w:line="240" w:lineRule="auto"/>
        <w:jc w:val="center"/>
        <w:rPr>
          <w:rFonts w:eastAsia="MS Mincho" w:cs="Times New Roman"/>
          <w:b/>
          <w:szCs w:val="20"/>
          <w:lang w:val="es-ES"/>
        </w:rPr>
      </w:pPr>
      <w:r w:rsidRPr="009631AB">
        <w:rPr>
          <w:rFonts w:eastAsia="MS Mincho" w:cs="Times New Roman"/>
          <w:b/>
          <w:szCs w:val="20"/>
          <w:lang w:val="es-ES"/>
        </w:rPr>
        <w:t xml:space="preserve">CASO </w:t>
      </w:r>
      <w:r w:rsidR="001B704A" w:rsidRPr="009631AB">
        <w:rPr>
          <w:rFonts w:eastAsia="MS Mincho" w:cs="Times New Roman"/>
          <w:b/>
          <w:szCs w:val="20"/>
          <w:lang w:val="es-ES"/>
        </w:rPr>
        <w:t>MONTESINOS MEJÍA VS. ECUADOR</w:t>
      </w:r>
    </w:p>
    <w:p w14:paraId="70A68476" w14:textId="77777777" w:rsidR="001D1455" w:rsidRPr="009631AB" w:rsidRDefault="001D1455" w:rsidP="00734B53">
      <w:pPr>
        <w:spacing w:after="0" w:line="240" w:lineRule="auto"/>
        <w:jc w:val="center"/>
        <w:rPr>
          <w:rFonts w:eastAsia="MS Mincho" w:cs="Times New Roman"/>
          <w:b/>
          <w:szCs w:val="20"/>
          <w:lang w:val="es-ES"/>
        </w:rPr>
      </w:pPr>
    </w:p>
    <w:p w14:paraId="3F34A65E" w14:textId="6066EBEE" w:rsidR="001D1455" w:rsidRPr="009631AB" w:rsidRDefault="001D1455" w:rsidP="00734B53">
      <w:pPr>
        <w:spacing w:after="0" w:line="240" w:lineRule="auto"/>
        <w:jc w:val="center"/>
        <w:rPr>
          <w:rFonts w:eastAsia="MS Mincho" w:cs="Times New Roman"/>
          <w:b/>
          <w:szCs w:val="20"/>
          <w:lang w:val="es-ES"/>
        </w:rPr>
      </w:pPr>
      <w:r w:rsidRPr="009631AB">
        <w:rPr>
          <w:rFonts w:eastAsia="MS Mincho" w:cs="Times New Roman"/>
          <w:b/>
          <w:szCs w:val="20"/>
          <w:lang w:val="es-ES"/>
        </w:rPr>
        <w:t xml:space="preserve">SENTENCIA DE </w:t>
      </w:r>
      <w:r w:rsidR="00DA7EEF">
        <w:rPr>
          <w:rFonts w:eastAsia="MS Mincho" w:cs="Times New Roman"/>
          <w:b/>
          <w:szCs w:val="20"/>
          <w:lang w:val="es-ES"/>
        </w:rPr>
        <w:t>27</w:t>
      </w:r>
      <w:r w:rsidRPr="009631AB">
        <w:rPr>
          <w:rFonts w:eastAsia="MS Mincho" w:cs="Times New Roman"/>
          <w:b/>
          <w:szCs w:val="20"/>
          <w:lang w:val="es-ES"/>
        </w:rPr>
        <w:t xml:space="preserve"> DE </w:t>
      </w:r>
      <w:r w:rsidR="00E451EA" w:rsidRPr="009631AB">
        <w:rPr>
          <w:rFonts w:eastAsia="MS Mincho" w:cs="Times New Roman"/>
          <w:b/>
          <w:szCs w:val="20"/>
          <w:lang w:val="es-ES"/>
        </w:rPr>
        <w:t>ENERO</w:t>
      </w:r>
      <w:r w:rsidR="00A05955" w:rsidRPr="009631AB">
        <w:rPr>
          <w:rFonts w:eastAsia="MS Mincho" w:cs="Times New Roman"/>
          <w:b/>
          <w:szCs w:val="20"/>
          <w:lang w:val="es-ES"/>
        </w:rPr>
        <w:t xml:space="preserve"> DE </w:t>
      </w:r>
      <w:r w:rsidR="00F859FB" w:rsidRPr="009631AB">
        <w:rPr>
          <w:rFonts w:eastAsia="MS Mincho" w:cs="Times New Roman"/>
          <w:b/>
          <w:szCs w:val="20"/>
          <w:lang w:val="es-ES"/>
        </w:rPr>
        <w:t>2020</w:t>
      </w:r>
    </w:p>
    <w:p w14:paraId="61DF3598" w14:textId="77777777" w:rsidR="001D1455" w:rsidRPr="009631AB" w:rsidRDefault="001D1455" w:rsidP="00734B53">
      <w:pPr>
        <w:spacing w:after="0" w:line="240" w:lineRule="auto"/>
        <w:jc w:val="center"/>
        <w:rPr>
          <w:rFonts w:eastAsia="MS Mincho" w:cs="Times New Roman"/>
          <w:b/>
          <w:szCs w:val="20"/>
          <w:lang w:val="es-ES"/>
        </w:rPr>
      </w:pPr>
    </w:p>
    <w:p w14:paraId="4B17F311" w14:textId="77777777" w:rsidR="001D1455" w:rsidRPr="009631AB" w:rsidRDefault="001D1455" w:rsidP="00734B53">
      <w:pPr>
        <w:spacing w:after="0" w:line="240" w:lineRule="auto"/>
        <w:jc w:val="center"/>
        <w:rPr>
          <w:rFonts w:eastAsia="Batang" w:cs="Times"/>
          <w:b/>
          <w:i/>
          <w:smallCaps/>
          <w:noProof/>
          <w:szCs w:val="20"/>
          <w:lang w:val="es-ES" w:eastAsia="es-ES"/>
        </w:rPr>
      </w:pPr>
      <w:r w:rsidRPr="009631AB">
        <w:rPr>
          <w:rFonts w:eastAsia="MS Mincho" w:cs="Times New Roman"/>
          <w:b/>
          <w:szCs w:val="20"/>
          <w:lang w:val="es-ES"/>
        </w:rPr>
        <w:t>(Excepci</w:t>
      </w:r>
      <w:r w:rsidR="000518AE" w:rsidRPr="009631AB">
        <w:rPr>
          <w:rFonts w:eastAsia="MS Mincho" w:cs="Times New Roman"/>
          <w:b/>
          <w:szCs w:val="20"/>
          <w:lang w:val="es-ES"/>
        </w:rPr>
        <w:t>ones</w:t>
      </w:r>
      <w:r w:rsidRPr="009631AB">
        <w:rPr>
          <w:rFonts w:eastAsia="MS Mincho" w:cs="Times New Roman"/>
          <w:b/>
          <w:szCs w:val="20"/>
          <w:lang w:val="es-ES"/>
        </w:rPr>
        <w:t xml:space="preserve"> Preliminar</w:t>
      </w:r>
      <w:r w:rsidR="000518AE" w:rsidRPr="009631AB">
        <w:rPr>
          <w:rFonts w:eastAsia="MS Mincho" w:cs="Times New Roman"/>
          <w:b/>
          <w:szCs w:val="20"/>
          <w:lang w:val="es-ES"/>
        </w:rPr>
        <w:t>es</w:t>
      </w:r>
      <w:r w:rsidRPr="009631AB">
        <w:rPr>
          <w:rFonts w:eastAsia="MS Mincho" w:cs="Times New Roman"/>
          <w:b/>
          <w:szCs w:val="20"/>
          <w:lang w:val="es-ES"/>
        </w:rPr>
        <w:t>, Fondo, Reparaciones y Costas)</w:t>
      </w:r>
    </w:p>
    <w:p w14:paraId="70D4ADC3" w14:textId="77777777" w:rsidR="001D1455" w:rsidRPr="009631AB" w:rsidRDefault="001D1455" w:rsidP="00734B53">
      <w:pPr>
        <w:spacing w:after="0" w:line="240" w:lineRule="auto"/>
        <w:ind w:right="-4"/>
        <w:jc w:val="center"/>
        <w:rPr>
          <w:rFonts w:eastAsia="Batang" w:cs="Verdana Bold"/>
          <w:b/>
          <w:bCs/>
          <w:i/>
          <w:caps/>
          <w:noProof/>
          <w:szCs w:val="20"/>
          <w:lang w:val="es-ES"/>
        </w:rPr>
      </w:pPr>
    </w:p>
    <w:p w14:paraId="2A1B02D5" w14:textId="77777777" w:rsidR="001D1455" w:rsidRPr="009631AB" w:rsidRDefault="001D1455" w:rsidP="00734B53">
      <w:pPr>
        <w:spacing w:after="0" w:line="240" w:lineRule="auto"/>
        <w:ind w:left="-142" w:right="-4"/>
        <w:jc w:val="both"/>
        <w:rPr>
          <w:rFonts w:eastAsia="Batang" w:cs="Times"/>
          <w:szCs w:val="20"/>
          <w:lang w:val="es-ES"/>
        </w:rPr>
      </w:pPr>
    </w:p>
    <w:p w14:paraId="69487BEB" w14:textId="77777777" w:rsidR="001D1455" w:rsidRPr="009631AB" w:rsidRDefault="001D1455" w:rsidP="00734B53">
      <w:pPr>
        <w:spacing w:after="0" w:line="240" w:lineRule="auto"/>
        <w:ind w:left="-142" w:right="-4"/>
        <w:jc w:val="both"/>
        <w:rPr>
          <w:rFonts w:eastAsia="Batang" w:cs="Times"/>
          <w:szCs w:val="20"/>
          <w:lang w:val="es-ES"/>
        </w:rPr>
      </w:pPr>
    </w:p>
    <w:p w14:paraId="1CC6DEB5" w14:textId="19671C50" w:rsidR="001D1455" w:rsidRPr="009631AB" w:rsidRDefault="001D1455" w:rsidP="00734B53">
      <w:pPr>
        <w:spacing w:after="0" w:line="240" w:lineRule="auto"/>
        <w:jc w:val="both"/>
        <w:rPr>
          <w:rFonts w:eastAsia="Batang" w:cs="Times"/>
          <w:noProof/>
          <w:szCs w:val="20"/>
          <w:lang w:val="es-ES"/>
        </w:rPr>
      </w:pPr>
      <w:r w:rsidRPr="009631AB">
        <w:rPr>
          <w:rFonts w:eastAsia="Batang" w:cs="Times"/>
          <w:noProof/>
          <w:szCs w:val="20"/>
          <w:lang w:val="es-ES"/>
        </w:rPr>
        <w:t xml:space="preserve">En el caso </w:t>
      </w:r>
      <w:r w:rsidR="001B704A" w:rsidRPr="009631AB">
        <w:rPr>
          <w:rFonts w:eastAsia="Batang" w:cs="Times"/>
          <w:noProof/>
          <w:szCs w:val="20"/>
          <w:lang w:val="es-ES"/>
        </w:rPr>
        <w:t>Montesinos Mejía</w:t>
      </w:r>
      <w:r w:rsidRPr="009631AB">
        <w:rPr>
          <w:rFonts w:eastAsia="Batang" w:cs="Times"/>
          <w:i/>
          <w:noProof/>
          <w:szCs w:val="20"/>
          <w:lang w:val="es-ES"/>
        </w:rPr>
        <w:t>,</w:t>
      </w:r>
    </w:p>
    <w:p w14:paraId="145A94A8" w14:textId="77777777" w:rsidR="001D1455" w:rsidRPr="009631AB" w:rsidRDefault="001D1455" w:rsidP="00734B53">
      <w:pPr>
        <w:spacing w:after="0" w:line="240" w:lineRule="auto"/>
        <w:ind w:left="-142" w:right="-138"/>
        <w:jc w:val="both"/>
        <w:rPr>
          <w:rFonts w:eastAsia="Batang" w:cs="Times"/>
          <w:noProof/>
          <w:szCs w:val="20"/>
          <w:lang w:val="es-ES"/>
        </w:rPr>
      </w:pPr>
    </w:p>
    <w:p w14:paraId="7205AEC5" w14:textId="77777777" w:rsidR="001D1455" w:rsidRPr="009631AB" w:rsidRDefault="001D1455" w:rsidP="00734B53">
      <w:pPr>
        <w:spacing w:after="0" w:line="240" w:lineRule="auto"/>
        <w:ind w:right="-138"/>
        <w:jc w:val="both"/>
        <w:rPr>
          <w:rFonts w:eastAsia="Batang" w:cs="Times"/>
          <w:noProof/>
          <w:szCs w:val="20"/>
          <w:lang w:val="es-ES"/>
        </w:rPr>
      </w:pPr>
      <w:r w:rsidRPr="009631AB">
        <w:rPr>
          <w:rFonts w:eastAsia="Batang" w:cs="Times"/>
          <w:noProof/>
          <w:szCs w:val="20"/>
          <w:lang w:val="es-ES"/>
        </w:rPr>
        <w:t>la Corte Interamericana de Derechos Humanos (en adelante “la Corte Interamericana”, “la Corte” o “este Tribunal”), integrada por los siguientes Jueces</w:t>
      </w:r>
      <w:r w:rsidR="000518AE" w:rsidRPr="009631AB">
        <w:rPr>
          <w:rStyle w:val="Refdenotaalpie"/>
          <w:rFonts w:ascii="Verdana" w:eastAsia="Batang" w:hAnsi="Verdana"/>
          <w:noProof/>
          <w:lang w:val="es-ES"/>
        </w:rPr>
        <w:footnoteReference w:customMarkFollows="1" w:id="1"/>
        <w:t>*</w:t>
      </w:r>
      <w:r w:rsidRPr="009631AB">
        <w:rPr>
          <w:rFonts w:eastAsia="Batang" w:cs="Times"/>
          <w:noProof/>
          <w:szCs w:val="20"/>
          <w:lang w:val="es-ES"/>
        </w:rPr>
        <w:t>:</w:t>
      </w:r>
    </w:p>
    <w:p w14:paraId="5F0EAF2E" w14:textId="77777777" w:rsidR="001D1455" w:rsidRPr="009631AB" w:rsidRDefault="001D1455" w:rsidP="00734B53">
      <w:pPr>
        <w:spacing w:after="0" w:line="240" w:lineRule="auto"/>
        <w:ind w:right="-138"/>
        <w:jc w:val="both"/>
        <w:rPr>
          <w:rFonts w:eastAsia="Batang" w:cs="Times"/>
          <w:noProof/>
          <w:szCs w:val="20"/>
          <w:lang w:val="es-ES"/>
        </w:rPr>
      </w:pPr>
    </w:p>
    <w:p w14:paraId="51635C0A" w14:textId="57BC56D9" w:rsidR="001D1455" w:rsidRPr="00DA7EEF" w:rsidRDefault="00F730AB" w:rsidP="00734B53">
      <w:pPr>
        <w:spacing w:after="0" w:line="240" w:lineRule="auto"/>
        <w:ind w:right="-138"/>
        <w:jc w:val="both"/>
        <w:rPr>
          <w:rFonts w:eastAsia="Times New Roman" w:cs="Times New Roman"/>
          <w:noProof/>
          <w:color w:val="000000" w:themeColor="text1"/>
          <w:szCs w:val="20"/>
          <w:lang w:val="es-ES"/>
        </w:rPr>
      </w:pPr>
      <w:r w:rsidRPr="00F80691">
        <w:rPr>
          <w:rFonts w:eastAsia="Times New Roman" w:cs="Times New Roman"/>
          <w:noProof/>
          <w:color w:val="000000" w:themeColor="text1"/>
          <w:szCs w:val="20"/>
        </w:rPr>
        <w:t>Elizabeth Odio Benito</w:t>
      </w:r>
      <w:r w:rsidRPr="00DA7EEF">
        <w:rPr>
          <w:rFonts w:eastAsia="Times New Roman" w:cs="Times New Roman"/>
          <w:noProof/>
          <w:color w:val="000000" w:themeColor="text1"/>
          <w:szCs w:val="20"/>
          <w:lang w:val="es-ES"/>
        </w:rPr>
        <w:t>, Presidenta</w:t>
      </w:r>
      <w:r w:rsidR="001D1455" w:rsidRPr="00DA7EEF">
        <w:rPr>
          <w:rFonts w:eastAsia="Times New Roman" w:cs="Times New Roman"/>
          <w:noProof/>
          <w:color w:val="000000" w:themeColor="text1"/>
          <w:szCs w:val="20"/>
          <w:lang w:val="es-ES"/>
        </w:rPr>
        <w:t xml:space="preserve">; </w:t>
      </w:r>
    </w:p>
    <w:p w14:paraId="6BCECDC9" w14:textId="5FCCBDBF" w:rsidR="001D1455" w:rsidRPr="00F80691" w:rsidRDefault="001D1455" w:rsidP="00734B53">
      <w:pPr>
        <w:spacing w:after="0" w:line="240" w:lineRule="auto"/>
        <w:ind w:right="-138"/>
        <w:jc w:val="both"/>
        <w:rPr>
          <w:rFonts w:eastAsia="Times New Roman" w:cs="Times New Roman"/>
          <w:noProof/>
          <w:color w:val="000000" w:themeColor="text1"/>
          <w:szCs w:val="20"/>
        </w:rPr>
      </w:pPr>
      <w:r w:rsidRPr="00F80691">
        <w:rPr>
          <w:rFonts w:eastAsia="Times New Roman" w:cs="Times New Roman"/>
          <w:noProof/>
          <w:color w:val="000000" w:themeColor="text1"/>
          <w:szCs w:val="20"/>
        </w:rPr>
        <w:t>Ed</w:t>
      </w:r>
      <w:r w:rsidR="00F730AB" w:rsidRPr="00F80691">
        <w:rPr>
          <w:rFonts w:eastAsia="Times New Roman" w:cs="Times New Roman"/>
          <w:noProof/>
          <w:color w:val="000000" w:themeColor="text1"/>
          <w:szCs w:val="20"/>
        </w:rPr>
        <w:t>uardo Vio Grossi, Juez</w:t>
      </w:r>
      <w:r w:rsidRPr="00F80691">
        <w:rPr>
          <w:rFonts w:eastAsia="Times New Roman" w:cs="Times New Roman"/>
          <w:noProof/>
          <w:color w:val="000000" w:themeColor="text1"/>
          <w:szCs w:val="20"/>
        </w:rPr>
        <w:t>;</w:t>
      </w:r>
    </w:p>
    <w:p w14:paraId="77B99645" w14:textId="77777777" w:rsidR="001D1455" w:rsidRPr="00F80691" w:rsidRDefault="001D1455" w:rsidP="00734B53">
      <w:pPr>
        <w:spacing w:after="0" w:line="240" w:lineRule="auto"/>
        <w:ind w:right="-138"/>
        <w:jc w:val="both"/>
        <w:rPr>
          <w:rFonts w:eastAsia="Times New Roman" w:cs="Times New Roman"/>
          <w:noProof/>
          <w:color w:val="000000" w:themeColor="text1"/>
          <w:szCs w:val="20"/>
        </w:rPr>
      </w:pPr>
      <w:r w:rsidRPr="00F80691">
        <w:rPr>
          <w:rFonts w:eastAsia="Times New Roman" w:cs="Times New Roman"/>
          <w:noProof/>
          <w:color w:val="000000" w:themeColor="text1"/>
          <w:szCs w:val="20"/>
        </w:rPr>
        <w:t>Humberto Antonio Sierra Porto, Juez;</w:t>
      </w:r>
    </w:p>
    <w:p w14:paraId="5852456A" w14:textId="5320F198" w:rsidR="001D1455" w:rsidRPr="009767F3" w:rsidRDefault="00F730AB" w:rsidP="00734B53">
      <w:pPr>
        <w:spacing w:after="0" w:line="240" w:lineRule="auto"/>
        <w:ind w:right="-138"/>
        <w:jc w:val="both"/>
        <w:rPr>
          <w:rFonts w:eastAsia="Batang" w:cs="Times"/>
          <w:noProof/>
          <w:szCs w:val="20"/>
          <w:lang w:val="es-ES"/>
        </w:rPr>
      </w:pPr>
      <w:r w:rsidRPr="008A66CA">
        <w:rPr>
          <w:rFonts w:eastAsia="Times New Roman" w:cs="Times New Roman"/>
          <w:noProof/>
          <w:color w:val="000000" w:themeColor="text1"/>
          <w:szCs w:val="20"/>
          <w:lang w:val="es-ES"/>
        </w:rPr>
        <w:t>Eduardo Ferrer Mac-Gregor Poisot</w:t>
      </w:r>
      <w:r w:rsidRPr="009767F3">
        <w:rPr>
          <w:rFonts w:eastAsia="Times New Roman" w:cs="Times New Roman"/>
          <w:noProof/>
          <w:color w:val="000000" w:themeColor="text1"/>
          <w:szCs w:val="20"/>
          <w:lang w:val="es-ES"/>
        </w:rPr>
        <w:t>, Juez</w:t>
      </w:r>
      <w:r w:rsidR="001D1455" w:rsidRPr="009767F3">
        <w:rPr>
          <w:rFonts w:eastAsia="Times New Roman" w:cs="Times New Roman"/>
          <w:noProof/>
          <w:color w:val="000000" w:themeColor="text1"/>
          <w:szCs w:val="20"/>
          <w:lang w:val="es-ES"/>
        </w:rPr>
        <w:t>;</w:t>
      </w:r>
      <w:r w:rsidR="001B465D" w:rsidRPr="009767F3">
        <w:rPr>
          <w:rFonts w:eastAsia="Times New Roman" w:cs="Times New Roman"/>
          <w:noProof/>
          <w:color w:val="000000" w:themeColor="text1"/>
          <w:szCs w:val="20"/>
          <w:lang w:val="es-ES"/>
        </w:rPr>
        <w:t xml:space="preserve"> </w:t>
      </w:r>
    </w:p>
    <w:p w14:paraId="673DE133" w14:textId="61EACC0F" w:rsidR="001D1455" w:rsidRPr="009631AB" w:rsidRDefault="001B704A" w:rsidP="00734B53">
      <w:pPr>
        <w:spacing w:after="0" w:line="240" w:lineRule="auto"/>
        <w:ind w:right="-138"/>
        <w:jc w:val="both"/>
        <w:rPr>
          <w:rFonts w:eastAsia="Batang" w:cs="Times"/>
          <w:noProof/>
          <w:szCs w:val="20"/>
        </w:rPr>
      </w:pPr>
      <w:r w:rsidRPr="009631AB">
        <w:rPr>
          <w:rFonts w:eastAsia="Batang" w:cs="Times"/>
          <w:noProof/>
          <w:szCs w:val="20"/>
        </w:rPr>
        <w:t>Eugenio Raúl Zaffaroni</w:t>
      </w:r>
      <w:r w:rsidR="00D86ABA" w:rsidRPr="009631AB">
        <w:rPr>
          <w:rFonts w:eastAsia="Batang" w:cs="Times"/>
          <w:noProof/>
          <w:szCs w:val="20"/>
        </w:rPr>
        <w:t xml:space="preserve">, Juez; </w:t>
      </w:r>
      <w:r w:rsidR="00437839" w:rsidRPr="009631AB">
        <w:rPr>
          <w:rFonts w:eastAsia="Batang" w:cs="Times"/>
          <w:noProof/>
          <w:szCs w:val="20"/>
        </w:rPr>
        <w:t>y</w:t>
      </w:r>
    </w:p>
    <w:p w14:paraId="3560E981" w14:textId="361BBBF3" w:rsidR="00437839" w:rsidRPr="009631AB" w:rsidRDefault="00437839" w:rsidP="00734B53">
      <w:pPr>
        <w:spacing w:after="0" w:line="240" w:lineRule="auto"/>
        <w:ind w:right="-138"/>
        <w:jc w:val="both"/>
        <w:rPr>
          <w:rFonts w:eastAsia="Batang" w:cs="Times"/>
          <w:noProof/>
          <w:szCs w:val="20"/>
        </w:rPr>
      </w:pPr>
      <w:r w:rsidRPr="009631AB">
        <w:rPr>
          <w:rFonts w:eastAsia="Batang" w:cs="Times"/>
          <w:noProof/>
          <w:szCs w:val="20"/>
        </w:rPr>
        <w:t>Ricardo Pérez Manrique, Juez</w:t>
      </w:r>
    </w:p>
    <w:p w14:paraId="4BF55EBB" w14:textId="77777777" w:rsidR="001D1455" w:rsidRPr="009631AB" w:rsidRDefault="001D1455" w:rsidP="00734B53">
      <w:pPr>
        <w:spacing w:after="0" w:line="240" w:lineRule="auto"/>
        <w:ind w:right="-138"/>
        <w:jc w:val="both"/>
        <w:rPr>
          <w:rFonts w:eastAsia="Batang" w:cs="Times"/>
          <w:noProof/>
          <w:szCs w:val="20"/>
          <w:lang w:val="es-ES"/>
        </w:rPr>
      </w:pPr>
      <w:r w:rsidRPr="009631AB">
        <w:rPr>
          <w:rFonts w:eastAsia="Batang" w:cs="Times"/>
          <w:noProof/>
          <w:szCs w:val="20"/>
          <w:lang w:val="es-ES"/>
        </w:rPr>
        <w:t>presente, además,</w:t>
      </w:r>
    </w:p>
    <w:p w14:paraId="1F4019C8" w14:textId="77777777" w:rsidR="001D1455" w:rsidRPr="009631AB" w:rsidRDefault="001D1455" w:rsidP="00734B53">
      <w:pPr>
        <w:spacing w:after="0" w:line="240" w:lineRule="auto"/>
        <w:ind w:right="-138"/>
        <w:jc w:val="both"/>
        <w:rPr>
          <w:rFonts w:eastAsia="Batang" w:cs="Times"/>
          <w:noProof/>
          <w:szCs w:val="20"/>
          <w:lang w:val="es-ES"/>
        </w:rPr>
      </w:pPr>
    </w:p>
    <w:p w14:paraId="7929CC11" w14:textId="77777777" w:rsidR="001D1455" w:rsidRPr="009631AB" w:rsidRDefault="001D1455" w:rsidP="00734B53">
      <w:pPr>
        <w:spacing w:after="0" w:line="240" w:lineRule="auto"/>
        <w:rPr>
          <w:rFonts w:eastAsia="Batang" w:cs="Times"/>
          <w:noProof/>
          <w:szCs w:val="20"/>
          <w:lang w:val="es-ES"/>
        </w:rPr>
      </w:pPr>
      <w:r w:rsidRPr="009631AB">
        <w:rPr>
          <w:rFonts w:eastAsia="Batang" w:cs="Times"/>
          <w:noProof/>
          <w:szCs w:val="20"/>
          <w:lang w:val="es-ES"/>
        </w:rPr>
        <w:t xml:space="preserve">Pablo Saavedra Alessandri, Secretario, </w:t>
      </w:r>
    </w:p>
    <w:p w14:paraId="5386B424" w14:textId="77777777" w:rsidR="001D1455" w:rsidRPr="009631AB" w:rsidRDefault="001D1455" w:rsidP="00734B53">
      <w:pPr>
        <w:spacing w:after="0" w:line="240" w:lineRule="auto"/>
        <w:ind w:right="-138"/>
        <w:jc w:val="both"/>
        <w:rPr>
          <w:rFonts w:eastAsia="Batang" w:cs="Times"/>
          <w:noProof/>
          <w:szCs w:val="20"/>
          <w:lang w:val="es-ES"/>
        </w:rPr>
      </w:pPr>
    </w:p>
    <w:p w14:paraId="71B9AE9A" w14:textId="77777777" w:rsidR="001D1455" w:rsidRPr="009631AB" w:rsidRDefault="001D1455" w:rsidP="00734B53">
      <w:pPr>
        <w:spacing w:after="0" w:line="240" w:lineRule="auto"/>
        <w:ind w:right="-138"/>
        <w:jc w:val="both"/>
        <w:rPr>
          <w:rFonts w:eastAsia="Batang" w:cs="Times"/>
          <w:noProof/>
          <w:szCs w:val="20"/>
          <w:lang w:val="es-ES"/>
        </w:rPr>
      </w:pPr>
      <w:r w:rsidRPr="009631AB">
        <w:rPr>
          <w:rFonts w:eastAsia="Batang" w:cs="Times"/>
          <w:noProof/>
          <w:szCs w:val="20"/>
          <w:lang w:val="es-ES"/>
        </w:rPr>
        <w:t>de conformidad con los artículos 62.3 y 63.1 de la Convención Americana sobre Derechos Humanos (en adelante, “la Convención Americana” o “la Convención”) y con los artículos 31, 32, 42, 65 y 67 del Reglamento de la Corte (en adelante “el Reglamento”), dicta la presente Sentencia que se estructura en el siguiente orden:</w:t>
      </w:r>
      <w:r w:rsidRPr="009631AB">
        <w:rPr>
          <w:rFonts w:eastAsia="Batang" w:cs="Times"/>
          <w:noProof/>
          <w:szCs w:val="20"/>
          <w:lang w:val="es-ES"/>
        </w:rPr>
        <w:br w:type="page"/>
      </w:r>
    </w:p>
    <w:p w14:paraId="7B6C4EDD" w14:textId="3A550F4B" w:rsidR="00862220" w:rsidRPr="009631AB" w:rsidRDefault="00862220" w:rsidP="00734B53">
      <w:pPr>
        <w:pStyle w:val="Ttulo1"/>
        <w:contextualSpacing w:val="0"/>
        <w:rPr>
          <w:rFonts w:eastAsia="Batang" w:cs="Times"/>
          <w:noProof w:val="0"/>
        </w:rPr>
      </w:pPr>
      <w:bookmarkStart w:id="3" w:name="_Toc18768528"/>
      <w:bookmarkStart w:id="4" w:name="_Toc18768687"/>
      <w:bookmarkStart w:id="5" w:name="_Toc18768920"/>
      <w:bookmarkStart w:id="6" w:name="_Toc18768940"/>
      <w:bookmarkStart w:id="7" w:name="_Toc18769617"/>
      <w:bookmarkStart w:id="8" w:name="_Toc26957834"/>
      <w:bookmarkStart w:id="9" w:name="_Toc26993947"/>
      <w:bookmarkStart w:id="10" w:name="_Toc27069873"/>
      <w:bookmarkStart w:id="11" w:name="_Toc491935490"/>
      <w:bookmarkStart w:id="12" w:name="_Toc486842905"/>
      <w:bookmarkStart w:id="13" w:name="_Toc486842767"/>
      <w:bookmarkStart w:id="14" w:name="_Toc486693351"/>
      <w:bookmarkStart w:id="15" w:name="_Toc288744729"/>
      <w:bookmarkStart w:id="16" w:name="_Toc438132269"/>
      <w:bookmarkStart w:id="17" w:name="_Toc369989729"/>
      <w:bookmarkStart w:id="18" w:name="_Toc506984071"/>
      <w:r w:rsidRPr="009631AB">
        <w:rPr>
          <w:rFonts w:eastAsia="Batang" w:cs="Times"/>
          <w:noProof w:val="0"/>
        </w:rPr>
        <w:lastRenderedPageBreak/>
        <w:t>ÍNDICE</w:t>
      </w:r>
      <w:bookmarkEnd w:id="3"/>
      <w:bookmarkEnd w:id="4"/>
      <w:bookmarkEnd w:id="5"/>
      <w:bookmarkEnd w:id="6"/>
      <w:bookmarkEnd w:id="7"/>
      <w:bookmarkEnd w:id="8"/>
      <w:bookmarkEnd w:id="9"/>
      <w:bookmarkEnd w:id="10"/>
    </w:p>
    <w:bookmarkStart w:id="19" w:name="_Toc18769618" w:displacedByCustomXml="next"/>
    <w:bookmarkStart w:id="20" w:name="_Toc18768941" w:displacedByCustomXml="next"/>
    <w:bookmarkStart w:id="21" w:name="_Toc18768921" w:displacedByCustomXml="next"/>
    <w:sdt>
      <w:sdtPr>
        <w:rPr>
          <w:rFonts w:ascii="Verdana" w:eastAsia="SimSun" w:hAnsi="Verdana" w:cstheme="minorBidi"/>
          <w:b/>
          <w:noProof/>
          <w:color w:val="auto"/>
          <w:sz w:val="18"/>
          <w:szCs w:val="18"/>
          <w:lang w:val="es-CR" w:eastAsia="es-ES"/>
        </w:rPr>
        <w:id w:val="-1450696192"/>
        <w:docPartObj>
          <w:docPartGallery w:val="Table of Contents"/>
          <w:docPartUnique/>
        </w:docPartObj>
      </w:sdtPr>
      <w:sdtEndPr>
        <w:rPr>
          <w:rFonts w:eastAsia="Calibri" w:cs="Times New Roman"/>
          <w:lang w:val="es-CO"/>
        </w:rPr>
      </w:sdtEndPr>
      <w:sdtContent>
        <w:p w14:paraId="2A5FCAD5" w14:textId="19A2D65E" w:rsidR="00C9313F" w:rsidRPr="009D5C3D" w:rsidRDefault="00C9313F" w:rsidP="004F1F45">
          <w:pPr>
            <w:pStyle w:val="TtuloTDC"/>
            <w:spacing w:before="0" w:after="20" w:line="240" w:lineRule="auto"/>
            <w:rPr>
              <w:rFonts w:ascii="Verdana" w:hAnsi="Verdana"/>
              <w:sz w:val="4"/>
              <w:szCs w:val="4"/>
            </w:rPr>
          </w:pPr>
        </w:p>
        <w:p w14:paraId="419C2C6C" w14:textId="027A19CE" w:rsidR="00CB4A9B" w:rsidRPr="009D5C3D" w:rsidRDefault="00C9313F" w:rsidP="004F1F45">
          <w:pPr>
            <w:pStyle w:val="TDC1"/>
            <w:rPr>
              <w:rFonts w:eastAsiaTheme="minorEastAsia" w:cstheme="minorBidi"/>
              <w:sz w:val="18"/>
              <w:szCs w:val="18"/>
              <w:lang w:val="es-419" w:eastAsia="es-419"/>
            </w:rPr>
          </w:pPr>
          <w:r w:rsidRPr="009D5C3D">
            <w:rPr>
              <w:sz w:val="18"/>
              <w:szCs w:val="18"/>
            </w:rPr>
            <w:fldChar w:fldCharType="begin"/>
          </w:r>
          <w:r w:rsidRPr="009D5C3D">
            <w:rPr>
              <w:sz w:val="18"/>
              <w:szCs w:val="18"/>
            </w:rPr>
            <w:instrText xml:space="preserve"> TOC \o "1-3" \h \z \u </w:instrText>
          </w:r>
          <w:r w:rsidRPr="009D5C3D">
            <w:rPr>
              <w:sz w:val="18"/>
              <w:szCs w:val="18"/>
            </w:rPr>
            <w:fldChar w:fldCharType="separate"/>
          </w:r>
          <w:hyperlink w:anchor="_Toc27069874" w:history="1">
            <w:r w:rsidR="00CB4A9B" w:rsidRPr="009D5C3D">
              <w:rPr>
                <w:rStyle w:val="Hipervnculo"/>
                <w:sz w:val="18"/>
                <w:szCs w:val="18"/>
                <w:u w:val="none"/>
              </w:rPr>
              <w:t>I INTRODUCCIÓN DE LA CAUSA Y OBJETO DE LA CONTROVERSIA</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_Toc27069874 \h </w:instrText>
            </w:r>
            <w:r w:rsidR="00CB4A9B" w:rsidRPr="009D5C3D">
              <w:rPr>
                <w:webHidden/>
                <w:sz w:val="18"/>
                <w:szCs w:val="18"/>
              </w:rPr>
            </w:r>
            <w:r w:rsidR="00CB4A9B" w:rsidRPr="009D5C3D">
              <w:rPr>
                <w:webHidden/>
                <w:sz w:val="18"/>
                <w:szCs w:val="18"/>
              </w:rPr>
              <w:fldChar w:fldCharType="separate"/>
            </w:r>
            <w:r w:rsidR="002D2574">
              <w:rPr>
                <w:webHidden/>
                <w:sz w:val="18"/>
                <w:szCs w:val="18"/>
              </w:rPr>
              <w:t>3</w:t>
            </w:r>
            <w:r w:rsidR="00CB4A9B" w:rsidRPr="009D5C3D">
              <w:rPr>
                <w:webHidden/>
                <w:sz w:val="18"/>
                <w:szCs w:val="18"/>
              </w:rPr>
              <w:fldChar w:fldCharType="end"/>
            </w:r>
          </w:hyperlink>
        </w:p>
        <w:p w14:paraId="1F60F6C4" w14:textId="37824596" w:rsidR="00CB4A9B" w:rsidRPr="009D5C3D" w:rsidRDefault="005B09B2" w:rsidP="004F1F45">
          <w:pPr>
            <w:pStyle w:val="TDC1"/>
            <w:rPr>
              <w:rFonts w:eastAsiaTheme="minorEastAsia" w:cstheme="minorBidi"/>
              <w:sz w:val="18"/>
              <w:szCs w:val="18"/>
              <w:lang w:val="es-419" w:eastAsia="es-419"/>
            </w:rPr>
          </w:pPr>
          <w:hyperlink w:anchor="_Toc27069875" w:history="1">
            <w:r w:rsidR="00CB4A9B" w:rsidRPr="009D5C3D">
              <w:rPr>
                <w:rStyle w:val="Hipervnculo"/>
                <w:sz w:val="18"/>
                <w:szCs w:val="18"/>
                <w:u w:val="none"/>
              </w:rPr>
              <w:t>II PROCEDIMIENTO ANTE LA CORTE</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_Toc27069875 \h </w:instrText>
            </w:r>
            <w:r w:rsidR="00CB4A9B" w:rsidRPr="009D5C3D">
              <w:rPr>
                <w:webHidden/>
                <w:sz w:val="18"/>
                <w:szCs w:val="18"/>
              </w:rPr>
            </w:r>
            <w:r w:rsidR="00CB4A9B" w:rsidRPr="009D5C3D">
              <w:rPr>
                <w:webHidden/>
                <w:sz w:val="18"/>
                <w:szCs w:val="18"/>
              </w:rPr>
              <w:fldChar w:fldCharType="separate"/>
            </w:r>
            <w:r w:rsidR="002D2574">
              <w:rPr>
                <w:webHidden/>
                <w:sz w:val="18"/>
                <w:szCs w:val="18"/>
              </w:rPr>
              <w:t>3</w:t>
            </w:r>
            <w:r w:rsidR="00CB4A9B" w:rsidRPr="009D5C3D">
              <w:rPr>
                <w:webHidden/>
                <w:sz w:val="18"/>
                <w:szCs w:val="18"/>
              </w:rPr>
              <w:fldChar w:fldCharType="end"/>
            </w:r>
          </w:hyperlink>
        </w:p>
        <w:p w14:paraId="65E77446" w14:textId="71139165" w:rsidR="00CB4A9B" w:rsidRPr="009D5C3D" w:rsidRDefault="005B09B2" w:rsidP="004F1F45">
          <w:pPr>
            <w:pStyle w:val="TDC1"/>
            <w:rPr>
              <w:rFonts w:eastAsiaTheme="minorEastAsia" w:cstheme="minorBidi"/>
              <w:sz w:val="18"/>
              <w:szCs w:val="18"/>
              <w:lang w:val="es-419" w:eastAsia="es-419"/>
            </w:rPr>
          </w:pPr>
          <w:hyperlink w:anchor="_Toc27069876" w:history="1">
            <w:r w:rsidR="00CB4A9B" w:rsidRPr="009D5C3D">
              <w:rPr>
                <w:rStyle w:val="Hipervnculo"/>
                <w:sz w:val="18"/>
                <w:szCs w:val="18"/>
                <w:u w:val="none"/>
              </w:rPr>
              <w:t>III COMPETENCIA</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_Toc27069876 \h </w:instrText>
            </w:r>
            <w:r w:rsidR="00CB4A9B" w:rsidRPr="009D5C3D">
              <w:rPr>
                <w:webHidden/>
                <w:sz w:val="18"/>
                <w:szCs w:val="18"/>
              </w:rPr>
            </w:r>
            <w:r w:rsidR="00CB4A9B" w:rsidRPr="009D5C3D">
              <w:rPr>
                <w:webHidden/>
                <w:sz w:val="18"/>
                <w:szCs w:val="18"/>
              </w:rPr>
              <w:fldChar w:fldCharType="separate"/>
            </w:r>
            <w:r w:rsidR="002D2574">
              <w:rPr>
                <w:webHidden/>
                <w:sz w:val="18"/>
                <w:szCs w:val="18"/>
              </w:rPr>
              <w:t>5</w:t>
            </w:r>
            <w:r w:rsidR="00CB4A9B" w:rsidRPr="009D5C3D">
              <w:rPr>
                <w:webHidden/>
                <w:sz w:val="18"/>
                <w:szCs w:val="18"/>
              </w:rPr>
              <w:fldChar w:fldCharType="end"/>
            </w:r>
          </w:hyperlink>
        </w:p>
        <w:p w14:paraId="7B648EAC" w14:textId="09C9625B" w:rsidR="00CB4A9B" w:rsidRPr="009D5C3D" w:rsidRDefault="005B09B2" w:rsidP="004F1F45">
          <w:pPr>
            <w:pStyle w:val="TDC1"/>
            <w:rPr>
              <w:rFonts w:eastAsiaTheme="minorEastAsia" w:cstheme="minorBidi"/>
              <w:sz w:val="18"/>
              <w:szCs w:val="18"/>
              <w:lang w:val="es-419" w:eastAsia="es-419"/>
            </w:rPr>
          </w:pPr>
          <w:hyperlink w:anchor="_Toc27069877" w:history="1">
            <w:r w:rsidR="00CB4A9B" w:rsidRPr="009D5C3D">
              <w:rPr>
                <w:rStyle w:val="Hipervnculo"/>
                <w:sz w:val="18"/>
                <w:szCs w:val="18"/>
                <w:u w:val="none"/>
              </w:rPr>
              <w:t>IV EXCEPCIONES PRELIMINARES</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_Toc27069877 \h </w:instrText>
            </w:r>
            <w:r w:rsidR="00CB4A9B" w:rsidRPr="009D5C3D">
              <w:rPr>
                <w:webHidden/>
                <w:sz w:val="18"/>
                <w:szCs w:val="18"/>
              </w:rPr>
            </w:r>
            <w:r w:rsidR="00CB4A9B" w:rsidRPr="009D5C3D">
              <w:rPr>
                <w:webHidden/>
                <w:sz w:val="18"/>
                <w:szCs w:val="18"/>
              </w:rPr>
              <w:fldChar w:fldCharType="separate"/>
            </w:r>
            <w:r w:rsidR="002D2574">
              <w:rPr>
                <w:webHidden/>
                <w:sz w:val="18"/>
                <w:szCs w:val="18"/>
              </w:rPr>
              <w:t>5</w:t>
            </w:r>
            <w:r w:rsidR="00CB4A9B" w:rsidRPr="009D5C3D">
              <w:rPr>
                <w:webHidden/>
                <w:sz w:val="18"/>
                <w:szCs w:val="18"/>
              </w:rPr>
              <w:fldChar w:fldCharType="end"/>
            </w:r>
          </w:hyperlink>
        </w:p>
        <w:p w14:paraId="5BC2563E" w14:textId="59B4897F" w:rsidR="00CB4A9B" w:rsidRPr="009D5C3D" w:rsidRDefault="005B09B2" w:rsidP="004F1F45">
          <w:pPr>
            <w:pStyle w:val="TDC2"/>
            <w:rPr>
              <w:rFonts w:eastAsiaTheme="minorEastAsia" w:cstheme="minorBidi"/>
              <w:sz w:val="18"/>
              <w:szCs w:val="18"/>
              <w:lang w:val="es-419" w:eastAsia="es-419"/>
            </w:rPr>
          </w:pPr>
          <w:hyperlink w:anchor="_Toc27069878" w:history="1">
            <w:r w:rsidR="00CB4A9B" w:rsidRPr="009D5C3D">
              <w:rPr>
                <w:rStyle w:val="Hipervnculo"/>
                <w:sz w:val="18"/>
                <w:szCs w:val="18"/>
                <w:u w:val="none"/>
              </w:rPr>
              <w:t>A.</w:t>
            </w:r>
            <w:r w:rsidR="00CB4A9B" w:rsidRPr="009D5C3D">
              <w:rPr>
                <w:rFonts w:eastAsiaTheme="minorEastAsia" w:cstheme="minorBidi"/>
                <w:sz w:val="18"/>
                <w:szCs w:val="18"/>
                <w:lang w:val="es-419" w:eastAsia="es-419"/>
              </w:rPr>
              <w:tab/>
            </w:r>
            <w:r w:rsidR="00CB4A9B" w:rsidRPr="009D5C3D">
              <w:rPr>
                <w:rStyle w:val="Hipervnculo"/>
                <w:sz w:val="18"/>
                <w:szCs w:val="18"/>
                <w:u w:val="none"/>
              </w:rPr>
              <w:t>Incompetencia de la Corte en razón del tiempo</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_Toc27069878 \h </w:instrText>
            </w:r>
            <w:r w:rsidR="00CB4A9B" w:rsidRPr="009D5C3D">
              <w:rPr>
                <w:webHidden/>
                <w:sz w:val="18"/>
                <w:szCs w:val="18"/>
              </w:rPr>
            </w:r>
            <w:r w:rsidR="00CB4A9B" w:rsidRPr="009D5C3D">
              <w:rPr>
                <w:webHidden/>
                <w:sz w:val="18"/>
                <w:szCs w:val="18"/>
              </w:rPr>
              <w:fldChar w:fldCharType="separate"/>
            </w:r>
            <w:r w:rsidR="002D2574">
              <w:rPr>
                <w:webHidden/>
                <w:sz w:val="18"/>
                <w:szCs w:val="18"/>
              </w:rPr>
              <w:t>5</w:t>
            </w:r>
            <w:r w:rsidR="00CB4A9B" w:rsidRPr="009D5C3D">
              <w:rPr>
                <w:webHidden/>
                <w:sz w:val="18"/>
                <w:szCs w:val="18"/>
              </w:rPr>
              <w:fldChar w:fldCharType="end"/>
            </w:r>
          </w:hyperlink>
        </w:p>
        <w:p w14:paraId="497368CE" w14:textId="22AF585D" w:rsidR="00CB4A9B" w:rsidRPr="009D5C3D" w:rsidRDefault="005B09B2" w:rsidP="004F1F45">
          <w:pPr>
            <w:pStyle w:val="TDC2"/>
            <w:rPr>
              <w:rFonts w:eastAsiaTheme="minorEastAsia" w:cstheme="minorBidi"/>
              <w:sz w:val="18"/>
              <w:szCs w:val="18"/>
              <w:lang w:val="es-419" w:eastAsia="es-419"/>
            </w:rPr>
          </w:pPr>
          <w:hyperlink w:anchor="_Toc27069879" w:history="1">
            <w:r w:rsidR="00CB4A9B" w:rsidRPr="009D5C3D">
              <w:rPr>
                <w:rStyle w:val="Hipervnculo"/>
                <w:sz w:val="18"/>
                <w:szCs w:val="18"/>
                <w:u w:val="none"/>
              </w:rPr>
              <w:t>B.</w:t>
            </w:r>
            <w:r w:rsidR="00CB4A9B" w:rsidRPr="009D5C3D">
              <w:rPr>
                <w:rFonts w:eastAsiaTheme="minorEastAsia" w:cstheme="minorBidi"/>
                <w:sz w:val="18"/>
                <w:szCs w:val="18"/>
                <w:lang w:val="es-419" w:eastAsia="es-419"/>
              </w:rPr>
              <w:tab/>
            </w:r>
            <w:r w:rsidR="00CB4A9B" w:rsidRPr="009D5C3D">
              <w:rPr>
                <w:rStyle w:val="Hipervnculo"/>
                <w:sz w:val="18"/>
                <w:szCs w:val="18"/>
                <w:u w:val="none"/>
              </w:rPr>
              <w:t>Falta de agotamiento de recursos internos</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_Toc27069879 \h </w:instrText>
            </w:r>
            <w:r w:rsidR="00CB4A9B" w:rsidRPr="009D5C3D">
              <w:rPr>
                <w:webHidden/>
                <w:sz w:val="18"/>
                <w:szCs w:val="18"/>
              </w:rPr>
            </w:r>
            <w:r w:rsidR="00CB4A9B" w:rsidRPr="009D5C3D">
              <w:rPr>
                <w:webHidden/>
                <w:sz w:val="18"/>
                <w:szCs w:val="18"/>
              </w:rPr>
              <w:fldChar w:fldCharType="separate"/>
            </w:r>
            <w:r w:rsidR="002D2574">
              <w:rPr>
                <w:webHidden/>
                <w:sz w:val="18"/>
                <w:szCs w:val="18"/>
              </w:rPr>
              <w:t>6</w:t>
            </w:r>
            <w:r w:rsidR="00CB4A9B" w:rsidRPr="009D5C3D">
              <w:rPr>
                <w:webHidden/>
                <w:sz w:val="18"/>
                <w:szCs w:val="18"/>
              </w:rPr>
              <w:fldChar w:fldCharType="end"/>
            </w:r>
          </w:hyperlink>
        </w:p>
        <w:p w14:paraId="6B889055" w14:textId="3F60AD99" w:rsidR="00CB4A9B" w:rsidRPr="009D5C3D" w:rsidRDefault="005B09B2" w:rsidP="004F1F45">
          <w:pPr>
            <w:pStyle w:val="TDC2"/>
            <w:rPr>
              <w:rFonts w:eastAsiaTheme="minorEastAsia" w:cstheme="minorBidi"/>
              <w:sz w:val="18"/>
              <w:szCs w:val="18"/>
              <w:lang w:val="es-419" w:eastAsia="es-419"/>
            </w:rPr>
          </w:pPr>
          <w:hyperlink w:anchor="_Toc27069880" w:history="1">
            <w:r w:rsidR="00CB4A9B" w:rsidRPr="009D5C3D">
              <w:rPr>
                <w:rStyle w:val="Hipervnculo"/>
                <w:sz w:val="18"/>
                <w:szCs w:val="18"/>
                <w:u w:val="none"/>
              </w:rPr>
              <w:t>C.</w:t>
            </w:r>
            <w:r w:rsidR="00CB4A9B" w:rsidRPr="009D5C3D">
              <w:rPr>
                <w:rFonts w:eastAsiaTheme="minorEastAsia" w:cstheme="minorBidi"/>
                <w:sz w:val="18"/>
                <w:szCs w:val="18"/>
                <w:lang w:val="es-419" w:eastAsia="es-419"/>
              </w:rPr>
              <w:tab/>
            </w:r>
            <w:r w:rsidR="00CB4A9B" w:rsidRPr="009D5C3D">
              <w:rPr>
                <w:rStyle w:val="Hipervnculo"/>
                <w:sz w:val="18"/>
                <w:szCs w:val="18"/>
                <w:u w:val="none"/>
              </w:rPr>
              <w:t>Incompetencia ratione materiae para revisar decisiones internas</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_Toc27069880 \h </w:instrText>
            </w:r>
            <w:r w:rsidR="00CB4A9B" w:rsidRPr="009D5C3D">
              <w:rPr>
                <w:webHidden/>
                <w:sz w:val="18"/>
                <w:szCs w:val="18"/>
              </w:rPr>
            </w:r>
            <w:r w:rsidR="00CB4A9B" w:rsidRPr="009D5C3D">
              <w:rPr>
                <w:webHidden/>
                <w:sz w:val="18"/>
                <w:szCs w:val="18"/>
              </w:rPr>
              <w:fldChar w:fldCharType="separate"/>
            </w:r>
            <w:r w:rsidR="002D2574">
              <w:rPr>
                <w:webHidden/>
                <w:sz w:val="18"/>
                <w:szCs w:val="18"/>
              </w:rPr>
              <w:t>8</w:t>
            </w:r>
            <w:r w:rsidR="00CB4A9B" w:rsidRPr="009D5C3D">
              <w:rPr>
                <w:webHidden/>
                <w:sz w:val="18"/>
                <w:szCs w:val="18"/>
              </w:rPr>
              <w:fldChar w:fldCharType="end"/>
            </w:r>
          </w:hyperlink>
        </w:p>
        <w:p w14:paraId="7116037D" w14:textId="7D1057DA" w:rsidR="00CB4A9B" w:rsidRPr="009D5C3D" w:rsidRDefault="005B09B2" w:rsidP="004F1F45">
          <w:pPr>
            <w:pStyle w:val="TDC2"/>
            <w:rPr>
              <w:rFonts w:eastAsiaTheme="minorEastAsia" w:cstheme="minorBidi"/>
              <w:sz w:val="18"/>
              <w:szCs w:val="18"/>
              <w:lang w:val="es-419" w:eastAsia="es-419"/>
            </w:rPr>
          </w:pPr>
          <w:hyperlink w:anchor="_Toc27069881" w:history="1">
            <w:r w:rsidR="00CB4A9B" w:rsidRPr="009D5C3D">
              <w:rPr>
                <w:rStyle w:val="Hipervnculo"/>
                <w:sz w:val="18"/>
                <w:szCs w:val="18"/>
                <w:u w:val="none"/>
              </w:rPr>
              <w:t>D.</w:t>
            </w:r>
            <w:r w:rsidR="00CB4A9B" w:rsidRPr="009D5C3D">
              <w:rPr>
                <w:rFonts w:eastAsiaTheme="minorEastAsia" w:cstheme="minorBidi"/>
                <w:sz w:val="18"/>
                <w:szCs w:val="18"/>
                <w:lang w:val="es-419" w:eastAsia="es-419"/>
              </w:rPr>
              <w:tab/>
            </w:r>
            <w:r w:rsidR="00CB4A9B" w:rsidRPr="009D5C3D">
              <w:rPr>
                <w:rStyle w:val="Hipervnculo"/>
                <w:sz w:val="18"/>
                <w:szCs w:val="18"/>
                <w:u w:val="none"/>
              </w:rPr>
              <w:t>Control de legalidad de las actuaciones de la Comisión Interamericana</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_Toc27069881 \h </w:instrText>
            </w:r>
            <w:r w:rsidR="00CB4A9B" w:rsidRPr="009D5C3D">
              <w:rPr>
                <w:webHidden/>
                <w:sz w:val="18"/>
                <w:szCs w:val="18"/>
              </w:rPr>
            </w:r>
            <w:r w:rsidR="00CB4A9B" w:rsidRPr="009D5C3D">
              <w:rPr>
                <w:webHidden/>
                <w:sz w:val="18"/>
                <w:szCs w:val="18"/>
              </w:rPr>
              <w:fldChar w:fldCharType="separate"/>
            </w:r>
            <w:r w:rsidR="002D2574">
              <w:rPr>
                <w:webHidden/>
                <w:sz w:val="18"/>
                <w:szCs w:val="18"/>
              </w:rPr>
              <w:t>9</w:t>
            </w:r>
            <w:r w:rsidR="00CB4A9B" w:rsidRPr="009D5C3D">
              <w:rPr>
                <w:webHidden/>
                <w:sz w:val="18"/>
                <w:szCs w:val="18"/>
              </w:rPr>
              <w:fldChar w:fldCharType="end"/>
            </w:r>
          </w:hyperlink>
        </w:p>
        <w:p w14:paraId="524414E4" w14:textId="6A16ABFA" w:rsidR="00CB4A9B" w:rsidRPr="009D5C3D" w:rsidRDefault="005B09B2" w:rsidP="004F1F45">
          <w:pPr>
            <w:pStyle w:val="TDC1"/>
            <w:rPr>
              <w:rFonts w:eastAsiaTheme="minorEastAsia" w:cstheme="minorBidi"/>
              <w:sz w:val="18"/>
              <w:szCs w:val="18"/>
              <w:lang w:val="es-419" w:eastAsia="es-419"/>
            </w:rPr>
          </w:pPr>
          <w:hyperlink w:anchor="_Toc27069883" w:history="1">
            <w:r w:rsidR="00CB4A9B" w:rsidRPr="009D5C3D">
              <w:rPr>
                <w:rStyle w:val="Hipervnculo"/>
                <w:sz w:val="18"/>
                <w:szCs w:val="18"/>
                <w:u w:val="none"/>
              </w:rPr>
              <w:t>V</w:t>
            </w:r>
          </w:hyperlink>
          <w:r w:rsidR="00CB4A9B" w:rsidRPr="009D5C3D">
            <w:rPr>
              <w:rStyle w:val="Hipervnculo"/>
              <w:sz w:val="18"/>
              <w:szCs w:val="18"/>
              <w:u w:val="none"/>
            </w:rPr>
            <w:t xml:space="preserve"> </w:t>
          </w:r>
          <w:hyperlink w:anchor="_Toc27069884" w:history="1">
            <w:r w:rsidR="00CB4A9B" w:rsidRPr="009D5C3D">
              <w:rPr>
                <w:rStyle w:val="Hipervnculo"/>
                <w:sz w:val="18"/>
                <w:szCs w:val="18"/>
                <w:u w:val="none"/>
              </w:rPr>
              <w:t>PRUEBA</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_Toc27069884 \h </w:instrText>
            </w:r>
            <w:r w:rsidR="00CB4A9B" w:rsidRPr="009D5C3D">
              <w:rPr>
                <w:webHidden/>
                <w:sz w:val="18"/>
                <w:szCs w:val="18"/>
              </w:rPr>
            </w:r>
            <w:r w:rsidR="00CB4A9B" w:rsidRPr="009D5C3D">
              <w:rPr>
                <w:webHidden/>
                <w:sz w:val="18"/>
                <w:szCs w:val="18"/>
              </w:rPr>
              <w:fldChar w:fldCharType="separate"/>
            </w:r>
            <w:r w:rsidR="002D2574">
              <w:rPr>
                <w:webHidden/>
                <w:sz w:val="18"/>
                <w:szCs w:val="18"/>
              </w:rPr>
              <w:t>10</w:t>
            </w:r>
            <w:r w:rsidR="00CB4A9B" w:rsidRPr="009D5C3D">
              <w:rPr>
                <w:webHidden/>
                <w:sz w:val="18"/>
                <w:szCs w:val="18"/>
              </w:rPr>
              <w:fldChar w:fldCharType="end"/>
            </w:r>
          </w:hyperlink>
        </w:p>
        <w:p w14:paraId="3EBC7AC1" w14:textId="13975E34" w:rsidR="00CB4A9B" w:rsidRPr="009D5C3D" w:rsidRDefault="005B09B2" w:rsidP="004F1F45">
          <w:pPr>
            <w:pStyle w:val="TDC1"/>
            <w:rPr>
              <w:rFonts w:eastAsiaTheme="minorEastAsia" w:cstheme="minorBidi"/>
              <w:sz w:val="18"/>
              <w:szCs w:val="18"/>
              <w:lang w:val="es-419" w:eastAsia="es-419"/>
            </w:rPr>
          </w:pPr>
          <w:hyperlink w:anchor="_Toc27069885" w:history="1">
            <w:r w:rsidR="00CB4A9B" w:rsidRPr="009D5C3D">
              <w:rPr>
                <w:rStyle w:val="Hipervnculo"/>
                <w:sz w:val="18"/>
                <w:szCs w:val="18"/>
                <w:u w:val="none"/>
              </w:rPr>
              <w:t>VI</w:t>
            </w:r>
          </w:hyperlink>
          <w:r w:rsidR="00CB4A9B" w:rsidRPr="009D5C3D">
            <w:rPr>
              <w:rStyle w:val="Hipervnculo"/>
              <w:sz w:val="18"/>
              <w:szCs w:val="18"/>
              <w:u w:val="none"/>
            </w:rPr>
            <w:t xml:space="preserve"> </w:t>
          </w:r>
          <w:hyperlink w:anchor="_Toc27069886" w:history="1">
            <w:r w:rsidR="00CB4A9B" w:rsidRPr="009D5C3D">
              <w:rPr>
                <w:rStyle w:val="Hipervnculo"/>
                <w:sz w:val="18"/>
                <w:szCs w:val="18"/>
                <w:u w:val="none"/>
              </w:rPr>
              <w:t>HECHOS</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_Toc27069886 \h </w:instrText>
            </w:r>
            <w:r w:rsidR="00CB4A9B" w:rsidRPr="009D5C3D">
              <w:rPr>
                <w:webHidden/>
                <w:sz w:val="18"/>
                <w:szCs w:val="18"/>
              </w:rPr>
            </w:r>
            <w:r w:rsidR="00CB4A9B" w:rsidRPr="009D5C3D">
              <w:rPr>
                <w:webHidden/>
                <w:sz w:val="18"/>
                <w:szCs w:val="18"/>
              </w:rPr>
              <w:fldChar w:fldCharType="separate"/>
            </w:r>
            <w:r w:rsidR="002D2574">
              <w:rPr>
                <w:webHidden/>
                <w:sz w:val="18"/>
                <w:szCs w:val="18"/>
              </w:rPr>
              <w:t>11</w:t>
            </w:r>
            <w:r w:rsidR="00CB4A9B" w:rsidRPr="009D5C3D">
              <w:rPr>
                <w:webHidden/>
                <w:sz w:val="18"/>
                <w:szCs w:val="18"/>
              </w:rPr>
              <w:fldChar w:fldCharType="end"/>
            </w:r>
          </w:hyperlink>
        </w:p>
        <w:p w14:paraId="5FBE1FE5" w14:textId="43653175" w:rsidR="00CB4A9B" w:rsidRPr="009D5C3D" w:rsidRDefault="005B09B2" w:rsidP="004F1F45">
          <w:pPr>
            <w:pStyle w:val="TDC2"/>
            <w:rPr>
              <w:rFonts w:eastAsiaTheme="minorEastAsia" w:cstheme="minorBidi"/>
              <w:sz w:val="18"/>
              <w:szCs w:val="18"/>
              <w:lang w:val="es-419" w:eastAsia="es-419"/>
            </w:rPr>
          </w:pPr>
          <w:hyperlink w:anchor="_Toc27069887" w:history="1">
            <w:r w:rsidR="00CB4A9B" w:rsidRPr="009D5C3D">
              <w:rPr>
                <w:rStyle w:val="Hipervnculo"/>
                <w:sz w:val="18"/>
                <w:szCs w:val="18"/>
                <w:u w:val="none"/>
              </w:rPr>
              <w:t>A.</w:t>
            </w:r>
            <w:r w:rsidR="00CB4A9B" w:rsidRPr="009D5C3D">
              <w:rPr>
                <w:rFonts w:eastAsiaTheme="minorEastAsia" w:cstheme="minorBidi"/>
                <w:sz w:val="18"/>
                <w:szCs w:val="18"/>
                <w:lang w:val="es-419" w:eastAsia="es-419"/>
              </w:rPr>
              <w:tab/>
            </w:r>
            <w:r w:rsidR="00CB4A9B" w:rsidRPr="009D5C3D">
              <w:rPr>
                <w:rStyle w:val="Hipervnculo"/>
                <w:sz w:val="18"/>
                <w:szCs w:val="18"/>
                <w:u w:val="none"/>
              </w:rPr>
              <w:t>Detención del señor Montesinos en el marco del operativo policial el “Ciclón”</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_Toc27069887 \h </w:instrText>
            </w:r>
            <w:r w:rsidR="00CB4A9B" w:rsidRPr="009D5C3D">
              <w:rPr>
                <w:webHidden/>
                <w:sz w:val="18"/>
                <w:szCs w:val="18"/>
              </w:rPr>
            </w:r>
            <w:r w:rsidR="00CB4A9B" w:rsidRPr="009D5C3D">
              <w:rPr>
                <w:webHidden/>
                <w:sz w:val="18"/>
                <w:szCs w:val="18"/>
              </w:rPr>
              <w:fldChar w:fldCharType="separate"/>
            </w:r>
            <w:r w:rsidR="002D2574">
              <w:rPr>
                <w:webHidden/>
                <w:sz w:val="18"/>
                <w:szCs w:val="18"/>
              </w:rPr>
              <w:t>11</w:t>
            </w:r>
            <w:r w:rsidR="00CB4A9B" w:rsidRPr="009D5C3D">
              <w:rPr>
                <w:webHidden/>
                <w:sz w:val="18"/>
                <w:szCs w:val="18"/>
              </w:rPr>
              <w:fldChar w:fldCharType="end"/>
            </w:r>
          </w:hyperlink>
        </w:p>
        <w:p w14:paraId="1BDA6F9B" w14:textId="2686B22F" w:rsidR="00CB4A9B" w:rsidRPr="009D5C3D" w:rsidRDefault="005B09B2" w:rsidP="004F1F45">
          <w:pPr>
            <w:pStyle w:val="TDC2"/>
            <w:rPr>
              <w:rFonts w:eastAsiaTheme="minorEastAsia" w:cstheme="minorBidi"/>
              <w:sz w:val="18"/>
              <w:szCs w:val="18"/>
              <w:lang w:val="es-419" w:eastAsia="es-419"/>
            </w:rPr>
          </w:pPr>
          <w:hyperlink w:anchor="_Toc27069888" w:history="1">
            <w:r w:rsidR="00CB4A9B" w:rsidRPr="009D5C3D">
              <w:rPr>
                <w:rStyle w:val="Hipervnculo"/>
                <w:sz w:val="18"/>
                <w:szCs w:val="18"/>
                <w:u w:val="none"/>
              </w:rPr>
              <w:t>B.</w:t>
            </w:r>
            <w:r w:rsidR="00CB4A9B" w:rsidRPr="009D5C3D">
              <w:rPr>
                <w:rFonts w:eastAsiaTheme="minorEastAsia" w:cstheme="minorBidi"/>
                <w:sz w:val="18"/>
                <w:szCs w:val="18"/>
                <w:lang w:val="es-419" w:eastAsia="es-419"/>
              </w:rPr>
              <w:tab/>
            </w:r>
            <w:r w:rsidR="00CB4A9B" w:rsidRPr="009D5C3D">
              <w:rPr>
                <w:rStyle w:val="Hipervnculo"/>
                <w:sz w:val="18"/>
                <w:szCs w:val="18"/>
                <w:u w:val="none"/>
              </w:rPr>
              <w:t>Prisión Preventiva del señor Montesinos</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_Toc27069888 \h </w:instrText>
            </w:r>
            <w:r w:rsidR="00CB4A9B" w:rsidRPr="009D5C3D">
              <w:rPr>
                <w:webHidden/>
                <w:sz w:val="18"/>
                <w:szCs w:val="18"/>
              </w:rPr>
            </w:r>
            <w:r w:rsidR="00CB4A9B" w:rsidRPr="009D5C3D">
              <w:rPr>
                <w:webHidden/>
                <w:sz w:val="18"/>
                <w:szCs w:val="18"/>
              </w:rPr>
              <w:fldChar w:fldCharType="separate"/>
            </w:r>
            <w:r w:rsidR="002D2574">
              <w:rPr>
                <w:webHidden/>
                <w:sz w:val="18"/>
                <w:szCs w:val="18"/>
              </w:rPr>
              <w:t>11</w:t>
            </w:r>
            <w:r w:rsidR="00CB4A9B" w:rsidRPr="009D5C3D">
              <w:rPr>
                <w:webHidden/>
                <w:sz w:val="18"/>
                <w:szCs w:val="18"/>
              </w:rPr>
              <w:fldChar w:fldCharType="end"/>
            </w:r>
          </w:hyperlink>
        </w:p>
        <w:p w14:paraId="25F857DD" w14:textId="641FDC2B" w:rsidR="00CB4A9B" w:rsidRPr="009D5C3D" w:rsidRDefault="005B09B2" w:rsidP="004F1F45">
          <w:pPr>
            <w:pStyle w:val="TDC2"/>
            <w:rPr>
              <w:rFonts w:eastAsiaTheme="minorEastAsia" w:cstheme="minorBidi"/>
              <w:sz w:val="18"/>
              <w:szCs w:val="18"/>
              <w:lang w:val="es-419" w:eastAsia="es-419"/>
            </w:rPr>
          </w:pPr>
          <w:hyperlink w:anchor="_Toc27069889" w:history="1">
            <w:r w:rsidR="00CB4A9B" w:rsidRPr="009D5C3D">
              <w:rPr>
                <w:rStyle w:val="Hipervnculo"/>
                <w:sz w:val="18"/>
                <w:szCs w:val="18"/>
                <w:u w:val="none"/>
              </w:rPr>
              <w:t>C.</w:t>
            </w:r>
            <w:r w:rsidR="00CB4A9B" w:rsidRPr="009D5C3D">
              <w:rPr>
                <w:rFonts w:eastAsiaTheme="minorEastAsia" w:cstheme="minorBidi"/>
                <w:sz w:val="18"/>
                <w:szCs w:val="18"/>
                <w:lang w:val="es-419" w:eastAsia="es-419"/>
              </w:rPr>
              <w:tab/>
            </w:r>
            <w:r w:rsidR="00CB4A9B" w:rsidRPr="009D5C3D">
              <w:rPr>
                <w:rStyle w:val="Hipervnculo"/>
                <w:sz w:val="18"/>
                <w:szCs w:val="18"/>
                <w:u w:val="none"/>
              </w:rPr>
              <w:t>Sobre los delitos de enriquecimiento ilícito y conversión y transferencia de bienes</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_Toc27069889 \h </w:instrText>
            </w:r>
            <w:r w:rsidR="00CB4A9B" w:rsidRPr="009D5C3D">
              <w:rPr>
                <w:webHidden/>
                <w:sz w:val="18"/>
                <w:szCs w:val="18"/>
              </w:rPr>
            </w:r>
            <w:r w:rsidR="00CB4A9B" w:rsidRPr="009D5C3D">
              <w:rPr>
                <w:webHidden/>
                <w:sz w:val="18"/>
                <w:szCs w:val="18"/>
              </w:rPr>
              <w:fldChar w:fldCharType="separate"/>
            </w:r>
            <w:r w:rsidR="002D2574">
              <w:rPr>
                <w:webHidden/>
                <w:sz w:val="18"/>
                <w:szCs w:val="18"/>
              </w:rPr>
              <w:t>13</w:t>
            </w:r>
            <w:r w:rsidR="00CB4A9B" w:rsidRPr="009D5C3D">
              <w:rPr>
                <w:webHidden/>
                <w:sz w:val="18"/>
                <w:szCs w:val="18"/>
              </w:rPr>
              <w:fldChar w:fldCharType="end"/>
            </w:r>
          </w:hyperlink>
        </w:p>
        <w:p w14:paraId="434F88DC" w14:textId="19CE60B3" w:rsidR="00CB4A9B" w:rsidRPr="009D5C3D" w:rsidRDefault="005B09B2" w:rsidP="004F1F45">
          <w:pPr>
            <w:pStyle w:val="TDC2"/>
            <w:rPr>
              <w:rFonts w:eastAsiaTheme="minorEastAsia" w:cstheme="minorBidi"/>
              <w:sz w:val="18"/>
              <w:szCs w:val="18"/>
              <w:lang w:val="es-419" w:eastAsia="es-419"/>
            </w:rPr>
          </w:pPr>
          <w:hyperlink w:anchor="_Toc27069890" w:history="1">
            <w:r w:rsidR="00CB4A9B" w:rsidRPr="009D5C3D">
              <w:rPr>
                <w:rStyle w:val="Hipervnculo"/>
                <w:sz w:val="18"/>
                <w:szCs w:val="18"/>
                <w:u w:val="none"/>
              </w:rPr>
              <w:t>D.</w:t>
            </w:r>
            <w:r w:rsidR="00CB4A9B" w:rsidRPr="009D5C3D">
              <w:rPr>
                <w:rFonts w:eastAsiaTheme="minorEastAsia" w:cstheme="minorBidi"/>
                <w:sz w:val="18"/>
                <w:szCs w:val="18"/>
                <w:lang w:val="es-419" w:eastAsia="es-419"/>
              </w:rPr>
              <w:tab/>
            </w:r>
            <w:r w:rsidR="00CB4A9B" w:rsidRPr="009D5C3D">
              <w:rPr>
                <w:rStyle w:val="Hipervnculo"/>
                <w:sz w:val="18"/>
                <w:szCs w:val="18"/>
                <w:u w:val="none"/>
              </w:rPr>
              <w:t>Sobre el delito de testaferrismo</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_Toc27069890 \h </w:instrText>
            </w:r>
            <w:r w:rsidR="00CB4A9B" w:rsidRPr="009D5C3D">
              <w:rPr>
                <w:webHidden/>
                <w:sz w:val="18"/>
                <w:szCs w:val="18"/>
              </w:rPr>
            </w:r>
            <w:r w:rsidR="00CB4A9B" w:rsidRPr="009D5C3D">
              <w:rPr>
                <w:webHidden/>
                <w:sz w:val="18"/>
                <w:szCs w:val="18"/>
              </w:rPr>
              <w:fldChar w:fldCharType="separate"/>
            </w:r>
            <w:r w:rsidR="002D2574">
              <w:rPr>
                <w:webHidden/>
                <w:sz w:val="18"/>
                <w:szCs w:val="18"/>
              </w:rPr>
              <w:t>14</w:t>
            </w:r>
            <w:r w:rsidR="00CB4A9B" w:rsidRPr="009D5C3D">
              <w:rPr>
                <w:webHidden/>
                <w:sz w:val="18"/>
                <w:szCs w:val="18"/>
              </w:rPr>
              <w:fldChar w:fldCharType="end"/>
            </w:r>
          </w:hyperlink>
        </w:p>
        <w:p w14:paraId="501F05FA" w14:textId="16ED0D2B" w:rsidR="00CB4A9B" w:rsidRPr="009D5C3D" w:rsidRDefault="005B09B2" w:rsidP="004F1F45">
          <w:pPr>
            <w:pStyle w:val="TDC1"/>
            <w:rPr>
              <w:rFonts w:eastAsiaTheme="minorEastAsia" w:cstheme="minorBidi"/>
              <w:sz w:val="18"/>
              <w:szCs w:val="18"/>
              <w:lang w:val="es-419" w:eastAsia="es-419"/>
            </w:rPr>
          </w:pPr>
          <w:hyperlink w:anchor="_Toc27069891" w:history="1">
            <w:r w:rsidR="00CB4A9B" w:rsidRPr="009D5C3D">
              <w:rPr>
                <w:rStyle w:val="Hipervnculo"/>
                <w:sz w:val="18"/>
                <w:szCs w:val="18"/>
                <w:u w:val="none"/>
              </w:rPr>
              <w:t>VII</w:t>
            </w:r>
          </w:hyperlink>
          <w:r w:rsidR="00CB4A9B" w:rsidRPr="009D5C3D">
            <w:rPr>
              <w:rStyle w:val="Hipervnculo"/>
              <w:sz w:val="18"/>
              <w:szCs w:val="18"/>
              <w:u w:val="none"/>
            </w:rPr>
            <w:t xml:space="preserve"> </w:t>
          </w:r>
          <w:hyperlink w:anchor="_Toc27069892" w:history="1">
            <w:r w:rsidR="00CB4A9B" w:rsidRPr="009D5C3D">
              <w:rPr>
                <w:rStyle w:val="Hipervnculo"/>
                <w:sz w:val="18"/>
                <w:szCs w:val="18"/>
                <w:u w:val="none"/>
              </w:rPr>
              <w:t>FONDO</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_Toc27069892 \h </w:instrText>
            </w:r>
            <w:r w:rsidR="00CB4A9B" w:rsidRPr="009D5C3D">
              <w:rPr>
                <w:webHidden/>
                <w:sz w:val="18"/>
                <w:szCs w:val="18"/>
              </w:rPr>
            </w:r>
            <w:r w:rsidR="00CB4A9B" w:rsidRPr="009D5C3D">
              <w:rPr>
                <w:webHidden/>
                <w:sz w:val="18"/>
                <w:szCs w:val="18"/>
              </w:rPr>
              <w:fldChar w:fldCharType="separate"/>
            </w:r>
            <w:r w:rsidR="002D2574">
              <w:rPr>
                <w:webHidden/>
                <w:sz w:val="18"/>
                <w:szCs w:val="18"/>
              </w:rPr>
              <w:t>16</w:t>
            </w:r>
            <w:r w:rsidR="00CB4A9B" w:rsidRPr="009D5C3D">
              <w:rPr>
                <w:webHidden/>
                <w:sz w:val="18"/>
                <w:szCs w:val="18"/>
              </w:rPr>
              <w:fldChar w:fldCharType="end"/>
            </w:r>
          </w:hyperlink>
        </w:p>
        <w:p w14:paraId="006A0A46" w14:textId="7D74DFAD" w:rsidR="00CB4A9B" w:rsidRPr="009D5C3D" w:rsidRDefault="005B09B2" w:rsidP="004F1F45">
          <w:pPr>
            <w:pStyle w:val="TDC1"/>
            <w:rPr>
              <w:rFonts w:eastAsiaTheme="minorEastAsia" w:cstheme="minorBidi"/>
              <w:sz w:val="18"/>
              <w:szCs w:val="18"/>
              <w:lang w:val="es-419" w:eastAsia="es-419"/>
            </w:rPr>
          </w:pPr>
          <w:hyperlink w:anchor="_Toc27069893" w:history="1">
            <w:r w:rsidR="00CB4A9B" w:rsidRPr="009D5C3D">
              <w:rPr>
                <w:rStyle w:val="Hipervnculo"/>
                <w:sz w:val="18"/>
                <w:szCs w:val="18"/>
                <w:u w:val="none"/>
              </w:rPr>
              <w:t>VII-1</w:t>
            </w:r>
          </w:hyperlink>
          <w:r w:rsidR="00CB4A9B" w:rsidRPr="009D5C3D">
            <w:rPr>
              <w:rStyle w:val="Hipervnculo"/>
              <w:sz w:val="18"/>
              <w:szCs w:val="18"/>
              <w:u w:val="none"/>
            </w:rPr>
            <w:t xml:space="preserve"> </w:t>
          </w:r>
          <w:hyperlink w:anchor="_Toc27069894" w:history="1">
            <w:r w:rsidR="00CB4A9B" w:rsidRPr="009D5C3D">
              <w:rPr>
                <w:rStyle w:val="Hipervnculo"/>
                <w:sz w:val="18"/>
                <w:szCs w:val="18"/>
                <w:u w:val="none"/>
              </w:rPr>
              <w:t>DERECHO A LA LIBERTAD PERSONAL, A LA PRESUNCIÓN DE INOCENCIA Y A LA IGUALDAD ANTE LA LEY</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_Toc27069894 \h </w:instrText>
            </w:r>
            <w:r w:rsidR="00CB4A9B" w:rsidRPr="009D5C3D">
              <w:rPr>
                <w:webHidden/>
                <w:sz w:val="18"/>
                <w:szCs w:val="18"/>
              </w:rPr>
            </w:r>
            <w:r w:rsidR="00CB4A9B" w:rsidRPr="009D5C3D">
              <w:rPr>
                <w:webHidden/>
                <w:sz w:val="18"/>
                <w:szCs w:val="18"/>
              </w:rPr>
              <w:fldChar w:fldCharType="separate"/>
            </w:r>
            <w:r w:rsidR="002D2574">
              <w:rPr>
                <w:webHidden/>
                <w:sz w:val="18"/>
                <w:szCs w:val="18"/>
              </w:rPr>
              <w:t>16</w:t>
            </w:r>
            <w:r w:rsidR="00CB4A9B" w:rsidRPr="009D5C3D">
              <w:rPr>
                <w:webHidden/>
                <w:sz w:val="18"/>
                <w:szCs w:val="18"/>
              </w:rPr>
              <w:fldChar w:fldCharType="end"/>
            </w:r>
          </w:hyperlink>
        </w:p>
        <w:p w14:paraId="7F18DB72" w14:textId="66547C18" w:rsidR="00CB4A9B" w:rsidRPr="009D5C3D" w:rsidRDefault="005B09B2" w:rsidP="004F1F45">
          <w:pPr>
            <w:pStyle w:val="TDC2"/>
            <w:rPr>
              <w:rFonts w:eastAsiaTheme="minorEastAsia" w:cstheme="minorBidi"/>
              <w:sz w:val="18"/>
              <w:szCs w:val="18"/>
              <w:lang w:val="es-419" w:eastAsia="es-419"/>
            </w:rPr>
          </w:pPr>
          <w:hyperlink w:anchor="_Toc27069895" w:history="1">
            <w:r w:rsidR="00CB4A9B" w:rsidRPr="009D5C3D">
              <w:rPr>
                <w:rStyle w:val="Hipervnculo"/>
                <w:sz w:val="18"/>
                <w:szCs w:val="18"/>
                <w:u w:val="none"/>
              </w:rPr>
              <w:t>A.</w:t>
            </w:r>
            <w:r w:rsidR="00CB4A9B" w:rsidRPr="009D5C3D">
              <w:rPr>
                <w:rFonts w:eastAsiaTheme="minorEastAsia" w:cstheme="minorBidi"/>
                <w:sz w:val="18"/>
                <w:szCs w:val="18"/>
                <w:lang w:val="es-419" w:eastAsia="es-419"/>
              </w:rPr>
              <w:tab/>
            </w:r>
            <w:r w:rsidR="00CB4A9B" w:rsidRPr="009D5C3D">
              <w:rPr>
                <w:rStyle w:val="Hipervnculo"/>
                <w:sz w:val="18"/>
                <w:szCs w:val="18"/>
                <w:u w:val="none"/>
              </w:rPr>
              <w:t>Alegatos de las partes y la Comisión</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_Toc27069895 \h </w:instrText>
            </w:r>
            <w:r w:rsidR="00CB4A9B" w:rsidRPr="009D5C3D">
              <w:rPr>
                <w:webHidden/>
                <w:sz w:val="18"/>
                <w:szCs w:val="18"/>
              </w:rPr>
            </w:r>
            <w:r w:rsidR="00CB4A9B" w:rsidRPr="009D5C3D">
              <w:rPr>
                <w:webHidden/>
                <w:sz w:val="18"/>
                <w:szCs w:val="18"/>
              </w:rPr>
              <w:fldChar w:fldCharType="separate"/>
            </w:r>
            <w:r w:rsidR="002D2574">
              <w:rPr>
                <w:webHidden/>
                <w:sz w:val="18"/>
                <w:szCs w:val="18"/>
              </w:rPr>
              <w:t>16</w:t>
            </w:r>
            <w:r w:rsidR="00CB4A9B" w:rsidRPr="009D5C3D">
              <w:rPr>
                <w:webHidden/>
                <w:sz w:val="18"/>
                <w:szCs w:val="18"/>
              </w:rPr>
              <w:fldChar w:fldCharType="end"/>
            </w:r>
          </w:hyperlink>
        </w:p>
        <w:p w14:paraId="77A79135" w14:textId="2277E59B" w:rsidR="00CB4A9B" w:rsidRPr="009D5C3D" w:rsidRDefault="005B09B2" w:rsidP="004F1F45">
          <w:pPr>
            <w:pStyle w:val="TDC2"/>
            <w:rPr>
              <w:rFonts w:eastAsiaTheme="minorEastAsia" w:cstheme="minorBidi"/>
              <w:sz w:val="18"/>
              <w:szCs w:val="18"/>
              <w:lang w:val="es-419" w:eastAsia="es-419"/>
            </w:rPr>
          </w:pPr>
          <w:hyperlink w:anchor="_Toc27069896" w:history="1">
            <w:r w:rsidR="00CB4A9B" w:rsidRPr="009D5C3D">
              <w:rPr>
                <w:rStyle w:val="Hipervnculo"/>
                <w:sz w:val="18"/>
                <w:szCs w:val="18"/>
                <w:u w:val="none"/>
              </w:rPr>
              <w:t>B.</w:t>
            </w:r>
            <w:r w:rsidR="00CB4A9B" w:rsidRPr="009D5C3D">
              <w:rPr>
                <w:rFonts w:eastAsiaTheme="minorEastAsia" w:cstheme="minorBidi"/>
                <w:sz w:val="18"/>
                <w:szCs w:val="18"/>
                <w:lang w:val="es-419" w:eastAsia="es-419"/>
              </w:rPr>
              <w:tab/>
            </w:r>
            <w:r w:rsidR="00CB4A9B" w:rsidRPr="009D5C3D">
              <w:rPr>
                <w:rStyle w:val="Hipervnculo"/>
                <w:sz w:val="18"/>
                <w:szCs w:val="18"/>
                <w:u w:val="none"/>
              </w:rPr>
              <w:t>Consideraciones de la Corte</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_Toc27069896 \h </w:instrText>
            </w:r>
            <w:r w:rsidR="00CB4A9B" w:rsidRPr="009D5C3D">
              <w:rPr>
                <w:webHidden/>
                <w:sz w:val="18"/>
                <w:szCs w:val="18"/>
              </w:rPr>
            </w:r>
            <w:r w:rsidR="00CB4A9B" w:rsidRPr="009D5C3D">
              <w:rPr>
                <w:webHidden/>
                <w:sz w:val="18"/>
                <w:szCs w:val="18"/>
              </w:rPr>
              <w:fldChar w:fldCharType="separate"/>
            </w:r>
            <w:r w:rsidR="002D2574">
              <w:rPr>
                <w:webHidden/>
                <w:sz w:val="18"/>
                <w:szCs w:val="18"/>
              </w:rPr>
              <w:t>18</w:t>
            </w:r>
            <w:r w:rsidR="00CB4A9B" w:rsidRPr="009D5C3D">
              <w:rPr>
                <w:webHidden/>
                <w:sz w:val="18"/>
                <w:szCs w:val="18"/>
              </w:rPr>
              <w:fldChar w:fldCharType="end"/>
            </w:r>
          </w:hyperlink>
        </w:p>
        <w:p w14:paraId="727AA2F3" w14:textId="404880C3" w:rsidR="00CB4A9B" w:rsidRPr="009D5C3D" w:rsidRDefault="005B09B2" w:rsidP="004F1F45">
          <w:pPr>
            <w:pStyle w:val="TDC3"/>
            <w:tabs>
              <w:tab w:val="left" w:pos="567"/>
              <w:tab w:val="right" w:leader="dot" w:pos="9394"/>
            </w:tabs>
            <w:spacing w:after="20" w:line="240" w:lineRule="auto"/>
            <w:rPr>
              <w:rFonts w:eastAsiaTheme="minorEastAsia"/>
              <w:noProof/>
              <w:sz w:val="18"/>
              <w:szCs w:val="18"/>
              <w:lang w:val="es-419" w:eastAsia="es-419"/>
            </w:rPr>
          </w:pPr>
          <w:hyperlink w:anchor="_Toc27069897" w:history="1">
            <w:r w:rsidR="00CB4A9B" w:rsidRPr="009D5C3D">
              <w:rPr>
                <w:rStyle w:val="Hipervnculo"/>
                <w:noProof/>
                <w:sz w:val="18"/>
                <w:szCs w:val="18"/>
                <w:u w:val="none"/>
              </w:rPr>
              <w:t>B.1 Detención inicial y prisión preventiva del señor Montesinos</w:t>
            </w:r>
            <w:r w:rsidR="00CB4A9B" w:rsidRPr="009D5C3D">
              <w:rPr>
                <w:noProof/>
                <w:webHidden/>
                <w:sz w:val="18"/>
                <w:szCs w:val="18"/>
              </w:rPr>
              <w:tab/>
            </w:r>
            <w:r w:rsidR="00CB4A9B" w:rsidRPr="009D5C3D">
              <w:rPr>
                <w:noProof/>
                <w:webHidden/>
                <w:sz w:val="18"/>
                <w:szCs w:val="18"/>
              </w:rPr>
              <w:fldChar w:fldCharType="begin"/>
            </w:r>
            <w:r w:rsidR="00CB4A9B" w:rsidRPr="009D5C3D">
              <w:rPr>
                <w:noProof/>
                <w:webHidden/>
                <w:sz w:val="18"/>
                <w:szCs w:val="18"/>
              </w:rPr>
              <w:instrText xml:space="preserve"> PAGEREF _Toc27069897 \h </w:instrText>
            </w:r>
            <w:r w:rsidR="00CB4A9B" w:rsidRPr="009D5C3D">
              <w:rPr>
                <w:noProof/>
                <w:webHidden/>
                <w:sz w:val="18"/>
                <w:szCs w:val="18"/>
              </w:rPr>
            </w:r>
            <w:r w:rsidR="00CB4A9B" w:rsidRPr="009D5C3D">
              <w:rPr>
                <w:noProof/>
                <w:webHidden/>
                <w:sz w:val="18"/>
                <w:szCs w:val="18"/>
              </w:rPr>
              <w:fldChar w:fldCharType="separate"/>
            </w:r>
            <w:r w:rsidR="002D2574">
              <w:rPr>
                <w:noProof/>
                <w:webHidden/>
                <w:sz w:val="18"/>
                <w:szCs w:val="18"/>
              </w:rPr>
              <w:t>20</w:t>
            </w:r>
            <w:r w:rsidR="00CB4A9B" w:rsidRPr="009D5C3D">
              <w:rPr>
                <w:noProof/>
                <w:webHidden/>
                <w:sz w:val="18"/>
                <w:szCs w:val="18"/>
              </w:rPr>
              <w:fldChar w:fldCharType="end"/>
            </w:r>
          </w:hyperlink>
        </w:p>
        <w:p w14:paraId="65CA387D" w14:textId="38A761F3" w:rsidR="00CB4A9B" w:rsidRPr="009D5C3D" w:rsidRDefault="005B09B2" w:rsidP="004F1F45">
          <w:pPr>
            <w:pStyle w:val="TDC3"/>
            <w:tabs>
              <w:tab w:val="left" w:pos="567"/>
              <w:tab w:val="right" w:leader="dot" w:pos="9394"/>
            </w:tabs>
            <w:spacing w:after="20" w:line="240" w:lineRule="auto"/>
            <w:rPr>
              <w:rFonts w:eastAsiaTheme="minorEastAsia"/>
              <w:noProof/>
              <w:sz w:val="18"/>
              <w:szCs w:val="18"/>
              <w:lang w:val="es-419" w:eastAsia="es-419"/>
            </w:rPr>
          </w:pPr>
          <w:hyperlink w:anchor="_Toc27069898" w:history="1">
            <w:r w:rsidR="00CB4A9B" w:rsidRPr="009D5C3D">
              <w:rPr>
                <w:rStyle w:val="Hipervnculo"/>
                <w:noProof/>
                <w:sz w:val="18"/>
                <w:szCs w:val="18"/>
                <w:u w:val="none"/>
              </w:rPr>
              <w:t>B.2 Revisión de la prisión preventiva</w:t>
            </w:r>
            <w:r w:rsidR="00CB4A9B" w:rsidRPr="009D5C3D">
              <w:rPr>
                <w:noProof/>
                <w:webHidden/>
                <w:sz w:val="18"/>
                <w:szCs w:val="18"/>
              </w:rPr>
              <w:tab/>
            </w:r>
            <w:r w:rsidR="00CB4A9B" w:rsidRPr="009D5C3D">
              <w:rPr>
                <w:noProof/>
                <w:webHidden/>
                <w:sz w:val="18"/>
                <w:szCs w:val="18"/>
              </w:rPr>
              <w:fldChar w:fldCharType="begin"/>
            </w:r>
            <w:r w:rsidR="00CB4A9B" w:rsidRPr="009D5C3D">
              <w:rPr>
                <w:noProof/>
                <w:webHidden/>
                <w:sz w:val="18"/>
                <w:szCs w:val="18"/>
              </w:rPr>
              <w:instrText xml:space="preserve"> PAGEREF _Toc27069898 \h </w:instrText>
            </w:r>
            <w:r w:rsidR="00CB4A9B" w:rsidRPr="009D5C3D">
              <w:rPr>
                <w:noProof/>
                <w:webHidden/>
                <w:sz w:val="18"/>
                <w:szCs w:val="18"/>
              </w:rPr>
            </w:r>
            <w:r w:rsidR="00CB4A9B" w:rsidRPr="009D5C3D">
              <w:rPr>
                <w:noProof/>
                <w:webHidden/>
                <w:sz w:val="18"/>
                <w:szCs w:val="18"/>
              </w:rPr>
              <w:fldChar w:fldCharType="separate"/>
            </w:r>
            <w:r w:rsidR="002D2574">
              <w:rPr>
                <w:noProof/>
                <w:webHidden/>
                <w:sz w:val="18"/>
                <w:szCs w:val="18"/>
              </w:rPr>
              <w:t>24</w:t>
            </w:r>
            <w:r w:rsidR="00CB4A9B" w:rsidRPr="009D5C3D">
              <w:rPr>
                <w:noProof/>
                <w:webHidden/>
                <w:sz w:val="18"/>
                <w:szCs w:val="18"/>
              </w:rPr>
              <w:fldChar w:fldCharType="end"/>
            </w:r>
          </w:hyperlink>
        </w:p>
        <w:p w14:paraId="19E60920" w14:textId="3A815D47" w:rsidR="00CB4A9B" w:rsidRPr="009D5C3D" w:rsidRDefault="005B09B2" w:rsidP="004F1F45">
          <w:pPr>
            <w:pStyle w:val="TDC3"/>
            <w:tabs>
              <w:tab w:val="left" w:pos="567"/>
              <w:tab w:val="right" w:leader="dot" w:pos="9394"/>
            </w:tabs>
            <w:spacing w:after="20" w:line="240" w:lineRule="auto"/>
            <w:rPr>
              <w:rFonts w:eastAsiaTheme="minorEastAsia"/>
              <w:noProof/>
              <w:sz w:val="18"/>
              <w:szCs w:val="18"/>
              <w:lang w:val="es-419" w:eastAsia="es-419"/>
            </w:rPr>
          </w:pPr>
          <w:hyperlink w:anchor="_Toc27069899" w:history="1">
            <w:r w:rsidR="00CB4A9B" w:rsidRPr="009D5C3D">
              <w:rPr>
                <w:rStyle w:val="Hipervnculo"/>
                <w:noProof/>
                <w:sz w:val="18"/>
                <w:szCs w:val="18"/>
                <w:u w:val="none"/>
              </w:rPr>
              <w:t>B.3 Razonabilidad del plazo de la prisión preventiva</w:t>
            </w:r>
            <w:r w:rsidR="00CB4A9B" w:rsidRPr="009D5C3D">
              <w:rPr>
                <w:noProof/>
                <w:webHidden/>
                <w:sz w:val="18"/>
                <w:szCs w:val="18"/>
              </w:rPr>
              <w:tab/>
            </w:r>
            <w:r w:rsidR="00CB4A9B" w:rsidRPr="009D5C3D">
              <w:rPr>
                <w:noProof/>
                <w:webHidden/>
                <w:sz w:val="18"/>
                <w:szCs w:val="18"/>
              </w:rPr>
              <w:fldChar w:fldCharType="begin"/>
            </w:r>
            <w:r w:rsidR="00CB4A9B" w:rsidRPr="009D5C3D">
              <w:rPr>
                <w:noProof/>
                <w:webHidden/>
                <w:sz w:val="18"/>
                <w:szCs w:val="18"/>
              </w:rPr>
              <w:instrText xml:space="preserve"> PAGEREF _Toc27069899 \h </w:instrText>
            </w:r>
            <w:r w:rsidR="00CB4A9B" w:rsidRPr="009D5C3D">
              <w:rPr>
                <w:noProof/>
                <w:webHidden/>
                <w:sz w:val="18"/>
                <w:szCs w:val="18"/>
              </w:rPr>
            </w:r>
            <w:r w:rsidR="00CB4A9B" w:rsidRPr="009D5C3D">
              <w:rPr>
                <w:noProof/>
                <w:webHidden/>
                <w:sz w:val="18"/>
                <w:szCs w:val="18"/>
              </w:rPr>
              <w:fldChar w:fldCharType="separate"/>
            </w:r>
            <w:r w:rsidR="002D2574">
              <w:rPr>
                <w:noProof/>
                <w:webHidden/>
                <w:sz w:val="18"/>
                <w:szCs w:val="18"/>
              </w:rPr>
              <w:t>25</w:t>
            </w:r>
            <w:r w:rsidR="00CB4A9B" w:rsidRPr="009D5C3D">
              <w:rPr>
                <w:noProof/>
                <w:webHidden/>
                <w:sz w:val="18"/>
                <w:szCs w:val="18"/>
              </w:rPr>
              <w:fldChar w:fldCharType="end"/>
            </w:r>
          </w:hyperlink>
        </w:p>
        <w:p w14:paraId="28F8D1D0" w14:textId="4051AABC" w:rsidR="00CB4A9B" w:rsidRPr="009D5C3D" w:rsidRDefault="005B09B2" w:rsidP="004F1F45">
          <w:pPr>
            <w:pStyle w:val="TDC3"/>
            <w:tabs>
              <w:tab w:val="left" w:pos="567"/>
              <w:tab w:val="right" w:leader="dot" w:pos="9394"/>
            </w:tabs>
            <w:spacing w:after="20" w:line="240" w:lineRule="auto"/>
            <w:rPr>
              <w:rFonts w:eastAsiaTheme="minorEastAsia"/>
              <w:noProof/>
              <w:sz w:val="18"/>
              <w:szCs w:val="18"/>
              <w:lang w:val="es-419" w:eastAsia="es-419"/>
            </w:rPr>
          </w:pPr>
          <w:hyperlink w:anchor="_Toc27069900" w:history="1">
            <w:r w:rsidR="00CB4A9B" w:rsidRPr="009D5C3D">
              <w:rPr>
                <w:rStyle w:val="Hipervnculo"/>
                <w:noProof/>
                <w:sz w:val="18"/>
                <w:szCs w:val="18"/>
                <w:u w:val="none"/>
              </w:rPr>
              <w:t>B.4 Derecho a recurrir ante un juez sobre la legalidad de la detención</w:t>
            </w:r>
            <w:r w:rsidR="00CB4A9B" w:rsidRPr="009D5C3D">
              <w:rPr>
                <w:noProof/>
                <w:webHidden/>
                <w:sz w:val="18"/>
                <w:szCs w:val="18"/>
              </w:rPr>
              <w:tab/>
            </w:r>
            <w:r w:rsidR="00CB4A9B" w:rsidRPr="009D5C3D">
              <w:rPr>
                <w:noProof/>
                <w:webHidden/>
                <w:sz w:val="18"/>
                <w:szCs w:val="18"/>
              </w:rPr>
              <w:fldChar w:fldCharType="begin"/>
            </w:r>
            <w:r w:rsidR="00CB4A9B" w:rsidRPr="009D5C3D">
              <w:rPr>
                <w:noProof/>
                <w:webHidden/>
                <w:sz w:val="18"/>
                <w:szCs w:val="18"/>
              </w:rPr>
              <w:instrText xml:space="preserve"> PAGEREF _Toc27069900 \h </w:instrText>
            </w:r>
            <w:r w:rsidR="00CB4A9B" w:rsidRPr="009D5C3D">
              <w:rPr>
                <w:noProof/>
                <w:webHidden/>
                <w:sz w:val="18"/>
                <w:szCs w:val="18"/>
              </w:rPr>
            </w:r>
            <w:r w:rsidR="00CB4A9B" w:rsidRPr="009D5C3D">
              <w:rPr>
                <w:noProof/>
                <w:webHidden/>
                <w:sz w:val="18"/>
                <w:szCs w:val="18"/>
              </w:rPr>
              <w:fldChar w:fldCharType="separate"/>
            </w:r>
            <w:r w:rsidR="002D2574">
              <w:rPr>
                <w:noProof/>
                <w:webHidden/>
                <w:sz w:val="18"/>
                <w:szCs w:val="18"/>
              </w:rPr>
              <w:t>27</w:t>
            </w:r>
            <w:r w:rsidR="00CB4A9B" w:rsidRPr="009D5C3D">
              <w:rPr>
                <w:noProof/>
                <w:webHidden/>
                <w:sz w:val="18"/>
                <w:szCs w:val="18"/>
              </w:rPr>
              <w:fldChar w:fldCharType="end"/>
            </w:r>
          </w:hyperlink>
        </w:p>
        <w:p w14:paraId="6C95F373" w14:textId="30DF73FE" w:rsidR="00CB4A9B" w:rsidRPr="009D5C3D" w:rsidRDefault="005B09B2" w:rsidP="004F1F45">
          <w:pPr>
            <w:pStyle w:val="TDC3"/>
            <w:tabs>
              <w:tab w:val="left" w:pos="567"/>
              <w:tab w:val="right" w:leader="dot" w:pos="9394"/>
            </w:tabs>
            <w:spacing w:after="20" w:line="240" w:lineRule="auto"/>
            <w:rPr>
              <w:rFonts w:eastAsiaTheme="minorEastAsia"/>
              <w:noProof/>
              <w:sz w:val="18"/>
              <w:szCs w:val="18"/>
              <w:lang w:val="es-419" w:eastAsia="es-419"/>
            </w:rPr>
          </w:pPr>
          <w:hyperlink w:anchor="_Toc27069901" w:history="1">
            <w:r w:rsidR="00CB4A9B" w:rsidRPr="009D5C3D">
              <w:rPr>
                <w:rStyle w:val="Hipervnculo"/>
                <w:noProof/>
                <w:sz w:val="18"/>
                <w:szCs w:val="18"/>
                <w:u w:val="none"/>
              </w:rPr>
              <w:t>B.5 Presunción de inocencia</w:t>
            </w:r>
            <w:r w:rsidR="00CB4A9B" w:rsidRPr="009D5C3D">
              <w:rPr>
                <w:noProof/>
                <w:webHidden/>
                <w:sz w:val="18"/>
                <w:szCs w:val="18"/>
              </w:rPr>
              <w:tab/>
            </w:r>
            <w:r w:rsidR="00CB4A9B" w:rsidRPr="009D5C3D">
              <w:rPr>
                <w:noProof/>
                <w:webHidden/>
                <w:sz w:val="18"/>
                <w:szCs w:val="18"/>
              </w:rPr>
              <w:fldChar w:fldCharType="begin"/>
            </w:r>
            <w:r w:rsidR="00CB4A9B" w:rsidRPr="009D5C3D">
              <w:rPr>
                <w:noProof/>
                <w:webHidden/>
                <w:sz w:val="18"/>
                <w:szCs w:val="18"/>
              </w:rPr>
              <w:instrText xml:space="preserve"> PAGEREF _Toc27069901 \h </w:instrText>
            </w:r>
            <w:r w:rsidR="00CB4A9B" w:rsidRPr="009D5C3D">
              <w:rPr>
                <w:noProof/>
                <w:webHidden/>
                <w:sz w:val="18"/>
                <w:szCs w:val="18"/>
              </w:rPr>
            </w:r>
            <w:r w:rsidR="00CB4A9B" w:rsidRPr="009D5C3D">
              <w:rPr>
                <w:noProof/>
                <w:webHidden/>
                <w:sz w:val="18"/>
                <w:szCs w:val="18"/>
              </w:rPr>
              <w:fldChar w:fldCharType="separate"/>
            </w:r>
            <w:r w:rsidR="002D2574">
              <w:rPr>
                <w:noProof/>
                <w:webHidden/>
                <w:sz w:val="18"/>
                <w:szCs w:val="18"/>
              </w:rPr>
              <w:t>28</w:t>
            </w:r>
            <w:r w:rsidR="00CB4A9B" w:rsidRPr="009D5C3D">
              <w:rPr>
                <w:noProof/>
                <w:webHidden/>
                <w:sz w:val="18"/>
                <w:szCs w:val="18"/>
              </w:rPr>
              <w:fldChar w:fldCharType="end"/>
            </w:r>
          </w:hyperlink>
        </w:p>
        <w:p w14:paraId="4FA96947" w14:textId="2BD3232E" w:rsidR="00CB4A9B" w:rsidRPr="009D5C3D" w:rsidRDefault="005B09B2" w:rsidP="004F1F45">
          <w:pPr>
            <w:pStyle w:val="TDC3"/>
            <w:tabs>
              <w:tab w:val="left" w:pos="567"/>
              <w:tab w:val="right" w:leader="dot" w:pos="9394"/>
            </w:tabs>
            <w:spacing w:after="20" w:line="240" w:lineRule="auto"/>
            <w:rPr>
              <w:rFonts w:eastAsiaTheme="minorEastAsia"/>
              <w:noProof/>
              <w:sz w:val="18"/>
              <w:szCs w:val="18"/>
              <w:lang w:val="es-419" w:eastAsia="es-419"/>
            </w:rPr>
          </w:pPr>
          <w:hyperlink w:anchor="_Toc27069902" w:history="1">
            <w:r w:rsidR="00CB4A9B" w:rsidRPr="009D5C3D">
              <w:rPr>
                <w:rStyle w:val="Hipervnculo"/>
                <w:noProof/>
                <w:sz w:val="18"/>
                <w:szCs w:val="18"/>
                <w:u w:val="none"/>
              </w:rPr>
              <w:t>B.6 Conclusión</w:t>
            </w:r>
            <w:r w:rsidR="00CB4A9B" w:rsidRPr="009D5C3D">
              <w:rPr>
                <w:noProof/>
                <w:webHidden/>
                <w:sz w:val="18"/>
                <w:szCs w:val="18"/>
              </w:rPr>
              <w:tab/>
            </w:r>
            <w:r w:rsidR="00CB4A9B" w:rsidRPr="009D5C3D">
              <w:rPr>
                <w:noProof/>
                <w:webHidden/>
                <w:sz w:val="18"/>
                <w:szCs w:val="18"/>
              </w:rPr>
              <w:fldChar w:fldCharType="begin"/>
            </w:r>
            <w:r w:rsidR="00CB4A9B" w:rsidRPr="009D5C3D">
              <w:rPr>
                <w:noProof/>
                <w:webHidden/>
                <w:sz w:val="18"/>
                <w:szCs w:val="18"/>
              </w:rPr>
              <w:instrText xml:space="preserve"> PAGEREF _Toc27069902 \h </w:instrText>
            </w:r>
            <w:r w:rsidR="00CB4A9B" w:rsidRPr="009D5C3D">
              <w:rPr>
                <w:noProof/>
                <w:webHidden/>
                <w:sz w:val="18"/>
                <w:szCs w:val="18"/>
              </w:rPr>
            </w:r>
            <w:r w:rsidR="00CB4A9B" w:rsidRPr="009D5C3D">
              <w:rPr>
                <w:noProof/>
                <w:webHidden/>
                <w:sz w:val="18"/>
                <w:szCs w:val="18"/>
              </w:rPr>
              <w:fldChar w:fldCharType="separate"/>
            </w:r>
            <w:r w:rsidR="002D2574">
              <w:rPr>
                <w:noProof/>
                <w:webHidden/>
                <w:sz w:val="18"/>
                <w:szCs w:val="18"/>
              </w:rPr>
              <w:t>29</w:t>
            </w:r>
            <w:r w:rsidR="00CB4A9B" w:rsidRPr="009D5C3D">
              <w:rPr>
                <w:noProof/>
                <w:webHidden/>
                <w:sz w:val="18"/>
                <w:szCs w:val="18"/>
              </w:rPr>
              <w:fldChar w:fldCharType="end"/>
            </w:r>
          </w:hyperlink>
        </w:p>
        <w:p w14:paraId="678CD273" w14:textId="4350D43A" w:rsidR="00CB4A9B" w:rsidRPr="009D5C3D" w:rsidRDefault="005B09B2" w:rsidP="004F1F45">
          <w:pPr>
            <w:pStyle w:val="TDC1"/>
            <w:rPr>
              <w:rFonts w:eastAsiaTheme="minorEastAsia" w:cstheme="minorBidi"/>
              <w:sz w:val="18"/>
              <w:szCs w:val="18"/>
              <w:lang w:val="es-419" w:eastAsia="es-419"/>
            </w:rPr>
          </w:pPr>
          <w:hyperlink w:anchor="_Toc27069903" w:history="1">
            <w:r w:rsidR="00CB4A9B" w:rsidRPr="009D5C3D">
              <w:rPr>
                <w:rStyle w:val="Hipervnculo"/>
                <w:sz w:val="18"/>
                <w:szCs w:val="18"/>
                <w:u w:val="none"/>
              </w:rPr>
              <w:t>VII-2</w:t>
            </w:r>
          </w:hyperlink>
          <w:r w:rsidR="00CB4A9B" w:rsidRPr="009D5C3D">
            <w:rPr>
              <w:rStyle w:val="Hipervnculo"/>
              <w:sz w:val="18"/>
              <w:szCs w:val="18"/>
              <w:u w:val="none"/>
            </w:rPr>
            <w:t xml:space="preserve"> </w:t>
          </w:r>
          <w:hyperlink w:anchor="_Toc27069904" w:history="1">
            <w:r w:rsidR="00CB4A9B" w:rsidRPr="009D5C3D">
              <w:rPr>
                <w:rStyle w:val="Hipervnculo"/>
                <w:sz w:val="18"/>
                <w:szCs w:val="18"/>
                <w:u w:val="none"/>
              </w:rPr>
              <w:t>DERECHO A LA INTEGRIDAD PERSONAL Y OBLIGACIÓN DE INVESTIGAR DENUNCIAS DE TORTURA</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_Toc27069904 \h </w:instrText>
            </w:r>
            <w:r w:rsidR="00CB4A9B" w:rsidRPr="009D5C3D">
              <w:rPr>
                <w:webHidden/>
                <w:sz w:val="18"/>
                <w:szCs w:val="18"/>
              </w:rPr>
            </w:r>
            <w:r w:rsidR="00CB4A9B" w:rsidRPr="009D5C3D">
              <w:rPr>
                <w:webHidden/>
                <w:sz w:val="18"/>
                <w:szCs w:val="18"/>
              </w:rPr>
              <w:fldChar w:fldCharType="separate"/>
            </w:r>
            <w:r w:rsidR="002D2574">
              <w:rPr>
                <w:webHidden/>
                <w:sz w:val="18"/>
                <w:szCs w:val="18"/>
              </w:rPr>
              <w:t>29</w:t>
            </w:r>
            <w:r w:rsidR="00CB4A9B" w:rsidRPr="009D5C3D">
              <w:rPr>
                <w:webHidden/>
                <w:sz w:val="18"/>
                <w:szCs w:val="18"/>
              </w:rPr>
              <w:fldChar w:fldCharType="end"/>
            </w:r>
          </w:hyperlink>
        </w:p>
        <w:p w14:paraId="20726CF5" w14:textId="56935CA9" w:rsidR="00CB4A9B" w:rsidRPr="009D5C3D" w:rsidRDefault="005B09B2" w:rsidP="004F1F45">
          <w:pPr>
            <w:pStyle w:val="TDC2"/>
            <w:rPr>
              <w:rFonts w:eastAsiaTheme="minorEastAsia" w:cstheme="minorBidi"/>
              <w:sz w:val="18"/>
              <w:szCs w:val="18"/>
              <w:lang w:val="es-419" w:eastAsia="es-419"/>
            </w:rPr>
          </w:pPr>
          <w:hyperlink w:anchor="_Toc27069905" w:history="1">
            <w:r w:rsidR="00CB4A9B" w:rsidRPr="009D5C3D">
              <w:rPr>
                <w:rStyle w:val="Hipervnculo"/>
                <w:sz w:val="18"/>
                <w:szCs w:val="18"/>
                <w:u w:val="none"/>
              </w:rPr>
              <w:t>A.</w:t>
            </w:r>
            <w:r w:rsidR="00CB4A9B" w:rsidRPr="009D5C3D">
              <w:rPr>
                <w:rFonts w:eastAsiaTheme="minorEastAsia" w:cstheme="minorBidi"/>
                <w:sz w:val="18"/>
                <w:szCs w:val="18"/>
                <w:lang w:val="es-419" w:eastAsia="es-419"/>
              </w:rPr>
              <w:tab/>
            </w:r>
            <w:r w:rsidR="00CB4A9B" w:rsidRPr="009D5C3D">
              <w:rPr>
                <w:rStyle w:val="Hipervnculo"/>
                <w:sz w:val="18"/>
                <w:szCs w:val="18"/>
                <w:u w:val="none"/>
              </w:rPr>
              <w:t>Alegatos de las partes y la Comisión</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_Toc27069905 \h </w:instrText>
            </w:r>
            <w:r w:rsidR="00CB4A9B" w:rsidRPr="009D5C3D">
              <w:rPr>
                <w:webHidden/>
                <w:sz w:val="18"/>
                <w:szCs w:val="18"/>
              </w:rPr>
            </w:r>
            <w:r w:rsidR="00CB4A9B" w:rsidRPr="009D5C3D">
              <w:rPr>
                <w:webHidden/>
                <w:sz w:val="18"/>
                <w:szCs w:val="18"/>
              </w:rPr>
              <w:fldChar w:fldCharType="separate"/>
            </w:r>
            <w:r w:rsidR="002D2574">
              <w:rPr>
                <w:webHidden/>
                <w:sz w:val="18"/>
                <w:szCs w:val="18"/>
              </w:rPr>
              <w:t>29</w:t>
            </w:r>
            <w:r w:rsidR="00CB4A9B" w:rsidRPr="009D5C3D">
              <w:rPr>
                <w:webHidden/>
                <w:sz w:val="18"/>
                <w:szCs w:val="18"/>
              </w:rPr>
              <w:fldChar w:fldCharType="end"/>
            </w:r>
          </w:hyperlink>
        </w:p>
        <w:p w14:paraId="60CAAB0C" w14:textId="0E99FDEF" w:rsidR="00CB4A9B" w:rsidRPr="009D5C3D" w:rsidRDefault="005B09B2" w:rsidP="004F1F45">
          <w:pPr>
            <w:pStyle w:val="TDC2"/>
            <w:rPr>
              <w:rFonts w:eastAsiaTheme="minorEastAsia" w:cstheme="minorBidi"/>
              <w:sz w:val="18"/>
              <w:szCs w:val="18"/>
              <w:lang w:val="es-419" w:eastAsia="es-419"/>
            </w:rPr>
          </w:pPr>
          <w:hyperlink w:anchor="_Toc27069906" w:history="1">
            <w:r w:rsidR="00CB4A9B" w:rsidRPr="009D5C3D">
              <w:rPr>
                <w:rStyle w:val="Hipervnculo"/>
                <w:sz w:val="18"/>
                <w:szCs w:val="18"/>
                <w:u w:val="none"/>
              </w:rPr>
              <w:t>B.</w:t>
            </w:r>
            <w:r w:rsidR="00CB4A9B" w:rsidRPr="009D5C3D">
              <w:rPr>
                <w:rFonts w:eastAsiaTheme="minorEastAsia" w:cstheme="minorBidi"/>
                <w:sz w:val="18"/>
                <w:szCs w:val="18"/>
                <w:lang w:val="es-419" w:eastAsia="es-419"/>
              </w:rPr>
              <w:tab/>
            </w:r>
            <w:r w:rsidR="00CB4A9B" w:rsidRPr="009D5C3D">
              <w:rPr>
                <w:rStyle w:val="Hipervnculo"/>
                <w:sz w:val="18"/>
                <w:szCs w:val="18"/>
                <w:u w:val="none"/>
              </w:rPr>
              <w:t>Consideraciones de la Corte</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_Toc27069906 \h </w:instrText>
            </w:r>
            <w:r w:rsidR="00CB4A9B" w:rsidRPr="009D5C3D">
              <w:rPr>
                <w:webHidden/>
                <w:sz w:val="18"/>
                <w:szCs w:val="18"/>
              </w:rPr>
            </w:r>
            <w:r w:rsidR="00CB4A9B" w:rsidRPr="009D5C3D">
              <w:rPr>
                <w:webHidden/>
                <w:sz w:val="18"/>
                <w:szCs w:val="18"/>
              </w:rPr>
              <w:fldChar w:fldCharType="separate"/>
            </w:r>
            <w:r w:rsidR="002D2574">
              <w:rPr>
                <w:webHidden/>
                <w:sz w:val="18"/>
                <w:szCs w:val="18"/>
              </w:rPr>
              <w:t>31</w:t>
            </w:r>
            <w:r w:rsidR="00CB4A9B" w:rsidRPr="009D5C3D">
              <w:rPr>
                <w:webHidden/>
                <w:sz w:val="18"/>
                <w:szCs w:val="18"/>
              </w:rPr>
              <w:fldChar w:fldCharType="end"/>
            </w:r>
          </w:hyperlink>
        </w:p>
        <w:p w14:paraId="55664DC7" w14:textId="18DE7633" w:rsidR="00CB4A9B" w:rsidRPr="009D5C3D" w:rsidRDefault="005B09B2" w:rsidP="004F1F45">
          <w:pPr>
            <w:pStyle w:val="TDC1"/>
            <w:rPr>
              <w:rFonts w:eastAsiaTheme="minorEastAsia" w:cstheme="minorBidi"/>
              <w:sz w:val="18"/>
              <w:szCs w:val="18"/>
              <w:lang w:val="es-419" w:eastAsia="es-419"/>
            </w:rPr>
          </w:pPr>
          <w:hyperlink w:anchor="_Toc27069907" w:history="1">
            <w:r w:rsidR="00CB4A9B" w:rsidRPr="009D5C3D">
              <w:rPr>
                <w:rStyle w:val="Hipervnculo"/>
                <w:sz w:val="18"/>
                <w:szCs w:val="18"/>
                <w:u w:val="none"/>
              </w:rPr>
              <w:t>VII-3</w:t>
            </w:r>
          </w:hyperlink>
          <w:r w:rsidR="00CB4A9B" w:rsidRPr="009D5C3D">
            <w:rPr>
              <w:rStyle w:val="Hipervnculo"/>
              <w:sz w:val="18"/>
              <w:szCs w:val="18"/>
              <w:u w:val="none"/>
            </w:rPr>
            <w:t xml:space="preserve"> </w:t>
          </w:r>
          <w:hyperlink w:anchor="_Toc27069908" w:history="1">
            <w:r w:rsidR="00CB4A9B" w:rsidRPr="009D5C3D">
              <w:rPr>
                <w:rStyle w:val="Hipervnculo"/>
                <w:sz w:val="18"/>
                <w:szCs w:val="18"/>
                <w:u w:val="none"/>
              </w:rPr>
              <w:t>DERECHO A LAS GARANTÍAS JUDICIALES</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_Toc27069908 \h </w:instrText>
            </w:r>
            <w:r w:rsidR="00CB4A9B" w:rsidRPr="009D5C3D">
              <w:rPr>
                <w:webHidden/>
                <w:sz w:val="18"/>
                <w:szCs w:val="18"/>
              </w:rPr>
            </w:r>
            <w:r w:rsidR="00CB4A9B" w:rsidRPr="009D5C3D">
              <w:rPr>
                <w:webHidden/>
                <w:sz w:val="18"/>
                <w:szCs w:val="18"/>
              </w:rPr>
              <w:fldChar w:fldCharType="separate"/>
            </w:r>
            <w:r w:rsidR="002D2574">
              <w:rPr>
                <w:webHidden/>
                <w:sz w:val="18"/>
                <w:szCs w:val="18"/>
              </w:rPr>
              <w:t>33</w:t>
            </w:r>
            <w:r w:rsidR="00CB4A9B" w:rsidRPr="009D5C3D">
              <w:rPr>
                <w:webHidden/>
                <w:sz w:val="18"/>
                <w:szCs w:val="18"/>
              </w:rPr>
              <w:fldChar w:fldCharType="end"/>
            </w:r>
          </w:hyperlink>
        </w:p>
        <w:p w14:paraId="50C2B05F" w14:textId="45E1C3AC" w:rsidR="00CB4A9B" w:rsidRPr="009D5C3D" w:rsidRDefault="005B09B2" w:rsidP="004F1F45">
          <w:pPr>
            <w:pStyle w:val="TDC2"/>
            <w:rPr>
              <w:rFonts w:eastAsiaTheme="minorEastAsia" w:cstheme="minorBidi"/>
              <w:sz w:val="18"/>
              <w:szCs w:val="18"/>
              <w:lang w:val="es-419" w:eastAsia="es-419"/>
            </w:rPr>
          </w:pPr>
          <w:hyperlink w:anchor="_Toc27069909" w:history="1">
            <w:r w:rsidR="00CB4A9B" w:rsidRPr="009D5C3D">
              <w:rPr>
                <w:rStyle w:val="Hipervnculo"/>
                <w:sz w:val="18"/>
                <w:szCs w:val="18"/>
                <w:u w:val="none"/>
              </w:rPr>
              <w:t>A.</w:t>
            </w:r>
            <w:r w:rsidR="00CB4A9B" w:rsidRPr="009D5C3D">
              <w:rPr>
                <w:rFonts w:eastAsiaTheme="minorEastAsia" w:cstheme="minorBidi"/>
                <w:sz w:val="18"/>
                <w:szCs w:val="18"/>
                <w:lang w:val="es-419" w:eastAsia="es-419"/>
              </w:rPr>
              <w:tab/>
            </w:r>
            <w:r w:rsidR="00CB4A9B" w:rsidRPr="009D5C3D">
              <w:rPr>
                <w:rStyle w:val="Hipervnculo"/>
                <w:sz w:val="18"/>
                <w:szCs w:val="18"/>
                <w:u w:val="none"/>
              </w:rPr>
              <w:t>Alegatos de las partes y de la Comisión</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_Toc27069909 \h </w:instrText>
            </w:r>
            <w:r w:rsidR="00CB4A9B" w:rsidRPr="009D5C3D">
              <w:rPr>
                <w:webHidden/>
                <w:sz w:val="18"/>
                <w:szCs w:val="18"/>
              </w:rPr>
            </w:r>
            <w:r w:rsidR="00CB4A9B" w:rsidRPr="009D5C3D">
              <w:rPr>
                <w:webHidden/>
                <w:sz w:val="18"/>
                <w:szCs w:val="18"/>
              </w:rPr>
              <w:fldChar w:fldCharType="separate"/>
            </w:r>
            <w:r w:rsidR="002D2574">
              <w:rPr>
                <w:webHidden/>
                <w:sz w:val="18"/>
                <w:szCs w:val="18"/>
              </w:rPr>
              <w:t>33</w:t>
            </w:r>
            <w:r w:rsidR="00CB4A9B" w:rsidRPr="009D5C3D">
              <w:rPr>
                <w:webHidden/>
                <w:sz w:val="18"/>
                <w:szCs w:val="18"/>
              </w:rPr>
              <w:fldChar w:fldCharType="end"/>
            </w:r>
          </w:hyperlink>
        </w:p>
        <w:p w14:paraId="57F507A0" w14:textId="3A938E6A" w:rsidR="00CB4A9B" w:rsidRPr="009D5C3D" w:rsidRDefault="005B09B2" w:rsidP="004F1F45">
          <w:pPr>
            <w:pStyle w:val="TDC2"/>
            <w:rPr>
              <w:rFonts w:eastAsiaTheme="minorEastAsia" w:cstheme="minorBidi"/>
              <w:sz w:val="18"/>
              <w:szCs w:val="18"/>
              <w:lang w:val="es-419" w:eastAsia="es-419"/>
            </w:rPr>
          </w:pPr>
          <w:hyperlink w:anchor="_Toc27069910" w:history="1">
            <w:r w:rsidR="00CB4A9B" w:rsidRPr="009D5C3D">
              <w:rPr>
                <w:rStyle w:val="Hipervnculo"/>
                <w:sz w:val="18"/>
                <w:szCs w:val="18"/>
                <w:u w:val="none"/>
              </w:rPr>
              <w:t>B.</w:t>
            </w:r>
            <w:r w:rsidR="00CB4A9B" w:rsidRPr="009D5C3D">
              <w:rPr>
                <w:rFonts w:eastAsiaTheme="minorEastAsia" w:cstheme="minorBidi"/>
                <w:sz w:val="18"/>
                <w:szCs w:val="18"/>
                <w:lang w:val="es-419" w:eastAsia="es-419"/>
              </w:rPr>
              <w:tab/>
            </w:r>
            <w:r w:rsidR="00CB4A9B" w:rsidRPr="009D5C3D">
              <w:rPr>
                <w:rStyle w:val="Hipervnculo"/>
                <w:sz w:val="18"/>
                <w:szCs w:val="18"/>
                <w:u w:val="none"/>
              </w:rPr>
              <w:t>Consideraciones de la Corte</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_Toc27069910 \h </w:instrText>
            </w:r>
            <w:r w:rsidR="00CB4A9B" w:rsidRPr="009D5C3D">
              <w:rPr>
                <w:webHidden/>
                <w:sz w:val="18"/>
                <w:szCs w:val="18"/>
              </w:rPr>
            </w:r>
            <w:r w:rsidR="00CB4A9B" w:rsidRPr="009D5C3D">
              <w:rPr>
                <w:webHidden/>
                <w:sz w:val="18"/>
                <w:szCs w:val="18"/>
              </w:rPr>
              <w:fldChar w:fldCharType="separate"/>
            </w:r>
            <w:r w:rsidR="002D2574">
              <w:rPr>
                <w:webHidden/>
                <w:sz w:val="18"/>
                <w:szCs w:val="18"/>
              </w:rPr>
              <w:t>35</w:t>
            </w:r>
            <w:r w:rsidR="00CB4A9B" w:rsidRPr="009D5C3D">
              <w:rPr>
                <w:webHidden/>
                <w:sz w:val="18"/>
                <w:szCs w:val="18"/>
              </w:rPr>
              <w:fldChar w:fldCharType="end"/>
            </w:r>
          </w:hyperlink>
        </w:p>
        <w:p w14:paraId="6E325A2B" w14:textId="15D2D81D" w:rsidR="00CB4A9B" w:rsidRPr="009D5C3D" w:rsidRDefault="005B09B2" w:rsidP="004F1F45">
          <w:pPr>
            <w:pStyle w:val="TDC3"/>
            <w:tabs>
              <w:tab w:val="left" w:pos="567"/>
              <w:tab w:val="right" w:leader="dot" w:pos="9394"/>
            </w:tabs>
            <w:spacing w:after="20" w:line="240" w:lineRule="auto"/>
            <w:rPr>
              <w:rFonts w:eastAsiaTheme="minorEastAsia"/>
              <w:noProof/>
              <w:sz w:val="18"/>
              <w:szCs w:val="18"/>
              <w:lang w:val="es-419" w:eastAsia="es-419"/>
            </w:rPr>
          </w:pPr>
          <w:hyperlink w:anchor="_Toc27069911" w:history="1">
            <w:r w:rsidR="00CB4A9B" w:rsidRPr="009D5C3D">
              <w:rPr>
                <w:rStyle w:val="Hipervnculo"/>
                <w:noProof/>
                <w:sz w:val="18"/>
                <w:szCs w:val="18"/>
                <w:u w:val="none"/>
              </w:rPr>
              <w:t>B.1 Sobre el artículo 8 de la Convención</w:t>
            </w:r>
            <w:r w:rsidR="00CB4A9B" w:rsidRPr="009D5C3D">
              <w:rPr>
                <w:noProof/>
                <w:webHidden/>
                <w:sz w:val="18"/>
                <w:szCs w:val="18"/>
              </w:rPr>
              <w:tab/>
            </w:r>
            <w:r w:rsidR="00CB4A9B" w:rsidRPr="009D5C3D">
              <w:rPr>
                <w:noProof/>
                <w:webHidden/>
                <w:sz w:val="18"/>
                <w:szCs w:val="18"/>
              </w:rPr>
              <w:fldChar w:fldCharType="begin"/>
            </w:r>
            <w:r w:rsidR="00CB4A9B" w:rsidRPr="009D5C3D">
              <w:rPr>
                <w:noProof/>
                <w:webHidden/>
                <w:sz w:val="18"/>
                <w:szCs w:val="18"/>
              </w:rPr>
              <w:instrText xml:space="preserve"> PAGEREF _Toc27069911 \h </w:instrText>
            </w:r>
            <w:r w:rsidR="00CB4A9B" w:rsidRPr="009D5C3D">
              <w:rPr>
                <w:noProof/>
                <w:webHidden/>
                <w:sz w:val="18"/>
                <w:szCs w:val="18"/>
              </w:rPr>
            </w:r>
            <w:r w:rsidR="00CB4A9B" w:rsidRPr="009D5C3D">
              <w:rPr>
                <w:noProof/>
                <w:webHidden/>
                <w:sz w:val="18"/>
                <w:szCs w:val="18"/>
              </w:rPr>
              <w:fldChar w:fldCharType="separate"/>
            </w:r>
            <w:r w:rsidR="002D2574">
              <w:rPr>
                <w:noProof/>
                <w:webHidden/>
                <w:sz w:val="18"/>
                <w:szCs w:val="18"/>
              </w:rPr>
              <w:t>35</w:t>
            </w:r>
            <w:r w:rsidR="00CB4A9B" w:rsidRPr="009D5C3D">
              <w:rPr>
                <w:noProof/>
                <w:webHidden/>
                <w:sz w:val="18"/>
                <w:szCs w:val="18"/>
              </w:rPr>
              <w:fldChar w:fldCharType="end"/>
            </w:r>
          </w:hyperlink>
        </w:p>
        <w:p w14:paraId="1CBA03AF" w14:textId="6B831ED6" w:rsidR="00CB4A9B" w:rsidRPr="009D5C3D" w:rsidRDefault="005B09B2" w:rsidP="004F1F45">
          <w:pPr>
            <w:pStyle w:val="TDC3"/>
            <w:tabs>
              <w:tab w:val="left" w:pos="567"/>
              <w:tab w:val="right" w:leader="dot" w:pos="9394"/>
            </w:tabs>
            <w:spacing w:after="20" w:line="240" w:lineRule="auto"/>
            <w:rPr>
              <w:rFonts w:eastAsiaTheme="minorEastAsia"/>
              <w:noProof/>
              <w:sz w:val="18"/>
              <w:szCs w:val="18"/>
              <w:lang w:val="es-419" w:eastAsia="es-419"/>
            </w:rPr>
          </w:pPr>
          <w:hyperlink w:anchor="_Toc27069912" w:history="1">
            <w:r w:rsidR="00CB4A9B" w:rsidRPr="009D5C3D">
              <w:rPr>
                <w:rStyle w:val="Hipervnculo"/>
                <w:noProof/>
                <w:sz w:val="18"/>
                <w:szCs w:val="18"/>
                <w:u w:val="none"/>
              </w:rPr>
              <w:t>B.2 Plazo razonable de los procesos penales (artículo 8.1 Convención)</w:t>
            </w:r>
            <w:r w:rsidR="00CB4A9B" w:rsidRPr="009D5C3D">
              <w:rPr>
                <w:noProof/>
                <w:webHidden/>
                <w:sz w:val="18"/>
                <w:szCs w:val="18"/>
              </w:rPr>
              <w:tab/>
            </w:r>
            <w:r w:rsidR="00CB4A9B" w:rsidRPr="009D5C3D">
              <w:rPr>
                <w:noProof/>
                <w:webHidden/>
                <w:sz w:val="18"/>
                <w:szCs w:val="18"/>
              </w:rPr>
              <w:fldChar w:fldCharType="begin"/>
            </w:r>
            <w:r w:rsidR="00CB4A9B" w:rsidRPr="009D5C3D">
              <w:rPr>
                <w:noProof/>
                <w:webHidden/>
                <w:sz w:val="18"/>
                <w:szCs w:val="18"/>
              </w:rPr>
              <w:instrText xml:space="preserve"> PAGEREF _Toc27069912 \h </w:instrText>
            </w:r>
            <w:r w:rsidR="00CB4A9B" w:rsidRPr="009D5C3D">
              <w:rPr>
                <w:noProof/>
                <w:webHidden/>
                <w:sz w:val="18"/>
                <w:szCs w:val="18"/>
              </w:rPr>
            </w:r>
            <w:r w:rsidR="00CB4A9B" w:rsidRPr="009D5C3D">
              <w:rPr>
                <w:noProof/>
                <w:webHidden/>
                <w:sz w:val="18"/>
                <w:szCs w:val="18"/>
              </w:rPr>
              <w:fldChar w:fldCharType="separate"/>
            </w:r>
            <w:r w:rsidR="002D2574">
              <w:rPr>
                <w:noProof/>
                <w:webHidden/>
                <w:sz w:val="18"/>
                <w:szCs w:val="18"/>
              </w:rPr>
              <w:t>36</w:t>
            </w:r>
            <w:r w:rsidR="00CB4A9B" w:rsidRPr="009D5C3D">
              <w:rPr>
                <w:noProof/>
                <w:webHidden/>
                <w:sz w:val="18"/>
                <w:szCs w:val="18"/>
              </w:rPr>
              <w:fldChar w:fldCharType="end"/>
            </w:r>
          </w:hyperlink>
        </w:p>
        <w:p w14:paraId="272BFEF5" w14:textId="44656E47" w:rsidR="00CB4A9B" w:rsidRPr="009D5C3D" w:rsidRDefault="005B09B2" w:rsidP="004F1F45">
          <w:pPr>
            <w:pStyle w:val="TDC3"/>
            <w:tabs>
              <w:tab w:val="left" w:pos="567"/>
              <w:tab w:val="right" w:leader="dot" w:pos="9394"/>
            </w:tabs>
            <w:spacing w:after="20" w:line="240" w:lineRule="auto"/>
            <w:rPr>
              <w:rFonts w:eastAsiaTheme="minorEastAsia"/>
              <w:noProof/>
              <w:sz w:val="18"/>
              <w:szCs w:val="18"/>
              <w:lang w:val="es-419" w:eastAsia="es-419"/>
            </w:rPr>
          </w:pPr>
          <w:hyperlink w:anchor="_Toc27069913" w:history="1">
            <w:r w:rsidR="00CB4A9B" w:rsidRPr="009D5C3D">
              <w:rPr>
                <w:rStyle w:val="Hipervnculo"/>
                <w:noProof/>
                <w:sz w:val="18"/>
                <w:szCs w:val="18"/>
                <w:u w:val="none"/>
              </w:rPr>
              <w:t>B.3 Derecho a la defensa</w:t>
            </w:r>
            <w:r w:rsidR="00CB4A9B" w:rsidRPr="009D5C3D">
              <w:rPr>
                <w:noProof/>
                <w:webHidden/>
                <w:sz w:val="18"/>
                <w:szCs w:val="18"/>
              </w:rPr>
              <w:tab/>
            </w:r>
            <w:r w:rsidR="00CB4A9B" w:rsidRPr="009D5C3D">
              <w:rPr>
                <w:noProof/>
                <w:webHidden/>
                <w:sz w:val="18"/>
                <w:szCs w:val="18"/>
              </w:rPr>
              <w:fldChar w:fldCharType="begin"/>
            </w:r>
            <w:r w:rsidR="00CB4A9B" w:rsidRPr="009D5C3D">
              <w:rPr>
                <w:noProof/>
                <w:webHidden/>
                <w:sz w:val="18"/>
                <w:szCs w:val="18"/>
              </w:rPr>
              <w:instrText xml:space="preserve"> PAGEREF _Toc27069913 \h </w:instrText>
            </w:r>
            <w:r w:rsidR="00CB4A9B" w:rsidRPr="009D5C3D">
              <w:rPr>
                <w:noProof/>
                <w:webHidden/>
                <w:sz w:val="18"/>
                <w:szCs w:val="18"/>
              </w:rPr>
            </w:r>
            <w:r w:rsidR="00CB4A9B" w:rsidRPr="009D5C3D">
              <w:rPr>
                <w:noProof/>
                <w:webHidden/>
                <w:sz w:val="18"/>
                <w:szCs w:val="18"/>
              </w:rPr>
              <w:fldChar w:fldCharType="separate"/>
            </w:r>
            <w:r w:rsidR="002D2574">
              <w:rPr>
                <w:noProof/>
                <w:webHidden/>
                <w:sz w:val="18"/>
                <w:szCs w:val="18"/>
              </w:rPr>
              <w:t>39</w:t>
            </w:r>
            <w:r w:rsidR="00CB4A9B" w:rsidRPr="009D5C3D">
              <w:rPr>
                <w:noProof/>
                <w:webHidden/>
                <w:sz w:val="18"/>
                <w:szCs w:val="18"/>
              </w:rPr>
              <w:fldChar w:fldCharType="end"/>
            </w:r>
          </w:hyperlink>
        </w:p>
        <w:p w14:paraId="5DE0C130" w14:textId="18DDEAF7" w:rsidR="00CB4A9B" w:rsidRPr="009D5C3D" w:rsidRDefault="005B09B2" w:rsidP="004F1F45">
          <w:pPr>
            <w:pStyle w:val="TDC3"/>
            <w:tabs>
              <w:tab w:val="left" w:pos="567"/>
              <w:tab w:val="right" w:leader="dot" w:pos="9394"/>
            </w:tabs>
            <w:spacing w:after="20" w:line="240" w:lineRule="auto"/>
            <w:rPr>
              <w:rFonts w:eastAsiaTheme="minorEastAsia"/>
              <w:noProof/>
              <w:sz w:val="18"/>
              <w:szCs w:val="18"/>
              <w:lang w:val="es-419" w:eastAsia="es-419"/>
            </w:rPr>
          </w:pPr>
          <w:hyperlink w:anchor="_Toc27069914" w:history="1">
            <w:r w:rsidR="00CB4A9B" w:rsidRPr="009D5C3D">
              <w:rPr>
                <w:rStyle w:val="Hipervnculo"/>
                <w:noProof/>
                <w:sz w:val="18"/>
                <w:szCs w:val="18"/>
                <w:u w:val="none"/>
              </w:rPr>
              <w:t>B.4 Regla de exclusión de pruebas obtenidas bajo coacción</w:t>
            </w:r>
            <w:r w:rsidR="00CB4A9B" w:rsidRPr="009D5C3D">
              <w:rPr>
                <w:noProof/>
                <w:webHidden/>
                <w:sz w:val="18"/>
                <w:szCs w:val="18"/>
              </w:rPr>
              <w:tab/>
            </w:r>
            <w:r w:rsidR="00CB4A9B" w:rsidRPr="009D5C3D">
              <w:rPr>
                <w:noProof/>
                <w:webHidden/>
                <w:sz w:val="18"/>
                <w:szCs w:val="18"/>
              </w:rPr>
              <w:fldChar w:fldCharType="begin"/>
            </w:r>
            <w:r w:rsidR="00CB4A9B" w:rsidRPr="009D5C3D">
              <w:rPr>
                <w:noProof/>
                <w:webHidden/>
                <w:sz w:val="18"/>
                <w:szCs w:val="18"/>
              </w:rPr>
              <w:instrText xml:space="preserve"> PAGEREF _Toc27069914 \h </w:instrText>
            </w:r>
            <w:r w:rsidR="00CB4A9B" w:rsidRPr="009D5C3D">
              <w:rPr>
                <w:noProof/>
                <w:webHidden/>
                <w:sz w:val="18"/>
                <w:szCs w:val="18"/>
              </w:rPr>
            </w:r>
            <w:r w:rsidR="00CB4A9B" w:rsidRPr="009D5C3D">
              <w:rPr>
                <w:noProof/>
                <w:webHidden/>
                <w:sz w:val="18"/>
                <w:szCs w:val="18"/>
              </w:rPr>
              <w:fldChar w:fldCharType="separate"/>
            </w:r>
            <w:r w:rsidR="002D2574">
              <w:rPr>
                <w:noProof/>
                <w:webHidden/>
                <w:sz w:val="18"/>
                <w:szCs w:val="18"/>
              </w:rPr>
              <w:t>40</w:t>
            </w:r>
            <w:r w:rsidR="00CB4A9B" w:rsidRPr="009D5C3D">
              <w:rPr>
                <w:noProof/>
                <w:webHidden/>
                <w:sz w:val="18"/>
                <w:szCs w:val="18"/>
              </w:rPr>
              <w:fldChar w:fldCharType="end"/>
            </w:r>
          </w:hyperlink>
        </w:p>
        <w:p w14:paraId="12603385" w14:textId="4EC5F502" w:rsidR="00CB4A9B" w:rsidRPr="009D5C3D" w:rsidRDefault="005B09B2" w:rsidP="004F1F45">
          <w:pPr>
            <w:pStyle w:val="TDC3"/>
            <w:tabs>
              <w:tab w:val="left" w:pos="567"/>
              <w:tab w:val="right" w:leader="dot" w:pos="9394"/>
            </w:tabs>
            <w:spacing w:after="20" w:line="240" w:lineRule="auto"/>
            <w:rPr>
              <w:rFonts w:eastAsiaTheme="minorEastAsia"/>
              <w:noProof/>
              <w:sz w:val="18"/>
              <w:szCs w:val="18"/>
              <w:lang w:val="es-419" w:eastAsia="es-419"/>
            </w:rPr>
          </w:pPr>
          <w:hyperlink w:anchor="_Toc27069915" w:history="1">
            <w:r w:rsidR="00CB4A9B" w:rsidRPr="009D5C3D">
              <w:rPr>
                <w:rStyle w:val="Hipervnculo"/>
                <w:noProof/>
                <w:sz w:val="18"/>
                <w:szCs w:val="18"/>
                <w:u w:val="none"/>
              </w:rPr>
              <w:t>B.5 Derecho a no ser sometido a un nuevo juicio por los mismos hechos</w:t>
            </w:r>
            <w:r w:rsidR="00CB4A9B" w:rsidRPr="009D5C3D">
              <w:rPr>
                <w:noProof/>
                <w:webHidden/>
                <w:sz w:val="18"/>
                <w:szCs w:val="18"/>
              </w:rPr>
              <w:tab/>
            </w:r>
            <w:r w:rsidR="00CB4A9B" w:rsidRPr="009D5C3D">
              <w:rPr>
                <w:noProof/>
                <w:webHidden/>
                <w:sz w:val="18"/>
                <w:szCs w:val="18"/>
              </w:rPr>
              <w:fldChar w:fldCharType="begin"/>
            </w:r>
            <w:r w:rsidR="00CB4A9B" w:rsidRPr="009D5C3D">
              <w:rPr>
                <w:noProof/>
                <w:webHidden/>
                <w:sz w:val="18"/>
                <w:szCs w:val="18"/>
              </w:rPr>
              <w:instrText xml:space="preserve"> PAGEREF _Toc27069915 \h </w:instrText>
            </w:r>
            <w:r w:rsidR="00CB4A9B" w:rsidRPr="009D5C3D">
              <w:rPr>
                <w:noProof/>
                <w:webHidden/>
                <w:sz w:val="18"/>
                <w:szCs w:val="18"/>
              </w:rPr>
            </w:r>
            <w:r w:rsidR="00CB4A9B" w:rsidRPr="009D5C3D">
              <w:rPr>
                <w:noProof/>
                <w:webHidden/>
                <w:sz w:val="18"/>
                <w:szCs w:val="18"/>
              </w:rPr>
              <w:fldChar w:fldCharType="separate"/>
            </w:r>
            <w:r w:rsidR="002D2574">
              <w:rPr>
                <w:noProof/>
                <w:webHidden/>
                <w:sz w:val="18"/>
                <w:szCs w:val="18"/>
              </w:rPr>
              <w:t>42</w:t>
            </w:r>
            <w:r w:rsidR="00CB4A9B" w:rsidRPr="009D5C3D">
              <w:rPr>
                <w:noProof/>
                <w:webHidden/>
                <w:sz w:val="18"/>
                <w:szCs w:val="18"/>
              </w:rPr>
              <w:fldChar w:fldCharType="end"/>
            </w:r>
          </w:hyperlink>
        </w:p>
        <w:p w14:paraId="4E4BA338" w14:textId="2BB6848A" w:rsidR="00CB4A9B" w:rsidRPr="009D5C3D" w:rsidRDefault="005B09B2" w:rsidP="004F1F45">
          <w:pPr>
            <w:pStyle w:val="TDC1"/>
            <w:rPr>
              <w:rFonts w:eastAsiaTheme="minorEastAsia" w:cstheme="minorBidi"/>
              <w:sz w:val="18"/>
              <w:szCs w:val="18"/>
              <w:lang w:val="es-419" w:eastAsia="es-419"/>
            </w:rPr>
          </w:pPr>
          <w:hyperlink w:anchor="_Toc27069916" w:history="1">
            <w:r w:rsidR="00CB4A9B" w:rsidRPr="009D5C3D">
              <w:rPr>
                <w:rStyle w:val="Hipervnculo"/>
                <w:sz w:val="18"/>
                <w:szCs w:val="18"/>
                <w:u w:val="none"/>
              </w:rPr>
              <w:t>VII-4</w:t>
            </w:r>
          </w:hyperlink>
          <w:r w:rsidR="00CB4A9B" w:rsidRPr="009D5C3D">
            <w:rPr>
              <w:rStyle w:val="Hipervnculo"/>
              <w:sz w:val="18"/>
              <w:szCs w:val="18"/>
              <w:u w:val="none"/>
            </w:rPr>
            <w:t xml:space="preserve"> </w:t>
          </w:r>
          <w:hyperlink w:anchor="_Toc27069917" w:history="1">
            <w:r w:rsidR="00CB4A9B" w:rsidRPr="009D5C3D">
              <w:rPr>
                <w:rStyle w:val="Hipervnculo"/>
                <w:sz w:val="18"/>
                <w:szCs w:val="18"/>
                <w:u w:val="none"/>
              </w:rPr>
              <w:t>PRINCIPIO DE LEGALIDAD Y RETROACTIVIDAD, PROTECCIÓN DE LA HONRA Y LA DIGNIDAD Y DERECHO DE PROPIEDAD</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_Toc27069917 \h </w:instrText>
            </w:r>
            <w:r w:rsidR="00CB4A9B" w:rsidRPr="009D5C3D">
              <w:rPr>
                <w:webHidden/>
                <w:sz w:val="18"/>
                <w:szCs w:val="18"/>
              </w:rPr>
            </w:r>
            <w:r w:rsidR="00CB4A9B" w:rsidRPr="009D5C3D">
              <w:rPr>
                <w:webHidden/>
                <w:sz w:val="18"/>
                <w:szCs w:val="18"/>
              </w:rPr>
              <w:fldChar w:fldCharType="separate"/>
            </w:r>
            <w:r w:rsidR="002D2574">
              <w:rPr>
                <w:webHidden/>
                <w:sz w:val="18"/>
                <w:szCs w:val="18"/>
              </w:rPr>
              <w:t>43</w:t>
            </w:r>
            <w:r w:rsidR="00CB4A9B" w:rsidRPr="009D5C3D">
              <w:rPr>
                <w:webHidden/>
                <w:sz w:val="18"/>
                <w:szCs w:val="18"/>
              </w:rPr>
              <w:fldChar w:fldCharType="end"/>
            </w:r>
          </w:hyperlink>
        </w:p>
        <w:p w14:paraId="46C17B67" w14:textId="7DDB54BF" w:rsidR="00CB4A9B" w:rsidRPr="009D5C3D" w:rsidRDefault="005B09B2" w:rsidP="004F1F45">
          <w:pPr>
            <w:pStyle w:val="TDC2"/>
            <w:rPr>
              <w:rFonts w:eastAsiaTheme="minorEastAsia" w:cstheme="minorBidi"/>
              <w:sz w:val="18"/>
              <w:szCs w:val="18"/>
              <w:lang w:val="es-419" w:eastAsia="es-419"/>
            </w:rPr>
          </w:pPr>
          <w:hyperlink w:anchor="_Toc27069918" w:history="1">
            <w:r w:rsidR="00CB4A9B" w:rsidRPr="009D5C3D">
              <w:rPr>
                <w:rStyle w:val="Hipervnculo"/>
                <w:sz w:val="18"/>
                <w:szCs w:val="18"/>
                <w:u w:val="none"/>
              </w:rPr>
              <w:t>A.</w:t>
            </w:r>
            <w:r w:rsidR="00CB4A9B" w:rsidRPr="009D5C3D">
              <w:rPr>
                <w:rFonts w:eastAsiaTheme="minorEastAsia" w:cstheme="minorBidi"/>
                <w:sz w:val="18"/>
                <w:szCs w:val="18"/>
                <w:lang w:val="es-419" w:eastAsia="es-419"/>
              </w:rPr>
              <w:tab/>
            </w:r>
            <w:r w:rsidR="00CB4A9B" w:rsidRPr="009D5C3D">
              <w:rPr>
                <w:rStyle w:val="Hipervnculo"/>
                <w:sz w:val="18"/>
                <w:szCs w:val="18"/>
                <w:u w:val="none"/>
              </w:rPr>
              <w:t>Alegatos de las partes</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_Toc27069918 \h </w:instrText>
            </w:r>
            <w:r w:rsidR="00CB4A9B" w:rsidRPr="009D5C3D">
              <w:rPr>
                <w:webHidden/>
                <w:sz w:val="18"/>
                <w:szCs w:val="18"/>
              </w:rPr>
            </w:r>
            <w:r w:rsidR="00CB4A9B" w:rsidRPr="009D5C3D">
              <w:rPr>
                <w:webHidden/>
                <w:sz w:val="18"/>
                <w:szCs w:val="18"/>
              </w:rPr>
              <w:fldChar w:fldCharType="separate"/>
            </w:r>
            <w:r w:rsidR="002D2574">
              <w:rPr>
                <w:webHidden/>
                <w:sz w:val="18"/>
                <w:szCs w:val="18"/>
              </w:rPr>
              <w:t>43</w:t>
            </w:r>
            <w:r w:rsidR="00CB4A9B" w:rsidRPr="009D5C3D">
              <w:rPr>
                <w:webHidden/>
                <w:sz w:val="18"/>
                <w:szCs w:val="18"/>
              </w:rPr>
              <w:fldChar w:fldCharType="end"/>
            </w:r>
          </w:hyperlink>
        </w:p>
        <w:p w14:paraId="07A7F304" w14:textId="110F69DD" w:rsidR="00CB4A9B" w:rsidRPr="009D5C3D" w:rsidRDefault="005B09B2" w:rsidP="004F1F45">
          <w:pPr>
            <w:pStyle w:val="TDC2"/>
            <w:rPr>
              <w:rFonts w:eastAsiaTheme="minorEastAsia" w:cstheme="minorBidi"/>
              <w:sz w:val="18"/>
              <w:szCs w:val="18"/>
              <w:lang w:val="es-419" w:eastAsia="es-419"/>
            </w:rPr>
          </w:pPr>
          <w:hyperlink w:anchor="_Toc27069919" w:history="1">
            <w:r w:rsidR="00CB4A9B" w:rsidRPr="009D5C3D">
              <w:rPr>
                <w:rStyle w:val="Hipervnculo"/>
                <w:sz w:val="18"/>
                <w:szCs w:val="18"/>
                <w:u w:val="none"/>
              </w:rPr>
              <w:t>B.</w:t>
            </w:r>
            <w:r w:rsidR="00CB4A9B" w:rsidRPr="009D5C3D">
              <w:rPr>
                <w:rFonts w:eastAsiaTheme="minorEastAsia" w:cstheme="minorBidi"/>
                <w:sz w:val="18"/>
                <w:szCs w:val="18"/>
                <w:lang w:val="es-419" w:eastAsia="es-419"/>
              </w:rPr>
              <w:tab/>
            </w:r>
            <w:r w:rsidR="00CB4A9B" w:rsidRPr="009D5C3D">
              <w:rPr>
                <w:rStyle w:val="Hipervnculo"/>
                <w:sz w:val="18"/>
                <w:szCs w:val="18"/>
                <w:u w:val="none"/>
              </w:rPr>
              <w:t>Consideraciones de la Corte</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_Toc27069919 \h </w:instrText>
            </w:r>
            <w:r w:rsidR="00CB4A9B" w:rsidRPr="009D5C3D">
              <w:rPr>
                <w:webHidden/>
                <w:sz w:val="18"/>
                <w:szCs w:val="18"/>
              </w:rPr>
            </w:r>
            <w:r w:rsidR="00CB4A9B" w:rsidRPr="009D5C3D">
              <w:rPr>
                <w:webHidden/>
                <w:sz w:val="18"/>
                <w:szCs w:val="18"/>
              </w:rPr>
              <w:fldChar w:fldCharType="separate"/>
            </w:r>
            <w:r w:rsidR="002D2574">
              <w:rPr>
                <w:webHidden/>
                <w:sz w:val="18"/>
                <w:szCs w:val="18"/>
              </w:rPr>
              <w:t>44</w:t>
            </w:r>
            <w:r w:rsidR="00CB4A9B" w:rsidRPr="009D5C3D">
              <w:rPr>
                <w:webHidden/>
                <w:sz w:val="18"/>
                <w:szCs w:val="18"/>
              </w:rPr>
              <w:fldChar w:fldCharType="end"/>
            </w:r>
          </w:hyperlink>
        </w:p>
        <w:p w14:paraId="512296B3" w14:textId="66A9AF08" w:rsidR="00CB4A9B" w:rsidRPr="009D5C3D" w:rsidRDefault="005B09B2" w:rsidP="004F1F45">
          <w:pPr>
            <w:pStyle w:val="TDC1"/>
            <w:rPr>
              <w:rFonts w:eastAsiaTheme="minorEastAsia" w:cstheme="minorBidi"/>
              <w:sz w:val="18"/>
              <w:szCs w:val="18"/>
              <w:lang w:val="es-419" w:eastAsia="es-419"/>
            </w:rPr>
          </w:pPr>
          <w:hyperlink w:anchor="_Toc27069920" w:history="1">
            <w:r w:rsidR="00CB4A9B" w:rsidRPr="009D5C3D">
              <w:rPr>
                <w:rStyle w:val="Hipervnculo"/>
                <w:sz w:val="18"/>
                <w:szCs w:val="18"/>
                <w:u w:val="none"/>
              </w:rPr>
              <w:t>VIII REPARACIONES</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_Toc27069920 \h </w:instrText>
            </w:r>
            <w:r w:rsidR="00CB4A9B" w:rsidRPr="009D5C3D">
              <w:rPr>
                <w:webHidden/>
                <w:sz w:val="18"/>
                <w:szCs w:val="18"/>
              </w:rPr>
            </w:r>
            <w:r w:rsidR="00CB4A9B" w:rsidRPr="009D5C3D">
              <w:rPr>
                <w:webHidden/>
                <w:sz w:val="18"/>
                <w:szCs w:val="18"/>
              </w:rPr>
              <w:fldChar w:fldCharType="separate"/>
            </w:r>
            <w:r w:rsidR="002D2574">
              <w:rPr>
                <w:webHidden/>
                <w:sz w:val="18"/>
                <w:szCs w:val="18"/>
              </w:rPr>
              <w:t>44</w:t>
            </w:r>
            <w:r w:rsidR="00CB4A9B" w:rsidRPr="009D5C3D">
              <w:rPr>
                <w:webHidden/>
                <w:sz w:val="18"/>
                <w:szCs w:val="18"/>
              </w:rPr>
              <w:fldChar w:fldCharType="end"/>
            </w:r>
          </w:hyperlink>
        </w:p>
        <w:p w14:paraId="36FC3E59" w14:textId="7C391D5A" w:rsidR="00CB4A9B" w:rsidRPr="009D5C3D" w:rsidRDefault="005B09B2" w:rsidP="004F1F45">
          <w:pPr>
            <w:pStyle w:val="TDC2"/>
            <w:rPr>
              <w:rFonts w:eastAsiaTheme="minorEastAsia" w:cstheme="minorBidi"/>
              <w:sz w:val="18"/>
              <w:szCs w:val="18"/>
              <w:lang w:val="es-419" w:eastAsia="es-419"/>
            </w:rPr>
          </w:pPr>
          <w:hyperlink w:anchor="_Toc27069921" w:history="1">
            <w:r w:rsidR="00CB4A9B" w:rsidRPr="009D5C3D">
              <w:rPr>
                <w:rStyle w:val="Hipervnculo"/>
                <w:sz w:val="18"/>
                <w:szCs w:val="18"/>
                <w:u w:val="none"/>
              </w:rPr>
              <w:t>A.</w:t>
            </w:r>
            <w:r w:rsidR="00CB4A9B" w:rsidRPr="009D5C3D">
              <w:rPr>
                <w:rFonts w:eastAsiaTheme="minorEastAsia" w:cstheme="minorBidi"/>
                <w:sz w:val="18"/>
                <w:szCs w:val="18"/>
                <w:lang w:val="es-419" w:eastAsia="es-419"/>
              </w:rPr>
              <w:tab/>
            </w:r>
            <w:r w:rsidR="00CB4A9B" w:rsidRPr="009D5C3D">
              <w:rPr>
                <w:rStyle w:val="Hipervnculo"/>
                <w:sz w:val="18"/>
                <w:szCs w:val="18"/>
                <w:u w:val="none"/>
              </w:rPr>
              <w:t>Parte Lesionada</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_Toc27069921 \h </w:instrText>
            </w:r>
            <w:r w:rsidR="00CB4A9B" w:rsidRPr="009D5C3D">
              <w:rPr>
                <w:webHidden/>
                <w:sz w:val="18"/>
                <w:szCs w:val="18"/>
              </w:rPr>
            </w:r>
            <w:r w:rsidR="00CB4A9B" w:rsidRPr="009D5C3D">
              <w:rPr>
                <w:webHidden/>
                <w:sz w:val="18"/>
                <w:szCs w:val="18"/>
              </w:rPr>
              <w:fldChar w:fldCharType="separate"/>
            </w:r>
            <w:r w:rsidR="002D2574">
              <w:rPr>
                <w:webHidden/>
                <w:sz w:val="18"/>
                <w:szCs w:val="18"/>
              </w:rPr>
              <w:t>45</w:t>
            </w:r>
            <w:r w:rsidR="00CB4A9B" w:rsidRPr="009D5C3D">
              <w:rPr>
                <w:webHidden/>
                <w:sz w:val="18"/>
                <w:szCs w:val="18"/>
              </w:rPr>
              <w:fldChar w:fldCharType="end"/>
            </w:r>
          </w:hyperlink>
        </w:p>
        <w:p w14:paraId="05F0B6B3" w14:textId="35DF181A" w:rsidR="00CB4A9B" w:rsidRPr="009D5C3D" w:rsidRDefault="005B09B2" w:rsidP="004F1F45">
          <w:pPr>
            <w:pStyle w:val="TDC2"/>
            <w:rPr>
              <w:rFonts w:eastAsiaTheme="minorEastAsia" w:cstheme="minorBidi"/>
              <w:sz w:val="18"/>
              <w:szCs w:val="18"/>
              <w:lang w:val="es-419" w:eastAsia="es-419"/>
            </w:rPr>
          </w:pPr>
          <w:hyperlink w:anchor="_Toc27069922" w:history="1">
            <w:r w:rsidR="00CB4A9B" w:rsidRPr="009D5C3D">
              <w:rPr>
                <w:rStyle w:val="Hipervnculo"/>
                <w:sz w:val="18"/>
                <w:szCs w:val="18"/>
                <w:u w:val="none"/>
              </w:rPr>
              <w:t>B.</w:t>
            </w:r>
            <w:r w:rsidR="00CB4A9B" w:rsidRPr="009D5C3D">
              <w:rPr>
                <w:rFonts w:eastAsiaTheme="minorEastAsia" w:cstheme="minorBidi"/>
                <w:sz w:val="18"/>
                <w:szCs w:val="18"/>
                <w:lang w:val="es-419" w:eastAsia="es-419"/>
              </w:rPr>
              <w:tab/>
            </w:r>
            <w:r w:rsidR="00CB4A9B" w:rsidRPr="009D5C3D">
              <w:rPr>
                <w:rStyle w:val="Hipervnculo"/>
                <w:sz w:val="18"/>
                <w:szCs w:val="18"/>
                <w:u w:val="none"/>
              </w:rPr>
              <w:t>Medidas de satisfacción</w:t>
            </w:r>
            <w:r w:rsidR="00AA2024" w:rsidRPr="009D5C3D">
              <w:rPr>
                <w:rStyle w:val="Hipervnculo"/>
                <w:sz w:val="18"/>
                <w:szCs w:val="18"/>
                <w:u w:val="none"/>
              </w:rPr>
              <w:t xml:space="preserve"> y restitución</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_Toc27069922 \h </w:instrText>
            </w:r>
            <w:r w:rsidR="00CB4A9B" w:rsidRPr="009D5C3D">
              <w:rPr>
                <w:webHidden/>
                <w:sz w:val="18"/>
                <w:szCs w:val="18"/>
              </w:rPr>
            </w:r>
            <w:r w:rsidR="00CB4A9B" w:rsidRPr="009D5C3D">
              <w:rPr>
                <w:webHidden/>
                <w:sz w:val="18"/>
                <w:szCs w:val="18"/>
              </w:rPr>
              <w:fldChar w:fldCharType="separate"/>
            </w:r>
            <w:r w:rsidR="002D2574">
              <w:rPr>
                <w:webHidden/>
                <w:sz w:val="18"/>
                <w:szCs w:val="18"/>
              </w:rPr>
              <w:t>45</w:t>
            </w:r>
            <w:r w:rsidR="00CB4A9B" w:rsidRPr="009D5C3D">
              <w:rPr>
                <w:webHidden/>
                <w:sz w:val="18"/>
                <w:szCs w:val="18"/>
              </w:rPr>
              <w:fldChar w:fldCharType="end"/>
            </w:r>
          </w:hyperlink>
        </w:p>
        <w:p w14:paraId="7E9DA6BF" w14:textId="5446AA41" w:rsidR="00CB4A9B" w:rsidRPr="009D5C3D" w:rsidRDefault="005B09B2" w:rsidP="004F1F45">
          <w:pPr>
            <w:pStyle w:val="TDC2"/>
            <w:rPr>
              <w:rFonts w:eastAsiaTheme="minorEastAsia" w:cstheme="minorBidi"/>
              <w:sz w:val="18"/>
              <w:szCs w:val="18"/>
              <w:lang w:val="es-419" w:eastAsia="es-419"/>
            </w:rPr>
          </w:pPr>
          <w:hyperlink w:anchor="_Toc27069923" w:history="1">
            <w:r w:rsidR="00CB4A9B" w:rsidRPr="009D5C3D">
              <w:rPr>
                <w:rStyle w:val="Hipervnculo"/>
                <w:sz w:val="18"/>
                <w:szCs w:val="18"/>
                <w:u w:val="none"/>
              </w:rPr>
              <w:t>C.</w:t>
            </w:r>
            <w:r w:rsidR="00CB4A9B" w:rsidRPr="009D5C3D">
              <w:rPr>
                <w:rFonts w:eastAsiaTheme="minorEastAsia" w:cstheme="minorBidi"/>
                <w:sz w:val="18"/>
                <w:szCs w:val="18"/>
                <w:lang w:val="es-419" w:eastAsia="es-419"/>
              </w:rPr>
              <w:tab/>
            </w:r>
            <w:r w:rsidR="00CB4A9B" w:rsidRPr="009D5C3D">
              <w:rPr>
                <w:rStyle w:val="Hipervnculo"/>
                <w:sz w:val="18"/>
                <w:szCs w:val="18"/>
                <w:u w:val="none"/>
              </w:rPr>
              <w:t>Investigación de los hechos de tortura</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_Toc27069923 \h </w:instrText>
            </w:r>
            <w:r w:rsidR="00CB4A9B" w:rsidRPr="009D5C3D">
              <w:rPr>
                <w:webHidden/>
                <w:sz w:val="18"/>
                <w:szCs w:val="18"/>
              </w:rPr>
            </w:r>
            <w:r w:rsidR="00CB4A9B" w:rsidRPr="009D5C3D">
              <w:rPr>
                <w:webHidden/>
                <w:sz w:val="18"/>
                <w:szCs w:val="18"/>
              </w:rPr>
              <w:fldChar w:fldCharType="separate"/>
            </w:r>
            <w:r w:rsidR="002D2574">
              <w:rPr>
                <w:webHidden/>
                <w:sz w:val="18"/>
                <w:szCs w:val="18"/>
              </w:rPr>
              <w:t>46</w:t>
            </w:r>
            <w:r w:rsidR="00CB4A9B" w:rsidRPr="009D5C3D">
              <w:rPr>
                <w:webHidden/>
                <w:sz w:val="18"/>
                <w:szCs w:val="18"/>
              </w:rPr>
              <w:fldChar w:fldCharType="end"/>
            </w:r>
          </w:hyperlink>
        </w:p>
        <w:p w14:paraId="0112F6A9" w14:textId="78CBF38B" w:rsidR="00CB4A9B" w:rsidRPr="009D5C3D" w:rsidRDefault="005B09B2" w:rsidP="004F1F45">
          <w:pPr>
            <w:pStyle w:val="TDC2"/>
            <w:rPr>
              <w:rFonts w:eastAsiaTheme="minorEastAsia" w:cstheme="minorBidi"/>
              <w:sz w:val="18"/>
              <w:szCs w:val="18"/>
              <w:lang w:val="es-419" w:eastAsia="es-419"/>
            </w:rPr>
          </w:pPr>
          <w:hyperlink w:anchor="_Toc27069924" w:history="1">
            <w:r w:rsidR="00CB4A9B" w:rsidRPr="009D5C3D">
              <w:rPr>
                <w:rStyle w:val="Hipervnculo"/>
                <w:sz w:val="18"/>
                <w:szCs w:val="18"/>
                <w:u w:val="none"/>
              </w:rPr>
              <w:t>D.</w:t>
            </w:r>
            <w:r w:rsidR="00CB4A9B" w:rsidRPr="009D5C3D">
              <w:rPr>
                <w:rFonts w:eastAsiaTheme="minorEastAsia" w:cstheme="minorBidi"/>
                <w:sz w:val="18"/>
                <w:szCs w:val="18"/>
                <w:lang w:val="es-419" w:eastAsia="es-419"/>
              </w:rPr>
              <w:tab/>
            </w:r>
            <w:r w:rsidR="00CB4A9B" w:rsidRPr="009D5C3D">
              <w:rPr>
                <w:rStyle w:val="Hipervnculo"/>
                <w:sz w:val="18"/>
                <w:szCs w:val="18"/>
                <w:u w:val="none"/>
              </w:rPr>
              <w:t>Medidas de rehabilitación</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_Toc27069924 \h </w:instrText>
            </w:r>
            <w:r w:rsidR="00CB4A9B" w:rsidRPr="009D5C3D">
              <w:rPr>
                <w:webHidden/>
                <w:sz w:val="18"/>
                <w:szCs w:val="18"/>
              </w:rPr>
            </w:r>
            <w:r w:rsidR="00CB4A9B" w:rsidRPr="009D5C3D">
              <w:rPr>
                <w:webHidden/>
                <w:sz w:val="18"/>
                <w:szCs w:val="18"/>
              </w:rPr>
              <w:fldChar w:fldCharType="separate"/>
            </w:r>
            <w:r w:rsidR="002D2574">
              <w:rPr>
                <w:webHidden/>
                <w:sz w:val="18"/>
                <w:szCs w:val="18"/>
              </w:rPr>
              <w:t>47</w:t>
            </w:r>
            <w:r w:rsidR="00CB4A9B" w:rsidRPr="009D5C3D">
              <w:rPr>
                <w:webHidden/>
                <w:sz w:val="18"/>
                <w:szCs w:val="18"/>
              </w:rPr>
              <w:fldChar w:fldCharType="end"/>
            </w:r>
          </w:hyperlink>
        </w:p>
        <w:p w14:paraId="4F8D5BE1" w14:textId="32E59A30" w:rsidR="00CB4A9B" w:rsidRPr="009D5C3D" w:rsidRDefault="005B09B2" w:rsidP="004F1F45">
          <w:pPr>
            <w:pStyle w:val="TDC2"/>
            <w:rPr>
              <w:rFonts w:eastAsiaTheme="minorEastAsia" w:cstheme="minorBidi"/>
              <w:sz w:val="18"/>
              <w:szCs w:val="18"/>
              <w:lang w:val="es-419" w:eastAsia="es-419"/>
            </w:rPr>
          </w:pPr>
          <w:hyperlink w:anchor="_Toc27069925" w:history="1">
            <w:r w:rsidR="00CB4A9B" w:rsidRPr="009D5C3D">
              <w:rPr>
                <w:rStyle w:val="Hipervnculo"/>
                <w:sz w:val="18"/>
                <w:szCs w:val="18"/>
                <w:u w:val="none"/>
              </w:rPr>
              <w:t>E.</w:t>
            </w:r>
            <w:r w:rsidR="00CB4A9B" w:rsidRPr="009D5C3D">
              <w:rPr>
                <w:rFonts w:eastAsiaTheme="minorEastAsia" w:cstheme="minorBidi"/>
                <w:sz w:val="18"/>
                <w:szCs w:val="18"/>
                <w:lang w:val="es-419" w:eastAsia="es-419"/>
              </w:rPr>
              <w:tab/>
            </w:r>
            <w:r w:rsidR="00CB4A9B" w:rsidRPr="009D5C3D">
              <w:rPr>
                <w:rStyle w:val="Hipervnculo"/>
                <w:sz w:val="18"/>
                <w:szCs w:val="18"/>
                <w:u w:val="none"/>
              </w:rPr>
              <w:t>Indemnización compensatoria</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_Toc27069925 \h </w:instrText>
            </w:r>
            <w:r w:rsidR="00CB4A9B" w:rsidRPr="009D5C3D">
              <w:rPr>
                <w:webHidden/>
                <w:sz w:val="18"/>
                <w:szCs w:val="18"/>
              </w:rPr>
            </w:r>
            <w:r w:rsidR="00CB4A9B" w:rsidRPr="009D5C3D">
              <w:rPr>
                <w:webHidden/>
                <w:sz w:val="18"/>
                <w:szCs w:val="18"/>
              </w:rPr>
              <w:fldChar w:fldCharType="separate"/>
            </w:r>
            <w:r w:rsidR="002D2574">
              <w:rPr>
                <w:webHidden/>
                <w:sz w:val="18"/>
                <w:szCs w:val="18"/>
              </w:rPr>
              <w:t>48</w:t>
            </w:r>
            <w:r w:rsidR="00CB4A9B" w:rsidRPr="009D5C3D">
              <w:rPr>
                <w:webHidden/>
                <w:sz w:val="18"/>
                <w:szCs w:val="18"/>
              </w:rPr>
              <w:fldChar w:fldCharType="end"/>
            </w:r>
          </w:hyperlink>
        </w:p>
        <w:p w14:paraId="7D0AA033" w14:textId="47C317F1" w:rsidR="00CB4A9B" w:rsidRPr="009D5C3D" w:rsidRDefault="005B09B2" w:rsidP="004F1F45">
          <w:pPr>
            <w:pStyle w:val="TDC2"/>
            <w:rPr>
              <w:rFonts w:eastAsiaTheme="minorEastAsia" w:cstheme="minorBidi"/>
              <w:sz w:val="18"/>
              <w:szCs w:val="18"/>
              <w:lang w:val="es-419" w:eastAsia="es-419"/>
            </w:rPr>
          </w:pPr>
          <w:hyperlink w:anchor="_Toc27069926" w:history="1">
            <w:r w:rsidR="00CB4A9B" w:rsidRPr="009D5C3D">
              <w:rPr>
                <w:rStyle w:val="Hipervnculo"/>
                <w:sz w:val="18"/>
                <w:szCs w:val="18"/>
                <w:u w:val="none"/>
              </w:rPr>
              <w:t>F.</w:t>
            </w:r>
            <w:r w:rsidR="00CB4A9B" w:rsidRPr="009D5C3D">
              <w:rPr>
                <w:rFonts w:eastAsiaTheme="minorEastAsia" w:cstheme="minorBidi"/>
                <w:sz w:val="18"/>
                <w:szCs w:val="18"/>
                <w:lang w:val="es-419" w:eastAsia="es-419"/>
              </w:rPr>
              <w:tab/>
            </w:r>
            <w:r w:rsidR="00CB4A9B" w:rsidRPr="009D5C3D">
              <w:rPr>
                <w:rStyle w:val="Hipervnculo"/>
                <w:sz w:val="18"/>
                <w:szCs w:val="18"/>
                <w:u w:val="none"/>
              </w:rPr>
              <w:t>Otras medidas de reparación solicitadas</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_Toc27069926 \h </w:instrText>
            </w:r>
            <w:r w:rsidR="00CB4A9B" w:rsidRPr="009D5C3D">
              <w:rPr>
                <w:webHidden/>
                <w:sz w:val="18"/>
                <w:szCs w:val="18"/>
              </w:rPr>
            </w:r>
            <w:r w:rsidR="00CB4A9B" w:rsidRPr="009D5C3D">
              <w:rPr>
                <w:webHidden/>
                <w:sz w:val="18"/>
                <w:szCs w:val="18"/>
              </w:rPr>
              <w:fldChar w:fldCharType="separate"/>
            </w:r>
            <w:r w:rsidR="002D2574">
              <w:rPr>
                <w:webHidden/>
                <w:sz w:val="18"/>
                <w:szCs w:val="18"/>
              </w:rPr>
              <w:t>49</w:t>
            </w:r>
            <w:r w:rsidR="00CB4A9B" w:rsidRPr="009D5C3D">
              <w:rPr>
                <w:webHidden/>
                <w:sz w:val="18"/>
                <w:szCs w:val="18"/>
              </w:rPr>
              <w:fldChar w:fldCharType="end"/>
            </w:r>
          </w:hyperlink>
        </w:p>
        <w:p w14:paraId="1BB0CB8D" w14:textId="4A94EE0B" w:rsidR="00CB4A9B" w:rsidRPr="009D5C3D" w:rsidRDefault="005B09B2" w:rsidP="004F1F45">
          <w:pPr>
            <w:pStyle w:val="TDC2"/>
            <w:rPr>
              <w:rFonts w:eastAsiaTheme="minorEastAsia" w:cstheme="minorBidi"/>
              <w:sz w:val="18"/>
              <w:szCs w:val="18"/>
              <w:lang w:val="es-419" w:eastAsia="es-419"/>
            </w:rPr>
          </w:pPr>
          <w:hyperlink w:anchor="_Toc27069927" w:history="1">
            <w:r w:rsidR="00CB4A9B" w:rsidRPr="009D5C3D">
              <w:rPr>
                <w:rStyle w:val="Hipervnculo"/>
                <w:sz w:val="18"/>
                <w:szCs w:val="18"/>
                <w:u w:val="none"/>
              </w:rPr>
              <w:t>G.</w:t>
            </w:r>
            <w:r w:rsidR="00CB4A9B" w:rsidRPr="009D5C3D">
              <w:rPr>
                <w:rFonts w:eastAsiaTheme="minorEastAsia" w:cstheme="minorBidi"/>
                <w:sz w:val="18"/>
                <w:szCs w:val="18"/>
                <w:lang w:val="es-419" w:eastAsia="es-419"/>
              </w:rPr>
              <w:tab/>
            </w:r>
            <w:r w:rsidR="00CB4A9B" w:rsidRPr="009D5C3D">
              <w:rPr>
                <w:rStyle w:val="Hipervnculo"/>
                <w:sz w:val="18"/>
                <w:szCs w:val="18"/>
                <w:u w:val="none"/>
              </w:rPr>
              <w:t>Costas y Gastos</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_Toc27069927 \h </w:instrText>
            </w:r>
            <w:r w:rsidR="00CB4A9B" w:rsidRPr="009D5C3D">
              <w:rPr>
                <w:webHidden/>
                <w:sz w:val="18"/>
                <w:szCs w:val="18"/>
              </w:rPr>
            </w:r>
            <w:r w:rsidR="00CB4A9B" w:rsidRPr="009D5C3D">
              <w:rPr>
                <w:webHidden/>
                <w:sz w:val="18"/>
                <w:szCs w:val="18"/>
              </w:rPr>
              <w:fldChar w:fldCharType="separate"/>
            </w:r>
            <w:r w:rsidR="002D2574">
              <w:rPr>
                <w:webHidden/>
                <w:sz w:val="18"/>
                <w:szCs w:val="18"/>
              </w:rPr>
              <w:t>50</w:t>
            </w:r>
            <w:r w:rsidR="00CB4A9B" w:rsidRPr="009D5C3D">
              <w:rPr>
                <w:webHidden/>
                <w:sz w:val="18"/>
                <w:szCs w:val="18"/>
              </w:rPr>
              <w:fldChar w:fldCharType="end"/>
            </w:r>
          </w:hyperlink>
        </w:p>
        <w:p w14:paraId="687D9FFC" w14:textId="294F172B" w:rsidR="00CB4A9B" w:rsidRPr="009D5C3D" w:rsidRDefault="005B09B2" w:rsidP="004F1F45">
          <w:pPr>
            <w:pStyle w:val="TDC2"/>
            <w:rPr>
              <w:rFonts w:eastAsiaTheme="minorEastAsia" w:cstheme="minorBidi"/>
              <w:sz w:val="18"/>
              <w:szCs w:val="18"/>
              <w:lang w:val="es-419" w:eastAsia="es-419"/>
            </w:rPr>
          </w:pPr>
          <w:hyperlink w:anchor="_Toc27069928" w:history="1">
            <w:r w:rsidR="00CB4A9B" w:rsidRPr="009D5C3D">
              <w:rPr>
                <w:rStyle w:val="Hipervnculo"/>
                <w:sz w:val="18"/>
                <w:szCs w:val="18"/>
                <w:u w:val="none"/>
              </w:rPr>
              <w:t>H.</w:t>
            </w:r>
            <w:r w:rsidR="00CB4A9B" w:rsidRPr="009D5C3D">
              <w:rPr>
                <w:rFonts w:eastAsiaTheme="minorEastAsia" w:cstheme="minorBidi"/>
                <w:sz w:val="18"/>
                <w:szCs w:val="18"/>
                <w:lang w:val="es-419" w:eastAsia="es-419"/>
              </w:rPr>
              <w:tab/>
            </w:r>
            <w:r w:rsidR="00CB4A9B" w:rsidRPr="009D5C3D">
              <w:rPr>
                <w:rStyle w:val="Hipervnculo"/>
                <w:sz w:val="18"/>
                <w:szCs w:val="18"/>
                <w:u w:val="none"/>
              </w:rPr>
              <w:t>Reintegro de los gastos al Fondo de Asistencia Legal de Víctimas</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_Toc27069928 \h </w:instrText>
            </w:r>
            <w:r w:rsidR="00CB4A9B" w:rsidRPr="009D5C3D">
              <w:rPr>
                <w:webHidden/>
                <w:sz w:val="18"/>
                <w:szCs w:val="18"/>
              </w:rPr>
            </w:r>
            <w:r w:rsidR="00CB4A9B" w:rsidRPr="009D5C3D">
              <w:rPr>
                <w:webHidden/>
                <w:sz w:val="18"/>
                <w:szCs w:val="18"/>
              </w:rPr>
              <w:fldChar w:fldCharType="separate"/>
            </w:r>
            <w:r w:rsidR="002D2574">
              <w:rPr>
                <w:webHidden/>
                <w:sz w:val="18"/>
                <w:szCs w:val="18"/>
              </w:rPr>
              <w:t>51</w:t>
            </w:r>
            <w:r w:rsidR="00CB4A9B" w:rsidRPr="009D5C3D">
              <w:rPr>
                <w:webHidden/>
                <w:sz w:val="18"/>
                <w:szCs w:val="18"/>
              </w:rPr>
              <w:fldChar w:fldCharType="end"/>
            </w:r>
          </w:hyperlink>
        </w:p>
        <w:p w14:paraId="366F767E" w14:textId="47D5CB61" w:rsidR="00CB4A9B" w:rsidRPr="009D5C3D" w:rsidRDefault="005B09B2" w:rsidP="004F1F45">
          <w:pPr>
            <w:pStyle w:val="TDC2"/>
            <w:rPr>
              <w:rFonts w:eastAsiaTheme="minorEastAsia" w:cstheme="minorBidi"/>
              <w:sz w:val="18"/>
              <w:szCs w:val="18"/>
              <w:lang w:val="es-419" w:eastAsia="es-419"/>
            </w:rPr>
          </w:pPr>
          <w:hyperlink w:anchor="_Toc27069929" w:history="1">
            <w:r w:rsidR="00CB4A9B" w:rsidRPr="009D5C3D">
              <w:rPr>
                <w:rStyle w:val="Hipervnculo"/>
                <w:sz w:val="18"/>
                <w:szCs w:val="18"/>
                <w:u w:val="none"/>
              </w:rPr>
              <w:t>I.</w:t>
            </w:r>
            <w:r w:rsidR="00CB4A9B" w:rsidRPr="009D5C3D">
              <w:rPr>
                <w:rFonts w:eastAsiaTheme="minorEastAsia" w:cstheme="minorBidi"/>
                <w:sz w:val="18"/>
                <w:szCs w:val="18"/>
                <w:lang w:val="es-419" w:eastAsia="es-419"/>
              </w:rPr>
              <w:tab/>
            </w:r>
            <w:r w:rsidR="00CB4A9B" w:rsidRPr="009D5C3D">
              <w:rPr>
                <w:rStyle w:val="Hipervnculo"/>
                <w:sz w:val="18"/>
                <w:szCs w:val="18"/>
                <w:u w:val="none"/>
              </w:rPr>
              <w:t>Modalidad de cumplimiento de los pagos ordenados</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_Toc27069929 \h </w:instrText>
            </w:r>
            <w:r w:rsidR="00CB4A9B" w:rsidRPr="009D5C3D">
              <w:rPr>
                <w:webHidden/>
                <w:sz w:val="18"/>
                <w:szCs w:val="18"/>
              </w:rPr>
            </w:r>
            <w:r w:rsidR="00CB4A9B" w:rsidRPr="009D5C3D">
              <w:rPr>
                <w:webHidden/>
                <w:sz w:val="18"/>
                <w:szCs w:val="18"/>
              </w:rPr>
              <w:fldChar w:fldCharType="separate"/>
            </w:r>
            <w:r w:rsidR="002D2574">
              <w:rPr>
                <w:webHidden/>
                <w:sz w:val="18"/>
                <w:szCs w:val="18"/>
              </w:rPr>
              <w:t>51</w:t>
            </w:r>
            <w:r w:rsidR="00CB4A9B" w:rsidRPr="009D5C3D">
              <w:rPr>
                <w:webHidden/>
                <w:sz w:val="18"/>
                <w:szCs w:val="18"/>
              </w:rPr>
              <w:fldChar w:fldCharType="end"/>
            </w:r>
          </w:hyperlink>
        </w:p>
        <w:p w14:paraId="3971575A" w14:textId="371CCEB0" w:rsidR="00CB4A9B" w:rsidRPr="009D5C3D" w:rsidRDefault="005B09B2" w:rsidP="004F1F45">
          <w:pPr>
            <w:pStyle w:val="TDC1"/>
            <w:rPr>
              <w:rFonts w:eastAsiaTheme="minorEastAsia" w:cstheme="minorBidi"/>
              <w:sz w:val="18"/>
              <w:szCs w:val="18"/>
              <w:lang w:val="es-419" w:eastAsia="es-419"/>
            </w:rPr>
          </w:pPr>
          <w:hyperlink w:anchor="_Toc27069930" w:history="1">
            <w:r w:rsidR="00CB4A9B" w:rsidRPr="009D5C3D">
              <w:rPr>
                <w:rStyle w:val="Hipervnculo"/>
                <w:sz w:val="18"/>
                <w:szCs w:val="18"/>
                <w:u w:val="none"/>
              </w:rPr>
              <w:t>IX</w:t>
            </w:r>
          </w:hyperlink>
          <w:r w:rsidR="00CB4A9B" w:rsidRPr="009D5C3D">
            <w:rPr>
              <w:rStyle w:val="Hipervnculo"/>
              <w:sz w:val="18"/>
              <w:szCs w:val="18"/>
              <w:u w:val="none"/>
            </w:rPr>
            <w:t xml:space="preserve"> </w:t>
          </w:r>
          <w:hyperlink w:anchor="_Toc27069931" w:history="1">
            <w:r w:rsidR="00CB4A9B" w:rsidRPr="009D5C3D">
              <w:rPr>
                <w:rStyle w:val="Hipervnculo"/>
                <w:sz w:val="18"/>
                <w:szCs w:val="18"/>
                <w:u w:val="none"/>
              </w:rPr>
              <w:t>PUNTOS RESOLUTIVOS</w:t>
            </w:r>
            <w:r w:rsidR="00CB4A9B" w:rsidRPr="009D5C3D">
              <w:rPr>
                <w:webHidden/>
                <w:sz w:val="18"/>
                <w:szCs w:val="18"/>
              </w:rPr>
              <w:tab/>
            </w:r>
            <w:r w:rsidR="00CB4A9B" w:rsidRPr="009D5C3D">
              <w:rPr>
                <w:webHidden/>
                <w:sz w:val="18"/>
                <w:szCs w:val="18"/>
              </w:rPr>
              <w:fldChar w:fldCharType="begin"/>
            </w:r>
            <w:r w:rsidR="00CB4A9B" w:rsidRPr="009D5C3D">
              <w:rPr>
                <w:webHidden/>
                <w:sz w:val="18"/>
                <w:szCs w:val="18"/>
              </w:rPr>
              <w:instrText xml:space="preserve"> PAGEREF _Toc27069931 \h </w:instrText>
            </w:r>
            <w:r w:rsidR="00CB4A9B" w:rsidRPr="009D5C3D">
              <w:rPr>
                <w:webHidden/>
                <w:sz w:val="18"/>
                <w:szCs w:val="18"/>
              </w:rPr>
            </w:r>
            <w:r w:rsidR="00CB4A9B" w:rsidRPr="009D5C3D">
              <w:rPr>
                <w:webHidden/>
                <w:sz w:val="18"/>
                <w:szCs w:val="18"/>
              </w:rPr>
              <w:fldChar w:fldCharType="separate"/>
            </w:r>
            <w:r w:rsidR="002D2574">
              <w:rPr>
                <w:webHidden/>
                <w:sz w:val="18"/>
                <w:szCs w:val="18"/>
              </w:rPr>
              <w:t>52</w:t>
            </w:r>
            <w:r w:rsidR="00CB4A9B" w:rsidRPr="009D5C3D">
              <w:rPr>
                <w:webHidden/>
                <w:sz w:val="18"/>
                <w:szCs w:val="18"/>
              </w:rPr>
              <w:fldChar w:fldCharType="end"/>
            </w:r>
          </w:hyperlink>
        </w:p>
        <w:p w14:paraId="37F52126" w14:textId="5D87BCFD" w:rsidR="00C9313F" w:rsidRPr="004F1F45" w:rsidRDefault="00C9313F" w:rsidP="004F1F45">
          <w:pPr>
            <w:pStyle w:val="TDC1"/>
          </w:pPr>
          <w:r w:rsidRPr="009D5C3D">
            <w:rPr>
              <w:sz w:val="18"/>
              <w:szCs w:val="18"/>
            </w:rPr>
            <w:fldChar w:fldCharType="end"/>
          </w:r>
        </w:p>
      </w:sdtContent>
    </w:sdt>
    <w:p w14:paraId="051A7D7C" w14:textId="71243A3E" w:rsidR="001D1455" w:rsidRPr="009631AB" w:rsidRDefault="001D1455" w:rsidP="00734B53">
      <w:pPr>
        <w:pStyle w:val="Ttulo1"/>
        <w:contextualSpacing w:val="0"/>
        <w:rPr>
          <w:lang w:eastAsia="es-ES"/>
        </w:rPr>
      </w:pPr>
      <w:bookmarkStart w:id="22" w:name="_Toc27069874"/>
      <w:r w:rsidRPr="009631AB">
        <w:rPr>
          <w:lang w:eastAsia="es-ES"/>
        </w:rPr>
        <w:lastRenderedPageBreak/>
        <w:t>I</w:t>
      </w:r>
      <w:r w:rsidRPr="009631AB">
        <w:rPr>
          <w:color w:val="FFFFFF" w:themeColor="background1"/>
          <w:lang w:eastAsia="es-ES"/>
        </w:rPr>
        <w:t>.</w:t>
      </w:r>
      <w:r w:rsidRPr="009631AB">
        <w:rPr>
          <w:lang w:eastAsia="es-ES"/>
        </w:rPr>
        <w:br/>
        <w:t>INTRODUCCIÓN DE LA CAUSA Y OBJETO DE LA CONTROVERSIA</w:t>
      </w:r>
      <w:bookmarkEnd w:id="11"/>
      <w:bookmarkEnd w:id="12"/>
      <w:bookmarkEnd w:id="13"/>
      <w:bookmarkEnd w:id="14"/>
      <w:bookmarkEnd w:id="15"/>
      <w:bookmarkEnd w:id="16"/>
      <w:bookmarkEnd w:id="17"/>
      <w:bookmarkEnd w:id="18"/>
      <w:bookmarkEnd w:id="21"/>
      <w:bookmarkEnd w:id="20"/>
      <w:bookmarkEnd w:id="19"/>
      <w:bookmarkEnd w:id="22"/>
    </w:p>
    <w:p w14:paraId="644CA1A3" w14:textId="77777777" w:rsidR="00502875" w:rsidRPr="009631AB" w:rsidRDefault="00502875" w:rsidP="00734B53">
      <w:pPr>
        <w:autoSpaceDE w:val="0"/>
        <w:autoSpaceDN w:val="0"/>
        <w:adjustRightInd w:val="0"/>
        <w:spacing w:after="0" w:line="240" w:lineRule="auto"/>
        <w:ind w:right="6"/>
        <w:jc w:val="both"/>
        <w:rPr>
          <w:rFonts w:eastAsia="Batang" w:cs="Verdana"/>
          <w:noProof/>
          <w:szCs w:val="20"/>
          <w:lang w:val="es-ES" w:eastAsia="es-ES"/>
        </w:rPr>
      </w:pPr>
      <w:bookmarkStart w:id="23" w:name="_Ref363651855"/>
    </w:p>
    <w:p w14:paraId="6AE1CEC4" w14:textId="01EC9BDC" w:rsidR="00C7355B" w:rsidRPr="009631AB" w:rsidRDefault="00FE699E" w:rsidP="00734B53">
      <w:pPr>
        <w:numPr>
          <w:ilvl w:val="0"/>
          <w:numId w:val="4"/>
        </w:numPr>
        <w:autoSpaceDE w:val="0"/>
        <w:autoSpaceDN w:val="0"/>
        <w:adjustRightInd w:val="0"/>
        <w:spacing w:after="0" w:line="240" w:lineRule="auto"/>
        <w:ind w:right="6"/>
        <w:jc w:val="both"/>
        <w:rPr>
          <w:rFonts w:eastAsia="Batang" w:cs="Verdana"/>
          <w:noProof/>
          <w:szCs w:val="20"/>
          <w:lang w:val="es-ES" w:eastAsia="es-ES"/>
        </w:rPr>
      </w:pPr>
      <w:r w:rsidRPr="009631AB">
        <w:rPr>
          <w:rFonts w:eastAsia="Batang" w:cs="Times"/>
          <w:i/>
          <w:noProof/>
          <w:szCs w:val="20"/>
          <w:lang w:val="es-ES"/>
        </w:rPr>
        <w:t xml:space="preserve">El caso sometido a la Corte. </w:t>
      </w:r>
      <w:r w:rsidRPr="009631AB">
        <w:rPr>
          <w:rFonts w:eastAsia="Calibri" w:cs="Times"/>
          <w:noProof/>
          <w:szCs w:val="20"/>
          <w:lang w:val="es-ES"/>
        </w:rPr>
        <w:t xml:space="preserve">– </w:t>
      </w:r>
      <w:r w:rsidR="00BF2300" w:rsidRPr="009631AB">
        <w:rPr>
          <w:rFonts w:eastAsia="Batang" w:cs="Times"/>
          <w:noProof/>
          <w:szCs w:val="20"/>
          <w:lang w:val="es-ES"/>
        </w:rPr>
        <w:t>El 18</w:t>
      </w:r>
      <w:r w:rsidRPr="009631AB">
        <w:rPr>
          <w:rFonts w:eastAsia="Batang" w:cs="Times"/>
          <w:noProof/>
          <w:szCs w:val="20"/>
          <w:lang w:val="es-ES"/>
        </w:rPr>
        <w:t xml:space="preserve"> de </w:t>
      </w:r>
      <w:r w:rsidR="00BF2300" w:rsidRPr="009631AB">
        <w:rPr>
          <w:rFonts w:eastAsia="Batang" w:cs="Times"/>
          <w:noProof/>
          <w:szCs w:val="20"/>
          <w:lang w:val="es-ES"/>
        </w:rPr>
        <w:t>abril</w:t>
      </w:r>
      <w:r w:rsidR="00D42B08" w:rsidRPr="009631AB">
        <w:rPr>
          <w:rFonts w:eastAsia="Batang" w:cs="Times"/>
          <w:noProof/>
          <w:szCs w:val="20"/>
          <w:lang w:val="es-ES"/>
        </w:rPr>
        <w:t xml:space="preserve"> de 2018</w:t>
      </w:r>
      <w:r w:rsidRPr="009631AB">
        <w:rPr>
          <w:rFonts w:eastAsia="Batang" w:cs="Times"/>
          <w:noProof/>
          <w:szCs w:val="20"/>
          <w:lang w:val="es-ES"/>
        </w:rPr>
        <w:t xml:space="preserve"> la Comisión Interamericana de Derechos Humanos (en adelante “la Comisión Interamericana” o “la Comisión”) sometió a la </w:t>
      </w:r>
      <w:r w:rsidR="00C4447F" w:rsidRPr="009631AB">
        <w:rPr>
          <w:rFonts w:eastAsia="Batang" w:cs="Times"/>
          <w:noProof/>
          <w:szCs w:val="20"/>
          <w:lang w:val="es-ES"/>
        </w:rPr>
        <w:t xml:space="preserve">jurisdicción de la </w:t>
      </w:r>
      <w:r w:rsidRPr="009631AB">
        <w:rPr>
          <w:rFonts w:eastAsia="Batang" w:cs="Times"/>
          <w:noProof/>
          <w:szCs w:val="20"/>
          <w:lang w:val="es-ES"/>
        </w:rPr>
        <w:t>Corte</w:t>
      </w:r>
      <w:r w:rsidR="00C4447F" w:rsidRPr="009631AB">
        <w:rPr>
          <w:rFonts w:eastAsia="Batang" w:cs="Times"/>
          <w:noProof/>
          <w:szCs w:val="20"/>
          <w:lang w:val="es-ES"/>
        </w:rPr>
        <w:t xml:space="preserve"> Interamericana, de conformidad con los artículos 51 y 61 de la Convención Americana,</w:t>
      </w:r>
      <w:r w:rsidRPr="009631AB">
        <w:rPr>
          <w:rFonts w:eastAsia="Batang" w:cs="Times"/>
          <w:noProof/>
          <w:szCs w:val="20"/>
          <w:lang w:val="es-ES"/>
        </w:rPr>
        <w:t xml:space="preserve"> el caso </w:t>
      </w:r>
      <w:r w:rsidR="00BF2300" w:rsidRPr="009631AB">
        <w:rPr>
          <w:rFonts w:eastAsia="Batang" w:cs="Times"/>
          <w:noProof/>
          <w:szCs w:val="20"/>
          <w:lang w:val="es-ES"/>
        </w:rPr>
        <w:t xml:space="preserve">Montesinos Mejía </w:t>
      </w:r>
      <w:r w:rsidR="00C4447F" w:rsidRPr="009631AB">
        <w:rPr>
          <w:rFonts w:eastAsia="Batang" w:cs="Times"/>
          <w:noProof/>
          <w:szCs w:val="20"/>
          <w:lang w:val="es-ES"/>
        </w:rPr>
        <w:t xml:space="preserve">en </w:t>
      </w:r>
      <w:r w:rsidR="00B06221" w:rsidRPr="009631AB">
        <w:rPr>
          <w:rFonts w:eastAsia="Batang" w:cs="Times"/>
          <w:noProof/>
          <w:szCs w:val="20"/>
          <w:lang w:val="es-ES"/>
        </w:rPr>
        <w:t xml:space="preserve">contra </w:t>
      </w:r>
      <w:r w:rsidR="00A43F95" w:rsidRPr="009631AB">
        <w:rPr>
          <w:rFonts w:eastAsia="Batang" w:cs="Times"/>
          <w:noProof/>
          <w:szCs w:val="20"/>
          <w:lang w:val="es-ES"/>
        </w:rPr>
        <w:t xml:space="preserve">de </w:t>
      </w:r>
      <w:r w:rsidR="00B06221" w:rsidRPr="009631AB">
        <w:rPr>
          <w:rFonts w:eastAsia="Batang" w:cs="Times"/>
          <w:noProof/>
          <w:szCs w:val="20"/>
          <w:lang w:val="es-ES"/>
        </w:rPr>
        <w:t xml:space="preserve">la República </w:t>
      </w:r>
      <w:r w:rsidR="001F58A4" w:rsidRPr="009631AB">
        <w:rPr>
          <w:rFonts w:eastAsia="Batang" w:cs="Times"/>
          <w:noProof/>
          <w:szCs w:val="20"/>
          <w:lang w:val="es-ES"/>
        </w:rPr>
        <w:t>de Ec</w:t>
      </w:r>
      <w:r w:rsidR="00EB0285" w:rsidRPr="009631AB">
        <w:rPr>
          <w:rFonts w:eastAsia="Batang" w:cs="Times"/>
          <w:noProof/>
          <w:szCs w:val="20"/>
          <w:lang w:val="es-ES"/>
        </w:rPr>
        <w:t>u</w:t>
      </w:r>
      <w:r w:rsidR="001F58A4" w:rsidRPr="009631AB">
        <w:rPr>
          <w:rFonts w:eastAsia="Batang" w:cs="Times"/>
          <w:noProof/>
          <w:szCs w:val="20"/>
          <w:lang w:val="es-ES"/>
        </w:rPr>
        <w:t>ador</w:t>
      </w:r>
      <w:r w:rsidR="00B06221" w:rsidRPr="009631AB">
        <w:rPr>
          <w:rFonts w:eastAsia="Batang" w:cs="Times"/>
          <w:noProof/>
          <w:szCs w:val="20"/>
          <w:lang w:val="es-ES"/>
        </w:rPr>
        <w:t xml:space="preserve"> </w:t>
      </w:r>
      <w:r w:rsidRPr="009631AB">
        <w:rPr>
          <w:rFonts w:eastAsia="Batang" w:cs="Times"/>
          <w:noProof/>
          <w:szCs w:val="20"/>
          <w:lang w:val="es-ES"/>
        </w:rPr>
        <w:t>(en adelante “e</w:t>
      </w:r>
      <w:r w:rsidR="002456B1" w:rsidRPr="009631AB">
        <w:rPr>
          <w:rFonts w:eastAsia="Batang" w:cs="Times"/>
          <w:noProof/>
          <w:szCs w:val="20"/>
          <w:lang w:val="es-ES"/>
        </w:rPr>
        <w:t>l Estado”</w:t>
      </w:r>
      <w:r w:rsidR="00C4447F" w:rsidRPr="009631AB">
        <w:rPr>
          <w:rFonts w:eastAsia="Batang" w:cs="Times"/>
          <w:noProof/>
          <w:szCs w:val="20"/>
          <w:lang w:val="es-ES"/>
        </w:rPr>
        <w:t xml:space="preserve">, “el Estado </w:t>
      </w:r>
      <w:r w:rsidR="001F58A4" w:rsidRPr="009631AB">
        <w:rPr>
          <w:rFonts w:eastAsia="Batang" w:cs="Times"/>
          <w:noProof/>
          <w:szCs w:val="20"/>
          <w:lang w:val="es-ES"/>
        </w:rPr>
        <w:t>ecuatoriano</w:t>
      </w:r>
      <w:r w:rsidR="00C4447F" w:rsidRPr="009631AB">
        <w:rPr>
          <w:rFonts w:eastAsia="Batang" w:cs="Times"/>
          <w:noProof/>
          <w:szCs w:val="20"/>
          <w:lang w:val="es-ES"/>
        </w:rPr>
        <w:t>”</w:t>
      </w:r>
      <w:r w:rsidR="002456B1" w:rsidRPr="009631AB">
        <w:rPr>
          <w:rFonts w:eastAsia="Batang" w:cs="Times"/>
          <w:noProof/>
          <w:szCs w:val="20"/>
          <w:lang w:val="es-ES"/>
        </w:rPr>
        <w:t xml:space="preserve"> </w:t>
      </w:r>
      <w:r w:rsidRPr="009631AB">
        <w:rPr>
          <w:rFonts w:eastAsia="Batang" w:cs="Times"/>
          <w:noProof/>
          <w:szCs w:val="20"/>
          <w:lang w:val="es-ES"/>
        </w:rPr>
        <w:t>o “</w:t>
      </w:r>
      <w:r w:rsidR="001F58A4" w:rsidRPr="009631AB">
        <w:rPr>
          <w:rFonts w:eastAsia="Batang" w:cs="Times"/>
          <w:noProof/>
          <w:szCs w:val="20"/>
          <w:lang w:val="es-ES"/>
        </w:rPr>
        <w:t>Ecuador</w:t>
      </w:r>
      <w:r w:rsidRPr="009631AB">
        <w:rPr>
          <w:rFonts w:eastAsia="Batang" w:cs="Times"/>
          <w:noProof/>
          <w:szCs w:val="20"/>
          <w:lang w:val="es-ES"/>
        </w:rPr>
        <w:t>”).</w:t>
      </w:r>
      <w:r w:rsidRPr="009631AB">
        <w:rPr>
          <w:rFonts w:eastAsia="Batang" w:cs="Times"/>
          <w:noProof/>
          <w:color w:val="000000"/>
          <w:szCs w:val="20"/>
          <w:lang w:val="es-ES"/>
        </w:rPr>
        <w:t xml:space="preserve"> </w:t>
      </w:r>
      <w:r w:rsidR="00C4447F" w:rsidRPr="009631AB">
        <w:rPr>
          <w:rFonts w:eastAsia="Batang" w:cs="Times"/>
          <w:noProof/>
          <w:color w:val="000000"/>
          <w:szCs w:val="20"/>
          <w:lang w:val="es-ES"/>
        </w:rPr>
        <w:t xml:space="preserve">La controversia versa sobre la alegada </w:t>
      </w:r>
      <w:r w:rsidR="000C5993" w:rsidRPr="009631AB">
        <w:rPr>
          <w:rFonts w:eastAsia="Batang" w:cs="Times"/>
          <w:noProof/>
          <w:color w:val="000000"/>
          <w:szCs w:val="20"/>
          <w:lang w:val="es-ES"/>
        </w:rPr>
        <w:t xml:space="preserve">detención ilegal y arbitraria de la presunta víctima en 1992, los actos de tortura en su contra, así como la falta de garantías judiciales en los procesos penales que se le siguieron. </w:t>
      </w:r>
      <w:r w:rsidR="00E82AFE" w:rsidRPr="009631AB">
        <w:rPr>
          <w:rFonts w:eastAsia="Batang" w:cs="Times"/>
          <w:noProof/>
          <w:color w:val="000000"/>
          <w:szCs w:val="20"/>
          <w:lang w:val="es-ES"/>
        </w:rPr>
        <w:t xml:space="preserve">La Comisión consideró que el Estado violó </w:t>
      </w:r>
      <w:r w:rsidR="009115C0" w:rsidRPr="009631AB">
        <w:rPr>
          <w:rFonts w:eastAsia="Batang" w:cs="Times"/>
          <w:noProof/>
          <w:color w:val="000000"/>
          <w:szCs w:val="20"/>
          <w:lang w:val="es-ES"/>
        </w:rPr>
        <w:t>los derechos a la integridad personal, libertad personal, garantías judiciales y protección judicial</w:t>
      </w:r>
      <w:r w:rsidR="00EB0285" w:rsidRPr="009631AB">
        <w:rPr>
          <w:rFonts w:eastAsia="Batang" w:cs="Times"/>
          <w:noProof/>
          <w:color w:val="000000"/>
          <w:szCs w:val="20"/>
          <w:lang w:val="es-ES"/>
        </w:rPr>
        <w:t xml:space="preserve"> en perjuicio del señor </w:t>
      </w:r>
      <w:r w:rsidR="008B433D" w:rsidRPr="009631AB">
        <w:rPr>
          <w:rFonts w:eastAsia="Batang" w:cs="Times"/>
          <w:noProof/>
          <w:color w:val="000000"/>
          <w:szCs w:val="20"/>
          <w:lang w:val="es-ES"/>
        </w:rPr>
        <w:t xml:space="preserve">Mario </w:t>
      </w:r>
      <w:r w:rsidR="00EB0285" w:rsidRPr="009631AB">
        <w:rPr>
          <w:rFonts w:eastAsia="Batang" w:cs="Times"/>
          <w:noProof/>
          <w:color w:val="000000"/>
          <w:szCs w:val="20"/>
          <w:lang w:val="es-ES"/>
        </w:rPr>
        <w:t>Montesinos Mejía</w:t>
      </w:r>
      <w:r w:rsidR="009115C0" w:rsidRPr="009631AB">
        <w:rPr>
          <w:rFonts w:eastAsia="Batang" w:cs="Times"/>
          <w:noProof/>
          <w:color w:val="000000"/>
          <w:szCs w:val="20"/>
          <w:lang w:val="es-ES"/>
        </w:rPr>
        <w:t xml:space="preserve">. </w:t>
      </w:r>
    </w:p>
    <w:p w14:paraId="73C62C43" w14:textId="77777777" w:rsidR="001D1455" w:rsidRPr="009631AB" w:rsidRDefault="001D1455" w:rsidP="00734B53">
      <w:pPr>
        <w:autoSpaceDE w:val="0"/>
        <w:autoSpaceDN w:val="0"/>
        <w:adjustRightInd w:val="0"/>
        <w:spacing w:after="0" w:line="240" w:lineRule="auto"/>
        <w:ind w:right="4"/>
        <w:jc w:val="both"/>
        <w:rPr>
          <w:rFonts w:eastAsia="Batang" w:cs="Times"/>
          <w:noProof/>
          <w:szCs w:val="20"/>
          <w:lang w:val="es-ES"/>
        </w:rPr>
      </w:pPr>
    </w:p>
    <w:p w14:paraId="149CF84F" w14:textId="77777777" w:rsidR="001D1455" w:rsidRPr="009631AB" w:rsidRDefault="001D1455" w:rsidP="00734B53">
      <w:pPr>
        <w:numPr>
          <w:ilvl w:val="0"/>
          <w:numId w:val="5"/>
        </w:numPr>
        <w:spacing w:after="0" w:line="240" w:lineRule="auto"/>
        <w:ind w:right="4"/>
        <w:jc w:val="both"/>
        <w:rPr>
          <w:rFonts w:eastAsia="Batang" w:cs="Times"/>
          <w:noProof/>
          <w:szCs w:val="20"/>
          <w:lang w:val="es-ES"/>
        </w:rPr>
      </w:pPr>
      <w:r w:rsidRPr="009631AB">
        <w:rPr>
          <w:rFonts w:eastAsia="Batang" w:cs="Times"/>
          <w:i/>
          <w:noProof/>
          <w:szCs w:val="20"/>
          <w:lang w:val="es-ES"/>
        </w:rPr>
        <w:t xml:space="preserve">Trámite ante la Comisión. </w:t>
      </w:r>
      <w:r w:rsidRPr="009631AB">
        <w:rPr>
          <w:rFonts w:eastAsia="Batang" w:cs="Times"/>
          <w:noProof/>
          <w:szCs w:val="20"/>
          <w:lang w:val="es-ES"/>
        </w:rPr>
        <w:t>–</w:t>
      </w:r>
      <w:bookmarkEnd w:id="23"/>
      <w:r w:rsidRPr="009631AB">
        <w:rPr>
          <w:rFonts w:eastAsia="Batang" w:cs="Times"/>
          <w:noProof/>
          <w:szCs w:val="20"/>
          <w:lang w:val="es-ES"/>
        </w:rPr>
        <w:t xml:space="preserve"> El trámite del caso ante la Comisión Interamericana fue el siguiente:</w:t>
      </w:r>
    </w:p>
    <w:p w14:paraId="64EEACD0" w14:textId="77777777" w:rsidR="001D1455" w:rsidRPr="009631AB" w:rsidRDefault="001D1455" w:rsidP="00734B53">
      <w:pPr>
        <w:spacing w:after="0" w:line="240" w:lineRule="auto"/>
        <w:jc w:val="both"/>
        <w:rPr>
          <w:rFonts w:eastAsia="Batang" w:cs="Times"/>
          <w:noProof/>
          <w:szCs w:val="20"/>
          <w:highlight w:val="green"/>
          <w:lang w:val="es-ES"/>
        </w:rPr>
      </w:pPr>
    </w:p>
    <w:p w14:paraId="20BC3F1E" w14:textId="09DD272D" w:rsidR="00E451EA" w:rsidRPr="009631AB" w:rsidRDefault="001D1455" w:rsidP="00734B53">
      <w:pPr>
        <w:numPr>
          <w:ilvl w:val="0"/>
          <w:numId w:val="6"/>
        </w:numPr>
        <w:spacing w:after="0" w:line="240" w:lineRule="auto"/>
        <w:ind w:right="4"/>
        <w:jc w:val="both"/>
        <w:rPr>
          <w:rFonts w:eastAsia="Batang" w:cs="Times"/>
          <w:noProof/>
          <w:szCs w:val="20"/>
          <w:lang w:val="es-ES"/>
        </w:rPr>
      </w:pPr>
      <w:r w:rsidRPr="009631AB">
        <w:rPr>
          <w:rFonts w:eastAsia="Batang" w:cs="Times"/>
          <w:i/>
          <w:noProof/>
          <w:szCs w:val="20"/>
          <w:lang w:val="es-ES"/>
        </w:rPr>
        <w:t xml:space="preserve">Petición.– </w:t>
      </w:r>
      <w:r w:rsidRPr="009631AB">
        <w:rPr>
          <w:rFonts w:eastAsia="Batang" w:cs="Times"/>
          <w:noProof/>
          <w:szCs w:val="20"/>
          <w:lang w:val="es-ES"/>
        </w:rPr>
        <w:t xml:space="preserve">El </w:t>
      </w:r>
      <w:r w:rsidR="000A1D93" w:rsidRPr="009631AB">
        <w:rPr>
          <w:rFonts w:eastAsia="Batang" w:cs="Times"/>
          <w:noProof/>
          <w:szCs w:val="20"/>
          <w:lang w:val="es-ES"/>
        </w:rPr>
        <w:t>30</w:t>
      </w:r>
      <w:r w:rsidR="004505B2" w:rsidRPr="009631AB">
        <w:rPr>
          <w:rFonts w:eastAsia="Batang" w:cs="Times"/>
          <w:noProof/>
          <w:szCs w:val="20"/>
          <w:lang w:val="es-ES"/>
        </w:rPr>
        <w:t xml:space="preserve"> de a</w:t>
      </w:r>
      <w:r w:rsidR="000A1D93" w:rsidRPr="009631AB">
        <w:rPr>
          <w:rFonts w:eastAsia="Batang" w:cs="Times"/>
          <w:noProof/>
          <w:szCs w:val="20"/>
          <w:lang w:val="es-ES"/>
        </w:rPr>
        <w:t>gosto de 1996</w:t>
      </w:r>
      <w:r w:rsidRPr="009631AB">
        <w:rPr>
          <w:rFonts w:eastAsia="Batang" w:cs="Times"/>
          <w:noProof/>
          <w:szCs w:val="20"/>
          <w:lang w:val="es-ES"/>
        </w:rPr>
        <w:t xml:space="preserve"> </w:t>
      </w:r>
      <w:r w:rsidR="00D75173" w:rsidRPr="009631AB">
        <w:rPr>
          <w:rFonts w:eastAsia="Batang" w:cs="Times"/>
          <w:noProof/>
          <w:szCs w:val="20"/>
          <w:lang w:val="es-ES"/>
        </w:rPr>
        <w:t xml:space="preserve">la Comisión Interamericana </w:t>
      </w:r>
      <w:r w:rsidR="00CE3DB9" w:rsidRPr="009631AB">
        <w:rPr>
          <w:rFonts w:eastAsia="Batang" w:cs="Times"/>
          <w:noProof/>
          <w:szCs w:val="20"/>
          <w:lang w:val="es-ES"/>
        </w:rPr>
        <w:t xml:space="preserve">recibió una petición presentada por </w:t>
      </w:r>
      <w:r w:rsidR="001565C1" w:rsidRPr="009631AB">
        <w:rPr>
          <w:rFonts w:eastAsia="Batang" w:cs="Times"/>
          <w:noProof/>
          <w:szCs w:val="20"/>
          <w:lang w:val="es-ES"/>
        </w:rPr>
        <w:t>Alejandro Ponce Villacís</w:t>
      </w:r>
      <w:r w:rsidR="00D21083" w:rsidRPr="009631AB">
        <w:rPr>
          <w:rFonts w:eastAsia="Batang" w:cs="Times"/>
          <w:noProof/>
          <w:szCs w:val="20"/>
          <w:lang w:val="es-ES"/>
        </w:rPr>
        <w:t xml:space="preserve"> en contra de </w:t>
      </w:r>
      <w:r w:rsidR="000A1D93" w:rsidRPr="009631AB">
        <w:rPr>
          <w:rFonts w:eastAsia="Batang" w:cs="Times"/>
          <w:noProof/>
          <w:szCs w:val="20"/>
          <w:lang w:val="es-ES"/>
        </w:rPr>
        <w:t>Ecuador</w:t>
      </w:r>
      <w:r w:rsidR="00D21083" w:rsidRPr="009631AB">
        <w:rPr>
          <w:rFonts w:eastAsia="Batang" w:cs="Times"/>
          <w:noProof/>
          <w:szCs w:val="20"/>
          <w:lang w:val="es-ES"/>
        </w:rPr>
        <w:t>.</w:t>
      </w:r>
      <w:r w:rsidR="00CE3DB9" w:rsidRPr="009631AB">
        <w:rPr>
          <w:rFonts w:eastAsia="Calibri" w:cs="Times New Roman"/>
          <w:noProof/>
          <w:szCs w:val="20"/>
          <w:lang w:val="es-ES"/>
        </w:rPr>
        <w:t xml:space="preserve"> </w:t>
      </w:r>
    </w:p>
    <w:p w14:paraId="6EE4A592" w14:textId="77777777" w:rsidR="00E451EA" w:rsidRPr="009631AB" w:rsidRDefault="00E451EA" w:rsidP="00734B53">
      <w:pPr>
        <w:spacing w:after="0" w:line="240" w:lineRule="auto"/>
        <w:ind w:left="720" w:right="4"/>
        <w:jc w:val="both"/>
        <w:rPr>
          <w:rFonts w:eastAsia="Batang" w:cs="Times"/>
          <w:noProof/>
          <w:szCs w:val="20"/>
          <w:lang w:val="es-ES"/>
        </w:rPr>
      </w:pPr>
    </w:p>
    <w:p w14:paraId="5DB04161" w14:textId="73017E33" w:rsidR="001D1455" w:rsidRPr="009631AB" w:rsidRDefault="001D1455" w:rsidP="00734B53">
      <w:pPr>
        <w:numPr>
          <w:ilvl w:val="0"/>
          <w:numId w:val="6"/>
        </w:numPr>
        <w:spacing w:after="0" w:line="240" w:lineRule="auto"/>
        <w:ind w:right="4"/>
        <w:jc w:val="both"/>
        <w:rPr>
          <w:rFonts w:eastAsia="Batang" w:cs="Times"/>
          <w:noProof/>
          <w:szCs w:val="20"/>
          <w:lang w:val="es-ES"/>
        </w:rPr>
      </w:pPr>
      <w:r w:rsidRPr="009631AB">
        <w:rPr>
          <w:rFonts w:eastAsia="Batang" w:cs="Times"/>
          <w:i/>
          <w:noProof/>
          <w:szCs w:val="20"/>
          <w:lang w:val="es-ES"/>
        </w:rPr>
        <w:t>Informe de Admisibilidad</w:t>
      </w:r>
      <w:r w:rsidR="00EB0285" w:rsidRPr="009631AB">
        <w:rPr>
          <w:rFonts w:eastAsia="Batang" w:cs="Times"/>
          <w:i/>
          <w:noProof/>
          <w:szCs w:val="20"/>
          <w:lang w:val="es-ES"/>
        </w:rPr>
        <w:t xml:space="preserve"> y Fondo</w:t>
      </w:r>
      <w:r w:rsidRPr="009631AB">
        <w:rPr>
          <w:rFonts w:eastAsia="Batang" w:cs="Times"/>
          <w:i/>
          <w:noProof/>
          <w:szCs w:val="20"/>
          <w:lang w:val="es-ES"/>
        </w:rPr>
        <w:t xml:space="preserve">.- </w:t>
      </w:r>
      <w:r w:rsidR="00205526" w:rsidRPr="009631AB">
        <w:rPr>
          <w:rFonts w:eastAsia="Calibri"/>
          <w:szCs w:val="20"/>
          <w:lang w:val="es-ES"/>
        </w:rPr>
        <w:t>El 10 de diciembre de 1996 el Estado presentó sus observaciones sobre la admisibilidad de la denuncia. El 9</w:t>
      </w:r>
      <w:r w:rsidR="00205526" w:rsidRPr="009631AB">
        <w:rPr>
          <w:color w:val="2A2A2A"/>
          <w:szCs w:val="20"/>
          <w:lang w:eastAsia="es-CR"/>
        </w:rPr>
        <w:t xml:space="preserve"> de febrero de 2004 la </w:t>
      </w:r>
      <w:r w:rsidR="00EB0285" w:rsidRPr="009631AB">
        <w:rPr>
          <w:color w:val="2A2A2A"/>
          <w:szCs w:val="20"/>
          <w:lang w:eastAsia="es-CR"/>
        </w:rPr>
        <w:t xml:space="preserve">Comisión </w:t>
      </w:r>
      <w:r w:rsidR="00205526" w:rsidRPr="009631AB">
        <w:rPr>
          <w:color w:val="181818"/>
          <w:szCs w:val="20"/>
          <w:lang w:eastAsia="es-CR"/>
        </w:rPr>
        <w:t xml:space="preserve">informó </w:t>
      </w:r>
      <w:r w:rsidR="00205526" w:rsidRPr="009631AB">
        <w:rPr>
          <w:color w:val="2A2A2A"/>
          <w:szCs w:val="20"/>
          <w:lang w:eastAsia="es-CR"/>
        </w:rPr>
        <w:t xml:space="preserve">a </w:t>
      </w:r>
      <w:r w:rsidR="00205526" w:rsidRPr="009631AB">
        <w:rPr>
          <w:color w:val="181818"/>
          <w:szCs w:val="20"/>
          <w:lang w:eastAsia="es-CR"/>
        </w:rPr>
        <w:t xml:space="preserve">las </w:t>
      </w:r>
      <w:r w:rsidR="00205526" w:rsidRPr="009631AB">
        <w:rPr>
          <w:color w:val="2A2A2A"/>
          <w:szCs w:val="20"/>
          <w:lang w:eastAsia="es-CR"/>
        </w:rPr>
        <w:t xml:space="preserve">partes </w:t>
      </w:r>
      <w:r w:rsidR="00205526" w:rsidRPr="009631AB">
        <w:rPr>
          <w:color w:val="181818"/>
          <w:szCs w:val="20"/>
          <w:lang w:eastAsia="es-CR"/>
        </w:rPr>
        <w:t xml:space="preserve">que, </w:t>
      </w:r>
      <w:r w:rsidR="00205526" w:rsidRPr="009631AB">
        <w:rPr>
          <w:color w:val="2A2A2A"/>
          <w:szCs w:val="20"/>
          <w:lang w:eastAsia="es-CR"/>
        </w:rPr>
        <w:t xml:space="preserve">en aplicación del </w:t>
      </w:r>
      <w:r w:rsidR="00205526" w:rsidRPr="009631AB">
        <w:rPr>
          <w:color w:val="181818"/>
          <w:szCs w:val="20"/>
          <w:lang w:eastAsia="es-CR"/>
        </w:rPr>
        <w:t xml:space="preserve">artículo </w:t>
      </w:r>
      <w:r w:rsidR="00205526" w:rsidRPr="009631AB">
        <w:rPr>
          <w:color w:val="2A2A2A"/>
          <w:szCs w:val="20"/>
          <w:lang w:eastAsia="es-CR"/>
        </w:rPr>
        <w:t xml:space="preserve">37.3 </w:t>
      </w:r>
      <w:r w:rsidR="00205526" w:rsidRPr="009631AB">
        <w:rPr>
          <w:color w:val="181818"/>
          <w:szCs w:val="20"/>
          <w:lang w:eastAsia="es-CR"/>
        </w:rPr>
        <w:t xml:space="preserve">de </w:t>
      </w:r>
      <w:r w:rsidR="00205526" w:rsidRPr="009631AB">
        <w:rPr>
          <w:color w:val="2A2A2A"/>
          <w:szCs w:val="20"/>
          <w:lang w:eastAsia="es-CR"/>
        </w:rPr>
        <w:t xml:space="preserve">su </w:t>
      </w:r>
      <w:r w:rsidR="00205526" w:rsidRPr="009631AB">
        <w:rPr>
          <w:color w:val="181818"/>
          <w:szCs w:val="20"/>
          <w:lang w:eastAsia="es-CR"/>
        </w:rPr>
        <w:t xml:space="preserve">Reglamento </w:t>
      </w:r>
      <w:r w:rsidR="00205526" w:rsidRPr="009631AB">
        <w:rPr>
          <w:color w:val="2A2A2A"/>
          <w:szCs w:val="20"/>
          <w:lang w:eastAsia="es-CR"/>
        </w:rPr>
        <w:t xml:space="preserve">entonces vigente, decidió </w:t>
      </w:r>
      <w:r w:rsidR="00205526" w:rsidRPr="009631AB">
        <w:rPr>
          <w:color w:val="181818"/>
          <w:szCs w:val="20"/>
          <w:lang w:eastAsia="es-CR"/>
        </w:rPr>
        <w:t xml:space="preserve">diferir </w:t>
      </w:r>
      <w:r w:rsidR="00205526" w:rsidRPr="009631AB">
        <w:rPr>
          <w:color w:val="2A2A2A"/>
          <w:szCs w:val="20"/>
          <w:lang w:eastAsia="es-CR"/>
        </w:rPr>
        <w:t xml:space="preserve">el tratamiento </w:t>
      </w:r>
      <w:r w:rsidR="00205526" w:rsidRPr="009631AB">
        <w:rPr>
          <w:color w:val="181818"/>
          <w:szCs w:val="20"/>
          <w:lang w:eastAsia="es-CR"/>
        </w:rPr>
        <w:t xml:space="preserve">de </w:t>
      </w:r>
      <w:r w:rsidR="00205526" w:rsidRPr="009631AB">
        <w:rPr>
          <w:color w:val="2A2A2A"/>
          <w:szCs w:val="20"/>
          <w:lang w:eastAsia="es-CR"/>
        </w:rPr>
        <w:t xml:space="preserve">admisibilidad </w:t>
      </w:r>
      <w:r w:rsidR="00205526" w:rsidRPr="009631AB">
        <w:rPr>
          <w:color w:val="181818"/>
          <w:szCs w:val="20"/>
          <w:lang w:eastAsia="es-CR"/>
        </w:rPr>
        <w:t xml:space="preserve">hasta </w:t>
      </w:r>
      <w:r w:rsidR="00205526" w:rsidRPr="009631AB">
        <w:rPr>
          <w:color w:val="2A2A2A"/>
          <w:szCs w:val="20"/>
          <w:lang w:eastAsia="es-CR"/>
        </w:rPr>
        <w:t xml:space="preserve">el </w:t>
      </w:r>
      <w:r w:rsidR="00205526" w:rsidRPr="009631AB">
        <w:rPr>
          <w:color w:val="181818"/>
          <w:szCs w:val="20"/>
          <w:lang w:eastAsia="es-CR"/>
        </w:rPr>
        <w:t xml:space="preserve">debate </w:t>
      </w:r>
      <w:r w:rsidR="00205526" w:rsidRPr="009631AB">
        <w:rPr>
          <w:color w:val="2A2A2A"/>
          <w:szCs w:val="20"/>
          <w:lang w:eastAsia="es-CR"/>
        </w:rPr>
        <w:t xml:space="preserve">y </w:t>
      </w:r>
      <w:r w:rsidR="00205526" w:rsidRPr="009631AB">
        <w:rPr>
          <w:color w:val="181818"/>
          <w:szCs w:val="20"/>
          <w:lang w:eastAsia="es-CR"/>
        </w:rPr>
        <w:t xml:space="preserve">decisión </w:t>
      </w:r>
      <w:r w:rsidR="00205526" w:rsidRPr="009631AB">
        <w:rPr>
          <w:color w:val="2A2A2A"/>
          <w:szCs w:val="20"/>
          <w:lang w:eastAsia="es-CR"/>
        </w:rPr>
        <w:t xml:space="preserve">sobre </w:t>
      </w:r>
      <w:r w:rsidR="00205526" w:rsidRPr="009631AB">
        <w:rPr>
          <w:color w:val="181818"/>
          <w:szCs w:val="20"/>
          <w:lang w:eastAsia="es-CR"/>
        </w:rPr>
        <w:t xml:space="preserve">el </w:t>
      </w:r>
      <w:r w:rsidR="00205526" w:rsidRPr="009631AB">
        <w:rPr>
          <w:color w:val="2A2A2A"/>
          <w:szCs w:val="20"/>
          <w:lang w:eastAsia="es-CR"/>
        </w:rPr>
        <w:t xml:space="preserve">fondo. El 9 </w:t>
      </w:r>
      <w:r w:rsidR="00205526" w:rsidRPr="009631AB">
        <w:rPr>
          <w:color w:val="181818"/>
          <w:szCs w:val="20"/>
          <w:lang w:eastAsia="es-CR"/>
        </w:rPr>
        <w:t xml:space="preserve">de </w:t>
      </w:r>
      <w:r w:rsidR="00205526" w:rsidRPr="009631AB">
        <w:rPr>
          <w:color w:val="2A2A2A"/>
          <w:szCs w:val="20"/>
          <w:lang w:eastAsia="es-CR"/>
        </w:rPr>
        <w:t xml:space="preserve">marzo </w:t>
      </w:r>
      <w:r w:rsidR="00205526" w:rsidRPr="009631AB">
        <w:rPr>
          <w:color w:val="181818"/>
          <w:szCs w:val="20"/>
          <w:lang w:eastAsia="es-CR"/>
        </w:rPr>
        <w:t xml:space="preserve">de </w:t>
      </w:r>
      <w:r w:rsidR="00205526" w:rsidRPr="009631AB">
        <w:rPr>
          <w:color w:val="2A2A2A"/>
          <w:szCs w:val="20"/>
          <w:lang w:eastAsia="es-CR"/>
        </w:rPr>
        <w:t xml:space="preserve">2004 el </w:t>
      </w:r>
      <w:r w:rsidR="00205526" w:rsidRPr="009631AB">
        <w:rPr>
          <w:color w:val="181818"/>
          <w:szCs w:val="20"/>
          <w:lang w:eastAsia="es-CR"/>
        </w:rPr>
        <w:t xml:space="preserve">peticionario presentó </w:t>
      </w:r>
      <w:r w:rsidR="00205526" w:rsidRPr="009631AB">
        <w:rPr>
          <w:color w:val="2A2A2A"/>
          <w:szCs w:val="20"/>
          <w:lang w:eastAsia="es-CR"/>
        </w:rPr>
        <w:t xml:space="preserve">observaciones adicionales. El 15 de </w:t>
      </w:r>
      <w:r w:rsidR="00205526" w:rsidRPr="009631AB">
        <w:rPr>
          <w:color w:val="181818"/>
          <w:szCs w:val="20"/>
          <w:lang w:eastAsia="es-CR"/>
        </w:rPr>
        <w:t xml:space="preserve">julio de </w:t>
      </w:r>
      <w:r w:rsidR="00205526" w:rsidRPr="009631AB">
        <w:rPr>
          <w:color w:val="2A2A2A"/>
          <w:szCs w:val="20"/>
          <w:lang w:eastAsia="es-CR"/>
        </w:rPr>
        <w:t xml:space="preserve">2016 el </w:t>
      </w:r>
      <w:r w:rsidR="00205526" w:rsidRPr="009631AB">
        <w:rPr>
          <w:color w:val="181818"/>
          <w:szCs w:val="20"/>
          <w:lang w:eastAsia="es-CR"/>
        </w:rPr>
        <w:t xml:space="preserve">Estado </w:t>
      </w:r>
      <w:r w:rsidR="00205526" w:rsidRPr="009631AB">
        <w:rPr>
          <w:color w:val="2A2A2A"/>
          <w:szCs w:val="20"/>
          <w:lang w:eastAsia="es-CR"/>
        </w:rPr>
        <w:t>presentó sus observac</w:t>
      </w:r>
      <w:r w:rsidR="00205526" w:rsidRPr="009631AB">
        <w:rPr>
          <w:color w:val="4C4C4C"/>
          <w:szCs w:val="20"/>
          <w:lang w:eastAsia="es-CR"/>
        </w:rPr>
        <w:t>i</w:t>
      </w:r>
      <w:r w:rsidR="00205526" w:rsidRPr="009631AB">
        <w:rPr>
          <w:color w:val="2A2A2A"/>
          <w:szCs w:val="20"/>
          <w:lang w:eastAsia="es-CR"/>
        </w:rPr>
        <w:t xml:space="preserve">ones adicionales sobre la admisibilidad y el fondo. Finalmente, el 25 de octubre de 2017 </w:t>
      </w:r>
      <w:r w:rsidR="00205526" w:rsidRPr="009631AB">
        <w:rPr>
          <w:rFonts w:eastAsia="Calibri"/>
          <w:szCs w:val="20"/>
          <w:lang w:val="es-ES"/>
        </w:rPr>
        <w:t xml:space="preserve">la </w:t>
      </w:r>
      <w:r w:rsidR="00EB0285" w:rsidRPr="009631AB">
        <w:rPr>
          <w:color w:val="2A2A2A"/>
          <w:szCs w:val="20"/>
          <w:lang w:eastAsia="es-CR"/>
        </w:rPr>
        <w:t>Comisión</w:t>
      </w:r>
      <w:r w:rsidR="00205526" w:rsidRPr="009631AB">
        <w:rPr>
          <w:rFonts w:eastAsia="Calibri"/>
          <w:szCs w:val="20"/>
          <w:lang w:val="es-ES"/>
        </w:rPr>
        <w:t xml:space="preserve"> emitió el Informe de Admisibilidad y Fondo No.</w:t>
      </w:r>
      <w:r w:rsidR="00CE48C8" w:rsidRPr="009631AB">
        <w:rPr>
          <w:rFonts w:eastAsia="Calibri"/>
          <w:szCs w:val="20"/>
          <w:lang w:val="es-ES"/>
        </w:rPr>
        <w:t xml:space="preserve"> </w:t>
      </w:r>
      <w:r w:rsidR="00285172">
        <w:rPr>
          <w:rFonts w:eastAsia="Calibri"/>
          <w:szCs w:val="20"/>
          <w:lang w:val="es-ES"/>
        </w:rPr>
        <w:t>131/</w:t>
      </w:r>
      <w:r w:rsidR="00205526" w:rsidRPr="009631AB">
        <w:rPr>
          <w:rFonts w:eastAsia="Calibri"/>
          <w:szCs w:val="20"/>
          <w:lang w:val="es-ES"/>
        </w:rPr>
        <w:t xml:space="preserve">17 </w:t>
      </w:r>
      <w:r w:rsidR="00F652C6" w:rsidRPr="009631AB">
        <w:rPr>
          <w:rFonts w:eastAsia="Batang" w:cs="Times"/>
          <w:noProof/>
          <w:szCs w:val="20"/>
          <w:lang w:val="es-ES"/>
        </w:rPr>
        <w:t>(en adelante “Informe de Fondo”)</w:t>
      </w:r>
      <w:r w:rsidR="00167039" w:rsidRPr="009631AB">
        <w:rPr>
          <w:rFonts w:eastAsia="Batang" w:cs="Times"/>
          <w:noProof/>
          <w:szCs w:val="20"/>
          <w:lang w:val="es-ES"/>
        </w:rPr>
        <w:t>,</w:t>
      </w:r>
      <w:r w:rsidR="00F652C6" w:rsidRPr="009631AB">
        <w:rPr>
          <w:rFonts w:eastAsia="Batang" w:cs="Times"/>
          <w:noProof/>
          <w:szCs w:val="20"/>
          <w:lang w:val="es-ES"/>
        </w:rPr>
        <w:t xml:space="preserve"> </w:t>
      </w:r>
      <w:r w:rsidR="00E257CE" w:rsidRPr="009631AB">
        <w:rPr>
          <w:rFonts w:eastAsia="Batang" w:cs="Times"/>
          <w:noProof/>
          <w:szCs w:val="20"/>
          <w:lang w:val="es-ES"/>
        </w:rPr>
        <w:t>conforme al</w:t>
      </w:r>
      <w:r w:rsidRPr="009631AB">
        <w:rPr>
          <w:rFonts w:eastAsia="Batang" w:cs="Times"/>
          <w:noProof/>
          <w:szCs w:val="20"/>
          <w:lang w:val="es-ES"/>
        </w:rPr>
        <w:t xml:space="preserve"> artículo</w:t>
      </w:r>
      <w:r w:rsidR="00F652C6" w:rsidRPr="009631AB">
        <w:rPr>
          <w:rFonts w:eastAsia="Batang" w:cs="Times"/>
          <w:noProof/>
          <w:szCs w:val="20"/>
          <w:lang w:val="es-ES"/>
        </w:rPr>
        <w:t xml:space="preserve"> 50 de la Convención Americana</w:t>
      </w:r>
      <w:r w:rsidR="00E257CE" w:rsidRPr="009631AB">
        <w:rPr>
          <w:rFonts w:eastAsia="Batang" w:cs="Times"/>
          <w:noProof/>
          <w:szCs w:val="20"/>
          <w:lang w:val="es-ES"/>
        </w:rPr>
        <w:t xml:space="preserve">, en el cual </w:t>
      </w:r>
      <w:r w:rsidR="00DA7EEF">
        <w:rPr>
          <w:rFonts w:eastAsia="Batang" w:cs="Times"/>
          <w:noProof/>
          <w:szCs w:val="20"/>
          <w:lang w:val="es-ES"/>
        </w:rPr>
        <w:t xml:space="preserve">determinó que la única víctima era el señor Mario Montesinos Mejía, </w:t>
      </w:r>
      <w:r w:rsidR="00E257CE" w:rsidRPr="009631AB">
        <w:rPr>
          <w:rFonts w:eastAsia="Batang" w:cs="Times"/>
          <w:noProof/>
          <w:szCs w:val="20"/>
          <w:lang w:val="es-ES"/>
        </w:rPr>
        <w:t>llegó a una serie de conclusiones</w:t>
      </w:r>
      <w:r w:rsidR="00E257CE" w:rsidRPr="009631AB">
        <w:rPr>
          <w:rStyle w:val="Refdenotaalpie"/>
          <w:rFonts w:ascii="Verdana" w:eastAsia="Batang" w:hAnsi="Verdana"/>
          <w:noProof/>
          <w:lang w:val="es-ES"/>
        </w:rPr>
        <w:footnoteReference w:id="2"/>
      </w:r>
      <w:r w:rsidR="00E257CE" w:rsidRPr="009631AB">
        <w:rPr>
          <w:rFonts w:eastAsia="Batang" w:cs="Times"/>
          <w:noProof/>
          <w:szCs w:val="20"/>
          <w:lang w:val="es-ES"/>
        </w:rPr>
        <w:t xml:space="preserve"> y formuló varias recomendaciones</w:t>
      </w:r>
      <w:r w:rsidR="00002968" w:rsidRPr="009631AB">
        <w:rPr>
          <w:rFonts w:eastAsia="Batang" w:cs="Times"/>
          <w:noProof/>
          <w:szCs w:val="20"/>
          <w:lang w:val="es-ES"/>
        </w:rPr>
        <w:t xml:space="preserve"> al Estado.</w:t>
      </w:r>
    </w:p>
    <w:p w14:paraId="4DC90493" w14:textId="77777777" w:rsidR="009B70B1" w:rsidRPr="009631AB" w:rsidRDefault="009B70B1" w:rsidP="00734B53">
      <w:pPr>
        <w:spacing w:after="0" w:line="240" w:lineRule="auto"/>
        <w:ind w:left="1854" w:right="29"/>
        <w:jc w:val="both"/>
        <w:rPr>
          <w:rFonts w:eastAsia="Batang" w:cs="Times"/>
          <w:b/>
          <w:i/>
          <w:noProof/>
          <w:szCs w:val="20"/>
          <w:lang w:val="es-ES"/>
        </w:rPr>
      </w:pPr>
    </w:p>
    <w:p w14:paraId="33C1492E" w14:textId="58C982B6" w:rsidR="00502875" w:rsidRPr="009631AB" w:rsidRDefault="001D1455" w:rsidP="00734B53">
      <w:pPr>
        <w:pStyle w:val="Prrafodelista"/>
        <w:numPr>
          <w:ilvl w:val="0"/>
          <w:numId w:val="6"/>
        </w:numPr>
        <w:autoSpaceDE w:val="0"/>
        <w:autoSpaceDN w:val="0"/>
        <w:adjustRightInd w:val="0"/>
        <w:contextualSpacing w:val="0"/>
        <w:rPr>
          <w:szCs w:val="20"/>
          <w:lang w:val="es-ES"/>
        </w:rPr>
      </w:pPr>
      <w:r w:rsidRPr="009631AB">
        <w:rPr>
          <w:i/>
          <w:szCs w:val="20"/>
          <w:lang w:val="es-ES"/>
        </w:rPr>
        <w:t xml:space="preserve">Notificación al Estado.– </w:t>
      </w:r>
      <w:r w:rsidRPr="009631AB">
        <w:rPr>
          <w:szCs w:val="20"/>
          <w:lang w:val="es-ES"/>
        </w:rPr>
        <w:t>El Informe de Fondo fue notificado al Estado mediante</w:t>
      </w:r>
      <w:r w:rsidR="00173BA8" w:rsidRPr="009631AB">
        <w:rPr>
          <w:szCs w:val="20"/>
          <w:lang w:val="es-ES"/>
        </w:rPr>
        <w:t xml:space="preserve"> </w:t>
      </w:r>
      <w:r w:rsidR="00444BFA" w:rsidRPr="009631AB">
        <w:rPr>
          <w:szCs w:val="20"/>
          <w:lang w:val="es-ES"/>
        </w:rPr>
        <w:t>comunica</w:t>
      </w:r>
      <w:r w:rsidR="00A43F95" w:rsidRPr="009631AB">
        <w:rPr>
          <w:szCs w:val="20"/>
          <w:lang w:val="es-ES"/>
        </w:rPr>
        <w:t xml:space="preserve">ción </w:t>
      </w:r>
      <w:r w:rsidR="00444BFA" w:rsidRPr="009631AB">
        <w:rPr>
          <w:szCs w:val="20"/>
          <w:lang w:val="es-ES"/>
        </w:rPr>
        <w:t>de</w:t>
      </w:r>
      <w:r w:rsidRPr="009631AB">
        <w:rPr>
          <w:szCs w:val="20"/>
          <w:lang w:val="es-ES"/>
        </w:rPr>
        <w:t xml:space="preserve"> </w:t>
      </w:r>
      <w:r w:rsidR="001D4059" w:rsidRPr="009631AB">
        <w:rPr>
          <w:szCs w:val="20"/>
          <w:lang w:val="es-ES"/>
        </w:rPr>
        <w:t>18</w:t>
      </w:r>
      <w:r w:rsidR="00F62FFA" w:rsidRPr="009631AB">
        <w:rPr>
          <w:szCs w:val="20"/>
          <w:lang w:val="es-ES"/>
        </w:rPr>
        <w:t xml:space="preserve"> </w:t>
      </w:r>
      <w:r w:rsidR="00714DAF" w:rsidRPr="009631AB">
        <w:rPr>
          <w:szCs w:val="20"/>
          <w:lang w:val="es-ES"/>
        </w:rPr>
        <w:t xml:space="preserve">de </w:t>
      </w:r>
      <w:r w:rsidR="001D4059" w:rsidRPr="009631AB">
        <w:rPr>
          <w:szCs w:val="20"/>
          <w:lang w:val="es-ES"/>
        </w:rPr>
        <w:t>enero</w:t>
      </w:r>
      <w:r w:rsidR="00765688" w:rsidRPr="009631AB">
        <w:rPr>
          <w:szCs w:val="20"/>
          <w:lang w:val="es-ES"/>
        </w:rPr>
        <w:t xml:space="preserve"> </w:t>
      </w:r>
      <w:r w:rsidRPr="009631AB">
        <w:rPr>
          <w:szCs w:val="20"/>
          <w:lang w:val="es-ES"/>
        </w:rPr>
        <w:t>de 201</w:t>
      </w:r>
      <w:r w:rsidR="001D4059" w:rsidRPr="009631AB">
        <w:rPr>
          <w:szCs w:val="20"/>
          <w:lang w:val="es-ES"/>
        </w:rPr>
        <w:t>8</w:t>
      </w:r>
      <w:r w:rsidRPr="009631AB">
        <w:rPr>
          <w:szCs w:val="20"/>
          <w:lang w:val="es-ES"/>
        </w:rPr>
        <w:t xml:space="preserve">, en la que se le </w:t>
      </w:r>
      <w:r w:rsidR="008F4E4D" w:rsidRPr="009631AB">
        <w:rPr>
          <w:szCs w:val="20"/>
          <w:lang w:val="es-ES"/>
        </w:rPr>
        <w:t xml:space="preserve">otorgó </w:t>
      </w:r>
      <w:r w:rsidRPr="009631AB">
        <w:rPr>
          <w:szCs w:val="20"/>
          <w:lang w:val="es-ES"/>
        </w:rPr>
        <w:t xml:space="preserve">un plazo de </w:t>
      </w:r>
      <w:r w:rsidR="00A43F95" w:rsidRPr="009631AB">
        <w:rPr>
          <w:szCs w:val="20"/>
          <w:lang w:val="es-ES"/>
        </w:rPr>
        <w:t>dos</w:t>
      </w:r>
      <w:r w:rsidRPr="009631AB">
        <w:rPr>
          <w:szCs w:val="20"/>
          <w:lang w:val="es-ES"/>
        </w:rPr>
        <w:t xml:space="preserve"> meses para informar sobre el cumplimiento de las recomendaciones. </w:t>
      </w:r>
      <w:r w:rsidR="001D4059" w:rsidRPr="009631AB">
        <w:rPr>
          <w:szCs w:val="20"/>
          <w:lang w:val="es-ES"/>
        </w:rPr>
        <w:t>Ecuador no presentó información sustantiva sobre avances en el cumplimiento de</w:t>
      </w:r>
      <w:r w:rsidR="001B465D">
        <w:rPr>
          <w:szCs w:val="20"/>
          <w:lang w:val="es-ES"/>
        </w:rPr>
        <w:t xml:space="preserve"> </w:t>
      </w:r>
      <w:r w:rsidR="001D4059" w:rsidRPr="009631AB">
        <w:rPr>
          <w:szCs w:val="20"/>
          <w:lang w:val="es-ES"/>
        </w:rPr>
        <w:t xml:space="preserve">las recomendaciones. Además, el Estado tampoco solicitó una prórroga conforme al Reglamento de la </w:t>
      </w:r>
      <w:r w:rsidR="00EB0285" w:rsidRPr="009631AB">
        <w:rPr>
          <w:color w:val="2A2A2A"/>
          <w:szCs w:val="20"/>
          <w:lang w:eastAsia="es-CR"/>
        </w:rPr>
        <w:t>Comisión</w:t>
      </w:r>
      <w:r w:rsidR="001D4059" w:rsidRPr="009631AB">
        <w:rPr>
          <w:szCs w:val="20"/>
          <w:lang w:val="es-ES"/>
        </w:rPr>
        <w:t xml:space="preserve"> para tales efectos</w:t>
      </w:r>
      <w:r w:rsidR="00927429" w:rsidRPr="009631AB">
        <w:rPr>
          <w:szCs w:val="20"/>
          <w:lang w:val="es-ES"/>
        </w:rPr>
        <w:t>.</w:t>
      </w:r>
      <w:r w:rsidR="00526002" w:rsidRPr="009631AB">
        <w:rPr>
          <w:szCs w:val="20"/>
          <w:lang w:val="es-ES"/>
        </w:rPr>
        <w:t xml:space="preserve"> </w:t>
      </w:r>
    </w:p>
    <w:p w14:paraId="19213205" w14:textId="77777777" w:rsidR="00502875" w:rsidRPr="009631AB" w:rsidRDefault="00502875" w:rsidP="00734B53">
      <w:pPr>
        <w:autoSpaceDE w:val="0"/>
        <w:autoSpaceDN w:val="0"/>
        <w:adjustRightInd w:val="0"/>
        <w:spacing w:after="0" w:line="240" w:lineRule="auto"/>
        <w:ind w:right="6"/>
        <w:jc w:val="both"/>
        <w:rPr>
          <w:rFonts w:eastAsia="Batang" w:cs="Verdana"/>
          <w:noProof/>
          <w:szCs w:val="20"/>
          <w:highlight w:val="green"/>
          <w:lang w:val="es-ES" w:eastAsia="es-ES"/>
        </w:rPr>
      </w:pPr>
    </w:p>
    <w:p w14:paraId="2988A829" w14:textId="36267E8C" w:rsidR="000230DA" w:rsidRPr="009631AB" w:rsidRDefault="00D4599D" w:rsidP="00734B53">
      <w:pPr>
        <w:numPr>
          <w:ilvl w:val="0"/>
          <w:numId w:val="5"/>
        </w:numPr>
        <w:autoSpaceDE w:val="0"/>
        <w:autoSpaceDN w:val="0"/>
        <w:adjustRightInd w:val="0"/>
        <w:spacing w:after="0" w:line="240" w:lineRule="auto"/>
        <w:ind w:right="6"/>
        <w:jc w:val="both"/>
        <w:rPr>
          <w:rFonts w:eastAsia="Batang" w:cs="Times"/>
          <w:szCs w:val="20"/>
          <w:lang w:val="es-ES"/>
        </w:rPr>
      </w:pPr>
      <w:r w:rsidRPr="009631AB">
        <w:rPr>
          <w:rFonts w:eastAsia="Batang" w:cs="Verdana"/>
          <w:i/>
          <w:noProof/>
          <w:szCs w:val="20"/>
          <w:lang w:val="es-ES" w:eastAsia="es-ES"/>
        </w:rPr>
        <w:t>Sometimiento a la Corte.</w:t>
      </w:r>
      <w:r w:rsidRPr="009631AB">
        <w:rPr>
          <w:rFonts w:eastAsia="Batang" w:cs="Verdana"/>
          <w:noProof/>
          <w:szCs w:val="20"/>
          <w:lang w:val="es-ES" w:eastAsia="es-ES"/>
        </w:rPr>
        <w:t xml:space="preserve">- El </w:t>
      </w:r>
      <w:r w:rsidR="00205526" w:rsidRPr="009631AB">
        <w:rPr>
          <w:rFonts w:eastAsia="Batang" w:cs="Times"/>
          <w:noProof/>
          <w:szCs w:val="20"/>
          <w:lang w:val="es-ES"/>
        </w:rPr>
        <w:t xml:space="preserve">18 de abril de 2018 </w:t>
      </w:r>
      <w:r w:rsidRPr="009631AB">
        <w:rPr>
          <w:rFonts w:eastAsia="Batang" w:cs="Verdana"/>
          <w:noProof/>
          <w:szCs w:val="20"/>
          <w:lang w:val="es-ES" w:eastAsia="es-ES"/>
        </w:rPr>
        <w:t>la Comisión sometió el caso a la Corte respecto a los hechos y violaciones de derechos humanos descritos en el Informe de Fondo</w:t>
      </w:r>
      <w:r w:rsidR="00A43F95" w:rsidRPr="009631AB">
        <w:rPr>
          <w:rFonts w:eastAsia="Batang" w:cs="Verdana"/>
          <w:noProof/>
          <w:szCs w:val="20"/>
          <w:lang w:val="es-ES" w:eastAsia="es-ES"/>
        </w:rPr>
        <w:t xml:space="preserve">. </w:t>
      </w:r>
    </w:p>
    <w:p w14:paraId="7AA7E52A" w14:textId="77777777" w:rsidR="001D1455" w:rsidRPr="009631AB" w:rsidRDefault="00B02AAB" w:rsidP="00734B53">
      <w:pPr>
        <w:autoSpaceDE w:val="0"/>
        <w:autoSpaceDN w:val="0"/>
        <w:adjustRightInd w:val="0"/>
        <w:spacing w:after="0" w:line="240" w:lineRule="auto"/>
        <w:ind w:right="6"/>
        <w:jc w:val="both"/>
        <w:rPr>
          <w:rFonts w:eastAsia="Batang" w:cs="Times"/>
          <w:szCs w:val="20"/>
          <w:highlight w:val="green"/>
          <w:lang w:val="es-ES"/>
        </w:rPr>
      </w:pPr>
      <w:r w:rsidRPr="009631AB">
        <w:rPr>
          <w:rFonts w:eastAsia="Batang" w:cs="Verdana"/>
          <w:noProof/>
          <w:szCs w:val="20"/>
          <w:highlight w:val="green"/>
          <w:lang w:val="es-ES" w:eastAsia="es-ES"/>
        </w:rPr>
        <w:t xml:space="preserve"> </w:t>
      </w:r>
    </w:p>
    <w:p w14:paraId="160F65E9" w14:textId="49C7F697" w:rsidR="001D1455" w:rsidRPr="009631AB" w:rsidRDefault="001D1455" w:rsidP="00734B53">
      <w:pPr>
        <w:pStyle w:val="Ttulo1"/>
        <w:contextualSpacing w:val="0"/>
        <w:rPr>
          <w:lang w:eastAsia="es-ES"/>
        </w:rPr>
      </w:pPr>
      <w:bookmarkStart w:id="24" w:name="_Toc491935491"/>
      <w:bookmarkStart w:id="25" w:name="_Toc486842906"/>
      <w:bookmarkStart w:id="26" w:name="_Toc486842768"/>
      <w:bookmarkStart w:id="27" w:name="_Toc486693352"/>
      <w:bookmarkStart w:id="28" w:name="_Toc311128353"/>
      <w:bookmarkStart w:id="29" w:name="_Toc311128156"/>
      <w:bookmarkStart w:id="30" w:name="_Toc438132270"/>
      <w:bookmarkStart w:id="31" w:name="_Toc369989730"/>
      <w:bookmarkStart w:id="32" w:name="_Toc369989449"/>
      <w:bookmarkStart w:id="33" w:name="_Toc369989362"/>
      <w:bookmarkStart w:id="34" w:name="_Toc369076778"/>
      <w:bookmarkStart w:id="35" w:name="_Toc365021392"/>
      <w:bookmarkStart w:id="36" w:name="_Toc362456863"/>
      <w:bookmarkStart w:id="37" w:name="_Toc361732832"/>
      <w:bookmarkStart w:id="38" w:name="_Toc361732789"/>
      <w:bookmarkStart w:id="39" w:name="_Toc361671992"/>
      <w:bookmarkStart w:id="40" w:name="_Toc361671572"/>
      <w:bookmarkStart w:id="41" w:name="_Toc359314415"/>
      <w:bookmarkStart w:id="42" w:name="_Toc506984072"/>
      <w:bookmarkStart w:id="43" w:name="_Toc18768922"/>
      <w:bookmarkStart w:id="44" w:name="_Toc18768942"/>
      <w:bookmarkStart w:id="45" w:name="_Toc18769619"/>
      <w:bookmarkStart w:id="46" w:name="_Toc27069875"/>
      <w:r w:rsidRPr="009631AB">
        <w:rPr>
          <w:lang w:eastAsia="es-ES"/>
        </w:rPr>
        <w:t>II</w:t>
      </w:r>
      <w:r w:rsidRPr="009631AB">
        <w:rPr>
          <w:lang w:eastAsia="es-ES"/>
        </w:rPr>
        <w:br/>
        <w:t>PROCEDIMIENTO ANTE LA CORTE</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7C5539D" w14:textId="77777777" w:rsidR="000230DA" w:rsidRPr="009631AB" w:rsidRDefault="000230DA" w:rsidP="00734B53">
      <w:pPr>
        <w:autoSpaceDE w:val="0"/>
        <w:autoSpaceDN w:val="0"/>
        <w:adjustRightInd w:val="0"/>
        <w:spacing w:after="0" w:line="240" w:lineRule="auto"/>
        <w:ind w:right="6"/>
        <w:jc w:val="both"/>
        <w:rPr>
          <w:rFonts w:eastAsia="Batang" w:cs="Times New Roman"/>
          <w:b/>
          <w:noProof/>
          <w:szCs w:val="20"/>
          <w:highlight w:val="green"/>
          <w:lang w:val="es-ES" w:eastAsia="es-ES"/>
        </w:rPr>
      </w:pPr>
    </w:p>
    <w:p w14:paraId="1825A22D" w14:textId="16BAD9C1" w:rsidR="00961C2A" w:rsidRPr="009631AB" w:rsidRDefault="001D1455" w:rsidP="00734B53">
      <w:pPr>
        <w:pStyle w:val="Prrafodelista"/>
        <w:numPr>
          <w:ilvl w:val="0"/>
          <w:numId w:val="5"/>
        </w:numPr>
        <w:autoSpaceDE w:val="0"/>
        <w:autoSpaceDN w:val="0"/>
        <w:adjustRightInd w:val="0"/>
        <w:ind w:right="6"/>
        <w:contextualSpacing w:val="0"/>
        <w:rPr>
          <w:rFonts w:cs="Times New Roman"/>
          <w:b/>
          <w:i/>
          <w:szCs w:val="20"/>
          <w:lang w:val="es-ES" w:eastAsia="es-ES"/>
        </w:rPr>
      </w:pPr>
      <w:r w:rsidRPr="009631AB">
        <w:rPr>
          <w:rFonts w:cs="Verdana"/>
          <w:i/>
          <w:szCs w:val="20"/>
          <w:lang w:val="es-ES" w:eastAsia="es-ES"/>
        </w:rPr>
        <w:t>Notificación</w:t>
      </w:r>
      <w:r w:rsidRPr="009631AB">
        <w:rPr>
          <w:rFonts w:cs="Times New Roman"/>
          <w:i/>
          <w:szCs w:val="20"/>
          <w:lang w:val="es-ES" w:eastAsia="es-ES"/>
        </w:rPr>
        <w:t xml:space="preserve"> al Estado y al representante.– </w:t>
      </w:r>
      <w:r w:rsidRPr="009631AB">
        <w:rPr>
          <w:rFonts w:cs="Times New Roman"/>
          <w:szCs w:val="20"/>
          <w:lang w:val="es-ES"/>
        </w:rPr>
        <w:t>El caso fue notificado</w:t>
      </w:r>
      <w:r w:rsidR="00E44079" w:rsidRPr="009631AB">
        <w:rPr>
          <w:rFonts w:cs="Times New Roman"/>
          <w:szCs w:val="20"/>
          <w:lang w:val="es-ES"/>
        </w:rPr>
        <w:t xml:space="preserve"> </w:t>
      </w:r>
      <w:r w:rsidR="00205526" w:rsidRPr="009631AB">
        <w:rPr>
          <w:rFonts w:cs="Times New Roman"/>
          <w:szCs w:val="20"/>
          <w:lang w:val="es-ES"/>
        </w:rPr>
        <w:t>al Estado,</w:t>
      </w:r>
      <w:r w:rsidR="00B02AAB" w:rsidRPr="009631AB">
        <w:rPr>
          <w:rFonts w:cs="Times New Roman"/>
          <w:szCs w:val="20"/>
          <w:lang w:val="es-ES"/>
        </w:rPr>
        <w:t xml:space="preserve"> </w:t>
      </w:r>
      <w:r w:rsidRPr="009631AB">
        <w:rPr>
          <w:rFonts w:cs="Times New Roman"/>
          <w:szCs w:val="20"/>
          <w:lang w:val="es-ES"/>
        </w:rPr>
        <w:t xml:space="preserve">al representante de la </w:t>
      </w:r>
      <w:r w:rsidRPr="009631AB">
        <w:rPr>
          <w:rFonts w:cs="Verdana"/>
          <w:szCs w:val="20"/>
          <w:lang w:val="es-ES" w:eastAsia="es-ES"/>
        </w:rPr>
        <w:t>presunta</w:t>
      </w:r>
      <w:r w:rsidR="00CA1272" w:rsidRPr="009631AB">
        <w:rPr>
          <w:rFonts w:cs="Times New Roman"/>
          <w:szCs w:val="20"/>
          <w:lang w:val="es-ES"/>
        </w:rPr>
        <w:t xml:space="preserve"> víctima </w:t>
      </w:r>
      <w:r w:rsidR="00205526" w:rsidRPr="009631AB">
        <w:rPr>
          <w:rFonts w:cs="Times New Roman"/>
          <w:szCs w:val="20"/>
          <w:lang w:val="es-ES"/>
        </w:rPr>
        <w:t xml:space="preserve">y a la Comisión </w:t>
      </w:r>
      <w:r w:rsidRPr="009631AB">
        <w:rPr>
          <w:rFonts w:cs="Times New Roman"/>
          <w:szCs w:val="20"/>
          <w:lang w:val="es-ES"/>
        </w:rPr>
        <w:t xml:space="preserve">el </w:t>
      </w:r>
      <w:r w:rsidR="00205526" w:rsidRPr="009631AB">
        <w:rPr>
          <w:rFonts w:cs="Times New Roman"/>
          <w:szCs w:val="20"/>
          <w:lang w:val="es-ES"/>
        </w:rPr>
        <w:t xml:space="preserve">9 de </w:t>
      </w:r>
      <w:r w:rsidR="0011514E" w:rsidRPr="009631AB">
        <w:rPr>
          <w:rFonts w:cs="Times New Roman"/>
          <w:szCs w:val="20"/>
          <w:lang w:val="es-ES"/>
        </w:rPr>
        <w:t>mayo</w:t>
      </w:r>
      <w:r w:rsidR="00C86966" w:rsidRPr="009631AB">
        <w:rPr>
          <w:rFonts w:cs="Times New Roman"/>
          <w:szCs w:val="20"/>
          <w:lang w:val="es-ES"/>
        </w:rPr>
        <w:t xml:space="preserve"> de 2018</w:t>
      </w:r>
      <w:r w:rsidRPr="009631AB">
        <w:rPr>
          <w:rFonts w:cs="Times New Roman"/>
          <w:szCs w:val="20"/>
          <w:lang w:val="es-ES"/>
        </w:rPr>
        <w:t>.</w:t>
      </w:r>
    </w:p>
    <w:p w14:paraId="76CB60A7" w14:textId="77777777" w:rsidR="00961C2A" w:rsidRPr="009631AB" w:rsidRDefault="00961C2A" w:rsidP="00734B53">
      <w:pPr>
        <w:autoSpaceDE w:val="0"/>
        <w:autoSpaceDN w:val="0"/>
        <w:adjustRightInd w:val="0"/>
        <w:spacing w:after="0" w:line="240" w:lineRule="auto"/>
        <w:ind w:right="6"/>
        <w:jc w:val="both"/>
        <w:rPr>
          <w:rFonts w:eastAsia="Batang" w:cs="Times New Roman"/>
          <w:b/>
          <w:i/>
          <w:noProof/>
          <w:szCs w:val="20"/>
          <w:highlight w:val="green"/>
          <w:lang w:val="es-ES" w:eastAsia="es-ES"/>
        </w:rPr>
      </w:pPr>
    </w:p>
    <w:p w14:paraId="7347CB5E" w14:textId="4EA760E3" w:rsidR="00275102" w:rsidRPr="009631AB" w:rsidRDefault="00275102" w:rsidP="00734B53">
      <w:pPr>
        <w:pStyle w:val="Prrafodelista"/>
        <w:numPr>
          <w:ilvl w:val="0"/>
          <w:numId w:val="5"/>
        </w:numPr>
        <w:contextualSpacing w:val="0"/>
        <w:rPr>
          <w:szCs w:val="20"/>
        </w:rPr>
      </w:pPr>
      <w:r w:rsidRPr="009631AB">
        <w:rPr>
          <w:rFonts w:cs="Verdana"/>
          <w:i/>
          <w:szCs w:val="20"/>
          <w:lang w:val="es-ES" w:eastAsia="es-ES"/>
        </w:rPr>
        <w:t>E</w:t>
      </w:r>
      <w:r w:rsidRPr="009631AB">
        <w:rPr>
          <w:rFonts w:cs="Times New Roman"/>
          <w:i/>
          <w:szCs w:val="20"/>
          <w:lang w:val="es-ES" w:eastAsia="es-ES"/>
        </w:rPr>
        <w:t xml:space="preserve">scrito de solicitudes, argumentos y pruebas.– </w:t>
      </w:r>
      <w:r w:rsidRPr="009631AB">
        <w:rPr>
          <w:rFonts w:cs="Times New Roman"/>
          <w:szCs w:val="20"/>
          <w:lang w:val="es-ES"/>
        </w:rPr>
        <w:t xml:space="preserve">El </w:t>
      </w:r>
      <w:r w:rsidR="0011514E" w:rsidRPr="009631AB">
        <w:rPr>
          <w:rFonts w:cs="Times New Roman"/>
          <w:szCs w:val="20"/>
          <w:lang w:val="es-ES"/>
        </w:rPr>
        <w:t>29 de jun</w:t>
      </w:r>
      <w:r w:rsidR="00670AB0" w:rsidRPr="009631AB">
        <w:rPr>
          <w:rFonts w:cs="Times New Roman"/>
          <w:szCs w:val="20"/>
          <w:lang w:val="es-ES"/>
        </w:rPr>
        <w:t>io de 2018</w:t>
      </w:r>
      <w:r w:rsidRPr="009631AB">
        <w:rPr>
          <w:rFonts w:cs="Times New Roman"/>
          <w:szCs w:val="20"/>
          <w:lang w:val="es-ES"/>
        </w:rPr>
        <w:t xml:space="preserve">, </w:t>
      </w:r>
      <w:r w:rsidR="00EB0285" w:rsidRPr="009631AB">
        <w:rPr>
          <w:rFonts w:cs="Times New Roman"/>
          <w:szCs w:val="20"/>
          <w:lang w:val="es-ES"/>
        </w:rPr>
        <w:t xml:space="preserve">el </w:t>
      </w:r>
      <w:r w:rsidR="00670AB0" w:rsidRPr="009631AB">
        <w:rPr>
          <w:rFonts w:cs="Times New Roman"/>
          <w:szCs w:val="20"/>
          <w:lang w:val="es-ES"/>
        </w:rPr>
        <w:t>representante pres</w:t>
      </w:r>
      <w:r w:rsidR="00CC6E63" w:rsidRPr="009631AB">
        <w:rPr>
          <w:rFonts w:cs="Times New Roman"/>
          <w:szCs w:val="20"/>
          <w:lang w:val="es-ES"/>
        </w:rPr>
        <w:t>e</w:t>
      </w:r>
      <w:r w:rsidR="00670AB0" w:rsidRPr="009631AB">
        <w:rPr>
          <w:rFonts w:cs="Times New Roman"/>
          <w:szCs w:val="20"/>
          <w:lang w:val="es-ES"/>
        </w:rPr>
        <w:t>nt</w:t>
      </w:r>
      <w:r w:rsidR="00EB0285" w:rsidRPr="009631AB">
        <w:rPr>
          <w:rFonts w:cs="Times New Roman"/>
          <w:szCs w:val="20"/>
          <w:lang w:val="es-ES"/>
        </w:rPr>
        <w:t xml:space="preserve">ó </w:t>
      </w:r>
      <w:r w:rsidRPr="009631AB">
        <w:rPr>
          <w:rFonts w:cs="Times New Roman"/>
          <w:szCs w:val="20"/>
          <w:lang w:val="es-ES"/>
        </w:rPr>
        <w:t>el escrito de solicitudes, argumentos y pr</w:t>
      </w:r>
      <w:r w:rsidR="003F0A10" w:rsidRPr="009631AB">
        <w:rPr>
          <w:rFonts w:cs="Times New Roman"/>
          <w:szCs w:val="20"/>
          <w:lang w:val="es-ES"/>
        </w:rPr>
        <w:t xml:space="preserve">uebas (en adelante “escrito de </w:t>
      </w:r>
      <w:r w:rsidRPr="009631AB">
        <w:rPr>
          <w:rFonts w:cs="Times New Roman"/>
          <w:szCs w:val="20"/>
          <w:lang w:val="es-ES"/>
        </w:rPr>
        <w:t xml:space="preserve">solicitudes </w:t>
      </w:r>
      <w:r w:rsidRPr="009631AB">
        <w:rPr>
          <w:rFonts w:cs="Times New Roman"/>
          <w:szCs w:val="20"/>
          <w:lang w:val="es-ES"/>
        </w:rPr>
        <w:lastRenderedPageBreak/>
        <w:t>y argumentos”), en los términos de los artículos 25 y 40 del Reglamento de la Corte</w:t>
      </w:r>
      <w:r w:rsidRPr="009631AB">
        <w:rPr>
          <w:rStyle w:val="Refdenotaalpie"/>
          <w:rFonts w:ascii="Verdana" w:hAnsi="Verdana"/>
          <w:lang w:val="es-ES"/>
        </w:rPr>
        <w:footnoteReference w:id="3"/>
      </w:r>
      <w:r w:rsidR="00961C2A" w:rsidRPr="009631AB">
        <w:rPr>
          <w:rFonts w:cs="Times New Roman"/>
          <w:szCs w:val="20"/>
          <w:lang w:val="es-ES"/>
        </w:rPr>
        <w:t>.</w:t>
      </w:r>
      <w:r w:rsidR="0011514E" w:rsidRPr="009631AB">
        <w:rPr>
          <w:rFonts w:cs="Times New Roman"/>
          <w:szCs w:val="20"/>
          <w:lang w:val="es-ES"/>
        </w:rPr>
        <w:t xml:space="preserve"> </w:t>
      </w:r>
      <w:r w:rsidR="00231D97" w:rsidRPr="009631AB">
        <w:rPr>
          <w:szCs w:val="20"/>
        </w:rPr>
        <w:t xml:space="preserve">En dicho escrito el representante coincidió en lo general con los argumentos de la Comisión Interamericana y añadió alegatos sobre la alegada violación de los artículos 5.3, 7.4, 11 y 21 de la Convención Americana en perjuicio del señor Montesinos y de su esposa. </w:t>
      </w:r>
    </w:p>
    <w:p w14:paraId="2451DA26" w14:textId="77777777" w:rsidR="00485642" w:rsidRPr="009631AB" w:rsidRDefault="00485642" w:rsidP="00734B53">
      <w:pPr>
        <w:autoSpaceDE w:val="0"/>
        <w:autoSpaceDN w:val="0"/>
        <w:adjustRightInd w:val="0"/>
        <w:spacing w:after="0" w:line="240" w:lineRule="auto"/>
        <w:ind w:right="6"/>
        <w:jc w:val="both"/>
        <w:rPr>
          <w:rFonts w:eastAsia="Batang" w:cs="Times New Roman"/>
          <w:noProof/>
          <w:szCs w:val="20"/>
          <w:highlight w:val="green"/>
          <w:lang w:val="es-ES"/>
        </w:rPr>
      </w:pPr>
    </w:p>
    <w:p w14:paraId="732AA72A" w14:textId="665E208F" w:rsidR="00BF1A07" w:rsidRPr="009631AB" w:rsidRDefault="001D1455" w:rsidP="00734B53">
      <w:pPr>
        <w:numPr>
          <w:ilvl w:val="0"/>
          <w:numId w:val="5"/>
        </w:numPr>
        <w:autoSpaceDE w:val="0"/>
        <w:autoSpaceDN w:val="0"/>
        <w:adjustRightInd w:val="0"/>
        <w:spacing w:after="0" w:line="240" w:lineRule="auto"/>
        <w:ind w:right="6"/>
        <w:jc w:val="both"/>
        <w:rPr>
          <w:rFonts w:eastAsia="Batang" w:cs="Times New Roman"/>
          <w:noProof/>
          <w:szCs w:val="20"/>
          <w:lang w:val="es-ES"/>
        </w:rPr>
      </w:pPr>
      <w:r w:rsidRPr="009631AB">
        <w:rPr>
          <w:rFonts w:eastAsia="Calibri" w:cs="Times New Roman"/>
          <w:bCs/>
          <w:i/>
          <w:noProof/>
          <w:szCs w:val="20"/>
          <w:lang w:val="es-ES"/>
        </w:rPr>
        <w:t xml:space="preserve">Escrito de excepciones preliminares y contestación.– </w:t>
      </w:r>
      <w:r w:rsidRPr="009631AB">
        <w:rPr>
          <w:rFonts w:eastAsia="Batang" w:cs="Times New Roman"/>
          <w:noProof/>
          <w:szCs w:val="20"/>
          <w:lang w:val="es-ES"/>
        </w:rPr>
        <w:t xml:space="preserve">El </w:t>
      </w:r>
      <w:r w:rsidR="00C060AA" w:rsidRPr="009631AB">
        <w:rPr>
          <w:rFonts w:eastAsia="Batang" w:cs="Times New Roman"/>
          <w:noProof/>
          <w:szCs w:val="20"/>
          <w:lang w:val="es-ES"/>
        </w:rPr>
        <w:t>6</w:t>
      </w:r>
      <w:r w:rsidR="00892850" w:rsidRPr="009631AB">
        <w:rPr>
          <w:rFonts w:eastAsia="Batang" w:cs="Times New Roman"/>
          <w:noProof/>
          <w:szCs w:val="20"/>
          <w:lang w:val="es-ES"/>
        </w:rPr>
        <w:t xml:space="preserve"> de septiembre de 2018</w:t>
      </w:r>
      <w:r w:rsidR="00083080" w:rsidRPr="009631AB">
        <w:rPr>
          <w:rFonts w:eastAsia="Batang" w:cs="Times New Roman"/>
          <w:noProof/>
          <w:szCs w:val="20"/>
          <w:lang w:val="es-ES"/>
        </w:rPr>
        <w:t>,</w:t>
      </w:r>
      <w:r w:rsidRPr="009631AB">
        <w:rPr>
          <w:rFonts w:eastAsia="Batang" w:cs="Times New Roman"/>
          <w:noProof/>
          <w:szCs w:val="20"/>
          <w:lang w:val="es-ES"/>
        </w:rPr>
        <w:t xml:space="preserve"> el Estado presentó </w:t>
      </w:r>
      <w:r w:rsidR="001F36AF" w:rsidRPr="009631AB">
        <w:rPr>
          <w:rFonts w:eastAsia="Batang" w:cs="Times New Roman"/>
          <w:noProof/>
          <w:szCs w:val="20"/>
          <w:lang w:val="es-ES"/>
        </w:rPr>
        <w:t xml:space="preserve">su </w:t>
      </w:r>
      <w:r w:rsidRPr="009631AB">
        <w:rPr>
          <w:rFonts w:eastAsia="Batang" w:cs="Times New Roman"/>
          <w:noProof/>
          <w:szCs w:val="20"/>
          <w:lang w:val="es-ES"/>
        </w:rPr>
        <w:t xml:space="preserve">escrito de </w:t>
      </w:r>
      <w:r w:rsidRPr="009631AB">
        <w:rPr>
          <w:rFonts w:eastAsia="Batang" w:cs="Verdana"/>
          <w:noProof/>
          <w:szCs w:val="20"/>
          <w:lang w:val="es-ES" w:eastAsia="es-ES"/>
        </w:rPr>
        <w:t>excepci</w:t>
      </w:r>
      <w:r w:rsidR="00CD2EB4" w:rsidRPr="009631AB">
        <w:rPr>
          <w:rFonts w:eastAsia="Batang" w:cs="Verdana"/>
          <w:noProof/>
          <w:szCs w:val="20"/>
          <w:lang w:val="es-ES" w:eastAsia="es-ES"/>
        </w:rPr>
        <w:t>o</w:t>
      </w:r>
      <w:r w:rsidR="00E07224" w:rsidRPr="009631AB">
        <w:rPr>
          <w:rFonts w:eastAsia="Batang" w:cs="Verdana"/>
          <w:noProof/>
          <w:szCs w:val="20"/>
          <w:lang w:val="es-ES" w:eastAsia="es-ES"/>
        </w:rPr>
        <w:t>n</w:t>
      </w:r>
      <w:r w:rsidR="00CD2EB4" w:rsidRPr="009631AB">
        <w:rPr>
          <w:rFonts w:eastAsia="Batang" w:cs="Verdana"/>
          <w:noProof/>
          <w:szCs w:val="20"/>
          <w:lang w:val="es-ES" w:eastAsia="es-ES"/>
        </w:rPr>
        <w:t>es</w:t>
      </w:r>
      <w:r w:rsidR="00E07224" w:rsidRPr="009631AB">
        <w:rPr>
          <w:rFonts w:eastAsia="Batang" w:cs="Verdana"/>
          <w:noProof/>
          <w:szCs w:val="20"/>
          <w:lang w:val="es-ES" w:eastAsia="es-ES"/>
        </w:rPr>
        <w:t xml:space="preserve"> </w:t>
      </w:r>
      <w:r w:rsidRPr="009631AB">
        <w:rPr>
          <w:rFonts w:eastAsia="Batang" w:cs="Times New Roman"/>
          <w:noProof/>
          <w:szCs w:val="20"/>
          <w:lang w:val="es-ES"/>
        </w:rPr>
        <w:t>preliminar</w:t>
      </w:r>
      <w:r w:rsidR="00CD2EB4" w:rsidRPr="009631AB">
        <w:rPr>
          <w:rFonts w:eastAsia="Batang" w:cs="Times New Roman"/>
          <w:noProof/>
          <w:szCs w:val="20"/>
          <w:lang w:val="es-ES"/>
        </w:rPr>
        <w:t>es</w:t>
      </w:r>
      <w:r w:rsidRPr="009631AB">
        <w:rPr>
          <w:rFonts w:eastAsia="Batang" w:cs="Times New Roman"/>
          <w:noProof/>
          <w:szCs w:val="20"/>
          <w:lang w:val="es-ES"/>
        </w:rPr>
        <w:t xml:space="preserve"> y </w:t>
      </w:r>
      <w:r w:rsidRPr="009631AB">
        <w:rPr>
          <w:rFonts w:eastAsia="Batang" w:cs="Verdana"/>
          <w:noProof/>
          <w:szCs w:val="20"/>
          <w:lang w:val="es-ES" w:eastAsia="es-ES"/>
        </w:rPr>
        <w:t>contestación</w:t>
      </w:r>
      <w:r w:rsidRPr="009631AB">
        <w:rPr>
          <w:rFonts w:eastAsia="Batang" w:cs="Times New Roman"/>
          <w:noProof/>
          <w:szCs w:val="20"/>
          <w:lang w:val="es-ES"/>
        </w:rPr>
        <w:t xml:space="preserve"> al sometimiento del caso </w:t>
      </w:r>
      <w:r w:rsidR="001F36AF" w:rsidRPr="009631AB">
        <w:rPr>
          <w:rFonts w:eastAsia="Batang" w:cs="Times New Roman"/>
          <w:noProof/>
          <w:szCs w:val="20"/>
          <w:lang w:val="es-ES"/>
        </w:rPr>
        <w:t>y observaciones al escrito de solicitudes</w:t>
      </w:r>
      <w:r w:rsidR="00C060AA" w:rsidRPr="009631AB">
        <w:rPr>
          <w:rFonts w:eastAsia="Batang" w:cs="Times New Roman"/>
          <w:noProof/>
          <w:szCs w:val="20"/>
          <w:lang w:val="es-ES"/>
        </w:rPr>
        <w:t xml:space="preserve"> y</w:t>
      </w:r>
      <w:r w:rsidR="001F36AF" w:rsidRPr="009631AB">
        <w:rPr>
          <w:rFonts w:eastAsia="Batang" w:cs="Times New Roman"/>
          <w:noProof/>
          <w:szCs w:val="20"/>
          <w:lang w:val="es-ES"/>
        </w:rPr>
        <w:t xml:space="preserve"> argumentos </w:t>
      </w:r>
      <w:r w:rsidRPr="009631AB">
        <w:rPr>
          <w:rFonts w:eastAsia="Batang" w:cs="Times New Roman"/>
          <w:noProof/>
          <w:szCs w:val="20"/>
          <w:lang w:val="es-ES"/>
        </w:rPr>
        <w:t>(en adelante “contestación” o “escrito de contestación”), en los términos del artículo 41 del Reglamento del Tribunal</w:t>
      </w:r>
      <w:r w:rsidR="00002968" w:rsidRPr="009631AB">
        <w:rPr>
          <w:rStyle w:val="Refdenotaalpie"/>
          <w:rFonts w:ascii="Verdana" w:eastAsia="Calibri" w:hAnsi="Verdana"/>
          <w:bCs/>
          <w:i/>
          <w:noProof/>
          <w:lang w:val="es-ES"/>
        </w:rPr>
        <w:footnoteReference w:id="4"/>
      </w:r>
      <w:r w:rsidRPr="009631AB">
        <w:rPr>
          <w:rFonts w:eastAsia="Batang" w:cs="Times New Roman"/>
          <w:noProof/>
          <w:szCs w:val="20"/>
          <w:lang w:val="es-ES"/>
        </w:rPr>
        <w:t xml:space="preserve">. El Estado interpuso </w:t>
      </w:r>
      <w:r w:rsidR="003B4F3F" w:rsidRPr="009631AB">
        <w:rPr>
          <w:rFonts w:eastAsia="Batang" w:cs="Times New Roman"/>
          <w:noProof/>
          <w:szCs w:val="20"/>
          <w:lang w:val="es-ES"/>
        </w:rPr>
        <w:t>cuatro</w:t>
      </w:r>
      <w:r w:rsidRPr="009631AB">
        <w:rPr>
          <w:rFonts w:eastAsia="Batang" w:cs="Times New Roman"/>
          <w:noProof/>
          <w:szCs w:val="20"/>
          <w:lang w:val="es-ES"/>
        </w:rPr>
        <w:t xml:space="preserve"> excepci</w:t>
      </w:r>
      <w:r w:rsidR="008E0872" w:rsidRPr="009631AB">
        <w:rPr>
          <w:rFonts w:eastAsia="Batang" w:cs="Times New Roman"/>
          <w:noProof/>
          <w:szCs w:val="20"/>
          <w:lang w:val="es-ES"/>
        </w:rPr>
        <w:t>ones</w:t>
      </w:r>
      <w:r w:rsidRPr="009631AB">
        <w:rPr>
          <w:rFonts w:eastAsia="Batang" w:cs="Times New Roman"/>
          <w:noProof/>
          <w:szCs w:val="20"/>
          <w:lang w:val="es-ES"/>
        </w:rPr>
        <w:t xml:space="preserve"> preliminar</w:t>
      </w:r>
      <w:r w:rsidR="008E0872" w:rsidRPr="009631AB">
        <w:rPr>
          <w:rFonts w:eastAsia="Batang" w:cs="Times New Roman"/>
          <w:noProof/>
          <w:szCs w:val="20"/>
          <w:lang w:val="es-ES"/>
        </w:rPr>
        <w:t>es</w:t>
      </w:r>
      <w:r w:rsidR="00D30BA7" w:rsidRPr="009631AB">
        <w:rPr>
          <w:rFonts w:eastAsia="Batang" w:cs="Times New Roman"/>
          <w:noProof/>
          <w:szCs w:val="20"/>
          <w:lang w:val="es-ES"/>
        </w:rPr>
        <w:t xml:space="preserve">. </w:t>
      </w:r>
    </w:p>
    <w:p w14:paraId="465BDB69" w14:textId="77777777" w:rsidR="009F67A7" w:rsidRPr="009631AB" w:rsidRDefault="00E07224" w:rsidP="00734B53">
      <w:pPr>
        <w:autoSpaceDE w:val="0"/>
        <w:autoSpaceDN w:val="0"/>
        <w:adjustRightInd w:val="0"/>
        <w:spacing w:after="0" w:line="240" w:lineRule="auto"/>
        <w:ind w:right="6"/>
        <w:jc w:val="both"/>
        <w:rPr>
          <w:rFonts w:cs="Times New Roman"/>
          <w:szCs w:val="20"/>
          <w:highlight w:val="green"/>
          <w:lang w:val="es-ES" w:eastAsia="es-ES"/>
        </w:rPr>
      </w:pPr>
      <w:r w:rsidRPr="009631AB">
        <w:rPr>
          <w:rFonts w:eastAsia="Batang" w:cs="Verdana"/>
          <w:noProof/>
          <w:szCs w:val="20"/>
          <w:highlight w:val="green"/>
          <w:lang w:val="es-ES"/>
        </w:rPr>
        <w:t xml:space="preserve"> </w:t>
      </w:r>
    </w:p>
    <w:p w14:paraId="4CFD2D60" w14:textId="1CD3462B" w:rsidR="009F67A7" w:rsidRPr="009631AB" w:rsidRDefault="001D1455" w:rsidP="00734B53">
      <w:pPr>
        <w:numPr>
          <w:ilvl w:val="0"/>
          <w:numId w:val="5"/>
        </w:numPr>
        <w:autoSpaceDE w:val="0"/>
        <w:autoSpaceDN w:val="0"/>
        <w:adjustRightInd w:val="0"/>
        <w:spacing w:after="0" w:line="240" w:lineRule="auto"/>
        <w:ind w:right="6"/>
        <w:jc w:val="both"/>
        <w:rPr>
          <w:rFonts w:eastAsia="Batang" w:cs="Times New Roman"/>
          <w:noProof/>
          <w:szCs w:val="20"/>
          <w:lang w:val="es-ES" w:eastAsia="es-ES"/>
        </w:rPr>
      </w:pPr>
      <w:r w:rsidRPr="009631AB">
        <w:rPr>
          <w:rFonts w:eastAsia="Batang" w:cs="Times New Roman"/>
          <w:i/>
          <w:noProof/>
          <w:szCs w:val="20"/>
          <w:lang w:val="es-ES" w:eastAsia="es-ES"/>
        </w:rPr>
        <w:t>Observaciones a la</w:t>
      </w:r>
      <w:r w:rsidR="00621580" w:rsidRPr="009631AB">
        <w:rPr>
          <w:rFonts w:eastAsia="Batang" w:cs="Times New Roman"/>
          <w:i/>
          <w:noProof/>
          <w:szCs w:val="20"/>
          <w:lang w:val="es-ES" w:eastAsia="es-ES"/>
        </w:rPr>
        <w:t>s</w:t>
      </w:r>
      <w:r w:rsidRPr="009631AB">
        <w:rPr>
          <w:rFonts w:eastAsia="Batang" w:cs="Times New Roman"/>
          <w:i/>
          <w:noProof/>
          <w:szCs w:val="20"/>
          <w:lang w:val="es-ES" w:eastAsia="es-ES"/>
        </w:rPr>
        <w:t xml:space="preserve"> excepci</w:t>
      </w:r>
      <w:r w:rsidR="00621580" w:rsidRPr="009631AB">
        <w:rPr>
          <w:rFonts w:eastAsia="Batang" w:cs="Times New Roman"/>
          <w:i/>
          <w:noProof/>
          <w:szCs w:val="20"/>
          <w:lang w:val="es-ES" w:eastAsia="es-ES"/>
        </w:rPr>
        <w:t>o</w:t>
      </w:r>
      <w:r w:rsidR="00395CB7" w:rsidRPr="009631AB">
        <w:rPr>
          <w:rFonts w:eastAsia="Batang" w:cs="Times New Roman"/>
          <w:i/>
          <w:noProof/>
          <w:szCs w:val="20"/>
          <w:lang w:val="es-ES" w:eastAsia="es-ES"/>
        </w:rPr>
        <w:t>n</w:t>
      </w:r>
      <w:r w:rsidR="00621580" w:rsidRPr="009631AB">
        <w:rPr>
          <w:rFonts w:eastAsia="Batang" w:cs="Times New Roman"/>
          <w:i/>
          <w:noProof/>
          <w:szCs w:val="20"/>
          <w:lang w:val="es-ES" w:eastAsia="es-ES"/>
        </w:rPr>
        <w:t>es</w:t>
      </w:r>
      <w:r w:rsidR="00395CB7" w:rsidRPr="009631AB">
        <w:rPr>
          <w:rFonts w:eastAsia="Batang" w:cs="Times New Roman"/>
          <w:i/>
          <w:noProof/>
          <w:szCs w:val="20"/>
          <w:lang w:val="es-ES" w:eastAsia="es-ES"/>
        </w:rPr>
        <w:t xml:space="preserve"> </w:t>
      </w:r>
      <w:r w:rsidRPr="009631AB">
        <w:rPr>
          <w:rFonts w:eastAsia="Batang" w:cs="Times New Roman"/>
          <w:i/>
          <w:noProof/>
          <w:szCs w:val="20"/>
          <w:lang w:val="es-ES" w:eastAsia="es-ES"/>
        </w:rPr>
        <w:t>preliminar</w:t>
      </w:r>
      <w:r w:rsidR="00621580" w:rsidRPr="009631AB">
        <w:rPr>
          <w:rFonts w:eastAsia="Batang" w:cs="Times New Roman"/>
          <w:i/>
          <w:noProof/>
          <w:szCs w:val="20"/>
          <w:lang w:val="es-ES" w:eastAsia="es-ES"/>
        </w:rPr>
        <w:t>es</w:t>
      </w:r>
      <w:r w:rsidRPr="009631AB">
        <w:rPr>
          <w:rFonts w:eastAsia="Batang" w:cs="Times New Roman"/>
          <w:i/>
          <w:noProof/>
          <w:szCs w:val="20"/>
          <w:lang w:val="es-ES" w:eastAsia="es-ES"/>
        </w:rPr>
        <w:t>.</w:t>
      </w:r>
      <w:r w:rsidR="005638FE" w:rsidRPr="009631AB">
        <w:rPr>
          <w:rFonts w:eastAsia="Calibri" w:cs="Times New Roman"/>
          <w:bCs/>
          <w:i/>
          <w:noProof/>
          <w:szCs w:val="20"/>
          <w:lang w:val="es-ES"/>
        </w:rPr>
        <w:t>–</w:t>
      </w:r>
      <w:r w:rsidR="007F18ED" w:rsidRPr="009631AB">
        <w:rPr>
          <w:rFonts w:eastAsia="Batang" w:cs="Times New Roman"/>
          <w:i/>
          <w:noProof/>
          <w:szCs w:val="20"/>
          <w:lang w:val="es-ES" w:eastAsia="es-ES"/>
        </w:rPr>
        <w:t xml:space="preserve"> </w:t>
      </w:r>
      <w:r w:rsidR="00DC5147" w:rsidRPr="009631AB">
        <w:rPr>
          <w:rFonts w:eastAsia="Batang" w:cs="Times New Roman"/>
          <w:noProof/>
          <w:szCs w:val="20"/>
          <w:lang w:val="es-ES" w:eastAsia="es-ES"/>
        </w:rPr>
        <w:t>Mediante escrito</w:t>
      </w:r>
      <w:r w:rsidR="00347704" w:rsidRPr="009631AB">
        <w:rPr>
          <w:rFonts w:eastAsia="Batang" w:cs="Times New Roman"/>
          <w:noProof/>
          <w:szCs w:val="20"/>
          <w:lang w:val="es-ES" w:eastAsia="es-ES"/>
        </w:rPr>
        <w:t>s</w:t>
      </w:r>
      <w:r w:rsidR="00275102" w:rsidRPr="009631AB">
        <w:rPr>
          <w:rFonts w:eastAsia="Batang" w:cs="Times New Roman"/>
          <w:noProof/>
          <w:szCs w:val="20"/>
          <w:lang w:val="es-ES" w:eastAsia="es-ES"/>
        </w:rPr>
        <w:t xml:space="preserve"> recibi</w:t>
      </w:r>
      <w:r w:rsidR="00DC5147" w:rsidRPr="009631AB">
        <w:rPr>
          <w:rFonts w:eastAsia="Batang" w:cs="Times New Roman"/>
          <w:noProof/>
          <w:szCs w:val="20"/>
          <w:lang w:val="es-ES" w:eastAsia="es-ES"/>
        </w:rPr>
        <w:t>do</w:t>
      </w:r>
      <w:r w:rsidR="00347704" w:rsidRPr="009631AB">
        <w:rPr>
          <w:rFonts w:eastAsia="Batang" w:cs="Times New Roman"/>
          <w:noProof/>
          <w:szCs w:val="20"/>
          <w:lang w:val="es-ES" w:eastAsia="es-ES"/>
        </w:rPr>
        <w:t>s</w:t>
      </w:r>
      <w:r w:rsidR="00275102" w:rsidRPr="009631AB">
        <w:rPr>
          <w:rFonts w:eastAsia="Batang" w:cs="Times New Roman"/>
          <w:noProof/>
          <w:szCs w:val="20"/>
          <w:lang w:val="es-ES" w:eastAsia="es-ES"/>
        </w:rPr>
        <w:t xml:space="preserve"> el </w:t>
      </w:r>
      <w:r w:rsidR="00DC5147" w:rsidRPr="009631AB">
        <w:rPr>
          <w:rFonts w:eastAsia="Batang" w:cs="Times New Roman"/>
          <w:noProof/>
          <w:szCs w:val="20"/>
          <w:lang w:val="es-ES" w:eastAsia="es-ES"/>
        </w:rPr>
        <w:t xml:space="preserve">17 </w:t>
      </w:r>
      <w:r w:rsidR="00347704" w:rsidRPr="009631AB">
        <w:rPr>
          <w:rFonts w:eastAsia="Batang" w:cs="Times New Roman"/>
          <w:noProof/>
          <w:szCs w:val="20"/>
          <w:lang w:val="es-ES" w:eastAsia="es-ES"/>
        </w:rPr>
        <w:t xml:space="preserve">y 19 </w:t>
      </w:r>
      <w:r w:rsidR="009F67A7" w:rsidRPr="009631AB">
        <w:rPr>
          <w:rFonts w:eastAsia="Batang" w:cs="Times New Roman"/>
          <w:noProof/>
          <w:szCs w:val="20"/>
          <w:lang w:val="es-ES" w:eastAsia="es-ES"/>
        </w:rPr>
        <w:t xml:space="preserve">de </w:t>
      </w:r>
      <w:r w:rsidR="00DC5147" w:rsidRPr="009631AB">
        <w:rPr>
          <w:rFonts w:eastAsia="Batang" w:cs="Times New Roman"/>
          <w:noProof/>
          <w:szCs w:val="20"/>
          <w:lang w:val="es-ES" w:eastAsia="es-ES"/>
        </w:rPr>
        <w:t>octubre</w:t>
      </w:r>
      <w:r w:rsidR="009F67A7" w:rsidRPr="009631AB">
        <w:rPr>
          <w:rFonts w:eastAsia="Batang" w:cs="Times New Roman"/>
          <w:noProof/>
          <w:szCs w:val="20"/>
          <w:lang w:val="es-ES" w:eastAsia="es-ES"/>
        </w:rPr>
        <w:t xml:space="preserve"> de 201</w:t>
      </w:r>
      <w:r w:rsidR="00BF1A07" w:rsidRPr="009631AB">
        <w:rPr>
          <w:rFonts w:eastAsia="Batang" w:cs="Times New Roman"/>
          <w:noProof/>
          <w:szCs w:val="20"/>
          <w:lang w:val="es-ES" w:eastAsia="es-ES"/>
        </w:rPr>
        <w:t xml:space="preserve">8, </w:t>
      </w:r>
      <w:r w:rsidR="007F18ED" w:rsidRPr="009631AB">
        <w:rPr>
          <w:rFonts w:eastAsia="Batang" w:cs="Times New Roman"/>
          <w:noProof/>
          <w:szCs w:val="20"/>
          <w:lang w:val="es-ES" w:eastAsia="es-ES"/>
        </w:rPr>
        <w:t>los representantes</w:t>
      </w:r>
      <w:r w:rsidR="00BF1A07" w:rsidRPr="009631AB">
        <w:rPr>
          <w:rFonts w:eastAsia="Batang" w:cs="Times New Roman"/>
          <w:noProof/>
          <w:szCs w:val="20"/>
          <w:lang w:val="es-ES" w:eastAsia="es-ES"/>
        </w:rPr>
        <w:t xml:space="preserve"> y </w:t>
      </w:r>
      <w:r w:rsidR="00395CB7" w:rsidRPr="009631AB">
        <w:rPr>
          <w:rFonts w:eastAsia="Batang" w:cs="Times New Roman"/>
          <w:noProof/>
          <w:szCs w:val="20"/>
          <w:lang w:val="es-ES" w:eastAsia="es-ES"/>
        </w:rPr>
        <w:t xml:space="preserve">la Comisión Interamericana </w:t>
      </w:r>
      <w:r w:rsidR="00275102" w:rsidRPr="009631AB">
        <w:rPr>
          <w:rFonts w:eastAsia="Batang" w:cs="Times New Roman"/>
          <w:noProof/>
          <w:szCs w:val="20"/>
          <w:lang w:val="es-ES" w:eastAsia="es-ES"/>
        </w:rPr>
        <w:t>presentaron</w:t>
      </w:r>
      <w:r w:rsidR="00002968" w:rsidRPr="009631AB">
        <w:rPr>
          <w:rFonts w:eastAsia="Batang" w:cs="Times New Roman"/>
          <w:noProof/>
          <w:szCs w:val="20"/>
          <w:lang w:val="es-ES" w:eastAsia="es-ES"/>
        </w:rPr>
        <w:t>,</w:t>
      </w:r>
      <w:r w:rsidR="002C5735" w:rsidRPr="009631AB">
        <w:rPr>
          <w:rFonts w:eastAsia="Batang" w:cs="Times New Roman"/>
          <w:noProof/>
          <w:szCs w:val="20"/>
          <w:lang w:val="es-ES" w:eastAsia="es-ES"/>
        </w:rPr>
        <w:t xml:space="preserve"> respectivamente</w:t>
      </w:r>
      <w:r w:rsidR="00002968" w:rsidRPr="009631AB">
        <w:rPr>
          <w:rFonts w:eastAsia="Batang" w:cs="Times New Roman"/>
          <w:noProof/>
          <w:szCs w:val="20"/>
          <w:lang w:val="es-ES" w:eastAsia="es-ES"/>
        </w:rPr>
        <w:t>,</w:t>
      </w:r>
      <w:r w:rsidR="007F18ED" w:rsidRPr="009631AB">
        <w:rPr>
          <w:rFonts w:eastAsia="Batang" w:cs="Times New Roman"/>
          <w:noProof/>
          <w:szCs w:val="20"/>
          <w:lang w:val="es-ES" w:eastAsia="es-ES"/>
        </w:rPr>
        <w:t xml:space="preserve"> </w:t>
      </w:r>
      <w:r w:rsidR="009F67A7" w:rsidRPr="009631AB">
        <w:rPr>
          <w:rFonts w:eastAsia="Batang" w:cs="Times New Roman"/>
          <w:noProof/>
          <w:szCs w:val="20"/>
          <w:lang w:val="es-ES" w:eastAsia="es-ES"/>
        </w:rPr>
        <w:t xml:space="preserve">sus observaciones </w:t>
      </w:r>
      <w:r w:rsidR="00DF4484" w:rsidRPr="009631AB">
        <w:rPr>
          <w:rFonts w:eastAsia="Batang" w:cs="Times New Roman"/>
          <w:noProof/>
          <w:szCs w:val="20"/>
          <w:lang w:val="es-ES" w:eastAsia="es-ES"/>
        </w:rPr>
        <w:t>a la</w:t>
      </w:r>
      <w:r w:rsidR="00621580" w:rsidRPr="009631AB">
        <w:rPr>
          <w:rFonts w:eastAsia="Batang" w:cs="Times New Roman"/>
          <w:noProof/>
          <w:szCs w:val="20"/>
          <w:lang w:val="es-ES" w:eastAsia="es-ES"/>
        </w:rPr>
        <w:t>s</w:t>
      </w:r>
      <w:r w:rsidR="00DF4484" w:rsidRPr="009631AB">
        <w:rPr>
          <w:rFonts w:eastAsia="Batang" w:cs="Times New Roman"/>
          <w:noProof/>
          <w:szCs w:val="20"/>
          <w:lang w:val="es-ES" w:eastAsia="es-ES"/>
        </w:rPr>
        <w:t xml:space="preserve"> excepci</w:t>
      </w:r>
      <w:r w:rsidR="00621580" w:rsidRPr="009631AB">
        <w:rPr>
          <w:rFonts w:eastAsia="Batang" w:cs="Times New Roman"/>
          <w:noProof/>
          <w:szCs w:val="20"/>
          <w:lang w:val="es-ES" w:eastAsia="es-ES"/>
        </w:rPr>
        <w:t>o</w:t>
      </w:r>
      <w:r w:rsidR="002B3594" w:rsidRPr="009631AB">
        <w:rPr>
          <w:rFonts w:eastAsia="Batang" w:cs="Times New Roman"/>
          <w:noProof/>
          <w:szCs w:val="20"/>
          <w:lang w:val="es-ES" w:eastAsia="es-ES"/>
        </w:rPr>
        <w:t>n</w:t>
      </w:r>
      <w:r w:rsidR="00621580" w:rsidRPr="009631AB">
        <w:rPr>
          <w:rFonts w:eastAsia="Batang" w:cs="Times New Roman"/>
          <w:noProof/>
          <w:szCs w:val="20"/>
          <w:lang w:val="es-ES" w:eastAsia="es-ES"/>
        </w:rPr>
        <w:t>es</w:t>
      </w:r>
      <w:r w:rsidR="00DF4484" w:rsidRPr="009631AB">
        <w:rPr>
          <w:rFonts w:eastAsia="Batang" w:cs="Times New Roman"/>
          <w:noProof/>
          <w:szCs w:val="20"/>
          <w:lang w:val="es-ES" w:eastAsia="es-ES"/>
        </w:rPr>
        <w:t xml:space="preserve"> preliminar</w:t>
      </w:r>
      <w:r w:rsidR="00621580" w:rsidRPr="009631AB">
        <w:rPr>
          <w:rFonts w:eastAsia="Batang" w:cs="Times New Roman"/>
          <w:noProof/>
          <w:szCs w:val="20"/>
          <w:lang w:val="es-ES" w:eastAsia="es-ES"/>
        </w:rPr>
        <w:t>es</w:t>
      </w:r>
      <w:r w:rsidR="00DF4484" w:rsidRPr="009631AB">
        <w:rPr>
          <w:rFonts w:eastAsia="Batang" w:cs="Times New Roman"/>
          <w:noProof/>
          <w:szCs w:val="20"/>
          <w:lang w:val="es-ES" w:eastAsia="es-ES"/>
        </w:rPr>
        <w:t>.</w:t>
      </w:r>
      <w:r w:rsidR="00BF1A07" w:rsidRPr="009631AB">
        <w:rPr>
          <w:rFonts w:eastAsia="Batang" w:cs="Times New Roman"/>
          <w:noProof/>
          <w:szCs w:val="20"/>
          <w:lang w:val="es-ES" w:eastAsia="es-ES"/>
        </w:rPr>
        <w:t xml:space="preserve"> </w:t>
      </w:r>
      <w:r w:rsidR="00EB0285" w:rsidRPr="009631AB">
        <w:rPr>
          <w:rFonts w:eastAsia="Batang" w:cs="Times New Roman"/>
          <w:noProof/>
          <w:szCs w:val="20"/>
          <w:lang w:val="es-ES" w:eastAsia="es-ES"/>
        </w:rPr>
        <w:t>El escrito</w:t>
      </w:r>
      <w:r w:rsidR="00EB0285" w:rsidRPr="009631AB">
        <w:rPr>
          <w:rFonts w:eastAsia="Batang" w:cs="Times New Roman"/>
          <w:b/>
          <w:noProof/>
          <w:szCs w:val="20"/>
          <w:lang w:val="es-ES" w:eastAsia="es-ES"/>
        </w:rPr>
        <w:t xml:space="preserve"> </w:t>
      </w:r>
      <w:r w:rsidR="00EB0285" w:rsidRPr="009631AB">
        <w:rPr>
          <w:rFonts w:eastAsia="Batang" w:cs="Times New Roman"/>
          <w:noProof/>
          <w:szCs w:val="20"/>
          <w:lang w:val="es-ES" w:eastAsia="es-ES"/>
        </w:rPr>
        <w:t xml:space="preserve">de la Comisión se </w:t>
      </w:r>
      <w:r w:rsidR="005638FE" w:rsidRPr="009631AB">
        <w:rPr>
          <w:rFonts w:eastAsia="Batang" w:cs="Times New Roman"/>
          <w:noProof/>
          <w:szCs w:val="20"/>
          <w:lang w:val="es-ES" w:eastAsia="es-ES"/>
        </w:rPr>
        <w:t>consider</w:t>
      </w:r>
      <w:r w:rsidR="00EB0285" w:rsidRPr="009631AB">
        <w:rPr>
          <w:rFonts w:eastAsia="Batang" w:cs="Times New Roman"/>
          <w:noProof/>
          <w:szCs w:val="20"/>
          <w:lang w:val="es-ES" w:eastAsia="es-ES"/>
        </w:rPr>
        <w:t xml:space="preserve">ó </w:t>
      </w:r>
      <w:r w:rsidR="007872A2" w:rsidRPr="009631AB">
        <w:rPr>
          <w:rFonts w:eastAsia="Batang" w:cs="Times New Roman"/>
          <w:noProof/>
          <w:szCs w:val="20"/>
          <w:lang w:val="es-ES" w:eastAsia="es-ES"/>
        </w:rPr>
        <w:t>extemporá</w:t>
      </w:r>
      <w:r w:rsidR="00EB0285" w:rsidRPr="009631AB">
        <w:rPr>
          <w:rFonts w:eastAsia="Batang" w:cs="Times New Roman"/>
          <w:noProof/>
          <w:szCs w:val="20"/>
          <w:lang w:val="es-ES" w:eastAsia="es-ES"/>
        </w:rPr>
        <w:t xml:space="preserve">neo y, por lo tanto, inadmisible, en razón de que el plazo para la presentación de sus observaciones venció el </w:t>
      </w:r>
      <w:r w:rsidR="005418AB" w:rsidRPr="009631AB">
        <w:rPr>
          <w:rFonts w:eastAsia="Batang" w:cs="Times New Roman"/>
          <w:noProof/>
          <w:szCs w:val="20"/>
          <w:lang w:val="es-ES" w:eastAsia="es-ES"/>
        </w:rPr>
        <w:t>18 de octubre de 2018</w:t>
      </w:r>
      <w:r w:rsidR="00347704" w:rsidRPr="009631AB">
        <w:rPr>
          <w:rFonts w:eastAsia="Batang" w:cs="Times New Roman"/>
          <w:noProof/>
          <w:szCs w:val="20"/>
          <w:lang w:val="es-ES" w:eastAsia="es-ES"/>
        </w:rPr>
        <w:t xml:space="preserve">. </w:t>
      </w:r>
    </w:p>
    <w:p w14:paraId="27C29ABC" w14:textId="77777777" w:rsidR="000E2D97" w:rsidRPr="009631AB" w:rsidRDefault="000E2D97" w:rsidP="00734B53">
      <w:pPr>
        <w:autoSpaceDE w:val="0"/>
        <w:autoSpaceDN w:val="0"/>
        <w:adjustRightInd w:val="0"/>
        <w:spacing w:after="0" w:line="240" w:lineRule="auto"/>
        <w:ind w:right="6"/>
        <w:jc w:val="both"/>
        <w:rPr>
          <w:rFonts w:eastAsia="Batang" w:cs="Times New Roman"/>
          <w:noProof/>
          <w:szCs w:val="20"/>
          <w:lang w:val="es-ES" w:eastAsia="es-ES"/>
        </w:rPr>
      </w:pPr>
    </w:p>
    <w:p w14:paraId="6FB6F67C" w14:textId="3CCAB0CF" w:rsidR="00810746" w:rsidRPr="009631AB" w:rsidRDefault="00810746" w:rsidP="00734B53">
      <w:pPr>
        <w:pStyle w:val="Prrafodelista"/>
        <w:numPr>
          <w:ilvl w:val="0"/>
          <w:numId w:val="5"/>
        </w:numPr>
        <w:contextualSpacing w:val="0"/>
        <w:rPr>
          <w:rFonts w:cs="Times New Roman"/>
          <w:szCs w:val="20"/>
          <w:lang w:val="es-ES" w:eastAsia="es-ES"/>
        </w:rPr>
      </w:pPr>
      <w:r w:rsidRPr="009631AB">
        <w:rPr>
          <w:rFonts w:cs="Times New Roman"/>
          <w:i/>
          <w:szCs w:val="20"/>
          <w:lang w:val="es-ES" w:eastAsia="es-ES"/>
        </w:rPr>
        <w:t>Fondo de Asistencia Legal</w:t>
      </w:r>
      <w:r w:rsidR="00D20889" w:rsidRPr="009631AB">
        <w:rPr>
          <w:rFonts w:cs="Times New Roman"/>
          <w:szCs w:val="20"/>
          <w:lang w:val="es-ES" w:eastAsia="es-ES"/>
        </w:rPr>
        <w:t>.– Mediante carta de la Secretaría de la Corte Interam</w:t>
      </w:r>
      <w:r w:rsidR="008709D6" w:rsidRPr="009631AB">
        <w:rPr>
          <w:rFonts w:cs="Times New Roman"/>
          <w:szCs w:val="20"/>
          <w:lang w:val="es-ES" w:eastAsia="es-ES"/>
        </w:rPr>
        <w:t>ericana de Derechos Humanos de 3</w:t>
      </w:r>
      <w:r w:rsidR="00D20889" w:rsidRPr="009631AB">
        <w:rPr>
          <w:rFonts w:cs="Times New Roman"/>
          <w:szCs w:val="20"/>
          <w:lang w:val="es-ES" w:eastAsia="es-ES"/>
        </w:rPr>
        <w:t>1 de octubre de 2018</w:t>
      </w:r>
      <w:r w:rsidRPr="009631AB">
        <w:rPr>
          <w:rFonts w:cs="Times New Roman"/>
          <w:szCs w:val="20"/>
          <w:lang w:val="es-ES" w:eastAsia="es-ES"/>
        </w:rPr>
        <w:t>, se declaró procedente la solicitud interpuesta por la presunta víctima para acogerse al Fondo de Asistencia Legal de Víctimas de la Corte.</w:t>
      </w:r>
    </w:p>
    <w:p w14:paraId="591AEB3B" w14:textId="77777777" w:rsidR="001D1455" w:rsidRPr="009631AB" w:rsidRDefault="001D1455" w:rsidP="00734B53">
      <w:pPr>
        <w:autoSpaceDE w:val="0"/>
        <w:autoSpaceDN w:val="0"/>
        <w:adjustRightInd w:val="0"/>
        <w:spacing w:after="0" w:line="240" w:lineRule="auto"/>
        <w:jc w:val="both"/>
        <w:rPr>
          <w:rFonts w:eastAsia="Batang" w:cs="Verdana"/>
          <w:noProof/>
          <w:szCs w:val="20"/>
          <w:lang w:val="es-ES" w:eastAsia="es-ES"/>
        </w:rPr>
      </w:pPr>
    </w:p>
    <w:p w14:paraId="78BF1DC2" w14:textId="4B0C45A1" w:rsidR="00743B21" w:rsidRPr="009631AB" w:rsidRDefault="001D1455" w:rsidP="00734B53">
      <w:pPr>
        <w:numPr>
          <w:ilvl w:val="0"/>
          <w:numId w:val="4"/>
        </w:numPr>
        <w:autoSpaceDE w:val="0"/>
        <w:autoSpaceDN w:val="0"/>
        <w:adjustRightInd w:val="0"/>
        <w:spacing w:after="0" w:line="240" w:lineRule="auto"/>
        <w:ind w:right="6"/>
        <w:jc w:val="both"/>
        <w:rPr>
          <w:rFonts w:eastAsia="Batang" w:cs="Times New Roman"/>
          <w:noProof/>
          <w:szCs w:val="20"/>
          <w:lang w:val="es-ES" w:eastAsia="es-ES"/>
        </w:rPr>
      </w:pPr>
      <w:r w:rsidRPr="009631AB">
        <w:rPr>
          <w:rFonts w:eastAsia="Batang" w:cs="Times New Roman"/>
          <w:i/>
          <w:noProof/>
          <w:szCs w:val="20"/>
          <w:lang w:val="es-ES" w:eastAsia="es-ES"/>
        </w:rPr>
        <w:t>Audiencia pública.–</w:t>
      </w:r>
      <w:r w:rsidRPr="009631AB">
        <w:rPr>
          <w:rFonts w:eastAsia="Batang" w:cs="Times New Roman"/>
          <w:noProof/>
          <w:szCs w:val="20"/>
          <w:lang w:val="es-ES" w:eastAsia="es-ES"/>
        </w:rPr>
        <w:t xml:space="preserve"> </w:t>
      </w:r>
      <w:r w:rsidR="00743B21" w:rsidRPr="009631AB">
        <w:rPr>
          <w:rFonts w:eastAsia="Batang" w:cs="Times New Roman"/>
          <w:noProof/>
          <w:szCs w:val="20"/>
          <w:lang w:val="es-ES" w:eastAsia="es-ES"/>
        </w:rPr>
        <w:t xml:space="preserve">El </w:t>
      </w:r>
      <w:r w:rsidR="005418AB" w:rsidRPr="009631AB">
        <w:rPr>
          <w:rFonts w:eastAsia="Batang" w:cs="Times New Roman"/>
          <w:noProof/>
          <w:szCs w:val="20"/>
          <w:lang w:val="es-ES" w:eastAsia="es-ES"/>
        </w:rPr>
        <w:t>25</w:t>
      </w:r>
      <w:r w:rsidR="00AF173D" w:rsidRPr="009631AB">
        <w:rPr>
          <w:rFonts w:eastAsia="Batang" w:cs="Times New Roman"/>
          <w:noProof/>
          <w:szCs w:val="20"/>
          <w:lang w:val="es-ES" w:eastAsia="es-ES"/>
        </w:rPr>
        <w:t xml:space="preserve"> de </w:t>
      </w:r>
      <w:r w:rsidR="005418AB" w:rsidRPr="009631AB">
        <w:rPr>
          <w:rFonts w:eastAsia="Batang" w:cs="Times New Roman"/>
          <w:noProof/>
          <w:szCs w:val="20"/>
          <w:lang w:val="es-ES" w:eastAsia="es-ES"/>
        </w:rPr>
        <w:t>junio</w:t>
      </w:r>
      <w:r w:rsidR="00BE06B4" w:rsidRPr="009631AB">
        <w:rPr>
          <w:rFonts w:eastAsia="Batang" w:cs="Times New Roman"/>
          <w:noProof/>
          <w:szCs w:val="20"/>
          <w:lang w:val="es-ES" w:eastAsia="es-ES"/>
        </w:rPr>
        <w:t xml:space="preserve"> </w:t>
      </w:r>
      <w:r w:rsidR="002C1AA7" w:rsidRPr="009631AB">
        <w:rPr>
          <w:rFonts w:eastAsia="Batang" w:cs="Times New Roman"/>
          <w:noProof/>
          <w:szCs w:val="20"/>
          <w:lang w:val="es-ES" w:eastAsia="es-ES"/>
        </w:rPr>
        <w:t>de 201</w:t>
      </w:r>
      <w:r w:rsidR="00733AF2" w:rsidRPr="009631AB">
        <w:rPr>
          <w:rFonts w:eastAsia="Batang" w:cs="Times New Roman"/>
          <w:noProof/>
          <w:szCs w:val="20"/>
          <w:lang w:val="es-ES" w:eastAsia="es-ES"/>
        </w:rPr>
        <w:t>9</w:t>
      </w:r>
      <w:r w:rsidR="002C1AA7" w:rsidRPr="009631AB">
        <w:rPr>
          <w:rFonts w:eastAsia="Batang" w:cs="Times New Roman"/>
          <w:noProof/>
          <w:szCs w:val="20"/>
          <w:lang w:val="es-ES" w:eastAsia="es-ES"/>
        </w:rPr>
        <w:t xml:space="preserve"> el Presidente </w:t>
      </w:r>
      <w:r w:rsidR="00743B21" w:rsidRPr="009631AB">
        <w:rPr>
          <w:rFonts w:eastAsia="Batang" w:cs="Times New Roman"/>
          <w:noProof/>
          <w:szCs w:val="20"/>
          <w:lang w:val="es-ES" w:eastAsia="es-ES"/>
        </w:rPr>
        <w:t>de la Corte dictó una Resolución</w:t>
      </w:r>
      <w:r w:rsidR="00743B21" w:rsidRPr="009631AB">
        <w:rPr>
          <w:rFonts w:eastAsia="Batang" w:cs="Times New Roman"/>
          <w:noProof/>
          <w:szCs w:val="20"/>
          <w:vertAlign w:val="superscript"/>
          <w:lang w:val="es-ES" w:eastAsia="es-ES"/>
        </w:rPr>
        <w:footnoteReference w:id="5"/>
      </w:r>
      <w:r w:rsidR="00743B21" w:rsidRPr="009631AB">
        <w:rPr>
          <w:rFonts w:eastAsia="Batang" w:cs="Times New Roman"/>
          <w:noProof/>
          <w:szCs w:val="20"/>
          <w:lang w:val="es-ES" w:eastAsia="es-ES"/>
        </w:rPr>
        <w:t xml:space="preserve"> en la que convocó a las partes y a la </w:t>
      </w:r>
      <w:r w:rsidR="00743B21" w:rsidRPr="009631AB">
        <w:rPr>
          <w:rFonts w:eastAsia="Batang" w:cs="Verdana"/>
          <w:noProof/>
          <w:szCs w:val="20"/>
          <w:lang w:val="es-ES" w:eastAsia="es-ES"/>
        </w:rPr>
        <w:t>Comisión</w:t>
      </w:r>
      <w:r w:rsidR="00743B21" w:rsidRPr="009631AB">
        <w:rPr>
          <w:rFonts w:eastAsia="Batang" w:cs="Times New Roman"/>
          <w:noProof/>
          <w:szCs w:val="20"/>
          <w:lang w:val="es-ES" w:eastAsia="es-ES"/>
        </w:rPr>
        <w:t xml:space="preserve"> a una </w:t>
      </w:r>
      <w:r w:rsidR="00743B21" w:rsidRPr="009631AB">
        <w:rPr>
          <w:rFonts w:eastAsia="Batang" w:cs="Verdana"/>
          <w:noProof/>
          <w:szCs w:val="20"/>
          <w:lang w:val="es-ES" w:eastAsia="es-ES"/>
        </w:rPr>
        <w:t>audiencia</w:t>
      </w:r>
      <w:r w:rsidR="00743B21" w:rsidRPr="009631AB">
        <w:rPr>
          <w:rFonts w:eastAsia="Batang" w:cs="Times New Roman"/>
          <w:noProof/>
          <w:szCs w:val="20"/>
          <w:lang w:val="es-ES" w:eastAsia="es-ES"/>
        </w:rPr>
        <w:t xml:space="preserve"> pública sobre excepciones preliminares y eventuales</w:t>
      </w:r>
      <w:r w:rsidR="00FC4608" w:rsidRPr="009631AB">
        <w:rPr>
          <w:rFonts w:eastAsia="Batang" w:cs="Times New Roman"/>
          <w:noProof/>
          <w:szCs w:val="20"/>
          <w:lang w:val="es-ES" w:eastAsia="es-ES"/>
        </w:rPr>
        <w:t xml:space="preserve"> </w:t>
      </w:r>
      <w:r w:rsidR="002C5735" w:rsidRPr="009631AB">
        <w:rPr>
          <w:rFonts w:eastAsia="Batang" w:cs="Times New Roman"/>
          <w:noProof/>
          <w:szCs w:val="20"/>
          <w:lang w:val="es-ES" w:eastAsia="es-ES"/>
        </w:rPr>
        <w:t>fondo</w:t>
      </w:r>
      <w:r w:rsidR="00BE06B4" w:rsidRPr="009631AB">
        <w:rPr>
          <w:rFonts w:eastAsia="Batang" w:cs="Times New Roman"/>
          <w:noProof/>
          <w:szCs w:val="20"/>
          <w:lang w:val="es-ES" w:eastAsia="es-ES"/>
        </w:rPr>
        <w:t>,</w:t>
      </w:r>
      <w:r w:rsidR="00587A10" w:rsidRPr="009631AB">
        <w:rPr>
          <w:rFonts w:eastAsia="Batang" w:cs="Times New Roman"/>
          <w:noProof/>
          <w:szCs w:val="20"/>
          <w:lang w:val="es-ES" w:eastAsia="es-ES"/>
        </w:rPr>
        <w:t xml:space="preserve"> </w:t>
      </w:r>
      <w:r w:rsidR="00FC4608" w:rsidRPr="009631AB">
        <w:rPr>
          <w:rFonts w:eastAsia="Batang" w:cs="Times New Roman"/>
          <w:noProof/>
          <w:szCs w:val="20"/>
          <w:lang w:val="es-ES" w:eastAsia="es-ES"/>
        </w:rPr>
        <w:t>reparaciones y costas</w:t>
      </w:r>
      <w:r w:rsidR="00BE06B4" w:rsidRPr="009631AB">
        <w:rPr>
          <w:rFonts w:eastAsia="Batang" w:cs="Times New Roman"/>
          <w:noProof/>
          <w:szCs w:val="20"/>
          <w:lang w:val="es-ES" w:eastAsia="es-ES"/>
        </w:rPr>
        <w:t>, y</w:t>
      </w:r>
      <w:r w:rsidR="00FC4608" w:rsidRPr="009631AB">
        <w:rPr>
          <w:rFonts w:eastAsia="Batang" w:cs="Times New Roman"/>
          <w:noProof/>
          <w:szCs w:val="20"/>
          <w:lang w:val="es-ES" w:eastAsia="es-ES"/>
        </w:rPr>
        <w:t xml:space="preserve"> </w:t>
      </w:r>
      <w:r w:rsidR="00743B21" w:rsidRPr="009631AB">
        <w:rPr>
          <w:rFonts w:eastAsia="Batang" w:cs="Times New Roman"/>
          <w:noProof/>
          <w:szCs w:val="20"/>
          <w:lang w:val="es-ES" w:eastAsia="es-ES"/>
        </w:rPr>
        <w:t>para escuchar los alegatos y observaciones finales orales de las partes y de la Comisión</w:t>
      </w:r>
      <w:r w:rsidR="00300242" w:rsidRPr="009631AB">
        <w:rPr>
          <w:rFonts w:eastAsia="Batang" w:cs="Times New Roman"/>
          <w:noProof/>
          <w:szCs w:val="20"/>
          <w:lang w:val="es-ES" w:eastAsia="es-ES"/>
        </w:rPr>
        <w:t>,</w:t>
      </w:r>
      <w:r w:rsidR="00743B21" w:rsidRPr="009631AB">
        <w:rPr>
          <w:rFonts w:eastAsia="Batang" w:cs="Times New Roman"/>
          <w:noProof/>
          <w:szCs w:val="20"/>
          <w:lang w:val="es-ES" w:eastAsia="es-ES"/>
        </w:rPr>
        <w:t xml:space="preserve"> respectivamente. Asimismo, ordenó la recepción en audiencia de la declaración de </w:t>
      </w:r>
      <w:r w:rsidR="00CA2E6F" w:rsidRPr="009631AB">
        <w:rPr>
          <w:rFonts w:eastAsia="Batang" w:cs="Times New Roman"/>
          <w:noProof/>
          <w:szCs w:val="20"/>
          <w:lang w:val="es-ES" w:eastAsia="es-ES"/>
        </w:rPr>
        <w:t>un</w:t>
      </w:r>
      <w:r w:rsidR="00A8741F" w:rsidRPr="009631AB">
        <w:rPr>
          <w:rFonts w:eastAsia="Batang" w:cs="Times New Roman"/>
          <w:noProof/>
          <w:szCs w:val="20"/>
          <w:lang w:val="es-ES" w:eastAsia="es-ES"/>
        </w:rPr>
        <w:t>a</w:t>
      </w:r>
      <w:r w:rsidR="00CA2E6F" w:rsidRPr="009631AB">
        <w:rPr>
          <w:rFonts w:eastAsia="Batang" w:cs="Times New Roman"/>
          <w:noProof/>
          <w:szCs w:val="20"/>
          <w:lang w:val="es-ES" w:eastAsia="es-ES"/>
        </w:rPr>
        <w:t xml:space="preserve"> testigo y </w:t>
      </w:r>
      <w:r w:rsidR="00A8741F" w:rsidRPr="009631AB">
        <w:rPr>
          <w:rFonts w:eastAsia="Batang" w:cs="Times New Roman"/>
          <w:noProof/>
          <w:szCs w:val="20"/>
          <w:lang w:val="es-ES" w:eastAsia="es-ES"/>
        </w:rPr>
        <w:t>un</w:t>
      </w:r>
      <w:r w:rsidR="00CA2E6F" w:rsidRPr="009631AB">
        <w:rPr>
          <w:rFonts w:eastAsia="Batang" w:cs="Times New Roman"/>
          <w:noProof/>
          <w:szCs w:val="20"/>
          <w:lang w:val="es-ES" w:eastAsia="es-ES"/>
        </w:rPr>
        <w:t xml:space="preserve"> perito</w:t>
      </w:r>
      <w:r w:rsidR="00743B21" w:rsidRPr="009631AB">
        <w:rPr>
          <w:rFonts w:eastAsia="Batang" w:cs="Times New Roman"/>
          <w:noProof/>
          <w:szCs w:val="20"/>
          <w:lang w:val="es-ES" w:eastAsia="es-ES"/>
        </w:rPr>
        <w:t xml:space="preserve"> propuestos por </w:t>
      </w:r>
      <w:r w:rsidR="00A8741F" w:rsidRPr="009631AB">
        <w:rPr>
          <w:rFonts w:eastAsia="Batang" w:cs="Times New Roman"/>
          <w:noProof/>
          <w:szCs w:val="20"/>
          <w:lang w:val="es-ES" w:eastAsia="es-ES"/>
        </w:rPr>
        <w:t>el representante</w:t>
      </w:r>
      <w:r w:rsidR="00CA2E6F" w:rsidRPr="009631AB">
        <w:rPr>
          <w:rFonts w:eastAsia="Batang" w:cs="Times New Roman"/>
          <w:noProof/>
          <w:szCs w:val="20"/>
          <w:lang w:val="es-ES" w:eastAsia="es-ES"/>
        </w:rPr>
        <w:t xml:space="preserve"> y </w:t>
      </w:r>
      <w:r w:rsidR="00A8741F" w:rsidRPr="009631AB">
        <w:rPr>
          <w:rFonts w:eastAsia="Batang" w:cs="Times New Roman"/>
          <w:noProof/>
          <w:szCs w:val="20"/>
          <w:lang w:val="es-ES" w:eastAsia="es-ES"/>
        </w:rPr>
        <w:t>el Estado</w:t>
      </w:r>
      <w:r w:rsidR="00822930">
        <w:rPr>
          <w:rFonts w:eastAsia="Batang" w:cs="Times New Roman"/>
          <w:noProof/>
          <w:szCs w:val="20"/>
          <w:lang w:val="es-ES" w:eastAsia="es-ES"/>
        </w:rPr>
        <w:t>, respectivamente</w:t>
      </w:r>
      <w:r w:rsidR="00743B21" w:rsidRPr="009631AB">
        <w:rPr>
          <w:rFonts w:eastAsia="Batang" w:cs="Times New Roman"/>
          <w:noProof/>
          <w:szCs w:val="20"/>
          <w:lang w:val="es-ES" w:eastAsia="es-ES"/>
        </w:rPr>
        <w:t>. Del mismo modo, en dicha resolución se ordenó recibir las declaraciones rendidas ante fe</w:t>
      </w:r>
      <w:r w:rsidR="00C80A32">
        <w:rPr>
          <w:rFonts w:eastAsia="Batang" w:cs="Times New Roman"/>
          <w:noProof/>
          <w:szCs w:val="20"/>
          <w:lang w:val="es-ES" w:eastAsia="es-ES"/>
        </w:rPr>
        <w:t>datario público (a</w:t>
      </w:r>
      <w:r w:rsidR="00395CB7" w:rsidRPr="009631AB">
        <w:rPr>
          <w:rFonts w:eastAsia="Batang" w:cs="Times New Roman"/>
          <w:noProof/>
          <w:szCs w:val="20"/>
          <w:lang w:val="es-ES" w:eastAsia="es-ES"/>
        </w:rPr>
        <w:t xml:space="preserve">fidávit) de </w:t>
      </w:r>
      <w:r w:rsidR="00A8741F" w:rsidRPr="009631AB">
        <w:rPr>
          <w:rFonts w:eastAsia="Batang" w:cs="Times New Roman"/>
          <w:noProof/>
          <w:szCs w:val="20"/>
          <w:lang w:val="es-ES" w:eastAsia="es-ES"/>
        </w:rPr>
        <w:t>la presunta víctima, seis testigos y tres peritos, propuestos por el representante y el Estado</w:t>
      </w:r>
      <w:r w:rsidR="00743B21" w:rsidRPr="009631AB">
        <w:rPr>
          <w:rFonts w:eastAsia="Batang" w:cs="Times New Roman"/>
          <w:noProof/>
          <w:szCs w:val="20"/>
          <w:lang w:val="es-ES" w:eastAsia="es-ES"/>
        </w:rPr>
        <w:t xml:space="preserve">. La audiencia pública fue celebrada el </w:t>
      </w:r>
      <w:r w:rsidR="00AB3724" w:rsidRPr="009631AB">
        <w:rPr>
          <w:rFonts w:eastAsia="Batang" w:cs="Times New Roman"/>
          <w:noProof/>
          <w:szCs w:val="20"/>
          <w:lang w:val="es-ES" w:eastAsia="es-ES"/>
        </w:rPr>
        <w:t>29 de agosto</w:t>
      </w:r>
      <w:r w:rsidR="00587A10" w:rsidRPr="009631AB">
        <w:rPr>
          <w:rFonts w:eastAsia="Batang" w:cs="Times New Roman"/>
          <w:noProof/>
          <w:szCs w:val="20"/>
          <w:lang w:val="es-ES" w:eastAsia="es-ES"/>
        </w:rPr>
        <w:t xml:space="preserve"> de 2019, durante el </w:t>
      </w:r>
      <w:r w:rsidR="00A8741F" w:rsidRPr="009631AB">
        <w:rPr>
          <w:rFonts w:eastAsia="Batang" w:cs="Times New Roman"/>
          <w:noProof/>
          <w:szCs w:val="20"/>
          <w:lang w:val="es-ES" w:eastAsia="es-ES"/>
        </w:rPr>
        <w:t>62</w:t>
      </w:r>
      <w:r w:rsidR="00743B21" w:rsidRPr="009631AB">
        <w:rPr>
          <w:rFonts w:eastAsia="Batang" w:cs="Times New Roman"/>
          <w:noProof/>
          <w:szCs w:val="20"/>
          <w:lang w:val="es-ES" w:eastAsia="es-ES"/>
        </w:rPr>
        <w:t xml:space="preserve">° Período </w:t>
      </w:r>
      <w:r w:rsidR="00A8741F" w:rsidRPr="009631AB">
        <w:rPr>
          <w:rFonts w:eastAsia="Batang" w:cs="Times New Roman"/>
          <w:noProof/>
          <w:szCs w:val="20"/>
          <w:lang w:val="es-ES" w:eastAsia="es-ES"/>
        </w:rPr>
        <w:t>Extrao</w:t>
      </w:r>
      <w:r w:rsidR="00743B21" w:rsidRPr="009631AB">
        <w:rPr>
          <w:rFonts w:eastAsia="Batang" w:cs="Times New Roman"/>
          <w:noProof/>
          <w:szCs w:val="20"/>
          <w:lang w:val="es-ES" w:eastAsia="es-ES"/>
        </w:rPr>
        <w:t>rdinario de Sesiones de la Corte, llevad</w:t>
      </w:r>
      <w:r w:rsidR="006726A1" w:rsidRPr="009631AB">
        <w:rPr>
          <w:rFonts w:eastAsia="Batang" w:cs="Times New Roman"/>
          <w:noProof/>
          <w:szCs w:val="20"/>
          <w:lang w:val="es-ES" w:eastAsia="es-ES"/>
        </w:rPr>
        <w:t>o</w:t>
      </w:r>
      <w:r w:rsidR="00743B21" w:rsidRPr="009631AB">
        <w:rPr>
          <w:rFonts w:eastAsia="Batang" w:cs="Times New Roman"/>
          <w:noProof/>
          <w:szCs w:val="20"/>
          <w:lang w:val="es-ES" w:eastAsia="es-ES"/>
        </w:rPr>
        <w:t xml:space="preserve"> a cabo en la Ciudad de </w:t>
      </w:r>
      <w:r w:rsidR="00A8741F" w:rsidRPr="009631AB">
        <w:rPr>
          <w:rFonts w:eastAsia="Batang" w:cs="Times New Roman"/>
          <w:noProof/>
          <w:szCs w:val="20"/>
          <w:lang w:val="es-ES" w:eastAsia="es-ES"/>
        </w:rPr>
        <w:t>Barranquilla, Colombia</w:t>
      </w:r>
      <w:r w:rsidR="00743B21" w:rsidRPr="009631AB">
        <w:rPr>
          <w:rFonts w:eastAsia="Batang" w:cs="Times New Roman"/>
          <w:noProof/>
          <w:szCs w:val="20"/>
          <w:vertAlign w:val="superscript"/>
          <w:lang w:val="es-ES" w:eastAsia="es-ES"/>
        </w:rPr>
        <w:footnoteReference w:id="6"/>
      </w:r>
      <w:r w:rsidR="00743B21" w:rsidRPr="009631AB">
        <w:rPr>
          <w:rFonts w:eastAsia="Batang" w:cs="Times New Roman"/>
          <w:noProof/>
          <w:szCs w:val="20"/>
          <w:lang w:val="es-ES" w:eastAsia="es-ES"/>
        </w:rPr>
        <w:t xml:space="preserve">. </w:t>
      </w:r>
    </w:p>
    <w:p w14:paraId="56E587D2" w14:textId="77777777" w:rsidR="00F77A3B" w:rsidRPr="009631AB" w:rsidRDefault="00F77A3B" w:rsidP="00734B53">
      <w:pPr>
        <w:autoSpaceDE w:val="0"/>
        <w:autoSpaceDN w:val="0"/>
        <w:adjustRightInd w:val="0"/>
        <w:spacing w:after="0" w:line="240" w:lineRule="auto"/>
        <w:ind w:right="6"/>
        <w:jc w:val="both"/>
        <w:rPr>
          <w:rFonts w:eastAsia="Batang" w:cs="Times New Roman"/>
          <w:noProof/>
          <w:szCs w:val="20"/>
          <w:lang w:val="es-ES" w:eastAsia="es-ES"/>
        </w:rPr>
      </w:pPr>
    </w:p>
    <w:p w14:paraId="3E98764E" w14:textId="1F8A8169" w:rsidR="00743B21" w:rsidRPr="009631AB" w:rsidRDefault="001D1455" w:rsidP="00734B53">
      <w:pPr>
        <w:numPr>
          <w:ilvl w:val="0"/>
          <w:numId w:val="5"/>
        </w:numPr>
        <w:autoSpaceDE w:val="0"/>
        <w:autoSpaceDN w:val="0"/>
        <w:adjustRightInd w:val="0"/>
        <w:spacing w:after="0" w:line="240" w:lineRule="auto"/>
        <w:ind w:right="6"/>
        <w:jc w:val="both"/>
        <w:rPr>
          <w:rFonts w:eastAsia="Batang" w:cs="Verdana"/>
          <w:i/>
          <w:noProof/>
          <w:szCs w:val="20"/>
          <w:lang w:val="es-ES" w:eastAsia="es-ES"/>
        </w:rPr>
      </w:pPr>
      <w:r w:rsidRPr="009631AB">
        <w:rPr>
          <w:rFonts w:eastAsia="Batang" w:cs="Arial"/>
          <w:i/>
          <w:noProof/>
          <w:szCs w:val="20"/>
          <w:lang w:val="es-ES" w:eastAsia="es-ES"/>
        </w:rPr>
        <w:t>A</w:t>
      </w:r>
      <w:r w:rsidRPr="009631AB">
        <w:rPr>
          <w:rFonts w:eastAsia="Batang" w:cs="Verdana"/>
          <w:i/>
          <w:noProof/>
          <w:szCs w:val="20"/>
          <w:lang w:val="es-ES" w:eastAsia="es-ES"/>
        </w:rPr>
        <w:t>legatos y observaciones finales escritos.</w:t>
      </w:r>
      <w:r w:rsidRPr="009631AB">
        <w:rPr>
          <w:rFonts w:eastAsia="Batang" w:cs="Verdana"/>
          <w:noProof/>
          <w:szCs w:val="20"/>
          <w:lang w:val="es-ES" w:eastAsia="es-ES"/>
        </w:rPr>
        <w:t xml:space="preserve">– </w:t>
      </w:r>
      <w:bookmarkStart w:id="47" w:name="_Ref313990861"/>
      <w:r w:rsidR="005F624B" w:rsidRPr="009631AB">
        <w:rPr>
          <w:rFonts w:eastAsia="Batang" w:cs="Verdana"/>
          <w:noProof/>
          <w:szCs w:val="20"/>
          <w:lang w:val="es-ES" w:eastAsia="es-ES"/>
        </w:rPr>
        <w:t xml:space="preserve">El </w:t>
      </w:r>
      <w:r w:rsidR="00CD55A2" w:rsidRPr="009631AB">
        <w:rPr>
          <w:rFonts w:eastAsia="Batang" w:cs="Verdana"/>
          <w:noProof/>
          <w:szCs w:val="20"/>
          <w:lang w:val="es-ES" w:eastAsia="es-ES"/>
        </w:rPr>
        <w:t xml:space="preserve">27 de septiembre </w:t>
      </w:r>
      <w:r w:rsidR="00E67683" w:rsidRPr="009631AB">
        <w:rPr>
          <w:rFonts w:eastAsia="Batang" w:cs="Verdana"/>
          <w:noProof/>
          <w:szCs w:val="20"/>
          <w:lang w:val="es-ES" w:eastAsia="es-ES"/>
        </w:rPr>
        <w:t>del 2019</w:t>
      </w:r>
      <w:r w:rsidR="005F624B" w:rsidRPr="009631AB">
        <w:rPr>
          <w:rFonts w:eastAsia="Batang" w:cs="Verdana"/>
          <w:noProof/>
          <w:szCs w:val="20"/>
          <w:lang w:val="es-ES" w:eastAsia="es-ES"/>
        </w:rPr>
        <w:t xml:space="preserve"> </w:t>
      </w:r>
      <w:r w:rsidR="0044443F" w:rsidRPr="009631AB">
        <w:rPr>
          <w:rFonts w:eastAsia="Batang" w:cs="Verdana"/>
          <w:noProof/>
          <w:szCs w:val="20"/>
          <w:lang w:val="es-ES" w:eastAsia="es-ES"/>
        </w:rPr>
        <w:t>la Comisión, los representantes y el Estado presentaton sus</w:t>
      </w:r>
      <w:r w:rsidR="008A4F50" w:rsidRPr="009631AB">
        <w:rPr>
          <w:rFonts w:eastAsia="Batang" w:cs="Verdana"/>
          <w:noProof/>
          <w:szCs w:val="20"/>
          <w:lang w:val="es-ES" w:eastAsia="es-ES"/>
        </w:rPr>
        <w:t xml:space="preserve"> observaciones y</w:t>
      </w:r>
      <w:r w:rsidR="0044443F" w:rsidRPr="009631AB">
        <w:rPr>
          <w:rFonts w:eastAsia="Batang" w:cs="Verdana"/>
          <w:noProof/>
          <w:szCs w:val="20"/>
          <w:lang w:val="es-ES" w:eastAsia="es-ES"/>
        </w:rPr>
        <w:t xml:space="preserve"> alegatos finales</w:t>
      </w:r>
      <w:r w:rsidR="008A4F50" w:rsidRPr="009631AB">
        <w:rPr>
          <w:rFonts w:eastAsia="Batang" w:cs="Verdana"/>
          <w:noProof/>
          <w:szCs w:val="20"/>
          <w:lang w:val="es-ES" w:eastAsia="es-ES"/>
        </w:rPr>
        <w:t xml:space="preserve"> escritos, respectivamente</w:t>
      </w:r>
      <w:r w:rsidR="005F624B" w:rsidRPr="009631AB">
        <w:rPr>
          <w:rFonts w:eastAsia="Batang" w:cs="Verdana"/>
          <w:noProof/>
          <w:szCs w:val="20"/>
          <w:lang w:val="es-ES" w:eastAsia="es-ES"/>
        </w:rPr>
        <w:t>.</w:t>
      </w:r>
      <w:r w:rsidR="00AF173D" w:rsidRPr="009631AB">
        <w:rPr>
          <w:rFonts w:eastAsia="Batang" w:cs="Verdana"/>
          <w:noProof/>
          <w:szCs w:val="20"/>
          <w:lang w:val="es-ES" w:eastAsia="es-ES"/>
        </w:rPr>
        <w:t xml:space="preserve"> </w:t>
      </w:r>
    </w:p>
    <w:p w14:paraId="79FF6134" w14:textId="77777777" w:rsidR="00396C2A" w:rsidRPr="009631AB" w:rsidRDefault="00396C2A" w:rsidP="00734B53">
      <w:pPr>
        <w:autoSpaceDE w:val="0"/>
        <w:autoSpaceDN w:val="0"/>
        <w:adjustRightInd w:val="0"/>
        <w:spacing w:after="0" w:line="240" w:lineRule="auto"/>
        <w:ind w:right="6"/>
        <w:jc w:val="both"/>
        <w:rPr>
          <w:rFonts w:eastAsia="Calibri" w:cs="Verdana"/>
          <w:snapToGrid w:val="0"/>
          <w:szCs w:val="20"/>
          <w:highlight w:val="green"/>
          <w:lang w:val="es-ES" w:eastAsia="es-ES"/>
        </w:rPr>
      </w:pPr>
    </w:p>
    <w:p w14:paraId="5541040C" w14:textId="5AA14300" w:rsidR="00396C2A" w:rsidRPr="009631AB" w:rsidRDefault="00D86ABA" w:rsidP="00734B53">
      <w:pPr>
        <w:numPr>
          <w:ilvl w:val="0"/>
          <w:numId w:val="5"/>
        </w:numPr>
        <w:suppressAutoHyphens/>
        <w:spacing w:after="0" w:line="240" w:lineRule="auto"/>
        <w:jc w:val="both"/>
        <w:rPr>
          <w:rFonts w:eastAsia="Calibri" w:cs="Calibri"/>
          <w:szCs w:val="20"/>
          <w:lang w:val="es-ES"/>
        </w:rPr>
      </w:pPr>
      <w:r w:rsidRPr="009631AB">
        <w:rPr>
          <w:rFonts w:eastAsia="Calibri" w:cs="Verdana"/>
          <w:i/>
          <w:snapToGrid w:val="0"/>
          <w:szCs w:val="20"/>
          <w:lang w:val="es-ES" w:eastAsia="es-ES"/>
        </w:rPr>
        <w:t>E</w:t>
      </w:r>
      <w:r w:rsidR="00396C2A" w:rsidRPr="009631AB">
        <w:rPr>
          <w:rFonts w:eastAsia="Calibri" w:cs="Verdana"/>
          <w:i/>
          <w:snapToGrid w:val="0"/>
          <w:szCs w:val="20"/>
          <w:lang w:val="es-ES" w:eastAsia="es-ES"/>
        </w:rPr>
        <w:t xml:space="preserve">rogaciones en aplicación del Fondo de </w:t>
      </w:r>
      <w:proofErr w:type="gramStart"/>
      <w:r w:rsidR="0053221B" w:rsidRPr="009631AB">
        <w:rPr>
          <w:rFonts w:eastAsia="Calibri" w:cs="Verdana"/>
          <w:i/>
          <w:snapToGrid w:val="0"/>
          <w:szCs w:val="20"/>
          <w:lang w:val="es-ES" w:eastAsia="es-ES"/>
        </w:rPr>
        <w:t>Asistencia.</w:t>
      </w:r>
      <w:r w:rsidR="0053221B" w:rsidRPr="009631AB">
        <w:rPr>
          <w:rFonts w:eastAsia="Calibri" w:cs="Verdana"/>
          <w:iCs/>
          <w:snapToGrid w:val="0"/>
          <w:szCs w:val="20"/>
          <w:lang w:val="es-ES" w:eastAsia="es-ES"/>
        </w:rPr>
        <w:t>–</w:t>
      </w:r>
      <w:proofErr w:type="gramEnd"/>
      <w:r w:rsidR="00A43F95" w:rsidRPr="009631AB">
        <w:rPr>
          <w:rFonts w:eastAsia="Calibri" w:cs="Verdana"/>
          <w:iCs/>
          <w:snapToGrid w:val="0"/>
          <w:szCs w:val="20"/>
          <w:lang w:val="es-ES" w:eastAsia="es-ES"/>
        </w:rPr>
        <w:t xml:space="preserve"> </w:t>
      </w:r>
      <w:r w:rsidR="00797711" w:rsidRPr="009631AB">
        <w:rPr>
          <w:rFonts w:eastAsia="Calibri" w:cs="Verdana"/>
          <w:snapToGrid w:val="0"/>
          <w:szCs w:val="20"/>
          <w:lang w:val="es-ES" w:eastAsia="es-ES"/>
        </w:rPr>
        <w:t xml:space="preserve">El </w:t>
      </w:r>
      <w:r w:rsidR="005638FE" w:rsidRPr="009631AB">
        <w:rPr>
          <w:rFonts w:eastAsia="Calibri" w:cs="Verdana"/>
          <w:snapToGrid w:val="0"/>
          <w:szCs w:val="20"/>
          <w:lang w:val="es-ES" w:eastAsia="es-ES"/>
        </w:rPr>
        <w:t>23</w:t>
      </w:r>
      <w:r w:rsidR="00F32AD2" w:rsidRPr="009631AB">
        <w:rPr>
          <w:rFonts w:eastAsia="Calibri" w:cs="Verdana"/>
          <w:snapToGrid w:val="0"/>
          <w:szCs w:val="20"/>
          <w:lang w:val="es-ES" w:eastAsia="es-ES"/>
        </w:rPr>
        <w:t xml:space="preserve"> de octubre </w:t>
      </w:r>
      <w:r w:rsidR="00797711" w:rsidRPr="009631AB">
        <w:rPr>
          <w:rFonts w:eastAsia="Calibri" w:cs="Verdana"/>
          <w:snapToGrid w:val="0"/>
          <w:szCs w:val="20"/>
          <w:lang w:val="es-ES" w:eastAsia="es-ES"/>
        </w:rPr>
        <w:t>de 2019</w:t>
      </w:r>
      <w:r w:rsidR="006B184F" w:rsidRPr="009631AB">
        <w:rPr>
          <w:rFonts w:eastAsia="Calibri" w:cs="Verdana"/>
          <w:snapToGrid w:val="0"/>
          <w:szCs w:val="20"/>
          <w:lang w:val="es-ES" w:eastAsia="es-ES"/>
        </w:rPr>
        <w:t xml:space="preserve"> </w:t>
      </w:r>
      <w:r w:rsidR="00396C2A" w:rsidRPr="009631AB">
        <w:rPr>
          <w:rFonts w:eastAsia="Calibri" w:cs="Verdana"/>
          <w:snapToGrid w:val="0"/>
          <w:szCs w:val="20"/>
          <w:lang w:val="es-ES" w:eastAsia="es-ES"/>
        </w:rPr>
        <w:t xml:space="preserve">la Secretaría, siguiendo instrucciones del Presidente de la Corte, remitió información al Estado </w:t>
      </w:r>
      <w:r w:rsidR="00396C2A" w:rsidRPr="009631AB">
        <w:rPr>
          <w:rFonts w:eastAsia="Calibri" w:cs="Verdana"/>
          <w:snapToGrid w:val="0"/>
          <w:szCs w:val="20"/>
          <w:lang w:val="es-ES" w:eastAsia="es-ES"/>
        </w:rPr>
        <w:lastRenderedPageBreak/>
        <w:t xml:space="preserve">sobre las erogaciones efectuadas en aplicación del Fondo de Asistencia Legal de Víctimas en el presente caso y, según lo dispuesto en el artículo 5 del Reglamento de la Corte sobre el Funcionamiento del referido Fondo, le otorgó un plazo para presentar las observaciones que estimara pertinentes. El Estado </w:t>
      </w:r>
      <w:r w:rsidR="005638FE" w:rsidRPr="009631AB">
        <w:rPr>
          <w:rFonts w:eastAsia="Calibri" w:cs="Verdana"/>
          <w:snapToGrid w:val="0"/>
          <w:szCs w:val="20"/>
          <w:lang w:val="es-ES" w:eastAsia="es-ES"/>
        </w:rPr>
        <w:t>no presentó observaciones.</w:t>
      </w:r>
    </w:p>
    <w:p w14:paraId="3A451973" w14:textId="77777777" w:rsidR="001D1455" w:rsidRPr="009631AB" w:rsidRDefault="001D1455" w:rsidP="00734B53">
      <w:pPr>
        <w:spacing w:after="0" w:line="240" w:lineRule="auto"/>
        <w:jc w:val="both"/>
        <w:rPr>
          <w:rFonts w:eastAsia="Batang" w:cs="Verdana"/>
          <w:noProof/>
          <w:szCs w:val="20"/>
          <w:lang w:val="es-ES" w:eastAsia="es-ES"/>
        </w:rPr>
      </w:pPr>
    </w:p>
    <w:bookmarkEnd w:id="47"/>
    <w:p w14:paraId="07EE297F" w14:textId="03E54AF5" w:rsidR="001D1455" w:rsidRPr="009631AB" w:rsidRDefault="001D1455" w:rsidP="00734B53">
      <w:pPr>
        <w:numPr>
          <w:ilvl w:val="0"/>
          <w:numId w:val="5"/>
        </w:numPr>
        <w:autoSpaceDE w:val="0"/>
        <w:autoSpaceDN w:val="0"/>
        <w:adjustRightInd w:val="0"/>
        <w:spacing w:after="0" w:line="240" w:lineRule="auto"/>
        <w:ind w:right="6"/>
        <w:jc w:val="both"/>
        <w:rPr>
          <w:rFonts w:eastAsia="Batang" w:cs="Verdana"/>
          <w:i/>
          <w:szCs w:val="20"/>
          <w:lang w:val="es-ES" w:eastAsia="es-ES"/>
        </w:rPr>
      </w:pPr>
      <w:r w:rsidRPr="009631AB">
        <w:rPr>
          <w:rFonts w:eastAsia="Batang" w:cs="Times New Roman"/>
          <w:i/>
          <w:noProof/>
          <w:szCs w:val="20"/>
          <w:lang w:val="es-ES" w:eastAsia="es-CR"/>
        </w:rPr>
        <w:t>Deliberación del presente caso</w:t>
      </w:r>
      <w:r w:rsidRPr="009631AB">
        <w:rPr>
          <w:rFonts w:eastAsia="Batang" w:cs="Times New Roman"/>
          <w:noProof/>
          <w:szCs w:val="20"/>
          <w:lang w:val="es-ES" w:eastAsia="es-CR"/>
        </w:rPr>
        <w:t xml:space="preserve">.- La Corte </w:t>
      </w:r>
      <w:r w:rsidRPr="009631AB">
        <w:rPr>
          <w:rFonts w:eastAsia="Batang" w:cs="Verdana"/>
          <w:noProof/>
          <w:szCs w:val="20"/>
          <w:lang w:val="es-ES" w:eastAsia="es-ES"/>
        </w:rPr>
        <w:t>inició</w:t>
      </w:r>
      <w:r w:rsidRPr="009631AB">
        <w:rPr>
          <w:rFonts w:eastAsia="Batang" w:cs="Times New Roman"/>
          <w:noProof/>
          <w:szCs w:val="20"/>
          <w:lang w:val="es-ES" w:eastAsia="es-CR"/>
        </w:rPr>
        <w:t xml:space="preserve"> la deliberación de la presente </w:t>
      </w:r>
      <w:r w:rsidRPr="009631AB">
        <w:rPr>
          <w:rFonts w:eastAsia="Batang" w:cs="Verdana"/>
          <w:noProof/>
          <w:snapToGrid w:val="0"/>
          <w:szCs w:val="20"/>
          <w:lang w:val="es-ES" w:eastAsia="es-ES"/>
        </w:rPr>
        <w:t>Sentencia</w:t>
      </w:r>
      <w:r w:rsidRPr="009631AB">
        <w:rPr>
          <w:rFonts w:eastAsia="Batang" w:cs="Times New Roman"/>
          <w:noProof/>
          <w:szCs w:val="20"/>
          <w:lang w:val="es-ES" w:eastAsia="es-CR"/>
        </w:rPr>
        <w:t xml:space="preserve"> el </w:t>
      </w:r>
      <w:r w:rsidR="00C1115C" w:rsidRPr="009631AB">
        <w:rPr>
          <w:rFonts w:eastAsia="Batang" w:cs="Times New Roman"/>
          <w:noProof/>
          <w:szCs w:val="20"/>
          <w:lang w:val="es-ES" w:eastAsia="es-CR"/>
        </w:rPr>
        <w:t>27</w:t>
      </w:r>
      <w:r w:rsidR="00396C2A" w:rsidRPr="009631AB">
        <w:rPr>
          <w:rFonts w:eastAsia="Batang" w:cs="Times New Roman"/>
          <w:noProof/>
          <w:szCs w:val="20"/>
          <w:lang w:val="es-ES" w:eastAsia="es-CR"/>
        </w:rPr>
        <w:t xml:space="preserve"> de </w:t>
      </w:r>
      <w:r w:rsidR="00F32AD2" w:rsidRPr="009631AB">
        <w:rPr>
          <w:rFonts w:eastAsia="Batang" w:cs="Times New Roman"/>
          <w:noProof/>
          <w:szCs w:val="20"/>
          <w:lang w:val="es-ES" w:eastAsia="es-CR"/>
        </w:rPr>
        <w:t xml:space="preserve">enero </w:t>
      </w:r>
      <w:r w:rsidR="00396C2A" w:rsidRPr="009631AB">
        <w:rPr>
          <w:rFonts w:eastAsia="Batang" w:cs="Times New Roman"/>
          <w:noProof/>
          <w:szCs w:val="20"/>
          <w:lang w:val="es-ES" w:eastAsia="es-CR"/>
        </w:rPr>
        <w:t>de 20</w:t>
      </w:r>
      <w:r w:rsidR="00F32AD2" w:rsidRPr="009631AB">
        <w:rPr>
          <w:rFonts w:eastAsia="Batang" w:cs="Times New Roman"/>
          <w:noProof/>
          <w:szCs w:val="20"/>
          <w:lang w:val="es-ES" w:eastAsia="es-CR"/>
        </w:rPr>
        <w:t>20</w:t>
      </w:r>
      <w:r w:rsidRPr="009631AB">
        <w:rPr>
          <w:rFonts w:eastAsia="Batang" w:cs="Times New Roman"/>
          <w:noProof/>
          <w:szCs w:val="20"/>
          <w:lang w:val="es-ES" w:eastAsia="es-CR"/>
        </w:rPr>
        <w:t>.</w:t>
      </w:r>
    </w:p>
    <w:p w14:paraId="56BAA302" w14:textId="77777777" w:rsidR="006B1FFE" w:rsidRPr="009631AB" w:rsidRDefault="006B1FFE" w:rsidP="00734B53">
      <w:pPr>
        <w:autoSpaceDE w:val="0"/>
        <w:autoSpaceDN w:val="0"/>
        <w:adjustRightInd w:val="0"/>
        <w:spacing w:after="0" w:line="240" w:lineRule="auto"/>
        <w:ind w:right="6"/>
        <w:jc w:val="both"/>
        <w:rPr>
          <w:rFonts w:eastAsia="Batang" w:cs="Verdana"/>
          <w:szCs w:val="20"/>
          <w:lang w:val="es-ES" w:eastAsia="es-ES"/>
        </w:rPr>
      </w:pPr>
    </w:p>
    <w:p w14:paraId="510C7491" w14:textId="6FA44E9B" w:rsidR="001D1455" w:rsidRPr="009631AB" w:rsidRDefault="000E7EF1" w:rsidP="00734B53">
      <w:pPr>
        <w:pStyle w:val="Ttulo1"/>
        <w:contextualSpacing w:val="0"/>
        <w:rPr>
          <w:lang w:eastAsia="es-ES"/>
        </w:rPr>
      </w:pPr>
      <w:bookmarkStart w:id="48" w:name="_Toc491935492"/>
      <w:bookmarkStart w:id="49" w:name="_Toc486842907"/>
      <w:bookmarkStart w:id="50" w:name="_Toc486842769"/>
      <w:bookmarkStart w:id="51" w:name="_Toc486693353"/>
      <w:bookmarkStart w:id="52" w:name="_Toc506984073"/>
      <w:bookmarkStart w:id="53" w:name="_Toc18768923"/>
      <w:bookmarkStart w:id="54" w:name="_Toc18768943"/>
      <w:bookmarkStart w:id="55" w:name="_Toc18769620"/>
      <w:bookmarkStart w:id="56" w:name="_Toc27069876"/>
      <w:r w:rsidRPr="009631AB">
        <w:rPr>
          <w:lang w:eastAsia="es-ES"/>
        </w:rPr>
        <w:t>III</w:t>
      </w:r>
      <w:r w:rsidR="001D1455" w:rsidRPr="009631AB">
        <w:rPr>
          <w:lang w:eastAsia="es-ES"/>
        </w:rPr>
        <w:br/>
        <w:t>COMPETENCIA</w:t>
      </w:r>
      <w:bookmarkEnd w:id="48"/>
      <w:bookmarkEnd w:id="49"/>
      <w:bookmarkEnd w:id="50"/>
      <w:bookmarkEnd w:id="51"/>
      <w:bookmarkEnd w:id="52"/>
      <w:bookmarkEnd w:id="53"/>
      <w:bookmarkEnd w:id="54"/>
      <w:bookmarkEnd w:id="55"/>
      <w:bookmarkEnd w:id="56"/>
    </w:p>
    <w:p w14:paraId="65E0CDA5" w14:textId="77777777" w:rsidR="000230DA" w:rsidRPr="009631AB" w:rsidRDefault="000230DA" w:rsidP="00734B53">
      <w:pPr>
        <w:autoSpaceDE w:val="0"/>
        <w:autoSpaceDN w:val="0"/>
        <w:adjustRightInd w:val="0"/>
        <w:spacing w:after="0" w:line="240" w:lineRule="auto"/>
        <w:ind w:right="6"/>
        <w:jc w:val="both"/>
        <w:rPr>
          <w:rFonts w:eastAsia="Batang" w:cs="Times"/>
          <w:szCs w:val="20"/>
          <w:lang w:val="es-ES"/>
        </w:rPr>
      </w:pPr>
    </w:p>
    <w:p w14:paraId="7C3E0D27" w14:textId="672DC642" w:rsidR="007033D1" w:rsidRPr="009631AB" w:rsidRDefault="000B6219" w:rsidP="00734B53">
      <w:pPr>
        <w:numPr>
          <w:ilvl w:val="0"/>
          <w:numId w:val="4"/>
        </w:numPr>
        <w:autoSpaceDE w:val="0"/>
        <w:autoSpaceDN w:val="0"/>
        <w:adjustRightInd w:val="0"/>
        <w:spacing w:after="0" w:line="240" w:lineRule="auto"/>
        <w:ind w:right="6"/>
        <w:jc w:val="both"/>
        <w:rPr>
          <w:rFonts w:eastAsia="Batang" w:cs="Times"/>
          <w:szCs w:val="20"/>
          <w:lang w:val="es-ES"/>
        </w:rPr>
      </w:pPr>
      <w:r w:rsidRPr="009631AB">
        <w:rPr>
          <w:szCs w:val="20"/>
        </w:rPr>
        <w:t xml:space="preserve">La Corte Interamericana es competente, en los términos del artículo 62.3 de la Convención, para conocer el presente caso, en razón de que </w:t>
      </w:r>
      <w:r w:rsidR="000E7EF1" w:rsidRPr="009631AB">
        <w:rPr>
          <w:szCs w:val="20"/>
        </w:rPr>
        <w:t>Ecuador</w:t>
      </w:r>
      <w:r w:rsidRPr="009631AB">
        <w:rPr>
          <w:szCs w:val="20"/>
        </w:rPr>
        <w:t xml:space="preserve"> es Estado Parte en la Convención Americana desde </w:t>
      </w:r>
      <w:r w:rsidR="000E7EF1" w:rsidRPr="009631AB">
        <w:rPr>
          <w:szCs w:val="20"/>
        </w:rPr>
        <w:t xml:space="preserve">el </w:t>
      </w:r>
      <w:r w:rsidR="001D4059" w:rsidRPr="009631AB">
        <w:rPr>
          <w:szCs w:val="20"/>
        </w:rPr>
        <w:t>28</w:t>
      </w:r>
      <w:r w:rsidR="000E7EF1" w:rsidRPr="009631AB">
        <w:rPr>
          <w:szCs w:val="20"/>
        </w:rPr>
        <w:t xml:space="preserve"> de diciembre </w:t>
      </w:r>
      <w:r w:rsidR="00164550" w:rsidRPr="009631AB">
        <w:rPr>
          <w:szCs w:val="20"/>
        </w:rPr>
        <w:t>de 1977</w:t>
      </w:r>
      <w:r w:rsidRPr="009631AB">
        <w:rPr>
          <w:szCs w:val="20"/>
        </w:rPr>
        <w:t xml:space="preserve"> y reconoció la competencia contenciosa de la Corte </w:t>
      </w:r>
      <w:r w:rsidR="00164550" w:rsidRPr="009631AB">
        <w:rPr>
          <w:szCs w:val="20"/>
        </w:rPr>
        <w:t>el 24 de julio de 1984</w:t>
      </w:r>
      <w:r w:rsidRPr="009631AB">
        <w:rPr>
          <w:szCs w:val="20"/>
        </w:rPr>
        <w:t>.</w:t>
      </w:r>
    </w:p>
    <w:p w14:paraId="6D5FD540" w14:textId="77777777" w:rsidR="000B1FB7" w:rsidRPr="009631AB" w:rsidRDefault="000B1FB7" w:rsidP="00734B53">
      <w:pPr>
        <w:autoSpaceDE w:val="0"/>
        <w:autoSpaceDN w:val="0"/>
        <w:adjustRightInd w:val="0"/>
        <w:spacing w:after="0" w:line="240" w:lineRule="auto"/>
        <w:ind w:right="6"/>
        <w:jc w:val="both"/>
        <w:rPr>
          <w:szCs w:val="20"/>
        </w:rPr>
      </w:pPr>
    </w:p>
    <w:p w14:paraId="01C3C483" w14:textId="77777777" w:rsidR="000B1FB7" w:rsidRPr="009631AB" w:rsidRDefault="000B1FB7" w:rsidP="00734B53">
      <w:pPr>
        <w:spacing w:after="0" w:line="240" w:lineRule="auto"/>
        <w:jc w:val="center"/>
        <w:rPr>
          <w:rStyle w:val="Ttulo1Car"/>
        </w:rPr>
      </w:pPr>
      <w:bookmarkStart w:id="57" w:name="_Toc18769621"/>
      <w:bookmarkStart w:id="58" w:name="_Toc27069877"/>
      <w:r w:rsidRPr="009631AB">
        <w:rPr>
          <w:rStyle w:val="Ttulo1Car"/>
        </w:rPr>
        <w:t>IV</w:t>
      </w:r>
      <w:r w:rsidRPr="009631AB">
        <w:rPr>
          <w:rStyle w:val="Ttulo1Car"/>
        </w:rPr>
        <w:br/>
        <w:t>EXCEPCIONES PRELIMINARES</w:t>
      </w:r>
      <w:bookmarkEnd w:id="57"/>
      <w:bookmarkEnd w:id="58"/>
    </w:p>
    <w:p w14:paraId="4B777570" w14:textId="77777777" w:rsidR="00C1115C" w:rsidRPr="009631AB" w:rsidRDefault="00C1115C" w:rsidP="00734B53">
      <w:pPr>
        <w:pStyle w:val="Prrafodelista"/>
        <w:ind w:left="0"/>
        <w:contextualSpacing w:val="0"/>
        <w:rPr>
          <w:rFonts w:cs="Arial"/>
          <w:szCs w:val="20"/>
          <w:lang w:val="es-MX"/>
        </w:rPr>
      </w:pPr>
    </w:p>
    <w:p w14:paraId="40E11AE9" w14:textId="14CAB87D" w:rsidR="00C1115C" w:rsidRPr="009631AB" w:rsidRDefault="00C1115C" w:rsidP="00734B53">
      <w:pPr>
        <w:pStyle w:val="Prrafodelista"/>
        <w:numPr>
          <w:ilvl w:val="0"/>
          <w:numId w:val="4"/>
        </w:numPr>
        <w:contextualSpacing w:val="0"/>
        <w:rPr>
          <w:rFonts w:cs="Arial"/>
          <w:szCs w:val="20"/>
          <w:lang w:val="es-MX"/>
        </w:rPr>
      </w:pPr>
      <w:r w:rsidRPr="009631AB">
        <w:rPr>
          <w:rFonts w:cs="Arial"/>
          <w:szCs w:val="20"/>
          <w:lang w:val="es-MX"/>
        </w:rPr>
        <w:t xml:space="preserve">En su escrito de contestación, el </w:t>
      </w:r>
      <w:r w:rsidRPr="009631AB">
        <w:rPr>
          <w:rFonts w:cs="Arial"/>
          <w:b/>
          <w:i/>
          <w:szCs w:val="20"/>
          <w:lang w:val="es-MX"/>
        </w:rPr>
        <w:t>Estado</w:t>
      </w:r>
      <w:r w:rsidRPr="009631AB">
        <w:rPr>
          <w:rFonts w:cs="Arial"/>
          <w:szCs w:val="20"/>
          <w:lang w:val="es-MX"/>
        </w:rPr>
        <w:t xml:space="preserve"> presentó cuatro excepciones preliminares relacionadas con a) la incompetencia de la Corte en razón del tiempo, b) </w:t>
      </w:r>
      <w:r w:rsidR="00C92012">
        <w:rPr>
          <w:rFonts w:cs="Arial"/>
          <w:szCs w:val="20"/>
          <w:lang w:val="es-MX"/>
        </w:rPr>
        <w:t xml:space="preserve">la </w:t>
      </w:r>
      <w:r w:rsidRPr="009631AB">
        <w:rPr>
          <w:rFonts w:cs="Arial"/>
          <w:szCs w:val="20"/>
          <w:lang w:val="es-MX"/>
        </w:rPr>
        <w:t xml:space="preserve">falta de agotamiento de recursos internos, c) </w:t>
      </w:r>
      <w:r w:rsidR="00C92012">
        <w:rPr>
          <w:rFonts w:cs="Arial"/>
          <w:szCs w:val="20"/>
          <w:lang w:val="es-MX"/>
        </w:rPr>
        <w:t xml:space="preserve">la incompetencia de la Corte Interamericana en razón de la materia y la utilización del Sistema Interamericano de Derechos Humanos como una </w:t>
      </w:r>
      <w:r w:rsidRPr="009631AB">
        <w:rPr>
          <w:rFonts w:cs="Arial"/>
          <w:szCs w:val="20"/>
          <w:lang w:val="es-MX"/>
        </w:rPr>
        <w:t xml:space="preserve">cuarta instancia en relación al proceso penal por testaferrismo, y d) </w:t>
      </w:r>
      <w:r w:rsidR="00C92012">
        <w:rPr>
          <w:rFonts w:cs="Arial"/>
          <w:szCs w:val="20"/>
          <w:lang w:val="es-MX"/>
        </w:rPr>
        <w:t xml:space="preserve">el </w:t>
      </w:r>
      <w:r w:rsidRPr="009631AB">
        <w:rPr>
          <w:rFonts w:cs="Arial"/>
          <w:szCs w:val="20"/>
          <w:lang w:val="es-MX"/>
        </w:rPr>
        <w:t>control de legalidad de las actuaciones de la Comisión y vulneración del derecho de defensa del Estado (artículo 48.1</w:t>
      </w:r>
      <w:r w:rsidR="00CE48C8" w:rsidRPr="009631AB">
        <w:rPr>
          <w:rFonts w:cs="Arial"/>
          <w:szCs w:val="20"/>
          <w:lang w:val="es-MX"/>
        </w:rPr>
        <w:t>.</w:t>
      </w:r>
      <w:r w:rsidRPr="009631AB">
        <w:rPr>
          <w:rFonts w:cs="Arial"/>
          <w:szCs w:val="20"/>
          <w:lang w:val="es-MX"/>
        </w:rPr>
        <w:t xml:space="preserve">b de la Convención Americana). </w:t>
      </w:r>
    </w:p>
    <w:p w14:paraId="16D23297" w14:textId="77777777" w:rsidR="00C1115C" w:rsidRPr="009631AB" w:rsidRDefault="00C1115C" w:rsidP="00734B53">
      <w:pPr>
        <w:spacing w:after="0" w:line="240" w:lineRule="auto"/>
        <w:jc w:val="both"/>
        <w:rPr>
          <w:rFonts w:cs="Arial"/>
          <w:b/>
          <w:szCs w:val="20"/>
          <w:lang w:val="es-MX"/>
        </w:rPr>
      </w:pPr>
    </w:p>
    <w:p w14:paraId="18EB8B72" w14:textId="77777777" w:rsidR="00C1115C" w:rsidRPr="009631AB" w:rsidRDefault="00C1115C" w:rsidP="00CE48C8">
      <w:pPr>
        <w:pStyle w:val="Ttulo2"/>
      </w:pPr>
      <w:bookmarkStart w:id="59" w:name="_Toc27069878"/>
      <w:r w:rsidRPr="009631AB">
        <w:t>Incompetencia de la Corte en razón del tiempo</w:t>
      </w:r>
      <w:bookmarkEnd w:id="59"/>
    </w:p>
    <w:p w14:paraId="1F515DEC" w14:textId="77777777" w:rsidR="00C1115C" w:rsidRPr="009631AB" w:rsidRDefault="00C1115C" w:rsidP="00734B53">
      <w:pPr>
        <w:pStyle w:val="Prrafodelista"/>
        <w:ind w:left="0"/>
        <w:contextualSpacing w:val="0"/>
        <w:rPr>
          <w:rFonts w:cs="Arial"/>
          <w:b/>
          <w:i/>
          <w:szCs w:val="20"/>
          <w:lang w:val="es-MX"/>
        </w:rPr>
      </w:pPr>
    </w:p>
    <w:p w14:paraId="0F8CE17B" w14:textId="77777777" w:rsidR="00C1115C" w:rsidRPr="009631AB" w:rsidRDefault="00C1115C" w:rsidP="00734B53">
      <w:pPr>
        <w:pStyle w:val="Prrafodelista"/>
        <w:ind w:left="0" w:firstLine="720"/>
        <w:contextualSpacing w:val="0"/>
        <w:rPr>
          <w:rFonts w:cs="Arial"/>
          <w:b/>
          <w:i/>
          <w:szCs w:val="20"/>
          <w:lang w:val="es-MX"/>
        </w:rPr>
      </w:pPr>
      <w:r w:rsidRPr="009631AB">
        <w:rPr>
          <w:rFonts w:cs="Arial"/>
          <w:b/>
          <w:i/>
          <w:szCs w:val="20"/>
          <w:lang w:val="es-MX"/>
        </w:rPr>
        <w:t xml:space="preserve">A.1 Alegatos del Estado y del Representante </w:t>
      </w:r>
    </w:p>
    <w:p w14:paraId="2AB2EEBF" w14:textId="77777777" w:rsidR="00C1115C" w:rsidRPr="009631AB" w:rsidRDefault="00C1115C" w:rsidP="00734B53">
      <w:pPr>
        <w:pStyle w:val="Prrafodelista"/>
        <w:ind w:left="0"/>
        <w:contextualSpacing w:val="0"/>
        <w:rPr>
          <w:rFonts w:cs="Arial"/>
          <w:b/>
          <w:i/>
          <w:szCs w:val="20"/>
          <w:lang w:val="es-MX"/>
        </w:rPr>
      </w:pPr>
    </w:p>
    <w:p w14:paraId="2D7DDEAB" w14:textId="3BDA6857" w:rsidR="00C1115C" w:rsidRPr="009631AB" w:rsidRDefault="00C1115C" w:rsidP="00734B53">
      <w:pPr>
        <w:pStyle w:val="Prrafodelista"/>
        <w:numPr>
          <w:ilvl w:val="0"/>
          <w:numId w:val="4"/>
        </w:numPr>
        <w:contextualSpacing w:val="0"/>
        <w:rPr>
          <w:rFonts w:cs="Arial"/>
          <w:szCs w:val="20"/>
          <w:lang w:val="es-MX"/>
        </w:rPr>
      </w:pPr>
      <w:r w:rsidRPr="009631AB">
        <w:rPr>
          <w:rFonts w:cs="Arial"/>
          <w:szCs w:val="20"/>
          <w:lang w:val="es-MX"/>
        </w:rPr>
        <w:t xml:space="preserve">El </w:t>
      </w:r>
      <w:r w:rsidRPr="009631AB">
        <w:rPr>
          <w:rFonts w:cs="Arial"/>
          <w:b/>
          <w:i/>
          <w:szCs w:val="20"/>
          <w:lang w:val="es-MX"/>
        </w:rPr>
        <w:t>Estado</w:t>
      </w:r>
      <w:r w:rsidRPr="009631AB">
        <w:rPr>
          <w:rFonts w:cs="Arial"/>
          <w:szCs w:val="20"/>
          <w:lang w:val="es-MX"/>
        </w:rPr>
        <w:t xml:space="preserve"> indicó que la Corte no cuenta con competencia para conocer violaciones a tratados y convenciones ratificados por el Estado </w:t>
      </w:r>
      <w:r w:rsidR="000320BB">
        <w:rPr>
          <w:rFonts w:cs="Arial"/>
          <w:szCs w:val="20"/>
          <w:lang w:val="es-MX"/>
        </w:rPr>
        <w:t>con posterioridad</w:t>
      </w:r>
      <w:r w:rsidRPr="009631AB">
        <w:rPr>
          <w:rFonts w:cs="Arial"/>
          <w:szCs w:val="20"/>
          <w:lang w:val="es-MX"/>
        </w:rPr>
        <w:t xml:space="preserve"> a la fecha de los presuntos hechos violatorios. </w:t>
      </w:r>
      <w:r w:rsidR="004C717E">
        <w:rPr>
          <w:rFonts w:cs="Arial"/>
          <w:szCs w:val="20"/>
          <w:lang w:val="es-MX"/>
        </w:rPr>
        <w:t xml:space="preserve">Aunque </w:t>
      </w:r>
      <w:r w:rsidRPr="009631AB">
        <w:rPr>
          <w:rFonts w:cs="Arial"/>
          <w:szCs w:val="20"/>
          <w:lang w:val="es-MX"/>
        </w:rPr>
        <w:t>Ecuador ratificó la Convención Interamericana para Prevenir y Sancionar la Tortura (en adelante “CIPST”) el 30 de septiembre de 199</w:t>
      </w:r>
      <w:r w:rsidR="00231D97" w:rsidRPr="009631AB">
        <w:rPr>
          <w:rFonts w:cs="Arial"/>
          <w:szCs w:val="20"/>
          <w:lang w:val="es-MX"/>
        </w:rPr>
        <w:t>9</w:t>
      </w:r>
      <w:r w:rsidRPr="009631AB">
        <w:rPr>
          <w:rFonts w:cs="Arial"/>
          <w:szCs w:val="20"/>
          <w:lang w:val="es-MX"/>
        </w:rPr>
        <w:t xml:space="preserve">, los hechos alegados por los representantes y la Comisión tuvieron lugar en junio de 1992. Además, señaló que los actos de tortura son de carácter y efecto inmediato, por lo que no podría establecerse responsabilidad alguna en razón </w:t>
      </w:r>
      <w:r w:rsidR="00002F69">
        <w:rPr>
          <w:rFonts w:cs="Arial"/>
          <w:szCs w:val="20"/>
          <w:lang w:val="es-MX"/>
        </w:rPr>
        <w:t xml:space="preserve">de </w:t>
      </w:r>
      <w:r w:rsidRPr="009631AB">
        <w:rPr>
          <w:rFonts w:cs="Arial"/>
          <w:szCs w:val="20"/>
          <w:lang w:val="es-MX"/>
        </w:rPr>
        <w:t xml:space="preserve">que </w:t>
      </w:r>
      <w:r w:rsidR="00002F69">
        <w:rPr>
          <w:rFonts w:cs="Arial"/>
          <w:szCs w:val="20"/>
          <w:lang w:val="es-MX"/>
        </w:rPr>
        <w:t xml:space="preserve">se haría </w:t>
      </w:r>
      <w:r w:rsidRPr="009631AB">
        <w:rPr>
          <w:rFonts w:cs="Arial"/>
          <w:szCs w:val="20"/>
          <w:lang w:val="es-MX"/>
        </w:rPr>
        <w:t>de forma retroactiva.</w:t>
      </w:r>
      <w:r w:rsidR="001B465D">
        <w:rPr>
          <w:rFonts w:cs="Arial"/>
          <w:szCs w:val="20"/>
          <w:lang w:val="es-MX"/>
        </w:rPr>
        <w:t xml:space="preserve"> </w:t>
      </w:r>
    </w:p>
    <w:p w14:paraId="50D41253" w14:textId="77777777" w:rsidR="00C1115C" w:rsidRPr="009631AB" w:rsidRDefault="00C1115C" w:rsidP="00734B53">
      <w:pPr>
        <w:pStyle w:val="Prrafodelista"/>
        <w:ind w:left="0"/>
        <w:contextualSpacing w:val="0"/>
        <w:rPr>
          <w:rFonts w:cs="Arial"/>
          <w:szCs w:val="20"/>
          <w:lang w:val="es-MX"/>
        </w:rPr>
      </w:pPr>
    </w:p>
    <w:p w14:paraId="72CFC993" w14:textId="080CEF56" w:rsidR="00C1115C" w:rsidRPr="009631AB" w:rsidRDefault="00C1115C" w:rsidP="00734B53">
      <w:pPr>
        <w:pStyle w:val="Prrafodelista"/>
        <w:numPr>
          <w:ilvl w:val="0"/>
          <w:numId w:val="4"/>
        </w:numPr>
        <w:tabs>
          <w:tab w:val="left" w:pos="0"/>
        </w:tabs>
        <w:snapToGrid w:val="0"/>
        <w:contextualSpacing w:val="0"/>
        <w:rPr>
          <w:rFonts w:cs="Arial"/>
          <w:szCs w:val="20"/>
          <w:lang w:val="es-MX"/>
        </w:rPr>
      </w:pPr>
      <w:r w:rsidRPr="009631AB">
        <w:rPr>
          <w:rFonts w:cs="Arial"/>
          <w:szCs w:val="20"/>
          <w:lang w:val="es-MX"/>
        </w:rPr>
        <w:t xml:space="preserve">Sobre la alegada falta de investigación y sanción de los hechos, el Estado indicó que </w:t>
      </w:r>
      <w:r w:rsidR="00002F69">
        <w:rPr>
          <w:rFonts w:cs="Arial"/>
          <w:szCs w:val="20"/>
          <w:lang w:val="es-MX"/>
        </w:rPr>
        <w:t xml:space="preserve">dada </w:t>
      </w:r>
      <w:r w:rsidRPr="009631AB">
        <w:rPr>
          <w:rFonts w:cs="Arial"/>
          <w:szCs w:val="20"/>
          <w:lang w:val="es-MX"/>
        </w:rPr>
        <w:t xml:space="preserve">la naturaleza instantánea del delito de tortura, </w:t>
      </w:r>
      <w:r w:rsidR="00002F69">
        <w:rPr>
          <w:rFonts w:cs="Arial"/>
          <w:szCs w:val="20"/>
          <w:lang w:val="es-MX"/>
        </w:rPr>
        <w:t xml:space="preserve">no se podrían </w:t>
      </w:r>
      <w:r w:rsidRPr="009631AB">
        <w:rPr>
          <w:rFonts w:cs="Arial"/>
          <w:szCs w:val="20"/>
          <w:lang w:val="es-MX"/>
        </w:rPr>
        <w:t xml:space="preserve">analizar las presuntas faltas de investigación. </w:t>
      </w:r>
    </w:p>
    <w:p w14:paraId="2874FAEC" w14:textId="77777777" w:rsidR="00C1115C" w:rsidRPr="009631AB" w:rsidRDefault="00C1115C" w:rsidP="00734B53">
      <w:pPr>
        <w:pStyle w:val="Prrafodelista"/>
        <w:tabs>
          <w:tab w:val="left" w:pos="0"/>
        </w:tabs>
        <w:snapToGrid w:val="0"/>
        <w:ind w:left="0"/>
        <w:contextualSpacing w:val="0"/>
        <w:rPr>
          <w:rFonts w:cs="Arial"/>
          <w:szCs w:val="20"/>
          <w:lang w:val="es-MX"/>
        </w:rPr>
      </w:pPr>
    </w:p>
    <w:p w14:paraId="1DFD0CAB" w14:textId="5EEB3BBA" w:rsidR="00C1115C" w:rsidRPr="009631AB" w:rsidRDefault="00C1115C" w:rsidP="00734B53">
      <w:pPr>
        <w:pStyle w:val="Prrafodelista"/>
        <w:numPr>
          <w:ilvl w:val="0"/>
          <w:numId w:val="4"/>
        </w:numPr>
        <w:tabs>
          <w:tab w:val="left" w:pos="0"/>
        </w:tabs>
        <w:snapToGrid w:val="0"/>
        <w:contextualSpacing w:val="0"/>
        <w:rPr>
          <w:rFonts w:cs="Arial"/>
          <w:szCs w:val="20"/>
          <w:lang w:val="es-MX"/>
        </w:rPr>
      </w:pPr>
      <w:r w:rsidRPr="009631AB">
        <w:rPr>
          <w:rFonts w:cs="Arial"/>
          <w:szCs w:val="20"/>
          <w:lang w:val="es-MX"/>
        </w:rPr>
        <w:t xml:space="preserve">El </w:t>
      </w:r>
      <w:r w:rsidRPr="009631AB">
        <w:rPr>
          <w:rFonts w:cs="Arial"/>
          <w:b/>
          <w:i/>
          <w:szCs w:val="20"/>
          <w:lang w:val="es-MX"/>
        </w:rPr>
        <w:t>representante</w:t>
      </w:r>
      <w:r w:rsidRPr="009631AB">
        <w:rPr>
          <w:rFonts w:cs="Arial"/>
          <w:szCs w:val="20"/>
          <w:lang w:val="es-MX"/>
        </w:rPr>
        <w:t xml:space="preserve"> alegó que la CIPST fue suscrita por Ecuador en mayo de 1986 y ratificada en septiembre de 1999. Agregó que con independencia de la fecha en la que se realizó la ratificación del tratado, la obligación que tenía el Ecuador es anterior inclusive al tratado mismo, por lo que la Corte puede pronunciarse sobre las violaciones alegadas, en cuanto al incumplimiento de las normas internacionales del derecho imperativo. </w:t>
      </w:r>
    </w:p>
    <w:p w14:paraId="1B4B51D7" w14:textId="77777777" w:rsidR="00C1115C" w:rsidRPr="009631AB" w:rsidRDefault="00C1115C" w:rsidP="00734B53">
      <w:pPr>
        <w:pStyle w:val="Prrafodelista"/>
        <w:ind w:left="0"/>
        <w:contextualSpacing w:val="0"/>
        <w:rPr>
          <w:rFonts w:cs="Arial"/>
          <w:szCs w:val="20"/>
          <w:lang w:val="es-MX"/>
        </w:rPr>
      </w:pPr>
    </w:p>
    <w:p w14:paraId="338F6193" w14:textId="77777777" w:rsidR="00C1115C" w:rsidRPr="009631AB" w:rsidRDefault="00C1115C" w:rsidP="00734B53">
      <w:pPr>
        <w:snapToGrid w:val="0"/>
        <w:spacing w:after="0" w:line="240" w:lineRule="auto"/>
        <w:ind w:firstLine="720"/>
        <w:jc w:val="both"/>
        <w:rPr>
          <w:rFonts w:cs="Arial"/>
          <w:b/>
          <w:i/>
          <w:szCs w:val="20"/>
          <w:lang w:val="es-MX"/>
        </w:rPr>
      </w:pPr>
      <w:r w:rsidRPr="009631AB">
        <w:rPr>
          <w:rFonts w:cs="Arial"/>
          <w:b/>
          <w:i/>
          <w:szCs w:val="20"/>
          <w:lang w:val="es-MX"/>
        </w:rPr>
        <w:t xml:space="preserve">A.2 Consideraciones de la Corte </w:t>
      </w:r>
    </w:p>
    <w:p w14:paraId="1E9F0E49" w14:textId="77777777" w:rsidR="00C1115C" w:rsidRPr="009631AB" w:rsidRDefault="00C1115C" w:rsidP="00734B53">
      <w:pPr>
        <w:pStyle w:val="Prrafodelista"/>
        <w:ind w:left="0"/>
        <w:contextualSpacing w:val="0"/>
        <w:rPr>
          <w:rFonts w:cs="Arial"/>
          <w:szCs w:val="20"/>
          <w:lang w:val="es-MX"/>
        </w:rPr>
      </w:pPr>
    </w:p>
    <w:p w14:paraId="50A442C7" w14:textId="633A3D2F" w:rsidR="005C1E35" w:rsidRPr="009631AB" w:rsidRDefault="005C1E35" w:rsidP="00734B53">
      <w:pPr>
        <w:pStyle w:val="Prrafodelista"/>
        <w:numPr>
          <w:ilvl w:val="0"/>
          <w:numId w:val="4"/>
        </w:numPr>
        <w:snapToGrid w:val="0"/>
        <w:contextualSpacing w:val="0"/>
        <w:rPr>
          <w:rFonts w:cs="Arial"/>
          <w:szCs w:val="20"/>
          <w:lang w:val="es-ES"/>
        </w:rPr>
      </w:pPr>
      <w:r w:rsidRPr="009631AB">
        <w:rPr>
          <w:rFonts w:cs="Arial"/>
          <w:szCs w:val="20"/>
          <w:lang w:val="es-MX"/>
        </w:rPr>
        <w:t xml:space="preserve">El Estado ratificó la </w:t>
      </w:r>
      <w:r w:rsidRPr="009631AB">
        <w:rPr>
          <w:rFonts w:cs="Arial"/>
          <w:szCs w:val="20"/>
          <w:lang w:val="es-ES"/>
        </w:rPr>
        <w:t>Convención Interamericana para Prevenir y Sancionar la Tortura</w:t>
      </w:r>
      <w:r w:rsidRPr="009631AB">
        <w:rPr>
          <w:rFonts w:cs="Arial"/>
          <w:szCs w:val="20"/>
          <w:lang w:val="es-MX"/>
        </w:rPr>
        <w:t xml:space="preserve"> el 30 de septiembre de 1999 y depositó el documento de ratificación ante la Secretaría General </w:t>
      </w:r>
      <w:r w:rsidRPr="009631AB">
        <w:rPr>
          <w:rFonts w:cs="Arial"/>
          <w:szCs w:val="20"/>
          <w:lang w:val="es-MX"/>
        </w:rPr>
        <w:lastRenderedPageBreak/>
        <w:t xml:space="preserve">de la Organización de Estados Americanos el </w:t>
      </w:r>
      <w:r w:rsidRPr="009631AB">
        <w:rPr>
          <w:rFonts w:cs="Arial"/>
          <w:szCs w:val="20"/>
        </w:rPr>
        <w:t xml:space="preserve">9 de noviembre de 1999. El tratado entró en vigor para Ecuador, conforme a su artículo 22, el 9 de diciembre de 1999. </w:t>
      </w:r>
      <w:r w:rsidRPr="009631AB">
        <w:rPr>
          <w:rFonts w:cs="Arial"/>
          <w:szCs w:val="20"/>
          <w:lang w:val="es-ES"/>
        </w:rPr>
        <w:t>Con base en ello y en el principio de irretroactividad, codificado en el artículo 28 de la Convención de Viena sobre el Derecho de los Tratados de 1969, la Corte puede conocer de los actos o hechos que hayan tenido lugar con posterioridad a la fecha de entrada en vigor de dicho tratado para el Estado</w:t>
      </w:r>
      <w:r w:rsidRPr="009631AB">
        <w:rPr>
          <w:rFonts w:cs="Arial"/>
          <w:szCs w:val="20"/>
          <w:vertAlign w:val="superscript"/>
          <w:lang w:val="es-ES"/>
        </w:rPr>
        <w:footnoteReference w:id="7"/>
      </w:r>
      <w:r w:rsidRPr="009631AB">
        <w:rPr>
          <w:rFonts w:cs="Arial"/>
          <w:szCs w:val="20"/>
          <w:lang w:val="es-ES"/>
        </w:rPr>
        <w:t xml:space="preserve"> y que hayan generado violaciones de derechos humanos. </w:t>
      </w:r>
    </w:p>
    <w:p w14:paraId="2BAC3B6E" w14:textId="77777777" w:rsidR="005C1E35" w:rsidRPr="009631AB" w:rsidRDefault="005C1E35" w:rsidP="00734B53">
      <w:pPr>
        <w:pStyle w:val="Prrafodelista"/>
        <w:snapToGrid w:val="0"/>
        <w:ind w:left="0"/>
        <w:contextualSpacing w:val="0"/>
        <w:rPr>
          <w:rFonts w:cs="Arial"/>
          <w:szCs w:val="20"/>
          <w:lang w:val="es-ES"/>
        </w:rPr>
      </w:pPr>
    </w:p>
    <w:p w14:paraId="1047E9E0" w14:textId="10FE1345" w:rsidR="00C1115C" w:rsidRPr="009631AB" w:rsidRDefault="005C1E35" w:rsidP="00734B53">
      <w:pPr>
        <w:pStyle w:val="Prrafodelista"/>
        <w:numPr>
          <w:ilvl w:val="0"/>
          <w:numId w:val="4"/>
        </w:numPr>
        <w:snapToGrid w:val="0"/>
        <w:contextualSpacing w:val="0"/>
        <w:rPr>
          <w:rFonts w:cs="Arial"/>
          <w:szCs w:val="20"/>
          <w:lang w:val="es-MX"/>
        </w:rPr>
      </w:pPr>
      <w:r w:rsidRPr="009631AB">
        <w:rPr>
          <w:rFonts w:cs="Arial"/>
          <w:szCs w:val="20"/>
          <w:lang w:val="es-ES"/>
        </w:rPr>
        <w:t xml:space="preserve">Teniendo en cuenta lo anterior, este Tribunal considera que </w:t>
      </w:r>
      <w:r w:rsidR="00AC5B98" w:rsidRPr="009631AB">
        <w:rPr>
          <w:rFonts w:cs="Arial"/>
          <w:szCs w:val="20"/>
          <w:lang w:val="es-ES"/>
        </w:rPr>
        <w:t xml:space="preserve">no </w:t>
      </w:r>
      <w:r w:rsidRPr="009631AB">
        <w:rPr>
          <w:rFonts w:cs="Arial"/>
          <w:szCs w:val="20"/>
          <w:lang w:val="es-ES"/>
        </w:rPr>
        <w:t xml:space="preserve">tiene competencia para pronunciarse sobre las alegadas torturas de las que habría sido objeto la presunta víctima </w:t>
      </w:r>
      <w:r w:rsidR="00CE48C8" w:rsidRPr="009631AB">
        <w:rPr>
          <w:rFonts w:cs="Arial"/>
          <w:szCs w:val="20"/>
          <w:lang w:val="es-ES"/>
        </w:rPr>
        <w:t>con fundamento en la CI</w:t>
      </w:r>
      <w:r w:rsidR="00AC5B98" w:rsidRPr="009631AB">
        <w:rPr>
          <w:rFonts w:cs="Arial"/>
          <w:szCs w:val="20"/>
          <w:lang w:val="es-ES"/>
        </w:rPr>
        <w:t>P</w:t>
      </w:r>
      <w:r w:rsidR="00CE48C8" w:rsidRPr="009631AB">
        <w:rPr>
          <w:rFonts w:cs="Arial"/>
          <w:szCs w:val="20"/>
          <w:lang w:val="es-ES"/>
        </w:rPr>
        <w:t>S</w:t>
      </w:r>
      <w:r w:rsidR="00AC5B98" w:rsidRPr="009631AB">
        <w:rPr>
          <w:rFonts w:cs="Arial"/>
          <w:szCs w:val="20"/>
          <w:lang w:val="es-ES"/>
        </w:rPr>
        <w:t>T sino</w:t>
      </w:r>
      <w:r w:rsidRPr="009631AB">
        <w:rPr>
          <w:rFonts w:cs="Arial"/>
          <w:szCs w:val="20"/>
          <w:lang w:val="es-ES"/>
        </w:rPr>
        <w:t xml:space="preserve"> como una posible violación del artículo 5 de la Convención Americana sobre Derechos Humanos. Además, como lo ha hecho en otros casos</w:t>
      </w:r>
      <w:r w:rsidRPr="009631AB">
        <w:rPr>
          <w:rFonts w:cs="Arial"/>
          <w:szCs w:val="20"/>
          <w:vertAlign w:val="superscript"/>
        </w:rPr>
        <w:footnoteReference w:id="8"/>
      </w:r>
      <w:r w:rsidRPr="009631AB">
        <w:rPr>
          <w:rFonts w:cs="Arial"/>
          <w:szCs w:val="20"/>
        </w:rPr>
        <w:t xml:space="preserve">, la Corte determina que sí tiene competencia temporal para analizar </w:t>
      </w:r>
      <w:r w:rsidRPr="009631AB">
        <w:rPr>
          <w:rFonts w:cs="Arial"/>
          <w:szCs w:val="20"/>
          <w:lang w:val="es-ES"/>
        </w:rPr>
        <w:t>la alegada violación de los artículos 1, 6 y 8 de la Convención Interamericana para Prevenir y Sancionar la Tortura</w:t>
      </w:r>
      <w:r w:rsidRPr="009631AB">
        <w:rPr>
          <w:rFonts w:cs="Arial"/>
          <w:szCs w:val="20"/>
        </w:rPr>
        <w:t xml:space="preserve"> respecto a la supuesta omisión de investigar los hechos con posterioridad al 9 de diciembre de 1999, </w:t>
      </w:r>
      <w:r w:rsidR="00C1115C" w:rsidRPr="009631AB">
        <w:rPr>
          <w:rFonts w:cs="Arial"/>
          <w:szCs w:val="20"/>
          <w:lang w:val="es-MX"/>
        </w:rPr>
        <w:t>lo que constituye el alegato tanto de la Comisión como de los representantes en el presente caso. En atención a todo lo anterior, la Corte desestima la excepción preliminar interpuesta por el Estado.</w:t>
      </w:r>
    </w:p>
    <w:p w14:paraId="31E3E67B" w14:textId="77777777" w:rsidR="00C1115C" w:rsidRPr="009631AB" w:rsidRDefault="00C1115C" w:rsidP="00734B53">
      <w:pPr>
        <w:pStyle w:val="Prrafodelista"/>
        <w:snapToGrid w:val="0"/>
        <w:ind w:left="0"/>
        <w:contextualSpacing w:val="0"/>
        <w:rPr>
          <w:rFonts w:cs="Arial"/>
          <w:szCs w:val="20"/>
          <w:lang w:val="es-MX"/>
        </w:rPr>
      </w:pPr>
    </w:p>
    <w:p w14:paraId="0F0DC7B1" w14:textId="7482B0C0" w:rsidR="00C1115C" w:rsidRPr="009631AB" w:rsidRDefault="00C1115C" w:rsidP="00CE48C8">
      <w:pPr>
        <w:pStyle w:val="Ttulo2"/>
      </w:pPr>
      <w:bookmarkStart w:id="60" w:name="_Toc27069879"/>
      <w:r w:rsidRPr="009631AB">
        <w:t>Falta de agotamiento de recursos internos</w:t>
      </w:r>
      <w:bookmarkEnd w:id="60"/>
    </w:p>
    <w:p w14:paraId="1EB27DF6" w14:textId="77777777" w:rsidR="00C1115C" w:rsidRPr="009631AB" w:rsidRDefault="00C1115C" w:rsidP="00734B53">
      <w:pPr>
        <w:pStyle w:val="Prrafodelista"/>
        <w:tabs>
          <w:tab w:val="left" w:pos="0"/>
        </w:tabs>
        <w:ind w:left="0"/>
        <w:contextualSpacing w:val="0"/>
        <w:rPr>
          <w:rFonts w:cs="Arial"/>
          <w:i/>
          <w:szCs w:val="20"/>
          <w:lang w:val="es-MX"/>
        </w:rPr>
      </w:pPr>
    </w:p>
    <w:p w14:paraId="409703BC" w14:textId="77777777" w:rsidR="00C1115C" w:rsidRPr="009631AB" w:rsidRDefault="00C1115C" w:rsidP="00734B53">
      <w:pPr>
        <w:pStyle w:val="Prrafodelista"/>
        <w:tabs>
          <w:tab w:val="left" w:pos="0"/>
        </w:tabs>
        <w:ind w:left="0"/>
        <w:contextualSpacing w:val="0"/>
        <w:rPr>
          <w:rFonts w:cs="Arial"/>
          <w:b/>
          <w:i/>
          <w:szCs w:val="20"/>
          <w:lang w:val="es-MX"/>
        </w:rPr>
      </w:pPr>
      <w:r w:rsidRPr="009631AB">
        <w:rPr>
          <w:rFonts w:cs="Arial"/>
          <w:b/>
          <w:i/>
          <w:szCs w:val="20"/>
          <w:lang w:val="es-MX"/>
        </w:rPr>
        <w:tab/>
        <w:t xml:space="preserve">B.1 Alegatos del Estado y del representante </w:t>
      </w:r>
    </w:p>
    <w:p w14:paraId="7C771411" w14:textId="77777777" w:rsidR="00C1115C" w:rsidRPr="009631AB" w:rsidRDefault="00C1115C" w:rsidP="00734B53">
      <w:pPr>
        <w:pStyle w:val="Prrafodelista"/>
        <w:tabs>
          <w:tab w:val="left" w:pos="6225"/>
        </w:tabs>
        <w:ind w:left="0"/>
        <w:contextualSpacing w:val="0"/>
        <w:rPr>
          <w:rFonts w:cs="Arial"/>
          <w:i/>
          <w:szCs w:val="20"/>
          <w:lang w:val="es-MX"/>
        </w:rPr>
      </w:pPr>
      <w:r w:rsidRPr="009631AB">
        <w:rPr>
          <w:rFonts w:cs="Arial"/>
          <w:i/>
          <w:szCs w:val="20"/>
          <w:lang w:val="es-MX"/>
        </w:rPr>
        <w:tab/>
      </w:r>
    </w:p>
    <w:p w14:paraId="7F49C908" w14:textId="2057E6C7" w:rsidR="00C1115C" w:rsidRPr="009631AB" w:rsidRDefault="00C1115C" w:rsidP="00734B53">
      <w:pPr>
        <w:pStyle w:val="Prrafodelista"/>
        <w:numPr>
          <w:ilvl w:val="0"/>
          <w:numId w:val="4"/>
        </w:numPr>
        <w:contextualSpacing w:val="0"/>
        <w:rPr>
          <w:rFonts w:cs="Arial"/>
          <w:szCs w:val="20"/>
          <w:lang w:val="es-MX"/>
        </w:rPr>
      </w:pPr>
      <w:r w:rsidRPr="009631AB">
        <w:rPr>
          <w:rFonts w:cs="Arial"/>
          <w:szCs w:val="20"/>
          <w:lang w:val="es-MX"/>
        </w:rPr>
        <w:t xml:space="preserve">El </w:t>
      </w:r>
      <w:r w:rsidRPr="009631AB">
        <w:rPr>
          <w:rFonts w:cs="Arial"/>
          <w:b/>
          <w:i/>
          <w:szCs w:val="20"/>
          <w:lang w:val="es-MX"/>
        </w:rPr>
        <w:t>Estado</w:t>
      </w:r>
      <w:r w:rsidRPr="009631AB">
        <w:rPr>
          <w:rFonts w:cs="Arial"/>
          <w:szCs w:val="20"/>
          <w:lang w:val="es-MX"/>
        </w:rPr>
        <w:t xml:space="preserve"> afirmó que a la fecha de presentación de la petición inicial a la Comisión aún no se habían agotado los recursos internos de los tres procesos penales en contra de la presunta víctima.</w:t>
      </w:r>
      <w:r w:rsidRPr="009631AB">
        <w:rPr>
          <w:rFonts w:cs="Arial"/>
          <w:b/>
          <w:szCs w:val="20"/>
          <w:lang w:val="es-MX"/>
        </w:rPr>
        <w:t xml:space="preserve"> </w:t>
      </w:r>
    </w:p>
    <w:p w14:paraId="4CB237A9" w14:textId="77777777" w:rsidR="00C1115C" w:rsidRPr="009631AB" w:rsidRDefault="00C1115C" w:rsidP="00734B53">
      <w:pPr>
        <w:pStyle w:val="Prrafodelista"/>
        <w:ind w:left="0"/>
        <w:contextualSpacing w:val="0"/>
        <w:rPr>
          <w:rFonts w:cs="Arial"/>
          <w:szCs w:val="20"/>
          <w:lang w:val="es-MX"/>
        </w:rPr>
      </w:pPr>
    </w:p>
    <w:p w14:paraId="6C0E1CB1" w14:textId="759656E3" w:rsidR="00C1115C" w:rsidRPr="009631AB" w:rsidRDefault="00C1115C" w:rsidP="00734B53">
      <w:pPr>
        <w:pStyle w:val="Prrafodelista"/>
        <w:numPr>
          <w:ilvl w:val="0"/>
          <w:numId w:val="4"/>
        </w:numPr>
        <w:tabs>
          <w:tab w:val="left" w:pos="0"/>
        </w:tabs>
        <w:contextualSpacing w:val="0"/>
        <w:rPr>
          <w:rFonts w:cs="Arial"/>
          <w:szCs w:val="20"/>
          <w:lang w:val="es-MX"/>
        </w:rPr>
      </w:pPr>
      <w:r w:rsidRPr="009631AB">
        <w:rPr>
          <w:rFonts w:cs="Arial"/>
          <w:szCs w:val="20"/>
          <w:lang w:val="es-MX"/>
        </w:rPr>
        <w:t>Indicó que hacer una reclamación ante el Sistema Interamericano sin haber agotado los recursos internos constituiría un proceder contrario a lo determinado por la Convención, generando que se desarrollarán sobre los mismos hechos dos procesos, uno en la jurisdicción nacional y otro internacional de manera paralela y simultánea. Reiteró que el hecho de que un peticionario presente una reclamación ante el Sistema Interamericano cuando aún se encuentran procesos abiertos en</w:t>
      </w:r>
      <w:r w:rsidR="001B465D">
        <w:rPr>
          <w:rFonts w:cs="Arial"/>
          <w:szCs w:val="20"/>
          <w:lang w:val="es-MX"/>
        </w:rPr>
        <w:t xml:space="preserve"> </w:t>
      </w:r>
      <w:r w:rsidRPr="009631AB">
        <w:rPr>
          <w:rFonts w:cs="Arial"/>
          <w:szCs w:val="20"/>
          <w:lang w:val="es-MX"/>
        </w:rPr>
        <w:t xml:space="preserve">el ámbito interno, genera que el principio de subsidiariedad sea inobservado. Agregó que esta situación ocasionaría cambios dentro del caso y por consiguiente incertidumbre para las partes. </w:t>
      </w:r>
    </w:p>
    <w:p w14:paraId="746FAB62" w14:textId="77777777" w:rsidR="00C1115C" w:rsidRPr="009631AB" w:rsidRDefault="00C1115C" w:rsidP="00734B53">
      <w:pPr>
        <w:pStyle w:val="Prrafodelista"/>
        <w:tabs>
          <w:tab w:val="left" w:pos="0"/>
        </w:tabs>
        <w:ind w:left="0"/>
        <w:contextualSpacing w:val="0"/>
        <w:rPr>
          <w:rFonts w:cs="Arial"/>
          <w:szCs w:val="20"/>
          <w:lang w:val="es-MX"/>
        </w:rPr>
      </w:pPr>
    </w:p>
    <w:p w14:paraId="7B0EBCD1" w14:textId="11EF4085" w:rsidR="00C1115C" w:rsidRPr="009631AB" w:rsidRDefault="00C1115C" w:rsidP="00734B53">
      <w:pPr>
        <w:pStyle w:val="Prrafodelista"/>
        <w:numPr>
          <w:ilvl w:val="0"/>
          <w:numId w:val="4"/>
        </w:numPr>
        <w:tabs>
          <w:tab w:val="left" w:pos="0"/>
        </w:tabs>
        <w:contextualSpacing w:val="0"/>
        <w:rPr>
          <w:rFonts w:cs="Arial"/>
          <w:szCs w:val="20"/>
          <w:lang w:val="es-MX"/>
        </w:rPr>
      </w:pPr>
      <w:r w:rsidRPr="009631AB">
        <w:rPr>
          <w:rFonts w:cs="Arial"/>
          <w:szCs w:val="20"/>
          <w:lang w:val="es-MX"/>
        </w:rPr>
        <w:t xml:space="preserve">Con respecto a la carga probatoria que tiene el Estado para argumentar sobre el agotamiento de recursos y la efectividad de los mismos, hizo alusión a los recursos dentro del proceso penal sobre el delito de testaferrismo, el amparo en libertad en los tres procesos penales y finalmente el </w:t>
      </w:r>
      <w:r w:rsidR="00DA7EEF" w:rsidRPr="00DA7EEF">
        <w:rPr>
          <w:rFonts w:cs="Arial"/>
          <w:szCs w:val="20"/>
          <w:lang w:val="es-MX"/>
        </w:rPr>
        <w:t>hábeas</w:t>
      </w:r>
      <w:r w:rsidR="00DA7EEF">
        <w:rPr>
          <w:rStyle w:val="Refdenotaalpie"/>
          <w:lang w:val="es-MX"/>
        </w:rPr>
        <w:footnoteReference w:id="9"/>
      </w:r>
      <w:r w:rsidR="00DA7EEF" w:rsidRPr="00DA7EEF">
        <w:rPr>
          <w:rFonts w:cs="Arial"/>
          <w:szCs w:val="20"/>
          <w:lang w:val="es-MX"/>
        </w:rPr>
        <w:t xml:space="preserve"> corpus</w:t>
      </w:r>
      <w:r w:rsidRPr="009631AB">
        <w:rPr>
          <w:rFonts w:cs="Arial"/>
          <w:i/>
          <w:szCs w:val="20"/>
          <w:lang w:val="es-MX"/>
        </w:rPr>
        <w:t xml:space="preserve"> </w:t>
      </w:r>
      <w:r w:rsidRPr="009631AB">
        <w:rPr>
          <w:rFonts w:cs="Arial"/>
          <w:szCs w:val="20"/>
          <w:lang w:val="es-MX"/>
        </w:rPr>
        <w:t xml:space="preserve">que concluyó con la orden de libertad de la presunta víctima. </w:t>
      </w:r>
    </w:p>
    <w:p w14:paraId="7F6EA59E" w14:textId="77777777" w:rsidR="00C1115C" w:rsidRPr="009631AB" w:rsidRDefault="00C1115C" w:rsidP="00734B53">
      <w:pPr>
        <w:pStyle w:val="Prrafodelista"/>
        <w:tabs>
          <w:tab w:val="left" w:pos="0"/>
        </w:tabs>
        <w:ind w:left="0"/>
        <w:contextualSpacing w:val="0"/>
        <w:rPr>
          <w:rFonts w:cs="Arial"/>
          <w:szCs w:val="20"/>
          <w:lang w:val="es-MX"/>
        </w:rPr>
      </w:pPr>
    </w:p>
    <w:p w14:paraId="52D49CCD" w14:textId="3230E7B2" w:rsidR="00C1115C" w:rsidRPr="009631AB" w:rsidRDefault="00C1115C" w:rsidP="00734B53">
      <w:pPr>
        <w:pStyle w:val="Prrafodelista"/>
        <w:numPr>
          <w:ilvl w:val="0"/>
          <w:numId w:val="4"/>
        </w:numPr>
        <w:contextualSpacing w:val="0"/>
        <w:rPr>
          <w:rFonts w:cs="Arial"/>
          <w:b/>
          <w:szCs w:val="20"/>
          <w:lang w:val="es-MX"/>
        </w:rPr>
      </w:pPr>
      <w:r w:rsidRPr="009631AB">
        <w:rPr>
          <w:rFonts w:cs="Arial"/>
          <w:szCs w:val="20"/>
          <w:lang w:val="es-MX"/>
        </w:rPr>
        <w:t xml:space="preserve">El </w:t>
      </w:r>
      <w:r w:rsidRPr="009631AB">
        <w:rPr>
          <w:rFonts w:cs="Arial"/>
          <w:b/>
          <w:i/>
          <w:szCs w:val="20"/>
          <w:lang w:val="es-MX"/>
        </w:rPr>
        <w:t>representante</w:t>
      </w:r>
      <w:r w:rsidRPr="009631AB">
        <w:rPr>
          <w:rFonts w:cs="Arial"/>
          <w:szCs w:val="20"/>
          <w:lang w:val="es-MX"/>
        </w:rPr>
        <w:t xml:space="preserve"> indicó que la alegación sobre la falta de agotamiento de recursos en la jurisdicción interna no fue realizada de manera inmediata a la presentación de la petición inicial, sino que fue hasta el año de 2016, es decir cerca de 20 años después de presentada la petición. Lo anterior implicaría una renuncia tácita a interponer la excepción de agotamiento </w:t>
      </w:r>
      <w:r w:rsidRPr="009631AB">
        <w:rPr>
          <w:rFonts w:cs="Arial"/>
          <w:szCs w:val="20"/>
          <w:lang w:val="es-MX"/>
        </w:rPr>
        <w:lastRenderedPageBreak/>
        <w:t xml:space="preserve">de recursos internos. Asimismo, mencionó que al momento de presentar la petición inicial, operaban las excepciones del artículo 46.2 de la Convención. Hizo mención que el recurso de </w:t>
      </w:r>
      <w:r w:rsidR="00DA7EEF" w:rsidRPr="00DA7EEF">
        <w:rPr>
          <w:rFonts w:cs="Arial"/>
          <w:szCs w:val="20"/>
          <w:lang w:val="es-MX"/>
        </w:rPr>
        <w:t>hábeas corpus</w:t>
      </w:r>
      <w:r w:rsidRPr="009631AB">
        <w:rPr>
          <w:rFonts w:cs="Arial"/>
          <w:szCs w:val="20"/>
          <w:lang w:val="es-MX"/>
        </w:rPr>
        <w:t xml:space="preserve"> interpuesto con posterioridad a la presentación de la petición inicial no implicaba la falta de agotamiento de recursos internos pues, al contrario, confirmó la ineficacia de los recursos internos existentes en el Ecuador en el caso del señor Montesinos. Agregó que la presunta víctima no se encontraba obligada a agotar recursos</w:t>
      </w:r>
      <w:r w:rsidR="005638FE" w:rsidRPr="009631AB">
        <w:rPr>
          <w:rFonts w:cs="Arial"/>
          <w:szCs w:val="20"/>
          <w:lang w:val="es-MX"/>
        </w:rPr>
        <w:t xml:space="preserve"> que </w:t>
      </w:r>
      <w:r w:rsidRPr="009631AB">
        <w:rPr>
          <w:rFonts w:cs="Arial"/>
          <w:szCs w:val="20"/>
          <w:lang w:val="es-MX"/>
        </w:rPr>
        <w:t xml:space="preserve">tenían carácter extraordinario. </w:t>
      </w:r>
    </w:p>
    <w:p w14:paraId="41904ECC" w14:textId="77777777" w:rsidR="00C1115C" w:rsidRPr="009631AB" w:rsidRDefault="00C1115C" w:rsidP="00734B53">
      <w:pPr>
        <w:pStyle w:val="Prrafodelista"/>
        <w:ind w:left="0"/>
        <w:contextualSpacing w:val="0"/>
        <w:rPr>
          <w:rFonts w:cs="Arial"/>
          <w:b/>
          <w:szCs w:val="20"/>
          <w:lang w:val="es-MX"/>
        </w:rPr>
      </w:pPr>
    </w:p>
    <w:p w14:paraId="582BB848" w14:textId="77777777" w:rsidR="00C1115C" w:rsidRPr="00587147" w:rsidRDefault="00C1115C" w:rsidP="00734B53">
      <w:pPr>
        <w:pStyle w:val="Prrafodelista"/>
        <w:ind w:left="0" w:firstLine="720"/>
        <w:contextualSpacing w:val="0"/>
        <w:rPr>
          <w:rFonts w:cs="Arial"/>
          <w:b/>
          <w:i/>
          <w:szCs w:val="20"/>
          <w:lang w:val="es-MX"/>
        </w:rPr>
      </w:pPr>
      <w:r w:rsidRPr="00587147">
        <w:rPr>
          <w:rFonts w:cs="Arial"/>
          <w:b/>
          <w:i/>
          <w:szCs w:val="20"/>
          <w:lang w:val="es-MX"/>
        </w:rPr>
        <w:t>B.2 Consideraciones de la Corte</w:t>
      </w:r>
    </w:p>
    <w:p w14:paraId="204989A2" w14:textId="77777777" w:rsidR="00C1115C" w:rsidRPr="009631AB" w:rsidRDefault="00C1115C" w:rsidP="00734B53">
      <w:pPr>
        <w:pStyle w:val="Prrafodelista"/>
        <w:ind w:left="0"/>
        <w:contextualSpacing w:val="0"/>
        <w:rPr>
          <w:rFonts w:cs="Arial"/>
          <w:b/>
          <w:szCs w:val="20"/>
          <w:lang w:val="es-MX"/>
        </w:rPr>
      </w:pPr>
      <w:r w:rsidRPr="009631AB">
        <w:rPr>
          <w:rFonts w:cs="Arial"/>
          <w:b/>
          <w:szCs w:val="20"/>
          <w:lang w:val="es-MX"/>
        </w:rPr>
        <w:t xml:space="preserve"> </w:t>
      </w:r>
    </w:p>
    <w:p w14:paraId="4031DFC6" w14:textId="77777777" w:rsidR="00C1115C" w:rsidRPr="009631AB" w:rsidRDefault="00C1115C" w:rsidP="00734B53">
      <w:pPr>
        <w:pStyle w:val="Prrafodelista"/>
        <w:numPr>
          <w:ilvl w:val="0"/>
          <w:numId w:val="4"/>
        </w:numPr>
        <w:contextualSpacing w:val="0"/>
        <w:rPr>
          <w:rFonts w:cs="Arial"/>
          <w:szCs w:val="20"/>
          <w:lang w:val="es-MX"/>
        </w:rPr>
      </w:pPr>
      <w:r w:rsidRPr="009631AB">
        <w:rPr>
          <w:rFonts w:cs="Arial"/>
          <w:szCs w:val="20"/>
          <w:lang w:val="es-MX"/>
        </w:rPr>
        <w:t>El artículo 46.1.a de la Convención Americana dispone que para determinar la admisibilidad de una petición o comunicación presentada ante la Comisión, de conformidad con los artículos 44 y 45 de la Convención, es necesario que se hayan interpuesto y agotado los recursos de la jurisdicción interna, esto con base a los principios del Derecho Internacional generalmente reconocidos</w:t>
      </w:r>
      <w:r w:rsidRPr="009631AB">
        <w:rPr>
          <w:rStyle w:val="Refdenotaalpie"/>
          <w:rFonts w:ascii="Verdana" w:hAnsi="Verdana"/>
          <w:lang w:val="es-MX"/>
        </w:rPr>
        <w:footnoteReference w:id="10"/>
      </w:r>
      <w:r w:rsidRPr="009631AB">
        <w:rPr>
          <w:rFonts w:cs="Arial"/>
          <w:szCs w:val="20"/>
          <w:lang w:val="es-MX"/>
        </w:rPr>
        <w:t>.</w:t>
      </w:r>
    </w:p>
    <w:p w14:paraId="54627330" w14:textId="77777777" w:rsidR="00C1115C" w:rsidRPr="009631AB" w:rsidRDefault="00C1115C" w:rsidP="00734B53">
      <w:pPr>
        <w:pStyle w:val="Prrafodelista"/>
        <w:ind w:left="0"/>
        <w:contextualSpacing w:val="0"/>
        <w:rPr>
          <w:rFonts w:cs="Arial"/>
          <w:szCs w:val="20"/>
          <w:lang w:val="es-MX"/>
        </w:rPr>
      </w:pPr>
    </w:p>
    <w:p w14:paraId="5FE9E47C" w14:textId="3429879E" w:rsidR="00C1115C" w:rsidRPr="009631AB" w:rsidRDefault="00C1115C" w:rsidP="00734B53">
      <w:pPr>
        <w:pStyle w:val="Estilo1"/>
        <w:numPr>
          <w:ilvl w:val="0"/>
          <w:numId w:val="4"/>
        </w:numPr>
        <w:spacing w:after="0"/>
        <w:ind w:right="-6"/>
        <w:rPr>
          <w:rFonts w:cs="Calibri"/>
          <w:i w:val="0"/>
          <w:szCs w:val="20"/>
          <w:lang w:val="es-CO"/>
        </w:rPr>
      </w:pPr>
      <w:r w:rsidRPr="009631AB">
        <w:rPr>
          <w:i w:val="0"/>
          <w:szCs w:val="20"/>
        </w:rPr>
        <w:t>En este sentido, el Tribunal ha desarrollado pautas claras para analizar una excepción preliminar basada en un presunto incumplimiento del requisito de agotamiento de los recursos internos. Primero, ha interpretado la excepción como una defensa disponible para el Estado, a la que como tal puede renunciar, ya sea expresa o tácitamente. Segundo, ha establecido que esta excepción debe presentarse oportunamente</w:t>
      </w:r>
      <w:r w:rsidR="001B2656" w:rsidRPr="009631AB">
        <w:rPr>
          <w:i w:val="0"/>
          <w:szCs w:val="20"/>
        </w:rPr>
        <w:t xml:space="preserve">, durante el trámite de admisibilidad ante la Comisión, y que el </w:t>
      </w:r>
      <w:r w:rsidR="00261C69" w:rsidRPr="009631AB">
        <w:rPr>
          <w:i w:val="0"/>
          <w:szCs w:val="20"/>
        </w:rPr>
        <w:t>E</w:t>
      </w:r>
      <w:r w:rsidR="001B2656" w:rsidRPr="009631AB">
        <w:rPr>
          <w:i w:val="0"/>
          <w:szCs w:val="20"/>
        </w:rPr>
        <w:t xml:space="preserve">stado debe </w:t>
      </w:r>
      <w:r w:rsidR="001B2656" w:rsidRPr="009631AB">
        <w:rPr>
          <w:rFonts w:cs="Arial"/>
          <w:i w:val="0"/>
          <w:szCs w:val="20"/>
          <w:lang w:val="es-MX"/>
        </w:rPr>
        <w:t>precisar de manera clara los recursos, que a su consideración, no han sido agotados</w:t>
      </w:r>
      <w:r w:rsidRPr="009631AB">
        <w:rPr>
          <w:i w:val="0"/>
          <w:szCs w:val="20"/>
        </w:rPr>
        <w:t>. Tercero, la Corte ha afirmado que el Estado que presenta esta excepción debe especificar los recursos internos que son efectivos y que aún no se han agotado</w:t>
      </w:r>
      <w:r w:rsidRPr="009631AB">
        <w:rPr>
          <w:rStyle w:val="Refdenotaalpie"/>
          <w:rFonts w:ascii="Verdana" w:hAnsi="Verdana"/>
          <w:i w:val="0"/>
        </w:rPr>
        <w:footnoteReference w:id="11"/>
      </w:r>
      <w:r w:rsidRPr="009631AB">
        <w:rPr>
          <w:i w:val="0"/>
          <w:szCs w:val="20"/>
        </w:rPr>
        <w:t>.</w:t>
      </w:r>
    </w:p>
    <w:p w14:paraId="2AEF400A" w14:textId="77777777" w:rsidR="00C1115C" w:rsidRPr="009631AB" w:rsidRDefault="00C1115C" w:rsidP="00734B53">
      <w:pPr>
        <w:pStyle w:val="Prrafodelista"/>
        <w:ind w:left="0"/>
        <w:contextualSpacing w:val="0"/>
        <w:rPr>
          <w:rFonts w:cs="Arial"/>
          <w:szCs w:val="20"/>
          <w:lang w:val="es-MX"/>
        </w:rPr>
      </w:pPr>
    </w:p>
    <w:p w14:paraId="790A55C8" w14:textId="47EC5804" w:rsidR="005638FE" w:rsidRPr="009631AB" w:rsidRDefault="00C1115C" w:rsidP="00734B53">
      <w:pPr>
        <w:pStyle w:val="Prrafodelista"/>
        <w:numPr>
          <w:ilvl w:val="0"/>
          <w:numId w:val="4"/>
        </w:numPr>
        <w:contextualSpacing w:val="0"/>
        <w:rPr>
          <w:rFonts w:cs="Arial"/>
          <w:szCs w:val="20"/>
          <w:lang w:val="es-MX"/>
        </w:rPr>
      </w:pPr>
      <w:r w:rsidRPr="009631AB">
        <w:rPr>
          <w:rFonts w:cs="Arial"/>
          <w:szCs w:val="20"/>
          <w:lang w:val="es-MX"/>
        </w:rPr>
        <w:t xml:space="preserve">Sobre este asunto, se hace notar que </w:t>
      </w:r>
      <w:r w:rsidR="00D6153C">
        <w:rPr>
          <w:rFonts w:cs="Arial"/>
          <w:szCs w:val="20"/>
          <w:lang w:val="es-MX"/>
        </w:rPr>
        <w:t>el Estado</w:t>
      </w:r>
      <w:r w:rsidRPr="009631AB">
        <w:rPr>
          <w:rFonts w:cs="Arial"/>
          <w:szCs w:val="20"/>
          <w:lang w:val="es-MX"/>
        </w:rPr>
        <w:t xml:space="preserve">, en su </w:t>
      </w:r>
      <w:r w:rsidR="005638FE" w:rsidRPr="009631AB">
        <w:rPr>
          <w:rFonts w:cs="Arial"/>
          <w:szCs w:val="20"/>
          <w:lang w:val="es-MX"/>
        </w:rPr>
        <w:t xml:space="preserve">primero </w:t>
      </w:r>
      <w:r w:rsidRPr="009631AB">
        <w:rPr>
          <w:rFonts w:cs="Arial"/>
          <w:szCs w:val="20"/>
          <w:lang w:val="es-MX"/>
        </w:rPr>
        <w:t xml:space="preserve">escrito </w:t>
      </w:r>
      <w:r w:rsidR="005638FE" w:rsidRPr="009631AB">
        <w:rPr>
          <w:rFonts w:cs="Arial"/>
          <w:szCs w:val="20"/>
          <w:lang w:val="es-MX"/>
        </w:rPr>
        <w:t xml:space="preserve">de respuesta a la Comisión, </w:t>
      </w:r>
      <w:r w:rsidRPr="008E2396">
        <w:rPr>
          <w:rFonts w:cs="Arial"/>
          <w:color w:val="000000" w:themeColor="text1"/>
          <w:szCs w:val="20"/>
          <w:lang w:val="es-MX"/>
        </w:rPr>
        <w:t xml:space="preserve">de </w:t>
      </w:r>
      <w:r w:rsidR="005638FE" w:rsidRPr="008E2396">
        <w:rPr>
          <w:rFonts w:cs="Arial"/>
          <w:color w:val="000000" w:themeColor="text1"/>
          <w:szCs w:val="20"/>
          <w:lang w:val="es-MX"/>
        </w:rPr>
        <w:t xml:space="preserve">fecha 10 de diciembre de 1996, se limitó a remitir documentación sobre el proceso interno, sin </w:t>
      </w:r>
      <w:r w:rsidR="00AA5F0B" w:rsidRPr="008E2396">
        <w:rPr>
          <w:rFonts w:cs="Arial"/>
          <w:color w:val="000000" w:themeColor="text1"/>
          <w:szCs w:val="20"/>
          <w:lang w:val="es-MX"/>
        </w:rPr>
        <w:t>alegar la falta de agotamiento de los recursos internos ni señalar los que no se habían agotado y eran efectivos, esto</w:t>
      </w:r>
      <w:r w:rsidR="001B465D">
        <w:rPr>
          <w:rFonts w:cs="Arial"/>
          <w:color w:val="000000" w:themeColor="text1"/>
          <w:szCs w:val="20"/>
          <w:lang w:val="es-MX"/>
        </w:rPr>
        <w:t xml:space="preserve"> </w:t>
      </w:r>
      <w:r w:rsidR="00AA5F0B" w:rsidRPr="008E2396">
        <w:rPr>
          <w:rFonts w:cs="Arial"/>
          <w:color w:val="000000" w:themeColor="text1"/>
          <w:szCs w:val="20"/>
          <w:lang w:val="es-MX"/>
        </w:rPr>
        <w:t>es, no presentó</w:t>
      </w:r>
      <w:r w:rsidR="005638FE" w:rsidRPr="008E2396">
        <w:rPr>
          <w:rFonts w:cs="Arial"/>
          <w:color w:val="000000" w:themeColor="text1"/>
          <w:szCs w:val="20"/>
          <w:lang w:val="es-MX"/>
        </w:rPr>
        <w:t xml:space="preserve"> alegatos sobre la admisibilidad del caso. </w:t>
      </w:r>
      <w:r w:rsidR="001B2656" w:rsidRPr="008E2396">
        <w:rPr>
          <w:rFonts w:cs="Arial"/>
          <w:color w:val="000000" w:themeColor="text1"/>
          <w:szCs w:val="20"/>
          <w:lang w:val="es-MX"/>
        </w:rPr>
        <w:t xml:space="preserve">Diez </w:t>
      </w:r>
      <w:r w:rsidR="005638FE" w:rsidRPr="008E2396">
        <w:rPr>
          <w:rFonts w:cs="Arial"/>
          <w:color w:val="000000" w:themeColor="text1"/>
          <w:szCs w:val="20"/>
          <w:lang w:val="es-MX"/>
        </w:rPr>
        <w:t xml:space="preserve">años después, el 15 de julio de 2016, el </w:t>
      </w:r>
      <w:r w:rsidRPr="008E2396">
        <w:rPr>
          <w:rFonts w:cs="Arial"/>
          <w:color w:val="000000" w:themeColor="text1"/>
          <w:szCs w:val="20"/>
          <w:lang w:val="es-MX"/>
        </w:rPr>
        <w:t xml:space="preserve">Estado </w:t>
      </w:r>
      <w:r w:rsidR="005638FE" w:rsidRPr="008E2396">
        <w:rPr>
          <w:rFonts w:cs="Arial"/>
          <w:color w:val="000000" w:themeColor="text1"/>
          <w:szCs w:val="20"/>
          <w:lang w:val="es-MX"/>
        </w:rPr>
        <w:t>se pronunció sobre la a</w:t>
      </w:r>
      <w:r w:rsidR="005638FE" w:rsidRPr="009631AB">
        <w:rPr>
          <w:rFonts w:cs="Arial"/>
          <w:szCs w:val="20"/>
          <w:lang w:val="es-MX"/>
        </w:rPr>
        <w:t>dmisibilidad del caso, y alegó que</w:t>
      </w:r>
      <w:r w:rsidR="005638FE" w:rsidRPr="009631AB">
        <w:rPr>
          <w:rFonts w:cs="Arial"/>
          <w:b/>
          <w:szCs w:val="20"/>
          <w:lang w:val="es-MX"/>
        </w:rPr>
        <w:t xml:space="preserve"> </w:t>
      </w:r>
      <w:r w:rsidR="005638FE" w:rsidRPr="009631AB">
        <w:rPr>
          <w:rFonts w:cs="Arial"/>
          <w:szCs w:val="20"/>
          <w:lang w:val="es-MX"/>
        </w:rPr>
        <w:t xml:space="preserve">determinados recursos no habían sido agotados al momento de presentación de la petición ante la Comisión y, posteriormente en el trascurso del proceso penal por testaferrismo. </w:t>
      </w:r>
    </w:p>
    <w:p w14:paraId="572E5918" w14:textId="77777777" w:rsidR="005638FE" w:rsidRPr="009631AB" w:rsidRDefault="005638FE" w:rsidP="00734B53">
      <w:pPr>
        <w:pStyle w:val="Prrafodelista"/>
        <w:contextualSpacing w:val="0"/>
        <w:rPr>
          <w:rFonts w:cs="Arial"/>
          <w:szCs w:val="20"/>
          <w:lang w:val="es-MX"/>
        </w:rPr>
      </w:pPr>
    </w:p>
    <w:p w14:paraId="00CA8FA8" w14:textId="47887FFC" w:rsidR="005638FE" w:rsidRPr="009631AB" w:rsidRDefault="005638FE" w:rsidP="00734B53">
      <w:pPr>
        <w:pStyle w:val="Prrafodelista"/>
        <w:numPr>
          <w:ilvl w:val="0"/>
          <w:numId w:val="4"/>
        </w:numPr>
        <w:contextualSpacing w:val="0"/>
        <w:rPr>
          <w:rFonts w:cs="Arial"/>
          <w:szCs w:val="20"/>
          <w:lang w:val="es-MX"/>
        </w:rPr>
      </w:pPr>
      <w:r w:rsidRPr="009631AB">
        <w:rPr>
          <w:rFonts w:cs="Arial"/>
          <w:szCs w:val="20"/>
          <w:lang w:val="es-MX"/>
        </w:rPr>
        <w:t xml:space="preserve">En relación con el momento de evaluación del agotamiento de los recursos, la Corte se ha pronunciado en el sentido que debe ser </w:t>
      </w:r>
      <w:r w:rsidR="00E12241">
        <w:rPr>
          <w:rFonts w:cs="Arial"/>
          <w:szCs w:val="20"/>
          <w:lang w:val="es-MX"/>
        </w:rPr>
        <w:t>cuando</w:t>
      </w:r>
      <w:r w:rsidRPr="009631AB">
        <w:rPr>
          <w:rFonts w:cs="Arial"/>
          <w:szCs w:val="20"/>
          <w:lang w:val="es-MX"/>
        </w:rPr>
        <w:t xml:space="preserve"> se decida sobre la admisibilidad de la petición y no </w:t>
      </w:r>
      <w:r w:rsidR="000B7E5E">
        <w:rPr>
          <w:rFonts w:cs="Arial"/>
          <w:szCs w:val="20"/>
          <w:lang w:val="es-MX"/>
        </w:rPr>
        <w:t>en la</w:t>
      </w:r>
      <w:r w:rsidR="00D627EE">
        <w:rPr>
          <w:rFonts w:cs="Arial"/>
          <w:szCs w:val="20"/>
          <w:lang w:val="es-MX"/>
        </w:rPr>
        <w:t xml:space="preserve"> fecha </w:t>
      </w:r>
      <w:r w:rsidR="00E12241">
        <w:rPr>
          <w:rFonts w:cs="Arial"/>
          <w:szCs w:val="20"/>
          <w:lang w:val="es-MX"/>
        </w:rPr>
        <w:t>de la</w:t>
      </w:r>
      <w:r w:rsidRPr="009631AB">
        <w:rPr>
          <w:rFonts w:cs="Arial"/>
          <w:szCs w:val="20"/>
          <w:lang w:val="es-MX"/>
        </w:rPr>
        <w:t xml:space="preserve"> presentación de la misma</w:t>
      </w:r>
      <w:r w:rsidR="00683CA6" w:rsidRPr="009631AB">
        <w:rPr>
          <w:rStyle w:val="Refdenotaalpie"/>
          <w:rFonts w:ascii="Verdana" w:hAnsi="Verdana"/>
          <w:lang w:val="es-MX"/>
        </w:rPr>
        <w:footnoteReference w:id="12"/>
      </w:r>
      <w:r w:rsidR="00683CA6" w:rsidRPr="009631AB">
        <w:rPr>
          <w:rFonts w:cs="Arial"/>
          <w:szCs w:val="20"/>
          <w:lang w:val="es-MX"/>
        </w:rPr>
        <w:t>. De modo que</w:t>
      </w:r>
      <w:r w:rsidR="00D627EE">
        <w:rPr>
          <w:rFonts w:cs="Arial"/>
          <w:szCs w:val="20"/>
          <w:lang w:val="es-MX"/>
        </w:rPr>
        <w:t>,</w:t>
      </w:r>
      <w:r w:rsidR="00683CA6" w:rsidRPr="009631AB">
        <w:rPr>
          <w:rFonts w:cs="Arial"/>
          <w:szCs w:val="20"/>
          <w:lang w:val="es-MX"/>
        </w:rPr>
        <w:t xml:space="preserve"> al momento de la emisión del Informe de Admisibilidad y Fondo de la Comisión, efectivamente todos los recursos habían sido agotados por parte del señor Montesinos. Subsidiariamente, en relación con el alegato estatal sobre la necesidad de agotamiento del recurso de revisión, la Corte considera que ese alegato no fue propuesto ante la Comisión, de forma que es extemporáneo. </w:t>
      </w:r>
    </w:p>
    <w:p w14:paraId="5922026E" w14:textId="77777777" w:rsidR="005638FE" w:rsidRPr="009631AB" w:rsidRDefault="005638FE" w:rsidP="00734B53">
      <w:pPr>
        <w:pStyle w:val="Prrafodelista"/>
        <w:contextualSpacing w:val="0"/>
        <w:rPr>
          <w:rFonts w:cs="Arial"/>
          <w:szCs w:val="20"/>
          <w:lang w:val="es-MX"/>
        </w:rPr>
      </w:pPr>
    </w:p>
    <w:p w14:paraId="2C17A6B7" w14:textId="2E5DE58D" w:rsidR="00C1115C" w:rsidRPr="009631AB" w:rsidRDefault="00683CA6" w:rsidP="00734B53">
      <w:pPr>
        <w:pStyle w:val="Prrafodelista"/>
        <w:numPr>
          <w:ilvl w:val="0"/>
          <w:numId w:val="4"/>
        </w:numPr>
        <w:contextualSpacing w:val="0"/>
        <w:rPr>
          <w:rFonts w:cs="Arial"/>
          <w:szCs w:val="20"/>
          <w:lang w:val="es-MX"/>
        </w:rPr>
      </w:pPr>
      <w:r w:rsidRPr="009631AB">
        <w:rPr>
          <w:rFonts w:cs="Arial"/>
          <w:szCs w:val="20"/>
          <w:lang w:val="es-MX"/>
        </w:rPr>
        <w:t>Por todo lo anterior</w:t>
      </w:r>
      <w:r w:rsidR="00D6153C">
        <w:rPr>
          <w:rFonts w:cs="Arial"/>
          <w:szCs w:val="20"/>
          <w:lang w:val="es-MX"/>
        </w:rPr>
        <w:t>,</w:t>
      </w:r>
      <w:r w:rsidRPr="009631AB">
        <w:rPr>
          <w:rFonts w:cs="Arial"/>
          <w:szCs w:val="20"/>
          <w:lang w:val="es-MX"/>
        </w:rPr>
        <w:t xml:space="preserve"> </w:t>
      </w:r>
      <w:r w:rsidR="00C1115C" w:rsidRPr="009631AB">
        <w:rPr>
          <w:rFonts w:cs="Arial"/>
          <w:szCs w:val="20"/>
          <w:lang w:val="es-MX"/>
        </w:rPr>
        <w:t xml:space="preserve">la Corte declara sin lugar esta excepción preliminar. </w:t>
      </w:r>
    </w:p>
    <w:p w14:paraId="22637A8C" w14:textId="77777777" w:rsidR="00C1115C" w:rsidRPr="009631AB" w:rsidRDefault="00C1115C" w:rsidP="00734B53">
      <w:pPr>
        <w:spacing w:after="0" w:line="240" w:lineRule="auto"/>
        <w:jc w:val="both"/>
        <w:rPr>
          <w:rFonts w:cs="Arial"/>
          <w:b/>
          <w:szCs w:val="20"/>
          <w:lang w:val="es-MX"/>
        </w:rPr>
      </w:pPr>
    </w:p>
    <w:p w14:paraId="5D610BF3" w14:textId="04504A9C" w:rsidR="00C1115C" w:rsidRPr="009631AB" w:rsidRDefault="00C1115C" w:rsidP="00CE48C8">
      <w:pPr>
        <w:pStyle w:val="Ttulo2"/>
        <w:rPr>
          <w:lang w:val="es-MX"/>
        </w:rPr>
      </w:pPr>
      <w:bookmarkStart w:id="61" w:name="_Toc506984087"/>
      <w:bookmarkStart w:id="62" w:name="_Toc27069880"/>
      <w:r w:rsidRPr="009631AB">
        <w:lastRenderedPageBreak/>
        <w:t xml:space="preserve">Incompetencia </w:t>
      </w:r>
      <w:proofErr w:type="spellStart"/>
      <w:r w:rsidRPr="009631AB">
        <w:t>ratione</w:t>
      </w:r>
      <w:proofErr w:type="spellEnd"/>
      <w:r w:rsidRPr="009631AB">
        <w:t xml:space="preserve"> </w:t>
      </w:r>
      <w:proofErr w:type="spellStart"/>
      <w:r w:rsidRPr="009631AB">
        <w:t>materiae</w:t>
      </w:r>
      <w:proofErr w:type="spellEnd"/>
      <w:r w:rsidRPr="009631AB">
        <w:t xml:space="preserve"> para revisar decisiones internas (excepción de </w:t>
      </w:r>
      <w:r w:rsidR="001B2656" w:rsidRPr="009631AB">
        <w:t>“</w:t>
      </w:r>
      <w:r w:rsidRPr="009631AB">
        <w:t>cuarta instancia</w:t>
      </w:r>
      <w:r w:rsidR="001B2656" w:rsidRPr="009631AB">
        <w:t>”</w:t>
      </w:r>
      <w:r w:rsidRPr="009631AB">
        <w:t>)</w:t>
      </w:r>
      <w:bookmarkEnd w:id="61"/>
      <w:bookmarkEnd w:id="62"/>
    </w:p>
    <w:p w14:paraId="6F1440DE" w14:textId="77777777" w:rsidR="00C1115C" w:rsidRPr="009631AB" w:rsidRDefault="00C1115C" w:rsidP="00734B53">
      <w:pPr>
        <w:pStyle w:val="Prrafodelista"/>
        <w:tabs>
          <w:tab w:val="left" w:pos="0"/>
        </w:tabs>
        <w:ind w:left="0"/>
        <w:contextualSpacing w:val="0"/>
        <w:rPr>
          <w:rFonts w:cs="Arial"/>
          <w:b/>
          <w:i/>
          <w:szCs w:val="20"/>
          <w:lang w:val="es-MX"/>
        </w:rPr>
      </w:pPr>
    </w:p>
    <w:p w14:paraId="77096B72" w14:textId="77777777" w:rsidR="00C1115C" w:rsidRPr="009631AB" w:rsidRDefault="00C1115C" w:rsidP="00734B53">
      <w:pPr>
        <w:spacing w:after="0" w:line="240" w:lineRule="auto"/>
        <w:ind w:firstLine="720"/>
        <w:jc w:val="both"/>
        <w:rPr>
          <w:b/>
          <w:i/>
          <w:szCs w:val="20"/>
          <w:lang w:val="es-MX"/>
        </w:rPr>
      </w:pPr>
      <w:r w:rsidRPr="009631AB">
        <w:rPr>
          <w:b/>
          <w:i/>
          <w:szCs w:val="20"/>
          <w:lang w:val="es-MX"/>
        </w:rPr>
        <w:t>C.1 Alegatos del Estado y del representante</w:t>
      </w:r>
    </w:p>
    <w:p w14:paraId="3F6BFCB6" w14:textId="77777777" w:rsidR="00C1115C" w:rsidRPr="009631AB" w:rsidRDefault="00C1115C" w:rsidP="00734B53">
      <w:pPr>
        <w:pStyle w:val="Prrafodelista"/>
        <w:ind w:left="0"/>
        <w:contextualSpacing w:val="0"/>
        <w:rPr>
          <w:szCs w:val="20"/>
          <w:lang w:val="es-MX"/>
        </w:rPr>
      </w:pPr>
    </w:p>
    <w:p w14:paraId="2CCA952E" w14:textId="651184D6" w:rsidR="00C1115C" w:rsidRPr="009631AB" w:rsidRDefault="00C1115C" w:rsidP="00734B53">
      <w:pPr>
        <w:pStyle w:val="Prrafodelista"/>
        <w:numPr>
          <w:ilvl w:val="0"/>
          <w:numId w:val="4"/>
        </w:numPr>
        <w:contextualSpacing w:val="0"/>
        <w:rPr>
          <w:szCs w:val="20"/>
          <w:lang w:val="es-MX"/>
        </w:rPr>
      </w:pPr>
      <w:r w:rsidRPr="009631AB">
        <w:rPr>
          <w:szCs w:val="20"/>
          <w:lang w:val="es-MX"/>
        </w:rPr>
        <w:t xml:space="preserve">El </w:t>
      </w:r>
      <w:r w:rsidRPr="009631AB">
        <w:rPr>
          <w:b/>
          <w:i/>
          <w:szCs w:val="20"/>
          <w:lang w:val="es-MX"/>
        </w:rPr>
        <w:t>Estado</w:t>
      </w:r>
      <w:r w:rsidRPr="009631AB">
        <w:rPr>
          <w:szCs w:val="20"/>
          <w:lang w:val="es-MX"/>
        </w:rPr>
        <w:t xml:space="preserve"> mencionó que los organismos internacionales no cuentan con competencia para conocer presuntos errores de hecho y de derecho que puedan haberse producido en los tribunales nacionales, excepto cuando se hayan violado flagrantemente normas de derechos humanos protegidas por tratados internacionales. Indicó que la intención de la presunta víctima es utilizar el Sistema Interamericano como un tribunal de alzada con respecto al proceso penal que se le siguió por del delito de testaferrismo.</w:t>
      </w:r>
      <w:r w:rsidRPr="009631AB">
        <w:rPr>
          <w:b/>
          <w:szCs w:val="20"/>
          <w:lang w:val="es-MX"/>
        </w:rPr>
        <w:t xml:space="preserve"> </w:t>
      </w:r>
    </w:p>
    <w:p w14:paraId="72C9CEFD" w14:textId="77777777" w:rsidR="00C1115C" w:rsidRPr="009631AB" w:rsidRDefault="00C1115C" w:rsidP="00734B53">
      <w:pPr>
        <w:pStyle w:val="Prrafodelista"/>
        <w:ind w:left="0"/>
        <w:contextualSpacing w:val="0"/>
        <w:rPr>
          <w:szCs w:val="20"/>
          <w:lang w:val="es-MX"/>
        </w:rPr>
      </w:pPr>
    </w:p>
    <w:p w14:paraId="4316B27A" w14:textId="03D20558" w:rsidR="00C1115C" w:rsidRPr="009631AB" w:rsidRDefault="00C1115C" w:rsidP="00734B53">
      <w:pPr>
        <w:pStyle w:val="Prrafodelista"/>
        <w:numPr>
          <w:ilvl w:val="0"/>
          <w:numId w:val="4"/>
        </w:numPr>
        <w:contextualSpacing w:val="0"/>
        <w:rPr>
          <w:szCs w:val="20"/>
          <w:lang w:val="es-MX"/>
        </w:rPr>
      </w:pPr>
      <w:r w:rsidRPr="009631AB">
        <w:rPr>
          <w:szCs w:val="20"/>
          <w:lang w:val="es-MX"/>
        </w:rPr>
        <w:t xml:space="preserve">Agregó que la intención del señor Montesinos era, únicamente, alegar la vulneración de derechos en el único proceso en que el resultado le fue adverso, sin señalar ninguna </w:t>
      </w:r>
      <w:r w:rsidR="000B7E5E">
        <w:rPr>
          <w:szCs w:val="20"/>
          <w:lang w:val="es-MX"/>
        </w:rPr>
        <w:t xml:space="preserve">violación en relación </w:t>
      </w:r>
      <w:r w:rsidR="0053221B">
        <w:rPr>
          <w:szCs w:val="20"/>
          <w:lang w:val="es-MX"/>
        </w:rPr>
        <w:t>c</w:t>
      </w:r>
      <w:r w:rsidR="000B7E5E">
        <w:rPr>
          <w:szCs w:val="20"/>
          <w:lang w:val="es-MX"/>
        </w:rPr>
        <w:t xml:space="preserve">on </w:t>
      </w:r>
      <w:r w:rsidRPr="009631AB">
        <w:rPr>
          <w:szCs w:val="20"/>
          <w:lang w:val="es-MX"/>
        </w:rPr>
        <w:t xml:space="preserve">los otros dos procesos penales en los que fue absuelto. </w:t>
      </w:r>
      <w:r w:rsidR="00D6153C">
        <w:rPr>
          <w:szCs w:val="20"/>
          <w:lang w:val="es-MX"/>
        </w:rPr>
        <w:t xml:space="preserve">Sostuvo </w:t>
      </w:r>
      <w:r w:rsidRPr="009631AB">
        <w:rPr>
          <w:szCs w:val="20"/>
          <w:lang w:val="es-MX"/>
        </w:rPr>
        <w:t xml:space="preserve">que resulta indudable que el propósito de la presunta víctima está enfocado a que </w:t>
      </w:r>
      <w:r w:rsidR="000B7E5E">
        <w:rPr>
          <w:szCs w:val="20"/>
          <w:lang w:val="es-MX"/>
        </w:rPr>
        <w:t>la Corte</w:t>
      </w:r>
      <w:r w:rsidRPr="009631AB">
        <w:rPr>
          <w:szCs w:val="20"/>
          <w:lang w:val="es-MX"/>
        </w:rPr>
        <w:t xml:space="preserve"> revoque las resoluciones del tribunal nacional sobre los hechos y circunstancias del caso y, </w:t>
      </w:r>
      <w:r w:rsidR="00D6153C">
        <w:rPr>
          <w:szCs w:val="20"/>
          <w:lang w:val="es-MX"/>
        </w:rPr>
        <w:t>como</w:t>
      </w:r>
      <w:r w:rsidR="00D6153C" w:rsidRPr="009631AB">
        <w:rPr>
          <w:szCs w:val="20"/>
          <w:lang w:val="es-MX"/>
        </w:rPr>
        <w:t xml:space="preserve"> </w:t>
      </w:r>
      <w:r w:rsidRPr="009631AB">
        <w:rPr>
          <w:szCs w:val="20"/>
          <w:lang w:val="es-MX"/>
        </w:rPr>
        <w:t xml:space="preserve">si fuera una instancia superior a los organismos nacionales, ordene la anulación del proceso penal seguido en su contra. </w:t>
      </w:r>
    </w:p>
    <w:p w14:paraId="58C9C1D1" w14:textId="77777777" w:rsidR="00C1115C" w:rsidRPr="009631AB" w:rsidRDefault="00C1115C" w:rsidP="00734B53">
      <w:pPr>
        <w:pStyle w:val="Prrafodelista"/>
        <w:ind w:left="0"/>
        <w:contextualSpacing w:val="0"/>
        <w:rPr>
          <w:szCs w:val="20"/>
          <w:lang w:val="es-MX"/>
        </w:rPr>
      </w:pPr>
    </w:p>
    <w:p w14:paraId="4F1D646A" w14:textId="18FEB453" w:rsidR="00C1115C" w:rsidRPr="009631AB" w:rsidRDefault="00C1115C" w:rsidP="00734B53">
      <w:pPr>
        <w:pStyle w:val="Prrafodelista"/>
        <w:numPr>
          <w:ilvl w:val="0"/>
          <w:numId w:val="4"/>
        </w:numPr>
        <w:contextualSpacing w:val="0"/>
        <w:rPr>
          <w:szCs w:val="20"/>
        </w:rPr>
      </w:pPr>
      <w:r w:rsidRPr="009631AB">
        <w:rPr>
          <w:szCs w:val="20"/>
          <w:lang w:val="es-MX"/>
        </w:rPr>
        <w:t xml:space="preserve">El </w:t>
      </w:r>
      <w:r w:rsidRPr="009631AB">
        <w:rPr>
          <w:b/>
          <w:i/>
          <w:szCs w:val="20"/>
          <w:lang w:val="es-MX"/>
        </w:rPr>
        <w:t>representante</w:t>
      </w:r>
      <w:r w:rsidRPr="009631AB">
        <w:rPr>
          <w:szCs w:val="20"/>
          <w:lang w:val="es-MX"/>
        </w:rPr>
        <w:t xml:space="preserve"> sostuvo que no se ha pedido que la Corte valore la prueba existente en los procesos internos ni se ha </w:t>
      </w:r>
      <w:r w:rsidR="00D6153C">
        <w:rPr>
          <w:szCs w:val="20"/>
          <w:lang w:val="es-MX"/>
        </w:rPr>
        <w:t>requerido</w:t>
      </w:r>
      <w:r w:rsidR="00D6153C" w:rsidRPr="009631AB">
        <w:rPr>
          <w:szCs w:val="20"/>
          <w:lang w:val="es-MX"/>
        </w:rPr>
        <w:t xml:space="preserve"> </w:t>
      </w:r>
      <w:r w:rsidRPr="009631AB">
        <w:rPr>
          <w:szCs w:val="20"/>
          <w:lang w:val="es-MX"/>
        </w:rPr>
        <w:t xml:space="preserve">que se pronuncie sobre la aplicación de normas internas ecuatorianas con respecto al juzgamiento que se le dio a Mario Montesinos. Por el contrario, se </w:t>
      </w:r>
      <w:r w:rsidR="000B7E5E">
        <w:rPr>
          <w:szCs w:val="20"/>
          <w:lang w:val="es-MX"/>
        </w:rPr>
        <w:t xml:space="preserve">le </w:t>
      </w:r>
      <w:r w:rsidRPr="009631AB">
        <w:rPr>
          <w:szCs w:val="20"/>
          <w:lang w:val="es-MX"/>
        </w:rPr>
        <w:t xml:space="preserve">ha solicitado que se pronuncie sobre la conducta del Estado en los procesos en relación con sus obligaciones internacionales de conformidad con la Convención Americana. En este contexto, </w:t>
      </w:r>
      <w:r w:rsidR="000B7E5E">
        <w:rPr>
          <w:szCs w:val="20"/>
          <w:lang w:val="es-MX"/>
        </w:rPr>
        <w:t xml:space="preserve">considera que </w:t>
      </w:r>
      <w:r w:rsidRPr="009631AB">
        <w:rPr>
          <w:szCs w:val="20"/>
          <w:lang w:val="es-MX"/>
        </w:rPr>
        <w:t xml:space="preserve">resulta importante que la Corte </w:t>
      </w:r>
      <w:r w:rsidR="000320BB">
        <w:rPr>
          <w:szCs w:val="20"/>
          <w:lang w:val="es-MX"/>
        </w:rPr>
        <w:t xml:space="preserve">Interamericana </w:t>
      </w:r>
      <w:r w:rsidRPr="009631AB">
        <w:rPr>
          <w:szCs w:val="20"/>
          <w:lang w:val="es-MX"/>
        </w:rPr>
        <w:t xml:space="preserve">se pronuncie sobre el valor de las actuaciones y pruebas que tengan origen en violaciones a los derechos humanos, como lo serían la recepción de declaraciones mientras existía la incomunicación o la emisión de un informe policial obtenido y generado durante la incomunicación. </w:t>
      </w:r>
    </w:p>
    <w:p w14:paraId="35A20928" w14:textId="77777777" w:rsidR="00C1115C" w:rsidRPr="009631AB" w:rsidRDefault="00C1115C" w:rsidP="00734B53">
      <w:pPr>
        <w:pStyle w:val="Prrafodelista"/>
        <w:ind w:left="0"/>
        <w:contextualSpacing w:val="0"/>
        <w:rPr>
          <w:szCs w:val="20"/>
          <w:lang w:val="es-MX"/>
        </w:rPr>
      </w:pPr>
    </w:p>
    <w:p w14:paraId="2446046C" w14:textId="77777777" w:rsidR="00C1115C" w:rsidRPr="009631AB" w:rsidRDefault="00C1115C" w:rsidP="00734B53">
      <w:pPr>
        <w:spacing w:after="0" w:line="240" w:lineRule="auto"/>
        <w:ind w:firstLine="720"/>
        <w:jc w:val="both"/>
        <w:rPr>
          <w:b/>
          <w:i/>
          <w:szCs w:val="20"/>
          <w:lang w:val="es-MX"/>
        </w:rPr>
      </w:pPr>
      <w:r w:rsidRPr="009631AB">
        <w:rPr>
          <w:b/>
          <w:i/>
          <w:szCs w:val="20"/>
          <w:lang w:val="es-MX"/>
        </w:rPr>
        <w:t>C.2 Consideraciones de la Corte</w:t>
      </w:r>
    </w:p>
    <w:p w14:paraId="2D246240" w14:textId="77777777" w:rsidR="00C1115C" w:rsidRPr="009631AB" w:rsidRDefault="00C1115C" w:rsidP="00734B53">
      <w:pPr>
        <w:pStyle w:val="Prrafodelista"/>
        <w:ind w:left="0"/>
        <w:contextualSpacing w:val="0"/>
        <w:rPr>
          <w:szCs w:val="20"/>
          <w:lang w:val="es-MX"/>
        </w:rPr>
      </w:pPr>
    </w:p>
    <w:p w14:paraId="5C4A2647" w14:textId="11BA1F72" w:rsidR="007D0CAB" w:rsidRPr="009631AB" w:rsidRDefault="00C1115C" w:rsidP="007D0CAB">
      <w:pPr>
        <w:pStyle w:val="Prrafodelista"/>
        <w:numPr>
          <w:ilvl w:val="0"/>
          <w:numId w:val="4"/>
        </w:numPr>
        <w:contextualSpacing w:val="0"/>
        <w:rPr>
          <w:szCs w:val="20"/>
          <w:lang w:val="es-MX"/>
        </w:rPr>
      </w:pPr>
      <w:r w:rsidRPr="009631AB">
        <w:rPr>
          <w:szCs w:val="20"/>
          <w:lang w:val="es-MX"/>
        </w:rPr>
        <w:t xml:space="preserve">La Corte ha reiterado que una de las características de la jurisdicción internacional es su carácter coadyuvante y complementario. Es así que, para que la excepción preliminar de cuarta instancia sea aplicable, es necesario que el solicitante busque que </w:t>
      </w:r>
      <w:r w:rsidR="000B7E5E">
        <w:rPr>
          <w:szCs w:val="20"/>
          <w:lang w:val="es-MX"/>
        </w:rPr>
        <w:t xml:space="preserve">la </w:t>
      </w:r>
      <w:r w:rsidRPr="009631AB">
        <w:rPr>
          <w:szCs w:val="20"/>
          <w:lang w:val="es-MX"/>
        </w:rPr>
        <w:t xml:space="preserve">revisión de un fallo de un tribunal nacional en razón de la incorrecta apreciación de la prueba, hechos o el derecho interno, sin que alegue que existió una violación a los tratados internacionales </w:t>
      </w:r>
      <w:r w:rsidR="00C80A32">
        <w:rPr>
          <w:szCs w:val="20"/>
          <w:lang w:val="es-MX"/>
        </w:rPr>
        <w:t>sobre</w:t>
      </w:r>
      <w:r w:rsidRPr="009631AB">
        <w:rPr>
          <w:szCs w:val="20"/>
          <w:lang w:val="es-MX"/>
        </w:rPr>
        <w:t xml:space="preserve"> los que tenga competencia la Corte</w:t>
      </w:r>
      <w:r w:rsidRPr="009631AB">
        <w:rPr>
          <w:rStyle w:val="Refdenotaalpie"/>
          <w:rFonts w:ascii="Verdana" w:hAnsi="Verdana"/>
          <w:lang w:val="es-MX"/>
        </w:rPr>
        <w:footnoteReference w:id="13"/>
      </w:r>
      <w:r w:rsidRPr="009631AB">
        <w:rPr>
          <w:szCs w:val="20"/>
          <w:lang w:val="es-MX"/>
        </w:rPr>
        <w:t>.</w:t>
      </w:r>
    </w:p>
    <w:p w14:paraId="240B89F0" w14:textId="77777777" w:rsidR="007D0CAB" w:rsidRPr="009631AB" w:rsidRDefault="007D0CAB" w:rsidP="007D0CAB">
      <w:pPr>
        <w:pStyle w:val="Prrafodelista"/>
        <w:ind w:left="0"/>
        <w:contextualSpacing w:val="0"/>
        <w:rPr>
          <w:szCs w:val="20"/>
          <w:lang w:val="es-MX"/>
        </w:rPr>
      </w:pPr>
    </w:p>
    <w:p w14:paraId="6BF7F211" w14:textId="481663E8" w:rsidR="007D0CAB" w:rsidRPr="008E2396" w:rsidRDefault="007D0CAB" w:rsidP="007D0CAB">
      <w:pPr>
        <w:pStyle w:val="Prrafodelista"/>
        <w:numPr>
          <w:ilvl w:val="0"/>
          <w:numId w:val="4"/>
        </w:numPr>
        <w:contextualSpacing w:val="0"/>
        <w:rPr>
          <w:color w:val="000000" w:themeColor="text1"/>
          <w:szCs w:val="20"/>
          <w:lang w:val="es-MX"/>
        </w:rPr>
      </w:pPr>
      <w:r w:rsidRPr="009631AB">
        <w:rPr>
          <w:szCs w:val="20"/>
        </w:rPr>
        <w:t>Además, esta Corte ha establecido que, al valorarse el cumplimiento de ciertas obligaciones internacionales, puede darse una intrínseca interrelación entre el análisis de derecho internacional y de derecho interno. Por tanto, la determinación de si las actuaciones de órganos judiciales constituyen o no una violación de las obligaciones internacionales del Estado, puede conducir a que deba ocuparse de examinar los respectivos procesos internos para establecer su compatibilidad con la Convención Americana</w:t>
      </w:r>
      <w:r w:rsidRPr="009631AB">
        <w:rPr>
          <w:vertAlign w:val="superscript"/>
        </w:rPr>
        <w:footnoteReference w:id="14"/>
      </w:r>
      <w:r w:rsidRPr="009631AB">
        <w:rPr>
          <w:szCs w:val="20"/>
        </w:rPr>
        <w:t xml:space="preserve">. Por tanto, si bien esta Corte no es una cuarta instancia de revisión judicial ni examina la valoración de la prueba realizada por los jueces nacionales, sí es competente, de forma excepcional, para decidir sobre el contenido de resoluciones judiciales que contravengan de forma manifiestamente arbitraria la </w:t>
      </w:r>
      <w:r w:rsidRPr="009631AB">
        <w:rPr>
          <w:szCs w:val="20"/>
        </w:rPr>
        <w:lastRenderedPageBreak/>
        <w:t>Convención Americana</w:t>
      </w:r>
      <w:r w:rsidR="00AA5F0B" w:rsidRPr="008E2396">
        <w:rPr>
          <w:color w:val="000000" w:themeColor="text1"/>
          <w:szCs w:val="20"/>
        </w:rPr>
        <w:t xml:space="preserve"> y, en consecuencia, comprometan la responsabilidad internacional del Estado</w:t>
      </w:r>
      <w:r w:rsidRPr="008E2396">
        <w:rPr>
          <w:color w:val="000000" w:themeColor="text1"/>
          <w:szCs w:val="20"/>
        </w:rPr>
        <w:t>.</w:t>
      </w:r>
    </w:p>
    <w:p w14:paraId="3ECD7FE6" w14:textId="77777777" w:rsidR="007D0CAB" w:rsidRPr="008E2396" w:rsidRDefault="007D0CAB" w:rsidP="00734B53">
      <w:pPr>
        <w:pStyle w:val="Prrafodelista"/>
        <w:ind w:left="0"/>
        <w:contextualSpacing w:val="0"/>
        <w:rPr>
          <w:color w:val="000000" w:themeColor="text1"/>
          <w:szCs w:val="20"/>
          <w:lang w:val="es-MX"/>
        </w:rPr>
      </w:pPr>
    </w:p>
    <w:p w14:paraId="0AE62318" w14:textId="1E8E64C0" w:rsidR="00C1115C" w:rsidRPr="009631AB" w:rsidRDefault="00C1115C" w:rsidP="00734B53">
      <w:pPr>
        <w:pStyle w:val="Prrafodelista"/>
        <w:numPr>
          <w:ilvl w:val="0"/>
          <w:numId w:val="4"/>
        </w:numPr>
        <w:contextualSpacing w:val="0"/>
        <w:rPr>
          <w:szCs w:val="20"/>
          <w:lang w:val="es-MX"/>
        </w:rPr>
      </w:pPr>
      <w:r w:rsidRPr="009631AB">
        <w:rPr>
          <w:szCs w:val="20"/>
          <w:lang w:val="es-MX"/>
        </w:rPr>
        <w:t xml:space="preserve">Dentro del caso en particular, la Corte considera que los alegatos vertidos por el representante no buscan que el Tribunal analice los fallos de los tribunales nacionales, los hechos establecidos en los mismos o la aplicación del derecho interno. </w:t>
      </w:r>
      <w:r w:rsidR="003B1385">
        <w:rPr>
          <w:szCs w:val="20"/>
          <w:lang w:val="es-MX"/>
        </w:rPr>
        <w:t>En cambio,</w:t>
      </w:r>
      <w:r w:rsidRPr="009631AB">
        <w:rPr>
          <w:szCs w:val="20"/>
          <w:lang w:val="es-MX"/>
        </w:rPr>
        <w:t xml:space="preserve"> alega la violación a los derechos de la presunta víctima dentro del sistema de administración de justicia penal, la cual hubiera resultado en la detención arbitraria, hechos de tortura e incomunicación. </w:t>
      </w:r>
    </w:p>
    <w:p w14:paraId="39DCF7CE" w14:textId="77777777" w:rsidR="00C1115C" w:rsidRPr="009631AB" w:rsidRDefault="00C1115C" w:rsidP="00734B53">
      <w:pPr>
        <w:pStyle w:val="Prrafodelista"/>
        <w:ind w:left="0"/>
        <w:contextualSpacing w:val="0"/>
        <w:rPr>
          <w:szCs w:val="20"/>
          <w:lang w:val="es-MX"/>
        </w:rPr>
      </w:pPr>
    </w:p>
    <w:p w14:paraId="6D1B7A7E" w14:textId="7BC70814" w:rsidR="00C1115C" w:rsidRPr="009631AB" w:rsidRDefault="00EA34F9" w:rsidP="00734B53">
      <w:pPr>
        <w:pStyle w:val="Prrafodelista"/>
        <w:numPr>
          <w:ilvl w:val="0"/>
          <w:numId w:val="4"/>
        </w:numPr>
        <w:contextualSpacing w:val="0"/>
        <w:rPr>
          <w:szCs w:val="20"/>
          <w:lang w:val="es-MX"/>
        </w:rPr>
      </w:pPr>
      <w:r w:rsidRPr="008E2396">
        <w:rPr>
          <w:color w:val="000000" w:themeColor="text1"/>
          <w:szCs w:val="20"/>
          <w:lang w:val="es-MX"/>
        </w:rPr>
        <w:t>Teniendo presente lo señalado y considerando, además, que l</w:t>
      </w:r>
      <w:r w:rsidR="00C1115C" w:rsidRPr="008E2396">
        <w:rPr>
          <w:color w:val="000000" w:themeColor="text1"/>
          <w:szCs w:val="20"/>
          <w:lang w:val="es-MX"/>
        </w:rPr>
        <w:t>a valoración sobre si el proceso y la sentencia contravinieron a las disposiciones de la Convención es un</w:t>
      </w:r>
      <w:r w:rsidRPr="008E2396">
        <w:rPr>
          <w:color w:val="000000" w:themeColor="text1"/>
          <w:szCs w:val="20"/>
          <w:lang w:val="es-MX"/>
        </w:rPr>
        <w:t xml:space="preserve">a cuestión de fondo, la Corte </w:t>
      </w:r>
      <w:r w:rsidR="00C1115C" w:rsidRPr="009631AB">
        <w:rPr>
          <w:szCs w:val="20"/>
          <w:lang w:val="es-MX"/>
        </w:rPr>
        <w:t xml:space="preserve">desestima esta excepción preliminar. </w:t>
      </w:r>
    </w:p>
    <w:p w14:paraId="523719C0" w14:textId="77777777" w:rsidR="00C1115C" w:rsidRPr="009631AB" w:rsidRDefault="00C1115C" w:rsidP="00734B53">
      <w:pPr>
        <w:spacing w:after="0" w:line="240" w:lineRule="auto"/>
        <w:jc w:val="both"/>
        <w:rPr>
          <w:b/>
          <w:i/>
          <w:szCs w:val="20"/>
          <w:lang w:val="es-MX"/>
        </w:rPr>
      </w:pPr>
    </w:p>
    <w:p w14:paraId="26E3BCD5" w14:textId="77777777" w:rsidR="00C1115C" w:rsidRPr="009631AB" w:rsidRDefault="00C1115C" w:rsidP="00CE48C8">
      <w:pPr>
        <w:pStyle w:val="Ttulo2"/>
      </w:pPr>
      <w:bookmarkStart w:id="63" w:name="_Toc27069881"/>
      <w:r w:rsidRPr="009631AB">
        <w:t>Control de legalidad de las actuaciones de la Comisión Interamericana</w:t>
      </w:r>
      <w:bookmarkEnd w:id="63"/>
      <w:r w:rsidRPr="009631AB">
        <w:t xml:space="preserve"> </w:t>
      </w:r>
    </w:p>
    <w:p w14:paraId="09D0084E" w14:textId="77777777" w:rsidR="00C1115C" w:rsidRPr="009631AB" w:rsidRDefault="00C1115C" w:rsidP="00734B53">
      <w:pPr>
        <w:pStyle w:val="Prrafodelista"/>
        <w:ind w:left="0"/>
        <w:contextualSpacing w:val="0"/>
        <w:rPr>
          <w:b/>
          <w:i/>
          <w:szCs w:val="20"/>
          <w:lang w:val="es-MX"/>
        </w:rPr>
      </w:pPr>
    </w:p>
    <w:p w14:paraId="0CDB5269" w14:textId="77777777" w:rsidR="00C1115C" w:rsidRPr="009631AB" w:rsidRDefault="00C1115C" w:rsidP="00734B53">
      <w:pPr>
        <w:pStyle w:val="Prrafodelista"/>
        <w:ind w:left="0" w:firstLine="720"/>
        <w:contextualSpacing w:val="0"/>
        <w:rPr>
          <w:b/>
          <w:i/>
          <w:szCs w:val="20"/>
          <w:lang w:val="es-MX"/>
        </w:rPr>
      </w:pPr>
      <w:r w:rsidRPr="009631AB">
        <w:rPr>
          <w:b/>
          <w:i/>
          <w:szCs w:val="20"/>
          <w:lang w:val="es-MX"/>
        </w:rPr>
        <w:t>D. 1 Alegatos del Estado y del representante</w:t>
      </w:r>
    </w:p>
    <w:p w14:paraId="54F530DA" w14:textId="77777777" w:rsidR="00C1115C" w:rsidRPr="009631AB" w:rsidRDefault="00C1115C" w:rsidP="00734B53">
      <w:pPr>
        <w:pStyle w:val="Prrafodelista"/>
        <w:ind w:left="0"/>
        <w:contextualSpacing w:val="0"/>
        <w:rPr>
          <w:i/>
          <w:szCs w:val="20"/>
          <w:lang w:val="es-MX"/>
        </w:rPr>
      </w:pPr>
    </w:p>
    <w:p w14:paraId="5D600990" w14:textId="5540754A" w:rsidR="00C1115C" w:rsidRPr="009631AB" w:rsidRDefault="00C1115C" w:rsidP="00734B53">
      <w:pPr>
        <w:pStyle w:val="Prrafodelista"/>
        <w:numPr>
          <w:ilvl w:val="0"/>
          <w:numId w:val="4"/>
        </w:numPr>
        <w:contextualSpacing w:val="0"/>
        <w:rPr>
          <w:szCs w:val="20"/>
          <w:lang w:val="es-MX"/>
        </w:rPr>
      </w:pPr>
      <w:r w:rsidRPr="009631AB">
        <w:rPr>
          <w:szCs w:val="20"/>
          <w:lang w:val="es-MX"/>
        </w:rPr>
        <w:t xml:space="preserve">El </w:t>
      </w:r>
      <w:r w:rsidRPr="009631AB">
        <w:rPr>
          <w:b/>
          <w:i/>
          <w:szCs w:val="20"/>
          <w:lang w:val="es-MX"/>
        </w:rPr>
        <w:t>Estado</w:t>
      </w:r>
      <w:r w:rsidRPr="009631AB">
        <w:rPr>
          <w:i/>
          <w:szCs w:val="20"/>
          <w:lang w:val="es-MX"/>
        </w:rPr>
        <w:t xml:space="preserve"> </w:t>
      </w:r>
      <w:r w:rsidRPr="009631AB">
        <w:rPr>
          <w:szCs w:val="20"/>
          <w:lang w:val="es-MX"/>
        </w:rPr>
        <w:t>sostuvo que derivado del transcurso del tiempo del procedimiento ante la Comisión, surgen dificultades para su defensa, pues se vio obligado a modificar sus excepciones</w:t>
      </w:r>
      <w:r w:rsidR="00D6153C">
        <w:rPr>
          <w:szCs w:val="20"/>
          <w:lang w:val="es-MX"/>
        </w:rPr>
        <w:t xml:space="preserve"> </w:t>
      </w:r>
      <w:r w:rsidRPr="009631AB">
        <w:rPr>
          <w:szCs w:val="20"/>
          <w:lang w:val="es-MX"/>
        </w:rPr>
        <w:t>debido a los cambios f</w:t>
      </w:r>
      <w:r w:rsidR="00D6153C">
        <w:rPr>
          <w:szCs w:val="20"/>
          <w:lang w:val="es-MX"/>
        </w:rPr>
        <w:t>á</w:t>
      </w:r>
      <w:r w:rsidRPr="009631AB">
        <w:rPr>
          <w:szCs w:val="20"/>
          <w:lang w:val="es-MX"/>
        </w:rPr>
        <w:t xml:space="preserve">cticos dentro del procedimiento. Indicó que el paso del tiempo sin resolver el asunto genera inseguridad jurídica para las partes, reduce las posibilidades de defensa y vulnera la legalidad con la que debe de actuar la Comisión. </w:t>
      </w:r>
    </w:p>
    <w:p w14:paraId="485BC882" w14:textId="77777777" w:rsidR="00C1115C" w:rsidRPr="009631AB" w:rsidRDefault="00C1115C" w:rsidP="00734B53">
      <w:pPr>
        <w:pStyle w:val="Prrafodelista"/>
        <w:ind w:left="0"/>
        <w:contextualSpacing w:val="0"/>
        <w:rPr>
          <w:szCs w:val="20"/>
          <w:lang w:val="es-MX"/>
        </w:rPr>
      </w:pPr>
    </w:p>
    <w:p w14:paraId="0427EBFC" w14:textId="17600E97" w:rsidR="00C1115C" w:rsidRPr="00AD09AB" w:rsidRDefault="00C1115C" w:rsidP="003B3610">
      <w:pPr>
        <w:pStyle w:val="Prrafodelista"/>
        <w:numPr>
          <w:ilvl w:val="0"/>
          <w:numId w:val="4"/>
        </w:numPr>
        <w:tabs>
          <w:tab w:val="left" w:pos="0"/>
        </w:tabs>
        <w:contextualSpacing w:val="0"/>
        <w:rPr>
          <w:szCs w:val="20"/>
          <w:lang w:val="es-MX"/>
        </w:rPr>
      </w:pPr>
      <w:r w:rsidRPr="00AD09AB">
        <w:rPr>
          <w:szCs w:val="20"/>
          <w:lang w:val="es-MX"/>
        </w:rPr>
        <w:t xml:space="preserve">El </w:t>
      </w:r>
      <w:r w:rsidRPr="00AD09AB">
        <w:rPr>
          <w:b/>
          <w:i/>
          <w:szCs w:val="20"/>
          <w:lang w:val="es-MX"/>
        </w:rPr>
        <w:t>representante</w:t>
      </w:r>
      <w:r w:rsidRPr="00AD09AB">
        <w:rPr>
          <w:szCs w:val="20"/>
          <w:lang w:val="es-MX"/>
        </w:rPr>
        <w:t xml:space="preserve"> refirió que la demora del caso ante la Comisión no perjudica al Estado, sino a la presunta víctima. Mencionó que, en principio, esta demora le corresponde a la Comisión, también resulta atribuible a los Estados miembros de la Organización de Estados Americanos, en razón de no procurar que el Organismo pueda contar con todas las herramientas para lograr una más eficiente protección de los derechos humanos. Aunado a lo anterior, el representante sostuvo que </w:t>
      </w:r>
      <w:r w:rsidR="00AD09AB" w:rsidRPr="00AD09AB">
        <w:rPr>
          <w:szCs w:val="20"/>
          <w:lang w:val="es-MX"/>
        </w:rPr>
        <w:t>“durante la última década han existido esfuerzos importantes por parte de ciertos estados del continente para buscar un debilitamiento institucional de la Comisión. Ciertamente la República del Ecuador ha sido uno de aquellos que a liderado la búsqueda de tal debilitamiento.”</w:t>
      </w:r>
      <w:r w:rsidRPr="00AD09AB">
        <w:rPr>
          <w:szCs w:val="20"/>
          <w:lang w:val="es-MX"/>
        </w:rPr>
        <w:t xml:space="preserve"> </w:t>
      </w:r>
    </w:p>
    <w:p w14:paraId="0A94E456" w14:textId="77777777" w:rsidR="00C1115C" w:rsidRPr="009631AB" w:rsidRDefault="00C1115C" w:rsidP="00734B53">
      <w:pPr>
        <w:pStyle w:val="Prrafodelista"/>
        <w:ind w:left="0"/>
        <w:contextualSpacing w:val="0"/>
        <w:rPr>
          <w:szCs w:val="20"/>
          <w:lang w:val="es-MX"/>
        </w:rPr>
      </w:pPr>
    </w:p>
    <w:p w14:paraId="0D087D27" w14:textId="77777777" w:rsidR="00C1115C" w:rsidRPr="009631AB" w:rsidRDefault="00C1115C" w:rsidP="00734B53">
      <w:pPr>
        <w:pStyle w:val="Ttulo1"/>
        <w:ind w:firstLine="851"/>
        <w:contextualSpacing w:val="0"/>
        <w:jc w:val="left"/>
        <w:rPr>
          <w:i/>
        </w:rPr>
      </w:pPr>
      <w:bookmarkStart w:id="64" w:name="_Toc26957839"/>
      <w:bookmarkStart w:id="65" w:name="_Toc26993956"/>
      <w:bookmarkStart w:id="66" w:name="_Toc27069882"/>
      <w:r w:rsidRPr="009631AB">
        <w:rPr>
          <w:i/>
        </w:rPr>
        <w:t>D.2 Consideraciones de la Corte</w:t>
      </w:r>
      <w:bookmarkEnd w:id="64"/>
      <w:bookmarkEnd w:id="65"/>
      <w:bookmarkEnd w:id="66"/>
      <w:r w:rsidRPr="009631AB">
        <w:rPr>
          <w:i/>
        </w:rPr>
        <w:t xml:space="preserve"> </w:t>
      </w:r>
    </w:p>
    <w:p w14:paraId="19B606B4" w14:textId="77777777" w:rsidR="00C1115C" w:rsidRPr="009631AB" w:rsidRDefault="00C1115C" w:rsidP="00734B53">
      <w:pPr>
        <w:pStyle w:val="Prrafodelista"/>
        <w:ind w:left="0"/>
        <w:contextualSpacing w:val="0"/>
        <w:rPr>
          <w:szCs w:val="20"/>
          <w:lang w:val="es-MX"/>
        </w:rPr>
      </w:pPr>
    </w:p>
    <w:p w14:paraId="7C734DEF" w14:textId="28BD8B89" w:rsidR="00C1115C" w:rsidRPr="009631AB" w:rsidRDefault="007439F4" w:rsidP="00734B53">
      <w:pPr>
        <w:pStyle w:val="Prrafodelista"/>
        <w:numPr>
          <w:ilvl w:val="0"/>
          <w:numId w:val="4"/>
        </w:numPr>
        <w:tabs>
          <w:tab w:val="left" w:pos="0"/>
        </w:tabs>
        <w:contextualSpacing w:val="0"/>
        <w:rPr>
          <w:szCs w:val="20"/>
          <w:lang w:val="es-MX"/>
        </w:rPr>
      </w:pPr>
      <w:r w:rsidRPr="009631AB">
        <w:rPr>
          <w:szCs w:val="20"/>
          <w:lang w:val="es-CR"/>
        </w:rPr>
        <w:t>Este Tribunal ya se ha pronunciado acerca del control de legalidad del procedimiento ante la Comisión</w:t>
      </w:r>
      <w:r w:rsidR="00CE48C8" w:rsidRPr="009631AB">
        <w:rPr>
          <w:szCs w:val="20"/>
          <w:lang w:val="es-CR"/>
        </w:rPr>
        <w:t>. A</w:t>
      </w:r>
      <w:r w:rsidRPr="009631AB">
        <w:rPr>
          <w:szCs w:val="20"/>
          <w:lang w:val="es-CR"/>
        </w:rPr>
        <w:t xml:space="preserve">l respecto ha dicho que es aplicable cuando se demuestre la existencia de un error grave en perjuicio del derecho a la defensa del Estado que justifique la </w:t>
      </w:r>
      <w:r w:rsidR="00AC5B98" w:rsidRPr="009631AB">
        <w:rPr>
          <w:szCs w:val="20"/>
          <w:lang w:val="es-CR"/>
        </w:rPr>
        <w:t>inadmisibilidad de un caso sometido a la Corte</w:t>
      </w:r>
      <w:r w:rsidRPr="009631AB">
        <w:rPr>
          <w:szCs w:val="20"/>
          <w:vertAlign w:val="superscript"/>
          <w:lang w:val="es-CR"/>
        </w:rPr>
        <w:footnoteReference w:id="15"/>
      </w:r>
      <w:r w:rsidRPr="009631AB">
        <w:rPr>
          <w:szCs w:val="20"/>
          <w:lang w:val="es-CR"/>
        </w:rPr>
        <w:t xml:space="preserve">. </w:t>
      </w:r>
      <w:r w:rsidRPr="009631AB">
        <w:rPr>
          <w:szCs w:val="20"/>
          <w:lang w:val="es-MX"/>
        </w:rPr>
        <w:t>C</w:t>
      </w:r>
      <w:r w:rsidR="00C1115C" w:rsidRPr="009631AB">
        <w:rPr>
          <w:szCs w:val="20"/>
          <w:lang w:val="es-MX"/>
        </w:rPr>
        <w:t>orresponde analizar si las actuaciones de la Comisión le habrían provocado alguna violación a</w:t>
      </w:r>
      <w:r w:rsidR="00683CA6" w:rsidRPr="009631AB">
        <w:rPr>
          <w:szCs w:val="20"/>
          <w:lang w:val="es-MX"/>
        </w:rPr>
        <w:t>l</w:t>
      </w:r>
      <w:r w:rsidR="00C1115C" w:rsidRPr="009631AB">
        <w:rPr>
          <w:szCs w:val="20"/>
          <w:lang w:val="es-MX"/>
        </w:rPr>
        <w:t xml:space="preserve"> derecho de defensa del Estado. </w:t>
      </w:r>
    </w:p>
    <w:p w14:paraId="6E81CBD3" w14:textId="77777777" w:rsidR="00C1115C" w:rsidRPr="009631AB" w:rsidRDefault="00C1115C" w:rsidP="00734B53">
      <w:pPr>
        <w:pStyle w:val="Prrafodelista"/>
        <w:ind w:left="0"/>
        <w:contextualSpacing w:val="0"/>
        <w:rPr>
          <w:szCs w:val="20"/>
          <w:lang w:val="es-MX"/>
        </w:rPr>
      </w:pPr>
    </w:p>
    <w:p w14:paraId="27B7D95B" w14:textId="3C0D8CD9" w:rsidR="0099577B" w:rsidRPr="009631AB" w:rsidRDefault="002726D2" w:rsidP="00734B53">
      <w:pPr>
        <w:pStyle w:val="Prrafodelista"/>
        <w:numPr>
          <w:ilvl w:val="0"/>
          <w:numId w:val="4"/>
        </w:numPr>
        <w:tabs>
          <w:tab w:val="left" w:pos="0"/>
        </w:tabs>
        <w:contextualSpacing w:val="0"/>
        <w:rPr>
          <w:szCs w:val="20"/>
          <w:lang w:val="es-MX"/>
        </w:rPr>
      </w:pPr>
      <w:r w:rsidRPr="009631AB">
        <w:rPr>
          <w:rFonts w:cs="Verdana"/>
          <w:spacing w:val="-2"/>
          <w:szCs w:val="20"/>
          <w:lang w:val="es-CR" w:eastAsia="es-CR"/>
        </w:rPr>
        <w:t xml:space="preserve">Aunque la Corte nota que el trámite ante la Comisión duró más de </w:t>
      </w:r>
      <w:r w:rsidR="00CE48C8" w:rsidRPr="009631AB">
        <w:rPr>
          <w:rFonts w:cs="Verdana"/>
          <w:spacing w:val="-2"/>
          <w:szCs w:val="20"/>
          <w:lang w:val="es-CR" w:eastAsia="es-CR"/>
        </w:rPr>
        <w:t>21</w:t>
      </w:r>
      <w:r w:rsidRPr="009631AB">
        <w:rPr>
          <w:rFonts w:cs="Verdana"/>
          <w:spacing w:val="-2"/>
          <w:szCs w:val="20"/>
          <w:lang w:val="es-CR" w:eastAsia="es-CR"/>
        </w:rPr>
        <w:t xml:space="preserve"> años</w:t>
      </w:r>
      <w:r w:rsidR="009B3A00" w:rsidRPr="009631AB">
        <w:rPr>
          <w:rFonts w:cs="Verdana"/>
          <w:spacing w:val="-2"/>
          <w:szCs w:val="20"/>
          <w:lang w:val="es-CR" w:eastAsia="es-CR"/>
        </w:rPr>
        <w:t>,</w:t>
      </w:r>
      <w:r w:rsidRPr="009631AB">
        <w:rPr>
          <w:rFonts w:cs="Verdana"/>
          <w:spacing w:val="-2"/>
          <w:szCs w:val="20"/>
          <w:lang w:val="es-CR" w:eastAsia="es-CR"/>
        </w:rPr>
        <w:t xml:space="preserve"> el alegato del Estado sobre la supuesta violación del derecho de defensa se circunscribe a que debido al transcurso del tiempo “surgen dificultades para la estrategia de defensa estatal</w:t>
      </w:r>
      <w:r w:rsidR="009B3A00" w:rsidRPr="009631AB">
        <w:rPr>
          <w:rFonts w:cs="Verdana"/>
          <w:spacing w:val="-2"/>
          <w:szCs w:val="20"/>
          <w:lang w:val="es-CR" w:eastAsia="es-CR"/>
        </w:rPr>
        <w:t>”</w:t>
      </w:r>
      <w:r w:rsidRPr="009631AB">
        <w:rPr>
          <w:rFonts w:cs="Verdana"/>
          <w:spacing w:val="-2"/>
          <w:szCs w:val="20"/>
          <w:lang w:val="es-CR" w:eastAsia="es-CR"/>
        </w:rPr>
        <w:t xml:space="preserve">, pues </w:t>
      </w:r>
      <w:r w:rsidR="009B3A00" w:rsidRPr="009631AB">
        <w:rPr>
          <w:rFonts w:cs="Verdana"/>
          <w:spacing w:val="-2"/>
          <w:szCs w:val="20"/>
          <w:lang w:val="es-CR" w:eastAsia="es-CR"/>
        </w:rPr>
        <w:t>“</w:t>
      </w:r>
      <w:r w:rsidRPr="009631AB">
        <w:rPr>
          <w:rFonts w:cs="Verdana"/>
          <w:spacing w:val="-2"/>
          <w:szCs w:val="20"/>
          <w:lang w:val="es-CR" w:eastAsia="es-CR"/>
        </w:rPr>
        <w:t>se ha visto obligado a modificar sus excepciones sobre admisibilidad inicialmente propuestas, dado que la relación fáctica cambió y el</w:t>
      </w:r>
      <w:r w:rsidR="0099577B" w:rsidRPr="009631AB">
        <w:rPr>
          <w:rFonts w:cs="Verdana"/>
          <w:spacing w:val="-2"/>
          <w:szCs w:val="20"/>
          <w:lang w:val="es-CR" w:eastAsia="es-CR"/>
        </w:rPr>
        <w:t xml:space="preserve"> </w:t>
      </w:r>
      <w:r w:rsidRPr="009631AB">
        <w:rPr>
          <w:rFonts w:cs="Verdana"/>
          <w:spacing w:val="-2"/>
          <w:szCs w:val="20"/>
          <w:lang w:val="es-CR" w:eastAsia="es-CR"/>
        </w:rPr>
        <w:t>sustento de la excepción propuesta seria insuficiente</w:t>
      </w:r>
      <w:r w:rsidR="0099577B" w:rsidRPr="009631AB">
        <w:rPr>
          <w:rFonts w:cs="Verdana"/>
          <w:spacing w:val="-2"/>
          <w:szCs w:val="20"/>
          <w:lang w:val="es-CR" w:eastAsia="es-CR"/>
        </w:rPr>
        <w:t xml:space="preserve">”. La Corte considera que este alegato no plantea un motivo concreto </w:t>
      </w:r>
      <w:r w:rsidRPr="009631AB">
        <w:rPr>
          <w:rFonts w:cs="Verdana"/>
          <w:spacing w:val="-2"/>
          <w:szCs w:val="20"/>
          <w:lang w:val="es-CR" w:eastAsia="es-CR"/>
        </w:rPr>
        <w:t>en relación con la inadmisibilidad de caso</w:t>
      </w:r>
      <w:r w:rsidR="0099577B" w:rsidRPr="009631AB">
        <w:rPr>
          <w:rFonts w:cs="Verdana"/>
          <w:spacing w:val="-2"/>
          <w:szCs w:val="20"/>
          <w:lang w:val="es-CR" w:eastAsia="es-CR"/>
        </w:rPr>
        <w:t xml:space="preserve">, pues si bien el paso del tiempo ha implicado que el Estado haya </w:t>
      </w:r>
      <w:r w:rsidR="00D6153C">
        <w:rPr>
          <w:rFonts w:cs="Verdana"/>
          <w:spacing w:val="-2"/>
          <w:szCs w:val="20"/>
          <w:lang w:val="es-CR" w:eastAsia="es-CR"/>
        </w:rPr>
        <w:t>tenido</w:t>
      </w:r>
      <w:r w:rsidR="00D6153C" w:rsidRPr="009631AB">
        <w:rPr>
          <w:rFonts w:cs="Verdana"/>
          <w:spacing w:val="-2"/>
          <w:szCs w:val="20"/>
          <w:lang w:val="es-CR" w:eastAsia="es-CR"/>
        </w:rPr>
        <w:t xml:space="preserve"> </w:t>
      </w:r>
      <w:r w:rsidR="00D6153C">
        <w:rPr>
          <w:rFonts w:cs="Verdana"/>
          <w:spacing w:val="-2"/>
          <w:szCs w:val="20"/>
          <w:lang w:val="es-CR" w:eastAsia="es-CR"/>
        </w:rPr>
        <w:t xml:space="preserve">que </w:t>
      </w:r>
      <w:r w:rsidR="0099577B" w:rsidRPr="009631AB">
        <w:rPr>
          <w:rFonts w:cs="Verdana"/>
          <w:spacing w:val="-2"/>
          <w:szCs w:val="20"/>
          <w:lang w:val="es-CR" w:eastAsia="es-CR"/>
        </w:rPr>
        <w:t xml:space="preserve">modificar su estrategia de defensa en materia de excepciones preliminares, no supone que </w:t>
      </w:r>
      <w:r w:rsidR="0099577B" w:rsidRPr="009631AB">
        <w:rPr>
          <w:rFonts w:cs="Verdana"/>
          <w:spacing w:val="-2"/>
          <w:szCs w:val="20"/>
          <w:lang w:val="es-CR" w:eastAsia="es-CR"/>
        </w:rPr>
        <w:lastRenderedPageBreak/>
        <w:t xml:space="preserve">haya tenido lugar un error grave que le haya impedido ejercer su derecho de defensa ante la Comisión o ante la </w:t>
      </w:r>
      <w:r w:rsidR="00242D95">
        <w:rPr>
          <w:rFonts w:cs="Verdana"/>
          <w:spacing w:val="-2"/>
          <w:szCs w:val="20"/>
          <w:lang w:val="es-CR" w:eastAsia="es-CR"/>
        </w:rPr>
        <w:t>Corte.</w:t>
      </w:r>
    </w:p>
    <w:p w14:paraId="095A0B44" w14:textId="77777777" w:rsidR="0099577B" w:rsidRPr="009631AB" w:rsidRDefault="0099577B" w:rsidP="00734B53">
      <w:pPr>
        <w:pStyle w:val="Prrafodelista"/>
        <w:contextualSpacing w:val="0"/>
        <w:rPr>
          <w:rFonts w:cs="Verdana"/>
          <w:spacing w:val="-2"/>
          <w:szCs w:val="20"/>
          <w:lang w:val="es-CR" w:eastAsia="es-CR"/>
        </w:rPr>
      </w:pPr>
    </w:p>
    <w:p w14:paraId="19E029F5" w14:textId="7F5B370A" w:rsidR="00EC56A5" w:rsidRDefault="00EC56A5" w:rsidP="00734B53">
      <w:pPr>
        <w:pStyle w:val="Prrafodelista"/>
        <w:numPr>
          <w:ilvl w:val="0"/>
          <w:numId w:val="4"/>
        </w:numPr>
        <w:tabs>
          <w:tab w:val="left" w:pos="0"/>
        </w:tabs>
        <w:contextualSpacing w:val="0"/>
        <w:rPr>
          <w:szCs w:val="20"/>
          <w:lang w:val="es-MX"/>
        </w:rPr>
      </w:pPr>
      <w:r>
        <w:rPr>
          <w:szCs w:val="20"/>
          <w:lang w:val="es-MX"/>
        </w:rPr>
        <w:t xml:space="preserve">La Corte considera que el tiempo transcurrido en la tramitacion del caso ante la Comision, perjudica fundamentalmente a las presuntas victimas, cuyo derecho </w:t>
      </w:r>
      <w:r w:rsidR="00C80A32">
        <w:rPr>
          <w:szCs w:val="20"/>
          <w:lang w:val="es-MX"/>
        </w:rPr>
        <w:t>de acceso a</w:t>
      </w:r>
      <w:r>
        <w:rPr>
          <w:szCs w:val="20"/>
          <w:lang w:val="es-MX"/>
        </w:rPr>
        <w:t xml:space="preserve"> la justicia </w:t>
      </w:r>
      <w:r w:rsidR="00C80A32">
        <w:rPr>
          <w:szCs w:val="20"/>
          <w:lang w:val="es-MX"/>
        </w:rPr>
        <w:t xml:space="preserve">interamericana </w:t>
      </w:r>
      <w:r>
        <w:rPr>
          <w:szCs w:val="20"/>
          <w:lang w:val="es-MX"/>
        </w:rPr>
        <w:t xml:space="preserve">resulta afectado. </w:t>
      </w:r>
    </w:p>
    <w:p w14:paraId="306472D0" w14:textId="77777777" w:rsidR="00EC56A5" w:rsidRPr="00EC56A5" w:rsidRDefault="00EC56A5" w:rsidP="003B3610">
      <w:pPr>
        <w:pStyle w:val="Prrafodelista"/>
        <w:rPr>
          <w:szCs w:val="20"/>
          <w:lang w:val="es-MX"/>
        </w:rPr>
      </w:pPr>
    </w:p>
    <w:p w14:paraId="3B62A09D" w14:textId="4D0DC1DC" w:rsidR="00C1115C" w:rsidRPr="009631AB" w:rsidRDefault="00683CA6" w:rsidP="00734B53">
      <w:pPr>
        <w:pStyle w:val="Prrafodelista"/>
        <w:numPr>
          <w:ilvl w:val="0"/>
          <w:numId w:val="4"/>
        </w:numPr>
        <w:tabs>
          <w:tab w:val="left" w:pos="0"/>
        </w:tabs>
        <w:contextualSpacing w:val="0"/>
        <w:rPr>
          <w:szCs w:val="20"/>
          <w:lang w:val="es-MX"/>
        </w:rPr>
      </w:pPr>
      <w:r w:rsidRPr="008E2396">
        <w:rPr>
          <w:color w:val="000000" w:themeColor="text1"/>
          <w:szCs w:val="20"/>
          <w:lang w:val="es-MX"/>
        </w:rPr>
        <w:t>Por lo tanto, l</w:t>
      </w:r>
      <w:r w:rsidR="00C1115C" w:rsidRPr="008E2396">
        <w:rPr>
          <w:color w:val="000000" w:themeColor="text1"/>
          <w:szCs w:val="20"/>
          <w:lang w:val="es-MX"/>
        </w:rPr>
        <w:t>a Corte desestima esta excepción preli</w:t>
      </w:r>
      <w:r w:rsidR="00C1115C" w:rsidRPr="009631AB">
        <w:rPr>
          <w:szCs w:val="20"/>
          <w:lang w:val="es-MX"/>
        </w:rPr>
        <w:t xml:space="preserve">minar. </w:t>
      </w:r>
    </w:p>
    <w:p w14:paraId="1B6C811A" w14:textId="05E526B4" w:rsidR="00E25C7A" w:rsidRPr="009631AB" w:rsidRDefault="00E25C7A" w:rsidP="00734B53">
      <w:pPr>
        <w:autoSpaceDE w:val="0"/>
        <w:autoSpaceDN w:val="0"/>
        <w:adjustRightInd w:val="0"/>
        <w:spacing w:after="0" w:line="240" w:lineRule="auto"/>
        <w:ind w:right="6"/>
        <w:jc w:val="both"/>
        <w:rPr>
          <w:rFonts w:eastAsia="Batang" w:cs="Times"/>
          <w:szCs w:val="20"/>
          <w:lang w:val="es-ES"/>
        </w:rPr>
      </w:pPr>
    </w:p>
    <w:p w14:paraId="2E861809" w14:textId="77777777" w:rsidR="00E25C7A" w:rsidRPr="009631AB" w:rsidRDefault="00E25C7A" w:rsidP="00734B53">
      <w:pPr>
        <w:pStyle w:val="Ttulo1"/>
        <w:contextualSpacing w:val="0"/>
      </w:pPr>
      <w:bookmarkStart w:id="67" w:name="_Toc18769626"/>
      <w:bookmarkStart w:id="68" w:name="_Toc27069883"/>
      <w:r w:rsidRPr="009631AB">
        <w:t>V</w:t>
      </w:r>
      <w:bookmarkEnd w:id="67"/>
      <w:bookmarkEnd w:id="68"/>
    </w:p>
    <w:p w14:paraId="6954E6FC" w14:textId="77777777" w:rsidR="00E25C7A" w:rsidRPr="009631AB" w:rsidRDefault="00E25C7A" w:rsidP="00734B53">
      <w:pPr>
        <w:pStyle w:val="Ttulo1"/>
        <w:contextualSpacing w:val="0"/>
      </w:pPr>
      <w:bookmarkStart w:id="69" w:name="_Toc18769627"/>
      <w:bookmarkStart w:id="70" w:name="_Toc27069884"/>
      <w:r w:rsidRPr="009631AB">
        <w:t>PRUEBA</w:t>
      </w:r>
      <w:bookmarkEnd w:id="69"/>
      <w:bookmarkEnd w:id="70"/>
    </w:p>
    <w:p w14:paraId="1B6DB697" w14:textId="77777777" w:rsidR="000B1FB7" w:rsidRPr="009631AB" w:rsidRDefault="000B1FB7" w:rsidP="00734B53">
      <w:pPr>
        <w:autoSpaceDE w:val="0"/>
        <w:autoSpaceDN w:val="0"/>
        <w:adjustRightInd w:val="0"/>
        <w:spacing w:after="0" w:line="240" w:lineRule="auto"/>
        <w:ind w:right="6"/>
        <w:jc w:val="both"/>
        <w:rPr>
          <w:rFonts w:eastAsia="Batang" w:cs="Times"/>
          <w:szCs w:val="20"/>
          <w:lang w:val="es-ES"/>
        </w:rPr>
      </w:pPr>
    </w:p>
    <w:p w14:paraId="60420FFE" w14:textId="47CB733E" w:rsidR="00535FA5" w:rsidRPr="009631AB" w:rsidRDefault="00E25C7A" w:rsidP="00734B53">
      <w:pPr>
        <w:pStyle w:val="Prrafodelista"/>
        <w:numPr>
          <w:ilvl w:val="0"/>
          <w:numId w:val="4"/>
        </w:numPr>
        <w:contextualSpacing w:val="0"/>
        <w:rPr>
          <w:rFonts w:eastAsia="Calibri"/>
          <w:szCs w:val="20"/>
          <w:lang w:val="es-ES"/>
        </w:rPr>
      </w:pPr>
      <w:r w:rsidRPr="009631AB">
        <w:rPr>
          <w:szCs w:val="20"/>
          <w:lang w:val="es-ES"/>
        </w:rPr>
        <w:t>El Tribunal admite los documentos presentados en la debida oportunidad procesal por las partes y la Comisión (artículo 57 del Reglamento), cuya admisibilidad no fue controvertida ni objetada, ni cuya autenticidad fue puesta en duda</w:t>
      </w:r>
      <w:r w:rsidRPr="009631AB">
        <w:rPr>
          <w:rStyle w:val="Refdenotaalpie"/>
          <w:rFonts w:ascii="Verdana" w:hAnsi="Verdana"/>
          <w:lang w:val="es-ES"/>
        </w:rPr>
        <w:footnoteReference w:id="16"/>
      </w:r>
      <w:r w:rsidRPr="009631AB">
        <w:rPr>
          <w:szCs w:val="20"/>
          <w:lang w:val="es-ES"/>
        </w:rPr>
        <w:t xml:space="preserve">. </w:t>
      </w:r>
      <w:r w:rsidRPr="009631AB">
        <w:rPr>
          <w:rFonts w:eastAsia="Calibri"/>
          <w:szCs w:val="20"/>
          <w:lang w:val="es-ES"/>
        </w:rPr>
        <w:t>Asimismo, la Corte estima pertinente admitir las declaraciones rendidas en audiencia pública y ante fedatario público</w:t>
      </w:r>
      <w:r w:rsidR="007872A2" w:rsidRPr="009631AB">
        <w:rPr>
          <w:rStyle w:val="Refdenotaalpie"/>
          <w:rFonts w:ascii="Verdana" w:eastAsia="Calibri" w:hAnsi="Verdana"/>
          <w:lang w:val="es-ES"/>
        </w:rPr>
        <w:footnoteReference w:id="17"/>
      </w:r>
      <w:r w:rsidR="007872A2" w:rsidRPr="009631AB">
        <w:rPr>
          <w:rFonts w:eastAsia="Calibri"/>
          <w:szCs w:val="20"/>
          <w:lang w:val="es-ES"/>
        </w:rPr>
        <w:t>, así como los traslados de los peritajes</w:t>
      </w:r>
      <w:r w:rsidR="007872A2" w:rsidRPr="009631AB">
        <w:rPr>
          <w:rStyle w:val="Refdenotaalpie"/>
          <w:rFonts w:ascii="Verdana" w:eastAsia="Calibri" w:hAnsi="Verdana"/>
          <w:lang w:val="es-ES"/>
        </w:rPr>
        <w:footnoteReference w:id="18"/>
      </w:r>
      <w:r w:rsidRPr="009631AB">
        <w:rPr>
          <w:rFonts w:eastAsia="Calibri"/>
          <w:szCs w:val="20"/>
          <w:lang w:val="es-ES"/>
        </w:rPr>
        <w:t xml:space="preserve">, en cuanto se ajusten al objeto definido por la Resolución que ordenó recibirlos y al objeto del presente caso. </w:t>
      </w:r>
    </w:p>
    <w:p w14:paraId="495D9E3B" w14:textId="77777777" w:rsidR="00E25C7A" w:rsidRPr="009631AB" w:rsidRDefault="00E25C7A" w:rsidP="00734B53">
      <w:pPr>
        <w:pStyle w:val="Prrafodelista"/>
        <w:ind w:left="0"/>
        <w:contextualSpacing w:val="0"/>
        <w:rPr>
          <w:rFonts w:eastAsia="Calibri"/>
          <w:szCs w:val="20"/>
          <w:lang w:val="es-ES"/>
        </w:rPr>
      </w:pPr>
    </w:p>
    <w:p w14:paraId="1D3382A9" w14:textId="145722DC" w:rsidR="001F672E" w:rsidRPr="009631AB" w:rsidRDefault="00535FA5" w:rsidP="00734B53">
      <w:pPr>
        <w:pStyle w:val="Prrafodelista"/>
        <w:numPr>
          <w:ilvl w:val="0"/>
          <w:numId w:val="4"/>
        </w:numPr>
        <w:contextualSpacing w:val="0"/>
        <w:rPr>
          <w:rFonts w:eastAsia="Calibri"/>
          <w:szCs w:val="20"/>
          <w:lang w:val="es-ES"/>
        </w:rPr>
      </w:pPr>
      <w:r w:rsidRPr="009631AB">
        <w:rPr>
          <w:rFonts w:eastAsia="Calibri"/>
          <w:szCs w:val="20"/>
          <w:lang w:val="es-ES"/>
        </w:rPr>
        <w:t>Respecto a la oportunidad procesal para la presentación de prueba documental, de conformidad con el artículo 57.2 del Reglamento, ésta debe ser presentada, en general, junto con los escritos de sometimiento del caso, de solicitudes y argumentos o de contestación, según corresponda. La Corte recuerda que no es admisible la prueba remitida fuera de las debidas oportunidades procesales, salvo en las excepciones establecidas en el referido artículo 57.2 del Reglamento, a saber, fuerza mayor, impedimento grave o si se tratare de un hecho ocurrido con posterioridad a los citados momentos procesales</w:t>
      </w:r>
      <w:r w:rsidRPr="009631AB">
        <w:rPr>
          <w:rStyle w:val="Refdenotaalpie"/>
          <w:rFonts w:ascii="Verdana" w:eastAsia="Calibri" w:hAnsi="Verdana"/>
          <w:lang w:val="es-ES"/>
        </w:rPr>
        <w:footnoteReference w:id="19"/>
      </w:r>
      <w:r w:rsidRPr="009631AB">
        <w:rPr>
          <w:rFonts w:eastAsia="Calibri"/>
          <w:szCs w:val="20"/>
          <w:lang w:val="es-ES"/>
        </w:rPr>
        <w:t>.</w:t>
      </w:r>
    </w:p>
    <w:p w14:paraId="03E84FFB" w14:textId="77777777" w:rsidR="000561BA" w:rsidRPr="009631AB" w:rsidRDefault="000561BA" w:rsidP="00734B53">
      <w:pPr>
        <w:pStyle w:val="Prrafodelista"/>
        <w:ind w:left="0"/>
        <w:contextualSpacing w:val="0"/>
        <w:rPr>
          <w:rFonts w:eastAsia="Calibri"/>
          <w:szCs w:val="20"/>
          <w:lang w:val="es-ES"/>
        </w:rPr>
      </w:pPr>
    </w:p>
    <w:p w14:paraId="5378EF79" w14:textId="29D7D25C" w:rsidR="002C106A" w:rsidRPr="009631AB" w:rsidRDefault="000561BA" w:rsidP="00734B53">
      <w:pPr>
        <w:pStyle w:val="Prrafodelista"/>
        <w:numPr>
          <w:ilvl w:val="0"/>
          <w:numId w:val="4"/>
        </w:numPr>
        <w:contextualSpacing w:val="0"/>
        <w:rPr>
          <w:rFonts w:eastAsiaTheme="minorHAnsi" w:cs="Times New Roman"/>
          <w:szCs w:val="20"/>
          <w:lang w:eastAsia="es-CR"/>
        </w:rPr>
      </w:pPr>
      <w:r w:rsidRPr="009631AB">
        <w:rPr>
          <w:szCs w:val="20"/>
          <w:lang w:val="es-ES"/>
        </w:rPr>
        <w:t xml:space="preserve">En cuanto a la prueba rendida durante la audiencia pública, la Corte escuchó las declaraciones de la </w:t>
      </w:r>
      <w:r w:rsidR="009E0BE5" w:rsidRPr="009631AB">
        <w:rPr>
          <w:szCs w:val="20"/>
          <w:lang w:val="es-ES"/>
        </w:rPr>
        <w:t>testigo</w:t>
      </w:r>
      <w:r w:rsidRPr="009631AB">
        <w:rPr>
          <w:szCs w:val="20"/>
          <w:lang w:val="es-ES"/>
        </w:rPr>
        <w:t xml:space="preserve">, </w:t>
      </w:r>
      <w:r w:rsidR="009E0BE5" w:rsidRPr="009631AB">
        <w:rPr>
          <w:szCs w:val="20"/>
          <w:lang w:val="es-ES"/>
        </w:rPr>
        <w:t>Marcia González Rubio</w:t>
      </w:r>
      <w:r w:rsidR="00156E19" w:rsidRPr="009631AB">
        <w:rPr>
          <w:szCs w:val="20"/>
          <w:lang w:val="es-ES"/>
        </w:rPr>
        <w:t>,</w:t>
      </w:r>
      <w:r w:rsidR="009E0BE5" w:rsidRPr="009631AB">
        <w:rPr>
          <w:szCs w:val="20"/>
          <w:lang w:val="es-ES"/>
        </w:rPr>
        <w:t xml:space="preserve"> propuesta por el representante</w:t>
      </w:r>
      <w:r w:rsidR="00CE48C8" w:rsidRPr="009631AB">
        <w:rPr>
          <w:szCs w:val="20"/>
          <w:lang w:val="es-ES"/>
        </w:rPr>
        <w:t>,</w:t>
      </w:r>
      <w:r w:rsidRPr="009631AB">
        <w:rPr>
          <w:szCs w:val="20"/>
          <w:lang w:val="es-ES"/>
        </w:rPr>
        <w:t xml:space="preserve"> y </w:t>
      </w:r>
      <w:r w:rsidR="009E0BE5" w:rsidRPr="009631AB">
        <w:rPr>
          <w:szCs w:val="20"/>
          <w:lang w:val="es-ES"/>
        </w:rPr>
        <w:t>el</w:t>
      </w:r>
      <w:r w:rsidRPr="009631AB">
        <w:rPr>
          <w:szCs w:val="20"/>
          <w:lang w:val="es-ES"/>
        </w:rPr>
        <w:t xml:space="preserve"> peritaje de </w:t>
      </w:r>
      <w:r w:rsidR="009E0BE5" w:rsidRPr="009631AB">
        <w:rPr>
          <w:szCs w:val="20"/>
          <w:lang w:val="es-ES"/>
        </w:rPr>
        <w:t>Leonardo Jaramillo</w:t>
      </w:r>
      <w:r w:rsidRPr="009631AB">
        <w:rPr>
          <w:szCs w:val="20"/>
          <w:lang w:val="es-ES"/>
        </w:rPr>
        <w:t>, propuest</w:t>
      </w:r>
      <w:r w:rsidR="009E0BE5" w:rsidRPr="009631AB">
        <w:rPr>
          <w:szCs w:val="20"/>
          <w:lang w:val="es-ES"/>
        </w:rPr>
        <w:t>o por el Estado</w:t>
      </w:r>
      <w:r w:rsidRPr="009631AB">
        <w:rPr>
          <w:szCs w:val="20"/>
          <w:lang w:val="es-ES"/>
        </w:rPr>
        <w:t xml:space="preserve">. Asimismo, la Corte recibió las declaraciones rendidas ante fedatario público </w:t>
      </w:r>
      <w:r w:rsidRPr="009631AB">
        <w:rPr>
          <w:i/>
          <w:szCs w:val="20"/>
          <w:lang w:val="es-ES"/>
        </w:rPr>
        <w:t>(affidávit)</w:t>
      </w:r>
      <w:r w:rsidRPr="009631AB">
        <w:rPr>
          <w:szCs w:val="20"/>
          <w:lang w:val="es-ES"/>
        </w:rPr>
        <w:t xml:space="preserve"> por las señoras y señores </w:t>
      </w:r>
      <w:r w:rsidR="00C60FB4" w:rsidRPr="009631AB">
        <w:rPr>
          <w:szCs w:val="20"/>
          <w:lang w:val="es-ES"/>
        </w:rPr>
        <w:t>Marcella de Fonte,</w:t>
      </w:r>
      <w:r w:rsidR="003B64EF" w:rsidRPr="009631AB">
        <w:rPr>
          <w:szCs w:val="20"/>
          <w:lang w:val="es-ES"/>
        </w:rPr>
        <w:t xml:space="preserve"> propuesta</w:t>
      </w:r>
      <w:r w:rsidR="00C60FB4" w:rsidRPr="009631AB">
        <w:rPr>
          <w:szCs w:val="20"/>
          <w:lang w:val="es-ES"/>
        </w:rPr>
        <w:t xml:space="preserve"> por el Estado; </w:t>
      </w:r>
      <w:r w:rsidR="005D7F6D" w:rsidRPr="009631AB">
        <w:rPr>
          <w:szCs w:val="20"/>
          <w:lang w:val="es-ES"/>
        </w:rPr>
        <w:t>Maritza Montesinos González, María del Carmen Montesinos González, Vinicio Montesinos González, Rafael Iván Suárez Rosero</w:t>
      </w:r>
      <w:r w:rsidR="00156E19" w:rsidRPr="009631AB">
        <w:rPr>
          <w:szCs w:val="20"/>
          <w:lang w:val="es-ES"/>
        </w:rPr>
        <w:t xml:space="preserve"> y</w:t>
      </w:r>
      <w:r w:rsidR="005D7F6D" w:rsidRPr="009631AB">
        <w:rPr>
          <w:szCs w:val="20"/>
          <w:lang w:val="es-ES"/>
        </w:rPr>
        <w:t xml:space="preserve"> Reinaldo Aníbal Calvachi Cruz</w:t>
      </w:r>
      <w:r w:rsidR="00156E19" w:rsidRPr="009631AB">
        <w:rPr>
          <w:szCs w:val="20"/>
          <w:lang w:val="es-ES"/>
        </w:rPr>
        <w:t xml:space="preserve">, </w:t>
      </w:r>
      <w:r w:rsidR="005D7F6D" w:rsidRPr="009631AB">
        <w:rPr>
          <w:szCs w:val="20"/>
          <w:lang w:val="es-ES"/>
        </w:rPr>
        <w:t>pr</w:t>
      </w:r>
      <w:r w:rsidR="004F59F2" w:rsidRPr="009631AB">
        <w:rPr>
          <w:szCs w:val="20"/>
          <w:lang w:val="es-ES"/>
        </w:rPr>
        <w:t>opuestos por los representantes</w:t>
      </w:r>
      <w:r w:rsidRPr="009631AB">
        <w:rPr>
          <w:szCs w:val="20"/>
        </w:rPr>
        <w:t xml:space="preserve">. </w:t>
      </w:r>
      <w:r w:rsidR="008915BB" w:rsidRPr="009631AB">
        <w:rPr>
          <w:szCs w:val="20"/>
        </w:rPr>
        <w:t xml:space="preserve">El </w:t>
      </w:r>
      <w:r w:rsidR="008915BB" w:rsidRPr="009631AB">
        <w:rPr>
          <w:b/>
          <w:i/>
          <w:szCs w:val="20"/>
        </w:rPr>
        <w:t>representante</w:t>
      </w:r>
      <w:r w:rsidR="008915BB" w:rsidRPr="009631AB">
        <w:rPr>
          <w:szCs w:val="20"/>
        </w:rPr>
        <w:t xml:space="preserve"> presentó objeciones al peritaje de Leonardo Jaramillo. </w:t>
      </w:r>
      <w:r w:rsidR="00F66BE8" w:rsidRPr="009631AB">
        <w:rPr>
          <w:szCs w:val="20"/>
        </w:rPr>
        <w:t xml:space="preserve">El </w:t>
      </w:r>
      <w:r w:rsidR="00F66BE8" w:rsidRPr="009631AB">
        <w:rPr>
          <w:b/>
          <w:i/>
          <w:szCs w:val="20"/>
        </w:rPr>
        <w:t>Estado</w:t>
      </w:r>
      <w:r w:rsidR="00F66BE8" w:rsidRPr="009631AB">
        <w:rPr>
          <w:szCs w:val="20"/>
        </w:rPr>
        <w:t xml:space="preserve"> presentó objeciones respecto a las declaraciones de </w:t>
      </w:r>
      <w:r w:rsidR="00156E19" w:rsidRPr="009631AB">
        <w:rPr>
          <w:szCs w:val="20"/>
          <w:lang w:val="es-ES"/>
        </w:rPr>
        <w:t>Marcia González Rubio, Maritza Montesinos González, María del Carmen Montesinos González, Vinicio Montesinos González, Rafael Iván Suárez Rosero y Reinaldo Aníbal Calvachi Cruz</w:t>
      </w:r>
      <w:r w:rsidR="00F66BE8" w:rsidRPr="003B3610">
        <w:rPr>
          <w:szCs w:val="20"/>
        </w:rPr>
        <w:t>.</w:t>
      </w:r>
      <w:r w:rsidR="00F66BE8" w:rsidRPr="009631AB">
        <w:rPr>
          <w:szCs w:val="20"/>
        </w:rPr>
        <w:t xml:space="preserve"> </w:t>
      </w:r>
      <w:r w:rsidR="00821885" w:rsidRPr="009631AB">
        <w:rPr>
          <w:szCs w:val="20"/>
        </w:rPr>
        <w:t xml:space="preserve">Las </w:t>
      </w:r>
      <w:r w:rsidR="00E451EA" w:rsidRPr="009631AB">
        <w:rPr>
          <w:szCs w:val="20"/>
        </w:rPr>
        <w:t xml:space="preserve">referidas </w:t>
      </w:r>
      <w:r w:rsidR="00821885" w:rsidRPr="009631AB">
        <w:rPr>
          <w:szCs w:val="20"/>
        </w:rPr>
        <w:t xml:space="preserve">objeciones no se refieren a la admisibilidad de la prueba, </w:t>
      </w:r>
      <w:r w:rsidR="00E451EA" w:rsidRPr="009631AB">
        <w:rPr>
          <w:szCs w:val="20"/>
        </w:rPr>
        <w:t>sino al objeto y alcance de las declaraciones</w:t>
      </w:r>
      <w:r w:rsidR="00821885" w:rsidRPr="009631AB">
        <w:rPr>
          <w:szCs w:val="20"/>
        </w:rPr>
        <w:t>. En conclusión, l</w:t>
      </w:r>
      <w:r w:rsidRPr="009631AB">
        <w:rPr>
          <w:szCs w:val="20"/>
          <w:lang w:val="es-ES"/>
        </w:rPr>
        <w:t xml:space="preserve">a Corte </w:t>
      </w:r>
      <w:r w:rsidRPr="009631AB">
        <w:rPr>
          <w:bCs/>
          <w:szCs w:val="20"/>
          <w:lang w:val="es-ES"/>
        </w:rPr>
        <w:t>estima</w:t>
      </w:r>
      <w:r w:rsidRPr="009631AB">
        <w:rPr>
          <w:szCs w:val="20"/>
          <w:lang w:val="es-ES"/>
        </w:rPr>
        <w:t xml:space="preserve"> pertinente admitir las declaraciones rendidas en audiencia pública y ante fedatario público, en cuanto se ajusten al objeto definido por la Resolución que ordenó recibirlos y al objeto del presente caso</w:t>
      </w:r>
      <w:r w:rsidR="00E451EA" w:rsidRPr="009631AB">
        <w:rPr>
          <w:szCs w:val="20"/>
          <w:lang w:val="es-ES"/>
        </w:rPr>
        <w:t xml:space="preserve">. </w:t>
      </w:r>
    </w:p>
    <w:p w14:paraId="629F9B17" w14:textId="77777777" w:rsidR="00A17644" w:rsidRPr="009631AB" w:rsidRDefault="00A17644" w:rsidP="00734B53">
      <w:pPr>
        <w:spacing w:after="0" w:line="240" w:lineRule="auto"/>
        <w:rPr>
          <w:b/>
          <w:szCs w:val="20"/>
          <w:lang w:val="es-ES"/>
        </w:rPr>
      </w:pPr>
      <w:bookmarkStart w:id="71" w:name="_Toc438132275"/>
      <w:bookmarkStart w:id="72" w:name="_Toc315133577"/>
      <w:bookmarkStart w:id="73" w:name="_Toc316919762"/>
      <w:bookmarkStart w:id="74" w:name="_Toc329703867"/>
      <w:bookmarkStart w:id="75" w:name="_Toc336638904"/>
      <w:bookmarkStart w:id="76" w:name="_Toc359314424"/>
      <w:bookmarkStart w:id="77" w:name="_Toc361671574"/>
      <w:bookmarkStart w:id="78" w:name="_Toc361671994"/>
      <w:bookmarkStart w:id="79" w:name="_Toc361732791"/>
      <w:bookmarkStart w:id="80" w:name="_Toc361732834"/>
      <w:bookmarkStart w:id="81" w:name="_Toc362456865"/>
      <w:bookmarkStart w:id="82" w:name="_Toc365021394"/>
      <w:bookmarkStart w:id="83" w:name="_Toc369076780"/>
      <w:bookmarkStart w:id="84" w:name="_Toc369989372"/>
      <w:bookmarkStart w:id="85" w:name="_Toc369989459"/>
      <w:bookmarkStart w:id="86" w:name="_Toc369989740"/>
      <w:bookmarkStart w:id="87" w:name="_Toc311128165"/>
      <w:bookmarkStart w:id="88" w:name="_Toc311128362"/>
      <w:bookmarkStart w:id="89" w:name="_Toc442082545"/>
      <w:bookmarkStart w:id="90" w:name="_Toc491935499"/>
      <w:bookmarkStart w:id="91" w:name="_Toc486842911"/>
      <w:bookmarkStart w:id="92" w:name="_Toc486842773"/>
      <w:bookmarkStart w:id="93" w:name="_Toc486693357"/>
    </w:p>
    <w:p w14:paraId="240B7C89" w14:textId="40BC8123" w:rsidR="00A17644" w:rsidRPr="009631AB" w:rsidRDefault="00A17644" w:rsidP="00734B53">
      <w:pPr>
        <w:pStyle w:val="Ttulo1"/>
        <w:contextualSpacing w:val="0"/>
      </w:pPr>
      <w:bookmarkStart w:id="94" w:name="_Toc18769628"/>
      <w:bookmarkStart w:id="95" w:name="_Toc27069885"/>
      <w:r w:rsidRPr="009631AB">
        <w:lastRenderedPageBreak/>
        <w:t>VI</w:t>
      </w:r>
      <w:bookmarkEnd w:id="94"/>
      <w:bookmarkEnd w:id="95"/>
    </w:p>
    <w:p w14:paraId="67B54E5D" w14:textId="77777777" w:rsidR="00A17644" w:rsidRPr="009631AB" w:rsidRDefault="00A17644" w:rsidP="00734B53">
      <w:pPr>
        <w:pStyle w:val="Ttulo1"/>
        <w:contextualSpacing w:val="0"/>
      </w:pPr>
      <w:bookmarkStart w:id="96" w:name="_Toc18769629"/>
      <w:bookmarkStart w:id="97" w:name="_Toc27069886"/>
      <w:r w:rsidRPr="009631AB">
        <w:t>HECHOS</w:t>
      </w:r>
      <w:bookmarkEnd w:id="96"/>
      <w:bookmarkEnd w:id="97"/>
    </w:p>
    <w:p w14:paraId="6D60FA80" w14:textId="77777777" w:rsidR="00A17644" w:rsidRPr="009631AB" w:rsidRDefault="00A17644" w:rsidP="00734B53">
      <w:pPr>
        <w:pStyle w:val="Prrafodelista"/>
        <w:ind w:left="0"/>
        <w:contextualSpacing w:val="0"/>
        <w:rPr>
          <w:rFonts w:eastAsia="MS Gothic" w:cs="Calibri"/>
          <w:b/>
          <w:noProof w:val="0"/>
          <w:szCs w:val="20"/>
          <w:lang w:val="es-ES" w:eastAsia="ja-JP"/>
        </w:rPr>
      </w:pPr>
    </w:p>
    <w:p w14:paraId="2B7CDC5F" w14:textId="6F6298A2" w:rsidR="009128C2" w:rsidRPr="009631AB" w:rsidRDefault="009128C2" w:rsidP="00587147">
      <w:pPr>
        <w:pStyle w:val="Ttulo2"/>
        <w:numPr>
          <w:ilvl w:val="0"/>
          <w:numId w:val="26"/>
        </w:numPr>
        <w:ind w:left="0" w:firstLine="0"/>
      </w:pPr>
      <w:bookmarkStart w:id="98" w:name="_Toc27069887"/>
      <w:r w:rsidRPr="009631AB">
        <w:t>Detención del señor Montesinos en el marco del operativo policial el “Ciclón”</w:t>
      </w:r>
      <w:bookmarkEnd w:id="98"/>
    </w:p>
    <w:p w14:paraId="701EF277" w14:textId="77777777" w:rsidR="009128C2" w:rsidRPr="009631AB" w:rsidRDefault="009128C2" w:rsidP="00734B53">
      <w:pPr>
        <w:pStyle w:val="Prrafodelista"/>
        <w:contextualSpacing w:val="0"/>
        <w:rPr>
          <w:szCs w:val="20"/>
        </w:rPr>
      </w:pPr>
      <w:r w:rsidRPr="009631AB">
        <w:rPr>
          <w:szCs w:val="20"/>
        </w:rPr>
        <w:t xml:space="preserve"> </w:t>
      </w:r>
    </w:p>
    <w:p w14:paraId="6E48A3C8" w14:textId="60811B0E" w:rsidR="009128C2" w:rsidRPr="009631AB" w:rsidRDefault="00AD09AB" w:rsidP="00734B53">
      <w:pPr>
        <w:pStyle w:val="Prrafodelista"/>
        <w:numPr>
          <w:ilvl w:val="0"/>
          <w:numId w:val="4"/>
        </w:numPr>
        <w:contextualSpacing w:val="0"/>
        <w:rPr>
          <w:szCs w:val="20"/>
        </w:rPr>
      </w:pPr>
      <w:r>
        <w:rPr>
          <w:szCs w:val="20"/>
        </w:rPr>
        <w:t xml:space="preserve">Los hechos del presente </w:t>
      </w:r>
      <w:r w:rsidR="00485267">
        <w:rPr>
          <w:szCs w:val="20"/>
        </w:rPr>
        <w:t xml:space="preserve">caso </w:t>
      </w:r>
      <w:r w:rsidR="009C6A3A">
        <w:rPr>
          <w:szCs w:val="20"/>
        </w:rPr>
        <w:t>tiene</w:t>
      </w:r>
      <w:r w:rsidR="00522B85">
        <w:rPr>
          <w:szCs w:val="20"/>
        </w:rPr>
        <w:t>n</w:t>
      </w:r>
      <w:r w:rsidR="009C6A3A">
        <w:rPr>
          <w:szCs w:val="20"/>
        </w:rPr>
        <w:t xml:space="preserve"> lugar en el marco de la</w:t>
      </w:r>
      <w:r w:rsidR="002C5FA4">
        <w:rPr>
          <w:szCs w:val="20"/>
        </w:rPr>
        <w:t xml:space="preserve"> lucha </w:t>
      </w:r>
      <w:r>
        <w:rPr>
          <w:szCs w:val="20"/>
        </w:rPr>
        <w:t>contra el narcotráfico en Ecuador. En ese sentido, e</w:t>
      </w:r>
      <w:r w:rsidR="009128C2" w:rsidRPr="009631AB">
        <w:rPr>
          <w:szCs w:val="20"/>
        </w:rPr>
        <w:t>l Servicio de Inteligencia Antidrogas de la Policía Nacional del Ecuador inició el 19 de junio de 1992 la operación “Ciclón”, con la finalidad de desarticular una organización de narcotráfico</w:t>
      </w:r>
      <w:r w:rsidR="009128C2" w:rsidRPr="009631AB">
        <w:rPr>
          <w:rStyle w:val="Refdenotaalpie"/>
          <w:rFonts w:ascii="Verdana" w:hAnsi="Verdana"/>
        </w:rPr>
        <w:footnoteReference w:id="20"/>
      </w:r>
      <w:r w:rsidR="009128C2" w:rsidRPr="009631AB">
        <w:rPr>
          <w:szCs w:val="20"/>
        </w:rPr>
        <w:t>. Dicha operación implicó la detención de varias personas</w:t>
      </w:r>
      <w:r w:rsidR="00BC75EA" w:rsidRPr="009631AB">
        <w:rPr>
          <w:szCs w:val="20"/>
        </w:rPr>
        <w:t xml:space="preserve"> supuestamente relacionadas con </w:t>
      </w:r>
      <w:r w:rsidR="000537B6">
        <w:rPr>
          <w:szCs w:val="20"/>
        </w:rPr>
        <w:t>est</w:t>
      </w:r>
      <w:r w:rsidR="00BC75EA" w:rsidRPr="009631AB">
        <w:rPr>
          <w:szCs w:val="20"/>
        </w:rPr>
        <w:t>a organización</w:t>
      </w:r>
      <w:r w:rsidR="009128C2" w:rsidRPr="009631AB">
        <w:rPr>
          <w:szCs w:val="20"/>
        </w:rPr>
        <w:t xml:space="preserve"> y el allanamiento de sus domicilios, </w:t>
      </w:r>
      <w:r w:rsidR="00BC75EA" w:rsidRPr="009631AB">
        <w:rPr>
          <w:szCs w:val="20"/>
        </w:rPr>
        <w:t xml:space="preserve">producto de lo cual </w:t>
      </w:r>
      <w:r w:rsidR="009128C2" w:rsidRPr="009631AB">
        <w:rPr>
          <w:szCs w:val="20"/>
        </w:rPr>
        <w:t>se decomisaron municiones, material explosivo y armas</w:t>
      </w:r>
      <w:r w:rsidR="009128C2" w:rsidRPr="009631AB">
        <w:rPr>
          <w:rStyle w:val="Refdenotaalpie"/>
          <w:rFonts w:ascii="Verdana" w:hAnsi="Verdana"/>
        </w:rPr>
        <w:footnoteReference w:id="21"/>
      </w:r>
      <w:r w:rsidR="009128C2" w:rsidRPr="009631AB">
        <w:rPr>
          <w:szCs w:val="20"/>
        </w:rPr>
        <w:t xml:space="preserve">. </w:t>
      </w:r>
    </w:p>
    <w:p w14:paraId="73C026DD" w14:textId="77777777" w:rsidR="009128C2" w:rsidRPr="009631AB" w:rsidRDefault="009128C2" w:rsidP="00734B53">
      <w:pPr>
        <w:pStyle w:val="Prrafodelista"/>
        <w:contextualSpacing w:val="0"/>
        <w:rPr>
          <w:szCs w:val="20"/>
        </w:rPr>
      </w:pPr>
    </w:p>
    <w:p w14:paraId="2D9FEC30" w14:textId="788E6E55" w:rsidR="009128C2" w:rsidRPr="009631AB" w:rsidRDefault="009128C2" w:rsidP="00734B53">
      <w:pPr>
        <w:pStyle w:val="Prrafodelista"/>
        <w:numPr>
          <w:ilvl w:val="0"/>
          <w:numId w:val="4"/>
        </w:numPr>
        <w:contextualSpacing w:val="0"/>
        <w:rPr>
          <w:szCs w:val="20"/>
        </w:rPr>
      </w:pPr>
      <w:r w:rsidRPr="009631AB">
        <w:rPr>
          <w:szCs w:val="20"/>
        </w:rPr>
        <w:t>El día 21 de junio de 1992 fue detenido el señor Mario Alfonso Montesinos Mejía por agentes policiales mientras se encontraba conduciendo en la ciudad de Quito, Ecuador</w:t>
      </w:r>
      <w:r w:rsidRPr="009631AB">
        <w:rPr>
          <w:rStyle w:val="Refdenotaalpie"/>
          <w:rFonts w:ascii="Verdana" w:hAnsi="Verdana"/>
        </w:rPr>
        <w:footnoteReference w:id="22"/>
      </w:r>
      <w:r w:rsidRPr="009631AB">
        <w:rPr>
          <w:szCs w:val="20"/>
        </w:rPr>
        <w:t>. Al momento de su detención el señor Montesinos se encontraba acompañado de su esposa y hermana</w:t>
      </w:r>
      <w:r w:rsidRPr="009631AB">
        <w:rPr>
          <w:rStyle w:val="Refdenotaalpie"/>
          <w:rFonts w:ascii="Verdana" w:hAnsi="Verdana"/>
        </w:rPr>
        <w:footnoteReference w:id="23"/>
      </w:r>
      <w:r w:rsidRPr="009631AB">
        <w:rPr>
          <w:szCs w:val="20"/>
        </w:rPr>
        <w:t>. Durante la detención los agentes policiales le habrían indicado al señor Montesinos que contaban con orden de allanamiento para ingresar a su domicilio, la cual</w:t>
      </w:r>
      <w:r w:rsidR="00BC75EA" w:rsidRPr="009631AB">
        <w:rPr>
          <w:szCs w:val="20"/>
        </w:rPr>
        <w:t>,</w:t>
      </w:r>
      <w:r w:rsidRPr="009631AB">
        <w:rPr>
          <w:szCs w:val="20"/>
        </w:rPr>
        <w:t xml:space="preserve"> según el agente policial interviniente</w:t>
      </w:r>
      <w:r w:rsidR="00BC75EA" w:rsidRPr="009631AB">
        <w:rPr>
          <w:szCs w:val="20"/>
        </w:rPr>
        <w:t>,</w:t>
      </w:r>
      <w:r w:rsidRPr="009631AB">
        <w:rPr>
          <w:szCs w:val="20"/>
        </w:rPr>
        <w:t xml:space="preserve"> habría sido emitida por el Comisario Primero del Cantón Quito</w:t>
      </w:r>
      <w:r w:rsidRPr="009631AB">
        <w:rPr>
          <w:rStyle w:val="Refdenotaalpie"/>
          <w:rFonts w:ascii="Verdana" w:hAnsi="Verdana"/>
        </w:rPr>
        <w:footnoteReference w:id="24"/>
      </w:r>
      <w:r w:rsidRPr="009631AB">
        <w:rPr>
          <w:szCs w:val="20"/>
        </w:rPr>
        <w:t>. La Corte advierte que no cuenta</w:t>
      </w:r>
      <w:r w:rsidR="00677B4D" w:rsidRPr="009631AB">
        <w:rPr>
          <w:szCs w:val="20"/>
        </w:rPr>
        <w:t xml:space="preserve"> en su expediente</w:t>
      </w:r>
      <w:r w:rsidRPr="009631AB">
        <w:rPr>
          <w:szCs w:val="20"/>
        </w:rPr>
        <w:t xml:space="preserve"> con la orden de detención y allanamiento mencionada. </w:t>
      </w:r>
      <w:r w:rsidR="00231D97" w:rsidRPr="009631AB">
        <w:rPr>
          <w:szCs w:val="20"/>
        </w:rPr>
        <w:t>Ese mismo día fue sometido a un examen médico en el cual se diagnosticó “sin novedad</w:t>
      </w:r>
      <w:r w:rsidR="00B74C0E" w:rsidRPr="009631AB">
        <w:rPr>
          <w:szCs w:val="20"/>
        </w:rPr>
        <w:t>”</w:t>
      </w:r>
      <w:r w:rsidR="00231D97" w:rsidRPr="009631AB">
        <w:rPr>
          <w:rStyle w:val="Refdenotaalpie"/>
          <w:rFonts w:ascii="Verdana" w:hAnsi="Verdana"/>
        </w:rPr>
        <w:footnoteReference w:id="25"/>
      </w:r>
      <w:r w:rsidR="00231D97" w:rsidRPr="009631AB">
        <w:rPr>
          <w:szCs w:val="20"/>
        </w:rPr>
        <w:t>.</w:t>
      </w:r>
    </w:p>
    <w:p w14:paraId="6B34C9AC" w14:textId="77777777" w:rsidR="009128C2" w:rsidRPr="009631AB" w:rsidRDefault="009128C2" w:rsidP="00734B53">
      <w:pPr>
        <w:pStyle w:val="Prrafodelista"/>
        <w:ind w:left="0"/>
        <w:contextualSpacing w:val="0"/>
        <w:rPr>
          <w:szCs w:val="20"/>
        </w:rPr>
      </w:pPr>
    </w:p>
    <w:p w14:paraId="6329BC53" w14:textId="174100B8" w:rsidR="009128C2" w:rsidRPr="009631AB" w:rsidRDefault="009128C2" w:rsidP="00734B53">
      <w:pPr>
        <w:pStyle w:val="Prrafodelista"/>
        <w:numPr>
          <w:ilvl w:val="0"/>
          <w:numId w:val="4"/>
        </w:numPr>
        <w:contextualSpacing w:val="0"/>
        <w:rPr>
          <w:szCs w:val="20"/>
        </w:rPr>
      </w:pPr>
      <w:r w:rsidRPr="009631AB">
        <w:rPr>
          <w:szCs w:val="20"/>
        </w:rPr>
        <w:t xml:space="preserve">Luego de ser detenido, los agentes policiales llevaron al señor Montesinos a su domicilio y lo mantuvieron retenido dentro del vehículo policial </w:t>
      </w:r>
      <w:r w:rsidR="00BC75EA" w:rsidRPr="009631AB">
        <w:rPr>
          <w:szCs w:val="20"/>
        </w:rPr>
        <w:t xml:space="preserve">por </w:t>
      </w:r>
      <w:r w:rsidRPr="009631AB">
        <w:rPr>
          <w:szCs w:val="20"/>
        </w:rPr>
        <w:t>aproximadamente dos horas</w:t>
      </w:r>
      <w:r w:rsidRPr="009631AB">
        <w:rPr>
          <w:rStyle w:val="Refdenotaalpie"/>
          <w:rFonts w:ascii="Verdana" w:hAnsi="Verdana"/>
        </w:rPr>
        <w:footnoteReference w:id="26"/>
      </w:r>
      <w:r w:rsidRPr="009631AB">
        <w:rPr>
          <w:szCs w:val="20"/>
        </w:rPr>
        <w:t>. En su domicilio se decomisaron distintos armamentos</w:t>
      </w:r>
      <w:r w:rsidRPr="009631AB">
        <w:rPr>
          <w:rStyle w:val="Refdenotaalpie"/>
          <w:rFonts w:ascii="Verdana" w:hAnsi="Verdana"/>
        </w:rPr>
        <w:footnoteReference w:id="27"/>
      </w:r>
      <w:r w:rsidRPr="009631AB">
        <w:rPr>
          <w:szCs w:val="20"/>
        </w:rPr>
        <w:t xml:space="preserve">. </w:t>
      </w:r>
    </w:p>
    <w:p w14:paraId="532AAB45" w14:textId="77777777" w:rsidR="009128C2" w:rsidRPr="009631AB" w:rsidRDefault="009128C2" w:rsidP="00734B53">
      <w:pPr>
        <w:pStyle w:val="Prrafodelista"/>
        <w:contextualSpacing w:val="0"/>
        <w:rPr>
          <w:szCs w:val="20"/>
        </w:rPr>
      </w:pPr>
    </w:p>
    <w:p w14:paraId="26F95E38" w14:textId="77777777" w:rsidR="009128C2" w:rsidRPr="009631AB" w:rsidRDefault="009128C2" w:rsidP="00CE48C8">
      <w:pPr>
        <w:pStyle w:val="Ttulo2"/>
      </w:pPr>
      <w:bookmarkStart w:id="99" w:name="_Toc27069888"/>
      <w:r w:rsidRPr="009631AB">
        <w:t>Prisión Preventiva del señor Montesinos</w:t>
      </w:r>
      <w:bookmarkEnd w:id="99"/>
      <w:r w:rsidRPr="009631AB">
        <w:t xml:space="preserve"> </w:t>
      </w:r>
    </w:p>
    <w:p w14:paraId="47A05040" w14:textId="77777777" w:rsidR="009128C2" w:rsidRPr="009631AB" w:rsidRDefault="009128C2" w:rsidP="00734B53">
      <w:pPr>
        <w:spacing w:after="0" w:line="240" w:lineRule="auto"/>
        <w:rPr>
          <w:szCs w:val="20"/>
        </w:rPr>
      </w:pPr>
    </w:p>
    <w:p w14:paraId="6C339325" w14:textId="5B280A31" w:rsidR="009128C2" w:rsidRPr="009631AB" w:rsidRDefault="009128C2" w:rsidP="00734B53">
      <w:pPr>
        <w:pStyle w:val="Prrafodelista"/>
        <w:numPr>
          <w:ilvl w:val="0"/>
          <w:numId w:val="4"/>
        </w:numPr>
        <w:contextualSpacing w:val="0"/>
        <w:rPr>
          <w:szCs w:val="20"/>
        </w:rPr>
      </w:pPr>
      <w:r w:rsidRPr="009631AB">
        <w:rPr>
          <w:szCs w:val="20"/>
        </w:rPr>
        <w:t xml:space="preserve">El 25 de junio de 1992, </w:t>
      </w:r>
      <w:r w:rsidR="00677B4D" w:rsidRPr="009631AB">
        <w:rPr>
          <w:szCs w:val="20"/>
        </w:rPr>
        <w:t xml:space="preserve">el señor Montesinos </w:t>
      </w:r>
      <w:r w:rsidRPr="009631AB">
        <w:rPr>
          <w:szCs w:val="20"/>
        </w:rPr>
        <w:t>rindió su declaración ante la Dirección Nacional de Investigaciones sin contar con representante legal</w:t>
      </w:r>
      <w:r w:rsidRPr="009631AB">
        <w:rPr>
          <w:rStyle w:val="Refdenotaalpie"/>
          <w:rFonts w:ascii="Verdana" w:hAnsi="Verdana"/>
        </w:rPr>
        <w:footnoteReference w:id="28"/>
      </w:r>
      <w:r w:rsidRPr="009631AB">
        <w:rPr>
          <w:szCs w:val="20"/>
        </w:rPr>
        <w:t xml:space="preserve">. En </w:t>
      </w:r>
      <w:r w:rsidR="00BC75EA" w:rsidRPr="009631AB">
        <w:rPr>
          <w:szCs w:val="20"/>
        </w:rPr>
        <w:t>dicha</w:t>
      </w:r>
      <w:r w:rsidRPr="009631AB">
        <w:rPr>
          <w:szCs w:val="20"/>
        </w:rPr>
        <w:t xml:space="preserve"> declaración indicó </w:t>
      </w:r>
      <w:r w:rsidRPr="009631AB">
        <w:rPr>
          <w:szCs w:val="20"/>
        </w:rPr>
        <w:lastRenderedPageBreak/>
        <w:t xml:space="preserve">que </w:t>
      </w:r>
      <w:r w:rsidR="00BC75EA" w:rsidRPr="009631AB">
        <w:rPr>
          <w:szCs w:val="20"/>
        </w:rPr>
        <w:t xml:space="preserve">mientras </w:t>
      </w:r>
      <w:r w:rsidRPr="009631AB">
        <w:rPr>
          <w:szCs w:val="20"/>
        </w:rPr>
        <w:t>trabajaba como supervisor de la hacienda “El Prado”</w:t>
      </w:r>
      <w:r w:rsidR="00BC75EA" w:rsidRPr="009631AB">
        <w:rPr>
          <w:szCs w:val="20"/>
        </w:rPr>
        <w:t xml:space="preserve"> </w:t>
      </w:r>
      <w:r w:rsidRPr="009631AB">
        <w:rPr>
          <w:szCs w:val="20"/>
        </w:rPr>
        <w:t>conoció a la señora Daira Levoyer</w:t>
      </w:r>
      <w:r w:rsidR="00BC75EA" w:rsidRPr="009631AB">
        <w:rPr>
          <w:szCs w:val="20"/>
        </w:rPr>
        <w:t xml:space="preserve">, la cual, </w:t>
      </w:r>
      <w:r w:rsidRPr="009631AB">
        <w:rPr>
          <w:szCs w:val="20"/>
        </w:rPr>
        <w:t xml:space="preserve">días previos a </w:t>
      </w:r>
      <w:r w:rsidR="00BC75EA" w:rsidRPr="009631AB">
        <w:rPr>
          <w:szCs w:val="20"/>
        </w:rPr>
        <w:t>su</w:t>
      </w:r>
      <w:r w:rsidRPr="009631AB">
        <w:rPr>
          <w:szCs w:val="20"/>
        </w:rPr>
        <w:t xml:space="preserve"> detención</w:t>
      </w:r>
      <w:r w:rsidR="00BC75EA" w:rsidRPr="009631AB">
        <w:rPr>
          <w:szCs w:val="20"/>
        </w:rPr>
        <w:t>,</w:t>
      </w:r>
      <w:r w:rsidRPr="009631AB">
        <w:rPr>
          <w:szCs w:val="20"/>
        </w:rPr>
        <w:t xml:space="preserve"> </w:t>
      </w:r>
      <w:r w:rsidR="00BC75EA" w:rsidRPr="009631AB">
        <w:rPr>
          <w:szCs w:val="20"/>
        </w:rPr>
        <w:t>envió</w:t>
      </w:r>
      <w:r w:rsidRPr="009631AB">
        <w:rPr>
          <w:szCs w:val="20"/>
        </w:rPr>
        <w:t xml:space="preserve"> a dos personas a su domicilio para dejar diversos armamentos </w:t>
      </w:r>
      <w:r w:rsidR="003E53F3" w:rsidRPr="009631AB">
        <w:rPr>
          <w:szCs w:val="20"/>
        </w:rPr>
        <w:t xml:space="preserve">en </w:t>
      </w:r>
      <w:r w:rsidRPr="009631AB">
        <w:rPr>
          <w:szCs w:val="20"/>
        </w:rPr>
        <w:t>su custodi</w:t>
      </w:r>
      <w:r w:rsidR="00BC75EA" w:rsidRPr="009631AB">
        <w:rPr>
          <w:szCs w:val="20"/>
        </w:rPr>
        <w:t>a</w:t>
      </w:r>
      <w:r w:rsidRPr="009631AB">
        <w:rPr>
          <w:rStyle w:val="Refdenotaalpie"/>
          <w:rFonts w:ascii="Verdana" w:hAnsi="Verdana"/>
        </w:rPr>
        <w:footnoteReference w:id="29"/>
      </w:r>
      <w:r w:rsidRPr="009631AB">
        <w:rPr>
          <w:szCs w:val="20"/>
        </w:rPr>
        <w:t>.</w:t>
      </w:r>
      <w:r w:rsidR="003E53F3" w:rsidRPr="009631AB">
        <w:rPr>
          <w:szCs w:val="20"/>
        </w:rPr>
        <w:t xml:space="preserve"> </w:t>
      </w:r>
      <w:r w:rsidR="00677B4D" w:rsidRPr="009631AB">
        <w:rPr>
          <w:szCs w:val="20"/>
        </w:rPr>
        <w:t>Luego</w:t>
      </w:r>
      <w:r w:rsidR="003E53F3" w:rsidRPr="009631AB">
        <w:rPr>
          <w:szCs w:val="20"/>
        </w:rPr>
        <w:t xml:space="preserve"> de su detención</w:t>
      </w:r>
      <w:r w:rsidR="00677B4D" w:rsidRPr="009631AB">
        <w:rPr>
          <w:szCs w:val="20"/>
        </w:rPr>
        <w:t xml:space="preserve"> f</w:t>
      </w:r>
      <w:r w:rsidRPr="009631AB">
        <w:rPr>
          <w:szCs w:val="20"/>
        </w:rPr>
        <w:t>ue llevado a una celda de aproximadamente 11 metros cuadrados custodiada por dos guardias, donde se encontraban cerca de 13 personas más</w:t>
      </w:r>
      <w:r w:rsidRPr="009631AB">
        <w:rPr>
          <w:rStyle w:val="Refdenotaalpie"/>
          <w:rFonts w:ascii="Verdana" w:hAnsi="Verdana"/>
        </w:rPr>
        <w:footnoteReference w:id="30"/>
      </w:r>
      <w:r w:rsidRPr="009631AB">
        <w:rPr>
          <w:szCs w:val="20"/>
        </w:rPr>
        <w:t>.</w:t>
      </w:r>
    </w:p>
    <w:p w14:paraId="11A0E1DD" w14:textId="77777777" w:rsidR="009128C2" w:rsidRPr="009631AB" w:rsidRDefault="009128C2" w:rsidP="00734B53">
      <w:pPr>
        <w:pStyle w:val="Prrafodelista"/>
        <w:ind w:left="0"/>
        <w:contextualSpacing w:val="0"/>
        <w:rPr>
          <w:szCs w:val="20"/>
        </w:rPr>
      </w:pPr>
    </w:p>
    <w:p w14:paraId="31621D4C" w14:textId="5CC70F06" w:rsidR="009128C2" w:rsidRPr="009631AB" w:rsidRDefault="009128C2" w:rsidP="00734B53">
      <w:pPr>
        <w:pStyle w:val="Prrafodelista"/>
        <w:numPr>
          <w:ilvl w:val="0"/>
          <w:numId w:val="4"/>
        </w:numPr>
        <w:contextualSpacing w:val="0"/>
        <w:rPr>
          <w:szCs w:val="20"/>
        </w:rPr>
      </w:pPr>
      <w:r w:rsidRPr="009631AB">
        <w:rPr>
          <w:szCs w:val="20"/>
        </w:rPr>
        <w:t xml:space="preserve">El señor Montesinos denunció que, el 23 de julio de 1992, 25 miembros del Grupo de </w:t>
      </w:r>
      <w:r w:rsidR="00570682" w:rsidRPr="009631AB">
        <w:rPr>
          <w:szCs w:val="20"/>
        </w:rPr>
        <w:t>I</w:t>
      </w:r>
      <w:r w:rsidRPr="009631AB">
        <w:rPr>
          <w:szCs w:val="20"/>
        </w:rPr>
        <w:t>ntervención y Rescate de la Policía Nacional habrían golpeado</w:t>
      </w:r>
      <w:r w:rsidR="00570682" w:rsidRPr="009631AB">
        <w:rPr>
          <w:szCs w:val="20"/>
        </w:rPr>
        <w:t xml:space="preserve"> tanto a él </w:t>
      </w:r>
      <w:r w:rsidRPr="009631AB">
        <w:rPr>
          <w:szCs w:val="20"/>
        </w:rPr>
        <w:t>como a otros detenidos</w:t>
      </w:r>
      <w:r w:rsidR="00570682" w:rsidRPr="009631AB">
        <w:rPr>
          <w:szCs w:val="20"/>
        </w:rPr>
        <w:t>,</w:t>
      </w:r>
      <w:r w:rsidRPr="009631AB">
        <w:rPr>
          <w:szCs w:val="20"/>
        </w:rPr>
        <w:t xml:space="preserve"> mientras se encontraban en el patio del centro de detención Regimiento Quito No. 2. Ese mismo día fue trasladado al Centro de Rehabilitación Social No. 1 con los ojos y boca cubiertos con cinta adhesiva y amarrado de manos por detrás de la espalda durante todo el traslado</w:t>
      </w:r>
      <w:r w:rsidRPr="009631AB">
        <w:rPr>
          <w:rStyle w:val="Refdenotaalpie"/>
          <w:rFonts w:ascii="Verdana" w:hAnsi="Verdana"/>
        </w:rPr>
        <w:footnoteReference w:id="31"/>
      </w:r>
      <w:r w:rsidRPr="009631AB">
        <w:rPr>
          <w:szCs w:val="20"/>
        </w:rPr>
        <w:t xml:space="preserve">. </w:t>
      </w:r>
      <w:r w:rsidR="000537B6">
        <w:rPr>
          <w:szCs w:val="20"/>
        </w:rPr>
        <w:t>A</w:t>
      </w:r>
      <w:r w:rsidR="00CE48C8" w:rsidRPr="009631AB">
        <w:rPr>
          <w:szCs w:val="20"/>
        </w:rPr>
        <w:t>legó haber estado</w:t>
      </w:r>
      <w:r w:rsidRPr="009631AB">
        <w:rPr>
          <w:szCs w:val="20"/>
        </w:rPr>
        <w:t xml:space="preserve"> incomunicado y aislado desde su detención hasta el 28 de julio de 1992</w:t>
      </w:r>
      <w:r w:rsidRPr="009631AB">
        <w:rPr>
          <w:rStyle w:val="Refdenotaalpie"/>
          <w:rFonts w:ascii="Verdana" w:hAnsi="Verdana"/>
        </w:rPr>
        <w:footnoteReference w:id="32"/>
      </w:r>
      <w:r w:rsidRPr="009631AB">
        <w:rPr>
          <w:szCs w:val="20"/>
        </w:rPr>
        <w:t xml:space="preserve">. </w:t>
      </w:r>
    </w:p>
    <w:p w14:paraId="1C0AA7F5" w14:textId="77777777" w:rsidR="009128C2" w:rsidRPr="009631AB" w:rsidRDefault="009128C2" w:rsidP="00734B53">
      <w:pPr>
        <w:pStyle w:val="Prrafodelista"/>
        <w:ind w:left="0"/>
        <w:contextualSpacing w:val="0"/>
        <w:rPr>
          <w:szCs w:val="20"/>
        </w:rPr>
      </w:pPr>
    </w:p>
    <w:p w14:paraId="5FDA1015" w14:textId="71239F40" w:rsidR="009128C2" w:rsidRPr="009631AB" w:rsidRDefault="009128C2" w:rsidP="00734B53">
      <w:pPr>
        <w:pStyle w:val="Prrafodelista"/>
        <w:numPr>
          <w:ilvl w:val="0"/>
          <w:numId w:val="4"/>
        </w:numPr>
        <w:contextualSpacing w:val="0"/>
        <w:rPr>
          <w:szCs w:val="20"/>
        </w:rPr>
      </w:pPr>
      <w:r w:rsidRPr="009631AB">
        <w:rPr>
          <w:szCs w:val="20"/>
        </w:rPr>
        <w:t>El 11 de julio de 1992 se emitió una boleta constitucional de encarcelamiento en la cual se dispuso mantener preso al señor Montesinos, pues se encontraba procesado por los delitos de conversión y transferencia de bienes</w:t>
      </w:r>
      <w:r w:rsidRPr="009631AB">
        <w:rPr>
          <w:rStyle w:val="Refdenotaalpie"/>
          <w:rFonts w:ascii="Verdana" w:hAnsi="Verdana"/>
        </w:rPr>
        <w:footnoteReference w:id="33"/>
      </w:r>
      <w:r w:rsidRPr="009631AB">
        <w:rPr>
          <w:szCs w:val="20"/>
        </w:rPr>
        <w:t xml:space="preserve">. </w:t>
      </w:r>
    </w:p>
    <w:p w14:paraId="4BA7EAAB" w14:textId="77777777" w:rsidR="009128C2" w:rsidRPr="009631AB" w:rsidRDefault="009128C2" w:rsidP="00734B53">
      <w:pPr>
        <w:pStyle w:val="Prrafodelista"/>
        <w:ind w:left="0"/>
        <w:contextualSpacing w:val="0"/>
        <w:rPr>
          <w:szCs w:val="20"/>
        </w:rPr>
      </w:pPr>
    </w:p>
    <w:p w14:paraId="03E27153" w14:textId="481FEA94" w:rsidR="009128C2" w:rsidRPr="009631AB" w:rsidRDefault="009128C2" w:rsidP="00734B53">
      <w:pPr>
        <w:pStyle w:val="Prrafodelista"/>
        <w:numPr>
          <w:ilvl w:val="0"/>
          <w:numId w:val="4"/>
        </w:numPr>
        <w:contextualSpacing w:val="0"/>
        <w:rPr>
          <w:szCs w:val="20"/>
        </w:rPr>
      </w:pPr>
      <w:r w:rsidRPr="009631AB">
        <w:rPr>
          <w:szCs w:val="20"/>
        </w:rPr>
        <w:t>El 13 de agosto de 1992 se emitió una segunda boleta de encarcelamiento, la cual dis</w:t>
      </w:r>
      <w:r w:rsidR="004B3D7E" w:rsidRPr="009631AB">
        <w:rPr>
          <w:szCs w:val="20"/>
        </w:rPr>
        <w:t>puso que,</w:t>
      </w:r>
      <w:r w:rsidRPr="009631AB">
        <w:rPr>
          <w:szCs w:val="20"/>
        </w:rPr>
        <w:t xml:space="preserve"> de acuerdo con el artículo 177 del Código de Procedimiento Penal, se debía mantener al señor Montesinos en prisión preventiva</w:t>
      </w:r>
      <w:r w:rsidRPr="009631AB">
        <w:rPr>
          <w:rStyle w:val="Refdenotaalpie"/>
          <w:rFonts w:ascii="Verdana" w:hAnsi="Verdana"/>
        </w:rPr>
        <w:footnoteReference w:id="34"/>
      </w:r>
      <w:r w:rsidRPr="009631AB">
        <w:rPr>
          <w:szCs w:val="20"/>
        </w:rPr>
        <w:t xml:space="preserve">. </w:t>
      </w:r>
    </w:p>
    <w:p w14:paraId="21223068" w14:textId="77777777" w:rsidR="009128C2" w:rsidRPr="009631AB" w:rsidRDefault="009128C2" w:rsidP="00734B53">
      <w:pPr>
        <w:pStyle w:val="Prrafodelista"/>
        <w:contextualSpacing w:val="0"/>
        <w:rPr>
          <w:szCs w:val="20"/>
        </w:rPr>
      </w:pPr>
    </w:p>
    <w:p w14:paraId="37A7C28D" w14:textId="022E1273" w:rsidR="009128C2" w:rsidRPr="009631AB" w:rsidRDefault="009128C2" w:rsidP="00734B53">
      <w:pPr>
        <w:pStyle w:val="Prrafodelista"/>
        <w:numPr>
          <w:ilvl w:val="0"/>
          <w:numId w:val="4"/>
        </w:numPr>
        <w:contextualSpacing w:val="0"/>
        <w:rPr>
          <w:szCs w:val="20"/>
        </w:rPr>
      </w:pPr>
      <w:r w:rsidRPr="009631AB">
        <w:rPr>
          <w:szCs w:val="20"/>
        </w:rPr>
        <w:t>Posteriormente, el 28 de noviembre de 1994</w:t>
      </w:r>
      <w:r w:rsidRPr="009631AB">
        <w:rPr>
          <w:rStyle w:val="Refdenotaalpie"/>
          <w:rFonts w:ascii="Verdana" w:hAnsi="Verdana"/>
        </w:rPr>
        <w:footnoteReference w:id="35"/>
      </w:r>
      <w:r w:rsidRPr="009631AB">
        <w:rPr>
          <w:szCs w:val="20"/>
        </w:rPr>
        <w:t>, la defensa del señor Montesinos presentó una petición al presidente de la Corte Superior de Justicia de Quito, donde indicó</w:t>
      </w:r>
      <w:r w:rsidR="004B3D7E" w:rsidRPr="009631AB">
        <w:rPr>
          <w:szCs w:val="20"/>
        </w:rPr>
        <w:t>,</w:t>
      </w:r>
      <w:r w:rsidRPr="009631AB">
        <w:rPr>
          <w:szCs w:val="20"/>
        </w:rPr>
        <w:t xml:space="preserve"> entre otras cosas, que contaba con pruebas suficientes para desvirtuar los requisitos previstos en el artículo 177 del Código de Procedimiento Penal </w:t>
      </w:r>
      <w:r w:rsidR="009F0843" w:rsidRPr="009631AB">
        <w:rPr>
          <w:szCs w:val="20"/>
        </w:rPr>
        <w:t xml:space="preserve">y, </w:t>
      </w:r>
      <w:r w:rsidR="000537B6">
        <w:rPr>
          <w:szCs w:val="20"/>
        </w:rPr>
        <w:t xml:space="preserve">solicitó se revocara </w:t>
      </w:r>
      <w:r w:rsidRPr="009631AB">
        <w:rPr>
          <w:szCs w:val="20"/>
        </w:rPr>
        <w:t>la prisión preventiva en su contra</w:t>
      </w:r>
      <w:r w:rsidRPr="009631AB">
        <w:rPr>
          <w:rStyle w:val="Refdenotaalpie"/>
          <w:rFonts w:ascii="Verdana" w:hAnsi="Verdana"/>
        </w:rPr>
        <w:footnoteReference w:id="36"/>
      </w:r>
      <w:r w:rsidRPr="009631AB">
        <w:rPr>
          <w:szCs w:val="20"/>
        </w:rPr>
        <w:t xml:space="preserve">. </w:t>
      </w:r>
    </w:p>
    <w:p w14:paraId="39DF5A9D" w14:textId="77777777" w:rsidR="009128C2" w:rsidRPr="009631AB" w:rsidRDefault="009128C2" w:rsidP="00734B53">
      <w:pPr>
        <w:pStyle w:val="Prrafodelista"/>
        <w:contextualSpacing w:val="0"/>
        <w:rPr>
          <w:szCs w:val="20"/>
        </w:rPr>
      </w:pPr>
    </w:p>
    <w:p w14:paraId="48A40623" w14:textId="0B770497" w:rsidR="009128C2" w:rsidRPr="009631AB" w:rsidRDefault="009128C2" w:rsidP="00734B53">
      <w:pPr>
        <w:pStyle w:val="Prrafodelista"/>
        <w:numPr>
          <w:ilvl w:val="0"/>
          <w:numId w:val="4"/>
        </w:numPr>
        <w:contextualSpacing w:val="0"/>
        <w:rPr>
          <w:szCs w:val="20"/>
        </w:rPr>
      </w:pPr>
      <w:r w:rsidRPr="009631AB">
        <w:rPr>
          <w:szCs w:val="20"/>
        </w:rPr>
        <w:t>El 13 de octubre de 1995 el señor Montesinos remitió una carta al presidente de la Corte Suprema de Justicia,</w:t>
      </w:r>
      <w:r w:rsidR="004B3D7E" w:rsidRPr="009631AB">
        <w:rPr>
          <w:szCs w:val="20"/>
        </w:rPr>
        <w:t xml:space="preserve"> en la cual mencionó </w:t>
      </w:r>
      <w:r w:rsidRPr="009631AB">
        <w:rPr>
          <w:szCs w:val="20"/>
        </w:rPr>
        <w:t>que se encontraba en prisión preventiva sin contar con una sentencia firme</w:t>
      </w:r>
      <w:r w:rsidRPr="009631AB">
        <w:rPr>
          <w:rStyle w:val="Refdenotaalpie"/>
          <w:rFonts w:ascii="Verdana" w:hAnsi="Verdana"/>
        </w:rPr>
        <w:footnoteReference w:id="37"/>
      </w:r>
      <w:r w:rsidRPr="009631AB">
        <w:rPr>
          <w:szCs w:val="20"/>
        </w:rPr>
        <w:t xml:space="preserve">. </w:t>
      </w:r>
    </w:p>
    <w:p w14:paraId="578C4308" w14:textId="77777777" w:rsidR="009128C2" w:rsidRPr="009631AB" w:rsidRDefault="009128C2" w:rsidP="00734B53">
      <w:pPr>
        <w:pStyle w:val="Prrafodelista"/>
        <w:contextualSpacing w:val="0"/>
        <w:rPr>
          <w:szCs w:val="20"/>
        </w:rPr>
      </w:pPr>
    </w:p>
    <w:p w14:paraId="3AF46D56" w14:textId="273839D3" w:rsidR="009128C2" w:rsidRPr="009631AB" w:rsidRDefault="009128C2" w:rsidP="00734B53">
      <w:pPr>
        <w:pStyle w:val="Prrafodelista"/>
        <w:numPr>
          <w:ilvl w:val="0"/>
          <w:numId w:val="4"/>
        </w:numPr>
        <w:contextualSpacing w:val="0"/>
        <w:rPr>
          <w:szCs w:val="20"/>
        </w:rPr>
      </w:pPr>
      <w:r w:rsidRPr="009631AB">
        <w:rPr>
          <w:szCs w:val="20"/>
        </w:rPr>
        <w:t xml:space="preserve">El 10 de septiembre de 1996 el señor Montesinos presentó una petición de </w:t>
      </w:r>
      <w:r w:rsidR="00DA7EEF" w:rsidRPr="00DA7EEF">
        <w:rPr>
          <w:szCs w:val="20"/>
        </w:rPr>
        <w:t>hábeas corpus</w:t>
      </w:r>
      <w:r w:rsidRPr="009631AB">
        <w:rPr>
          <w:szCs w:val="20"/>
        </w:rPr>
        <w:t xml:space="preserve"> ante el Alcalde del Distrito Metropolitano de Quito</w:t>
      </w:r>
      <w:r w:rsidR="009F0843" w:rsidRPr="009631AB">
        <w:rPr>
          <w:szCs w:val="20"/>
        </w:rPr>
        <w:t xml:space="preserve"> </w:t>
      </w:r>
      <w:r w:rsidR="004B3D7E" w:rsidRPr="009631AB">
        <w:rPr>
          <w:szCs w:val="20"/>
        </w:rPr>
        <w:t xml:space="preserve">en la que alegó </w:t>
      </w:r>
      <w:r w:rsidR="009F0843" w:rsidRPr="009631AB">
        <w:rPr>
          <w:szCs w:val="20"/>
        </w:rPr>
        <w:t xml:space="preserve">haber recibido </w:t>
      </w:r>
      <w:r w:rsidRPr="009631AB">
        <w:rPr>
          <w:szCs w:val="20"/>
        </w:rPr>
        <w:t>golpes, tratos inhumanos y degradantes y haber permanecido en prisión por 50 meses sin sentencia</w:t>
      </w:r>
      <w:r w:rsidRPr="009631AB">
        <w:rPr>
          <w:rStyle w:val="Refdenotaalpie"/>
          <w:rFonts w:ascii="Verdana" w:hAnsi="Verdana"/>
        </w:rPr>
        <w:footnoteReference w:id="38"/>
      </w:r>
      <w:r w:rsidRPr="009631AB">
        <w:rPr>
          <w:szCs w:val="20"/>
        </w:rPr>
        <w:t xml:space="preserve">. El 16 de septiembre de 1996 se declaró como improcedente el recurso de </w:t>
      </w:r>
      <w:r w:rsidR="00DA7EEF" w:rsidRPr="00DA7EEF">
        <w:rPr>
          <w:szCs w:val="20"/>
        </w:rPr>
        <w:t>hábeas corpus</w:t>
      </w:r>
      <w:r w:rsidRPr="009631AB">
        <w:rPr>
          <w:rStyle w:val="Refdenotaalpie"/>
          <w:rFonts w:ascii="Verdana" w:hAnsi="Verdana"/>
        </w:rPr>
        <w:footnoteReference w:id="39"/>
      </w:r>
      <w:r w:rsidRPr="009631AB">
        <w:rPr>
          <w:szCs w:val="20"/>
        </w:rPr>
        <w:t xml:space="preserve">. El </w:t>
      </w:r>
      <w:r w:rsidRPr="009631AB">
        <w:rPr>
          <w:szCs w:val="20"/>
        </w:rPr>
        <w:lastRenderedPageBreak/>
        <w:t xml:space="preserve">abogado del señor Montesinos apeló la decisión denegatoria del Alcalde ante el Tribunal de Garantías Constitucionales. </w:t>
      </w:r>
      <w:r w:rsidR="00656F3A" w:rsidRPr="009631AB">
        <w:rPr>
          <w:szCs w:val="20"/>
        </w:rPr>
        <w:t>E</w:t>
      </w:r>
      <w:r w:rsidRPr="009631AB">
        <w:rPr>
          <w:szCs w:val="20"/>
        </w:rPr>
        <w:t xml:space="preserve">l 30 de octubre de 1996 dicho </w:t>
      </w:r>
      <w:r w:rsidRPr="009631AB">
        <w:rPr>
          <w:rFonts w:cs="Arial"/>
          <w:szCs w:val="20"/>
          <w:lang w:val="es-CR"/>
        </w:rPr>
        <w:t>Tribunal</w:t>
      </w:r>
      <w:r w:rsidRPr="009631AB">
        <w:rPr>
          <w:szCs w:val="20"/>
        </w:rPr>
        <w:t xml:space="preserve"> concedió el </w:t>
      </w:r>
      <w:r w:rsidR="00DA7EEF" w:rsidRPr="00DA7EEF">
        <w:rPr>
          <w:szCs w:val="20"/>
        </w:rPr>
        <w:t>hábeas corpus</w:t>
      </w:r>
      <w:r w:rsidRPr="009631AB">
        <w:rPr>
          <w:i/>
          <w:szCs w:val="20"/>
        </w:rPr>
        <w:t xml:space="preserve"> </w:t>
      </w:r>
      <w:r w:rsidR="00656F3A" w:rsidRPr="009631AB">
        <w:rPr>
          <w:szCs w:val="20"/>
        </w:rPr>
        <w:t xml:space="preserve">y ordenó </w:t>
      </w:r>
      <w:r w:rsidRPr="009631AB">
        <w:rPr>
          <w:szCs w:val="20"/>
        </w:rPr>
        <w:t>su inmediata libertad</w:t>
      </w:r>
      <w:r w:rsidRPr="009631AB">
        <w:rPr>
          <w:rStyle w:val="Refdenotaalpie"/>
          <w:rFonts w:ascii="Verdana" w:hAnsi="Verdana"/>
        </w:rPr>
        <w:footnoteReference w:id="40"/>
      </w:r>
      <w:r w:rsidR="00B87F14">
        <w:rPr>
          <w:szCs w:val="20"/>
        </w:rPr>
        <w:t>.</w:t>
      </w:r>
      <w:r w:rsidR="00656F3A" w:rsidRPr="009631AB">
        <w:rPr>
          <w:szCs w:val="20"/>
        </w:rPr>
        <w:t xml:space="preserve"> En la misma resolución el Tribunal de Garantías Constitucionales indicó</w:t>
      </w:r>
      <w:r w:rsidRPr="009631AB">
        <w:rPr>
          <w:szCs w:val="20"/>
        </w:rPr>
        <w:t xml:space="preserve"> que no podía pronunciarse sobre los alegados actos de tortura por falta de pruebas al respecto</w:t>
      </w:r>
      <w:r w:rsidRPr="009631AB">
        <w:rPr>
          <w:rStyle w:val="Refdenotaalpie"/>
          <w:rFonts w:ascii="Verdana" w:hAnsi="Verdana"/>
        </w:rPr>
        <w:footnoteReference w:id="41"/>
      </w:r>
      <w:r w:rsidRPr="009631AB">
        <w:rPr>
          <w:szCs w:val="20"/>
        </w:rPr>
        <w:t xml:space="preserve">. El Tribunal agregó que existió un retraso judicial injustificado </w:t>
      </w:r>
      <w:r w:rsidR="00656F3A" w:rsidRPr="009631AB">
        <w:rPr>
          <w:szCs w:val="20"/>
        </w:rPr>
        <w:t>por parte de</w:t>
      </w:r>
      <w:r w:rsidRPr="009631AB">
        <w:rPr>
          <w:szCs w:val="20"/>
        </w:rPr>
        <w:t xml:space="preserve"> los jueces para emitir una sentencia</w:t>
      </w:r>
      <w:r w:rsidRPr="009631AB">
        <w:rPr>
          <w:rStyle w:val="Refdenotaalpie"/>
          <w:rFonts w:ascii="Verdana" w:hAnsi="Verdana"/>
        </w:rPr>
        <w:footnoteReference w:id="42"/>
      </w:r>
      <w:r w:rsidRPr="009631AB">
        <w:rPr>
          <w:szCs w:val="20"/>
        </w:rPr>
        <w:t xml:space="preserve">. </w:t>
      </w:r>
    </w:p>
    <w:p w14:paraId="4E135781" w14:textId="77777777" w:rsidR="009128C2" w:rsidRPr="009631AB" w:rsidRDefault="009128C2" w:rsidP="00734B53">
      <w:pPr>
        <w:pStyle w:val="Prrafodelista"/>
        <w:contextualSpacing w:val="0"/>
        <w:rPr>
          <w:szCs w:val="20"/>
        </w:rPr>
      </w:pPr>
    </w:p>
    <w:p w14:paraId="25C745DD" w14:textId="5C0BDB87" w:rsidR="009128C2" w:rsidRPr="009631AB" w:rsidRDefault="009128C2" w:rsidP="007D0CAB">
      <w:pPr>
        <w:pStyle w:val="Prrafodelista"/>
        <w:numPr>
          <w:ilvl w:val="0"/>
          <w:numId w:val="4"/>
        </w:numPr>
        <w:contextualSpacing w:val="0"/>
        <w:rPr>
          <w:szCs w:val="20"/>
        </w:rPr>
      </w:pPr>
      <w:r w:rsidRPr="009631AB">
        <w:rPr>
          <w:szCs w:val="20"/>
        </w:rPr>
        <w:t xml:space="preserve">El 14 de abril de 1998 el señor Montesinos interpuso un segundo </w:t>
      </w:r>
      <w:r w:rsidR="00DA7EEF" w:rsidRPr="00DA7EEF">
        <w:rPr>
          <w:szCs w:val="20"/>
        </w:rPr>
        <w:t>hábeas corpus</w:t>
      </w:r>
      <w:r w:rsidRPr="009631AB">
        <w:rPr>
          <w:szCs w:val="20"/>
        </w:rPr>
        <w:t xml:space="preserve"> ante el Alcalde de Distrito Metropolitano de Quito pues la decisión del anterior </w:t>
      </w:r>
      <w:r w:rsidR="00DA7EEF" w:rsidRPr="00DA7EEF">
        <w:rPr>
          <w:szCs w:val="20"/>
        </w:rPr>
        <w:t>hábeas corpus</w:t>
      </w:r>
      <w:r w:rsidRPr="009631AB">
        <w:rPr>
          <w:szCs w:val="20"/>
        </w:rPr>
        <w:t xml:space="preserve"> (octubre de 1996) no había sido cumplida. El 21 de abril el Alcalde declaró improcedente el recurso indicando que la duración de la detención era razonable y que se debía esperar hasta la resolución definitiva de los procesos penales. Nuevamente el representante del señor Montesinos apeló dicha decisión ante el Tribunal Constitucional. El 13 de agosto de 1998, </w:t>
      </w:r>
      <w:r w:rsidR="00677B4D" w:rsidRPr="009631AB">
        <w:rPr>
          <w:szCs w:val="20"/>
        </w:rPr>
        <w:t>dicho</w:t>
      </w:r>
      <w:r w:rsidRPr="009631AB">
        <w:rPr>
          <w:szCs w:val="20"/>
        </w:rPr>
        <w:t xml:space="preserve"> </w:t>
      </w:r>
      <w:r w:rsidR="00677B4D" w:rsidRPr="009631AB">
        <w:rPr>
          <w:szCs w:val="20"/>
        </w:rPr>
        <w:t>t</w:t>
      </w:r>
      <w:r w:rsidRPr="009631AB">
        <w:rPr>
          <w:szCs w:val="20"/>
        </w:rPr>
        <w:t xml:space="preserve">ribunal determinó la inmediata libertad del señor Montesinos, oficiando al Director del Centro de Rehabilitación Social de Varones de Quito No. 1, sin perjuicio de la tramitación del juicio por testaferrismo. Asimismo, consideró </w:t>
      </w:r>
      <w:r w:rsidR="000537B6">
        <w:rPr>
          <w:szCs w:val="20"/>
        </w:rPr>
        <w:t xml:space="preserve">irrazonable </w:t>
      </w:r>
      <w:r w:rsidRPr="009631AB">
        <w:rPr>
          <w:szCs w:val="20"/>
        </w:rPr>
        <w:t>el tiempo de prisión preventiva</w:t>
      </w:r>
      <w:r w:rsidRPr="009631AB">
        <w:rPr>
          <w:rStyle w:val="Refdenotaalpie"/>
          <w:rFonts w:ascii="Verdana" w:hAnsi="Verdana"/>
        </w:rPr>
        <w:footnoteReference w:id="43"/>
      </w:r>
      <w:r w:rsidRPr="009631AB">
        <w:rPr>
          <w:szCs w:val="20"/>
        </w:rPr>
        <w:t xml:space="preserve">. </w:t>
      </w:r>
      <w:r w:rsidR="008D3984">
        <w:rPr>
          <w:szCs w:val="20"/>
        </w:rPr>
        <w:t>La Corte no tiene constancia de la fecha en la cual e</w:t>
      </w:r>
      <w:r w:rsidR="007D0CAB" w:rsidRPr="009631AB">
        <w:rPr>
          <w:szCs w:val="20"/>
        </w:rPr>
        <w:t xml:space="preserve">l señor Montesinos fue puesto en libertad. </w:t>
      </w:r>
    </w:p>
    <w:p w14:paraId="68D004DA" w14:textId="77777777" w:rsidR="009128C2" w:rsidRPr="009631AB" w:rsidRDefault="009128C2" w:rsidP="00734B53">
      <w:pPr>
        <w:spacing w:after="0" w:line="240" w:lineRule="auto"/>
        <w:rPr>
          <w:szCs w:val="20"/>
        </w:rPr>
      </w:pPr>
    </w:p>
    <w:p w14:paraId="0F5709AC" w14:textId="77777777" w:rsidR="009128C2" w:rsidRPr="009631AB" w:rsidRDefault="009128C2" w:rsidP="00CE48C8">
      <w:pPr>
        <w:pStyle w:val="Ttulo2"/>
      </w:pPr>
      <w:bookmarkStart w:id="100" w:name="_Toc27069889"/>
      <w:r w:rsidRPr="009631AB">
        <w:t>Sobre los delitos de enriquecimiento ilícito y conversión y transferencia de bienes (artículos 76 y 77 de la Ley de Estupefacientes y Sustancias Psicotrópicas)</w:t>
      </w:r>
      <w:bookmarkEnd w:id="100"/>
      <w:r w:rsidRPr="009631AB">
        <w:t xml:space="preserve"> </w:t>
      </w:r>
    </w:p>
    <w:p w14:paraId="191AC33C" w14:textId="77777777" w:rsidR="009128C2" w:rsidRPr="009631AB" w:rsidRDefault="009128C2" w:rsidP="00734B53">
      <w:pPr>
        <w:pStyle w:val="Prrafodelista"/>
        <w:contextualSpacing w:val="0"/>
        <w:rPr>
          <w:b/>
          <w:i/>
          <w:szCs w:val="20"/>
        </w:rPr>
      </w:pPr>
    </w:p>
    <w:p w14:paraId="32C08DAB" w14:textId="77777777" w:rsidR="009128C2" w:rsidRPr="00587147" w:rsidRDefault="009128C2" w:rsidP="00734B53">
      <w:pPr>
        <w:spacing w:after="0" w:line="240" w:lineRule="auto"/>
        <w:ind w:left="851" w:hanging="142"/>
        <w:jc w:val="both"/>
        <w:rPr>
          <w:b/>
          <w:i/>
          <w:szCs w:val="20"/>
        </w:rPr>
      </w:pPr>
      <w:r w:rsidRPr="00587147">
        <w:rPr>
          <w:b/>
          <w:i/>
          <w:szCs w:val="20"/>
        </w:rPr>
        <w:t>C.1 Del delito de enriquecimiento ilícito</w:t>
      </w:r>
    </w:p>
    <w:p w14:paraId="2007ADCB" w14:textId="77777777" w:rsidR="009128C2" w:rsidRPr="009631AB" w:rsidRDefault="009128C2" w:rsidP="00734B53">
      <w:pPr>
        <w:spacing w:after="0" w:line="240" w:lineRule="auto"/>
        <w:ind w:left="851" w:hanging="142"/>
        <w:jc w:val="both"/>
        <w:rPr>
          <w:i/>
          <w:szCs w:val="20"/>
        </w:rPr>
      </w:pPr>
    </w:p>
    <w:p w14:paraId="61A301F6" w14:textId="4A8337B1" w:rsidR="009128C2" w:rsidRPr="009631AB" w:rsidRDefault="009128C2" w:rsidP="00734B53">
      <w:pPr>
        <w:pStyle w:val="Prrafodelista"/>
        <w:numPr>
          <w:ilvl w:val="0"/>
          <w:numId w:val="4"/>
        </w:numPr>
        <w:contextualSpacing w:val="0"/>
        <w:rPr>
          <w:szCs w:val="20"/>
        </w:rPr>
      </w:pPr>
      <w:r w:rsidRPr="009631AB">
        <w:rPr>
          <w:szCs w:val="20"/>
        </w:rPr>
        <w:t xml:space="preserve"> El 30 de noviembre de 1992 la Corte Superior de Quito dictó auto cabeza de </w:t>
      </w:r>
      <w:r w:rsidR="00CE48C8" w:rsidRPr="009631AB">
        <w:rPr>
          <w:szCs w:val="20"/>
        </w:rPr>
        <w:t>proceso</w:t>
      </w:r>
      <w:r w:rsidRPr="009631AB">
        <w:rPr>
          <w:szCs w:val="20"/>
        </w:rPr>
        <w:t xml:space="preserve"> en contra del señor Montesinos (y otros)</w:t>
      </w:r>
      <w:r w:rsidR="00A83BED" w:rsidRPr="009631AB">
        <w:rPr>
          <w:szCs w:val="20"/>
        </w:rPr>
        <w:t xml:space="preserve"> por presuntamente haber actuado como complice y encubridor del delito de enriquecimiento ilícito</w:t>
      </w:r>
      <w:r w:rsidRPr="009631AB">
        <w:rPr>
          <w:szCs w:val="20"/>
        </w:rPr>
        <w:t xml:space="preserve">. </w:t>
      </w:r>
      <w:r w:rsidR="00E45B8D" w:rsidRPr="009631AB">
        <w:rPr>
          <w:szCs w:val="20"/>
        </w:rPr>
        <w:t>Así,</w:t>
      </w:r>
      <w:r w:rsidR="00A83BED" w:rsidRPr="009631AB">
        <w:rPr>
          <w:szCs w:val="20"/>
        </w:rPr>
        <w:t xml:space="preserve"> consideró que la policia había logrado</w:t>
      </w:r>
      <w:r w:rsidRPr="009631AB">
        <w:rPr>
          <w:szCs w:val="20"/>
        </w:rPr>
        <w:t xml:space="preserve"> establecer el mecanismo utilizado por la organización delictiva a la que</w:t>
      </w:r>
      <w:r w:rsidR="00E45B8D" w:rsidRPr="009631AB">
        <w:rPr>
          <w:szCs w:val="20"/>
        </w:rPr>
        <w:t xml:space="preserve"> presuntamente</w:t>
      </w:r>
      <w:r w:rsidRPr="009631AB">
        <w:rPr>
          <w:szCs w:val="20"/>
        </w:rPr>
        <w:t xml:space="preserve"> pertenecía</w:t>
      </w:r>
      <w:r w:rsidR="00E45B8D" w:rsidRPr="009631AB">
        <w:rPr>
          <w:szCs w:val="20"/>
        </w:rPr>
        <w:t xml:space="preserve"> el señor Montesinos</w:t>
      </w:r>
      <w:r w:rsidRPr="009631AB">
        <w:rPr>
          <w:szCs w:val="20"/>
        </w:rPr>
        <w:t xml:space="preserve">, para lograr el enriquecimiento ilícito y transferencia de dinero producto </w:t>
      </w:r>
      <w:r w:rsidR="00E45B8D" w:rsidRPr="009631AB">
        <w:rPr>
          <w:szCs w:val="20"/>
        </w:rPr>
        <w:t>del</w:t>
      </w:r>
      <w:r w:rsidRPr="009631AB">
        <w:rPr>
          <w:szCs w:val="20"/>
        </w:rPr>
        <w:t xml:space="preserve"> narcotráfico</w:t>
      </w:r>
      <w:r w:rsidRPr="009631AB">
        <w:rPr>
          <w:rStyle w:val="Refdenotaalpie"/>
          <w:rFonts w:ascii="Verdana" w:hAnsi="Verdana"/>
        </w:rPr>
        <w:footnoteReference w:id="44"/>
      </w:r>
      <w:r w:rsidRPr="009631AB">
        <w:rPr>
          <w:szCs w:val="20"/>
        </w:rPr>
        <w:t xml:space="preserve">. </w:t>
      </w:r>
    </w:p>
    <w:p w14:paraId="458F2391" w14:textId="77777777" w:rsidR="009128C2" w:rsidRPr="009631AB" w:rsidRDefault="009128C2" w:rsidP="00734B53">
      <w:pPr>
        <w:pStyle w:val="Prrafodelista"/>
        <w:ind w:left="0"/>
        <w:contextualSpacing w:val="0"/>
        <w:rPr>
          <w:szCs w:val="20"/>
        </w:rPr>
      </w:pPr>
    </w:p>
    <w:p w14:paraId="1F544C6B" w14:textId="26FC53B9" w:rsidR="009128C2" w:rsidRPr="009631AB" w:rsidRDefault="009128C2" w:rsidP="00734B53">
      <w:pPr>
        <w:pStyle w:val="Prrafodelista"/>
        <w:numPr>
          <w:ilvl w:val="0"/>
          <w:numId w:val="4"/>
        </w:numPr>
        <w:contextualSpacing w:val="0"/>
        <w:rPr>
          <w:szCs w:val="20"/>
        </w:rPr>
      </w:pPr>
      <w:r w:rsidRPr="009631AB">
        <w:rPr>
          <w:szCs w:val="20"/>
        </w:rPr>
        <w:t>El 22 de noviembre de 1996 la Presidencia de la Corte Superior de Justicia declaró abierta la etapa plenaria en contra del señor Montesinos</w:t>
      </w:r>
      <w:r w:rsidRPr="009631AB">
        <w:rPr>
          <w:rStyle w:val="Refdenotaalpie"/>
          <w:rFonts w:ascii="Verdana" w:hAnsi="Verdana"/>
        </w:rPr>
        <w:footnoteReference w:id="45"/>
      </w:r>
      <w:r w:rsidRPr="009631AB">
        <w:rPr>
          <w:szCs w:val="20"/>
        </w:rPr>
        <w:t xml:space="preserve"> y determinó su “presunta responsabilidad” como coautor del delito de enriquecimiento ilícito. Además, confirmó la prisión preventiva y la incautación de todos los bienes, dineros, y demás valores que hubiesen sido utilizados o producto de la comisión del delito</w:t>
      </w:r>
      <w:r w:rsidRPr="009631AB">
        <w:rPr>
          <w:rStyle w:val="Refdenotaalpie"/>
          <w:rFonts w:ascii="Verdana" w:hAnsi="Verdana"/>
        </w:rPr>
        <w:footnoteReference w:id="46"/>
      </w:r>
      <w:r w:rsidRPr="009631AB">
        <w:rPr>
          <w:szCs w:val="20"/>
        </w:rPr>
        <w:t xml:space="preserve">. </w:t>
      </w:r>
    </w:p>
    <w:p w14:paraId="00045714" w14:textId="77777777" w:rsidR="009128C2" w:rsidRPr="009631AB" w:rsidRDefault="009128C2" w:rsidP="00734B53">
      <w:pPr>
        <w:pStyle w:val="Prrafodelista"/>
        <w:contextualSpacing w:val="0"/>
        <w:rPr>
          <w:szCs w:val="20"/>
        </w:rPr>
      </w:pPr>
    </w:p>
    <w:p w14:paraId="418D4234" w14:textId="4FE2BCF7" w:rsidR="009128C2" w:rsidRPr="009631AB" w:rsidRDefault="00E45B8D" w:rsidP="00734B53">
      <w:pPr>
        <w:pStyle w:val="Prrafodelista"/>
        <w:numPr>
          <w:ilvl w:val="0"/>
          <w:numId w:val="4"/>
        </w:numPr>
        <w:contextualSpacing w:val="0"/>
        <w:rPr>
          <w:szCs w:val="20"/>
        </w:rPr>
      </w:pPr>
      <w:r w:rsidRPr="009631AB">
        <w:rPr>
          <w:szCs w:val="20"/>
        </w:rPr>
        <w:t xml:space="preserve">Contra </w:t>
      </w:r>
      <w:r w:rsidR="009128C2" w:rsidRPr="009631AB">
        <w:rPr>
          <w:szCs w:val="20"/>
        </w:rPr>
        <w:t>dicha apertura de plenario el señor Montesinos interpuso un recurso de apelación</w:t>
      </w:r>
      <w:r w:rsidRPr="009631AB">
        <w:rPr>
          <w:szCs w:val="20"/>
        </w:rPr>
        <w:t xml:space="preserve">, el cual </w:t>
      </w:r>
      <w:r w:rsidR="009128C2" w:rsidRPr="009631AB">
        <w:rPr>
          <w:szCs w:val="20"/>
        </w:rPr>
        <w:t>fue aceptado a trámite el 3 de diciembre de 1996</w:t>
      </w:r>
      <w:r w:rsidR="009128C2" w:rsidRPr="009631AB">
        <w:rPr>
          <w:rStyle w:val="Refdenotaalpie"/>
          <w:rFonts w:ascii="Verdana" w:hAnsi="Verdana"/>
        </w:rPr>
        <w:footnoteReference w:id="47"/>
      </w:r>
      <w:r w:rsidR="009128C2" w:rsidRPr="009631AB">
        <w:rPr>
          <w:szCs w:val="20"/>
        </w:rPr>
        <w:t>.</w:t>
      </w:r>
    </w:p>
    <w:p w14:paraId="6331979C" w14:textId="77777777" w:rsidR="009128C2" w:rsidRPr="009631AB" w:rsidRDefault="009128C2" w:rsidP="00734B53">
      <w:pPr>
        <w:pStyle w:val="Prrafodelista"/>
        <w:contextualSpacing w:val="0"/>
        <w:rPr>
          <w:szCs w:val="20"/>
        </w:rPr>
      </w:pPr>
    </w:p>
    <w:p w14:paraId="009237C2" w14:textId="37C43106" w:rsidR="009128C2" w:rsidRPr="009631AB" w:rsidRDefault="009128C2" w:rsidP="00734B53">
      <w:pPr>
        <w:pStyle w:val="Prrafodelista"/>
        <w:numPr>
          <w:ilvl w:val="0"/>
          <w:numId w:val="4"/>
        </w:numPr>
        <w:contextualSpacing w:val="0"/>
        <w:rPr>
          <w:szCs w:val="20"/>
        </w:rPr>
      </w:pPr>
      <w:r w:rsidRPr="009631AB">
        <w:rPr>
          <w:szCs w:val="20"/>
        </w:rPr>
        <w:t xml:space="preserve">El 7 de mayo de 1998 la Cuarta Sala de Conjueces de la Corte Superior de Justicia de Quito tuvo conocimiento del recurso interpuesto por el señor Montesinos </w:t>
      </w:r>
      <w:r w:rsidR="00CE48C8" w:rsidRPr="009631AB">
        <w:rPr>
          <w:szCs w:val="20"/>
        </w:rPr>
        <w:t xml:space="preserve">y </w:t>
      </w:r>
      <w:r w:rsidRPr="009631AB">
        <w:rPr>
          <w:szCs w:val="20"/>
        </w:rPr>
        <w:t>dictó auto de sobreseimiento definitivo del proceso</w:t>
      </w:r>
      <w:r w:rsidRPr="009631AB">
        <w:rPr>
          <w:rStyle w:val="Refdenotaalpie"/>
          <w:rFonts w:ascii="Verdana" w:hAnsi="Verdana"/>
        </w:rPr>
        <w:footnoteReference w:id="48"/>
      </w:r>
      <w:r w:rsidRPr="009631AB">
        <w:rPr>
          <w:szCs w:val="20"/>
        </w:rPr>
        <w:t xml:space="preserve">. </w:t>
      </w:r>
    </w:p>
    <w:p w14:paraId="3C0A3752" w14:textId="77777777" w:rsidR="009128C2" w:rsidRPr="009631AB" w:rsidRDefault="009128C2" w:rsidP="00E5050D">
      <w:pPr>
        <w:pStyle w:val="Prrafodelista"/>
        <w:ind w:left="0"/>
        <w:contextualSpacing w:val="0"/>
        <w:rPr>
          <w:szCs w:val="20"/>
        </w:rPr>
      </w:pPr>
    </w:p>
    <w:p w14:paraId="6EF91970" w14:textId="77777777" w:rsidR="009128C2" w:rsidRPr="00587147" w:rsidRDefault="009128C2" w:rsidP="00734B53">
      <w:pPr>
        <w:pStyle w:val="Prrafodelista"/>
        <w:contextualSpacing w:val="0"/>
        <w:rPr>
          <w:b/>
          <w:szCs w:val="20"/>
        </w:rPr>
      </w:pPr>
      <w:r w:rsidRPr="00587147">
        <w:rPr>
          <w:b/>
          <w:i/>
          <w:szCs w:val="20"/>
        </w:rPr>
        <w:t xml:space="preserve">C.2 Del delito de conversión y transferencia de bienes </w:t>
      </w:r>
    </w:p>
    <w:p w14:paraId="6551C922" w14:textId="77777777" w:rsidR="009128C2" w:rsidRPr="009631AB" w:rsidRDefault="009128C2" w:rsidP="00734B53">
      <w:pPr>
        <w:pStyle w:val="Prrafodelista"/>
        <w:ind w:left="0"/>
        <w:contextualSpacing w:val="0"/>
        <w:rPr>
          <w:szCs w:val="20"/>
        </w:rPr>
      </w:pPr>
    </w:p>
    <w:p w14:paraId="1C252297" w14:textId="4F1AB205" w:rsidR="00680DCF" w:rsidRPr="009631AB" w:rsidRDefault="009128C2" w:rsidP="00E5050D">
      <w:pPr>
        <w:pStyle w:val="Prrafodelista"/>
        <w:numPr>
          <w:ilvl w:val="0"/>
          <w:numId w:val="4"/>
        </w:numPr>
        <w:contextualSpacing w:val="0"/>
        <w:rPr>
          <w:szCs w:val="20"/>
        </w:rPr>
      </w:pPr>
      <w:r w:rsidRPr="009631AB">
        <w:rPr>
          <w:szCs w:val="20"/>
        </w:rPr>
        <w:t xml:space="preserve">El 30 de noviembre de 1992 la Corte Superior de Quito </w:t>
      </w:r>
      <w:r w:rsidR="00E45B8D" w:rsidRPr="009631AB">
        <w:rPr>
          <w:szCs w:val="20"/>
        </w:rPr>
        <w:t xml:space="preserve">dictó </w:t>
      </w:r>
      <w:r w:rsidRPr="009631AB">
        <w:rPr>
          <w:szCs w:val="20"/>
        </w:rPr>
        <w:t>auto cabeza de proceso</w:t>
      </w:r>
      <w:r w:rsidR="00E45B8D" w:rsidRPr="009631AB">
        <w:rPr>
          <w:szCs w:val="20"/>
        </w:rPr>
        <w:t xml:space="preserve"> en contra del señor Montesinos, al considerar </w:t>
      </w:r>
      <w:r w:rsidRPr="009631AB">
        <w:rPr>
          <w:szCs w:val="20"/>
        </w:rPr>
        <w:t xml:space="preserve">que existían graves </w:t>
      </w:r>
      <w:r w:rsidR="00E45B8D" w:rsidRPr="009631AB">
        <w:rPr>
          <w:szCs w:val="20"/>
        </w:rPr>
        <w:t xml:space="preserve">indicios sobre su participación como cómplice y encubridor </w:t>
      </w:r>
      <w:r w:rsidRPr="009631AB">
        <w:rPr>
          <w:szCs w:val="20"/>
        </w:rPr>
        <w:t>del delito de conversión o transferencia de bienes</w:t>
      </w:r>
      <w:r w:rsidR="00E45B8D" w:rsidRPr="009631AB">
        <w:rPr>
          <w:szCs w:val="20"/>
        </w:rPr>
        <w:t>. En dicha resolución se</w:t>
      </w:r>
      <w:r w:rsidRPr="009631AB">
        <w:rPr>
          <w:szCs w:val="20"/>
        </w:rPr>
        <w:t xml:space="preserve"> ordenó</w:t>
      </w:r>
      <w:r w:rsidR="00E45B8D" w:rsidRPr="009631AB">
        <w:rPr>
          <w:szCs w:val="20"/>
        </w:rPr>
        <w:t>, además, la</w:t>
      </w:r>
      <w:r w:rsidRPr="009631AB">
        <w:rPr>
          <w:szCs w:val="20"/>
        </w:rPr>
        <w:t xml:space="preserve"> prisión preventiva </w:t>
      </w:r>
      <w:r w:rsidR="00E45B8D" w:rsidRPr="009631AB">
        <w:rPr>
          <w:szCs w:val="20"/>
        </w:rPr>
        <w:t>del señor Montesinos y la</w:t>
      </w:r>
      <w:r w:rsidRPr="009631AB">
        <w:rPr>
          <w:szCs w:val="20"/>
        </w:rPr>
        <w:t xml:space="preserve"> incautación de</w:t>
      </w:r>
      <w:r w:rsidR="00E45B8D" w:rsidRPr="009631AB">
        <w:rPr>
          <w:szCs w:val="20"/>
        </w:rPr>
        <w:t xml:space="preserve"> sus</w:t>
      </w:r>
      <w:r w:rsidRPr="009631AB">
        <w:rPr>
          <w:szCs w:val="20"/>
        </w:rPr>
        <w:t xml:space="preserve"> bienes muebles e inmuebles</w:t>
      </w:r>
      <w:r w:rsidRPr="009631AB">
        <w:rPr>
          <w:rStyle w:val="Refdenotaalpie"/>
          <w:rFonts w:ascii="Verdana" w:hAnsi="Verdana"/>
        </w:rPr>
        <w:footnoteReference w:id="49"/>
      </w:r>
      <w:r w:rsidRPr="009631AB">
        <w:rPr>
          <w:szCs w:val="20"/>
        </w:rPr>
        <w:t xml:space="preserve">. </w:t>
      </w:r>
    </w:p>
    <w:p w14:paraId="6FCD1580" w14:textId="77777777" w:rsidR="00680DCF" w:rsidRPr="009631AB" w:rsidRDefault="00680DCF" w:rsidP="00E5050D">
      <w:pPr>
        <w:pStyle w:val="Prrafodelista"/>
        <w:ind w:left="0"/>
        <w:contextualSpacing w:val="0"/>
        <w:rPr>
          <w:szCs w:val="20"/>
        </w:rPr>
      </w:pPr>
    </w:p>
    <w:p w14:paraId="57A0B989" w14:textId="4EA0BBBB" w:rsidR="00E5050D" w:rsidRPr="009631AB" w:rsidRDefault="009128C2" w:rsidP="00E5050D">
      <w:pPr>
        <w:pStyle w:val="Prrafodelista"/>
        <w:numPr>
          <w:ilvl w:val="0"/>
          <w:numId w:val="4"/>
        </w:numPr>
        <w:contextualSpacing w:val="0"/>
      </w:pPr>
      <w:r w:rsidRPr="009631AB">
        <w:t>El 30 de septiembre de 1996</w:t>
      </w:r>
      <w:r w:rsidR="00CD1EC5" w:rsidRPr="009631AB">
        <w:t>,</w:t>
      </w:r>
      <w:r w:rsidRPr="009631AB">
        <w:t xml:space="preserve"> la Corte Superior de Quito declaró abierta la etapa de plenario</w:t>
      </w:r>
      <w:r w:rsidRPr="009631AB">
        <w:rPr>
          <w:rStyle w:val="Refdenotaalpie"/>
          <w:rFonts w:ascii="Verdana" w:hAnsi="Verdana"/>
        </w:rPr>
        <w:footnoteReference w:id="50"/>
      </w:r>
      <w:r w:rsidR="00CD1EC5" w:rsidRPr="009631AB">
        <w:t xml:space="preserve">. En dicha resolución dispuso </w:t>
      </w:r>
      <w:r w:rsidR="000537B6">
        <w:t xml:space="preserve">que </w:t>
      </w:r>
      <w:r w:rsidR="00CD1EC5" w:rsidRPr="009631AB">
        <w:t>se mant</w:t>
      </w:r>
      <w:r w:rsidR="000537B6">
        <w:t>uviera</w:t>
      </w:r>
      <w:r w:rsidR="00CD1EC5" w:rsidRPr="009631AB">
        <w:t xml:space="preserve"> la prisión preventiva en contra del señor Montesinos y la tramitación del juicio </w:t>
      </w:r>
      <w:r w:rsidR="00E45B8D" w:rsidRPr="009631AB">
        <w:t>en su contra</w:t>
      </w:r>
      <w:r w:rsidR="00CD1EC5" w:rsidRPr="009631AB">
        <w:t>,</w:t>
      </w:r>
      <w:r w:rsidR="00E45B8D" w:rsidRPr="009631AB">
        <w:t xml:space="preserve"> </w:t>
      </w:r>
      <w:r w:rsidR="00CD1EC5" w:rsidRPr="009631AB">
        <w:t>por presuntamente haber sido</w:t>
      </w:r>
      <w:r w:rsidRPr="009631AB">
        <w:t xml:space="preserve"> coautor del delito de conversión y transferencia bienes</w:t>
      </w:r>
      <w:r w:rsidRPr="009631AB">
        <w:rPr>
          <w:rStyle w:val="Refdenotaalpie"/>
          <w:rFonts w:ascii="Verdana" w:hAnsi="Verdana"/>
        </w:rPr>
        <w:footnoteReference w:id="51"/>
      </w:r>
      <w:r w:rsidRPr="009631AB">
        <w:t>.</w:t>
      </w:r>
      <w:r w:rsidR="00820CCE" w:rsidRPr="009631AB">
        <w:t xml:space="preserve"> </w:t>
      </w:r>
      <w:r w:rsidR="00680DCF" w:rsidRPr="009631AB">
        <w:t>Contra dicha apertura a</w:t>
      </w:r>
      <w:r w:rsidR="00820CCE" w:rsidRPr="009631AB">
        <w:t xml:space="preserve"> </w:t>
      </w:r>
      <w:r w:rsidR="00680DCF" w:rsidRPr="009631AB">
        <w:t xml:space="preserve">la etapa de </w:t>
      </w:r>
      <w:r w:rsidR="00820CCE" w:rsidRPr="009631AB">
        <w:t>plenario el señor Montesinos interpuso recurso de apelación</w:t>
      </w:r>
      <w:r w:rsidR="00820CCE" w:rsidRPr="009631AB">
        <w:rPr>
          <w:rStyle w:val="Refdenotaalpie"/>
          <w:rFonts w:ascii="Verdana" w:hAnsi="Verdana"/>
        </w:rPr>
        <w:footnoteReference w:id="52"/>
      </w:r>
      <w:r w:rsidR="00820CCE" w:rsidRPr="009631AB">
        <w:t>.</w:t>
      </w:r>
    </w:p>
    <w:p w14:paraId="17543772" w14:textId="77777777" w:rsidR="00E5050D" w:rsidRPr="009631AB" w:rsidRDefault="00E5050D" w:rsidP="00E5050D">
      <w:pPr>
        <w:pStyle w:val="Prrafodelista"/>
        <w:rPr>
          <w:szCs w:val="20"/>
        </w:rPr>
      </w:pPr>
    </w:p>
    <w:p w14:paraId="34AD31BE" w14:textId="0DEAE6F0" w:rsidR="009128C2" w:rsidRPr="009631AB" w:rsidRDefault="009128C2" w:rsidP="00E5050D">
      <w:pPr>
        <w:pStyle w:val="Prrafodelista"/>
        <w:numPr>
          <w:ilvl w:val="0"/>
          <w:numId w:val="4"/>
        </w:numPr>
        <w:contextualSpacing w:val="0"/>
      </w:pPr>
      <w:r w:rsidRPr="009631AB">
        <w:rPr>
          <w:szCs w:val="20"/>
        </w:rPr>
        <w:t xml:space="preserve">La </w:t>
      </w:r>
      <w:r w:rsidR="00CE48C8" w:rsidRPr="009631AB">
        <w:rPr>
          <w:szCs w:val="20"/>
        </w:rPr>
        <w:t xml:space="preserve">Sala Cuarta de la </w:t>
      </w:r>
      <w:r w:rsidRPr="009631AB">
        <w:rPr>
          <w:szCs w:val="20"/>
        </w:rPr>
        <w:t>Corte Superior de Justicia</w:t>
      </w:r>
      <w:r w:rsidR="00680DCF" w:rsidRPr="009631AB">
        <w:rPr>
          <w:szCs w:val="20"/>
        </w:rPr>
        <w:t>,</w:t>
      </w:r>
      <w:r w:rsidR="00012192" w:rsidRPr="009631AB">
        <w:rPr>
          <w:szCs w:val="20"/>
        </w:rPr>
        <w:t xml:space="preserve"> mediante resolución</w:t>
      </w:r>
      <w:r w:rsidR="001B465D">
        <w:rPr>
          <w:szCs w:val="20"/>
        </w:rPr>
        <w:t xml:space="preserve"> </w:t>
      </w:r>
      <w:r w:rsidR="00012192" w:rsidRPr="009631AB">
        <w:rPr>
          <w:szCs w:val="20"/>
        </w:rPr>
        <w:t>d</w:t>
      </w:r>
      <w:r w:rsidRPr="009631AB">
        <w:rPr>
          <w:szCs w:val="20"/>
        </w:rPr>
        <w:t>el 29 de abril de 1998</w:t>
      </w:r>
      <w:r w:rsidR="00680DCF" w:rsidRPr="009631AB">
        <w:rPr>
          <w:szCs w:val="20"/>
        </w:rPr>
        <w:t>,</w:t>
      </w:r>
      <w:r w:rsidRPr="009631AB">
        <w:rPr>
          <w:szCs w:val="20"/>
        </w:rPr>
        <w:t xml:space="preserve"> </w:t>
      </w:r>
      <w:r w:rsidR="00680DCF" w:rsidRPr="009631AB">
        <w:rPr>
          <w:szCs w:val="20"/>
        </w:rPr>
        <w:t>aceptó el recurso de apelación y</w:t>
      </w:r>
      <w:r w:rsidR="00012192" w:rsidRPr="009631AB">
        <w:rPr>
          <w:szCs w:val="20"/>
        </w:rPr>
        <w:t xml:space="preserve"> </w:t>
      </w:r>
      <w:r w:rsidR="00680DCF" w:rsidRPr="009631AB">
        <w:rPr>
          <w:szCs w:val="20"/>
        </w:rPr>
        <w:t>dictó auto de sobreseimiento definitivo a favor del señor Montesinos</w:t>
      </w:r>
      <w:r w:rsidR="00680DCF" w:rsidRPr="009631AB">
        <w:rPr>
          <w:rStyle w:val="Refdenotaalpie"/>
          <w:rFonts w:ascii="Verdana" w:hAnsi="Verdana"/>
        </w:rPr>
        <w:footnoteReference w:id="53"/>
      </w:r>
      <w:r w:rsidR="00680DCF" w:rsidRPr="009631AB">
        <w:rPr>
          <w:szCs w:val="20"/>
        </w:rPr>
        <w:t>.</w:t>
      </w:r>
      <w:r w:rsidRPr="009631AB">
        <w:rPr>
          <w:szCs w:val="20"/>
        </w:rPr>
        <w:t xml:space="preserve"> </w:t>
      </w:r>
      <w:r w:rsidR="00CD1EC5" w:rsidRPr="009631AB">
        <w:rPr>
          <w:szCs w:val="20"/>
        </w:rPr>
        <w:t>En esta resolución la Corte Superior</w:t>
      </w:r>
      <w:r w:rsidR="00680DCF" w:rsidRPr="009631AB">
        <w:rPr>
          <w:szCs w:val="20"/>
        </w:rPr>
        <w:t xml:space="preserve"> d</w:t>
      </w:r>
      <w:r w:rsidRPr="009631AB">
        <w:rPr>
          <w:szCs w:val="20"/>
        </w:rPr>
        <w:t xml:space="preserve">eterminó que </w:t>
      </w:r>
      <w:r w:rsidR="00680DCF" w:rsidRPr="009631AB">
        <w:rPr>
          <w:szCs w:val="20"/>
        </w:rPr>
        <w:t>no se había justificado</w:t>
      </w:r>
      <w:r w:rsidRPr="009631AB">
        <w:rPr>
          <w:szCs w:val="20"/>
        </w:rPr>
        <w:t xml:space="preserve"> la tipicidad contemplada en el artículo 77 de la Ley de Estupefacientes y Sustancias Psicotrópicas, </w:t>
      </w:r>
      <w:r w:rsidR="00012192" w:rsidRPr="009631AB">
        <w:rPr>
          <w:szCs w:val="20"/>
        </w:rPr>
        <w:t>pues el delito</w:t>
      </w:r>
      <w:r w:rsidR="00680DCF" w:rsidRPr="009631AB">
        <w:rPr>
          <w:rFonts w:eastAsia="SimSun" w:cstheme="minorBidi"/>
          <w:noProof w:val="0"/>
          <w:szCs w:val="20"/>
          <w:lang w:val="es-CR"/>
        </w:rPr>
        <w:t xml:space="preserve"> de conversión y transferencia de bienes es un acto típico consecuente del delito principal de narcotráfico</w:t>
      </w:r>
      <w:r w:rsidR="00CD1EC5" w:rsidRPr="009631AB">
        <w:rPr>
          <w:rFonts w:eastAsia="SimSun" w:cstheme="minorBidi"/>
          <w:noProof w:val="0"/>
          <w:szCs w:val="20"/>
          <w:lang w:val="es-CR"/>
        </w:rPr>
        <w:t xml:space="preserve"> y</w:t>
      </w:r>
      <w:r w:rsidR="00680DCF" w:rsidRPr="009631AB">
        <w:rPr>
          <w:rFonts w:eastAsia="SimSun" w:cstheme="minorBidi"/>
          <w:noProof w:val="0"/>
          <w:szCs w:val="20"/>
          <w:lang w:val="es-CR"/>
        </w:rPr>
        <w:t xml:space="preserve"> no concurrente con éste. Así, al comprobar que no existía constancia procesal que dem</w:t>
      </w:r>
      <w:r w:rsidR="000537B6">
        <w:rPr>
          <w:rFonts w:eastAsia="SimSun" w:cstheme="minorBidi"/>
          <w:noProof w:val="0"/>
          <w:szCs w:val="20"/>
          <w:lang w:val="es-CR"/>
        </w:rPr>
        <w:t>o</w:t>
      </w:r>
      <w:r w:rsidR="00680DCF" w:rsidRPr="009631AB">
        <w:rPr>
          <w:rFonts w:eastAsia="SimSun" w:cstheme="minorBidi"/>
          <w:noProof w:val="0"/>
          <w:szCs w:val="20"/>
          <w:lang w:val="es-CR"/>
        </w:rPr>
        <w:t>str</w:t>
      </w:r>
      <w:r w:rsidR="000537B6">
        <w:rPr>
          <w:rFonts w:eastAsia="SimSun" w:cstheme="minorBidi"/>
          <w:noProof w:val="0"/>
          <w:szCs w:val="20"/>
          <w:lang w:val="es-CR"/>
        </w:rPr>
        <w:t>ara</w:t>
      </w:r>
      <w:r w:rsidR="00680DCF" w:rsidRPr="009631AB">
        <w:rPr>
          <w:rFonts w:eastAsia="SimSun" w:cstheme="minorBidi"/>
          <w:noProof w:val="0"/>
          <w:szCs w:val="20"/>
          <w:lang w:val="es-CR"/>
        </w:rPr>
        <w:t xml:space="preserve"> que los acusados </w:t>
      </w:r>
      <w:r w:rsidR="00012192" w:rsidRPr="009631AB">
        <w:rPr>
          <w:szCs w:val="20"/>
        </w:rPr>
        <w:t>habían sido</w:t>
      </w:r>
      <w:r w:rsidR="00680DCF" w:rsidRPr="009631AB">
        <w:rPr>
          <w:rFonts w:eastAsia="SimSun" w:cstheme="minorBidi"/>
          <w:noProof w:val="0"/>
          <w:szCs w:val="20"/>
          <w:lang w:val="es-CR"/>
        </w:rPr>
        <w:t xml:space="preserve"> condenados por el delito de narcotr</w:t>
      </w:r>
      <w:r w:rsidR="00012192" w:rsidRPr="009631AB">
        <w:rPr>
          <w:rFonts w:eastAsia="SimSun" w:cstheme="minorBidi"/>
          <w:noProof w:val="0"/>
          <w:szCs w:val="20"/>
          <w:lang w:val="es-CR"/>
        </w:rPr>
        <w:t xml:space="preserve">áfico, concluyó que no se </w:t>
      </w:r>
      <w:r w:rsidR="00012192" w:rsidRPr="009631AB">
        <w:rPr>
          <w:szCs w:val="20"/>
        </w:rPr>
        <w:t>había cumplido con este</w:t>
      </w:r>
      <w:r w:rsidR="00012192" w:rsidRPr="009631AB">
        <w:rPr>
          <w:rFonts w:eastAsia="SimSun" w:cstheme="minorBidi"/>
          <w:noProof w:val="0"/>
          <w:szCs w:val="20"/>
          <w:lang w:val="es-CR"/>
        </w:rPr>
        <w:t xml:space="preserve"> elemento fundamental</w:t>
      </w:r>
      <w:r w:rsidR="00012192" w:rsidRPr="009631AB">
        <w:rPr>
          <w:szCs w:val="20"/>
        </w:rPr>
        <w:t xml:space="preserve"> para el inicio del proceso penal por el delito de conversión y transferencia de bienes</w:t>
      </w:r>
      <w:r w:rsidR="00680DCF" w:rsidRPr="009631AB">
        <w:rPr>
          <w:rStyle w:val="Refdenotaalpie"/>
          <w:rFonts w:ascii="Verdana" w:hAnsi="Verdana"/>
        </w:rPr>
        <w:footnoteReference w:id="54"/>
      </w:r>
      <w:r w:rsidR="00012192" w:rsidRPr="009631AB">
        <w:rPr>
          <w:szCs w:val="20"/>
        </w:rPr>
        <w:t>.</w:t>
      </w:r>
    </w:p>
    <w:p w14:paraId="735A06D5" w14:textId="77777777" w:rsidR="009128C2" w:rsidRPr="009631AB" w:rsidRDefault="009128C2" w:rsidP="00734B53">
      <w:pPr>
        <w:pStyle w:val="Prrafodelista"/>
        <w:contextualSpacing w:val="0"/>
        <w:rPr>
          <w:szCs w:val="20"/>
        </w:rPr>
      </w:pPr>
    </w:p>
    <w:p w14:paraId="5FC51E26" w14:textId="27E181B2" w:rsidR="009128C2" w:rsidRPr="009631AB" w:rsidRDefault="009128C2" w:rsidP="00CE48C8">
      <w:pPr>
        <w:pStyle w:val="Ttulo2"/>
      </w:pPr>
      <w:bookmarkStart w:id="101" w:name="_Toc27069890"/>
      <w:r w:rsidRPr="009631AB">
        <w:t xml:space="preserve">Sobre el delito de testaferrismo (artículo 78 de la Ley de Estupefacientes y Sustancias </w:t>
      </w:r>
      <w:r w:rsidR="008D3984">
        <w:t>P</w:t>
      </w:r>
      <w:r w:rsidRPr="009631AB">
        <w:t>sicotrópicas)</w:t>
      </w:r>
      <w:bookmarkEnd w:id="101"/>
      <w:r w:rsidRPr="009631AB">
        <w:t xml:space="preserve"> </w:t>
      </w:r>
    </w:p>
    <w:p w14:paraId="282292EA" w14:textId="77777777" w:rsidR="009128C2" w:rsidRPr="009631AB" w:rsidRDefault="009128C2" w:rsidP="00734B53">
      <w:pPr>
        <w:pStyle w:val="Prrafodelista"/>
        <w:contextualSpacing w:val="0"/>
        <w:rPr>
          <w:szCs w:val="20"/>
        </w:rPr>
      </w:pPr>
    </w:p>
    <w:p w14:paraId="516ADF31" w14:textId="0F48D1A2" w:rsidR="009128C2" w:rsidRPr="009631AB" w:rsidRDefault="009128C2" w:rsidP="00734B53">
      <w:pPr>
        <w:pStyle w:val="Prrafodelista"/>
        <w:numPr>
          <w:ilvl w:val="0"/>
          <w:numId w:val="4"/>
        </w:numPr>
        <w:contextualSpacing w:val="0"/>
        <w:rPr>
          <w:szCs w:val="20"/>
        </w:rPr>
      </w:pPr>
      <w:r w:rsidRPr="009631AB">
        <w:rPr>
          <w:szCs w:val="20"/>
        </w:rPr>
        <w:t>El 18 de noviembre de 1992 la Presidencia de la Corte Superior de Quito</w:t>
      </w:r>
      <w:r w:rsidR="00E5050D" w:rsidRPr="009631AB">
        <w:rPr>
          <w:szCs w:val="20"/>
        </w:rPr>
        <w:t xml:space="preserve"> </w:t>
      </w:r>
      <w:r w:rsidRPr="009631AB">
        <w:rPr>
          <w:szCs w:val="20"/>
        </w:rPr>
        <w:t>dictó auto cabeza de proceso</w:t>
      </w:r>
      <w:r w:rsidR="00767885" w:rsidRPr="009631AB">
        <w:rPr>
          <w:szCs w:val="20"/>
        </w:rPr>
        <w:t xml:space="preserve"> contra el señor Montesinos </w:t>
      </w:r>
      <w:r w:rsidRPr="009631AB">
        <w:rPr>
          <w:szCs w:val="20"/>
        </w:rPr>
        <w:t xml:space="preserve">y dispuso </w:t>
      </w:r>
      <w:r w:rsidR="00767885" w:rsidRPr="009631AB">
        <w:rPr>
          <w:szCs w:val="20"/>
        </w:rPr>
        <w:t>su</w:t>
      </w:r>
      <w:r w:rsidRPr="009631AB">
        <w:rPr>
          <w:szCs w:val="20"/>
        </w:rPr>
        <w:t xml:space="preserve"> prisión preventiva por haber</w:t>
      </w:r>
      <w:r w:rsidR="00767885" w:rsidRPr="009631AB">
        <w:rPr>
          <w:szCs w:val="20"/>
        </w:rPr>
        <w:t xml:space="preserve"> presuntamente</w:t>
      </w:r>
      <w:r w:rsidRPr="009631AB">
        <w:rPr>
          <w:szCs w:val="20"/>
        </w:rPr>
        <w:t xml:space="preserve"> realizado actividades de testaferrismo</w:t>
      </w:r>
      <w:r w:rsidR="00767885" w:rsidRPr="009631AB">
        <w:rPr>
          <w:szCs w:val="20"/>
        </w:rPr>
        <w:t xml:space="preserve"> para una organización criminal</w:t>
      </w:r>
      <w:r w:rsidRPr="009631AB">
        <w:rPr>
          <w:rStyle w:val="Refdenotaalpie"/>
          <w:rFonts w:ascii="Verdana" w:hAnsi="Verdana"/>
        </w:rPr>
        <w:footnoteReference w:id="55"/>
      </w:r>
      <w:r w:rsidRPr="009631AB">
        <w:rPr>
          <w:szCs w:val="20"/>
        </w:rPr>
        <w:t xml:space="preserve">. </w:t>
      </w:r>
    </w:p>
    <w:p w14:paraId="0C013FE2" w14:textId="77777777" w:rsidR="009128C2" w:rsidRPr="009631AB" w:rsidRDefault="009128C2" w:rsidP="00734B53">
      <w:pPr>
        <w:pStyle w:val="Prrafodelista"/>
        <w:ind w:left="0"/>
        <w:contextualSpacing w:val="0"/>
        <w:rPr>
          <w:szCs w:val="20"/>
        </w:rPr>
      </w:pPr>
    </w:p>
    <w:p w14:paraId="26FC75DA" w14:textId="27A94E23" w:rsidR="009128C2" w:rsidRPr="009631AB" w:rsidRDefault="001D34B1" w:rsidP="00734B53">
      <w:pPr>
        <w:pStyle w:val="Prrafodelista"/>
        <w:numPr>
          <w:ilvl w:val="0"/>
          <w:numId w:val="4"/>
        </w:numPr>
        <w:contextualSpacing w:val="0"/>
        <w:rPr>
          <w:b/>
          <w:i/>
          <w:szCs w:val="20"/>
        </w:rPr>
      </w:pPr>
      <w:r w:rsidRPr="009631AB">
        <w:rPr>
          <w:szCs w:val="20"/>
        </w:rPr>
        <w:t>Frente a lo anterior</w:t>
      </w:r>
      <w:r w:rsidR="009128C2" w:rsidRPr="009631AB">
        <w:rPr>
          <w:szCs w:val="20"/>
        </w:rPr>
        <w:t xml:space="preserve">, el señor Montesinos remitió una queja al Presidente </w:t>
      </w:r>
      <w:r w:rsidRPr="009631AB">
        <w:rPr>
          <w:szCs w:val="20"/>
        </w:rPr>
        <w:t xml:space="preserve">del Tribunal de Garantías Constitucionales </w:t>
      </w:r>
      <w:r w:rsidR="009128C2" w:rsidRPr="009631AB">
        <w:rPr>
          <w:szCs w:val="20"/>
        </w:rPr>
        <w:t xml:space="preserve">indicando haber sido perseguido </w:t>
      </w:r>
      <w:r w:rsidRPr="009631AB">
        <w:rPr>
          <w:szCs w:val="20"/>
        </w:rPr>
        <w:t xml:space="preserve">de forma ilegítima </w:t>
      </w:r>
      <w:r w:rsidR="009128C2" w:rsidRPr="009631AB">
        <w:rPr>
          <w:szCs w:val="20"/>
        </w:rPr>
        <w:t>por el delito de testaferrismo</w:t>
      </w:r>
      <w:r w:rsidRPr="009631AB">
        <w:rPr>
          <w:szCs w:val="20"/>
        </w:rPr>
        <w:t xml:space="preserve">, </w:t>
      </w:r>
      <w:r w:rsidR="004634B6" w:rsidRPr="009631AB">
        <w:rPr>
          <w:szCs w:val="20"/>
        </w:rPr>
        <w:t xml:space="preserve">presentando </w:t>
      </w:r>
      <w:r w:rsidRPr="009631AB">
        <w:rPr>
          <w:szCs w:val="20"/>
        </w:rPr>
        <w:t xml:space="preserve">como </w:t>
      </w:r>
      <w:r w:rsidR="009128C2" w:rsidRPr="009631AB">
        <w:rPr>
          <w:szCs w:val="20"/>
        </w:rPr>
        <w:t>prueba</w:t>
      </w:r>
      <w:r w:rsidRPr="009631AB">
        <w:rPr>
          <w:szCs w:val="20"/>
        </w:rPr>
        <w:t xml:space="preserve"> a su favor</w:t>
      </w:r>
      <w:r w:rsidR="009128C2" w:rsidRPr="009631AB">
        <w:rPr>
          <w:szCs w:val="20"/>
        </w:rPr>
        <w:t xml:space="preserve"> las escrituras de su propiedad</w:t>
      </w:r>
      <w:r w:rsidRPr="009631AB">
        <w:rPr>
          <w:szCs w:val="20"/>
        </w:rPr>
        <w:t>.</w:t>
      </w:r>
      <w:r w:rsidR="009128C2" w:rsidRPr="009631AB">
        <w:rPr>
          <w:szCs w:val="20"/>
        </w:rPr>
        <w:t xml:space="preserve"> </w:t>
      </w:r>
      <w:r w:rsidRPr="009631AB">
        <w:rPr>
          <w:szCs w:val="20"/>
        </w:rPr>
        <w:t>A</w:t>
      </w:r>
      <w:r w:rsidR="009128C2" w:rsidRPr="009631AB">
        <w:rPr>
          <w:szCs w:val="20"/>
        </w:rPr>
        <w:t>simismo</w:t>
      </w:r>
      <w:r w:rsidRPr="009631AB">
        <w:rPr>
          <w:szCs w:val="20"/>
        </w:rPr>
        <w:t>,</w:t>
      </w:r>
      <w:r w:rsidR="009128C2" w:rsidRPr="009631AB">
        <w:rPr>
          <w:szCs w:val="20"/>
        </w:rPr>
        <w:t xml:space="preserve"> agregó otros argumentos sobre los juicios que se realizaban en su contra por los delitos de enriquecimiento ilícito y conversión y transferencia de bienes</w:t>
      </w:r>
      <w:r w:rsidR="009128C2" w:rsidRPr="009631AB">
        <w:rPr>
          <w:rStyle w:val="Refdenotaalpie"/>
          <w:rFonts w:ascii="Verdana" w:hAnsi="Verdana"/>
        </w:rPr>
        <w:footnoteReference w:id="56"/>
      </w:r>
      <w:r w:rsidR="009128C2" w:rsidRPr="009631AB">
        <w:rPr>
          <w:szCs w:val="20"/>
        </w:rPr>
        <w:t>.</w:t>
      </w:r>
      <w:r w:rsidR="001B465D">
        <w:rPr>
          <w:szCs w:val="20"/>
        </w:rPr>
        <w:t xml:space="preserve"> </w:t>
      </w:r>
    </w:p>
    <w:p w14:paraId="3E42013D" w14:textId="77777777" w:rsidR="009128C2" w:rsidRPr="009631AB" w:rsidRDefault="009128C2" w:rsidP="00734B53">
      <w:pPr>
        <w:pStyle w:val="Prrafodelista"/>
        <w:contextualSpacing w:val="0"/>
        <w:rPr>
          <w:b/>
          <w:szCs w:val="20"/>
        </w:rPr>
      </w:pPr>
    </w:p>
    <w:p w14:paraId="05366139" w14:textId="2C651560" w:rsidR="009128C2" w:rsidRPr="009631AB" w:rsidRDefault="009128C2" w:rsidP="00734B53">
      <w:pPr>
        <w:pStyle w:val="Prrafodelista"/>
        <w:numPr>
          <w:ilvl w:val="0"/>
          <w:numId w:val="4"/>
        </w:numPr>
        <w:contextualSpacing w:val="0"/>
        <w:rPr>
          <w:b/>
          <w:i/>
          <w:szCs w:val="20"/>
        </w:rPr>
      </w:pPr>
      <w:r w:rsidRPr="009631AB">
        <w:rPr>
          <w:szCs w:val="20"/>
        </w:rPr>
        <w:t>El 26 de marzo de 1996 el Tribunal de Garantías rechazó la queja por contener indebida acumulación de acciones</w:t>
      </w:r>
      <w:r w:rsidRPr="009631AB">
        <w:rPr>
          <w:rStyle w:val="Refdenotaalpie"/>
          <w:rFonts w:ascii="Verdana" w:hAnsi="Verdana"/>
        </w:rPr>
        <w:footnoteReference w:id="57"/>
      </w:r>
      <w:r w:rsidRPr="009631AB">
        <w:rPr>
          <w:szCs w:val="20"/>
        </w:rPr>
        <w:t xml:space="preserve">. El 23 de abril del mismo año el Tribunal volvió a rechazar la queja por ya haberse pronunciado sobre </w:t>
      </w:r>
      <w:r w:rsidR="00767885" w:rsidRPr="009631AB">
        <w:rPr>
          <w:szCs w:val="20"/>
        </w:rPr>
        <w:t>la</w:t>
      </w:r>
      <w:r w:rsidRPr="009631AB">
        <w:rPr>
          <w:szCs w:val="20"/>
        </w:rPr>
        <w:t xml:space="preserve"> mism</w:t>
      </w:r>
      <w:r w:rsidR="00767885" w:rsidRPr="009631AB">
        <w:rPr>
          <w:szCs w:val="20"/>
        </w:rPr>
        <w:t>a</w:t>
      </w:r>
      <w:r w:rsidRPr="009631AB">
        <w:rPr>
          <w:rStyle w:val="Refdenotaalpie"/>
          <w:rFonts w:ascii="Verdana" w:hAnsi="Verdana"/>
        </w:rPr>
        <w:footnoteReference w:id="58"/>
      </w:r>
      <w:r w:rsidRPr="009631AB">
        <w:rPr>
          <w:szCs w:val="20"/>
        </w:rPr>
        <w:t xml:space="preserve">. </w:t>
      </w:r>
    </w:p>
    <w:p w14:paraId="123C75F1" w14:textId="77777777" w:rsidR="009128C2" w:rsidRPr="009631AB" w:rsidRDefault="009128C2" w:rsidP="00734B53">
      <w:pPr>
        <w:pStyle w:val="Prrafodelista"/>
        <w:contextualSpacing w:val="0"/>
        <w:rPr>
          <w:b/>
          <w:i/>
          <w:szCs w:val="20"/>
        </w:rPr>
      </w:pPr>
    </w:p>
    <w:p w14:paraId="348554CD" w14:textId="5DD7167B" w:rsidR="009128C2" w:rsidRPr="009631AB" w:rsidRDefault="009128C2" w:rsidP="00734B53">
      <w:pPr>
        <w:pStyle w:val="Prrafodelista"/>
        <w:numPr>
          <w:ilvl w:val="0"/>
          <w:numId w:val="4"/>
        </w:numPr>
        <w:contextualSpacing w:val="0"/>
        <w:rPr>
          <w:b/>
          <w:i/>
          <w:szCs w:val="20"/>
        </w:rPr>
      </w:pPr>
      <w:r w:rsidRPr="009631AB">
        <w:rPr>
          <w:szCs w:val="20"/>
        </w:rPr>
        <w:t>El 12 de septiembre de 1996 el Ministerio Fiscal de Pichincha emitió dictamen definitivo</w:t>
      </w:r>
      <w:r w:rsidR="00767885" w:rsidRPr="009631AB">
        <w:rPr>
          <w:szCs w:val="20"/>
        </w:rPr>
        <w:t xml:space="preserve"> en el cual indicó que, a</w:t>
      </w:r>
      <w:r w:rsidRPr="009631AB">
        <w:rPr>
          <w:szCs w:val="20"/>
        </w:rPr>
        <w:t>l</w:t>
      </w:r>
      <w:r w:rsidR="00767885" w:rsidRPr="009631AB">
        <w:rPr>
          <w:szCs w:val="20"/>
        </w:rPr>
        <w:t xml:space="preserve"> haber fungido el</w:t>
      </w:r>
      <w:r w:rsidRPr="009631AB">
        <w:rPr>
          <w:szCs w:val="20"/>
        </w:rPr>
        <w:t xml:space="preserve"> señor Montesinos como supervisor de la Hacienda El Prado</w:t>
      </w:r>
      <w:r w:rsidR="00767885" w:rsidRPr="009631AB">
        <w:rPr>
          <w:szCs w:val="20"/>
        </w:rPr>
        <w:t xml:space="preserve"> y </w:t>
      </w:r>
      <w:r w:rsidRPr="009631AB">
        <w:rPr>
          <w:szCs w:val="20"/>
        </w:rPr>
        <w:t xml:space="preserve">haber firmado cheques en blanco, </w:t>
      </w:r>
      <w:r w:rsidR="00767885" w:rsidRPr="009631AB">
        <w:rPr>
          <w:szCs w:val="20"/>
        </w:rPr>
        <w:t>se presumía su autoría como</w:t>
      </w:r>
      <w:r w:rsidRPr="009631AB">
        <w:rPr>
          <w:szCs w:val="20"/>
        </w:rPr>
        <w:t xml:space="preserve"> testaferro de la organización criminal</w:t>
      </w:r>
      <w:r w:rsidRPr="009631AB">
        <w:rPr>
          <w:rStyle w:val="Refdenotaalpie"/>
          <w:rFonts w:ascii="Verdana" w:hAnsi="Verdana"/>
        </w:rPr>
        <w:footnoteReference w:id="59"/>
      </w:r>
      <w:r w:rsidRPr="009631AB">
        <w:rPr>
          <w:szCs w:val="20"/>
        </w:rPr>
        <w:t xml:space="preserve">. </w:t>
      </w:r>
    </w:p>
    <w:p w14:paraId="7A13036D" w14:textId="77777777" w:rsidR="009128C2" w:rsidRPr="009631AB" w:rsidRDefault="009128C2" w:rsidP="00734B53">
      <w:pPr>
        <w:pStyle w:val="Prrafodelista"/>
        <w:contextualSpacing w:val="0"/>
        <w:rPr>
          <w:b/>
          <w:i/>
          <w:szCs w:val="20"/>
        </w:rPr>
      </w:pPr>
    </w:p>
    <w:p w14:paraId="46776D53" w14:textId="61B3749D" w:rsidR="009128C2" w:rsidRPr="009631AB" w:rsidRDefault="009128C2" w:rsidP="00734B53">
      <w:pPr>
        <w:pStyle w:val="Prrafodelista"/>
        <w:numPr>
          <w:ilvl w:val="0"/>
          <w:numId w:val="4"/>
        </w:numPr>
        <w:contextualSpacing w:val="0"/>
        <w:rPr>
          <w:b/>
          <w:i/>
          <w:szCs w:val="20"/>
        </w:rPr>
      </w:pPr>
      <w:r w:rsidRPr="009631AB">
        <w:rPr>
          <w:szCs w:val="20"/>
        </w:rPr>
        <w:t xml:space="preserve">El 23 de marzo de 1998, la Presidencia Subrogante de la Corte Superior de Justicia de Quito dictó </w:t>
      </w:r>
      <w:r w:rsidR="00A20F13" w:rsidRPr="009631AB">
        <w:rPr>
          <w:szCs w:val="20"/>
        </w:rPr>
        <w:t xml:space="preserve">la </w:t>
      </w:r>
      <w:r w:rsidRPr="009631AB">
        <w:rPr>
          <w:szCs w:val="20"/>
        </w:rPr>
        <w:t xml:space="preserve">apertura de la etapa plenaria </w:t>
      </w:r>
      <w:r w:rsidR="004634B6" w:rsidRPr="009631AB">
        <w:rPr>
          <w:szCs w:val="20"/>
        </w:rPr>
        <w:t xml:space="preserve">contra el señor Montesinos por haber presuntamente cometido </w:t>
      </w:r>
      <w:r w:rsidRPr="009631AB">
        <w:rPr>
          <w:szCs w:val="20"/>
        </w:rPr>
        <w:t>el delito de testaferrismo</w:t>
      </w:r>
      <w:r w:rsidR="004634B6" w:rsidRPr="009631AB">
        <w:rPr>
          <w:szCs w:val="20"/>
        </w:rPr>
        <w:t xml:space="preserve"> </w:t>
      </w:r>
      <w:r w:rsidRPr="009631AB">
        <w:rPr>
          <w:szCs w:val="20"/>
        </w:rPr>
        <w:t>en calidad de coautor</w:t>
      </w:r>
      <w:r w:rsidR="004634B6" w:rsidRPr="009631AB">
        <w:rPr>
          <w:szCs w:val="20"/>
        </w:rPr>
        <w:t>. Producto de lo anterior, se dispuso</w:t>
      </w:r>
      <w:r w:rsidR="00A20F13" w:rsidRPr="009631AB">
        <w:rPr>
          <w:szCs w:val="20"/>
        </w:rPr>
        <w:t xml:space="preserve"> </w:t>
      </w:r>
      <w:r w:rsidRPr="009631AB">
        <w:rPr>
          <w:szCs w:val="20"/>
        </w:rPr>
        <w:t>la incautación de todos los bienes, dinero y más valores utilizados para la comisión del delito</w:t>
      </w:r>
      <w:r w:rsidRPr="009631AB">
        <w:rPr>
          <w:rStyle w:val="Refdenotaalpie"/>
          <w:rFonts w:ascii="Verdana" w:hAnsi="Verdana"/>
        </w:rPr>
        <w:footnoteReference w:id="60"/>
      </w:r>
      <w:r w:rsidRPr="009631AB">
        <w:rPr>
          <w:szCs w:val="20"/>
        </w:rPr>
        <w:t xml:space="preserve">. </w:t>
      </w:r>
    </w:p>
    <w:p w14:paraId="6EA9E563" w14:textId="77777777" w:rsidR="009128C2" w:rsidRPr="009631AB" w:rsidRDefault="009128C2" w:rsidP="00734B53">
      <w:pPr>
        <w:pStyle w:val="Prrafodelista"/>
        <w:contextualSpacing w:val="0"/>
        <w:rPr>
          <w:b/>
          <w:i/>
          <w:szCs w:val="20"/>
        </w:rPr>
      </w:pPr>
    </w:p>
    <w:p w14:paraId="06D1F7D0" w14:textId="1DD5F374" w:rsidR="009128C2" w:rsidRPr="009631AB" w:rsidRDefault="009128C2" w:rsidP="00734B53">
      <w:pPr>
        <w:pStyle w:val="Prrafodelista"/>
        <w:numPr>
          <w:ilvl w:val="0"/>
          <w:numId w:val="4"/>
        </w:numPr>
        <w:contextualSpacing w:val="0"/>
        <w:rPr>
          <w:b/>
          <w:i/>
          <w:szCs w:val="20"/>
        </w:rPr>
      </w:pPr>
      <w:r w:rsidRPr="009631AB">
        <w:rPr>
          <w:szCs w:val="20"/>
        </w:rPr>
        <w:t xml:space="preserve">El 9 de septiembre de 2003 la Presidencia Subrogante de la Corte Superior de Quito dictó sentencia absolutoria en primera instancia en favor de Mario Alfonso Montesinos Mejía, </w:t>
      </w:r>
      <w:r w:rsidR="00A20F13" w:rsidRPr="009631AB">
        <w:rPr>
          <w:szCs w:val="20"/>
        </w:rPr>
        <w:t>contra la cual,</w:t>
      </w:r>
      <w:r w:rsidRPr="009631AB">
        <w:rPr>
          <w:szCs w:val="20"/>
        </w:rPr>
        <w:t xml:space="preserve"> la Procuraduría General del Estado y el Ministerio Fiscal</w:t>
      </w:r>
      <w:r w:rsidR="00A20F13" w:rsidRPr="009631AB">
        <w:rPr>
          <w:szCs w:val="20"/>
        </w:rPr>
        <w:t>,</w:t>
      </w:r>
      <w:r w:rsidRPr="009631AB">
        <w:rPr>
          <w:szCs w:val="20"/>
        </w:rPr>
        <w:t xml:space="preserve"> presentaron recurso de apelación</w:t>
      </w:r>
      <w:r w:rsidRPr="009631AB">
        <w:rPr>
          <w:rStyle w:val="Refdenotaalpie"/>
          <w:rFonts w:ascii="Verdana" w:hAnsi="Verdana"/>
        </w:rPr>
        <w:footnoteReference w:id="61"/>
      </w:r>
      <w:r w:rsidRPr="009631AB">
        <w:rPr>
          <w:szCs w:val="20"/>
        </w:rPr>
        <w:t>. El 17 de septiembre de 2003 la Presidencia de la Corte Superior de Justicia concedió los recursos de apelación. E</w:t>
      </w:r>
      <w:r w:rsidR="00A20F13" w:rsidRPr="009631AB">
        <w:rPr>
          <w:szCs w:val="20"/>
        </w:rPr>
        <w:t xml:space="preserve">n razón de dicha apelación, el </w:t>
      </w:r>
      <w:r w:rsidRPr="009631AB">
        <w:rPr>
          <w:szCs w:val="20"/>
        </w:rPr>
        <w:t>8 de septiembre de 2008</w:t>
      </w:r>
      <w:r w:rsidR="00A20F13" w:rsidRPr="009631AB">
        <w:rPr>
          <w:szCs w:val="20"/>
        </w:rPr>
        <w:t>,</w:t>
      </w:r>
      <w:r w:rsidRPr="009631AB">
        <w:rPr>
          <w:szCs w:val="20"/>
        </w:rPr>
        <w:t xml:space="preserve"> la Primera Sala Especializada de lo Penal, Tránsito y Colusorio de la Corte Superior de Justicia de Quito, condenó al señor Montesinos a 10 años de prisión y multa de seis salarios mínimos vitales por el delito de testaferrismo</w:t>
      </w:r>
      <w:r w:rsidRPr="009631AB">
        <w:rPr>
          <w:rStyle w:val="Refdenotaalpie"/>
          <w:rFonts w:ascii="Verdana" w:hAnsi="Verdana"/>
        </w:rPr>
        <w:footnoteReference w:id="62"/>
      </w:r>
      <w:r w:rsidRPr="009631AB">
        <w:rPr>
          <w:szCs w:val="20"/>
        </w:rPr>
        <w:t xml:space="preserve">. </w:t>
      </w:r>
    </w:p>
    <w:p w14:paraId="401C88F4" w14:textId="77777777" w:rsidR="009128C2" w:rsidRPr="009631AB" w:rsidRDefault="009128C2" w:rsidP="00734B53">
      <w:pPr>
        <w:pStyle w:val="Prrafodelista"/>
        <w:contextualSpacing w:val="0"/>
        <w:rPr>
          <w:b/>
          <w:i/>
          <w:szCs w:val="20"/>
        </w:rPr>
      </w:pPr>
    </w:p>
    <w:p w14:paraId="21BEE0CB" w14:textId="147F1835" w:rsidR="009128C2" w:rsidRPr="009631AB" w:rsidRDefault="00A20F13" w:rsidP="00734B53">
      <w:pPr>
        <w:pStyle w:val="Prrafodelista"/>
        <w:numPr>
          <w:ilvl w:val="0"/>
          <w:numId w:val="4"/>
        </w:numPr>
        <w:contextualSpacing w:val="0"/>
        <w:rPr>
          <w:b/>
          <w:i/>
          <w:szCs w:val="20"/>
        </w:rPr>
      </w:pPr>
      <w:r w:rsidRPr="009631AB">
        <w:rPr>
          <w:szCs w:val="20"/>
        </w:rPr>
        <w:t>E</w:t>
      </w:r>
      <w:r w:rsidR="009128C2" w:rsidRPr="009631AB">
        <w:rPr>
          <w:szCs w:val="20"/>
        </w:rPr>
        <w:t xml:space="preserve">l señor Montesinos presentó un recurso de casación contra la </w:t>
      </w:r>
      <w:r w:rsidRPr="009631AB">
        <w:rPr>
          <w:szCs w:val="20"/>
        </w:rPr>
        <w:t xml:space="preserve">antes referida </w:t>
      </w:r>
      <w:r w:rsidR="009128C2" w:rsidRPr="009631AB">
        <w:rPr>
          <w:szCs w:val="20"/>
        </w:rPr>
        <w:t xml:space="preserve">sentencia </w:t>
      </w:r>
      <w:r w:rsidRPr="009631AB">
        <w:rPr>
          <w:szCs w:val="20"/>
        </w:rPr>
        <w:t xml:space="preserve">condenatoria </w:t>
      </w:r>
      <w:r w:rsidR="009128C2" w:rsidRPr="009631AB">
        <w:rPr>
          <w:szCs w:val="20"/>
        </w:rPr>
        <w:t>de apelación</w:t>
      </w:r>
      <w:r w:rsidR="00CE48C8" w:rsidRPr="009631AB">
        <w:rPr>
          <w:rStyle w:val="Refdenotaalpie"/>
          <w:rFonts w:ascii="Verdana" w:hAnsi="Verdana"/>
        </w:rPr>
        <w:footnoteReference w:id="63"/>
      </w:r>
      <w:r w:rsidR="009128C2" w:rsidRPr="009631AB">
        <w:rPr>
          <w:szCs w:val="20"/>
        </w:rPr>
        <w:t xml:space="preserve">. El 31 de agosto de 2010, la Primera Sala de la Corte Nacional de Justicia </w:t>
      </w:r>
      <w:r w:rsidRPr="009631AB">
        <w:rPr>
          <w:szCs w:val="20"/>
        </w:rPr>
        <w:t>rechazó el recurso de casación</w:t>
      </w:r>
      <w:r w:rsidR="009128C2" w:rsidRPr="009631AB">
        <w:rPr>
          <w:szCs w:val="20"/>
        </w:rPr>
        <w:t xml:space="preserve">, </w:t>
      </w:r>
      <w:r w:rsidRPr="009631AB">
        <w:rPr>
          <w:szCs w:val="20"/>
        </w:rPr>
        <w:t xml:space="preserve">al considerar </w:t>
      </w:r>
      <w:r w:rsidR="009128C2" w:rsidRPr="009631AB">
        <w:rPr>
          <w:szCs w:val="20"/>
        </w:rPr>
        <w:t>que la prueba presentada ameritaba que los procesados deben ser reputados como autores y cómplices del delito de testaferrismo</w:t>
      </w:r>
      <w:r w:rsidR="009128C2" w:rsidRPr="009631AB">
        <w:rPr>
          <w:rStyle w:val="Refdenotaalpie"/>
          <w:rFonts w:ascii="Verdana" w:hAnsi="Verdana"/>
        </w:rPr>
        <w:footnoteReference w:id="64"/>
      </w:r>
      <w:r w:rsidR="009128C2" w:rsidRPr="009631AB">
        <w:rPr>
          <w:szCs w:val="20"/>
        </w:rPr>
        <w:t xml:space="preserve">. </w:t>
      </w:r>
    </w:p>
    <w:p w14:paraId="51A1F25B" w14:textId="63F7B065" w:rsidR="0026030B" w:rsidRPr="009631AB" w:rsidRDefault="0026030B" w:rsidP="00E5050D">
      <w:pPr>
        <w:pStyle w:val="Prrafodelista"/>
        <w:rPr>
          <w:szCs w:val="20"/>
        </w:rPr>
      </w:pPr>
    </w:p>
    <w:p w14:paraId="6D5A9F90" w14:textId="6012D247" w:rsidR="009128C2" w:rsidRPr="009631AB" w:rsidRDefault="0026030B" w:rsidP="00E5050D">
      <w:pPr>
        <w:pStyle w:val="Prrafodelista"/>
        <w:numPr>
          <w:ilvl w:val="0"/>
          <w:numId w:val="4"/>
        </w:numPr>
        <w:autoSpaceDE w:val="0"/>
        <w:autoSpaceDN w:val="0"/>
        <w:adjustRightInd w:val="0"/>
        <w:rPr>
          <w:b/>
          <w:i/>
          <w:szCs w:val="20"/>
        </w:rPr>
      </w:pPr>
      <w:r w:rsidRPr="009631AB">
        <w:rPr>
          <w:szCs w:val="20"/>
        </w:rPr>
        <w:t>El 29 de septiembre de 2010 el señor Montesinos presentó una acción extraordinaria de protección en contra de la sentencia dictada el 31 de agosto de 2010</w:t>
      </w:r>
      <w:r w:rsidRPr="009631AB">
        <w:rPr>
          <w:rStyle w:val="Refdenotaalpie"/>
          <w:rFonts w:ascii="Verdana" w:hAnsi="Verdana"/>
        </w:rPr>
        <w:footnoteReference w:id="65"/>
      </w:r>
      <w:r w:rsidRPr="009631AB">
        <w:rPr>
          <w:szCs w:val="20"/>
        </w:rPr>
        <w:t>. El 28 de octubre de 2010 la Primera Sala de lo Penal de la Corte Nacional de Justicia remitió la causa a la Corte Constitucional</w:t>
      </w:r>
      <w:r w:rsidRPr="009631AB">
        <w:rPr>
          <w:rStyle w:val="Refdenotaalpie"/>
          <w:rFonts w:ascii="Verdana" w:hAnsi="Verdana"/>
        </w:rPr>
        <w:footnoteReference w:id="66"/>
      </w:r>
      <w:r w:rsidRPr="009631AB">
        <w:rPr>
          <w:szCs w:val="20"/>
        </w:rPr>
        <w:t xml:space="preserve">. El 18 de enero de 2011 la Corte Constitucional determinó que el recurso interpuesto era inadmisible </w:t>
      </w:r>
      <w:r w:rsidRPr="009631AB">
        <w:rPr>
          <w:rFonts w:cstheme="minorBidi"/>
          <w:szCs w:val="20"/>
          <w:lang w:val="es-CR"/>
        </w:rPr>
        <w:t xml:space="preserve">pues los alegatos de los legitimados se concentraron en los </w:t>
      </w:r>
      <w:r w:rsidRPr="009631AB">
        <w:rPr>
          <w:szCs w:val="20"/>
        </w:rPr>
        <w:t xml:space="preserve">hechos </w:t>
      </w:r>
      <w:r w:rsidRPr="009631AB">
        <w:rPr>
          <w:szCs w:val="20"/>
        </w:rPr>
        <w:lastRenderedPageBreak/>
        <w:t>o actos que dieron lugar al proceso penal, sobre los cuales carec</w:t>
      </w:r>
      <w:r w:rsidR="008D3984">
        <w:rPr>
          <w:szCs w:val="20"/>
        </w:rPr>
        <w:t>ía</w:t>
      </w:r>
      <w:r w:rsidRPr="009631AB">
        <w:rPr>
          <w:szCs w:val="20"/>
        </w:rPr>
        <w:t xml:space="preserve"> de competencia para pronunciarse.</w:t>
      </w:r>
      <w:r w:rsidR="009128C2" w:rsidRPr="009631AB">
        <w:rPr>
          <w:rStyle w:val="Refdenotaalpie"/>
          <w:rFonts w:ascii="Verdana" w:hAnsi="Verdana"/>
        </w:rPr>
        <w:footnoteReference w:id="67"/>
      </w:r>
      <w:r w:rsidR="009128C2" w:rsidRPr="009631AB">
        <w:rPr>
          <w:szCs w:val="20"/>
        </w:rPr>
        <w:t xml:space="preserve"> </w:t>
      </w:r>
    </w:p>
    <w:p w14:paraId="48A846BB" w14:textId="77777777" w:rsidR="009128C2" w:rsidRPr="009631AB" w:rsidRDefault="009128C2" w:rsidP="00734B53">
      <w:pPr>
        <w:pStyle w:val="Prrafodelista"/>
        <w:ind w:left="0"/>
        <w:contextualSpacing w:val="0"/>
        <w:rPr>
          <w:b/>
          <w:i/>
          <w:szCs w:val="20"/>
        </w:rPr>
      </w:pPr>
    </w:p>
    <w:p w14:paraId="7AAE51AA" w14:textId="2320A0D1" w:rsidR="009128C2" w:rsidRPr="009631AB" w:rsidRDefault="009128C2" w:rsidP="00734B53">
      <w:pPr>
        <w:pStyle w:val="Prrafodelista"/>
        <w:numPr>
          <w:ilvl w:val="0"/>
          <w:numId w:val="4"/>
        </w:numPr>
        <w:contextualSpacing w:val="0"/>
        <w:rPr>
          <w:b/>
          <w:i/>
          <w:szCs w:val="20"/>
        </w:rPr>
      </w:pPr>
      <w:r w:rsidRPr="009631AB">
        <w:rPr>
          <w:szCs w:val="20"/>
        </w:rPr>
        <w:t>De</w:t>
      </w:r>
      <w:r w:rsidR="008D3984">
        <w:rPr>
          <w:szCs w:val="20"/>
        </w:rPr>
        <w:t xml:space="preserve"> </w:t>
      </w:r>
      <w:r w:rsidRPr="009631AB">
        <w:rPr>
          <w:szCs w:val="20"/>
        </w:rPr>
        <w:t>l</w:t>
      </w:r>
      <w:r w:rsidR="008D3984">
        <w:rPr>
          <w:szCs w:val="20"/>
        </w:rPr>
        <w:t>a</w:t>
      </w:r>
      <w:r w:rsidRPr="009631AB">
        <w:rPr>
          <w:szCs w:val="20"/>
        </w:rPr>
        <w:t xml:space="preserve"> </w:t>
      </w:r>
      <w:r w:rsidR="008D3984">
        <w:rPr>
          <w:szCs w:val="20"/>
        </w:rPr>
        <w:t>se</w:t>
      </w:r>
      <w:r w:rsidR="009C6A3A">
        <w:rPr>
          <w:szCs w:val="20"/>
        </w:rPr>
        <w:t>n</w:t>
      </w:r>
      <w:r w:rsidR="008D3984">
        <w:rPr>
          <w:szCs w:val="20"/>
        </w:rPr>
        <w:t>tencia</w:t>
      </w:r>
      <w:r w:rsidR="009C6A3A">
        <w:rPr>
          <w:szCs w:val="20"/>
        </w:rPr>
        <w:t xml:space="preserve"> de 8 de septiembre de 2008</w:t>
      </w:r>
      <w:r w:rsidRPr="009631AB">
        <w:rPr>
          <w:szCs w:val="20"/>
        </w:rPr>
        <w:t xml:space="preserve"> se desprende que el señor Montesinos fue </w:t>
      </w:r>
      <w:r w:rsidR="008D3984">
        <w:rPr>
          <w:szCs w:val="20"/>
        </w:rPr>
        <w:t>condenado en calidad de coautor</w:t>
      </w:r>
      <w:r w:rsidR="009C6A3A">
        <w:rPr>
          <w:szCs w:val="20"/>
        </w:rPr>
        <w:t xml:space="preserve"> del delito de testaferrismo</w:t>
      </w:r>
      <w:r w:rsidRPr="009631AB">
        <w:rPr>
          <w:szCs w:val="20"/>
        </w:rPr>
        <w:t>.</w:t>
      </w:r>
      <w:r w:rsidR="001B465D">
        <w:rPr>
          <w:szCs w:val="20"/>
        </w:rPr>
        <w:t xml:space="preserve"> </w:t>
      </w:r>
    </w:p>
    <w:p w14:paraId="556F67B5" w14:textId="77777777" w:rsidR="009128C2" w:rsidRPr="009631AB" w:rsidRDefault="009128C2" w:rsidP="00734B53">
      <w:pPr>
        <w:pStyle w:val="Prrafodelista"/>
        <w:ind w:left="0"/>
        <w:contextualSpacing w:val="0"/>
        <w:rPr>
          <w:szCs w:val="20"/>
        </w:rPr>
      </w:pPr>
    </w:p>
    <w:p w14:paraId="5542D977" w14:textId="261046EF" w:rsidR="003B4587" w:rsidRPr="009631AB" w:rsidRDefault="003B4587" w:rsidP="00734B53">
      <w:pPr>
        <w:pStyle w:val="Ttulo1"/>
        <w:contextualSpacing w:val="0"/>
        <w:rPr>
          <w:noProof w:val="0"/>
        </w:rPr>
      </w:pPr>
      <w:bookmarkStart w:id="102" w:name="_Toc2706989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9631AB">
        <w:rPr>
          <w:noProof w:val="0"/>
        </w:rPr>
        <w:t>VII</w:t>
      </w:r>
      <w:bookmarkEnd w:id="102"/>
    </w:p>
    <w:p w14:paraId="009D7B4F" w14:textId="77777777" w:rsidR="003B4587" w:rsidRPr="009631AB" w:rsidRDefault="003B4587" w:rsidP="00734B53">
      <w:pPr>
        <w:pStyle w:val="Ttulo1"/>
        <w:contextualSpacing w:val="0"/>
        <w:rPr>
          <w:noProof w:val="0"/>
        </w:rPr>
      </w:pPr>
      <w:bookmarkStart w:id="103" w:name="_Toc27069892"/>
      <w:r w:rsidRPr="009631AB">
        <w:rPr>
          <w:noProof w:val="0"/>
        </w:rPr>
        <w:t>FONDO</w:t>
      </w:r>
      <w:bookmarkEnd w:id="103"/>
    </w:p>
    <w:p w14:paraId="34902758" w14:textId="77777777" w:rsidR="003B4587" w:rsidRPr="009631AB" w:rsidRDefault="003B4587" w:rsidP="00734B53">
      <w:pPr>
        <w:spacing w:after="0" w:line="240" w:lineRule="auto"/>
        <w:rPr>
          <w:szCs w:val="20"/>
        </w:rPr>
      </w:pPr>
    </w:p>
    <w:p w14:paraId="194223CE" w14:textId="11FF4003" w:rsidR="003B4587" w:rsidRDefault="003B4587" w:rsidP="00734B53">
      <w:pPr>
        <w:pStyle w:val="Prrafodelista"/>
        <w:numPr>
          <w:ilvl w:val="0"/>
          <w:numId w:val="4"/>
        </w:numPr>
        <w:contextualSpacing w:val="0"/>
        <w:rPr>
          <w:szCs w:val="20"/>
        </w:rPr>
      </w:pPr>
      <w:r w:rsidRPr="009631AB">
        <w:rPr>
          <w:szCs w:val="20"/>
        </w:rPr>
        <w:t xml:space="preserve">El presente caso versa sobre la alegada detención arbitraria e ilegal del señor Mario Montesinos Mejía </w:t>
      </w:r>
      <w:r w:rsidR="00F15A09" w:rsidRPr="009631AB">
        <w:rPr>
          <w:szCs w:val="20"/>
        </w:rPr>
        <w:t>el 21 de junio de</w:t>
      </w:r>
      <w:r w:rsidRPr="009631AB">
        <w:rPr>
          <w:szCs w:val="20"/>
        </w:rPr>
        <w:t xml:space="preserve"> 1992, los alegados </w:t>
      </w:r>
      <w:r w:rsidR="00F15A09" w:rsidRPr="009631AB">
        <w:rPr>
          <w:szCs w:val="20"/>
        </w:rPr>
        <w:t xml:space="preserve">tratos crueles, inhumanos, degradantes y </w:t>
      </w:r>
      <w:r w:rsidRPr="009631AB">
        <w:rPr>
          <w:szCs w:val="20"/>
        </w:rPr>
        <w:t>tortura</w:t>
      </w:r>
      <w:r w:rsidR="00E16695" w:rsidRPr="009631AB">
        <w:rPr>
          <w:szCs w:val="20"/>
        </w:rPr>
        <w:t xml:space="preserve"> que habría sufrido</w:t>
      </w:r>
      <w:r w:rsidRPr="009631AB">
        <w:rPr>
          <w:szCs w:val="20"/>
        </w:rPr>
        <w:t xml:space="preserve"> y la </w:t>
      </w:r>
      <w:r w:rsidR="00E16695" w:rsidRPr="009631AB">
        <w:rPr>
          <w:szCs w:val="20"/>
        </w:rPr>
        <w:t xml:space="preserve">supuesta </w:t>
      </w:r>
      <w:r w:rsidRPr="009631AB">
        <w:rPr>
          <w:szCs w:val="20"/>
        </w:rPr>
        <w:t xml:space="preserve">falta de garantías judiciales en los procesos penales que </w:t>
      </w:r>
      <w:r w:rsidR="00E16695" w:rsidRPr="009631AB">
        <w:rPr>
          <w:szCs w:val="20"/>
        </w:rPr>
        <w:t>se siguieron en su contra.</w:t>
      </w:r>
    </w:p>
    <w:p w14:paraId="084773E8" w14:textId="77777777" w:rsidR="00EC56A5" w:rsidRDefault="00EC56A5" w:rsidP="003B3610">
      <w:pPr>
        <w:pStyle w:val="Prrafodelista"/>
        <w:ind w:left="0"/>
        <w:contextualSpacing w:val="0"/>
        <w:rPr>
          <w:szCs w:val="20"/>
        </w:rPr>
      </w:pPr>
    </w:p>
    <w:p w14:paraId="313914F9" w14:textId="195DAD59" w:rsidR="00EC56A5" w:rsidRPr="009631AB" w:rsidRDefault="00EC56A5" w:rsidP="00734B53">
      <w:pPr>
        <w:pStyle w:val="Prrafodelista"/>
        <w:numPr>
          <w:ilvl w:val="0"/>
          <w:numId w:val="4"/>
        </w:numPr>
        <w:contextualSpacing w:val="0"/>
        <w:rPr>
          <w:szCs w:val="20"/>
        </w:rPr>
      </w:pPr>
      <w:r>
        <w:rPr>
          <w:szCs w:val="20"/>
        </w:rPr>
        <w:t xml:space="preserve">No escapa a esta Corte la importante funcion que </w:t>
      </w:r>
      <w:r w:rsidR="009C6A3A">
        <w:rPr>
          <w:szCs w:val="20"/>
        </w:rPr>
        <w:t xml:space="preserve">desempeñó </w:t>
      </w:r>
      <w:r>
        <w:rPr>
          <w:szCs w:val="20"/>
        </w:rPr>
        <w:t xml:space="preserve">la presunta victima y la eventual gravedad que </w:t>
      </w:r>
      <w:r w:rsidR="00592ABB">
        <w:rPr>
          <w:szCs w:val="20"/>
        </w:rPr>
        <w:t>la</w:t>
      </w:r>
      <w:r w:rsidR="009C6A3A">
        <w:rPr>
          <w:szCs w:val="20"/>
        </w:rPr>
        <w:t xml:space="preserve"> c</w:t>
      </w:r>
      <w:r>
        <w:rPr>
          <w:szCs w:val="20"/>
        </w:rPr>
        <w:t xml:space="preserve">onducta </w:t>
      </w:r>
      <w:r w:rsidR="00592ABB">
        <w:rPr>
          <w:szCs w:val="20"/>
        </w:rPr>
        <w:t xml:space="preserve">de quien está situado en esa posición </w:t>
      </w:r>
      <w:r>
        <w:rPr>
          <w:szCs w:val="20"/>
        </w:rPr>
        <w:t>pud</w:t>
      </w:r>
      <w:r w:rsidR="009C6A3A">
        <w:rPr>
          <w:szCs w:val="20"/>
        </w:rPr>
        <w:t>o</w:t>
      </w:r>
      <w:r>
        <w:rPr>
          <w:szCs w:val="20"/>
        </w:rPr>
        <w:t xml:space="preserve"> revestir. De cualquier manera, de ningun modo corresponde caer en un derecho pe</w:t>
      </w:r>
      <w:r w:rsidR="009C6A3A">
        <w:rPr>
          <w:szCs w:val="20"/>
        </w:rPr>
        <w:t>nal de autor</w:t>
      </w:r>
      <w:r w:rsidR="00592ABB">
        <w:rPr>
          <w:szCs w:val="20"/>
        </w:rPr>
        <w:t xml:space="preserve"> “de hecho”</w:t>
      </w:r>
      <w:r>
        <w:rPr>
          <w:szCs w:val="20"/>
        </w:rPr>
        <w:t xml:space="preserve">, en consecuencia, es inadmisible que por la posicion del </w:t>
      </w:r>
      <w:r w:rsidR="00530503">
        <w:rPr>
          <w:szCs w:val="20"/>
        </w:rPr>
        <w:t xml:space="preserve">supuesto </w:t>
      </w:r>
      <w:r>
        <w:rPr>
          <w:szCs w:val="20"/>
        </w:rPr>
        <w:t xml:space="preserve">autor </w:t>
      </w:r>
      <w:r w:rsidR="00530503">
        <w:rPr>
          <w:szCs w:val="20"/>
        </w:rPr>
        <w:t xml:space="preserve">del delito </w:t>
      </w:r>
      <w:r>
        <w:rPr>
          <w:szCs w:val="20"/>
        </w:rPr>
        <w:t>se le desconozcan las garantias judiciales elementales que son inherentes a tod</w:t>
      </w:r>
      <w:r w:rsidR="00677746">
        <w:rPr>
          <w:szCs w:val="20"/>
        </w:rPr>
        <w:t>a</w:t>
      </w:r>
      <w:r>
        <w:rPr>
          <w:szCs w:val="20"/>
        </w:rPr>
        <w:t>s l</w:t>
      </w:r>
      <w:r w:rsidR="00677746">
        <w:rPr>
          <w:szCs w:val="20"/>
        </w:rPr>
        <w:t>a</w:t>
      </w:r>
      <w:r>
        <w:rPr>
          <w:szCs w:val="20"/>
        </w:rPr>
        <w:t xml:space="preserve">s </w:t>
      </w:r>
      <w:r w:rsidR="00677746">
        <w:rPr>
          <w:szCs w:val="20"/>
        </w:rPr>
        <w:t>personas</w:t>
      </w:r>
      <w:r>
        <w:rPr>
          <w:szCs w:val="20"/>
        </w:rPr>
        <w:t>.</w:t>
      </w:r>
    </w:p>
    <w:p w14:paraId="196443BB" w14:textId="77777777" w:rsidR="003B4587" w:rsidRPr="009631AB" w:rsidRDefault="003B4587" w:rsidP="00734B53">
      <w:pPr>
        <w:pStyle w:val="Prrafodelista"/>
        <w:ind w:left="0"/>
        <w:contextualSpacing w:val="0"/>
        <w:rPr>
          <w:noProof w:val="0"/>
          <w:szCs w:val="20"/>
        </w:rPr>
      </w:pPr>
    </w:p>
    <w:p w14:paraId="36872D5F" w14:textId="189F6381" w:rsidR="003B4587" w:rsidRPr="009631AB" w:rsidRDefault="003B4587" w:rsidP="00734B53">
      <w:pPr>
        <w:pStyle w:val="Prrafodelista"/>
        <w:numPr>
          <w:ilvl w:val="0"/>
          <w:numId w:val="4"/>
        </w:numPr>
        <w:contextualSpacing w:val="0"/>
        <w:rPr>
          <w:noProof w:val="0"/>
          <w:szCs w:val="20"/>
        </w:rPr>
      </w:pPr>
      <w:r w:rsidRPr="009631AB">
        <w:rPr>
          <w:noProof w:val="0"/>
          <w:szCs w:val="20"/>
        </w:rPr>
        <w:t xml:space="preserve">Para abordar dichas cuestiones, en el presente capítulo la Corte desarrollará su análisis jurídico en el siguiente orden: i) los derechos a la libertad personal, a la presunción de inocencia y a la igualdad ante la ley con ocasión a la </w:t>
      </w:r>
      <w:r w:rsidR="005A5326" w:rsidRPr="009631AB">
        <w:rPr>
          <w:noProof w:val="0"/>
          <w:szCs w:val="20"/>
        </w:rPr>
        <w:t xml:space="preserve">detención inicial y la </w:t>
      </w:r>
      <w:r w:rsidRPr="009631AB">
        <w:rPr>
          <w:noProof w:val="0"/>
          <w:szCs w:val="20"/>
        </w:rPr>
        <w:t>prisión preventiva; ii) el derecho a la integridad personal, y iii) los derechos a las garantías judiciales y la protección judicial.</w:t>
      </w:r>
    </w:p>
    <w:p w14:paraId="7AE45BD4" w14:textId="77777777" w:rsidR="003B4587" w:rsidRPr="009631AB" w:rsidRDefault="003B4587" w:rsidP="00734B53">
      <w:pPr>
        <w:pStyle w:val="Prrafodelista"/>
        <w:ind w:left="0"/>
        <w:contextualSpacing w:val="0"/>
        <w:rPr>
          <w:noProof w:val="0"/>
          <w:szCs w:val="20"/>
        </w:rPr>
      </w:pPr>
    </w:p>
    <w:p w14:paraId="25A3D319" w14:textId="7ADC4885" w:rsidR="003B4587" w:rsidRPr="009631AB" w:rsidRDefault="003B4587" w:rsidP="00F15A09">
      <w:pPr>
        <w:pStyle w:val="Ttulo1"/>
      </w:pPr>
      <w:bookmarkStart w:id="104" w:name="_Toc27069893"/>
      <w:r w:rsidRPr="009631AB">
        <w:t>VII-1</w:t>
      </w:r>
      <w:bookmarkEnd w:id="104"/>
    </w:p>
    <w:p w14:paraId="18E61BF5" w14:textId="77777777" w:rsidR="003B4587" w:rsidRPr="009631AB" w:rsidRDefault="003B4587" w:rsidP="00F15A09">
      <w:pPr>
        <w:pStyle w:val="Ttulo1"/>
      </w:pPr>
      <w:bookmarkStart w:id="105" w:name="_Toc27069894"/>
      <w:r w:rsidRPr="009631AB">
        <w:t>DERECHO A LA LIBERTAD PERSONAL</w:t>
      </w:r>
      <w:r w:rsidRPr="009631AB">
        <w:rPr>
          <w:rStyle w:val="Refdenotaalpie"/>
          <w:rFonts w:ascii="Verdana" w:hAnsi="Verdana"/>
          <w:noProof w:val="0"/>
        </w:rPr>
        <w:footnoteReference w:id="68"/>
      </w:r>
      <w:r w:rsidRPr="009631AB">
        <w:t>, A LA PRESUNCIÓN DE INOCENCIA</w:t>
      </w:r>
      <w:r w:rsidRPr="009631AB">
        <w:rPr>
          <w:rStyle w:val="Refdenotaalpie"/>
          <w:rFonts w:ascii="Verdana" w:hAnsi="Verdana"/>
          <w:noProof w:val="0"/>
        </w:rPr>
        <w:footnoteReference w:id="69"/>
      </w:r>
      <w:r w:rsidRPr="009631AB">
        <w:t xml:space="preserve"> Y A LA IGUALDAD ANTE LA LEY</w:t>
      </w:r>
      <w:r w:rsidRPr="009631AB">
        <w:rPr>
          <w:rStyle w:val="Refdenotaalpie"/>
          <w:rFonts w:ascii="Verdana" w:hAnsi="Verdana"/>
          <w:noProof w:val="0"/>
        </w:rPr>
        <w:footnoteReference w:id="70"/>
      </w:r>
      <w:bookmarkEnd w:id="105"/>
      <w:r w:rsidRPr="009631AB">
        <w:t xml:space="preserve"> </w:t>
      </w:r>
    </w:p>
    <w:p w14:paraId="4ECB507B" w14:textId="77777777" w:rsidR="003B4587" w:rsidRPr="009631AB" w:rsidRDefault="003B4587" w:rsidP="00734B53">
      <w:pPr>
        <w:pStyle w:val="Prrafodelista"/>
        <w:ind w:left="0"/>
        <w:contextualSpacing w:val="0"/>
        <w:rPr>
          <w:b/>
          <w:i/>
          <w:noProof w:val="0"/>
          <w:szCs w:val="20"/>
        </w:rPr>
      </w:pPr>
    </w:p>
    <w:p w14:paraId="68DB6DA6" w14:textId="7816029F" w:rsidR="003B4587" w:rsidRPr="009631AB" w:rsidRDefault="003B4587" w:rsidP="00D24534">
      <w:pPr>
        <w:pStyle w:val="Ttulo2"/>
        <w:numPr>
          <w:ilvl w:val="0"/>
          <w:numId w:val="27"/>
        </w:numPr>
        <w:ind w:left="0" w:firstLine="0"/>
      </w:pPr>
      <w:bookmarkStart w:id="106" w:name="_Toc27069895"/>
      <w:r w:rsidRPr="009631AB">
        <w:t>Alegatos de las partes y la Comisión</w:t>
      </w:r>
      <w:bookmarkEnd w:id="106"/>
      <w:r w:rsidRPr="009631AB">
        <w:t xml:space="preserve"> </w:t>
      </w:r>
    </w:p>
    <w:p w14:paraId="450A79E2" w14:textId="77777777" w:rsidR="003B4587" w:rsidRPr="009631AB" w:rsidRDefault="003B4587" w:rsidP="00734B53">
      <w:pPr>
        <w:pStyle w:val="Prrafodelista"/>
        <w:ind w:left="0"/>
        <w:contextualSpacing w:val="0"/>
        <w:rPr>
          <w:b/>
          <w:noProof w:val="0"/>
          <w:szCs w:val="20"/>
        </w:rPr>
      </w:pPr>
    </w:p>
    <w:p w14:paraId="3DF2A141" w14:textId="3FA50DE0" w:rsidR="003B4587" w:rsidRPr="009631AB" w:rsidRDefault="003B4587" w:rsidP="00734B53">
      <w:pPr>
        <w:pStyle w:val="Prrafodelista"/>
        <w:numPr>
          <w:ilvl w:val="0"/>
          <w:numId w:val="4"/>
        </w:numPr>
        <w:contextualSpacing w:val="0"/>
        <w:rPr>
          <w:b/>
          <w:noProof w:val="0"/>
          <w:szCs w:val="20"/>
        </w:rPr>
      </w:pPr>
      <w:r w:rsidRPr="009631AB">
        <w:rPr>
          <w:noProof w:val="0"/>
          <w:szCs w:val="20"/>
        </w:rPr>
        <w:t>La</w:t>
      </w:r>
      <w:r w:rsidRPr="009631AB">
        <w:rPr>
          <w:b/>
          <w:noProof w:val="0"/>
          <w:szCs w:val="20"/>
        </w:rPr>
        <w:t xml:space="preserve"> </w:t>
      </w:r>
      <w:r w:rsidRPr="003B3610">
        <w:rPr>
          <w:b/>
          <w:i/>
          <w:noProof w:val="0"/>
          <w:szCs w:val="20"/>
        </w:rPr>
        <w:t>Comisión</w:t>
      </w:r>
      <w:r w:rsidRPr="009631AB">
        <w:rPr>
          <w:noProof w:val="0"/>
          <w:szCs w:val="20"/>
        </w:rPr>
        <w:t xml:space="preserve"> indicó que </w:t>
      </w:r>
      <w:r w:rsidR="008A35A3" w:rsidRPr="009631AB">
        <w:rPr>
          <w:noProof w:val="0"/>
          <w:szCs w:val="20"/>
        </w:rPr>
        <w:t xml:space="preserve">de acuerdo </w:t>
      </w:r>
      <w:r w:rsidRPr="009631AB">
        <w:rPr>
          <w:noProof w:val="0"/>
          <w:szCs w:val="20"/>
        </w:rPr>
        <w:t>a la Constitución y el Código de Procedimiento Penal vigente</w:t>
      </w:r>
      <w:r w:rsidR="009E1009" w:rsidRPr="009631AB">
        <w:rPr>
          <w:noProof w:val="0"/>
          <w:szCs w:val="20"/>
        </w:rPr>
        <w:t>s</w:t>
      </w:r>
      <w:r w:rsidRPr="009631AB">
        <w:rPr>
          <w:noProof w:val="0"/>
          <w:szCs w:val="20"/>
        </w:rPr>
        <w:t xml:space="preserve"> al momento de los hechos, para que la detención fuera legal a la luz de la Convención se requería de una orden judicial</w:t>
      </w:r>
      <w:r w:rsidR="009E1009" w:rsidRPr="009631AB">
        <w:rPr>
          <w:noProof w:val="0"/>
          <w:szCs w:val="20"/>
        </w:rPr>
        <w:t>, siendo la única excepción a esta regla</w:t>
      </w:r>
      <w:r w:rsidRPr="009631AB">
        <w:rPr>
          <w:noProof w:val="0"/>
          <w:szCs w:val="20"/>
        </w:rPr>
        <w:t xml:space="preserve"> que la persona estuviese cometiendo un delito flagrante o existiera una grave presunción de responsabilidad. </w:t>
      </w:r>
    </w:p>
    <w:p w14:paraId="2020FF66" w14:textId="77777777" w:rsidR="003B4587" w:rsidRPr="009631AB" w:rsidRDefault="003B4587" w:rsidP="00734B53">
      <w:pPr>
        <w:pStyle w:val="Prrafodelista"/>
        <w:ind w:left="0"/>
        <w:contextualSpacing w:val="0"/>
        <w:rPr>
          <w:b/>
          <w:noProof w:val="0"/>
          <w:szCs w:val="20"/>
        </w:rPr>
      </w:pPr>
    </w:p>
    <w:p w14:paraId="2CF2BC28" w14:textId="5812BCA2" w:rsidR="003B4587" w:rsidRPr="009631AB" w:rsidRDefault="003B4587" w:rsidP="00734B53">
      <w:pPr>
        <w:pStyle w:val="Prrafodelista"/>
        <w:numPr>
          <w:ilvl w:val="0"/>
          <w:numId w:val="4"/>
        </w:numPr>
        <w:contextualSpacing w:val="0"/>
        <w:rPr>
          <w:b/>
          <w:noProof w:val="0"/>
          <w:szCs w:val="20"/>
        </w:rPr>
      </w:pPr>
      <w:r w:rsidRPr="009631AB">
        <w:rPr>
          <w:noProof w:val="0"/>
          <w:szCs w:val="20"/>
        </w:rPr>
        <w:t xml:space="preserve">Mencionó que no hay constancia alguna dentro del expediente </w:t>
      </w:r>
      <w:r w:rsidR="009E1009" w:rsidRPr="009631AB">
        <w:rPr>
          <w:noProof w:val="0"/>
          <w:szCs w:val="20"/>
        </w:rPr>
        <w:t xml:space="preserve">de </w:t>
      </w:r>
      <w:r w:rsidRPr="009631AB">
        <w:rPr>
          <w:noProof w:val="0"/>
          <w:szCs w:val="20"/>
        </w:rPr>
        <w:t>que al momento de la detención exist</w:t>
      </w:r>
      <w:r w:rsidR="009E1009" w:rsidRPr="009631AB">
        <w:rPr>
          <w:noProof w:val="0"/>
          <w:szCs w:val="20"/>
        </w:rPr>
        <w:t>iera</w:t>
      </w:r>
      <w:r w:rsidRPr="009631AB">
        <w:rPr>
          <w:noProof w:val="0"/>
          <w:szCs w:val="20"/>
        </w:rPr>
        <w:t xml:space="preserve"> una boleta individualizada</w:t>
      </w:r>
      <w:r w:rsidR="009E1009" w:rsidRPr="009631AB">
        <w:rPr>
          <w:noProof w:val="0"/>
          <w:szCs w:val="20"/>
        </w:rPr>
        <w:t xml:space="preserve"> y emitida por la autoridad competente </w:t>
      </w:r>
      <w:r w:rsidRPr="009631AB">
        <w:rPr>
          <w:noProof w:val="0"/>
          <w:szCs w:val="20"/>
        </w:rPr>
        <w:t>para la detención del señor Montesinos o</w:t>
      </w:r>
      <w:r w:rsidR="009E1009" w:rsidRPr="009631AB">
        <w:rPr>
          <w:noProof w:val="0"/>
          <w:szCs w:val="20"/>
        </w:rPr>
        <w:t>, en su defecto,</w:t>
      </w:r>
      <w:r w:rsidRPr="009631AB">
        <w:rPr>
          <w:noProof w:val="0"/>
          <w:szCs w:val="20"/>
        </w:rPr>
        <w:t xml:space="preserve"> que hubiese sido capturado en flagrancia. Observó que la causal de “grave presunción de responsabilidad” se encontraba más allá de la Constitución ecuatoriana vigente y abría la puerta para que la autoridad policial realizara restricciones a la libertad personal y que esta dependiera de la valoración subjetiva del funcionario. </w:t>
      </w:r>
    </w:p>
    <w:p w14:paraId="772904AC" w14:textId="77777777" w:rsidR="003B4587" w:rsidRPr="009631AB" w:rsidRDefault="003B4587" w:rsidP="00734B53">
      <w:pPr>
        <w:pStyle w:val="Prrafodelista"/>
        <w:ind w:left="0"/>
        <w:contextualSpacing w:val="0"/>
        <w:rPr>
          <w:b/>
          <w:noProof w:val="0"/>
          <w:szCs w:val="20"/>
        </w:rPr>
      </w:pPr>
    </w:p>
    <w:p w14:paraId="7BA538E3" w14:textId="45D8ECB5" w:rsidR="003B4587" w:rsidRPr="009631AB" w:rsidRDefault="003B4587" w:rsidP="00734B53">
      <w:pPr>
        <w:pStyle w:val="Prrafodelista"/>
        <w:numPr>
          <w:ilvl w:val="0"/>
          <w:numId w:val="4"/>
        </w:numPr>
        <w:contextualSpacing w:val="0"/>
        <w:rPr>
          <w:b/>
          <w:noProof w:val="0"/>
          <w:szCs w:val="20"/>
        </w:rPr>
      </w:pPr>
      <w:r w:rsidRPr="009631AB">
        <w:rPr>
          <w:noProof w:val="0"/>
          <w:szCs w:val="20"/>
        </w:rPr>
        <w:t xml:space="preserve">En relación a la detención preventiva del señor Montesinos, la Comisión </w:t>
      </w:r>
      <w:r w:rsidR="008A35A3" w:rsidRPr="009631AB">
        <w:rPr>
          <w:noProof w:val="0"/>
          <w:szCs w:val="20"/>
        </w:rPr>
        <w:t>r</w:t>
      </w:r>
      <w:r w:rsidRPr="009631AB">
        <w:rPr>
          <w:noProof w:val="0"/>
          <w:szCs w:val="20"/>
        </w:rPr>
        <w:t xml:space="preserve">ecordó que es una medida cautelar y no punitiva y que toda decisión que limite la libertad de una persona </w:t>
      </w:r>
      <w:r w:rsidRPr="009631AB">
        <w:rPr>
          <w:noProof w:val="0"/>
          <w:szCs w:val="20"/>
        </w:rPr>
        <w:lastRenderedPageBreak/>
        <w:t>de forma preventiva debe estar motivada suficientemente. Indicó</w:t>
      </w:r>
      <w:r w:rsidR="003673CD" w:rsidRPr="009631AB">
        <w:rPr>
          <w:noProof w:val="0"/>
          <w:szCs w:val="20"/>
        </w:rPr>
        <w:t xml:space="preserve">, </w:t>
      </w:r>
      <w:r w:rsidRPr="009631AB">
        <w:rPr>
          <w:noProof w:val="0"/>
          <w:szCs w:val="20"/>
        </w:rPr>
        <w:t>de igual forma</w:t>
      </w:r>
      <w:r w:rsidR="003673CD" w:rsidRPr="009631AB">
        <w:rPr>
          <w:noProof w:val="0"/>
          <w:szCs w:val="20"/>
        </w:rPr>
        <w:t>, que</w:t>
      </w:r>
      <w:r w:rsidRPr="009631AB">
        <w:rPr>
          <w:noProof w:val="0"/>
          <w:szCs w:val="20"/>
        </w:rPr>
        <w:t xml:space="preserve"> el uso indebido de la prisión preventiva puede tener impactos en la presunción de inocencia, lo que tiene un especial énfasis en casos en donde su aplicación se funda en la expectativa de pena o la mera existencia de indicios contra el acusado. </w:t>
      </w:r>
    </w:p>
    <w:p w14:paraId="0C8446CB" w14:textId="77777777" w:rsidR="003B4587" w:rsidRPr="009631AB" w:rsidRDefault="003B4587" w:rsidP="00734B53">
      <w:pPr>
        <w:pStyle w:val="Prrafodelista"/>
        <w:ind w:left="0"/>
        <w:contextualSpacing w:val="0"/>
        <w:rPr>
          <w:b/>
          <w:noProof w:val="0"/>
          <w:szCs w:val="20"/>
        </w:rPr>
      </w:pPr>
    </w:p>
    <w:p w14:paraId="499C83A1" w14:textId="3FB26D34" w:rsidR="003B4587" w:rsidRPr="009631AB" w:rsidRDefault="003B4587" w:rsidP="00734B53">
      <w:pPr>
        <w:pStyle w:val="Prrafodelista"/>
        <w:numPr>
          <w:ilvl w:val="0"/>
          <w:numId w:val="4"/>
        </w:numPr>
        <w:contextualSpacing w:val="0"/>
        <w:rPr>
          <w:noProof w:val="0"/>
          <w:szCs w:val="20"/>
        </w:rPr>
      </w:pPr>
      <w:r w:rsidRPr="009631AB">
        <w:rPr>
          <w:noProof w:val="0"/>
          <w:szCs w:val="20"/>
        </w:rPr>
        <w:t xml:space="preserve">En el caso concreto, la Comisión sostuvo que la normatividad vigente al momento de los hechos permitía establecer la prisión preventiva solamente con indicios de responsabilidad. Agregó que la detención preventiva del señor Montesinos tuvo duración de por lo menos seis años, por lo que se extendió de manera irrazonable sin justificación convencional alguna. </w:t>
      </w:r>
    </w:p>
    <w:p w14:paraId="1472A5F0" w14:textId="77777777" w:rsidR="003B4587" w:rsidRPr="009631AB" w:rsidRDefault="003B4587" w:rsidP="00734B53">
      <w:pPr>
        <w:pStyle w:val="Prrafodelista"/>
        <w:ind w:left="0"/>
        <w:contextualSpacing w:val="0"/>
        <w:rPr>
          <w:noProof w:val="0"/>
          <w:szCs w:val="20"/>
        </w:rPr>
      </w:pPr>
    </w:p>
    <w:p w14:paraId="0D5491A0" w14:textId="326AA89E" w:rsidR="003B4587" w:rsidRPr="009631AB" w:rsidRDefault="003B4587" w:rsidP="00734B53">
      <w:pPr>
        <w:pStyle w:val="Prrafodelista"/>
        <w:numPr>
          <w:ilvl w:val="0"/>
          <w:numId w:val="4"/>
        </w:numPr>
        <w:contextualSpacing w:val="0"/>
        <w:rPr>
          <w:noProof w:val="0"/>
          <w:szCs w:val="20"/>
        </w:rPr>
      </w:pPr>
      <w:r w:rsidRPr="009631AB">
        <w:rPr>
          <w:noProof w:val="0"/>
          <w:szCs w:val="20"/>
        </w:rPr>
        <w:t>En ese sentido, observó que durante más de la mitad de la detención preventiva del señor Montesinos estuvo vigente el artículo 114 del Código Penal, el cual disponía la improcedencia de la solicitud de excarcelación en delitos relacionados con la Ley sobre Estupefacientes y Sustancias Psicotrópicas. Por lo que, en virtud de ese artículo</w:t>
      </w:r>
      <w:r w:rsidR="003673CD" w:rsidRPr="009631AB">
        <w:rPr>
          <w:noProof w:val="0"/>
          <w:szCs w:val="20"/>
        </w:rPr>
        <w:t>,</w:t>
      </w:r>
      <w:r w:rsidRPr="009631AB">
        <w:rPr>
          <w:noProof w:val="0"/>
          <w:szCs w:val="20"/>
        </w:rPr>
        <w:t xml:space="preserve"> en Ecuador existió un tratamiento desigual hasta el 24 de diciembre de 1997, fecha en la que el Tribunal Constitucional declaró la norma inconstitucional. </w:t>
      </w:r>
    </w:p>
    <w:p w14:paraId="00636BC3" w14:textId="77777777" w:rsidR="003B4587" w:rsidRPr="009631AB" w:rsidRDefault="003B4587" w:rsidP="00734B53">
      <w:pPr>
        <w:pStyle w:val="Prrafodelista"/>
        <w:ind w:left="0"/>
        <w:contextualSpacing w:val="0"/>
        <w:rPr>
          <w:b/>
          <w:noProof w:val="0"/>
          <w:szCs w:val="20"/>
        </w:rPr>
      </w:pPr>
    </w:p>
    <w:p w14:paraId="0129DA01" w14:textId="1E9C1ECD" w:rsidR="003B4587" w:rsidRPr="009631AB" w:rsidRDefault="003B4587" w:rsidP="00734B53">
      <w:pPr>
        <w:pStyle w:val="Prrafodelista"/>
        <w:numPr>
          <w:ilvl w:val="0"/>
          <w:numId w:val="4"/>
        </w:numPr>
        <w:contextualSpacing w:val="0"/>
        <w:rPr>
          <w:b/>
          <w:noProof w:val="0"/>
          <w:szCs w:val="20"/>
        </w:rPr>
      </w:pPr>
      <w:r w:rsidRPr="009631AB">
        <w:rPr>
          <w:noProof w:val="0"/>
          <w:szCs w:val="20"/>
        </w:rPr>
        <w:t xml:space="preserve">En relación al artículo 7.5 de la Convención, </w:t>
      </w:r>
      <w:r w:rsidR="003673CD" w:rsidRPr="009631AB">
        <w:rPr>
          <w:noProof w:val="0"/>
          <w:szCs w:val="20"/>
        </w:rPr>
        <w:t xml:space="preserve">la Comisión recordó que </w:t>
      </w:r>
      <w:r w:rsidRPr="009631AB">
        <w:rPr>
          <w:noProof w:val="0"/>
          <w:szCs w:val="20"/>
        </w:rPr>
        <w:t>toda persona sometida a una detención tiene derecho a que una autoridad judicial revise dicha detención sin demora, como medio de control idóneo para evitar las capturas arbitrarias e ilegales. En el caso concreto</w:t>
      </w:r>
      <w:r w:rsidR="00BF4B60" w:rsidRPr="009631AB">
        <w:rPr>
          <w:noProof w:val="0"/>
          <w:szCs w:val="20"/>
        </w:rPr>
        <w:t>,</w:t>
      </w:r>
      <w:r w:rsidRPr="009631AB">
        <w:rPr>
          <w:noProof w:val="0"/>
          <w:szCs w:val="20"/>
        </w:rPr>
        <w:t xml:space="preserve"> el primer pronunciamiento judicial </w:t>
      </w:r>
      <w:r w:rsidR="008D3984">
        <w:rPr>
          <w:noProof w:val="0"/>
          <w:szCs w:val="20"/>
        </w:rPr>
        <w:t xml:space="preserve">es de fecha </w:t>
      </w:r>
      <w:r w:rsidRPr="009631AB">
        <w:rPr>
          <w:noProof w:val="0"/>
          <w:szCs w:val="20"/>
        </w:rPr>
        <w:t xml:space="preserve">13 de agosto de 1992 y la boleta que da cuenta de la detención no permite establecer con certeza que la presunta víctima haya sido efectivamente presentada ante la autoridad judicial. </w:t>
      </w:r>
    </w:p>
    <w:p w14:paraId="3D9D1AC0" w14:textId="77777777" w:rsidR="003B4587" w:rsidRPr="009631AB" w:rsidRDefault="003B4587" w:rsidP="00734B53">
      <w:pPr>
        <w:pStyle w:val="Prrafodelista"/>
        <w:ind w:left="0"/>
        <w:contextualSpacing w:val="0"/>
        <w:rPr>
          <w:b/>
          <w:noProof w:val="0"/>
          <w:szCs w:val="20"/>
        </w:rPr>
      </w:pPr>
    </w:p>
    <w:p w14:paraId="4F181D6A" w14:textId="0134A086" w:rsidR="003B4587" w:rsidRPr="009631AB" w:rsidRDefault="003B4587" w:rsidP="00734B53">
      <w:pPr>
        <w:pStyle w:val="Prrafodelista"/>
        <w:numPr>
          <w:ilvl w:val="0"/>
          <w:numId w:val="4"/>
        </w:numPr>
        <w:contextualSpacing w:val="0"/>
        <w:rPr>
          <w:b/>
          <w:i/>
          <w:noProof w:val="0"/>
          <w:szCs w:val="20"/>
        </w:rPr>
      </w:pPr>
      <w:r w:rsidRPr="009631AB">
        <w:rPr>
          <w:noProof w:val="0"/>
          <w:szCs w:val="20"/>
        </w:rPr>
        <w:t xml:space="preserve">Respecto al recurso de </w:t>
      </w:r>
      <w:r w:rsidR="00DA7EEF" w:rsidRPr="00DA7EEF">
        <w:rPr>
          <w:noProof w:val="0"/>
          <w:szCs w:val="20"/>
        </w:rPr>
        <w:t>hábeas corpus</w:t>
      </w:r>
      <w:r w:rsidRPr="009631AB">
        <w:rPr>
          <w:noProof w:val="0"/>
          <w:szCs w:val="20"/>
        </w:rPr>
        <w:t xml:space="preserve">, la Comisión sostuvo que el primer recurso presentado en septiembre de 1996 ante el alcalde del Distrito Metropolitano de Quito no tenía carácter judicial. Posteriormente, la sentencia emitida por el Tribunal de Garantías Constitucionales en sede de apelación no fue cumplida sino hasta que existió un segundo pronunciamiento por parte del mismo Tribunal a partir de un segundo </w:t>
      </w:r>
      <w:r w:rsidR="00DA7EEF" w:rsidRPr="00DA7EEF">
        <w:rPr>
          <w:noProof w:val="0"/>
          <w:szCs w:val="20"/>
        </w:rPr>
        <w:t>hábeas corpus</w:t>
      </w:r>
      <w:r w:rsidRPr="009631AB">
        <w:rPr>
          <w:noProof w:val="0"/>
          <w:szCs w:val="20"/>
        </w:rPr>
        <w:t xml:space="preserve"> en el año de 1998, por lo que la Comisión encontró que el recurso carecía de efectividad. </w:t>
      </w:r>
    </w:p>
    <w:p w14:paraId="6B2D4C9D" w14:textId="77777777" w:rsidR="003B4587" w:rsidRPr="009631AB" w:rsidRDefault="003B4587" w:rsidP="00734B53">
      <w:pPr>
        <w:pStyle w:val="Prrafodelista"/>
        <w:ind w:left="0"/>
        <w:contextualSpacing w:val="0"/>
        <w:rPr>
          <w:b/>
          <w:i/>
          <w:noProof w:val="0"/>
          <w:szCs w:val="20"/>
        </w:rPr>
      </w:pPr>
    </w:p>
    <w:p w14:paraId="43E10C76" w14:textId="265B7366" w:rsidR="003B4587" w:rsidRPr="009631AB" w:rsidRDefault="003B4587" w:rsidP="00734B53">
      <w:pPr>
        <w:pStyle w:val="Prrafodelista"/>
        <w:numPr>
          <w:ilvl w:val="0"/>
          <w:numId w:val="4"/>
        </w:numPr>
        <w:contextualSpacing w:val="0"/>
        <w:rPr>
          <w:b/>
          <w:i/>
          <w:noProof w:val="0"/>
          <w:szCs w:val="20"/>
        </w:rPr>
      </w:pPr>
      <w:r w:rsidRPr="009631AB">
        <w:rPr>
          <w:noProof w:val="0"/>
          <w:szCs w:val="20"/>
        </w:rPr>
        <w:t>En consecuencia, la Comisión concluyó que el Estado de Ecuador violó los artículos 7.1, 7.2, 7.3, 7.5, 7.6, 8.2, 24 y 25.2</w:t>
      </w:r>
      <w:r w:rsidR="008A35A3" w:rsidRPr="009631AB">
        <w:rPr>
          <w:noProof w:val="0"/>
          <w:szCs w:val="20"/>
        </w:rPr>
        <w:t>.</w:t>
      </w:r>
      <w:r w:rsidRPr="009631AB">
        <w:rPr>
          <w:noProof w:val="0"/>
          <w:szCs w:val="20"/>
        </w:rPr>
        <w:t xml:space="preserve">c de la Convención Americana, en relación con las obligaciones establecidas en los artículos 1.1 y 2 del mismo instrumento, en perjuicio del señor Mario Montesinos Mejía. </w:t>
      </w:r>
    </w:p>
    <w:p w14:paraId="2BA7D439" w14:textId="77777777" w:rsidR="003B4587" w:rsidRPr="009631AB" w:rsidRDefault="003B4587" w:rsidP="00734B53">
      <w:pPr>
        <w:pStyle w:val="Prrafodelista"/>
        <w:ind w:left="0"/>
        <w:contextualSpacing w:val="0"/>
        <w:rPr>
          <w:b/>
          <w:i/>
          <w:noProof w:val="0"/>
          <w:szCs w:val="20"/>
        </w:rPr>
      </w:pPr>
    </w:p>
    <w:p w14:paraId="608561E0" w14:textId="62F74309" w:rsidR="003B4587" w:rsidRPr="009631AB" w:rsidRDefault="003B4587" w:rsidP="00734B53">
      <w:pPr>
        <w:pStyle w:val="Prrafodelista"/>
        <w:numPr>
          <w:ilvl w:val="0"/>
          <w:numId w:val="4"/>
        </w:numPr>
        <w:contextualSpacing w:val="0"/>
        <w:rPr>
          <w:b/>
          <w:i/>
          <w:noProof w:val="0"/>
          <w:szCs w:val="20"/>
        </w:rPr>
      </w:pPr>
      <w:r w:rsidRPr="009631AB">
        <w:rPr>
          <w:noProof w:val="0"/>
          <w:szCs w:val="20"/>
        </w:rPr>
        <w:t xml:space="preserve">El </w:t>
      </w:r>
      <w:r w:rsidRPr="009631AB">
        <w:rPr>
          <w:b/>
          <w:i/>
          <w:noProof w:val="0"/>
          <w:szCs w:val="20"/>
        </w:rPr>
        <w:t>Representante</w:t>
      </w:r>
      <w:r w:rsidR="003E3DB3" w:rsidRPr="009631AB">
        <w:rPr>
          <w:b/>
          <w:i/>
          <w:noProof w:val="0"/>
          <w:szCs w:val="20"/>
        </w:rPr>
        <w:t>,</w:t>
      </w:r>
      <w:r w:rsidRPr="009631AB">
        <w:rPr>
          <w:noProof w:val="0"/>
          <w:szCs w:val="20"/>
        </w:rPr>
        <w:t xml:space="preserve"> en general</w:t>
      </w:r>
      <w:r w:rsidR="003E3DB3" w:rsidRPr="009631AB">
        <w:rPr>
          <w:noProof w:val="0"/>
          <w:szCs w:val="20"/>
        </w:rPr>
        <w:t>,</w:t>
      </w:r>
      <w:r w:rsidRPr="009631AB">
        <w:rPr>
          <w:noProof w:val="0"/>
          <w:szCs w:val="20"/>
        </w:rPr>
        <w:t xml:space="preserve"> coincidió con la Comisión. </w:t>
      </w:r>
      <w:r w:rsidR="00BF4B60" w:rsidRPr="009631AB">
        <w:rPr>
          <w:noProof w:val="0"/>
          <w:szCs w:val="20"/>
        </w:rPr>
        <w:t>A</w:t>
      </w:r>
      <w:r w:rsidRPr="009631AB">
        <w:rPr>
          <w:noProof w:val="0"/>
          <w:szCs w:val="20"/>
        </w:rPr>
        <w:t>gregó que la incomunicación a la cual fue sometida la presunta víctima resultó arbitraria</w:t>
      </w:r>
      <w:r w:rsidR="003673CD" w:rsidRPr="009631AB">
        <w:rPr>
          <w:noProof w:val="0"/>
          <w:szCs w:val="20"/>
        </w:rPr>
        <w:t xml:space="preserve"> y</w:t>
      </w:r>
      <w:r w:rsidRPr="009631AB">
        <w:rPr>
          <w:noProof w:val="0"/>
          <w:szCs w:val="20"/>
        </w:rPr>
        <w:t xml:space="preserve"> que el centro de detención no </w:t>
      </w:r>
      <w:r w:rsidR="00810C08" w:rsidRPr="009631AB">
        <w:rPr>
          <w:noProof w:val="0"/>
          <w:szCs w:val="20"/>
        </w:rPr>
        <w:t>cumplía</w:t>
      </w:r>
      <w:r w:rsidRPr="009631AB">
        <w:rPr>
          <w:noProof w:val="0"/>
          <w:szCs w:val="20"/>
        </w:rPr>
        <w:t xml:space="preserve"> con los estándares internacionales. Sostuvo</w:t>
      </w:r>
      <w:r w:rsidR="003673CD" w:rsidRPr="009631AB">
        <w:rPr>
          <w:noProof w:val="0"/>
          <w:szCs w:val="20"/>
        </w:rPr>
        <w:t>, además,</w:t>
      </w:r>
      <w:r w:rsidRPr="009631AB">
        <w:rPr>
          <w:noProof w:val="0"/>
          <w:szCs w:val="20"/>
        </w:rPr>
        <w:t xml:space="preserve"> que el señor Montesinos no fue informado de las razones de su detención ni</w:t>
      </w:r>
      <w:r w:rsidR="003673CD" w:rsidRPr="009631AB">
        <w:rPr>
          <w:noProof w:val="0"/>
          <w:szCs w:val="20"/>
        </w:rPr>
        <w:t xml:space="preserve"> de</w:t>
      </w:r>
      <w:r w:rsidRPr="009631AB">
        <w:rPr>
          <w:noProof w:val="0"/>
          <w:szCs w:val="20"/>
        </w:rPr>
        <w:t xml:space="preserve"> los cargos formulados en su contra, los cuáles conoció hasta noviembre de 1992.</w:t>
      </w:r>
      <w:r w:rsidRPr="009631AB">
        <w:rPr>
          <w:b/>
          <w:noProof w:val="0"/>
          <w:szCs w:val="20"/>
        </w:rPr>
        <w:t xml:space="preserve"> </w:t>
      </w:r>
    </w:p>
    <w:p w14:paraId="7808C00A" w14:textId="77777777" w:rsidR="003B4587" w:rsidRPr="009631AB" w:rsidRDefault="003B4587" w:rsidP="00734B53">
      <w:pPr>
        <w:pStyle w:val="Prrafodelista"/>
        <w:ind w:left="0"/>
        <w:contextualSpacing w:val="0"/>
        <w:rPr>
          <w:noProof w:val="0"/>
          <w:szCs w:val="20"/>
        </w:rPr>
      </w:pPr>
    </w:p>
    <w:p w14:paraId="43E41D28" w14:textId="0AA9C5D9" w:rsidR="003B4587" w:rsidRPr="009631AB" w:rsidRDefault="003B4587" w:rsidP="00734B53">
      <w:pPr>
        <w:pStyle w:val="Prrafodelista"/>
        <w:numPr>
          <w:ilvl w:val="0"/>
          <w:numId w:val="4"/>
        </w:numPr>
        <w:contextualSpacing w:val="0"/>
        <w:rPr>
          <w:noProof w:val="0"/>
          <w:szCs w:val="20"/>
        </w:rPr>
      </w:pPr>
      <w:r w:rsidRPr="009631AB">
        <w:rPr>
          <w:bCs/>
          <w:szCs w:val="20"/>
        </w:rPr>
        <w:t xml:space="preserve">Además, estableció que el artículo 7.6 de la Convención, en relación con el artículo 25.1 de la misma, fue violado en razón de que el </w:t>
      </w:r>
      <w:r w:rsidR="00DA7EEF" w:rsidRPr="00DA7EEF">
        <w:rPr>
          <w:bCs/>
          <w:szCs w:val="20"/>
        </w:rPr>
        <w:t>hábeas corpus</w:t>
      </w:r>
      <w:r w:rsidRPr="009631AB">
        <w:rPr>
          <w:bCs/>
          <w:szCs w:val="20"/>
        </w:rPr>
        <w:t xml:space="preserve"> no fue conocido por una autoridad judicial. A esto agregó el incumplimiento de la orden dictada por el Tribunal de Garantías Constitucionales en apelación</w:t>
      </w:r>
      <w:r w:rsidRPr="009631AB">
        <w:rPr>
          <w:i/>
          <w:szCs w:val="20"/>
          <w:lang w:val="es-CO"/>
        </w:rPr>
        <w:t>.</w:t>
      </w:r>
    </w:p>
    <w:p w14:paraId="213F62F0" w14:textId="77777777" w:rsidR="003B4587" w:rsidRPr="009631AB" w:rsidRDefault="003B4587" w:rsidP="00734B53">
      <w:pPr>
        <w:spacing w:after="0" w:line="240" w:lineRule="auto"/>
        <w:rPr>
          <w:b/>
          <w:szCs w:val="20"/>
        </w:rPr>
      </w:pPr>
    </w:p>
    <w:p w14:paraId="17C34C75" w14:textId="33039133" w:rsidR="003B4587" w:rsidRPr="009631AB" w:rsidRDefault="003B4587" w:rsidP="00734B53">
      <w:pPr>
        <w:pStyle w:val="Prrafodelista"/>
        <w:numPr>
          <w:ilvl w:val="0"/>
          <w:numId w:val="4"/>
        </w:numPr>
        <w:contextualSpacing w:val="0"/>
        <w:rPr>
          <w:b/>
          <w:noProof w:val="0"/>
          <w:szCs w:val="20"/>
        </w:rPr>
      </w:pPr>
      <w:r w:rsidRPr="009631AB">
        <w:rPr>
          <w:noProof w:val="0"/>
          <w:szCs w:val="20"/>
        </w:rPr>
        <w:t xml:space="preserve">El </w:t>
      </w:r>
      <w:r w:rsidRPr="009631AB">
        <w:rPr>
          <w:b/>
          <w:i/>
          <w:noProof w:val="0"/>
          <w:szCs w:val="20"/>
        </w:rPr>
        <w:t>Estado</w:t>
      </w:r>
      <w:r w:rsidRPr="009631AB">
        <w:rPr>
          <w:noProof w:val="0"/>
          <w:szCs w:val="20"/>
        </w:rPr>
        <w:t xml:space="preserve"> indicó que realizó una serie de reformas en el ordenamiento jurídico del Ecuador conforme a los estándares internacionales de derechos humanos y </w:t>
      </w:r>
      <w:r w:rsidR="000D73EA">
        <w:rPr>
          <w:noProof w:val="0"/>
          <w:szCs w:val="20"/>
        </w:rPr>
        <w:t xml:space="preserve">en orden a combatir </w:t>
      </w:r>
      <w:r w:rsidRPr="009631AB">
        <w:rPr>
          <w:noProof w:val="0"/>
          <w:szCs w:val="20"/>
        </w:rPr>
        <w:t xml:space="preserve">el tráfico de drogas. Sostuvo que dichas adecuaciones resultan suficientes para cumplir con el mandato del artículo 2 de la Convención Americana. </w:t>
      </w:r>
    </w:p>
    <w:p w14:paraId="3A58F1FB" w14:textId="77777777" w:rsidR="003B4587" w:rsidRPr="009631AB" w:rsidRDefault="003B4587" w:rsidP="00734B53">
      <w:pPr>
        <w:pStyle w:val="Prrafodelista"/>
        <w:ind w:left="0"/>
        <w:contextualSpacing w:val="0"/>
        <w:rPr>
          <w:b/>
          <w:noProof w:val="0"/>
          <w:szCs w:val="20"/>
        </w:rPr>
      </w:pPr>
    </w:p>
    <w:p w14:paraId="53DF3FA2" w14:textId="4B45CBD5" w:rsidR="00272582" w:rsidRPr="009631AB" w:rsidRDefault="003B4587" w:rsidP="00E5050D">
      <w:pPr>
        <w:pStyle w:val="Prrafodelista"/>
        <w:numPr>
          <w:ilvl w:val="0"/>
          <w:numId w:val="4"/>
        </w:numPr>
        <w:contextualSpacing w:val="0"/>
        <w:rPr>
          <w:noProof w:val="0"/>
          <w:szCs w:val="20"/>
        </w:rPr>
      </w:pPr>
      <w:r w:rsidRPr="009631AB">
        <w:rPr>
          <w:noProof w:val="0"/>
          <w:szCs w:val="20"/>
        </w:rPr>
        <w:lastRenderedPageBreak/>
        <w:t>Respecto a las alegadas violaciones del artículo 7 de la Convención</w:t>
      </w:r>
      <w:r w:rsidR="002D0A32">
        <w:rPr>
          <w:noProof w:val="0"/>
          <w:szCs w:val="20"/>
        </w:rPr>
        <w:t>,</w:t>
      </w:r>
      <w:r w:rsidR="000D73EA">
        <w:rPr>
          <w:noProof w:val="0"/>
          <w:szCs w:val="20"/>
        </w:rPr>
        <w:t xml:space="preserve"> en particular </w:t>
      </w:r>
      <w:r w:rsidRPr="009631AB">
        <w:rPr>
          <w:noProof w:val="0"/>
          <w:szCs w:val="20"/>
        </w:rPr>
        <w:t xml:space="preserve">sobre la presunta falta de una orden de captura en </w:t>
      </w:r>
      <w:r w:rsidR="00272582" w:rsidRPr="009631AB">
        <w:rPr>
          <w:noProof w:val="0"/>
          <w:szCs w:val="20"/>
        </w:rPr>
        <w:t xml:space="preserve">contravención </w:t>
      </w:r>
      <w:r w:rsidRPr="009631AB">
        <w:rPr>
          <w:noProof w:val="0"/>
          <w:szCs w:val="20"/>
        </w:rPr>
        <w:t>del artículo 7.2 de la Convención, el E</w:t>
      </w:r>
      <w:r w:rsidRPr="008E2396">
        <w:rPr>
          <w:noProof w:val="0"/>
          <w:color w:val="000000" w:themeColor="text1"/>
          <w:szCs w:val="20"/>
        </w:rPr>
        <w:t>stado argumentó</w:t>
      </w:r>
      <w:r w:rsidR="00666F43" w:rsidRPr="008E2396">
        <w:rPr>
          <w:noProof w:val="0"/>
          <w:color w:val="000000" w:themeColor="text1"/>
          <w:szCs w:val="20"/>
        </w:rPr>
        <w:t xml:space="preserve"> </w:t>
      </w:r>
      <w:r w:rsidRPr="009631AB">
        <w:rPr>
          <w:noProof w:val="0"/>
          <w:szCs w:val="20"/>
        </w:rPr>
        <w:t xml:space="preserve">que las investigaciones policiales que se constatan en el informe de la Dirección Nacional de Investigaciones daban cuenta de que la aprehensión no se dio motivada por una “falsa percepción”, sino por una serie de elementos probatorios. Además, destacó que el hecho de que en los procesos judiciales la presunta víctima haya desvirtuado esas pruebas y haya obtenido sentencias favorables, no implicaba que la decisión de apertura de investigaciones haya sido injustificada. </w:t>
      </w:r>
    </w:p>
    <w:p w14:paraId="66CD66DD" w14:textId="77777777" w:rsidR="00272582" w:rsidRPr="009631AB" w:rsidRDefault="00272582" w:rsidP="00E5050D">
      <w:pPr>
        <w:pStyle w:val="Prrafodelista"/>
        <w:ind w:left="0"/>
        <w:contextualSpacing w:val="0"/>
        <w:rPr>
          <w:noProof w:val="0"/>
          <w:szCs w:val="20"/>
        </w:rPr>
      </w:pPr>
    </w:p>
    <w:p w14:paraId="4C26B920" w14:textId="0D57C945" w:rsidR="003B4587" w:rsidRPr="009631AB" w:rsidRDefault="00272582" w:rsidP="00E5050D">
      <w:pPr>
        <w:pStyle w:val="Prrafodelista"/>
        <w:numPr>
          <w:ilvl w:val="0"/>
          <w:numId w:val="4"/>
        </w:numPr>
        <w:contextualSpacing w:val="0"/>
        <w:rPr>
          <w:b/>
          <w:noProof w:val="0"/>
          <w:szCs w:val="20"/>
        </w:rPr>
      </w:pPr>
      <w:r w:rsidRPr="009631AB">
        <w:rPr>
          <w:noProof w:val="0"/>
          <w:szCs w:val="20"/>
        </w:rPr>
        <w:t>Sobre la violación del artíc</w:t>
      </w:r>
      <w:r w:rsidR="00E5050D" w:rsidRPr="009631AB">
        <w:rPr>
          <w:noProof w:val="0"/>
          <w:szCs w:val="20"/>
        </w:rPr>
        <w:t>ul</w:t>
      </w:r>
      <w:r w:rsidRPr="009631AB">
        <w:rPr>
          <w:noProof w:val="0"/>
          <w:szCs w:val="20"/>
        </w:rPr>
        <w:t>o 7.3, m</w:t>
      </w:r>
      <w:r w:rsidR="003B4587" w:rsidRPr="009631AB">
        <w:rPr>
          <w:noProof w:val="0"/>
          <w:szCs w:val="20"/>
        </w:rPr>
        <w:t xml:space="preserve">encionó que la presunta víctima presentó </w:t>
      </w:r>
      <w:r w:rsidRPr="009631AB">
        <w:rPr>
          <w:noProof w:val="0"/>
          <w:szCs w:val="20"/>
        </w:rPr>
        <w:t>ante el Tribunal de G</w:t>
      </w:r>
      <w:r w:rsidR="008E7B41" w:rsidRPr="009631AB">
        <w:rPr>
          <w:noProof w:val="0"/>
          <w:szCs w:val="20"/>
        </w:rPr>
        <w:t>a</w:t>
      </w:r>
      <w:r w:rsidRPr="009631AB">
        <w:rPr>
          <w:noProof w:val="0"/>
          <w:szCs w:val="20"/>
        </w:rPr>
        <w:t xml:space="preserve">rantías Constitucionales </w:t>
      </w:r>
      <w:r w:rsidR="003B4587" w:rsidRPr="009631AB">
        <w:rPr>
          <w:noProof w:val="0"/>
          <w:szCs w:val="20"/>
        </w:rPr>
        <w:t xml:space="preserve">sus argumentos </w:t>
      </w:r>
      <w:r w:rsidRPr="009631AB">
        <w:rPr>
          <w:noProof w:val="0"/>
          <w:szCs w:val="20"/>
        </w:rPr>
        <w:t>sobre</w:t>
      </w:r>
      <w:r w:rsidR="003B4587" w:rsidRPr="009631AB">
        <w:rPr>
          <w:noProof w:val="0"/>
          <w:szCs w:val="20"/>
        </w:rPr>
        <w:t xml:space="preserve"> la incomunicación y detención arbitraria</w:t>
      </w:r>
      <w:r w:rsidRPr="009631AB">
        <w:rPr>
          <w:noProof w:val="0"/>
          <w:szCs w:val="20"/>
        </w:rPr>
        <w:t xml:space="preserve"> en razón de la</w:t>
      </w:r>
      <w:r w:rsidR="00E5050D" w:rsidRPr="009631AB">
        <w:rPr>
          <w:noProof w:val="0"/>
          <w:szCs w:val="20"/>
        </w:rPr>
        <w:t xml:space="preserve"> </w:t>
      </w:r>
      <w:r w:rsidR="003B4587" w:rsidRPr="009631AB">
        <w:rPr>
          <w:noProof w:val="0"/>
          <w:szCs w:val="20"/>
        </w:rPr>
        <w:t>inconstitucionalidad del informe policial</w:t>
      </w:r>
      <w:r w:rsidRPr="009631AB">
        <w:rPr>
          <w:noProof w:val="0"/>
          <w:szCs w:val="20"/>
        </w:rPr>
        <w:t xml:space="preserve">. Estos argumentos, </w:t>
      </w:r>
      <w:r w:rsidR="00A40D2A" w:rsidRPr="009631AB">
        <w:rPr>
          <w:noProof w:val="0"/>
          <w:szCs w:val="20"/>
        </w:rPr>
        <w:t>precisó,</w:t>
      </w:r>
      <w:r w:rsidR="003B4587" w:rsidRPr="009631AB">
        <w:rPr>
          <w:noProof w:val="0"/>
          <w:szCs w:val="20"/>
        </w:rPr>
        <w:t xml:space="preserve"> </w:t>
      </w:r>
      <w:r w:rsidRPr="009631AB">
        <w:rPr>
          <w:noProof w:val="0"/>
          <w:szCs w:val="20"/>
        </w:rPr>
        <w:t xml:space="preserve">fueron en efecto conocidos por dicho Tribunal quien decidió la inadmisión de </w:t>
      </w:r>
      <w:r w:rsidR="003B4587" w:rsidRPr="009631AB">
        <w:rPr>
          <w:noProof w:val="0"/>
          <w:szCs w:val="20"/>
        </w:rPr>
        <w:t xml:space="preserve">la pretensión de inconstitucionalidad. </w:t>
      </w:r>
    </w:p>
    <w:p w14:paraId="0498CEA2" w14:textId="77777777" w:rsidR="003B4587" w:rsidRPr="009631AB" w:rsidRDefault="003B4587" w:rsidP="00734B53">
      <w:pPr>
        <w:pStyle w:val="Prrafodelista"/>
        <w:ind w:left="0"/>
        <w:contextualSpacing w:val="0"/>
        <w:rPr>
          <w:b/>
          <w:noProof w:val="0"/>
          <w:szCs w:val="20"/>
        </w:rPr>
      </w:pPr>
    </w:p>
    <w:p w14:paraId="753BC456" w14:textId="2154950A" w:rsidR="003B4587" w:rsidRPr="009631AB" w:rsidRDefault="008D3984" w:rsidP="00734B53">
      <w:pPr>
        <w:pStyle w:val="Prrafodelista"/>
        <w:numPr>
          <w:ilvl w:val="0"/>
          <w:numId w:val="4"/>
        </w:numPr>
        <w:contextualSpacing w:val="0"/>
        <w:rPr>
          <w:b/>
          <w:noProof w:val="0"/>
          <w:szCs w:val="20"/>
        </w:rPr>
      </w:pPr>
      <w:r>
        <w:rPr>
          <w:noProof w:val="0"/>
          <w:szCs w:val="20"/>
        </w:rPr>
        <w:t>En lo que atañe</w:t>
      </w:r>
      <w:r w:rsidRPr="009631AB">
        <w:rPr>
          <w:noProof w:val="0"/>
          <w:szCs w:val="20"/>
        </w:rPr>
        <w:t xml:space="preserve"> </w:t>
      </w:r>
      <w:r w:rsidR="003B4587" w:rsidRPr="009631AB">
        <w:rPr>
          <w:noProof w:val="0"/>
          <w:szCs w:val="20"/>
        </w:rPr>
        <w:t>al artículo 7.4 de la Convención, el Estado sostuvo que el señor Montesinos desistió al inicio del proceso del ejercicio de su derecho a la defensa de manera voluntaria. Señaló</w:t>
      </w:r>
      <w:r w:rsidR="00A40D2A" w:rsidRPr="009631AB">
        <w:rPr>
          <w:noProof w:val="0"/>
          <w:szCs w:val="20"/>
        </w:rPr>
        <w:t>, además,</w:t>
      </w:r>
      <w:r w:rsidR="003B4587" w:rsidRPr="009631AB">
        <w:rPr>
          <w:noProof w:val="0"/>
          <w:szCs w:val="20"/>
        </w:rPr>
        <w:t xml:space="preserve"> que a este ejercicio libre del derecho a la defensa se suma la facultad de presentación del </w:t>
      </w:r>
      <w:r w:rsidR="00DA7EEF" w:rsidRPr="00DA7EEF">
        <w:rPr>
          <w:noProof w:val="0"/>
          <w:szCs w:val="20"/>
        </w:rPr>
        <w:t>hábeas corpus</w:t>
      </w:r>
      <w:r w:rsidR="003B4587" w:rsidRPr="009631AB">
        <w:rPr>
          <w:noProof w:val="0"/>
          <w:szCs w:val="20"/>
        </w:rPr>
        <w:t xml:space="preserve">. </w:t>
      </w:r>
    </w:p>
    <w:p w14:paraId="10E80CE2" w14:textId="77777777" w:rsidR="003B4587" w:rsidRPr="009631AB" w:rsidRDefault="003B4587" w:rsidP="00734B53">
      <w:pPr>
        <w:pStyle w:val="Prrafodelista"/>
        <w:ind w:left="0"/>
        <w:contextualSpacing w:val="0"/>
        <w:rPr>
          <w:b/>
          <w:noProof w:val="0"/>
          <w:szCs w:val="20"/>
        </w:rPr>
      </w:pPr>
    </w:p>
    <w:p w14:paraId="5729D956" w14:textId="786E5257" w:rsidR="008A35A3" w:rsidRPr="009631AB" w:rsidRDefault="003B4587" w:rsidP="00734B53">
      <w:pPr>
        <w:pStyle w:val="Prrafodelista"/>
        <w:numPr>
          <w:ilvl w:val="0"/>
          <w:numId w:val="4"/>
        </w:numPr>
        <w:contextualSpacing w:val="0"/>
        <w:rPr>
          <w:b/>
          <w:noProof w:val="0"/>
          <w:szCs w:val="20"/>
        </w:rPr>
      </w:pPr>
      <w:r w:rsidRPr="009631AB">
        <w:rPr>
          <w:noProof w:val="0"/>
          <w:szCs w:val="20"/>
        </w:rPr>
        <w:t>En relación a la presunta vulneración al artículo 7.5 de la Convención Americana, el Estado sostuvo que las decisiones de prisión preventiva estaban plenamente argumentadas, haciendo énfasis en la decisión del 23 de marzo de 1998 en el proceso de testaferrismo. Agregó que al analizar la dimensión del Operativo “El Ciclón”, se identifica que la prisión preventiva fue un mecanismo adecuado para asegurar la comparecencia de todos los implicados en el proceso.</w:t>
      </w:r>
      <w:r w:rsidR="001B465D">
        <w:rPr>
          <w:b/>
          <w:noProof w:val="0"/>
          <w:szCs w:val="20"/>
        </w:rPr>
        <w:t xml:space="preserve"> </w:t>
      </w:r>
    </w:p>
    <w:p w14:paraId="698C5669" w14:textId="77777777" w:rsidR="008A35A3" w:rsidRPr="009631AB" w:rsidRDefault="008A35A3" w:rsidP="008A35A3">
      <w:pPr>
        <w:pStyle w:val="Prrafodelista"/>
        <w:rPr>
          <w:noProof w:val="0"/>
          <w:szCs w:val="20"/>
        </w:rPr>
      </w:pPr>
    </w:p>
    <w:p w14:paraId="3142F479" w14:textId="052F82AB" w:rsidR="003B4587" w:rsidRPr="009631AB" w:rsidRDefault="003B4587" w:rsidP="00734B53">
      <w:pPr>
        <w:pStyle w:val="Prrafodelista"/>
        <w:numPr>
          <w:ilvl w:val="0"/>
          <w:numId w:val="4"/>
        </w:numPr>
        <w:contextualSpacing w:val="0"/>
        <w:rPr>
          <w:b/>
          <w:noProof w:val="0"/>
          <w:szCs w:val="20"/>
        </w:rPr>
      </w:pPr>
      <w:r w:rsidRPr="009631AB">
        <w:rPr>
          <w:noProof w:val="0"/>
          <w:szCs w:val="20"/>
        </w:rPr>
        <w:t xml:space="preserve">Frente al artículo 7.6 de la Convención, el Estado argumentó que el derecho se respetó por medio </w:t>
      </w:r>
      <w:r w:rsidR="008F5CF5" w:rsidRPr="009631AB">
        <w:rPr>
          <w:noProof w:val="0"/>
          <w:szCs w:val="20"/>
        </w:rPr>
        <w:t xml:space="preserve">de la </w:t>
      </w:r>
      <w:r w:rsidR="00E5050D" w:rsidRPr="009631AB">
        <w:rPr>
          <w:noProof w:val="0"/>
          <w:szCs w:val="20"/>
        </w:rPr>
        <w:t>concesión</w:t>
      </w:r>
      <w:r w:rsidR="008F5CF5" w:rsidRPr="009631AB">
        <w:rPr>
          <w:noProof w:val="0"/>
          <w:szCs w:val="20"/>
        </w:rPr>
        <w:t xml:space="preserve"> del </w:t>
      </w:r>
      <w:r w:rsidR="00DA7EEF">
        <w:rPr>
          <w:noProof w:val="0"/>
          <w:szCs w:val="20"/>
        </w:rPr>
        <w:t>hábeas corpus</w:t>
      </w:r>
      <w:r w:rsidR="008F5CF5" w:rsidRPr="009631AB">
        <w:rPr>
          <w:noProof w:val="0"/>
          <w:szCs w:val="20"/>
        </w:rPr>
        <w:t xml:space="preserve"> por parte</w:t>
      </w:r>
      <w:r w:rsidRPr="009631AB">
        <w:rPr>
          <w:noProof w:val="0"/>
          <w:szCs w:val="20"/>
        </w:rPr>
        <w:t xml:space="preserve"> del Tribunal Constitucional el 13 de agosto de 1998. Además, estableció que la demora </w:t>
      </w:r>
      <w:r w:rsidR="003E3DB3" w:rsidRPr="009631AB">
        <w:rPr>
          <w:noProof w:val="0"/>
          <w:szCs w:val="20"/>
        </w:rPr>
        <w:t>en la</w:t>
      </w:r>
      <w:r w:rsidRPr="009631AB">
        <w:rPr>
          <w:noProof w:val="0"/>
          <w:szCs w:val="20"/>
        </w:rPr>
        <w:t xml:space="preserve"> presentación de dicho recurso durante cuatro años era solamente imputable al señor Montesinos, referenciando que en otro caso presentado en 1994 sí se dio la libertad de manera </w:t>
      </w:r>
      <w:r w:rsidR="003E3DB3" w:rsidRPr="009631AB">
        <w:rPr>
          <w:noProof w:val="0"/>
          <w:szCs w:val="20"/>
        </w:rPr>
        <w:t>ágil</w:t>
      </w:r>
      <w:r w:rsidRPr="009631AB">
        <w:rPr>
          <w:noProof w:val="0"/>
          <w:szCs w:val="20"/>
        </w:rPr>
        <w:t xml:space="preserve">. </w:t>
      </w:r>
    </w:p>
    <w:p w14:paraId="70A98C89" w14:textId="77777777" w:rsidR="003B4587" w:rsidRPr="009631AB" w:rsidRDefault="003B4587" w:rsidP="00734B53">
      <w:pPr>
        <w:pStyle w:val="Prrafodelista"/>
        <w:ind w:left="0"/>
        <w:contextualSpacing w:val="0"/>
        <w:rPr>
          <w:b/>
          <w:noProof w:val="0"/>
          <w:szCs w:val="20"/>
        </w:rPr>
      </w:pPr>
    </w:p>
    <w:p w14:paraId="33816805" w14:textId="592C34D2" w:rsidR="003B4587" w:rsidRPr="009631AB" w:rsidRDefault="003B4587" w:rsidP="00734B53">
      <w:pPr>
        <w:pStyle w:val="Prrafodelista"/>
        <w:numPr>
          <w:ilvl w:val="0"/>
          <w:numId w:val="4"/>
        </w:numPr>
        <w:contextualSpacing w:val="0"/>
        <w:rPr>
          <w:b/>
          <w:noProof w:val="0"/>
          <w:szCs w:val="20"/>
        </w:rPr>
      </w:pPr>
      <w:r w:rsidRPr="009631AB">
        <w:rPr>
          <w:noProof w:val="0"/>
          <w:szCs w:val="20"/>
        </w:rPr>
        <w:t xml:space="preserve">Sobre la presunta violación al artículo 24 de la Convención, el Estado manifestó que el beneficio incluido en el artículo 112 del Código Penal que excluía a personas condenadas por delitos tipificados en la Ley sobre Estupefacientes y Sustancias Psicotrópicas, no era discriminatorio ya que su naturaleza justamente es de un beneficio adicional y no de una garantía a la cual todas las personas tengan acceso. Además, agregó que la Corte Constitucional de Ecuador consideró la norma </w:t>
      </w:r>
      <w:r w:rsidR="00666F43" w:rsidRPr="008E2396">
        <w:rPr>
          <w:noProof w:val="0"/>
          <w:color w:val="000000" w:themeColor="text1"/>
          <w:szCs w:val="20"/>
        </w:rPr>
        <w:t xml:space="preserve">como </w:t>
      </w:r>
      <w:r w:rsidRPr="009631AB">
        <w:rPr>
          <w:noProof w:val="0"/>
          <w:szCs w:val="20"/>
        </w:rPr>
        <w:t xml:space="preserve">constitucional y no discriminatoria. </w:t>
      </w:r>
    </w:p>
    <w:p w14:paraId="06805239" w14:textId="77777777" w:rsidR="003B4587" w:rsidRPr="009631AB" w:rsidRDefault="003B4587" w:rsidP="00734B53">
      <w:pPr>
        <w:pStyle w:val="Prrafodelista"/>
        <w:contextualSpacing w:val="0"/>
        <w:rPr>
          <w:b/>
          <w:noProof w:val="0"/>
          <w:szCs w:val="20"/>
        </w:rPr>
      </w:pPr>
    </w:p>
    <w:p w14:paraId="03DF1659" w14:textId="6ECCA9E9" w:rsidR="003B4587" w:rsidRPr="009631AB" w:rsidRDefault="003B4587" w:rsidP="00734B53">
      <w:pPr>
        <w:pStyle w:val="Prrafodelista"/>
        <w:numPr>
          <w:ilvl w:val="0"/>
          <w:numId w:val="4"/>
        </w:numPr>
        <w:contextualSpacing w:val="0"/>
        <w:rPr>
          <w:b/>
          <w:noProof w:val="0"/>
          <w:szCs w:val="20"/>
        </w:rPr>
      </w:pPr>
      <w:r w:rsidRPr="009631AB">
        <w:rPr>
          <w:bCs/>
          <w:szCs w:val="20"/>
        </w:rPr>
        <w:t>Respecto al artículo 25 de la Convención, el Estado alegó que existían diversas garantías constitucionales que permitían el ejercicio de ese derecho</w:t>
      </w:r>
      <w:r w:rsidR="003E3DB3" w:rsidRPr="009631AB">
        <w:rPr>
          <w:bCs/>
          <w:szCs w:val="20"/>
        </w:rPr>
        <w:t xml:space="preserve">. </w:t>
      </w:r>
      <w:r w:rsidRPr="009631AB">
        <w:rPr>
          <w:bCs/>
          <w:szCs w:val="20"/>
        </w:rPr>
        <w:t xml:space="preserve">Particularmente, sostuvo que el recurso de </w:t>
      </w:r>
      <w:r w:rsidR="00DA7EEF" w:rsidRPr="00DA7EEF">
        <w:rPr>
          <w:bCs/>
          <w:szCs w:val="20"/>
        </w:rPr>
        <w:t>hábeas corpus</w:t>
      </w:r>
      <w:r w:rsidRPr="009631AB">
        <w:rPr>
          <w:bCs/>
          <w:szCs w:val="20"/>
        </w:rPr>
        <w:t xml:space="preserve"> garantizaba la libertad personal, subrayando que si bien un alcalde conocía del recurso y estos no eran jueces en sentido estricto, su capacidad al momento de decidir el </w:t>
      </w:r>
      <w:r w:rsidR="00DA7EEF" w:rsidRPr="00DA7EEF">
        <w:rPr>
          <w:bCs/>
          <w:szCs w:val="20"/>
        </w:rPr>
        <w:t>hábeas corpus</w:t>
      </w:r>
      <w:r w:rsidRPr="009631AB">
        <w:rPr>
          <w:bCs/>
          <w:szCs w:val="20"/>
        </w:rPr>
        <w:t xml:space="preserve"> era equiparable a la de un juez</w:t>
      </w:r>
      <w:r w:rsidRPr="009631AB">
        <w:rPr>
          <w:i/>
          <w:szCs w:val="20"/>
          <w:lang w:val="es-CO"/>
        </w:rPr>
        <w:t>.</w:t>
      </w:r>
      <w:r w:rsidRPr="009631AB">
        <w:rPr>
          <w:b/>
          <w:i/>
          <w:szCs w:val="20"/>
          <w:lang w:val="es-CO"/>
        </w:rPr>
        <w:t xml:space="preserve"> </w:t>
      </w:r>
      <w:r w:rsidRPr="009631AB">
        <w:rPr>
          <w:szCs w:val="20"/>
          <w:lang w:val="es-CO"/>
        </w:rPr>
        <w:t>Además, alegó que el hecho de que se le haya dado la razón al apelante en la segunda instancia, así como la valoración del Tribunal de Garantías Constitucionales en ambos procesos, dan cuenta de que se garantizó la protección judicial</w:t>
      </w:r>
      <w:r w:rsidRPr="009631AB">
        <w:rPr>
          <w:i/>
          <w:szCs w:val="20"/>
          <w:lang w:val="es-CO"/>
        </w:rPr>
        <w:t>.</w:t>
      </w:r>
    </w:p>
    <w:p w14:paraId="20690C4E" w14:textId="77777777" w:rsidR="003B4587" w:rsidRPr="009631AB" w:rsidRDefault="003B4587" w:rsidP="00734B53">
      <w:pPr>
        <w:spacing w:after="0" w:line="240" w:lineRule="auto"/>
        <w:rPr>
          <w:b/>
          <w:szCs w:val="20"/>
        </w:rPr>
      </w:pPr>
    </w:p>
    <w:p w14:paraId="7909DA1C" w14:textId="77777777" w:rsidR="003B4587" w:rsidRPr="009631AB" w:rsidRDefault="003B4587" w:rsidP="00810C08">
      <w:pPr>
        <w:pStyle w:val="Ttulo2"/>
      </w:pPr>
      <w:bookmarkStart w:id="107" w:name="_Toc27069896"/>
      <w:r w:rsidRPr="009631AB">
        <w:t>Consideraciones de la Corte</w:t>
      </w:r>
      <w:bookmarkEnd w:id="107"/>
    </w:p>
    <w:p w14:paraId="0A0152D8" w14:textId="77777777" w:rsidR="003B4587" w:rsidRPr="009631AB" w:rsidRDefault="003B4587" w:rsidP="00734B53">
      <w:pPr>
        <w:spacing w:after="0" w:line="240" w:lineRule="auto"/>
        <w:rPr>
          <w:szCs w:val="20"/>
        </w:rPr>
      </w:pPr>
    </w:p>
    <w:p w14:paraId="6FD3E6E2" w14:textId="4C2F4BE0" w:rsidR="003B4587" w:rsidRPr="009631AB" w:rsidRDefault="003B4587" w:rsidP="00734B53">
      <w:pPr>
        <w:pStyle w:val="Prrafodelista"/>
        <w:widowControl w:val="0"/>
        <w:numPr>
          <w:ilvl w:val="0"/>
          <w:numId w:val="4"/>
        </w:numPr>
        <w:contextualSpacing w:val="0"/>
        <w:rPr>
          <w:noProof w:val="0"/>
          <w:szCs w:val="20"/>
        </w:rPr>
      </w:pPr>
      <w:r w:rsidRPr="009631AB">
        <w:rPr>
          <w:noProof w:val="0"/>
          <w:szCs w:val="20"/>
        </w:rPr>
        <w:t xml:space="preserve">La Corte ha sostenido que el contenido esencial del artículo 7 de la Convención Americana es la protección de la libertad del individuo contra toda interferencia arbitraria o </w:t>
      </w:r>
      <w:r w:rsidRPr="009631AB">
        <w:rPr>
          <w:noProof w:val="0"/>
          <w:szCs w:val="20"/>
        </w:rPr>
        <w:lastRenderedPageBreak/>
        <w:t>ilegal del Estado</w:t>
      </w:r>
      <w:r w:rsidRPr="009631AB">
        <w:rPr>
          <w:rStyle w:val="Refdenotaalpie"/>
          <w:rFonts w:ascii="Verdana" w:hAnsi="Verdana"/>
          <w:noProof w:val="0"/>
        </w:rPr>
        <w:footnoteReference w:id="71"/>
      </w:r>
      <w:r w:rsidRPr="009631AB">
        <w:rPr>
          <w:noProof w:val="0"/>
          <w:szCs w:val="20"/>
        </w:rPr>
        <w:t>. Ha afirmado que este artículo tiene dos tipos de regulaciones bien diferenciadas entre sí, una general y otra específica. La general se encuentra en el primer numeral: “[t]oda persona tiene el derecho a la libertad y a la seguridad personales”. Mientras que la específica está compuesta por una serie de garantías que protegen el derecho a no ser privado de la libertad ilegalmente (artículo 7.2) o arbitrariamente (artículo 7.3), a conocer las razones de la detención y los cargos formulados en contra del detenido (artículo 7.4), al control judicial de la privación de la libertad y la razonabilidad del plazo de la prisión preventiva (artículo 7.5), a impugnar la legalidad de la detención (artículo 7.6) y a no ser detenido por deudas (artículo 7.7</w:t>
      </w:r>
      <w:r w:rsidRPr="009631AB">
        <w:rPr>
          <w:rFonts w:eastAsia="Calibri"/>
          <w:noProof w:val="0"/>
          <w:szCs w:val="20"/>
        </w:rPr>
        <w:t>)</w:t>
      </w:r>
      <w:r w:rsidRPr="009631AB">
        <w:rPr>
          <w:rFonts w:eastAsia="Calibri"/>
          <w:noProof w:val="0"/>
          <w:spacing w:val="-2"/>
          <w:vertAlign w:val="superscript"/>
        </w:rPr>
        <w:footnoteReference w:id="72"/>
      </w:r>
      <w:r w:rsidRPr="009631AB">
        <w:rPr>
          <w:rFonts w:eastAsia="Calibri"/>
          <w:noProof w:val="0"/>
          <w:szCs w:val="20"/>
        </w:rPr>
        <w:t>. Cualquier violación de los numerales 2 al 7 del artículo 7 de la Convención acarreará necesariamente la violación del artículo 7.1 de la misma</w:t>
      </w:r>
      <w:r w:rsidRPr="009631AB">
        <w:rPr>
          <w:rFonts w:eastAsia="Calibri"/>
          <w:noProof w:val="0"/>
          <w:spacing w:val="-2"/>
          <w:vertAlign w:val="superscript"/>
        </w:rPr>
        <w:footnoteReference w:id="73"/>
      </w:r>
      <w:r w:rsidRPr="009631AB">
        <w:rPr>
          <w:rFonts w:eastAsia="Calibri"/>
          <w:noProof w:val="0"/>
          <w:szCs w:val="20"/>
        </w:rPr>
        <w:t>.</w:t>
      </w:r>
      <w:r w:rsidRPr="009631AB">
        <w:rPr>
          <w:noProof w:val="0"/>
          <w:szCs w:val="20"/>
        </w:rPr>
        <w:t xml:space="preserve"> </w:t>
      </w:r>
    </w:p>
    <w:p w14:paraId="2F4D51B5" w14:textId="77777777" w:rsidR="003B4587" w:rsidRPr="009631AB" w:rsidRDefault="003B4587" w:rsidP="00734B53">
      <w:pPr>
        <w:pStyle w:val="Prrafodelista"/>
        <w:contextualSpacing w:val="0"/>
        <w:rPr>
          <w:noProof w:val="0"/>
          <w:szCs w:val="20"/>
        </w:rPr>
      </w:pPr>
    </w:p>
    <w:p w14:paraId="44444BEB" w14:textId="1809F4E9" w:rsidR="003B4587" w:rsidRPr="009631AB" w:rsidRDefault="003B4587" w:rsidP="00734B53">
      <w:pPr>
        <w:pStyle w:val="Prrafodelista"/>
        <w:numPr>
          <w:ilvl w:val="0"/>
          <w:numId w:val="4"/>
        </w:numPr>
        <w:contextualSpacing w:val="0"/>
        <w:rPr>
          <w:noProof w:val="0"/>
          <w:szCs w:val="20"/>
        </w:rPr>
      </w:pPr>
      <w:r w:rsidRPr="009631AB">
        <w:rPr>
          <w:noProof w:val="0"/>
          <w:szCs w:val="20"/>
        </w:rPr>
        <w:t>El artículo 7.2 de la Convención establece que “nadie puede ser privado de su libertad física, salvo por las causas y en las condiciones fijadas de antemano por las Constituciones Políticas de los Estados Partes o por las leyes dictadas conforme a ellas”. Este numeral reconoce la garantía primaria del derecho a la libertad física: la reserva de ley, según la cual, únicamente a través de una ley puede afectarse el derecho a la libertad personal</w:t>
      </w:r>
      <w:r w:rsidRPr="009631AB">
        <w:rPr>
          <w:rStyle w:val="Refdenotaalpie"/>
          <w:rFonts w:ascii="Verdana" w:hAnsi="Verdana"/>
          <w:noProof w:val="0"/>
        </w:rPr>
        <w:footnoteReference w:id="74"/>
      </w:r>
      <w:r w:rsidRPr="009631AB">
        <w:rPr>
          <w:noProof w:val="0"/>
          <w:szCs w:val="20"/>
        </w:rPr>
        <w:t>. La reserva de ley debe forzosamente ir acompañada del principio de tipicidad, que obliga a los Estados a establecer, tan concretamente como sea posible y “de antemano”, las “causas” y “condiciones” de la privación de la libertad física. Adicionalmente</w:t>
      </w:r>
      <w:r w:rsidR="003E3DB3" w:rsidRPr="009631AB">
        <w:rPr>
          <w:noProof w:val="0"/>
          <w:szCs w:val="20"/>
        </w:rPr>
        <w:t>,</w:t>
      </w:r>
      <w:r w:rsidRPr="009631AB">
        <w:rPr>
          <w:noProof w:val="0"/>
          <w:szCs w:val="20"/>
        </w:rPr>
        <w:t xml:space="preserve"> exige su aplicación con estricta sujeción a los procedimientos objetivamente definidos en la ley</w:t>
      </w:r>
      <w:r w:rsidRPr="009631AB">
        <w:rPr>
          <w:rStyle w:val="Refdenotaalpie"/>
          <w:rFonts w:ascii="Verdana" w:hAnsi="Verdana"/>
          <w:noProof w:val="0"/>
        </w:rPr>
        <w:footnoteReference w:id="75"/>
      </w:r>
      <w:r w:rsidRPr="009631AB">
        <w:rPr>
          <w:noProof w:val="0"/>
          <w:szCs w:val="20"/>
        </w:rPr>
        <w:t>. De ese modo, el artículo 7.2 de la Convención remite automáticamente a la normativa interna. Cualquier requisito establecido en la ley nacional que no sea cumplido al privar a una persona de su libertad, generará que tal privación sea ilegal y contraria a la Convención Americana</w:t>
      </w:r>
      <w:r w:rsidRPr="009631AB">
        <w:rPr>
          <w:rStyle w:val="Refdenotaalpie"/>
          <w:rFonts w:ascii="Verdana" w:hAnsi="Verdana"/>
          <w:noProof w:val="0"/>
        </w:rPr>
        <w:footnoteReference w:id="76"/>
      </w:r>
      <w:r w:rsidRPr="009631AB">
        <w:rPr>
          <w:noProof w:val="0"/>
          <w:szCs w:val="20"/>
        </w:rPr>
        <w:t xml:space="preserve">. </w:t>
      </w:r>
    </w:p>
    <w:p w14:paraId="0B2154EF" w14:textId="77777777" w:rsidR="003B4587" w:rsidRPr="009631AB" w:rsidRDefault="003B4587" w:rsidP="00734B53">
      <w:pPr>
        <w:pStyle w:val="Prrafodelista"/>
        <w:contextualSpacing w:val="0"/>
        <w:rPr>
          <w:noProof w:val="0"/>
          <w:szCs w:val="20"/>
        </w:rPr>
      </w:pPr>
    </w:p>
    <w:p w14:paraId="18C41125" w14:textId="6E421B5A" w:rsidR="003B4587" w:rsidRPr="009631AB" w:rsidRDefault="003B4587" w:rsidP="00734B53">
      <w:pPr>
        <w:pStyle w:val="Prrafodelista"/>
        <w:numPr>
          <w:ilvl w:val="0"/>
          <w:numId w:val="4"/>
        </w:numPr>
        <w:contextualSpacing w:val="0"/>
        <w:rPr>
          <w:noProof w:val="0"/>
          <w:szCs w:val="20"/>
        </w:rPr>
      </w:pPr>
      <w:r w:rsidRPr="009631AB">
        <w:rPr>
          <w:noProof w:val="0"/>
          <w:szCs w:val="20"/>
        </w:rPr>
        <w:t>Respecto a la interdicción de la “arbitrariedad” en la privación de libertad, mandada por el artículo convencional 7.3, la Corte ha establecido que nadie puede ser sometido a detención o encarcelamiento por causas y métodos que -aun calificados de legales- puedan reputarse como incompatibles con el respeto a los derechos fundamentales del individuo por ser, entre otras cosas, irrazonables, imprevisibles o faltos de proporcionalidad</w:t>
      </w:r>
      <w:r w:rsidRPr="009631AB">
        <w:rPr>
          <w:rStyle w:val="Refdenotaalpie"/>
          <w:rFonts w:ascii="Verdana" w:hAnsi="Verdana"/>
          <w:noProof w:val="0"/>
        </w:rPr>
        <w:footnoteReference w:id="77"/>
      </w:r>
      <w:r w:rsidRPr="009631AB">
        <w:rPr>
          <w:noProof w:val="0"/>
          <w:szCs w:val="20"/>
        </w:rPr>
        <w:t>. Ha considerado que se requiere que la ley interna, el procedimiento aplicable y los principios generales expresos o tácitos correspondientes sean, en sí mismos, compatibles con la Convención. Así, no se debe equiparar el concepto de “arbitrariedad” con el de “contrario a ley”, sino que debe interpretarse de manera más amplia a fin de incluir elementos de incorrección, injusticia e imprevisibilidad</w:t>
      </w:r>
      <w:r w:rsidRPr="009631AB">
        <w:rPr>
          <w:rStyle w:val="Refdenotaalpie"/>
          <w:rFonts w:ascii="Verdana" w:hAnsi="Verdana"/>
          <w:noProof w:val="0"/>
        </w:rPr>
        <w:footnoteReference w:id="78"/>
      </w:r>
      <w:r w:rsidRPr="009631AB">
        <w:rPr>
          <w:noProof w:val="0"/>
          <w:szCs w:val="20"/>
        </w:rPr>
        <w:t>.</w:t>
      </w:r>
      <w:r w:rsidR="001B465D">
        <w:rPr>
          <w:noProof w:val="0"/>
          <w:szCs w:val="20"/>
        </w:rPr>
        <w:t xml:space="preserve"> </w:t>
      </w:r>
    </w:p>
    <w:p w14:paraId="34D27463" w14:textId="77777777" w:rsidR="003B4587" w:rsidRPr="009631AB" w:rsidRDefault="003B4587" w:rsidP="00734B53">
      <w:pPr>
        <w:pStyle w:val="Prrafodelista"/>
        <w:ind w:left="0"/>
        <w:contextualSpacing w:val="0"/>
        <w:rPr>
          <w:noProof w:val="0"/>
          <w:szCs w:val="20"/>
        </w:rPr>
      </w:pPr>
    </w:p>
    <w:p w14:paraId="08C7B96F" w14:textId="77777777" w:rsidR="003B4587" w:rsidRPr="009631AB" w:rsidRDefault="003B4587" w:rsidP="00734B53">
      <w:pPr>
        <w:pStyle w:val="Prrafodelista"/>
        <w:numPr>
          <w:ilvl w:val="0"/>
          <w:numId w:val="4"/>
        </w:numPr>
        <w:contextualSpacing w:val="0"/>
        <w:rPr>
          <w:noProof w:val="0"/>
          <w:szCs w:val="20"/>
        </w:rPr>
      </w:pPr>
      <w:r w:rsidRPr="009631AB">
        <w:rPr>
          <w:noProof w:val="0"/>
          <w:szCs w:val="20"/>
        </w:rPr>
        <w:t>En cuanto al artículo 7.4, esta Corte ha dicho que “el mismo alude a dos garantías para la persona que está siendo detenida: i) la información en forma oral o escrita sobre las razones de la detención, y ii) la notificación, que debe ser por escrito, de los cargos”</w:t>
      </w:r>
      <w:r w:rsidRPr="009631AB">
        <w:rPr>
          <w:rStyle w:val="Refdenotaalpie"/>
          <w:rFonts w:ascii="Verdana" w:hAnsi="Verdana"/>
          <w:noProof w:val="0"/>
        </w:rPr>
        <w:footnoteReference w:id="79"/>
      </w:r>
      <w:r w:rsidRPr="009631AB">
        <w:rPr>
          <w:noProof w:val="0"/>
          <w:szCs w:val="20"/>
        </w:rPr>
        <w:t>.</w:t>
      </w:r>
    </w:p>
    <w:p w14:paraId="71218507" w14:textId="77777777" w:rsidR="003B4587" w:rsidRPr="009631AB" w:rsidRDefault="003B4587" w:rsidP="00734B53">
      <w:pPr>
        <w:pStyle w:val="Prrafodelista"/>
        <w:ind w:left="0"/>
        <w:contextualSpacing w:val="0"/>
        <w:rPr>
          <w:noProof w:val="0"/>
          <w:szCs w:val="20"/>
        </w:rPr>
      </w:pPr>
    </w:p>
    <w:p w14:paraId="2DF9561B" w14:textId="623C8369" w:rsidR="003B4587" w:rsidRPr="009631AB" w:rsidRDefault="003B4587" w:rsidP="00734B53">
      <w:pPr>
        <w:pStyle w:val="Prrafodelista"/>
        <w:numPr>
          <w:ilvl w:val="0"/>
          <w:numId w:val="4"/>
        </w:numPr>
        <w:contextualSpacing w:val="0"/>
        <w:rPr>
          <w:noProof w:val="0"/>
          <w:szCs w:val="20"/>
        </w:rPr>
      </w:pPr>
      <w:r w:rsidRPr="009631AB">
        <w:rPr>
          <w:noProof w:val="0"/>
          <w:szCs w:val="20"/>
        </w:rPr>
        <w:t>El artículo 7.5, por su parte, establece que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El sentido de esta norma indica que las medidas privativas de la libertad en el marco de procedimientos penales son convencionales siempre que tengan un propósito cautelar, es decir, que sean un medio para la neutralización de riesgos procesales, en particular</w:t>
      </w:r>
      <w:r w:rsidR="002A5494" w:rsidRPr="009631AB">
        <w:rPr>
          <w:noProof w:val="0"/>
          <w:szCs w:val="20"/>
        </w:rPr>
        <w:t>,</w:t>
      </w:r>
      <w:r w:rsidRPr="009631AB">
        <w:rPr>
          <w:noProof w:val="0"/>
          <w:szCs w:val="20"/>
        </w:rPr>
        <w:t xml:space="preserve"> la norma se refiere al de no comparecencia al juicio. </w:t>
      </w:r>
    </w:p>
    <w:p w14:paraId="51690753" w14:textId="77777777" w:rsidR="003B4587" w:rsidRPr="009631AB" w:rsidRDefault="003B4587" w:rsidP="00734B53">
      <w:pPr>
        <w:pStyle w:val="Prrafodelista"/>
        <w:contextualSpacing w:val="0"/>
        <w:rPr>
          <w:noProof w:val="0"/>
          <w:szCs w:val="20"/>
        </w:rPr>
      </w:pPr>
    </w:p>
    <w:p w14:paraId="5C383132" w14:textId="77777777" w:rsidR="003B4587" w:rsidRPr="009631AB" w:rsidRDefault="003B4587" w:rsidP="00734B53">
      <w:pPr>
        <w:pStyle w:val="Prrafodelista"/>
        <w:numPr>
          <w:ilvl w:val="0"/>
          <w:numId w:val="4"/>
        </w:numPr>
        <w:contextualSpacing w:val="0"/>
        <w:rPr>
          <w:noProof w:val="0"/>
          <w:szCs w:val="20"/>
        </w:rPr>
      </w:pPr>
      <w:r w:rsidRPr="009631AB">
        <w:rPr>
          <w:noProof w:val="0"/>
          <w:szCs w:val="20"/>
        </w:rPr>
        <w:t>El artículo 7.5 de la Convención impone límites temporales a la duración de la prisión preventiva en relación con la duración del proceso, indicando que el proceso puede seguir estando la persona imputada en libertad</w:t>
      </w:r>
      <w:r w:rsidRPr="009631AB">
        <w:rPr>
          <w:rFonts w:eastAsia="Calibri"/>
          <w:noProof w:val="0"/>
          <w:spacing w:val="-2"/>
          <w:szCs w:val="20"/>
          <w:vertAlign w:val="superscript"/>
        </w:rPr>
        <w:footnoteReference w:id="80"/>
      </w:r>
      <w:r w:rsidRPr="009631AB">
        <w:rPr>
          <w:rFonts w:eastAsia="Calibri"/>
          <w:noProof w:val="0"/>
          <w:spacing w:val="-2"/>
          <w:szCs w:val="20"/>
        </w:rPr>
        <w:t>.</w:t>
      </w:r>
      <w:r w:rsidRPr="009631AB">
        <w:rPr>
          <w:noProof w:val="0"/>
          <w:szCs w:val="20"/>
        </w:rPr>
        <w:t xml:space="preserve"> La Corte ha entendido que “aun cuando medien razones para mantener a una persona en prisión preventiva, el artículo 7.5 garantiza que aquélla sea liberada si el período de la detención ha excedido el límite de lo razonable</w:t>
      </w:r>
      <w:r w:rsidRPr="009631AB">
        <w:rPr>
          <w:rFonts w:eastAsia="Calibri"/>
          <w:noProof w:val="0"/>
          <w:spacing w:val="-2"/>
          <w:szCs w:val="20"/>
          <w:vertAlign w:val="superscript"/>
        </w:rPr>
        <w:footnoteReference w:id="81"/>
      </w:r>
      <w:r w:rsidRPr="009631AB">
        <w:rPr>
          <w:rFonts w:eastAsia="Calibri"/>
          <w:noProof w:val="0"/>
          <w:spacing w:val="-2"/>
          <w:szCs w:val="20"/>
        </w:rPr>
        <w:t>.</w:t>
      </w:r>
    </w:p>
    <w:p w14:paraId="72C431BD" w14:textId="77777777" w:rsidR="003B4587" w:rsidRPr="009631AB" w:rsidRDefault="003B4587" w:rsidP="00734B53">
      <w:pPr>
        <w:pStyle w:val="Prrafodelista"/>
        <w:contextualSpacing w:val="0"/>
        <w:rPr>
          <w:noProof w:val="0"/>
          <w:szCs w:val="20"/>
        </w:rPr>
      </w:pPr>
    </w:p>
    <w:p w14:paraId="6BB5130C" w14:textId="2695FBDD" w:rsidR="003B4587" w:rsidRPr="009631AB" w:rsidRDefault="003B4587" w:rsidP="00734B53">
      <w:pPr>
        <w:pStyle w:val="Prrafodelista"/>
        <w:numPr>
          <w:ilvl w:val="0"/>
          <w:numId w:val="4"/>
        </w:numPr>
        <w:contextualSpacing w:val="0"/>
        <w:rPr>
          <w:noProof w:val="0"/>
          <w:szCs w:val="20"/>
        </w:rPr>
      </w:pPr>
      <w:r w:rsidRPr="009631AB">
        <w:rPr>
          <w:noProof w:val="0"/>
          <w:szCs w:val="20"/>
        </w:rPr>
        <w:t>Como surge de lo ya expuesto, en algunos aspectos, las garantías judiciales previstas en el artículo 8 de la Convención pueden verse estrechamente relacionadas al derecho a la libertad personal. Así, es relevante a efectos del caso señalar que siendo la prisión preventiva una medida cautelar no punitiva</w:t>
      </w:r>
      <w:r w:rsidRPr="009631AB">
        <w:rPr>
          <w:noProof w:val="0"/>
          <w:vertAlign w:val="superscript"/>
        </w:rPr>
        <w:footnoteReference w:id="82"/>
      </w:r>
      <w:r w:rsidRPr="009631AB">
        <w:rPr>
          <w:noProof w:val="0"/>
          <w:szCs w:val="20"/>
        </w:rPr>
        <w:t>, mantener privada de libertad a una persona más allá del tiempo razonable para el cumplimiento de los fines que justifican su detención equivaldría, en los hechos, a una pena anticipada</w:t>
      </w:r>
      <w:r w:rsidRPr="009631AB">
        <w:rPr>
          <w:noProof w:val="0"/>
          <w:vertAlign w:val="superscript"/>
        </w:rPr>
        <w:footnoteReference w:id="83"/>
      </w:r>
      <w:r w:rsidRPr="009631AB">
        <w:rPr>
          <w:noProof w:val="0"/>
          <w:szCs w:val="20"/>
        </w:rPr>
        <w:t>, lo que atentaría no solo contra el derecho a la libertad personal sino también contra la presunción de inocencia contemplada en el artículo 8.2 de la Convención. Otro vínculo entre el derecho a la libertad personal y las garantías judiciales se refiere al tiempo de las actuaciones procesales, en caso en que una persona esté privada de la libertad. Así, la Corte ha señalado que “el principio de ‘plazo razonable’ al que hacen referencia los artículos 7.5 y 8.1 de la Convención Americana tiene como finalidad impedir que los acusados permanezcan largo tiempo bajo acusación y asegurar que ésta se decida prontamente”</w:t>
      </w:r>
      <w:r w:rsidRPr="009631AB">
        <w:rPr>
          <w:rStyle w:val="Refdenotaalpie"/>
          <w:rFonts w:ascii="Verdana" w:hAnsi="Verdana"/>
          <w:noProof w:val="0"/>
          <w:sz w:val="16"/>
          <w:szCs w:val="16"/>
        </w:rPr>
        <w:footnoteReference w:id="84"/>
      </w:r>
      <w:r w:rsidRPr="009631AB">
        <w:rPr>
          <w:noProof w:val="0"/>
          <w:sz w:val="16"/>
          <w:szCs w:val="16"/>
        </w:rPr>
        <w:t>.</w:t>
      </w:r>
    </w:p>
    <w:p w14:paraId="1CA8A913" w14:textId="77777777" w:rsidR="003B4587" w:rsidRPr="009631AB" w:rsidRDefault="003B4587" w:rsidP="00734B53">
      <w:pPr>
        <w:pStyle w:val="Prrafodelista"/>
        <w:ind w:left="0"/>
        <w:contextualSpacing w:val="0"/>
        <w:rPr>
          <w:noProof w:val="0"/>
          <w:szCs w:val="20"/>
        </w:rPr>
      </w:pPr>
    </w:p>
    <w:p w14:paraId="0D6AFF2B" w14:textId="08609A00" w:rsidR="003B4587" w:rsidRPr="009631AB" w:rsidRDefault="003B4587" w:rsidP="00734B53">
      <w:pPr>
        <w:pStyle w:val="Prrafodelista"/>
        <w:numPr>
          <w:ilvl w:val="0"/>
          <w:numId w:val="4"/>
        </w:numPr>
        <w:contextualSpacing w:val="0"/>
        <w:rPr>
          <w:noProof w:val="0"/>
          <w:szCs w:val="20"/>
        </w:rPr>
      </w:pPr>
      <w:r w:rsidRPr="009631AB">
        <w:rPr>
          <w:noProof w:val="0"/>
          <w:szCs w:val="20"/>
        </w:rPr>
        <w:t xml:space="preserve">Con base en lo anterior y en pautas más específicas que se expresan más adelante, este Tribunal examinará los hechos sucedidos en el caso. Así, analizará: i) la detención y prisión preventiva del señor Montesinos; ii) la </w:t>
      </w:r>
      <w:r w:rsidR="008A35A3" w:rsidRPr="009631AB">
        <w:rPr>
          <w:noProof w:val="0"/>
          <w:szCs w:val="20"/>
        </w:rPr>
        <w:t>continuación</w:t>
      </w:r>
      <w:r w:rsidRPr="009631AB">
        <w:rPr>
          <w:noProof w:val="0"/>
          <w:szCs w:val="20"/>
        </w:rPr>
        <w:t xml:space="preserve"> de la prisión preventiva y su razonabilidad temporal; iii) el derecho a recurrir ante un juez sobre la legalidad de la detención y </w:t>
      </w:r>
      <w:r w:rsidR="00F10C65">
        <w:rPr>
          <w:noProof w:val="0"/>
          <w:szCs w:val="20"/>
        </w:rPr>
        <w:t xml:space="preserve">el </w:t>
      </w:r>
      <w:r w:rsidRPr="009631AB">
        <w:rPr>
          <w:noProof w:val="0"/>
          <w:szCs w:val="20"/>
        </w:rPr>
        <w:t xml:space="preserve">derecho a garantizar el cumplimiento de la resolución judicial, y iv) el principio de presunción de inocencia. Por último, expondrá su conclusión. </w:t>
      </w:r>
    </w:p>
    <w:p w14:paraId="5CCBD01D" w14:textId="77777777" w:rsidR="003B4587" w:rsidRPr="009631AB" w:rsidRDefault="003B4587" w:rsidP="00734B53">
      <w:pPr>
        <w:pStyle w:val="Prrafodelista"/>
        <w:contextualSpacing w:val="0"/>
        <w:rPr>
          <w:noProof w:val="0"/>
          <w:szCs w:val="20"/>
        </w:rPr>
      </w:pPr>
    </w:p>
    <w:p w14:paraId="11FBCAEB" w14:textId="77777777" w:rsidR="003B4587" w:rsidRPr="00D24534" w:rsidRDefault="003B4587" w:rsidP="00810C08">
      <w:pPr>
        <w:pStyle w:val="Ttulo3"/>
        <w:rPr>
          <w:b/>
        </w:rPr>
      </w:pPr>
      <w:bookmarkStart w:id="108" w:name="_Toc26374868"/>
      <w:bookmarkStart w:id="109" w:name="_Toc27069897"/>
      <w:r w:rsidRPr="00D24534">
        <w:rPr>
          <w:b/>
        </w:rPr>
        <w:t xml:space="preserve">B.1 Detención inicial y prisión preventiva del señor </w:t>
      </w:r>
      <w:bookmarkEnd w:id="108"/>
      <w:r w:rsidRPr="00D24534">
        <w:rPr>
          <w:b/>
        </w:rPr>
        <w:t>Montesinos</w:t>
      </w:r>
      <w:bookmarkEnd w:id="109"/>
    </w:p>
    <w:p w14:paraId="03A45FCF" w14:textId="77777777" w:rsidR="003B4587" w:rsidRPr="009631AB" w:rsidRDefault="003B4587" w:rsidP="00734B53">
      <w:pPr>
        <w:pStyle w:val="Prrafodelista"/>
        <w:ind w:left="0"/>
        <w:contextualSpacing w:val="0"/>
        <w:rPr>
          <w:noProof w:val="0"/>
          <w:szCs w:val="20"/>
        </w:rPr>
      </w:pPr>
    </w:p>
    <w:p w14:paraId="53FC31C9" w14:textId="77777777" w:rsidR="003B4587" w:rsidRPr="009631AB" w:rsidRDefault="003B4587" w:rsidP="00734B53">
      <w:pPr>
        <w:pStyle w:val="Prrafodelista"/>
        <w:ind w:left="851"/>
        <w:contextualSpacing w:val="0"/>
        <w:outlineLvl w:val="3"/>
        <w:rPr>
          <w:i/>
          <w:noProof w:val="0"/>
          <w:szCs w:val="20"/>
        </w:rPr>
      </w:pPr>
      <w:bookmarkStart w:id="110" w:name="_Toc26374869"/>
      <w:r w:rsidRPr="009631AB">
        <w:rPr>
          <w:i/>
          <w:noProof w:val="0"/>
          <w:szCs w:val="20"/>
        </w:rPr>
        <w:t>B.1.1. Detención inicial</w:t>
      </w:r>
      <w:bookmarkEnd w:id="110"/>
    </w:p>
    <w:p w14:paraId="0D0EBE98" w14:textId="77777777" w:rsidR="003B4587" w:rsidRPr="009631AB" w:rsidRDefault="003B4587" w:rsidP="00734B53">
      <w:pPr>
        <w:pStyle w:val="Prrafodelista"/>
        <w:tabs>
          <w:tab w:val="left" w:pos="1740"/>
        </w:tabs>
        <w:ind w:left="0"/>
        <w:contextualSpacing w:val="0"/>
        <w:rPr>
          <w:noProof w:val="0"/>
          <w:szCs w:val="20"/>
        </w:rPr>
      </w:pPr>
      <w:r w:rsidRPr="009631AB">
        <w:rPr>
          <w:noProof w:val="0"/>
          <w:szCs w:val="20"/>
        </w:rPr>
        <w:tab/>
      </w:r>
    </w:p>
    <w:p w14:paraId="17180061" w14:textId="43472D5E" w:rsidR="00C54317" w:rsidRPr="009631AB" w:rsidRDefault="003B4587" w:rsidP="00D5699B">
      <w:pPr>
        <w:pStyle w:val="Prrafodelista"/>
        <w:numPr>
          <w:ilvl w:val="0"/>
          <w:numId w:val="4"/>
        </w:numPr>
        <w:contextualSpacing w:val="0"/>
        <w:rPr>
          <w:szCs w:val="20"/>
        </w:rPr>
      </w:pPr>
      <w:r w:rsidRPr="009631AB">
        <w:rPr>
          <w:noProof w:val="0"/>
          <w:szCs w:val="20"/>
        </w:rPr>
        <w:lastRenderedPageBreak/>
        <w:t>El señor Montesinos fue detenido el 21 de junio de 1992 mientras manejaba en la ciudad de Quito. Durante la intervención, los agentes policiales le habrían indicado que contaban con orden de allanamiento para ingresar a su domicilio y posterior detención, la cual</w:t>
      </w:r>
      <w:r w:rsidR="00A94282" w:rsidRPr="009631AB">
        <w:rPr>
          <w:noProof w:val="0"/>
          <w:szCs w:val="20"/>
        </w:rPr>
        <w:t>,</w:t>
      </w:r>
      <w:r w:rsidRPr="009631AB">
        <w:rPr>
          <w:noProof w:val="0"/>
          <w:szCs w:val="20"/>
        </w:rPr>
        <w:t xml:space="preserve"> según el agente policial interviniente</w:t>
      </w:r>
      <w:r w:rsidR="00A94282" w:rsidRPr="009631AB">
        <w:rPr>
          <w:noProof w:val="0"/>
          <w:szCs w:val="20"/>
        </w:rPr>
        <w:t>,</w:t>
      </w:r>
      <w:r w:rsidRPr="009631AB">
        <w:rPr>
          <w:noProof w:val="0"/>
          <w:szCs w:val="20"/>
        </w:rPr>
        <w:t xml:space="preserve"> habría sido emitida por el Comisario Primero del Cantón Quito. </w:t>
      </w:r>
      <w:r w:rsidR="00C92312" w:rsidRPr="009631AB">
        <w:rPr>
          <w:noProof w:val="0"/>
          <w:szCs w:val="20"/>
        </w:rPr>
        <w:t xml:space="preserve">La Corte da cuenta de que la </w:t>
      </w:r>
      <w:r w:rsidRPr="009631AB">
        <w:rPr>
          <w:noProof w:val="0"/>
          <w:szCs w:val="20"/>
        </w:rPr>
        <w:t xml:space="preserve">información </w:t>
      </w:r>
      <w:r w:rsidR="00C92312" w:rsidRPr="009631AB">
        <w:rPr>
          <w:noProof w:val="0"/>
          <w:szCs w:val="20"/>
        </w:rPr>
        <w:t xml:space="preserve">antes descrita </w:t>
      </w:r>
      <w:r w:rsidRPr="009631AB">
        <w:rPr>
          <w:noProof w:val="0"/>
          <w:szCs w:val="20"/>
        </w:rPr>
        <w:t xml:space="preserve">consta </w:t>
      </w:r>
      <w:r w:rsidR="001E4168">
        <w:rPr>
          <w:noProof w:val="0"/>
          <w:szCs w:val="20"/>
        </w:rPr>
        <w:t xml:space="preserve">en </w:t>
      </w:r>
      <w:r w:rsidRPr="009631AB">
        <w:rPr>
          <w:noProof w:val="0"/>
          <w:szCs w:val="20"/>
        </w:rPr>
        <w:t>el Parte elevado al Jefe de la Oficina de Investigación del Delito ese mismo día, pero no existe</w:t>
      </w:r>
      <w:r w:rsidR="00C92312" w:rsidRPr="009631AB">
        <w:rPr>
          <w:noProof w:val="0"/>
          <w:szCs w:val="20"/>
        </w:rPr>
        <w:t>,</w:t>
      </w:r>
      <w:r w:rsidRPr="009631AB">
        <w:rPr>
          <w:noProof w:val="0"/>
          <w:szCs w:val="20"/>
        </w:rPr>
        <w:t xml:space="preserve"> en el expediente del caso</w:t>
      </w:r>
      <w:r w:rsidR="00C92312" w:rsidRPr="009631AB">
        <w:rPr>
          <w:noProof w:val="0"/>
          <w:szCs w:val="20"/>
        </w:rPr>
        <w:t>,</w:t>
      </w:r>
      <w:r w:rsidRPr="009631AB">
        <w:rPr>
          <w:noProof w:val="0"/>
          <w:szCs w:val="20"/>
        </w:rPr>
        <w:t xml:space="preserve"> una orden de detención y allanamiento expedida por una autoridad judicial. </w:t>
      </w:r>
    </w:p>
    <w:p w14:paraId="7F4C0D6E" w14:textId="77777777" w:rsidR="00C54317" w:rsidRPr="009631AB" w:rsidRDefault="00C54317" w:rsidP="00D5699B">
      <w:pPr>
        <w:pStyle w:val="Prrafodelista"/>
        <w:ind w:left="0"/>
        <w:contextualSpacing w:val="0"/>
        <w:rPr>
          <w:szCs w:val="20"/>
        </w:rPr>
      </w:pPr>
    </w:p>
    <w:p w14:paraId="58B58ED0" w14:textId="77777777" w:rsidR="00C54317" w:rsidRPr="009631AB" w:rsidRDefault="00C54317" w:rsidP="00D5699B">
      <w:pPr>
        <w:pStyle w:val="Prrafodelista"/>
        <w:numPr>
          <w:ilvl w:val="0"/>
          <w:numId w:val="4"/>
        </w:numPr>
        <w:contextualSpacing w:val="0"/>
        <w:rPr>
          <w:szCs w:val="20"/>
        </w:rPr>
      </w:pPr>
      <w:r w:rsidRPr="009631AB">
        <w:rPr>
          <w:rFonts w:eastAsia="Calibri" w:cs="Times New Roman"/>
          <w:szCs w:val="20"/>
          <w:lang w:val="es-ES"/>
        </w:rPr>
        <w:t>Al momento de los hechos, la Constitución Política del Ecuador vigente disponía en su artículo 19.17.g que:</w:t>
      </w:r>
    </w:p>
    <w:p w14:paraId="586B383E" w14:textId="77777777" w:rsidR="00C54317" w:rsidRPr="009631AB" w:rsidRDefault="00C54317" w:rsidP="00D5699B">
      <w:pPr>
        <w:pStyle w:val="Prrafodelista"/>
        <w:rPr>
          <w:noProof w:val="0"/>
          <w:szCs w:val="20"/>
        </w:rPr>
      </w:pPr>
    </w:p>
    <w:p w14:paraId="34492012" w14:textId="77777777" w:rsidR="00C54317" w:rsidRPr="009631AB" w:rsidRDefault="00C54317" w:rsidP="00C54317">
      <w:pPr>
        <w:spacing w:after="0" w:line="240" w:lineRule="auto"/>
        <w:ind w:left="720" w:right="720"/>
        <w:jc w:val="both"/>
        <w:rPr>
          <w:rFonts w:eastAsia="Calibri" w:cs="Times"/>
          <w:sz w:val="16"/>
          <w:szCs w:val="16"/>
          <w:lang w:val="es-ES"/>
        </w:rPr>
      </w:pPr>
      <w:r w:rsidRPr="009631AB">
        <w:rPr>
          <w:rFonts w:eastAsia="Calibri" w:cs="Times"/>
          <w:sz w:val="16"/>
          <w:szCs w:val="16"/>
          <w:lang w:val="es-ES"/>
        </w:rPr>
        <w:t>[n]</w:t>
      </w:r>
      <w:proofErr w:type="spellStart"/>
      <w:r w:rsidRPr="009631AB">
        <w:rPr>
          <w:rFonts w:eastAsia="Calibri" w:cs="Times"/>
          <w:sz w:val="16"/>
          <w:szCs w:val="16"/>
          <w:lang w:val="es-ES"/>
        </w:rPr>
        <w:t>adie</w:t>
      </w:r>
      <w:proofErr w:type="spellEnd"/>
      <w:r w:rsidRPr="009631AB">
        <w:rPr>
          <w:rFonts w:eastAsia="Calibri" w:cs="Times"/>
          <w:sz w:val="16"/>
          <w:szCs w:val="16"/>
          <w:lang w:val="es-ES"/>
        </w:rPr>
        <w:t xml:space="preserve"> será privado de su libertad sino en virtud de orden escrita de autoridad competente, en los casos, por el tiempo y con las formalidades prescritas por la ley salvo delito flagrante, en cuyo caso tampoco podrá mantenérsele sin fórmula de juicio por más de 24 horas; en cualquiera de los casos, no podrá ser incomunicado por más de 24 horas.</w:t>
      </w:r>
    </w:p>
    <w:p w14:paraId="0A6E0C42" w14:textId="77777777" w:rsidR="00C54317" w:rsidRPr="009631AB" w:rsidRDefault="00C54317" w:rsidP="00D5699B">
      <w:pPr>
        <w:pStyle w:val="Prrafodelista"/>
        <w:rPr>
          <w:rFonts w:eastAsia="Calibri" w:cs="Times New Roman"/>
          <w:szCs w:val="20"/>
          <w:lang w:val="es-ES"/>
        </w:rPr>
      </w:pPr>
    </w:p>
    <w:p w14:paraId="27EE3126" w14:textId="77777777" w:rsidR="00C54317" w:rsidRPr="009631AB" w:rsidRDefault="00C54317" w:rsidP="00D5699B">
      <w:pPr>
        <w:pStyle w:val="Prrafodelista"/>
        <w:numPr>
          <w:ilvl w:val="0"/>
          <w:numId w:val="4"/>
        </w:numPr>
        <w:contextualSpacing w:val="0"/>
        <w:rPr>
          <w:szCs w:val="20"/>
        </w:rPr>
      </w:pPr>
      <w:r w:rsidRPr="009631AB">
        <w:rPr>
          <w:rFonts w:eastAsia="Calibri" w:cs="Times New Roman"/>
          <w:szCs w:val="20"/>
          <w:lang w:val="es-ES"/>
        </w:rPr>
        <w:t>El artículo 172 del Código de Procedimiento Penal del Ecuador de 1983, vigente al momento de los hechos, disponía que:</w:t>
      </w:r>
    </w:p>
    <w:p w14:paraId="566C76D3" w14:textId="77777777" w:rsidR="00C54317" w:rsidRPr="009631AB" w:rsidRDefault="00C54317" w:rsidP="00C54317">
      <w:pPr>
        <w:spacing w:after="0" w:line="240" w:lineRule="auto"/>
        <w:ind w:left="630" w:right="450"/>
        <w:jc w:val="both"/>
        <w:rPr>
          <w:rFonts w:eastAsia="Calibri" w:cs="Times"/>
          <w:sz w:val="16"/>
          <w:szCs w:val="16"/>
          <w:lang w:val="es-ES"/>
        </w:rPr>
      </w:pPr>
    </w:p>
    <w:p w14:paraId="00B2DBA9" w14:textId="77777777" w:rsidR="00C54317" w:rsidRPr="009631AB" w:rsidRDefault="00C54317" w:rsidP="00C54317">
      <w:pPr>
        <w:spacing w:after="0" w:line="240" w:lineRule="auto"/>
        <w:ind w:left="630" w:right="450"/>
        <w:jc w:val="both"/>
        <w:rPr>
          <w:rFonts w:eastAsia="Calibri" w:cs="Times"/>
          <w:sz w:val="16"/>
          <w:szCs w:val="16"/>
          <w:lang w:val="es-ES"/>
        </w:rPr>
      </w:pPr>
      <w:r w:rsidRPr="009631AB">
        <w:rPr>
          <w:rFonts w:eastAsia="Calibri" w:cs="Times"/>
          <w:sz w:val="16"/>
          <w:szCs w:val="16"/>
          <w:lang w:val="es-ES"/>
        </w:rPr>
        <w:t>[c]</w:t>
      </w:r>
      <w:proofErr w:type="spellStart"/>
      <w:r w:rsidRPr="009631AB">
        <w:rPr>
          <w:rFonts w:eastAsia="Calibri" w:cs="Times"/>
          <w:sz w:val="16"/>
          <w:szCs w:val="16"/>
          <w:lang w:val="es-ES"/>
        </w:rPr>
        <w:t>on</w:t>
      </w:r>
      <w:proofErr w:type="spellEnd"/>
      <w:r w:rsidRPr="009631AB">
        <w:rPr>
          <w:rFonts w:eastAsia="Calibri" w:cs="Times"/>
          <w:sz w:val="16"/>
          <w:szCs w:val="16"/>
          <w:lang w:val="es-ES"/>
        </w:rPr>
        <w:t xml:space="preserve"> el objeto de investigar la comisión de un delito, antes de iniciada la respectiva acción penal, el Juez competente podrá ordenar la detención de una persona, sea por conocimiento personal o por informes verbales o escritos de los agentes de la Policía Nacional o de la Policía Judicial o de cualquier otra persona, que establezcan la constancia del delito y las correspondientes presunciones de responsabilidad.</w:t>
      </w:r>
    </w:p>
    <w:p w14:paraId="68A1A41B" w14:textId="77777777" w:rsidR="00C54317" w:rsidRPr="009631AB" w:rsidRDefault="00C54317" w:rsidP="00C54317">
      <w:pPr>
        <w:spacing w:after="0" w:line="240" w:lineRule="auto"/>
        <w:ind w:left="630" w:right="450"/>
        <w:jc w:val="both"/>
        <w:rPr>
          <w:rFonts w:eastAsia="Calibri" w:cs="Times"/>
          <w:sz w:val="16"/>
          <w:szCs w:val="16"/>
          <w:lang w:val="es-ES"/>
        </w:rPr>
      </w:pPr>
    </w:p>
    <w:p w14:paraId="1C21851E" w14:textId="77777777" w:rsidR="00C54317" w:rsidRPr="009631AB" w:rsidRDefault="00C54317" w:rsidP="00D5699B">
      <w:pPr>
        <w:spacing w:after="0" w:line="240" w:lineRule="auto"/>
        <w:ind w:left="630" w:right="450"/>
        <w:jc w:val="both"/>
        <w:rPr>
          <w:rFonts w:eastAsia="Calibri" w:cs="Times"/>
          <w:sz w:val="16"/>
          <w:szCs w:val="16"/>
          <w:lang w:val="es-ES"/>
        </w:rPr>
      </w:pPr>
      <w:r w:rsidRPr="009631AB">
        <w:rPr>
          <w:rFonts w:eastAsia="Calibri" w:cs="Times"/>
          <w:sz w:val="16"/>
          <w:szCs w:val="16"/>
          <w:lang w:val="es-ES"/>
        </w:rPr>
        <w:t>Esta detención se ordenará mediante boleta que contendrá los siguientes requisitos:</w:t>
      </w:r>
    </w:p>
    <w:p w14:paraId="4CFC7EA7" w14:textId="77777777" w:rsidR="00C54317" w:rsidRPr="009631AB" w:rsidRDefault="00C54317" w:rsidP="00D5699B">
      <w:pPr>
        <w:numPr>
          <w:ilvl w:val="0"/>
          <w:numId w:val="32"/>
        </w:numPr>
        <w:spacing w:after="0" w:line="240" w:lineRule="auto"/>
        <w:ind w:left="630" w:right="450" w:firstLine="0"/>
        <w:jc w:val="both"/>
        <w:rPr>
          <w:rFonts w:eastAsia="Calibri" w:cs="Times"/>
          <w:sz w:val="16"/>
          <w:szCs w:val="16"/>
          <w:lang w:val="es-ES"/>
        </w:rPr>
      </w:pPr>
      <w:r w:rsidRPr="009631AB">
        <w:rPr>
          <w:rFonts w:eastAsia="Calibri" w:cs="Times"/>
          <w:sz w:val="16"/>
          <w:szCs w:val="16"/>
          <w:lang w:val="es-ES"/>
        </w:rPr>
        <w:t>Los motivos de la detención;</w:t>
      </w:r>
    </w:p>
    <w:p w14:paraId="0D93B3B3" w14:textId="77777777" w:rsidR="00C54317" w:rsidRPr="009631AB" w:rsidRDefault="00C54317" w:rsidP="00D5699B">
      <w:pPr>
        <w:numPr>
          <w:ilvl w:val="0"/>
          <w:numId w:val="32"/>
        </w:numPr>
        <w:spacing w:after="0" w:line="240" w:lineRule="auto"/>
        <w:ind w:left="630" w:right="450" w:firstLine="0"/>
        <w:jc w:val="both"/>
        <w:rPr>
          <w:rFonts w:eastAsia="Calibri" w:cs="Times"/>
          <w:sz w:val="16"/>
          <w:szCs w:val="16"/>
          <w:lang w:val="es-ES"/>
        </w:rPr>
      </w:pPr>
      <w:r w:rsidRPr="009631AB">
        <w:rPr>
          <w:rFonts w:eastAsia="Calibri" w:cs="Times"/>
          <w:sz w:val="16"/>
          <w:szCs w:val="16"/>
          <w:lang w:val="es-ES"/>
        </w:rPr>
        <w:t>El lugar y la fecha en la que se la expide; y</w:t>
      </w:r>
    </w:p>
    <w:p w14:paraId="76618422" w14:textId="77777777" w:rsidR="00C54317" w:rsidRPr="009631AB" w:rsidRDefault="00C54317" w:rsidP="00D5699B">
      <w:pPr>
        <w:numPr>
          <w:ilvl w:val="0"/>
          <w:numId w:val="32"/>
        </w:numPr>
        <w:spacing w:after="0" w:line="240" w:lineRule="auto"/>
        <w:ind w:left="630" w:right="450" w:firstLine="0"/>
        <w:jc w:val="both"/>
        <w:rPr>
          <w:rFonts w:eastAsia="Calibri" w:cs="Times"/>
          <w:sz w:val="16"/>
          <w:szCs w:val="16"/>
          <w:lang w:val="es-ES"/>
        </w:rPr>
      </w:pPr>
      <w:r w:rsidRPr="009631AB">
        <w:rPr>
          <w:rFonts w:eastAsia="Calibri" w:cs="Times"/>
          <w:sz w:val="16"/>
          <w:szCs w:val="16"/>
          <w:lang w:val="es-ES"/>
        </w:rPr>
        <w:t>la firma del Juez competente.</w:t>
      </w:r>
    </w:p>
    <w:p w14:paraId="16170FB4" w14:textId="77777777" w:rsidR="00C54317" w:rsidRPr="009631AB" w:rsidRDefault="00C54317" w:rsidP="00C54317">
      <w:pPr>
        <w:spacing w:after="0" w:line="240" w:lineRule="auto"/>
        <w:ind w:left="630" w:right="450"/>
        <w:jc w:val="both"/>
        <w:rPr>
          <w:rFonts w:eastAsia="Calibri" w:cs="Times"/>
          <w:sz w:val="16"/>
          <w:szCs w:val="16"/>
          <w:lang w:val="es-ES"/>
        </w:rPr>
      </w:pPr>
    </w:p>
    <w:p w14:paraId="0DC22FE8" w14:textId="77777777" w:rsidR="00C54317" w:rsidRPr="009631AB" w:rsidRDefault="00C54317" w:rsidP="00C54317">
      <w:pPr>
        <w:spacing w:after="0" w:line="240" w:lineRule="auto"/>
        <w:ind w:left="630" w:right="450"/>
        <w:jc w:val="both"/>
        <w:rPr>
          <w:rFonts w:eastAsia="Calibri" w:cs="Times"/>
          <w:sz w:val="16"/>
          <w:szCs w:val="16"/>
          <w:lang w:val="es-ES"/>
        </w:rPr>
      </w:pPr>
      <w:r w:rsidRPr="009631AB">
        <w:rPr>
          <w:rFonts w:eastAsia="Calibri" w:cs="Times"/>
          <w:sz w:val="16"/>
          <w:szCs w:val="16"/>
          <w:lang w:val="es-ES"/>
        </w:rPr>
        <w:t>Para el cumplimiento de la orden de detención se entregará dicha boleta a un Agente de la Policía Nacional o de la Policía Judicial.</w:t>
      </w:r>
    </w:p>
    <w:p w14:paraId="7A5E6027" w14:textId="77777777" w:rsidR="00C54317" w:rsidRPr="009631AB" w:rsidRDefault="00C54317" w:rsidP="00D5699B">
      <w:pPr>
        <w:rPr>
          <w:szCs w:val="20"/>
          <w:lang w:val="es-ES"/>
        </w:rPr>
      </w:pPr>
    </w:p>
    <w:p w14:paraId="13B5B820" w14:textId="77777777" w:rsidR="00C54317" w:rsidRPr="009631AB" w:rsidRDefault="00C54317" w:rsidP="00C54317">
      <w:pPr>
        <w:pStyle w:val="Prrafodelista"/>
        <w:numPr>
          <w:ilvl w:val="0"/>
          <w:numId w:val="4"/>
        </w:numPr>
        <w:tabs>
          <w:tab w:val="left" w:pos="567"/>
          <w:tab w:val="left" w:pos="1134"/>
          <w:tab w:val="num" w:pos="25354"/>
          <w:tab w:val="num" w:pos="30034"/>
        </w:tabs>
        <w:rPr>
          <w:rFonts w:eastAsia="Calibri" w:cs="Times New Roman"/>
          <w:szCs w:val="20"/>
          <w:lang w:val="es-ES"/>
        </w:rPr>
      </w:pPr>
      <w:r w:rsidRPr="009631AB">
        <w:rPr>
          <w:rFonts w:eastAsia="Calibri" w:cs="Times New Roman"/>
          <w:szCs w:val="20"/>
          <w:lang w:val="es-ES"/>
        </w:rPr>
        <w:t>Igualmente, el citado Código disponía en su artículo 174 que:</w:t>
      </w:r>
    </w:p>
    <w:p w14:paraId="761A2309" w14:textId="22D22638" w:rsidR="00C54317" w:rsidRPr="009631AB" w:rsidRDefault="00C54317" w:rsidP="00D5699B">
      <w:pPr>
        <w:pStyle w:val="Prrafodelista"/>
        <w:ind w:left="0"/>
        <w:contextualSpacing w:val="0"/>
        <w:rPr>
          <w:szCs w:val="20"/>
        </w:rPr>
      </w:pPr>
    </w:p>
    <w:p w14:paraId="781E28EA" w14:textId="003AB10B" w:rsidR="00C54317" w:rsidRPr="009631AB" w:rsidRDefault="00C54317" w:rsidP="00C54317">
      <w:pPr>
        <w:spacing w:after="0" w:line="240" w:lineRule="auto"/>
        <w:ind w:left="630" w:right="630"/>
        <w:jc w:val="both"/>
        <w:rPr>
          <w:rFonts w:eastAsia="Calibri" w:cs="Times"/>
          <w:sz w:val="16"/>
          <w:szCs w:val="16"/>
          <w:lang w:val="es-ES"/>
        </w:rPr>
      </w:pPr>
      <w:r w:rsidRPr="009631AB">
        <w:rPr>
          <w:rFonts w:eastAsia="Calibri" w:cs="Times"/>
          <w:sz w:val="16"/>
          <w:szCs w:val="16"/>
          <w:lang w:val="es-ES"/>
        </w:rPr>
        <w:t>[e]n el caso de delito flagrante cualquier persona puede aprehender al autor y conducirlo a presencia del Juez competente o de un Agente de la Policía Nacional o de la Policía Judicial. En ese último caso, el Agente inmediatamente pondrá al detenido a órdenes del Juez, junto con el parte respectivo.</w:t>
      </w:r>
    </w:p>
    <w:p w14:paraId="38149876" w14:textId="77777777" w:rsidR="00C54317" w:rsidRPr="009631AB" w:rsidRDefault="00C54317" w:rsidP="00C54317">
      <w:pPr>
        <w:spacing w:after="0" w:line="240" w:lineRule="auto"/>
        <w:ind w:left="630" w:right="630"/>
        <w:jc w:val="both"/>
        <w:rPr>
          <w:rFonts w:eastAsia="Calibri" w:cs="Times"/>
          <w:sz w:val="16"/>
          <w:szCs w:val="16"/>
          <w:lang w:val="es-ES"/>
        </w:rPr>
      </w:pPr>
      <w:r w:rsidRPr="009631AB">
        <w:rPr>
          <w:rFonts w:eastAsia="Calibri" w:cs="Times"/>
          <w:sz w:val="16"/>
          <w:szCs w:val="16"/>
          <w:lang w:val="es-ES"/>
        </w:rPr>
        <w:t>[…]</w:t>
      </w:r>
    </w:p>
    <w:p w14:paraId="0929BFA9" w14:textId="77777777" w:rsidR="00C54317" w:rsidRPr="009631AB" w:rsidRDefault="00C54317" w:rsidP="00C54317">
      <w:pPr>
        <w:tabs>
          <w:tab w:val="left" w:pos="567"/>
          <w:tab w:val="left" w:pos="1134"/>
        </w:tabs>
        <w:spacing w:after="0" w:line="240" w:lineRule="auto"/>
        <w:jc w:val="center"/>
        <w:rPr>
          <w:rFonts w:eastAsia="Calibri" w:cs="Times New Roman"/>
          <w:szCs w:val="20"/>
          <w:lang w:val="es-MX"/>
        </w:rPr>
      </w:pPr>
    </w:p>
    <w:p w14:paraId="4674953B" w14:textId="6E3951F4" w:rsidR="003B4587" w:rsidRPr="008E2396" w:rsidRDefault="00C54317" w:rsidP="00734B53">
      <w:pPr>
        <w:pStyle w:val="Prrafodelista"/>
        <w:numPr>
          <w:ilvl w:val="0"/>
          <w:numId w:val="4"/>
        </w:numPr>
        <w:contextualSpacing w:val="0"/>
        <w:rPr>
          <w:noProof w:val="0"/>
          <w:color w:val="000000" w:themeColor="text1"/>
          <w:szCs w:val="20"/>
        </w:rPr>
      </w:pPr>
      <w:r w:rsidRPr="009631AB">
        <w:rPr>
          <w:rFonts w:eastAsia="Calibri" w:cs="Times New Roman"/>
          <w:szCs w:val="20"/>
          <w:lang w:val="es-ES"/>
        </w:rPr>
        <w:t>De conformidad con la normativa referida, vigente al momento de los hechos, se requería orden judicial para detener a una persona, salvo que haya sido aprehendida en delito flagrante</w:t>
      </w:r>
      <w:r w:rsidRPr="009631AB">
        <w:rPr>
          <w:vertAlign w:val="superscript"/>
        </w:rPr>
        <w:footnoteReference w:id="85"/>
      </w:r>
      <w:r w:rsidRPr="009631AB">
        <w:rPr>
          <w:rFonts w:eastAsia="Calibri" w:cs="Times New Roman"/>
          <w:szCs w:val="20"/>
          <w:lang w:val="es-ES"/>
        </w:rPr>
        <w:t xml:space="preserve">. </w:t>
      </w:r>
      <w:r w:rsidR="003B4587" w:rsidRPr="009631AB">
        <w:rPr>
          <w:noProof w:val="0"/>
          <w:szCs w:val="20"/>
        </w:rPr>
        <w:t>Ante la inexistencia de orden judicial que determinara la detención del señor Montesino</w:t>
      </w:r>
      <w:r w:rsidR="003B4587" w:rsidRPr="008E2396">
        <w:rPr>
          <w:noProof w:val="0"/>
          <w:color w:val="000000" w:themeColor="text1"/>
          <w:szCs w:val="20"/>
        </w:rPr>
        <w:t>s</w:t>
      </w:r>
      <w:r w:rsidR="00F1564C" w:rsidRPr="008E2396">
        <w:rPr>
          <w:noProof w:val="0"/>
          <w:color w:val="000000" w:themeColor="text1"/>
          <w:szCs w:val="20"/>
        </w:rPr>
        <w:t xml:space="preserve"> y la ausencia de flagrancia a su respecto</w:t>
      </w:r>
      <w:r w:rsidR="003B4587" w:rsidRPr="008E2396">
        <w:rPr>
          <w:noProof w:val="0"/>
          <w:color w:val="000000" w:themeColor="text1"/>
          <w:szCs w:val="20"/>
        </w:rPr>
        <w:t xml:space="preserve">, es evidente que su aprehensión se dio ilegalmente, en violación de la norma ecuatoriana, lo que resulta, por lo tanto, violatorio del artículo 7.2 de la Convención Americana sobre Derechos Humanos. </w:t>
      </w:r>
    </w:p>
    <w:p w14:paraId="018DC085" w14:textId="77777777" w:rsidR="003B4587" w:rsidRPr="008E2396" w:rsidRDefault="003B4587" w:rsidP="00734B53">
      <w:pPr>
        <w:pStyle w:val="Prrafodelista"/>
        <w:ind w:left="0"/>
        <w:contextualSpacing w:val="0"/>
        <w:rPr>
          <w:noProof w:val="0"/>
          <w:color w:val="000000" w:themeColor="text1"/>
          <w:szCs w:val="20"/>
        </w:rPr>
      </w:pPr>
    </w:p>
    <w:p w14:paraId="361F57C1" w14:textId="77777777" w:rsidR="003B4587" w:rsidRPr="008E2396" w:rsidRDefault="003B4587" w:rsidP="00734B53">
      <w:pPr>
        <w:pStyle w:val="Prrafodelista"/>
        <w:ind w:left="851"/>
        <w:contextualSpacing w:val="0"/>
        <w:outlineLvl w:val="3"/>
        <w:rPr>
          <w:i/>
          <w:noProof w:val="0"/>
          <w:color w:val="000000" w:themeColor="text1"/>
          <w:szCs w:val="20"/>
        </w:rPr>
      </w:pPr>
      <w:bookmarkStart w:id="111" w:name="_Toc26374870"/>
      <w:r w:rsidRPr="008E2396">
        <w:rPr>
          <w:i/>
          <w:noProof w:val="0"/>
          <w:color w:val="000000" w:themeColor="text1"/>
          <w:szCs w:val="20"/>
        </w:rPr>
        <w:t>B.1.2. Prisión preventiva</w:t>
      </w:r>
      <w:bookmarkEnd w:id="111"/>
    </w:p>
    <w:p w14:paraId="6B764BBF" w14:textId="77777777" w:rsidR="003B4587" w:rsidRPr="008E2396" w:rsidRDefault="003B4587" w:rsidP="00734B53">
      <w:pPr>
        <w:pStyle w:val="Prrafodelista"/>
        <w:ind w:left="0"/>
        <w:contextualSpacing w:val="0"/>
        <w:rPr>
          <w:noProof w:val="0"/>
          <w:color w:val="000000" w:themeColor="text1"/>
          <w:szCs w:val="20"/>
        </w:rPr>
      </w:pPr>
    </w:p>
    <w:p w14:paraId="3444D260" w14:textId="5D38535F" w:rsidR="003B4587" w:rsidRPr="008E2396" w:rsidRDefault="003B4587" w:rsidP="00734B53">
      <w:pPr>
        <w:pStyle w:val="Prrafodelista"/>
        <w:numPr>
          <w:ilvl w:val="0"/>
          <w:numId w:val="4"/>
        </w:numPr>
        <w:contextualSpacing w:val="0"/>
        <w:rPr>
          <w:noProof w:val="0"/>
          <w:color w:val="000000" w:themeColor="text1"/>
          <w:szCs w:val="20"/>
        </w:rPr>
      </w:pPr>
      <w:r w:rsidRPr="008E2396">
        <w:rPr>
          <w:noProof w:val="0"/>
          <w:color w:val="000000" w:themeColor="text1"/>
          <w:szCs w:val="20"/>
        </w:rPr>
        <w:t xml:space="preserve">Luego </w:t>
      </w:r>
      <w:r w:rsidR="00C476CB" w:rsidRPr="008E2396">
        <w:rPr>
          <w:noProof w:val="0"/>
          <w:color w:val="000000" w:themeColor="text1"/>
          <w:szCs w:val="20"/>
        </w:rPr>
        <w:t>d</w:t>
      </w:r>
      <w:r w:rsidRPr="008E2396">
        <w:rPr>
          <w:noProof w:val="0"/>
          <w:color w:val="000000" w:themeColor="text1"/>
          <w:szCs w:val="20"/>
        </w:rPr>
        <w:t>e su detención</w:t>
      </w:r>
      <w:r w:rsidR="009712B1" w:rsidRPr="008E2396">
        <w:rPr>
          <w:noProof w:val="0"/>
          <w:color w:val="000000" w:themeColor="text1"/>
          <w:szCs w:val="20"/>
        </w:rPr>
        <w:t xml:space="preserve"> el 21 de junio de 1992</w:t>
      </w:r>
      <w:r w:rsidRPr="008E2396">
        <w:rPr>
          <w:noProof w:val="0"/>
          <w:color w:val="000000" w:themeColor="text1"/>
          <w:szCs w:val="20"/>
        </w:rPr>
        <w:t xml:space="preserve">, el señor Montesinos fue llevado a un </w:t>
      </w:r>
      <w:r w:rsidR="00C476CB" w:rsidRPr="008E2396">
        <w:rPr>
          <w:noProof w:val="0"/>
          <w:color w:val="000000" w:themeColor="text1"/>
          <w:szCs w:val="20"/>
        </w:rPr>
        <w:t>lugar</w:t>
      </w:r>
      <w:r w:rsidRPr="008E2396">
        <w:rPr>
          <w:noProof w:val="0"/>
          <w:color w:val="000000" w:themeColor="text1"/>
          <w:szCs w:val="20"/>
        </w:rPr>
        <w:t xml:space="preserve"> no identificado donde permaneció preso. Sus familiares tampoco tenían conocimiento del lugar de su detención</w:t>
      </w:r>
      <w:r w:rsidRPr="008E2396">
        <w:rPr>
          <w:rStyle w:val="Refdenotaalpie"/>
          <w:rFonts w:ascii="Verdana" w:hAnsi="Verdana"/>
          <w:noProof w:val="0"/>
          <w:color w:val="000000" w:themeColor="text1"/>
        </w:rPr>
        <w:footnoteReference w:id="86"/>
      </w:r>
      <w:r w:rsidRPr="008E2396">
        <w:rPr>
          <w:noProof w:val="0"/>
          <w:color w:val="000000" w:themeColor="text1"/>
          <w:szCs w:val="20"/>
        </w:rPr>
        <w:t xml:space="preserve">. No hay constancia en el expediente de que haya sido notificado por escrito sobre las razones de su detención, aunque el 25 de junio de 1992 rindió su </w:t>
      </w:r>
      <w:r w:rsidRPr="008E2396">
        <w:rPr>
          <w:noProof w:val="0"/>
          <w:color w:val="000000" w:themeColor="text1"/>
          <w:szCs w:val="20"/>
        </w:rPr>
        <w:lastRenderedPageBreak/>
        <w:t>declaración ante la Dirección Nacional de Investigaciones</w:t>
      </w:r>
      <w:r w:rsidR="00DE3CF7">
        <w:rPr>
          <w:noProof w:val="0"/>
          <w:color w:val="000000" w:themeColor="text1"/>
          <w:szCs w:val="20"/>
        </w:rPr>
        <w:t>,</w:t>
      </w:r>
      <w:r w:rsidRPr="008E2396">
        <w:rPr>
          <w:noProof w:val="0"/>
          <w:color w:val="000000" w:themeColor="text1"/>
          <w:szCs w:val="20"/>
        </w:rPr>
        <w:t xml:space="preserve"> </w:t>
      </w:r>
      <w:r w:rsidR="009712B1" w:rsidRPr="008E2396">
        <w:rPr>
          <w:noProof w:val="0"/>
          <w:color w:val="000000" w:themeColor="text1"/>
          <w:szCs w:val="20"/>
        </w:rPr>
        <w:t xml:space="preserve">pero </w:t>
      </w:r>
      <w:r w:rsidRPr="008E2396">
        <w:rPr>
          <w:noProof w:val="0"/>
          <w:color w:val="000000" w:themeColor="text1"/>
          <w:szCs w:val="20"/>
        </w:rPr>
        <w:t xml:space="preserve">sin contar con representante legal. </w:t>
      </w:r>
    </w:p>
    <w:p w14:paraId="4F478D9B" w14:textId="77777777" w:rsidR="003B4587" w:rsidRPr="008E2396" w:rsidRDefault="003B4587" w:rsidP="00734B53">
      <w:pPr>
        <w:pStyle w:val="Prrafodelista"/>
        <w:ind w:left="0"/>
        <w:contextualSpacing w:val="0"/>
        <w:rPr>
          <w:noProof w:val="0"/>
          <w:color w:val="000000" w:themeColor="text1"/>
          <w:szCs w:val="20"/>
        </w:rPr>
      </w:pPr>
    </w:p>
    <w:p w14:paraId="07106042" w14:textId="5D0C3008" w:rsidR="003B4587" w:rsidRPr="009631AB" w:rsidRDefault="00E5050D" w:rsidP="00734B53">
      <w:pPr>
        <w:pStyle w:val="Prrafodelista"/>
        <w:numPr>
          <w:ilvl w:val="0"/>
          <w:numId w:val="4"/>
        </w:numPr>
        <w:contextualSpacing w:val="0"/>
        <w:rPr>
          <w:noProof w:val="0"/>
          <w:szCs w:val="20"/>
        </w:rPr>
      </w:pPr>
      <w:r w:rsidRPr="008E2396">
        <w:rPr>
          <w:noProof w:val="0"/>
          <w:color w:val="000000" w:themeColor="text1"/>
          <w:szCs w:val="20"/>
        </w:rPr>
        <w:t>Recién</w:t>
      </w:r>
      <w:r w:rsidR="00D25000" w:rsidRPr="008E2396">
        <w:rPr>
          <w:noProof w:val="0"/>
          <w:color w:val="000000" w:themeColor="text1"/>
          <w:szCs w:val="20"/>
        </w:rPr>
        <w:t xml:space="preserve"> </w:t>
      </w:r>
      <w:r w:rsidR="003B4587" w:rsidRPr="008E2396">
        <w:rPr>
          <w:noProof w:val="0"/>
          <w:color w:val="000000" w:themeColor="text1"/>
          <w:szCs w:val="20"/>
        </w:rPr>
        <w:t>el 11 de julio de 1992</w:t>
      </w:r>
      <w:r w:rsidR="00D25000" w:rsidRPr="008E2396">
        <w:rPr>
          <w:noProof w:val="0"/>
          <w:color w:val="000000" w:themeColor="text1"/>
          <w:szCs w:val="20"/>
        </w:rPr>
        <w:t>,</w:t>
      </w:r>
      <w:r w:rsidR="003B4587" w:rsidRPr="008E2396">
        <w:rPr>
          <w:noProof w:val="0"/>
          <w:color w:val="000000" w:themeColor="text1"/>
          <w:szCs w:val="20"/>
        </w:rPr>
        <w:t xml:space="preserve"> el Intendente General de Policía de Pichincha emitió una Boleta Constitucional de Encarcelamiento, en la cual ordenó mantener</w:t>
      </w:r>
      <w:r w:rsidR="00C92312" w:rsidRPr="008E2396">
        <w:rPr>
          <w:noProof w:val="0"/>
          <w:color w:val="000000" w:themeColor="text1"/>
          <w:szCs w:val="20"/>
        </w:rPr>
        <w:t>, entre otros,</w:t>
      </w:r>
      <w:r w:rsidR="003B4587" w:rsidRPr="008E2396">
        <w:rPr>
          <w:noProof w:val="0"/>
          <w:color w:val="000000" w:themeColor="text1"/>
          <w:szCs w:val="20"/>
        </w:rPr>
        <w:t xml:space="preserve"> al señor Montesinos</w:t>
      </w:r>
      <w:r w:rsidR="00C92312" w:rsidRPr="008E2396">
        <w:rPr>
          <w:noProof w:val="0"/>
          <w:color w:val="000000" w:themeColor="text1"/>
          <w:szCs w:val="20"/>
        </w:rPr>
        <w:t xml:space="preserve"> </w:t>
      </w:r>
      <w:r w:rsidR="003B4587" w:rsidRPr="008E2396">
        <w:rPr>
          <w:noProof w:val="0"/>
          <w:color w:val="000000" w:themeColor="text1"/>
          <w:szCs w:val="20"/>
        </w:rPr>
        <w:t>en calidad de detenido por ser “sindicado en el juicio penal por conversión y transferencia de bienes, de conformidad con la ley sobre sustancias estupefacientes y psicotrópicas […] hasta cuando el Juez de derecho resuelva lo que fuere de ley”</w:t>
      </w:r>
      <w:r w:rsidR="003B4587" w:rsidRPr="008E2396">
        <w:rPr>
          <w:rStyle w:val="Refdenotaalpie"/>
          <w:rFonts w:ascii="Verdana" w:hAnsi="Verdana"/>
          <w:noProof w:val="0"/>
          <w:color w:val="000000" w:themeColor="text1"/>
        </w:rPr>
        <w:footnoteReference w:id="87"/>
      </w:r>
      <w:r w:rsidR="003B4587" w:rsidRPr="008E2396">
        <w:rPr>
          <w:noProof w:val="0"/>
          <w:color w:val="000000" w:themeColor="text1"/>
          <w:szCs w:val="20"/>
        </w:rPr>
        <w:t>. El 13 de agosto de 1992, el Juez Primero de lo Penal de Pichincha emitió una nueva Boleta Constitucional de Encarcelamiento, la cual repetía la fórmula de la boleta anterior emitida por la autoridad policial</w:t>
      </w:r>
      <w:r w:rsidR="003B4587" w:rsidRPr="008E2396">
        <w:rPr>
          <w:rStyle w:val="Refdenotaalpie"/>
          <w:rFonts w:ascii="Verdana" w:hAnsi="Verdana"/>
          <w:noProof w:val="0"/>
          <w:color w:val="000000" w:themeColor="text1"/>
        </w:rPr>
        <w:footnoteReference w:id="88"/>
      </w:r>
      <w:r w:rsidR="003B4587" w:rsidRPr="008E2396">
        <w:rPr>
          <w:noProof w:val="0"/>
          <w:color w:val="000000" w:themeColor="text1"/>
          <w:szCs w:val="20"/>
        </w:rPr>
        <w:t xml:space="preserve">. </w:t>
      </w:r>
      <w:r w:rsidR="00D25000" w:rsidRPr="008E2396">
        <w:rPr>
          <w:noProof w:val="0"/>
          <w:color w:val="000000" w:themeColor="text1"/>
          <w:szCs w:val="20"/>
        </w:rPr>
        <w:t>Asimismo, e</w:t>
      </w:r>
      <w:r w:rsidR="003B4587" w:rsidRPr="008E2396">
        <w:rPr>
          <w:noProof w:val="0"/>
          <w:color w:val="000000" w:themeColor="text1"/>
          <w:szCs w:val="20"/>
        </w:rPr>
        <w:t xml:space="preserve">l expediente aportado a la Corte en el presente caso indica que el señor Montesinos </w:t>
      </w:r>
      <w:r w:rsidR="00D25000" w:rsidRPr="008E2396">
        <w:rPr>
          <w:noProof w:val="0"/>
          <w:color w:val="000000" w:themeColor="text1"/>
          <w:szCs w:val="20"/>
        </w:rPr>
        <w:t>rindió</w:t>
      </w:r>
      <w:r w:rsidR="00853139" w:rsidRPr="008E2396">
        <w:rPr>
          <w:noProof w:val="0"/>
          <w:color w:val="000000" w:themeColor="text1"/>
          <w:szCs w:val="20"/>
        </w:rPr>
        <w:t xml:space="preserve"> testimonio indagatorio</w:t>
      </w:r>
      <w:r w:rsidR="00D25000" w:rsidRPr="008E2396">
        <w:rPr>
          <w:noProof w:val="0"/>
          <w:color w:val="000000" w:themeColor="text1"/>
          <w:szCs w:val="20"/>
        </w:rPr>
        <w:t>,</w:t>
      </w:r>
      <w:r w:rsidR="00853139" w:rsidRPr="008E2396">
        <w:rPr>
          <w:noProof w:val="0"/>
          <w:color w:val="000000" w:themeColor="text1"/>
          <w:szCs w:val="20"/>
        </w:rPr>
        <w:t xml:space="preserve"> </w:t>
      </w:r>
      <w:r w:rsidR="009712B1" w:rsidRPr="008E2396">
        <w:rPr>
          <w:noProof w:val="0"/>
          <w:color w:val="000000" w:themeColor="text1"/>
          <w:szCs w:val="20"/>
        </w:rPr>
        <w:t xml:space="preserve">también </w:t>
      </w:r>
      <w:r w:rsidR="00853139" w:rsidRPr="008E2396">
        <w:rPr>
          <w:noProof w:val="0"/>
          <w:color w:val="000000" w:themeColor="text1"/>
          <w:szCs w:val="20"/>
        </w:rPr>
        <w:t xml:space="preserve">sin </w:t>
      </w:r>
      <w:r w:rsidR="00853139" w:rsidRPr="009631AB">
        <w:rPr>
          <w:noProof w:val="0"/>
          <w:szCs w:val="20"/>
        </w:rPr>
        <w:t>la presencia de su abogado, ante la Juez Primero de lo Penal de Pichincha</w:t>
      </w:r>
      <w:r w:rsidR="00C92312" w:rsidRPr="009631AB">
        <w:rPr>
          <w:noProof w:val="0"/>
          <w:szCs w:val="20"/>
        </w:rPr>
        <w:t>,</w:t>
      </w:r>
      <w:r w:rsidR="00853139" w:rsidRPr="009631AB">
        <w:rPr>
          <w:noProof w:val="0"/>
          <w:szCs w:val="20"/>
        </w:rPr>
        <w:t xml:space="preserve"> </w:t>
      </w:r>
      <w:r w:rsidRPr="009631AB">
        <w:rPr>
          <w:noProof w:val="0"/>
          <w:szCs w:val="20"/>
        </w:rPr>
        <w:t xml:space="preserve">los días 20 de enero y </w:t>
      </w:r>
      <w:r w:rsidR="00D25000" w:rsidRPr="009631AB">
        <w:rPr>
          <w:noProof w:val="0"/>
          <w:szCs w:val="20"/>
        </w:rPr>
        <w:t>30</w:t>
      </w:r>
      <w:r w:rsidR="00853139" w:rsidRPr="009631AB">
        <w:rPr>
          <w:noProof w:val="0"/>
          <w:szCs w:val="20"/>
        </w:rPr>
        <w:t xml:space="preserve"> de </w:t>
      </w:r>
      <w:r w:rsidR="00D25000" w:rsidRPr="009631AB">
        <w:rPr>
          <w:noProof w:val="0"/>
          <w:szCs w:val="20"/>
        </w:rPr>
        <w:t>diciembre</w:t>
      </w:r>
      <w:r w:rsidR="00853139" w:rsidRPr="009631AB">
        <w:rPr>
          <w:noProof w:val="0"/>
          <w:szCs w:val="20"/>
        </w:rPr>
        <w:t xml:space="preserve"> de 1993</w:t>
      </w:r>
      <w:r w:rsidR="00853139" w:rsidRPr="009631AB">
        <w:rPr>
          <w:rStyle w:val="Refdenotaalpie"/>
          <w:rFonts w:ascii="Verdana" w:hAnsi="Verdana"/>
          <w:noProof w:val="0"/>
        </w:rPr>
        <w:footnoteReference w:id="89"/>
      </w:r>
      <w:r w:rsidR="003B4587" w:rsidRPr="009631AB">
        <w:rPr>
          <w:noProof w:val="0"/>
          <w:szCs w:val="20"/>
        </w:rPr>
        <w:t>.</w:t>
      </w:r>
    </w:p>
    <w:p w14:paraId="1A497B80" w14:textId="77777777" w:rsidR="003B4587" w:rsidRPr="009631AB" w:rsidRDefault="003B4587" w:rsidP="00734B53">
      <w:pPr>
        <w:pStyle w:val="Prrafodelista"/>
        <w:contextualSpacing w:val="0"/>
        <w:rPr>
          <w:noProof w:val="0"/>
          <w:szCs w:val="20"/>
        </w:rPr>
      </w:pPr>
    </w:p>
    <w:p w14:paraId="1013A7D5" w14:textId="77777777" w:rsidR="003B4587" w:rsidRPr="009631AB" w:rsidRDefault="003B4587" w:rsidP="00734B53">
      <w:pPr>
        <w:pStyle w:val="Prrafodelista"/>
        <w:numPr>
          <w:ilvl w:val="0"/>
          <w:numId w:val="4"/>
        </w:numPr>
        <w:contextualSpacing w:val="0"/>
        <w:rPr>
          <w:noProof w:val="0"/>
          <w:szCs w:val="20"/>
        </w:rPr>
      </w:pPr>
      <w:r w:rsidRPr="009631AB">
        <w:rPr>
          <w:noProof w:val="0"/>
          <w:szCs w:val="20"/>
        </w:rPr>
        <w:t xml:space="preserve">En ninguna de las boletas de encarcelamiento o el parte que describió la detención y allanamiento del domicilio del señor Montesinos se hizo referencia a su situación individual, a los delitos por los cuales habría sido detenido ni a las circunstancias que justificarían mantenerlo preso. Tampoco se observa que durante su declaración rendida el 25 de junio de 1992 se le hayan informado sobre las razones y circunstancias de su detención. </w:t>
      </w:r>
    </w:p>
    <w:p w14:paraId="5D1A510C" w14:textId="77777777" w:rsidR="003B4587" w:rsidRPr="009631AB" w:rsidRDefault="003B4587" w:rsidP="00734B53">
      <w:pPr>
        <w:pStyle w:val="Prrafodelista"/>
        <w:contextualSpacing w:val="0"/>
        <w:rPr>
          <w:noProof w:val="0"/>
          <w:szCs w:val="20"/>
        </w:rPr>
      </w:pPr>
    </w:p>
    <w:p w14:paraId="55A41BD0" w14:textId="744A9238" w:rsidR="003B4587" w:rsidRPr="009631AB" w:rsidRDefault="003B4587" w:rsidP="00734B53">
      <w:pPr>
        <w:pStyle w:val="Prrafodelista"/>
        <w:numPr>
          <w:ilvl w:val="0"/>
          <w:numId w:val="4"/>
        </w:numPr>
        <w:contextualSpacing w:val="0"/>
        <w:rPr>
          <w:noProof w:val="0"/>
          <w:szCs w:val="20"/>
        </w:rPr>
      </w:pPr>
      <w:r w:rsidRPr="009631AB">
        <w:rPr>
          <w:noProof w:val="0"/>
          <w:szCs w:val="20"/>
        </w:rPr>
        <w:t>Del artículo 7.3 de la Convención se desprende que para que la medida privativa de la libertad no se torne arbitraria debe cumplir con los siguientes parámetros: i) que existan elementos para formular cargos o llevar a juicio</w:t>
      </w:r>
      <w:r w:rsidR="00065EF0" w:rsidRPr="009631AB">
        <w:rPr>
          <w:noProof w:val="0"/>
          <w:szCs w:val="20"/>
        </w:rPr>
        <w:t xml:space="preserve">: </w:t>
      </w:r>
      <w:r w:rsidR="00065EF0" w:rsidRPr="009631AB">
        <w:rPr>
          <w:szCs w:val="20"/>
          <w:lang w:val="es-ES"/>
        </w:rPr>
        <w:t xml:space="preserve">deben existir </w:t>
      </w:r>
      <w:r w:rsidR="00065EF0" w:rsidRPr="009631AB">
        <w:rPr>
          <w:szCs w:val="20"/>
          <w:lang w:val="es-CR"/>
        </w:rPr>
        <w:t>indicios suficientes que permitan suponer razonablemente que un hecho ilícito ocurrió y que la persona sometida al proceso pudo haber participado en el mismo</w:t>
      </w:r>
      <w:r w:rsidR="00065EF0" w:rsidRPr="009631AB">
        <w:rPr>
          <w:rStyle w:val="Refdenotaalpie"/>
          <w:rFonts w:ascii="Verdana" w:hAnsi="Verdana"/>
        </w:rPr>
        <w:footnoteReference w:id="90"/>
      </w:r>
      <w:r w:rsidRPr="009631AB">
        <w:rPr>
          <w:noProof w:val="0"/>
          <w:szCs w:val="20"/>
        </w:rPr>
        <w:t>; ii) que la finalidad sea compatible con la Convención</w:t>
      </w:r>
      <w:r w:rsidRPr="009631AB">
        <w:rPr>
          <w:rStyle w:val="Refdenotaalpie"/>
          <w:rFonts w:ascii="Verdana" w:hAnsi="Verdana"/>
          <w:noProof w:val="0"/>
        </w:rPr>
        <w:footnoteReference w:id="91"/>
      </w:r>
      <w:r w:rsidRPr="009631AB">
        <w:rPr>
          <w:noProof w:val="0"/>
          <w:szCs w:val="20"/>
        </w:rPr>
        <w:t>, a saber: procurar que la persona acusada no impedirá el desarrollo del procedimiento ni eludirá la acción de la justicia</w:t>
      </w:r>
      <w:r w:rsidRPr="009631AB">
        <w:rPr>
          <w:rStyle w:val="Refdenotaalpie"/>
          <w:rFonts w:ascii="Verdana" w:hAnsi="Verdana"/>
          <w:noProof w:val="0"/>
        </w:rPr>
        <w:footnoteReference w:id="92"/>
      </w:r>
      <w:r w:rsidRPr="009631AB">
        <w:rPr>
          <w:noProof w:val="0"/>
          <w:szCs w:val="20"/>
        </w:rPr>
        <w:t>; iii) que las medidas sean idóneas, necesarias y estrictamente proporcionales</w:t>
      </w:r>
      <w:r w:rsidRPr="009631AB">
        <w:rPr>
          <w:rStyle w:val="Refdenotaalpie"/>
          <w:rFonts w:ascii="Verdana" w:hAnsi="Verdana"/>
          <w:noProof w:val="0"/>
        </w:rPr>
        <w:footnoteReference w:id="93"/>
      </w:r>
      <w:r w:rsidRPr="009631AB">
        <w:rPr>
          <w:noProof w:val="0"/>
          <w:szCs w:val="20"/>
        </w:rPr>
        <w:t xml:space="preserve"> y i</w:t>
      </w:r>
      <w:r w:rsidR="00C16634" w:rsidRPr="009631AB">
        <w:rPr>
          <w:noProof w:val="0"/>
          <w:szCs w:val="20"/>
        </w:rPr>
        <w:t>v</w:t>
      </w:r>
      <w:r w:rsidRPr="009631AB">
        <w:rPr>
          <w:noProof w:val="0"/>
          <w:szCs w:val="20"/>
        </w:rPr>
        <w:t xml:space="preserve">) que la decisión que las impone contenga una motivación </w:t>
      </w:r>
      <w:r w:rsidRPr="009631AB">
        <w:rPr>
          <w:noProof w:val="0"/>
          <w:szCs w:val="20"/>
        </w:rPr>
        <w:lastRenderedPageBreak/>
        <w:t>suficiente que permita evaluar si se ajusta a las condiciones señaladas</w:t>
      </w:r>
      <w:r w:rsidRPr="009631AB">
        <w:rPr>
          <w:rStyle w:val="Refdenotaalpie"/>
          <w:rFonts w:ascii="Verdana" w:hAnsi="Verdana"/>
          <w:noProof w:val="0"/>
        </w:rPr>
        <w:footnoteReference w:id="94"/>
      </w:r>
      <w:r w:rsidRPr="009631AB">
        <w:rPr>
          <w:noProof w:val="0"/>
          <w:szCs w:val="20"/>
        </w:rPr>
        <w:t>. Cualquier restricción a la libertad que no contenga una motivación suficiente que permita evaluar si se ajusta a las condiciones señaladas será arbitraria y, por tanto, violará el artículo 7.3 de la Convención</w:t>
      </w:r>
      <w:r w:rsidRPr="009631AB">
        <w:rPr>
          <w:noProof w:val="0"/>
          <w:szCs w:val="20"/>
          <w:vertAlign w:val="superscript"/>
        </w:rPr>
        <w:footnoteReference w:id="95"/>
      </w:r>
      <w:r w:rsidRPr="009631AB">
        <w:rPr>
          <w:noProof w:val="0"/>
          <w:szCs w:val="20"/>
        </w:rPr>
        <w:t>.</w:t>
      </w:r>
    </w:p>
    <w:p w14:paraId="4D7ECBBE" w14:textId="77777777" w:rsidR="00065EF0" w:rsidRPr="009631AB" w:rsidRDefault="00065EF0" w:rsidP="00734B53">
      <w:pPr>
        <w:pStyle w:val="Prrafodelista"/>
        <w:ind w:left="0"/>
        <w:contextualSpacing w:val="0"/>
        <w:rPr>
          <w:noProof w:val="0"/>
          <w:szCs w:val="20"/>
        </w:rPr>
      </w:pPr>
    </w:p>
    <w:p w14:paraId="1182D859" w14:textId="5A9E2BC3" w:rsidR="003B4587" w:rsidRPr="009631AB" w:rsidRDefault="003B4587" w:rsidP="00734B53">
      <w:pPr>
        <w:pStyle w:val="Prrafodelista"/>
        <w:numPr>
          <w:ilvl w:val="0"/>
          <w:numId w:val="4"/>
        </w:numPr>
        <w:contextualSpacing w:val="0"/>
        <w:rPr>
          <w:noProof w:val="0"/>
          <w:szCs w:val="20"/>
        </w:rPr>
      </w:pPr>
      <w:r w:rsidRPr="009631AB">
        <w:rPr>
          <w:noProof w:val="0"/>
          <w:szCs w:val="20"/>
        </w:rPr>
        <w:t xml:space="preserve">La prisión preventiva del señor Montesinos fue autorizada </w:t>
      </w:r>
      <w:r w:rsidRPr="009631AB">
        <w:rPr>
          <w:i/>
          <w:noProof w:val="0"/>
          <w:szCs w:val="20"/>
        </w:rPr>
        <w:t>post facto</w:t>
      </w:r>
      <w:r w:rsidRPr="009631AB">
        <w:rPr>
          <w:noProof w:val="0"/>
          <w:szCs w:val="20"/>
        </w:rPr>
        <w:t xml:space="preserve">, primero por el Intendente de Policía y posteriormente por un Juzgado Penal. En la primera boleta de encarcelamiento, se menciona que es sindicado en conformidad con la Ley </w:t>
      </w:r>
      <w:r w:rsidRPr="009631AB">
        <w:rPr>
          <w:szCs w:val="20"/>
          <w:lang w:val="es-ES"/>
        </w:rPr>
        <w:t xml:space="preserve">sobre Sustancias Estupefacientes y Psicotropicas. Por otro lado, en la </w:t>
      </w:r>
      <w:r w:rsidRPr="009631AB">
        <w:rPr>
          <w:noProof w:val="0"/>
          <w:szCs w:val="20"/>
        </w:rPr>
        <w:t>boleta de encarcelamiento del Juzgado Penal, de 13 de agosto de 1992, se dispone la prisión preventiva con base en el artículo 177 del Código de Procedimiento Penal</w:t>
      </w:r>
      <w:r w:rsidR="00333FA1" w:rsidRPr="009631AB">
        <w:rPr>
          <w:noProof w:val="0"/>
          <w:szCs w:val="20"/>
        </w:rPr>
        <w:t xml:space="preserve"> (en adelante CPP)</w:t>
      </w:r>
      <w:r w:rsidRPr="009631AB">
        <w:rPr>
          <w:noProof w:val="0"/>
          <w:szCs w:val="20"/>
        </w:rPr>
        <w:t xml:space="preserve">. </w:t>
      </w:r>
    </w:p>
    <w:p w14:paraId="63B27AEA" w14:textId="77777777" w:rsidR="003B4587" w:rsidRPr="009631AB" w:rsidRDefault="003B4587" w:rsidP="00734B53">
      <w:pPr>
        <w:pStyle w:val="Prrafodelista"/>
        <w:contextualSpacing w:val="0"/>
        <w:rPr>
          <w:noProof w:val="0"/>
          <w:szCs w:val="20"/>
        </w:rPr>
      </w:pPr>
    </w:p>
    <w:p w14:paraId="51223FC5" w14:textId="77777777" w:rsidR="003B4587" w:rsidRPr="009631AB" w:rsidRDefault="003B4587" w:rsidP="00734B53">
      <w:pPr>
        <w:pStyle w:val="Prrafodelista"/>
        <w:numPr>
          <w:ilvl w:val="0"/>
          <w:numId w:val="4"/>
        </w:numPr>
        <w:contextualSpacing w:val="0"/>
        <w:rPr>
          <w:noProof w:val="0"/>
          <w:szCs w:val="20"/>
        </w:rPr>
      </w:pPr>
      <w:r w:rsidRPr="009631AB">
        <w:rPr>
          <w:noProof w:val="0"/>
          <w:szCs w:val="20"/>
        </w:rPr>
        <w:t>Dicho artículo 177 del CPP facultaba la autoridad judicial a disponer la prisión preventiva solo con base en indicios sobre la existencia de un delito cuya pena fuera privativa de libertad y sobre la presunción de autoría del acusado</w:t>
      </w:r>
      <w:r w:rsidRPr="009631AB">
        <w:rPr>
          <w:rStyle w:val="Refdenotaalpie"/>
          <w:rFonts w:ascii="Verdana" w:hAnsi="Verdana"/>
          <w:noProof w:val="0"/>
        </w:rPr>
        <w:footnoteReference w:id="96"/>
      </w:r>
      <w:r w:rsidRPr="009631AB">
        <w:rPr>
          <w:noProof w:val="0"/>
          <w:szCs w:val="20"/>
        </w:rPr>
        <w:t xml:space="preserve">. </w:t>
      </w:r>
    </w:p>
    <w:p w14:paraId="29F53D76" w14:textId="77777777" w:rsidR="003B4587" w:rsidRPr="009631AB" w:rsidRDefault="003B4587" w:rsidP="00734B53">
      <w:pPr>
        <w:pStyle w:val="Prrafodelista"/>
        <w:contextualSpacing w:val="0"/>
        <w:rPr>
          <w:noProof w:val="0"/>
          <w:szCs w:val="20"/>
        </w:rPr>
      </w:pPr>
    </w:p>
    <w:p w14:paraId="4043A9FD" w14:textId="1EB98807" w:rsidR="003B4587" w:rsidRPr="009631AB" w:rsidRDefault="008433D7" w:rsidP="00734B53">
      <w:pPr>
        <w:pStyle w:val="Prrafodelista"/>
        <w:numPr>
          <w:ilvl w:val="0"/>
          <w:numId w:val="4"/>
        </w:numPr>
        <w:contextualSpacing w:val="0"/>
        <w:rPr>
          <w:noProof w:val="0"/>
          <w:szCs w:val="20"/>
        </w:rPr>
      </w:pPr>
      <w:r>
        <w:rPr>
          <w:noProof w:val="0"/>
          <w:szCs w:val="20"/>
        </w:rPr>
        <w:t>E</w:t>
      </w:r>
      <w:r w:rsidR="008D3984">
        <w:rPr>
          <w:noProof w:val="0"/>
          <w:szCs w:val="20"/>
        </w:rPr>
        <w:t>n el Caso Herrera Espinoza</w:t>
      </w:r>
      <w:r w:rsidR="003B4587" w:rsidRPr="009631AB">
        <w:rPr>
          <w:noProof w:val="0"/>
          <w:szCs w:val="20"/>
        </w:rPr>
        <w:t xml:space="preserve"> </w:t>
      </w:r>
      <w:r>
        <w:rPr>
          <w:noProof w:val="0"/>
          <w:szCs w:val="20"/>
        </w:rPr>
        <w:t>l</w:t>
      </w:r>
      <w:r w:rsidR="003B4587" w:rsidRPr="009631AB">
        <w:rPr>
          <w:noProof w:val="0"/>
          <w:szCs w:val="20"/>
        </w:rPr>
        <w:t xml:space="preserve">a Corte </w:t>
      </w:r>
      <w:r>
        <w:rPr>
          <w:noProof w:val="0"/>
          <w:szCs w:val="20"/>
        </w:rPr>
        <w:t>concluyó</w:t>
      </w:r>
      <w:r w:rsidR="003B4587" w:rsidRPr="009631AB">
        <w:rPr>
          <w:noProof w:val="0"/>
          <w:szCs w:val="20"/>
        </w:rPr>
        <w:t xml:space="preserve"> que dicha disposición</w:t>
      </w:r>
      <w:r w:rsidR="008D3984">
        <w:rPr>
          <w:noProof w:val="0"/>
          <w:szCs w:val="20"/>
        </w:rPr>
        <w:t xml:space="preserve"> viol</w:t>
      </w:r>
      <w:r>
        <w:rPr>
          <w:noProof w:val="0"/>
          <w:szCs w:val="20"/>
        </w:rPr>
        <w:t>ó</w:t>
      </w:r>
      <w:r w:rsidR="008D3984">
        <w:rPr>
          <w:noProof w:val="0"/>
          <w:szCs w:val="20"/>
        </w:rPr>
        <w:t xml:space="preserve"> el artículo 2 de la Convención. En aquella sentencia, se </w:t>
      </w:r>
      <w:r>
        <w:rPr>
          <w:noProof w:val="0"/>
          <w:szCs w:val="20"/>
        </w:rPr>
        <w:t>señaló que</w:t>
      </w:r>
      <w:r w:rsidR="003B4587" w:rsidRPr="009631AB">
        <w:rPr>
          <w:noProof w:val="0"/>
          <w:szCs w:val="20"/>
        </w:rPr>
        <w:t xml:space="preserve">: </w:t>
      </w:r>
    </w:p>
    <w:p w14:paraId="7EDD2BBE" w14:textId="77777777" w:rsidR="003B4587" w:rsidRPr="009631AB" w:rsidRDefault="003B4587" w:rsidP="00734B53">
      <w:pPr>
        <w:pStyle w:val="Prrafodelista"/>
        <w:contextualSpacing w:val="0"/>
        <w:rPr>
          <w:noProof w:val="0"/>
          <w:sz w:val="16"/>
          <w:szCs w:val="16"/>
        </w:rPr>
      </w:pPr>
    </w:p>
    <w:p w14:paraId="05E41A41" w14:textId="62CEAE44" w:rsidR="003B4587" w:rsidRPr="009631AB" w:rsidRDefault="00C16634" w:rsidP="00734B53">
      <w:pPr>
        <w:pStyle w:val="Prrafodelista"/>
        <w:ind w:left="709" w:right="615"/>
        <w:contextualSpacing w:val="0"/>
        <w:rPr>
          <w:noProof w:val="0"/>
          <w:sz w:val="18"/>
          <w:szCs w:val="18"/>
        </w:rPr>
      </w:pPr>
      <w:r w:rsidRPr="009631AB">
        <w:rPr>
          <w:noProof w:val="0"/>
          <w:sz w:val="18"/>
          <w:szCs w:val="18"/>
        </w:rPr>
        <w:t>“</w:t>
      </w:r>
      <w:r w:rsidR="003B4587" w:rsidRPr="009631AB">
        <w:rPr>
          <w:noProof w:val="0"/>
          <w:sz w:val="18"/>
          <w:szCs w:val="18"/>
        </w:rPr>
        <w:t xml:space="preserve">dejaba en manos del juez la decisión sobre la prisión preventiva solo con base en la apreciación de “indicios” respecto a la existencia de un delito y su autoría, sin considerar el carácter excepcional de la misma, ni su uso a partir de una necesidad estricta, y ante la posibilidad de que el acusado entorpezca el proceso o pudiera eludir a la justicia. […] Esta determinación de privación preventiva de la libertad en forma automática a partir del tipo de delito perseguido penalmente, resulta contraria a […] pautas [convencionales], que mandan a acreditar, en cada caso concreto, que la detención sea estrictamente necesaria y tenga como fin asegurar que el acusado no impedirá el desarrollo del procedimiento ni eludirá la acción de la justicia. […] En razón de lo expuesto, este Tribunal </w:t>
      </w:r>
      <w:proofErr w:type="spellStart"/>
      <w:r w:rsidR="003B4587" w:rsidRPr="009631AB">
        <w:rPr>
          <w:noProof w:val="0"/>
          <w:sz w:val="18"/>
          <w:szCs w:val="18"/>
        </w:rPr>
        <w:t>constat</w:t>
      </w:r>
      <w:proofErr w:type="spellEnd"/>
      <w:r w:rsidR="003B4587" w:rsidRPr="009631AB">
        <w:rPr>
          <w:noProof w:val="0"/>
          <w:sz w:val="18"/>
          <w:szCs w:val="18"/>
        </w:rPr>
        <w:t>[</w:t>
      </w:r>
      <w:proofErr w:type="spellStart"/>
      <w:r w:rsidR="003B4587" w:rsidRPr="009631AB">
        <w:rPr>
          <w:noProof w:val="0"/>
          <w:sz w:val="18"/>
          <w:szCs w:val="18"/>
        </w:rPr>
        <w:t>ó</w:t>
      </w:r>
      <w:proofErr w:type="spellEnd"/>
      <w:r w:rsidR="003B4587" w:rsidRPr="009631AB">
        <w:rPr>
          <w:noProof w:val="0"/>
          <w:sz w:val="18"/>
          <w:szCs w:val="18"/>
        </w:rPr>
        <w:t xml:space="preserve">] que [el] artículo […] 177 […] </w:t>
      </w:r>
      <w:proofErr w:type="spellStart"/>
      <w:r w:rsidR="003B4587" w:rsidRPr="009631AB">
        <w:rPr>
          <w:noProof w:val="0"/>
          <w:sz w:val="18"/>
          <w:szCs w:val="18"/>
        </w:rPr>
        <w:t>result</w:t>
      </w:r>
      <w:proofErr w:type="spellEnd"/>
      <w:r w:rsidR="003B4587" w:rsidRPr="009631AB">
        <w:rPr>
          <w:noProof w:val="0"/>
          <w:sz w:val="18"/>
          <w:szCs w:val="18"/>
        </w:rPr>
        <w:t>[</w:t>
      </w:r>
      <w:proofErr w:type="spellStart"/>
      <w:r w:rsidR="003B4587" w:rsidRPr="009631AB">
        <w:rPr>
          <w:noProof w:val="0"/>
          <w:sz w:val="18"/>
          <w:szCs w:val="18"/>
        </w:rPr>
        <w:t>ó</w:t>
      </w:r>
      <w:proofErr w:type="spellEnd"/>
      <w:r w:rsidR="003B4587" w:rsidRPr="009631AB">
        <w:rPr>
          <w:noProof w:val="0"/>
          <w:sz w:val="18"/>
          <w:szCs w:val="18"/>
        </w:rPr>
        <w:t>] contrario […] al estándar internacional establecido en su jurisprudencia constante respecto de la prisión preventiva”</w:t>
      </w:r>
      <w:r w:rsidR="003B4587" w:rsidRPr="009631AB">
        <w:rPr>
          <w:rStyle w:val="Refdenotaalpie"/>
          <w:rFonts w:ascii="Verdana" w:hAnsi="Verdana"/>
          <w:noProof w:val="0"/>
          <w:sz w:val="18"/>
          <w:szCs w:val="18"/>
        </w:rPr>
        <w:footnoteReference w:id="97"/>
      </w:r>
      <w:r w:rsidR="003B4587" w:rsidRPr="009631AB">
        <w:rPr>
          <w:noProof w:val="0"/>
          <w:sz w:val="18"/>
          <w:szCs w:val="18"/>
        </w:rPr>
        <w:t xml:space="preserve">. </w:t>
      </w:r>
    </w:p>
    <w:p w14:paraId="1ACFD767" w14:textId="77777777" w:rsidR="003B4587" w:rsidRPr="009631AB" w:rsidRDefault="003B4587" w:rsidP="00734B53">
      <w:pPr>
        <w:pStyle w:val="Prrafodelista"/>
        <w:ind w:left="0"/>
        <w:contextualSpacing w:val="0"/>
        <w:rPr>
          <w:noProof w:val="0"/>
          <w:szCs w:val="20"/>
        </w:rPr>
      </w:pPr>
    </w:p>
    <w:p w14:paraId="32874F34" w14:textId="46CB6C52" w:rsidR="003B4587" w:rsidRPr="009631AB" w:rsidRDefault="003B4587" w:rsidP="00734B53">
      <w:pPr>
        <w:pStyle w:val="Prrafodelista"/>
        <w:numPr>
          <w:ilvl w:val="0"/>
          <w:numId w:val="4"/>
        </w:numPr>
        <w:contextualSpacing w:val="0"/>
        <w:rPr>
          <w:noProof w:val="0"/>
          <w:szCs w:val="20"/>
        </w:rPr>
      </w:pPr>
      <w:r w:rsidRPr="009631AB">
        <w:rPr>
          <w:noProof w:val="0"/>
          <w:szCs w:val="20"/>
        </w:rPr>
        <w:t xml:space="preserve">La Corte advierte que no consta en el expediente ninguna </w:t>
      </w:r>
      <w:r w:rsidR="00FA110B" w:rsidRPr="009631AB">
        <w:rPr>
          <w:noProof w:val="0"/>
          <w:szCs w:val="20"/>
        </w:rPr>
        <w:t xml:space="preserve">justificación </w:t>
      </w:r>
      <w:r w:rsidRPr="009631AB">
        <w:rPr>
          <w:noProof w:val="0"/>
          <w:szCs w:val="20"/>
        </w:rPr>
        <w:t xml:space="preserve">o </w:t>
      </w:r>
      <w:r w:rsidR="00810C08" w:rsidRPr="009631AB">
        <w:rPr>
          <w:noProof w:val="0"/>
          <w:szCs w:val="20"/>
        </w:rPr>
        <w:t>motivación</w:t>
      </w:r>
      <w:r w:rsidRPr="009631AB">
        <w:rPr>
          <w:noProof w:val="0"/>
          <w:szCs w:val="20"/>
        </w:rPr>
        <w:t xml:space="preserve"> formal de parte de la autoridad judicial para </w:t>
      </w:r>
      <w:r w:rsidR="00C476CB" w:rsidRPr="009631AB">
        <w:rPr>
          <w:noProof w:val="0"/>
          <w:szCs w:val="20"/>
        </w:rPr>
        <w:t>ordenar la prisión preventiva</w:t>
      </w:r>
      <w:r w:rsidRPr="009631AB">
        <w:rPr>
          <w:noProof w:val="0"/>
          <w:szCs w:val="20"/>
        </w:rPr>
        <w:t xml:space="preserve"> </w:t>
      </w:r>
      <w:r w:rsidR="00C476CB" w:rsidRPr="009631AB">
        <w:rPr>
          <w:noProof w:val="0"/>
          <w:szCs w:val="20"/>
        </w:rPr>
        <w:t>de</w:t>
      </w:r>
      <w:r w:rsidRPr="009631AB">
        <w:rPr>
          <w:noProof w:val="0"/>
          <w:szCs w:val="20"/>
        </w:rPr>
        <w:t xml:space="preserve">l señor Montesinos. Ni siquiera en los autos cabeza de proceso de noviembre de 1992 se encuentra una </w:t>
      </w:r>
      <w:r w:rsidR="00FA110B" w:rsidRPr="009631AB">
        <w:rPr>
          <w:noProof w:val="0"/>
          <w:szCs w:val="20"/>
        </w:rPr>
        <w:t xml:space="preserve">justificación </w:t>
      </w:r>
      <w:r w:rsidRPr="009631AB">
        <w:rPr>
          <w:noProof w:val="0"/>
          <w:szCs w:val="20"/>
        </w:rPr>
        <w:t>para mantener</w:t>
      </w:r>
      <w:r w:rsidR="00810C08" w:rsidRPr="009631AB">
        <w:rPr>
          <w:noProof w:val="0"/>
          <w:szCs w:val="20"/>
        </w:rPr>
        <w:t xml:space="preserve"> a</w:t>
      </w:r>
      <w:r w:rsidRPr="009631AB">
        <w:rPr>
          <w:noProof w:val="0"/>
          <w:szCs w:val="20"/>
        </w:rPr>
        <w:t xml:space="preserve"> la presunta víctima en prisión preventiva ni tampoco un razonamiento que explique la necesidad de haberlo hecho desde su detención inicial. Aunque los delitos por los cuales </w:t>
      </w:r>
      <w:r w:rsidR="00FA110B" w:rsidRPr="009631AB">
        <w:rPr>
          <w:noProof w:val="0"/>
          <w:szCs w:val="20"/>
        </w:rPr>
        <w:t>fue</w:t>
      </w:r>
      <w:r w:rsidRPr="009631AB">
        <w:rPr>
          <w:noProof w:val="0"/>
          <w:szCs w:val="20"/>
        </w:rPr>
        <w:t xml:space="preserve"> acusado, previstos en la Ley sobre Sustancias Estupefacientes, eran considerados graves, la falta de argumentación y </w:t>
      </w:r>
      <w:r w:rsidR="00810C08" w:rsidRPr="009631AB">
        <w:rPr>
          <w:noProof w:val="0"/>
          <w:szCs w:val="20"/>
        </w:rPr>
        <w:t>motivación</w:t>
      </w:r>
      <w:r w:rsidRPr="009631AB">
        <w:rPr>
          <w:noProof w:val="0"/>
          <w:szCs w:val="20"/>
        </w:rPr>
        <w:t xml:space="preserve"> para mantener la prisión preventiva resultó violatoria de la Convención. </w:t>
      </w:r>
    </w:p>
    <w:p w14:paraId="0BF64DFE" w14:textId="77777777" w:rsidR="003B4587" w:rsidRPr="009631AB" w:rsidRDefault="003B4587" w:rsidP="00734B53">
      <w:pPr>
        <w:pStyle w:val="Prrafodelista"/>
        <w:ind w:left="0"/>
        <w:contextualSpacing w:val="0"/>
        <w:rPr>
          <w:noProof w:val="0"/>
          <w:szCs w:val="20"/>
        </w:rPr>
      </w:pPr>
    </w:p>
    <w:p w14:paraId="031AC36C" w14:textId="045F2F98" w:rsidR="003B4587" w:rsidRPr="00A859C5" w:rsidRDefault="003B4587" w:rsidP="00A859C5">
      <w:pPr>
        <w:pStyle w:val="Prrafodelista"/>
        <w:numPr>
          <w:ilvl w:val="0"/>
          <w:numId w:val="4"/>
        </w:numPr>
        <w:contextualSpacing w:val="0"/>
        <w:rPr>
          <w:noProof w:val="0"/>
          <w:szCs w:val="20"/>
        </w:rPr>
      </w:pPr>
      <w:r w:rsidRPr="009631AB">
        <w:rPr>
          <w:noProof w:val="0"/>
          <w:szCs w:val="20"/>
        </w:rPr>
        <w:lastRenderedPageBreak/>
        <w:t>La Corte concluye, entonces, que la orden de prisión preventiva dictada contra el señor Montesinos fue arbitraria</w:t>
      </w:r>
      <w:r w:rsidR="00A859C5">
        <w:rPr>
          <w:noProof w:val="0"/>
          <w:szCs w:val="20"/>
        </w:rPr>
        <w:t xml:space="preserve"> y, en consecuencia</w:t>
      </w:r>
      <w:r w:rsidRPr="009631AB">
        <w:rPr>
          <w:noProof w:val="0"/>
          <w:szCs w:val="20"/>
        </w:rPr>
        <w:t xml:space="preserve">, </w:t>
      </w:r>
      <w:r w:rsidR="00A859C5" w:rsidRPr="008E2396">
        <w:rPr>
          <w:noProof w:val="0"/>
          <w:color w:val="000000" w:themeColor="text1"/>
          <w:szCs w:val="20"/>
        </w:rPr>
        <w:t xml:space="preserve">contravino </w:t>
      </w:r>
      <w:r w:rsidRPr="00A859C5">
        <w:rPr>
          <w:noProof w:val="0"/>
          <w:szCs w:val="20"/>
        </w:rPr>
        <w:t xml:space="preserve">los artículos 7.1 y 7.3 de la Convención, en relación con sus artículos 1.1 y 2. Asimismo, en razón de que el señor Montesinos no fue notificado formalmente de los cargos formulados contra </w:t>
      </w:r>
      <w:r w:rsidR="00FA110B" w:rsidRPr="00A859C5">
        <w:rPr>
          <w:noProof w:val="0"/>
          <w:szCs w:val="20"/>
        </w:rPr>
        <w:t>é</w:t>
      </w:r>
      <w:r w:rsidRPr="00A859C5">
        <w:rPr>
          <w:noProof w:val="0"/>
          <w:szCs w:val="20"/>
        </w:rPr>
        <w:t>l hasta la emisión de</w:t>
      </w:r>
      <w:r w:rsidR="00C16634" w:rsidRPr="00A859C5">
        <w:rPr>
          <w:noProof w:val="0"/>
          <w:szCs w:val="20"/>
        </w:rPr>
        <w:t>l</w:t>
      </w:r>
      <w:r w:rsidRPr="00A859C5">
        <w:rPr>
          <w:noProof w:val="0"/>
          <w:szCs w:val="20"/>
        </w:rPr>
        <w:t xml:space="preserve"> auto cabeza de proceso </w:t>
      </w:r>
      <w:r w:rsidR="000D3DFD" w:rsidRPr="00A859C5">
        <w:rPr>
          <w:noProof w:val="0"/>
          <w:szCs w:val="20"/>
        </w:rPr>
        <w:t xml:space="preserve">sobre el delito de testaferrismo el 18 de </w:t>
      </w:r>
      <w:r w:rsidRPr="00A859C5">
        <w:rPr>
          <w:noProof w:val="0"/>
          <w:szCs w:val="20"/>
        </w:rPr>
        <w:t>noviembre de 1992</w:t>
      </w:r>
      <w:r w:rsidR="000D3DFD" w:rsidRPr="00A859C5">
        <w:rPr>
          <w:noProof w:val="0"/>
          <w:szCs w:val="20"/>
        </w:rPr>
        <w:t xml:space="preserve"> (</w:t>
      </w:r>
      <w:r w:rsidR="000D3DFD" w:rsidRPr="00A859C5">
        <w:rPr>
          <w:i/>
          <w:noProof w:val="0"/>
          <w:szCs w:val="20"/>
        </w:rPr>
        <w:t xml:space="preserve">infra </w:t>
      </w:r>
      <w:r w:rsidR="007945EB">
        <w:rPr>
          <w:noProof w:val="0"/>
          <w:szCs w:val="20"/>
        </w:rPr>
        <w:t>párr</w:t>
      </w:r>
      <w:r w:rsidR="000D3DFD" w:rsidRPr="00A859C5">
        <w:rPr>
          <w:noProof w:val="0"/>
          <w:szCs w:val="20"/>
        </w:rPr>
        <w:t xml:space="preserve">. </w:t>
      </w:r>
      <w:r w:rsidR="007945EB">
        <w:rPr>
          <w:noProof w:val="0"/>
          <w:szCs w:val="20"/>
        </w:rPr>
        <w:t>192</w:t>
      </w:r>
      <w:r w:rsidR="000D3DFD" w:rsidRPr="00A859C5">
        <w:rPr>
          <w:noProof w:val="0"/>
          <w:szCs w:val="20"/>
        </w:rPr>
        <w:t>)</w:t>
      </w:r>
      <w:r w:rsidRPr="00A859C5">
        <w:rPr>
          <w:noProof w:val="0"/>
          <w:szCs w:val="20"/>
        </w:rPr>
        <w:t xml:space="preserve">, la Corte concluye que Ecuador violó el artículo 7.4 de la Convención Americana, en relación con el artículo 1.1 del mismo instrumento, en </w:t>
      </w:r>
      <w:r w:rsidR="00810C08" w:rsidRPr="00A859C5">
        <w:rPr>
          <w:noProof w:val="0"/>
          <w:szCs w:val="20"/>
        </w:rPr>
        <w:t xml:space="preserve">su </w:t>
      </w:r>
      <w:r w:rsidRPr="00A859C5">
        <w:rPr>
          <w:noProof w:val="0"/>
          <w:szCs w:val="20"/>
        </w:rPr>
        <w:t xml:space="preserve">perjuicio. </w:t>
      </w:r>
    </w:p>
    <w:p w14:paraId="34C7B7EA" w14:textId="77777777" w:rsidR="003B4587" w:rsidRPr="009631AB" w:rsidRDefault="003B4587" w:rsidP="00734B53">
      <w:pPr>
        <w:pStyle w:val="Prrafodelista"/>
        <w:ind w:left="0"/>
        <w:contextualSpacing w:val="0"/>
        <w:rPr>
          <w:noProof w:val="0"/>
          <w:szCs w:val="20"/>
        </w:rPr>
      </w:pPr>
    </w:p>
    <w:p w14:paraId="6CE74FE5" w14:textId="23AD673F" w:rsidR="003B4587" w:rsidRPr="00D24534" w:rsidRDefault="003B4587" w:rsidP="00810C08">
      <w:pPr>
        <w:pStyle w:val="Ttulo3"/>
        <w:rPr>
          <w:b/>
        </w:rPr>
      </w:pPr>
      <w:bookmarkStart w:id="112" w:name="_Toc26374871"/>
      <w:bookmarkStart w:id="113" w:name="_Toc27069898"/>
      <w:r w:rsidRPr="00D24534">
        <w:rPr>
          <w:b/>
        </w:rPr>
        <w:t>B.2 Revisión de la prisión preventiva</w:t>
      </w:r>
      <w:bookmarkEnd w:id="112"/>
      <w:bookmarkEnd w:id="113"/>
    </w:p>
    <w:p w14:paraId="00F0E467" w14:textId="77777777" w:rsidR="003B4587" w:rsidRPr="009631AB" w:rsidRDefault="003B4587" w:rsidP="00734B53">
      <w:pPr>
        <w:pStyle w:val="Prrafodelista"/>
        <w:ind w:left="0"/>
        <w:contextualSpacing w:val="0"/>
        <w:rPr>
          <w:noProof w:val="0"/>
          <w:szCs w:val="20"/>
        </w:rPr>
      </w:pPr>
    </w:p>
    <w:p w14:paraId="3476FF96" w14:textId="447AB031" w:rsidR="003B4587" w:rsidRPr="009631AB" w:rsidRDefault="003B4587" w:rsidP="00734B53">
      <w:pPr>
        <w:pStyle w:val="Prrafodelista"/>
        <w:numPr>
          <w:ilvl w:val="0"/>
          <w:numId w:val="4"/>
        </w:numPr>
        <w:contextualSpacing w:val="0"/>
        <w:rPr>
          <w:noProof w:val="0"/>
          <w:szCs w:val="20"/>
        </w:rPr>
      </w:pPr>
      <w:r w:rsidRPr="009631AB">
        <w:rPr>
          <w:noProof w:val="0"/>
          <w:szCs w:val="20"/>
        </w:rPr>
        <w:t xml:space="preserve">Debe examinarse ahora si </w:t>
      </w:r>
      <w:r w:rsidR="008A35A3" w:rsidRPr="009631AB">
        <w:rPr>
          <w:noProof w:val="0"/>
          <w:szCs w:val="20"/>
        </w:rPr>
        <w:t xml:space="preserve">la continuación </w:t>
      </w:r>
      <w:r w:rsidRPr="009631AB">
        <w:rPr>
          <w:noProof w:val="0"/>
          <w:szCs w:val="20"/>
        </w:rPr>
        <w:t>o prolongación de la prisión preventiva, fue</w:t>
      </w:r>
      <w:r w:rsidR="00683DCB" w:rsidRPr="009631AB">
        <w:rPr>
          <w:noProof w:val="0"/>
          <w:szCs w:val="20"/>
        </w:rPr>
        <w:t>,</w:t>
      </w:r>
      <w:r w:rsidRPr="009631AB">
        <w:rPr>
          <w:noProof w:val="0"/>
          <w:szCs w:val="20"/>
        </w:rPr>
        <w:t xml:space="preserve"> en el caso</w:t>
      </w:r>
      <w:r w:rsidR="00683DCB" w:rsidRPr="009631AB">
        <w:rPr>
          <w:noProof w:val="0"/>
          <w:szCs w:val="20"/>
        </w:rPr>
        <w:t>,</w:t>
      </w:r>
      <w:r w:rsidRPr="009631AB">
        <w:rPr>
          <w:noProof w:val="0"/>
          <w:szCs w:val="20"/>
        </w:rPr>
        <w:t xml:space="preserve"> adecuada. </w:t>
      </w:r>
    </w:p>
    <w:p w14:paraId="5437F1DD" w14:textId="77777777" w:rsidR="003B4587" w:rsidRPr="009631AB" w:rsidRDefault="003B4587" w:rsidP="00734B53">
      <w:pPr>
        <w:pStyle w:val="Prrafodelista"/>
        <w:ind w:left="0"/>
        <w:contextualSpacing w:val="0"/>
        <w:rPr>
          <w:noProof w:val="0"/>
          <w:szCs w:val="20"/>
        </w:rPr>
      </w:pPr>
    </w:p>
    <w:p w14:paraId="01467E7F" w14:textId="07D80E88" w:rsidR="003B4587" w:rsidRPr="009631AB" w:rsidRDefault="003B4587" w:rsidP="00734B53">
      <w:pPr>
        <w:pStyle w:val="Prrafodelista"/>
        <w:numPr>
          <w:ilvl w:val="0"/>
          <w:numId w:val="4"/>
        </w:numPr>
        <w:contextualSpacing w:val="0"/>
        <w:rPr>
          <w:noProof w:val="0"/>
          <w:szCs w:val="20"/>
        </w:rPr>
      </w:pPr>
      <w:r w:rsidRPr="009631AB">
        <w:rPr>
          <w:noProof w:val="0"/>
          <w:szCs w:val="20"/>
        </w:rPr>
        <w:t xml:space="preserve">La Corte ha determinado que son las autoridades nacionales las encargadas de valorar la pertinencia o </w:t>
      </w:r>
      <w:r w:rsidR="00E3671A" w:rsidRPr="009631AB">
        <w:rPr>
          <w:noProof w:val="0"/>
          <w:szCs w:val="20"/>
        </w:rPr>
        <w:t>no, de mantener</w:t>
      </w:r>
      <w:r w:rsidRPr="009631AB">
        <w:rPr>
          <w:noProof w:val="0"/>
          <w:szCs w:val="20"/>
        </w:rPr>
        <w:t xml:space="preserve"> las medidas cautelares que emitan conforme a su propio ordenamiento</w:t>
      </w:r>
      <w:r w:rsidRPr="009631AB">
        <w:rPr>
          <w:noProof w:val="0"/>
          <w:szCs w:val="20"/>
          <w:vertAlign w:val="superscript"/>
        </w:rPr>
        <w:footnoteReference w:id="98"/>
      </w:r>
      <w:r w:rsidRPr="009631AB">
        <w:rPr>
          <w:noProof w:val="0"/>
          <w:szCs w:val="20"/>
        </w:rPr>
        <w:t>.</w:t>
      </w:r>
      <w:r w:rsidR="001B465D">
        <w:rPr>
          <w:noProof w:val="0"/>
          <w:szCs w:val="20"/>
          <w:vertAlign w:val="superscript"/>
        </w:rPr>
        <w:t xml:space="preserve"> </w:t>
      </w:r>
      <w:r w:rsidRPr="009631AB">
        <w:rPr>
          <w:noProof w:val="0"/>
          <w:szCs w:val="20"/>
        </w:rPr>
        <w:t>La detención preventiva debe estar sometida a revisión periódica, de tal forma que no se prolongue cuando no subsistan las razones que motivaron su adopción</w:t>
      </w:r>
      <w:r w:rsidRPr="009631AB">
        <w:rPr>
          <w:noProof w:val="0"/>
          <w:szCs w:val="20"/>
          <w:vertAlign w:val="superscript"/>
        </w:rPr>
        <w:footnoteReference w:id="99"/>
      </w:r>
      <w:r w:rsidRPr="009631AB">
        <w:rPr>
          <w:noProof w:val="0"/>
          <w:szCs w:val="20"/>
        </w:rPr>
        <w:t>. El juez debe valorar periódicamente si las causas, necesidad y proporcionalidad de la medida se mantienen, y si el plazo de la detención ha sobrepasado los límites que imponen la ley y la razón. En cualquier momento en que aparezca que la prisión preventiva no satisface estas condiciones, deberá decretarse la libertad. Al evaluar la continuidad de la medida, “las autoridades internas deben ofrecer los fundamentos suficientes que permitan conocer los motivos por los cuales se mantiene la restricción de la libertad, la cual, para que sea compatible con el artículo 7.3 de la Convención Americana, debe estar fundada en la necesidad de asegurar que el detenido no impedirá el desarrollo eficiente de las investigaciones ni eludirá la acción de la justicia”</w:t>
      </w:r>
      <w:r w:rsidRPr="009631AB">
        <w:rPr>
          <w:rStyle w:val="Refdenotaalpie"/>
          <w:rFonts w:ascii="Verdana" w:hAnsi="Verdana"/>
          <w:noProof w:val="0"/>
        </w:rPr>
        <w:footnoteReference w:id="100"/>
      </w:r>
      <w:r w:rsidRPr="009631AB">
        <w:rPr>
          <w:noProof w:val="0"/>
          <w:szCs w:val="20"/>
        </w:rPr>
        <w:t>. De igual forma, ante cada solicitud de liberación del detenido, el juez tiene que motivar</w:t>
      </w:r>
      <w:r w:rsidR="00E3671A" w:rsidRPr="009631AB">
        <w:rPr>
          <w:noProof w:val="0"/>
          <w:szCs w:val="20"/>
        </w:rPr>
        <w:t>,</w:t>
      </w:r>
      <w:r w:rsidRPr="009631AB">
        <w:rPr>
          <w:noProof w:val="0"/>
          <w:szCs w:val="20"/>
        </w:rPr>
        <w:t xml:space="preserve"> aunque sea en forma mínima</w:t>
      </w:r>
      <w:r w:rsidR="00E3671A" w:rsidRPr="009631AB">
        <w:rPr>
          <w:noProof w:val="0"/>
          <w:szCs w:val="20"/>
        </w:rPr>
        <w:t>,</w:t>
      </w:r>
      <w:r w:rsidRPr="009631AB">
        <w:rPr>
          <w:noProof w:val="0"/>
          <w:szCs w:val="20"/>
        </w:rPr>
        <w:t xml:space="preserve"> las razon</w:t>
      </w:r>
      <w:r w:rsidR="00E3671A" w:rsidRPr="009631AB">
        <w:rPr>
          <w:noProof w:val="0"/>
          <w:szCs w:val="20"/>
        </w:rPr>
        <w:t xml:space="preserve">es </w:t>
      </w:r>
      <w:r w:rsidRPr="009631AB">
        <w:rPr>
          <w:noProof w:val="0"/>
          <w:szCs w:val="20"/>
        </w:rPr>
        <w:t>por las cuales considera que la prisión preventiva debe mantenerse</w:t>
      </w:r>
      <w:r w:rsidRPr="009631AB">
        <w:rPr>
          <w:noProof w:val="0"/>
          <w:szCs w:val="20"/>
          <w:vertAlign w:val="superscript"/>
        </w:rPr>
        <w:footnoteReference w:id="101"/>
      </w:r>
      <w:r w:rsidRPr="009631AB">
        <w:rPr>
          <w:noProof w:val="0"/>
          <w:szCs w:val="20"/>
        </w:rPr>
        <w:t xml:space="preserve">. </w:t>
      </w:r>
    </w:p>
    <w:p w14:paraId="01305BBB" w14:textId="77777777" w:rsidR="003B4587" w:rsidRPr="009631AB" w:rsidRDefault="003B4587" w:rsidP="00734B53">
      <w:pPr>
        <w:pStyle w:val="Prrafodelista"/>
        <w:ind w:left="0"/>
        <w:contextualSpacing w:val="0"/>
        <w:rPr>
          <w:noProof w:val="0"/>
          <w:szCs w:val="20"/>
        </w:rPr>
      </w:pPr>
    </w:p>
    <w:p w14:paraId="2F0360B1" w14:textId="33356E8D" w:rsidR="00971EFB" w:rsidRDefault="003B4587" w:rsidP="006A7458">
      <w:pPr>
        <w:pStyle w:val="Prrafodelista"/>
        <w:numPr>
          <w:ilvl w:val="0"/>
          <w:numId w:val="4"/>
        </w:numPr>
        <w:contextualSpacing w:val="0"/>
        <w:rPr>
          <w:noProof w:val="0"/>
          <w:szCs w:val="20"/>
        </w:rPr>
      </w:pPr>
      <w:r w:rsidRPr="009631AB">
        <w:rPr>
          <w:noProof w:val="0"/>
          <w:szCs w:val="20"/>
        </w:rPr>
        <w:t>Esta Corte ha examinado los tres autos cabeza de proceso</w:t>
      </w:r>
      <w:r w:rsidR="00E3671A" w:rsidRPr="009631AB">
        <w:rPr>
          <w:noProof w:val="0"/>
          <w:szCs w:val="20"/>
        </w:rPr>
        <w:t>,</w:t>
      </w:r>
      <w:r w:rsidRPr="009631AB">
        <w:rPr>
          <w:noProof w:val="0"/>
          <w:szCs w:val="20"/>
        </w:rPr>
        <w:t xml:space="preserve"> emitidos por la autoridad judicial respecto a los delitos de enriquecimiento ilícito, conversión y transferencia de bienes, y </w:t>
      </w:r>
      <w:proofErr w:type="spellStart"/>
      <w:r w:rsidRPr="009631AB">
        <w:rPr>
          <w:noProof w:val="0"/>
          <w:szCs w:val="20"/>
        </w:rPr>
        <w:t>testaferrismo</w:t>
      </w:r>
      <w:proofErr w:type="spellEnd"/>
      <w:r w:rsidRPr="009631AB">
        <w:rPr>
          <w:noProof w:val="0"/>
          <w:szCs w:val="20"/>
        </w:rPr>
        <w:t xml:space="preserve"> (</w:t>
      </w:r>
      <w:r w:rsidRPr="009631AB">
        <w:rPr>
          <w:i/>
          <w:noProof w:val="0"/>
          <w:szCs w:val="20"/>
        </w:rPr>
        <w:t xml:space="preserve">supra </w:t>
      </w:r>
      <w:proofErr w:type="spellStart"/>
      <w:r w:rsidR="00B87F14">
        <w:rPr>
          <w:noProof w:val="0"/>
          <w:szCs w:val="20"/>
        </w:rPr>
        <w:t>párrs</w:t>
      </w:r>
      <w:proofErr w:type="spellEnd"/>
      <w:r w:rsidR="00B87F14">
        <w:rPr>
          <w:noProof w:val="0"/>
          <w:szCs w:val="20"/>
        </w:rPr>
        <w:t>. 56 a 59</w:t>
      </w:r>
      <w:r w:rsidRPr="009631AB">
        <w:rPr>
          <w:noProof w:val="0"/>
          <w:szCs w:val="20"/>
        </w:rPr>
        <w:t xml:space="preserve">, </w:t>
      </w:r>
      <w:r w:rsidR="00B87F14">
        <w:rPr>
          <w:noProof w:val="0"/>
          <w:szCs w:val="20"/>
        </w:rPr>
        <w:t>60 a 62</w:t>
      </w:r>
      <w:r w:rsidRPr="009631AB">
        <w:rPr>
          <w:noProof w:val="0"/>
          <w:szCs w:val="20"/>
        </w:rPr>
        <w:t xml:space="preserve"> y </w:t>
      </w:r>
      <w:r w:rsidR="00B87F14">
        <w:rPr>
          <w:noProof w:val="0"/>
          <w:szCs w:val="20"/>
        </w:rPr>
        <w:t>63 a 71</w:t>
      </w:r>
      <w:r w:rsidRPr="009631AB">
        <w:rPr>
          <w:noProof w:val="0"/>
          <w:szCs w:val="20"/>
        </w:rPr>
        <w:t>). Sin perjuicio de la descripción de los hechos por los cuales se consideraba la posible existencia de los delitos antes referidos, los jueces únicamente hicieron referencia al supuesto cumplimiento de los requisitos del artículo 177 del CPP para disponer la prisión preventiva de los acusados, entre ellos</w:t>
      </w:r>
      <w:r w:rsidR="00E3671A" w:rsidRPr="009631AB">
        <w:rPr>
          <w:noProof w:val="0"/>
          <w:szCs w:val="20"/>
        </w:rPr>
        <w:t>,</w:t>
      </w:r>
      <w:r w:rsidRPr="009631AB">
        <w:rPr>
          <w:noProof w:val="0"/>
          <w:szCs w:val="20"/>
        </w:rPr>
        <w:t xml:space="preserve"> </w:t>
      </w:r>
      <w:r w:rsidR="00E3671A" w:rsidRPr="009631AB">
        <w:rPr>
          <w:noProof w:val="0"/>
          <w:szCs w:val="20"/>
        </w:rPr>
        <w:t>d</w:t>
      </w:r>
      <w:r w:rsidRPr="009631AB">
        <w:rPr>
          <w:noProof w:val="0"/>
          <w:szCs w:val="20"/>
        </w:rPr>
        <w:t>el señor Montesinos. Dichos autos</w:t>
      </w:r>
      <w:r w:rsidR="002C596B" w:rsidRPr="009631AB">
        <w:rPr>
          <w:noProof w:val="0"/>
          <w:szCs w:val="20"/>
        </w:rPr>
        <w:t>,</w:t>
      </w:r>
      <w:r w:rsidRPr="009631AB">
        <w:rPr>
          <w:noProof w:val="0"/>
          <w:szCs w:val="20"/>
        </w:rPr>
        <w:t xml:space="preserve"> tampoco contienen motivación sobre la necesidad de mantener la prisión preventiva de todos los acusados</w:t>
      </w:r>
      <w:r w:rsidR="00810C08" w:rsidRPr="009631AB">
        <w:rPr>
          <w:noProof w:val="0"/>
          <w:szCs w:val="20"/>
        </w:rPr>
        <w:t xml:space="preserve"> y</w:t>
      </w:r>
      <w:r w:rsidR="002C596B" w:rsidRPr="009631AB">
        <w:rPr>
          <w:noProof w:val="0"/>
          <w:szCs w:val="20"/>
        </w:rPr>
        <w:t>,</w:t>
      </w:r>
      <w:r w:rsidR="00810C08" w:rsidRPr="009631AB">
        <w:rPr>
          <w:noProof w:val="0"/>
          <w:szCs w:val="20"/>
        </w:rPr>
        <w:t xml:space="preserve"> por lo tanto</w:t>
      </w:r>
      <w:r w:rsidR="002C596B" w:rsidRPr="009631AB">
        <w:rPr>
          <w:noProof w:val="0"/>
          <w:szCs w:val="20"/>
        </w:rPr>
        <w:t xml:space="preserve">, </w:t>
      </w:r>
      <w:r w:rsidR="00810C08" w:rsidRPr="009631AB">
        <w:rPr>
          <w:noProof w:val="0"/>
          <w:szCs w:val="20"/>
        </w:rPr>
        <w:t>no</w:t>
      </w:r>
      <w:r w:rsidR="002C596B" w:rsidRPr="009631AB">
        <w:rPr>
          <w:noProof w:val="0"/>
          <w:szCs w:val="20"/>
        </w:rPr>
        <w:t xml:space="preserve"> </w:t>
      </w:r>
      <w:r w:rsidR="00810C08" w:rsidRPr="009631AB">
        <w:rPr>
          <w:noProof w:val="0"/>
          <w:szCs w:val="20"/>
        </w:rPr>
        <w:t>consideraron los requisitos de excepcionalidad, necesidad y proporcionalidad para adoptar dicha medida</w:t>
      </w:r>
      <w:r w:rsidR="006A7458" w:rsidRPr="009631AB">
        <w:rPr>
          <w:rStyle w:val="Refdenotaalpie"/>
          <w:rFonts w:ascii="Verdana" w:hAnsi="Verdana"/>
          <w:noProof w:val="0"/>
        </w:rPr>
        <w:footnoteReference w:id="102"/>
      </w:r>
      <w:r w:rsidRPr="009631AB">
        <w:rPr>
          <w:noProof w:val="0"/>
          <w:szCs w:val="20"/>
        </w:rPr>
        <w:t xml:space="preserve">. </w:t>
      </w:r>
    </w:p>
    <w:p w14:paraId="01EFEA90" w14:textId="77777777" w:rsidR="006A7458" w:rsidRPr="006A7458" w:rsidRDefault="006A7458" w:rsidP="006A7458">
      <w:pPr>
        <w:pStyle w:val="Prrafodelista"/>
        <w:ind w:left="0"/>
        <w:contextualSpacing w:val="0"/>
        <w:rPr>
          <w:noProof w:val="0"/>
          <w:szCs w:val="20"/>
        </w:rPr>
      </w:pPr>
    </w:p>
    <w:p w14:paraId="0E29BEDF" w14:textId="37F4915A" w:rsidR="00971EFB" w:rsidRPr="009631AB" w:rsidRDefault="00971EFB" w:rsidP="00734B53">
      <w:pPr>
        <w:pStyle w:val="Prrafodelista"/>
        <w:numPr>
          <w:ilvl w:val="0"/>
          <w:numId w:val="4"/>
        </w:numPr>
        <w:contextualSpacing w:val="0"/>
        <w:rPr>
          <w:noProof w:val="0"/>
          <w:szCs w:val="20"/>
        </w:rPr>
      </w:pPr>
      <w:r w:rsidRPr="009631AB">
        <w:rPr>
          <w:noProof w:val="0"/>
          <w:szCs w:val="20"/>
        </w:rPr>
        <w:t xml:space="preserve">A lo largo del periodo indicado las únicas revisiones de la prisión preventiva fueron efectuadas en virtud de los </w:t>
      </w:r>
      <w:r w:rsidR="00DA7EEF" w:rsidRPr="00DA7EEF">
        <w:rPr>
          <w:noProof w:val="0"/>
          <w:szCs w:val="20"/>
        </w:rPr>
        <w:t>hábeas corpus</w:t>
      </w:r>
      <w:r w:rsidRPr="009631AB">
        <w:rPr>
          <w:noProof w:val="0"/>
          <w:szCs w:val="20"/>
        </w:rPr>
        <w:t xml:space="preserve"> presentadas por el señor Montesinos (</w:t>
      </w:r>
      <w:r w:rsidRPr="009631AB">
        <w:rPr>
          <w:i/>
          <w:noProof w:val="0"/>
          <w:szCs w:val="20"/>
        </w:rPr>
        <w:t xml:space="preserve">supra </w:t>
      </w:r>
      <w:proofErr w:type="spellStart"/>
      <w:r w:rsidR="00474398">
        <w:rPr>
          <w:noProof w:val="0"/>
          <w:szCs w:val="20"/>
        </w:rPr>
        <w:t>párrs</w:t>
      </w:r>
      <w:proofErr w:type="spellEnd"/>
      <w:r w:rsidR="00474398">
        <w:rPr>
          <w:noProof w:val="0"/>
          <w:szCs w:val="20"/>
        </w:rPr>
        <w:t>. 54 y 55</w:t>
      </w:r>
      <w:r w:rsidRPr="009631AB">
        <w:rPr>
          <w:noProof w:val="0"/>
          <w:szCs w:val="20"/>
        </w:rPr>
        <w:t>). Como se verá en el acápite correspondiente, en ambos casos el Tribunal de Garantías Constitucionales y el Tribunal Constitucional fallaron a favor del peticionario, aunque solamente a partir de la resolución de 1998 fue puesto en libertad.</w:t>
      </w:r>
    </w:p>
    <w:p w14:paraId="0C560C61" w14:textId="77777777" w:rsidR="003B4587" w:rsidRPr="009631AB" w:rsidRDefault="003B4587" w:rsidP="00734B53">
      <w:pPr>
        <w:pStyle w:val="Prrafodelista"/>
        <w:ind w:left="0"/>
        <w:contextualSpacing w:val="0"/>
        <w:rPr>
          <w:noProof w:val="0"/>
          <w:szCs w:val="20"/>
        </w:rPr>
      </w:pPr>
    </w:p>
    <w:p w14:paraId="55ABE62F" w14:textId="0E4A9F07" w:rsidR="00971EFB" w:rsidRPr="009631AB" w:rsidRDefault="00971EFB" w:rsidP="00971EFB">
      <w:pPr>
        <w:pStyle w:val="Prrafodelista"/>
        <w:numPr>
          <w:ilvl w:val="0"/>
          <w:numId w:val="4"/>
        </w:numPr>
        <w:contextualSpacing w:val="0"/>
        <w:rPr>
          <w:noProof w:val="0"/>
          <w:szCs w:val="20"/>
          <w:vertAlign w:val="superscript"/>
        </w:rPr>
      </w:pPr>
      <w:r w:rsidRPr="009631AB">
        <w:rPr>
          <w:noProof w:val="0"/>
          <w:szCs w:val="20"/>
        </w:rPr>
        <w:lastRenderedPageBreak/>
        <w:t xml:space="preserve">Por lo expuesto, este Tribunal concluye que la prisión preventiva a la que fue sometido el señor Montesinos se desarrolló en forma arbitraria, sin revisión de oficio por parte del poder judicial durante al menos cuatro años (entre 1992 y 1996), y posteriormente, entre la primera (1996) y la segunda resolución de </w:t>
      </w:r>
      <w:r w:rsidR="00DA7EEF" w:rsidRPr="00DA7EEF">
        <w:rPr>
          <w:noProof w:val="0"/>
          <w:szCs w:val="20"/>
        </w:rPr>
        <w:t>hábeas corpus</w:t>
      </w:r>
      <w:r w:rsidRPr="009631AB">
        <w:rPr>
          <w:noProof w:val="0"/>
          <w:szCs w:val="20"/>
        </w:rPr>
        <w:t xml:space="preserve"> (1998), lo que vulneró los artículos 7.1 y 7.3 de la Convención, en relación con </w:t>
      </w:r>
      <w:r w:rsidR="004E55B7">
        <w:rPr>
          <w:noProof w:val="0"/>
          <w:szCs w:val="20"/>
        </w:rPr>
        <w:t>el</w:t>
      </w:r>
      <w:r w:rsidRPr="009631AB">
        <w:rPr>
          <w:noProof w:val="0"/>
          <w:szCs w:val="20"/>
        </w:rPr>
        <w:t xml:space="preserve"> artículo 1.1 del tratado. </w:t>
      </w:r>
    </w:p>
    <w:p w14:paraId="7D240989" w14:textId="77777777" w:rsidR="00971EFB" w:rsidRPr="009631AB" w:rsidRDefault="00971EFB" w:rsidP="00734B53">
      <w:pPr>
        <w:pStyle w:val="Prrafodelista"/>
        <w:ind w:left="0"/>
        <w:contextualSpacing w:val="0"/>
        <w:rPr>
          <w:noProof w:val="0"/>
          <w:szCs w:val="20"/>
        </w:rPr>
      </w:pPr>
    </w:p>
    <w:p w14:paraId="3A8EAB30" w14:textId="77777777" w:rsidR="00971EFB" w:rsidRPr="00D24534" w:rsidRDefault="00971EFB" w:rsidP="00971EFB">
      <w:pPr>
        <w:pStyle w:val="Ttulo3"/>
        <w:rPr>
          <w:b/>
        </w:rPr>
      </w:pPr>
      <w:bookmarkStart w:id="114" w:name="_Toc27069899"/>
      <w:r w:rsidRPr="00D24534">
        <w:rPr>
          <w:b/>
        </w:rPr>
        <w:t>B.3 Razonabilidad del plazo de la prisión preventiva</w:t>
      </w:r>
      <w:bookmarkEnd w:id="114"/>
    </w:p>
    <w:p w14:paraId="0E4A21AA" w14:textId="77777777" w:rsidR="00971EFB" w:rsidRPr="009631AB" w:rsidRDefault="00971EFB" w:rsidP="00971EFB">
      <w:pPr>
        <w:pStyle w:val="Prrafodelista"/>
        <w:ind w:left="0"/>
        <w:contextualSpacing w:val="0"/>
        <w:rPr>
          <w:noProof w:val="0"/>
          <w:szCs w:val="20"/>
        </w:rPr>
      </w:pPr>
    </w:p>
    <w:p w14:paraId="4CFA2656" w14:textId="78442814" w:rsidR="00971EFB" w:rsidRPr="009631AB" w:rsidRDefault="00971EFB" w:rsidP="00971EFB">
      <w:pPr>
        <w:pStyle w:val="Prrafodelista"/>
        <w:numPr>
          <w:ilvl w:val="0"/>
          <w:numId w:val="4"/>
        </w:numPr>
        <w:contextualSpacing w:val="0"/>
        <w:rPr>
          <w:noProof w:val="0"/>
          <w:szCs w:val="20"/>
        </w:rPr>
      </w:pPr>
      <w:r w:rsidRPr="009631AB">
        <w:rPr>
          <w:noProof w:val="0"/>
          <w:szCs w:val="20"/>
        </w:rPr>
        <w:t xml:space="preserve">Respecto a la razonabilidad temporal de la detención, la Corte ha señalado que cuando el plazo de la prisión preventiva sobrepasa lo razonable, el Estado podrá limitar la libertad del imputado con otras medidas menos lesivas que aseguren su comparecencia al juicio, distintas </w:t>
      </w:r>
      <w:r w:rsidRPr="006A7458">
        <w:rPr>
          <w:noProof w:val="0"/>
          <w:color w:val="000000" w:themeColor="text1"/>
          <w:szCs w:val="20"/>
        </w:rPr>
        <w:t>de la privación de libertad</w:t>
      </w:r>
      <w:r w:rsidRPr="006A7458">
        <w:rPr>
          <w:noProof w:val="0"/>
          <w:color w:val="000000" w:themeColor="text1"/>
          <w:vertAlign w:val="superscript"/>
        </w:rPr>
        <w:footnoteReference w:id="103"/>
      </w:r>
      <w:r w:rsidRPr="006A7458">
        <w:rPr>
          <w:noProof w:val="0"/>
          <w:color w:val="000000" w:themeColor="text1"/>
          <w:szCs w:val="20"/>
        </w:rPr>
        <w:t xml:space="preserve">. De conformidad </w:t>
      </w:r>
      <w:r w:rsidR="005C0609" w:rsidRPr="006A7458">
        <w:rPr>
          <w:noProof w:val="0"/>
          <w:color w:val="000000" w:themeColor="text1"/>
          <w:szCs w:val="20"/>
        </w:rPr>
        <w:t>al artículo 7.5 de la Convención</w:t>
      </w:r>
      <w:r w:rsidRPr="009631AB">
        <w:rPr>
          <w:noProof w:val="0"/>
          <w:szCs w:val="20"/>
        </w:rPr>
        <w:t xml:space="preserve">, la persona detenida tiene derecho “a ser juzgada dentro de un plazo razonable o a ser puesta en libertad”. Por ende, si una persona permanece privada preventivamente de su libertad y las actuaciones no transcurren en un tiempo razonable, se vulnera </w:t>
      </w:r>
      <w:r w:rsidR="005C0609">
        <w:rPr>
          <w:noProof w:val="0"/>
          <w:szCs w:val="20"/>
        </w:rPr>
        <w:t>dicha disposición convencional (</w:t>
      </w:r>
      <w:r w:rsidRPr="009631AB">
        <w:rPr>
          <w:noProof w:val="0"/>
          <w:szCs w:val="20"/>
        </w:rPr>
        <w:t>el artículo 7.5 de la Convención</w:t>
      </w:r>
      <w:r w:rsidR="005C0609">
        <w:rPr>
          <w:noProof w:val="0"/>
          <w:szCs w:val="20"/>
        </w:rPr>
        <w:t>)</w:t>
      </w:r>
      <w:r w:rsidRPr="009631AB">
        <w:rPr>
          <w:noProof w:val="0"/>
          <w:szCs w:val="20"/>
        </w:rPr>
        <w:t xml:space="preserve">. </w:t>
      </w:r>
    </w:p>
    <w:p w14:paraId="62B719C4" w14:textId="77777777" w:rsidR="00971EFB" w:rsidRPr="009631AB" w:rsidRDefault="00971EFB" w:rsidP="00734B53">
      <w:pPr>
        <w:pStyle w:val="Prrafodelista"/>
        <w:ind w:left="0"/>
        <w:contextualSpacing w:val="0"/>
        <w:rPr>
          <w:noProof w:val="0"/>
          <w:szCs w:val="20"/>
        </w:rPr>
      </w:pPr>
    </w:p>
    <w:p w14:paraId="5C25A9CC" w14:textId="6384BE52" w:rsidR="003B4587" w:rsidRPr="009631AB" w:rsidRDefault="00971EFB" w:rsidP="00734B53">
      <w:pPr>
        <w:pStyle w:val="Prrafodelista"/>
        <w:numPr>
          <w:ilvl w:val="0"/>
          <w:numId w:val="4"/>
        </w:numPr>
        <w:contextualSpacing w:val="0"/>
        <w:rPr>
          <w:noProof w:val="0"/>
          <w:szCs w:val="20"/>
          <w:vertAlign w:val="superscript"/>
        </w:rPr>
      </w:pPr>
      <w:r w:rsidRPr="009631AB">
        <w:rPr>
          <w:noProof w:val="0"/>
          <w:szCs w:val="20"/>
        </w:rPr>
        <w:t>E</w:t>
      </w:r>
      <w:r w:rsidR="003B4587" w:rsidRPr="009631AB">
        <w:rPr>
          <w:noProof w:val="0"/>
          <w:szCs w:val="20"/>
        </w:rPr>
        <w:t>ste Tribunal también advierte que</w:t>
      </w:r>
      <w:r w:rsidR="0033151A" w:rsidRPr="009631AB">
        <w:rPr>
          <w:noProof w:val="0"/>
          <w:szCs w:val="20"/>
        </w:rPr>
        <w:t>,</w:t>
      </w:r>
      <w:r w:rsidR="003B4587" w:rsidRPr="009631AB">
        <w:rPr>
          <w:noProof w:val="0"/>
          <w:szCs w:val="20"/>
        </w:rPr>
        <w:t xml:space="preserve"> en el caso, la prisión preventiva duró </w:t>
      </w:r>
      <w:r w:rsidR="00810C08" w:rsidRPr="009631AB">
        <w:rPr>
          <w:noProof w:val="0"/>
          <w:szCs w:val="20"/>
        </w:rPr>
        <w:t xml:space="preserve">más de </w:t>
      </w:r>
      <w:r w:rsidR="003B4587" w:rsidRPr="009631AB">
        <w:rPr>
          <w:noProof w:val="0"/>
          <w:szCs w:val="20"/>
        </w:rPr>
        <w:t xml:space="preserve">seis años, </w:t>
      </w:r>
      <w:r w:rsidR="0033151A" w:rsidRPr="009631AB">
        <w:rPr>
          <w:noProof w:val="0"/>
          <w:szCs w:val="20"/>
        </w:rPr>
        <w:t xml:space="preserve">esto es, </w:t>
      </w:r>
      <w:r w:rsidR="003B4587" w:rsidRPr="009631AB">
        <w:rPr>
          <w:noProof w:val="0"/>
          <w:szCs w:val="20"/>
        </w:rPr>
        <w:t xml:space="preserve">entre junio de 1992 y </w:t>
      </w:r>
      <w:r w:rsidR="00810C08" w:rsidRPr="009631AB">
        <w:rPr>
          <w:noProof w:val="0"/>
          <w:szCs w:val="20"/>
        </w:rPr>
        <w:t xml:space="preserve">agosto </w:t>
      </w:r>
      <w:r w:rsidR="003B4587" w:rsidRPr="009631AB">
        <w:rPr>
          <w:noProof w:val="0"/>
          <w:szCs w:val="20"/>
        </w:rPr>
        <w:t xml:space="preserve">de 1998. </w:t>
      </w:r>
      <w:r w:rsidR="00846F64" w:rsidRPr="009631AB">
        <w:rPr>
          <w:noProof w:val="0"/>
          <w:szCs w:val="20"/>
        </w:rPr>
        <w:t>Este prolongado lapso de tiempo de privación de libertad sin que se hubiera producido una sentencia condenatoria en su contra</w:t>
      </w:r>
      <w:r w:rsidR="0033151A" w:rsidRPr="009631AB">
        <w:rPr>
          <w:noProof w:val="0"/>
          <w:szCs w:val="20"/>
        </w:rPr>
        <w:t>,</w:t>
      </w:r>
      <w:r w:rsidR="00846F64" w:rsidRPr="009631AB">
        <w:rPr>
          <w:noProof w:val="0"/>
          <w:szCs w:val="20"/>
        </w:rPr>
        <w:t xml:space="preserve"> evidencia que la privación de la libertad fue desproporcionada y permite concluir a la Corte que la duración de la prisión preventiva del señor Montesinos fue irrazonable. </w:t>
      </w:r>
    </w:p>
    <w:p w14:paraId="2BEFD8AB" w14:textId="77777777" w:rsidR="003B4587" w:rsidRPr="009631AB" w:rsidRDefault="003B4587" w:rsidP="00734B53">
      <w:pPr>
        <w:pStyle w:val="Prrafodelista"/>
        <w:contextualSpacing w:val="0"/>
        <w:rPr>
          <w:noProof w:val="0"/>
          <w:szCs w:val="20"/>
        </w:rPr>
      </w:pPr>
    </w:p>
    <w:p w14:paraId="2B57DEA1" w14:textId="2D43EF91" w:rsidR="003B4587" w:rsidRPr="009631AB" w:rsidRDefault="00971EFB" w:rsidP="00734B53">
      <w:pPr>
        <w:pStyle w:val="Prrafodelista"/>
        <w:numPr>
          <w:ilvl w:val="0"/>
          <w:numId w:val="4"/>
        </w:numPr>
        <w:contextualSpacing w:val="0"/>
        <w:rPr>
          <w:noProof w:val="0"/>
          <w:szCs w:val="20"/>
        </w:rPr>
      </w:pPr>
      <w:r w:rsidRPr="009631AB">
        <w:rPr>
          <w:noProof w:val="0"/>
          <w:szCs w:val="20"/>
        </w:rPr>
        <w:t>E</w:t>
      </w:r>
      <w:r w:rsidR="003B4587" w:rsidRPr="009631AB">
        <w:rPr>
          <w:noProof w:val="0"/>
          <w:szCs w:val="20"/>
        </w:rPr>
        <w:t xml:space="preserve">n lo que atañe </w:t>
      </w:r>
      <w:r w:rsidR="00F10C65">
        <w:rPr>
          <w:noProof w:val="0"/>
          <w:szCs w:val="20"/>
        </w:rPr>
        <w:t>a</w:t>
      </w:r>
      <w:r w:rsidR="003B4587" w:rsidRPr="009631AB">
        <w:rPr>
          <w:noProof w:val="0"/>
          <w:szCs w:val="20"/>
        </w:rPr>
        <w:t>l alegato de que el artículo 114 del Código Penal prohibía solicitudes de excarcelación</w:t>
      </w:r>
      <w:r w:rsidR="002C596B" w:rsidRPr="009631AB">
        <w:rPr>
          <w:noProof w:val="0"/>
          <w:szCs w:val="20"/>
        </w:rPr>
        <w:t xml:space="preserve"> </w:t>
      </w:r>
      <w:r w:rsidR="003B4587" w:rsidRPr="009631AB">
        <w:rPr>
          <w:noProof w:val="0"/>
          <w:szCs w:val="20"/>
        </w:rPr>
        <w:t>de acusados por la Ley sobre Estupefacientes y Sustancias Psicotrópicas</w:t>
      </w:r>
      <w:r w:rsidR="003B4587" w:rsidRPr="009631AB">
        <w:rPr>
          <w:rStyle w:val="Refdenotaalpie"/>
          <w:rFonts w:ascii="Verdana" w:hAnsi="Verdana"/>
          <w:noProof w:val="0"/>
        </w:rPr>
        <w:footnoteReference w:id="104"/>
      </w:r>
      <w:r w:rsidR="003B4587" w:rsidRPr="009631AB">
        <w:rPr>
          <w:noProof w:val="0"/>
          <w:szCs w:val="20"/>
        </w:rPr>
        <w:t xml:space="preserve">, la Corte se refiere a lo decidido en el </w:t>
      </w:r>
      <w:r w:rsidR="003B4587" w:rsidRPr="009631AB">
        <w:rPr>
          <w:i/>
          <w:noProof w:val="0"/>
          <w:szCs w:val="20"/>
        </w:rPr>
        <w:t>Caso Suárez Rosero Vs. Ecuador</w:t>
      </w:r>
      <w:r w:rsidR="003B4587" w:rsidRPr="009631AB">
        <w:rPr>
          <w:noProof w:val="0"/>
          <w:szCs w:val="20"/>
        </w:rPr>
        <w:t>,</w:t>
      </w:r>
      <w:r w:rsidR="00810C08" w:rsidRPr="009631AB">
        <w:rPr>
          <w:noProof w:val="0"/>
          <w:szCs w:val="20"/>
        </w:rPr>
        <w:t xml:space="preserve"> en el cuál también fue aplicada</w:t>
      </w:r>
      <w:r w:rsidR="003B4587" w:rsidRPr="009631AB">
        <w:rPr>
          <w:noProof w:val="0"/>
          <w:szCs w:val="20"/>
        </w:rPr>
        <w:t xml:space="preserve"> dicha norma. Al respecto, la Corte afirmó que la excepción contenida en el último párrafo del artículo 114 bis “</w:t>
      </w:r>
      <w:r w:rsidR="003B4587" w:rsidRPr="009631AB">
        <w:rPr>
          <w:szCs w:val="20"/>
          <w:lang w:val="es-CR"/>
        </w:rPr>
        <w:t>despoja a una parte de la población carcelaria de un derecho fundamental en virtud del delito imputado en su contra y, por ende, lesiona intrínsecamente a todos los miembros de dicha categoría de inculpados. En el caso concreto del señor Suárez Rosero esa norma ha sido aplicada y le ha producido un perjuicio indebido. La Corte hace notar, además, que, a su juicio, esa norma per se viola el artículo 2 de la Convención Americana”</w:t>
      </w:r>
      <w:r w:rsidR="003B4587" w:rsidRPr="009631AB">
        <w:rPr>
          <w:rStyle w:val="Refdenotaalpie"/>
          <w:rFonts w:ascii="Verdana" w:hAnsi="Verdana"/>
          <w:lang w:val="es-CR"/>
        </w:rPr>
        <w:footnoteReference w:id="105"/>
      </w:r>
      <w:r w:rsidR="003B4587" w:rsidRPr="009631AB">
        <w:rPr>
          <w:szCs w:val="20"/>
          <w:lang w:val="es-CR"/>
        </w:rPr>
        <w:t>.</w:t>
      </w:r>
    </w:p>
    <w:p w14:paraId="65049D67" w14:textId="77777777" w:rsidR="003B4587" w:rsidRPr="009631AB" w:rsidRDefault="003B4587" w:rsidP="00734B53">
      <w:pPr>
        <w:pStyle w:val="Prrafodelista"/>
        <w:contextualSpacing w:val="0"/>
        <w:rPr>
          <w:noProof w:val="0"/>
          <w:szCs w:val="20"/>
        </w:rPr>
      </w:pPr>
    </w:p>
    <w:p w14:paraId="268C6A35" w14:textId="6AE22459" w:rsidR="00810C08" w:rsidRPr="006A7458" w:rsidRDefault="003B4587" w:rsidP="006A7458">
      <w:pPr>
        <w:pStyle w:val="Prrafodelista"/>
        <w:numPr>
          <w:ilvl w:val="0"/>
          <w:numId w:val="4"/>
        </w:numPr>
        <w:contextualSpacing w:val="0"/>
        <w:rPr>
          <w:noProof w:val="0"/>
          <w:szCs w:val="20"/>
        </w:rPr>
      </w:pPr>
      <w:r w:rsidRPr="009631AB">
        <w:rPr>
          <w:noProof w:val="0"/>
          <w:szCs w:val="20"/>
        </w:rPr>
        <w:t xml:space="preserve">En el caso del señor Montesinos, el artículo 114 fue aplicado por la autoridad administrativa al no dar cumplimiento a la resolución </w:t>
      </w:r>
      <w:r w:rsidR="00810C08" w:rsidRPr="009631AB">
        <w:rPr>
          <w:noProof w:val="0"/>
          <w:szCs w:val="20"/>
        </w:rPr>
        <w:t xml:space="preserve">de </w:t>
      </w:r>
      <w:r w:rsidR="00DA7EEF" w:rsidRPr="00DA7EEF">
        <w:rPr>
          <w:noProof w:val="0"/>
          <w:szCs w:val="20"/>
        </w:rPr>
        <w:t>hábeas corpus</w:t>
      </w:r>
      <w:r w:rsidR="00810C08" w:rsidRPr="009631AB">
        <w:rPr>
          <w:i/>
          <w:noProof w:val="0"/>
          <w:szCs w:val="20"/>
        </w:rPr>
        <w:t xml:space="preserve"> </w:t>
      </w:r>
      <w:r w:rsidRPr="009631AB">
        <w:rPr>
          <w:noProof w:val="0"/>
          <w:szCs w:val="20"/>
        </w:rPr>
        <w:t>del Tribunal de Garantías Constitucionales de 31 de octubre de 1996, la cual concedió la libertad al señor Montesinos. Ante la falta de cumplimiento de dicha resolució</w:t>
      </w:r>
      <w:r w:rsidRPr="0072533A">
        <w:rPr>
          <w:noProof w:val="0"/>
          <w:szCs w:val="20"/>
        </w:rPr>
        <w:t>n</w:t>
      </w:r>
      <w:r w:rsidR="005C0609" w:rsidRPr="0072533A">
        <w:rPr>
          <w:noProof w:val="0"/>
          <w:szCs w:val="20"/>
        </w:rPr>
        <w:t>,</w:t>
      </w:r>
      <w:r w:rsidRPr="0072533A">
        <w:rPr>
          <w:noProof w:val="0"/>
          <w:szCs w:val="20"/>
        </w:rPr>
        <w:t xml:space="preserve"> </w:t>
      </w:r>
      <w:r w:rsidRPr="009631AB">
        <w:rPr>
          <w:noProof w:val="0"/>
          <w:szCs w:val="20"/>
        </w:rPr>
        <w:t xml:space="preserve">el abogado de la presunta víctima interpuso un reclamo ante el Tribunal Constitucional, solicitando la inmediata libertad del señor Montesinos y la destitución del Director del Centro de Rehabilitación Social. Al respecto, la Primera Sala del Tribunal Constitucional adoptó una providencia el 19 de agosto de 1997 en la cual afirmó que “procede la libertad del encausado [Montesinos] en todos los casos allí señalados, con excepción de aquellos que se encuentren sancionados por la Ley sobre Sustancias Estupefacientes y </w:t>
      </w:r>
      <w:r w:rsidR="00766842" w:rsidRPr="009631AB">
        <w:rPr>
          <w:noProof w:val="0"/>
          <w:szCs w:val="20"/>
        </w:rPr>
        <w:t>[</w:t>
      </w:r>
      <w:proofErr w:type="spellStart"/>
      <w:r w:rsidR="00766842" w:rsidRPr="009631AB">
        <w:rPr>
          <w:noProof w:val="0"/>
          <w:szCs w:val="20"/>
        </w:rPr>
        <w:t>Ps</w:t>
      </w:r>
      <w:proofErr w:type="spellEnd"/>
      <w:r w:rsidR="00766842" w:rsidRPr="009631AB">
        <w:rPr>
          <w:noProof w:val="0"/>
          <w:szCs w:val="20"/>
        </w:rPr>
        <w:t>]</w:t>
      </w:r>
      <w:proofErr w:type="spellStart"/>
      <w:r w:rsidRPr="009631AB">
        <w:rPr>
          <w:noProof w:val="0"/>
          <w:szCs w:val="20"/>
        </w:rPr>
        <w:t>icotrópicas</w:t>
      </w:r>
      <w:proofErr w:type="spellEnd"/>
      <w:r w:rsidRPr="009631AB">
        <w:rPr>
          <w:noProof w:val="0"/>
          <w:szCs w:val="20"/>
        </w:rPr>
        <w:t xml:space="preserve">” y negó el pedido del abogado del señor </w:t>
      </w:r>
      <w:r w:rsidRPr="009631AB">
        <w:rPr>
          <w:noProof w:val="0"/>
          <w:szCs w:val="20"/>
        </w:rPr>
        <w:lastRenderedPageBreak/>
        <w:t>Montesinos</w:t>
      </w:r>
      <w:r w:rsidRPr="009631AB">
        <w:rPr>
          <w:rStyle w:val="Refdenotaalpie"/>
          <w:rFonts w:ascii="Verdana" w:hAnsi="Verdana"/>
          <w:noProof w:val="0"/>
        </w:rPr>
        <w:footnoteReference w:id="106"/>
      </w:r>
      <w:r w:rsidRPr="009631AB">
        <w:rPr>
          <w:noProof w:val="0"/>
          <w:szCs w:val="20"/>
        </w:rPr>
        <w:t xml:space="preserve">. De lo anterior se observa que, en efecto, el artículo 114 del Código Penal producía una restricción indebida y desigual </w:t>
      </w:r>
      <w:r w:rsidR="00333FA1" w:rsidRPr="009631AB">
        <w:rPr>
          <w:noProof w:val="0"/>
          <w:szCs w:val="20"/>
        </w:rPr>
        <w:t xml:space="preserve">de la libertad </w:t>
      </w:r>
      <w:r w:rsidRPr="009631AB">
        <w:rPr>
          <w:noProof w:val="0"/>
          <w:szCs w:val="20"/>
        </w:rPr>
        <w:t xml:space="preserve">a los acusados por delitos contenidos en la Ley sobre Sustancias Estupefacientes y Psicotrópicas, en comparación con todos los demás acusados de cometer delitos en Ecuador. En </w:t>
      </w:r>
      <w:r w:rsidR="002C596B" w:rsidRPr="009631AB">
        <w:rPr>
          <w:noProof w:val="0"/>
          <w:szCs w:val="20"/>
        </w:rPr>
        <w:t>el presente caso,</w:t>
      </w:r>
      <w:r w:rsidRPr="009631AB">
        <w:rPr>
          <w:noProof w:val="0"/>
          <w:szCs w:val="20"/>
        </w:rPr>
        <w:t xml:space="preserve"> se estableció dicho trato diferenciado concretamente a través de las resoluciones </w:t>
      </w:r>
      <w:r w:rsidR="00810C08" w:rsidRPr="009631AB">
        <w:rPr>
          <w:noProof w:val="0"/>
          <w:szCs w:val="20"/>
        </w:rPr>
        <w:t xml:space="preserve">antes </w:t>
      </w:r>
      <w:r w:rsidR="006A7458">
        <w:rPr>
          <w:noProof w:val="0"/>
          <w:szCs w:val="20"/>
        </w:rPr>
        <w:t>indicadas</w:t>
      </w:r>
      <w:r w:rsidR="000E19C9" w:rsidRPr="009631AB">
        <w:rPr>
          <w:rStyle w:val="Refdenotaalpie"/>
          <w:rFonts w:ascii="Verdana" w:hAnsi="Verdana"/>
          <w:noProof w:val="0"/>
        </w:rPr>
        <w:footnoteReference w:id="107"/>
      </w:r>
      <w:r w:rsidR="00971EFB" w:rsidRPr="006A7458">
        <w:rPr>
          <w:noProof w:val="0"/>
          <w:szCs w:val="20"/>
        </w:rPr>
        <w:t>.</w:t>
      </w:r>
      <w:r w:rsidR="005C0609" w:rsidRPr="006A7458">
        <w:rPr>
          <w:noProof w:val="0"/>
          <w:szCs w:val="20"/>
        </w:rPr>
        <w:t xml:space="preserve"> </w:t>
      </w:r>
    </w:p>
    <w:p w14:paraId="06C65118" w14:textId="77777777" w:rsidR="003B4587" w:rsidRPr="009631AB" w:rsidRDefault="003B4587" w:rsidP="00734B53">
      <w:pPr>
        <w:pStyle w:val="Prrafodelista"/>
        <w:ind w:left="0"/>
        <w:contextualSpacing w:val="0"/>
        <w:rPr>
          <w:noProof w:val="0"/>
          <w:szCs w:val="20"/>
        </w:rPr>
      </w:pPr>
    </w:p>
    <w:p w14:paraId="0121C57D" w14:textId="2B0C972B" w:rsidR="003B4587" w:rsidRPr="009631AB" w:rsidRDefault="003B4587" w:rsidP="00734B53">
      <w:pPr>
        <w:pStyle w:val="Prrafodelista"/>
        <w:numPr>
          <w:ilvl w:val="0"/>
          <w:numId w:val="4"/>
        </w:numPr>
        <w:contextualSpacing w:val="0"/>
        <w:rPr>
          <w:noProof w:val="0"/>
          <w:szCs w:val="20"/>
          <w:vertAlign w:val="superscript"/>
        </w:rPr>
      </w:pPr>
      <w:r w:rsidRPr="009631AB">
        <w:rPr>
          <w:noProof w:val="0"/>
          <w:szCs w:val="20"/>
        </w:rPr>
        <w:t xml:space="preserve">Por lo expuesto, este Tribunal concluye que </w:t>
      </w:r>
      <w:r w:rsidR="00971EFB" w:rsidRPr="009631AB">
        <w:rPr>
          <w:noProof w:val="0"/>
          <w:szCs w:val="20"/>
        </w:rPr>
        <w:t>el período de seis años y dos meses durante los cuale</w:t>
      </w:r>
      <w:r w:rsidR="00971EFB" w:rsidRPr="006A7458">
        <w:rPr>
          <w:noProof w:val="0"/>
          <w:color w:val="000000" w:themeColor="text1"/>
          <w:szCs w:val="20"/>
        </w:rPr>
        <w:t xml:space="preserve">s el señor Montesinos estuvo en </w:t>
      </w:r>
      <w:r w:rsidRPr="006A7458">
        <w:rPr>
          <w:noProof w:val="0"/>
          <w:color w:val="000000" w:themeColor="text1"/>
          <w:szCs w:val="20"/>
        </w:rPr>
        <w:t>prisión preventiva</w:t>
      </w:r>
      <w:r w:rsidR="004E55B7" w:rsidRPr="006A7458">
        <w:rPr>
          <w:noProof w:val="0"/>
          <w:color w:val="000000" w:themeColor="text1"/>
          <w:szCs w:val="20"/>
        </w:rPr>
        <w:t>,</w:t>
      </w:r>
      <w:r w:rsidRPr="006A7458">
        <w:rPr>
          <w:noProof w:val="0"/>
          <w:color w:val="000000" w:themeColor="text1"/>
          <w:szCs w:val="20"/>
        </w:rPr>
        <w:t xml:space="preserve"> </w:t>
      </w:r>
      <w:r w:rsidR="007179A4" w:rsidRPr="006A7458">
        <w:rPr>
          <w:noProof w:val="0"/>
          <w:color w:val="000000" w:themeColor="text1"/>
          <w:szCs w:val="20"/>
        </w:rPr>
        <w:t>resultó irrazonable</w:t>
      </w:r>
      <w:r w:rsidR="004E55B7" w:rsidRPr="006A7458">
        <w:rPr>
          <w:noProof w:val="0"/>
          <w:color w:val="000000" w:themeColor="text1"/>
          <w:szCs w:val="20"/>
        </w:rPr>
        <w:t>,</w:t>
      </w:r>
      <w:r w:rsidR="007179A4" w:rsidRPr="006A7458">
        <w:rPr>
          <w:noProof w:val="0"/>
          <w:color w:val="000000" w:themeColor="text1"/>
          <w:szCs w:val="20"/>
        </w:rPr>
        <w:t xml:space="preserve"> excesivo</w:t>
      </w:r>
      <w:r w:rsidR="004E55B7" w:rsidRPr="006A7458">
        <w:rPr>
          <w:noProof w:val="0"/>
          <w:color w:val="000000" w:themeColor="text1"/>
          <w:szCs w:val="20"/>
        </w:rPr>
        <w:t xml:space="preserve"> y violatorio</w:t>
      </w:r>
      <w:r w:rsidR="007179A4" w:rsidRPr="009631AB">
        <w:rPr>
          <w:noProof w:val="0"/>
          <w:szCs w:val="20"/>
        </w:rPr>
        <w:t xml:space="preserve"> de los </w:t>
      </w:r>
      <w:r w:rsidRPr="009631AB">
        <w:rPr>
          <w:noProof w:val="0"/>
          <w:szCs w:val="20"/>
        </w:rPr>
        <w:t>artículos 7.1 y 7.5 de l</w:t>
      </w:r>
      <w:r w:rsidR="004E55B7">
        <w:rPr>
          <w:noProof w:val="0"/>
          <w:szCs w:val="20"/>
        </w:rPr>
        <w:t xml:space="preserve">a Convención, en relación con </w:t>
      </w:r>
      <w:r w:rsidR="004E55B7" w:rsidRPr="004E55B7">
        <w:rPr>
          <w:noProof w:val="0"/>
          <w:szCs w:val="20"/>
        </w:rPr>
        <w:t>el</w:t>
      </w:r>
      <w:r w:rsidRPr="004E55B7">
        <w:rPr>
          <w:noProof w:val="0"/>
          <w:szCs w:val="20"/>
        </w:rPr>
        <w:t xml:space="preserve"> </w:t>
      </w:r>
      <w:r w:rsidRPr="009631AB">
        <w:rPr>
          <w:noProof w:val="0"/>
          <w:szCs w:val="20"/>
        </w:rPr>
        <w:t xml:space="preserve">artículo 1.1 del tratado. </w:t>
      </w:r>
    </w:p>
    <w:p w14:paraId="07A1EFA1" w14:textId="77777777" w:rsidR="003B4587" w:rsidRPr="009631AB" w:rsidRDefault="003B4587" w:rsidP="00734B53">
      <w:pPr>
        <w:pStyle w:val="Prrafodelista"/>
        <w:ind w:left="0"/>
        <w:contextualSpacing w:val="0"/>
        <w:rPr>
          <w:noProof w:val="0"/>
          <w:szCs w:val="20"/>
        </w:rPr>
      </w:pPr>
    </w:p>
    <w:p w14:paraId="7F2AD08F" w14:textId="6DBB42F3" w:rsidR="00065EF0" w:rsidRPr="009631AB" w:rsidRDefault="00065EF0" w:rsidP="00065EF0">
      <w:pPr>
        <w:widowControl w:val="0"/>
        <w:numPr>
          <w:ilvl w:val="0"/>
          <w:numId w:val="4"/>
        </w:numPr>
        <w:tabs>
          <w:tab w:val="left" w:pos="567"/>
          <w:tab w:val="num" w:pos="12305"/>
        </w:tabs>
        <w:adjustRightInd w:val="0"/>
        <w:spacing w:after="0" w:line="240" w:lineRule="auto"/>
        <w:jc w:val="both"/>
        <w:textAlignment w:val="baseline"/>
        <w:rPr>
          <w:i/>
        </w:rPr>
      </w:pPr>
      <w:r w:rsidRPr="009631AB">
        <w:t>E</w:t>
      </w:r>
      <w:r w:rsidR="0072533A">
        <w:t>n</w:t>
      </w:r>
      <w:r w:rsidRPr="009631AB">
        <w:t xml:space="preserve"> lo que respeta al trato desigual alegado por el representante y la Comisión, el Tribunal ha establecido que los Estados deben abstenerse de realizar acciones que de cualquier manera vayan dirigidas, directa o indirectamente, a crear situaciones de discriminación </w:t>
      </w:r>
      <w:r w:rsidRPr="009631AB">
        <w:rPr>
          <w:i/>
        </w:rPr>
        <w:t>de jure</w:t>
      </w:r>
      <w:r w:rsidRPr="009631AB">
        <w:t xml:space="preserve"> o </w:t>
      </w:r>
      <w:r w:rsidRPr="009631AB">
        <w:rPr>
          <w:i/>
        </w:rPr>
        <w:t>de facto</w:t>
      </w:r>
      <w:r w:rsidRPr="009631AB">
        <w:rPr>
          <w:rStyle w:val="Refdenotaalpie"/>
          <w:rFonts w:ascii="Verdana" w:hAnsi="Verdana"/>
        </w:rPr>
        <w:footnoteReference w:id="108"/>
      </w:r>
      <w:r w:rsidRPr="009631AB">
        <w:t>. Asimismo, en caso de que el trato discriminatorio</w:t>
      </w:r>
      <w:r w:rsidRPr="009631AB">
        <w:rPr>
          <w:lang w:eastAsia="es-ES"/>
        </w:rPr>
        <w:t xml:space="preserve"> se refiera a una protección desigual de la ley interna o su aplicación, el hecho debe analizarse a la luz del artículo 24 de la Convención Americana</w:t>
      </w:r>
      <w:bookmarkStart w:id="115" w:name="_Ref318128267"/>
      <w:r w:rsidRPr="009631AB">
        <w:rPr>
          <w:rStyle w:val="Refdenotaalpie"/>
          <w:rFonts w:ascii="Verdana" w:hAnsi="Verdana"/>
          <w:lang w:eastAsia="es-ES"/>
        </w:rPr>
        <w:footnoteReference w:id="109"/>
      </w:r>
      <w:bookmarkEnd w:id="115"/>
      <w:r w:rsidRPr="009631AB">
        <w:rPr>
          <w:lang w:eastAsia="es-ES"/>
        </w:rPr>
        <w:t xml:space="preserve"> en relación con las categorías protegidas por el artículo 1.1 de la Convención. La</w:t>
      </w:r>
      <w:r w:rsidRPr="009631AB">
        <w:t xml:space="preserve"> Corte recuerda que </w:t>
      </w:r>
      <w:r w:rsidRPr="009631AB">
        <w:rPr>
          <w:rFonts w:eastAsia="Calibri" w:cs="Arial"/>
          <w:spacing w:val="-2"/>
        </w:rPr>
        <w:t xml:space="preserve">una diferencia de trato es discriminatoria cuando la misma no </w:t>
      </w:r>
      <w:r w:rsidRPr="009631AB">
        <w:rPr>
          <w:spacing w:val="-2"/>
        </w:rPr>
        <w:t>tiene</w:t>
      </w:r>
      <w:r w:rsidRPr="009631AB">
        <w:rPr>
          <w:rFonts w:eastAsia="Calibri" w:cs="Arial"/>
          <w:spacing w:val="-2"/>
        </w:rPr>
        <w:t xml:space="preserve"> una </w:t>
      </w:r>
      <w:r w:rsidRPr="009631AB">
        <w:rPr>
          <w:rFonts w:eastAsia="Calibri"/>
          <w:spacing w:val="-2"/>
        </w:rPr>
        <w:t>justificación</w:t>
      </w:r>
      <w:r w:rsidRPr="009631AB">
        <w:rPr>
          <w:rFonts w:eastAsia="Calibri" w:cs="Arial"/>
          <w:spacing w:val="-2"/>
        </w:rPr>
        <w:t xml:space="preserve"> objetiva y razonable</w:t>
      </w:r>
      <w:r w:rsidRPr="009631AB">
        <w:rPr>
          <w:rFonts w:eastAsia="Calibri" w:cs="Arial"/>
          <w:spacing w:val="-2"/>
          <w:vertAlign w:val="superscript"/>
        </w:rPr>
        <w:footnoteReference w:id="110"/>
      </w:r>
      <w:r w:rsidRPr="009631AB">
        <w:rPr>
          <w:rFonts w:eastAsia="Calibri" w:cs="Arial"/>
          <w:spacing w:val="-2"/>
        </w:rPr>
        <w:t>, es decir, cuando no persigue un fin legítimo y no existe una relación razonable de proporcionalidad entre los medios utilizados y el fin perseguido</w:t>
      </w:r>
      <w:r w:rsidRPr="009631AB">
        <w:rPr>
          <w:rFonts w:eastAsia="Calibri" w:cs="Arial"/>
          <w:spacing w:val="-2"/>
          <w:vertAlign w:val="superscript"/>
        </w:rPr>
        <w:footnoteReference w:id="111"/>
      </w:r>
      <w:r w:rsidRPr="009631AB">
        <w:rPr>
          <w:rFonts w:eastAsia="Calibri" w:cs="Arial"/>
          <w:spacing w:val="-2"/>
        </w:rPr>
        <w:t>.</w:t>
      </w:r>
      <w:r w:rsidRPr="009631AB">
        <w:t xml:space="preserve"> </w:t>
      </w:r>
    </w:p>
    <w:p w14:paraId="38F9599B" w14:textId="77777777" w:rsidR="009631AB" w:rsidRPr="009631AB" w:rsidRDefault="009631AB" w:rsidP="009631AB">
      <w:pPr>
        <w:widowControl w:val="0"/>
        <w:tabs>
          <w:tab w:val="left" w:pos="567"/>
        </w:tabs>
        <w:adjustRightInd w:val="0"/>
        <w:spacing w:after="0" w:line="240" w:lineRule="auto"/>
        <w:jc w:val="both"/>
        <w:textAlignment w:val="baseline"/>
        <w:rPr>
          <w:i/>
        </w:rPr>
      </w:pPr>
    </w:p>
    <w:p w14:paraId="76C850B1" w14:textId="48BA3C54" w:rsidR="00065EF0" w:rsidRPr="009631AB" w:rsidRDefault="00065EF0" w:rsidP="009631AB">
      <w:pPr>
        <w:widowControl w:val="0"/>
        <w:numPr>
          <w:ilvl w:val="0"/>
          <w:numId w:val="4"/>
        </w:numPr>
        <w:tabs>
          <w:tab w:val="left" w:pos="567"/>
          <w:tab w:val="num" w:pos="12305"/>
        </w:tabs>
        <w:adjustRightInd w:val="0"/>
        <w:spacing w:after="0" w:line="240" w:lineRule="auto"/>
        <w:jc w:val="both"/>
        <w:textAlignment w:val="baseline"/>
        <w:rPr>
          <w:i/>
        </w:rPr>
      </w:pPr>
      <w:r w:rsidRPr="009631AB">
        <w:rPr>
          <w:rFonts w:cs="Arial"/>
        </w:rPr>
        <w:t>E</w:t>
      </w:r>
      <w:r w:rsidR="0072533A">
        <w:rPr>
          <w:rFonts w:cs="Arial"/>
        </w:rPr>
        <w:t>n</w:t>
      </w:r>
      <w:r w:rsidRPr="009631AB">
        <w:rPr>
          <w:rFonts w:cs="Arial"/>
        </w:rPr>
        <w:t xml:space="preserve"> el presente caso la Corte advierte </w:t>
      </w:r>
      <w:r w:rsidR="009631AB" w:rsidRPr="009631AB">
        <w:rPr>
          <w:rFonts w:cs="Arial"/>
        </w:rPr>
        <w:t xml:space="preserve">el trato diferenciado como resultado de la aplicación del artículo 114 bis del Código Penal que limitaba el goce del recurso de </w:t>
      </w:r>
      <w:r w:rsidR="00DA7EEF">
        <w:rPr>
          <w:rFonts w:cs="Arial"/>
          <w:i/>
        </w:rPr>
        <w:t>hábeas corpus</w:t>
      </w:r>
      <w:r w:rsidR="009631AB" w:rsidRPr="009631AB">
        <w:rPr>
          <w:rFonts w:cs="Arial"/>
        </w:rPr>
        <w:t xml:space="preserve"> (</w:t>
      </w:r>
      <w:r w:rsidR="009631AB" w:rsidRPr="009631AB">
        <w:rPr>
          <w:rFonts w:cs="Arial"/>
          <w:i/>
        </w:rPr>
        <w:t>supra</w:t>
      </w:r>
      <w:r w:rsidR="001B465D">
        <w:rPr>
          <w:rFonts w:cs="Arial"/>
          <w:i/>
        </w:rPr>
        <w:t xml:space="preserve"> </w:t>
      </w:r>
      <w:r w:rsidR="0072533A">
        <w:rPr>
          <w:rFonts w:cs="Arial"/>
        </w:rPr>
        <w:t>párr. 123</w:t>
      </w:r>
      <w:r w:rsidR="009631AB" w:rsidRPr="009631AB">
        <w:rPr>
          <w:rFonts w:cs="Arial"/>
        </w:rPr>
        <w:t>).</w:t>
      </w:r>
      <w:r w:rsidRPr="009631AB">
        <w:rPr>
          <w:rFonts w:eastAsiaTheme="minorHAnsi"/>
        </w:rPr>
        <w:t xml:space="preserve"> La Corte observa que la exclusión automática del beneficio de la excarcelación únicamente sobre la base del delito específico que se le imputaba al señor </w:t>
      </w:r>
      <w:r w:rsidR="009631AB" w:rsidRPr="009631AB">
        <w:rPr>
          <w:rFonts w:eastAsiaTheme="minorHAnsi"/>
        </w:rPr>
        <w:t>Montesinos</w:t>
      </w:r>
      <w:r w:rsidRPr="009631AB">
        <w:rPr>
          <w:rFonts w:eastAsiaTheme="minorHAnsi"/>
        </w:rPr>
        <w:t xml:space="preserve">, sin que se brindara </w:t>
      </w:r>
      <w:r w:rsidRPr="009631AB">
        <w:t>una explicación sobre la finalidad específica que buscaba la diferencia de trato, su idoneidad, necesidad, proporcionalidad</w:t>
      </w:r>
      <w:r w:rsidRPr="009631AB">
        <w:rPr>
          <w:rFonts w:eastAsiaTheme="minorHAnsi"/>
        </w:rPr>
        <w:t xml:space="preserve"> y, además, sin tener en cuenta las circunstancias personales del imputado</w:t>
      </w:r>
      <w:r w:rsidRPr="009631AB">
        <w:rPr>
          <w:rStyle w:val="Refdenotaalpie"/>
          <w:rFonts w:ascii="Verdana" w:hAnsi="Verdana"/>
        </w:rPr>
        <w:footnoteReference w:id="112"/>
      </w:r>
      <w:r w:rsidRPr="009631AB">
        <w:t xml:space="preserve">. </w:t>
      </w:r>
    </w:p>
    <w:p w14:paraId="679F6DDA" w14:textId="77777777" w:rsidR="00065EF0" w:rsidRPr="009631AB" w:rsidRDefault="00065EF0" w:rsidP="00065EF0">
      <w:pPr>
        <w:pStyle w:val="Prrafodelista"/>
        <w:rPr>
          <w:noProof w:val="0"/>
          <w:szCs w:val="20"/>
        </w:rPr>
      </w:pPr>
    </w:p>
    <w:p w14:paraId="71255080" w14:textId="49920D66" w:rsidR="000D358D" w:rsidRPr="000D358D" w:rsidRDefault="000D358D" w:rsidP="000D358D">
      <w:pPr>
        <w:pStyle w:val="Prrafodelista"/>
        <w:numPr>
          <w:ilvl w:val="0"/>
          <w:numId w:val="4"/>
        </w:numPr>
        <w:contextualSpacing w:val="0"/>
        <w:rPr>
          <w:noProof w:val="0"/>
          <w:szCs w:val="20"/>
        </w:rPr>
      </w:pPr>
      <w:r w:rsidRPr="009631AB">
        <w:rPr>
          <w:noProof w:val="0"/>
          <w:szCs w:val="20"/>
        </w:rPr>
        <w:t xml:space="preserve">Sin perjuicio de lo anterior, es menester precisar que el 16 de diciembre de 1997 se declaró la inconstitucionalidad de varios artículos de la Ley sobre </w:t>
      </w:r>
      <w:r w:rsidRPr="009631AB">
        <w:rPr>
          <w:rFonts w:eastAsiaTheme="minorHAnsi" w:cs="TimesNewRomanPSMT"/>
          <w:szCs w:val="20"/>
        </w:rPr>
        <w:t>Sustancias Estupefacientes y Psicotrópicas</w:t>
      </w:r>
      <w:r w:rsidRPr="009631AB">
        <w:rPr>
          <w:rStyle w:val="Refdenotaalpie"/>
          <w:rFonts w:ascii="Verdana" w:eastAsiaTheme="minorHAnsi" w:hAnsi="Verdana" w:cs="TimesNewRomanPSMT"/>
        </w:rPr>
        <w:footnoteReference w:id="113"/>
      </w:r>
      <w:r w:rsidRPr="009631AB">
        <w:rPr>
          <w:rFonts w:eastAsiaTheme="minorHAnsi" w:cs="TimesNewRomanPSMT"/>
          <w:szCs w:val="20"/>
        </w:rPr>
        <w:t>, entre ellos, el referido párrafo cuarto del artículo 114 del Código Penal que excluía del benefício de posibilidad de responder al proceso en libertad</w:t>
      </w:r>
      <w:r w:rsidRPr="000D358D">
        <w:rPr>
          <w:rFonts w:eastAsiaTheme="minorHAnsi" w:cs="TimesNewRomanPSMT"/>
          <w:color w:val="000000" w:themeColor="text1"/>
          <w:szCs w:val="20"/>
        </w:rPr>
        <w:t>.</w:t>
      </w:r>
    </w:p>
    <w:p w14:paraId="48E4C85A" w14:textId="77777777" w:rsidR="000D358D" w:rsidRPr="000D358D" w:rsidRDefault="000D358D" w:rsidP="000D358D">
      <w:pPr>
        <w:pStyle w:val="Prrafodelista"/>
        <w:ind w:left="0"/>
        <w:contextualSpacing w:val="0"/>
        <w:rPr>
          <w:noProof w:val="0"/>
          <w:szCs w:val="20"/>
        </w:rPr>
      </w:pPr>
    </w:p>
    <w:p w14:paraId="6A72B533" w14:textId="2E43912E" w:rsidR="003B4587" w:rsidRPr="009631AB" w:rsidRDefault="009631AB" w:rsidP="00734B53">
      <w:pPr>
        <w:pStyle w:val="Prrafodelista"/>
        <w:numPr>
          <w:ilvl w:val="0"/>
          <w:numId w:val="4"/>
        </w:numPr>
        <w:contextualSpacing w:val="0"/>
        <w:rPr>
          <w:noProof w:val="0"/>
          <w:szCs w:val="20"/>
        </w:rPr>
      </w:pPr>
      <w:r w:rsidRPr="009631AB">
        <w:rPr>
          <w:noProof w:val="0"/>
          <w:szCs w:val="20"/>
        </w:rPr>
        <w:t>Por todo lo anterior</w:t>
      </w:r>
      <w:r w:rsidR="003B4587" w:rsidRPr="009631AB">
        <w:rPr>
          <w:noProof w:val="0"/>
          <w:szCs w:val="20"/>
        </w:rPr>
        <w:t xml:space="preserve">, la Corte concluye que </w:t>
      </w:r>
      <w:r w:rsidR="003B4587" w:rsidRPr="009631AB">
        <w:rPr>
          <w:noProof w:val="0"/>
          <w:szCs w:val="20"/>
          <w:lang w:val="es-CR"/>
        </w:rPr>
        <w:t xml:space="preserve">la excepción contenida en el artículo 114 bis del Código Penal vigente a la época de los hechos violó el derecho a la igualdad ante la ley, establecido en el artículo 24 de la Convención Americana sobre Derechos Humanos, en </w:t>
      </w:r>
      <w:r w:rsidR="003B4587" w:rsidRPr="009631AB">
        <w:rPr>
          <w:noProof w:val="0"/>
          <w:szCs w:val="20"/>
          <w:lang w:val="es-CR"/>
        </w:rPr>
        <w:lastRenderedPageBreak/>
        <w:t xml:space="preserve">relación con los artículos 1.1, 2, 7.5 y 7.6 del mismo instrumento, en perjuicio del señor Mario Montesinos. </w:t>
      </w:r>
    </w:p>
    <w:p w14:paraId="404B0B3B" w14:textId="77777777" w:rsidR="003B4587" w:rsidRPr="009631AB" w:rsidRDefault="003B4587" w:rsidP="00734B53">
      <w:pPr>
        <w:pStyle w:val="Prrafodelista"/>
        <w:ind w:left="0"/>
        <w:contextualSpacing w:val="0"/>
        <w:rPr>
          <w:noProof w:val="0"/>
          <w:szCs w:val="20"/>
        </w:rPr>
      </w:pPr>
    </w:p>
    <w:p w14:paraId="19FAB9A4" w14:textId="0E375518" w:rsidR="003B4587" w:rsidRPr="00D24534" w:rsidRDefault="003B4587" w:rsidP="00502DA1">
      <w:pPr>
        <w:pStyle w:val="Ttulo3"/>
        <w:rPr>
          <w:b/>
        </w:rPr>
      </w:pPr>
      <w:bookmarkStart w:id="116" w:name="_Toc27069900"/>
      <w:r w:rsidRPr="00D24534">
        <w:rPr>
          <w:b/>
        </w:rPr>
        <w:t>B.</w:t>
      </w:r>
      <w:r w:rsidR="007179A4" w:rsidRPr="00D24534">
        <w:rPr>
          <w:b/>
        </w:rPr>
        <w:t>4</w:t>
      </w:r>
      <w:r w:rsidRPr="00D24534">
        <w:rPr>
          <w:b/>
        </w:rPr>
        <w:t xml:space="preserve"> Derecho a recurrir ante un juez sobre la legalidad de la detención</w:t>
      </w:r>
      <w:bookmarkEnd w:id="116"/>
      <w:r w:rsidRPr="00D24534">
        <w:rPr>
          <w:b/>
        </w:rPr>
        <w:t xml:space="preserve"> </w:t>
      </w:r>
    </w:p>
    <w:p w14:paraId="42B08EF0" w14:textId="77777777" w:rsidR="003B4587" w:rsidRPr="009631AB" w:rsidRDefault="003B4587" w:rsidP="00734B53">
      <w:pPr>
        <w:pStyle w:val="Prrafodelista"/>
        <w:ind w:left="0"/>
        <w:contextualSpacing w:val="0"/>
        <w:rPr>
          <w:noProof w:val="0"/>
          <w:szCs w:val="20"/>
        </w:rPr>
      </w:pPr>
    </w:p>
    <w:p w14:paraId="0A68562C" w14:textId="77777777" w:rsidR="003B4587" w:rsidRPr="009631AB" w:rsidRDefault="003B4587" w:rsidP="00734B53">
      <w:pPr>
        <w:numPr>
          <w:ilvl w:val="0"/>
          <w:numId w:val="4"/>
        </w:numPr>
        <w:spacing w:after="0" w:line="240" w:lineRule="auto"/>
        <w:jc w:val="both"/>
        <w:rPr>
          <w:rFonts w:eastAsia="Batang" w:cs="Times"/>
          <w:noProof/>
          <w:szCs w:val="20"/>
          <w:lang w:val="es-ES_tradnl"/>
        </w:rPr>
      </w:pPr>
      <w:r w:rsidRPr="009631AB">
        <w:rPr>
          <w:rFonts w:eastAsia="Batang" w:cs="Times"/>
          <w:noProof/>
          <w:szCs w:val="20"/>
          <w:lang w:val="es-ES_tradnl"/>
        </w:rPr>
        <w:t>Conforme lo ha establecido la Corte, el artículo 7.6 de la Convención protege el derecho de toda persona privada de la libertad a recurrir la legalidad de su detención ante un juez o tribunal competente, a fin de que éste decida, sin demora, sobre la legalidad de la privación de libertad y, en su caso, decrete su libertad</w:t>
      </w:r>
      <w:r w:rsidRPr="009631AB">
        <w:rPr>
          <w:rFonts w:eastAsia="Batang" w:cs="Times New Roman"/>
          <w:noProof/>
          <w:szCs w:val="20"/>
          <w:vertAlign w:val="superscript"/>
          <w:lang w:val="es-ES_tradnl"/>
        </w:rPr>
        <w:footnoteReference w:id="114"/>
      </w:r>
      <w:r w:rsidRPr="009631AB">
        <w:rPr>
          <w:rFonts w:eastAsia="Batang" w:cs="Times"/>
          <w:noProof/>
          <w:szCs w:val="20"/>
          <w:lang w:val="es-ES_tradnl"/>
        </w:rPr>
        <w:t>. Al respecto, la Corte ha destacado que la autoridad que debe decidir la legalidad del arresto o detención debe ser un juez o tribunal. Asimismo, ha precisado que los recursos disponibles para el cumplimiento de esta garantía “no sólo deben existir formalmente en la legislación sino que deben ser efectivos, esto es, cumplir con el objetivo de obtener sin demora una decisión sobre la legalidad del arresto o de la detención”</w:t>
      </w:r>
      <w:r w:rsidRPr="009631AB">
        <w:rPr>
          <w:rFonts w:eastAsia="Batang" w:cs="Times New Roman"/>
          <w:noProof/>
          <w:szCs w:val="20"/>
          <w:vertAlign w:val="superscript"/>
          <w:lang w:val="es-ES_tradnl"/>
        </w:rPr>
        <w:footnoteReference w:id="115"/>
      </w:r>
      <w:r w:rsidRPr="009631AB">
        <w:rPr>
          <w:rFonts w:eastAsia="Batang" w:cs="Times"/>
          <w:noProof/>
          <w:szCs w:val="20"/>
          <w:lang w:val="es-ES_tradnl"/>
        </w:rPr>
        <w:t>.</w:t>
      </w:r>
    </w:p>
    <w:p w14:paraId="5FBE8650" w14:textId="77777777" w:rsidR="003B4587" w:rsidRPr="009631AB" w:rsidRDefault="003B4587" w:rsidP="00734B53">
      <w:pPr>
        <w:spacing w:after="0" w:line="240" w:lineRule="auto"/>
        <w:jc w:val="both"/>
        <w:rPr>
          <w:rFonts w:eastAsia="Batang" w:cs="Times"/>
          <w:noProof/>
          <w:szCs w:val="20"/>
          <w:lang w:val="es-ES_tradnl"/>
        </w:rPr>
      </w:pPr>
    </w:p>
    <w:p w14:paraId="7126A4EA" w14:textId="6708BF08" w:rsidR="003B4587" w:rsidRPr="009631AB" w:rsidRDefault="003B4587" w:rsidP="00734B53">
      <w:pPr>
        <w:numPr>
          <w:ilvl w:val="0"/>
          <w:numId w:val="4"/>
        </w:numPr>
        <w:spacing w:after="0" w:line="240" w:lineRule="auto"/>
        <w:jc w:val="both"/>
        <w:rPr>
          <w:rFonts w:eastAsia="Batang" w:cs="Times"/>
          <w:noProof/>
          <w:szCs w:val="20"/>
          <w:lang w:val="es-ES_tradnl"/>
        </w:rPr>
      </w:pPr>
      <w:r w:rsidRPr="009631AB">
        <w:rPr>
          <w:rFonts w:eastAsia="Batang" w:cs="Times"/>
          <w:noProof/>
          <w:szCs w:val="20"/>
          <w:lang w:val="es-ES_tradnl"/>
        </w:rPr>
        <w:t xml:space="preserve">En este marco, la Corte ya se ha pronunciado sobre la incompatibilidad del recurso de </w:t>
      </w:r>
      <w:r w:rsidR="00DA7EEF" w:rsidRPr="00DA7EEF">
        <w:rPr>
          <w:rFonts w:eastAsia="Batang" w:cs="Times"/>
          <w:noProof/>
          <w:szCs w:val="20"/>
          <w:lang w:val="es-ES_tradnl"/>
        </w:rPr>
        <w:t>hábeas corpus</w:t>
      </w:r>
      <w:r w:rsidRPr="009631AB">
        <w:rPr>
          <w:rFonts w:eastAsia="Batang" w:cs="Times"/>
          <w:noProof/>
          <w:szCs w:val="20"/>
          <w:lang w:val="es-ES_tradnl"/>
        </w:rPr>
        <w:t xml:space="preserve"> vigente en Ecuador a la fecha de los hechos del presente caso con la Convención Americana sobre Derechos Humanos. Así, en el caso </w:t>
      </w:r>
      <w:r w:rsidRPr="009631AB">
        <w:rPr>
          <w:rFonts w:eastAsia="Batang" w:cs="Times"/>
          <w:i/>
          <w:noProof/>
          <w:szCs w:val="20"/>
          <w:lang w:val="es-ES_tradnl"/>
        </w:rPr>
        <w:t>Chaparro Álvarez y Lapo Íñiguez Vs. Ecuador</w:t>
      </w:r>
      <w:r w:rsidRPr="009631AB">
        <w:rPr>
          <w:rFonts w:eastAsia="Batang" w:cs="Times"/>
          <w:noProof/>
          <w:szCs w:val="20"/>
          <w:lang w:val="es-ES_tradnl"/>
        </w:rPr>
        <w:t xml:space="preserve">, la Corte determinó que aun cuando de acuerdo con la ley podía ser el </w:t>
      </w:r>
      <w:r w:rsidR="002C596B" w:rsidRPr="009631AB">
        <w:rPr>
          <w:rFonts w:eastAsia="Batang" w:cs="Times"/>
          <w:noProof/>
          <w:szCs w:val="20"/>
          <w:lang w:val="es-ES_tradnl"/>
        </w:rPr>
        <w:t>a</w:t>
      </w:r>
      <w:r w:rsidRPr="009631AB">
        <w:rPr>
          <w:rFonts w:eastAsia="Batang" w:cs="Times"/>
          <w:noProof/>
          <w:szCs w:val="20"/>
          <w:lang w:val="es-ES_tradnl"/>
        </w:rPr>
        <w:t xml:space="preserve">lcalde el competente para conocer el recurso de </w:t>
      </w:r>
      <w:r w:rsidR="00DA7EEF" w:rsidRPr="00DA7EEF">
        <w:rPr>
          <w:rFonts w:eastAsia="Batang" w:cs="Times"/>
          <w:noProof/>
          <w:szCs w:val="20"/>
          <w:lang w:val="es-ES_tradnl"/>
        </w:rPr>
        <w:t>hábeas corpus</w:t>
      </w:r>
      <w:r w:rsidRPr="009631AB">
        <w:rPr>
          <w:rFonts w:eastAsia="Batang" w:cs="Times"/>
          <w:noProof/>
          <w:szCs w:val="20"/>
          <w:lang w:val="es-ES_tradnl"/>
        </w:rPr>
        <w:t xml:space="preserve">, este no constituía una autoridad judicial, pues, conforme lo determinaba la propia Constitución ecuatoriana vigente a la época, el alcalde es una autoridad del “régimen seccional”, </w:t>
      </w:r>
      <w:r w:rsidR="0033151A" w:rsidRPr="009631AB">
        <w:rPr>
          <w:rFonts w:eastAsia="Batang" w:cs="Times"/>
          <w:noProof/>
          <w:szCs w:val="20"/>
          <w:lang w:val="es-ES_tradnl"/>
        </w:rPr>
        <w:t>es decir</w:t>
      </w:r>
      <w:r w:rsidRPr="009631AB">
        <w:rPr>
          <w:rFonts w:eastAsia="Batang" w:cs="Times"/>
          <w:noProof/>
          <w:szCs w:val="20"/>
          <w:lang w:val="es-ES_tradnl"/>
        </w:rPr>
        <w:t>, hace parte de la Administración</w:t>
      </w:r>
      <w:r w:rsidRPr="009631AB">
        <w:rPr>
          <w:rFonts w:eastAsia="Batang" w:cs="Times New Roman"/>
          <w:noProof/>
          <w:szCs w:val="20"/>
          <w:vertAlign w:val="superscript"/>
          <w:lang w:val="es-ES_tradnl"/>
        </w:rPr>
        <w:footnoteReference w:id="116"/>
      </w:r>
      <w:r w:rsidRPr="009631AB">
        <w:rPr>
          <w:rFonts w:eastAsia="Batang" w:cs="Times"/>
          <w:noProof/>
          <w:szCs w:val="20"/>
          <w:lang w:val="es-ES_tradnl"/>
        </w:rPr>
        <w:t xml:space="preserve">. </w:t>
      </w:r>
    </w:p>
    <w:p w14:paraId="7291A20F" w14:textId="77777777" w:rsidR="003B4587" w:rsidRPr="009631AB" w:rsidRDefault="003B4587" w:rsidP="00734B53">
      <w:pPr>
        <w:spacing w:after="0" w:line="240" w:lineRule="auto"/>
        <w:jc w:val="both"/>
        <w:rPr>
          <w:rFonts w:eastAsia="Batang" w:cs="Times"/>
          <w:noProof/>
          <w:szCs w:val="20"/>
          <w:lang w:val="es-ES_tradnl"/>
        </w:rPr>
      </w:pPr>
    </w:p>
    <w:p w14:paraId="58031FCB" w14:textId="61B76AE7" w:rsidR="003B4587" w:rsidRPr="009631AB" w:rsidRDefault="003B4587" w:rsidP="00734B53">
      <w:pPr>
        <w:numPr>
          <w:ilvl w:val="0"/>
          <w:numId w:val="4"/>
        </w:numPr>
        <w:spacing w:after="0" w:line="240" w:lineRule="auto"/>
        <w:jc w:val="both"/>
        <w:rPr>
          <w:rFonts w:eastAsia="Batang" w:cs="Times"/>
          <w:noProof/>
          <w:szCs w:val="20"/>
          <w:lang w:val="es-ES_tradnl"/>
        </w:rPr>
      </w:pPr>
      <w:r w:rsidRPr="009631AB">
        <w:rPr>
          <w:rFonts w:eastAsia="Batang" w:cs="Times"/>
          <w:noProof/>
          <w:szCs w:val="20"/>
          <w:lang w:val="es-CO"/>
        </w:rPr>
        <w:t xml:space="preserve">Del mismo modo, en el referido caso, la Corte examinó el recurso de apelación ante el Tribunal de Garantías Constitucionales que contemplaba el proceso de </w:t>
      </w:r>
      <w:r w:rsidR="00DA7EEF" w:rsidRPr="00DA7EEF">
        <w:rPr>
          <w:rFonts w:eastAsia="Batang" w:cs="Times"/>
          <w:noProof/>
          <w:szCs w:val="20"/>
          <w:lang w:val="es-CO"/>
        </w:rPr>
        <w:t>hábeas corpus</w:t>
      </w:r>
      <w:r w:rsidRPr="009631AB">
        <w:rPr>
          <w:rFonts w:eastAsia="Batang" w:cs="Times"/>
          <w:noProof/>
          <w:szCs w:val="20"/>
          <w:lang w:val="es-CO"/>
        </w:rPr>
        <w:t xml:space="preserve"> en Ecuador. Al respectó, estableció que </w:t>
      </w:r>
      <w:r w:rsidRPr="009631AB">
        <w:rPr>
          <w:rFonts w:eastAsia="Batang" w:cs="Times"/>
          <w:noProof/>
          <w:szCs w:val="20"/>
          <w:lang w:val="es-ES_tradnl"/>
        </w:rPr>
        <w:t xml:space="preserve">exigir que los detenidos tengan que apelar las resoluciones del alcalde para que su caso sea conocido por una autoridad judicial generaba obstáculos a un recurso que debía ser, por su propia naturaleza, sencillo. Además, </w:t>
      </w:r>
      <w:r w:rsidR="002648A6" w:rsidRPr="009631AB">
        <w:rPr>
          <w:rFonts w:eastAsia="Batang" w:cs="Times"/>
          <w:noProof/>
          <w:szCs w:val="20"/>
          <w:lang w:val="es-ES_tradnl"/>
        </w:rPr>
        <w:t xml:space="preserve">señaló que </w:t>
      </w:r>
      <w:r w:rsidRPr="009631AB">
        <w:rPr>
          <w:rFonts w:eastAsia="Batang" w:cs="Times"/>
          <w:noProof/>
          <w:szCs w:val="20"/>
          <w:lang w:val="es-ES_tradnl"/>
        </w:rPr>
        <w:t xml:space="preserve">la ley establecía que era deber del alcalde resolver el recurso en 48 horas y, en el mismo plazo, remitir lo actuado al Tribunal Constitucional si éste así lo requería, lo cual significaba que el detenido debía esperar al menos 4 días para que el Tribunal Constitucional conociera su asunto, a lo cual debe sumarse el hecho de que la ley no establecía un plazo para que el Tribunal Constitucional resolviera la apelación. Además, </w:t>
      </w:r>
      <w:r w:rsidR="002648A6" w:rsidRPr="009631AB">
        <w:rPr>
          <w:rFonts w:eastAsia="Batang" w:cs="Times"/>
          <w:noProof/>
          <w:szCs w:val="20"/>
          <w:lang w:val="es-ES_tradnl"/>
        </w:rPr>
        <w:t>indicó</w:t>
      </w:r>
      <w:r w:rsidR="0033151A" w:rsidRPr="009631AB">
        <w:rPr>
          <w:rFonts w:eastAsia="Batang" w:cs="Times"/>
          <w:noProof/>
          <w:szCs w:val="20"/>
          <w:lang w:val="es-ES_tradnl"/>
        </w:rPr>
        <w:t>,</w:t>
      </w:r>
      <w:r w:rsidR="002648A6" w:rsidRPr="009631AB">
        <w:rPr>
          <w:rFonts w:eastAsia="Batang" w:cs="Times"/>
          <w:noProof/>
          <w:szCs w:val="20"/>
          <w:lang w:val="es-ES_tradnl"/>
        </w:rPr>
        <w:t xml:space="preserve"> que el </w:t>
      </w:r>
      <w:r w:rsidRPr="009631AB">
        <w:rPr>
          <w:rFonts w:eastAsia="Batang" w:cs="Times"/>
          <w:noProof/>
          <w:szCs w:val="20"/>
          <w:lang w:val="es-ES_tradnl"/>
        </w:rPr>
        <w:t>Tribunal</w:t>
      </w:r>
      <w:r w:rsidR="002648A6" w:rsidRPr="009631AB">
        <w:rPr>
          <w:rFonts w:eastAsia="Batang" w:cs="Times"/>
          <w:noProof/>
          <w:szCs w:val="20"/>
          <w:lang w:val="es-ES_tradnl"/>
        </w:rPr>
        <w:t xml:space="preserve"> Constitucional</w:t>
      </w:r>
      <w:r w:rsidRPr="009631AB">
        <w:rPr>
          <w:rFonts w:eastAsia="Batang" w:cs="Times"/>
          <w:noProof/>
          <w:szCs w:val="20"/>
          <w:lang w:val="es-ES_tradnl"/>
        </w:rPr>
        <w:t xml:space="preserve"> era el único órgano judicial competente para conocer las apelaciones de las denegatorias de los hábeas corpus de todo el país</w:t>
      </w:r>
      <w:r w:rsidRPr="009631AB">
        <w:rPr>
          <w:rFonts w:eastAsia="Batang" w:cs="Times New Roman"/>
          <w:noProof/>
          <w:szCs w:val="20"/>
          <w:vertAlign w:val="superscript"/>
          <w:lang w:val="es-ES_tradnl"/>
        </w:rPr>
        <w:footnoteReference w:id="117"/>
      </w:r>
      <w:r w:rsidRPr="009631AB">
        <w:rPr>
          <w:rFonts w:eastAsia="Batang" w:cs="Times"/>
          <w:noProof/>
          <w:szCs w:val="20"/>
          <w:lang w:val="es-ES_tradnl"/>
        </w:rPr>
        <w:t xml:space="preserve">. </w:t>
      </w:r>
    </w:p>
    <w:p w14:paraId="0AE7A2D0" w14:textId="77777777" w:rsidR="003B4587" w:rsidRPr="009631AB" w:rsidRDefault="003B4587" w:rsidP="00734B53">
      <w:pPr>
        <w:spacing w:after="0" w:line="240" w:lineRule="auto"/>
        <w:jc w:val="both"/>
        <w:rPr>
          <w:rFonts w:eastAsia="Batang" w:cs="Times"/>
          <w:noProof/>
          <w:szCs w:val="20"/>
          <w:lang w:val="es-ES_tradnl"/>
        </w:rPr>
      </w:pPr>
    </w:p>
    <w:p w14:paraId="735DC6E6" w14:textId="627FEF43" w:rsidR="003B4587" w:rsidRPr="009631AB" w:rsidRDefault="003B4587" w:rsidP="00734B53">
      <w:pPr>
        <w:numPr>
          <w:ilvl w:val="0"/>
          <w:numId w:val="4"/>
        </w:numPr>
        <w:spacing w:after="0" w:line="240" w:lineRule="auto"/>
        <w:jc w:val="both"/>
        <w:rPr>
          <w:rFonts w:eastAsia="Batang" w:cs="Times"/>
          <w:noProof/>
          <w:szCs w:val="20"/>
          <w:lang w:val="es-ES_tradnl"/>
        </w:rPr>
      </w:pPr>
      <w:r w:rsidRPr="009631AB">
        <w:rPr>
          <w:rFonts w:eastAsia="Batang" w:cs="Times"/>
          <w:noProof/>
          <w:szCs w:val="20"/>
          <w:lang w:val="es-ES_tradnl"/>
        </w:rPr>
        <w:t xml:space="preserve">En el presente caso, se ha probado que el 10 de septiembre de 1996 el señor Montesinos interpuso un recurso de </w:t>
      </w:r>
      <w:r w:rsidR="00DA7EEF" w:rsidRPr="00DA7EEF">
        <w:rPr>
          <w:rFonts w:eastAsia="Batang" w:cs="Times"/>
          <w:noProof/>
          <w:szCs w:val="20"/>
          <w:lang w:val="es-ES_tradnl"/>
        </w:rPr>
        <w:t>hábeas corpus</w:t>
      </w:r>
      <w:r w:rsidRPr="009631AB">
        <w:rPr>
          <w:rFonts w:eastAsia="Batang" w:cs="Times"/>
          <w:noProof/>
          <w:szCs w:val="20"/>
          <w:lang w:val="es-ES_tradnl"/>
        </w:rPr>
        <w:t xml:space="preserve"> ante el alcalde del Distrito Metropolitano de Quito el cual fue rechazado seis días después</w:t>
      </w:r>
      <w:r w:rsidRPr="009631AB">
        <w:rPr>
          <w:rFonts w:eastAsia="Batang" w:cs="Times New Roman"/>
          <w:noProof/>
          <w:szCs w:val="20"/>
          <w:vertAlign w:val="superscript"/>
          <w:lang w:val="es-ES_tradnl"/>
        </w:rPr>
        <w:footnoteReference w:id="118"/>
      </w:r>
      <w:r w:rsidRPr="009631AB">
        <w:rPr>
          <w:rFonts w:eastAsia="Batang" w:cs="Times"/>
          <w:noProof/>
          <w:szCs w:val="20"/>
          <w:lang w:val="es-ES_tradnl"/>
        </w:rPr>
        <w:t xml:space="preserve">. Se ha probado, además, que frente a dicha decisión se interpuso un recurso de apelación producto del cual, el 30 de octubre de 1996, el Tribunal de Garantías Constitucionales dispuso la inmediata liberación de la presunta </w:t>
      </w:r>
      <w:r w:rsidRPr="009631AB">
        <w:rPr>
          <w:rFonts w:eastAsia="Batang" w:cs="Times"/>
          <w:noProof/>
          <w:szCs w:val="20"/>
          <w:lang w:val="es-ES_tradnl"/>
        </w:rPr>
        <w:lastRenderedPageBreak/>
        <w:t>víctima</w:t>
      </w:r>
      <w:r w:rsidRPr="009631AB">
        <w:rPr>
          <w:rFonts w:eastAsia="Batang" w:cs="Times New Roman"/>
          <w:noProof/>
          <w:szCs w:val="20"/>
          <w:vertAlign w:val="superscript"/>
          <w:lang w:val="es-ES_tradnl"/>
        </w:rPr>
        <w:footnoteReference w:id="119"/>
      </w:r>
      <w:r w:rsidRPr="009631AB">
        <w:rPr>
          <w:rFonts w:eastAsia="Batang" w:cs="Times"/>
          <w:noProof/>
          <w:szCs w:val="20"/>
          <w:lang w:val="es-ES_tradnl"/>
        </w:rPr>
        <w:t>. Asimismo, no existe contradicción y ha sido probado que, a pesar de la orden de liberación inmediata, el señor Montesinos continuó privado de su libertad</w:t>
      </w:r>
      <w:r w:rsidRPr="009631AB">
        <w:rPr>
          <w:rFonts w:eastAsia="Batang" w:cs="Times New Roman"/>
          <w:noProof/>
          <w:szCs w:val="20"/>
          <w:vertAlign w:val="superscript"/>
          <w:lang w:val="es-ES_tradnl"/>
        </w:rPr>
        <w:footnoteReference w:id="120"/>
      </w:r>
      <w:r w:rsidRPr="009631AB">
        <w:rPr>
          <w:rFonts w:eastAsia="Batang" w:cs="Times"/>
          <w:noProof/>
          <w:szCs w:val="20"/>
          <w:lang w:val="es-ES_tradnl"/>
        </w:rPr>
        <w:t>, no siendo hasta la resolución del Tribunal de Garantías Constitucionales de 13 de agosto de 1998</w:t>
      </w:r>
      <w:r w:rsidRPr="009631AB">
        <w:rPr>
          <w:rFonts w:eastAsia="Batang" w:cs="Times New Roman"/>
          <w:noProof/>
          <w:szCs w:val="20"/>
          <w:vertAlign w:val="superscript"/>
          <w:lang w:val="es-ES_tradnl"/>
        </w:rPr>
        <w:footnoteReference w:id="121"/>
      </w:r>
      <w:r w:rsidR="005B3D7C">
        <w:rPr>
          <w:rFonts w:eastAsia="Batang" w:cs="Times"/>
          <w:noProof/>
          <w:szCs w:val="20"/>
          <w:lang w:val="es-ES_tradnl"/>
        </w:rPr>
        <w:t xml:space="preserve"> que, una vez </w:t>
      </w:r>
      <w:r w:rsidR="001E4168">
        <w:rPr>
          <w:rFonts w:eastAsia="Batang" w:cs="Times"/>
          <w:noProof/>
          <w:szCs w:val="20"/>
          <w:lang w:val="es-ES_tradnl"/>
        </w:rPr>
        <w:t xml:space="preserve">aceptada </w:t>
      </w:r>
      <w:r w:rsidRPr="009631AB">
        <w:rPr>
          <w:rFonts w:eastAsia="Batang" w:cs="Times"/>
          <w:noProof/>
          <w:szCs w:val="20"/>
          <w:lang w:val="es-ES_tradnl"/>
        </w:rPr>
        <w:t xml:space="preserve">la apelación presentada por la presunta víctima ante el rechazo de un nuevo recurso de </w:t>
      </w:r>
      <w:r w:rsidR="00DA7EEF" w:rsidRPr="00DA7EEF">
        <w:rPr>
          <w:rFonts w:eastAsia="Batang" w:cs="Times"/>
          <w:noProof/>
          <w:szCs w:val="20"/>
          <w:lang w:val="es-ES_tradnl"/>
        </w:rPr>
        <w:t>hábeas corpus</w:t>
      </w:r>
      <w:r w:rsidRPr="009631AB">
        <w:rPr>
          <w:rFonts w:eastAsia="Batang" w:cs="Times"/>
          <w:noProof/>
          <w:szCs w:val="20"/>
          <w:lang w:val="es-ES_tradnl"/>
        </w:rPr>
        <w:t xml:space="preserve"> presentado</w:t>
      </w:r>
      <w:r w:rsidRPr="009631AB">
        <w:rPr>
          <w:rFonts w:eastAsia="Batang" w:cs="Times New Roman"/>
          <w:noProof/>
          <w:szCs w:val="20"/>
          <w:vertAlign w:val="superscript"/>
          <w:lang w:val="es-ES_tradnl"/>
        </w:rPr>
        <w:footnoteReference w:id="122"/>
      </w:r>
      <w:r w:rsidRPr="009631AB">
        <w:rPr>
          <w:rFonts w:eastAsia="Batang" w:cs="Times"/>
          <w:noProof/>
          <w:szCs w:val="20"/>
          <w:lang w:val="es-ES_tradnl"/>
        </w:rPr>
        <w:t>, se dispuso y fue cumplida la orden de liberación inmediata del señor Montesinos</w:t>
      </w:r>
      <w:r w:rsidRPr="009631AB">
        <w:rPr>
          <w:rFonts w:eastAsia="Batang" w:cs="Times New Roman"/>
          <w:noProof/>
          <w:szCs w:val="20"/>
          <w:vertAlign w:val="superscript"/>
          <w:lang w:val="es-ES_tradnl"/>
        </w:rPr>
        <w:footnoteReference w:id="123"/>
      </w:r>
      <w:r w:rsidRPr="009631AB">
        <w:rPr>
          <w:rFonts w:eastAsia="Batang" w:cs="Times"/>
          <w:noProof/>
          <w:szCs w:val="20"/>
          <w:lang w:val="es-ES_tradnl"/>
        </w:rPr>
        <w:t>. Así, se encuentra probado que el señor Montesinos estuvo detenido por aproximadamente 6 años y dos meses</w:t>
      </w:r>
      <w:r w:rsidRPr="009631AB">
        <w:rPr>
          <w:rFonts w:eastAsia="Batang" w:cs="Times New Roman"/>
          <w:noProof/>
          <w:szCs w:val="20"/>
          <w:vertAlign w:val="superscript"/>
          <w:lang w:val="es-ES_tradnl"/>
        </w:rPr>
        <w:footnoteReference w:id="124"/>
      </w:r>
      <w:r w:rsidR="009631AB">
        <w:rPr>
          <w:rFonts w:eastAsia="Batang" w:cs="Times"/>
          <w:noProof/>
          <w:szCs w:val="20"/>
          <w:lang w:val="es-ES_tradnl"/>
        </w:rPr>
        <w:t xml:space="preserve"> sin que se dictara sentencia</w:t>
      </w:r>
      <w:r w:rsidRPr="009631AB">
        <w:rPr>
          <w:rFonts w:eastAsia="Batang" w:cs="Times"/>
          <w:noProof/>
          <w:szCs w:val="20"/>
          <w:lang w:val="es-ES_tradnl"/>
        </w:rPr>
        <w:t>.</w:t>
      </w:r>
      <w:r w:rsidR="001B465D">
        <w:rPr>
          <w:rFonts w:eastAsia="Batang" w:cs="Times"/>
          <w:noProof/>
          <w:szCs w:val="20"/>
          <w:lang w:val="es-ES_tradnl"/>
        </w:rPr>
        <w:t xml:space="preserve"> </w:t>
      </w:r>
      <w:r w:rsidRPr="009631AB">
        <w:rPr>
          <w:rFonts w:eastAsia="Batang" w:cs="Times"/>
          <w:noProof/>
          <w:szCs w:val="20"/>
          <w:lang w:val="es-ES_tradnl"/>
        </w:rPr>
        <w:t xml:space="preserve"> </w:t>
      </w:r>
    </w:p>
    <w:p w14:paraId="6FA44E60" w14:textId="77777777" w:rsidR="003B4587" w:rsidRPr="009631AB" w:rsidRDefault="003B4587" w:rsidP="00734B53">
      <w:pPr>
        <w:pStyle w:val="Prrafodelista"/>
        <w:contextualSpacing w:val="0"/>
        <w:rPr>
          <w:rFonts w:cs="Times New Roman"/>
          <w:szCs w:val="20"/>
        </w:rPr>
      </w:pPr>
    </w:p>
    <w:p w14:paraId="20146F8D" w14:textId="217AC7D2" w:rsidR="000D358D" w:rsidRPr="000D358D" w:rsidRDefault="003B4587" w:rsidP="00734B53">
      <w:pPr>
        <w:numPr>
          <w:ilvl w:val="0"/>
          <w:numId w:val="4"/>
        </w:numPr>
        <w:spacing w:after="0" w:line="240" w:lineRule="auto"/>
        <w:jc w:val="both"/>
        <w:rPr>
          <w:rFonts w:eastAsia="Batang" w:cs="Times"/>
          <w:noProof/>
          <w:color w:val="FF0000"/>
          <w:szCs w:val="20"/>
          <w:lang w:val="es-ES_tradnl"/>
        </w:rPr>
      </w:pPr>
      <w:r w:rsidRPr="009631AB">
        <w:rPr>
          <w:rFonts w:cs="Times New Roman"/>
          <w:szCs w:val="20"/>
        </w:rPr>
        <w:t xml:space="preserve">Por lo anterior, al no cumplir el recurso de </w:t>
      </w:r>
      <w:r w:rsidR="00DA7EEF" w:rsidRPr="00DA7EEF">
        <w:rPr>
          <w:rFonts w:cs="Times New Roman"/>
          <w:szCs w:val="20"/>
        </w:rPr>
        <w:t>hábeas corpus</w:t>
      </w:r>
      <w:r w:rsidRPr="009631AB">
        <w:rPr>
          <w:rFonts w:cs="Times New Roman"/>
          <w:szCs w:val="20"/>
        </w:rPr>
        <w:t xml:space="preserve"> vigente a la fecha de los hechos del presente caso con el deber de sometimient</w:t>
      </w:r>
      <w:r w:rsidR="0033151A" w:rsidRPr="009631AB">
        <w:rPr>
          <w:rFonts w:cs="Times New Roman"/>
          <w:szCs w:val="20"/>
        </w:rPr>
        <w:t>o, sin demora,</w:t>
      </w:r>
      <w:r w:rsidRPr="009631AB">
        <w:rPr>
          <w:rFonts w:cs="Times New Roman"/>
          <w:szCs w:val="20"/>
        </w:rPr>
        <w:t xml:space="preserve"> ante una autoridad judicial</w:t>
      </w:r>
      <w:r w:rsidR="009631AB">
        <w:rPr>
          <w:rFonts w:cs="Times New Roman"/>
          <w:szCs w:val="20"/>
        </w:rPr>
        <w:t>, y la falta de efectividad de la Resolución de 30 de octubre de 1996</w:t>
      </w:r>
      <w:r w:rsidRPr="009631AB">
        <w:rPr>
          <w:rFonts w:cs="Times New Roman"/>
          <w:szCs w:val="20"/>
        </w:rPr>
        <w:t xml:space="preserve">, la Corte declara que en el presente caso </w:t>
      </w:r>
      <w:r w:rsidR="00597254" w:rsidRPr="009631AB">
        <w:rPr>
          <w:rFonts w:cs="Times New Roman"/>
          <w:szCs w:val="20"/>
        </w:rPr>
        <w:t xml:space="preserve">el Estado </w:t>
      </w:r>
      <w:r w:rsidRPr="009631AB">
        <w:rPr>
          <w:rFonts w:cs="Times New Roman"/>
          <w:szCs w:val="20"/>
        </w:rPr>
        <w:t xml:space="preserve">vulneró el artículo 7.6 de la Convención, en relación con los artículos 1.1 y 2 del mismo instrumento. </w:t>
      </w:r>
    </w:p>
    <w:p w14:paraId="1817D3F4" w14:textId="77777777" w:rsidR="000D358D" w:rsidRDefault="000D358D" w:rsidP="000D358D">
      <w:pPr>
        <w:spacing w:after="0" w:line="240" w:lineRule="auto"/>
        <w:jc w:val="both"/>
        <w:rPr>
          <w:rFonts w:cs="Times New Roman"/>
          <w:szCs w:val="20"/>
        </w:rPr>
      </w:pPr>
    </w:p>
    <w:p w14:paraId="0D5FBD94" w14:textId="0AEAC9F8" w:rsidR="003B4587" w:rsidRPr="00A41C06" w:rsidRDefault="0033151A" w:rsidP="00734B53">
      <w:pPr>
        <w:numPr>
          <w:ilvl w:val="0"/>
          <w:numId w:val="4"/>
        </w:numPr>
        <w:spacing w:after="0" w:line="240" w:lineRule="auto"/>
        <w:jc w:val="both"/>
        <w:rPr>
          <w:rFonts w:eastAsia="Batang" w:cs="Times"/>
          <w:noProof/>
          <w:color w:val="FF0000"/>
          <w:szCs w:val="20"/>
          <w:lang w:val="es-ES_tradnl"/>
        </w:rPr>
      </w:pPr>
      <w:r w:rsidRPr="009631AB">
        <w:rPr>
          <w:rFonts w:cs="Times New Roman"/>
          <w:szCs w:val="20"/>
        </w:rPr>
        <w:t>Dado</w:t>
      </w:r>
      <w:r w:rsidR="000B4165" w:rsidRPr="009631AB">
        <w:rPr>
          <w:rFonts w:cs="Times New Roman"/>
          <w:szCs w:val="20"/>
        </w:rPr>
        <w:t xml:space="preserve"> el análisis </w:t>
      </w:r>
      <w:r w:rsidRPr="009631AB">
        <w:rPr>
          <w:rFonts w:cs="Times New Roman"/>
          <w:szCs w:val="20"/>
        </w:rPr>
        <w:t>realizado en el presente acápite sobre</w:t>
      </w:r>
      <w:r w:rsidR="000B4165" w:rsidRPr="009631AB">
        <w:rPr>
          <w:rFonts w:cs="Times New Roman"/>
          <w:szCs w:val="20"/>
        </w:rPr>
        <w:t xml:space="preserve"> la </w:t>
      </w:r>
      <w:r w:rsidRPr="009631AB">
        <w:rPr>
          <w:rFonts w:cs="Times New Roman"/>
          <w:szCs w:val="20"/>
        </w:rPr>
        <w:t>ine</w:t>
      </w:r>
      <w:r w:rsidR="000B4165" w:rsidRPr="009631AB">
        <w:rPr>
          <w:rFonts w:cs="Times New Roman"/>
          <w:szCs w:val="20"/>
        </w:rPr>
        <w:t>fectividad</w:t>
      </w:r>
      <w:r w:rsidRPr="009631AB">
        <w:rPr>
          <w:rFonts w:cs="Times New Roman"/>
          <w:szCs w:val="20"/>
        </w:rPr>
        <w:t>,</w:t>
      </w:r>
      <w:r w:rsidR="000B4165" w:rsidRPr="009631AB">
        <w:rPr>
          <w:rFonts w:cs="Times New Roman"/>
          <w:szCs w:val="20"/>
        </w:rPr>
        <w:t xml:space="preserve"> </w:t>
      </w:r>
      <w:r w:rsidRPr="009631AB">
        <w:rPr>
          <w:rFonts w:cs="Times New Roman"/>
          <w:szCs w:val="20"/>
        </w:rPr>
        <w:t xml:space="preserve">en relación al </w:t>
      </w:r>
      <w:r w:rsidR="000B4165" w:rsidRPr="009631AB">
        <w:rPr>
          <w:rFonts w:cs="Times New Roman"/>
          <w:szCs w:val="20"/>
        </w:rPr>
        <w:t>artículo 7.6 de la Convención Americana,</w:t>
      </w:r>
      <w:r w:rsidRPr="009631AB">
        <w:rPr>
          <w:rFonts w:cs="Times New Roman"/>
          <w:szCs w:val="20"/>
        </w:rPr>
        <w:t xml:space="preserve"> del </w:t>
      </w:r>
      <w:r w:rsidR="00DA7EEF">
        <w:rPr>
          <w:rFonts w:cs="Times New Roman"/>
          <w:szCs w:val="20"/>
        </w:rPr>
        <w:t>hábeas corpus</w:t>
      </w:r>
      <w:r w:rsidRPr="009631AB">
        <w:rPr>
          <w:rFonts w:cs="Times New Roman"/>
          <w:szCs w:val="20"/>
        </w:rPr>
        <w:t xml:space="preserve"> vigente en Ecuador a la fecha de los hechos del presente caso,</w:t>
      </w:r>
      <w:r w:rsidR="000B4165" w:rsidRPr="009631AB">
        <w:rPr>
          <w:rFonts w:cs="Times New Roman"/>
          <w:szCs w:val="20"/>
        </w:rPr>
        <w:t xml:space="preserve"> la Corte no considera necesario analizar los mismos hechos bajo el </w:t>
      </w:r>
      <w:r w:rsidR="003B4587" w:rsidRPr="009631AB">
        <w:rPr>
          <w:rFonts w:cs="Times New Roman"/>
          <w:szCs w:val="20"/>
        </w:rPr>
        <w:t>artículo 25.2.c de la Convención.</w:t>
      </w:r>
    </w:p>
    <w:p w14:paraId="2CF87E41" w14:textId="77777777" w:rsidR="003B4587" w:rsidRPr="009631AB" w:rsidRDefault="003B4587" w:rsidP="00734B53">
      <w:pPr>
        <w:pStyle w:val="Prrafodelista"/>
        <w:ind w:left="0"/>
        <w:contextualSpacing w:val="0"/>
        <w:rPr>
          <w:noProof w:val="0"/>
          <w:szCs w:val="20"/>
        </w:rPr>
      </w:pPr>
    </w:p>
    <w:p w14:paraId="541052E3" w14:textId="6A7FCDFD" w:rsidR="003B4587" w:rsidRPr="00D24534" w:rsidRDefault="003B4587" w:rsidP="00502DA1">
      <w:pPr>
        <w:pStyle w:val="Ttulo3"/>
        <w:rPr>
          <w:b/>
        </w:rPr>
      </w:pPr>
      <w:bookmarkStart w:id="117" w:name="_Toc26374873"/>
      <w:bookmarkStart w:id="118" w:name="_Toc27069901"/>
      <w:r w:rsidRPr="00D24534">
        <w:rPr>
          <w:b/>
        </w:rPr>
        <w:t>B.</w:t>
      </w:r>
      <w:r w:rsidR="000B4165" w:rsidRPr="00D24534">
        <w:rPr>
          <w:b/>
        </w:rPr>
        <w:t>5</w:t>
      </w:r>
      <w:r w:rsidRPr="00D24534">
        <w:rPr>
          <w:b/>
        </w:rPr>
        <w:t xml:space="preserve"> Presunción de inocencia</w:t>
      </w:r>
      <w:bookmarkEnd w:id="117"/>
      <w:bookmarkEnd w:id="118"/>
    </w:p>
    <w:p w14:paraId="1148AF0D" w14:textId="77777777" w:rsidR="003B4587" w:rsidRPr="009631AB" w:rsidRDefault="003B4587" w:rsidP="00734B53">
      <w:pPr>
        <w:pStyle w:val="Prrafodelista"/>
        <w:ind w:left="0"/>
        <w:contextualSpacing w:val="0"/>
        <w:rPr>
          <w:noProof w:val="0"/>
          <w:szCs w:val="20"/>
        </w:rPr>
      </w:pPr>
    </w:p>
    <w:p w14:paraId="2C703E5F" w14:textId="77777777" w:rsidR="003B4587" w:rsidRPr="009631AB" w:rsidRDefault="003B4587" w:rsidP="00734B53">
      <w:pPr>
        <w:pStyle w:val="Prrafodelista"/>
        <w:numPr>
          <w:ilvl w:val="0"/>
          <w:numId w:val="4"/>
        </w:numPr>
        <w:contextualSpacing w:val="0"/>
        <w:rPr>
          <w:strike/>
          <w:noProof w:val="0"/>
          <w:szCs w:val="20"/>
        </w:rPr>
      </w:pPr>
      <w:r w:rsidRPr="009631AB">
        <w:rPr>
          <w:noProof w:val="0"/>
          <w:szCs w:val="20"/>
        </w:rPr>
        <w:t xml:space="preserve">El artículo 8.2 de la Convención establece que “[t]oda persona inculpada de delito tiene derecho a que se presuma su inocencia mientras no se establezca legalmente su culpabilidad”. </w:t>
      </w:r>
    </w:p>
    <w:p w14:paraId="69158246" w14:textId="77777777" w:rsidR="003B4587" w:rsidRPr="009631AB" w:rsidRDefault="003B4587" w:rsidP="00734B53">
      <w:pPr>
        <w:pStyle w:val="Prrafodelista"/>
        <w:ind w:left="0"/>
        <w:contextualSpacing w:val="0"/>
        <w:rPr>
          <w:strike/>
          <w:noProof w:val="0"/>
          <w:szCs w:val="20"/>
        </w:rPr>
      </w:pPr>
    </w:p>
    <w:p w14:paraId="709B98AE" w14:textId="36D63C5F" w:rsidR="008A35A3" w:rsidRPr="009631AB" w:rsidRDefault="00C747A1" w:rsidP="00734B53">
      <w:pPr>
        <w:pStyle w:val="Prrafodelista"/>
        <w:numPr>
          <w:ilvl w:val="0"/>
          <w:numId w:val="4"/>
        </w:numPr>
        <w:contextualSpacing w:val="0"/>
        <w:rPr>
          <w:strike/>
          <w:noProof w:val="0"/>
          <w:szCs w:val="20"/>
        </w:rPr>
      </w:pPr>
      <w:r w:rsidRPr="009631AB">
        <w:rPr>
          <w:noProof w:val="0"/>
          <w:szCs w:val="20"/>
        </w:rPr>
        <w:t xml:space="preserve">Tal como lo ha </w:t>
      </w:r>
      <w:r w:rsidR="003B4587" w:rsidRPr="009631AB">
        <w:rPr>
          <w:noProof w:val="0"/>
          <w:szCs w:val="20"/>
        </w:rPr>
        <w:t xml:space="preserve">expresado la Corte, </w:t>
      </w:r>
      <w:r w:rsidR="008A35A3" w:rsidRPr="009631AB">
        <w:rPr>
          <w:noProof w:val="0"/>
          <w:szCs w:val="20"/>
        </w:rPr>
        <w:t>la prisión preventiva constituye la medida más severa que se puede imponer a una persona imputada y, por ello, debe aplicarse excepcionalmente: la regla debe ser la libertad de la persona procesada mientras se resuelve acerca de su responsabilidad penal</w:t>
      </w:r>
      <w:r w:rsidR="008A35A3" w:rsidRPr="009631AB">
        <w:rPr>
          <w:rStyle w:val="Refdenotaalpie"/>
          <w:rFonts w:ascii="Verdana" w:hAnsi="Verdana"/>
          <w:noProof w:val="0"/>
        </w:rPr>
        <w:footnoteReference w:id="125"/>
      </w:r>
      <w:r w:rsidR="008A35A3" w:rsidRPr="009631AB">
        <w:rPr>
          <w:noProof w:val="0"/>
          <w:szCs w:val="20"/>
        </w:rPr>
        <w:t>. Uno de los principios que limitan la prisión preventiva es el de presunción de inocencia, contenido en el artículo 8.2, según el cual una persona es inocente hasta que su culpabilidad sea demostrada</w:t>
      </w:r>
      <w:r w:rsidR="008A35A3" w:rsidRPr="009631AB">
        <w:rPr>
          <w:rStyle w:val="Refdenotaalpie"/>
          <w:rFonts w:ascii="Verdana" w:hAnsi="Verdana"/>
          <w:noProof w:val="0"/>
        </w:rPr>
        <w:footnoteReference w:id="126"/>
      </w:r>
      <w:r w:rsidR="008A35A3" w:rsidRPr="009631AB">
        <w:rPr>
          <w:noProof w:val="0"/>
          <w:szCs w:val="20"/>
        </w:rPr>
        <w:t>. De esta garantía se desprende que los elementos que acreditan la existencia de los fines legítimos de la privación preventiva de la libertad tampoco se presumen, sino que el juez debe fundar su decisión en circunstancias objetivas y ciertas del caso concreto</w:t>
      </w:r>
      <w:r w:rsidR="008A35A3" w:rsidRPr="009631AB">
        <w:rPr>
          <w:rStyle w:val="Refdenotaalpie"/>
          <w:rFonts w:ascii="Verdana" w:hAnsi="Verdana"/>
          <w:noProof w:val="0"/>
        </w:rPr>
        <w:footnoteReference w:id="127"/>
      </w:r>
      <w:r w:rsidR="008A35A3" w:rsidRPr="009631AB">
        <w:rPr>
          <w:noProof w:val="0"/>
          <w:szCs w:val="20"/>
        </w:rPr>
        <w:t xml:space="preserve">, que corresponde acreditar al titular de la persecución penal y no al acusado, quien, además, debe tener la posibilidad de ejercer el derecho de </w:t>
      </w:r>
      <w:r w:rsidR="008A35A3" w:rsidRPr="009631AB">
        <w:rPr>
          <w:noProof w:val="0"/>
          <w:szCs w:val="20"/>
        </w:rPr>
        <w:lastRenderedPageBreak/>
        <w:t>contradicción y estar debidamente asistido por un abogado</w:t>
      </w:r>
      <w:r w:rsidR="008A35A3" w:rsidRPr="009631AB">
        <w:rPr>
          <w:rStyle w:val="Refdenotaalpie"/>
          <w:rFonts w:ascii="Verdana" w:hAnsi="Verdana"/>
          <w:noProof w:val="0"/>
        </w:rPr>
        <w:footnoteReference w:id="128"/>
      </w:r>
      <w:r w:rsidR="008A35A3" w:rsidRPr="009631AB">
        <w:rPr>
          <w:noProof w:val="0"/>
          <w:szCs w:val="20"/>
        </w:rPr>
        <w:t xml:space="preserve">. Así, la Corte ha sostenido que </w:t>
      </w:r>
      <w:r w:rsidR="008A35A3" w:rsidRPr="009631AB">
        <w:rPr>
          <w:noProof w:val="0"/>
          <w:szCs w:val="20"/>
          <w:lang w:eastAsia="es-ES"/>
        </w:rPr>
        <w:t>las características personales del supuesto autor y la gravedad del delito que se le imputa no son, por sí mismos, justificación suficiente de la prisión preventiva</w:t>
      </w:r>
      <w:r w:rsidR="008A35A3" w:rsidRPr="009631AB">
        <w:rPr>
          <w:rStyle w:val="PrrafodelistaCar"/>
          <w:noProof w:val="0"/>
          <w:vertAlign w:val="superscript"/>
          <w:lang w:eastAsia="es-ES"/>
        </w:rPr>
        <w:footnoteReference w:id="129"/>
      </w:r>
      <w:r w:rsidR="008A35A3" w:rsidRPr="009631AB">
        <w:rPr>
          <w:noProof w:val="0"/>
          <w:szCs w:val="20"/>
        </w:rPr>
        <w:t>.</w:t>
      </w:r>
    </w:p>
    <w:p w14:paraId="3CFBA94D" w14:textId="77777777" w:rsidR="008A35A3" w:rsidRPr="009631AB" w:rsidRDefault="008A35A3" w:rsidP="008A35A3">
      <w:pPr>
        <w:pStyle w:val="Prrafodelista"/>
        <w:ind w:left="0"/>
        <w:contextualSpacing w:val="0"/>
        <w:rPr>
          <w:strike/>
          <w:noProof w:val="0"/>
          <w:szCs w:val="20"/>
        </w:rPr>
      </w:pPr>
    </w:p>
    <w:p w14:paraId="7933A75F" w14:textId="15C63CC0" w:rsidR="003B4587" w:rsidRPr="009631AB" w:rsidRDefault="008A35A3" w:rsidP="00734B53">
      <w:pPr>
        <w:pStyle w:val="Prrafodelista"/>
        <w:numPr>
          <w:ilvl w:val="0"/>
          <w:numId w:val="4"/>
        </w:numPr>
        <w:contextualSpacing w:val="0"/>
        <w:rPr>
          <w:strike/>
          <w:noProof w:val="0"/>
          <w:szCs w:val="20"/>
        </w:rPr>
      </w:pPr>
      <w:r w:rsidRPr="009631AB">
        <w:rPr>
          <w:noProof w:val="0"/>
          <w:szCs w:val="20"/>
        </w:rPr>
        <w:t xml:space="preserve">En ese sentido, </w:t>
      </w:r>
      <w:r w:rsidR="003B4587" w:rsidRPr="009631AB">
        <w:rPr>
          <w:noProof w:val="0"/>
          <w:szCs w:val="20"/>
        </w:rPr>
        <w:t>es una regla general que el imputado afronte el proceso penal en libertad.</w:t>
      </w:r>
      <w:r w:rsidR="003B4587" w:rsidRPr="009631AB">
        <w:rPr>
          <w:noProof w:val="0"/>
          <w:vertAlign w:val="superscript"/>
        </w:rPr>
        <w:footnoteReference w:id="130"/>
      </w:r>
      <w:r w:rsidR="003B4587" w:rsidRPr="009631AB">
        <w:rPr>
          <w:noProof w:val="0"/>
          <w:szCs w:val="20"/>
        </w:rPr>
        <w:t xml:space="preserve"> En caso contrario se estaría cometiendo una injusticia al privar de libertad, por un tiempo desproporcionado, a personas cuya responsabilidad criminal no ha sido establecida, lo que implicaría anticipar una pena</w:t>
      </w:r>
      <w:r w:rsidR="003B4587" w:rsidRPr="009631AB">
        <w:rPr>
          <w:rStyle w:val="Refdenotaalpie"/>
          <w:rFonts w:ascii="Verdana" w:hAnsi="Verdana"/>
          <w:noProof w:val="0"/>
        </w:rPr>
        <w:footnoteReference w:id="131"/>
      </w:r>
      <w:r w:rsidR="003B4587" w:rsidRPr="009631AB">
        <w:rPr>
          <w:noProof w:val="0"/>
          <w:szCs w:val="20"/>
        </w:rPr>
        <w:t xml:space="preserve">. </w:t>
      </w:r>
    </w:p>
    <w:p w14:paraId="4DA8CF96" w14:textId="77777777" w:rsidR="003B4587" w:rsidRPr="009631AB" w:rsidRDefault="003B4587" w:rsidP="00734B53">
      <w:pPr>
        <w:pStyle w:val="Prrafodelista"/>
        <w:ind w:left="0"/>
        <w:contextualSpacing w:val="0"/>
        <w:rPr>
          <w:noProof w:val="0"/>
          <w:szCs w:val="20"/>
        </w:rPr>
      </w:pPr>
    </w:p>
    <w:p w14:paraId="67948417" w14:textId="705C09B3" w:rsidR="000D358D" w:rsidRDefault="003B4587" w:rsidP="000D358D">
      <w:pPr>
        <w:pStyle w:val="Prrafodelista"/>
        <w:numPr>
          <w:ilvl w:val="0"/>
          <w:numId w:val="4"/>
        </w:numPr>
        <w:contextualSpacing w:val="0"/>
        <w:rPr>
          <w:noProof w:val="0"/>
          <w:szCs w:val="20"/>
        </w:rPr>
      </w:pPr>
      <w:r w:rsidRPr="009631AB">
        <w:rPr>
          <w:noProof w:val="0"/>
          <w:szCs w:val="20"/>
        </w:rPr>
        <w:t>Este Tribunal ha determinado que la detención del señor Montesinos fue ilegal y que</w:t>
      </w:r>
      <w:r w:rsidR="00C747A1" w:rsidRPr="009631AB">
        <w:rPr>
          <w:noProof w:val="0"/>
          <w:szCs w:val="20"/>
        </w:rPr>
        <w:t>, tanto</w:t>
      </w:r>
      <w:r w:rsidRPr="009631AB">
        <w:rPr>
          <w:noProof w:val="0"/>
          <w:szCs w:val="20"/>
        </w:rPr>
        <w:t xml:space="preserve"> la orden de prisión preventiva </w:t>
      </w:r>
      <w:r w:rsidR="00C747A1" w:rsidRPr="009631AB">
        <w:rPr>
          <w:noProof w:val="0"/>
          <w:szCs w:val="20"/>
        </w:rPr>
        <w:t>como</w:t>
      </w:r>
      <w:r w:rsidRPr="009631AB">
        <w:rPr>
          <w:noProof w:val="0"/>
          <w:szCs w:val="20"/>
        </w:rPr>
        <w:t xml:space="preserve"> su</w:t>
      </w:r>
      <w:r w:rsidR="00C747A1" w:rsidRPr="009631AB">
        <w:rPr>
          <w:noProof w:val="0"/>
          <w:szCs w:val="20"/>
        </w:rPr>
        <w:t xml:space="preserve"> vigencia,</w:t>
      </w:r>
      <w:r w:rsidRPr="009631AB">
        <w:rPr>
          <w:noProof w:val="0"/>
          <w:szCs w:val="20"/>
        </w:rPr>
        <w:t xml:space="preserve"> no fueron justificadas</w:t>
      </w:r>
      <w:r w:rsidR="00502DA1" w:rsidRPr="009631AB">
        <w:rPr>
          <w:noProof w:val="0"/>
          <w:szCs w:val="20"/>
        </w:rPr>
        <w:t xml:space="preserve"> ni motivadas</w:t>
      </w:r>
      <w:r w:rsidR="00C747A1" w:rsidRPr="009631AB">
        <w:rPr>
          <w:noProof w:val="0"/>
          <w:szCs w:val="20"/>
        </w:rPr>
        <w:t xml:space="preserve">, razón por la cual </w:t>
      </w:r>
      <w:r w:rsidRPr="009631AB">
        <w:rPr>
          <w:noProof w:val="0"/>
          <w:szCs w:val="20"/>
        </w:rPr>
        <w:t xml:space="preserve">resultaron arbitrarias. Por tanto, la prolongación de la privación de libertad hasta el momento en que se resolvió el segundo recurso de </w:t>
      </w:r>
      <w:r w:rsidR="00DA7EEF" w:rsidRPr="00DA7EEF">
        <w:rPr>
          <w:noProof w:val="0"/>
          <w:szCs w:val="20"/>
        </w:rPr>
        <w:t>hábeas corpus</w:t>
      </w:r>
      <w:r w:rsidRPr="009631AB">
        <w:rPr>
          <w:noProof w:val="0"/>
          <w:szCs w:val="20"/>
        </w:rPr>
        <w:t xml:space="preserve"> por parte del Tribunal Constitucional fue equivalente a una pena anticipada, contraria a la presunción de inocencia. </w:t>
      </w:r>
    </w:p>
    <w:p w14:paraId="20E114C3" w14:textId="77777777" w:rsidR="000D358D" w:rsidRPr="000D358D" w:rsidRDefault="000D358D" w:rsidP="000D358D">
      <w:pPr>
        <w:pStyle w:val="Prrafodelista"/>
        <w:ind w:left="0"/>
        <w:contextualSpacing w:val="0"/>
        <w:rPr>
          <w:noProof w:val="0"/>
          <w:szCs w:val="20"/>
        </w:rPr>
      </w:pPr>
    </w:p>
    <w:p w14:paraId="603092DE" w14:textId="3822219D" w:rsidR="003B4587" w:rsidRPr="000D358D" w:rsidRDefault="003B4587" w:rsidP="000D358D">
      <w:pPr>
        <w:pStyle w:val="Prrafodelista"/>
        <w:numPr>
          <w:ilvl w:val="0"/>
          <w:numId w:val="4"/>
        </w:numPr>
        <w:contextualSpacing w:val="0"/>
        <w:rPr>
          <w:noProof w:val="0"/>
          <w:szCs w:val="20"/>
        </w:rPr>
      </w:pPr>
      <w:r w:rsidRPr="000D358D">
        <w:rPr>
          <w:noProof w:val="0"/>
          <w:szCs w:val="20"/>
        </w:rPr>
        <w:t xml:space="preserve">El Estado, por ello, violó el derecho a la presunción de inocencia del señor Montesinos consagrado en el artículo 8.2 de la Convención, en relación con el artículo 1.1 de la misma. </w:t>
      </w:r>
    </w:p>
    <w:p w14:paraId="427F45A2" w14:textId="77777777" w:rsidR="003B4587" w:rsidRPr="009631AB" w:rsidRDefault="003B4587" w:rsidP="00734B53">
      <w:pPr>
        <w:pStyle w:val="Prrafodelista"/>
        <w:contextualSpacing w:val="0"/>
        <w:rPr>
          <w:noProof w:val="0"/>
          <w:szCs w:val="20"/>
        </w:rPr>
      </w:pPr>
    </w:p>
    <w:p w14:paraId="279F42C7" w14:textId="48DA8B95" w:rsidR="003B4587" w:rsidRPr="00D24534" w:rsidRDefault="003B4587" w:rsidP="00502DA1">
      <w:pPr>
        <w:pStyle w:val="Ttulo3"/>
        <w:rPr>
          <w:b/>
        </w:rPr>
      </w:pPr>
      <w:bookmarkStart w:id="119" w:name="_Toc26374875"/>
      <w:bookmarkStart w:id="120" w:name="_Toc27069902"/>
      <w:r w:rsidRPr="00D24534">
        <w:rPr>
          <w:b/>
        </w:rPr>
        <w:t>B.</w:t>
      </w:r>
      <w:r w:rsidR="00CB4A9B" w:rsidRPr="00D24534">
        <w:rPr>
          <w:b/>
        </w:rPr>
        <w:t>6</w:t>
      </w:r>
      <w:r w:rsidRPr="00D24534">
        <w:rPr>
          <w:b/>
        </w:rPr>
        <w:t xml:space="preserve"> Conclusión</w:t>
      </w:r>
      <w:bookmarkEnd w:id="119"/>
      <w:bookmarkEnd w:id="120"/>
    </w:p>
    <w:p w14:paraId="23D1877D" w14:textId="77777777" w:rsidR="003B4587" w:rsidRPr="009631AB" w:rsidRDefault="003B4587" w:rsidP="00734B53">
      <w:pPr>
        <w:pStyle w:val="Prrafodelista"/>
        <w:contextualSpacing w:val="0"/>
        <w:rPr>
          <w:noProof w:val="0"/>
          <w:szCs w:val="20"/>
        </w:rPr>
      </w:pPr>
    </w:p>
    <w:p w14:paraId="38478CEB" w14:textId="6D6B03E6" w:rsidR="003B4587" w:rsidRPr="009631AB" w:rsidRDefault="003B4587" w:rsidP="00734B53">
      <w:pPr>
        <w:pStyle w:val="Prrafodelista"/>
        <w:numPr>
          <w:ilvl w:val="0"/>
          <w:numId w:val="4"/>
        </w:numPr>
        <w:contextualSpacing w:val="0"/>
        <w:rPr>
          <w:noProof w:val="0"/>
          <w:szCs w:val="20"/>
        </w:rPr>
      </w:pPr>
      <w:r w:rsidRPr="009631AB">
        <w:rPr>
          <w:noProof w:val="0"/>
          <w:szCs w:val="20"/>
        </w:rPr>
        <w:t>Por todo lo anterior, la Corte determina que Ecuador violó los derechos a la libertad persona</w:t>
      </w:r>
      <w:r w:rsidR="001D0579" w:rsidRPr="009631AB">
        <w:rPr>
          <w:noProof w:val="0"/>
          <w:szCs w:val="20"/>
        </w:rPr>
        <w:t>l</w:t>
      </w:r>
      <w:r w:rsidRPr="009631AB">
        <w:rPr>
          <w:noProof w:val="0"/>
          <w:szCs w:val="20"/>
        </w:rPr>
        <w:t>, a las garantías judiciales y la protección judicial, establecidos en los artículos 7.1, 7.2, 7.4, 7.5</w:t>
      </w:r>
      <w:r w:rsidR="009631AB">
        <w:rPr>
          <w:noProof w:val="0"/>
          <w:szCs w:val="20"/>
        </w:rPr>
        <w:t>,</w:t>
      </w:r>
      <w:r w:rsidR="001D0579" w:rsidRPr="009631AB">
        <w:rPr>
          <w:noProof w:val="0"/>
          <w:szCs w:val="20"/>
        </w:rPr>
        <w:t xml:space="preserve"> </w:t>
      </w:r>
      <w:r w:rsidRPr="009631AB">
        <w:rPr>
          <w:noProof w:val="0"/>
          <w:szCs w:val="20"/>
        </w:rPr>
        <w:t>8.2</w:t>
      </w:r>
      <w:r w:rsidR="009631AB">
        <w:rPr>
          <w:noProof w:val="0"/>
          <w:szCs w:val="20"/>
        </w:rPr>
        <w:t xml:space="preserve"> y 24</w:t>
      </w:r>
      <w:r w:rsidRPr="009631AB">
        <w:rPr>
          <w:noProof w:val="0"/>
          <w:szCs w:val="20"/>
        </w:rPr>
        <w:t xml:space="preserve"> de la Convención Americana sobre Derechos Humanos, en relación con el artículo 1.1 del tratado, así como los artículos 7.1, 7.3 y 7.6 del mismo instrumento, en relación con los artículos 1.1 y 2. </w:t>
      </w:r>
    </w:p>
    <w:p w14:paraId="2BF5EA4A" w14:textId="0D98C224" w:rsidR="003B4587" w:rsidRDefault="003B4587" w:rsidP="00734B53">
      <w:pPr>
        <w:spacing w:after="0" w:line="240" w:lineRule="auto"/>
        <w:rPr>
          <w:szCs w:val="20"/>
        </w:rPr>
      </w:pPr>
    </w:p>
    <w:p w14:paraId="385C9DF2" w14:textId="77777777" w:rsidR="00485267" w:rsidRPr="009631AB" w:rsidRDefault="00485267" w:rsidP="00734B53">
      <w:pPr>
        <w:spacing w:after="0" w:line="240" w:lineRule="auto"/>
        <w:rPr>
          <w:szCs w:val="20"/>
        </w:rPr>
      </w:pPr>
    </w:p>
    <w:p w14:paraId="1429E756" w14:textId="03EF152F" w:rsidR="003B4587" w:rsidRPr="009631AB" w:rsidRDefault="003B4587" w:rsidP="00502DA1">
      <w:pPr>
        <w:pStyle w:val="Ttulo1"/>
      </w:pPr>
      <w:bookmarkStart w:id="121" w:name="_Toc27069903"/>
      <w:r w:rsidRPr="00B86B4B">
        <w:t>VII-2</w:t>
      </w:r>
      <w:bookmarkEnd w:id="121"/>
    </w:p>
    <w:p w14:paraId="269C888A" w14:textId="77777777" w:rsidR="003B4587" w:rsidRPr="009631AB" w:rsidRDefault="003B4587" w:rsidP="00502DA1">
      <w:pPr>
        <w:pStyle w:val="Ttulo1"/>
      </w:pPr>
      <w:bookmarkStart w:id="122" w:name="_Toc27069904"/>
      <w:r w:rsidRPr="009631AB">
        <w:t>DERECHO A LA INTEGRIDAD PERSONAL</w:t>
      </w:r>
      <w:r w:rsidRPr="009631AB">
        <w:rPr>
          <w:rStyle w:val="Refdenotaalpie"/>
          <w:rFonts w:ascii="Verdana" w:hAnsi="Verdana"/>
        </w:rPr>
        <w:footnoteReference w:id="132"/>
      </w:r>
      <w:r w:rsidRPr="009631AB">
        <w:t xml:space="preserve"> Y OBLIGACIÓN DE INVESTIGAR DENUNCIAS DE TORTURA</w:t>
      </w:r>
      <w:r w:rsidRPr="009631AB">
        <w:rPr>
          <w:vertAlign w:val="superscript"/>
        </w:rPr>
        <w:footnoteReference w:id="133"/>
      </w:r>
      <w:bookmarkEnd w:id="122"/>
    </w:p>
    <w:p w14:paraId="5E2ED5BF" w14:textId="77777777" w:rsidR="003B4587" w:rsidRPr="009631AB" w:rsidRDefault="003B4587" w:rsidP="00734B53">
      <w:pPr>
        <w:spacing w:after="0" w:line="240" w:lineRule="auto"/>
        <w:jc w:val="center"/>
        <w:rPr>
          <w:b/>
          <w:szCs w:val="20"/>
        </w:rPr>
      </w:pPr>
    </w:p>
    <w:p w14:paraId="45CAE265" w14:textId="6C3E1F1B" w:rsidR="003B4587" w:rsidRPr="009631AB" w:rsidRDefault="003B4587" w:rsidP="00D24534">
      <w:pPr>
        <w:pStyle w:val="Ttulo2"/>
        <w:numPr>
          <w:ilvl w:val="0"/>
          <w:numId w:val="28"/>
        </w:numPr>
        <w:ind w:left="0" w:firstLine="0"/>
      </w:pPr>
      <w:bookmarkStart w:id="123" w:name="_Toc27069905"/>
      <w:r w:rsidRPr="009631AB">
        <w:t>Alegatos de las partes y la Comisión</w:t>
      </w:r>
      <w:bookmarkEnd w:id="123"/>
    </w:p>
    <w:p w14:paraId="135C06A6" w14:textId="77777777" w:rsidR="003B4587" w:rsidRPr="009631AB" w:rsidRDefault="003B4587" w:rsidP="00734B53">
      <w:pPr>
        <w:pStyle w:val="Prrafodelista"/>
        <w:ind w:left="0"/>
        <w:contextualSpacing w:val="0"/>
        <w:rPr>
          <w:b/>
          <w:noProof w:val="0"/>
          <w:szCs w:val="20"/>
        </w:rPr>
      </w:pPr>
    </w:p>
    <w:p w14:paraId="4C77CC7F" w14:textId="0484AFAD" w:rsidR="003B4587" w:rsidRPr="009631AB" w:rsidRDefault="003B4587" w:rsidP="00734B53">
      <w:pPr>
        <w:pStyle w:val="Prrafodelista"/>
        <w:numPr>
          <w:ilvl w:val="0"/>
          <w:numId w:val="4"/>
        </w:numPr>
        <w:contextualSpacing w:val="0"/>
        <w:rPr>
          <w:b/>
          <w:i/>
          <w:noProof w:val="0"/>
          <w:szCs w:val="20"/>
        </w:rPr>
      </w:pPr>
      <w:r w:rsidRPr="009631AB">
        <w:rPr>
          <w:noProof w:val="0"/>
          <w:szCs w:val="20"/>
        </w:rPr>
        <w:t>La</w:t>
      </w:r>
      <w:r w:rsidRPr="009631AB">
        <w:rPr>
          <w:b/>
          <w:noProof w:val="0"/>
          <w:szCs w:val="20"/>
        </w:rPr>
        <w:t xml:space="preserve"> </w:t>
      </w:r>
      <w:r w:rsidRPr="009631AB">
        <w:rPr>
          <w:b/>
          <w:i/>
          <w:noProof w:val="0"/>
          <w:szCs w:val="20"/>
        </w:rPr>
        <w:t>Comisión</w:t>
      </w:r>
      <w:r w:rsidRPr="009631AB">
        <w:rPr>
          <w:noProof w:val="0"/>
          <w:szCs w:val="20"/>
        </w:rPr>
        <w:t xml:space="preserve"> alegó que la Convención Americana prohíbe</w:t>
      </w:r>
      <w:r w:rsidR="00990BA3" w:rsidRPr="009631AB">
        <w:rPr>
          <w:noProof w:val="0"/>
          <w:szCs w:val="20"/>
        </w:rPr>
        <w:t>,</w:t>
      </w:r>
      <w:r w:rsidRPr="009631AB">
        <w:rPr>
          <w:noProof w:val="0"/>
          <w:szCs w:val="20"/>
        </w:rPr>
        <w:t xml:space="preserve"> expresamente</w:t>
      </w:r>
      <w:r w:rsidR="00990BA3" w:rsidRPr="009631AB">
        <w:rPr>
          <w:noProof w:val="0"/>
          <w:szCs w:val="20"/>
        </w:rPr>
        <w:t>,</w:t>
      </w:r>
      <w:r w:rsidRPr="009631AB">
        <w:rPr>
          <w:noProof w:val="0"/>
          <w:szCs w:val="20"/>
        </w:rPr>
        <w:t xml:space="preserve"> la tortura y las penas o tratos crueles, inhumanos o degradantes</w:t>
      </w:r>
      <w:r w:rsidR="00990BA3" w:rsidRPr="009631AB">
        <w:rPr>
          <w:noProof w:val="0"/>
          <w:szCs w:val="20"/>
        </w:rPr>
        <w:t xml:space="preserve"> y </w:t>
      </w:r>
      <w:r w:rsidRPr="009631AB">
        <w:rPr>
          <w:noProof w:val="0"/>
          <w:szCs w:val="20"/>
        </w:rPr>
        <w:t>qu</w:t>
      </w:r>
      <w:r w:rsidRPr="009631AB">
        <w:rPr>
          <w:i/>
          <w:noProof w:val="0"/>
          <w:szCs w:val="20"/>
        </w:rPr>
        <w:t xml:space="preserve">e </w:t>
      </w:r>
      <w:r w:rsidRPr="009631AB">
        <w:rPr>
          <w:noProof w:val="0"/>
          <w:szCs w:val="20"/>
        </w:rPr>
        <w:t xml:space="preserve">la jurisprudencia interamericana </w:t>
      </w:r>
      <w:r w:rsidR="00990BA3" w:rsidRPr="009631AB">
        <w:rPr>
          <w:noProof w:val="0"/>
          <w:szCs w:val="20"/>
        </w:rPr>
        <w:t>ha establecido que dicha prohibición</w:t>
      </w:r>
      <w:r w:rsidRPr="009631AB">
        <w:rPr>
          <w:noProof w:val="0"/>
          <w:szCs w:val="20"/>
        </w:rPr>
        <w:t xml:space="preserve"> emana</w:t>
      </w:r>
      <w:r w:rsidR="00DE3CF7">
        <w:rPr>
          <w:i/>
          <w:noProof w:val="0"/>
          <w:szCs w:val="20"/>
        </w:rPr>
        <w:t xml:space="preserve"> del i</w:t>
      </w:r>
      <w:r w:rsidRPr="009631AB">
        <w:rPr>
          <w:i/>
          <w:noProof w:val="0"/>
          <w:szCs w:val="20"/>
        </w:rPr>
        <w:t>us cogens</w:t>
      </w:r>
      <w:r w:rsidRPr="009631AB">
        <w:rPr>
          <w:noProof w:val="0"/>
          <w:szCs w:val="20"/>
        </w:rPr>
        <w:t xml:space="preserve">. </w:t>
      </w:r>
      <w:r w:rsidR="00990BA3" w:rsidRPr="009631AB">
        <w:rPr>
          <w:noProof w:val="0"/>
          <w:szCs w:val="20"/>
        </w:rPr>
        <w:t xml:space="preserve">Asimismo, </w:t>
      </w:r>
      <w:r w:rsidRPr="009631AB">
        <w:rPr>
          <w:noProof w:val="0"/>
          <w:szCs w:val="20"/>
        </w:rPr>
        <w:t>mencionó que las víctimas de tortura no cuentan con medios para comprobar la existencia de los elementos necesarios para definir una conducta como tortura.</w:t>
      </w:r>
    </w:p>
    <w:p w14:paraId="2AECF4D6" w14:textId="77777777" w:rsidR="003B4587" w:rsidRPr="009631AB" w:rsidRDefault="003B4587" w:rsidP="00734B53">
      <w:pPr>
        <w:pStyle w:val="Prrafodelista"/>
        <w:ind w:left="0"/>
        <w:contextualSpacing w:val="0"/>
        <w:rPr>
          <w:noProof w:val="0"/>
          <w:szCs w:val="20"/>
        </w:rPr>
      </w:pPr>
    </w:p>
    <w:p w14:paraId="4DE948BF" w14:textId="350CF7DF" w:rsidR="003B4587" w:rsidRPr="009631AB" w:rsidRDefault="00990BA3" w:rsidP="009631AB">
      <w:pPr>
        <w:pStyle w:val="Prrafodelista"/>
        <w:numPr>
          <w:ilvl w:val="0"/>
          <w:numId w:val="4"/>
        </w:numPr>
        <w:contextualSpacing w:val="0"/>
        <w:rPr>
          <w:b/>
          <w:i/>
          <w:noProof w:val="0"/>
          <w:szCs w:val="20"/>
        </w:rPr>
      </w:pPr>
      <w:r w:rsidRPr="009631AB">
        <w:rPr>
          <w:noProof w:val="0"/>
          <w:szCs w:val="20"/>
        </w:rPr>
        <w:lastRenderedPageBreak/>
        <w:t>Respecto del caso concreto, resaltó</w:t>
      </w:r>
      <w:r w:rsidR="003B4587" w:rsidRPr="009631AB">
        <w:rPr>
          <w:noProof w:val="0"/>
          <w:szCs w:val="20"/>
        </w:rPr>
        <w:t xml:space="preserve"> que el señor Montesinos estuvo detenido junto </w:t>
      </w:r>
      <w:r w:rsidRPr="009631AB">
        <w:rPr>
          <w:noProof w:val="0"/>
          <w:szCs w:val="20"/>
        </w:rPr>
        <w:t>a</w:t>
      </w:r>
      <w:r w:rsidR="003B4587" w:rsidRPr="009631AB">
        <w:rPr>
          <w:noProof w:val="0"/>
          <w:szCs w:val="20"/>
        </w:rPr>
        <w:t>l señor Suárez Rosero</w:t>
      </w:r>
      <w:r w:rsidR="003B4587" w:rsidRPr="009631AB">
        <w:rPr>
          <w:rStyle w:val="Refdenotaalpie"/>
          <w:rFonts w:ascii="Verdana" w:hAnsi="Verdana"/>
          <w:noProof w:val="0"/>
        </w:rPr>
        <w:footnoteReference w:id="134"/>
      </w:r>
      <w:r w:rsidR="003B4587" w:rsidRPr="009631AB">
        <w:rPr>
          <w:noProof w:val="0"/>
          <w:szCs w:val="20"/>
        </w:rPr>
        <w:t xml:space="preserve"> en el marco del mismo operativo</w:t>
      </w:r>
      <w:r w:rsidRPr="009631AB">
        <w:rPr>
          <w:noProof w:val="0"/>
          <w:szCs w:val="20"/>
        </w:rPr>
        <w:t>, razón por la cual</w:t>
      </w:r>
      <w:r w:rsidR="003B4587" w:rsidRPr="009631AB">
        <w:rPr>
          <w:noProof w:val="0"/>
          <w:szCs w:val="20"/>
        </w:rPr>
        <w:t xml:space="preserve"> sus alegatos guardaban similitud. </w:t>
      </w:r>
      <w:r w:rsidR="003F5727" w:rsidRPr="009631AB">
        <w:rPr>
          <w:noProof w:val="0"/>
          <w:szCs w:val="20"/>
        </w:rPr>
        <w:t xml:space="preserve">En específico, encontró </w:t>
      </w:r>
      <w:r w:rsidR="003B4587" w:rsidRPr="009631AB">
        <w:rPr>
          <w:noProof w:val="0"/>
          <w:szCs w:val="20"/>
        </w:rPr>
        <w:t>que el señor Montesinos había sido amenazado, estuvo detenido en una celda de 11 metros cuadrados con otras 13 personas, fue golpeado por agentes estatales y estuvo incomunicado</w:t>
      </w:r>
      <w:r w:rsidR="003F5727" w:rsidRPr="009631AB">
        <w:rPr>
          <w:noProof w:val="0"/>
          <w:szCs w:val="20"/>
        </w:rPr>
        <w:t xml:space="preserve">, dando cuenta, además, de </w:t>
      </w:r>
      <w:r w:rsidR="003B4587" w:rsidRPr="009631AB">
        <w:rPr>
          <w:noProof w:val="0"/>
          <w:szCs w:val="20"/>
        </w:rPr>
        <w:t xml:space="preserve">que el certificado médico </w:t>
      </w:r>
      <w:r w:rsidR="003F5727" w:rsidRPr="009631AB">
        <w:rPr>
          <w:noProof w:val="0"/>
          <w:szCs w:val="20"/>
        </w:rPr>
        <w:t>de</w:t>
      </w:r>
      <w:r w:rsidR="003B4587" w:rsidRPr="009631AB">
        <w:rPr>
          <w:noProof w:val="0"/>
          <w:szCs w:val="20"/>
        </w:rPr>
        <w:t xml:space="preserve"> </w:t>
      </w:r>
      <w:r w:rsidR="003F5727" w:rsidRPr="009631AB">
        <w:rPr>
          <w:noProof w:val="0"/>
          <w:szCs w:val="20"/>
        </w:rPr>
        <w:t xml:space="preserve">fecha </w:t>
      </w:r>
      <w:r w:rsidR="003B4587" w:rsidRPr="009631AB">
        <w:rPr>
          <w:noProof w:val="0"/>
          <w:szCs w:val="20"/>
        </w:rPr>
        <w:t>21 de junio de 1992</w:t>
      </w:r>
      <w:r w:rsidR="003F5727" w:rsidRPr="009631AB">
        <w:rPr>
          <w:noProof w:val="0"/>
          <w:szCs w:val="20"/>
        </w:rPr>
        <w:t>,</w:t>
      </w:r>
      <w:r w:rsidR="003B4587" w:rsidRPr="009631AB">
        <w:rPr>
          <w:noProof w:val="0"/>
          <w:szCs w:val="20"/>
        </w:rPr>
        <w:t xml:space="preserve"> fue realizado por la policía,</w:t>
      </w:r>
      <w:r w:rsidR="003F5727" w:rsidRPr="009631AB">
        <w:rPr>
          <w:noProof w:val="0"/>
          <w:szCs w:val="20"/>
        </w:rPr>
        <w:t xml:space="preserve"> es decir, por el </w:t>
      </w:r>
      <w:r w:rsidR="003B4587" w:rsidRPr="009631AB">
        <w:rPr>
          <w:noProof w:val="0"/>
          <w:szCs w:val="20"/>
        </w:rPr>
        <w:t>ente responsabilizado de los hechos</w:t>
      </w:r>
      <w:r w:rsidR="003F5727" w:rsidRPr="009631AB">
        <w:rPr>
          <w:noProof w:val="0"/>
          <w:szCs w:val="20"/>
        </w:rPr>
        <w:t xml:space="preserve"> </w:t>
      </w:r>
      <w:r w:rsidR="001B0A54" w:rsidRPr="009631AB">
        <w:rPr>
          <w:noProof w:val="0"/>
          <w:szCs w:val="20"/>
        </w:rPr>
        <w:t>antes expuestos</w:t>
      </w:r>
      <w:r w:rsidR="003B4587" w:rsidRPr="009631AB">
        <w:rPr>
          <w:noProof w:val="0"/>
          <w:szCs w:val="20"/>
        </w:rPr>
        <w:t xml:space="preserve">. </w:t>
      </w:r>
      <w:r w:rsidR="003F5727" w:rsidRPr="009631AB">
        <w:rPr>
          <w:noProof w:val="0"/>
          <w:szCs w:val="20"/>
        </w:rPr>
        <w:t xml:space="preserve">A lo anterior, añadió que el Estado no inició ninguna investigación respecto de la denuncia realizada por el señor Montesinos en su primer </w:t>
      </w:r>
      <w:r w:rsidR="00DA7EEF" w:rsidRPr="00DA7EEF">
        <w:rPr>
          <w:noProof w:val="0"/>
          <w:szCs w:val="20"/>
        </w:rPr>
        <w:t>hábeas corpus</w:t>
      </w:r>
      <w:r w:rsidR="003F5727" w:rsidRPr="009631AB">
        <w:rPr>
          <w:i/>
          <w:noProof w:val="0"/>
          <w:szCs w:val="20"/>
        </w:rPr>
        <w:t>,</w:t>
      </w:r>
      <w:r w:rsidR="003F5727" w:rsidRPr="009631AB">
        <w:rPr>
          <w:noProof w:val="0"/>
          <w:szCs w:val="20"/>
        </w:rPr>
        <w:t xml:space="preserve"> relativa a golpes y amenazas que habría recibido. </w:t>
      </w:r>
    </w:p>
    <w:p w14:paraId="09989AC9" w14:textId="77777777" w:rsidR="003B4587" w:rsidRPr="009631AB" w:rsidRDefault="003B4587" w:rsidP="00734B53">
      <w:pPr>
        <w:pStyle w:val="Prrafodelista"/>
        <w:ind w:left="0"/>
        <w:contextualSpacing w:val="0"/>
        <w:rPr>
          <w:b/>
          <w:i/>
          <w:noProof w:val="0"/>
          <w:szCs w:val="20"/>
        </w:rPr>
      </w:pPr>
    </w:p>
    <w:p w14:paraId="3E76CADD" w14:textId="50F0D37F" w:rsidR="003B4587" w:rsidRPr="009631AB" w:rsidRDefault="001B0A54" w:rsidP="00734B53">
      <w:pPr>
        <w:pStyle w:val="Prrafodelista"/>
        <w:numPr>
          <w:ilvl w:val="0"/>
          <w:numId w:val="4"/>
        </w:numPr>
        <w:contextualSpacing w:val="0"/>
        <w:rPr>
          <w:b/>
          <w:noProof w:val="0"/>
          <w:szCs w:val="20"/>
        </w:rPr>
      </w:pPr>
      <w:r w:rsidRPr="009631AB">
        <w:rPr>
          <w:noProof w:val="0"/>
          <w:szCs w:val="20"/>
        </w:rPr>
        <w:t xml:space="preserve">En consideración de lo anterior, concluyó </w:t>
      </w:r>
      <w:r w:rsidR="003B4587" w:rsidRPr="009631AB">
        <w:rPr>
          <w:noProof w:val="0"/>
          <w:szCs w:val="20"/>
        </w:rPr>
        <w:t>que</w:t>
      </w:r>
      <w:r w:rsidRPr="009631AB">
        <w:rPr>
          <w:noProof w:val="0"/>
          <w:szCs w:val="20"/>
        </w:rPr>
        <w:t>,</w:t>
      </w:r>
      <w:r w:rsidR="003B4587" w:rsidRPr="009631AB">
        <w:rPr>
          <w:noProof w:val="0"/>
          <w:szCs w:val="20"/>
        </w:rPr>
        <w:t xml:space="preserve"> en el presente caso</w:t>
      </w:r>
      <w:r w:rsidRPr="009631AB">
        <w:rPr>
          <w:noProof w:val="0"/>
          <w:szCs w:val="20"/>
        </w:rPr>
        <w:t>,</w:t>
      </w:r>
      <w:r w:rsidR="003B4587" w:rsidRPr="009631AB">
        <w:rPr>
          <w:noProof w:val="0"/>
          <w:szCs w:val="20"/>
        </w:rPr>
        <w:t xml:space="preserve"> existieron cuando menos tratos crueles, inhumanos y degradantes, en </w:t>
      </w:r>
      <w:r w:rsidR="003207A3" w:rsidRPr="009631AB">
        <w:rPr>
          <w:noProof w:val="0"/>
          <w:szCs w:val="20"/>
        </w:rPr>
        <w:t xml:space="preserve">contravención </w:t>
      </w:r>
      <w:r w:rsidR="003B4587" w:rsidRPr="009631AB">
        <w:rPr>
          <w:noProof w:val="0"/>
          <w:szCs w:val="20"/>
        </w:rPr>
        <w:t xml:space="preserve">de las garantías convencionales, así como, vulneraciones a la integridad personal del señor Montesinos en razón de la falta de investigación de los hechos alegados, por lo que encontró al Estado responsable por la vulneración de los artículos 5.1 y 5.2 de la Convención Americana. De igual forma, </w:t>
      </w:r>
      <w:r w:rsidR="003B4587" w:rsidRPr="009631AB">
        <w:rPr>
          <w:noProof w:val="0"/>
          <w:szCs w:val="20"/>
          <w:lang w:val="es-CO"/>
        </w:rPr>
        <w:t>indicó que el Estado no investigó las denuncias del señor Montesinos a pesar de que este, en su primer recurso de hábeas corpus, alegó que fue víctima de golpes, malos tratos y amenazas. Por lo anterior</w:t>
      </w:r>
      <w:r w:rsidRPr="009631AB">
        <w:rPr>
          <w:noProof w:val="0"/>
          <w:szCs w:val="20"/>
          <w:lang w:val="es-CO"/>
        </w:rPr>
        <w:t>,</w:t>
      </w:r>
      <w:r w:rsidR="003B4587" w:rsidRPr="009631AB">
        <w:rPr>
          <w:noProof w:val="0"/>
          <w:szCs w:val="20"/>
          <w:lang w:val="es-CO"/>
        </w:rPr>
        <w:t xml:space="preserve"> concluyó que el Estado violó los derechos a las garantías judiciales y la protección judicial. Además, tomando en cuenta que la Convención Interamericana para Prevenir y Sancionar la Tortura entró en vigor en Ecuador el 9 de diciembre de 1999, consideró que la falta de investigación de las denuncias de tortura en este caso también constituyó una violación de las obligaciones contenidas en los artículos 1, 6 y 8 de </w:t>
      </w:r>
      <w:r w:rsidR="00502DA1" w:rsidRPr="009631AB">
        <w:rPr>
          <w:noProof w:val="0"/>
          <w:szCs w:val="20"/>
          <w:lang w:val="es-CO"/>
        </w:rPr>
        <w:t>dicho instrumento</w:t>
      </w:r>
      <w:r w:rsidR="003B4587" w:rsidRPr="009631AB">
        <w:rPr>
          <w:noProof w:val="0"/>
          <w:szCs w:val="20"/>
          <w:lang w:val="es-CO"/>
        </w:rPr>
        <w:t>, desde la entrada en vigencia de dicho instrumento</w:t>
      </w:r>
      <w:r w:rsidR="00750698">
        <w:rPr>
          <w:noProof w:val="0"/>
          <w:szCs w:val="20"/>
          <w:lang w:val="es-CO"/>
        </w:rPr>
        <w:t>.</w:t>
      </w:r>
      <w:r w:rsidR="001B465D">
        <w:rPr>
          <w:b/>
          <w:noProof w:val="0"/>
          <w:szCs w:val="20"/>
          <w:lang w:val="es-CO"/>
        </w:rPr>
        <w:t xml:space="preserve"> </w:t>
      </w:r>
      <w:r w:rsidR="003B4587" w:rsidRPr="009631AB">
        <w:rPr>
          <w:b/>
          <w:noProof w:val="0"/>
          <w:szCs w:val="20"/>
          <w:lang w:val="es-CO"/>
        </w:rPr>
        <w:t xml:space="preserve"> </w:t>
      </w:r>
    </w:p>
    <w:p w14:paraId="6E5162D0" w14:textId="77777777" w:rsidR="003B4587" w:rsidRPr="009631AB" w:rsidRDefault="003B4587" w:rsidP="00734B53">
      <w:pPr>
        <w:pStyle w:val="Prrafodelista"/>
        <w:ind w:left="0"/>
        <w:contextualSpacing w:val="0"/>
        <w:rPr>
          <w:b/>
          <w:noProof w:val="0"/>
          <w:szCs w:val="20"/>
        </w:rPr>
      </w:pPr>
    </w:p>
    <w:p w14:paraId="4348C04C" w14:textId="6141A74D" w:rsidR="003B4587" w:rsidRPr="009631AB" w:rsidRDefault="003B4587" w:rsidP="00734B53">
      <w:pPr>
        <w:pStyle w:val="Prrafodelista"/>
        <w:numPr>
          <w:ilvl w:val="0"/>
          <w:numId w:val="4"/>
        </w:numPr>
        <w:contextualSpacing w:val="0"/>
        <w:rPr>
          <w:b/>
          <w:noProof w:val="0"/>
          <w:szCs w:val="20"/>
        </w:rPr>
      </w:pPr>
      <w:r w:rsidRPr="009631AB">
        <w:rPr>
          <w:noProof w:val="0"/>
          <w:szCs w:val="20"/>
        </w:rPr>
        <w:t>El</w:t>
      </w:r>
      <w:r w:rsidRPr="009631AB">
        <w:rPr>
          <w:b/>
          <w:noProof w:val="0"/>
          <w:szCs w:val="20"/>
        </w:rPr>
        <w:t xml:space="preserve"> </w:t>
      </w:r>
      <w:r w:rsidRPr="009631AB">
        <w:rPr>
          <w:b/>
          <w:i/>
          <w:noProof w:val="0"/>
          <w:szCs w:val="20"/>
        </w:rPr>
        <w:t>Representante</w:t>
      </w:r>
      <w:r w:rsidRPr="009631AB">
        <w:rPr>
          <w:b/>
          <w:noProof w:val="0"/>
          <w:szCs w:val="20"/>
        </w:rPr>
        <w:t xml:space="preserve"> </w:t>
      </w:r>
      <w:r w:rsidRPr="009631AB">
        <w:rPr>
          <w:noProof w:val="0"/>
          <w:szCs w:val="20"/>
        </w:rPr>
        <w:t xml:space="preserve">alegó que las acciones tomadas por los agentes estatales al momento de la detención del señor Montesinos, constituyeron una vulneración al derecho a la integridad personal. Agregó que fue vulnerado el artículo 5.2 de la Convención en perjuicio del señor Montesinos por haber sido sometido a tortura y tratos crueles, inhumanos y degradantes debido a las condiciones penitenciarias, incomunicación y el trato que recibió en los centros de detención. A eso sumó que estos hechos ya habrían sido valorados por la Corte en el </w:t>
      </w:r>
      <w:r w:rsidRPr="009631AB">
        <w:rPr>
          <w:i/>
          <w:noProof w:val="0"/>
          <w:szCs w:val="20"/>
        </w:rPr>
        <w:t>Caso Suárez Rosero Vs. Ecuador</w:t>
      </w:r>
      <w:r w:rsidRPr="009631AB">
        <w:rPr>
          <w:noProof w:val="0"/>
          <w:szCs w:val="20"/>
        </w:rPr>
        <w:t>. Sostuvo</w:t>
      </w:r>
      <w:r w:rsidR="003207A3" w:rsidRPr="009631AB">
        <w:rPr>
          <w:noProof w:val="0"/>
          <w:szCs w:val="20"/>
        </w:rPr>
        <w:t>,</w:t>
      </w:r>
      <w:r w:rsidRPr="009631AB">
        <w:rPr>
          <w:noProof w:val="0"/>
          <w:szCs w:val="20"/>
        </w:rPr>
        <w:t xml:space="preserve"> además</w:t>
      </w:r>
      <w:r w:rsidR="003207A3" w:rsidRPr="009631AB">
        <w:rPr>
          <w:noProof w:val="0"/>
          <w:szCs w:val="20"/>
        </w:rPr>
        <w:t>,</w:t>
      </w:r>
      <w:r w:rsidRPr="009631AB">
        <w:rPr>
          <w:noProof w:val="0"/>
          <w:szCs w:val="20"/>
        </w:rPr>
        <w:t xml:space="preserve"> una violación al artículo 5.3 de la Convención, debido a que los procesos penales en contra del señor Montesinos habrían afectado los derechos de la señora Marcia González Rubio. </w:t>
      </w:r>
    </w:p>
    <w:p w14:paraId="5905EB77" w14:textId="77777777" w:rsidR="003B4587" w:rsidRPr="009631AB" w:rsidRDefault="003B4587" w:rsidP="00734B53">
      <w:pPr>
        <w:pStyle w:val="Prrafodelista"/>
        <w:ind w:left="0"/>
        <w:contextualSpacing w:val="0"/>
        <w:rPr>
          <w:b/>
          <w:noProof w:val="0"/>
          <w:szCs w:val="20"/>
        </w:rPr>
      </w:pPr>
    </w:p>
    <w:p w14:paraId="5327157D" w14:textId="6FAD25A2" w:rsidR="003B4587" w:rsidRPr="009631AB" w:rsidRDefault="003B4587" w:rsidP="00734B53">
      <w:pPr>
        <w:pStyle w:val="Prrafodelista"/>
        <w:numPr>
          <w:ilvl w:val="0"/>
          <w:numId w:val="4"/>
        </w:numPr>
        <w:contextualSpacing w:val="0"/>
        <w:rPr>
          <w:b/>
          <w:noProof w:val="0"/>
          <w:szCs w:val="20"/>
        </w:rPr>
      </w:pPr>
      <w:r w:rsidRPr="009631AB">
        <w:rPr>
          <w:noProof w:val="0"/>
          <w:szCs w:val="20"/>
        </w:rPr>
        <w:t xml:space="preserve">El </w:t>
      </w:r>
      <w:r w:rsidRPr="009631AB">
        <w:rPr>
          <w:b/>
          <w:i/>
          <w:noProof w:val="0"/>
          <w:szCs w:val="20"/>
        </w:rPr>
        <w:t>Estado</w:t>
      </w:r>
      <w:r w:rsidRPr="009631AB">
        <w:rPr>
          <w:noProof w:val="0"/>
          <w:szCs w:val="20"/>
        </w:rPr>
        <w:t xml:space="preserve"> alegó que la Constitución vigente al momento de los hechos, así como la ulterior, establec</w:t>
      </w:r>
      <w:r w:rsidR="00A15EAD">
        <w:rPr>
          <w:noProof w:val="0"/>
          <w:szCs w:val="20"/>
        </w:rPr>
        <w:t>ían</w:t>
      </w:r>
      <w:r w:rsidRPr="009631AB">
        <w:rPr>
          <w:noProof w:val="0"/>
          <w:szCs w:val="20"/>
        </w:rPr>
        <w:t xml:space="preserve"> la garantía a la integridad personal y prohibía</w:t>
      </w:r>
      <w:r w:rsidR="00A15EAD">
        <w:rPr>
          <w:noProof w:val="0"/>
          <w:szCs w:val="20"/>
        </w:rPr>
        <w:t xml:space="preserve">n </w:t>
      </w:r>
      <w:r w:rsidRPr="009631AB">
        <w:rPr>
          <w:noProof w:val="0"/>
          <w:szCs w:val="20"/>
        </w:rPr>
        <w:t>la tortura y los tratos crueles, inhumanos o degradantes. Destacó</w:t>
      </w:r>
      <w:r w:rsidR="00BB66EF" w:rsidRPr="009631AB">
        <w:rPr>
          <w:noProof w:val="0"/>
          <w:szCs w:val="20"/>
        </w:rPr>
        <w:t>,</w:t>
      </w:r>
      <w:r w:rsidRPr="009631AB">
        <w:rPr>
          <w:noProof w:val="0"/>
          <w:szCs w:val="20"/>
        </w:rPr>
        <w:t xml:space="preserve"> que la Comisión en sus informes valoró de manera positiva los esfuerzos realizados por el Estado de Ecuador en relación a las respuestas a denuncias de este tipo, por lo que las alegadas prácticas sistemáticas no tendrían respaldo alguno. </w:t>
      </w:r>
    </w:p>
    <w:p w14:paraId="1D702D69" w14:textId="77777777" w:rsidR="003B4587" w:rsidRPr="009631AB" w:rsidRDefault="003B4587" w:rsidP="00734B53">
      <w:pPr>
        <w:pStyle w:val="Prrafodelista"/>
        <w:ind w:left="0"/>
        <w:contextualSpacing w:val="0"/>
        <w:rPr>
          <w:b/>
          <w:noProof w:val="0"/>
          <w:szCs w:val="20"/>
        </w:rPr>
      </w:pPr>
    </w:p>
    <w:p w14:paraId="738AD62E" w14:textId="764B94B7" w:rsidR="003B4587" w:rsidRPr="009631AB" w:rsidRDefault="003B4587" w:rsidP="00734B53">
      <w:pPr>
        <w:pStyle w:val="Prrafodelista"/>
        <w:numPr>
          <w:ilvl w:val="0"/>
          <w:numId w:val="4"/>
        </w:numPr>
        <w:contextualSpacing w:val="0"/>
        <w:rPr>
          <w:b/>
          <w:noProof w:val="0"/>
          <w:szCs w:val="20"/>
        </w:rPr>
      </w:pPr>
      <w:r w:rsidRPr="009631AB">
        <w:rPr>
          <w:noProof w:val="0"/>
          <w:szCs w:val="20"/>
        </w:rPr>
        <w:t xml:space="preserve">En relación con la presunta afectación al artículo 5.1 de la Convención Americana, sostuvo que constaba de los reportes policiales la existencia de órdenes judiciales que autorizaban la detención y posterior allanamiento en contra del señor Montesinos; agregó que él mismo dio autorización para ingresar a su domicilio. Sostuvo que no existen pruebas que permitan acreditar las alegadas amenazas al momento de la detención. </w:t>
      </w:r>
    </w:p>
    <w:p w14:paraId="30479607" w14:textId="77777777" w:rsidR="003B4587" w:rsidRPr="009631AB" w:rsidRDefault="003B4587" w:rsidP="00734B53">
      <w:pPr>
        <w:pStyle w:val="Prrafodelista"/>
        <w:ind w:left="0"/>
        <w:contextualSpacing w:val="0"/>
        <w:rPr>
          <w:b/>
          <w:noProof w:val="0"/>
          <w:szCs w:val="20"/>
        </w:rPr>
      </w:pPr>
    </w:p>
    <w:p w14:paraId="45535300" w14:textId="3C9BE5FB" w:rsidR="003B4587" w:rsidRPr="009631AB" w:rsidRDefault="00502DA1" w:rsidP="00734B53">
      <w:pPr>
        <w:pStyle w:val="Prrafodelista"/>
        <w:numPr>
          <w:ilvl w:val="0"/>
          <w:numId w:val="4"/>
        </w:numPr>
        <w:contextualSpacing w:val="0"/>
        <w:rPr>
          <w:b/>
          <w:noProof w:val="0"/>
          <w:szCs w:val="20"/>
        </w:rPr>
      </w:pPr>
      <w:r w:rsidRPr="009631AB">
        <w:rPr>
          <w:noProof w:val="0"/>
          <w:szCs w:val="20"/>
        </w:rPr>
        <w:t>Además, señaló</w:t>
      </w:r>
      <w:r w:rsidR="003B4587" w:rsidRPr="009631AB">
        <w:rPr>
          <w:noProof w:val="0"/>
          <w:szCs w:val="20"/>
        </w:rPr>
        <w:t xml:space="preserve"> que no existió vulneración al artículo 5.2 de la Convención, ya que los datos que presentó el representante no resultan concretos ni específicos. Alegó que los presuntos actos de tortura colectiva no hacen referencia particularmente al señor Montesinos y que en el trámite del procedimiento no hay sustento fáctico para mantener esta posición. </w:t>
      </w:r>
    </w:p>
    <w:p w14:paraId="28A3F347" w14:textId="77777777" w:rsidR="003B4587" w:rsidRPr="009631AB" w:rsidRDefault="003B4587" w:rsidP="00734B53">
      <w:pPr>
        <w:pStyle w:val="Prrafodelista"/>
        <w:ind w:left="0"/>
        <w:contextualSpacing w:val="0"/>
        <w:rPr>
          <w:b/>
          <w:noProof w:val="0"/>
          <w:szCs w:val="20"/>
        </w:rPr>
      </w:pPr>
    </w:p>
    <w:p w14:paraId="34B8C130" w14:textId="0049FC72" w:rsidR="003B4587" w:rsidRPr="009631AB" w:rsidRDefault="003B4587" w:rsidP="00734B53">
      <w:pPr>
        <w:pStyle w:val="Prrafodelista"/>
        <w:numPr>
          <w:ilvl w:val="0"/>
          <w:numId w:val="4"/>
        </w:numPr>
        <w:contextualSpacing w:val="0"/>
        <w:rPr>
          <w:noProof w:val="0"/>
          <w:szCs w:val="20"/>
        </w:rPr>
      </w:pPr>
      <w:r w:rsidRPr="009631AB">
        <w:rPr>
          <w:noProof w:val="0"/>
          <w:szCs w:val="20"/>
        </w:rPr>
        <w:t>Respecto al artículo 5.3 de la Convención Americana, el Estado alegó que el representante no acreditó la vulneración a la integridad personal de la cónyuge del señor Montesinos, sino afectaciones al derecho a la propiedad. Además</w:t>
      </w:r>
      <w:r w:rsidR="00BB66EF" w:rsidRPr="009631AB">
        <w:rPr>
          <w:noProof w:val="0"/>
          <w:szCs w:val="20"/>
        </w:rPr>
        <w:t>,</w:t>
      </w:r>
      <w:r w:rsidRPr="009631AB">
        <w:rPr>
          <w:noProof w:val="0"/>
          <w:szCs w:val="20"/>
        </w:rPr>
        <w:t xml:space="preserve"> sostuvo que ella no fue detenida ni sometida a tratos crueles, inhumanos o degradantes. </w:t>
      </w:r>
    </w:p>
    <w:p w14:paraId="2ED81279" w14:textId="77777777" w:rsidR="003B4587" w:rsidRPr="009631AB" w:rsidRDefault="003B4587" w:rsidP="00734B53">
      <w:pPr>
        <w:pStyle w:val="Prrafodelista"/>
        <w:contextualSpacing w:val="0"/>
        <w:rPr>
          <w:bCs/>
          <w:szCs w:val="20"/>
        </w:rPr>
      </w:pPr>
    </w:p>
    <w:p w14:paraId="3249831A" w14:textId="336A435A" w:rsidR="003B4587" w:rsidRPr="009631AB" w:rsidRDefault="003B4587" w:rsidP="00734B53">
      <w:pPr>
        <w:pStyle w:val="Prrafodelista"/>
        <w:numPr>
          <w:ilvl w:val="0"/>
          <w:numId w:val="4"/>
        </w:numPr>
        <w:contextualSpacing w:val="0"/>
        <w:rPr>
          <w:noProof w:val="0"/>
          <w:szCs w:val="20"/>
        </w:rPr>
      </w:pPr>
      <w:r w:rsidRPr="009631AB">
        <w:rPr>
          <w:bCs/>
          <w:szCs w:val="20"/>
        </w:rPr>
        <w:t>Por otro lado, el Estado</w:t>
      </w:r>
      <w:r w:rsidRPr="009631AB">
        <w:rPr>
          <w:b/>
          <w:bCs/>
          <w:i/>
          <w:szCs w:val="20"/>
        </w:rPr>
        <w:t xml:space="preserve"> </w:t>
      </w:r>
      <w:r w:rsidRPr="009631AB">
        <w:rPr>
          <w:szCs w:val="20"/>
          <w:lang w:val="es-CO"/>
        </w:rPr>
        <w:t>indicó que las instituciones de protección y las normas han evolucionado de forma dinámica desde la Constitución Política de la República vigente a la época en la que se alegan los hechos del presente caso. Así, precisó, la Constitución de la República de 2008 ha establecido una red de protección nacional en materia de derechos humanos dentro de cuyo marco tiene lugar la actual norma penal integral conocida como Código Orgánico Integral Penal que responde a estándares interamericanos y universales de derechos humanos. Finalmente, resaltó que dicho Código tipifica infracciones como la omisión de denuncia de tortura, la desaparición forzada y la violencia sexual en conflicto armado. Por lo anterior, concluyó</w:t>
      </w:r>
      <w:r w:rsidR="009D66B7" w:rsidRPr="009631AB">
        <w:rPr>
          <w:szCs w:val="20"/>
          <w:lang w:val="es-CO"/>
        </w:rPr>
        <w:t>,</w:t>
      </w:r>
      <w:r w:rsidRPr="009631AB">
        <w:rPr>
          <w:szCs w:val="20"/>
          <w:lang w:val="es-CO"/>
        </w:rPr>
        <w:t xml:space="preserve"> el Estado ha honrado sus compromisos </w:t>
      </w:r>
      <w:r w:rsidR="00AF5183" w:rsidRPr="009631AB">
        <w:rPr>
          <w:szCs w:val="20"/>
          <w:lang w:val="es-CO"/>
        </w:rPr>
        <w:t xml:space="preserve">respondiendo a los estándares interamericanos y universales de </w:t>
      </w:r>
      <w:r w:rsidR="00363B47" w:rsidRPr="009631AB">
        <w:rPr>
          <w:szCs w:val="20"/>
          <w:lang w:val="es-CO"/>
        </w:rPr>
        <w:t>d</w:t>
      </w:r>
      <w:r w:rsidR="00AF5183" w:rsidRPr="009631AB">
        <w:rPr>
          <w:szCs w:val="20"/>
          <w:lang w:val="es-CO"/>
        </w:rPr>
        <w:t xml:space="preserve">erechos </w:t>
      </w:r>
      <w:r w:rsidR="00363B47" w:rsidRPr="009631AB">
        <w:rPr>
          <w:szCs w:val="20"/>
          <w:lang w:val="es-CO"/>
        </w:rPr>
        <w:t>h</w:t>
      </w:r>
      <w:r w:rsidR="00AF5183" w:rsidRPr="009631AB">
        <w:rPr>
          <w:szCs w:val="20"/>
          <w:lang w:val="es-CO"/>
        </w:rPr>
        <w:t>umanos</w:t>
      </w:r>
      <w:r w:rsidRPr="009631AB">
        <w:rPr>
          <w:rFonts w:eastAsia="MS Mincho" w:cs="Times New Roman"/>
          <w:szCs w:val="20"/>
          <w:lang w:val="es-CO"/>
        </w:rPr>
        <w:t>.</w:t>
      </w:r>
      <w:r w:rsidR="001B465D">
        <w:rPr>
          <w:rFonts w:eastAsia="MS Mincho" w:cs="Times New Roman"/>
          <w:szCs w:val="20"/>
          <w:lang w:val="es-CO"/>
        </w:rPr>
        <w:t xml:space="preserve"> </w:t>
      </w:r>
      <w:r w:rsidRPr="009631AB">
        <w:rPr>
          <w:rFonts w:eastAsia="MS Mincho" w:cs="Times New Roman"/>
          <w:szCs w:val="20"/>
          <w:lang w:val="es-CO"/>
        </w:rPr>
        <w:t xml:space="preserve"> </w:t>
      </w:r>
    </w:p>
    <w:p w14:paraId="49373970" w14:textId="77777777" w:rsidR="003B4587" w:rsidRPr="009631AB" w:rsidRDefault="003B4587" w:rsidP="00734B53">
      <w:pPr>
        <w:pStyle w:val="Prrafodelista"/>
        <w:ind w:left="0"/>
        <w:contextualSpacing w:val="0"/>
        <w:rPr>
          <w:noProof w:val="0"/>
          <w:szCs w:val="20"/>
        </w:rPr>
      </w:pPr>
    </w:p>
    <w:p w14:paraId="66A351FB" w14:textId="77777777" w:rsidR="003B4587" w:rsidRPr="009631AB" w:rsidRDefault="003B4587" w:rsidP="00502DA1">
      <w:pPr>
        <w:pStyle w:val="Ttulo2"/>
      </w:pPr>
      <w:bookmarkStart w:id="124" w:name="_Toc27069906"/>
      <w:r w:rsidRPr="009631AB">
        <w:t>Consideraciones de la Corte</w:t>
      </w:r>
      <w:bookmarkEnd w:id="124"/>
    </w:p>
    <w:p w14:paraId="228CF149" w14:textId="77777777" w:rsidR="003B4587" w:rsidRPr="009631AB" w:rsidRDefault="003B4587" w:rsidP="00734B53">
      <w:pPr>
        <w:pStyle w:val="Prrafodelista"/>
        <w:ind w:left="0"/>
        <w:contextualSpacing w:val="0"/>
        <w:rPr>
          <w:noProof w:val="0"/>
          <w:szCs w:val="20"/>
        </w:rPr>
      </w:pPr>
    </w:p>
    <w:p w14:paraId="141154F7" w14:textId="495E4ECB" w:rsidR="003B4587" w:rsidRPr="009631AB" w:rsidRDefault="003B4587" w:rsidP="00734B53">
      <w:pPr>
        <w:pStyle w:val="Prrafodelista"/>
        <w:numPr>
          <w:ilvl w:val="0"/>
          <w:numId w:val="4"/>
        </w:numPr>
        <w:contextualSpacing w:val="0"/>
        <w:rPr>
          <w:szCs w:val="20"/>
        </w:rPr>
      </w:pPr>
      <w:r w:rsidRPr="009631AB">
        <w:rPr>
          <w:szCs w:val="20"/>
        </w:rPr>
        <w:t>La Convención Americana reconoce expresamente el derecho a la integridad personal, física y psíquica, cuya infracción “es una clase de violación que tiene diversas connotaciones de grado y […] cuyas secuelas físicas y psíquicas varían de intensidad según los factores endógenos y exógenos que deberán ser demostrados en cada situación concreta”</w:t>
      </w:r>
      <w:r w:rsidRPr="009631AB">
        <w:rPr>
          <w:vertAlign w:val="superscript"/>
        </w:rPr>
        <w:footnoteReference w:id="135"/>
      </w:r>
      <w:r w:rsidRPr="009631AB">
        <w:rPr>
          <w:szCs w:val="20"/>
        </w:rPr>
        <w:t>. Asimismo, esta Corte ha indicado que, de conformidad con el artículo 5.1 y 5.2 de la Convención, toda persona privada de libertad tiene derecho a vivir en condiciones de detención compatibles con su dignidad persona</w:t>
      </w:r>
      <w:r w:rsidRPr="009631AB">
        <w:rPr>
          <w:vertAlign w:val="superscript"/>
        </w:rPr>
        <w:footnoteReference w:id="136"/>
      </w:r>
      <w:r w:rsidRPr="009631AB">
        <w:rPr>
          <w:szCs w:val="20"/>
        </w:rPr>
        <w:t xml:space="preserve">. </w:t>
      </w:r>
      <w:r w:rsidR="00AF2BD2" w:rsidRPr="009631AB">
        <w:rPr>
          <w:szCs w:val="20"/>
        </w:rPr>
        <w:t>Al respecto, ha precisado que el Estado, c</w:t>
      </w:r>
      <w:r w:rsidRPr="009631AB">
        <w:rPr>
          <w:szCs w:val="20"/>
        </w:rPr>
        <w:t>omo responsable de los establecimientos de detención, se encuentra en una posición especial de garante de los derechos de toda persona que se halle bajo su custodia</w:t>
      </w:r>
      <w:r w:rsidRPr="00B86B4B">
        <w:rPr>
          <w:vertAlign w:val="superscript"/>
        </w:rPr>
        <w:footnoteReference w:id="137"/>
      </w:r>
      <w:r w:rsidRPr="00B86B4B">
        <w:rPr>
          <w:szCs w:val="20"/>
        </w:rPr>
        <w:t>.</w:t>
      </w:r>
      <w:r w:rsidRPr="009631AB">
        <w:rPr>
          <w:i/>
          <w:szCs w:val="20"/>
        </w:rPr>
        <w:t xml:space="preserve"> </w:t>
      </w:r>
      <w:r w:rsidRPr="009631AB">
        <w:rPr>
          <w:szCs w:val="20"/>
        </w:rPr>
        <w:t>Esto implica el deber de salvaguardar la salud y el bienestar de los reclusos, brindándoles, entre otras cosas, la asistencia médica requerida, y de garantizar que la manera y el método de privación de libertad no excedan el nivel de sufrimiento inherente a la detención</w:t>
      </w:r>
      <w:r w:rsidRPr="009631AB">
        <w:rPr>
          <w:vertAlign w:val="superscript"/>
        </w:rPr>
        <w:footnoteReference w:id="138"/>
      </w:r>
      <w:r w:rsidRPr="009631AB">
        <w:rPr>
          <w:szCs w:val="20"/>
        </w:rPr>
        <w:t>.</w:t>
      </w:r>
    </w:p>
    <w:p w14:paraId="77F53A3B" w14:textId="77777777" w:rsidR="003B4587" w:rsidRPr="009631AB" w:rsidRDefault="003B4587" w:rsidP="00734B53">
      <w:pPr>
        <w:pStyle w:val="Prrafodelista"/>
        <w:ind w:left="0"/>
        <w:contextualSpacing w:val="0"/>
        <w:rPr>
          <w:szCs w:val="20"/>
        </w:rPr>
      </w:pPr>
    </w:p>
    <w:p w14:paraId="15C7D39C" w14:textId="111B4709" w:rsidR="003B4587" w:rsidRPr="009631AB" w:rsidRDefault="003B4587" w:rsidP="00734B53">
      <w:pPr>
        <w:pStyle w:val="Prrafodelista"/>
        <w:numPr>
          <w:ilvl w:val="0"/>
          <w:numId w:val="4"/>
        </w:numPr>
        <w:contextualSpacing w:val="0"/>
        <w:rPr>
          <w:szCs w:val="20"/>
        </w:rPr>
      </w:pPr>
      <w:r w:rsidRPr="009631AB">
        <w:rPr>
          <w:szCs w:val="20"/>
        </w:rPr>
        <w:t>De acuerdo con lo establecido por la Corte, de conformidad con el artículo 1.1 de la Convención Americana, la obligación de garantizar los derechos reconocidos en los artículos 5.1 y 5.2 de la Convención Americana implica el deber del Estado de investigar posibles actos de tortura u otros tratos crueles, inhumanos o degradantes</w:t>
      </w:r>
      <w:r w:rsidR="003B1385">
        <w:rPr>
          <w:szCs w:val="20"/>
        </w:rPr>
        <w:t>. T</w:t>
      </w:r>
      <w:r w:rsidRPr="009631AB">
        <w:rPr>
          <w:szCs w:val="20"/>
        </w:rPr>
        <w:t>al obligación se ve precisada por los artículos 1, 6 y 8 de la Convención Interamericana para Prevenir y Sancionar la Tortura</w:t>
      </w:r>
      <w:r w:rsidRPr="009631AB">
        <w:rPr>
          <w:rStyle w:val="Refdenotaalpie"/>
          <w:rFonts w:ascii="Verdana" w:hAnsi="Verdana"/>
        </w:rPr>
        <w:footnoteReference w:id="139"/>
      </w:r>
      <w:r w:rsidRPr="009631AB">
        <w:rPr>
          <w:szCs w:val="20"/>
        </w:rPr>
        <w:t>, todo ello dentro de la obligación general, a cargo de los mismos Estados, de garantizar el libre y pleno ejercicio de los derechos reconocidos por la Convención a toda persona que se encuentre bajo su jurisdicción (artículo 1.1)</w:t>
      </w:r>
      <w:r w:rsidRPr="009631AB">
        <w:rPr>
          <w:rStyle w:val="Refdenotaalpie"/>
          <w:rFonts w:ascii="Verdana" w:hAnsi="Verdana"/>
        </w:rPr>
        <w:footnoteReference w:id="140"/>
      </w:r>
      <w:r w:rsidRPr="009631AB">
        <w:rPr>
          <w:szCs w:val="20"/>
        </w:rPr>
        <w:t xml:space="preserve">. </w:t>
      </w:r>
      <w:r w:rsidR="004911B7" w:rsidRPr="009631AB">
        <w:rPr>
          <w:szCs w:val="20"/>
        </w:rPr>
        <w:t>Sobre el</w:t>
      </w:r>
      <w:r w:rsidRPr="009631AB">
        <w:rPr>
          <w:szCs w:val="20"/>
        </w:rPr>
        <w:t xml:space="preserve"> deber de investigar</w:t>
      </w:r>
      <w:r w:rsidR="004911B7" w:rsidRPr="009631AB">
        <w:rPr>
          <w:szCs w:val="20"/>
        </w:rPr>
        <w:t>, ha especificado que</w:t>
      </w:r>
      <w:r w:rsidRPr="009631AB">
        <w:rPr>
          <w:szCs w:val="20"/>
        </w:rPr>
        <w:t xml:space="preserve"> es una obligación de medio y no de resultado, </w:t>
      </w:r>
      <w:r w:rsidR="004911B7" w:rsidRPr="009631AB">
        <w:rPr>
          <w:szCs w:val="20"/>
        </w:rPr>
        <w:t xml:space="preserve">la cual </w:t>
      </w:r>
      <w:r w:rsidRPr="009631AB">
        <w:rPr>
          <w:szCs w:val="20"/>
        </w:rPr>
        <w:t xml:space="preserve">debe ser asumida por el Estado </w:t>
      </w:r>
      <w:r w:rsidRPr="009631AB">
        <w:rPr>
          <w:szCs w:val="20"/>
        </w:rPr>
        <w:lastRenderedPageBreak/>
        <w:t>como un deber jurídico propio</w:t>
      </w:r>
      <w:r w:rsidRPr="009631AB">
        <w:rPr>
          <w:rStyle w:val="Refdenotaalpie"/>
          <w:rFonts w:ascii="Verdana" w:hAnsi="Verdana"/>
        </w:rPr>
        <w:footnoteReference w:id="141"/>
      </w:r>
      <w:r w:rsidR="004911B7" w:rsidRPr="009631AB">
        <w:rPr>
          <w:szCs w:val="20"/>
        </w:rPr>
        <w:t xml:space="preserve"> e</w:t>
      </w:r>
      <w:r w:rsidRPr="009631AB">
        <w:rPr>
          <w:szCs w:val="20"/>
        </w:rPr>
        <w:t xml:space="preserve"> iniciarse de oficio e inmediatamente cuando existe denuncia o razón fundada para creer que se ha cometido un acto de tortura</w:t>
      </w:r>
      <w:r w:rsidRPr="009631AB">
        <w:rPr>
          <w:rStyle w:val="Refdenotaalpie"/>
          <w:rFonts w:ascii="Verdana" w:hAnsi="Verdana"/>
        </w:rPr>
        <w:footnoteReference w:id="142"/>
      </w:r>
      <w:r w:rsidRPr="009631AB">
        <w:rPr>
          <w:szCs w:val="20"/>
        </w:rPr>
        <w:t>.</w:t>
      </w:r>
    </w:p>
    <w:p w14:paraId="2E0DC9FC" w14:textId="77777777" w:rsidR="003B4587" w:rsidRPr="009631AB" w:rsidRDefault="003B4587" w:rsidP="00734B53">
      <w:pPr>
        <w:pStyle w:val="Prrafodelista"/>
        <w:contextualSpacing w:val="0"/>
        <w:rPr>
          <w:szCs w:val="20"/>
        </w:rPr>
      </w:pPr>
    </w:p>
    <w:p w14:paraId="620A98DE" w14:textId="6F1B6E4E" w:rsidR="003B4587" w:rsidRPr="009631AB" w:rsidRDefault="003B4587" w:rsidP="00734B53">
      <w:pPr>
        <w:pStyle w:val="Prrafodelista"/>
        <w:numPr>
          <w:ilvl w:val="0"/>
          <w:numId w:val="4"/>
        </w:numPr>
        <w:contextualSpacing w:val="0"/>
        <w:rPr>
          <w:szCs w:val="20"/>
        </w:rPr>
      </w:pPr>
      <w:r w:rsidRPr="009631AB">
        <w:rPr>
          <w:szCs w:val="20"/>
        </w:rPr>
        <w:t>Asimismo, en relación con hechos sucedidos durante la privación de libertad bajo custodia estatal, este Tribunal ha indicado que la falta de investigación “impide que el Estado presente una explicación satisfactoria y convincente de los maltratos alegados y desvirtuar las alegaciones sobre su responsabilidad, mediante elementos probatorios adecuados</w:t>
      </w:r>
      <w:r w:rsidR="00502DA1" w:rsidRPr="009631AB">
        <w:rPr>
          <w:szCs w:val="20"/>
        </w:rPr>
        <w:t>”</w:t>
      </w:r>
      <w:r w:rsidRPr="009631AB">
        <w:rPr>
          <w:rStyle w:val="Refdenotaalpie"/>
          <w:rFonts w:ascii="Verdana" w:hAnsi="Verdana"/>
        </w:rPr>
        <w:footnoteReference w:id="143"/>
      </w:r>
      <w:r w:rsidRPr="009631AB">
        <w:rPr>
          <w:szCs w:val="20"/>
        </w:rPr>
        <w:t>.</w:t>
      </w:r>
    </w:p>
    <w:p w14:paraId="4B977210" w14:textId="77777777" w:rsidR="003B4587" w:rsidRPr="009631AB" w:rsidRDefault="003B4587" w:rsidP="00734B53">
      <w:pPr>
        <w:pStyle w:val="Prrafodelista"/>
        <w:contextualSpacing w:val="0"/>
        <w:rPr>
          <w:szCs w:val="20"/>
        </w:rPr>
      </w:pPr>
    </w:p>
    <w:p w14:paraId="0BFF9B7E" w14:textId="1A12A310" w:rsidR="003B4587" w:rsidRPr="009631AB" w:rsidRDefault="003B4587" w:rsidP="00734B53">
      <w:pPr>
        <w:pStyle w:val="Prrafodelista"/>
        <w:numPr>
          <w:ilvl w:val="0"/>
          <w:numId w:val="4"/>
        </w:numPr>
        <w:contextualSpacing w:val="0"/>
        <w:rPr>
          <w:szCs w:val="20"/>
        </w:rPr>
      </w:pPr>
      <w:r w:rsidRPr="009631AB">
        <w:rPr>
          <w:szCs w:val="20"/>
        </w:rPr>
        <w:t>En el presente caso, los alegatos de la Comisión y del representante se refieren al trato recibido durante el período en que estuvo privado de libertad, en particular</w:t>
      </w:r>
      <w:r w:rsidR="004911B7" w:rsidRPr="009631AB">
        <w:rPr>
          <w:szCs w:val="20"/>
        </w:rPr>
        <w:t>,</w:t>
      </w:r>
      <w:r w:rsidRPr="009631AB">
        <w:rPr>
          <w:szCs w:val="20"/>
        </w:rPr>
        <w:t xml:space="preserve"> que el señor Montesinos fue </w:t>
      </w:r>
      <w:r w:rsidRPr="009631AB">
        <w:rPr>
          <w:noProof w:val="0"/>
          <w:szCs w:val="20"/>
        </w:rPr>
        <w:t xml:space="preserve">amenazado, estuvo detenido en una celda de 11 metros cuadrados con otras 13 personas, fue golpeado por agentes estatales y estuvo incomunicado por ocho días. El Estado no ha aportado prueba que desvirtúe los alegatos presentados por la Comisión y el representante ni ha desvirtuado los alegatos sobre amenazas e incomunicación, pero si negó la alegada intervención violenta y golpes por parte del Grupo de Intervención y Rescate de la Policía de 23 de julio de 1992. Asimismo, el único documento médico que consta en el expediente es un brevísimo examen realizado el día de la detención, </w:t>
      </w:r>
      <w:r w:rsidR="004911B7" w:rsidRPr="009631AB">
        <w:rPr>
          <w:noProof w:val="0"/>
          <w:szCs w:val="20"/>
        </w:rPr>
        <w:t xml:space="preserve">esto es, el </w:t>
      </w:r>
      <w:r w:rsidRPr="009631AB">
        <w:rPr>
          <w:noProof w:val="0"/>
          <w:szCs w:val="20"/>
        </w:rPr>
        <w:t>21 de junio de 1992, en el cual simplemente se indica que “no h</w:t>
      </w:r>
      <w:r w:rsidR="00502DA1" w:rsidRPr="009631AB">
        <w:rPr>
          <w:noProof w:val="0"/>
          <w:szCs w:val="20"/>
        </w:rPr>
        <w:t>ay novedad</w:t>
      </w:r>
      <w:r w:rsidRPr="009631AB">
        <w:rPr>
          <w:noProof w:val="0"/>
          <w:szCs w:val="20"/>
        </w:rPr>
        <w:t xml:space="preserve">”. </w:t>
      </w:r>
    </w:p>
    <w:p w14:paraId="67FCF5C8" w14:textId="77777777" w:rsidR="003B4587" w:rsidRPr="009631AB" w:rsidRDefault="003B4587" w:rsidP="00734B53">
      <w:pPr>
        <w:pStyle w:val="Prrafodelista"/>
        <w:contextualSpacing w:val="0"/>
        <w:rPr>
          <w:szCs w:val="20"/>
        </w:rPr>
      </w:pPr>
    </w:p>
    <w:p w14:paraId="6E6DDEA8" w14:textId="2998EAD9" w:rsidR="003B4587" w:rsidRPr="009631AB" w:rsidRDefault="003B4587" w:rsidP="00734B53">
      <w:pPr>
        <w:pStyle w:val="Prrafodelista"/>
        <w:numPr>
          <w:ilvl w:val="0"/>
          <w:numId w:val="4"/>
        </w:numPr>
        <w:contextualSpacing w:val="0"/>
        <w:rPr>
          <w:szCs w:val="20"/>
        </w:rPr>
      </w:pPr>
      <w:r w:rsidRPr="009631AB">
        <w:rPr>
          <w:szCs w:val="20"/>
        </w:rPr>
        <w:t xml:space="preserve">En relación con el </w:t>
      </w:r>
      <w:r w:rsidRPr="009631AB">
        <w:rPr>
          <w:i/>
          <w:szCs w:val="20"/>
        </w:rPr>
        <w:t>Caso Suárez Rosero Vs. Ecuador</w:t>
      </w:r>
      <w:r w:rsidRPr="009631AB">
        <w:rPr>
          <w:szCs w:val="20"/>
        </w:rPr>
        <w:t>, la Corte observa que efectivamen</w:t>
      </w:r>
      <w:r w:rsidR="00502DA1" w:rsidRPr="009631AB">
        <w:rPr>
          <w:szCs w:val="20"/>
        </w:rPr>
        <w:t>t</w:t>
      </w:r>
      <w:r w:rsidRPr="009631AB">
        <w:rPr>
          <w:szCs w:val="20"/>
        </w:rPr>
        <w:t>e el señor Montesinos estuvo detenido junt</w:t>
      </w:r>
      <w:r w:rsidR="00363C97" w:rsidRPr="009631AB">
        <w:rPr>
          <w:szCs w:val="20"/>
        </w:rPr>
        <w:t>o</w:t>
      </w:r>
      <w:r w:rsidRPr="009631AB">
        <w:rPr>
          <w:szCs w:val="20"/>
        </w:rPr>
        <w:t xml:space="preserve"> </w:t>
      </w:r>
      <w:r w:rsidR="00363C97" w:rsidRPr="009631AB">
        <w:rPr>
          <w:szCs w:val="20"/>
        </w:rPr>
        <w:t>a</w:t>
      </w:r>
      <w:r w:rsidRPr="009631AB">
        <w:rPr>
          <w:szCs w:val="20"/>
        </w:rPr>
        <w:t>l señor Suárez Rosero en el llamado Regimiento Quito y también en el Penal García Moreno</w:t>
      </w:r>
      <w:r w:rsidRPr="009631AB">
        <w:rPr>
          <w:rStyle w:val="Refdenotaalpie"/>
          <w:rFonts w:ascii="Verdana" w:hAnsi="Verdana"/>
        </w:rPr>
        <w:footnoteReference w:id="144"/>
      </w:r>
      <w:r w:rsidRPr="009631AB">
        <w:rPr>
          <w:szCs w:val="20"/>
        </w:rPr>
        <w:t xml:space="preserve">. El señor Suárez Rosero, en su declaración testimonial ante esta Corte, ratificó los malos tratos, condiciones de detención deficientes y golpizas recibidas por su persona y el señor Montesinos. </w:t>
      </w:r>
    </w:p>
    <w:p w14:paraId="0803CD8B" w14:textId="77777777" w:rsidR="003B4587" w:rsidRPr="009631AB" w:rsidRDefault="003B4587" w:rsidP="00734B53">
      <w:pPr>
        <w:pStyle w:val="Prrafodelista"/>
        <w:contextualSpacing w:val="0"/>
        <w:rPr>
          <w:szCs w:val="20"/>
        </w:rPr>
      </w:pPr>
    </w:p>
    <w:p w14:paraId="14F10060" w14:textId="47A9CC83" w:rsidR="003B4587" w:rsidRPr="009631AB" w:rsidRDefault="003B4587" w:rsidP="00734B53">
      <w:pPr>
        <w:pStyle w:val="Prrafodelista"/>
        <w:numPr>
          <w:ilvl w:val="0"/>
          <w:numId w:val="4"/>
        </w:numPr>
        <w:contextualSpacing w:val="0"/>
        <w:rPr>
          <w:szCs w:val="20"/>
        </w:rPr>
      </w:pPr>
      <w:r w:rsidRPr="009631AB">
        <w:rPr>
          <w:szCs w:val="20"/>
        </w:rPr>
        <w:t xml:space="preserve">El Estado no ha logrado desvirtuar los hechos violatorios a la integridad personal del señor Montesinos en razón de no haber presentado argumentos o hechos concretos al respecto, así como por no haber presentado prueba alguna que determine el estado de salud y las condiciones de detención del señor Montesinos durante los </w:t>
      </w:r>
      <w:r w:rsidR="00502DA1" w:rsidRPr="009631AB">
        <w:rPr>
          <w:szCs w:val="20"/>
        </w:rPr>
        <w:t xml:space="preserve">más de </w:t>
      </w:r>
      <w:r w:rsidRPr="009631AB">
        <w:rPr>
          <w:szCs w:val="20"/>
        </w:rPr>
        <w:t>seis años en que estuvo privado de la libertad. Lo anterior, sumado a las constataciones fácticas y jurídicas realizadas por la Corte en la sentencia del caso Suárez Rosero sobre el tratamiento recibido durante su detención</w:t>
      </w:r>
      <w:r w:rsidRPr="009631AB">
        <w:rPr>
          <w:rStyle w:val="Refdenotaalpie"/>
          <w:rFonts w:ascii="Verdana" w:hAnsi="Verdana"/>
        </w:rPr>
        <w:footnoteReference w:id="145"/>
      </w:r>
      <w:r w:rsidRPr="009631AB">
        <w:rPr>
          <w:szCs w:val="20"/>
        </w:rPr>
        <w:t xml:space="preserve">, llevan la Corte a establecer que las condiciones de detención y </w:t>
      </w:r>
      <w:r w:rsidRPr="009631AB">
        <w:rPr>
          <w:szCs w:val="20"/>
          <w:lang w:val="es-CR"/>
        </w:rPr>
        <w:t xml:space="preserve">tratamiento a </w:t>
      </w:r>
      <w:r w:rsidR="00FA7181" w:rsidRPr="009631AB">
        <w:rPr>
          <w:szCs w:val="20"/>
          <w:lang w:val="es-CR"/>
        </w:rPr>
        <w:t xml:space="preserve">las </w:t>
      </w:r>
      <w:r w:rsidRPr="009631AB">
        <w:rPr>
          <w:szCs w:val="20"/>
          <w:lang w:val="es-CR"/>
        </w:rPr>
        <w:t>que fue sometido el señor Montesinos representaron un trato cruel, inhumano y degradante.</w:t>
      </w:r>
    </w:p>
    <w:p w14:paraId="7CA82329" w14:textId="77777777" w:rsidR="003B4587" w:rsidRPr="009631AB" w:rsidRDefault="003B4587" w:rsidP="00734B53">
      <w:pPr>
        <w:pStyle w:val="Prrafodelista"/>
        <w:contextualSpacing w:val="0"/>
        <w:rPr>
          <w:szCs w:val="20"/>
        </w:rPr>
      </w:pPr>
    </w:p>
    <w:p w14:paraId="5959D640" w14:textId="2310C998" w:rsidR="003B4587" w:rsidRPr="009631AB" w:rsidRDefault="003B4587" w:rsidP="00734B53">
      <w:pPr>
        <w:pStyle w:val="Prrafodelista"/>
        <w:numPr>
          <w:ilvl w:val="0"/>
          <w:numId w:val="4"/>
        </w:numPr>
        <w:contextualSpacing w:val="0"/>
        <w:rPr>
          <w:szCs w:val="20"/>
        </w:rPr>
      </w:pPr>
      <w:r w:rsidRPr="009631AB">
        <w:rPr>
          <w:szCs w:val="20"/>
        </w:rPr>
        <w:t xml:space="preserve">También se encuentra probado que el señor Montesinos, en su recurso de </w:t>
      </w:r>
      <w:r w:rsidR="00DA7EEF" w:rsidRPr="00DA7EEF">
        <w:rPr>
          <w:szCs w:val="20"/>
        </w:rPr>
        <w:t>hábeas corpus</w:t>
      </w:r>
      <w:r w:rsidRPr="009631AB">
        <w:rPr>
          <w:szCs w:val="20"/>
        </w:rPr>
        <w:t xml:space="preserve"> presentando el 10 de septiembre de 1996, denunció haber sido sometido a tortura y procedimientos inhumanos y degradantes</w:t>
      </w:r>
      <w:r w:rsidR="00FA7181" w:rsidRPr="009631AB">
        <w:rPr>
          <w:szCs w:val="20"/>
        </w:rPr>
        <w:t xml:space="preserve">. Esto </w:t>
      </w:r>
      <w:r w:rsidRPr="009631AB">
        <w:rPr>
          <w:szCs w:val="20"/>
        </w:rPr>
        <w:t>fue</w:t>
      </w:r>
      <w:r w:rsidR="00FA7181" w:rsidRPr="009631AB">
        <w:rPr>
          <w:szCs w:val="20"/>
        </w:rPr>
        <w:t xml:space="preserve">, además, </w:t>
      </w:r>
      <w:r w:rsidRPr="009631AB">
        <w:rPr>
          <w:szCs w:val="20"/>
        </w:rPr>
        <w:t>referido por el Tribunal de Garantías Constitucionales en su sentencia de apelación de fecha 30 de octubre de 1996</w:t>
      </w:r>
      <w:r w:rsidR="00FA7181" w:rsidRPr="009631AB">
        <w:rPr>
          <w:szCs w:val="20"/>
        </w:rPr>
        <w:t>, en la cual</w:t>
      </w:r>
      <w:r w:rsidRPr="009631AB">
        <w:rPr>
          <w:szCs w:val="20"/>
        </w:rPr>
        <w:t xml:space="preserve"> se limitó a indicar que no podía pronunciarse sobre los alegados tratos inhumanos “por no haberse presentado pruebas al respecto”, sin disponer, a pesar de haber concedido el recurso de </w:t>
      </w:r>
      <w:r w:rsidR="00DA7EEF" w:rsidRPr="00DA7EEF">
        <w:rPr>
          <w:szCs w:val="20"/>
        </w:rPr>
        <w:t>hábeas corpus</w:t>
      </w:r>
      <w:r w:rsidRPr="009631AB">
        <w:rPr>
          <w:szCs w:val="20"/>
        </w:rPr>
        <w:t xml:space="preserve"> y dado cuenta de la incomunicación de la que fue víctima el señor Montesinos</w:t>
      </w:r>
      <w:r w:rsidRPr="009631AB">
        <w:rPr>
          <w:rStyle w:val="Refdenotaalpie"/>
          <w:rFonts w:ascii="Verdana" w:hAnsi="Verdana"/>
        </w:rPr>
        <w:footnoteReference w:id="146"/>
      </w:r>
      <w:r w:rsidRPr="009631AB">
        <w:rPr>
          <w:szCs w:val="20"/>
        </w:rPr>
        <w:t>, el inicio de alguna investigación al respecto</w:t>
      </w:r>
      <w:r w:rsidRPr="009631AB">
        <w:rPr>
          <w:rStyle w:val="Refdenotaalpie"/>
          <w:rFonts w:ascii="Verdana" w:hAnsi="Verdana"/>
          <w:lang w:val="es-EC"/>
        </w:rPr>
        <w:footnoteReference w:id="147"/>
      </w:r>
      <w:r w:rsidR="00502DA1" w:rsidRPr="009631AB">
        <w:rPr>
          <w:rFonts w:cs="Times New Roman"/>
          <w:szCs w:val="20"/>
          <w:lang w:val="es-EC"/>
        </w:rPr>
        <w:t>.</w:t>
      </w:r>
    </w:p>
    <w:p w14:paraId="42F60465" w14:textId="77777777" w:rsidR="00502DA1" w:rsidRPr="009631AB" w:rsidRDefault="00502DA1" w:rsidP="00502DA1">
      <w:pPr>
        <w:pStyle w:val="Prrafodelista"/>
        <w:rPr>
          <w:szCs w:val="20"/>
        </w:rPr>
      </w:pPr>
    </w:p>
    <w:p w14:paraId="521F095A" w14:textId="15547D51" w:rsidR="00502DA1" w:rsidRPr="009631AB" w:rsidRDefault="00502DA1" w:rsidP="00734B53">
      <w:pPr>
        <w:pStyle w:val="Prrafodelista"/>
        <w:numPr>
          <w:ilvl w:val="0"/>
          <w:numId w:val="4"/>
        </w:numPr>
        <w:contextualSpacing w:val="0"/>
        <w:rPr>
          <w:szCs w:val="20"/>
        </w:rPr>
      </w:pPr>
      <w:r w:rsidRPr="009631AB">
        <w:rPr>
          <w:szCs w:val="20"/>
        </w:rPr>
        <w:t xml:space="preserve">Adicionalmente a los recursos de </w:t>
      </w:r>
      <w:r w:rsidR="00DA7EEF" w:rsidRPr="00DA7EEF">
        <w:rPr>
          <w:szCs w:val="20"/>
        </w:rPr>
        <w:t>hábeas corpus</w:t>
      </w:r>
      <w:r w:rsidRPr="009631AB">
        <w:rPr>
          <w:szCs w:val="20"/>
        </w:rPr>
        <w:t xml:space="preserve"> planteados, es importante destacar que el señor Montesinos y su representante legal dieron conocimiento a autoridades judiciales sobre los malos tratos y tortura que había sufrido durante su privación de libertad. </w:t>
      </w:r>
      <w:r w:rsidR="00FA7181" w:rsidRPr="009631AB">
        <w:rPr>
          <w:szCs w:val="20"/>
        </w:rPr>
        <w:t xml:space="preserve">Así, por ejemplo, en la </w:t>
      </w:r>
      <w:r w:rsidRPr="009631AB">
        <w:rPr>
          <w:szCs w:val="20"/>
        </w:rPr>
        <w:t xml:space="preserve">carta </w:t>
      </w:r>
      <w:r w:rsidR="00FA7181" w:rsidRPr="009631AB">
        <w:rPr>
          <w:szCs w:val="20"/>
        </w:rPr>
        <w:t xml:space="preserve">remitida por el señor Montesinos </w:t>
      </w:r>
      <w:r w:rsidRPr="009631AB">
        <w:rPr>
          <w:szCs w:val="20"/>
        </w:rPr>
        <w:t>al Presidente de la Corte Suprema de Justicia el 13 de octubre de 1995</w:t>
      </w:r>
      <w:r w:rsidR="00FA7181" w:rsidRPr="009631AB">
        <w:rPr>
          <w:szCs w:val="20"/>
        </w:rPr>
        <w:t xml:space="preserve">, este denunció </w:t>
      </w:r>
      <w:r w:rsidRPr="009631AB">
        <w:rPr>
          <w:szCs w:val="20"/>
        </w:rPr>
        <w:t xml:space="preserve">la </w:t>
      </w:r>
      <w:r w:rsidR="00307776" w:rsidRPr="009631AB">
        <w:rPr>
          <w:szCs w:val="20"/>
        </w:rPr>
        <w:t>“</w:t>
      </w:r>
      <w:r w:rsidRPr="009631AB">
        <w:rPr>
          <w:szCs w:val="20"/>
        </w:rPr>
        <w:t>situación abismal</w:t>
      </w:r>
      <w:r w:rsidR="00307776" w:rsidRPr="009631AB">
        <w:rPr>
          <w:szCs w:val="20"/>
        </w:rPr>
        <w:t>”</w:t>
      </w:r>
      <w:r w:rsidRPr="009631AB">
        <w:rPr>
          <w:szCs w:val="20"/>
        </w:rPr>
        <w:t xml:space="preserve"> en que se encontraban los privados de libertad en su pabellón</w:t>
      </w:r>
      <w:r w:rsidRPr="009631AB">
        <w:rPr>
          <w:rStyle w:val="Refdenotaalpie"/>
          <w:rFonts w:ascii="Verdana" w:hAnsi="Verdana"/>
        </w:rPr>
        <w:footnoteReference w:id="148"/>
      </w:r>
      <w:r w:rsidRPr="009631AB">
        <w:rPr>
          <w:szCs w:val="20"/>
        </w:rPr>
        <w:t>.</w:t>
      </w:r>
      <w:r w:rsidR="00766842" w:rsidRPr="009631AB">
        <w:rPr>
          <w:szCs w:val="20"/>
        </w:rPr>
        <w:t xml:space="preserve"> </w:t>
      </w:r>
    </w:p>
    <w:p w14:paraId="667D46EA" w14:textId="77777777" w:rsidR="003B4587" w:rsidRPr="009631AB" w:rsidRDefault="003B4587" w:rsidP="00734B53">
      <w:pPr>
        <w:pStyle w:val="Prrafodelista"/>
        <w:contextualSpacing w:val="0"/>
        <w:rPr>
          <w:szCs w:val="20"/>
        </w:rPr>
      </w:pPr>
    </w:p>
    <w:p w14:paraId="102C339E" w14:textId="77777777" w:rsidR="008D3984" w:rsidRPr="003B3610" w:rsidRDefault="00FA7181" w:rsidP="000D358D">
      <w:pPr>
        <w:pStyle w:val="Prrafodelista"/>
        <w:numPr>
          <w:ilvl w:val="0"/>
          <w:numId w:val="4"/>
        </w:numPr>
        <w:contextualSpacing w:val="0"/>
        <w:rPr>
          <w:color w:val="FF0000"/>
          <w:szCs w:val="20"/>
        </w:rPr>
      </w:pPr>
      <w:r w:rsidRPr="009631AB">
        <w:rPr>
          <w:szCs w:val="20"/>
        </w:rPr>
        <w:t xml:space="preserve">En razón de lo expuesto, es claro </w:t>
      </w:r>
      <w:r w:rsidR="003B4587" w:rsidRPr="009631AB">
        <w:rPr>
          <w:szCs w:val="20"/>
        </w:rPr>
        <w:t xml:space="preserve">que el Estado tuvo conocimiento de los actos de violencia en contra del señor Montesinos, sin embargo de lo cual no inició ninguna investigación al respecto. </w:t>
      </w:r>
    </w:p>
    <w:p w14:paraId="0B2799DF" w14:textId="77777777" w:rsidR="008D3984" w:rsidRPr="008D3984" w:rsidRDefault="008D3984" w:rsidP="003B3610">
      <w:pPr>
        <w:pStyle w:val="Prrafodelista"/>
        <w:rPr>
          <w:szCs w:val="20"/>
        </w:rPr>
      </w:pPr>
    </w:p>
    <w:p w14:paraId="1A8C2D6E" w14:textId="0AC4E40E" w:rsidR="000D358D" w:rsidRPr="000D358D" w:rsidRDefault="003B4587" w:rsidP="000D358D">
      <w:pPr>
        <w:pStyle w:val="Prrafodelista"/>
        <w:numPr>
          <w:ilvl w:val="0"/>
          <w:numId w:val="4"/>
        </w:numPr>
        <w:contextualSpacing w:val="0"/>
        <w:rPr>
          <w:color w:val="FF0000"/>
          <w:szCs w:val="20"/>
        </w:rPr>
      </w:pPr>
      <w:r w:rsidRPr="009631AB">
        <w:rPr>
          <w:szCs w:val="20"/>
        </w:rPr>
        <w:t>Por tanto, la Corte concluye que el Estado incumplió co</w:t>
      </w:r>
      <w:r w:rsidR="00D858A8" w:rsidRPr="009631AB">
        <w:rPr>
          <w:szCs w:val="20"/>
        </w:rPr>
        <w:t>n sus obligaciones de respetar y</w:t>
      </w:r>
      <w:r w:rsidRPr="009631AB">
        <w:rPr>
          <w:szCs w:val="20"/>
        </w:rPr>
        <w:t xml:space="preserve"> garantizar el derecho a la integridad personal, vulnerando los artículos 5.1 y 5.2, en relación con el artículo 1.1 de la Convención, en perjuicio de Mario Montesinos Mejía. </w:t>
      </w:r>
    </w:p>
    <w:p w14:paraId="409A7B18" w14:textId="77777777" w:rsidR="000D358D" w:rsidRPr="000D358D" w:rsidRDefault="000D358D" w:rsidP="000D358D">
      <w:pPr>
        <w:pStyle w:val="Prrafodelista"/>
        <w:ind w:left="0"/>
        <w:contextualSpacing w:val="0"/>
        <w:rPr>
          <w:color w:val="FF0000"/>
          <w:szCs w:val="20"/>
        </w:rPr>
      </w:pPr>
    </w:p>
    <w:p w14:paraId="47FC8B8A" w14:textId="203372B2" w:rsidR="00A1417F" w:rsidRPr="00A1417F" w:rsidRDefault="003B4587" w:rsidP="00A1417F">
      <w:pPr>
        <w:pStyle w:val="Prrafodelista"/>
        <w:numPr>
          <w:ilvl w:val="0"/>
          <w:numId w:val="4"/>
        </w:numPr>
        <w:contextualSpacing w:val="0"/>
        <w:rPr>
          <w:color w:val="FF0000"/>
          <w:szCs w:val="20"/>
        </w:rPr>
      </w:pPr>
      <w:r w:rsidRPr="009631AB">
        <w:rPr>
          <w:szCs w:val="20"/>
        </w:rPr>
        <w:t>Asimismo,</w:t>
      </w:r>
      <w:r w:rsidR="00562EBF" w:rsidRPr="009631AB">
        <w:rPr>
          <w:szCs w:val="20"/>
        </w:rPr>
        <w:t xml:space="preserve"> </w:t>
      </w:r>
      <w:r w:rsidR="000D358D">
        <w:rPr>
          <w:szCs w:val="20"/>
        </w:rPr>
        <w:t xml:space="preserve">la Corte </w:t>
      </w:r>
      <w:r w:rsidR="00562EBF" w:rsidRPr="009631AB">
        <w:rPr>
          <w:szCs w:val="20"/>
        </w:rPr>
        <w:t>concluye que,</w:t>
      </w:r>
      <w:r w:rsidRPr="009631AB">
        <w:rPr>
          <w:szCs w:val="20"/>
        </w:rPr>
        <w:t xml:space="preserve"> con posterioridad al 9 de diciembre de 1999, la falta de investigación de la denuncia de tortura y malos tratos resultó en la vulneración de los artículos 1, 6 y 8 de la Convención Interamericana para Prevenir y Sancionar la Tortura, en perjuicio del señor Montesinos.</w:t>
      </w:r>
      <w:r w:rsidR="00A1417F">
        <w:rPr>
          <w:szCs w:val="20"/>
        </w:rPr>
        <w:t xml:space="preserve"> </w:t>
      </w:r>
    </w:p>
    <w:p w14:paraId="4A830A2A" w14:textId="77777777" w:rsidR="003B4587" w:rsidRPr="009631AB" w:rsidRDefault="003B4587" w:rsidP="00734B53">
      <w:pPr>
        <w:pStyle w:val="Prrafodelista"/>
        <w:contextualSpacing w:val="0"/>
        <w:rPr>
          <w:szCs w:val="20"/>
        </w:rPr>
      </w:pPr>
    </w:p>
    <w:p w14:paraId="2029BF9B" w14:textId="46E1DB24" w:rsidR="003B4587" w:rsidRPr="009631AB" w:rsidRDefault="003B4587" w:rsidP="00734B53">
      <w:pPr>
        <w:pStyle w:val="Prrafodelista"/>
        <w:numPr>
          <w:ilvl w:val="0"/>
          <w:numId w:val="4"/>
        </w:numPr>
        <w:contextualSpacing w:val="0"/>
        <w:rPr>
          <w:szCs w:val="20"/>
        </w:rPr>
      </w:pPr>
      <w:r w:rsidRPr="009631AB">
        <w:rPr>
          <w:szCs w:val="20"/>
        </w:rPr>
        <w:t xml:space="preserve">En relación con la alegada violación del artículo 5.3 de la Convención en perjuicio de la señora </w:t>
      </w:r>
      <w:r w:rsidRPr="009631AB">
        <w:rPr>
          <w:noProof w:val="0"/>
          <w:szCs w:val="20"/>
        </w:rPr>
        <w:t xml:space="preserve">Marcia González Rubio, la Corte recuerda que ella no es </w:t>
      </w:r>
      <w:r w:rsidR="00E0476C">
        <w:rPr>
          <w:noProof w:val="0"/>
          <w:szCs w:val="20"/>
        </w:rPr>
        <w:t>presunta</w:t>
      </w:r>
      <w:r w:rsidRPr="009631AB">
        <w:rPr>
          <w:noProof w:val="0"/>
          <w:szCs w:val="20"/>
        </w:rPr>
        <w:t xml:space="preserve"> víctima en el presente caso</w:t>
      </w:r>
      <w:r w:rsidR="008D3984">
        <w:rPr>
          <w:noProof w:val="0"/>
          <w:szCs w:val="20"/>
        </w:rPr>
        <w:t xml:space="preserve"> (</w:t>
      </w:r>
      <w:r w:rsidR="008D3984">
        <w:rPr>
          <w:i/>
          <w:noProof w:val="0"/>
          <w:szCs w:val="20"/>
        </w:rPr>
        <w:t xml:space="preserve">supra </w:t>
      </w:r>
      <w:r w:rsidR="008D3984">
        <w:rPr>
          <w:noProof w:val="0"/>
          <w:szCs w:val="20"/>
        </w:rPr>
        <w:t>párr. 2.b)</w:t>
      </w:r>
      <w:r w:rsidRPr="009631AB">
        <w:rPr>
          <w:noProof w:val="0"/>
          <w:szCs w:val="20"/>
        </w:rPr>
        <w:t xml:space="preserve">, de manera que no corresponde analizar el referido alegato. </w:t>
      </w:r>
    </w:p>
    <w:p w14:paraId="7CA868AF" w14:textId="77777777" w:rsidR="003B4587" w:rsidRPr="009631AB" w:rsidRDefault="003B4587" w:rsidP="00734B53">
      <w:pPr>
        <w:pStyle w:val="Prrafodelista"/>
        <w:ind w:left="0"/>
        <w:contextualSpacing w:val="0"/>
        <w:rPr>
          <w:noProof w:val="0"/>
          <w:szCs w:val="20"/>
        </w:rPr>
      </w:pPr>
    </w:p>
    <w:p w14:paraId="63C4F76F" w14:textId="625E32C3" w:rsidR="003B4587" w:rsidRPr="009631AB" w:rsidRDefault="003B4587" w:rsidP="00853139">
      <w:pPr>
        <w:pStyle w:val="Ttulo1"/>
      </w:pPr>
      <w:bookmarkStart w:id="125" w:name="_Toc27069907"/>
      <w:r w:rsidRPr="009631AB">
        <w:t>VII-3</w:t>
      </w:r>
      <w:bookmarkEnd w:id="125"/>
    </w:p>
    <w:p w14:paraId="165552E4" w14:textId="77777777" w:rsidR="003B4587" w:rsidRPr="009631AB" w:rsidRDefault="003B4587" w:rsidP="00853139">
      <w:pPr>
        <w:pStyle w:val="Ttulo1"/>
        <w:rPr>
          <w:bCs/>
        </w:rPr>
      </w:pPr>
      <w:bookmarkStart w:id="126" w:name="_Toc18768929"/>
      <w:bookmarkStart w:id="127" w:name="_Toc18768949"/>
      <w:bookmarkStart w:id="128" w:name="_Toc18769649"/>
      <w:bookmarkStart w:id="129" w:name="_Toc27069908"/>
      <w:r w:rsidRPr="009631AB">
        <w:t>DERECHO A LAS GARANTÍAS JUDICIALES</w:t>
      </w:r>
      <w:bookmarkEnd w:id="126"/>
      <w:bookmarkEnd w:id="127"/>
      <w:bookmarkEnd w:id="128"/>
      <w:r w:rsidRPr="009631AB">
        <w:rPr>
          <w:vertAlign w:val="superscript"/>
        </w:rPr>
        <w:footnoteReference w:id="149"/>
      </w:r>
      <w:bookmarkEnd w:id="129"/>
    </w:p>
    <w:p w14:paraId="77650E00" w14:textId="77777777" w:rsidR="00766842" w:rsidRPr="009631AB" w:rsidRDefault="00766842" w:rsidP="00766842">
      <w:pPr>
        <w:spacing w:after="0" w:line="240" w:lineRule="auto"/>
        <w:jc w:val="center"/>
        <w:outlineLvl w:val="0"/>
        <w:rPr>
          <w:rFonts w:cs="Times New Roman"/>
          <w:b/>
          <w:bCs/>
          <w:szCs w:val="20"/>
        </w:rPr>
      </w:pPr>
    </w:p>
    <w:p w14:paraId="7AD6FB99" w14:textId="1EF2E200" w:rsidR="00766842" w:rsidRPr="009631AB" w:rsidRDefault="00766842" w:rsidP="00D24534">
      <w:pPr>
        <w:pStyle w:val="Ttulo2"/>
        <w:numPr>
          <w:ilvl w:val="1"/>
          <w:numId w:val="30"/>
        </w:numPr>
        <w:ind w:left="0" w:firstLine="0"/>
      </w:pPr>
      <w:bookmarkStart w:id="130" w:name="_Toc18768930"/>
      <w:bookmarkStart w:id="131" w:name="_Toc18768950"/>
      <w:bookmarkStart w:id="132" w:name="_Toc18769650"/>
      <w:bookmarkStart w:id="133" w:name="_Toc27069909"/>
      <w:r w:rsidRPr="009631AB">
        <w:t>Alegatos de las partes y de la Comisión</w:t>
      </w:r>
      <w:bookmarkEnd w:id="130"/>
      <w:bookmarkEnd w:id="131"/>
      <w:bookmarkEnd w:id="132"/>
      <w:bookmarkEnd w:id="133"/>
    </w:p>
    <w:p w14:paraId="247F287A" w14:textId="77777777" w:rsidR="00766842" w:rsidRPr="009631AB" w:rsidRDefault="00766842" w:rsidP="00766842">
      <w:pPr>
        <w:autoSpaceDE w:val="0"/>
        <w:autoSpaceDN w:val="0"/>
        <w:adjustRightInd w:val="0"/>
        <w:spacing w:after="0" w:line="240" w:lineRule="auto"/>
        <w:jc w:val="both"/>
        <w:rPr>
          <w:rFonts w:eastAsia="Calibri" w:cs="Times New Roman"/>
          <w:b/>
          <w:bCs/>
          <w:szCs w:val="20"/>
        </w:rPr>
      </w:pPr>
    </w:p>
    <w:p w14:paraId="3D408898" w14:textId="5922BAB9" w:rsidR="00766842" w:rsidRPr="009631AB" w:rsidRDefault="00766842" w:rsidP="00766842">
      <w:pPr>
        <w:pStyle w:val="Prrafodelista"/>
        <w:numPr>
          <w:ilvl w:val="0"/>
          <w:numId w:val="4"/>
        </w:numPr>
        <w:autoSpaceDE w:val="0"/>
        <w:autoSpaceDN w:val="0"/>
        <w:adjustRightInd w:val="0"/>
        <w:rPr>
          <w:bCs/>
          <w:szCs w:val="20"/>
        </w:rPr>
      </w:pPr>
      <w:r w:rsidRPr="009631AB">
        <w:rPr>
          <w:szCs w:val="20"/>
        </w:rPr>
        <w:t xml:space="preserve">La </w:t>
      </w:r>
      <w:r w:rsidRPr="009631AB">
        <w:rPr>
          <w:b/>
          <w:i/>
          <w:szCs w:val="20"/>
        </w:rPr>
        <w:t>Comisión</w:t>
      </w:r>
      <w:r w:rsidRPr="009631AB">
        <w:rPr>
          <w:bCs/>
          <w:szCs w:val="20"/>
        </w:rPr>
        <w:t xml:space="preserve"> estableció que en los procesos seguidos contra el señor Montesinos se vulneró: i) la regla de exclusión de pruebas obtenidas bajo coacción; ii) el derecho de defensa; iii) el principio de presunción de inocencia y iv) la razonabilidad en la duración de los procesos penales</w:t>
      </w:r>
      <w:r w:rsidRPr="003B3610">
        <w:rPr>
          <w:bCs/>
          <w:szCs w:val="20"/>
        </w:rPr>
        <w:t>.</w:t>
      </w:r>
    </w:p>
    <w:p w14:paraId="6FC4F280" w14:textId="77777777" w:rsidR="00766842" w:rsidRPr="009631AB" w:rsidRDefault="00766842" w:rsidP="00766842">
      <w:pPr>
        <w:autoSpaceDE w:val="0"/>
        <w:autoSpaceDN w:val="0"/>
        <w:adjustRightInd w:val="0"/>
        <w:spacing w:after="0" w:line="240" w:lineRule="auto"/>
        <w:jc w:val="both"/>
        <w:rPr>
          <w:rFonts w:eastAsia="Batang" w:cs="Times"/>
          <w:bCs/>
          <w:szCs w:val="20"/>
        </w:rPr>
      </w:pPr>
    </w:p>
    <w:p w14:paraId="71981D0C" w14:textId="23ABA81C" w:rsidR="00766842" w:rsidRPr="009631AB" w:rsidRDefault="00766842" w:rsidP="00766842">
      <w:pPr>
        <w:numPr>
          <w:ilvl w:val="0"/>
          <w:numId w:val="4"/>
        </w:numPr>
        <w:autoSpaceDE w:val="0"/>
        <w:autoSpaceDN w:val="0"/>
        <w:adjustRightInd w:val="0"/>
        <w:spacing w:after="0" w:line="240" w:lineRule="auto"/>
        <w:jc w:val="both"/>
        <w:rPr>
          <w:rFonts w:eastAsia="Batang" w:cs="Times"/>
          <w:bCs/>
          <w:szCs w:val="20"/>
        </w:rPr>
      </w:pPr>
      <w:r w:rsidRPr="009631AB">
        <w:rPr>
          <w:rFonts w:eastAsia="Batang" w:cs="Times"/>
          <w:bCs/>
          <w:szCs w:val="20"/>
        </w:rPr>
        <w:t xml:space="preserve">En primer lugar, recordó que el artículo 8.3 de la Convención Americana establece la prohibición de admisión de pruebas derivadas de forma directa o indirecta de la coacción. Con base en lo anterior, valoró que la declaración presumarial rendida por el señor Montesinos bajo coacción no fue debidamente excluida del proceso penal. Por el contrario, dicha declaración presumarial fue utilizada en el proceso sin valorar nunca la denuncia de coacción ni la necesidad de excluir las supuestas confesiones. De esta forma, </w:t>
      </w:r>
      <w:r w:rsidR="00051E84" w:rsidRPr="009631AB">
        <w:rPr>
          <w:rFonts w:eastAsia="Batang" w:cs="Times"/>
          <w:bCs/>
          <w:szCs w:val="20"/>
        </w:rPr>
        <w:t>concluyó que en el presente caso se vulneró el</w:t>
      </w:r>
      <w:r w:rsidRPr="009631AB">
        <w:rPr>
          <w:rFonts w:eastAsia="Batang" w:cs="Times"/>
          <w:bCs/>
          <w:szCs w:val="20"/>
        </w:rPr>
        <w:t xml:space="preserve"> artículo 8.3 de la Convención</w:t>
      </w:r>
      <w:r w:rsidR="00750698">
        <w:rPr>
          <w:rFonts w:eastAsia="Batang" w:cs="Times"/>
          <w:bCs/>
          <w:szCs w:val="20"/>
        </w:rPr>
        <w:t>.</w:t>
      </w:r>
    </w:p>
    <w:p w14:paraId="739F3BA2" w14:textId="77777777" w:rsidR="00766842" w:rsidRPr="009631AB" w:rsidRDefault="00766842" w:rsidP="00766842">
      <w:pPr>
        <w:autoSpaceDE w:val="0"/>
        <w:autoSpaceDN w:val="0"/>
        <w:adjustRightInd w:val="0"/>
        <w:spacing w:after="0" w:line="240" w:lineRule="auto"/>
        <w:jc w:val="both"/>
        <w:rPr>
          <w:rFonts w:eastAsia="Batang" w:cs="Times"/>
          <w:bCs/>
          <w:szCs w:val="20"/>
        </w:rPr>
      </w:pPr>
    </w:p>
    <w:p w14:paraId="3EBFB3CE" w14:textId="7BCF1168" w:rsidR="00766842" w:rsidRPr="009631AB" w:rsidRDefault="00766842" w:rsidP="00766842">
      <w:pPr>
        <w:numPr>
          <w:ilvl w:val="0"/>
          <w:numId w:val="4"/>
        </w:numPr>
        <w:autoSpaceDE w:val="0"/>
        <w:autoSpaceDN w:val="0"/>
        <w:adjustRightInd w:val="0"/>
        <w:spacing w:after="0" w:line="240" w:lineRule="auto"/>
        <w:jc w:val="both"/>
        <w:rPr>
          <w:rFonts w:eastAsia="Batang" w:cs="Times"/>
          <w:bCs/>
          <w:szCs w:val="20"/>
        </w:rPr>
      </w:pPr>
      <w:r w:rsidRPr="009631AB">
        <w:rPr>
          <w:rFonts w:eastAsia="Batang" w:cs="Times"/>
          <w:bCs/>
          <w:szCs w:val="20"/>
        </w:rPr>
        <w:t xml:space="preserve">En segundo lugar, </w:t>
      </w:r>
      <w:r w:rsidR="00051E84" w:rsidRPr="009631AB">
        <w:rPr>
          <w:rFonts w:eastAsia="Batang" w:cs="Times"/>
          <w:bCs/>
          <w:szCs w:val="20"/>
        </w:rPr>
        <w:t xml:space="preserve">recordó </w:t>
      </w:r>
      <w:r w:rsidRPr="009631AB">
        <w:rPr>
          <w:rFonts w:eastAsia="Batang" w:cs="Times"/>
          <w:bCs/>
          <w:szCs w:val="20"/>
        </w:rPr>
        <w:t xml:space="preserve">que el derecho a la defensa técnica debe poder ejercerse desde que una persona es señalada como presunto responsable de un delito. </w:t>
      </w:r>
      <w:r w:rsidR="00051E84" w:rsidRPr="009631AB">
        <w:rPr>
          <w:rFonts w:eastAsia="Batang" w:cs="Times"/>
          <w:bCs/>
          <w:szCs w:val="20"/>
        </w:rPr>
        <w:t>Así, sobre</w:t>
      </w:r>
      <w:r w:rsidRPr="009631AB">
        <w:rPr>
          <w:rFonts w:eastAsia="Batang" w:cs="Times"/>
          <w:bCs/>
          <w:szCs w:val="20"/>
        </w:rPr>
        <w:t xml:space="preserve"> el caso en concreto, </w:t>
      </w:r>
      <w:r w:rsidR="00051E84" w:rsidRPr="009631AB">
        <w:rPr>
          <w:rFonts w:eastAsia="Batang" w:cs="Times"/>
          <w:bCs/>
          <w:szCs w:val="20"/>
        </w:rPr>
        <w:t xml:space="preserve">indicó que </w:t>
      </w:r>
      <w:r w:rsidRPr="009631AB">
        <w:rPr>
          <w:rFonts w:eastAsia="Batang" w:cs="Times"/>
          <w:bCs/>
          <w:szCs w:val="20"/>
        </w:rPr>
        <w:t>el señor Montesinos no tuvo un defensor que le asistiera en la declaración presumarial y en las declaraciones posteriores</w:t>
      </w:r>
      <w:r w:rsidR="00051E84" w:rsidRPr="009631AB">
        <w:rPr>
          <w:rFonts w:eastAsia="Batang" w:cs="Times"/>
          <w:bCs/>
          <w:szCs w:val="20"/>
        </w:rPr>
        <w:t xml:space="preserve">, por lo que </w:t>
      </w:r>
      <w:r w:rsidRPr="009631AB">
        <w:rPr>
          <w:rFonts w:eastAsia="Batang" w:cs="Times"/>
          <w:bCs/>
          <w:szCs w:val="20"/>
        </w:rPr>
        <w:t xml:space="preserve">concluyó la vulneración del artículo 8.2 d) de la Convención Americana. </w:t>
      </w:r>
    </w:p>
    <w:p w14:paraId="5B61CCB6" w14:textId="77777777" w:rsidR="00766842" w:rsidRPr="009631AB" w:rsidRDefault="00766842" w:rsidP="00766842">
      <w:pPr>
        <w:autoSpaceDE w:val="0"/>
        <w:autoSpaceDN w:val="0"/>
        <w:adjustRightInd w:val="0"/>
        <w:spacing w:after="0" w:line="240" w:lineRule="auto"/>
        <w:jc w:val="both"/>
        <w:rPr>
          <w:rFonts w:eastAsia="Batang" w:cs="Times"/>
          <w:bCs/>
          <w:szCs w:val="20"/>
        </w:rPr>
      </w:pPr>
    </w:p>
    <w:p w14:paraId="51F74B04" w14:textId="7A1FC60F" w:rsidR="00766842" w:rsidRPr="009631AB" w:rsidRDefault="00766842" w:rsidP="00766842">
      <w:pPr>
        <w:numPr>
          <w:ilvl w:val="0"/>
          <w:numId w:val="4"/>
        </w:numPr>
        <w:autoSpaceDE w:val="0"/>
        <w:autoSpaceDN w:val="0"/>
        <w:adjustRightInd w:val="0"/>
        <w:spacing w:after="0" w:line="240" w:lineRule="auto"/>
        <w:jc w:val="both"/>
        <w:rPr>
          <w:rFonts w:eastAsia="Batang" w:cs="Times"/>
          <w:bCs/>
          <w:szCs w:val="20"/>
        </w:rPr>
      </w:pPr>
      <w:r w:rsidRPr="009631AB">
        <w:rPr>
          <w:rFonts w:eastAsia="Batang" w:cs="Times"/>
          <w:bCs/>
          <w:szCs w:val="20"/>
        </w:rPr>
        <w:lastRenderedPageBreak/>
        <w:t xml:space="preserve">Tercero, sobre la presunción de inocencia, la Comisión recordó que esta implica que es carga probatoria de quien acusa el demostrar la comisión del delito. </w:t>
      </w:r>
      <w:r w:rsidR="00051E84" w:rsidRPr="009631AB">
        <w:rPr>
          <w:rFonts w:eastAsia="Batang" w:cs="Times"/>
          <w:bCs/>
          <w:szCs w:val="20"/>
        </w:rPr>
        <w:t>Sin embargo</w:t>
      </w:r>
      <w:r w:rsidR="005B3D7C">
        <w:rPr>
          <w:rFonts w:eastAsia="Batang" w:cs="Times"/>
          <w:bCs/>
          <w:szCs w:val="20"/>
        </w:rPr>
        <w:t>,</w:t>
      </w:r>
      <w:r w:rsidR="00051E84" w:rsidRPr="009631AB">
        <w:rPr>
          <w:rFonts w:eastAsia="Batang" w:cs="Times"/>
          <w:bCs/>
          <w:szCs w:val="20"/>
        </w:rPr>
        <w:t xml:space="preserve"> de lo anterior,</w:t>
      </w:r>
      <w:r w:rsidRPr="009631AB">
        <w:rPr>
          <w:rFonts w:eastAsia="Batang" w:cs="Times"/>
          <w:bCs/>
          <w:szCs w:val="20"/>
        </w:rPr>
        <w:t xml:space="preserve"> s</w:t>
      </w:r>
      <w:r w:rsidR="00051E84" w:rsidRPr="009631AB">
        <w:rPr>
          <w:rFonts w:eastAsia="Batang" w:cs="Times"/>
          <w:bCs/>
          <w:szCs w:val="20"/>
        </w:rPr>
        <w:t>eñaló</w:t>
      </w:r>
      <w:r w:rsidRPr="009631AB">
        <w:rPr>
          <w:rFonts w:eastAsia="Batang" w:cs="Times"/>
          <w:bCs/>
          <w:szCs w:val="20"/>
        </w:rPr>
        <w:t xml:space="preserve"> la Comisión, en el caso </w:t>
      </w:r>
      <w:r w:rsidR="00051E84" w:rsidRPr="009631AB">
        <w:rPr>
          <w:rFonts w:eastAsia="Batang" w:cs="Times"/>
          <w:bCs/>
          <w:szCs w:val="20"/>
        </w:rPr>
        <w:t xml:space="preserve">concreto </w:t>
      </w:r>
      <w:r w:rsidRPr="009631AB">
        <w:rPr>
          <w:rFonts w:eastAsia="Batang" w:cs="Times"/>
          <w:bCs/>
          <w:szCs w:val="20"/>
        </w:rPr>
        <w:t xml:space="preserve">se dio un comportamiento en contra de </w:t>
      </w:r>
      <w:r w:rsidR="00051E84" w:rsidRPr="009631AB">
        <w:rPr>
          <w:rFonts w:eastAsia="Batang" w:cs="Times"/>
          <w:bCs/>
          <w:szCs w:val="20"/>
        </w:rPr>
        <w:t>la presunción de inocencia del</w:t>
      </w:r>
      <w:r w:rsidRPr="009631AB">
        <w:rPr>
          <w:rFonts w:eastAsia="Batang" w:cs="Times"/>
          <w:bCs/>
          <w:szCs w:val="20"/>
        </w:rPr>
        <w:t xml:space="preserve"> señor Montesinos</w:t>
      </w:r>
      <w:r w:rsidR="00051E84" w:rsidRPr="009631AB">
        <w:rPr>
          <w:rFonts w:eastAsia="Batang" w:cs="Times"/>
          <w:bCs/>
          <w:szCs w:val="20"/>
        </w:rPr>
        <w:t xml:space="preserve"> pues,</w:t>
      </w:r>
      <w:r w:rsidRPr="009631AB">
        <w:rPr>
          <w:rFonts w:eastAsia="Batang" w:cs="Times"/>
          <w:bCs/>
          <w:szCs w:val="20"/>
        </w:rPr>
        <w:t xml:space="preserve"> en virtud del artículo 116 de la Ley de Estupefacientes, </w:t>
      </w:r>
      <w:r w:rsidR="00051E84" w:rsidRPr="009631AB">
        <w:rPr>
          <w:rFonts w:eastAsia="Batang" w:cs="Times"/>
          <w:bCs/>
          <w:szCs w:val="20"/>
        </w:rPr>
        <w:t xml:space="preserve">se </w:t>
      </w:r>
      <w:r w:rsidRPr="009631AB">
        <w:rPr>
          <w:rFonts w:eastAsia="Batang" w:cs="Times"/>
          <w:bCs/>
          <w:szCs w:val="20"/>
        </w:rPr>
        <w:t>establecía una presunción grave de culpabilidad</w:t>
      </w:r>
      <w:r w:rsidR="00051E84" w:rsidRPr="009631AB">
        <w:rPr>
          <w:rFonts w:eastAsia="Batang" w:cs="Times"/>
          <w:bCs/>
          <w:szCs w:val="20"/>
        </w:rPr>
        <w:t xml:space="preserve"> para todos los implicados en los delitos tipificados por dicha ley</w:t>
      </w:r>
      <w:r w:rsidRPr="009631AB">
        <w:rPr>
          <w:rFonts w:eastAsia="Batang" w:cs="Times"/>
          <w:bCs/>
          <w:szCs w:val="20"/>
        </w:rPr>
        <w:t xml:space="preserve">. </w:t>
      </w:r>
      <w:r w:rsidR="00051E84" w:rsidRPr="009631AB">
        <w:rPr>
          <w:rFonts w:eastAsia="Batang" w:cs="Times"/>
          <w:bCs/>
          <w:szCs w:val="20"/>
        </w:rPr>
        <w:t>Por lo anterior</w:t>
      </w:r>
      <w:r w:rsidRPr="009631AB">
        <w:rPr>
          <w:rFonts w:eastAsia="Batang" w:cs="Times"/>
          <w:bCs/>
          <w:szCs w:val="20"/>
        </w:rPr>
        <w:t xml:space="preserve">, la Comisión </w:t>
      </w:r>
      <w:r w:rsidR="00051E84" w:rsidRPr="009631AB">
        <w:rPr>
          <w:rFonts w:eastAsia="Batang" w:cs="Times"/>
          <w:bCs/>
          <w:szCs w:val="20"/>
        </w:rPr>
        <w:t xml:space="preserve">concluyó </w:t>
      </w:r>
      <w:r w:rsidR="00D31711" w:rsidRPr="009631AB">
        <w:rPr>
          <w:rFonts w:eastAsia="Batang" w:cs="Times"/>
          <w:bCs/>
          <w:szCs w:val="20"/>
        </w:rPr>
        <w:t xml:space="preserve">se </w:t>
      </w:r>
      <w:r w:rsidRPr="009631AB">
        <w:rPr>
          <w:rFonts w:eastAsia="Batang" w:cs="Times"/>
          <w:bCs/>
          <w:szCs w:val="20"/>
        </w:rPr>
        <w:t>vulner</w:t>
      </w:r>
      <w:r w:rsidR="00051E84" w:rsidRPr="009631AB">
        <w:rPr>
          <w:rFonts w:eastAsia="Batang" w:cs="Times"/>
          <w:bCs/>
          <w:szCs w:val="20"/>
        </w:rPr>
        <w:t>ó</w:t>
      </w:r>
      <w:r w:rsidRPr="009631AB">
        <w:rPr>
          <w:rFonts w:eastAsia="Batang" w:cs="Times"/>
          <w:bCs/>
          <w:szCs w:val="20"/>
        </w:rPr>
        <w:t xml:space="preserve"> el artículo 8.2 de la Convención. </w:t>
      </w:r>
    </w:p>
    <w:p w14:paraId="1705BDAF" w14:textId="77777777" w:rsidR="00766842" w:rsidRPr="009631AB" w:rsidRDefault="00766842" w:rsidP="00766842">
      <w:pPr>
        <w:autoSpaceDE w:val="0"/>
        <w:autoSpaceDN w:val="0"/>
        <w:adjustRightInd w:val="0"/>
        <w:spacing w:after="0" w:line="240" w:lineRule="auto"/>
        <w:jc w:val="both"/>
        <w:rPr>
          <w:rFonts w:eastAsia="Batang" w:cs="Times"/>
          <w:bCs/>
          <w:szCs w:val="20"/>
        </w:rPr>
      </w:pPr>
    </w:p>
    <w:p w14:paraId="524AA542" w14:textId="7112DFCB" w:rsidR="00766842" w:rsidRPr="009631AB" w:rsidRDefault="00766842" w:rsidP="00766842">
      <w:pPr>
        <w:numPr>
          <w:ilvl w:val="0"/>
          <w:numId w:val="4"/>
        </w:numPr>
        <w:autoSpaceDE w:val="0"/>
        <w:autoSpaceDN w:val="0"/>
        <w:adjustRightInd w:val="0"/>
        <w:spacing w:after="0" w:line="240" w:lineRule="auto"/>
        <w:jc w:val="both"/>
        <w:rPr>
          <w:rFonts w:eastAsia="Batang" w:cs="Times"/>
          <w:bCs/>
          <w:szCs w:val="20"/>
        </w:rPr>
      </w:pPr>
      <w:r w:rsidRPr="009631AB">
        <w:rPr>
          <w:rFonts w:eastAsia="Batang" w:cs="Times"/>
          <w:bCs/>
          <w:szCs w:val="20"/>
        </w:rPr>
        <w:t xml:space="preserve">Finalmente, </w:t>
      </w:r>
      <w:r w:rsidR="00D31711" w:rsidRPr="009631AB">
        <w:rPr>
          <w:rFonts w:eastAsia="Batang" w:cs="Times"/>
          <w:bCs/>
          <w:szCs w:val="20"/>
        </w:rPr>
        <w:t>respecto del</w:t>
      </w:r>
      <w:r w:rsidRPr="009631AB">
        <w:rPr>
          <w:rFonts w:eastAsia="Batang" w:cs="Times"/>
          <w:bCs/>
          <w:szCs w:val="20"/>
        </w:rPr>
        <w:t xml:space="preserve"> plazo razonable, la Comisión observó</w:t>
      </w:r>
      <w:r w:rsidR="00D31711" w:rsidRPr="009631AB">
        <w:rPr>
          <w:rFonts w:eastAsia="Batang" w:cs="Times"/>
          <w:bCs/>
          <w:szCs w:val="20"/>
        </w:rPr>
        <w:t xml:space="preserve"> que en</w:t>
      </w:r>
      <w:r w:rsidRPr="009631AB">
        <w:rPr>
          <w:rFonts w:eastAsia="Batang" w:cs="Times"/>
          <w:bCs/>
          <w:szCs w:val="20"/>
        </w:rPr>
        <w:t xml:space="preserve"> los tres procesos penales: i) el procedimient</w:t>
      </w:r>
      <w:r w:rsidR="00E0476C">
        <w:rPr>
          <w:rFonts w:eastAsia="Batang" w:cs="Times"/>
          <w:bCs/>
          <w:szCs w:val="20"/>
        </w:rPr>
        <w:t>o no revestía mayor complejidad</w:t>
      </w:r>
      <w:r w:rsidRPr="009631AB">
        <w:rPr>
          <w:rFonts w:eastAsia="Batang" w:cs="Times"/>
          <w:bCs/>
          <w:szCs w:val="20"/>
        </w:rPr>
        <w:t xml:space="preserve">; ii) no hay prueba aportada por el Estado que demuestre una actuación diligente por parte de las autoridades judiciales con miras a que el señor Montesinos hubiese obtenido una decisión en un plazo razonable; iii) no obra en el expediente que el señor Montesinos haya obstaculizado el proceso, y iv) la continuidad de los procesos bajo las circunstancias propias del caso, afectó a la presunta víctima </w:t>
      </w:r>
      <w:r w:rsidR="0052100E" w:rsidRPr="009631AB">
        <w:rPr>
          <w:rFonts w:eastAsia="Batang" w:cs="Times"/>
          <w:bCs/>
          <w:szCs w:val="20"/>
        </w:rPr>
        <w:t xml:space="preserve">al </w:t>
      </w:r>
      <w:r w:rsidRPr="009631AB">
        <w:rPr>
          <w:rFonts w:eastAsia="Batang" w:cs="Times"/>
          <w:bCs/>
          <w:szCs w:val="20"/>
        </w:rPr>
        <w:t>mantenerse la privación de la libertad en razón de la prohibición e excarcelación vigente a la fecha de los hechos. Así, encontró vulnerada la garantía del plazo razonable prevista en el artículo 8.1 de la Convención Americana</w:t>
      </w:r>
      <w:r w:rsidR="00E0476C">
        <w:rPr>
          <w:rFonts w:eastAsia="Batang" w:cs="Times"/>
          <w:bCs/>
          <w:szCs w:val="20"/>
        </w:rPr>
        <w:t>.</w:t>
      </w:r>
      <w:r w:rsidRPr="009631AB">
        <w:rPr>
          <w:rFonts w:eastAsia="Batang" w:cs="Times"/>
          <w:bCs/>
          <w:szCs w:val="20"/>
        </w:rPr>
        <w:t xml:space="preserve"> </w:t>
      </w:r>
    </w:p>
    <w:p w14:paraId="14B2C825" w14:textId="77777777" w:rsidR="00766842" w:rsidRPr="009631AB" w:rsidRDefault="00766842" w:rsidP="00766842">
      <w:pPr>
        <w:autoSpaceDE w:val="0"/>
        <w:autoSpaceDN w:val="0"/>
        <w:adjustRightInd w:val="0"/>
        <w:spacing w:after="0" w:line="240" w:lineRule="auto"/>
        <w:rPr>
          <w:rFonts w:eastAsia="Batang" w:cs="Times"/>
          <w:bCs/>
          <w:szCs w:val="20"/>
        </w:rPr>
      </w:pPr>
    </w:p>
    <w:p w14:paraId="29B4EDE3" w14:textId="1E84C4C0" w:rsidR="00766842" w:rsidRPr="009631AB" w:rsidRDefault="00766842" w:rsidP="00766842">
      <w:pPr>
        <w:numPr>
          <w:ilvl w:val="0"/>
          <w:numId w:val="4"/>
        </w:numPr>
        <w:autoSpaceDE w:val="0"/>
        <w:autoSpaceDN w:val="0"/>
        <w:adjustRightInd w:val="0"/>
        <w:spacing w:after="0" w:line="240" w:lineRule="auto"/>
        <w:jc w:val="both"/>
        <w:rPr>
          <w:rFonts w:eastAsia="Batang" w:cs="Times"/>
          <w:bCs/>
          <w:szCs w:val="20"/>
        </w:rPr>
      </w:pPr>
      <w:r w:rsidRPr="009631AB">
        <w:rPr>
          <w:rFonts w:eastAsia="Batang" w:cs="Times"/>
          <w:bCs/>
          <w:szCs w:val="20"/>
        </w:rPr>
        <w:t xml:space="preserve">El </w:t>
      </w:r>
      <w:r w:rsidRPr="009631AB">
        <w:rPr>
          <w:rFonts w:eastAsia="Batang" w:cs="Times"/>
          <w:b/>
          <w:bCs/>
          <w:i/>
          <w:szCs w:val="20"/>
        </w:rPr>
        <w:t>Representante</w:t>
      </w:r>
      <w:r w:rsidRPr="009631AB">
        <w:rPr>
          <w:rFonts w:eastAsia="Batang" w:cs="Times"/>
          <w:b/>
          <w:bCs/>
          <w:szCs w:val="20"/>
        </w:rPr>
        <w:t xml:space="preserve"> </w:t>
      </w:r>
      <w:r w:rsidRPr="009631AB">
        <w:rPr>
          <w:rFonts w:eastAsia="Batang" w:cs="Times"/>
          <w:bCs/>
          <w:szCs w:val="20"/>
        </w:rPr>
        <w:t>sostuvo que las tres causas penales tuvieron una demora excesiva, subrayando que se tomaron 6 años en concluir los dos procesos en donde hubo absolución y cerca de 18 años en condenar en el proceso por el delito de testaferrismo</w:t>
      </w:r>
      <w:r w:rsidR="00E0476C">
        <w:rPr>
          <w:rFonts w:eastAsia="Batang" w:cs="Times"/>
          <w:bCs/>
          <w:szCs w:val="20"/>
        </w:rPr>
        <w:t>.</w:t>
      </w:r>
      <w:r w:rsidRPr="009631AB">
        <w:rPr>
          <w:rFonts w:eastAsia="Batang" w:cs="Times"/>
          <w:bCs/>
          <w:szCs w:val="20"/>
        </w:rPr>
        <w:t xml:space="preserve"> Además, indicó que la valoración de los jueces se veía limitada por la presunción de responsabilidad penal del artículo 116 de la Ley de Estupefacientes. Adicionalmente, sostuvo que la independencia </w:t>
      </w:r>
      <w:r w:rsidR="005B3D7C">
        <w:rPr>
          <w:rFonts w:eastAsia="Batang" w:cs="Times"/>
          <w:bCs/>
          <w:szCs w:val="20"/>
        </w:rPr>
        <w:t xml:space="preserve">judicial </w:t>
      </w:r>
      <w:r w:rsidRPr="009631AB">
        <w:rPr>
          <w:rFonts w:eastAsia="Batang" w:cs="Times"/>
          <w:bCs/>
          <w:szCs w:val="20"/>
        </w:rPr>
        <w:t>también se veía minada en razón a los compromisos entre Ecuador y el gobierno de Estados Unidos de América respecto a la “lucha contra el narcotráfico”</w:t>
      </w:r>
      <w:r w:rsidR="00E0476C">
        <w:rPr>
          <w:rFonts w:eastAsia="Batang" w:cs="Times"/>
          <w:bCs/>
          <w:szCs w:val="20"/>
        </w:rPr>
        <w:t>.</w:t>
      </w:r>
      <w:r w:rsidRPr="009631AB">
        <w:rPr>
          <w:rFonts w:eastAsia="Batang" w:cs="Times"/>
          <w:bCs/>
          <w:szCs w:val="20"/>
        </w:rPr>
        <w:t xml:space="preserve"> </w:t>
      </w:r>
    </w:p>
    <w:p w14:paraId="1D16EB05" w14:textId="77777777" w:rsidR="00766842" w:rsidRPr="009631AB" w:rsidRDefault="00766842" w:rsidP="00766842">
      <w:pPr>
        <w:autoSpaceDE w:val="0"/>
        <w:autoSpaceDN w:val="0"/>
        <w:adjustRightInd w:val="0"/>
        <w:spacing w:after="0" w:line="240" w:lineRule="auto"/>
        <w:jc w:val="both"/>
        <w:rPr>
          <w:bCs/>
          <w:szCs w:val="20"/>
        </w:rPr>
      </w:pPr>
    </w:p>
    <w:p w14:paraId="1342D238" w14:textId="0BD369BF" w:rsidR="00766842" w:rsidRPr="009631AB" w:rsidRDefault="00D31711" w:rsidP="00766842">
      <w:pPr>
        <w:numPr>
          <w:ilvl w:val="0"/>
          <w:numId w:val="4"/>
        </w:numPr>
        <w:autoSpaceDE w:val="0"/>
        <w:autoSpaceDN w:val="0"/>
        <w:adjustRightInd w:val="0"/>
        <w:spacing w:after="0" w:line="240" w:lineRule="auto"/>
        <w:jc w:val="both"/>
        <w:rPr>
          <w:rFonts w:eastAsia="Batang" w:cs="Times"/>
          <w:bCs/>
          <w:szCs w:val="20"/>
        </w:rPr>
      </w:pPr>
      <w:r w:rsidRPr="009631AB">
        <w:rPr>
          <w:rFonts w:eastAsia="Batang" w:cs="Times"/>
          <w:bCs/>
          <w:szCs w:val="20"/>
        </w:rPr>
        <w:t>R</w:t>
      </w:r>
      <w:r w:rsidR="00766842" w:rsidRPr="009631AB">
        <w:rPr>
          <w:rFonts w:eastAsia="Batang" w:cs="Times"/>
          <w:bCs/>
          <w:szCs w:val="20"/>
        </w:rPr>
        <w:t xml:space="preserve">especto de la presunta vulneración del artículo 8.2 de la Convención, el representante se sumó al argumento de la Comisión relativo a la afectación de la presunción de inocencia en razón del artículo 116 de la Ley de Estupefacientes. </w:t>
      </w:r>
      <w:r w:rsidRPr="009631AB">
        <w:rPr>
          <w:rFonts w:eastAsia="Batang" w:cs="Times"/>
          <w:bCs/>
          <w:szCs w:val="20"/>
        </w:rPr>
        <w:t>Alegó, además,</w:t>
      </w:r>
      <w:r w:rsidR="00766842" w:rsidRPr="009631AB">
        <w:rPr>
          <w:rFonts w:eastAsia="Batang" w:cs="Times"/>
          <w:bCs/>
          <w:szCs w:val="20"/>
        </w:rPr>
        <w:t xml:space="preserve"> la vulneración del artículo 8.2 b) </w:t>
      </w:r>
      <w:r w:rsidRPr="009631AB">
        <w:rPr>
          <w:rFonts w:eastAsia="Batang" w:cs="Times"/>
          <w:bCs/>
          <w:szCs w:val="20"/>
        </w:rPr>
        <w:t xml:space="preserve">de la Convención </w:t>
      </w:r>
      <w:r w:rsidR="00766842" w:rsidRPr="009631AB">
        <w:rPr>
          <w:rFonts w:eastAsia="Batang" w:cs="Times"/>
          <w:bCs/>
          <w:szCs w:val="20"/>
        </w:rPr>
        <w:t xml:space="preserve">por la falta de conocimiento que el señor Montesinos tuvo de los hechos imputados en su contra. </w:t>
      </w:r>
      <w:r w:rsidRPr="009631AB">
        <w:rPr>
          <w:rFonts w:eastAsia="Batang" w:cs="Times"/>
          <w:bCs/>
          <w:szCs w:val="20"/>
        </w:rPr>
        <w:t>Asimismo</w:t>
      </w:r>
      <w:r w:rsidR="00766842" w:rsidRPr="009631AB">
        <w:rPr>
          <w:rFonts w:eastAsia="Batang" w:cs="Times"/>
          <w:bCs/>
          <w:szCs w:val="20"/>
        </w:rPr>
        <w:t>, indicó que, como efecto de la incomunicación, el señor Montesinos no pudo escoger ni comunicarse con su defensor; y una vez se pudo comunicar con el defensor, la comunicación no era libre al haber un agente policial vigilando las reuniones</w:t>
      </w:r>
      <w:r w:rsidR="00E0476C">
        <w:rPr>
          <w:rFonts w:eastAsia="Batang" w:cs="Times"/>
          <w:bCs/>
          <w:szCs w:val="20"/>
        </w:rPr>
        <w:t>.</w:t>
      </w:r>
      <w:r w:rsidR="00766842" w:rsidRPr="009631AB">
        <w:rPr>
          <w:rFonts w:eastAsia="Batang" w:cs="Times"/>
          <w:bCs/>
          <w:szCs w:val="20"/>
        </w:rPr>
        <w:t xml:space="preserve"> </w:t>
      </w:r>
      <w:r w:rsidRPr="009631AB">
        <w:rPr>
          <w:rFonts w:eastAsia="Batang" w:cs="Times"/>
          <w:bCs/>
          <w:szCs w:val="20"/>
        </w:rPr>
        <w:t>Por otro lado, sostuvo</w:t>
      </w:r>
      <w:r w:rsidR="00766842" w:rsidRPr="009631AB">
        <w:rPr>
          <w:rFonts w:eastAsia="Batang" w:cs="Times"/>
          <w:bCs/>
          <w:szCs w:val="20"/>
        </w:rPr>
        <w:t xml:space="preserve"> que existió una violación al artículo 8.3 de la Convención debido a la obtención y uso en los procesos penales de pruebas obtenidas por medio de coacción</w:t>
      </w:r>
      <w:r w:rsidR="00E0476C">
        <w:rPr>
          <w:rFonts w:eastAsia="Batang" w:cs="Times"/>
          <w:bCs/>
          <w:szCs w:val="20"/>
        </w:rPr>
        <w:t>.</w:t>
      </w:r>
      <w:r w:rsidR="00766842" w:rsidRPr="009631AB">
        <w:rPr>
          <w:rFonts w:eastAsia="Batang" w:cs="Times"/>
          <w:bCs/>
          <w:szCs w:val="20"/>
        </w:rPr>
        <w:t xml:space="preserve"> </w:t>
      </w:r>
    </w:p>
    <w:p w14:paraId="0587790D" w14:textId="77777777" w:rsidR="00766842" w:rsidRPr="009631AB" w:rsidRDefault="00766842" w:rsidP="00766842">
      <w:pPr>
        <w:autoSpaceDE w:val="0"/>
        <w:autoSpaceDN w:val="0"/>
        <w:adjustRightInd w:val="0"/>
        <w:spacing w:after="0" w:line="240" w:lineRule="auto"/>
        <w:jc w:val="both"/>
        <w:rPr>
          <w:bCs/>
          <w:szCs w:val="20"/>
        </w:rPr>
      </w:pPr>
    </w:p>
    <w:p w14:paraId="393B9EDF" w14:textId="543905F1" w:rsidR="00766842" w:rsidRPr="009631AB" w:rsidRDefault="00766842" w:rsidP="00766842">
      <w:pPr>
        <w:numPr>
          <w:ilvl w:val="0"/>
          <w:numId w:val="4"/>
        </w:numPr>
        <w:autoSpaceDE w:val="0"/>
        <w:autoSpaceDN w:val="0"/>
        <w:adjustRightInd w:val="0"/>
        <w:spacing w:after="0" w:line="240" w:lineRule="auto"/>
        <w:jc w:val="both"/>
        <w:rPr>
          <w:rFonts w:eastAsia="Batang" w:cs="Times"/>
          <w:bCs/>
          <w:szCs w:val="20"/>
        </w:rPr>
      </w:pPr>
      <w:r w:rsidRPr="009631AB">
        <w:rPr>
          <w:rFonts w:eastAsia="Batang" w:cs="Times"/>
          <w:bCs/>
          <w:szCs w:val="20"/>
        </w:rPr>
        <w:t>Finalmente, estableció que se vulneró el derecho a la debida motivación en la sentencia condenatoria por el delito de testaferrismo dictada por la Sala de la Corte Provincial de Justicia de Pichincha</w:t>
      </w:r>
      <w:r w:rsidR="00E0476C">
        <w:rPr>
          <w:rFonts w:eastAsia="Batang" w:cs="Times"/>
          <w:bCs/>
          <w:szCs w:val="20"/>
        </w:rPr>
        <w:t>.</w:t>
      </w:r>
      <w:r w:rsidRPr="009631AB">
        <w:rPr>
          <w:rFonts w:eastAsia="Batang" w:cs="Times"/>
          <w:bCs/>
          <w:szCs w:val="20"/>
        </w:rPr>
        <w:t xml:space="preserve"> Asimismo, indicó que dicha sentencia vulneró el artículo 8.4 de la Convención, pues los autos cabezas por los cuales se iniciaron los tres procesos penales eran idénticos, es decir, se iniciaron tres procesos penales por los mismos hechos. A esto sumó, que en la decisión favorable de dos procesos se estableció la relación entre los delitos, por lo que no podría existir una condena en el tercer proceso en función de los mismos hechos. De esta forma, según el representante, existe en el presente caso una violación a la garantía del </w:t>
      </w:r>
      <w:proofErr w:type="spellStart"/>
      <w:r w:rsidRPr="009631AB">
        <w:rPr>
          <w:rFonts w:eastAsia="Batang" w:cs="Times"/>
          <w:bCs/>
          <w:i/>
          <w:szCs w:val="20"/>
        </w:rPr>
        <w:t>n</w:t>
      </w:r>
      <w:r w:rsidR="005B3D7C">
        <w:rPr>
          <w:rFonts w:eastAsia="Batang" w:cs="Times"/>
          <w:bCs/>
          <w:i/>
          <w:szCs w:val="20"/>
        </w:rPr>
        <w:t>e</w:t>
      </w:r>
      <w:proofErr w:type="spellEnd"/>
      <w:r w:rsidRPr="009631AB">
        <w:rPr>
          <w:rFonts w:eastAsia="Batang" w:cs="Times"/>
          <w:bCs/>
          <w:i/>
          <w:szCs w:val="20"/>
        </w:rPr>
        <w:t xml:space="preserve"> bis in ídem</w:t>
      </w:r>
      <w:r w:rsidRPr="009631AB">
        <w:rPr>
          <w:rFonts w:eastAsia="Batang" w:cs="Times"/>
          <w:bCs/>
          <w:szCs w:val="20"/>
        </w:rPr>
        <w:t xml:space="preserve"> derivada del artículo 8.4 de la Convención</w:t>
      </w:r>
      <w:r w:rsidR="00E0476C">
        <w:rPr>
          <w:rFonts w:eastAsia="Batang" w:cs="Times"/>
          <w:bCs/>
          <w:szCs w:val="20"/>
        </w:rPr>
        <w:t>.</w:t>
      </w:r>
      <w:r w:rsidRPr="009631AB">
        <w:rPr>
          <w:rFonts w:eastAsia="Batang" w:cs="Times"/>
          <w:bCs/>
          <w:szCs w:val="20"/>
        </w:rPr>
        <w:t xml:space="preserve"> </w:t>
      </w:r>
    </w:p>
    <w:p w14:paraId="3F4A9EDD" w14:textId="77777777" w:rsidR="00766842" w:rsidRPr="009631AB" w:rsidRDefault="00766842" w:rsidP="00766842">
      <w:pPr>
        <w:autoSpaceDE w:val="0"/>
        <w:autoSpaceDN w:val="0"/>
        <w:adjustRightInd w:val="0"/>
        <w:spacing w:after="0" w:line="240" w:lineRule="auto"/>
        <w:jc w:val="both"/>
        <w:rPr>
          <w:bCs/>
          <w:szCs w:val="20"/>
        </w:rPr>
      </w:pPr>
    </w:p>
    <w:p w14:paraId="2CBD5390" w14:textId="4079EC8D" w:rsidR="00766842" w:rsidRPr="009631AB" w:rsidRDefault="00766842" w:rsidP="00766842">
      <w:pPr>
        <w:numPr>
          <w:ilvl w:val="0"/>
          <w:numId w:val="4"/>
        </w:numPr>
        <w:autoSpaceDE w:val="0"/>
        <w:autoSpaceDN w:val="0"/>
        <w:adjustRightInd w:val="0"/>
        <w:spacing w:after="0" w:line="240" w:lineRule="auto"/>
        <w:jc w:val="both"/>
        <w:rPr>
          <w:rFonts w:eastAsia="Calibri" w:cs="Times"/>
          <w:szCs w:val="20"/>
        </w:rPr>
      </w:pPr>
      <w:r w:rsidRPr="009631AB">
        <w:rPr>
          <w:rFonts w:eastAsia="Batang" w:cs="Times"/>
          <w:bCs/>
          <w:szCs w:val="20"/>
        </w:rPr>
        <w:t xml:space="preserve">El </w:t>
      </w:r>
      <w:r w:rsidRPr="009631AB">
        <w:rPr>
          <w:rFonts w:eastAsia="Batang" w:cs="Times"/>
          <w:b/>
          <w:bCs/>
          <w:i/>
          <w:szCs w:val="20"/>
        </w:rPr>
        <w:t>Estado</w:t>
      </w:r>
      <w:r w:rsidRPr="009631AB">
        <w:rPr>
          <w:rFonts w:eastAsia="Batang" w:cs="Times"/>
          <w:bCs/>
          <w:i/>
          <w:szCs w:val="20"/>
        </w:rPr>
        <w:t>,</w:t>
      </w:r>
      <w:r w:rsidRPr="009631AB">
        <w:rPr>
          <w:rFonts w:eastAsia="Batang" w:cs="Times"/>
          <w:b/>
          <w:bCs/>
          <w:i/>
          <w:szCs w:val="20"/>
        </w:rPr>
        <w:t xml:space="preserve"> </w:t>
      </w:r>
      <w:r w:rsidRPr="009631AB">
        <w:rPr>
          <w:rFonts w:eastAsia="Batang" w:cs="Times"/>
          <w:bCs/>
          <w:szCs w:val="20"/>
        </w:rPr>
        <w:t xml:space="preserve">por su parte, afirmó que no existió vulneración a las garantías del artículo 8 de la Convención Americana. </w:t>
      </w:r>
      <w:r w:rsidR="00722A7B" w:rsidRPr="009631AB">
        <w:rPr>
          <w:rFonts w:eastAsia="Batang" w:cs="Times"/>
          <w:bCs/>
          <w:szCs w:val="20"/>
        </w:rPr>
        <w:t xml:space="preserve">Así, en </w:t>
      </w:r>
      <w:r w:rsidRPr="009631AB">
        <w:rPr>
          <w:rFonts w:eastAsia="Batang" w:cs="Times"/>
          <w:bCs/>
          <w:szCs w:val="20"/>
        </w:rPr>
        <w:t xml:space="preserve">primer lugar, sobre el artículo 8.1 sostuvo: i) que la Comisión habría hecho una valoración general respecto del plazo razonable de los tres procesos sin analizar los elementos jurídicos particulares de cada proceso y su demora. Así, indicó, no se tuvo en cuenta que la defensa del señor Montesinos llevó a cabo diversas actuaciones que devinieron en la dilatación del proceso; ii) sobre la garantía del juez </w:t>
      </w:r>
      <w:r w:rsidRPr="009631AB">
        <w:rPr>
          <w:rFonts w:eastAsia="Batang" w:cs="Times"/>
          <w:bCs/>
          <w:szCs w:val="20"/>
        </w:rPr>
        <w:lastRenderedPageBreak/>
        <w:t xml:space="preserve">competente, independiente e imparcial, sostuvo que el señor Montesinos fue juzgado por los jueces competentes según la normatividad vigente a la fecha. Además, enfatizó que los alegatos del representante se dirigen contra el juez del proceso penal por testaferrismo en el cual hubo condena. </w:t>
      </w:r>
      <w:r w:rsidR="00D5699B" w:rsidRPr="009631AB">
        <w:rPr>
          <w:rFonts w:eastAsia="Batang" w:cs="Times"/>
          <w:bCs/>
          <w:szCs w:val="20"/>
        </w:rPr>
        <w:t>Asimismo</w:t>
      </w:r>
      <w:r w:rsidRPr="009631AB">
        <w:rPr>
          <w:rFonts w:eastAsia="Batang" w:cs="Times"/>
          <w:bCs/>
          <w:szCs w:val="20"/>
        </w:rPr>
        <w:t>, precisó que en el marco de ese proceso la sentencia condenatoria tuvo una debida motivación</w:t>
      </w:r>
      <w:r w:rsidR="00750698">
        <w:rPr>
          <w:rFonts w:eastAsia="Batang" w:cs="Times"/>
          <w:bCs/>
          <w:szCs w:val="20"/>
        </w:rPr>
        <w:t>.</w:t>
      </w:r>
      <w:r w:rsidRPr="009631AB">
        <w:rPr>
          <w:rFonts w:eastAsia="Batang" w:cs="Times"/>
          <w:bCs/>
          <w:szCs w:val="20"/>
        </w:rPr>
        <w:t xml:space="preserve"> </w:t>
      </w:r>
    </w:p>
    <w:p w14:paraId="763B7587" w14:textId="77777777" w:rsidR="00766842" w:rsidRPr="009631AB" w:rsidRDefault="00766842" w:rsidP="00766842">
      <w:pPr>
        <w:spacing w:after="0" w:line="240" w:lineRule="auto"/>
        <w:jc w:val="both"/>
        <w:rPr>
          <w:rFonts w:eastAsia="Calibri" w:cs="Times"/>
          <w:szCs w:val="20"/>
        </w:rPr>
      </w:pPr>
    </w:p>
    <w:p w14:paraId="6218C16A" w14:textId="5A38C358" w:rsidR="00766842" w:rsidRPr="009631AB" w:rsidRDefault="00766842" w:rsidP="00766842">
      <w:pPr>
        <w:numPr>
          <w:ilvl w:val="0"/>
          <w:numId w:val="4"/>
        </w:numPr>
        <w:autoSpaceDE w:val="0"/>
        <w:autoSpaceDN w:val="0"/>
        <w:adjustRightInd w:val="0"/>
        <w:spacing w:after="0" w:line="240" w:lineRule="auto"/>
        <w:jc w:val="both"/>
        <w:rPr>
          <w:rFonts w:eastAsia="Calibri" w:cs="Times"/>
          <w:szCs w:val="20"/>
        </w:rPr>
      </w:pPr>
      <w:r w:rsidRPr="009631AB">
        <w:rPr>
          <w:rFonts w:eastAsia="Calibri" w:cs="Times"/>
          <w:szCs w:val="20"/>
        </w:rPr>
        <w:t>En segundo lugar, sobre el artículo 8.2, el Estado manifestó que la normatividad y las formas del proceso penal garantizaron la presunción de inocencia</w:t>
      </w:r>
      <w:r w:rsidR="00722A7B" w:rsidRPr="009631AB">
        <w:rPr>
          <w:rFonts w:eastAsia="Calibri" w:cs="Times"/>
          <w:szCs w:val="20"/>
        </w:rPr>
        <w:t>, prueba de lo cual serían los</w:t>
      </w:r>
      <w:r w:rsidRPr="009631AB">
        <w:rPr>
          <w:rFonts w:eastAsia="Calibri" w:cs="Times"/>
          <w:szCs w:val="20"/>
        </w:rPr>
        <w:t xml:space="preserve"> dos procesos penales </w:t>
      </w:r>
      <w:r w:rsidR="00722A7B" w:rsidRPr="009631AB">
        <w:rPr>
          <w:rFonts w:eastAsia="Calibri" w:cs="Times"/>
          <w:szCs w:val="20"/>
        </w:rPr>
        <w:t xml:space="preserve">en los que </w:t>
      </w:r>
      <w:r w:rsidRPr="009631AB">
        <w:rPr>
          <w:rFonts w:eastAsia="Calibri" w:cs="Times"/>
          <w:szCs w:val="20"/>
        </w:rPr>
        <w:t>se absolvió al señor Montesinos. Además, alegó que el representante manifiesta una inconformidad con el resultado de los procesos, más no una vulneración al debido proceso</w:t>
      </w:r>
      <w:r w:rsidR="00750698" w:rsidRPr="0086767B">
        <w:rPr>
          <w:rFonts w:eastAsia="Batang" w:cs="Times"/>
          <w:bCs/>
          <w:szCs w:val="20"/>
        </w:rPr>
        <w:t>.</w:t>
      </w:r>
    </w:p>
    <w:p w14:paraId="6AC0E5A2" w14:textId="77777777" w:rsidR="00766842" w:rsidRPr="009631AB" w:rsidRDefault="00766842" w:rsidP="00766842">
      <w:pPr>
        <w:spacing w:after="0" w:line="240" w:lineRule="auto"/>
        <w:jc w:val="both"/>
        <w:rPr>
          <w:rFonts w:eastAsia="Calibri" w:cs="Times"/>
          <w:szCs w:val="20"/>
        </w:rPr>
      </w:pPr>
    </w:p>
    <w:p w14:paraId="053667CC" w14:textId="122AF562" w:rsidR="00766842" w:rsidRPr="009631AB" w:rsidRDefault="00766842" w:rsidP="00766842">
      <w:pPr>
        <w:numPr>
          <w:ilvl w:val="0"/>
          <w:numId w:val="4"/>
        </w:numPr>
        <w:autoSpaceDE w:val="0"/>
        <w:autoSpaceDN w:val="0"/>
        <w:adjustRightInd w:val="0"/>
        <w:spacing w:after="0" w:line="240" w:lineRule="auto"/>
        <w:jc w:val="both"/>
        <w:rPr>
          <w:rFonts w:eastAsia="Calibri" w:cs="Times"/>
          <w:szCs w:val="20"/>
        </w:rPr>
      </w:pPr>
      <w:r w:rsidRPr="009631AB">
        <w:rPr>
          <w:rFonts w:eastAsia="Calibri" w:cs="Times"/>
          <w:szCs w:val="20"/>
        </w:rPr>
        <w:t>En tercer lugar, el Estado sostuvo que no hay vulneración al artículo 8.3 en tanto el señor Montesinos siempre contó con una defensa técnica y patrocinio jurídico</w:t>
      </w:r>
      <w:r w:rsidR="00750698">
        <w:rPr>
          <w:rFonts w:eastAsia="Calibri" w:cs="Times"/>
          <w:szCs w:val="20"/>
        </w:rPr>
        <w:t>.</w:t>
      </w:r>
      <w:r w:rsidRPr="009631AB">
        <w:rPr>
          <w:rFonts w:eastAsia="Calibri" w:cs="Times"/>
          <w:szCs w:val="20"/>
        </w:rPr>
        <w:t xml:space="preserve"> </w:t>
      </w:r>
    </w:p>
    <w:p w14:paraId="1338BED3" w14:textId="77777777" w:rsidR="00766842" w:rsidRPr="009631AB" w:rsidRDefault="00766842" w:rsidP="00766842">
      <w:pPr>
        <w:spacing w:after="0" w:line="240" w:lineRule="auto"/>
        <w:jc w:val="both"/>
        <w:rPr>
          <w:rFonts w:eastAsia="Calibri" w:cs="Times"/>
          <w:szCs w:val="20"/>
        </w:rPr>
      </w:pPr>
    </w:p>
    <w:p w14:paraId="02FD6399" w14:textId="2C2BBF8D" w:rsidR="00766842" w:rsidRPr="009631AB" w:rsidRDefault="00766842" w:rsidP="00766842">
      <w:pPr>
        <w:numPr>
          <w:ilvl w:val="0"/>
          <w:numId w:val="4"/>
        </w:numPr>
        <w:autoSpaceDE w:val="0"/>
        <w:autoSpaceDN w:val="0"/>
        <w:adjustRightInd w:val="0"/>
        <w:spacing w:after="0" w:line="240" w:lineRule="auto"/>
        <w:jc w:val="both"/>
        <w:rPr>
          <w:rFonts w:eastAsia="Batang" w:cs="Times"/>
          <w:b/>
          <w:bCs/>
          <w:szCs w:val="20"/>
        </w:rPr>
      </w:pPr>
      <w:r w:rsidRPr="009631AB">
        <w:rPr>
          <w:rFonts w:eastAsia="Calibri" w:cs="Times"/>
          <w:szCs w:val="20"/>
        </w:rPr>
        <w:t>Finalmente, en relación con el artículo 8.4, el Estado precisó que cada uno de los procesos penales se llevó a cabo por medio de un fundamento jurídico y fáctico distinto. Agregó que esto fue reconocido por el Representante en el marco del trámite ante la Comisión</w:t>
      </w:r>
      <w:r w:rsidR="00750698">
        <w:rPr>
          <w:rFonts w:eastAsia="Calibri" w:cs="Times"/>
          <w:szCs w:val="20"/>
        </w:rPr>
        <w:t>.</w:t>
      </w:r>
      <w:r w:rsidRPr="009631AB">
        <w:rPr>
          <w:rFonts w:eastAsia="Calibri" w:cs="Times"/>
          <w:szCs w:val="20"/>
        </w:rPr>
        <w:t xml:space="preserve"> </w:t>
      </w:r>
      <w:bookmarkStart w:id="134" w:name="_Toc18768931"/>
      <w:bookmarkStart w:id="135" w:name="_Toc18768951"/>
      <w:bookmarkStart w:id="136" w:name="_Toc18769651"/>
    </w:p>
    <w:p w14:paraId="4DE287DF" w14:textId="77777777" w:rsidR="00766842" w:rsidRPr="009631AB" w:rsidRDefault="00766842" w:rsidP="00766842">
      <w:pPr>
        <w:autoSpaceDE w:val="0"/>
        <w:autoSpaceDN w:val="0"/>
        <w:adjustRightInd w:val="0"/>
        <w:spacing w:after="0" w:line="240" w:lineRule="auto"/>
        <w:jc w:val="both"/>
        <w:rPr>
          <w:rFonts w:eastAsia="Batang" w:cs="Times"/>
          <w:b/>
          <w:bCs/>
          <w:szCs w:val="20"/>
        </w:rPr>
      </w:pPr>
    </w:p>
    <w:p w14:paraId="06836510" w14:textId="64EA9478" w:rsidR="00766842" w:rsidRPr="009631AB" w:rsidRDefault="00766842" w:rsidP="00D24534">
      <w:pPr>
        <w:pStyle w:val="Ttulo2"/>
        <w:numPr>
          <w:ilvl w:val="1"/>
          <w:numId w:val="30"/>
        </w:numPr>
        <w:ind w:left="0" w:firstLine="0"/>
      </w:pPr>
      <w:bookmarkStart w:id="137" w:name="_Toc27069910"/>
      <w:r w:rsidRPr="009631AB">
        <w:t>Consideraciones de la Corte</w:t>
      </w:r>
      <w:bookmarkEnd w:id="134"/>
      <w:bookmarkEnd w:id="135"/>
      <w:bookmarkEnd w:id="136"/>
      <w:bookmarkEnd w:id="137"/>
    </w:p>
    <w:p w14:paraId="79C8C245" w14:textId="77777777" w:rsidR="00766842" w:rsidRPr="009631AB" w:rsidRDefault="00766842" w:rsidP="00766842">
      <w:pPr>
        <w:spacing w:after="0" w:line="240" w:lineRule="auto"/>
        <w:jc w:val="both"/>
        <w:rPr>
          <w:rFonts w:eastAsia="Batang" w:cs="Times"/>
          <w:b/>
          <w:i/>
          <w:szCs w:val="20"/>
        </w:rPr>
      </w:pPr>
    </w:p>
    <w:p w14:paraId="25D1B865" w14:textId="4A2DFB6C" w:rsidR="00766842" w:rsidRPr="00D24534" w:rsidRDefault="00766842" w:rsidP="00766842">
      <w:pPr>
        <w:pStyle w:val="Ttulo3"/>
        <w:rPr>
          <w:b/>
        </w:rPr>
      </w:pPr>
      <w:bookmarkStart w:id="138" w:name="_Toc27069911"/>
      <w:r w:rsidRPr="00D24534">
        <w:rPr>
          <w:b/>
        </w:rPr>
        <w:t>B.1 Sobre el artículo 8 de la Convención</w:t>
      </w:r>
      <w:bookmarkEnd w:id="138"/>
    </w:p>
    <w:p w14:paraId="799BC0BF" w14:textId="77777777" w:rsidR="00766842" w:rsidRPr="009631AB" w:rsidRDefault="00766842" w:rsidP="00766842">
      <w:pPr>
        <w:spacing w:after="0" w:line="240" w:lineRule="auto"/>
        <w:jc w:val="both"/>
        <w:rPr>
          <w:rFonts w:eastAsia="Batang" w:cs="Times"/>
          <w:bCs/>
          <w:szCs w:val="20"/>
        </w:rPr>
      </w:pPr>
    </w:p>
    <w:p w14:paraId="673E5938" w14:textId="77777777" w:rsidR="00766842" w:rsidRPr="009631AB" w:rsidRDefault="00766842" w:rsidP="00766842">
      <w:pPr>
        <w:numPr>
          <w:ilvl w:val="0"/>
          <w:numId w:val="4"/>
        </w:numPr>
        <w:spacing w:after="0" w:line="240" w:lineRule="auto"/>
        <w:jc w:val="both"/>
        <w:rPr>
          <w:rFonts w:eastAsia="Batang" w:cs="Times"/>
          <w:bCs/>
          <w:szCs w:val="20"/>
        </w:rPr>
      </w:pPr>
      <w:r w:rsidRPr="009631AB">
        <w:rPr>
          <w:rFonts w:eastAsia="Calibri" w:cs="Times"/>
          <w:szCs w:val="20"/>
        </w:rPr>
        <w:t>La Corte ha establecido que si bien el artículo 8 de la Convención Americana se titula “Garantías Judiciales”, su aplicación no se limita a los recursos judiciales en sentido estricto, “sino al conjunto de requisitos que deben observarse en las instancias procesales</w:t>
      </w:r>
      <w:r w:rsidRPr="009631AB">
        <w:rPr>
          <w:rFonts w:eastAsia="Batang" w:cs="Times"/>
          <w:szCs w:val="20"/>
          <w:vertAlign w:val="superscript"/>
        </w:rPr>
        <w:footnoteReference w:id="150"/>
      </w:r>
      <w:r w:rsidRPr="009631AB">
        <w:rPr>
          <w:rFonts w:eastAsia="Batang" w:cs="Times"/>
          <w:szCs w:val="20"/>
        </w:rPr>
        <w:t>” a efecto de que las personas puedan defenderse adecuadamente ante cualquier acto emanado del Estado que pueda afectar sus derechos</w:t>
      </w:r>
      <w:r w:rsidRPr="009631AB">
        <w:rPr>
          <w:rFonts w:eastAsia="Batang" w:cs="Times"/>
          <w:szCs w:val="20"/>
          <w:vertAlign w:val="superscript"/>
        </w:rPr>
        <w:footnoteReference w:id="151"/>
      </w:r>
      <w:r w:rsidRPr="009631AB">
        <w:rPr>
          <w:rFonts w:eastAsia="Batang" w:cs="Times"/>
          <w:szCs w:val="20"/>
        </w:rPr>
        <w:t>.</w:t>
      </w:r>
    </w:p>
    <w:p w14:paraId="5DF1A0AB" w14:textId="77777777" w:rsidR="00766842" w:rsidRPr="009631AB" w:rsidRDefault="00766842" w:rsidP="00766842">
      <w:pPr>
        <w:spacing w:after="0" w:line="240" w:lineRule="auto"/>
        <w:jc w:val="both"/>
        <w:rPr>
          <w:rFonts w:eastAsia="Batang" w:cs="Times"/>
          <w:bCs/>
          <w:szCs w:val="20"/>
        </w:rPr>
      </w:pPr>
    </w:p>
    <w:p w14:paraId="19ADAC78" w14:textId="078C321F" w:rsidR="00766842" w:rsidRPr="009631AB" w:rsidRDefault="00766842" w:rsidP="00766842">
      <w:pPr>
        <w:widowControl w:val="0"/>
        <w:numPr>
          <w:ilvl w:val="0"/>
          <w:numId w:val="4"/>
        </w:numPr>
        <w:spacing w:after="0" w:line="240" w:lineRule="auto"/>
        <w:jc w:val="both"/>
        <w:textAlignment w:val="baseline"/>
        <w:rPr>
          <w:rFonts w:eastAsia="Batang" w:cs="Times"/>
          <w:szCs w:val="20"/>
        </w:rPr>
      </w:pPr>
      <w:r w:rsidRPr="009631AB">
        <w:rPr>
          <w:rFonts w:eastAsia="Batang" w:cs="Times"/>
          <w:szCs w:val="20"/>
        </w:rPr>
        <w:t>Así, para que en un proceso existan verdaderas garantías judiciales conforme a las disposiciones del artículo 8 de la Convención, es preciso que se observen todos los requisitos que “sirv[a]n para proteger, asegurar o hacer valer la titularidad o el ejercicio de un derecho”</w:t>
      </w:r>
      <w:r w:rsidRPr="009631AB">
        <w:rPr>
          <w:rFonts w:eastAsia="Batang" w:cs="Times"/>
          <w:szCs w:val="20"/>
          <w:vertAlign w:val="superscript"/>
        </w:rPr>
        <w:footnoteReference w:id="152"/>
      </w:r>
      <w:r w:rsidRPr="009631AB">
        <w:rPr>
          <w:rFonts w:eastAsia="Batang" w:cs="Times"/>
          <w:szCs w:val="20"/>
        </w:rPr>
        <w:t>, es decir, las “condiciones que deben cumplirse para asegurar la adecuada defensa de aquéllos cuyos derechos u obligaciones están bajo consideración judicial”</w:t>
      </w:r>
      <w:r w:rsidRPr="009631AB">
        <w:rPr>
          <w:rFonts w:eastAsia="Batang" w:cs="Times"/>
          <w:szCs w:val="20"/>
          <w:vertAlign w:val="superscript"/>
        </w:rPr>
        <w:footnoteReference w:id="153"/>
      </w:r>
      <w:r w:rsidRPr="009631AB">
        <w:rPr>
          <w:rFonts w:eastAsia="Batang" w:cs="Times"/>
          <w:szCs w:val="20"/>
        </w:rPr>
        <w:t>.</w:t>
      </w:r>
    </w:p>
    <w:p w14:paraId="36BE4419" w14:textId="77777777" w:rsidR="00766842" w:rsidRPr="009631AB" w:rsidRDefault="00766842" w:rsidP="00766842">
      <w:pPr>
        <w:spacing w:after="0" w:line="240" w:lineRule="auto"/>
        <w:rPr>
          <w:szCs w:val="20"/>
        </w:rPr>
      </w:pPr>
    </w:p>
    <w:p w14:paraId="3C473804" w14:textId="1E726625" w:rsidR="00766842" w:rsidRPr="009631AB" w:rsidRDefault="00766842" w:rsidP="00766842">
      <w:pPr>
        <w:numPr>
          <w:ilvl w:val="0"/>
          <w:numId w:val="4"/>
        </w:numPr>
        <w:spacing w:after="0" w:line="240" w:lineRule="auto"/>
        <w:jc w:val="both"/>
        <w:rPr>
          <w:rFonts w:eastAsia="Batang" w:cs="Times"/>
          <w:szCs w:val="20"/>
        </w:rPr>
      </w:pPr>
      <w:r w:rsidRPr="009631AB">
        <w:rPr>
          <w:rFonts w:eastAsia="Batang" w:cs="Times"/>
          <w:szCs w:val="20"/>
        </w:rPr>
        <w:t>Además, la Corte ha establecido que, de acuerdo a lo dispuesto en el artículo 8.1 de la Convención, en la determinación de los derechos y obligaciones de las personas, de orden penal, civil, laboral, fiscal o de cualquier otro carácter, se deben observar “las debidas garantías” que aseguren, según el procedimiento de que se trate, el derecho al debido proceso; y que el incumplimiento de una de esas garantías conlleva una violación de dicha disposición convencional</w:t>
      </w:r>
      <w:r w:rsidRPr="009631AB">
        <w:rPr>
          <w:rFonts w:eastAsia="Batang" w:cs="Times New Roman"/>
          <w:szCs w:val="20"/>
          <w:vertAlign w:val="superscript"/>
        </w:rPr>
        <w:footnoteReference w:id="154"/>
      </w:r>
      <w:r w:rsidRPr="009631AB">
        <w:rPr>
          <w:rFonts w:eastAsia="Batang" w:cs="Times"/>
          <w:szCs w:val="20"/>
        </w:rPr>
        <w:t xml:space="preserve">. </w:t>
      </w:r>
      <w:r w:rsidR="00296CA6" w:rsidRPr="009631AB">
        <w:rPr>
          <w:rFonts w:eastAsia="Batang" w:cs="Times"/>
          <w:szCs w:val="20"/>
        </w:rPr>
        <w:t>Asimismo, ha indicado que e</w:t>
      </w:r>
      <w:r w:rsidRPr="009631AB">
        <w:rPr>
          <w:rFonts w:eastAsia="Batang" w:cs="Times"/>
          <w:szCs w:val="20"/>
        </w:rPr>
        <w:t xml:space="preserve">l artículo 8.2 de la Convención establece, adicionalmente, las garantías mínimas que deben ser aseguradas por los Estados </w:t>
      </w:r>
      <w:r w:rsidRPr="009631AB">
        <w:rPr>
          <w:rFonts w:eastAsia="Batang" w:cs="Times"/>
          <w:szCs w:val="20"/>
        </w:rPr>
        <w:lastRenderedPageBreak/>
        <w:t>en función del debido proceso legal</w:t>
      </w:r>
      <w:r w:rsidRPr="009631AB">
        <w:rPr>
          <w:rFonts w:eastAsia="Batang" w:cs="Times"/>
          <w:szCs w:val="20"/>
          <w:vertAlign w:val="superscript"/>
        </w:rPr>
        <w:footnoteReference w:id="155"/>
      </w:r>
      <w:r w:rsidR="00296CA6" w:rsidRPr="009631AB">
        <w:rPr>
          <w:rFonts w:eastAsia="Batang" w:cs="Times"/>
          <w:szCs w:val="20"/>
        </w:rPr>
        <w:t xml:space="preserve">. Por ello, es </w:t>
      </w:r>
      <w:r w:rsidRPr="009631AB">
        <w:rPr>
          <w:rFonts w:eastAsia="Batang" w:cs="Times"/>
          <w:szCs w:val="20"/>
        </w:rPr>
        <w:t xml:space="preserve">un derecho humano el obtener todas las garantías </w:t>
      </w:r>
      <w:r w:rsidR="00EF1E92" w:rsidRPr="009631AB">
        <w:rPr>
          <w:rFonts w:eastAsia="Batang" w:cs="Times"/>
          <w:szCs w:val="20"/>
        </w:rPr>
        <w:t xml:space="preserve">mínimas </w:t>
      </w:r>
      <w:r w:rsidRPr="009631AB">
        <w:rPr>
          <w:rFonts w:eastAsia="Batang" w:cs="Times"/>
          <w:szCs w:val="20"/>
        </w:rPr>
        <w:t>que permitan alcanzar decisiones justa</w:t>
      </w:r>
      <w:r w:rsidR="00EF1E92" w:rsidRPr="009631AB">
        <w:rPr>
          <w:rFonts w:eastAsia="Batang" w:cs="Times"/>
          <w:szCs w:val="20"/>
        </w:rPr>
        <w:t>s, las cuales</w:t>
      </w:r>
      <w:r w:rsidRPr="009631AB">
        <w:rPr>
          <w:rFonts w:eastAsia="Batang" w:cs="Times"/>
          <w:szCs w:val="20"/>
        </w:rPr>
        <w:t xml:space="preserve"> deben respetarse</w:t>
      </w:r>
      <w:r w:rsidR="00EF1E92" w:rsidRPr="009631AB">
        <w:rPr>
          <w:rFonts w:eastAsia="Batang" w:cs="Times"/>
          <w:szCs w:val="20"/>
        </w:rPr>
        <w:t xml:space="preserve"> en cualquier</w:t>
      </w:r>
      <w:r w:rsidRPr="009631AB">
        <w:rPr>
          <w:rFonts w:eastAsia="Batang" w:cs="Times"/>
          <w:szCs w:val="20"/>
        </w:rPr>
        <w:t xml:space="preserve"> procedimiento cuya decisión pueda afectar los derechos de las personas</w:t>
      </w:r>
      <w:r w:rsidRPr="009631AB">
        <w:rPr>
          <w:rFonts w:eastAsia="Batang" w:cs="Times"/>
          <w:szCs w:val="20"/>
          <w:vertAlign w:val="superscript"/>
        </w:rPr>
        <w:footnoteReference w:id="156"/>
      </w:r>
      <w:r w:rsidRPr="009631AB">
        <w:rPr>
          <w:rFonts w:eastAsia="Batang" w:cs="Times"/>
          <w:szCs w:val="20"/>
        </w:rPr>
        <w:t>.</w:t>
      </w:r>
    </w:p>
    <w:p w14:paraId="133CCF7E" w14:textId="77777777" w:rsidR="00766842" w:rsidRPr="009631AB" w:rsidRDefault="00766842" w:rsidP="00766842">
      <w:pPr>
        <w:widowControl w:val="0"/>
        <w:spacing w:after="0" w:line="240" w:lineRule="auto"/>
        <w:jc w:val="both"/>
        <w:textAlignment w:val="baseline"/>
        <w:rPr>
          <w:rFonts w:eastAsia="Batang" w:cs="Times"/>
          <w:szCs w:val="20"/>
        </w:rPr>
      </w:pPr>
    </w:p>
    <w:p w14:paraId="1EF0C6AE" w14:textId="42677C29" w:rsidR="00766842" w:rsidRPr="009631AB" w:rsidRDefault="00766842" w:rsidP="00766842">
      <w:pPr>
        <w:widowControl w:val="0"/>
        <w:numPr>
          <w:ilvl w:val="0"/>
          <w:numId w:val="4"/>
        </w:numPr>
        <w:spacing w:after="0" w:line="240" w:lineRule="auto"/>
        <w:jc w:val="both"/>
        <w:textAlignment w:val="baseline"/>
        <w:rPr>
          <w:rFonts w:eastAsia="Batang" w:cs="Times"/>
          <w:bCs/>
          <w:szCs w:val="20"/>
        </w:rPr>
      </w:pPr>
      <w:r w:rsidRPr="009631AB">
        <w:rPr>
          <w:rFonts w:eastAsia="Batang" w:cs="Times"/>
          <w:szCs w:val="20"/>
        </w:rPr>
        <w:t xml:space="preserve">En este sentido, el Tribunal estima útil analizar los argumentos de las partes referentes a la supuesta violación del artículo 8 de la Convención de la siguiente manera: a) plazo razonable de los procesos penales; b) el derecho a la defensa; c) </w:t>
      </w:r>
      <w:r w:rsidRPr="009631AB">
        <w:rPr>
          <w:rFonts w:eastAsia="Batang" w:cs="Times"/>
          <w:bCs/>
          <w:szCs w:val="20"/>
        </w:rPr>
        <w:t xml:space="preserve">regla de exclusión de pruebas obtenidas bajo coacción, y </w:t>
      </w:r>
      <w:r w:rsidR="009448BD">
        <w:rPr>
          <w:rFonts w:eastAsia="Batang" w:cs="Times"/>
          <w:bCs/>
          <w:szCs w:val="20"/>
        </w:rPr>
        <w:t>d</w:t>
      </w:r>
      <w:r w:rsidRPr="009631AB">
        <w:rPr>
          <w:rFonts w:eastAsia="Batang" w:cs="Times"/>
          <w:bCs/>
          <w:szCs w:val="20"/>
        </w:rPr>
        <w:t xml:space="preserve">) </w:t>
      </w:r>
      <w:r w:rsidRPr="009631AB">
        <w:rPr>
          <w:rFonts w:eastAsia="Batang" w:cs="Times"/>
          <w:szCs w:val="20"/>
        </w:rPr>
        <w:t>el derecho a no ser sometido a un nuevo juicio por los mismos hechos</w:t>
      </w:r>
      <w:r w:rsidRPr="009631AB">
        <w:rPr>
          <w:rFonts w:eastAsia="Batang" w:cs="Times"/>
          <w:bCs/>
          <w:szCs w:val="20"/>
        </w:rPr>
        <w:t>.</w:t>
      </w:r>
    </w:p>
    <w:p w14:paraId="1602B3A4" w14:textId="77777777" w:rsidR="00766842" w:rsidRPr="009631AB" w:rsidRDefault="00766842" w:rsidP="00766842">
      <w:pPr>
        <w:widowControl w:val="0"/>
        <w:spacing w:after="0" w:line="240" w:lineRule="auto"/>
        <w:jc w:val="both"/>
        <w:textAlignment w:val="baseline"/>
        <w:rPr>
          <w:rFonts w:eastAsia="Batang" w:cs="Times"/>
          <w:szCs w:val="20"/>
        </w:rPr>
      </w:pPr>
    </w:p>
    <w:p w14:paraId="00B2576D" w14:textId="7C51A2B7" w:rsidR="00766842" w:rsidRPr="00D24534" w:rsidRDefault="00766842" w:rsidP="00766842">
      <w:pPr>
        <w:pStyle w:val="Ttulo3"/>
        <w:rPr>
          <w:b/>
        </w:rPr>
      </w:pPr>
      <w:bookmarkStart w:id="139" w:name="_Toc27069912"/>
      <w:r w:rsidRPr="00D24534">
        <w:rPr>
          <w:b/>
        </w:rPr>
        <w:t>B.2 Plazo razonable de los procesos penales (artículo 8.1 Convención)</w:t>
      </w:r>
      <w:bookmarkEnd w:id="139"/>
    </w:p>
    <w:p w14:paraId="54D09097" w14:textId="77777777" w:rsidR="00766842" w:rsidRPr="009631AB" w:rsidRDefault="00766842" w:rsidP="00766842">
      <w:pPr>
        <w:spacing w:after="0" w:line="240" w:lineRule="auto"/>
        <w:jc w:val="both"/>
        <w:rPr>
          <w:rFonts w:eastAsia="Batang" w:cs="Times"/>
          <w:szCs w:val="20"/>
        </w:rPr>
      </w:pPr>
    </w:p>
    <w:p w14:paraId="6047E033" w14:textId="77777777" w:rsidR="00766842" w:rsidRPr="009631AB" w:rsidRDefault="00766842" w:rsidP="00766842">
      <w:pPr>
        <w:numPr>
          <w:ilvl w:val="0"/>
          <w:numId w:val="4"/>
        </w:numPr>
        <w:spacing w:after="0" w:line="240" w:lineRule="auto"/>
        <w:jc w:val="both"/>
        <w:rPr>
          <w:rFonts w:eastAsia="Batang" w:cs="Times"/>
          <w:szCs w:val="20"/>
        </w:rPr>
      </w:pPr>
      <w:r w:rsidRPr="009631AB">
        <w:rPr>
          <w:rFonts w:eastAsia="Batang" w:cs="Times"/>
          <w:szCs w:val="20"/>
        </w:rPr>
        <w:t>Conforme estableció la Corte, el principio de “plazo razonable” tiene como finalidad impedir que los acusados permanezcan largo tiempo bajo acusación y asegurar que ésta se decida prontamente</w:t>
      </w:r>
      <w:r w:rsidRPr="009631AB">
        <w:rPr>
          <w:rFonts w:eastAsia="Batang" w:cs="Times New Roman"/>
          <w:szCs w:val="20"/>
          <w:vertAlign w:val="superscript"/>
        </w:rPr>
        <w:footnoteReference w:id="157"/>
      </w:r>
      <w:r w:rsidRPr="009631AB">
        <w:rPr>
          <w:rFonts w:eastAsia="Batang" w:cs="Times"/>
          <w:szCs w:val="20"/>
        </w:rPr>
        <w:t>. Así, una demora prolongada en el proceso puede llegar a constituir, por sí misma, una violación a las garantías judiciales</w:t>
      </w:r>
      <w:r w:rsidRPr="009631AB">
        <w:rPr>
          <w:rFonts w:eastAsia="Batang" w:cs="Times New Roman"/>
          <w:szCs w:val="20"/>
          <w:vertAlign w:val="superscript"/>
        </w:rPr>
        <w:footnoteReference w:id="158"/>
      </w:r>
      <w:r w:rsidRPr="009631AB">
        <w:rPr>
          <w:rFonts w:eastAsia="Batang" w:cs="Times"/>
          <w:szCs w:val="20"/>
        </w:rPr>
        <w:t xml:space="preserve">. </w:t>
      </w:r>
    </w:p>
    <w:p w14:paraId="4070E6AF" w14:textId="77777777" w:rsidR="00766842" w:rsidRPr="009631AB" w:rsidRDefault="00766842" w:rsidP="00766842">
      <w:pPr>
        <w:spacing w:after="0" w:line="240" w:lineRule="auto"/>
        <w:jc w:val="both"/>
        <w:rPr>
          <w:szCs w:val="20"/>
        </w:rPr>
      </w:pPr>
    </w:p>
    <w:p w14:paraId="464E9F77" w14:textId="60E69994" w:rsidR="00766842" w:rsidRPr="009631AB" w:rsidRDefault="00F50ED0" w:rsidP="00766842">
      <w:pPr>
        <w:numPr>
          <w:ilvl w:val="0"/>
          <w:numId w:val="4"/>
        </w:numPr>
        <w:spacing w:after="0" w:line="240" w:lineRule="auto"/>
        <w:jc w:val="both"/>
        <w:rPr>
          <w:rFonts w:eastAsia="Batang" w:cs="Times"/>
          <w:szCs w:val="20"/>
        </w:rPr>
      </w:pPr>
      <w:r w:rsidRPr="009631AB">
        <w:rPr>
          <w:rFonts w:eastAsia="Batang" w:cs="Times"/>
          <w:szCs w:val="20"/>
        </w:rPr>
        <w:t>L</w:t>
      </w:r>
      <w:r w:rsidR="00766842" w:rsidRPr="009631AB">
        <w:rPr>
          <w:rFonts w:eastAsia="Batang" w:cs="Times"/>
          <w:szCs w:val="20"/>
        </w:rPr>
        <w:t>a evaluación del plazo razonable se debe analizar</w:t>
      </w:r>
      <w:r w:rsidRPr="009631AB">
        <w:rPr>
          <w:rFonts w:eastAsia="Batang" w:cs="Times"/>
          <w:szCs w:val="20"/>
        </w:rPr>
        <w:t>,</w:t>
      </w:r>
      <w:r w:rsidR="00766842" w:rsidRPr="009631AB">
        <w:rPr>
          <w:rFonts w:eastAsia="Batang" w:cs="Times"/>
          <w:szCs w:val="20"/>
        </w:rPr>
        <w:t xml:space="preserve"> en cada caso, en relación con la duración total del proceso. De esta manera, la Corte ha considerado cuatro elementos para analizar si se cumplió con la garantía del plazo razonable: i) la complejidad del asunto, ii) la actividad procesal del interesado, iii) la conducta de las autoridades judiciales, y iv) la afectación generada en la situación jurídica de la persona involucrada en el proceso. </w:t>
      </w:r>
      <w:r w:rsidRPr="009631AB">
        <w:rPr>
          <w:rFonts w:eastAsia="Batang" w:cs="Times"/>
          <w:szCs w:val="20"/>
        </w:rPr>
        <w:t>Sobre el tema, l</w:t>
      </w:r>
      <w:r w:rsidR="00766842" w:rsidRPr="009631AB">
        <w:rPr>
          <w:rFonts w:eastAsia="Batang" w:cs="Times"/>
          <w:szCs w:val="20"/>
        </w:rPr>
        <w:t>a Corte recuerda que corresponde al Estado justificar, con fundamento en los criterios señalados, la razón por la cual ha requerido del tiempo transcurrido para tratar los casos y, en la eventualidad de que éste no lo demuestre, la Corte tiene amplias atribuciones para hacer su propia estimación al respecto</w:t>
      </w:r>
      <w:r w:rsidR="00766842" w:rsidRPr="009631AB">
        <w:rPr>
          <w:rFonts w:eastAsia="Batang" w:cs="Times New Roman"/>
          <w:szCs w:val="20"/>
          <w:vertAlign w:val="superscript"/>
        </w:rPr>
        <w:footnoteReference w:id="159"/>
      </w:r>
      <w:r w:rsidR="00766842" w:rsidRPr="009631AB">
        <w:rPr>
          <w:rFonts w:eastAsia="Batang" w:cs="Times"/>
          <w:szCs w:val="20"/>
        </w:rPr>
        <w:t>.</w:t>
      </w:r>
    </w:p>
    <w:p w14:paraId="5148748B" w14:textId="77777777" w:rsidR="00766842" w:rsidRPr="009631AB" w:rsidRDefault="00766842" w:rsidP="00766842">
      <w:pPr>
        <w:spacing w:after="0" w:line="240" w:lineRule="auto"/>
        <w:jc w:val="both"/>
        <w:rPr>
          <w:szCs w:val="20"/>
        </w:rPr>
      </w:pPr>
    </w:p>
    <w:p w14:paraId="63ABC9F1" w14:textId="6382B01C" w:rsidR="00766842" w:rsidRPr="009631AB" w:rsidRDefault="00766842" w:rsidP="00766842">
      <w:pPr>
        <w:numPr>
          <w:ilvl w:val="0"/>
          <w:numId w:val="4"/>
        </w:numPr>
        <w:autoSpaceDE w:val="0"/>
        <w:autoSpaceDN w:val="0"/>
        <w:adjustRightInd w:val="0"/>
        <w:spacing w:after="0" w:line="240" w:lineRule="auto"/>
        <w:jc w:val="both"/>
        <w:rPr>
          <w:rFonts w:eastAsia="Batang" w:cs="Times"/>
          <w:szCs w:val="20"/>
        </w:rPr>
      </w:pPr>
      <w:r w:rsidRPr="009631AB">
        <w:rPr>
          <w:rFonts w:eastAsia="Batang" w:cs="Times"/>
          <w:szCs w:val="20"/>
        </w:rPr>
        <w:t>Del mismo modo, se ha señalado que el “plazo razonable” al que se refiere el artículo 8.1 de la Convención se debe apreciar en relación con la duración total del proceso, desde el primer acto procesal hasta que se dicte una decisión definitiva, incluyendo los recursos de instancia que pudieran eventualmente presentarse</w:t>
      </w:r>
      <w:r w:rsidRPr="009631AB">
        <w:rPr>
          <w:rFonts w:eastAsia="Batang" w:cs="Times New Roman"/>
          <w:szCs w:val="20"/>
          <w:vertAlign w:val="superscript"/>
        </w:rPr>
        <w:footnoteReference w:id="160"/>
      </w:r>
      <w:r w:rsidRPr="009631AB">
        <w:rPr>
          <w:rFonts w:eastAsia="Batang" w:cs="Times"/>
          <w:szCs w:val="20"/>
        </w:rPr>
        <w:t xml:space="preserve">. </w:t>
      </w:r>
      <w:r w:rsidR="00486511" w:rsidRPr="009631AB">
        <w:rPr>
          <w:rFonts w:eastAsia="Batang" w:cs="Times"/>
          <w:szCs w:val="20"/>
        </w:rPr>
        <w:t>Al respecto, e</w:t>
      </w:r>
      <w:r w:rsidRPr="009631AB">
        <w:rPr>
          <w:rFonts w:eastAsia="Batang" w:cs="Times"/>
          <w:szCs w:val="20"/>
        </w:rPr>
        <w:t>n el antes referido caso Suarez Rosero Vs. Ecuador</w:t>
      </w:r>
      <w:r w:rsidR="00486511" w:rsidRPr="009631AB">
        <w:rPr>
          <w:rFonts w:eastAsia="Batang" w:cs="Times"/>
          <w:szCs w:val="20"/>
        </w:rPr>
        <w:t>,</w:t>
      </w:r>
      <w:r w:rsidRPr="009631AB">
        <w:rPr>
          <w:rFonts w:eastAsia="Batang" w:cs="Times"/>
          <w:szCs w:val="20"/>
        </w:rPr>
        <w:t xml:space="preserve"> la Corte determinó que el primer acto del procedimiento lo constituye la aprehensión</w:t>
      </w:r>
      <w:r w:rsidRPr="009631AB">
        <w:rPr>
          <w:rFonts w:eastAsia="Batang" w:cs="Times New Roman"/>
          <w:szCs w:val="20"/>
          <w:vertAlign w:val="superscript"/>
        </w:rPr>
        <w:footnoteReference w:id="161"/>
      </w:r>
      <w:r w:rsidRPr="009631AB">
        <w:rPr>
          <w:rFonts w:eastAsia="Batang" w:cs="Times"/>
          <w:szCs w:val="20"/>
        </w:rPr>
        <w:t>. En razón de lo anterior, para el estudio del cumplimiento del plazo razonable en el presente caso</w:t>
      </w:r>
      <w:r w:rsidR="00486511" w:rsidRPr="009631AB">
        <w:rPr>
          <w:rFonts w:eastAsia="Batang" w:cs="Times"/>
          <w:szCs w:val="20"/>
        </w:rPr>
        <w:t xml:space="preserve"> la Corte </w:t>
      </w:r>
      <w:r w:rsidRPr="009631AB">
        <w:rPr>
          <w:rFonts w:eastAsia="Batang" w:cs="Times"/>
          <w:szCs w:val="20"/>
        </w:rPr>
        <w:t xml:space="preserve">considerará como el primer acto procesal la detención del señor Montesinos del 21 de junio de 1992. </w:t>
      </w:r>
    </w:p>
    <w:p w14:paraId="506F0D66" w14:textId="77777777" w:rsidR="00766842" w:rsidRPr="009631AB" w:rsidRDefault="00766842" w:rsidP="00766842">
      <w:pPr>
        <w:autoSpaceDE w:val="0"/>
        <w:autoSpaceDN w:val="0"/>
        <w:adjustRightInd w:val="0"/>
        <w:spacing w:after="0" w:line="240" w:lineRule="auto"/>
        <w:jc w:val="both"/>
        <w:rPr>
          <w:szCs w:val="20"/>
        </w:rPr>
      </w:pPr>
    </w:p>
    <w:p w14:paraId="4F61DCA4" w14:textId="1C4B3108" w:rsidR="00766842" w:rsidRPr="009631AB" w:rsidRDefault="00B0408D" w:rsidP="00766842">
      <w:pPr>
        <w:numPr>
          <w:ilvl w:val="0"/>
          <w:numId w:val="4"/>
        </w:numPr>
        <w:autoSpaceDE w:val="0"/>
        <w:autoSpaceDN w:val="0"/>
        <w:adjustRightInd w:val="0"/>
        <w:spacing w:after="0" w:line="240" w:lineRule="auto"/>
        <w:jc w:val="both"/>
        <w:rPr>
          <w:rFonts w:eastAsia="Batang" w:cs="Times"/>
          <w:szCs w:val="20"/>
        </w:rPr>
      </w:pPr>
      <w:r w:rsidRPr="009631AB">
        <w:rPr>
          <w:rFonts w:eastAsia="Batang" w:cs="Times"/>
          <w:szCs w:val="20"/>
        </w:rPr>
        <w:t>En este marco</w:t>
      </w:r>
      <w:r w:rsidR="00766842" w:rsidRPr="009631AB">
        <w:rPr>
          <w:rFonts w:eastAsia="Batang" w:cs="Times"/>
          <w:szCs w:val="20"/>
        </w:rPr>
        <w:t>, de los documentos constantes en el expediente y lo manifestado por las partes, se considera que el proceso por conversión o transferencia de bienes concluyó con sentencia absolutoria del 29 de abril de 1998, esto es, 6 años después del inicio del proceso</w:t>
      </w:r>
      <w:r w:rsidR="00766842" w:rsidRPr="009631AB">
        <w:rPr>
          <w:rFonts w:eastAsia="Batang" w:cs="Times New Roman"/>
          <w:szCs w:val="20"/>
          <w:vertAlign w:val="superscript"/>
        </w:rPr>
        <w:footnoteReference w:id="162"/>
      </w:r>
      <w:r w:rsidR="00766842" w:rsidRPr="009631AB">
        <w:rPr>
          <w:rFonts w:eastAsia="Batang" w:cs="Times"/>
          <w:szCs w:val="20"/>
        </w:rPr>
        <w:t>. En el caso de la acción por enriquecimiento ilícito, ha sido expresado por las partes y se encuentra probado</w:t>
      </w:r>
      <w:r w:rsidR="00486511" w:rsidRPr="009631AB">
        <w:rPr>
          <w:rFonts w:eastAsia="Batang" w:cs="Times"/>
          <w:szCs w:val="20"/>
        </w:rPr>
        <w:t>,</w:t>
      </w:r>
      <w:r w:rsidR="00766842" w:rsidRPr="009631AB">
        <w:rPr>
          <w:rFonts w:eastAsia="Batang" w:cs="Times"/>
          <w:szCs w:val="20"/>
        </w:rPr>
        <w:t xml:space="preserve"> que la misma terminó con auto de sobreseimiento definitivo emitido por </w:t>
      </w:r>
      <w:r w:rsidR="00766842" w:rsidRPr="009631AB">
        <w:rPr>
          <w:rFonts w:eastAsia="Batang" w:cs="Times"/>
          <w:szCs w:val="20"/>
        </w:rPr>
        <w:lastRenderedPageBreak/>
        <w:t>la Cuarta Sala de Conjueces de la Corte Superior de Justicia de Quito, con fecha 7 de mayo de 1998</w:t>
      </w:r>
      <w:r w:rsidR="00766842" w:rsidRPr="009631AB">
        <w:rPr>
          <w:rFonts w:eastAsia="Batang" w:cs="Times New Roman"/>
          <w:szCs w:val="20"/>
          <w:vertAlign w:val="superscript"/>
        </w:rPr>
        <w:footnoteReference w:id="163"/>
      </w:r>
      <w:r w:rsidR="00766842" w:rsidRPr="009631AB">
        <w:rPr>
          <w:rFonts w:eastAsia="Batang" w:cs="Times"/>
          <w:szCs w:val="20"/>
        </w:rPr>
        <w:t>, esto es, aproximadamente 6 años después del inicio del proceso</w:t>
      </w:r>
      <w:r w:rsidR="00E0476C">
        <w:rPr>
          <w:rFonts w:eastAsia="Batang" w:cs="Times"/>
          <w:szCs w:val="20"/>
        </w:rPr>
        <w:t>.</w:t>
      </w:r>
      <w:r w:rsidR="00766842" w:rsidRPr="009631AB">
        <w:rPr>
          <w:rFonts w:eastAsia="Batang" w:cs="Times"/>
          <w:szCs w:val="20"/>
        </w:rPr>
        <w:t xml:space="preserve"> Finalmente, respecto de la acción seguida po</w:t>
      </w:r>
      <w:r w:rsidR="00486511" w:rsidRPr="009631AB">
        <w:rPr>
          <w:rFonts w:eastAsia="Batang" w:cs="Times"/>
          <w:szCs w:val="20"/>
        </w:rPr>
        <w:t>r</w:t>
      </w:r>
      <w:r w:rsidR="00766842" w:rsidRPr="009631AB">
        <w:rPr>
          <w:rFonts w:eastAsia="Batang" w:cs="Times"/>
          <w:szCs w:val="20"/>
        </w:rPr>
        <w:t xml:space="preserve"> testaferrismo, esta terminó el 31 de octubre de 2010, esto es, más de 18 años después del inicio del proceso, mediante sentencia de la Sala de lo Penal de la Corte Nacional de Justicia</w:t>
      </w:r>
      <w:r w:rsidR="00766842" w:rsidRPr="009631AB">
        <w:rPr>
          <w:rFonts w:eastAsia="Batang" w:cs="Times New Roman"/>
          <w:szCs w:val="20"/>
          <w:vertAlign w:val="superscript"/>
        </w:rPr>
        <w:footnoteReference w:id="164"/>
      </w:r>
      <w:r w:rsidR="00766842" w:rsidRPr="009631AB">
        <w:rPr>
          <w:rFonts w:eastAsia="Batang" w:cs="Times"/>
          <w:szCs w:val="20"/>
        </w:rPr>
        <w:t xml:space="preserve"> por la que se negó el recurso de casación interpuesto frente a la sentencia condenatoria dictada por la Primera Sala Especializada de lo Penal, Tránsito y Colusorio de la Corte Superior de Justicia de Quito de 8 de septiembre de 2008</w:t>
      </w:r>
      <w:r w:rsidR="00766842" w:rsidRPr="009631AB">
        <w:rPr>
          <w:rFonts w:eastAsia="Batang" w:cs="Times New Roman"/>
          <w:szCs w:val="20"/>
          <w:vertAlign w:val="superscript"/>
        </w:rPr>
        <w:footnoteReference w:id="165"/>
      </w:r>
      <w:r w:rsidR="00766842" w:rsidRPr="009631AB">
        <w:rPr>
          <w:rFonts w:eastAsia="Batang" w:cs="Times"/>
          <w:szCs w:val="20"/>
        </w:rPr>
        <w:t xml:space="preserve">. </w:t>
      </w:r>
      <w:r w:rsidRPr="009631AB">
        <w:rPr>
          <w:rFonts w:eastAsia="Batang" w:cs="Times"/>
          <w:szCs w:val="20"/>
        </w:rPr>
        <w:t>Teniendo como base lo anterior</w:t>
      </w:r>
      <w:r w:rsidR="00766842" w:rsidRPr="009631AB">
        <w:rPr>
          <w:rFonts w:eastAsia="Batang" w:cs="Times"/>
          <w:szCs w:val="20"/>
        </w:rPr>
        <w:t>, la Corte entrará ahora a determinar si el plazo transcurrido es razonable conforme a los criterios establecidos en su jurisprudencia.</w:t>
      </w:r>
    </w:p>
    <w:p w14:paraId="785A7091" w14:textId="77777777" w:rsidR="00766842" w:rsidRPr="009631AB" w:rsidRDefault="00766842" w:rsidP="00766842">
      <w:pPr>
        <w:autoSpaceDE w:val="0"/>
        <w:autoSpaceDN w:val="0"/>
        <w:adjustRightInd w:val="0"/>
        <w:spacing w:after="0" w:line="240" w:lineRule="auto"/>
        <w:jc w:val="both"/>
        <w:rPr>
          <w:szCs w:val="20"/>
        </w:rPr>
      </w:pPr>
    </w:p>
    <w:p w14:paraId="409D6795" w14:textId="07951A5B" w:rsidR="00766842" w:rsidRPr="009631AB" w:rsidRDefault="009448BD" w:rsidP="00766842">
      <w:pPr>
        <w:numPr>
          <w:ilvl w:val="0"/>
          <w:numId w:val="4"/>
        </w:numPr>
        <w:spacing w:after="0" w:line="240" w:lineRule="auto"/>
        <w:jc w:val="both"/>
        <w:rPr>
          <w:rFonts w:eastAsia="Batang" w:cs="Times"/>
          <w:szCs w:val="20"/>
        </w:rPr>
      </w:pPr>
      <w:r>
        <w:rPr>
          <w:rFonts w:eastAsia="Batang" w:cs="Times"/>
          <w:szCs w:val="20"/>
          <w:lang w:val="es-ES_tradnl"/>
        </w:rPr>
        <w:t>Para determinar la complejidad del asunto la Corte ha valorado distintos elementos, e</w:t>
      </w:r>
      <w:r w:rsidR="00DB3DCB" w:rsidRPr="00DB4085">
        <w:rPr>
          <w:rFonts w:eastAsia="Batang" w:cs="Times"/>
          <w:szCs w:val="20"/>
          <w:lang w:val="es-ES_tradnl"/>
        </w:rPr>
        <w:t xml:space="preserve">ntre los </w:t>
      </w:r>
      <w:r w:rsidR="0053221B">
        <w:rPr>
          <w:rFonts w:eastAsia="Batang" w:cs="Times"/>
          <w:szCs w:val="20"/>
          <w:lang w:val="es-ES_tradnl"/>
        </w:rPr>
        <w:t xml:space="preserve">que </w:t>
      </w:r>
      <w:r w:rsidR="00DB3DCB" w:rsidRPr="00DB4085">
        <w:rPr>
          <w:rFonts w:eastAsia="Batang" w:cs="Times"/>
          <w:szCs w:val="20"/>
          <w:lang w:val="es-ES_tradnl"/>
        </w:rPr>
        <w:t>se encuentra</w:t>
      </w:r>
      <w:r>
        <w:rPr>
          <w:rFonts w:eastAsia="Batang" w:cs="Times"/>
          <w:szCs w:val="20"/>
          <w:lang w:val="es-ES_tradnl"/>
        </w:rPr>
        <w:t>n:</w:t>
      </w:r>
      <w:r w:rsidR="00DB3DCB" w:rsidRPr="00DB4085">
        <w:rPr>
          <w:rFonts w:eastAsia="Batang" w:cs="Times"/>
          <w:szCs w:val="20"/>
          <w:lang w:val="es-ES_tradnl"/>
        </w:rPr>
        <w:t xml:space="preserve"> i) la complejidad de la prueba</w:t>
      </w:r>
      <w:r w:rsidR="00DB3DCB" w:rsidRPr="00DB4085">
        <w:rPr>
          <w:rFonts w:eastAsia="Batang" w:cs="Times"/>
          <w:szCs w:val="20"/>
          <w:vertAlign w:val="superscript"/>
          <w:lang w:val="es-ES_tradnl"/>
        </w:rPr>
        <w:footnoteReference w:id="166"/>
      </w:r>
      <w:r w:rsidR="00DB3DCB" w:rsidRPr="00DB4085">
        <w:rPr>
          <w:rFonts w:eastAsia="Batang" w:cs="Times"/>
          <w:szCs w:val="20"/>
          <w:lang w:val="es-ES_tradnl"/>
        </w:rPr>
        <w:t>; ii) la pluralidad de sujetos procesales</w:t>
      </w:r>
      <w:r w:rsidR="00DB3DCB" w:rsidRPr="00DB4085">
        <w:rPr>
          <w:rFonts w:eastAsia="Batang" w:cs="Times"/>
          <w:szCs w:val="20"/>
          <w:vertAlign w:val="superscript"/>
          <w:lang w:val="es-ES_tradnl"/>
        </w:rPr>
        <w:footnoteReference w:id="167"/>
      </w:r>
      <w:r w:rsidR="00DB3DCB" w:rsidRPr="00DB4085">
        <w:rPr>
          <w:rFonts w:eastAsia="Batang" w:cs="Times"/>
          <w:szCs w:val="20"/>
          <w:lang w:val="es-ES_tradnl"/>
        </w:rPr>
        <w:t xml:space="preserve"> o la cantidad de víctimas</w:t>
      </w:r>
      <w:r w:rsidR="00DB3DCB" w:rsidRPr="00DB4085">
        <w:rPr>
          <w:rFonts w:eastAsia="Batang" w:cs="Times"/>
          <w:szCs w:val="20"/>
          <w:vertAlign w:val="superscript"/>
          <w:lang w:val="es-ES_tradnl"/>
        </w:rPr>
        <w:footnoteReference w:id="168"/>
      </w:r>
      <w:r w:rsidR="00DB3DCB" w:rsidRPr="00DB4085">
        <w:rPr>
          <w:rFonts w:eastAsia="Batang" w:cs="Times"/>
          <w:szCs w:val="20"/>
          <w:lang w:val="es-ES_tradnl"/>
        </w:rPr>
        <w:t>; iii) el tiempo transcurrido desde que se ha tenido la noticia del presunto hecho delictivo</w:t>
      </w:r>
      <w:r w:rsidR="00DB3DCB" w:rsidRPr="00DB4085">
        <w:rPr>
          <w:rFonts w:eastAsia="Batang" w:cs="Times"/>
          <w:szCs w:val="20"/>
          <w:vertAlign w:val="superscript"/>
          <w:lang w:val="es-ES_tradnl"/>
        </w:rPr>
        <w:footnoteReference w:id="169"/>
      </w:r>
      <w:r w:rsidR="00DB3DCB" w:rsidRPr="00DB4085">
        <w:rPr>
          <w:rFonts w:eastAsia="Batang" w:cs="Times"/>
          <w:szCs w:val="20"/>
          <w:lang w:val="es-ES_tradnl"/>
        </w:rPr>
        <w:t>; iv) las características del recurso contenidos en la legislación interna</w:t>
      </w:r>
      <w:r w:rsidR="00DB3DCB" w:rsidRPr="00DB4085">
        <w:rPr>
          <w:rFonts w:eastAsia="Batang" w:cs="Times"/>
          <w:szCs w:val="20"/>
          <w:vertAlign w:val="superscript"/>
          <w:lang w:val="es-ES_tradnl"/>
        </w:rPr>
        <w:footnoteReference w:id="170"/>
      </w:r>
      <w:r w:rsidR="00DB3DCB" w:rsidRPr="00DB4085">
        <w:rPr>
          <w:rFonts w:eastAsia="Batang" w:cs="Times"/>
          <w:szCs w:val="20"/>
          <w:lang w:val="es-ES_tradnl"/>
        </w:rPr>
        <w:t>, o v) el contexto en el que ocurrieron los hechos</w:t>
      </w:r>
      <w:r w:rsidR="00DB3DCB" w:rsidRPr="00DB4085">
        <w:rPr>
          <w:rFonts w:eastAsia="Batang" w:cs="Times"/>
          <w:szCs w:val="20"/>
          <w:vertAlign w:val="superscript"/>
          <w:lang w:val="es-ES_tradnl"/>
        </w:rPr>
        <w:footnoteReference w:id="171"/>
      </w:r>
      <w:r w:rsidR="00DB3DCB" w:rsidRPr="00DB4085">
        <w:rPr>
          <w:rFonts w:eastAsia="Batang" w:cs="Times"/>
          <w:szCs w:val="20"/>
          <w:lang w:val="es-ES_tradnl"/>
        </w:rPr>
        <w:t>.</w:t>
      </w:r>
      <w:r w:rsidR="00DB4085">
        <w:rPr>
          <w:rFonts w:eastAsia="Batang" w:cs="Times"/>
          <w:szCs w:val="20"/>
          <w:lang w:val="es-ES_tradnl"/>
        </w:rPr>
        <w:t xml:space="preserve"> </w:t>
      </w:r>
      <w:r w:rsidR="00B0408D" w:rsidRPr="009631AB">
        <w:rPr>
          <w:rFonts w:eastAsia="Batang" w:cs="Times"/>
          <w:szCs w:val="20"/>
        </w:rPr>
        <w:t>En el presente caso, l</w:t>
      </w:r>
      <w:r w:rsidR="00766842" w:rsidRPr="009631AB">
        <w:rPr>
          <w:rFonts w:eastAsia="Batang" w:cs="Times"/>
          <w:szCs w:val="20"/>
        </w:rPr>
        <w:t>a Corte nota que, en los procesos sobre los delitos de conversión y transferencia de bienes y enriquecimiento ilícito</w:t>
      </w:r>
      <w:r w:rsidR="00ED0B3F" w:rsidRPr="009631AB">
        <w:rPr>
          <w:rFonts w:eastAsia="Batang" w:cs="Times"/>
          <w:szCs w:val="20"/>
        </w:rPr>
        <w:t>,</w:t>
      </w:r>
      <w:r w:rsidR="00B0408D" w:rsidRPr="009631AB">
        <w:rPr>
          <w:rFonts w:eastAsia="Batang" w:cs="Times"/>
          <w:szCs w:val="20"/>
        </w:rPr>
        <w:t xml:space="preserve"> no se presentan ninguno de los supuestos antes señalados pues</w:t>
      </w:r>
      <w:r w:rsidR="00766842" w:rsidRPr="009631AB">
        <w:rPr>
          <w:rFonts w:eastAsia="Batang" w:cs="Times"/>
          <w:szCs w:val="20"/>
        </w:rPr>
        <w:t xml:space="preserve"> las sentencias de la Corte Superior de Justicia de Quito que sobreseen al señor Montesinos tienen como argumento exclusivo cuestiones de derecho. En específico, la Corte Superior de Justicia de Quito </w:t>
      </w:r>
      <w:r w:rsidR="00ED0B3F" w:rsidRPr="009631AB">
        <w:rPr>
          <w:rFonts w:eastAsia="Batang" w:cs="Times"/>
          <w:szCs w:val="20"/>
        </w:rPr>
        <w:t>dio cuenta de que dichos delitos constituían</w:t>
      </w:r>
      <w:r w:rsidR="00766842" w:rsidRPr="009631AB">
        <w:rPr>
          <w:rFonts w:eastAsia="Batang" w:cs="Times"/>
          <w:i/>
          <w:szCs w:val="20"/>
        </w:rPr>
        <w:t xml:space="preserve"> </w:t>
      </w:r>
      <w:r w:rsidR="00766842" w:rsidRPr="009631AB">
        <w:rPr>
          <w:rFonts w:eastAsia="Batang" w:cs="Times"/>
          <w:szCs w:val="20"/>
        </w:rPr>
        <w:t>un acto típico consecuente del delito principal de narcotráfico, mas no concurrente con éste, como en forma por más errónea se lo ha</w:t>
      </w:r>
      <w:r w:rsidR="00ED0B3F" w:rsidRPr="009631AB">
        <w:rPr>
          <w:rFonts w:eastAsia="Batang" w:cs="Times"/>
          <w:szCs w:val="20"/>
        </w:rPr>
        <w:t>bía</w:t>
      </w:r>
      <w:r w:rsidR="00766842" w:rsidRPr="009631AB">
        <w:rPr>
          <w:rFonts w:eastAsia="Batang" w:cs="Times"/>
          <w:szCs w:val="20"/>
        </w:rPr>
        <w:t xml:space="preserve"> tomado</w:t>
      </w:r>
      <w:r w:rsidR="00766842" w:rsidRPr="009631AB">
        <w:rPr>
          <w:rFonts w:eastAsia="Batang" w:cs="Times"/>
          <w:i/>
          <w:szCs w:val="20"/>
        </w:rPr>
        <w:t xml:space="preserve">; </w:t>
      </w:r>
      <w:r w:rsidR="00766842" w:rsidRPr="009631AB">
        <w:rPr>
          <w:rFonts w:eastAsia="Batang" w:cs="Times"/>
          <w:szCs w:val="20"/>
        </w:rPr>
        <w:t>o, en otras palabras</w:t>
      </w:r>
      <w:r w:rsidR="00ED0B3F" w:rsidRPr="009631AB">
        <w:rPr>
          <w:rFonts w:eastAsia="Batang" w:cs="Times"/>
          <w:i/>
          <w:szCs w:val="20"/>
        </w:rPr>
        <w:t xml:space="preserve"> </w:t>
      </w:r>
      <w:r w:rsidR="00ED0B3F" w:rsidRPr="009631AB">
        <w:rPr>
          <w:rFonts w:eastAsia="Batang" w:cs="Times"/>
          <w:szCs w:val="20"/>
        </w:rPr>
        <w:t xml:space="preserve">–indicó textualmente la Corte Superior en ambos casos- </w:t>
      </w:r>
      <w:r w:rsidR="00ED0B3F" w:rsidRPr="009631AB">
        <w:rPr>
          <w:rFonts w:eastAsia="Batang" w:cs="Times"/>
          <w:i/>
          <w:szCs w:val="20"/>
        </w:rPr>
        <w:t>”</w:t>
      </w:r>
      <w:r w:rsidR="00766842" w:rsidRPr="009631AB">
        <w:rPr>
          <w:rFonts w:eastAsia="Batang" w:cs="Times"/>
          <w:i/>
          <w:szCs w:val="20"/>
        </w:rPr>
        <w:t xml:space="preserve">primero ha debido ventilarse y probarse la responsabilidad en un juicio penal por tráfico de estupefacientes, cuya sentencia debería causar ejecutoría, estar en firme para que recién tenga (ilegible) el enjuiciamiento de los demás delitos consecuentes pues al tenor del </w:t>
      </w:r>
      <w:proofErr w:type="spellStart"/>
      <w:r w:rsidR="00766842" w:rsidRPr="009631AB">
        <w:rPr>
          <w:rFonts w:eastAsia="Batang" w:cs="Times"/>
          <w:i/>
          <w:szCs w:val="20"/>
        </w:rPr>
        <w:t>lit.</w:t>
      </w:r>
      <w:proofErr w:type="spellEnd"/>
      <w:r w:rsidR="00766842" w:rsidRPr="009631AB">
        <w:rPr>
          <w:rFonts w:eastAsia="Batang" w:cs="Times"/>
          <w:i/>
          <w:szCs w:val="20"/>
        </w:rPr>
        <w:t xml:space="preserve"> f) del Num. 17 del Art. 22 de nuestra constitución política se presume inocente a toda persona mientras no se demuestre lo contrario mediante sentencia ejecutoriada”</w:t>
      </w:r>
      <w:r w:rsidR="00766842" w:rsidRPr="009631AB">
        <w:rPr>
          <w:rFonts w:eastAsia="Batang" w:cs="Times New Roman"/>
          <w:szCs w:val="20"/>
          <w:vertAlign w:val="superscript"/>
        </w:rPr>
        <w:footnoteReference w:id="172"/>
      </w:r>
      <w:r w:rsidR="00766842" w:rsidRPr="009631AB">
        <w:rPr>
          <w:rFonts w:eastAsia="Batang" w:cs="Times"/>
          <w:szCs w:val="20"/>
        </w:rPr>
        <w:t xml:space="preserve">. En razón de lo anterior, es claro que en </w:t>
      </w:r>
      <w:r w:rsidR="00B0408D" w:rsidRPr="009631AB">
        <w:rPr>
          <w:rFonts w:eastAsia="Batang" w:cs="Times"/>
          <w:szCs w:val="20"/>
        </w:rPr>
        <w:t xml:space="preserve">los </w:t>
      </w:r>
      <w:r w:rsidR="00766842" w:rsidRPr="009631AB">
        <w:rPr>
          <w:rFonts w:eastAsia="Batang" w:cs="Times"/>
          <w:szCs w:val="20"/>
        </w:rPr>
        <w:t>proceso</w:t>
      </w:r>
      <w:r w:rsidR="00B0408D" w:rsidRPr="009631AB">
        <w:rPr>
          <w:rFonts w:eastAsia="Batang" w:cs="Times"/>
          <w:szCs w:val="20"/>
        </w:rPr>
        <w:t>s</w:t>
      </w:r>
      <w:r w:rsidR="00766842" w:rsidRPr="009631AB">
        <w:rPr>
          <w:rFonts w:eastAsia="Batang" w:cs="Times"/>
          <w:szCs w:val="20"/>
        </w:rPr>
        <w:t xml:space="preserve"> sobre los delitos de conversión y transferencia de bienes y enriquecimiento ilícito no existían elementos de complejidad que justificaran la demora de más de 6 años en su finalización. </w:t>
      </w:r>
    </w:p>
    <w:p w14:paraId="719B912C" w14:textId="77777777" w:rsidR="00766842" w:rsidRPr="009631AB" w:rsidRDefault="00766842" w:rsidP="00766842">
      <w:pPr>
        <w:autoSpaceDE w:val="0"/>
        <w:autoSpaceDN w:val="0"/>
        <w:adjustRightInd w:val="0"/>
        <w:spacing w:after="0" w:line="240" w:lineRule="auto"/>
        <w:jc w:val="both"/>
        <w:rPr>
          <w:szCs w:val="20"/>
        </w:rPr>
      </w:pPr>
    </w:p>
    <w:p w14:paraId="781D4136" w14:textId="77777777" w:rsidR="00766842" w:rsidRPr="009631AB" w:rsidRDefault="00766842" w:rsidP="00766842">
      <w:pPr>
        <w:numPr>
          <w:ilvl w:val="0"/>
          <w:numId w:val="4"/>
        </w:numPr>
        <w:autoSpaceDE w:val="0"/>
        <w:autoSpaceDN w:val="0"/>
        <w:adjustRightInd w:val="0"/>
        <w:spacing w:after="0" w:line="240" w:lineRule="auto"/>
        <w:jc w:val="both"/>
        <w:rPr>
          <w:rFonts w:eastAsia="Batang" w:cs="Times"/>
          <w:szCs w:val="20"/>
        </w:rPr>
      </w:pPr>
      <w:r w:rsidRPr="009631AB">
        <w:rPr>
          <w:rFonts w:eastAsia="Batang" w:cs="Times"/>
          <w:szCs w:val="20"/>
        </w:rPr>
        <w:t>Por otro lado, sobre el proceso sobre testaferrismo</w:t>
      </w:r>
      <w:r w:rsidRPr="009631AB">
        <w:rPr>
          <w:rFonts w:eastAsia="Batang" w:cs="Times New Roman"/>
          <w:szCs w:val="20"/>
          <w:vertAlign w:val="superscript"/>
        </w:rPr>
        <w:footnoteReference w:id="173"/>
      </w:r>
      <w:r w:rsidRPr="009631AB">
        <w:rPr>
          <w:rFonts w:eastAsia="Batang" w:cs="Times"/>
          <w:szCs w:val="20"/>
        </w:rPr>
        <w:t xml:space="preserve">, de la información presentada por el Estado en su escrito de contestación, se concluye que los elementos probatorios que </w:t>
      </w:r>
      <w:r w:rsidRPr="009631AB">
        <w:rPr>
          <w:rFonts w:eastAsia="Batang" w:cs="Times"/>
          <w:szCs w:val="20"/>
        </w:rPr>
        <w:lastRenderedPageBreak/>
        <w:t>llevaron a la condena del señor Montesinos por este delito en septiembre de 2008 no variaron de aquellos presentados para la apertura del auto cabeza del proceso en el año 1992</w:t>
      </w:r>
      <w:r w:rsidRPr="00DB4085">
        <w:rPr>
          <w:rFonts w:eastAsia="Batang" w:cs="Times New Roman"/>
          <w:szCs w:val="20"/>
          <w:vertAlign w:val="superscript"/>
        </w:rPr>
        <w:footnoteReference w:id="174"/>
      </w:r>
      <w:r w:rsidRPr="00DB4085">
        <w:rPr>
          <w:rFonts w:eastAsia="Batang" w:cs="Times"/>
          <w:szCs w:val="20"/>
        </w:rPr>
        <w:t xml:space="preserve">, </w:t>
      </w:r>
      <w:r w:rsidRPr="009631AB">
        <w:rPr>
          <w:rFonts w:eastAsia="Batang" w:cs="Times"/>
          <w:szCs w:val="20"/>
        </w:rPr>
        <w:t>razón por la cual la Corte no encuentra elementos adicionales dentro de este proceso que otorguen una complejidad tal que justifique la demora de más de 18 años en su tramitación</w:t>
      </w:r>
      <w:r w:rsidRPr="009631AB">
        <w:rPr>
          <w:rFonts w:eastAsia="Batang" w:cs="Times New Roman"/>
          <w:szCs w:val="20"/>
          <w:vertAlign w:val="superscript"/>
        </w:rPr>
        <w:footnoteReference w:id="175"/>
      </w:r>
      <w:r w:rsidRPr="009631AB">
        <w:rPr>
          <w:rFonts w:eastAsia="Batang" w:cs="Times"/>
          <w:szCs w:val="20"/>
        </w:rPr>
        <w:t xml:space="preserve"> conforme a los estándares que ha establecido la Corte en su jurisprudencia. </w:t>
      </w:r>
    </w:p>
    <w:p w14:paraId="155BBB1E" w14:textId="77777777" w:rsidR="00766842" w:rsidRPr="009631AB" w:rsidRDefault="00766842" w:rsidP="00766842">
      <w:pPr>
        <w:autoSpaceDE w:val="0"/>
        <w:autoSpaceDN w:val="0"/>
        <w:adjustRightInd w:val="0"/>
        <w:spacing w:after="0" w:line="240" w:lineRule="auto"/>
        <w:jc w:val="both"/>
        <w:rPr>
          <w:szCs w:val="20"/>
        </w:rPr>
      </w:pPr>
    </w:p>
    <w:p w14:paraId="7B26232B" w14:textId="77777777" w:rsidR="00766842" w:rsidRDefault="00766842" w:rsidP="00766842">
      <w:pPr>
        <w:numPr>
          <w:ilvl w:val="0"/>
          <w:numId w:val="4"/>
        </w:numPr>
        <w:spacing w:after="0" w:line="240" w:lineRule="auto"/>
        <w:jc w:val="both"/>
        <w:rPr>
          <w:rFonts w:eastAsia="Batang" w:cs="Times"/>
          <w:szCs w:val="20"/>
        </w:rPr>
      </w:pPr>
      <w:r w:rsidRPr="009631AB">
        <w:rPr>
          <w:rFonts w:eastAsia="Batang" w:cs="Times"/>
          <w:szCs w:val="20"/>
        </w:rPr>
        <w:t>En lo relativo a la actividad procesal del interesado, la Corte recuerda que el uso de recursos judiciales reconocidos por la legislación aplicable para la defensa de sus derechos, per se, no puede ser utilizado en su contra</w:t>
      </w:r>
      <w:r w:rsidRPr="009631AB">
        <w:rPr>
          <w:rFonts w:eastAsia="Batang" w:cs="Times New Roman"/>
          <w:szCs w:val="20"/>
          <w:vertAlign w:val="superscript"/>
        </w:rPr>
        <w:footnoteReference w:id="176"/>
      </w:r>
      <w:r w:rsidRPr="009631AB">
        <w:rPr>
          <w:rFonts w:eastAsia="Batang" w:cs="Times"/>
          <w:szCs w:val="20"/>
        </w:rPr>
        <w:t>. Al respecto, este Tribunal ha considerado que la interposición de recursos constituye un factor objetivo, que no debe ser atribuido ni a la presunta víctima ni al Estado demandado, sino que debe ser tomado en cuenta como un elemento objetivo al determinar si la duración del procedimiento excedió el plazo razonable</w:t>
      </w:r>
      <w:r w:rsidRPr="009631AB">
        <w:rPr>
          <w:rFonts w:eastAsia="Batang" w:cs="Times New Roman"/>
          <w:szCs w:val="20"/>
          <w:vertAlign w:val="superscript"/>
        </w:rPr>
        <w:footnoteReference w:id="177"/>
      </w:r>
      <w:r w:rsidRPr="009631AB">
        <w:rPr>
          <w:rFonts w:eastAsia="Batang" w:cs="Times"/>
          <w:szCs w:val="20"/>
        </w:rPr>
        <w:t>. Al efecto, el Tribunal ha encontrado que la demora principal en la resolución de los procesos se ha presentado en la etapa presumarial y además, que una vez iniciado el proceso sumario, la demora en la tramitación de los recursos interpuestos no puede ser atribuible al señor Montesinos sino a la inactividad procesal de las autoridades. Así, por ejemplo, el señor Montesinos interpuso el 3 de diciembre de 1996 un recurso de apelación frente a providencia de fecha 22 de noviembre de 1996 que dispuso abrir el proceso plenario en su contra. La resolución de esta apelación se dio mediante auto de sobreseimiento de fecha 7 de mayo de 1998, es decir, aproximadamente un año y 5 meses después de haber interpuesto el recurso.</w:t>
      </w:r>
    </w:p>
    <w:p w14:paraId="296A4914" w14:textId="77777777" w:rsidR="00DB4085" w:rsidRPr="00DB4085" w:rsidRDefault="00DB4085" w:rsidP="00DB4085">
      <w:pPr>
        <w:pBdr>
          <w:top w:val="nil"/>
        </w:pBdr>
        <w:spacing w:after="0" w:line="240" w:lineRule="auto"/>
        <w:jc w:val="both"/>
        <w:rPr>
          <w:rFonts w:ascii="Times New Roman" w:eastAsiaTheme="minorHAnsi" w:hAnsi="Times New Roman" w:cs="Times New Roman"/>
          <w:sz w:val="24"/>
          <w:lang w:eastAsia="es-CR"/>
        </w:rPr>
      </w:pPr>
    </w:p>
    <w:p w14:paraId="607EFF4D" w14:textId="0FE4439E" w:rsidR="00A818C4" w:rsidRPr="00A818C4" w:rsidRDefault="00DB4085" w:rsidP="00DB4085">
      <w:pPr>
        <w:numPr>
          <w:ilvl w:val="0"/>
          <w:numId w:val="4"/>
        </w:numPr>
        <w:pBdr>
          <w:top w:val="nil"/>
        </w:pBdr>
        <w:spacing w:after="0" w:line="240" w:lineRule="auto"/>
        <w:jc w:val="both"/>
        <w:rPr>
          <w:rFonts w:ascii="Times New Roman" w:eastAsiaTheme="minorHAnsi" w:hAnsi="Times New Roman" w:cs="Times New Roman"/>
          <w:sz w:val="24"/>
          <w:lang w:eastAsia="es-CR"/>
        </w:rPr>
      </w:pPr>
      <w:r w:rsidRPr="00364F2A">
        <w:rPr>
          <w:szCs w:val="20"/>
          <w:lang w:eastAsia="es-CR"/>
        </w:rPr>
        <w:t>En cuanto a la conducta de las autoridades judiciales, la Corte ha entendido que, como rectoras del proceso, tienen el deber de dirigir y encausar el procedimiento judicial con el fin de no sacrificar la justicia y el debido proceso en pro del formalismo</w:t>
      </w:r>
      <w:r w:rsidRPr="00B86B4B">
        <w:rPr>
          <w:rStyle w:val="Refdenotaalpie"/>
          <w:rFonts w:ascii="Verdana" w:hAnsi="Verdana"/>
          <w:lang w:eastAsia="es-CR"/>
        </w:rPr>
        <w:footnoteReference w:id="178"/>
      </w:r>
      <w:r w:rsidRPr="00364F2A">
        <w:rPr>
          <w:szCs w:val="20"/>
          <w:lang w:eastAsia="es-CR"/>
        </w:rPr>
        <w:t xml:space="preserve">. </w:t>
      </w:r>
      <w:r w:rsidRPr="006913B7">
        <w:rPr>
          <w:szCs w:val="20"/>
        </w:rPr>
        <w:t>En el presente caso la Corte nota que</w:t>
      </w:r>
      <w:r>
        <w:rPr>
          <w:szCs w:val="20"/>
        </w:rPr>
        <w:t xml:space="preserve"> a partir de la emisión de los autos cabeza de proceso no se realizaron diligencias y actuaciones relevantes en los procesos sobre enriquecimiento ilícito y conversión y transferencia de bienes</w:t>
      </w:r>
      <w:r w:rsidR="009448BD">
        <w:rPr>
          <w:szCs w:val="20"/>
        </w:rPr>
        <w:t xml:space="preserve">, ni se practicaron nuevas pruebas distintas </w:t>
      </w:r>
      <w:r>
        <w:rPr>
          <w:szCs w:val="20"/>
        </w:rPr>
        <w:t xml:space="preserve">a las </w:t>
      </w:r>
      <w:r w:rsidR="009448BD">
        <w:rPr>
          <w:szCs w:val="20"/>
        </w:rPr>
        <w:t xml:space="preserve">recaudadas </w:t>
      </w:r>
      <w:r>
        <w:rPr>
          <w:szCs w:val="20"/>
        </w:rPr>
        <w:t xml:space="preserve">al momento de las detenciones de junio de 1992. Por otra parte, en relación con el proceso sobre testaferrismo, la Corte tampoco advierte la realización de diligencias relevantes entre la emisión del auto cabeza de proceso el 18 de noviembre de 1992 y el acto de apertura de la etapa plenaria el 23 de marzo de 1998. Asimismo, la sentencia de primera instancia fue emitida </w:t>
      </w:r>
      <w:r w:rsidR="00EC5760" w:rsidRPr="00587147">
        <w:rPr>
          <w:color w:val="000000" w:themeColor="text1"/>
          <w:szCs w:val="20"/>
        </w:rPr>
        <w:t xml:space="preserve">en </w:t>
      </w:r>
      <w:r w:rsidRPr="00587147">
        <w:rPr>
          <w:color w:val="000000" w:themeColor="text1"/>
          <w:szCs w:val="20"/>
        </w:rPr>
        <w:t xml:space="preserve">septiembre </w:t>
      </w:r>
      <w:r>
        <w:rPr>
          <w:szCs w:val="20"/>
        </w:rPr>
        <w:t xml:space="preserve">de 2003. </w:t>
      </w:r>
      <w:r w:rsidRPr="00B86B4B">
        <w:rPr>
          <w:szCs w:val="20"/>
        </w:rPr>
        <w:t>Ante la presentación de recursos por parte de la Fiscalía, pasaron otros cinco años hasta la sentencia de segunda instancia, el 8 de septiembre de 2008, período en el cual no se realizaron diligencias u otros actos relevantes en el proceso (</w:t>
      </w:r>
      <w:r w:rsidRPr="00B86B4B">
        <w:rPr>
          <w:i/>
          <w:szCs w:val="20"/>
        </w:rPr>
        <w:t xml:space="preserve">supra </w:t>
      </w:r>
      <w:r w:rsidR="00995CA5" w:rsidRPr="00B86B4B">
        <w:rPr>
          <w:szCs w:val="20"/>
        </w:rPr>
        <w:t>párr</w:t>
      </w:r>
      <w:r w:rsidR="00F042F8" w:rsidRPr="00B86B4B">
        <w:rPr>
          <w:szCs w:val="20"/>
        </w:rPr>
        <w:t>. 68</w:t>
      </w:r>
      <w:r w:rsidRPr="00B86B4B">
        <w:rPr>
          <w:szCs w:val="20"/>
        </w:rPr>
        <w:t xml:space="preserve">) de modo </w:t>
      </w:r>
      <w:r w:rsidR="00B86B4B" w:rsidRPr="00B86B4B">
        <w:rPr>
          <w:szCs w:val="20"/>
        </w:rPr>
        <w:t>que no se puede</w:t>
      </w:r>
      <w:r w:rsidRPr="00B86B4B">
        <w:rPr>
          <w:szCs w:val="20"/>
        </w:rPr>
        <w:t xml:space="preserve"> justificar un </w:t>
      </w:r>
      <w:r w:rsidR="00A818C4" w:rsidRPr="00B86B4B">
        <w:rPr>
          <w:szCs w:val="20"/>
        </w:rPr>
        <w:t xml:space="preserve">lapso </w:t>
      </w:r>
      <w:r w:rsidRPr="00B86B4B">
        <w:rPr>
          <w:szCs w:val="20"/>
        </w:rPr>
        <w:t>de 1</w:t>
      </w:r>
      <w:r w:rsidR="00A818C4" w:rsidRPr="00B86B4B">
        <w:rPr>
          <w:szCs w:val="20"/>
        </w:rPr>
        <w:t>9</w:t>
      </w:r>
      <w:r w:rsidRPr="00B86B4B">
        <w:rPr>
          <w:szCs w:val="20"/>
        </w:rPr>
        <w:t xml:space="preserve"> años hasta la emisión de la sentencia condenatoria.</w:t>
      </w:r>
    </w:p>
    <w:p w14:paraId="3F2C146A" w14:textId="23F28F37" w:rsidR="00DB4085" w:rsidRPr="006913B7" w:rsidRDefault="00DB4085" w:rsidP="00A818C4">
      <w:pPr>
        <w:pBdr>
          <w:top w:val="nil"/>
        </w:pBdr>
        <w:spacing w:after="0" w:line="240" w:lineRule="auto"/>
        <w:jc w:val="both"/>
        <w:rPr>
          <w:rFonts w:ascii="Times New Roman" w:eastAsiaTheme="minorHAnsi" w:hAnsi="Times New Roman" w:cs="Times New Roman"/>
          <w:sz w:val="24"/>
          <w:lang w:eastAsia="es-CR"/>
        </w:rPr>
      </w:pPr>
    </w:p>
    <w:p w14:paraId="4FD0F1B2" w14:textId="77777777" w:rsidR="00A818C4" w:rsidRPr="00A818C4" w:rsidRDefault="00DB4085" w:rsidP="00F730AB">
      <w:pPr>
        <w:numPr>
          <w:ilvl w:val="0"/>
          <w:numId w:val="4"/>
        </w:numPr>
        <w:pBdr>
          <w:top w:val="nil"/>
        </w:pBdr>
        <w:spacing w:after="0" w:line="240" w:lineRule="auto"/>
        <w:jc w:val="both"/>
        <w:rPr>
          <w:rFonts w:eastAsia="Batang" w:cs="Times"/>
          <w:szCs w:val="20"/>
        </w:rPr>
      </w:pPr>
      <w:r w:rsidRPr="00A818C4">
        <w:rPr>
          <w:szCs w:val="20"/>
          <w:lang w:eastAsia="es-CR"/>
        </w:rPr>
        <w:t xml:space="preserve">De lo anterior se puede constatar que las investigaciones y el proceso contaron con distintos periodos de inactividad no justificados por parte de las autoridades </w:t>
      </w:r>
      <w:r w:rsidR="00A818C4" w:rsidRPr="00A818C4">
        <w:rPr>
          <w:szCs w:val="20"/>
          <w:lang w:eastAsia="es-CR"/>
        </w:rPr>
        <w:t>ecuatorianas</w:t>
      </w:r>
      <w:r w:rsidRPr="00A818C4">
        <w:rPr>
          <w:szCs w:val="20"/>
          <w:lang w:eastAsia="es-CR"/>
        </w:rPr>
        <w:t xml:space="preserve">, y que los mismos </w:t>
      </w:r>
      <w:r w:rsidRPr="00A818C4">
        <w:rPr>
          <w:szCs w:val="20"/>
        </w:rPr>
        <w:t>causaron</w:t>
      </w:r>
      <w:r w:rsidRPr="00A818C4">
        <w:rPr>
          <w:szCs w:val="20"/>
          <w:lang w:eastAsia="es-CR"/>
        </w:rPr>
        <w:t xml:space="preserve"> una indebida dilación del proceso. El Estado no probó que no podría haber tenido una actuación diferente que hubiese redundado en el desarrollo más expeditivo de las investigaciones y del proceso.</w:t>
      </w:r>
    </w:p>
    <w:p w14:paraId="65633261" w14:textId="77777777" w:rsidR="00A818C4" w:rsidRDefault="00A818C4" w:rsidP="00A818C4">
      <w:pPr>
        <w:pStyle w:val="Prrafodelista"/>
        <w:rPr>
          <w:szCs w:val="20"/>
        </w:rPr>
      </w:pPr>
    </w:p>
    <w:p w14:paraId="4AA28EC6" w14:textId="780B4507" w:rsidR="00766842" w:rsidRPr="00A818C4" w:rsidRDefault="00766842" w:rsidP="00F730AB">
      <w:pPr>
        <w:numPr>
          <w:ilvl w:val="0"/>
          <w:numId w:val="4"/>
        </w:numPr>
        <w:pBdr>
          <w:top w:val="nil"/>
        </w:pBdr>
        <w:spacing w:after="0" w:line="240" w:lineRule="auto"/>
        <w:jc w:val="both"/>
        <w:rPr>
          <w:rFonts w:eastAsia="Batang" w:cs="Times"/>
          <w:szCs w:val="20"/>
        </w:rPr>
      </w:pPr>
      <w:r w:rsidRPr="00A818C4">
        <w:rPr>
          <w:rFonts w:eastAsia="Batang" w:cs="Times"/>
          <w:szCs w:val="20"/>
        </w:rPr>
        <w:lastRenderedPageBreak/>
        <w:t xml:space="preserve">Finalmente, la Corte recuerda que, para determinar la razonabilidad del plazo se debe tomar en cuenta la afectación generada por la duración del procedimiento en la situación jurídica de la persona </w:t>
      </w:r>
      <w:r w:rsidR="00A818C4">
        <w:rPr>
          <w:rFonts w:eastAsia="Batang" w:cs="Times"/>
          <w:szCs w:val="20"/>
        </w:rPr>
        <w:t>procesada</w:t>
      </w:r>
      <w:r w:rsidRPr="00A818C4">
        <w:rPr>
          <w:rFonts w:eastAsia="Batang" w:cs="Times"/>
          <w:szCs w:val="20"/>
        </w:rPr>
        <w:t xml:space="preserve"> en el mismo, considerando, entre otros elementos, la materia objeto de controversia. Así, este Tribunal ha establecido que si el paso del tiempo incide de manera relevante en la situación jurídica del individuo, resultará necesario que el procedimiento avance con mayor diligencia a fin de que el caso se resuelva en un tiempo breve</w:t>
      </w:r>
      <w:r w:rsidRPr="009631AB">
        <w:rPr>
          <w:rFonts w:eastAsia="Batang" w:cs="Times New Roman"/>
          <w:szCs w:val="20"/>
          <w:vertAlign w:val="superscript"/>
        </w:rPr>
        <w:footnoteReference w:id="179"/>
      </w:r>
      <w:r w:rsidRPr="00A818C4">
        <w:rPr>
          <w:rFonts w:eastAsia="Batang" w:cs="Times"/>
          <w:szCs w:val="20"/>
        </w:rPr>
        <w:t>. Es necesario destacar, además, que los procesos en los cuales una persona se encuentra detenida de manera cautelar se deben llevar a cabo con la mayor celeridad posible</w:t>
      </w:r>
      <w:r w:rsidRPr="009631AB">
        <w:rPr>
          <w:rFonts w:eastAsia="Batang" w:cs="Times New Roman"/>
          <w:szCs w:val="20"/>
          <w:vertAlign w:val="superscript"/>
        </w:rPr>
        <w:footnoteReference w:id="180"/>
      </w:r>
      <w:r w:rsidRPr="00A818C4">
        <w:rPr>
          <w:rFonts w:eastAsia="Batang" w:cs="Times"/>
          <w:szCs w:val="20"/>
        </w:rPr>
        <w:t>. Con este marco, la Corte observa que, en el presente caso, los procesos penales seguidos en contra del señor Montesinos duraron más de 18 años, producto de lo cual estuvo privado de su libertad bajo la figura de prisión preventiva por más de 6 años. Asimismo, la Corte da cuenta de la situación de incertidumbre en que se mantuvo a la presunta víctima en cuanto a su condena por el delito de testaferrismo por más de 18 años y la imposibilidad de uso de sus bienes incautados en el marco de dicho proceso.</w:t>
      </w:r>
    </w:p>
    <w:p w14:paraId="594C2715" w14:textId="77777777" w:rsidR="00766842" w:rsidRPr="009631AB" w:rsidRDefault="00766842" w:rsidP="00766842">
      <w:pPr>
        <w:spacing w:after="0" w:line="240" w:lineRule="auto"/>
        <w:jc w:val="both"/>
        <w:rPr>
          <w:szCs w:val="20"/>
        </w:rPr>
      </w:pPr>
    </w:p>
    <w:p w14:paraId="59843E2C" w14:textId="517899A8" w:rsidR="00766842" w:rsidRPr="009631AB" w:rsidRDefault="00766842" w:rsidP="00766842">
      <w:pPr>
        <w:numPr>
          <w:ilvl w:val="0"/>
          <w:numId w:val="4"/>
        </w:numPr>
        <w:spacing w:after="0" w:line="240" w:lineRule="auto"/>
        <w:jc w:val="both"/>
        <w:rPr>
          <w:rFonts w:eastAsia="Batang" w:cs="Times"/>
          <w:szCs w:val="20"/>
        </w:rPr>
      </w:pPr>
      <w:r w:rsidRPr="009631AB">
        <w:rPr>
          <w:rFonts w:eastAsia="Batang" w:cs="Times"/>
          <w:szCs w:val="20"/>
        </w:rPr>
        <w:t>Por todo lo anterior, la Corte Interamericana concluye que las autoridades estatales no han actuado con la debida diligencia y el deber de celeridad que exigía la privación de libertad del señor Montesinos, razón por la cual los procesos penales seguidos en su contra excedieron el plazo razonable, lo cual vulnera el derecho a las garantías establecidas en el artículo 8.1, en relación con el artículo 1</w:t>
      </w:r>
      <w:r w:rsidR="008D3984">
        <w:rPr>
          <w:rFonts w:eastAsia="Batang" w:cs="Times"/>
          <w:szCs w:val="20"/>
        </w:rPr>
        <w:t>.a</w:t>
      </w:r>
      <w:r w:rsidRPr="009631AB">
        <w:rPr>
          <w:rFonts w:eastAsia="Batang" w:cs="Times"/>
          <w:szCs w:val="20"/>
        </w:rPr>
        <w:t xml:space="preserve"> de la Convención Americana.</w:t>
      </w:r>
    </w:p>
    <w:p w14:paraId="41520D41" w14:textId="77777777" w:rsidR="00766842" w:rsidRPr="009631AB" w:rsidRDefault="00766842" w:rsidP="00766842">
      <w:pPr>
        <w:spacing w:after="0" w:line="240" w:lineRule="auto"/>
        <w:jc w:val="both"/>
        <w:rPr>
          <w:szCs w:val="20"/>
        </w:rPr>
      </w:pPr>
    </w:p>
    <w:p w14:paraId="03D34657" w14:textId="52978D20" w:rsidR="00766842" w:rsidRPr="00D24534" w:rsidRDefault="00766842" w:rsidP="00766842">
      <w:pPr>
        <w:pStyle w:val="Ttulo3"/>
        <w:rPr>
          <w:b/>
        </w:rPr>
      </w:pPr>
      <w:bookmarkStart w:id="140" w:name="_Toc27069913"/>
      <w:r w:rsidRPr="00D24534">
        <w:rPr>
          <w:b/>
        </w:rPr>
        <w:t>B.3 Derecho a la defensa</w:t>
      </w:r>
      <w:bookmarkEnd w:id="140"/>
    </w:p>
    <w:p w14:paraId="5B3E3545" w14:textId="77777777" w:rsidR="00766842" w:rsidRPr="009631AB" w:rsidRDefault="00766842" w:rsidP="00766842">
      <w:pPr>
        <w:widowControl w:val="0"/>
        <w:spacing w:after="0" w:line="240" w:lineRule="auto"/>
        <w:textAlignment w:val="baseline"/>
        <w:rPr>
          <w:b/>
          <w:szCs w:val="20"/>
        </w:rPr>
      </w:pPr>
    </w:p>
    <w:p w14:paraId="7C8E84B6" w14:textId="77777777" w:rsidR="00766842" w:rsidRPr="009631AB" w:rsidRDefault="00766842" w:rsidP="00766842">
      <w:pPr>
        <w:widowControl w:val="0"/>
        <w:numPr>
          <w:ilvl w:val="0"/>
          <w:numId w:val="4"/>
        </w:numPr>
        <w:spacing w:after="0" w:line="240" w:lineRule="auto"/>
        <w:jc w:val="both"/>
        <w:textAlignment w:val="baseline"/>
        <w:rPr>
          <w:rFonts w:eastAsia="Batang" w:cs="Times"/>
          <w:noProof/>
          <w:szCs w:val="24"/>
        </w:rPr>
      </w:pPr>
      <w:r w:rsidRPr="009631AB">
        <w:rPr>
          <w:rFonts w:eastAsia="Batang" w:cs="Times"/>
          <w:noProof/>
          <w:szCs w:val="24"/>
        </w:rPr>
        <w:t>La Corte ha entendido que “[e]l derecho a la defensa es un componente central del debido proceso”, y que “debe necesariamente poder ejercerse desde que se señala a una persona como posible autor o partícipe de un hecho punible y sólo culmina cuando finaliza el proceso, incluyendo, en su caso, la etapa de ejecución de la pena”</w:t>
      </w:r>
      <w:r w:rsidR="004D4383" w:rsidRPr="009631AB">
        <w:rPr>
          <w:rFonts w:eastAsia="Batang" w:cs="Times New Roman"/>
          <w:szCs w:val="20"/>
          <w:vertAlign w:val="superscript"/>
        </w:rPr>
        <w:footnoteReference w:id="181"/>
      </w:r>
      <w:r w:rsidRPr="009631AB">
        <w:rPr>
          <w:rFonts w:eastAsia="Batang" w:cs="Times"/>
          <w:noProof/>
          <w:szCs w:val="24"/>
        </w:rPr>
        <w:t>.</w:t>
      </w:r>
    </w:p>
    <w:p w14:paraId="0286227F" w14:textId="77777777" w:rsidR="00766842" w:rsidRPr="009631AB" w:rsidRDefault="00766842" w:rsidP="00766842">
      <w:pPr>
        <w:widowControl w:val="0"/>
        <w:spacing w:after="0" w:line="240" w:lineRule="auto"/>
        <w:jc w:val="both"/>
        <w:textAlignment w:val="baseline"/>
        <w:rPr>
          <w:rFonts w:eastAsia="Batang" w:cs="Times"/>
          <w:noProof/>
          <w:szCs w:val="24"/>
        </w:rPr>
      </w:pPr>
    </w:p>
    <w:p w14:paraId="6EE616A9" w14:textId="77777777" w:rsidR="00766842" w:rsidRPr="009631AB" w:rsidRDefault="00766842" w:rsidP="00766842">
      <w:pPr>
        <w:widowControl w:val="0"/>
        <w:numPr>
          <w:ilvl w:val="0"/>
          <w:numId w:val="4"/>
        </w:numPr>
        <w:spacing w:after="0" w:line="240" w:lineRule="auto"/>
        <w:jc w:val="both"/>
        <w:textAlignment w:val="baseline"/>
        <w:rPr>
          <w:rFonts w:eastAsia="Batang" w:cs="Times"/>
          <w:noProof/>
          <w:szCs w:val="24"/>
        </w:rPr>
      </w:pPr>
      <w:r w:rsidRPr="009631AB">
        <w:rPr>
          <w:rFonts w:eastAsia="Batang" w:cs="Times"/>
          <w:szCs w:val="24"/>
        </w:rPr>
        <w:t>El artículo 8 de la Convención incluye garantías específicas respecto al derecho a la defensa. Así, en el literal “b” de su segundo apartado, se determina la necesidad de que se comunique “al inculpado” la “acusación” en su contra en forma “previa y detallada”. La Corte ha expresado que esta norma “rige incluso antes de que se formule una ‘acusación’ en sentido estricto, [pues p]ara que el mencionado artículo satisfaga los fines que le son inherentes, es necesario que la notificación ocurra previamente a que el inculpado rinda su primera declaración ante cualquier autoridad pública”</w:t>
      </w:r>
      <w:r w:rsidR="004D4383" w:rsidRPr="009631AB">
        <w:rPr>
          <w:rFonts w:eastAsia="Batang" w:cs="Times New Roman"/>
          <w:szCs w:val="20"/>
          <w:vertAlign w:val="superscript"/>
        </w:rPr>
        <w:footnoteReference w:id="182"/>
      </w:r>
      <w:r w:rsidRPr="009631AB">
        <w:rPr>
          <w:rFonts w:eastAsia="Batang" w:cs="Times"/>
          <w:szCs w:val="24"/>
        </w:rPr>
        <w:t xml:space="preserve">. </w:t>
      </w:r>
    </w:p>
    <w:p w14:paraId="0C0037E7" w14:textId="77777777" w:rsidR="00766842" w:rsidRPr="009631AB" w:rsidRDefault="00766842" w:rsidP="00766842">
      <w:pPr>
        <w:widowControl w:val="0"/>
        <w:spacing w:after="0" w:line="240" w:lineRule="auto"/>
        <w:jc w:val="both"/>
        <w:textAlignment w:val="baseline"/>
      </w:pPr>
    </w:p>
    <w:p w14:paraId="7F6D4FB0" w14:textId="0D122513" w:rsidR="00766842" w:rsidRPr="009631AB" w:rsidRDefault="00766842" w:rsidP="00766842">
      <w:pPr>
        <w:widowControl w:val="0"/>
        <w:numPr>
          <w:ilvl w:val="0"/>
          <w:numId w:val="4"/>
        </w:numPr>
        <w:spacing w:after="0" w:line="240" w:lineRule="auto"/>
        <w:jc w:val="both"/>
        <w:textAlignment w:val="baseline"/>
        <w:rPr>
          <w:rFonts w:eastAsia="Batang" w:cs="Times"/>
          <w:noProof/>
          <w:szCs w:val="24"/>
        </w:rPr>
      </w:pPr>
      <w:r w:rsidRPr="009631AB">
        <w:rPr>
          <w:rFonts w:eastAsia="Batang" w:cs="Times"/>
          <w:noProof/>
          <w:szCs w:val="24"/>
        </w:rPr>
        <w:t>La Convención regula garantías para la defensa técnica, como el derecho a ser asistido por un defensor (artículo 8.2.d y e). Este último derecho se ve vulnerado cuando no se asegura que la defensa técnica pueda participar asistiendo al imputado en actos centrales del proceso, como, por ejemplo, en caso de recibirse la declaración del imputado sin la asistencia de su abogado defensor</w:t>
      </w:r>
      <w:r w:rsidR="004D4383" w:rsidRPr="009631AB">
        <w:rPr>
          <w:rFonts w:eastAsia="Batang" w:cs="Times New Roman"/>
          <w:szCs w:val="20"/>
          <w:vertAlign w:val="superscript"/>
        </w:rPr>
        <w:footnoteReference w:id="183"/>
      </w:r>
      <w:r w:rsidRPr="009631AB">
        <w:rPr>
          <w:rFonts w:eastAsia="Batang" w:cs="Times"/>
          <w:noProof/>
          <w:szCs w:val="24"/>
        </w:rPr>
        <w:t>. Así, en decisiones sobre casos anteriores respecto de Ecuador, la Corte ha considerado</w:t>
      </w:r>
      <w:r w:rsidR="00363B47" w:rsidRPr="009631AB">
        <w:rPr>
          <w:rFonts w:eastAsia="Batang" w:cs="Times"/>
          <w:noProof/>
          <w:szCs w:val="24"/>
        </w:rPr>
        <w:t xml:space="preserve"> </w:t>
      </w:r>
      <w:r w:rsidRPr="009631AB">
        <w:rPr>
          <w:rFonts w:eastAsia="Batang" w:cs="Times"/>
          <w:noProof/>
          <w:szCs w:val="24"/>
        </w:rPr>
        <w:t>las circunstancias de que una persona “rindi[era] su declaración preprocesal ante el fiscal sin contar con la asistencia de un abogado defensor”, o que no tuviera esa asistencia al “momento de realizar el interrogatorio inicial ante la policía” como parte de un conjunto de hechos violatorios del segundo apartado del artículo 8.2 en sus literales “d” y “e”</w:t>
      </w:r>
      <w:r w:rsidR="004D4383" w:rsidRPr="009631AB">
        <w:rPr>
          <w:rFonts w:eastAsia="Batang" w:cs="Times New Roman"/>
          <w:szCs w:val="20"/>
          <w:vertAlign w:val="superscript"/>
        </w:rPr>
        <w:footnoteReference w:id="184"/>
      </w:r>
      <w:r w:rsidRPr="009631AB">
        <w:rPr>
          <w:rFonts w:eastAsia="Batang" w:cs="Times"/>
          <w:noProof/>
          <w:szCs w:val="24"/>
        </w:rPr>
        <w:t xml:space="preserve">. </w:t>
      </w:r>
    </w:p>
    <w:p w14:paraId="1F970AAD" w14:textId="77777777" w:rsidR="00766842" w:rsidRPr="009631AB" w:rsidRDefault="00766842" w:rsidP="00766842">
      <w:pPr>
        <w:widowControl w:val="0"/>
        <w:spacing w:after="0" w:line="240" w:lineRule="auto"/>
        <w:jc w:val="both"/>
        <w:textAlignment w:val="baseline"/>
      </w:pPr>
    </w:p>
    <w:p w14:paraId="00814C85" w14:textId="16B4C38A" w:rsidR="00766842" w:rsidRPr="009631AB" w:rsidRDefault="00766842" w:rsidP="00766842">
      <w:pPr>
        <w:widowControl w:val="0"/>
        <w:numPr>
          <w:ilvl w:val="0"/>
          <w:numId w:val="4"/>
        </w:numPr>
        <w:spacing w:after="0" w:line="240" w:lineRule="auto"/>
        <w:jc w:val="both"/>
        <w:textAlignment w:val="baseline"/>
        <w:rPr>
          <w:rFonts w:eastAsia="Batang" w:cs="Times"/>
          <w:noProof/>
          <w:szCs w:val="24"/>
        </w:rPr>
      </w:pPr>
      <w:r w:rsidRPr="009631AB">
        <w:rPr>
          <w:rFonts w:eastAsia="Batang" w:cs="Times"/>
          <w:noProof/>
          <w:szCs w:val="24"/>
        </w:rPr>
        <w:t>En el presente caso, no se encuentra dentro del expediente documento alguno que pruebe que el señor Montesinos había sido informado del motivo de su detención y tampoco que esa información se hubiera dado antes de emitidos los autos cabeza de proceso en noviembre de 1992 (</w:t>
      </w:r>
      <w:r w:rsidRPr="009631AB">
        <w:rPr>
          <w:rFonts w:eastAsia="Batang" w:cs="Times"/>
          <w:i/>
          <w:noProof/>
          <w:szCs w:val="24"/>
        </w:rPr>
        <w:t xml:space="preserve">supra </w:t>
      </w:r>
      <w:r w:rsidR="007945EB">
        <w:rPr>
          <w:rFonts w:eastAsia="Batang" w:cs="Times"/>
          <w:noProof/>
          <w:szCs w:val="24"/>
        </w:rPr>
        <w:t>párrs. 113 y 114</w:t>
      </w:r>
      <w:r w:rsidRPr="009631AB">
        <w:rPr>
          <w:rFonts w:eastAsia="Batang" w:cs="Times"/>
          <w:noProof/>
          <w:szCs w:val="24"/>
        </w:rPr>
        <w:t xml:space="preserve">). </w:t>
      </w:r>
      <w:r w:rsidR="00A818C4">
        <w:rPr>
          <w:rFonts w:eastAsia="Batang" w:cs="Times"/>
          <w:noProof/>
          <w:szCs w:val="24"/>
        </w:rPr>
        <w:t>Además</w:t>
      </w:r>
      <w:r w:rsidRPr="009631AB">
        <w:rPr>
          <w:rFonts w:eastAsia="Batang" w:cs="Times"/>
          <w:noProof/>
          <w:szCs w:val="24"/>
        </w:rPr>
        <w:t xml:space="preserve">, </w:t>
      </w:r>
      <w:r w:rsidR="00A818C4">
        <w:rPr>
          <w:rFonts w:eastAsia="Batang" w:cs="Times"/>
          <w:noProof/>
          <w:szCs w:val="24"/>
        </w:rPr>
        <w:t>en las declaraciones presumariales</w:t>
      </w:r>
      <w:r w:rsidR="00A818C4" w:rsidRPr="00A818C4">
        <w:rPr>
          <w:rFonts w:eastAsia="Batang" w:cs="Times"/>
          <w:noProof/>
          <w:szCs w:val="24"/>
        </w:rPr>
        <w:t xml:space="preserve"> </w:t>
      </w:r>
      <w:r w:rsidR="00A818C4" w:rsidRPr="009631AB">
        <w:rPr>
          <w:rFonts w:eastAsia="Batang" w:cs="Times"/>
          <w:noProof/>
          <w:szCs w:val="24"/>
        </w:rPr>
        <w:t xml:space="preserve">del señor Montesinos </w:t>
      </w:r>
      <w:r w:rsidR="004D4383" w:rsidRPr="009631AB">
        <w:rPr>
          <w:rFonts w:eastAsia="Batang" w:cs="Times New Roman"/>
          <w:szCs w:val="20"/>
          <w:vertAlign w:val="superscript"/>
        </w:rPr>
        <w:footnoteReference w:id="185"/>
      </w:r>
      <w:r w:rsidRPr="009631AB">
        <w:rPr>
          <w:rFonts w:eastAsia="Batang" w:cs="Times"/>
          <w:noProof/>
          <w:szCs w:val="24"/>
        </w:rPr>
        <w:t xml:space="preserve"> </w:t>
      </w:r>
      <w:r w:rsidR="00A818C4">
        <w:rPr>
          <w:rFonts w:eastAsia="Batang" w:cs="Times"/>
          <w:noProof/>
          <w:szCs w:val="24"/>
        </w:rPr>
        <w:t xml:space="preserve">no </w:t>
      </w:r>
      <w:r w:rsidRPr="009631AB">
        <w:rPr>
          <w:rFonts w:eastAsia="Batang" w:cs="Times"/>
          <w:noProof/>
          <w:szCs w:val="24"/>
        </w:rPr>
        <w:t>consta que se le haya informado sobre el delito que se le atribuía. Del mismo modo, en los autos cabeza de proceso por los delitos de enriquecimiento ilícito y conversión o transferencia de bienes tampoco se determinaron los hechos específicos por los cuales se vinculaba al señor Montesinos en estas causas</w:t>
      </w:r>
      <w:r w:rsidR="004D4383" w:rsidRPr="009631AB">
        <w:rPr>
          <w:rFonts w:eastAsia="Batang" w:cs="Times New Roman"/>
          <w:szCs w:val="20"/>
          <w:vertAlign w:val="superscript"/>
        </w:rPr>
        <w:footnoteReference w:id="186"/>
      </w:r>
      <w:r w:rsidRPr="009631AB">
        <w:rPr>
          <w:rFonts w:eastAsia="Batang" w:cs="Times"/>
          <w:noProof/>
          <w:szCs w:val="24"/>
        </w:rPr>
        <w:t xml:space="preserve">. Esto último fue, además, señalado por el Tribunal de Garantías Constitucionales de Ecuador en el </w:t>
      </w:r>
      <w:r w:rsidR="00DA7EEF" w:rsidRPr="00DA7EEF">
        <w:rPr>
          <w:rFonts w:eastAsia="Batang" w:cs="Times"/>
          <w:noProof/>
          <w:szCs w:val="24"/>
        </w:rPr>
        <w:t>hábeas corpus</w:t>
      </w:r>
      <w:r w:rsidRPr="009631AB">
        <w:rPr>
          <w:rFonts w:eastAsia="Batang" w:cs="Times"/>
          <w:noProof/>
          <w:szCs w:val="24"/>
        </w:rPr>
        <w:t xml:space="preserve"> del año 1996, al indicar que “en tanto que sobre el contenido de los autos cabezas de procesos hay que concluir que, efectivamente, en su redacción no se detallan hechos que impliquen personalmente al coronel Mario Alfonso Montesinos Mejía en la comisión de un delito y, por lo tanto, no expresan los cargos que existen en su contra”</w:t>
      </w:r>
      <w:r w:rsidR="004D4383" w:rsidRPr="009631AB">
        <w:rPr>
          <w:rFonts w:eastAsia="Batang" w:cs="Times New Roman"/>
          <w:szCs w:val="20"/>
          <w:vertAlign w:val="superscript"/>
        </w:rPr>
        <w:footnoteReference w:id="187"/>
      </w:r>
      <w:r w:rsidRPr="009631AB">
        <w:rPr>
          <w:rFonts w:eastAsia="Batang" w:cs="Times"/>
          <w:noProof/>
          <w:szCs w:val="24"/>
        </w:rPr>
        <w:t>.</w:t>
      </w:r>
    </w:p>
    <w:p w14:paraId="7B612A3C" w14:textId="77777777" w:rsidR="00766842" w:rsidRPr="009631AB" w:rsidRDefault="00766842" w:rsidP="00766842">
      <w:pPr>
        <w:widowControl w:val="0"/>
        <w:spacing w:after="0" w:line="240" w:lineRule="auto"/>
        <w:jc w:val="both"/>
        <w:textAlignment w:val="baseline"/>
        <w:rPr>
          <w:rFonts w:eastAsia="Batang" w:cs="Times"/>
          <w:noProof/>
          <w:szCs w:val="24"/>
        </w:rPr>
      </w:pPr>
    </w:p>
    <w:p w14:paraId="599E282C" w14:textId="4652A498" w:rsidR="00766842" w:rsidRPr="009631AB" w:rsidRDefault="00766842" w:rsidP="00766842">
      <w:pPr>
        <w:widowControl w:val="0"/>
        <w:numPr>
          <w:ilvl w:val="0"/>
          <w:numId w:val="4"/>
        </w:numPr>
        <w:spacing w:after="0" w:line="240" w:lineRule="auto"/>
        <w:jc w:val="both"/>
        <w:textAlignment w:val="baseline"/>
        <w:rPr>
          <w:rFonts w:eastAsia="Batang" w:cs="Times"/>
          <w:noProof/>
          <w:szCs w:val="24"/>
        </w:rPr>
      </w:pPr>
      <w:r w:rsidRPr="009631AB">
        <w:rPr>
          <w:rFonts w:eastAsia="Batang" w:cs="Times"/>
          <w:szCs w:val="24"/>
        </w:rPr>
        <w:t>Por otra parte, se encuentra debidamente probado que el señor Montesinos rindió sus declaraciones presumariales e incluso indagatori</w:t>
      </w:r>
      <w:r w:rsidR="00E973EB" w:rsidRPr="009631AB">
        <w:rPr>
          <w:rFonts w:eastAsia="Batang" w:cs="Times"/>
          <w:szCs w:val="24"/>
        </w:rPr>
        <w:t>a</w:t>
      </w:r>
      <w:r w:rsidRPr="009631AB">
        <w:rPr>
          <w:rFonts w:eastAsia="Batang" w:cs="Times"/>
          <w:szCs w:val="24"/>
        </w:rPr>
        <w:t>s sin contar con abogado</w:t>
      </w:r>
      <w:r w:rsidR="004D4383" w:rsidRPr="009631AB">
        <w:rPr>
          <w:rFonts w:eastAsia="Batang" w:cs="Times New Roman"/>
          <w:szCs w:val="20"/>
          <w:vertAlign w:val="superscript"/>
        </w:rPr>
        <w:footnoteReference w:id="188"/>
      </w:r>
      <w:r w:rsidRPr="009631AB">
        <w:rPr>
          <w:rFonts w:eastAsia="Batang" w:cs="Times"/>
          <w:szCs w:val="24"/>
        </w:rPr>
        <w:t>. Del mismo modo, fue reconocido por el Tribunal de Garantías Constitucionales que el señor Montesinos estuvo incomunicado durante 38 días de su detención</w:t>
      </w:r>
      <w:r w:rsidR="004D4383" w:rsidRPr="009631AB">
        <w:rPr>
          <w:rFonts w:eastAsia="Batang" w:cs="Times New Roman"/>
          <w:szCs w:val="20"/>
          <w:vertAlign w:val="superscript"/>
        </w:rPr>
        <w:footnoteReference w:id="189"/>
      </w:r>
      <w:r w:rsidRPr="009631AB">
        <w:rPr>
          <w:rFonts w:eastAsia="Batang" w:cs="Times"/>
          <w:szCs w:val="24"/>
        </w:rPr>
        <w:t>, lo cual</w:t>
      </w:r>
      <w:r w:rsidR="00E973EB" w:rsidRPr="009631AB">
        <w:rPr>
          <w:rFonts w:eastAsia="Batang" w:cs="Times"/>
          <w:szCs w:val="24"/>
        </w:rPr>
        <w:t>, en consideración de la Corte</w:t>
      </w:r>
      <w:r w:rsidR="008D3984">
        <w:rPr>
          <w:rFonts w:eastAsia="Batang" w:cs="Times"/>
          <w:szCs w:val="24"/>
        </w:rPr>
        <w:t xml:space="preserve"> Interamericana</w:t>
      </w:r>
      <w:r w:rsidR="00E973EB" w:rsidRPr="009631AB">
        <w:rPr>
          <w:rFonts w:eastAsia="Batang" w:cs="Times"/>
          <w:szCs w:val="24"/>
        </w:rPr>
        <w:t xml:space="preserve">, es prueba suficiente de que la presunta víctima </w:t>
      </w:r>
      <w:r w:rsidRPr="009631AB">
        <w:rPr>
          <w:rFonts w:eastAsia="Batang" w:cs="Times"/>
          <w:szCs w:val="24"/>
        </w:rPr>
        <w:t>no tuvo la posibilidad de preparar debidamente su defensa, al no contar con el patrocinio letrado de un defensor público u obtener un abogado de su elección con el cual pueda comunicarse en forma libre y privada.</w:t>
      </w:r>
    </w:p>
    <w:p w14:paraId="2378066A" w14:textId="77777777" w:rsidR="00766842" w:rsidRPr="009631AB" w:rsidRDefault="00766842" w:rsidP="00766842">
      <w:pPr>
        <w:spacing w:after="0" w:line="240" w:lineRule="auto"/>
        <w:ind w:left="720"/>
        <w:jc w:val="both"/>
        <w:rPr>
          <w:rFonts w:eastAsia="Batang" w:cs="Times"/>
          <w:noProof/>
          <w:szCs w:val="24"/>
        </w:rPr>
      </w:pPr>
    </w:p>
    <w:p w14:paraId="4E9ACF99" w14:textId="5D3CD064" w:rsidR="00766842" w:rsidRPr="009631AB" w:rsidRDefault="00766842" w:rsidP="00766842">
      <w:pPr>
        <w:widowControl w:val="0"/>
        <w:numPr>
          <w:ilvl w:val="0"/>
          <w:numId w:val="4"/>
        </w:numPr>
        <w:spacing w:after="0" w:line="240" w:lineRule="auto"/>
        <w:jc w:val="both"/>
        <w:textAlignment w:val="baseline"/>
        <w:rPr>
          <w:rFonts w:eastAsia="Batang" w:cs="Times"/>
          <w:noProof/>
          <w:szCs w:val="24"/>
        </w:rPr>
      </w:pPr>
      <w:r w:rsidRPr="009631AB">
        <w:rPr>
          <w:rFonts w:eastAsia="Batang" w:cs="Times"/>
          <w:noProof/>
          <w:szCs w:val="24"/>
        </w:rPr>
        <w:t xml:space="preserve">Cabe señalar también que en el poder judicial ecuatoriano reconoció el retraso injustificado de los plazos y términos procesales en el </w:t>
      </w:r>
      <w:r w:rsidR="00DA7EEF" w:rsidRPr="00DA7EEF">
        <w:rPr>
          <w:rFonts w:eastAsia="Batang" w:cs="Times"/>
          <w:noProof/>
          <w:szCs w:val="24"/>
        </w:rPr>
        <w:t>hábeas corpus</w:t>
      </w:r>
      <w:r w:rsidRPr="009631AB">
        <w:rPr>
          <w:rFonts w:eastAsia="Batang" w:cs="Times"/>
          <w:noProof/>
          <w:szCs w:val="24"/>
        </w:rPr>
        <w:t xml:space="preserve"> concedido por el Tribunal de Garantías Constitucionales el 30 de octubre de 1996</w:t>
      </w:r>
      <w:r w:rsidRPr="009631AB">
        <w:rPr>
          <w:rFonts w:eastAsia="Batang" w:cs="Times New Roman"/>
          <w:noProof/>
          <w:szCs w:val="20"/>
          <w:vertAlign w:val="superscript"/>
        </w:rPr>
        <w:footnoteReference w:id="190"/>
      </w:r>
      <w:r w:rsidRPr="009631AB">
        <w:rPr>
          <w:rFonts w:eastAsia="Batang" w:cs="Times"/>
          <w:noProof/>
          <w:szCs w:val="24"/>
        </w:rPr>
        <w:t xml:space="preserve">. </w:t>
      </w:r>
    </w:p>
    <w:p w14:paraId="241AF82D" w14:textId="77777777" w:rsidR="00766842" w:rsidRPr="009631AB" w:rsidRDefault="00766842" w:rsidP="00766842">
      <w:pPr>
        <w:spacing w:after="0" w:line="240" w:lineRule="auto"/>
        <w:ind w:left="720"/>
        <w:jc w:val="both"/>
        <w:rPr>
          <w:rFonts w:eastAsia="Batang" w:cs="Times"/>
          <w:szCs w:val="24"/>
        </w:rPr>
      </w:pPr>
    </w:p>
    <w:p w14:paraId="39AF96C9" w14:textId="24C36687" w:rsidR="00766842" w:rsidRPr="009631AB" w:rsidRDefault="00766842" w:rsidP="00766842">
      <w:pPr>
        <w:widowControl w:val="0"/>
        <w:numPr>
          <w:ilvl w:val="0"/>
          <w:numId w:val="4"/>
        </w:numPr>
        <w:spacing w:after="0" w:line="240" w:lineRule="auto"/>
        <w:jc w:val="both"/>
        <w:textAlignment w:val="baseline"/>
        <w:rPr>
          <w:rFonts w:eastAsia="Batang" w:cs="Times"/>
          <w:noProof/>
          <w:szCs w:val="24"/>
        </w:rPr>
      </w:pPr>
      <w:r w:rsidRPr="009631AB">
        <w:rPr>
          <w:rFonts w:eastAsia="Batang" w:cs="Times"/>
          <w:szCs w:val="24"/>
        </w:rPr>
        <w:t>Por todo lo anterior y teniendo en cuenta que</w:t>
      </w:r>
      <w:r w:rsidR="00E973EB" w:rsidRPr="009631AB">
        <w:rPr>
          <w:rFonts w:eastAsia="Batang" w:cs="Times"/>
          <w:szCs w:val="24"/>
        </w:rPr>
        <w:t>,</w:t>
      </w:r>
      <w:r w:rsidRPr="009631AB">
        <w:rPr>
          <w:rFonts w:eastAsia="Batang" w:cs="Times"/>
          <w:szCs w:val="24"/>
        </w:rPr>
        <w:t xml:space="preserve"> conforme se expondrá más adelante (</w:t>
      </w:r>
      <w:r w:rsidRPr="009631AB">
        <w:rPr>
          <w:rFonts w:eastAsia="Batang" w:cs="Times"/>
          <w:i/>
          <w:szCs w:val="24"/>
        </w:rPr>
        <w:t>infra</w:t>
      </w:r>
      <w:r w:rsidR="00242D95">
        <w:rPr>
          <w:rFonts w:eastAsia="Batang" w:cs="Times"/>
          <w:szCs w:val="24"/>
        </w:rPr>
        <w:t xml:space="preserve"> párr. 214</w:t>
      </w:r>
      <w:r w:rsidRPr="009631AB">
        <w:rPr>
          <w:rFonts w:eastAsia="Batang" w:cs="Times"/>
          <w:szCs w:val="24"/>
        </w:rPr>
        <w:t>)</w:t>
      </w:r>
      <w:r w:rsidR="00E973EB" w:rsidRPr="009631AB">
        <w:rPr>
          <w:rFonts w:eastAsia="Batang" w:cs="Times"/>
          <w:szCs w:val="24"/>
        </w:rPr>
        <w:t>,</w:t>
      </w:r>
      <w:r w:rsidRPr="009631AB">
        <w:rPr>
          <w:rFonts w:eastAsia="Batang" w:cs="Times"/>
          <w:szCs w:val="24"/>
        </w:rPr>
        <w:t xml:space="preserve"> la declaración presumarial del señor Montesinos tuvo gran relevancia en su condena dentro del proceso penal por testaferrismo, la Corte considera que el Estado vulneró los derechos establecidos en el artículo 8.2 literales b), c), d) y e) de la Convención Americana, en relación con el artículo 1.1 de la Convención, en perjuicio del señor Mario Montesinos Mejía.</w:t>
      </w:r>
    </w:p>
    <w:p w14:paraId="20387EF4" w14:textId="77777777" w:rsidR="00766842" w:rsidRPr="009631AB" w:rsidRDefault="00766842" w:rsidP="00766842">
      <w:pPr>
        <w:widowControl w:val="0"/>
        <w:spacing w:after="0" w:line="240" w:lineRule="auto"/>
        <w:jc w:val="both"/>
        <w:textAlignment w:val="baseline"/>
      </w:pPr>
    </w:p>
    <w:p w14:paraId="326B19A1" w14:textId="3A99A74B" w:rsidR="00766842" w:rsidRPr="00D24534" w:rsidRDefault="00766842" w:rsidP="00766842">
      <w:pPr>
        <w:pStyle w:val="Ttulo3"/>
        <w:rPr>
          <w:b/>
        </w:rPr>
      </w:pPr>
      <w:bookmarkStart w:id="141" w:name="_Toc27069914"/>
      <w:r w:rsidRPr="00D24534">
        <w:rPr>
          <w:b/>
        </w:rPr>
        <w:t>B.4 Regla de exclusión de pruebas obtenidas bajo coacción</w:t>
      </w:r>
      <w:bookmarkEnd w:id="141"/>
    </w:p>
    <w:p w14:paraId="51C2F7CD" w14:textId="77777777" w:rsidR="00766842" w:rsidRPr="009631AB" w:rsidRDefault="00766842" w:rsidP="00766842">
      <w:pPr>
        <w:widowControl w:val="0"/>
        <w:spacing w:after="0" w:line="240" w:lineRule="auto"/>
        <w:textAlignment w:val="baseline"/>
        <w:rPr>
          <w:rFonts w:eastAsia="Batang" w:cs="Times"/>
          <w:b/>
          <w:bCs/>
          <w:szCs w:val="20"/>
        </w:rPr>
      </w:pPr>
    </w:p>
    <w:p w14:paraId="3FA943CC" w14:textId="77777777" w:rsidR="00766842" w:rsidRPr="009631AB" w:rsidRDefault="00766842" w:rsidP="00766842">
      <w:pPr>
        <w:numPr>
          <w:ilvl w:val="0"/>
          <w:numId w:val="4"/>
        </w:numPr>
        <w:spacing w:after="0" w:line="240" w:lineRule="auto"/>
        <w:jc w:val="both"/>
        <w:rPr>
          <w:rFonts w:eastAsia="Batang" w:cs="Times"/>
          <w:noProof/>
          <w:szCs w:val="24"/>
        </w:rPr>
      </w:pPr>
      <w:r w:rsidRPr="009631AB">
        <w:rPr>
          <w:rFonts w:eastAsia="Batang" w:cs="Times"/>
          <w:noProof/>
          <w:szCs w:val="24"/>
        </w:rPr>
        <w:lastRenderedPageBreak/>
        <w:t>La Corte ha observado que la regla de exclusión de pruebas obtenidas mediante la tortura o tratos crueles e inhumanos (en adelante “regla de exclusión”) ha sido reconocida por diversos tratados</w:t>
      </w:r>
      <w:r w:rsidR="004D4383" w:rsidRPr="009631AB">
        <w:rPr>
          <w:rFonts w:eastAsia="Batang" w:cs="Times New Roman"/>
          <w:szCs w:val="20"/>
          <w:vertAlign w:val="superscript"/>
        </w:rPr>
        <w:footnoteReference w:id="191"/>
      </w:r>
      <w:r w:rsidRPr="009631AB">
        <w:rPr>
          <w:rFonts w:eastAsia="Batang" w:cs="Times"/>
          <w:noProof/>
          <w:szCs w:val="24"/>
        </w:rPr>
        <w:t xml:space="preserve"> y órganos internacionales de protección de derechos humanos que han establecido que dicha regla es intrínseca a la prohibición de tales actos</w:t>
      </w:r>
      <w:r w:rsidR="004D4383" w:rsidRPr="009631AB">
        <w:rPr>
          <w:rFonts w:eastAsia="Batang" w:cs="Times New Roman"/>
          <w:szCs w:val="20"/>
          <w:vertAlign w:val="superscript"/>
        </w:rPr>
        <w:footnoteReference w:id="192"/>
      </w:r>
      <w:r w:rsidRPr="009631AB">
        <w:rPr>
          <w:rFonts w:eastAsia="Batang" w:cs="Times"/>
          <w:noProof/>
          <w:szCs w:val="24"/>
        </w:rPr>
        <w:t>. Al respecto, la Corte ha considerado que esta regla ostenta un carácter absoluto e inderogable</w:t>
      </w:r>
      <w:r w:rsidR="004D4383" w:rsidRPr="009631AB">
        <w:rPr>
          <w:rFonts w:eastAsia="Batang" w:cs="Times New Roman"/>
          <w:szCs w:val="20"/>
          <w:vertAlign w:val="superscript"/>
        </w:rPr>
        <w:footnoteReference w:id="193"/>
      </w:r>
      <w:r w:rsidRPr="009631AB">
        <w:rPr>
          <w:rFonts w:eastAsia="Batang" w:cs="Times"/>
          <w:noProof/>
          <w:szCs w:val="24"/>
        </w:rPr>
        <w:t xml:space="preserve">. </w:t>
      </w:r>
    </w:p>
    <w:p w14:paraId="5B9AB828" w14:textId="77777777" w:rsidR="00766842" w:rsidRPr="009631AB" w:rsidRDefault="00766842" w:rsidP="00766842">
      <w:pPr>
        <w:spacing w:after="0" w:line="240" w:lineRule="auto"/>
        <w:jc w:val="both"/>
      </w:pPr>
    </w:p>
    <w:p w14:paraId="5997C892" w14:textId="7918C20C" w:rsidR="00766842" w:rsidRPr="009631AB" w:rsidRDefault="00766842" w:rsidP="00766842">
      <w:pPr>
        <w:numPr>
          <w:ilvl w:val="0"/>
          <w:numId w:val="4"/>
        </w:numPr>
        <w:spacing w:after="0" w:line="240" w:lineRule="auto"/>
        <w:jc w:val="both"/>
        <w:rPr>
          <w:rFonts w:eastAsia="Batang" w:cs="Times"/>
          <w:noProof/>
          <w:szCs w:val="20"/>
        </w:rPr>
      </w:pPr>
      <w:r w:rsidRPr="009631AB">
        <w:rPr>
          <w:rFonts w:eastAsia="Batang" w:cs="Times"/>
          <w:noProof/>
          <w:szCs w:val="24"/>
        </w:rPr>
        <w:t>En este sentido, la Corte ha sostenido que la anulación de los actos procesales derivados de la tortura o tratos crueles constituye una medida efectiva para hacer cesar las consecuencias de una violación a las garantías judiciales</w:t>
      </w:r>
      <w:r w:rsidR="004D4383" w:rsidRPr="009631AB">
        <w:rPr>
          <w:rFonts w:eastAsia="Batang" w:cs="Times New Roman"/>
          <w:szCs w:val="20"/>
          <w:vertAlign w:val="superscript"/>
        </w:rPr>
        <w:footnoteReference w:id="194"/>
      </w:r>
      <w:r w:rsidRPr="009631AB">
        <w:rPr>
          <w:rFonts w:eastAsia="Batang" w:cs="Times"/>
          <w:noProof/>
          <w:szCs w:val="24"/>
        </w:rPr>
        <w:t xml:space="preserve">. Además, la Corte ha recalcado que la regla de exclusión no se aplica sólo a casos en los cuales se haya cometido tortura o tratos crueles. </w:t>
      </w:r>
      <w:r w:rsidR="002F463F" w:rsidRPr="009631AB">
        <w:rPr>
          <w:rFonts w:eastAsia="Batang" w:cs="Times"/>
          <w:noProof/>
          <w:szCs w:val="24"/>
        </w:rPr>
        <w:t>Así</w:t>
      </w:r>
      <w:r w:rsidRPr="009631AB">
        <w:rPr>
          <w:rFonts w:eastAsia="Batang" w:cs="Times"/>
          <w:noProof/>
          <w:szCs w:val="24"/>
        </w:rPr>
        <w:t>, el artículo 8.3 de la Convención es claro al señalar que “[l]a confesión del inculpado solamente es válida si es hecha sin coacción de ninguna naturaleza”, es decir que no se limita el supuesto de hecho a que se haya perpetrado un acto de tortura o trato cruel, sino que se extiende a cualquier tipo de coacción. En efecto, al comprobarse cualquier tipo de coacción capaz de quebrantar la expresión espontánea de la voluntad de la persona, ello implica necesariamente la obligación de excluir la evidencia respectiva del proceso judicial. Esta anulación es un medio necesario para desincentivar el uso de cualquier modalidad de coacción</w:t>
      </w:r>
      <w:r w:rsidR="004D4383" w:rsidRPr="009631AB">
        <w:rPr>
          <w:rFonts w:eastAsia="Batang" w:cs="Times New Roman"/>
          <w:szCs w:val="20"/>
          <w:vertAlign w:val="superscript"/>
        </w:rPr>
        <w:footnoteReference w:id="195"/>
      </w:r>
      <w:r w:rsidRPr="009631AB">
        <w:rPr>
          <w:rFonts w:eastAsia="Batang" w:cs="Times"/>
          <w:noProof/>
          <w:szCs w:val="24"/>
        </w:rPr>
        <w:t>.</w:t>
      </w:r>
      <w:r w:rsidR="001B465D">
        <w:rPr>
          <w:rFonts w:eastAsia="Batang" w:cs="Times"/>
          <w:b/>
          <w:noProof/>
          <w:szCs w:val="20"/>
        </w:rPr>
        <w:t xml:space="preserve"> </w:t>
      </w:r>
    </w:p>
    <w:p w14:paraId="2EF6746A" w14:textId="77777777" w:rsidR="00766842" w:rsidRPr="009631AB" w:rsidRDefault="00766842" w:rsidP="00766842">
      <w:pPr>
        <w:spacing w:after="0" w:line="240" w:lineRule="auto"/>
        <w:jc w:val="both"/>
        <w:rPr>
          <w:szCs w:val="20"/>
        </w:rPr>
      </w:pPr>
    </w:p>
    <w:p w14:paraId="3FDCC526" w14:textId="77777777" w:rsidR="00766842" w:rsidRPr="009631AB" w:rsidRDefault="00766842" w:rsidP="00766842">
      <w:pPr>
        <w:numPr>
          <w:ilvl w:val="0"/>
          <w:numId w:val="4"/>
        </w:numPr>
        <w:spacing w:after="0" w:line="240" w:lineRule="auto"/>
        <w:jc w:val="both"/>
        <w:rPr>
          <w:rFonts w:eastAsia="Batang" w:cs="Times"/>
          <w:noProof/>
          <w:szCs w:val="20"/>
        </w:rPr>
      </w:pPr>
      <w:r w:rsidRPr="009631AB">
        <w:rPr>
          <w:rFonts w:eastAsia="Batang" w:cs="Times"/>
          <w:noProof/>
          <w:szCs w:val="24"/>
        </w:rPr>
        <w:t>Por otra parte, este Tribunal ha considerado que las declaraciones obtenidas mediante coacción no suelen ser veraces, ya que la persona intenta aseverar lo necesario para lograr que los tratos crueles o la tortura cesen. Por lo anterior, para el Tribunal, aceptar o dar valor probatorio a declaraciones o confesiones obtenidas mediante coacción, que afecten a la persona o a un tercero, constituye a su vez una infracción a un juicio justo. Asimismo, la Corte ha manifestado que el carácter absoluto de la regla de exclusión se ve reflejado en la prohibición de otorgarle valor probatorio no sólo a la prueba obtenida directamente mediante coacción, sino también a la evidencia que se desprende de dicha acción</w:t>
      </w:r>
      <w:r w:rsidR="004D4383" w:rsidRPr="009631AB">
        <w:rPr>
          <w:rFonts w:eastAsia="Batang" w:cs="Times New Roman"/>
          <w:szCs w:val="20"/>
          <w:vertAlign w:val="superscript"/>
        </w:rPr>
        <w:footnoteReference w:id="196"/>
      </w:r>
      <w:r w:rsidRPr="009631AB">
        <w:rPr>
          <w:rFonts w:eastAsia="Batang" w:cs="Times"/>
          <w:noProof/>
          <w:szCs w:val="24"/>
        </w:rPr>
        <w:t xml:space="preserve">. </w:t>
      </w:r>
    </w:p>
    <w:p w14:paraId="138416F4" w14:textId="77777777" w:rsidR="00766842" w:rsidRPr="009631AB" w:rsidRDefault="00766842" w:rsidP="00766842">
      <w:pPr>
        <w:spacing w:after="0" w:line="240" w:lineRule="auto"/>
        <w:jc w:val="both"/>
      </w:pPr>
    </w:p>
    <w:p w14:paraId="4D714171" w14:textId="77777777" w:rsidR="00766842" w:rsidRPr="009631AB" w:rsidRDefault="00766842" w:rsidP="00766842">
      <w:pPr>
        <w:numPr>
          <w:ilvl w:val="0"/>
          <w:numId w:val="4"/>
        </w:numPr>
        <w:spacing w:after="0" w:line="240" w:lineRule="auto"/>
        <w:jc w:val="both"/>
        <w:rPr>
          <w:rFonts w:eastAsia="Batang" w:cs="Times"/>
          <w:noProof/>
          <w:szCs w:val="24"/>
        </w:rPr>
      </w:pPr>
      <w:r w:rsidRPr="009631AB">
        <w:rPr>
          <w:rFonts w:eastAsia="Batang" w:cs="Times"/>
          <w:noProof/>
          <w:szCs w:val="24"/>
        </w:rPr>
        <w:t xml:space="preserve">En el presente caso, ya se ha determinado que el señor Montesinos fue objeto de tratos crueles, inhumanos y degradantes y que denunció actos de tortura que no fueron investigados. Se señaló, en específico, que el señor Montesinos estuvo incomunicado por un periodo de 38 </w:t>
      </w:r>
      <w:r w:rsidRPr="009631AB">
        <w:rPr>
          <w:rFonts w:eastAsia="Batang" w:cs="Times"/>
          <w:noProof/>
          <w:szCs w:val="24"/>
        </w:rPr>
        <w:lastRenderedPageBreak/>
        <w:t>días, lo cual, conforme se determinó en el caso Suarez Rosero Vs. Ecuador</w:t>
      </w:r>
      <w:r w:rsidR="004D4383" w:rsidRPr="009631AB">
        <w:rPr>
          <w:rFonts w:eastAsia="Batang" w:cs="Times New Roman"/>
          <w:szCs w:val="20"/>
          <w:vertAlign w:val="superscript"/>
        </w:rPr>
        <w:footnoteReference w:id="197"/>
      </w:r>
      <w:r w:rsidRPr="009631AB">
        <w:rPr>
          <w:rFonts w:eastAsia="Batang" w:cs="Times"/>
          <w:noProof/>
          <w:szCs w:val="24"/>
        </w:rPr>
        <w:t xml:space="preserve">, por sí solo permite concluir que el señor Montesinos fue sometido a tratos crueles, inhumanos y degradantes. </w:t>
      </w:r>
    </w:p>
    <w:p w14:paraId="0CE86BBD" w14:textId="77777777" w:rsidR="00766842" w:rsidRPr="009631AB" w:rsidRDefault="00766842" w:rsidP="00766842">
      <w:pPr>
        <w:spacing w:after="0" w:line="240" w:lineRule="auto"/>
        <w:jc w:val="both"/>
      </w:pPr>
    </w:p>
    <w:p w14:paraId="4B79E36A" w14:textId="033D6E0A" w:rsidR="00766842" w:rsidRPr="009631AB" w:rsidRDefault="00766842" w:rsidP="00766842">
      <w:pPr>
        <w:numPr>
          <w:ilvl w:val="0"/>
          <w:numId w:val="4"/>
        </w:numPr>
        <w:spacing w:after="0" w:line="240" w:lineRule="auto"/>
        <w:jc w:val="both"/>
        <w:rPr>
          <w:rFonts w:eastAsia="Batang" w:cs="Arial"/>
          <w:color w:val="555555"/>
          <w:szCs w:val="20"/>
        </w:rPr>
      </w:pPr>
      <w:r w:rsidRPr="009631AB">
        <w:rPr>
          <w:rFonts w:eastAsia="Batang" w:cs="Times"/>
          <w:szCs w:val="24"/>
        </w:rPr>
        <w:t>Por lo anterior, la Corte entiende que la</w:t>
      </w:r>
      <w:r w:rsidR="00C2761C">
        <w:rPr>
          <w:rFonts w:eastAsia="Batang" w:cs="Times"/>
          <w:szCs w:val="24"/>
        </w:rPr>
        <w:t>s</w:t>
      </w:r>
      <w:r w:rsidRPr="009631AB">
        <w:rPr>
          <w:rFonts w:eastAsia="Batang" w:cs="Times"/>
          <w:szCs w:val="24"/>
        </w:rPr>
        <w:t xml:space="preserve"> declaraciones presumariales del señor Montesinos fueron obtenidas bajo coacción,</w:t>
      </w:r>
      <w:r w:rsidR="00747860" w:rsidRPr="009631AB">
        <w:rPr>
          <w:rFonts w:eastAsia="Batang" w:cs="Times"/>
          <w:szCs w:val="24"/>
        </w:rPr>
        <w:t xml:space="preserve"> a pesar</w:t>
      </w:r>
      <w:r w:rsidRPr="009631AB">
        <w:rPr>
          <w:rFonts w:eastAsia="Batang" w:cs="Times"/>
          <w:szCs w:val="24"/>
        </w:rPr>
        <w:t xml:space="preserve"> de lo cual, no fueron privadas de valor</w:t>
      </w:r>
      <w:r w:rsidR="00747860" w:rsidRPr="009631AB">
        <w:rPr>
          <w:rFonts w:eastAsia="Batang" w:cs="Times"/>
          <w:szCs w:val="24"/>
        </w:rPr>
        <w:t xml:space="preserve"> probatorio</w:t>
      </w:r>
      <w:r w:rsidRPr="009631AB">
        <w:rPr>
          <w:rFonts w:eastAsia="Batang" w:cs="Times"/>
          <w:szCs w:val="24"/>
        </w:rPr>
        <w:t xml:space="preserve">. Por el contrario, </w:t>
      </w:r>
      <w:r w:rsidRPr="009631AB">
        <w:rPr>
          <w:rFonts w:eastAsia="Batang" w:cs="Times"/>
          <w:szCs w:val="20"/>
        </w:rPr>
        <w:t>conforme consta en la sentencia dictada por la Primera Sala Especializada de lo Penal, Tránsito y Colusorio de la Corte Superior de Justicia de Quito de 8 de septiembre de 2008</w:t>
      </w:r>
      <w:r w:rsidR="00127B9C" w:rsidRPr="009631AB">
        <w:rPr>
          <w:rFonts w:eastAsia="Batang" w:cs="Times"/>
          <w:szCs w:val="20"/>
        </w:rPr>
        <w:t xml:space="preserve"> </w:t>
      </w:r>
      <w:r w:rsidRPr="009631AB">
        <w:rPr>
          <w:rFonts w:eastAsia="Batang" w:cs="Times"/>
          <w:szCs w:val="20"/>
        </w:rPr>
        <w:t xml:space="preserve">por el delito de testaferrismo, la declaración presumarial obtenida bajo coacción constituye un elemento central para la condena del señor Montesinos sobre este delito. Así, </w:t>
      </w:r>
      <w:r w:rsidR="00127B9C" w:rsidRPr="009631AB">
        <w:rPr>
          <w:rFonts w:eastAsia="Batang" w:cs="Times"/>
          <w:szCs w:val="20"/>
        </w:rPr>
        <w:t xml:space="preserve">conforme se establece en dicha sentencia, </w:t>
      </w:r>
      <w:r w:rsidRPr="009631AB">
        <w:rPr>
          <w:rFonts w:eastAsia="Batang" w:cs="Times"/>
          <w:szCs w:val="20"/>
        </w:rPr>
        <w:t xml:space="preserve">la comprobación de la existencia material de la infracción </w:t>
      </w:r>
      <w:r w:rsidR="00127B9C" w:rsidRPr="009631AB">
        <w:rPr>
          <w:rFonts w:eastAsia="Batang" w:cs="Times"/>
          <w:szCs w:val="20"/>
        </w:rPr>
        <w:t xml:space="preserve">se encontró </w:t>
      </w:r>
      <w:r w:rsidRPr="009631AB">
        <w:rPr>
          <w:rFonts w:eastAsia="Batang" w:cs="Times"/>
          <w:szCs w:val="20"/>
        </w:rPr>
        <w:t>demostrada</w:t>
      </w:r>
      <w:r w:rsidRPr="009631AB">
        <w:rPr>
          <w:rFonts w:eastAsia="Batang" w:cs="Times"/>
          <w:i/>
          <w:szCs w:val="20"/>
        </w:rPr>
        <w:t xml:space="preserve"> </w:t>
      </w:r>
      <w:r w:rsidR="00127B9C" w:rsidRPr="009631AB">
        <w:rPr>
          <w:rFonts w:eastAsia="Batang" w:cs="Times"/>
          <w:i/>
          <w:szCs w:val="20"/>
        </w:rPr>
        <w:t>“</w:t>
      </w:r>
      <w:r w:rsidRPr="009631AB">
        <w:rPr>
          <w:rFonts w:eastAsia="Batang" w:cs="Times"/>
          <w:i/>
          <w:szCs w:val="20"/>
        </w:rPr>
        <w:t>conforme a derecho, con: (…) las declaraciones preprocesales rendidas por los sindicados con la presencia de los representantes del Ministerio Público, dentro de las cuales se han relatado los hechos que han sido motivo de esta investigación”.</w:t>
      </w:r>
      <w:r w:rsidRPr="009631AB">
        <w:rPr>
          <w:rFonts w:eastAsia="Batang" w:cs="Times New Roman"/>
          <w:i/>
          <w:szCs w:val="20"/>
          <w:vertAlign w:val="superscript"/>
        </w:rPr>
        <w:footnoteReference w:id="198"/>
      </w:r>
      <w:r w:rsidRPr="009631AB">
        <w:rPr>
          <w:rFonts w:eastAsia="Batang" w:cs="Times"/>
          <w:i/>
          <w:szCs w:val="20"/>
        </w:rPr>
        <w:t xml:space="preserve"> </w:t>
      </w:r>
      <w:r w:rsidRPr="009631AB">
        <w:rPr>
          <w:rFonts w:eastAsia="Batang" w:cs="Times"/>
          <w:szCs w:val="20"/>
        </w:rPr>
        <w:t xml:space="preserve">Del mismo modo, </w:t>
      </w:r>
      <w:r w:rsidR="00127B9C" w:rsidRPr="009631AB">
        <w:rPr>
          <w:rFonts w:eastAsia="Batang" w:cs="Times"/>
          <w:szCs w:val="20"/>
        </w:rPr>
        <w:t xml:space="preserve">se ha comprobado que </w:t>
      </w:r>
      <w:r w:rsidRPr="009631AB">
        <w:rPr>
          <w:rFonts w:eastAsia="Batang" w:cs="Times"/>
          <w:szCs w:val="20"/>
        </w:rPr>
        <w:t xml:space="preserve">en el desarrollo de la </w:t>
      </w:r>
      <w:r w:rsidR="00127B9C" w:rsidRPr="009631AB">
        <w:rPr>
          <w:rFonts w:eastAsia="Batang" w:cs="Times"/>
          <w:szCs w:val="20"/>
        </w:rPr>
        <w:t xml:space="preserve">antes referida </w:t>
      </w:r>
      <w:r w:rsidRPr="009631AB">
        <w:rPr>
          <w:rFonts w:eastAsia="Batang" w:cs="Times"/>
          <w:szCs w:val="20"/>
        </w:rPr>
        <w:t>sentencia se cita</w:t>
      </w:r>
      <w:r w:rsidR="00127B9C" w:rsidRPr="009631AB">
        <w:rPr>
          <w:rFonts w:eastAsia="Batang" w:cs="Times"/>
          <w:szCs w:val="20"/>
        </w:rPr>
        <w:t>,</w:t>
      </w:r>
      <w:r w:rsidRPr="009631AB">
        <w:rPr>
          <w:rFonts w:eastAsia="Batang" w:cs="Times"/>
          <w:szCs w:val="20"/>
        </w:rPr>
        <w:t xml:space="preserve"> en varias ocasiones</w:t>
      </w:r>
      <w:r w:rsidR="00127B9C" w:rsidRPr="009631AB">
        <w:rPr>
          <w:rFonts w:eastAsia="Batang" w:cs="Times"/>
          <w:szCs w:val="20"/>
        </w:rPr>
        <w:t>,</w:t>
      </w:r>
      <w:r w:rsidRPr="009631AB">
        <w:rPr>
          <w:rFonts w:eastAsia="Batang" w:cs="Times"/>
          <w:szCs w:val="20"/>
        </w:rPr>
        <w:t xml:space="preserve"> las declaraciones presumariales rendidas por el señor Montesino</w:t>
      </w:r>
      <w:r w:rsidRPr="009631AB">
        <w:rPr>
          <w:rFonts w:eastAsia="Batang" w:cs="Times"/>
          <w:i/>
          <w:szCs w:val="20"/>
        </w:rPr>
        <w:t>s</w:t>
      </w:r>
      <w:r w:rsidR="00127B9C" w:rsidRPr="009631AB">
        <w:rPr>
          <w:rFonts w:eastAsia="Batang" w:cs="Times"/>
          <w:i/>
          <w:szCs w:val="20"/>
        </w:rPr>
        <w:t xml:space="preserve"> </w:t>
      </w:r>
      <w:r w:rsidR="00127B9C" w:rsidRPr="009631AB">
        <w:rPr>
          <w:rFonts w:eastAsia="Batang" w:cs="Times"/>
          <w:szCs w:val="20"/>
        </w:rPr>
        <w:t>como elementos centrales para su condena</w:t>
      </w:r>
      <w:r w:rsidRPr="009631AB">
        <w:rPr>
          <w:rFonts w:eastAsia="Batang" w:cs="Times New Roman"/>
          <w:szCs w:val="20"/>
          <w:vertAlign w:val="superscript"/>
        </w:rPr>
        <w:footnoteReference w:id="199"/>
      </w:r>
      <w:r w:rsidRPr="009631AB">
        <w:rPr>
          <w:rFonts w:eastAsia="Batang" w:cs="Times"/>
          <w:i/>
          <w:szCs w:val="20"/>
        </w:rPr>
        <w:t xml:space="preserve">. </w:t>
      </w:r>
    </w:p>
    <w:p w14:paraId="1E16245D" w14:textId="77777777" w:rsidR="00766842" w:rsidRPr="009631AB" w:rsidRDefault="00766842" w:rsidP="00766842">
      <w:pPr>
        <w:spacing w:after="0" w:line="240" w:lineRule="auto"/>
        <w:jc w:val="both"/>
      </w:pPr>
    </w:p>
    <w:p w14:paraId="527DC8DE" w14:textId="77777777" w:rsidR="00766842" w:rsidRPr="009631AB" w:rsidRDefault="00766842" w:rsidP="00766842">
      <w:pPr>
        <w:numPr>
          <w:ilvl w:val="0"/>
          <w:numId w:val="4"/>
        </w:numPr>
        <w:spacing w:after="0" w:line="240" w:lineRule="auto"/>
        <w:jc w:val="both"/>
        <w:rPr>
          <w:rFonts w:eastAsia="Batang" w:cs="Times"/>
          <w:noProof/>
          <w:szCs w:val="24"/>
        </w:rPr>
      </w:pPr>
      <w:r w:rsidRPr="009631AB">
        <w:rPr>
          <w:rFonts w:eastAsia="Batang" w:cs="Times"/>
          <w:noProof/>
          <w:szCs w:val="24"/>
        </w:rPr>
        <w:t>Por todo lo expuesto, la Corte considera que el Estado vulneró el artículo 8.3 de la Convención Americana, en relación con el artículo 1.1 de la Convención, en perjuicio del señor Mario Montesinos Mejía.</w:t>
      </w:r>
    </w:p>
    <w:p w14:paraId="3E8FD89F" w14:textId="77777777" w:rsidR="00766842" w:rsidRPr="009631AB" w:rsidRDefault="00766842" w:rsidP="00766842">
      <w:pPr>
        <w:spacing w:after="0" w:line="240" w:lineRule="auto"/>
        <w:ind w:left="720"/>
        <w:jc w:val="both"/>
        <w:rPr>
          <w:rFonts w:eastAsia="Batang" w:cs="Times"/>
          <w:noProof/>
          <w:szCs w:val="24"/>
        </w:rPr>
      </w:pPr>
    </w:p>
    <w:p w14:paraId="2F761BC9" w14:textId="4F8A15DD" w:rsidR="00766842" w:rsidRPr="00D24534" w:rsidRDefault="00766842" w:rsidP="00766842">
      <w:pPr>
        <w:pStyle w:val="Ttulo3"/>
        <w:rPr>
          <w:b/>
        </w:rPr>
      </w:pPr>
      <w:bookmarkStart w:id="142" w:name="_Toc27069915"/>
      <w:r w:rsidRPr="00D24534">
        <w:rPr>
          <w:b/>
        </w:rPr>
        <w:t>B.5 Derecho a no ser sometido a un nuevo juicio por los mismos hechos</w:t>
      </w:r>
      <w:bookmarkEnd w:id="142"/>
      <w:r w:rsidRPr="00D24534">
        <w:rPr>
          <w:b/>
        </w:rPr>
        <w:t xml:space="preserve"> </w:t>
      </w:r>
    </w:p>
    <w:p w14:paraId="6114C78F" w14:textId="77777777" w:rsidR="00766842" w:rsidRPr="009631AB" w:rsidRDefault="00766842" w:rsidP="00766842">
      <w:pPr>
        <w:spacing w:after="0" w:line="240" w:lineRule="auto"/>
        <w:jc w:val="both"/>
        <w:rPr>
          <w:rFonts w:eastAsia="Batang" w:cs="Times"/>
          <w:noProof/>
          <w:szCs w:val="24"/>
        </w:rPr>
      </w:pPr>
    </w:p>
    <w:p w14:paraId="7538951C" w14:textId="77777777" w:rsidR="00766842" w:rsidRPr="009631AB" w:rsidRDefault="00766842" w:rsidP="00766842">
      <w:pPr>
        <w:numPr>
          <w:ilvl w:val="0"/>
          <w:numId w:val="4"/>
        </w:numPr>
        <w:spacing w:after="0" w:line="240" w:lineRule="auto"/>
        <w:jc w:val="both"/>
        <w:rPr>
          <w:rFonts w:eastAsia="Batang" w:cs="Times"/>
          <w:noProof/>
          <w:szCs w:val="24"/>
        </w:rPr>
      </w:pPr>
      <w:r w:rsidRPr="009631AB">
        <w:rPr>
          <w:rFonts w:eastAsia="Batang" w:cs="Times"/>
          <w:noProof/>
          <w:szCs w:val="24"/>
        </w:rPr>
        <w:t>En relación con el derecho a no ser sometido a nuevo juicio por los mismos hechos, el representante afirmó que los tres procesos iniciados contra el señor Montesinos por los delitos de enriquecimiento ilícito (No. 91-92), testaferrismo (No. 92-92) y conversión y transferencia de bienes (No. 94-92) tuvieron como base los mismos hechos supuestamente delictivos. Al respecto, argumentó que lo anterior quedaría evidenciado en los autos cabeza de proceso de emitidos los días 18 y 30 de noviembre de 1992, respectivamente.</w:t>
      </w:r>
    </w:p>
    <w:p w14:paraId="16BD3D0C" w14:textId="77777777" w:rsidR="00766842" w:rsidRPr="009631AB" w:rsidRDefault="00766842" w:rsidP="00766842">
      <w:pPr>
        <w:spacing w:after="0" w:line="240" w:lineRule="auto"/>
        <w:jc w:val="both"/>
        <w:rPr>
          <w:rFonts w:eastAsia="Batang" w:cs="Times"/>
          <w:noProof/>
          <w:szCs w:val="24"/>
        </w:rPr>
      </w:pPr>
    </w:p>
    <w:p w14:paraId="74DBC228" w14:textId="5FC7B6DA" w:rsidR="00766842" w:rsidRPr="009631AB" w:rsidRDefault="00766842" w:rsidP="00766842">
      <w:pPr>
        <w:numPr>
          <w:ilvl w:val="0"/>
          <w:numId w:val="4"/>
        </w:numPr>
        <w:spacing w:after="0" w:line="240" w:lineRule="auto"/>
        <w:jc w:val="both"/>
        <w:rPr>
          <w:rFonts w:eastAsia="Batang" w:cs="Times"/>
          <w:noProof/>
          <w:szCs w:val="24"/>
        </w:rPr>
      </w:pPr>
      <w:r w:rsidRPr="009631AB">
        <w:rPr>
          <w:rFonts w:eastAsia="Batang" w:cs="Times"/>
          <w:noProof/>
          <w:szCs w:val="24"/>
        </w:rPr>
        <w:t xml:space="preserve">Del análisis de los tres autos cabeza de proceso antes indicados, la Corte observa que los autos sobre los delitos de enriquecimiento ilícito y conversión y transferencia de bienes no establecen o individualizan las conductas por las cuáles el señor Montesinos habría cometido dichos delitos en calidad de autor, co-autor o cómplice. Dichos autos describen genéricamente el funcionamiento de la organización de narcotráfico pero no permiten llegar a determinar las conductas prohibidas de parte de la víctima en el presente caso. En ese sentido se manifestó el Tribunal de Garantías Constitucionales en su Resolución que concedió el primer </w:t>
      </w:r>
      <w:r w:rsidR="00DA7EEF" w:rsidRPr="00DA7EEF">
        <w:rPr>
          <w:rFonts w:eastAsia="Batang" w:cs="Times"/>
          <w:noProof/>
          <w:szCs w:val="24"/>
        </w:rPr>
        <w:t>hábeas corpus</w:t>
      </w:r>
      <w:r w:rsidRPr="009631AB">
        <w:rPr>
          <w:rFonts w:eastAsia="Batang" w:cs="Times"/>
          <w:noProof/>
          <w:szCs w:val="24"/>
        </w:rPr>
        <w:t xml:space="preserve"> el 30 de octubre de 1996: “en tanto que sobre el contenido de los autos cabezas de procesos hay que concluir que, efectivamente, en su redacción no se detallan hechos que impliquen personalmente al coronel Mario Alfonso Montesinos Mejía en la comisión de un delito y, por lo tanto, no expresan los cargos que existen en su contra”</w:t>
      </w:r>
      <w:r w:rsidR="004D4383" w:rsidRPr="009631AB">
        <w:rPr>
          <w:rFonts w:eastAsia="Batang" w:cs="Times New Roman"/>
          <w:szCs w:val="20"/>
          <w:vertAlign w:val="superscript"/>
        </w:rPr>
        <w:footnoteReference w:id="200"/>
      </w:r>
      <w:r w:rsidRPr="009631AB">
        <w:rPr>
          <w:rFonts w:eastAsia="Batang" w:cs="Times"/>
          <w:noProof/>
          <w:szCs w:val="24"/>
        </w:rPr>
        <w:t>.</w:t>
      </w:r>
    </w:p>
    <w:p w14:paraId="2DB47FB4" w14:textId="77777777" w:rsidR="00766842" w:rsidRPr="009631AB" w:rsidRDefault="00766842" w:rsidP="00766842">
      <w:pPr>
        <w:spacing w:after="0" w:line="240" w:lineRule="auto"/>
        <w:ind w:left="720"/>
        <w:contextualSpacing/>
        <w:jc w:val="both"/>
        <w:rPr>
          <w:rFonts w:eastAsia="Batang" w:cs="Times"/>
          <w:noProof/>
          <w:szCs w:val="24"/>
        </w:rPr>
      </w:pPr>
    </w:p>
    <w:p w14:paraId="0093E9F2" w14:textId="05663ACF" w:rsidR="00766842" w:rsidRPr="009631AB" w:rsidRDefault="00766842" w:rsidP="00766842">
      <w:pPr>
        <w:numPr>
          <w:ilvl w:val="0"/>
          <w:numId w:val="4"/>
        </w:numPr>
        <w:spacing w:after="0" w:line="240" w:lineRule="auto"/>
        <w:jc w:val="both"/>
        <w:rPr>
          <w:rFonts w:eastAsia="Batang" w:cs="Times"/>
          <w:noProof/>
          <w:szCs w:val="24"/>
        </w:rPr>
      </w:pPr>
      <w:r w:rsidRPr="009631AB">
        <w:rPr>
          <w:rFonts w:eastAsia="Batang" w:cs="Times"/>
          <w:noProof/>
          <w:szCs w:val="24"/>
        </w:rPr>
        <w:t>Tomando en consideración la falta de cargos concretos en contra del señor Montesinos</w:t>
      </w:r>
      <w:r w:rsidR="00176050">
        <w:rPr>
          <w:rFonts w:eastAsia="Batang" w:cs="Times"/>
          <w:noProof/>
          <w:szCs w:val="24"/>
        </w:rPr>
        <w:t xml:space="preserve"> en los referidos autos cabeza de proceso</w:t>
      </w:r>
      <w:r w:rsidRPr="009631AB">
        <w:rPr>
          <w:rFonts w:eastAsia="Batang" w:cs="Times"/>
          <w:noProof/>
          <w:szCs w:val="24"/>
        </w:rPr>
        <w:t xml:space="preserve">, </w:t>
      </w:r>
      <w:r w:rsidR="00176050">
        <w:rPr>
          <w:rFonts w:eastAsia="Batang" w:cs="Times"/>
          <w:noProof/>
          <w:szCs w:val="24"/>
        </w:rPr>
        <w:t xml:space="preserve">la Corte entiende que </w:t>
      </w:r>
      <w:r w:rsidRPr="009631AB">
        <w:rPr>
          <w:rFonts w:eastAsia="Batang" w:cs="Times"/>
          <w:noProof/>
          <w:szCs w:val="24"/>
        </w:rPr>
        <w:t xml:space="preserve">en realidad </w:t>
      </w:r>
      <w:r w:rsidR="00176050">
        <w:rPr>
          <w:rFonts w:eastAsia="Batang" w:cs="Times"/>
          <w:noProof/>
          <w:szCs w:val="24"/>
        </w:rPr>
        <w:t xml:space="preserve">el problema evidenciado por </w:t>
      </w:r>
      <w:r w:rsidR="0053221B">
        <w:rPr>
          <w:rFonts w:eastAsia="Batang" w:cs="Times"/>
          <w:noProof/>
          <w:szCs w:val="24"/>
        </w:rPr>
        <w:t xml:space="preserve">el </w:t>
      </w:r>
      <w:r w:rsidR="00176050">
        <w:rPr>
          <w:rFonts w:eastAsia="Batang" w:cs="Times"/>
          <w:noProof/>
          <w:szCs w:val="24"/>
        </w:rPr>
        <w:t xml:space="preserve">representante consiste en que no </w:t>
      </w:r>
      <w:r w:rsidRPr="009631AB">
        <w:rPr>
          <w:rFonts w:eastAsia="Batang" w:cs="Times"/>
          <w:noProof/>
          <w:szCs w:val="24"/>
        </w:rPr>
        <w:t>le fue comunicad</w:t>
      </w:r>
      <w:r w:rsidR="008C79E8">
        <w:rPr>
          <w:rFonts w:eastAsia="Batang" w:cs="Times"/>
          <w:noProof/>
          <w:szCs w:val="24"/>
        </w:rPr>
        <w:t>a</w:t>
      </w:r>
      <w:r w:rsidRPr="009631AB">
        <w:rPr>
          <w:rFonts w:eastAsia="Batang" w:cs="Times"/>
          <w:noProof/>
          <w:szCs w:val="24"/>
        </w:rPr>
        <w:t xml:space="preserve"> al señor Montesinos </w:t>
      </w:r>
      <w:r w:rsidRPr="009631AB">
        <w:rPr>
          <w:rFonts w:eastAsia="Batang" w:cs="Times"/>
          <w:noProof/>
          <w:szCs w:val="24"/>
        </w:rPr>
        <w:lastRenderedPageBreak/>
        <w:t>de manera previa y detallada la acusaci</w:t>
      </w:r>
      <w:r w:rsidR="0053221B">
        <w:rPr>
          <w:rFonts w:eastAsia="Batang" w:cs="Times"/>
          <w:noProof/>
          <w:szCs w:val="24"/>
        </w:rPr>
        <w:t>ó</w:t>
      </w:r>
      <w:r w:rsidRPr="009631AB">
        <w:rPr>
          <w:rFonts w:eastAsia="Batang" w:cs="Times"/>
          <w:noProof/>
          <w:szCs w:val="24"/>
        </w:rPr>
        <w:t xml:space="preserve">n que se le formuló. Ese tema fue analizado </w:t>
      </w:r>
      <w:r w:rsidR="00176050">
        <w:rPr>
          <w:rFonts w:eastAsia="Batang" w:cs="Times"/>
          <w:noProof/>
          <w:szCs w:val="24"/>
        </w:rPr>
        <w:t xml:space="preserve">como una </w:t>
      </w:r>
      <w:r w:rsidR="00176050" w:rsidRPr="009631AB">
        <w:rPr>
          <w:rFonts w:eastAsia="Batang" w:cs="Times"/>
          <w:noProof/>
          <w:szCs w:val="24"/>
        </w:rPr>
        <w:t xml:space="preserve">violación al artículo 8.2.b, </w:t>
      </w:r>
      <w:r w:rsidRPr="009631AB">
        <w:rPr>
          <w:rFonts w:eastAsia="Batang" w:cs="Times"/>
          <w:noProof/>
          <w:szCs w:val="24"/>
        </w:rPr>
        <w:t xml:space="preserve">en el acápite B.3 </w:t>
      </w:r>
      <w:r w:rsidRPr="009631AB">
        <w:rPr>
          <w:rFonts w:eastAsia="Batang" w:cs="Times"/>
          <w:i/>
          <w:noProof/>
          <w:szCs w:val="24"/>
        </w:rPr>
        <w:t>supra</w:t>
      </w:r>
      <w:r w:rsidRPr="009631AB">
        <w:rPr>
          <w:rFonts w:eastAsia="Batang" w:cs="Times"/>
          <w:noProof/>
          <w:szCs w:val="24"/>
        </w:rPr>
        <w:t xml:space="preserve">. </w:t>
      </w:r>
    </w:p>
    <w:p w14:paraId="45829C51" w14:textId="77777777" w:rsidR="00766842" w:rsidRPr="009631AB" w:rsidRDefault="00766842" w:rsidP="00766842">
      <w:pPr>
        <w:spacing w:after="0" w:line="240" w:lineRule="auto"/>
        <w:ind w:left="720"/>
        <w:contextualSpacing/>
        <w:jc w:val="both"/>
        <w:rPr>
          <w:rFonts w:eastAsia="Batang" w:cs="Times"/>
          <w:noProof/>
          <w:szCs w:val="24"/>
        </w:rPr>
      </w:pPr>
    </w:p>
    <w:p w14:paraId="3EB39A22" w14:textId="42637C0E" w:rsidR="00766842" w:rsidRPr="009631AB" w:rsidRDefault="00766842" w:rsidP="00766842">
      <w:pPr>
        <w:numPr>
          <w:ilvl w:val="0"/>
          <w:numId w:val="4"/>
        </w:numPr>
        <w:spacing w:after="0" w:line="240" w:lineRule="auto"/>
        <w:jc w:val="both"/>
        <w:rPr>
          <w:rFonts w:eastAsia="Batang" w:cs="Times"/>
          <w:noProof/>
          <w:szCs w:val="24"/>
        </w:rPr>
      </w:pPr>
      <w:r w:rsidRPr="009631AB">
        <w:rPr>
          <w:rFonts w:eastAsia="Batang" w:cs="Times"/>
          <w:noProof/>
          <w:szCs w:val="24"/>
        </w:rPr>
        <w:t>Por otra parte, el auto cabeza de proceso por el delito de testaferrismo describe cuáles conductas específicas del señor Montesinos se encuadrarían en el tipo penal prohibido</w:t>
      </w:r>
      <w:r w:rsidR="008C79E8">
        <w:rPr>
          <w:rFonts w:eastAsia="Batang" w:cs="Times"/>
          <w:noProof/>
          <w:szCs w:val="24"/>
        </w:rPr>
        <w:t>, lo que</w:t>
      </w:r>
      <w:r w:rsidRPr="009631AB">
        <w:rPr>
          <w:rFonts w:eastAsia="Batang" w:cs="Times"/>
          <w:noProof/>
          <w:szCs w:val="24"/>
        </w:rPr>
        <w:t xml:space="preserve"> le permitió defenderse de la acusación. </w:t>
      </w:r>
    </w:p>
    <w:p w14:paraId="0B2CCCF7" w14:textId="77777777" w:rsidR="00766842" w:rsidRPr="009631AB" w:rsidRDefault="00766842" w:rsidP="00766842">
      <w:pPr>
        <w:spacing w:after="0" w:line="240" w:lineRule="auto"/>
        <w:ind w:left="720"/>
        <w:contextualSpacing/>
        <w:jc w:val="both"/>
        <w:rPr>
          <w:rFonts w:eastAsia="Batang" w:cs="Times"/>
          <w:noProof/>
          <w:szCs w:val="24"/>
        </w:rPr>
      </w:pPr>
    </w:p>
    <w:p w14:paraId="603E628D" w14:textId="222C7C1A" w:rsidR="00766842" w:rsidRPr="009631AB" w:rsidRDefault="00766842" w:rsidP="00D5699B">
      <w:pPr>
        <w:numPr>
          <w:ilvl w:val="0"/>
          <w:numId w:val="4"/>
        </w:numPr>
        <w:spacing w:after="0" w:line="240" w:lineRule="auto"/>
        <w:jc w:val="both"/>
        <w:rPr>
          <w:szCs w:val="20"/>
          <w:lang w:val="es-ES"/>
        </w:rPr>
      </w:pPr>
      <w:r w:rsidRPr="009631AB">
        <w:rPr>
          <w:rFonts w:eastAsia="Batang" w:cs="Times"/>
          <w:noProof/>
          <w:szCs w:val="24"/>
        </w:rPr>
        <w:t xml:space="preserve">Dado lo anterior, la Corte considera que no se está frente a una violación del artículo 8.4 de la Convención una vez que los hechos por los cuáles el señor Montesinos fue acusado en dos de los tres procesos no fueron individualizados y no permiten llegar a una conclusión de similitud entre los hechos punibles en cada proceso iniciado en su contra. </w:t>
      </w:r>
    </w:p>
    <w:p w14:paraId="2491EA66" w14:textId="77777777" w:rsidR="003B4587" w:rsidRPr="009631AB" w:rsidRDefault="003B4587" w:rsidP="00734B53">
      <w:pPr>
        <w:pStyle w:val="Prrafodelista"/>
        <w:ind w:left="0"/>
        <w:contextualSpacing w:val="0"/>
        <w:rPr>
          <w:noProof w:val="0"/>
          <w:szCs w:val="20"/>
        </w:rPr>
      </w:pPr>
    </w:p>
    <w:p w14:paraId="0CDA0A73" w14:textId="5E6A9BE2" w:rsidR="003B4587" w:rsidRPr="009631AB" w:rsidRDefault="003B4587" w:rsidP="00853139">
      <w:pPr>
        <w:pStyle w:val="Ttulo1"/>
      </w:pPr>
      <w:bookmarkStart w:id="143" w:name="_Toc27069916"/>
      <w:r w:rsidRPr="009631AB">
        <w:t>VII-4</w:t>
      </w:r>
      <w:bookmarkEnd w:id="143"/>
      <w:r w:rsidRPr="009631AB">
        <w:t xml:space="preserve"> </w:t>
      </w:r>
    </w:p>
    <w:p w14:paraId="23CF8484" w14:textId="77777777" w:rsidR="003B4587" w:rsidRPr="009631AB" w:rsidRDefault="003B4587" w:rsidP="00853139">
      <w:pPr>
        <w:pStyle w:val="Ttulo1"/>
      </w:pPr>
      <w:bookmarkStart w:id="144" w:name="_Toc27069917"/>
      <w:r w:rsidRPr="009631AB">
        <w:t>PRINCIPIO DE LEGALIDAD Y RETROACTIVIDAD</w:t>
      </w:r>
      <w:r w:rsidRPr="009631AB">
        <w:rPr>
          <w:rStyle w:val="Refdenotaalpie"/>
          <w:rFonts w:ascii="Verdana" w:hAnsi="Verdana"/>
          <w:noProof w:val="0"/>
        </w:rPr>
        <w:footnoteReference w:id="201"/>
      </w:r>
      <w:r w:rsidRPr="009631AB">
        <w:t>, PROTECCIÓN DE LA HONRA Y LA DIGNIDAD</w:t>
      </w:r>
      <w:r w:rsidRPr="009631AB">
        <w:rPr>
          <w:rStyle w:val="Refdenotaalpie"/>
          <w:rFonts w:ascii="Verdana" w:hAnsi="Verdana"/>
          <w:noProof w:val="0"/>
        </w:rPr>
        <w:footnoteReference w:id="202"/>
      </w:r>
      <w:r w:rsidRPr="009631AB">
        <w:t xml:space="preserve"> Y DERECHO DE PROPIEDAD</w:t>
      </w:r>
      <w:r w:rsidRPr="009631AB">
        <w:rPr>
          <w:rStyle w:val="Refdenotaalpie"/>
          <w:rFonts w:ascii="Verdana" w:hAnsi="Verdana"/>
          <w:noProof w:val="0"/>
        </w:rPr>
        <w:footnoteReference w:id="203"/>
      </w:r>
      <w:bookmarkEnd w:id="144"/>
      <w:r w:rsidRPr="009631AB">
        <w:t xml:space="preserve"> </w:t>
      </w:r>
    </w:p>
    <w:p w14:paraId="6B1B9245" w14:textId="77777777" w:rsidR="003B4587" w:rsidRPr="009631AB" w:rsidRDefault="003B4587" w:rsidP="00734B53">
      <w:pPr>
        <w:pStyle w:val="Prrafodelista"/>
        <w:ind w:left="0"/>
        <w:contextualSpacing w:val="0"/>
        <w:jc w:val="center"/>
        <w:rPr>
          <w:b/>
          <w:noProof w:val="0"/>
          <w:szCs w:val="20"/>
        </w:rPr>
      </w:pPr>
    </w:p>
    <w:p w14:paraId="1BC74480" w14:textId="3CBC0B03" w:rsidR="003B4587" w:rsidRPr="009631AB" w:rsidRDefault="003B4587" w:rsidP="00D24534">
      <w:pPr>
        <w:pStyle w:val="Ttulo2"/>
        <w:numPr>
          <w:ilvl w:val="0"/>
          <w:numId w:val="29"/>
        </w:numPr>
        <w:ind w:left="0" w:firstLine="0"/>
      </w:pPr>
      <w:bookmarkStart w:id="145" w:name="_Toc27069918"/>
      <w:r w:rsidRPr="009631AB">
        <w:t>Alegatos de las partes</w:t>
      </w:r>
      <w:bookmarkEnd w:id="145"/>
      <w:r w:rsidRPr="009631AB">
        <w:t xml:space="preserve"> </w:t>
      </w:r>
    </w:p>
    <w:p w14:paraId="469B9779" w14:textId="77777777" w:rsidR="003B4587" w:rsidRPr="009631AB" w:rsidRDefault="003B4587" w:rsidP="00734B53">
      <w:pPr>
        <w:pStyle w:val="Prrafodelista"/>
        <w:ind w:left="0"/>
        <w:contextualSpacing w:val="0"/>
        <w:rPr>
          <w:noProof w:val="0"/>
          <w:szCs w:val="20"/>
        </w:rPr>
      </w:pPr>
    </w:p>
    <w:p w14:paraId="5A0EE6E8" w14:textId="5404B874" w:rsidR="003B4587" w:rsidRPr="009631AB" w:rsidRDefault="003B4587" w:rsidP="00734B53">
      <w:pPr>
        <w:pStyle w:val="Prrafodelista"/>
        <w:numPr>
          <w:ilvl w:val="0"/>
          <w:numId w:val="4"/>
        </w:numPr>
        <w:contextualSpacing w:val="0"/>
        <w:rPr>
          <w:noProof w:val="0"/>
          <w:szCs w:val="20"/>
        </w:rPr>
      </w:pPr>
      <w:r w:rsidRPr="009631AB">
        <w:rPr>
          <w:noProof w:val="0"/>
          <w:szCs w:val="20"/>
        </w:rPr>
        <w:t xml:space="preserve">El </w:t>
      </w:r>
      <w:r w:rsidRPr="009631AB">
        <w:rPr>
          <w:b/>
          <w:i/>
          <w:noProof w:val="0"/>
          <w:szCs w:val="20"/>
        </w:rPr>
        <w:t>Representante</w:t>
      </w:r>
      <w:r w:rsidRPr="009631AB">
        <w:rPr>
          <w:noProof w:val="0"/>
          <w:szCs w:val="20"/>
        </w:rPr>
        <w:t xml:space="preserve"> alegó una violación al artículo 9 de la Convención Americana en razón de que se aplicó al señor Montesinos la sanción del delito de testaferrismo de manera retroactiva, ya que la legislación de Ecuador que tipificaba dicho delito fue </w:t>
      </w:r>
      <w:r w:rsidR="008C79E8">
        <w:rPr>
          <w:noProof w:val="0"/>
          <w:szCs w:val="20"/>
        </w:rPr>
        <w:t xml:space="preserve">expedida </w:t>
      </w:r>
      <w:r w:rsidRPr="009631AB">
        <w:rPr>
          <w:noProof w:val="0"/>
          <w:szCs w:val="20"/>
        </w:rPr>
        <w:t xml:space="preserve">el 17 de septiembre de 1990 y la adquisición del inmueble “Santa Clara” ocurrió el 27 de junio de 1990. Estableció que hubo una vulneración a la garantía de legalidad ya que el señor Montesinos fue condenado por haber firmado cheques en blanco, conducta que no era tipificada por el código penal. Agregó que esa decisión vulneró el artículo 25 de la Convención al no considerar la defensa planteada en razón a la irretroactividad de la ley penal.  </w:t>
      </w:r>
    </w:p>
    <w:p w14:paraId="08BD25FB" w14:textId="77777777" w:rsidR="003B4587" w:rsidRPr="009631AB" w:rsidRDefault="003B4587" w:rsidP="00734B53">
      <w:pPr>
        <w:pStyle w:val="Prrafodelista"/>
        <w:ind w:left="0"/>
        <w:contextualSpacing w:val="0"/>
        <w:rPr>
          <w:noProof w:val="0"/>
          <w:szCs w:val="20"/>
        </w:rPr>
      </w:pPr>
    </w:p>
    <w:p w14:paraId="5B66BD89" w14:textId="29EDC1CE" w:rsidR="003B4587" w:rsidRPr="009631AB" w:rsidRDefault="003B4587" w:rsidP="00734B53">
      <w:pPr>
        <w:pStyle w:val="Prrafodelista"/>
        <w:numPr>
          <w:ilvl w:val="0"/>
          <w:numId w:val="4"/>
        </w:numPr>
        <w:contextualSpacing w:val="0"/>
        <w:rPr>
          <w:noProof w:val="0"/>
          <w:szCs w:val="20"/>
        </w:rPr>
      </w:pPr>
      <w:r w:rsidRPr="009631AB">
        <w:rPr>
          <w:noProof w:val="0"/>
          <w:szCs w:val="20"/>
        </w:rPr>
        <w:t xml:space="preserve">Además, sostuvo una vulneración al artículo 11 de la Convención, ya que el señor Montesinos habría sido presentado a la opinión pública como un criminal y por haber ocurrido una injerencia a la vida privada de su familia y a su domicilio por el allanamiento a su domicilio. </w:t>
      </w:r>
    </w:p>
    <w:p w14:paraId="0F82292F" w14:textId="77777777" w:rsidR="003B4587" w:rsidRPr="009631AB" w:rsidRDefault="003B4587" w:rsidP="00734B53">
      <w:pPr>
        <w:pStyle w:val="Prrafodelista"/>
        <w:ind w:left="0"/>
        <w:contextualSpacing w:val="0"/>
        <w:rPr>
          <w:noProof w:val="0"/>
          <w:szCs w:val="20"/>
        </w:rPr>
      </w:pPr>
    </w:p>
    <w:p w14:paraId="0F729F95" w14:textId="3F6937F2" w:rsidR="003B4587" w:rsidRPr="009631AB" w:rsidRDefault="003B4587" w:rsidP="00734B53">
      <w:pPr>
        <w:pStyle w:val="Prrafodelista"/>
        <w:numPr>
          <w:ilvl w:val="0"/>
          <w:numId w:val="4"/>
        </w:numPr>
        <w:contextualSpacing w:val="0"/>
        <w:rPr>
          <w:noProof w:val="0"/>
          <w:szCs w:val="20"/>
        </w:rPr>
      </w:pPr>
      <w:r w:rsidRPr="009631AB">
        <w:rPr>
          <w:noProof w:val="0"/>
          <w:szCs w:val="20"/>
        </w:rPr>
        <w:t xml:space="preserve"> Agregó que el Estado no contaba con una orden para incautar el inmueble “Santa Clara”, lo que constituyó una violación al artículo 21 de la Convención Americana. </w:t>
      </w:r>
    </w:p>
    <w:p w14:paraId="3B60D0C0" w14:textId="77777777" w:rsidR="003B4587" w:rsidRPr="009631AB" w:rsidRDefault="003B4587" w:rsidP="00734B53">
      <w:pPr>
        <w:pStyle w:val="Prrafodelista"/>
        <w:ind w:left="0"/>
        <w:contextualSpacing w:val="0"/>
        <w:rPr>
          <w:noProof w:val="0"/>
          <w:szCs w:val="20"/>
        </w:rPr>
      </w:pPr>
    </w:p>
    <w:p w14:paraId="0C352361" w14:textId="28443B95" w:rsidR="003B4587" w:rsidRPr="009631AB" w:rsidRDefault="003B4587" w:rsidP="00734B53">
      <w:pPr>
        <w:pStyle w:val="Prrafodelista"/>
        <w:numPr>
          <w:ilvl w:val="0"/>
          <w:numId w:val="4"/>
        </w:numPr>
        <w:contextualSpacing w:val="0"/>
        <w:rPr>
          <w:b/>
          <w:noProof w:val="0"/>
          <w:szCs w:val="20"/>
        </w:rPr>
      </w:pPr>
      <w:r w:rsidRPr="009631AB">
        <w:rPr>
          <w:noProof w:val="0"/>
          <w:szCs w:val="20"/>
        </w:rPr>
        <w:t xml:space="preserve">El </w:t>
      </w:r>
      <w:r w:rsidRPr="009631AB">
        <w:rPr>
          <w:b/>
          <w:i/>
          <w:noProof w:val="0"/>
          <w:szCs w:val="20"/>
        </w:rPr>
        <w:t>Estado</w:t>
      </w:r>
      <w:r w:rsidRPr="009631AB">
        <w:rPr>
          <w:noProof w:val="0"/>
          <w:szCs w:val="20"/>
        </w:rPr>
        <w:t xml:space="preserve"> alegó que sus actuaciones se ciñeron </w:t>
      </w:r>
      <w:r w:rsidR="008C79E8">
        <w:rPr>
          <w:noProof w:val="0"/>
          <w:szCs w:val="20"/>
        </w:rPr>
        <w:t>a</w:t>
      </w:r>
      <w:r w:rsidRPr="009631AB">
        <w:rPr>
          <w:noProof w:val="0"/>
          <w:szCs w:val="20"/>
        </w:rPr>
        <w:t xml:space="preserve">l principio de </w:t>
      </w:r>
      <w:r w:rsidRPr="009631AB">
        <w:rPr>
          <w:i/>
          <w:noProof w:val="0"/>
          <w:szCs w:val="20"/>
        </w:rPr>
        <w:t>nullum crimen</w:t>
      </w:r>
      <w:r w:rsidRPr="009631AB">
        <w:rPr>
          <w:noProof w:val="0"/>
          <w:szCs w:val="20"/>
        </w:rPr>
        <w:t xml:space="preserve"> y </w:t>
      </w:r>
      <w:r w:rsidRPr="009631AB">
        <w:rPr>
          <w:i/>
          <w:noProof w:val="0"/>
          <w:szCs w:val="20"/>
        </w:rPr>
        <w:t>nulla pena sine lege</w:t>
      </w:r>
      <w:r w:rsidRPr="009631AB">
        <w:rPr>
          <w:noProof w:val="0"/>
          <w:szCs w:val="20"/>
        </w:rPr>
        <w:t xml:space="preserve"> y agregó que las conductas por las cuales se condenó al señor Montesinos se encontraban tipificadas en el ordenamiento jurídico interno. </w:t>
      </w:r>
    </w:p>
    <w:p w14:paraId="6D9AFA9B" w14:textId="77777777" w:rsidR="003B4587" w:rsidRPr="009631AB" w:rsidRDefault="003B4587" w:rsidP="00734B53">
      <w:pPr>
        <w:pStyle w:val="Prrafodelista"/>
        <w:ind w:left="0"/>
        <w:contextualSpacing w:val="0"/>
        <w:rPr>
          <w:b/>
          <w:noProof w:val="0"/>
          <w:szCs w:val="20"/>
        </w:rPr>
      </w:pPr>
    </w:p>
    <w:p w14:paraId="6D8CF940" w14:textId="1075D2D8" w:rsidR="003B4587" w:rsidRPr="009631AB" w:rsidRDefault="003B4587" w:rsidP="00734B53">
      <w:pPr>
        <w:pStyle w:val="Prrafodelista"/>
        <w:numPr>
          <w:ilvl w:val="0"/>
          <w:numId w:val="4"/>
        </w:numPr>
        <w:contextualSpacing w:val="0"/>
        <w:rPr>
          <w:b/>
          <w:noProof w:val="0"/>
          <w:szCs w:val="20"/>
        </w:rPr>
      </w:pPr>
      <w:r w:rsidRPr="009631AB">
        <w:rPr>
          <w:noProof w:val="0"/>
          <w:szCs w:val="20"/>
        </w:rPr>
        <w:t xml:space="preserve">Manifestó que no existe prueba de que el señor Montesinos haya sido expuesto a medios nacionales e internacionales como un criminal y sostuvo que el solo hecho de que una persona se encuentre procesada penalmente no implicaba una vulneración al artículo 11 de la Convención. </w:t>
      </w:r>
    </w:p>
    <w:p w14:paraId="544310A6" w14:textId="77777777" w:rsidR="003B4587" w:rsidRPr="009631AB" w:rsidRDefault="003B4587" w:rsidP="00734B53">
      <w:pPr>
        <w:pStyle w:val="Prrafodelista"/>
        <w:ind w:left="0"/>
        <w:contextualSpacing w:val="0"/>
        <w:rPr>
          <w:b/>
          <w:noProof w:val="0"/>
          <w:szCs w:val="20"/>
        </w:rPr>
      </w:pPr>
    </w:p>
    <w:p w14:paraId="2BE288A6" w14:textId="172F72A7" w:rsidR="003B4587" w:rsidRPr="009631AB" w:rsidRDefault="003B4587" w:rsidP="00734B53">
      <w:pPr>
        <w:pStyle w:val="Prrafodelista"/>
        <w:numPr>
          <w:ilvl w:val="0"/>
          <w:numId w:val="4"/>
        </w:numPr>
        <w:contextualSpacing w:val="0"/>
        <w:rPr>
          <w:noProof w:val="0"/>
          <w:szCs w:val="20"/>
        </w:rPr>
      </w:pPr>
      <w:r w:rsidRPr="009631AB">
        <w:rPr>
          <w:noProof w:val="0"/>
          <w:szCs w:val="20"/>
        </w:rPr>
        <w:t xml:space="preserve">Sostuvo que la extinción de dominio del inmueble “Santa Clara”, se dio como consecuencia del proceso penal en contra del señor Montesinos el cual fue acorde a la normatividad interamericana, haciendo énfasis que en sede interna se ha considerado dicha sanción como una pena accesoria a la comisión de los delitos relacionados por narcotráfico. Por lo que manifestó que no existió vulneración al artículo 21 de la Convención Americana. </w:t>
      </w:r>
    </w:p>
    <w:p w14:paraId="2CA101B4" w14:textId="77777777" w:rsidR="003B4587" w:rsidRPr="009631AB" w:rsidRDefault="003B4587" w:rsidP="00734B53">
      <w:pPr>
        <w:pStyle w:val="Prrafodelista"/>
        <w:ind w:left="0"/>
        <w:contextualSpacing w:val="0"/>
        <w:rPr>
          <w:noProof w:val="0"/>
          <w:szCs w:val="20"/>
        </w:rPr>
      </w:pPr>
    </w:p>
    <w:p w14:paraId="37CB0F1D" w14:textId="77777777" w:rsidR="003B4587" w:rsidRPr="009631AB" w:rsidRDefault="003B4587" w:rsidP="00D24534">
      <w:pPr>
        <w:pStyle w:val="Ttulo2"/>
      </w:pPr>
      <w:bookmarkStart w:id="146" w:name="_Toc27069919"/>
      <w:r w:rsidRPr="009631AB">
        <w:lastRenderedPageBreak/>
        <w:t>Consideraciones de la Corte</w:t>
      </w:r>
      <w:bookmarkEnd w:id="146"/>
      <w:r w:rsidRPr="009631AB">
        <w:t xml:space="preserve"> </w:t>
      </w:r>
    </w:p>
    <w:p w14:paraId="040F9245" w14:textId="77777777" w:rsidR="003B4587" w:rsidRPr="009631AB" w:rsidRDefault="003B4587" w:rsidP="00734B53">
      <w:pPr>
        <w:pStyle w:val="Prrafodelista"/>
        <w:ind w:left="0"/>
        <w:contextualSpacing w:val="0"/>
        <w:rPr>
          <w:noProof w:val="0"/>
          <w:szCs w:val="20"/>
        </w:rPr>
      </w:pPr>
    </w:p>
    <w:p w14:paraId="6F496723" w14:textId="03D67FA1" w:rsidR="00FD354C" w:rsidRDefault="003B4587" w:rsidP="00734B53">
      <w:pPr>
        <w:pStyle w:val="Prrafodelista"/>
        <w:numPr>
          <w:ilvl w:val="0"/>
          <w:numId w:val="4"/>
        </w:numPr>
        <w:contextualSpacing w:val="0"/>
        <w:rPr>
          <w:noProof w:val="0"/>
          <w:szCs w:val="20"/>
        </w:rPr>
      </w:pPr>
      <w:r w:rsidRPr="009631AB">
        <w:rPr>
          <w:noProof w:val="0"/>
          <w:szCs w:val="20"/>
        </w:rPr>
        <w:t xml:space="preserve">La Corte considera que los alegatos del representante en relación con la alegada violación del artículo 11 no fueron </w:t>
      </w:r>
      <w:r w:rsidR="008C79E8">
        <w:rPr>
          <w:noProof w:val="0"/>
          <w:szCs w:val="20"/>
        </w:rPr>
        <w:t xml:space="preserve">respaldados </w:t>
      </w:r>
      <w:r w:rsidRPr="009631AB">
        <w:rPr>
          <w:noProof w:val="0"/>
          <w:szCs w:val="20"/>
        </w:rPr>
        <w:t xml:space="preserve">con prueba que </w:t>
      </w:r>
      <w:r w:rsidR="008C79E8">
        <w:rPr>
          <w:noProof w:val="0"/>
          <w:szCs w:val="20"/>
        </w:rPr>
        <w:t>permita</w:t>
      </w:r>
      <w:r w:rsidRPr="009631AB">
        <w:rPr>
          <w:noProof w:val="0"/>
          <w:szCs w:val="20"/>
        </w:rPr>
        <w:t xml:space="preserve"> generar convencimiento de que la víctima fue presentada a la opinión pública como un criminal, de modo que no se pronunciará al respecto. En lo que atañe</w:t>
      </w:r>
      <w:r w:rsidR="008D3984">
        <w:rPr>
          <w:noProof w:val="0"/>
          <w:szCs w:val="20"/>
        </w:rPr>
        <w:t xml:space="preserve"> a</w:t>
      </w:r>
      <w:r w:rsidRPr="009631AB">
        <w:rPr>
          <w:noProof w:val="0"/>
          <w:szCs w:val="20"/>
        </w:rPr>
        <w:t xml:space="preserve"> la alegada violación del artículo 9 sobre la aplicación retroactiva de la ley penal a la fecha de compra del inmueble “Santa Clara”, la Corte observa que la resolución judicial que condenó al señor Montesinos por el delito de testaferrismo no se basó exclusivamente en </w:t>
      </w:r>
      <w:r w:rsidR="00747860" w:rsidRPr="009631AB">
        <w:rPr>
          <w:noProof w:val="0"/>
          <w:szCs w:val="20"/>
        </w:rPr>
        <w:t xml:space="preserve">la adquisición de </w:t>
      </w:r>
      <w:r w:rsidRPr="009631AB">
        <w:rPr>
          <w:noProof w:val="0"/>
          <w:szCs w:val="20"/>
        </w:rPr>
        <w:t xml:space="preserve">dicho inmueble, sino en un conjunto de actos </w:t>
      </w:r>
      <w:r w:rsidR="00AA2024">
        <w:rPr>
          <w:noProof w:val="0"/>
          <w:szCs w:val="20"/>
        </w:rPr>
        <w:t xml:space="preserve">posteriores a la referida norma </w:t>
      </w:r>
      <w:r w:rsidRPr="009631AB">
        <w:rPr>
          <w:noProof w:val="0"/>
          <w:szCs w:val="20"/>
        </w:rPr>
        <w:t>y prueba</w:t>
      </w:r>
      <w:r w:rsidR="00747860" w:rsidRPr="009631AB">
        <w:rPr>
          <w:noProof w:val="0"/>
          <w:szCs w:val="20"/>
        </w:rPr>
        <w:t>s</w:t>
      </w:r>
      <w:r w:rsidRPr="009631AB">
        <w:rPr>
          <w:noProof w:val="0"/>
          <w:szCs w:val="20"/>
        </w:rPr>
        <w:t xml:space="preserve">, los cuales, en su totalidad, generaron convencimiento sobre la comisión del delito. Dicho lo anterior, la Corte no considera establecida la aplicación retroactiva de la ley penal y no encuentra una violación del artículo 9 de la Convención Americana. </w:t>
      </w:r>
    </w:p>
    <w:p w14:paraId="18694DAE" w14:textId="77777777" w:rsidR="008D3984" w:rsidRDefault="008D3984" w:rsidP="003B3610">
      <w:pPr>
        <w:pStyle w:val="Prrafodelista"/>
        <w:ind w:left="0"/>
        <w:contextualSpacing w:val="0"/>
        <w:rPr>
          <w:noProof w:val="0"/>
          <w:szCs w:val="20"/>
        </w:rPr>
      </w:pPr>
    </w:p>
    <w:p w14:paraId="1CF18916" w14:textId="013DFFB7" w:rsidR="008D3984" w:rsidRPr="009631AB" w:rsidRDefault="008D3984" w:rsidP="008D3984">
      <w:pPr>
        <w:pStyle w:val="Prrafodelista"/>
        <w:numPr>
          <w:ilvl w:val="0"/>
          <w:numId w:val="4"/>
        </w:numPr>
        <w:contextualSpacing w:val="0"/>
        <w:rPr>
          <w:noProof w:val="0"/>
          <w:szCs w:val="20"/>
        </w:rPr>
      </w:pPr>
      <w:r>
        <w:rPr>
          <w:noProof w:val="0"/>
          <w:szCs w:val="20"/>
        </w:rPr>
        <w:t xml:space="preserve">Sin perjuicio de lo anterior, la Corte </w:t>
      </w:r>
      <w:r w:rsidR="00BB7269">
        <w:rPr>
          <w:noProof w:val="0"/>
          <w:szCs w:val="20"/>
        </w:rPr>
        <w:t xml:space="preserve">pone de manifiesto que </w:t>
      </w:r>
      <w:r>
        <w:rPr>
          <w:noProof w:val="0"/>
          <w:szCs w:val="20"/>
        </w:rPr>
        <w:t>a</w:t>
      </w:r>
      <w:r w:rsidRPr="008D3984">
        <w:rPr>
          <w:noProof w:val="0"/>
          <w:szCs w:val="20"/>
        </w:rPr>
        <w:t>l no precisarse las conductas imputadas y limitarse a mencionar los tipos legales</w:t>
      </w:r>
      <w:r>
        <w:rPr>
          <w:noProof w:val="0"/>
          <w:szCs w:val="20"/>
        </w:rPr>
        <w:t xml:space="preserve"> en los autos cabeza de proceso por los delitos de enriquecimiento ilícito y </w:t>
      </w:r>
      <w:r w:rsidR="00BB7269">
        <w:rPr>
          <w:noProof w:val="0"/>
          <w:szCs w:val="20"/>
        </w:rPr>
        <w:t>conversión y transferencia de bienes</w:t>
      </w:r>
      <w:r w:rsidRPr="008D3984">
        <w:rPr>
          <w:noProof w:val="0"/>
          <w:szCs w:val="20"/>
        </w:rPr>
        <w:t xml:space="preserve">, no </w:t>
      </w:r>
      <w:r w:rsidR="00BB7269">
        <w:rPr>
          <w:noProof w:val="0"/>
          <w:szCs w:val="20"/>
        </w:rPr>
        <w:t>era</w:t>
      </w:r>
      <w:r w:rsidRPr="008D3984">
        <w:rPr>
          <w:noProof w:val="0"/>
          <w:szCs w:val="20"/>
        </w:rPr>
        <w:t xml:space="preserve"> posible determinar si esas conductas encuadra</w:t>
      </w:r>
      <w:r w:rsidR="00BB7269">
        <w:rPr>
          <w:noProof w:val="0"/>
          <w:szCs w:val="20"/>
        </w:rPr>
        <w:t>ba</w:t>
      </w:r>
      <w:r w:rsidRPr="008D3984">
        <w:rPr>
          <w:noProof w:val="0"/>
          <w:szCs w:val="20"/>
        </w:rPr>
        <w:t xml:space="preserve">n “prima facie” en </w:t>
      </w:r>
      <w:r w:rsidR="008433D7">
        <w:rPr>
          <w:noProof w:val="0"/>
          <w:szCs w:val="20"/>
        </w:rPr>
        <w:t>dichos</w:t>
      </w:r>
      <w:r w:rsidRPr="008D3984">
        <w:rPr>
          <w:noProof w:val="0"/>
          <w:szCs w:val="20"/>
        </w:rPr>
        <w:t xml:space="preserve"> tipos</w:t>
      </w:r>
      <w:r w:rsidR="008433D7">
        <w:rPr>
          <w:noProof w:val="0"/>
          <w:szCs w:val="20"/>
        </w:rPr>
        <w:t xml:space="preserve"> penales</w:t>
      </w:r>
      <w:r w:rsidRPr="008D3984">
        <w:rPr>
          <w:noProof w:val="0"/>
          <w:szCs w:val="20"/>
        </w:rPr>
        <w:t xml:space="preserve"> y, menos aún, si se trata</w:t>
      </w:r>
      <w:r w:rsidR="00BB7269">
        <w:rPr>
          <w:noProof w:val="0"/>
          <w:szCs w:val="20"/>
        </w:rPr>
        <w:t>ba</w:t>
      </w:r>
      <w:r w:rsidRPr="008D3984">
        <w:rPr>
          <w:noProof w:val="0"/>
          <w:szCs w:val="20"/>
        </w:rPr>
        <w:t xml:space="preserve"> de un verdadero concurso real</w:t>
      </w:r>
      <w:r w:rsidR="008433D7">
        <w:rPr>
          <w:noProof w:val="0"/>
          <w:szCs w:val="20"/>
        </w:rPr>
        <w:t xml:space="preserve"> de delitos</w:t>
      </w:r>
      <w:r w:rsidRPr="008D3984">
        <w:rPr>
          <w:noProof w:val="0"/>
          <w:szCs w:val="20"/>
        </w:rPr>
        <w:t xml:space="preserve"> o si por el contrario, se trata</w:t>
      </w:r>
      <w:r w:rsidR="00BB7269">
        <w:rPr>
          <w:noProof w:val="0"/>
          <w:szCs w:val="20"/>
        </w:rPr>
        <w:t>ba</w:t>
      </w:r>
      <w:r w:rsidRPr="008D3984">
        <w:rPr>
          <w:noProof w:val="0"/>
          <w:szCs w:val="20"/>
        </w:rPr>
        <w:t xml:space="preserve"> de un concurso ideal y se desdobla</w:t>
      </w:r>
      <w:r w:rsidR="00BB7269">
        <w:rPr>
          <w:noProof w:val="0"/>
          <w:szCs w:val="20"/>
        </w:rPr>
        <w:t>ba</w:t>
      </w:r>
      <w:r w:rsidRPr="008D3984">
        <w:rPr>
          <w:noProof w:val="0"/>
          <w:szCs w:val="20"/>
        </w:rPr>
        <w:t xml:space="preserve"> la conducta única, con el resultado de someter a</w:t>
      </w:r>
      <w:r w:rsidR="008433D7">
        <w:rPr>
          <w:noProof w:val="0"/>
          <w:szCs w:val="20"/>
        </w:rPr>
        <w:t>l imputado a</w:t>
      </w:r>
      <w:r w:rsidRPr="008D3984">
        <w:rPr>
          <w:noProof w:val="0"/>
          <w:szCs w:val="20"/>
        </w:rPr>
        <w:t xml:space="preserve"> dos o más procesos</w:t>
      </w:r>
      <w:r w:rsidR="00592ABB">
        <w:rPr>
          <w:noProof w:val="0"/>
          <w:szCs w:val="20"/>
        </w:rPr>
        <w:t xml:space="preserve">. Por lo cual, </w:t>
      </w:r>
      <w:r w:rsidRPr="008D3984">
        <w:rPr>
          <w:noProof w:val="0"/>
          <w:szCs w:val="20"/>
        </w:rPr>
        <w:t>además de violar el derecho de defensa</w:t>
      </w:r>
      <w:r w:rsidR="00BB7269">
        <w:rPr>
          <w:noProof w:val="0"/>
          <w:szCs w:val="20"/>
        </w:rPr>
        <w:t xml:space="preserve"> (</w:t>
      </w:r>
      <w:r w:rsidR="00BB7269">
        <w:rPr>
          <w:i/>
          <w:noProof w:val="0"/>
          <w:szCs w:val="20"/>
        </w:rPr>
        <w:t xml:space="preserve">supra </w:t>
      </w:r>
      <w:proofErr w:type="spellStart"/>
      <w:r w:rsidR="00242D95">
        <w:rPr>
          <w:noProof w:val="0"/>
          <w:szCs w:val="20"/>
        </w:rPr>
        <w:t>párrs</w:t>
      </w:r>
      <w:proofErr w:type="spellEnd"/>
      <w:r w:rsidR="00242D95">
        <w:rPr>
          <w:noProof w:val="0"/>
          <w:szCs w:val="20"/>
        </w:rPr>
        <w:t>. 189</w:t>
      </w:r>
      <w:r w:rsidR="00BB7269">
        <w:rPr>
          <w:noProof w:val="0"/>
          <w:szCs w:val="20"/>
        </w:rPr>
        <w:t xml:space="preserve"> a </w:t>
      </w:r>
      <w:r w:rsidR="00242D95">
        <w:rPr>
          <w:noProof w:val="0"/>
          <w:szCs w:val="20"/>
        </w:rPr>
        <w:t>195</w:t>
      </w:r>
      <w:r w:rsidR="00BB7269">
        <w:rPr>
          <w:noProof w:val="0"/>
          <w:szCs w:val="20"/>
        </w:rPr>
        <w:t>)</w:t>
      </w:r>
      <w:r w:rsidRPr="008D3984">
        <w:rPr>
          <w:noProof w:val="0"/>
          <w:szCs w:val="20"/>
        </w:rPr>
        <w:t xml:space="preserve">, </w:t>
      </w:r>
      <w:r w:rsidR="008C79E8">
        <w:rPr>
          <w:noProof w:val="0"/>
          <w:szCs w:val="20"/>
        </w:rPr>
        <w:t xml:space="preserve">podría </w:t>
      </w:r>
      <w:r w:rsidRPr="008D3984">
        <w:rPr>
          <w:noProof w:val="0"/>
          <w:szCs w:val="20"/>
        </w:rPr>
        <w:t>resulta</w:t>
      </w:r>
      <w:r w:rsidR="00BB7269">
        <w:rPr>
          <w:noProof w:val="0"/>
          <w:szCs w:val="20"/>
        </w:rPr>
        <w:t>r</w:t>
      </w:r>
      <w:r w:rsidRPr="008D3984">
        <w:rPr>
          <w:noProof w:val="0"/>
          <w:szCs w:val="20"/>
        </w:rPr>
        <w:t xml:space="preserve"> </w:t>
      </w:r>
      <w:r w:rsidR="008C79E8">
        <w:rPr>
          <w:noProof w:val="0"/>
          <w:szCs w:val="20"/>
        </w:rPr>
        <w:t xml:space="preserve">eventualmente </w:t>
      </w:r>
      <w:r w:rsidRPr="008D3984">
        <w:rPr>
          <w:noProof w:val="0"/>
          <w:szCs w:val="20"/>
        </w:rPr>
        <w:t>violado el principio de legalidad (artículo 9 de la Convención Americana</w:t>
      </w:r>
      <w:r w:rsidR="00242D95">
        <w:rPr>
          <w:noProof w:val="0"/>
          <w:szCs w:val="20"/>
        </w:rPr>
        <w:t>)</w:t>
      </w:r>
      <w:r w:rsidR="00665D73">
        <w:rPr>
          <w:noProof w:val="0"/>
          <w:szCs w:val="20"/>
        </w:rPr>
        <w:t>. L</w:t>
      </w:r>
      <w:r w:rsidR="00592ABB">
        <w:rPr>
          <w:noProof w:val="0"/>
          <w:szCs w:val="20"/>
        </w:rPr>
        <w:t xml:space="preserve">a falta de precisión en la imputación de las conductas en los autos cabeza del proceso </w:t>
      </w:r>
      <w:r w:rsidRPr="008D3984">
        <w:rPr>
          <w:noProof w:val="0"/>
          <w:szCs w:val="20"/>
        </w:rPr>
        <w:t xml:space="preserve">neutraliza </w:t>
      </w:r>
      <w:r w:rsidR="00592ABB">
        <w:rPr>
          <w:noProof w:val="0"/>
          <w:szCs w:val="20"/>
        </w:rPr>
        <w:t>la</w:t>
      </w:r>
      <w:r w:rsidRPr="008D3984">
        <w:rPr>
          <w:noProof w:val="0"/>
          <w:szCs w:val="20"/>
        </w:rPr>
        <w:t xml:space="preserve"> eficacia </w:t>
      </w:r>
      <w:r w:rsidR="00592ABB">
        <w:rPr>
          <w:noProof w:val="0"/>
          <w:szCs w:val="20"/>
        </w:rPr>
        <w:t xml:space="preserve">de este principio </w:t>
      </w:r>
      <w:r w:rsidRPr="008D3984">
        <w:rPr>
          <w:noProof w:val="0"/>
          <w:szCs w:val="20"/>
        </w:rPr>
        <w:t>por imposibilitar la verificación de su observancia.</w:t>
      </w:r>
    </w:p>
    <w:p w14:paraId="628F5680" w14:textId="77777777" w:rsidR="00FD354C" w:rsidRPr="009631AB" w:rsidRDefault="00FD354C" w:rsidP="00FD354C">
      <w:pPr>
        <w:pStyle w:val="Prrafodelista"/>
        <w:ind w:left="0"/>
        <w:contextualSpacing w:val="0"/>
        <w:rPr>
          <w:noProof w:val="0"/>
          <w:szCs w:val="20"/>
        </w:rPr>
      </w:pPr>
    </w:p>
    <w:p w14:paraId="5520F24E" w14:textId="77777777" w:rsidR="00FD354C" w:rsidRPr="009631AB" w:rsidRDefault="003B4587" w:rsidP="00FD354C">
      <w:pPr>
        <w:pStyle w:val="Prrafodelista"/>
        <w:numPr>
          <w:ilvl w:val="0"/>
          <w:numId w:val="4"/>
        </w:numPr>
        <w:contextualSpacing w:val="0"/>
        <w:rPr>
          <w:szCs w:val="20"/>
          <w:lang w:val="es-CR"/>
        </w:rPr>
      </w:pPr>
      <w:r w:rsidRPr="009631AB">
        <w:rPr>
          <w:noProof w:val="0"/>
          <w:szCs w:val="20"/>
        </w:rPr>
        <w:t xml:space="preserve">Finalmente, en lo que respeta la alegada violación del artículo 21 de la Convención por la incautación del inmueble Santa Clara durante la tramitación del proceso penal, </w:t>
      </w:r>
      <w:r w:rsidR="00FD354C" w:rsidRPr="009631AB">
        <w:rPr>
          <w:noProof w:val="0"/>
          <w:szCs w:val="20"/>
        </w:rPr>
        <w:t xml:space="preserve">la </w:t>
      </w:r>
      <w:r w:rsidR="00FD354C" w:rsidRPr="009631AB">
        <w:rPr>
          <w:szCs w:val="20"/>
          <w:lang w:val="es-CR"/>
        </w:rPr>
        <w:t>Corte recuerda que el marco fáctico del proceso ante la misma se encuentra constituido por los hechos contenidos en el Informe de Fondo sometidos a consideración de la Corte</w:t>
      </w:r>
      <w:r w:rsidR="00FD354C" w:rsidRPr="009631AB">
        <w:rPr>
          <w:rStyle w:val="Refdenotaalpie"/>
          <w:rFonts w:ascii="Verdana" w:hAnsi="Verdana"/>
          <w:lang w:val="es-CR"/>
        </w:rPr>
        <w:footnoteReference w:id="204"/>
      </w:r>
      <w:r w:rsidR="00FD354C" w:rsidRPr="009631AB">
        <w:rPr>
          <w:szCs w:val="20"/>
          <w:lang w:val="es-CR"/>
        </w:rPr>
        <w:t>, por lo que no es admisible alegar nuevos hechos distintos de los planteados en dicho escrito, sin perjuicio de exponer aquellos que permitan explicar, aclarar o desestimar los que han sido mencionados en la demanda, o bien, responder a las pretensiones del demandante (también llamados “hechos complementarios”). La excepción a este principio son los hechos que se califican como supervinientes, que podrán ser remitidos al Tribunal en cualquier estado del proceso antes de la emisión de la sentencia.</w:t>
      </w:r>
    </w:p>
    <w:p w14:paraId="17C1AC10" w14:textId="77777777" w:rsidR="00FD354C" w:rsidRPr="009631AB" w:rsidRDefault="00FD354C" w:rsidP="00FD354C">
      <w:pPr>
        <w:pStyle w:val="Prrafodelista"/>
        <w:rPr>
          <w:szCs w:val="20"/>
          <w:lang w:val="es-CR"/>
        </w:rPr>
      </w:pPr>
    </w:p>
    <w:p w14:paraId="3197EABA" w14:textId="2DA7E293" w:rsidR="00FD354C" w:rsidRPr="009631AB" w:rsidRDefault="00FD354C" w:rsidP="00FD354C">
      <w:pPr>
        <w:pStyle w:val="Prrafodelista"/>
        <w:numPr>
          <w:ilvl w:val="0"/>
          <w:numId w:val="4"/>
        </w:numPr>
        <w:contextualSpacing w:val="0"/>
        <w:rPr>
          <w:szCs w:val="20"/>
          <w:lang w:val="es-CR"/>
        </w:rPr>
      </w:pPr>
      <w:r w:rsidRPr="009631AB">
        <w:rPr>
          <w:szCs w:val="20"/>
          <w:lang w:val="es-CR"/>
        </w:rPr>
        <w:t>En el presente caso, la Corte constata que la Comisión no incluyó dentro del marco fáctico, ni como una consideración de fondo, i) los hechos alegados por el representante con relación a la alegada violación del artículo 21</w:t>
      </w:r>
      <w:r w:rsidR="00447BD9" w:rsidRPr="009631AB">
        <w:rPr>
          <w:szCs w:val="20"/>
          <w:lang w:val="es-CR"/>
        </w:rPr>
        <w:t>, ii) las decisiones judiciales relacionadas con la alegada violación del artículo 21</w:t>
      </w:r>
      <w:r w:rsidRPr="009631AB">
        <w:rPr>
          <w:szCs w:val="20"/>
          <w:lang w:val="es-CR"/>
        </w:rPr>
        <w:t xml:space="preserve">. Por lo tanto, el Tribunal precisa que no se pronunciará sobre tales hechos ni sobre los alegatos de derecho formulados por el representante a este respecto. </w:t>
      </w:r>
    </w:p>
    <w:p w14:paraId="518A62D4" w14:textId="77777777" w:rsidR="00B17469" w:rsidRPr="009631AB" w:rsidRDefault="00B17469" w:rsidP="00734B53">
      <w:pPr>
        <w:pStyle w:val="Prrafodelista"/>
        <w:ind w:left="0"/>
        <w:contextualSpacing w:val="0"/>
        <w:rPr>
          <w:bCs/>
          <w:szCs w:val="20"/>
        </w:rPr>
      </w:pPr>
    </w:p>
    <w:p w14:paraId="3C14B7A2" w14:textId="5713EBDA" w:rsidR="00B17469" w:rsidRPr="009631AB" w:rsidRDefault="00301DED" w:rsidP="00734B53">
      <w:pPr>
        <w:pStyle w:val="Ttulo1"/>
        <w:contextualSpacing w:val="0"/>
      </w:pPr>
      <w:bookmarkStart w:id="147" w:name="_Toc469404528"/>
      <w:bookmarkStart w:id="148" w:name="_Toc472608969"/>
      <w:bookmarkStart w:id="149" w:name="_Toc506984132"/>
      <w:bookmarkStart w:id="150" w:name="_Toc18769654"/>
      <w:bookmarkStart w:id="151" w:name="_Toc27069920"/>
      <w:r w:rsidRPr="009631AB">
        <w:t>VIII</w:t>
      </w:r>
      <w:r w:rsidR="00B17469" w:rsidRPr="009631AB">
        <w:t xml:space="preserve"> </w:t>
      </w:r>
      <w:r w:rsidR="00B17469" w:rsidRPr="009631AB">
        <w:br/>
        <w:t>REPARACIONES</w:t>
      </w:r>
      <w:bookmarkEnd w:id="147"/>
      <w:bookmarkEnd w:id="148"/>
      <w:bookmarkEnd w:id="149"/>
      <w:bookmarkEnd w:id="150"/>
      <w:bookmarkEnd w:id="151"/>
    </w:p>
    <w:p w14:paraId="7AD6C610" w14:textId="77777777" w:rsidR="00B17469" w:rsidRPr="009631AB" w:rsidRDefault="00B17469" w:rsidP="00734B53">
      <w:pPr>
        <w:pStyle w:val="Prrafodelista"/>
        <w:widowControl w:val="0"/>
        <w:adjustRightInd w:val="0"/>
        <w:ind w:left="0"/>
        <w:contextualSpacing w:val="0"/>
        <w:textAlignment w:val="baseline"/>
        <w:rPr>
          <w:noProof w:val="0"/>
          <w:szCs w:val="20"/>
        </w:rPr>
      </w:pPr>
    </w:p>
    <w:p w14:paraId="06698ACF" w14:textId="77777777" w:rsidR="008A66CA" w:rsidRPr="008A66CA" w:rsidRDefault="008A66CA" w:rsidP="008A66CA">
      <w:pPr>
        <w:numPr>
          <w:ilvl w:val="0"/>
          <w:numId w:val="4"/>
        </w:numPr>
        <w:spacing w:after="0" w:line="240" w:lineRule="auto"/>
        <w:jc w:val="both"/>
        <w:rPr>
          <w:rFonts w:eastAsia="Batang" w:cs="Times"/>
          <w:szCs w:val="20"/>
          <w:lang w:val="es-ES_tradnl"/>
        </w:rPr>
      </w:pPr>
      <w:r w:rsidRPr="008A66CA">
        <w:rPr>
          <w:rFonts w:eastAsia="Batang" w:cs="Times"/>
          <w:szCs w:val="20"/>
        </w:rPr>
        <w:t xml:space="preserve">Sobre la base de lo dispuesto en el artículo 63.1 de la Convención Americana, la Corte ha indicado </w:t>
      </w:r>
      <w:r w:rsidRPr="008A66CA">
        <w:rPr>
          <w:rFonts w:eastAsia="Batang" w:cs="Times"/>
          <w:szCs w:val="20"/>
          <w:lang w:val="es-ES"/>
        </w:rPr>
        <w:t>que</w:t>
      </w:r>
      <w:r w:rsidRPr="008A66CA">
        <w:rPr>
          <w:rFonts w:eastAsia="Batang" w:cs="Times"/>
          <w:szCs w:val="20"/>
        </w:rPr>
        <w:t xml:space="preserve"> toda violación de una obligación internacional que haya producido daño comporta el deber de repararlo adecuadamente, y que esa disposición recoge una norma </w:t>
      </w:r>
      <w:r w:rsidRPr="008A66CA">
        <w:rPr>
          <w:rFonts w:eastAsia="Batang" w:cs="Times"/>
          <w:szCs w:val="20"/>
        </w:rPr>
        <w:lastRenderedPageBreak/>
        <w:t>consuetudinaria que constituye uno de los principios fundamentales del Derecho Internacional contemporáneo sobre responsabilidad de un Estado</w:t>
      </w:r>
      <w:r w:rsidRPr="008A66CA">
        <w:rPr>
          <w:rFonts w:eastAsia="Batang" w:cs="Times"/>
          <w:szCs w:val="20"/>
          <w:vertAlign w:val="superscript"/>
        </w:rPr>
        <w:footnoteReference w:id="205"/>
      </w:r>
      <w:r w:rsidRPr="008A66CA">
        <w:rPr>
          <w:rFonts w:eastAsia="Batang" w:cs="Times"/>
          <w:szCs w:val="20"/>
        </w:rPr>
        <w:t>.</w:t>
      </w:r>
    </w:p>
    <w:p w14:paraId="19FED56F" w14:textId="77777777" w:rsidR="008A66CA" w:rsidRPr="008A66CA" w:rsidRDefault="008A66CA" w:rsidP="008A66CA">
      <w:pPr>
        <w:spacing w:after="0" w:line="240" w:lineRule="auto"/>
        <w:jc w:val="both"/>
        <w:rPr>
          <w:rFonts w:eastAsia="Batang" w:cs="Times"/>
          <w:szCs w:val="20"/>
          <w:lang w:val="es-ES_tradnl"/>
        </w:rPr>
      </w:pPr>
    </w:p>
    <w:p w14:paraId="604EB992" w14:textId="77777777" w:rsidR="008A66CA" w:rsidRPr="008A66CA" w:rsidRDefault="008A66CA" w:rsidP="008A66CA">
      <w:pPr>
        <w:numPr>
          <w:ilvl w:val="0"/>
          <w:numId w:val="4"/>
        </w:numPr>
        <w:spacing w:after="0" w:line="240" w:lineRule="auto"/>
        <w:jc w:val="both"/>
        <w:rPr>
          <w:rFonts w:eastAsia="Batang" w:cs="Times"/>
          <w:szCs w:val="20"/>
          <w:lang w:val="es-ES_tradnl"/>
        </w:rPr>
      </w:pPr>
      <w:r w:rsidRPr="008A66CA">
        <w:rPr>
          <w:rFonts w:eastAsia="Batang" w:cs="Times"/>
          <w:szCs w:val="20"/>
          <w:lang w:val="es-ES_tradnl"/>
        </w:rPr>
        <w:t>La reparación del daño ocasionado por la infracción de una obligación internacional requiere, siempre que sea posible, la plena restitución (</w:t>
      </w:r>
      <w:proofErr w:type="spellStart"/>
      <w:r w:rsidRPr="008A66CA">
        <w:rPr>
          <w:rFonts w:eastAsia="Batang" w:cs="Times"/>
          <w:i/>
          <w:szCs w:val="20"/>
          <w:lang w:val="es-ES_tradnl"/>
        </w:rPr>
        <w:t>restitutio</w:t>
      </w:r>
      <w:proofErr w:type="spellEnd"/>
      <w:r w:rsidRPr="008A66CA">
        <w:rPr>
          <w:rFonts w:eastAsia="Batang" w:cs="Times"/>
          <w:i/>
          <w:szCs w:val="20"/>
          <w:lang w:val="es-ES_tradnl"/>
        </w:rPr>
        <w:t xml:space="preserve"> in </w:t>
      </w:r>
      <w:proofErr w:type="spellStart"/>
      <w:r w:rsidRPr="008A66CA">
        <w:rPr>
          <w:rFonts w:eastAsia="Batang" w:cs="Times"/>
          <w:i/>
          <w:szCs w:val="20"/>
          <w:lang w:val="es-ES_tradnl"/>
        </w:rPr>
        <w:t>integrum</w:t>
      </w:r>
      <w:proofErr w:type="spellEnd"/>
      <w:r w:rsidRPr="008A66CA">
        <w:rPr>
          <w:rFonts w:eastAsia="Batang" w:cs="Times"/>
          <w:szCs w:val="20"/>
          <w:lang w:val="es-ES_tradnl"/>
        </w:rPr>
        <w:t xml:space="preserve">), que consiste en el restablecimiento de la </w:t>
      </w:r>
      <w:r w:rsidRPr="008A66CA">
        <w:rPr>
          <w:rFonts w:eastAsia="Batang" w:cs="Times"/>
          <w:color w:val="000000" w:themeColor="text1"/>
          <w:szCs w:val="20"/>
          <w:lang w:val="es-ES_tradnl"/>
        </w:rPr>
        <w:t>situación anterior</w:t>
      </w:r>
      <w:r w:rsidRPr="00B86B4B">
        <w:rPr>
          <w:rFonts w:eastAsia="Calibri" w:cs="Times New Roman"/>
          <w:color w:val="000000" w:themeColor="text1"/>
          <w:szCs w:val="20"/>
          <w:vertAlign w:val="superscript"/>
          <w:lang w:val="es-ES_tradnl"/>
        </w:rPr>
        <w:footnoteReference w:id="206"/>
      </w:r>
      <w:r w:rsidRPr="00B86B4B">
        <w:rPr>
          <w:rFonts w:eastAsia="Batang" w:cs="Times"/>
          <w:color w:val="000000" w:themeColor="text1"/>
          <w:szCs w:val="20"/>
          <w:lang w:val="es-ES_tradnl"/>
        </w:rPr>
        <w:t>.</w:t>
      </w:r>
      <w:r w:rsidRPr="008A66CA">
        <w:rPr>
          <w:rFonts w:eastAsia="Batang" w:cs="Times"/>
          <w:color w:val="000000" w:themeColor="text1"/>
          <w:szCs w:val="20"/>
          <w:lang w:val="es-ES_tradnl"/>
        </w:rPr>
        <w:t xml:space="preserve"> De no ser esto materialmente posible, como ocurre en la mayoría de los casos de violaciones a derechos humanos, este Tribunal determinará, de conformidad a lo previsto en el artículo 63.1 de la Convención y en el Derecho Internacional, medidas p</w:t>
      </w:r>
      <w:r w:rsidRPr="008A66CA">
        <w:rPr>
          <w:rFonts w:eastAsia="Batang" w:cs="Times"/>
          <w:szCs w:val="20"/>
          <w:lang w:val="es-ES_tradnl"/>
        </w:rPr>
        <w:t>ara garantizar los derechos conculcados y reparar las consecuencias que las infracciones produjeron</w:t>
      </w:r>
      <w:r w:rsidRPr="00B86B4B">
        <w:rPr>
          <w:rFonts w:eastAsia="Calibri" w:cs="Times New Roman"/>
          <w:szCs w:val="20"/>
          <w:vertAlign w:val="superscript"/>
          <w:lang w:val="es-ES_tradnl"/>
        </w:rPr>
        <w:footnoteReference w:id="207"/>
      </w:r>
      <w:r w:rsidRPr="008A66CA">
        <w:rPr>
          <w:rFonts w:eastAsia="Batang" w:cs="Times"/>
          <w:szCs w:val="20"/>
          <w:lang w:val="es-ES_tradnl"/>
        </w:rPr>
        <w:t>. Por tanto, 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B86B4B">
        <w:rPr>
          <w:rFonts w:eastAsia="Calibri" w:cs="Times New Roman"/>
          <w:szCs w:val="20"/>
          <w:vertAlign w:val="superscript"/>
          <w:lang w:val="es-ES_tradnl"/>
        </w:rPr>
        <w:footnoteReference w:id="208"/>
      </w:r>
      <w:r w:rsidRPr="00B86B4B">
        <w:rPr>
          <w:rFonts w:eastAsia="Batang" w:cs="Times"/>
          <w:szCs w:val="20"/>
          <w:lang w:val="es-ES_tradnl"/>
        </w:rPr>
        <w:t>.</w:t>
      </w:r>
    </w:p>
    <w:p w14:paraId="4732035C" w14:textId="77777777" w:rsidR="008A66CA" w:rsidRPr="008A66CA" w:rsidRDefault="008A66CA" w:rsidP="008A66CA">
      <w:pPr>
        <w:spacing w:after="0" w:line="240" w:lineRule="auto"/>
        <w:jc w:val="both"/>
        <w:rPr>
          <w:rFonts w:eastAsia="Batang" w:cs="Times"/>
          <w:b/>
          <w:szCs w:val="20"/>
          <w:lang w:val="es-ES_tradnl"/>
        </w:rPr>
      </w:pPr>
    </w:p>
    <w:p w14:paraId="64B7BAC9" w14:textId="77777777" w:rsidR="008A66CA" w:rsidRPr="008A66CA" w:rsidRDefault="008A66CA" w:rsidP="008A66CA">
      <w:pPr>
        <w:numPr>
          <w:ilvl w:val="0"/>
          <w:numId w:val="4"/>
        </w:numPr>
        <w:spacing w:after="0" w:line="240" w:lineRule="auto"/>
        <w:jc w:val="both"/>
        <w:rPr>
          <w:rFonts w:eastAsia="Batang" w:cs="Times"/>
          <w:b/>
          <w:szCs w:val="20"/>
          <w:lang w:val="es-ES_tradnl"/>
        </w:rPr>
      </w:pPr>
      <w:r w:rsidRPr="008A66CA">
        <w:rPr>
          <w:rFonts w:eastAsia="Batang" w:cs="Times"/>
          <w:szCs w:val="20"/>
          <w:lang w:val="es-ES_tradnl"/>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B86B4B">
        <w:rPr>
          <w:rFonts w:eastAsia="Calibri" w:cs="Times New Roman"/>
          <w:szCs w:val="20"/>
          <w:vertAlign w:val="superscript"/>
          <w:lang w:val="es-ES_tradnl"/>
        </w:rPr>
        <w:footnoteReference w:id="209"/>
      </w:r>
      <w:r w:rsidRPr="00B86B4B">
        <w:rPr>
          <w:rFonts w:eastAsia="Batang" w:cs="Times"/>
          <w:szCs w:val="20"/>
          <w:lang w:val="es-ES_tradnl"/>
        </w:rPr>
        <w:t>.</w:t>
      </w:r>
    </w:p>
    <w:p w14:paraId="77858D1A" w14:textId="77777777" w:rsidR="008A66CA" w:rsidRPr="008A66CA" w:rsidRDefault="008A66CA" w:rsidP="008A66CA">
      <w:pPr>
        <w:spacing w:after="0" w:line="240" w:lineRule="auto"/>
        <w:ind w:left="720"/>
        <w:jc w:val="both"/>
        <w:rPr>
          <w:rFonts w:eastAsia="Batang" w:cs="Times"/>
          <w:noProof/>
          <w:szCs w:val="20"/>
          <w:lang w:val="es-ES_tradnl"/>
        </w:rPr>
      </w:pPr>
    </w:p>
    <w:p w14:paraId="598327B6" w14:textId="77777777" w:rsidR="008A66CA" w:rsidRPr="008A66CA" w:rsidRDefault="008A66CA" w:rsidP="008A66CA">
      <w:pPr>
        <w:numPr>
          <w:ilvl w:val="0"/>
          <w:numId w:val="4"/>
        </w:numPr>
        <w:spacing w:after="0" w:line="240" w:lineRule="auto"/>
        <w:jc w:val="both"/>
        <w:rPr>
          <w:rFonts w:eastAsia="Batang" w:cs="Times"/>
          <w:b/>
          <w:szCs w:val="20"/>
          <w:lang w:val="es-ES_tradnl"/>
        </w:rPr>
      </w:pPr>
      <w:r w:rsidRPr="008A66CA">
        <w:rPr>
          <w:rFonts w:eastAsia="Batang" w:cs="Times"/>
          <w:noProof/>
          <w:szCs w:val="20"/>
          <w:lang w:val="es-ES_tradnl"/>
        </w:rPr>
        <w:t>En consideración de las violaciones declaradas en el capítulo anterior, este Tribunal procederá a analizar las pretensiones presentadas por la Comisión y el representante, así como los argumentos del Estado, a la luz de los criterios fijados en la jurisprudencia de la Corte en relación con la naturaleza y alcance de la obligación de reparar, con el objeto de disponer las medidas dirigidas a reparar los daños ocasionados a las víctimas</w:t>
      </w:r>
      <w:r w:rsidRPr="008A66CA">
        <w:rPr>
          <w:rFonts w:eastAsia="Batang" w:cs="Times"/>
          <w:noProof/>
          <w:szCs w:val="24"/>
          <w:vertAlign w:val="superscript"/>
          <w:lang w:val="es-ES_tradnl"/>
        </w:rPr>
        <w:footnoteReference w:id="210"/>
      </w:r>
      <w:r w:rsidRPr="008A66CA">
        <w:rPr>
          <w:rFonts w:eastAsia="Batang" w:cs="Times"/>
          <w:noProof/>
          <w:szCs w:val="20"/>
          <w:lang w:val="es-ES_tradnl"/>
        </w:rPr>
        <w:t>.</w:t>
      </w:r>
    </w:p>
    <w:p w14:paraId="17976855" w14:textId="77777777" w:rsidR="008A66CA" w:rsidRPr="008A66CA" w:rsidRDefault="008A66CA" w:rsidP="008A66CA">
      <w:pPr>
        <w:spacing w:after="0" w:line="240" w:lineRule="auto"/>
        <w:ind w:left="720"/>
        <w:jc w:val="both"/>
        <w:rPr>
          <w:rFonts w:eastAsia="Batang" w:cs="Times"/>
          <w:szCs w:val="20"/>
        </w:rPr>
      </w:pPr>
    </w:p>
    <w:p w14:paraId="268A37FB" w14:textId="77777777" w:rsidR="008A66CA" w:rsidRPr="008A66CA" w:rsidRDefault="008A66CA" w:rsidP="008A66CA">
      <w:pPr>
        <w:numPr>
          <w:ilvl w:val="0"/>
          <w:numId w:val="4"/>
        </w:numPr>
        <w:spacing w:after="0" w:line="240" w:lineRule="auto"/>
        <w:jc w:val="both"/>
        <w:rPr>
          <w:rFonts w:eastAsia="Batang" w:cs="Times"/>
          <w:b/>
          <w:szCs w:val="20"/>
          <w:lang w:val="es-ES_tradnl"/>
        </w:rPr>
      </w:pPr>
      <w:r w:rsidRPr="008A66CA">
        <w:rPr>
          <w:rFonts w:eastAsia="Batang" w:cs="Times"/>
          <w:szCs w:val="20"/>
        </w:rPr>
        <w:t>La jurisprudencia internacional y en particular, de la Corte, ha establecido reiteradamente que la sentencia constituye por sí misma una forma de reparación</w:t>
      </w:r>
      <w:r w:rsidRPr="008A66CA">
        <w:rPr>
          <w:rFonts w:eastAsia="Batang" w:cs="Times"/>
          <w:noProof/>
          <w:szCs w:val="24"/>
          <w:vertAlign w:val="superscript"/>
        </w:rPr>
        <w:footnoteReference w:id="211"/>
      </w:r>
      <w:r w:rsidRPr="008A66CA">
        <w:rPr>
          <w:rFonts w:eastAsia="Batang" w:cs="Times"/>
          <w:szCs w:val="20"/>
        </w:rPr>
        <w:t>. No obstante, considerando las circunstancias del presente caso y el sufrimiento que las violaciones cometidas causaron a la víctima, la Corte estima pertinente fijar otras medidas.</w:t>
      </w:r>
    </w:p>
    <w:p w14:paraId="1F926D61" w14:textId="77777777" w:rsidR="008A66CA" w:rsidRPr="008A66CA" w:rsidRDefault="008A66CA" w:rsidP="008A66CA">
      <w:pPr>
        <w:spacing w:after="0" w:line="240" w:lineRule="auto"/>
        <w:jc w:val="both"/>
        <w:rPr>
          <w:rFonts w:eastAsia="Batang" w:cs="Times"/>
          <w:szCs w:val="20"/>
          <w:lang w:val="es-ES_tradnl"/>
        </w:rPr>
      </w:pPr>
    </w:p>
    <w:p w14:paraId="4F7AE9DE" w14:textId="77777777" w:rsidR="008A66CA" w:rsidRPr="008A66CA" w:rsidRDefault="008A66CA" w:rsidP="008A66CA">
      <w:pPr>
        <w:pStyle w:val="Ttulo2"/>
        <w:numPr>
          <w:ilvl w:val="0"/>
          <w:numId w:val="10"/>
        </w:numPr>
        <w:ind w:left="0" w:firstLine="0"/>
        <w:contextualSpacing w:val="0"/>
      </w:pPr>
      <w:bookmarkStart w:id="152" w:name="_Toc506984134"/>
      <w:bookmarkStart w:id="153" w:name="_Toc18769655"/>
      <w:bookmarkStart w:id="154" w:name="_Toc27069921"/>
      <w:r w:rsidRPr="008A66CA">
        <w:t>Parte Lesionada</w:t>
      </w:r>
      <w:bookmarkEnd w:id="152"/>
      <w:bookmarkEnd w:id="153"/>
      <w:bookmarkEnd w:id="154"/>
    </w:p>
    <w:p w14:paraId="396ADC5D" w14:textId="77777777" w:rsidR="008A66CA" w:rsidRPr="008A66CA" w:rsidRDefault="008A66CA" w:rsidP="008A66CA">
      <w:pPr>
        <w:widowControl w:val="0"/>
        <w:adjustRightInd w:val="0"/>
        <w:spacing w:after="0" w:line="240" w:lineRule="auto"/>
        <w:jc w:val="both"/>
        <w:textAlignment w:val="baseline"/>
        <w:rPr>
          <w:rFonts w:eastAsia="Batang" w:cs="Times"/>
          <w:szCs w:val="20"/>
          <w:lang w:val="es-ES_tradnl"/>
        </w:rPr>
      </w:pPr>
    </w:p>
    <w:p w14:paraId="5394B925" w14:textId="77777777" w:rsidR="008A66CA" w:rsidRPr="008A66CA" w:rsidRDefault="008A66CA" w:rsidP="008A66CA">
      <w:pPr>
        <w:numPr>
          <w:ilvl w:val="0"/>
          <w:numId w:val="4"/>
        </w:numPr>
        <w:spacing w:after="0" w:line="240" w:lineRule="auto"/>
        <w:jc w:val="both"/>
        <w:rPr>
          <w:szCs w:val="20"/>
        </w:rPr>
      </w:pPr>
      <w:r w:rsidRPr="008A66CA">
        <w:rPr>
          <w:szCs w:val="20"/>
        </w:rPr>
        <w:t>Este Tribunal reitera que se considera parte lesionada, en los términos del artículo 63.1 de la Convención, a quien ha sido declarada víctima de la violación de algún derecho reconocido en la misma. Por lo tanto, esta Corte considera como “parte lesionada” al señor Mario Montesinos Mejía, quien en su carácter de víctima de las violaciones declaradas en el capítulo VII de esta Sentencia será acreedor de lo que la Corte ordene a continuación.</w:t>
      </w:r>
    </w:p>
    <w:p w14:paraId="0B8FA6B9" w14:textId="77777777" w:rsidR="008A66CA" w:rsidRPr="008A66CA" w:rsidRDefault="008A66CA" w:rsidP="008A66CA">
      <w:pPr>
        <w:autoSpaceDE w:val="0"/>
        <w:autoSpaceDN w:val="0"/>
        <w:adjustRightInd w:val="0"/>
        <w:spacing w:after="0" w:line="240" w:lineRule="auto"/>
        <w:jc w:val="both"/>
        <w:rPr>
          <w:rFonts w:eastAsia="Calibri" w:cs="Times New Roman"/>
          <w:iCs/>
          <w:noProof/>
          <w:szCs w:val="20"/>
        </w:rPr>
      </w:pPr>
    </w:p>
    <w:p w14:paraId="20FBB85D" w14:textId="77777777" w:rsidR="008A66CA" w:rsidRPr="008A66CA" w:rsidRDefault="008A66CA" w:rsidP="008A66CA">
      <w:pPr>
        <w:pStyle w:val="Ttulo2"/>
        <w:tabs>
          <w:tab w:val="num" w:pos="709"/>
        </w:tabs>
      </w:pPr>
      <w:bookmarkStart w:id="155" w:name="_Toc506984139"/>
      <w:bookmarkStart w:id="156" w:name="_Toc18768932"/>
      <w:bookmarkStart w:id="157" w:name="_Toc18768952"/>
      <w:bookmarkStart w:id="158" w:name="_Toc18769656"/>
      <w:bookmarkStart w:id="159" w:name="_Toc27069922"/>
      <w:r w:rsidRPr="008A66CA">
        <w:t>Medidas de satisfacción</w:t>
      </w:r>
      <w:bookmarkEnd w:id="155"/>
      <w:bookmarkEnd w:id="156"/>
      <w:bookmarkEnd w:id="157"/>
      <w:bookmarkEnd w:id="158"/>
      <w:bookmarkEnd w:id="159"/>
      <w:r w:rsidRPr="008A66CA">
        <w:t xml:space="preserve"> y restitución </w:t>
      </w:r>
    </w:p>
    <w:p w14:paraId="73DC8141" w14:textId="77777777" w:rsidR="008A66CA" w:rsidRPr="008A66CA" w:rsidRDefault="008A66CA" w:rsidP="008A66CA">
      <w:pPr>
        <w:spacing w:after="0" w:line="240" w:lineRule="auto"/>
        <w:jc w:val="both"/>
        <w:rPr>
          <w:rFonts w:eastAsia="Calibri" w:cs="Times New Roman"/>
          <w:szCs w:val="20"/>
        </w:rPr>
      </w:pPr>
    </w:p>
    <w:p w14:paraId="6D5780AA" w14:textId="77777777" w:rsidR="008A66CA" w:rsidRPr="008A66CA" w:rsidRDefault="008A66CA" w:rsidP="008A66CA">
      <w:pPr>
        <w:numPr>
          <w:ilvl w:val="0"/>
          <w:numId w:val="4"/>
        </w:numPr>
        <w:spacing w:after="0" w:line="240" w:lineRule="auto"/>
        <w:jc w:val="both"/>
        <w:rPr>
          <w:rFonts w:eastAsia="Calibri" w:cs="Times New Roman"/>
          <w:szCs w:val="20"/>
        </w:rPr>
      </w:pPr>
      <w:r w:rsidRPr="008A66CA">
        <w:rPr>
          <w:rFonts w:eastAsia="Calibri" w:cs="Times New Roman"/>
          <w:szCs w:val="20"/>
        </w:rPr>
        <w:t xml:space="preserve">La </w:t>
      </w:r>
      <w:r w:rsidRPr="008A66CA">
        <w:rPr>
          <w:rFonts w:eastAsia="Calibri" w:cs="Times New Roman"/>
          <w:b/>
          <w:i/>
          <w:szCs w:val="20"/>
        </w:rPr>
        <w:t xml:space="preserve">Comisión </w:t>
      </w:r>
      <w:r w:rsidRPr="008A66CA">
        <w:rPr>
          <w:rFonts w:eastAsia="Calibri" w:cs="Times New Roman"/>
          <w:szCs w:val="20"/>
        </w:rPr>
        <w:t>recomendó que el Estado adopte medidas de compensación económica y satisfacción.</w:t>
      </w:r>
    </w:p>
    <w:p w14:paraId="50EFE2E2" w14:textId="77777777" w:rsidR="008A66CA" w:rsidRPr="008A66CA" w:rsidRDefault="008A66CA" w:rsidP="008A66CA">
      <w:pPr>
        <w:spacing w:after="0" w:line="240" w:lineRule="auto"/>
        <w:jc w:val="both"/>
        <w:rPr>
          <w:rFonts w:eastAsia="Calibri" w:cs="Times New Roman"/>
          <w:szCs w:val="20"/>
        </w:rPr>
      </w:pPr>
    </w:p>
    <w:p w14:paraId="1DDFCBF3" w14:textId="0E715BAD" w:rsidR="008A66CA" w:rsidRPr="008A66CA" w:rsidRDefault="008A66CA" w:rsidP="008A66CA">
      <w:pPr>
        <w:numPr>
          <w:ilvl w:val="0"/>
          <w:numId w:val="4"/>
        </w:numPr>
        <w:spacing w:after="0" w:line="240" w:lineRule="auto"/>
        <w:jc w:val="both"/>
        <w:rPr>
          <w:rFonts w:eastAsia="Calibri" w:cs="Times New Roman"/>
          <w:szCs w:val="20"/>
        </w:rPr>
      </w:pPr>
      <w:r w:rsidRPr="008A66CA">
        <w:rPr>
          <w:rFonts w:eastAsia="Calibri" w:cs="Times New Roman"/>
          <w:szCs w:val="20"/>
        </w:rPr>
        <w:t xml:space="preserve">El </w:t>
      </w:r>
      <w:r w:rsidRPr="008A66CA">
        <w:rPr>
          <w:rFonts w:eastAsia="Calibri" w:cs="Times New Roman"/>
          <w:b/>
          <w:i/>
          <w:szCs w:val="20"/>
        </w:rPr>
        <w:t xml:space="preserve">representante </w:t>
      </w:r>
      <w:r w:rsidRPr="008A66CA">
        <w:rPr>
          <w:rFonts w:eastAsia="Calibri" w:cs="Times New Roman"/>
          <w:szCs w:val="20"/>
        </w:rPr>
        <w:t>solicitó lo siguiente: i) la anulación íntegra del proceso que por testaferrismo se siguió en contra del Coronel Mario Alfonso Montesinos Mejía y que concluyó con la condena en su contra. Esta anulación incluye la anulación y exclusión de toda prueba que haya sido obtenida o generada a partir de la detención ilegal e incomunicación del señor Montesinos, en particular el informe policial que sirvió de fundamento para que se dictara el auto cabeza de proceso; ii) el reconocimiento por parte del Estado de que mientras no exista un proceso válido, subsiste la presunción de inocencia y por lo tanto debe recibir el trato de una persona inocente, y iii) la eliminación de todo registro público el nombre de Mario Alfonso Montesinos Mejía como responsable del delito de testaferrismo, así como de cualquier sanción o multa que pese en su perjuicio.</w:t>
      </w:r>
    </w:p>
    <w:p w14:paraId="2D9FE692" w14:textId="77777777" w:rsidR="008A66CA" w:rsidRPr="008A66CA" w:rsidRDefault="008A66CA" w:rsidP="008A66CA">
      <w:pPr>
        <w:spacing w:after="0" w:line="240" w:lineRule="auto"/>
        <w:jc w:val="both"/>
        <w:rPr>
          <w:rFonts w:eastAsia="Calibri" w:cs="Times New Roman"/>
          <w:szCs w:val="20"/>
        </w:rPr>
      </w:pPr>
    </w:p>
    <w:p w14:paraId="6A5D38D7" w14:textId="755ECE37" w:rsidR="008A66CA" w:rsidRPr="008A66CA" w:rsidRDefault="008A66CA" w:rsidP="008A66CA">
      <w:pPr>
        <w:numPr>
          <w:ilvl w:val="0"/>
          <w:numId w:val="4"/>
        </w:numPr>
        <w:spacing w:after="0" w:line="240" w:lineRule="auto"/>
        <w:jc w:val="both"/>
        <w:rPr>
          <w:rFonts w:eastAsia="Calibri" w:cs="Times New Roman"/>
          <w:szCs w:val="20"/>
        </w:rPr>
      </w:pPr>
      <w:r w:rsidRPr="008A66CA">
        <w:rPr>
          <w:rFonts w:eastAsia="Calibri" w:cs="Times New Roman"/>
          <w:szCs w:val="20"/>
        </w:rPr>
        <w:t xml:space="preserve">El </w:t>
      </w:r>
      <w:r w:rsidRPr="008A66CA">
        <w:rPr>
          <w:rFonts w:eastAsia="Calibri" w:cs="Times New Roman"/>
          <w:b/>
          <w:i/>
          <w:szCs w:val="20"/>
        </w:rPr>
        <w:t>Estado</w:t>
      </w:r>
      <w:r w:rsidRPr="008A66CA">
        <w:rPr>
          <w:rFonts w:eastAsia="Calibri" w:cs="Times New Roman"/>
          <w:b/>
          <w:szCs w:val="20"/>
        </w:rPr>
        <w:t xml:space="preserve"> </w:t>
      </w:r>
      <w:r w:rsidRPr="008A66CA">
        <w:rPr>
          <w:rFonts w:eastAsia="Calibri" w:cs="Times New Roman"/>
          <w:szCs w:val="20"/>
        </w:rPr>
        <w:t>señaló que la Corte no es competente para revertir las decisiones judiciales emitidas en el ámbito interno, dado que no actúa como cuarta instancia. Asimismo, consideró improcedente tanto la anulación del proceso por testaferrismo, como el hecho de atribuir el nombre del señor Montesinos a una unidad d</w:t>
      </w:r>
      <w:r>
        <w:rPr>
          <w:rFonts w:eastAsia="Calibri" w:cs="Times New Roman"/>
          <w:szCs w:val="20"/>
        </w:rPr>
        <w:t>e lucha contra el narcotráfico.</w:t>
      </w:r>
    </w:p>
    <w:p w14:paraId="155A8D17" w14:textId="77777777" w:rsidR="008A66CA" w:rsidRPr="008A66CA" w:rsidRDefault="008A66CA" w:rsidP="008A66CA">
      <w:pPr>
        <w:spacing w:after="0" w:line="240" w:lineRule="auto"/>
        <w:ind w:left="720"/>
        <w:jc w:val="both"/>
        <w:rPr>
          <w:rFonts w:eastAsia="Batang" w:cs="Times"/>
          <w:szCs w:val="20"/>
          <w:lang w:val="es-ES_tradnl"/>
        </w:rPr>
      </w:pPr>
    </w:p>
    <w:p w14:paraId="4DE35DEE" w14:textId="77777777" w:rsidR="008A66CA" w:rsidRPr="008A66CA" w:rsidRDefault="008A66CA" w:rsidP="008A66CA">
      <w:pPr>
        <w:numPr>
          <w:ilvl w:val="0"/>
          <w:numId w:val="4"/>
        </w:numPr>
        <w:spacing w:after="0" w:line="240" w:lineRule="auto"/>
        <w:jc w:val="both"/>
        <w:rPr>
          <w:rFonts w:eastAsia="Calibri" w:cs="Times New Roman"/>
          <w:szCs w:val="20"/>
        </w:rPr>
      </w:pPr>
      <w:r w:rsidRPr="008A66CA">
        <w:rPr>
          <w:szCs w:val="20"/>
        </w:rPr>
        <w:t xml:space="preserve">Al respecto, la </w:t>
      </w:r>
      <w:r w:rsidRPr="008A66CA">
        <w:rPr>
          <w:b/>
          <w:i/>
          <w:szCs w:val="20"/>
        </w:rPr>
        <w:t>Corte</w:t>
      </w:r>
      <w:r w:rsidRPr="008A66CA">
        <w:rPr>
          <w:szCs w:val="20"/>
        </w:rPr>
        <w:t xml:space="preserve"> estima pertinente ordenar, como lo ha hecho en otros casos</w:t>
      </w:r>
      <w:r w:rsidRPr="008A66CA">
        <w:rPr>
          <w:rFonts w:ascii="Times New Roman" w:hAnsi="Times New Roman" w:cs="Times New Roman"/>
          <w:szCs w:val="20"/>
          <w:vertAlign w:val="superscript"/>
        </w:rPr>
        <w:footnoteReference w:id="212"/>
      </w:r>
      <w:r w:rsidRPr="008A66CA">
        <w:rPr>
          <w:szCs w:val="20"/>
        </w:rPr>
        <w:t xml:space="preserve"> que el Estado deberá publicar, en el plazo de seis meses, contado a partir de la notificación de la presente Sentencia: a) el resumen oficial de esta Sentencia elaborado por la Corte, por una sola vez, en el Diario Oficial en un tamaño de letra legible y adecuado; b) el resumen oficial de la Sentencia elaborado por la Corte, por una sola vez, en un diario de amplia circulación nacional, en un tamaño de letra legible y adecuado, y c) la presente sentencia en su integridad, la cual debe estar disponible por un período de un año, en un sitio </w:t>
      </w:r>
      <w:r w:rsidRPr="008A66CA">
        <w:rPr>
          <w:i/>
          <w:szCs w:val="20"/>
        </w:rPr>
        <w:t xml:space="preserve">web </w:t>
      </w:r>
      <w:r w:rsidRPr="008A66CA">
        <w:rPr>
          <w:szCs w:val="20"/>
        </w:rPr>
        <w:t>oficial, de manera accesible al público. El Estado deberá comunicar de forma inmediata a esta Corte una vez que proceda a realizar cada una de las publicaciones dispuestas.</w:t>
      </w:r>
    </w:p>
    <w:p w14:paraId="2697649B" w14:textId="77777777" w:rsidR="008A66CA" w:rsidRPr="008A66CA" w:rsidRDefault="008A66CA" w:rsidP="008A66CA">
      <w:pPr>
        <w:spacing w:after="0" w:line="240" w:lineRule="auto"/>
        <w:ind w:left="720"/>
        <w:jc w:val="both"/>
        <w:rPr>
          <w:rFonts w:eastAsia="Calibri" w:cs="Times New Roman"/>
          <w:noProof/>
          <w:szCs w:val="20"/>
          <w:lang w:val="es-ES_tradnl"/>
        </w:rPr>
      </w:pPr>
    </w:p>
    <w:p w14:paraId="18FB4C6D" w14:textId="77777777" w:rsidR="008A66CA" w:rsidRPr="008A66CA" w:rsidRDefault="008A66CA" w:rsidP="008A66CA">
      <w:pPr>
        <w:numPr>
          <w:ilvl w:val="0"/>
          <w:numId w:val="4"/>
        </w:numPr>
        <w:spacing w:after="0" w:line="240" w:lineRule="auto"/>
        <w:jc w:val="both"/>
        <w:rPr>
          <w:rFonts w:eastAsia="Calibri" w:cs="Times New Roman"/>
          <w:szCs w:val="20"/>
        </w:rPr>
      </w:pPr>
      <w:r w:rsidRPr="008A66CA">
        <w:rPr>
          <w:rFonts w:eastAsia="Calibri" w:cs="Times New Roman"/>
          <w:szCs w:val="20"/>
        </w:rPr>
        <w:t>En lo que respecta a la sentencia condenatoria por el delito de testaferrismo, en atención a las conclusiones a las cuales llegó la Corte en los capítulos VII-2 y VII-3, en el sentido de que el señor Montesinos fue objeto de tratos crueles, inhumanos y degradantes durante el período de prisión preventiva, que no fue asesorado por un abogado durante sus primeras declaraciones y que no se investigó la denuncia de tortura y malos tratos, la Corte considera que las declaraciones rendidas por el señor Montesinos durante la etapa inicial del procedimiento, y que fueron usadas por el Tribunal para condenarlo por el delito de testaferrismo, deben ser excluidas del proceso. Asimismo, atendiendo las violaciones establecidas en el presente caso, este Tribunal determina que el proceso penal seguido en contra del señor Montesinos no puede producir efectos jurídicos en lo que respecta a dicha víctima y, por ello, dispone que el Estado debe adoptar todas las medidas necesarias en el derecho interno para dejar sin efecto las consecuencias de cualquier índole que se deriven del indicado proceso penal, inclusive los antecedentes judiciales o administrativos, penales o policiales, que existan en su contra a raíz de dicho proceso. Para ello, el Estado cuenta con un plazo de seis meses contado a partir de la notificación de la presente Sentencia.</w:t>
      </w:r>
    </w:p>
    <w:p w14:paraId="7BAFBB53" w14:textId="77777777" w:rsidR="008A66CA" w:rsidRPr="008A66CA" w:rsidRDefault="008A66CA" w:rsidP="008A66CA">
      <w:pPr>
        <w:spacing w:after="0" w:line="240" w:lineRule="auto"/>
        <w:jc w:val="both"/>
        <w:rPr>
          <w:rFonts w:eastAsia="Calibri" w:cs="Times New Roman"/>
          <w:szCs w:val="20"/>
        </w:rPr>
      </w:pPr>
    </w:p>
    <w:p w14:paraId="1FB2552B" w14:textId="4A515C55" w:rsidR="008A66CA" w:rsidRPr="008A66CA" w:rsidRDefault="008A66CA" w:rsidP="008A66CA">
      <w:pPr>
        <w:pStyle w:val="Ttulo2"/>
      </w:pPr>
      <w:bookmarkStart w:id="160" w:name="_Toc27069923"/>
      <w:bookmarkStart w:id="161" w:name="_Toc506984137"/>
      <w:bookmarkStart w:id="162" w:name="_Toc18768933"/>
      <w:bookmarkStart w:id="163" w:name="_Toc18768953"/>
      <w:bookmarkStart w:id="164" w:name="_Toc18769657"/>
      <w:r w:rsidRPr="008A66CA">
        <w:t>Investigación de los hechos de tortura</w:t>
      </w:r>
      <w:bookmarkEnd w:id="160"/>
    </w:p>
    <w:p w14:paraId="177A0965" w14:textId="77777777" w:rsidR="008A66CA" w:rsidRPr="008A66CA" w:rsidRDefault="008A66CA" w:rsidP="008A66CA">
      <w:pPr>
        <w:spacing w:after="0" w:line="240" w:lineRule="auto"/>
        <w:jc w:val="both"/>
        <w:rPr>
          <w:rFonts w:eastAsia="Batang" w:cs="Times"/>
          <w:noProof/>
          <w:szCs w:val="24"/>
          <w:lang w:val="es-ES"/>
        </w:rPr>
      </w:pPr>
    </w:p>
    <w:p w14:paraId="3FC73910" w14:textId="7D3FDCD6" w:rsidR="008A66CA" w:rsidRPr="008A66CA" w:rsidRDefault="008A66CA" w:rsidP="008A66CA">
      <w:pPr>
        <w:numPr>
          <w:ilvl w:val="0"/>
          <w:numId w:val="4"/>
        </w:numPr>
        <w:spacing w:after="0" w:line="240" w:lineRule="auto"/>
        <w:jc w:val="both"/>
        <w:rPr>
          <w:rFonts w:eastAsia="Batang" w:cs="Times"/>
          <w:noProof/>
          <w:szCs w:val="24"/>
          <w:lang w:val="es-ES"/>
        </w:rPr>
      </w:pPr>
      <w:r w:rsidRPr="008A66CA">
        <w:rPr>
          <w:rFonts w:eastAsia="Batang" w:cs="Times"/>
          <w:noProof/>
          <w:szCs w:val="24"/>
          <w:lang w:val="es-ES"/>
        </w:rPr>
        <w:t xml:space="preserve">La </w:t>
      </w:r>
      <w:r w:rsidRPr="008A66CA">
        <w:rPr>
          <w:rFonts w:eastAsia="Batang" w:cs="Times"/>
          <w:b/>
          <w:i/>
          <w:noProof/>
          <w:szCs w:val="24"/>
          <w:lang w:val="es-ES"/>
        </w:rPr>
        <w:t>Comisión</w:t>
      </w:r>
      <w:r w:rsidRPr="008A66CA">
        <w:rPr>
          <w:rFonts w:eastAsia="Batang" w:cs="Times"/>
          <w:b/>
          <w:noProof/>
          <w:szCs w:val="24"/>
          <w:lang w:val="es-ES"/>
        </w:rPr>
        <w:t xml:space="preserve"> </w:t>
      </w:r>
      <w:r w:rsidRPr="008A66CA">
        <w:rPr>
          <w:rFonts w:eastAsia="Batang" w:cs="Times"/>
          <w:noProof/>
          <w:szCs w:val="24"/>
          <w:lang w:val="es-ES"/>
        </w:rPr>
        <w:t xml:space="preserve">recomendó iniciar de oficio la investigación penal de manera diligente, efectiva y dentro de un plazo razonable con el objeto de esclarecer los hechos de tratos crueles, inhumanos o degradantes, denunciados por el señor Montesinos a fin de identificar todas las posibles responsabilidades e imponer las sanciones que correspondan respecto de las violaciones de derechos humanos declaradas en el presente informe. El </w:t>
      </w:r>
      <w:r w:rsidRPr="008A66CA">
        <w:rPr>
          <w:rFonts w:eastAsia="Batang" w:cs="Times"/>
          <w:b/>
          <w:i/>
          <w:noProof/>
          <w:szCs w:val="24"/>
          <w:lang w:val="es-ES"/>
        </w:rPr>
        <w:t>Representante</w:t>
      </w:r>
      <w:r w:rsidRPr="008A66CA">
        <w:rPr>
          <w:rFonts w:eastAsia="Batang" w:cs="Times"/>
          <w:noProof/>
          <w:szCs w:val="24"/>
          <w:lang w:val="es-ES"/>
        </w:rPr>
        <w:t xml:space="preserve"> </w:t>
      </w:r>
      <w:r w:rsidRPr="008A66CA">
        <w:rPr>
          <w:rFonts w:eastAsia="Batang" w:cs="Times"/>
          <w:noProof/>
          <w:szCs w:val="24"/>
          <w:lang w:val="es-ES"/>
        </w:rPr>
        <w:lastRenderedPageBreak/>
        <w:t xml:space="preserve">solicitó la investigación y sanción penal de los responsables de las violaciones a los derechos humanos de Mario Montesinos Mejía. El </w:t>
      </w:r>
      <w:r w:rsidRPr="008A66CA">
        <w:rPr>
          <w:rFonts w:eastAsia="Batang" w:cs="Times"/>
          <w:b/>
          <w:i/>
          <w:noProof/>
          <w:szCs w:val="24"/>
          <w:lang w:val="es-ES"/>
        </w:rPr>
        <w:t>Estado</w:t>
      </w:r>
      <w:r w:rsidRPr="008A66CA">
        <w:rPr>
          <w:rFonts w:eastAsia="Batang" w:cs="Times"/>
          <w:noProof/>
          <w:szCs w:val="24"/>
          <w:lang w:val="es-ES"/>
        </w:rPr>
        <w:t xml:space="preserve"> no presentó alegatos sobre este extremo.</w:t>
      </w:r>
    </w:p>
    <w:p w14:paraId="58E4FEB1" w14:textId="77777777" w:rsidR="008A66CA" w:rsidRPr="008A66CA" w:rsidRDefault="008A66CA" w:rsidP="008A66CA">
      <w:pPr>
        <w:spacing w:after="0" w:line="240" w:lineRule="auto"/>
        <w:ind w:left="720"/>
        <w:jc w:val="both"/>
        <w:rPr>
          <w:rFonts w:eastAsia="Batang" w:cs="Times"/>
          <w:noProof/>
          <w:szCs w:val="24"/>
          <w:lang w:val="es-ES"/>
        </w:rPr>
      </w:pPr>
    </w:p>
    <w:p w14:paraId="640BAB02" w14:textId="6366B66D" w:rsidR="008A66CA" w:rsidRPr="008A66CA" w:rsidRDefault="008A66CA" w:rsidP="008A66CA">
      <w:pPr>
        <w:numPr>
          <w:ilvl w:val="0"/>
          <w:numId w:val="4"/>
        </w:numPr>
        <w:spacing w:after="0" w:line="240" w:lineRule="auto"/>
        <w:jc w:val="both"/>
        <w:rPr>
          <w:rFonts w:eastAsia="Batang" w:cs="Times"/>
          <w:noProof/>
          <w:szCs w:val="24"/>
          <w:lang w:val="es-ES"/>
        </w:rPr>
      </w:pPr>
      <w:r w:rsidRPr="008A66CA">
        <w:rPr>
          <w:rFonts w:eastAsia="Batang" w:cs="Times"/>
          <w:noProof/>
          <w:szCs w:val="24"/>
          <w:lang w:val="es-ES"/>
        </w:rPr>
        <w:t xml:space="preserve">La </w:t>
      </w:r>
      <w:r w:rsidRPr="008A66CA">
        <w:rPr>
          <w:rFonts w:eastAsia="Batang" w:cs="Times"/>
          <w:b/>
          <w:i/>
          <w:noProof/>
          <w:szCs w:val="24"/>
          <w:lang w:val="es-ES"/>
        </w:rPr>
        <w:t>Corte</w:t>
      </w:r>
      <w:r w:rsidRPr="008A66CA">
        <w:rPr>
          <w:rFonts w:eastAsia="Batang" w:cs="Times"/>
          <w:noProof/>
          <w:szCs w:val="24"/>
          <w:lang w:val="es-ES"/>
        </w:rPr>
        <w:t xml:space="preserve"> declaró en la presente Sentencia que el Estado incumplió con el deber de investigar las denuncias de tortura y tratos crueles, inhumanos y degradantes al señor Montesinos (</w:t>
      </w:r>
      <w:r w:rsidRPr="008A66CA">
        <w:rPr>
          <w:rFonts w:eastAsia="Batang" w:cs="Times"/>
          <w:i/>
          <w:noProof/>
          <w:szCs w:val="24"/>
          <w:lang w:val="es-ES"/>
        </w:rPr>
        <w:t xml:space="preserve">supra </w:t>
      </w:r>
      <w:r w:rsidR="003B1385">
        <w:rPr>
          <w:rFonts w:eastAsia="Batang" w:cs="Times"/>
          <w:noProof/>
          <w:szCs w:val="24"/>
          <w:lang w:val="es-ES"/>
        </w:rPr>
        <w:t>párr. 160</w:t>
      </w:r>
      <w:r w:rsidRPr="008A66CA">
        <w:rPr>
          <w:rFonts w:eastAsia="Batang" w:cs="Times"/>
          <w:noProof/>
          <w:szCs w:val="24"/>
          <w:lang w:val="es-ES"/>
        </w:rPr>
        <w:t>). Al respecto, la Corte valora los avances normativos e institucionales implementados en los últimos años por parte de Ecuador (</w:t>
      </w:r>
      <w:r w:rsidRPr="008A66CA">
        <w:rPr>
          <w:rFonts w:eastAsia="Batang" w:cs="Times"/>
          <w:i/>
          <w:noProof/>
          <w:szCs w:val="24"/>
          <w:lang w:val="es-ES"/>
        </w:rPr>
        <w:t xml:space="preserve">supra </w:t>
      </w:r>
      <w:r w:rsidRPr="008A66CA">
        <w:rPr>
          <w:rFonts w:eastAsia="Batang" w:cs="Times"/>
          <w:noProof/>
          <w:szCs w:val="24"/>
          <w:lang w:val="es-ES"/>
        </w:rPr>
        <w:t xml:space="preserve">párr. </w:t>
      </w:r>
      <w:r w:rsidR="00B86B4B">
        <w:rPr>
          <w:rFonts w:eastAsia="Batang" w:cs="Times"/>
          <w:noProof/>
          <w:szCs w:val="24"/>
          <w:lang w:val="es-ES"/>
        </w:rPr>
        <w:t>14</w:t>
      </w:r>
      <w:r w:rsidR="00B86B4B" w:rsidRPr="00B86B4B">
        <w:rPr>
          <w:rFonts w:eastAsia="Batang" w:cs="Times"/>
          <w:noProof/>
          <w:szCs w:val="24"/>
          <w:lang w:val="es-ES"/>
        </w:rPr>
        <w:t>9</w:t>
      </w:r>
      <w:r w:rsidRPr="00B86B4B">
        <w:rPr>
          <w:rFonts w:eastAsia="Batang" w:cs="Times"/>
          <w:noProof/>
          <w:szCs w:val="24"/>
          <w:lang w:val="es-ES"/>
        </w:rPr>
        <w:t>).</w:t>
      </w:r>
      <w:r w:rsidRPr="008A66CA">
        <w:rPr>
          <w:rFonts w:eastAsia="Batang" w:cs="Times"/>
          <w:noProof/>
          <w:szCs w:val="24"/>
          <w:lang w:val="es-ES"/>
        </w:rPr>
        <w:t xml:space="preserve"> Sin perjuicio de lo anterior, la Corte dispone que Ecuador deberá, en un plazo razonable, iniciar la investigación necesaria para determinar, juzgar, y, en su caso, sancionar a los responsables de los tratos crueles, inhumanos y degradantes establ</w:t>
      </w:r>
      <w:r w:rsidR="002B75B8">
        <w:rPr>
          <w:rFonts w:eastAsia="Batang" w:cs="Times"/>
          <w:noProof/>
          <w:szCs w:val="24"/>
          <w:lang w:val="es-ES"/>
        </w:rPr>
        <w:t>ecidos en la presente Sentencia</w:t>
      </w:r>
      <w:r w:rsidRPr="008A66CA">
        <w:rPr>
          <w:rFonts w:eastAsia="Batang" w:cs="Times"/>
          <w:noProof/>
          <w:szCs w:val="24"/>
          <w:lang w:val="es-ES"/>
        </w:rPr>
        <w:t>, así como de la tortura denunciada por el s</w:t>
      </w:r>
      <w:r w:rsidR="008C2747">
        <w:rPr>
          <w:rFonts w:eastAsia="Batang" w:cs="Times"/>
          <w:noProof/>
          <w:szCs w:val="24"/>
          <w:lang w:val="es-ES"/>
        </w:rPr>
        <w:t>eñor Montesinos en el año 1996</w:t>
      </w:r>
      <w:r w:rsidRPr="008A66CA">
        <w:rPr>
          <w:rFonts w:eastAsia="Batang" w:cs="Times"/>
          <w:noProof/>
          <w:szCs w:val="24"/>
          <w:lang w:val="es-ES"/>
        </w:rPr>
        <w:t xml:space="preserve">. </w:t>
      </w:r>
    </w:p>
    <w:p w14:paraId="2EAC5C58" w14:textId="77777777" w:rsidR="008A66CA" w:rsidRPr="008A66CA" w:rsidRDefault="008A66CA" w:rsidP="008A66CA">
      <w:pPr>
        <w:spacing w:after="0" w:line="240" w:lineRule="auto"/>
        <w:ind w:left="720"/>
        <w:jc w:val="both"/>
        <w:rPr>
          <w:rFonts w:eastAsia="Batang" w:cs="Times"/>
          <w:noProof/>
          <w:szCs w:val="24"/>
          <w:lang w:val="es-ES"/>
        </w:rPr>
      </w:pPr>
    </w:p>
    <w:p w14:paraId="255F7609" w14:textId="77777777" w:rsidR="008A66CA" w:rsidRPr="008A66CA" w:rsidRDefault="008A66CA" w:rsidP="008A66CA">
      <w:pPr>
        <w:numPr>
          <w:ilvl w:val="0"/>
          <w:numId w:val="4"/>
        </w:numPr>
        <w:spacing w:after="0" w:line="240" w:lineRule="auto"/>
        <w:jc w:val="both"/>
        <w:rPr>
          <w:rFonts w:eastAsia="Batang" w:cs="Times"/>
          <w:noProof/>
          <w:szCs w:val="24"/>
          <w:lang w:val="es-ES"/>
        </w:rPr>
      </w:pPr>
      <w:r w:rsidRPr="008A66CA">
        <w:rPr>
          <w:rFonts w:eastAsia="Batang" w:cs="Times"/>
          <w:noProof/>
          <w:szCs w:val="24"/>
          <w:lang w:val="es-ES"/>
        </w:rPr>
        <w:t xml:space="preserve">De acuerdo con su jurisprudencia constante, la Corte estima que el Estado debe asegurar el pleno acceso y capacidad de actuar de las víctimas o sus familiares en todas las etapas de la investigación y el juzgamiento de los responsables, de acuerdo con la ley interna y las normas de la Convención Americana. </w:t>
      </w:r>
      <w:bookmarkEnd w:id="161"/>
      <w:bookmarkEnd w:id="162"/>
      <w:bookmarkEnd w:id="163"/>
      <w:bookmarkEnd w:id="164"/>
      <w:r w:rsidRPr="008A66CA">
        <w:rPr>
          <w:rFonts w:eastAsia="Calibri" w:cs="Times New Roman"/>
          <w:noProof/>
          <w:szCs w:val="20"/>
          <w:lang w:val="es-ES_tradnl"/>
        </w:rPr>
        <w:t xml:space="preserve"> </w:t>
      </w:r>
    </w:p>
    <w:p w14:paraId="5A3FF77B" w14:textId="77777777" w:rsidR="008A66CA" w:rsidRPr="008A66CA" w:rsidRDefault="008A66CA" w:rsidP="008A66CA">
      <w:pPr>
        <w:spacing w:after="0" w:line="240" w:lineRule="auto"/>
        <w:jc w:val="both"/>
        <w:rPr>
          <w:rFonts w:eastAsia="Calibri" w:cs="Times New Roman"/>
          <w:iCs/>
          <w:szCs w:val="20"/>
        </w:rPr>
      </w:pPr>
    </w:p>
    <w:p w14:paraId="63061D12" w14:textId="632E04E9" w:rsidR="008A66CA" w:rsidRPr="008A66CA" w:rsidRDefault="008A66CA" w:rsidP="008A66CA">
      <w:pPr>
        <w:pStyle w:val="Ttulo2"/>
      </w:pPr>
      <w:bookmarkStart w:id="165" w:name="_Toc18768934"/>
      <w:bookmarkStart w:id="166" w:name="_Toc18768954"/>
      <w:bookmarkStart w:id="167" w:name="_Toc18769658"/>
      <w:bookmarkStart w:id="168" w:name="_Toc27069924"/>
      <w:r w:rsidRPr="008A66CA">
        <w:t>Medidas de rehabilitación</w:t>
      </w:r>
      <w:bookmarkEnd w:id="165"/>
      <w:bookmarkEnd w:id="166"/>
      <w:bookmarkEnd w:id="167"/>
      <w:bookmarkEnd w:id="168"/>
    </w:p>
    <w:p w14:paraId="7C96313F" w14:textId="77777777" w:rsidR="008A66CA" w:rsidRPr="008A66CA" w:rsidRDefault="008A66CA" w:rsidP="008A66CA">
      <w:pPr>
        <w:spacing w:after="0" w:line="240" w:lineRule="auto"/>
        <w:jc w:val="both"/>
        <w:rPr>
          <w:rFonts w:eastAsia="Calibri" w:cs="Times New Roman"/>
          <w:iCs/>
          <w:szCs w:val="20"/>
        </w:rPr>
      </w:pPr>
    </w:p>
    <w:p w14:paraId="28EC4BCD" w14:textId="77777777" w:rsidR="008A66CA" w:rsidRPr="008A66CA" w:rsidRDefault="008A66CA" w:rsidP="008A66CA">
      <w:pPr>
        <w:numPr>
          <w:ilvl w:val="0"/>
          <w:numId w:val="4"/>
        </w:numPr>
        <w:spacing w:after="0" w:line="240" w:lineRule="auto"/>
        <w:jc w:val="both"/>
        <w:rPr>
          <w:rFonts w:eastAsia="Calibri" w:cs="Times New Roman"/>
          <w:iCs/>
          <w:szCs w:val="20"/>
          <w:lang w:val="es-ES_tradnl"/>
        </w:rPr>
      </w:pPr>
      <w:r w:rsidRPr="008A66CA">
        <w:rPr>
          <w:rFonts w:eastAsia="Calibri" w:cs="Times New Roman"/>
          <w:iCs/>
          <w:szCs w:val="20"/>
          <w:lang w:val="es-ES_tradnl"/>
        </w:rPr>
        <w:t xml:space="preserve">La </w:t>
      </w:r>
      <w:r w:rsidRPr="008A66CA">
        <w:rPr>
          <w:rFonts w:eastAsia="Calibri" w:cs="Times New Roman"/>
          <w:b/>
          <w:i/>
          <w:iCs/>
          <w:szCs w:val="20"/>
          <w:lang w:val="es-ES_tradnl"/>
        </w:rPr>
        <w:t>Comisión</w:t>
      </w:r>
      <w:r w:rsidRPr="008A66CA">
        <w:rPr>
          <w:rFonts w:eastAsia="Calibri" w:cs="Times New Roman"/>
          <w:iCs/>
          <w:szCs w:val="20"/>
          <w:lang w:val="es-ES_tradnl"/>
        </w:rPr>
        <w:t xml:space="preserve"> solicitó disponer las medidas de atención en salud física y mental necesarias para la rehabilitación de Mario Montesinos Mejía, de ser su voluntad y de manera concertada. El </w:t>
      </w:r>
      <w:r w:rsidRPr="008A66CA">
        <w:rPr>
          <w:rFonts w:eastAsia="Calibri" w:cs="Times New Roman"/>
          <w:b/>
          <w:i/>
          <w:iCs/>
          <w:szCs w:val="20"/>
          <w:lang w:val="es-ES_tradnl"/>
        </w:rPr>
        <w:t>representante</w:t>
      </w:r>
      <w:r w:rsidRPr="008A66CA">
        <w:rPr>
          <w:rFonts w:eastAsia="Calibri" w:cs="Times New Roman"/>
          <w:iCs/>
          <w:szCs w:val="20"/>
          <w:lang w:val="es-ES_tradnl"/>
        </w:rPr>
        <w:t xml:space="preserve"> solicitó la adopción de las medidas de atención en salud física y mental, atendiendo el actual estado del señor Montesinos. El </w:t>
      </w:r>
      <w:r w:rsidRPr="008A66CA">
        <w:rPr>
          <w:rFonts w:eastAsia="Calibri" w:cs="Times New Roman"/>
          <w:b/>
          <w:i/>
          <w:iCs/>
          <w:szCs w:val="20"/>
          <w:lang w:val="es-ES_tradnl"/>
        </w:rPr>
        <w:t>Estado</w:t>
      </w:r>
      <w:r w:rsidRPr="008A66CA">
        <w:rPr>
          <w:rFonts w:eastAsia="Calibri" w:cs="Times New Roman"/>
          <w:iCs/>
          <w:szCs w:val="20"/>
          <w:lang w:val="es-ES_tradnl"/>
        </w:rPr>
        <w:t xml:space="preserve"> recordó que, en su calidad de afiliado al Instituto de Seguridad Social de las Fuerzas Armadas del Ecuador (ISSFA), el señor Montesinos recibe atención médica completa y continúa. Actualmente, el señor Montesinos es pensionista de retiro del ISSFA, goza de una cobertura del 100% en lo que corresponde al seguro de salud. Las prestaciones proporcionadas por el ISSFA se encuentran detalladas en la Ley de Seguridad Social de las Fuerzas Armadas. Además, el señor Montesinos, como afiliado del ISSFA, puede solicitar atención médica a través de los prestadores de servicios de salud de las Fuerzas Armadas, de la Red Pública Integral de Salud, y de la Red Privada Complementaria. Por lo tanto, el señor Montesinos se encuentra adecuadamente atendido y sus gastos están debidamente cubiertos por el seguro de salud que tiene, por lo que no es necesario ni pertinente que la Corte se pronuncie sobre medidas de atención médica.</w:t>
      </w:r>
    </w:p>
    <w:p w14:paraId="0C24D284" w14:textId="77777777" w:rsidR="008A66CA" w:rsidRPr="008A66CA" w:rsidRDefault="008A66CA" w:rsidP="008A66CA">
      <w:pPr>
        <w:spacing w:after="0" w:line="240" w:lineRule="auto"/>
        <w:jc w:val="both"/>
        <w:rPr>
          <w:rFonts w:eastAsia="Calibri" w:cs="Times New Roman"/>
          <w:iCs/>
          <w:szCs w:val="20"/>
          <w:lang w:val="es-ES_tradnl"/>
        </w:rPr>
      </w:pPr>
    </w:p>
    <w:p w14:paraId="7BACB9A9" w14:textId="77777777" w:rsidR="008A66CA" w:rsidRPr="008A66CA" w:rsidRDefault="008A66CA" w:rsidP="008A66CA">
      <w:pPr>
        <w:numPr>
          <w:ilvl w:val="0"/>
          <w:numId w:val="4"/>
        </w:numPr>
        <w:spacing w:after="0" w:line="240" w:lineRule="auto"/>
        <w:jc w:val="both"/>
        <w:rPr>
          <w:rFonts w:eastAsia="Calibri" w:cs="Times New Roman"/>
          <w:iCs/>
          <w:szCs w:val="20"/>
          <w:lang w:val="es-ES_tradnl"/>
        </w:rPr>
      </w:pPr>
      <w:r w:rsidRPr="008A66CA">
        <w:rPr>
          <w:rFonts w:eastAsia="Calibri" w:cs="Times New Roman"/>
          <w:iCs/>
          <w:noProof/>
          <w:szCs w:val="20"/>
          <w:lang w:val="es-ES_tradnl"/>
        </w:rPr>
        <w:t xml:space="preserve">La </w:t>
      </w:r>
      <w:r w:rsidRPr="008A66CA">
        <w:rPr>
          <w:rFonts w:eastAsia="Calibri" w:cs="Times New Roman"/>
          <w:b/>
          <w:i/>
          <w:iCs/>
          <w:noProof/>
          <w:szCs w:val="20"/>
          <w:lang w:val="es-ES_tradnl"/>
        </w:rPr>
        <w:t>Corte</w:t>
      </w:r>
      <w:r w:rsidRPr="008A66CA">
        <w:rPr>
          <w:rFonts w:eastAsia="Calibri" w:cs="Times New Roman"/>
          <w:iCs/>
          <w:noProof/>
          <w:szCs w:val="20"/>
          <w:lang w:val="es-ES_tradnl"/>
        </w:rPr>
        <w:t xml:space="preserve"> advierte que fue probado en el presente caso que el señor Montesinos fue víctima de tratos crueles, inhumanos y degradantes. Asimismo, de la prueba aportada y las declaraciones de sus familiares ante la Corte, se observa que el señor Montesinos sufre de una serie de padecimientos como consecuencia de los seis años en los cuales estuvo privado de libertad</w:t>
      </w:r>
      <w:r w:rsidRPr="008C2747">
        <w:rPr>
          <w:rFonts w:eastAsia="Calibri" w:cs="Times New Roman"/>
          <w:iCs/>
          <w:noProof/>
          <w:szCs w:val="20"/>
          <w:vertAlign w:val="superscript"/>
          <w:lang w:val="es-ES_tradnl"/>
        </w:rPr>
        <w:footnoteReference w:id="213"/>
      </w:r>
      <w:r w:rsidRPr="008A66CA">
        <w:rPr>
          <w:rFonts w:eastAsia="Calibri" w:cs="Times New Roman"/>
          <w:iCs/>
          <w:noProof/>
          <w:szCs w:val="20"/>
          <w:lang w:val="es-ES_tradnl"/>
        </w:rPr>
        <w:t xml:space="preserve">. Aunque se toma en consideración la explicación del Estado de que el señor Montesinos puede acceder a la atención médica proporcionada por el </w:t>
      </w:r>
      <w:r w:rsidRPr="008A66CA">
        <w:rPr>
          <w:rFonts w:eastAsia="Calibri" w:cs="Times New Roman"/>
          <w:iCs/>
          <w:szCs w:val="20"/>
          <w:lang w:val="es-ES_tradnl"/>
        </w:rPr>
        <w:t xml:space="preserve">Instituto de Seguridad Social de las Fuerzas Armadas del Ecuador, </w:t>
      </w:r>
      <w:r w:rsidRPr="008A66CA">
        <w:rPr>
          <w:rFonts w:eastAsia="Calibri" w:cs="Times New Roman"/>
          <w:iCs/>
          <w:noProof/>
          <w:szCs w:val="20"/>
          <w:lang w:val="es-ES_tradnl"/>
        </w:rPr>
        <w:t>la Corte estima que el Estado debe brindar gratuitamente y de forma inmediata, adecuada y efectiva, el tratamiento psicológico y psiquiátrico requerido por el señor Montesinos, previo consentimiento informado y por el tiempo que sea necesario, incluida la provisión gratuita de medicamentos. Asimismo, los tratamientos respectivos deberán prestarse de manera oportuna y diferenciada, en la medida de lo posible, en el centro más cercano a su lugar de residencia en Ecuador, por el tiempo que sea necesario. Para tal efecto la víctima dispone de un plazo de seis meses, contado a partir de la notificación de la presente Sentencia, para requerir al Estado dicho tratamiento.</w:t>
      </w:r>
    </w:p>
    <w:p w14:paraId="2C5B92F0" w14:textId="77777777" w:rsidR="008A66CA" w:rsidRPr="008A66CA" w:rsidRDefault="008A66CA" w:rsidP="008A66CA">
      <w:pPr>
        <w:spacing w:after="0" w:line="240" w:lineRule="auto"/>
        <w:jc w:val="both"/>
        <w:rPr>
          <w:rFonts w:eastAsia="Calibri" w:cs="Times New Roman"/>
          <w:iCs/>
          <w:szCs w:val="20"/>
          <w:lang w:val="es-ES_tradnl"/>
        </w:rPr>
      </w:pPr>
    </w:p>
    <w:p w14:paraId="5020D57B" w14:textId="64B19255" w:rsidR="008A66CA" w:rsidRPr="008A66CA" w:rsidRDefault="008A66CA" w:rsidP="008A66CA">
      <w:pPr>
        <w:pStyle w:val="Ttulo2"/>
      </w:pPr>
      <w:bookmarkStart w:id="169" w:name="_Toc506984143"/>
      <w:bookmarkStart w:id="170" w:name="_Toc18768935"/>
      <w:bookmarkStart w:id="171" w:name="_Toc18768955"/>
      <w:bookmarkStart w:id="172" w:name="_Toc18769659"/>
      <w:bookmarkStart w:id="173" w:name="_Toc27069925"/>
      <w:r w:rsidRPr="008A66CA">
        <w:lastRenderedPageBreak/>
        <w:t>Indemnización compensatoria</w:t>
      </w:r>
      <w:bookmarkEnd w:id="169"/>
      <w:bookmarkEnd w:id="170"/>
      <w:bookmarkEnd w:id="171"/>
      <w:bookmarkEnd w:id="172"/>
      <w:bookmarkEnd w:id="173"/>
      <w:r w:rsidRPr="008A66CA">
        <w:t xml:space="preserve"> </w:t>
      </w:r>
    </w:p>
    <w:p w14:paraId="16AAB6CA" w14:textId="77777777" w:rsidR="008A66CA" w:rsidRPr="008A66CA" w:rsidRDefault="008A66CA" w:rsidP="008A66CA">
      <w:pPr>
        <w:spacing w:after="0" w:line="240" w:lineRule="auto"/>
        <w:jc w:val="both"/>
        <w:rPr>
          <w:rFonts w:eastAsia="Calibri" w:cs="Times New Roman"/>
          <w:szCs w:val="20"/>
          <w:lang w:val="es-ES_tradnl"/>
        </w:rPr>
      </w:pPr>
    </w:p>
    <w:p w14:paraId="2E331476" w14:textId="77777777" w:rsidR="008A66CA" w:rsidRPr="008A66CA" w:rsidRDefault="008A66CA" w:rsidP="008A66CA">
      <w:pPr>
        <w:numPr>
          <w:ilvl w:val="0"/>
          <w:numId w:val="4"/>
        </w:numPr>
        <w:spacing w:after="0" w:line="240" w:lineRule="auto"/>
        <w:jc w:val="both"/>
        <w:rPr>
          <w:rFonts w:eastAsia="Calibri" w:cs="Times New Roman"/>
          <w:szCs w:val="20"/>
        </w:rPr>
      </w:pPr>
      <w:r w:rsidRPr="008A66CA">
        <w:rPr>
          <w:rFonts w:eastAsia="Calibri" w:cs="Times New Roman"/>
          <w:szCs w:val="20"/>
        </w:rPr>
        <w:t xml:space="preserve">La </w:t>
      </w:r>
      <w:r w:rsidRPr="008A66CA">
        <w:rPr>
          <w:rFonts w:eastAsia="Calibri" w:cs="Times New Roman"/>
          <w:b/>
          <w:i/>
          <w:szCs w:val="20"/>
        </w:rPr>
        <w:t xml:space="preserve">Comisión </w:t>
      </w:r>
      <w:r w:rsidRPr="008A66CA">
        <w:rPr>
          <w:rFonts w:eastAsia="Calibri" w:cs="Times New Roman"/>
          <w:szCs w:val="20"/>
        </w:rPr>
        <w:t>solicitó reparar integralmente las violaciones de derechos humanos declaradas en su informe de fondo tanto en el aspecto material como inmaterial.</w:t>
      </w:r>
      <w:r w:rsidRPr="008A66CA">
        <w:rPr>
          <w:rFonts w:eastAsia="Calibri" w:cs="Times New Roman"/>
          <w:b/>
          <w:szCs w:val="20"/>
        </w:rPr>
        <w:t xml:space="preserve"> </w:t>
      </w:r>
    </w:p>
    <w:p w14:paraId="78A4CBBB" w14:textId="77777777" w:rsidR="008A66CA" w:rsidRPr="008A66CA" w:rsidRDefault="008A66CA" w:rsidP="008A66CA">
      <w:pPr>
        <w:spacing w:after="0" w:line="240" w:lineRule="auto"/>
        <w:jc w:val="both"/>
        <w:rPr>
          <w:rFonts w:eastAsia="Calibri" w:cs="Times New Roman"/>
          <w:szCs w:val="20"/>
        </w:rPr>
      </w:pPr>
    </w:p>
    <w:p w14:paraId="6528AF1B" w14:textId="77777777" w:rsidR="008A66CA" w:rsidRPr="008A66CA" w:rsidRDefault="008A66CA" w:rsidP="008A66CA">
      <w:pPr>
        <w:numPr>
          <w:ilvl w:val="0"/>
          <w:numId w:val="4"/>
        </w:numPr>
        <w:spacing w:after="0" w:line="240" w:lineRule="auto"/>
        <w:jc w:val="both"/>
        <w:rPr>
          <w:rFonts w:eastAsia="Calibri" w:cs="Times New Roman"/>
          <w:szCs w:val="20"/>
        </w:rPr>
      </w:pPr>
      <w:r w:rsidRPr="008A66CA">
        <w:rPr>
          <w:rFonts w:eastAsia="Calibri" w:cs="Times New Roman"/>
          <w:szCs w:val="20"/>
        </w:rPr>
        <w:t xml:space="preserve">El </w:t>
      </w:r>
      <w:r w:rsidRPr="008A66CA">
        <w:rPr>
          <w:rFonts w:eastAsia="Calibri" w:cs="Times New Roman"/>
          <w:b/>
          <w:i/>
          <w:szCs w:val="20"/>
        </w:rPr>
        <w:t xml:space="preserve">representante </w:t>
      </w:r>
      <w:r w:rsidRPr="008A66CA">
        <w:rPr>
          <w:rFonts w:eastAsia="Calibri" w:cs="Times New Roman"/>
          <w:szCs w:val="20"/>
        </w:rPr>
        <w:t>solicitó: i) el pago de un valor indemnizatorio por el hecho de haber sido sujeto a tortura, tratos crueles e inhumanos, así como la privación arbitraria de su libertad por más de seis años, que sea de tal magnitud que surta un efecto de carácter preventivo para que el Estado no incurra en hechos semejantes, el cual estimó en USD $1.000.000; ii) la reparación por los daños inmateriales y daño moral deberá ser fijada por la Corte en equidad, considerando el largo tiempo que ha debido sufrir por dichos daños, el cual estimó que no podría ser inferior a los USD $500.000; iii) la reparación por el daño efectivamente sufrido a su proyecto de vida, como un hecho cierto y pasado, en un valor de al menos USD $ 1.000.000, y iv) un valor indemnizatorio que corresponda al valor actual que tiene el inmueble “Santa Clara” y de cuya propiedad se vio privado tanto Mario Montesinos Mejía como su cónyuge Marcia Montesinos. Asimismo, sobre este punto indicó que el valor indemnizatorio es el único mecanismo real de reparar pues el inmueble en la actualidad se encuentra invadido por más de una centena de familias campesinas.</w:t>
      </w:r>
    </w:p>
    <w:p w14:paraId="64D2877B" w14:textId="77777777" w:rsidR="008A66CA" w:rsidRPr="008A66CA" w:rsidRDefault="008A66CA" w:rsidP="008A66CA">
      <w:pPr>
        <w:spacing w:after="0" w:line="240" w:lineRule="auto"/>
        <w:jc w:val="both"/>
        <w:rPr>
          <w:rFonts w:eastAsia="Calibri" w:cs="Times New Roman"/>
          <w:szCs w:val="20"/>
        </w:rPr>
      </w:pPr>
    </w:p>
    <w:p w14:paraId="7BA4705E" w14:textId="77777777" w:rsidR="008A66CA" w:rsidRPr="008A66CA" w:rsidRDefault="008A66CA" w:rsidP="008A66CA">
      <w:pPr>
        <w:numPr>
          <w:ilvl w:val="0"/>
          <w:numId w:val="4"/>
        </w:numPr>
        <w:spacing w:after="0" w:line="240" w:lineRule="auto"/>
        <w:jc w:val="both"/>
        <w:rPr>
          <w:rFonts w:eastAsia="Calibri" w:cs="Times New Roman"/>
          <w:b/>
          <w:szCs w:val="20"/>
        </w:rPr>
      </w:pPr>
      <w:r w:rsidRPr="008A66CA">
        <w:rPr>
          <w:rFonts w:eastAsia="Calibri" w:cs="Times New Roman"/>
          <w:szCs w:val="20"/>
        </w:rPr>
        <w:t xml:space="preserve">Por cuanto atañe a las indemnizaciones compensatorias, el </w:t>
      </w:r>
      <w:r w:rsidRPr="008A66CA">
        <w:rPr>
          <w:rFonts w:eastAsia="Calibri" w:cs="Times New Roman"/>
          <w:b/>
          <w:i/>
          <w:szCs w:val="20"/>
        </w:rPr>
        <w:t>Estado</w:t>
      </w:r>
      <w:r w:rsidRPr="008A66CA">
        <w:rPr>
          <w:rFonts w:eastAsia="Calibri" w:cs="Times New Roman"/>
          <w:szCs w:val="20"/>
        </w:rPr>
        <w:t xml:space="preserve"> indicó </w:t>
      </w:r>
      <w:r w:rsidRPr="008A66CA">
        <w:rPr>
          <w:rFonts w:eastAsia="Calibri"/>
          <w:szCs w:val="20"/>
        </w:rPr>
        <w:t>que: i) el comiso especial de la Hacienda Santa Clara se ordenó mediante sentencia de 9 de septiembre de 1996, dentro de un proceso judicial en el cual se determinó el uso del bien con fines delictivos. La sanción que afecta al bien se pronunció en el marco de un proceso judicial que tuvo como finalidad garantizar el orden público; ii) el daño material alegado respecto a los bienes de la presunta víctima, los cuales estaban relacionados con fines delictivos, no constituye un daño resarcible; iii) se debe considerar la sentencia del caso Fermín Ramírez, en la cual la Corte condenó al Estado de Guatemala por las violaciones a las garantías judiciales, la protección judicial, el principio de legalidad, el derecho a solicitar una conmutación de la pena de muerte pronunciada y la integridad personal en su perjuicio, sin embargo la Corte no ordenó ninguna reparación pecuniaria, considerando que no había pruebas que acreditaran los daños materiales alegados, así como los elementos fácticos objetivos; iv) los montos por daño inmaterial solicitado por el representante son desproporcionados, y en tal virtud, deberán ser desestimados, puesto que el principio de reparación integral no puede implicar un enriquecimiento por parte de la presunta víctima. Asimismo, en relación al "carácter preventivo" que el representante pretende dar a la eventual reparación, el Estado recuerda que la Corte Interamericana no se encuentra habilitada para pronunciar indemnizaciones con carácter punitivo, sino únicamente que el resarcimiento del daño sea exclusivamente destinado a reparar el daño causado; v) sobre el alegado daño al proyecto de vida, consideró el monto desmesurado y que no se encuentra justificado por ningún sustento económico; los proyectos que habrían sido afectados tampoco se encuentran especificados. Adicionalmente, el Estado indicó que, como se desprende de la hoja de vida del señor Montesinos, su vida profesional se desarrolló con plena normalidad, por lo que no se ha visto limitado en desarrollar su proyecto de vida.</w:t>
      </w:r>
    </w:p>
    <w:p w14:paraId="6E77BB8F" w14:textId="77777777" w:rsidR="008A66CA" w:rsidRPr="008A66CA" w:rsidRDefault="008A66CA" w:rsidP="008A66CA">
      <w:pPr>
        <w:spacing w:after="0" w:line="240" w:lineRule="auto"/>
        <w:jc w:val="both"/>
        <w:rPr>
          <w:rFonts w:eastAsia="Calibri" w:cs="Times New Roman"/>
          <w:szCs w:val="20"/>
        </w:rPr>
      </w:pPr>
    </w:p>
    <w:p w14:paraId="02634F12" w14:textId="77777777" w:rsidR="008A66CA" w:rsidRPr="008A66CA" w:rsidRDefault="008A66CA" w:rsidP="008A66CA">
      <w:pPr>
        <w:numPr>
          <w:ilvl w:val="0"/>
          <w:numId w:val="4"/>
        </w:numPr>
        <w:spacing w:after="0" w:line="240" w:lineRule="auto"/>
        <w:jc w:val="both"/>
        <w:rPr>
          <w:rFonts w:eastAsia="Calibri" w:cs="Times New Roman"/>
          <w:szCs w:val="20"/>
        </w:rPr>
      </w:pPr>
      <w:r w:rsidRPr="008A66CA">
        <w:rPr>
          <w:rFonts w:eastAsia="Calibri" w:cs="Times New Roman"/>
          <w:szCs w:val="20"/>
        </w:rPr>
        <w:t xml:space="preserve">La </w:t>
      </w:r>
      <w:r w:rsidRPr="008A66CA">
        <w:rPr>
          <w:rFonts w:eastAsia="Calibri" w:cs="Times New Roman"/>
          <w:b/>
          <w:i/>
          <w:szCs w:val="20"/>
        </w:rPr>
        <w:t>Corte</w:t>
      </w:r>
      <w:r w:rsidRPr="008A66CA">
        <w:rPr>
          <w:rFonts w:eastAsia="Calibri" w:cs="Times New Roman"/>
          <w:szCs w:val="20"/>
        </w:rPr>
        <w:t xml:space="preserve"> ha desarrollado el concepto de daño material</w:t>
      </w:r>
      <w:r w:rsidRPr="008A66CA">
        <w:rPr>
          <w:rFonts w:eastAsia="Calibri" w:cs="Times New Roman"/>
          <w:szCs w:val="20"/>
          <w:vertAlign w:val="superscript"/>
        </w:rPr>
        <w:footnoteReference w:id="214"/>
      </w:r>
      <w:r w:rsidRPr="008A66CA">
        <w:rPr>
          <w:rFonts w:eastAsia="Calibri" w:cs="Times New Roman"/>
          <w:szCs w:val="20"/>
        </w:rPr>
        <w:t xml:space="preserve"> y los supuestos en que corresponde indemnizarlos. En particular, la Corte ha desarrollado en su jurisprudencia el concepto de daño material y ha establecido que supone “la pérdida o detrimento de los ingresos de las víctimas, los gastos efectuados con motivo de los hechos y las consecuencias de carácter pecuniario que tengan un nexo causal con los hechos del caso. En razón de ello, </w:t>
      </w:r>
      <w:r w:rsidRPr="008A66CA">
        <w:rPr>
          <w:rFonts w:eastAsia="Calibri" w:cs="Times New Roman"/>
          <w:szCs w:val="20"/>
        </w:rPr>
        <w:lastRenderedPageBreak/>
        <w:t>la Corte determinará la pertinencia de otorgar reparaciones pecuniarias y los montos respectivos debidos en este caso.</w:t>
      </w:r>
    </w:p>
    <w:p w14:paraId="36DD0B3B" w14:textId="77777777" w:rsidR="008A66CA" w:rsidRPr="008A66CA" w:rsidRDefault="008A66CA" w:rsidP="008A66CA">
      <w:pPr>
        <w:spacing w:after="0" w:line="240" w:lineRule="auto"/>
        <w:ind w:left="720"/>
        <w:jc w:val="both"/>
        <w:rPr>
          <w:rFonts w:eastAsia="Calibri" w:cs="Times New Roman"/>
          <w:szCs w:val="20"/>
          <w:lang w:val="es-ES_tradnl"/>
        </w:rPr>
      </w:pPr>
    </w:p>
    <w:p w14:paraId="590497EC" w14:textId="77777777" w:rsidR="008A66CA" w:rsidRPr="008A66CA" w:rsidRDefault="008A66CA" w:rsidP="008A66CA">
      <w:pPr>
        <w:numPr>
          <w:ilvl w:val="0"/>
          <w:numId w:val="4"/>
        </w:numPr>
        <w:spacing w:after="0" w:line="240" w:lineRule="auto"/>
        <w:jc w:val="both"/>
        <w:rPr>
          <w:rFonts w:eastAsia="Calibri" w:cs="Times New Roman"/>
          <w:szCs w:val="20"/>
        </w:rPr>
      </w:pPr>
      <w:r w:rsidRPr="008A66CA">
        <w:rPr>
          <w:rFonts w:eastAsia="Calibri" w:cs="Times New Roman"/>
          <w:szCs w:val="20"/>
        </w:rPr>
        <w:t>Respecto al daño material, este Tribunal ha desarrollado en su jurisprudencia que el mismo supone la pérdida o detrimento de los ingresos de las víctimas, los gastos efectuados con motivo de los hechos y las consecuencias de carácter pecuniario que tengan un nexo causal con los hechos del caso</w:t>
      </w:r>
      <w:r w:rsidRPr="008A66CA">
        <w:rPr>
          <w:szCs w:val="20"/>
          <w:vertAlign w:val="superscript"/>
        </w:rPr>
        <w:footnoteReference w:id="215"/>
      </w:r>
      <w:r w:rsidRPr="008A66CA">
        <w:rPr>
          <w:rFonts w:eastAsia="Calibri" w:cs="Times New Roman"/>
          <w:szCs w:val="20"/>
        </w:rPr>
        <w:t xml:space="preserve">. En el presente caso, la Corte hace notar que el representante no ha presentado ninguna prueba juntamente con su escrito de solicitudes y argumentos que demuestre la pérdida o detrimento de ingreso directamente en virtud de los hechos del caso, de manera que la Corte no cuenta con información suficiente para ordenar una indemnización por daño material en favor del señor Montesinos. </w:t>
      </w:r>
    </w:p>
    <w:p w14:paraId="20452023" w14:textId="77777777" w:rsidR="008A66CA" w:rsidRPr="008A66CA" w:rsidRDefault="008A66CA" w:rsidP="008A66CA">
      <w:pPr>
        <w:spacing w:after="0" w:line="240" w:lineRule="auto"/>
        <w:ind w:left="720"/>
        <w:jc w:val="both"/>
        <w:rPr>
          <w:rFonts w:eastAsia="Calibri" w:cs="Times New Roman"/>
          <w:szCs w:val="20"/>
        </w:rPr>
      </w:pPr>
    </w:p>
    <w:p w14:paraId="16EEABAB" w14:textId="77777777" w:rsidR="008A66CA" w:rsidRPr="008A66CA" w:rsidRDefault="008A66CA" w:rsidP="008A66CA">
      <w:pPr>
        <w:numPr>
          <w:ilvl w:val="0"/>
          <w:numId w:val="4"/>
        </w:numPr>
        <w:spacing w:after="0" w:line="240" w:lineRule="auto"/>
        <w:jc w:val="both"/>
        <w:rPr>
          <w:rFonts w:eastAsia="Calibri" w:cs="Times New Roman"/>
          <w:szCs w:val="20"/>
        </w:rPr>
      </w:pPr>
      <w:r w:rsidRPr="008A66CA">
        <w:rPr>
          <w:rFonts w:eastAsia="Calibri" w:cs="Times New Roman"/>
          <w:szCs w:val="20"/>
        </w:rPr>
        <w:t>Por otra parte, respecto al daño inmaterial, la Corte ha establecido en su jurisprudencia que el daño inmaterial puede comprender tanto los sufrimientos y las aflicciones causados por la violación como el menoscabo de valores muy significativos para las personas y cualquier alteración, de carácter no pecuniario, en las condiciones de existencia de las víctimas. Dado que no es posible asignar al daño inmaterial un equivalente monetario preciso, sólo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Pr="008A66CA">
        <w:rPr>
          <w:szCs w:val="20"/>
          <w:vertAlign w:val="superscript"/>
        </w:rPr>
        <w:footnoteReference w:id="216"/>
      </w:r>
      <w:r w:rsidRPr="008A66CA">
        <w:rPr>
          <w:rFonts w:eastAsia="Calibri" w:cs="Times New Roman"/>
          <w:szCs w:val="20"/>
        </w:rPr>
        <w:t xml:space="preserve">. Por ello, considerando las circunstancias del presente caso, así como las restantes consecuencias de orden inmaterial establecidas en la presente Sentencia, la Corte estima pertinente fijar en equidad, por concepto de daño inmaterial, una indemnización equivalente a USD $50.000,00 (cincuenta mil dólares de los Estados Unidos de América) a favor del señor Montesinos Mejía. </w:t>
      </w:r>
    </w:p>
    <w:p w14:paraId="5D3C8780" w14:textId="77777777" w:rsidR="008A66CA" w:rsidRPr="008A66CA" w:rsidRDefault="008A66CA" w:rsidP="008A66CA">
      <w:pPr>
        <w:spacing w:after="0" w:line="240" w:lineRule="auto"/>
        <w:ind w:left="720"/>
        <w:jc w:val="both"/>
        <w:rPr>
          <w:rFonts w:eastAsia="Calibri" w:cs="Times New Roman"/>
          <w:noProof/>
          <w:szCs w:val="20"/>
          <w:lang w:val="es-ES_tradnl"/>
        </w:rPr>
      </w:pPr>
    </w:p>
    <w:p w14:paraId="7627252B" w14:textId="014CDA9E" w:rsidR="008A66CA" w:rsidRPr="008A66CA" w:rsidRDefault="008A66CA" w:rsidP="008A66CA">
      <w:pPr>
        <w:numPr>
          <w:ilvl w:val="0"/>
          <w:numId w:val="4"/>
        </w:numPr>
        <w:spacing w:after="0" w:line="240" w:lineRule="auto"/>
        <w:jc w:val="both"/>
        <w:rPr>
          <w:rFonts w:eastAsia="Calibri" w:cs="Times New Roman"/>
          <w:szCs w:val="20"/>
        </w:rPr>
      </w:pPr>
      <w:r w:rsidRPr="008A66CA">
        <w:rPr>
          <w:rFonts w:eastAsia="Calibri" w:cs="Times New Roman"/>
          <w:szCs w:val="20"/>
        </w:rPr>
        <w:t>Finalmente, la Corte no considera necesario otorgar medidas de reparación económica adicionales en razón de l</w:t>
      </w:r>
      <w:r w:rsidR="00D50D46">
        <w:rPr>
          <w:rFonts w:eastAsia="Calibri" w:cs="Times New Roman"/>
          <w:szCs w:val="20"/>
        </w:rPr>
        <w:t>as otras alegadas afectaciones.</w:t>
      </w:r>
      <w:r w:rsidRPr="008A66CA">
        <w:rPr>
          <w:rFonts w:eastAsia="Calibri" w:cs="Times New Roman"/>
          <w:szCs w:val="20"/>
        </w:rPr>
        <w:t xml:space="preserve"> </w:t>
      </w:r>
    </w:p>
    <w:p w14:paraId="56C9E37F" w14:textId="77777777" w:rsidR="008A66CA" w:rsidRPr="008A66CA" w:rsidRDefault="008A66CA" w:rsidP="008A66CA">
      <w:pPr>
        <w:spacing w:after="0" w:line="240" w:lineRule="auto"/>
        <w:ind w:left="720"/>
        <w:jc w:val="both"/>
        <w:rPr>
          <w:rFonts w:eastAsia="Calibri" w:cs="Times New Roman"/>
          <w:noProof/>
          <w:szCs w:val="20"/>
          <w:lang w:val="es-ES_tradnl"/>
        </w:rPr>
      </w:pPr>
    </w:p>
    <w:p w14:paraId="1A29692A" w14:textId="7585DBEE" w:rsidR="008A66CA" w:rsidRPr="008A66CA" w:rsidRDefault="008A66CA" w:rsidP="008A66CA">
      <w:pPr>
        <w:pStyle w:val="Ttulo2"/>
      </w:pPr>
      <w:bookmarkStart w:id="174" w:name="_Toc27069926"/>
      <w:r w:rsidRPr="008A66CA">
        <w:t>Otras medidas de reparación solicitadas</w:t>
      </w:r>
      <w:bookmarkEnd w:id="174"/>
    </w:p>
    <w:p w14:paraId="41B4248F" w14:textId="77777777" w:rsidR="008A66CA" w:rsidRPr="008A66CA" w:rsidRDefault="008A66CA" w:rsidP="008A66CA">
      <w:pPr>
        <w:spacing w:after="0" w:line="240" w:lineRule="auto"/>
        <w:jc w:val="both"/>
        <w:rPr>
          <w:rFonts w:eastAsia="Calibri" w:cs="Times New Roman"/>
          <w:szCs w:val="20"/>
        </w:rPr>
      </w:pPr>
    </w:p>
    <w:p w14:paraId="36EB538C" w14:textId="77777777" w:rsidR="008A66CA" w:rsidRPr="008A66CA" w:rsidRDefault="008A66CA" w:rsidP="008A66CA">
      <w:pPr>
        <w:numPr>
          <w:ilvl w:val="0"/>
          <w:numId w:val="4"/>
        </w:numPr>
        <w:spacing w:after="0" w:line="240" w:lineRule="auto"/>
        <w:jc w:val="both"/>
        <w:rPr>
          <w:rFonts w:eastAsia="Batang" w:cs="Times"/>
          <w:noProof/>
          <w:szCs w:val="24"/>
          <w:lang w:val="es-ES"/>
        </w:rPr>
      </w:pPr>
      <w:r w:rsidRPr="008A66CA">
        <w:rPr>
          <w:rFonts w:eastAsia="Batang" w:cs="Times"/>
          <w:noProof/>
          <w:szCs w:val="24"/>
          <w:lang w:val="es-ES"/>
        </w:rPr>
        <w:t xml:space="preserve">La </w:t>
      </w:r>
      <w:r w:rsidRPr="008A66CA">
        <w:rPr>
          <w:rFonts w:eastAsia="Batang" w:cs="Times"/>
          <w:b/>
          <w:i/>
          <w:noProof/>
          <w:szCs w:val="24"/>
          <w:lang w:val="es-ES"/>
        </w:rPr>
        <w:t>Comisión</w:t>
      </w:r>
      <w:r w:rsidRPr="008A66CA">
        <w:rPr>
          <w:rFonts w:eastAsia="Batang" w:cs="Times"/>
          <w:b/>
          <w:noProof/>
          <w:szCs w:val="24"/>
          <w:lang w:val="es-ES"/>
        </w:rPr>
        <w:t xml:space="preserve"> </w:t>
      </w:r>
      <w:r w:rsidRPr="008A66CA">
        <w:rPr>
          <w:rFonts w:eastAsia="Batang" w:cs="Times"/>
          <w:noProof/>
          <w:szCs w:val="24"/>
          <w:lang w:val="es-ES"/>
        </w:rPr>
        <w:t xml:space="preserve">solicitó que se adopte las medidas necesarias para evitar que en el futuro se produzcan hechos similares. Especlficamente, desarrollar programas de formación para cuerpos de seguridad, jueces y fiscales, sobre la prohibición absoluta de actos de tortura y tratos crueles, inhumanos o degradantes, así como las obligaciones derivadas de la regla de la exclusión. Asimismo, asegurar que las autoridades competentes estén debidamente capacitadas en cuanto a su obligación de iniciar, de oficio, investigaciones penales frente a denuncia o razón fundada sobre posibles actos de tortura y tratos crueles, inhumanos o degradantes. Igualmente, fortalecer los mecanismos de rendición de cuentas y asegurar su debida aplicación a los funcionarios a cargo del tratamiento de las personas privadas de libertad. </w:t>
      </w:r>
      <w:r w:rsidRPr="008A66CA">
        <w:rPr>
          <w:rFonts w:eastAsia="Calibri" w:cs="Times New Roman"/>
          <w:szCs w:val="20"/>
          <w:lang w:val="es-ES_tradnl"/>
        </w:rPr>
        <w:t xml:space="preserve">El </w:t>
      </w:r>
      <w:r w:rsidRPr="008A66CA">
        <w:rPr>
          <w:rFonts w:eastAsia="Calibri" w:cs="Times New Roman"/>
          <w:b/>
          <w:i/>
          <w:szCs w:val="20"/>
          <w:lang w:val="es-ES_tradnl"/>
        </w:rPr>
        <w:t xml:space="preserve">representante </w:t>
      </w:r>
      <w:r w:rsidRPr="008A66CA">
        <w:rPr>
          <w:rFonts w:eastAsia="Calibri" w:cs="Times New Roman"/>
          <w:szCs w:val="20"/>
          <w:lang w:val="es-ES_tradnl"/>
        </w:rPr>
        <w:t xml:space="preserve">solicitó que se ordene que la República del Ecuador adopte las medidas necesarias para evitar que hechos semejantes se produzcan el futuro y </w:t>
      </w:r>
      <w:r w:rsidRPr="008A66CA">
        <w:rPr>
          <w:rFonts w:eastAsia="Calibri" w:cs="Times New Roman"/>
          <w:noProof/>
          <w:szCs w:val="20"/>
          <w:lang w:val="es-ES_tradnl"/>
        </w:rPr>
        <w:t>que el Estado haga un pedido de disculpas, tanto al señor Montesinos como a su familia por parte del Estado por las violaciones a los derechos humanos. El Estado deberá también designar a la unidad de la policía encargada de la lucha anti drogas con el nombre de Mario Alfonso Montesinos Mejía.</w:t>
      </w:r>
    </w:p>
    <w:p w14:paraId="7CF0F447" w14:textId="77777777" w:rsidR="008A66CA" w:rsidRPr="008A66CA" w:rsidRDefault="008A66CA" w:rsidP="008A66CA">
      <w:pPr>
        <w:spacing w:after="0" w:line="240" w:lineRule="auto"/>
        <w:ind w:left="720"/>
        <w:jc w:val="both"/>
        <w:rPr>
          <w:rFonts w:eastAsia="Calibri" w:cs="Times New Roman"/>
          <w:noProof/>
          <w:szCs w:val="20"/>
          <w:lang w:val="es-ES_tradnl"/>
        </w:rPr>
      </w:pPr>
    </w:p>
    <w:p w14:paraId="42D84081" w14:textId="77777777" w:rsidR="008A66CA" w:rsidRPr="008A66CA" w:rsidRDefault="008A66CA" w:rsidP="008A66CA">
      <w:pPr>
        <w:numPr>
          <w:ilvl w:val="0"/>
          <w:numId w:val="4"/>
        </w:numPr>
        <w:spacing w:after="0" w:line="240" w:lineRule="auto"/>
        <w:jc w:val="both"/>
        <w:rPr>
          <w:rFonts w:eastAsia="Calibri" w:cs="Times New Roman"/>
          <w:szCs w:val="20"/>
        </w:rPr>
      </w:pPr>
      <w:r w:rsidRPr="008A66CA">
        <w:rPr>
          <w:rFonts w:eastAsia="Calibri" w:cs="Times New Roman"/>
          <w:szCs w:val="20"/>
        </w:rPr>
        <w:t xml:space="preserve">La </w:t>
      </w:r>
      <w:r w:rsidRPr="008A66CA">
        <w:rPr>
          <w:rFonts w:eastAsia="Calibri" w:cs="Times New Roman"/>
          <w:b/>
          <w:i/>
          <w:szCs w:val="20"/>
        </w:rPr>
        <w:t>Corte</w:t>
      </w:r>
      <w:r w:rsidRPr="008A66CA">
        <w:rPr>
          <w:rFonts w:eastAsia="Calibri" w:cs="Times New Roman"/>
          <w:szCs w:val="20"/>
        </w:rPr>
        <w:t xml:space="preserve"> no considera necesario ordenar medidas adicionales a las ya ordenadas anteriormente.</w:t>
      </w:r>
    </w:p>
    <w:p w14:paraId="7D2F6050" w14:textId="77777777" w:rsidR="008A66CA" w:rsidRPr="008A66CA" w:rsidRDefault="008A66CA" w:rsidP="008A66CA">
      <w:pPr>
        <w:spacing w:after="0" w:line="240" w:lineRule="auto"/>
        <w:jc w:val="both"/>
        <w:rPr>
          <w:rFonts w:eastAsia="Calibri" w:cs="Times New Roman"/>
          <w:szCs w:val="20"/>
        </w:rPr>
      </w:pPr>
    </w:p>
    <w:p w14:paraId="1D8ED9E5" w14:textId="11DB879B" w:rsidR="008A66CA" w:rsidRPr="008A66CA" w:rsidRDefault="008A66CA" w:rsidP="008A66CA">
      <w:pPr>
        <w:pStyle w:val="Ttulo2"/>
      </w:pPr>
      <w:bookmarkStart w:id="175" w:name="_Toc506984146"/>
      <w:bookmarkStart w:id="176" w:name="_Toc18768936"/>
      <w:bookmarkStart w:id="177" w:name="_Toc18768956"/>
      <w:bookmarkStart w:id="178" w:name="_Toc18769660"/>
      <w:bookmarkStart w:id="179" w:name="_Toc27069927"/>
      <w:r w:rsidRPr="008A66CA">
        <w:lastRenderedPageBreak/>
        <w:t>Costas y Gastos</w:t>
      </w:r>
      <w:bookmarkEnd w:id="175"/>
      <w:bookmarkEnd w:id="176"/>
      <w:bookmarkEnd w:id="177"/>
      <w:bookmarkEnd w:id="178"/>
      <w:bookmarkEnd w:id="179"/>
    </w:p>
    <w:p w14:paraId="0C49F159" w14:textId="77777777" w:rsidR="008A66CA" w:rsidRPr="008A66CA" w:rsidRDefault="008A66CA" w:rsidP="008A66CA">
      <w:pPr>
        <w:spacing w:after="0" w:line="240" w:lineRule="auto"/>
        <w:jc w:val="both"/>
        <w:rPr>
          <w:rFonts w:eastAsia="Calibri" w:cs="Times New Roman"/>
          <w:szCs w:val="20"/>
        </w:rPr>
      </w:pPr>
    </w:p>
    <w:p w14:paraId="0BBC9DEE" w14:textId="201B7271" w:rsidR="008A66CA" w:rsidRPr="008A66CA" w:rsidRDefault="008A66CA" w:rsidP="008A66CA">
      <w:pPr>
        <w:numPr>
          <w:ilvl w:val="0"/>
          <w:numId w:val="4"/>
        </w:numPr>
        <w:spacing w:after="0" w:line="240" w:lineRule="auto"/>
        <w:jc w:val="both"/>
        <w:textAlignment w:val="baseline"/>
        <w:rPr>
          <w:rFonts w:eastAsia="Calibri"/>
          <w:b/>
          <w:iCs/>
          <w:szCs w:val="20"/>
        </w:rPr>
      </w:pPr>
      <w:r w:rsidRPr="008A66CA">
        <w:rPr>
          <w:rFonts w:eastAsia="Calibri"/>
          <w:iCs/>
          <w:szCs w:val="20"/>
          <w:lang w:val="es-ES"/>
        </w:rPr>
        <w:t xml:space="preserve">El </w:t>
      </w:r>
      <w:r w:rsidRPr="008A66CA">
        <w:rPr>
          <w:rFonts w:eastAsia="Calibri"/>
          <w:b/>
          <w:i/>
          <w:iCs/>
          <w:szCs w:val="20"/>
          <w:lang w:val="es-ES"/>
        </w:rPr>
        <w:t>representante</w:t>
      </w:r>
      <w:r w:rsidRPr="008A66CA">
        <w:rPr>
          <w:rFonts w:eastAsia="Calibri"/>
          <w:iCs/>
          <w:szCs w:val="20"/>
          <w:lang w:val="es-ES"/>
        </w:rPr>
        <w:t xml:space="preserve"> solicitó e</w:t>
      </w:r>
      <w:r w:rsidRPr="008A66CA">
        <w:rPr>
          <w:rFonts w:eastAsia="Calibri" w:cs="Times New Roman"/>
          <w:szCs w:val="20"/>
        </w:rPr>
        <w:t xml:space="preserve">l pago de las costas y gastos </w:t>
      </w:r>
      <w:r w:rsidR="008C79E8" w:rsidRPr="008A66CA">
        <w:rPr>
          <w:rFonts w:eastAsia="Calibri" w:cs="Times New Roman"/>
          <w:szCs w:val="20"/>
        </w:rPr>
        <w:t>incurridos,</w:t>
      </w:r>
      <w:r w:rsidRPr="008A66CA">
        <w:rPr>
          <w:rFonts w:eastAsia="Calibri" w:cs="Times New Roman"/>
          <w:szCs w:val="20"/>
        </w:rPr>
        <w:t xml:space="preserve"> así como los haberes por la defensa profesional tanto a nivel interno como internacional, en equidad. Indicó que los gastos incurridos en la defensa a nivel doméstico deberían tener un valor de al menos USD $100.000 y para el caso de la defensa en el Sistema Interamericano el valor fijado debería ser de USD $100.000</w:t>
      </w:r>
      <w:r w:rsidRPr="008A66CA">
        <w:rPr>
          <w:rFonts w:eastAsia="Calibri"/>
          <w:iCs/>
          <w:szCs w:val="20"/>
          <w:lang w:val="es-ES"/>
        </w:rPr>
        <w:t>.</w:t>
      </w:r>
    </w:p>
    <w:p w14:paraId="5E036895" w14:textId="77777777" w:rsidR="008A66CA" w:rsidRPr="008A66CA" w:rsidRDefault="008A66CA" w:rsidP="008A66CA">
      <w:pPr>
        <w:spacing w:after="0" w:line="240" w:lineRule="auto"/>
        <w:jc w:val="both"/>
        <w:textAlignment w:val="baseline"/>
        <w:rPr>
          <w:rFonts w:eastAsia="Calibri"/>
          <w:b/>
          <w:iCs/>
          <w:szCs w:val="20"/>
        </w:rPr>
      </w:pPr>
    </w:p>
    <w:p w14:paraId="43D01404" w14:textId="77777777" w:rsidR="008A66CA" w:rsidRPr="008A66CA" w:rsidRDefault="008A66CA" w:rsidP="008A66CA">
      <w:pPr>
        <w:numPr>
          <w:ilvl w:val="0"/>
          <w:numId w:val="4"/>
        </w:numPr>
        <w:spacing w:after="0" w:line="240" w:lineRule="auto"/>
        <w:jc w:val="both"/>
        <w:textAlignment w:val="baseline"/>
        <w:rPr>
          <w:rFonts w:eastAsia="Calibri"/>
          <w:b/>
          <w:iCs/>
          <w:szCs w:val="20"/>
        </w:rPr>
      </w:pPr>
      <w:r w:rsidRPr="008A66CA">
        <w:rPr>
          <w:rFonts w:eastAsia="Calibri"/>
          <w:iCs/>
          <w:szCs w:val="20"/>
          <w:lang w:val="es-ES"/>
        </w:rPr>
        <w:t xml:space="preserve">El </w:t>
      </w:r>
      <w:r w:rsidRPr="008A66CA">
        <w:rPr>
          <w:rFonts w:eastAsia="Calibri"/>
          <w:b/>
          <w:i/>
          <w:iCs/>
          <w:szCs w:val="20"/>
          <w:lang w:val="es-ES"/>
        </w:rPr>
        <w:t xml:space="preserve">Estado </w:t>
      </w:r>
      <w:r w:rsidRPr="008A66CA">
        <w:rPr>
          <w:rFonts w:eastAsia="Calibri"/>
          <w:iCs/>
          <w:szCs w:val="20"/>
          <w:lang w:val="es-ES"/>
        </w:rPr>
        <w:t xml:space="preserve">se refirió al </w:t>
      </w:r>
      <w:r w:rsidRPr="008A66CA">
        <w:rPr>
          <w:rFonts w:eastAsia="Calibri"/>
          <w:i/>
          <w:iCs/>
          <w:szCs w:val="20"/>
          <w:lang w:val="es-ES"/>
        </w:rPr>
        <w:t xml:space="preserve">quantum </w:t>
      </w:r>
      <w:r w:rsidRPr="008A66CA">
        <w:rPr>
          <w:rFonts w:eastAsia="Calibri"/>
          <w:iCs/>
          <w:szCs w:val="20"/>
          <w:lang w:val="es-ES"/>
        </w:rPr>
        <w:t>razonable de la indemnización y consideró que la cuantía reclamada es excesiva, además de no ser sustentada por ningún elemento probatorio. El Estado solicitó que se proceda a un desglose riguroso de los rubros que el representante de la víctima pretende incluir en las costas y gastos reclamados, y que se fije una cantidad razonable.</w:t>
      </w:r>
    </w:p>
    <w:p w14:paraId="209CA8E8" w14:textId="77777777" w:rsidR="008A66CA" w:rsidRPr="008A66CA" w:rsidRDefault="008A66CA" w:rsidP="008A66CA">
      <w:pPr>
        <w:spacing w:after="0" w:line="240" w:lineRule="auto"/>
        <w:jc w:val="both"/>
        <w:textAlignment w:val="baseline"/>
        <w:rPr>
          <w:rFonts w:eastAsia="Calibri" w:cs="Times New Roman"/>
          <w:b/>
          <w:iCs/>
          <w:szCs w:val="20"/>
          <w:lang w:eastAsia="zh-CN"/>
        </w:rPr>
      </w:pPr>
    </w:p>
    <w:p w14:paraId="3508A2C0" w14:textId="77777777" w:rsidR="008A66CA" w:rsidRPr="008A66CA" w:rsidRDefault="008A66CA" w:rsidP="008A66CA">
      <w:pPr>
        <w:numPr>
          <w:ilvl w:val="0"/>
          <w:numId w:val="4"/>
        </w:numPr>
        <w:spacing w:after="0" w:line="240" w:lineRule="auto"/>
        <w:jc w:val="both"/>
        <w:textAlignment w:val="baseline"/>
        <w:rPr>
          <w:rFonts w:eastAsia="Calibri" w:cs="Times New Roman"/>
          <w:b/>
          <w:iCs/>
          <w:szCs w:val="20"/>
          <w:lang w:val="es-ES" w:eastAsia="zh-CN"/>
        </w:rPr>
      </w:pPr>
      <w:r w:rsidRPr="008A66CA">
        <w:rPr>
          <w:rFonts w:eastAsia="Calibri" w:cs="Times New Roman"/>
          <w:szCs w:val="20"/>
          <w:lang w:val="es-ES_tradnl" w:eastAsia="zh-CN"/>
        </w:rPr>
        <w:t xml:space="preserve">La </w:t>
      </w:r>
      <w:r w:rsidRPr="008A66CA">
        <w:rPr>
          <w:rFonts w:eastAsia="Calibri" w:cs="Times New Roman"/>
          <w:b/>
          <w:i/>
          <w:szCs w:val="20"/>
          <w:lang w:val="es-ES_tradnl" w:eastAsia="zh-CN"/>
        </w:rPr>
        <w:t>Corte</w:t>
      </w:r>
      <w:r w:rsidRPr="008A66CA">
        <w:rPr>
          <w:rFonts w:eastAsia="Calibri" w:cs="Times New Roman"/>
          <w:szCs w:val="20"/>
          <w:lang w:val="es-ES_tradnl" w:eastAsia="zh-CN"/>
        </w:rPr>
        <w:t xml:space="preserve"> reitera que, conforme a su jurisprudencia</w:t>
      </w:r>
      <w:r w:rsidRPr="008A66CA">
        <w:rPr>
          <w:rFonts w:eastAsia="Calibri" w:cs="Times New Roman"/>
          <w:szCs w:val="20"/>
          <w:vertAlign w:val="superscript"/>
          <w:lang w:val="es-ES_tradnl" w:eastAsia="zh-CN"/>
        </w:rPr>
        <w:footnoteReference w:id="217"/>
      </w:r>
      <w:r w:rsidRPr="008A66CA">
        <w:rPr>
          <w:rFonts w:eastAsia="Calibri" w:cs="Times New Roman"/>
          <w:szCs w:val="20"/>
          <w:lang w:val="es-ES_tradnl" w:eastAsia="zh-CN"/>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Pr="008A66CA">
        <w:rPr>
          <w:rFonts w:eastAsia="Calibri" w:cs="Times New Roman"/>
          <w:i/>
          <w:szCs w:val="20"/>
          <w:lang w:val="es-ES_tradnl" w:eastAsia="zh-CN"/>
        </w:rPr>
        <w:t>quantum</w:t>
      </w:r>
      <w:r w:rsidRPr="008A66CA">
        <w:rPr>
          <w:rFonts w:eastAsia="Calibri" w:cs="Times New Roman"/>
          <w:szCs w:val="20"/>
          <w:lang w:val="es-ES_tradnl" w:eastAsia="zh-CN"/>
        </w:rPr>
        <w:t xml:space="preserve"> sea razonable</w:t>
      </w:r>
      <w:r w:rsidRPr="008A66CA">
        <w:rPr>
          <w:rFonts w:eastAsia="Calibri" w:cs="Times New Roman"/>
          <w:szCs w:val="20"/>
          <w:vertAlign w:val="superscript"/>
          <w:lang w:val="es-ES_tradnl" w:eastAsia="zh-CN"/>
        </w:rPr>
        <w:footnoteReference w:id="218"/>
      </w:r>
      <w:r w:rsidRPr="008A66CA">
        <w:rPr>
          <w:rFonts w:eastAsia="Calibri" w:cs="Times New Roman"/>
          <w:szCs w:val="20"/>
          <w:lang w:val="es-ES_tradnl" w:eastAsia="zh-CN"/>
        </w:rPr>
        <w:t>.</w:t>
      </w:r>
    </w:p>
    <w:p w14:paraId="27586AC1" w14:textId="77777777" w:rsidR="008A66CA" w:rsidRPr="008A66CA" w:rsidRDefault="008A66CA" w:rsidP="008A66CA">
      <w:pPr>
        <w:spacing w:after="0" w:line="240" w:lineRule="auto"/>
        <w:ind w:left="720"/>
        <w:jc w:val="both"/>
        <w:rPr>
          <w:rFonts w:eastAsia="Calibri" w:cs="Times"/>
          <w:noProof/>
          <w:szCs w:val="20"/>
          <w:lang w:val="es-ES_tradnl"/>
        </w:rPr>
      </w:pPr>
    </w:p>
    <w:p w14:paraId="06044123" w14:textId="77777777" w:rsidR="008A66CA" w:rsidRPr="008A66CA" w:rsidRDefault="008A66CA" w:rsidP="008A66CA">
      <w:pPr>
        <w:numPr>
          <w:ilvl w:val="0"/>
          <w:numId w:val="4"/>
        </w:numPr>
        <w:spacing w:after="0" w:line="240" w:lineRule="auto"/>
        <w:jc w:val="both"/>
        <w:textAlignment w:val="baseline"/>
        <w:rPr>
          <w:rFonts w:eastAsia="Calibri" w:cs="Times New Roman"/>
          <w:b/>
          <w:iCs/>
          <w:szCs w:val="20"/>
          <w:lang w:val="es-ES" w:eastAsia="zh-CN"/>
        </w:rPr>
      </w:pPr>
      <w:r w:rsidRPr="008A66CA">
        <w:rPr>
          <w:rFonts w:eastAsia="Calibri" w:cs="Times New Roman"/>
          <w:szCs w:val="20"/>
          <w:lang w:val="es-ES_tradnl" w:eastAsia="zh-CN"/>
        </w:rPr>
        <w:t>Este Tribunal ha señalado que “las pretensiones de las víctimas o sus representantes en materia de costas y gastos, y las pruebas que las sustentan, deben presentarse a la Corte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w:t>
      </w:r>
      <w:r w:rsidRPr="008A66CA">
        <w:rPr>
          <w:rFonts w:eastAsia="Calibri" w:cs="Times New Roman"/>
          <w:szCs w:val="20"/>
          <w:vertAlign w:val="superscript"/>
          <w:lang w:val="es-ES_tradnl" w:eastAsia="zh-CN"/>
        </w:rPr>
        <w:footnoteReference w:id="219"/>
      </w:r>
      <w:r w:rsidRPr="008A66CA">
        <w:rPr>
          <w:rFonts w:eastAsia="Calibri" w:cs="Times New Roman"/>
          <w:szCs w:val="20"/>
          <w:lang w:val="es-ES_tradnl" w:eastAsia="zh-CN"/>
        </w:rPr>
        <w:t>.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8A66CA">
        <w:rPr>
          <w:rFonts w:eastAsia="Calibri" w:cs="Times New Roman"/>
          <w:szCs w:val="20"/>
          <w:vertAlign w:val="superscript"/>
          <w:lang w:val="es-ES_tradnl" w:eastAsia="zh-CN"/>
        </w:rPr>
        <w:footnoteReference w:id="220"/>
      </w:r>
      <w:r w:rsidRPr="008A66CA">
        <w:rPr>
          <w:rFonts w:eastAsia="Calibri" w:cs="Times New Roman"/>
          <w:szCs w:val="20"/>
          <w:lang w:val="es-ES_tradnl" w:eastAsia="zh-CN"/>
        </w:rPr>
        <w:t>.</w:t>
      </w:r>
    </w:p>
    <w:p w14:paraId="6C439914" w14:textId="77777777" w:rsidR="008A66CA" w:rsidRPr="008A66CA" w:rsidRDefault="008A66CA" w:rsidP="008A66CA">
      <w:pPr>
        <w:spacing w:after="0" w:line="240" w:lineRule="auto"/>
        <w:ind w:left="720"/>
        <w:jc w:val="both"/>
        <w:rPr>
          <w:rFonts w:eastAsia="Calibri" w:cs="Times"/>
          <w:noProof/>
          <w:szCs w:val="20"/>
          <w:lang w:val="es-ES_tradnl"/>
        </w:rPr>
      </w:pPr>
    </w:p>
    <w:p w14:paraId="78548B66" w14:textId="77777777" w:rsidR="008A66CA" w:rsidRPr="008A66CA" w:rsidRDefault="008A66CA" w:rsidP="008A66CA">
      <w:pPr>
        <w:numPr>
          <w:ilvl w:val="0"/>
          <w:numId w:val="4"/>
        </w:numPr>
        <w:spacing w:after="0" w:line="240" w:lineRule="auto"/>
        <w:jc w:val="both"/>
        <w:rPr>
          <w:rFonts w:cs="Arial"/>
          <w:b/>
          <w:szCs w:val="20"/>
        </w:rPr>
      </w:pPr>
      <w:r w:rsidRPr="008A66CA">
        <w:rPr>
          <w:szCs w:val="20"/>
        </w:rPr>
        <w:t xml:space="preserve">En el presente caso, no consta en el expediente respaldo probatorio preciso en relación con las costas y gastos en los cuales incurrió el señor Montesinos o su representante respecto a la tramitación del caso en el ámbito doméstico o ante la Corte. Sin embargo, la Corte considera que tales trámites necesariamente implicaron erogaciones pecuniarias, por lo que determina que el Estado debe entregar al representante la cantidad de US$ 15.000,00 (quince mil dólares de los Estados Unidos de América) por concepto de costas y gastos. Dicha cantidad deberá ser entregada directamente al representante. En la etapa de supervisión de </w:t>
      </w:r>
      <w:r w:rsidRPr="008A66CA">
        <w:rPr>
          <w:szCs w:val="20"/>
        </w:rPr>
        <w:lastRenderedPageBreak/>
        <w:t>cumplimiento de la presente Sentencia, la Corte podrá disponer que el Estado reembolse a la víctima o su representante los gastos razonables en que incurra en dicha etapa procesal</w:t>
      </w:r>
      <w:r w:rsidRPr="008A66CA">
        <w:rPr>
          <w:rFonts w:ascii="Times New Roman" w:hAnsi="Times New Roman" w:cs="Times New Roman"/>
          <w:szCs w:val="20"/>
          <w:vertAlign w:val="superscript"/>
        </w:rPr>
        <w:footnoteReference w:id="221"/>
      </w:r>
      <w:r w:rsidRPr="008A66CA">
        <w:rPr>
          <w:szCs w:val="20"/>
        </w:rPr>
        <w:t>.</w:t>
      </w:r>
    </w:p>
    <w:p w14:paraId="5E74C110" w14:textId="77777777" w:rsidR="008A66CA" w:rsidRPr="008A66CA" w:rsidRDefault="008A66CA" w:rsidP="008A66CA">
      <w:pPr>
        <w:spacing w:after="0" w:line="240" w:lineRule="auto"/>
        <w:jc w:val="both"/>
        <w:textAlignment w:val="baseline"/>
        <w:rPr>
          <w:rFonts w:eastAsia="Calibri" w:cs="Times New Roman"/>
          <w:iCs/>
          <w:szCs w:val="20"/>
          <w:lang w:eastAsia="zh-CN"/>
        </w:rPr>
      </w:pPr>
    </w:p>
    <w:p w14:paraId="401F6A24" w14:textId="4FE9DFFC" w:rsidR="008A66CA" w:rsidRPr="008A66CA" w:rsidRDefault="008A66CA" w:rsidP="008A66CA">
      <w:pPr>
        <w:pStyle w:val="Ttulo2"/>
      </w:pPr>
      <w:bookmarkStart w:id="180" w:name="_Toc18768937"/>
      <w:bookmarkStart w:id="181" w:name="_Toc18768957"/>
      <w:bookmarkStart w:id="182" w:name="_Toc18769661"/>
      <w:bookmarkStart w:id="183" w:name="_Toc27069928"/>
      <w:r w:rsidRPr="008A66CA">
        <w:t>Reintegro de los gastos al Fondo de Asistencia Legal de Víctimas</w:t>
      </w:r>
      <w:bookmarkEnd w:id="180"/>
      <w:bookmarkEnd w:id="181"/>
      <w:bookmarkEnd w:id="182"/>
      <w:bookmarkEnd w:id="183"/>
    </w:p>
    <w:p w14:paraId="1037AD10" w14:textId="77777777" w:rsidR="008A66CA" w:rsidRPr="008A66CA" w:rsidRDefault="008A66CA" w:rsidP="008A66CA">
      <w:pPr>
        <w:spacing w:after="0" w:line="240" w:lineRule="auto"/>
        <w:jc w:val="both"/>
        <w:rPr>
          <w:rFonts w:eastAsia="Batang" w:cs="Times"/>
          <w:szCs w:val="20"/>
        </w:rPr>
      </w:pPr>
    </w:p>
    <w:p w14:paraId="42F70B50" w14:textId="77777777" w:rsidR="008A66CA" w:rsidRPr="008A66CA" w:rsidRDefault="008A66CA" w:rsidP="008A66CA">
      <w:pPr>
        <w:numPr>
          <w:ilvl w:val="0"/>
          <w:numId w:val="4"/>
        </w:numPr>
        <w:spacing w:after="0" w:line="240" w:lineRule="auto"/>
        <w:jc w:val="both"/>
        <w:rPr>
          <w:rFonts w:eastAsia="Batang" w:cs="Times"/>
          <w:szCs w:val="20"/>
        </w:rPr>
      </w:pPr>
      <w:r w:rsidRPr="008A66CA">
        <w:rPr>
          <w:rFonts w:eastAsia="Batang" w:cs="Times"/>
          <w:szCs w:val="20"/>
        </w:rPr>
        <w:t xml:space="preserve">En el presente caso, mediante nota de Secretaría de 31 de octubre de 2018, la Corte resolvió declarar procedente la solicitud realizada para acogerse al Fondo de Asistencia Legal de Víctimas. Asimismo, mediante la Resolución de convocatoria a audiencia de 25 de junio de 2019, el Presidente dispuso que la asistencia económica estaría asignada para cubrir los gastos de viaje y estadía necesarios para que la testigo Marcia González Rubio compareciera ante el Tribunal a rendir su declaración en la audiencia pública celebrada en el presente caso. Asimismo, en dicha Resolución la Presidencia determinó que los gastos razonables de formalización y envío del affidávit de la presunta víctima Mario Montesinos Mejía podría ser cubierto con recursos del Fondo de Asistencia Legal de Víctimas. </w:t>
      </w:r>
    </w:p>
    <w:p w14:paraId="1A79E75D" w14:textId="77777777" w:rsidR="008A66CA" w:rsidRPr="008A66CA" w:rsidRDefault="008A66CA" w:rsidP="008A66CA">
      <w:pPr>
        <w:spacing w:after="0" w:line="240" w:lineRule="auto"/>
        <w:jc w:val="both"/>
        <w:rPr>
          <w:rFonts w:eastAsia="Batang" w:cs="Times"/>
          <w:szCs w:val="20"/>
        </w:rPr>
      </w:pPr>
    </w:p>
    <w:p w14:paraId="51AD9275" w14:textId="77777777" w:rsidR="008A66CA" w:rsidRPr="008A66CA" w:rsidRDefault="008A66CA" w:rsidP="008A66CA">
      <w:pPr>
        <w:numPr>
          <w:ilvl w:val="0"/>
          <w:numId w:val="4"/>
        </w:numPr>
        <w:spacing w:after="0" w:line="240" w:lineRule="auto"/>
        <w:jc w:val="both"/>
        <w:rPr>
          <w:rFonts w:eastAsia="Batang" w:cs="Times"/>
          <w:szCs w:val="20"/>
        </w:rPr>
      </w:pPr>
      <w:r w:rsidRPr="008A66CA">
        <w:rPr>
          <w:rFonts w:eastAsia="Batang" w:cs="Times"/>
          <w:szCs w:val="20"/>
        </w:rPr>
        <w:t>El 23 de octubre de 2019 fue remitido al Estado un informe de erogaciones según lo dispuesto en el artículo 5 del Reglamento de la Corte sobre el funcionamiento del referido Fondo. De esta forma, el Estado tuvo la oportunidad de presentar sus observaciones sobre las erogaciones realizadas en el presente caso, las cuales ascendieron a la suma de USD $176.00</w:t>
      </w:r>
      <w:r w:rsidRPr="008A66CA">
        <w:rPr>
          <w:rFonts w:eastAsia="Batang" w:cs="Times"/>
          <w:szCs w:val="20"/>
          <w:highlight w:val="yellow"/>
        </w:rPr>
        <w:t xml:space="preserve"> </w:t>
      </w:r>
      <w:r w:rsidRPr="008A66CA">
        <w:rPr>
          <w:rFonts w:eastAsia="Batang" w:cs="Times"/>
          <w:szCs w:val="20"/>
        </w:rPr>
        <w:t>(ciento y setenta y seis dólares de los Estados Unidos de América). El Estado no presentó observaciones sobre dichas erogaciones.</w:t>
      </w:r>
    </w:p>
    <w:p w14:paraId="0AD86AC6" w14:textId="77777777" w:rsidR="008A66CA" w:rsidRPr="008A66CA" w:rsidRDefault="008A66CA" w:rsidP="008A66CA">
      <w:pPr>
        <w:spacing w:after="0" w:line="240" w:lineRule="auto"/>
        <w:jc w:val="both"/>
        <w:rPr>
          <w:rFonts w:eastAsia="Batang" w:cs="Times"/>
          <w:szCs w:val="20"/>
          <w:lang w:val="es-ES_tradnl"/>
        </w:rPr>
      </w:pPr>
    </w:p>
    <w:p w14:paraId="2B84E05C" w14:textId="77777777" w:rsidR="008A66CA" w:rsidRPr="008A66CA" w:rsidRDefault="008A66CA" w:rsidP="008A66CA">
      <w:pPr>
        <w:numPr>
          <w:ilvl w:val="0"/>
          <w:numId w:val="4"/>
        </w:numPr>
        <w:spacing w:after="0" w:line="240" w:lineRule="auto"/>
        <w:jc w:val="both"/>
        <w:rPr>
          <w:rFonts w:eastAsia="Batang" w:cs="Times"/>
          <w:szCs w:val="20"/>
        </w:rPr>
      </w:pPr>
      <w:r w:rsidRPr="008A66CA">
        <w:rPr>
          <w:rFonts w:eastAsia="Batang" w:cs="Times"/>
          <w:szCs w:val="20"/>
        </w:rPr>
        <w:t>En razón de las violaciones declaradas en la presente Sentencia y del cumplimiento de los requisitos para acogerse al Fondo de Asistencia de la Corte, este Tribunal ordena al Estado el reintegro a dicho Fondo de la cantidad de USD $176.00 (ciento y setenta y seis dólares de los Estados Unidos de América) por los gastos incurridos. Este monto deberá ser reintegrado en el plazo de seis meses, contados a partir de la notificación de la presenta Sentencia.</w:t>
      </w:r>
    </w:p>
    <w:p w14:paraId="239FE644" w14:textId="77777777" w:rsidR="008A66CA" w:rsidRPr="008A66CA" w:rsidRDefault="008A66CA" w:rsidP="008A66CA">
      <w:pPr>
        <w:spacing w:after="0" w:line="240" w:lineRule="auto"/>
        <w:jc w:val="both"/>
        <w:rPr>
          <w:rFonts w:eastAsia="Batang" w:cs="Times"/>
          <w:i/>
          <w:szCs w:val="20"/>
        </w:rPr>
      </w:pPr>
    </w:p>
    <w:p w14:paraId="48518510" w14:textId="76686952" w:rsidR="008A66CA" w:rsidRPr="008A66CA" w:rsidRDefault="008A66CA" w:rsidP="008A66CA">
      <w:pPr>
        <w:pStyle w:val="Ttulo2"/>
      </w:pPr>
      <w:bookmarkStart w:id="184" w:name="_Toc18768938"/>
      <w:bookmarkStart w:id="185" w:name="_Toc18768958"/>
      <w:bookmarkStart w:id="186" w:name="_Toc18769662"/>
      <w:bookmarkStart w:id="187" w:name="_Toc27069929"/>
      <w:r w:rsidRPr="008A66CA">
        <w:t>Modalidad de cumplimiento de los pagos ordenados</w:t>
      </w:r>
      <w:bookmarkEnd w:id="184"/>
      <w:bookmarkEnd w:id="185"/>
      <w:bookmarkEnd w:id="186"/>
      <w:bookmarkEnd w:id="187"/>
    </w:p>
    <w:p w14:paraId="7A6A7FCA" w14:textId="77777777" w:rsidR="008A66CA" w:rsidRPr="008A66CA" w:rsidRDefault="008A66CA" w:rsidP="008A66CA">
      <w:pPr>
        <w:spacing w:after="0" w:line="240" w:lineRule="auto"/>
        <w:jc w:val="both"/>
        <w:rPr>
          <w:rFonts w:eastAsia="Calibri" w:cs="Times New Roman"/>
          <w:iCs/>
          <w:szCs w:val="20"/>
        </w:rPr>
      </w:pPr>
    </w:p>
    <w:p w14:paraId="62B56570" w14:textId="77777777" w:rsidR="008A66CA" w:rsidRPr="008A66CA" w:rsidRDefault="008A66CA" w:rsidP="008A66CA">
      <w:pPr>
        <w:numPr>
          <w:ilvl w:val="0"/>
          <w:numId w:val="4"/>
        </w:numPr>
        <w:spacing w:after="0" w:line="240" w:lineRule="auto"/>
        <w:jc w:val="both"/>
        <w:rPr>
          <w:rFonts w:cs="Vrinda"/>
          <w:szCs w:val="20"/>
          <w:lang w:bidi="en-US"/>
        </w:rPr>
      </w:pPr>
      <w:bookmarkStart w:id="188" w:name="_Ref512872975"/>
      <w:r w:rsidRPr="008A66CA">
        <w:rPr>
          <w:szCs w:val="20"/>
        </w:rPr>
        <w:t>El Estado deberá efectuar el pago de las indemnizaciones por concepto de daño material e inmaterial y el reintegro de costas y gastos establecidos en la presente Sentencia directamente a la persona indicada en la misma, dentro del plazo de un año contado a partir de la notificación de la presente Sentencia</w:t>
      </w:r>
      <w:bookmarkStart w:id="189" w:name="_Ref469601153"/>
      <w:bookmarkEnd w:id="188"/>
      <w:r w:rsidRPr="008A66CA">
        <w:rPr>
          <w:szCs w:val="20"/>
        </w:rPr>
        <w:t>, sin perjuicio de que pueda adelantar el pago completo en un plazo menor.</w:t>
      </w:r>
    </w:p>
    <w:p w14:paraId="640159AB" w14:textId="77777777" w:rsidR="008A66CA" w:rsidRPr="008A66CA" w:rsidRDefault="008A66CA" w:rsidP="008A66CA">
      <w:pPr>
        <w:spacing w:after="0" w:line="240" w:lineRule="auto"/>
        <w:jc w:val="both"/>
        <w:rPr>
          <w:rFonts w:cs="Vrinda"/>
          <w:szCs w:val="20"/>
          <w:lang w:bidi="en-US"/>
        </w:rPr>
      </w:pPr>
    </w:p>
    <w:p w14:paraId="22D9E91D" w14:textId="77777777" w:rsidR="008A66CA" w:rsidRPr="008A66CA" w:rsidRDefault="008A66CA" w:rsidP="008A66CA">
      <w:pPr>
        <w:numPr>
          <w:ilvl w:val="0"/>
          <w:numId w:val="4"/>
        </w:numPr>
        <w:spacing w:after="0" w:line="240" w:lineRule="auto"/>
        <w:jc w:val="both"/>
        <w:rPr>
          <w:rFonts w:cs="Vrinda"/>
          <w:szCs w:val="20"/>
          <w:lang w:bidi="en-US"/>
        </w:rPr>
      </w:pPr>
      <w:r w:rsidRPr="008A66CA">
        <w:rPr>
          <w:szCs w:val="20"/>
        </w:rPr>
        <w:t>En caso de que el beneficiario haya fallecido o fallezca antes de que les sea entregada la cantidad respectiva, esta se entregará directamente a sus derechohabientes, conforme al derecho interno aplicable.</w:t>
      </w:r>
      <w:bookmarkEnd w:id="189"/>
    </w:p>
    <w:p w14:paraId="1CD0B7E8" w14:textId="77777777" w:rsidR="008A66CA" w:rsidRPr="008A66CA" w:rsidRDefault="008A66CA" w:rsidP="008A66CA">
      <w:pPr>
        <w:spacing w:after="0" w:line="240" w:lineRule="auto"/>
        <w:jc w:val="both"/>
        <w:rPr>
          <w:rFonts w:cs="Vrinda"/>
          <w:szCs w:val="20"/>
          <w:lang w:bidi="en-US"/>
        </w:rPr>
      </w:pPr>
    </w:p>
    <w:p w14:paraId="0E2C05DE" w14:textId="77777777" w:rsidR="008A66CA" w:rsidRPr="008A66CA" w:rsidRDefault="008A66CA" w:rsidP="008A66CA">
      <w:pPr>
        <w:numPr>
          <w:ilvl w:val="0"/>
          <w:numId w:val="4"/>
        </w:numPr>
        <w:spacing w:after="0" w:line="240" w:lineRule="auto"/>
        <w:jc w:val="both"/>
        <w:rPr>
          <w:rFonts w:cs="Vrinda"/>
          <w:szCs w:val="20"/>
          <w:lang w:bidi="en-US"/>
        </w:rPr>
      </w:pPr>
      <w:r w:rsidRPr="008A66CA">
        <w:rPr>
          <w:szCs w:val="20"/>
        </w:rPr>
        <w:t>El Estado deberá cumplir con las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w:t>
      </w:r>
    </w:p>
    <w:p w14:paraId="49E9CD2C" w14:textId="77777777" w:rsidR="008A66CA" w:rsidRPr="008A66CA" w:rsidRDefault="008A66CA" w:rsidP="008A66CA">
      <w:pPr>
        <w:spacing w:after="0" w:line="240" w:lineRule="auto"/>
        <w:jc w:val="both"/>
        <w:rPr>
          <w:rFonts w:cs="Vrinda"/>
          <w:szCs w:val="20"/>
          <w:lang w:bidi="en-US"/>
        </w:rPr>
      </w:pPr>
    </w:p>
    <w:p w14:paraId="2970DB51" w14:textId="77777777" w:rsidR="008A66CA" w:rsidRPr="008A66CA" w:rsidRDefault="008A66CA" w:rsidP="008A66CA">
      <w:pPr>
        <w:numPr>
          <w:ilvl w:val="0"/>
          <w:numId w:val="4"/>
        </w:numPr>
        <w:spacing w:after="0" w:line="240" w:lineRule="auto"/>
        <w:jc w:val="both"/>
        <w:rPr>
          <w:rFonts w:cs="Vrinda"/>
          <w:szCs w:val="20"/>
          <w:lang w:bidi="en-US"/>
        </w:rPr>
      </w:pPr>
      <w:r w:rsidRPr="008A66CA">
        <w:rPr>
          <w:szCs w:val="20"/>
        </w:rPr>
        <w:t xml:space="preserve">Si por causas atribuibles al beneficiario de las indemnizaciones o a sus derechohabientes no fuese posible el pago de las cantidades determinadas dentro del plazo indicado, el Estado consignará dichos montos a su favor en una cuenta o certificado de depósito en una institución financiera ecuatoriana solvente, en dólares de los Estados Unidos de América, y en las condiciones financieras más favorables que permitan la legislación y la </w:t>
      </w:r>
      <w:r w:rsidRPr="008A66CA">
        <w:rPr>
          <w:szCs w:val="20"/>
        </w:rPr>
        <w:lastRenderedPageBreak/>
        <w:t>práctica bancaria. Si no se reclama la indemnización correspondiente una vez transcurridos diez años, las cantidades serán devueltas al Estado con los intereses devengados.</w:t>
      </w:r>
    </w:p>
    <w:p w14:paraId="699A6D18" w14:textId="77777777" w:rsidR="008A66CA" w:rsidRPr="008A66CA" w:rsidRDefault="008A66CA" w:rsidP="008A66CA">
      <w:pPr>
        <w:spacing w:after="0" w:line="240" w:lineRule="auto"/>
        <w:jc w:val="both"/>
        <w:rPr>
          <w:rFonts w:cs="Vrinda"/>
          <w:szCs w:val="20"/>
          <w:lang w:bidi="en-US"/>
        </w:rPr>
      </w:pPr>
    </w:p>
    <w:p w14:paraId="6458142C" w14:textId="77777777" w:rsidR="008A66CA" w:rsidRPr="008A66CA" w:rsidRDefault="008A66CA" w:rsidP="008A66CA">
      <w:pPr>
        <w:numPr>
          <w:ilvl w:val="0"/>
          <w:numId w:val="4"/>
        </w:numPr>
        <w:spacing w:after="0" w:line="240" w:lineRule="auto"/>
        <w:jc w:val="both"/>
        <w:rPr>
          <w:rFonts w:cs="Vrinda"/>
          <w:szCs w:val="20"/>
          <w:lang w:bidi="en-US"/>
        </w:rPr>
      </w:pPr>
      <w:r w:rsidRPr="008A66CA">
        <w:rPr>
          <w:szCs w:val="20"/>
        </w:rPr>
        <w:t>Las cantidades asignadas en la presente Sentencia como indemnización por daños materiales e inmateriales, y como reintegro de costas y gastos, deberán ser entregadas a la persona indicada en forma íntegra, conforme a lo establecido en esta Sentencia, sin reducciones derivadas de eventuales cargas fiscales.</w:t>
      </w:r>
      <w:bookmarkStart w:id="190" w:name="_Ref469940442"/>
    </w:p>
    <w:p w14:paraId="220ACFC0" w14:textId="77777777" w:rsidR="008A66CA" w:rsidRPr="008A66CA" w:rsidRDefault="008A66CA" w:rsidP="008A66CA">
      <w:pPr>
        <w:spacing w:after="0" w:line="240" w:lineRule="auto"/>
        <w:jc w:val="both"/>
        <w:rPr>
          <w:rFonts w:cs="Vrinda"/>
          <w:szCs w:val="20"/>
          <w:lang w:bidi="en-US"/>
        </w:rPr>
      </w:pPr>
    </w:p>
    <w:p w14:paraId="2C400161" w14:textId="4D7AD1D2" w:rsidR="00B17469" w:rsidRPr="008A66CA" w:rsidRDefault="008A66CA" w:rsidP="008A66CA">
      <w:pPr>
        <w:numPr>
          <w:ilvl w:val="0"/>
          <w:numId w:val="4"/>
        </w:numPr>
        <w:spacing w:after="0" w:line="240" w:lineRule="auto"/>
        <w:jc w:val="both"/>
        <w:rPr>
          <w:rFonts w:eastAsia="Calibri" w:cs="Times New Roman"/>
          <w:iCs/>
          <w:szCs w:val="20"/>
          <w:lang w:val="es-ES_tradnl"/>
        </w:rPr>
      </w:pPr>
      <w:r w:rsidRPr="008A66CA">
        <w:rPr>
          <w:rFonts w:eastAsia="Batang" w:cs="Times"/>
          <w:noProof/>
          <w:szCs w:val="20"/>
        </w:rPr>
        <w:t>En caso de que el Estado incurriera en mora, incluyendo en el reintegro de los gastos al Fondo de Asistencia Legal de Víctimas, deberá pagar un interés sobre la cantidad adeudada correspondiente al interés bancario moratorio en la República del Ecuador</w:t>
      </w:r>
      <w:r w:rsidRPr="008A66CA">
        <w:rPr>
          <w:rFonts w:eastAsia="Batang" w:cs="Times"/>
          <w:noProof/>
          <w:szCs w:val="20"/>
          <w:lang w:val="es-ES_tradnl"/>
        </w:rPr>
        <w:t>.</w:t>
      </w:r>
      <w:bookmarkEnd w:id="190"/>
    </w:p>
    <w:p w14:paraId="7FA4EC78" w14:textId="77777777" w:rsidR="00C51501" w:rsidRPr="009631AB" w:rsidRDefault="00C51501" w:rsidP="00734B53">
      <w:pPr>
        <w:spacing w:after="0" w:line="240" w:lineRule="auto"/>
        <w:rPr>
          <w:rFonts w:eastAsia="Calibri" w:cs="Times New Roman"/>
          <w:iCs/>
          <w:szCs w:val="20"/>
        </w:rPr>
      </w:pPr>
    </w:p>
    <w:p w14:paraId="10FB5A45" w14:textId="0FDBC2CA" w:rsidR="00C51501" w:rsidRPr="009631AB" w:rsidRDefault="00301DED" w:rsidP="00734B53">
      <w:pPr>
        <w:pStyle w:val="Ttulo1"/>
        <w:contextualSpacing w:val="0"/>
      </w:pPr>
      <w:bookmarkStart w:id="191" w:name="_Toc18769663"/>
      <w:bookmarkStart w:id="192" w:name="_Toc27069930"/>
      <w:r w:rsidRPr="009631AB">
        <w:t>I</w:t>
      </w:r>
      <w:r w:rsidR="00C51501" w:rsidRPr="009631AB">
        <w:t>X</w:t>
      </w:r>
      <w:bookmarkEnd w:id="191"/>
      <w:bookmarkEnd w:id="192"/>
    </w:p>
    <w:p w14:paraId="15C2B919" w14:textId="392218FD" w:rsidR="00C51501" w:rsidRPr="009631AB" w:rsidRDefault="00C51501" w:rsidP="00734B53">
      <w:pPr>
        <w:pStyle w:val="Ttulo1"/>
        <w:contextualSpacing w:val="0"/>
      </w:pPr>
      <w:bookmarkStart w:id="193" w:name="_Toc18769664"/>
      <w:bookmarkStart w:id="194" w:name="_Toc27069931"/>
      <w:r w:rsidRPr="009631AB">
        <w:t>PUNTOS RESOLUTIVOS</w:t>
      </w:r>
      <w:bookmarkEnd w:id="193"/>
      <w:bookmarkEnd w:id="194"/>
    </w:p>
    <w:p w14:paraId="42FB2E0A" w14:textId="77777777" w:rsidR="00C51501" w:rsidRPr="009631AB" w:rsidRDefault="00C51501" w:rsidP="00734B53">
      <w:pPr>
        <w:spacing w:after="0" w:line="240" w:lineRule="auto"/>
        <w:rPr>
          <w:rFonts w:eastAsia="Calibri" w:cs="Times New Roman"/>
          <w:iCs/>
          <w:szCs w:val="20"/>
        </w:rPr>
      </w:pPr>
    </w:p>
    <w:p w14:paraId="7277F953" w14:textId="76C90565" w:rsidR="00C51501" w:rsidRPr="009631AB" w:rsidRDefault="009F21B0" w:rsidP="000B53A4">
      <w:pPr>
        <w:pStyle w:val="Prrafodelista"/>
        <w:numPr>
          <w:ilvl w:val="0"/>
          <w:numId w:val="4"/>
        </w:numPr>
        <w:contextualSpacing w:val="0"/>
        <w:rPr>
          <w:rFonts w:eastAsia="Calibri" w:cs="Times New Roman"/>
          <w:iCs/>
          <w:szCs w:val="20"/>
        </w:rPr>
      </w:pPr>
      <w:r w:rsidRPr="009631AB">
        <w:rPr>
          <w:rFonts w:eastAsia="Calibri" w:cs="Times New Roman"/>
          <w:iCs/>
          <w:szCs w:val="20"/>
        </w:rPr>
        <w:t xml:space="preserve">Por tanto, </w:t>
      </w:r>
    </w:p>
    <w:p w14:paraId="66250D58" w14:textId="77777777" w:rsidR="000B53A4" w:rsidRPr="009631AB" w:rsidRDefault="000B53A4" w:rsidP="000B53A4">
      <w:pPr>
        <w:spacing w:after="0" w:line="240" w:lineRule="auto"/>
        <w:rPr>
          <w:rFonts w:eastAsia="Calibri" w:cs="Times New Roman"/>
          <w:b/>
          <w:iCs/>
          <w:szCs w:val="20"/>
        </w:rPr>
      </w:pPr>
    </w:p>
    <w:p w14:paraId="40C5CF2B" w14:textId="77777777" w:rsidR="009F21B0" w:rsidRPr="009631AB" w:rsidRDefault="009F21B0" w:rsidP="000B53A4">
      <w:pPr>
        <w:spacing w:after="0" w:line="240" w:lineRule="auto"/>
        <w:rPr>
          <w:rFonts w:eastAsia="Calibri" w:cs="Times New Roman"/>
          <w:b/>
          <w:iCs/>
          <w:szCs w:val="20"/>
        </w:rPr>
      </w:pPr>
      <w:r w:rsidRPr="009631AB">
        <w:rPr>
          <w:rFonts w:eastAsia="Calibri" w:cs="Times New Roman"/>
          <w:b/>
          <w:iCs/>
          <w:szCs w:val="20"/>
        </w:rPr>
        <w:t xml:space="preserve">LA CORTE </w:t>
      </w:r>
    </w:p>
    <w:p w14:paraId="7FA9801B" w14:textId="77777777" w:rsidR="009F21B0" w:rsidRPr="009631AB" w:rsidRDefault="009F21B0" w:rsidP="000B53A4">
      <w:pPr>
        <w:pStyle w:val="Prrafodelista"/>
        <w:contextualSpacing w:val="0"/>
        <w:rPr>
          <w:rFonts w:eastAsia="Calibri" w:cs="Times New Roman"/>
          <w:b/>
          <w:iCs/>
          <w:szCs w:val="20"/>
        </w:rPr>
      </w:pPr>
    </w:p>
    <w:p w14:paraId="24A483B2" w14:textId="77777777" w:rsidR="009F21B0" w:rsidRPr="009631AB" w:rsidRDefault="009F21B0" w:rsidP="000B53A4">
      <w:pPr>
        <w:spacing w:after="0" w:line="240" w:lineRule="auto"/>
        <w:rPr>
          <w:rFonts w:eastAsia="Calibri" w:cs="Times New Roman"/>
          <w:b/>
          <w:iCs/>
          <w:szCs w:val="20"/>
        </w:rPr>
      </w:pPr>
      <w:r w:rsidRPr="009631AB">
        <w:rPr>
          <w:rFonts w:eastAsia="Calibri" w:cs="Times New Roman"/>
          <w:b/>
          <w:iCs/>
          <w:szCs w:val="20"/>
        </w:rPr>
        <w:t xml:space="preserve">DECIDE, </w:t>
      </w:r>
    </w:p>
    <w:p w14:paraId="565D0F1E" w14:textId="77777777" w:rsidR="009F21B0" w:rsidRPr="009631AB" w:rsidRDefault="009F21B0" w:rsidP="000B53A4">
      <w:pPr>
        <w:pStyle w:val="Prrafodelista"/>
        <w:contextualSpacing w:val="0"/>
        <w:rPr>
          <w:rFonts w:eastAsia="Calibri" w:cs="Times New Roman"/>
          <w:iCs/>
          <w:szCs w:val="20"/>
        </w:rPr>
      </w:pPr>
    </w:p>
    <w:p w14:paraId="7C2ADEB7" w14:textId="1C9EE139" w:rsidR="000B53A4" w:rsidRPr="009631AB" w:rsidRDefault="000B53A4" w:rsidP="000B53A4">
      <w:pPr>
        <w:spacing w:after="0" w:line="240" w:lineRule="auto"/>
        <w:rPr>
          <w:rFonts w:eastAsia="Calibri" w:cs="Times New Roman"/>
          <w:iCs/>
          <w:noProof/>
          <w:szCs w:val="20"/>
        </w:rPr>
      </w:pPr>
      <w:r w:rsidRPr="009631AB">
        <w:rPr>
          <w:rFonts w:eastAsia="Calibri" w:cs="Times New Roman"/>
          <w:iCs/>
          <w:noProof/>
          <w:szCs w:val="20"/>
        </w:rPr>
        <w:t xml:space="preserve">Por </w:t>
      </w:r>
      <w:r w:rsidR="00BB7269">
        <w:rPr>
          <w:rFonts w:eastAsia="Calibri" w:cs="Times New Roman"/>
          <w:iCs/>
          <w:noProof/>
          <w:szCs w:val="20"/>
        </w:rPr>
        <w:t>unanimidad</w:t>
      </w:r>
      <w:r w:rsidR="00BB7269" w:rsidRPr="009631AB">
        <w:rPr>
          <w:rFonts w:eastAsia="Calibri" w:cs="Times New Roman"/>
          <w:iCs/>
          <w:noProof/>
          <w:szCs w:val="20"/>
        </w:rPr>
        <w:t>,</w:t>
      </w:r>
    </w:p>
    <w:p w14:paraId="37288927" w14:textId="77777777" w:rsidR="009F21B0" w:rsidRPr="009631AB" w:rsidRDefault="009F21B0" w:rsidP="000B53A4">
      <w:pPr>
        <w:pStyle w:val="Prrafodelista"/>
        <w:contextualSpacing w:val="0"/>
        <w:rPr>
          <w:rFonts w:eastAsia="Calibri" w:cs="Times New Roman"/>
          <w:iCs/>
          <w:szCs w:val="20"/>
        </w:rPr>
      </w:pPr>
    </w:p>
    <w:p w14:paraId="29227031" w14:textId="6B4BF590" w:rsidR="009F21B0" w:rsidRPr="009631AB" w:rsidRDefault="009F21B0" w:rsidP="000B53A4">
      <w:pPr>
        <w:pStyle w:val="Prrafodelista"/>
        <w:numPr>
          <w:ilvl w:val="3"/>
          <w:numId w:val="4"/>
        </w:numPr>
        <w:ind w:left="0" w:firstLine="0"/>
        <w:contextualSpacing w:val="0"/>
        <w:rPr>
          <w:rFonts w:eastAsia="Calibri" w:cs="Times New Roman"/>
          <w:iCs/>
          <w:szCs w:val="20"/>
        </w:rPr>
      </w:pPr>
      <w:r w:rsidRPr="009631AB">
        <w:rPr>
          <w:rFonts w:eastAsia="Calibri" w:cs="Times New Roman"/>
          <w:iCs/>
          <w:szCs w:val="20"/>
        </w:rPr>
        <w:t xml:space="preserve">Desestimar la excepción preliminar interpuesta por el Estado relativa a la incompetencia de la Corte por </w:t>
      </w:r>
      <w:r w:rsidR="002551F3" w:rsidRPr="009631AB">
        <w:rPr>
          <w:rFonts w:eastAsia="Calibri" w:cs="Times New Roman"/>
          <w:iCs/>
          <w:szCs w:val="20"/>
        </w:rPr>
        <w:t>en razón del tiempo</w:t>
      </w:r>
      <w:r w:rsidRPr="009631AB">
        <w:rPr>
          <w:rFonts w:eastAsia="Calibri" w:cs="Times New Roman"/>
          <w:iCs/>
          <w:szCs w:val="20"/>
        </w:rPr>
        <w:t xml:space="preserve">, en los términos de los párrafos </w:t>
      </w:r>
      <w:r w:rsidR="002B75B8">
        <w:rPr>
          <w:rFonts w:eastAsia="Calibri" w:cs="Times New Roman"/>
          <w:iCs/>
          <w:szCs w:val="20"/>
        </w:rPr>
        <w:t>18 y 19</w:t>
      </w:r>
      <w:r w:rsidRPr="009631AB">
        <w:rPr>
          <w:rFonts w:eastAsia="Calibri" w:cs="Times New Roman"/>
          <w:iCs/>
          <w:szCs w:val="20"/>
        </w:rPr>
        <w:t xml:space="preserve"> de la presente Sentencia. </w:t>
      </w:r>
    </w:p>
    <w:p w14:paraId="2936C52B" w14:textId="77777777" w:rsidR="009F21B0" w:rsidRPr="009631AB" w:rsidRDefault="009F21B0" w:rsidP="000B53A4">
      <w:pPr>
        <w:pStyle w:val="Prrafodelista"/>
        <w:ind w:left="0"/>
        <w:contextualSpacing w:val="0"/>
        <w:rPr>
          <w:rFonts w:eastAsia="Calibri" w:cs="Times New Roman"/>
          <w:iCs/>
          <w:szCs w:val="20"/>
        </w:rPr>
      </w:pPr>
    </w:p>
    <w:p w14:paraId="17F95D54" w14:textId="43E5F6DE" w:rsidR="00AD05BB" w:rsidRPr="009631AB" w:rsidRDefault="00AD05BB" w:rsidP="00AD05BB">
      <w:pPr>
        <w:spacing w:after="0" w:line="240" w:lineRule="auto"/>
        <w:rPr>
          <w:rFonts w:eastAsia="Calibri" w:cs="Times New Roman"/>
          <w:iCs/>
          <w:noProof/>
          <w:szCs w:val="20"/>
        </w:rPr>
      </w:pPr>
      <w:r w:rsidRPr="009631AB">
        <w:rPr>
          <w:rFonts w:eastAsia="Calibri" w:cs="Times New Roman"/>
          <w:iCs/>
          <w:noProof/>
          <w:szCs w:val="20"/>
        </w:rPr>
        <w:t xml:space="preserve">Por </w:t>
      </w:r>
      <w:r w:rsidR="00BB7269">
        <w:rPr>
          <w:rFonts w:eastAsia="Calibri" w:cs="Times New Roman"/>
          <w:iCs/>
          <w:noProof/>
          <w:szCs w:val="20"/>
        </w:rPr>
        <w:t>unanimidad</w:t>
      </w:r>
      <w:r w:rsidRPr="009631AB">
        <w:rPr>
          <w:rFonts w:eastAsia="Calibri" w:cs="Times New Roman"/>
          <w:iCs/>
          <w:noProof/>
          <w:szCs w:val="20"/>
        </w:rPr>
        <w:t>,</w:t>
      </w:r>
    </w:p>
    <w:p w14:paraId="547E30A9" w14:textId="77777777" w:rsidR="00AD05BB" w:rsidRPr="009631AB" w:rsidRDefault="00AD05BB" w:rsidP="00AD05BB">
      <w:pPr>
        <w:pStyle w:val="Prrafodelista"/>
        <w:contextualSpacing w:val="0"/>
        <w:rPr>
          <w:rFonts w:eastAsia="Calibri" w:cs="Times New Roman"/>
          <w:iCs/>
          <w:szCs w:val="20"/>
        </w:rPr>
      </w:pPr>
    </w:p>
    <w:p w14:paraId="081DB8BC" w14:textId="6315DF18" w:rsidR="00AD05BB" w:rsidRPr="009631AB" w:rsidRDefault="00AD05BB" w:rsidP="00AD05BB">
      <w:pPr>
        <w:pStyle w:val="Prrafodelista"/>
        <w:numPr>
          <w:ilvl w:val="3"/>
          <w:numId w:val="4"/>
        </w:numPr>
        <w:ind w:left="0" w:firstLine="0"/>
        <w:contextualSpacing w:val="0"/>
        <w:rPr>
          <w:rFonts w:eastAsia="Calibri" w:cs="Times New Roman"/>
          <w:iCs/>
          <w:szCs w:val="20"/>
        </w:rPr>
      </w:pPr>
      <w:r w:rsidRPr="009631AB">
        <w:rPr>
          <w:rFonts w:eastAsia="Calibri" w:cs="Times New Roman"/>
          <w:iCs/>
          <w:szCs w:val="20"/>
        </w:rPr>
        <w:t>Desestimar la excepción preliminar interpuesta por el Estado relativa a la fal</w:t>
      </w:r>
      <w:r w:rsidR="006C14B5">
        <w:rPr>
          <w:rFonts w:eastAsia="Calibri" w:cs="Times New Roman"/>
          <w:iCs/>
          <w:szCs w:val="20"/>
        </w:rPr>
        <w:t>t</w:t>
      </w:r>
      <w:r w:rsidRPr="009631AB">
        <w:rPr>
          <w:rFonts w:eastAsia="Calibri" w:cs="Times New Roman"/>
          <w:iCs/>
          <w:szCs w:val="20"/>
        </w:rPr>
        <w:t xml:space="preserve">a de agotamiento de recursos internos, en los términos de los párrafos </w:t>
      </w:r>
      <w:r w:rsidR="002B75B8">
        <w:rPr>
          <w:rFonts w:eastAsia="Calibri" w:cs="Times New Roman"/>
          <w:iCs/>
          <w:szCs w:val="20"/>
        </w:rPr>
        <w:t>24</w:t>
      </w:r>
      <w:r w:rsidRPr="009631AB">
        <w:rPr>
          <w:rFonts w:eastAsia="Calibri" w:cs="Times New Roman"/>
          <w:iCs/>
          <w:szCs w:val="20"/>
        </w:rPr>
        <w:t xml:space="preserve"> a </w:t>
      </w:r>
      <w:r w:rsidR="002B75B8">
        <w:rPr>
          <w:rFonts w:eastAsia="Calibri" w:cs="Times New Roman"/>
          <w:iCs/>
          <w:szCs w:val="20"/>
        </w:rPr>
        <w:t>28</w:t>
      </w:r>
      <w:r w:rsidRPr="009631AB">
        <w:rPr>
          <w:rFonts w:eastAsia="Calibri" w:cs="Times New Roman"/>
          <w:iCs/>
          <w:szCs w:val="20"/>
        </w:rPr>
        <w:t xml:space="preserve"> de la presente Sentencia. </w:t>
      </w:r>
    </w:p>
    <w:p w14:paraId="6D5ADE23" w14:textId="77777777" w:rsidR="00AD05BB" w:rsidRPr="009631AB" w:rsidRDefault="00AD05BB" w:rsidP="00AD05BB">
      <w:pPr>
        <w:spacing w:after="0" w:line="240" w:lineRule="auto"/>
        <w:rPr>
          <w:rFonts w:eastAsia="Calibri" w:cs="Times New Roman"/>
          <w:iCs/>
          <w:noProof/>
          <w:szCs w:val="20"/>
        </w:rPr>
      </w:pPr>
    </w:p>
    <w:p w14:paraId="22D8DE33" w14:textId="0AFE0529" w:rsidR="00AD05BB" w:rsidRPr="009631AB" w:rsidRDefault="00AD05BB" w:rsidP="00AD05BB">
      <w:pPr>
        <w:spacing w:after="0" w:line="240" w:lineRule="auto"/>
        <w:rPr>
          <w:rFonts w:eastAsia="Calibri" w:cs="Times New Roman"/>
          <w:iCs/>
          <w:noProof/>
          <w:szCs w:val="20"/>
        </w:rPr>
      </w:pPr>
      <w:r w:rsidRPr="009631AB">
        <w:rPr>
          <w:rFonts w:eastAsia="Calibri" w:cs="Times New Roman"/>
          <w:iCs/>
          <w:noProof/>
          <w:szCs w:val="20"/>
        </w:rPr>
        <w:t xml:space="preserve">Por </w:t>
      </w:r>
      <w:r w:rsidR="00BB7269">
        <w:rPr>
          <w:rFonts w:eastAsia="Calibri" w:cs="Times New Roman"/>
          <w:iCs/>
          <w:noProof/>
          <w:szCs w:val="20"/>
        </w:rPr>
        <w:t>unanimidad,</w:t>
      </w:r>
    </w:p>
    <w:p w14:paraId="74D10ABD" w14:textId="77777777" w:rsidR="00AD05BB" w:rsidRPr="009631AB" w:rsidRDefault="00AD05BB" w:rsidP="00AD05BB">
      <w:pPr>
        <w:pStyle w:val="Prrafodelista"/>
        <w:contextualSpacing w:val="0"/>
        <w:rPr>
          <w:rFonts w:eastAsia="Calibri" w:cs="Times New Roman"/>
          <w:iCs/>
          <w:szCs w:val="20"/>
        </w:rPr>
      </w:pPr>
    </w:p>
    <w:p w14:paraId="49E26370" w14:textId="539D6E62" w:rsidR="00AD05BB" w:rsidRPr="009631AB" w:rsidRDefault="00AD05BB" w:rsidP="00AD05BB">
      <w:pPr>
        <w:pStyle w:val="Prrafodelista"/>
        <w:numPr>
          <w:ilvl w:val="3"/>
          <w:numId w:val="4"/>
        </w:numPr>
        <w:ind w:left="0" w:firstLine="0"/>
        <w:contextualSpacing w:val="0"/>
        <w:rPr>
          <w:rFonts w:eastAsia="Calibri" w:cs="Times New Roman"/>
          <w:iCs/>
          <w:szCs w:val="20"/>
        </w:rPr>
      </w:pPr>
      <w:r w:rsidRPr="009631AB">
        <w:rPr>
          <w:rFonts w:eastAsia="Calibri" w:cs="Times New Roman"/>
          <w:iCs/>
          <w:szCs w:val="20"/>
        </w:rPr>
        <w:t xml:space="preserve">Desestimar la excepción preliminar interpuesta por el Estado relativa a la incompetencia </w:t>
      </w:r>
      <w:r w:rsidRPr="009631AB">
        <w:rPr>
          <w:rFonts w:eastAsia="Calibri" w:cs="Times New Roman"/>
          <w:i/>
          <w:iCs/>
          <w:szCs w:val="20"/>
        </w:rPr>
        <w:t>ratione materiae</w:t>
      </w:r>
      <w:r w:rsidR="001B465D">
        <w:rPr>
          <w:rFonts w:eastAsia="Calibri" w:cs="Times New Roman"/>
          <w:i/>
          <w:iCs/>
          <w:szCs w:val="20"/>
        </w:rPr>
        <w:t xml:space="preserve"> </w:t>
      </w:r>
      <w:r w:rsidRPr="009631AB">
        <w:rPr>
          <w:rFonts w:eastAsia="Calibri" w:cs="Times New Roman"/>
          <w:iCs/>
          <w:szCs w:val="20"/>
        </w:rPr>
        <w:t xml:space="preserve">para revisar decisiones internas, en los términos de los párrafos </w:t>
      </w:r>
      <w:r w:rsidR="002B75B8">
        <w:rPr>
          <w:rFonts w:eastAsia="Calibri" w:cs="Times New Roman"/>
          <w:iCs/>
          <w:szCs w:val="20"/>
        </w:rPr>
        <w:t>32</w:t>
      </w:r>
      <w:r w:rsidRPr="009631AB">
        <w:rPr>
          <w:rFonts w:eastAsia="Calibri" w:cs="Times New Roman"/>
          <w:iCs/>
          <w:szCs w:val="20"/>
        </w:rPr>
        <w:t xml:space="preserve"> a </w:t>
      </w:r>
      <w:r w:rsidR="002B75B8">
        <w:rPr>
          <w:rFonts w:eastAsia="Calibri" w:cs="Times New Roman"/>
          <w:iCs/>
          <w:szCs w:val="20"/>
        </w:rPr>
        <w:t>35</w:t>
      </w:r>
      <w:r w:rsidRPr="009631AB">
        <w:rPr>
          <w:rFonts w:eastAsia="Calibri" w:cs="Times New Roman"/>
          <w:iCs/>
          <w:szCs w:val="20"/>
        </w:rPr>
        <w:t xml:space="preserve"> de la presente Sentencia. </w:t>
      </w:r>
    </w:p>
    <w:p w14:paraId="6F1AF021" w14:textId="77777777" w:rsidR="00AD05BB" w:rsidRPr="009631AB" w:rsidRDefault="00AD05BB" w:rsidP="000B53A4">
      <w:pPr>
        <w:pStyle w:val="Prrafodelista"/>
        <w:ind w:left="0"/>
        <w:contextualSpacing w:val="0"/>
        <w:rPr>
          <w:rFonts w:eastAsia="Calibri" w:cs="Times New Roman"/>
          <w:iCs/>
          <w:szCs w:val="20"/>
        </w:rPr>
      </w:pPr>
    </w:p>
    <w:p w14:paraId="35E53032" w14:textId="70BF058F" w:rsidR="000B53A4" w:rsidRPr="009631AB" w:rsidRDefault="000B53A4" w:rsidP="000B53A4">
      <w:pPr>
        <w:spacing w:after="0" w:line="240" w:lineRule="auto"/>
        <w:rPr>
          <w:rFonts w:eastAsia="Calibri" w:cs="Times New Roman"/>
          <w:iCs/>
          <w:noProof/>
          <w:szCs w:val="20"/>
        </w:rPr>
      </w:pPr>
      <w:r w:rsidRPr="009631AB">
        <w:rPr>
          <w:rFonts w:eastAsia="Calibri" w:cs="Times New Roman"/>
          <w:iCs/>
          <w:noProof/>
          <w:szCs w:val="20"/>
        </w:rPr>
        <w:t xml:space="preserve">Por </w:t>
      </w:r>
      <w:r w:rsidR="00BB7269">
        <w:rPr>
          <w:rFonts w:eastAsia="Calibri" w:cs="Times New Roman"/>
          <w:iCs/>
          <w:noProof/>
          <w:szCs w:val="20"/>
        </w:rPr>
        <w:t>unanimidad,</w:t>
      </w:r>
    </w:p>
    <w:p w14:paraId="693D58B2" w14:textId="77777777" w:rsidR="000B53A4" w:rsidRPr="009631AB" w:rsidRDefault="000B53A4" w:rsidP="000B53A4">
      <w:pPr>
        <w:spacing w:after="0" w:line="240" w:lineRule="auto"/>
        <w:rPr>
          <w:rFonts w:eastAsia="Calibri" w:cs="Times New Roman"/>
          <w:iCs/>
          <w:noProof/>
          <w:szCs w:val="20"/>
        </w:rPr>
      </w:pPr>
    </w:p>
    <w:p w14:paraId="5C8BF962" w14:textId="5744DE20" w:rsidR="009F21B0" w:rsidRPr="009631AB" w:rsidRDefault="009F21B0" w:rsidP="000B53A4">
      <w:pPr>
        <w:pStyle w:val="Prrafodelista"/>
        <w:numPr>
          <w:ilvl w:val="3"/>
          <w:numId w:val="4"/>
        </w:numPr>
        <w:ind w:left="0" w:firstLine="0"/>
        <w:contextualSpacing w:val="0"/>
        <w:rPr>
          <w:rFonts w:eastAsia="Calibri" w:cs="Times New Roman"/>
          <w:iCs/>
          <w:szCs w:val="20"/>
        </w:rPr>
      </w:pPr>
      <w:r w:rsidRPr="009631AB">
        <w:rPr>
          <w:rFonts w:eastAsia="Calibri" w:cs="Times New Roman"/>
          <w:iCs/>
          <w:szCs w:val="20"/>
        </w:rPr>
        <w:t xml:space="preserve">Desestimar la excepción preliminar interpuesta por el Estado relativa al </w:t>
      </w:r>
      <w:r w:rsidR="00AD05BB" w:rsidRPr="009631AB">
        <w:rPr>
          <w:rFonts w:eastAsia="Calibri" w:cs="Times New Roman"/>
          <w:iCs/>
          <w:szCs w:val="20"/>
        </w:rPr>
        <w:t xml:space="preserve">control de legalidad de las actuaciones de la Comisión </w:t>
      </w:r>
      <w:r w:rsidRPr="009631AB">
        <w:rPr>
          <w:rFonts w:eastAsia="Calibri" w:cs="Times New Roman"/>
          <w:iCs/>
          <w:szCs w:val="20"/>
        </w:rPr>
        <w:t xml:space="preserve">Americana, en los términos de los párrafos </w:t>
      </w:r>
      <w:r w:rsidR="002B75B8">
        <w:rPr>
          <w:rFonts w:eastAsia="Calibri" w:cs="Times New Roman"/>
          <w:iCs/>
          <w:szCs w:val="20"/>
        </w:rPr>
        <w:t>38</w:t>
      </w:r>
      <w:r w:rsidRPr="009631AB">
        <w:rPr>
          <w:rFonts w:eastAsia="Calibri" w:cs="Times New Roman"/>
          <w:iCs/>
          <w:szCs w:val="20"/>
        </w:rPr>
        <w:t xml:space="preserve"> a </w:t>
      </w:r>
      <w:r w:rsidR="002B75B8">
        <w:rPr>
          <w:rFonts w:eastAsia="Calibri" w:cs="Times New Roman"/>
          <w:iCs/>
          <w:szCs w:val="20"/>
        </w:rPr>
        <w:t>41</w:t>
      </w:r>
      <w:r w:rsidRPr="009631AB">
        <w:rPr>
          <w:rFonts w:eastAsia="Calibri" w:cs="Times New Roman"/>
          <w:iCs/>
          <w:szCs w:val="20"/>
        </w:rPr>
        <w:t xml:space="preserve"> de la presente Sentencia. </w:t>
      </w:r>
    </w:p>
    <w:p w14:paraId="00EB1692" w14:textId="77777777" w:rsidR="009F21B0" w:rsidRPr="009631AB" w:rsidRDefault="009F21B0" w:rsidP="000B53A4">
      <w:pPr>
        <w:pStyle w:val="Prrafodelista"/>
        <w:contextualSpacing w:val="0"/>
        <w:rPr>
          <w:rFonts w:eastAsia="Calibri" w:cs="Times New Roman"/>
          <w:iCs/>
          <w:szCs w:val="20"/>
        </w:rPr>
      </w:pPr>
    </w:p>
    <w:p w14:paraId="1AAC6891" w14:textId="77777777" w:rsidR="009F21B0" w:rsidRPr="009631AB" w:rsidRDefault="009F21B0" w:rsidP="000B53A4">
      <w:pPr>
        <w:pStyle w:val="Prrafodelista"/>
        <w:ind w:left="0"/>
        <w:contextualSpacing w:val="0"/>
        <w:rPr>
          <w:rFonts w:eastAsia="Calibri" w:cs="Times New Roman"/>
          <w:b/>
          <w:iCs/>
          <w:szCs w:val="20"/>
        </w:rPr>
      </w:pPr>
      <w:r w:rsidRPr="009631AB">
        <w:rPr>
          <w:rFonts w:eastAsia="Calibri" w:cs="Times New Roman"/>
          <w:b/>
          <w:iCs/>
          <w:szCs w:val="20"/>
        </w:rPr>
        <w:t>DECLARA,</w:t>
      </w:r>
    </w:p>
    <w:p w14:paraId="633430FB" w14:textId="77777777" w:rsidR="009F21B0" w:rsidRPr="009631AB" w:rsidRDefault="009F21B0" w:rsidP="000B53A4">
      <w:pPr>
        <w:pStyle w:val="Prrafodelista"/>
        <w:contextualSpacing w:val="0"/>
        <w:rPr>
          <w:rFonts w:eastAsia="Calibri" w:cs="Times New Roman"/>
          <w:iCs/>
          <w:szCs w:val="20"/>
        </w:rPr>
      </w:pPr>
    </w:p>
    <w:p w14:paraId="37E3F28F" w14:textId="6CE675C1" w:rsidR="000B53A4" w:rsidRPr="009631AB" w:rsidRDefault="000B53A4" w:rsidP="00BB7269">
      <w:pPr>
        <w:spacing w:after="0" w:line="240" w:lineRule="auto"/>
        <w:jc w:val="both"/>
        <w:rPr>
          <w:rFonts w:eastAsia="Calibri" w:cs="Times New Roman"/>
          <w:iCs/>
          <w:noProof/>
          <w:szCs w:val="20"/>
        </w:rPr>
      </w:pPr>
      <w:r w:rsidRPr="009631AB">
        <w:rPr>
          <w:rFonts w:eastAsia="Calibri" w:cs="Times New Roman"/>
          <w:iCs/>
          <w:noProof/>
          <w:szCs w:val="20"/>
        </w:rPr>
        <w:t xml:space="preserve">Por </w:t>
      </w:r>
      <w:r w:rsidR="00BB7269">
        <w:rPr>
          <w:rFonts w:eastAsia="Calibri" w:cs="Times New Roman"/>
          <w:iCs/>
          <w:noProof/>
          <w:szCs w:val="20"/>
        </w:rPr>
        <w:t>unanimidad,</w:t>
      </w:r>
    </w:p>
    <w:p w14:paraId="2CB2F072" w14:textId="77777777" w:rsidR="000B53A4" w:rsidRPr="009631AB" w:rsidRDefault="000B53A4" w:rsidP="00BB7269">
      <w:pPr>
        <w:spacing w:after="0" w:line="240" w:lineRule="auto"/>
        <w:jc w:val="both"/>
        <w:rPr>
          <w:rFonts w:eastAsia="Calibri" w:cs="Times New Roman"/>
          <w:iCs/>
          <w:noProof/>
          <w:szCs w:val="20"/>
        </w:rPr>
      </w:pPr>
    </w:p>
    <w:p w14:paraId="23142460" w14:textId="067D0000" w:rsidR="009F21B0" w:rsidRPr="003B3610" w:rsidRDefault="009F21B0" w:rsidP="003B3610">
      <w:pPr>
        <w:pStyle w:val="Prrafodelista"/>
        <w:numPr>
          <w:ilvl w:val="3"/>
          <w:numId w:val="4"/>
        </w:numPr>
        <w:ind w:left="0" w:firstLine="0"/>
        <w:contextualSpacing w:val="0"/>
        <w:rPr>
          <w:rFonts w:eastAsia="Calibri" w:cs="Times New Roman"/>
          <w:iCs/>
          <w:szCs w:val="20"/>
        </w:rPr>
      </w:pPr>
      <w:r w:rsidRPr="003B3610">
        <w:rPr>
          <w:rFonts w:eastAsia="Calibri" w:cs="Times New Roman"/>
          <w:iCs/>
          <w:szCs w:val="20"/>
        </w:rPr>
        <w:t xml:space="preserve">El Estado es responsable </w:t>
      </w:r>
      <w:r w:rsidRPr="003B3610">
        <w:rPr>
          <w:rFonts w:eastAsia="Calibri" w:cs="Times New Roman"/>
          <w:iCs/>
          <w:szCs w:val="20"/>
          <w:lang w:val="es-CO"/>
        </w:rPr>
        <w:t xml:space="preserve">por la violación de los derechos a la </w:t>
      </w:r>
      <w:r w:rsidR="00AD05BB" w:rsidRPr="003B3610">
        <w:rPr>
          <w:rFonts w:eastAsia="Calibri" w:cs="Times New Roman"/>
          <w:iCs/>
          <w:szCs w:val="20"/>
          <w:lang w:val="es-CO"/>
        </w:rPr>
        <w:t xml:space="preserve">libertad personal, a la presunción de inocencia y a la protección judicial, </w:t>
      </w:r>
      <w:r w:rsidRPr="003B3610">
        <w:rPr>
          <w:rFonts w:eastAsia="Calibri" w:cs="Times New Roman"/>
          <w:iCs/>
          <w:szCs w:val="20"/>
          <w:lang w:val="es-CO"/>
        </w:rPr>
        <w:t xml:space="preserve">previstos en los artículos </w:t>
      </w:r>
      <w:r w:rsidR="00AD05BB" w:rsidRPr="003B3610">
        <w:rPr>
          <w:rFonts w:eastAsia="Calibri" w:cs="Times New Roman"/>
          <w:iCs/>
          <w:szCs w:val="20"/>
          <w:lang w:val="es-CO"/>
        </w:rPr>
        <w:t>7.1, 7.2, 7.4, 7.5</w:t>
      </w:r>
      <w:r w:rsidR="006C14B5">
        <w:rPr>
          <w:rFonts w:eastAsia="Calibri" w:cs="Times New Roman"/>
          <w:iCs/>
          <w:szCs w:val="20"/>
          <w:lang w:val="es-CO"/>
        </w:rPr>
        <w:t>,</w:t>
      </w:r>
      <w:r w:rsidR="00CB4A9B" w:rsidRPr="003B3610">
        <w:rPr>
          <w:rFonts w:eastAsia="Calibri" w:cs="Times New Roman"/>
          <w:iCs/>
          <w:szCs w:val="20"/>
          <w:lang w:val="es-CO"/>
        </w:rPr>
        <w:t xml:space="preserve"> </w:t>
      </w:r>
      <w:r w:rsidR="00AD05BB" w:rsidRPr="003B3610">
        <w:rPr>
          <w:rFonts w:eastAsia="Calibri" w:cs="Times New Roman"/>
          <w:iCs/>
          <w:szCs w:val="20"/>
          <w:lang w:val="es-CO"/>
        </w:rPr>
        <w:t>8.2</w:t>
      </w:r>
      <w:r w:rsidR="006C14B5">
        <w:rPr>
          <w:rFonts w:eastAsia="Calibri" w:cs="Times New Roman"/>
          <w:iCs/>
          <w:szCs w:val="20"/>
          <w:lang w:val="es-CO"/>
        </w:rPr>
        <w:t xml:space="preserve"> y 24</w:t>
      </w:r>
      <w:r w:rsidR="00AD05BB" w:rsidRPr="003B3610">
        <w:rPr>
          <w:rFonts w:eastAsia="Calibri" w:cs="Times New Roman"/>
          <w:iCs/>
          <w:szCs w:val="20"/>
          <w:lang w:val="es-CO"/>
        </w:rPr>
        <w:t xml:space="preserve"> </w:t>
      </w:r>
      <w:r w:rsidRPr="003B3610">
        <w:rPr>
          <w:rFonts w:eastAsia="Calibri" w:cs="Times New Roman"/>
          <w:iCs/>
          <w:szCs w:val="20"/>
          <w:lang w:val="es-CO"/>
        </w:rPr>
        <w:t xml:space="preserve">de la Convención Americana sobre Derechos Humanos, en relación con </w:t>
      </w:r>
      <w:r w:rsidR="00AD05BB" w:rsidRPr="003B3610">
        <w:rPr>
          <w:rFonts w:eastAsia="Calibri" w:cs="Times New Roman"/>
          <w:iCs/>
          <w:szCs w:val="20"/>
          <w:lang w:val="es-CO"/>
        </w:rPr>
        <w:t xml:space="preserve">el </w:t>
      </w:r>
      <w:r w:rsidRPr="003B3610">
        <w:rPr>
          <w:rFonts w:eastAsia="Calibri" w:cs="Times New Roman"/>
          <w:iCs/>
          <w:szCs w:val="20"/>
          <w:lang w:val="es-CO"/>
        </w:rPr>
        <w:t>artículo 1.1</w:t>
      </w:r>
      <w:r w:rsidR="00AD05BB" w:rsidRPr="003B3610">
        <w:rPr>
          <w:rFonts w:eastAsia="Calibri" w:cs="Times New Roman"/>
          <w:iCs/>
          <w:szCs w:val="20"/>
          <w:lang w:val="es-CO"/>
        </w:rPr>
        <w:t xml:space="preserve"> </w:t>
      </w:r>
      <w:r w:rsidRPr="003B3610">
        <w:rPr>
          <w:rFonts w:eastAsia="Calibri" w:cs="Times New Roman"/>
          <w:iCs/>
          <w:szCs w:val="20"/>
          <w:lang w:val="es-CO"/>
        </w:rPr>
        <w:t>de dicho instrumento</w:t>
      </w:r>
      <w:r w:rsidR="00AD05BB" w:rsidRPr="003B3610">
        <w:rPr>
          <w:rFonts w:eastAsia="Calibri" w:cs="Times New Roman"/>
          <w:iCs/>
          <w:szCs w:val="20"/>
          <w:lang w:val="es-CO"/>
        </w:rPr>
        <w:t xml:space="preserve">; así como los artículos 7.1, 7.3 y 7.6 de la Convención Americana, en </w:t>
      </w:r>
      <w:r w:rsidR="00AD05BB" w:rsidRPr="003B3610">
        <w:rPr>
          <w:rFonts w:eastAsia="Calibri" w:cs="Times New Roman"/>
          <w:iCs/>
          <w:szCs w:val="20"/>
          <w:lang w:val="es-CO"/>
        </w:rPr>
        <w:lastRenderedPageBreak/>
        <w:t>relación con los artículos 1.1 y 2 del mismo instrumento</w:t>
      </w:r>
      <w:r w:rsidRPr="003B3610">
        <w:rPr>
          <w:rFonts w:eastAsia="Calibri" w:cs="Times New Roman"/>
          <w:iCs/>
          <w:szCs w:val="20"/>
          <w:lang w:val="es-CO"/>
        </w:rPr>
        <w:t xml:space="preserve">, en perjuicio de </w:t>
      </w:r>
      <w:r w:rsidR="00AD05BB" w:rsidRPr="003B3610">
        <w:rPr>
          <w:rFonts w:eastAsia="Calibri" w:cs="Times New Roman"/>
          <w:iCs/>
          <w:szCs w:val="20"/>
          <w:lang w:val="es-CO"/>
        </w:rPr>
        <w:t>Mario Alfon</w:t>
      </w:r>
      <w:r w:rsidR="001B6592" w:rsidRPr="003B3610">
        <w:rPr>
          <w:rFonts w:eastAsia="Calibri" w:cs="Times New Roman"/>
          <w:iCs/>
          <w:szCs w:val="20"/>
          <w:lang w:val="es-CO"/>
        </w:rPr>
        <w:t>s</w:t>
      </w:r>
      <w:r w:rsidR="00AD05BB" w:rsidRPr="003B3610">
        <w:rPr>
          <w:rFonts w:eastAsia="Calibri" w:cs="Times New Roman"/>
          <w:iCs/>
          <w:szCs w:val="20"/>
          <w:lang w:val="es-CO"/>
        </w:rPr>
        <w:t>o Montesinos Mejía</w:t>
      </w:r>
      <w:r w:rsidRPr="003B3610">
        <w:rPr>
          <w:rFonts w:eastAsia="Calibri" w:cs="Times New Roman"/>
          <w:iCs/>
          <w:szCs w:val="20"/>
        </w:rPr>
        <w:t xml:space="preserve">, en los términos de los párrafos </w:t>
      </w:r>
      <w:r w:rsidR="00D50D46">
        <w:rPr>
          <w:rFonts w:eastAsia="Calibri" w:cs="Times New Roman"/>
          <w:iCs/>
          <w:szCs w:val="20"/>
        </w:rPr>
        <w:t>114, 119, 128, 133 y 139</w:t>
      </w:r>
      <w:r w:rsidRPr="003B3610">
        <w:rPr>
          <w:rFonts w:eastAsia="Calibri" w:cs="Times New Roman"/>
          <w:iCs/>
          <w:szCs w:val="20"/>
        </w:rPr>
        <w:t xml:space="preserve"> de la presente Sentencia. </w:t>
      </w:r>
    </w:p>
    <w:p w14:paraId="56C42913" w14:textId="77777777" w:rsidR="009F21B0" w:rsidRPr="009631AB" w:rsidRDefault="009F21B0" w:rsidP="00BB7269">
      <w:pPr>
        <w:pStyle w:val="Prrafodelista"/>
        <w:contextualSpacing w:val="0"/>
        <w:rPr>
          <w:rFonts w:eastAsia="Calibri" w:cs="Times New Roman"/>
          <w:iCs/>
          <w:szCs w:val="20"/>
        </w:rPr>
      </w:pPr>
    </w:p>
    <w:p w14:paraId="583ADBF5" w14:textId="3D7434BF" w:rsidR="000B53A4" w:rsidRPr="009631AB" w:rsidRDefault="000B53A4" w:rsidP="00BB7269">
      <w:pPr>
        <w:spacing w:after="0" w:line="240" w:lineRule="auto"/>
        <w:jc w:val="both"/>
        <w:rPr>
          <w:rFonts w:eastAsia="Calibri" w:cs="Times New Roman"/>
          <w:iCs/>
          <w:noProof/>
          <w:szCs w:val="20"/>
        </w:rPr>
      </w:pPr>
      <w:r w:rsidRPr="009631AB">
        <w:rPr>
          <w:rFonts w:eastAsia="Calibri" w:cs="Times New Roman"/>
          <w:iCs/>
          <w:noProof/>
          <w:szCs w:val="20"/>
        </w:rPr>
        <w:t xml:space="preserve">Por </w:t>
      </w:r>
      <w:r w:rsidR="00BB7269">
        <w:rPr>
          <w:rFonts w:eastAsia="Calibri" w:cs="Times New Roman"/>
          <w:iCs/>
          <w:noProof/>
          <w:szCs w:val="20"/>
        </w:rPr>
        <w:t>unanimidad,</w:t>
      </w:r>
    </w:p>
    <w:p w14:paraId="0609CE66" w14:textId="77777777" w:rsidR="000B53A4" w:rsidRPr="009631AB" w:rsidRDefault="000B53A4" w:rsidP="00BB7269">
      <w:pPr>
        <w:spacing w:after="0" w:line="240" w:lineRule="auto"/>
        <w:jc w:val="both"/>
        <w:rPr>
          <w:rFonts w:eastAsia="Calibri" w:cs="Times New Roman"/>
          <w:iCs/>
          <w:noProof/>
          <w:szCs w:val="20"/>
        </w:rPr>
      </w:pPr>
    </w:p>
    <w:p w14:paraId="1472D0EB" w14:textId="3DA7FABC" w:rsidR="009F21B0" w:rsidRPr="003B3610" w:rsidRDefault="006C14B5" w:rsidP="003B3610">
      <w:pPr>
        <w:spacing w:after="0" w:line="240" w:lineRule="auto"/>
        <w:jc w:val="both"/>
        <w:rPr>
          <w:rFonts w:eastAsia="Calibri" w:cs="Times New Roman"/>
          <w:b/>
          <w:iCs/>
          <w:szCs w:val="20"/>
        </w:rPr>
      </w:pPr>
      <w:r>
        <w:rPr>
          <w:rFonts w:eastAsia="Calibri" w:cs="Times New Roman"/>
          <w:iCs/>
          <w:szCs w:val="20"/>
        </w:rPr>
        <w:t xml:space="preserve">6. </w:t>
      </w:r>
      <w:r>
        <w:rPr>
          <w:rFonts w:eastAsia="Calibri" w:cs="Times New Roman"/>
          <w:iCs/>
          <w:szCs w:val="20"/>
        </w:rPr>
        <w:tab/>
      </w:r>
      <w:r w:rsidR="009F21B0" w:rsidRPr="003B3610">
        <w:rPr>
          <w:rFonts w:eastAsia="Calibri" w:cs="Times New Roman"/>
          <w:iCs/>
          <w:szCs w:val="20"/>
        </w:rPr>
        <w:t>El Estado es responsable por</w:t>
      </w:r>
      <w:r w:rsidR="009F21B0" w:rsidRPr="003B3610">
        <w:rPr>
          <w:rFonts w:eastAsia="Calibri" w:cs="Times New Roman"/>
          <w:iCs/>
          <w:szCs w:val="20"/>
          <w:lang w:val="es-CO"/>
        </w:rPr>
        <w:t xml:space="preserve"> la violación </w:t>
      </w:r>
      <w:r w:rsidR="001B6592" w:rsidRPr="003B3610">
        <w:rPr>
          <w:rFonts w:eastAsia="Calibri" w:cs="Times New Roman"/>
          <w:iCs/>
          <w:szCs w:val="20"/>
          <w:lang w:val="es-CO"/>
        </w:rPr>
        <w:t xml:space="preserve">de las obligaciones de proteger y garantizar </w:t>
      </w:r>
      <w:r w:rsidR="009F21B0" w:rsidRPr="003B3610">
        <w:rPr>
          <w:rFonts w:eastAsia="Calibri" w:cs="Times New Roman"/>
          <w:iCs/>
          <w:szCs w:val="20"/>
          <w:lang w:val="es-CO"/>
        </w:rPr>
        <w:t>el derecho a la integridad personal, previst</w:t>
      </w:r>
      <w:r w:rsidR="001B6592" w:rsidRPr="003B3610">
        <w:rPr>
          <w:rFonts w:eastAsia="Calibri" w:cs="Times New Roman"/>
          <w:iCs/>
          <w:szCs w:val="20"/>
          <w:lang w:val="es-CO"/>
        </w:rPr>
        <w:t>a</w:t>
      </w:r>
      <w:r w:rsidR="009F21B0" w:rsidRPr="003B3610">
        <w:rPr>
          <w:rFonts w:eastAsia="Calibri" w:cs="Times New Roman"/>
          <w:iCs/>
          <w:szCs w:val="20"/>
          <w:lang w:val="es-CO"/>
        </w:rPr>
        <w:t>s en los artículos 5.1</w:t>
      </w:r>
      <w:r w:rsidR="001B6592" w:rsidRPr="003B3610">
        <w:rPr>
          <w:rFonts w:eastAsia="Calibri" w:cs="Times New Roman"/>
          <w:iCs/>
          <w:szCs w:val="20"/>
          <w:lang w:val="es-CO"/>
        </w:rPr>
        <w:t xml:space="preserve"> y </w:t>
      </w:r>
      <w:r w:rsidR="009F21B0" w:rsidRPr="003B3610">
        <w:rPr>
          <w:rFonts w:eastAsia="Calibri" w:cs="Times New Roman"/>
          <w:iCs/>
          <w:szCs w:val="20"/>
          <w:lang w:val="es-CO"/>
        </w:rPr>
        <w:t>5.</w:t>
      </w:r>
      <w:r w:rsidR="001B6592" w:rsidRPr="003B3610">
        <w:rPr>
          <w:rFonts w:eastAsia="Calibri" w:cs="Times New Roman"/>
          <w:iCs/>
          <w:szCs w:val="20"/>
          <w:lang w:val="es-CO"/>
        </w:rPr>
        <w:t xml:space="preserve">2 </w:t>
      </w:r>
      <w:r w:rsidR="009F21B0" w:rsidRPr="003B3610">
        <w:rPr>
          <w:rFonts w:eastAsia="Calibri" w:cs="Times New Roman"/>
          <w:iCs/>
          <w:szCs w:val="20"/>
          <w:lang w:val="es-CO"/>
        </w:rPr>
        <w:t>de la Convención Americana sobre Derechos Humanos</w:t>
      </w:r>
      <w:r w:rsidR="001B6592" w:rsidRPr="003B3610">
        <w:rPr>
          <w:rFonts w:eastAsia="Calibri" w:cs="Times New Roman"/>
          <w:iCs/>
          <w:szCs w:val="20"/>
          <w:lang w:val="es-CO"/>
        </w:rPr>
        <w:t xml:space="preserve">, en relación con el artículo 1.1 del mismo instrumento, y 1, 6 y 8 de la Convención Americana para Prevenir y Sancionar la Tortura, </w:t>
      </w:r>
      <w:r w:rsidR="009F21B0" w:rsidRPr="003B3610">
        <w:rPr>
          <w:rFonts w:eastAsia="Calibri" w:cs="Times New Roman"/>
          <w:iCs/>
          <w:szCs w:val="20"/>
          <w:lang w:val="es-CO"/>
        </w:rPr>
        <w:t xml:space="preserve">en perjuicio de </w:t>
      </w:r>
      <w:r w:rsidR="001B6592" w:rsidRPr="003B3610">
        <w:rPr>
          <w:rFonts w:eastAsia="Calibri" w:cs="Times New Roman"/>
          <w:iCs/>
          <w:szCs w:val="20"/>
          <w:lang w:val="es-CO"/>
        </w:rPr>
        <w:t>Mario Alfonso Montesinos Mejía</w:t>
      </w:r>
      <w:r w:rsidR="009F21B0" w:rsidRPr="003B3610">
        <w:rPr>
          <w:rFonts w:eastAsia="Calibri" w:cs="Times New Roman"/>
          <w:iCs/>
          <w:szCs w:val="20"/>
        </w:rPr>
        <w:t>, en</w:t>
      </w:r>
      <w:r w:rsidR="00D50D46">
        <w:rPr>
          <w:rFonts w:eastAsia="Calibri" w:cs="Times New Roman"/>
          <w:iCs/>
          <w:szCs w:val="20"/>
        </w:rPr>
        <w:t xml:space="preserve"> los términos de los párrafos 159 y 160</w:t>
      </w:r>
      <w:r w:rsidR="009F21B0" w:rsidRPr="003B3610">
        <w:rPr>
          <w:rFonts w:eastAsia="Calibri" w:cs="Times New Roman"/>
          <w:iCs/>
          <w:szCs w:val="20"/>
        </w:rPr>
        <w:t xml:space="preserve"> de la presente Sentencia. </w:t>
      </w:r>
    </w:p>
    <w:p w14:paraId="13C58869" w14:textId="77777777" w:rsidR="009F21B0" w:rsidRPr="009631AB" w:rsidRDefault="009F21B0" w:rsidP="00BB7269">
      <w:pPr>
        <w:pStyle w:val="Prrafodelista"/>
        <w:contextualSpacing w:val="0"/>
        <w:rPr>
          <w:rFonts w:eastAsia="Calibri" w:cs="Times New Roman"/>
          <w:iCs/>
          <w:szCs w:val="20"/>
        </w:rPr>
      </w:pPr>
    </w:p>
    <w:p w14:paraId="2EEB22C1" w14:textId="08D68D1A" w:rsidR="000B53A4" w:rsidRPr="009631AB" w:rsidRDefault="000B53A4" w:rsidP="00BB7269">
      <w:pPr>
        <w:spacing w:after="0" w:line="240" w:lineRule="auto"/>
        <w:jc w:val="both"/>
        <w:rPr>
          <w:rFonts w:eastAsia="Calibri" w:cs="Times New Roman"/>
          <w:iCs/>
          <w:noProof/>
          <w:szCs w:val="20"/>
        </w:rPr>
      </w:pPr>
      <w:r w:rsidRPr="009631AB">
        <w:rPr>
          <w:rFonts w:eastAsia="Calibri" w:cs="Times New Roman"/>
          <w:iCs/>
          <w:noProof/>
          <w:szCs w:val="20"/>
        </w:rPr>
        <w:t xml:space="preserve">Por </w:t>
      </w:r>
      <w:r w:rsidR="00BB7269">
        <w:rPr>
          <w:rFonts w:eastAsia="Calibri" w:cs="Times New Roman"/>
          <w:iCs/>
          <w:noProof/>
          <w:szCs w:val="20"/>
        </w:rPr>
        <w:t>unanimidad,</w:t>
      </w:r>
    </w:p>
    <w:p w14:paraId="4FE8F57E" w14:textId="77777777" w:rsidR="000B53A4" w:rsidRPr="009631AB" w:rsidRDefault="000B53A4" w:rsidP="00BB7269">
      <w:pPr>
        <w:spacing w:after="0" w:line="240" w:lineRule="auto"/>
        <w:jc w:val="both"/>
        <w:rPr>
          <w:rFonts w:eastAsia="Calibri" w:cs="Times New Roman"/>
          <w:iCs/>
          <w:noProof/>
          <w:szCs w:val="20"/>
        </w:rPr>
      </w:pPr>
    </w:p>
    <w:p w14:paraId="7A3159F6" w14:textId="25476129" w:rsidR="009F21B0" w:rsidRPr="003B3610" w:rsidRDefault="009F21B0" w:rsidP="003B3610">
      <w:pPr>
        <w:pStyle w:val="Prrafodelista"/>
        <w:numPr>
          <w:ilvl w:val="0"/>
          <w:numId w:val="36"/>
        </w:numPr>
        <w:ind w:left="0" w:firstLine="0"/>
        <w:contextualSpacing w:val="0"/>
        <w:rPr>
          <w:rFonts w:eastAsia="Calibri" w:cs="Times New Roman"/>
          <w:b/>
          <w:iCs/>
          <w:szCs w:val="20"/>
        </w:rPr>
      </w:pPr>
      <w:r w:rsidRPr="003B3610">
        <w:rPr>
          <w:rFonts w:eastAsia="Calibri" w:cs="Times New Roman"/>
          <w:iCs/>
          <w:szCs w:val="20"/>
        </w:rPr>
        <w:t xml:space="preserve">El Estado es responsable por la violación </w:t>
      </w:r>
      <w:r w:rsidRPr="003B3610">
        <w:rPr>
          <w:rFonts w:eastAsia="Calibri" w:cs="Times New Roman"/>
          <w:iCs/>
          <w:szCs w:val="20"/>
          <w:lang w:val="es-CO"/>
        </w:rPr>
        <w:t>del derecho a la</w:t>
      </w:r>
      <w:r w:rsidR="001B6592" w:rsidRPr="003B3610">
        <w:rPr>
          <w:rFonts w:eastAsia="Calibri" w:cs="Times New Roman"/>
          <w:iCs/>
          <w:szCs w:val="20"/>
          <w:lang w:val="es-CO"/>
        </w:rPr>
        <w:t>s</w:t>
      </w:r>
      <w:r w:rsidRPr="003B3610">
        <w:rPr>
          <w:rFonts w:eastAsia="Calibri" w:cs="Times New Roman"/>
          <w:iCs/>
          <w:szCs w:val="20"/>
          <w:lang w:val="es-CO"/>
        </w:rPr>
        <w:t xml:space="preserve"> </w:t>
      </w:r>
      <w:r w:rsidR="001B6592" w:rsidRPr="003B3610">
        <w:rPr>
          <w:rFonts w:eastAsia="Calibri" w:cs="Times New Roman"/>
          <w:iCs/>
          <w:szCs w:val="20"/>
          <w:lang w:val="es-CO"/>
        </w:rPr>
        <w:t xml:space="preserve">garantías judiciales, </w:t>
      </w:r>
      <w:r w:rsidRPr="003B3610">
        <w:rPr>
          <w:rFonts w:eastAsia="Calibri" w:cs="Times New Roman"/>
          <w:iCs/>
          <w:szCs w:val="20"/>
          <w:lang w:val="es-CO"/>
        </w:rPr>
        <w:t xml:space="preserve">previsto en </w:t>
      </w:r>
      <w:r w:rsidR="001B6592" w:rsidRPr="003B3610">
        <w:rPr>
          <w:rFonts w:eastAsia="Calibri" w:cs="Times New Roman"/>
          <w:iCs/>
          <w:szCs w:val="20"/>
          <w:lang w:val="es-CO"/>
        </w:rPr>
        <w:t xml:space="preserve">los </w:t>
      </w:r>
      <w:r w:rsidRPr="003B3610">
        <w:rPr>
          <w:rFonts w:eastAsia="Calibri" w:cs="Times New Roman"/>
          <w:iCs/>
          <w:szCs w:val="20"/>
          <w:lang w:val="es-CO"/>
        </w:rPr>
        <w:t>artículo</w:t>
      </w:r>
      <w:r w:rsidR="001B6592" w:rsidRPr="003B3610">
        <w:rPr>
          <w:rFonts w:eastAsia="Calibri" w:cs="Times New Roman"/>
          <w:iCs/>
          <w:szCs w:val="20"/>
          <w:lang w:val="es-CO"/>
        </w:rPr>
        <w:t>s</w:t>
      </w:r>
      <w:r w:rsidRPr="003B3610">
        <w:rPr>
          <w:rFonts w:eastAsia="Calibri" w:cs="Times New Roman"/>
          <w:iCs/>
          <w:szCs w:val="20"/>
          <w:lang w:val="es-CO"/>
        </w:rPr>
        <w:t xml:space="preserve"> </w:t>
      </w:r>
      <w:r w:rsidR="001B6592" w:rsidRPr="003B3610">
        <w:rPr>
          <w:rFonts w:eastAsia="Calibri" w:cs="Times New Roman"/>
          <w:iCs/>
          <w:szCs w:val="20"/>
          <w:lang w:val="es-CO"/>
        </w:rPr>
        <w:t>8.1</w:t>
      </w:r>
      <w:r w:rsidR="006C14B5">
        <w:rPr>
          <w:rFonts w:eastAsia="Calibri" w:cs="Times New Roman"/>
          <w:iCs/>
          <w:szCs w:val="20"/>
          <w:lang w:val="es-CO"/>
        </w:rPr>
        <w:t xml:space="preserve">, </w:t>
      </w:r>
      <w:r w:rsidR="001B6592" w:rsidRPr="003B3610">
        <w:rPr>
          <w:rFonts w:eastAsia="Calibri" w:cs="Times New Roman"/>
          <w:iCs/>
          <w:szCs w:val="20"/>
          <w:lang w:val="es-CO"/>
        </w:rPr>
        <w:t xml:space="preserve">8.2 </w:t>
      </w:r>
      <w:r w:rsidR="006C14B5">
        <w:rPr>
          <w:rFonts w:eastAsia="Calibri" w:cs="Times New Roman"/>
          <w:iCs/>
          <w:szCs w:val="20"/>
          <w:lang w:val="es-CO"/>
        </w:rPr>
        <w:t xml:space="preserve">b, c, d y e, y 8.3 </w:t>
      </w:r>
      <w:r w:rsidRPr="003B3610">
        <w:rPr>
          <w:rFonts w:eastAsia="Calibri" w:cs="Times New Roman"/>
          <w:iCs/>
          <w:szCs w:val="20"/>
          <w:lang w:val="es-CO"/>
        </w:rPr>
        <w:t xml:space="preserve">de la Convención Americana sobre Derechos Humanos, en relación con el artículo 1.1 del mismo instrumento, en perjuicio de </w:t>
      </w:r>
      <w:r w:rsidR="001B6592" w:rsidRPr="003B3610">
        <w:rPr>
          <w:rFonts w:eastAsia="Calibri" w:cs="Times New Roman"/>
          <w:iCs/>
          <w:szCs w:val="20"/>
          <w:lang w:val="es-CO"/>
        </w:rPr>
        <w:t>Mario Alfonso Montesinos Mejía</w:t>
      </w:r>
      <w:r w:rsidRPr="003B3610">
        <w:rPr>
          <w:rFonts w:eastAsia="Calibri" w:cs="Times New Roman"/>
          <w:iCs/>
          <w:szCs w:val="20"/>
        </w:rPr>
        <w:t>, en</w:t>
      </w:r>
      <w:r w:rsidR="00D50D46">
        <w:rPr>
          <w:rFonts w:eastAsia="Calibri" w:cs="Times New Roman"/>
          <w:iCs/>
          <w:szCs w:val="20"/>
        </w:rPr>
        <w:t xml:space="preserve"> los términos de los párrafos 188 y 195</w:t>
      </w:r>
      <w:r w:rsidRPr="003B3610">
        <w:rPr>
          <w:rFonts w:eastAsia="Calibri" w:cs="Times New Roman"/>
          <w:iCs/>
          <w:szCs w:val="20"/>
        </w:rPr>
        <w:t xml:space="preserve"> de la presente Sentencia. </w:t>
      </w:r>
    </w:p>
    <w:p w14:paraId="52553365" w14:textId="77777777" w:rsidR="009F21B0" w:rsidRPr="009631AB" w:rsidRDefault="009F21B0" w:rsidP="003B3610">
      <w:pPr>
        <w:pStyle w:val="Prrafodelista"/>
        <w:ind w:left="0"/>
        <w:contextualSpacing w:val="0"/>
        <w:rPr>
          <w:rFonts w:eastAsia="Calibri" w:cs="Times New Roman"/>
          <w:iCs/>
          <w:szCs w:val="20"/>
        </w:rPr>
      </w:pPr>
    </w:p>
    <w:p w14:paraId="39FD375C" w14:textId="289B0ACE" w:rsidR="009F21B0" w:rsidRPr="009631AB" w:rsidRDefault="000B53A4" w:rsidP="003B3610">
      <w:pPr>
        <w:spacing w:after="0" w:line="240" w:lineRule="auto"/>
        <w:jc w:val="both"/>
        <w:rPr>
          <w:rFonts w:eastAsia="Calibri" w:cs="Times New Roman"/>
          <w:iCs/>
          <w:noProof/>
          <w:szCs w:val="20"/>
        </w:rPr>
      </w:pPr>
      <w:r w:rsidRPr="009631AB">
        <w:rPr>
          <w:rFonts w:eastAsia="Calibri" w:cs="Times New Roman"/>
          <w:iCs/>
          <w:noProof/>
          <w:szCs w:val="20"/>
        </w:rPr>
        <w:t xml:space="preserve">Por </w:t>
      </w:r>
      <w:r w:rsidR="00BB7269">
        <w:rPr>
          <w:rFonts w:eastAsia="Calibri" w:cs="Times New Roman"/>
          <w:iCs/>
          <w:noProof/>
          <w:szCs w:val="20"/>
        </w:rPr>
        <w:t>unanimidad,</w:t>
      </w:r>
    </w:p>
    <w:p w14:paraId="5DCDBE0C" w14:textId="77777777" w:rsidR="000B53A4" w:rsidRPr="009631AB" w:rsidRDefault="000B53A4" w:rsidP="003B3610">
      <w:pPr>
        <w:spacing w:after="0" w:line="240" w:lineRule="auto"/>
        <w:jc w:val="both"/>
        <w:rPr>
          <w:rFonts w:eastAsia="Calibri" w:cs="Times New Roman"/>
          <w:iCs/>
          <w:noProof/>
          <w:szCs w:val="20"/>
        </w:rPr>
      </w:pPr>
    </w:p>
    <w:p w14:paraId="42418CE1" w14:textId="3A138D22" w:rsidR="009F21B0" w:rsidRPr="009631AB" w:rsidRDefault="009F21B0" w:rsidP="003B3610">
      <w:pPr>
        <w:pStyle w:val="Prrafodelista"/>
        <w:numPr>
          <w:ilvl w:val="0"/>
          <w:numId w:val="36"/>
        </w:numPr>
        <w:ind w:left="0" w:firstLine="0"/>
        <w:contextualSpacing w:val="0"/>
        <w:rPr>
          <w:rFonts w:eastAsia="Calibri" w:cs="Times New Roman"/>
          <w:iCs/>
          <w:szCs w:val="20"/>
        </w:rPr>
      </w:pPr>
      <w:r w:rsidRPr="009631AB">
        <w:rPr>
          <w:rFonts w:eastAsia="Calibri" w:cs="Times New Roman"/>
          <w:iCs/>
          <w:szCs w:val="20"/>
        </w:rPr>
        <w:t xml:space="preserve">El Estado </w:t>
      </w:r>
      <w:r w:rsidR="001B6592" w:rsidRPr="009631AB">
        <w:rPr>
          <w:rFonts w:eastAsia="Calibri" w:cs="Times New Roman"/>
          <w:iCs/>
          <w:szCs w:val="20"/>
        </w:rPr>
        <w:t xml:space="preserve">no </w:t>
      </w:r>
      <w:r w:rsidRPr="009631AB">
        <w:rPr>
          <w:rFonts w:eastAsia="Calibri" w:cs="Times New Roman"/>
          <w:iCs/>
          <w:szCs w:val="20"/>
        </w:rPr>
        <w:t>es responsable por la violación de</w:t>
      </w:r>
      <w:r w:rsidR="00766842" w:rsidRPr="009631AB">
        <w:rPr>
          <w:rFonts w:eastAsia="Calibri" w:cs="Times New Roman"/>
          <w:iCs/>
          <w:szCs w:val="20"/>
        </w:rPr>
        <w:t xml:space="preserve">l derecho a no ser juzgado </w:t>
      </w:r>
      <w:r w:rsidR="0084273F">
        <w:rPr>
          <w:rFonts w:eastAsia="Calibri" w:cs="Times New Roman"/>
          <w:iCs/>
          <w:szCs w:val="20"/>
        </w:rPr>
        <w:t xml:space="preserve">dos veces por los </w:t>
      </w:r>
      <w:r w:rsidR="00766842" w:rsidRPr="009631AB">
        <w:rPr>
          <w:rFonts w:eastAsia="Calibri" w:cs="Times New Roman"/>
          <w:iCs/>
          <w:szCs w:val="20"/>
        </w:rPr>
        <w:t>mismos hechos</w:t>
      </w:r>
      <w:r w:rsidR="0084273F">
        <w:rPr>
          <w:rFonts w:eastAsia="Calibri" w:cs="Times New Roman"/>
          <w:iCs/>
          <w:szCs w:val="20"/>
        </w:rPr>
        <w:t xml:space="preserve"> y</w:t>
      </w:r>
      <w:r w:rsidR="00766842" w:rsidRPr="009631AB">
        <w:rPr>
          <w:rFonts w:eastAsia="Calibri" w:cs="Times New Roman"/>
          <w:iCs/>
          <w:szCs w:val="20"/>
        </w:rPr>
        <w:t xml:space="preserve"> del </w:t>
      </w:r>
      <w:r w:rsidR="001B6592" w:rsidRPr="009631AB">
        <w:rPr>
          <w:rFonts w:eastAsia="Calibri" w:cs="Times New Roman"/>
          <w:iCs/>
          <w:szCs w:val="20"/>
        </w:rPr>
        <w:t xml:space="preserve">principio de legalidad y no retroactividad, </w:t>
      </w:r>
      <w:r w:rsidR="00766842" w:rsidRPr="009631AB">
        <w:rPr>
          <w:rFonts w:eastAsia="Calibri" w:cs="Times New Roman"/>
          <w:iCs/>
          <w:szCs w:val="20"/>
        </w:rPr>
        <w:t xml:space="preserve">establecidos </w:t>
      </w:r>
      <w:r w:rsidR="0084273F">
        <w:rPr>
          <w:rFonts w:eastAsia="Calibri" w:cs="Times New Roman"/>
          <w:iCs/>
          <w:szCs w:val="20"/>
        </w:rPr>
        <w:t xml:space="preserve">respectivamente </w:t>
      </w:r>
      <w:r w:rsidR="00766842" w:rsidRPr="009631AB">
        <w:rPr>
          <w:rFonts w:eastAsia="Calibri" w:cs="Times New Roman"/>
          <w:iCs/>
          <w:szCs w:val="20"/>
        </w:rPr>
        <w:t>en los artículos 8.4</w:t>
      </w:r>
      <w:r w:rsidR="0084273F">
        <w:rPr>
          <w:rFonts w:eastAsia="Calibri" w:cs="Times New Roman"/>
          <w:iCs/>
          <w:szCs w:val="20"/>
        </w:rPr>
        <w:t xml:space="preserve"> y</w:t>
      </w:r>
      <w:r w:rsidR="00766842" w:rsidRPr="009631AB">
        <w:rPr>
          <w:rFonts w:eastAsia="Calibri" w:cs="Times New Roman"/>
          <w:iCs/>
          <w:szCs w:val="20"/>
        </w:rPr>
        <w:t xml:space="preserve"> 9 de la Convención Americ</w:t>
      </w:r>
      <w:r w:rsidR="00041243" w:rsidRPr="009631AB">
        <w:rPr>
          <w:rFonts w:eastAsia="Calibri" w:cs="Times New Roman"/>
          <w:iCs/>
          <w:szCs w:val="20"/>
        </w:rPr>
        <w:t>a</w:t>
      </w:r>
      <w:r w:rsidR="00766842" w:rsidRPr="009631AB">
        <w:rPr>
          <w:rFonts w:eastAsia="Calibri" w:cs="Times New Roman"/>
          <w:iCs/>
          <w:szCs w:val="20"/>
        </w:rPr>
        <w:t xml:space="preserve">na, </w:t>
      </w:r>
      <w:r w:rsidRPr="009631AB">
        <w:rPr>
          <w:rFonts w:eastAsia="Calibri" w:cs="Times New Roman"/>
          <w:iCs/>
          <w:szCs w:val="20"/>
        </w:rPr>
        <w:t>en los términos d</w:t>
      </w:r>
      <w:r w:rsidR="001B6592" w:rsidRPr="009631AB">
        <w:rPr>
          <w:rFonts w:eastAsia="Calibri" w:cs="Times New Roman"/>
          <w:iCs/>
          <w:szCs w:val="20"/>
        </w:rPr>
        <w:t>e</w:t>
      </w:r>
      <w:r w:rsidR="0084273F">
        <w:rPr>
          <w:rFonts w:eastAsia="Calibri" w:cs="Times New Roman"/>
          <w:iCs/>
          <w:szCs w:val="20"/>
        </w:rPr>
        <w:t xml:space="preserve"> </w:t>
      </w:r>
      <w:r w:rsidR="001B6592" w:rsidRPr="009631AB">
        <w:rPr>
          <w:rFonts w:eastAsia="Calibri" w:cs="Times New Roman"/>
          <w:iCs/>
          <w:szCs w:val="20"/>
        </w:rPr>
        <w:t>l</w:t>
      </w:r>
      <w:r w:rsidR="0084273F">
        <w:rPr>
          <w:rFonts w:eastAsia="Calibri" w:cs="Times New Roman"/>
          <w:iCs/>
          <w:szCs w:val="20"/>
        </w:rPr>
        <w:t>os</w:t>
      </w:r>
      <w:r w:rsidR="00D50D46">
        <w:rPr>
          <w:rFonts w:eastAsia="Calibri" w:cs="Times New Roman"/>
          <w:iCs/>
          <w:szCs w:val="20"/>
        </w:rPr>
        <w:t xml:space="preserve"> párrafo</w:t>
      </w:r>
      <w:r w:rsidR="0084273F">
        <w:rPr>
          <w:rFonts w:eastAsia="Calibri" w:cs="Times New Roman"/>
          <w:iCs/>
          <w:szCs w:val="20"/>
        </w:rPr>
        <w:t>s 206 y</w:t>
      </w:r>
      <w:r w:rsidR="00D50D46">
        <w:rPr>
          <w:rFonts w:eastAsia="Calibri" w:cs="Times New Roman"/>
          <w:iCs/>
          <w:szCs w:val="20"/>
        </w:rPr>
        <w:t xml:space="preserve"> 21</w:t>
      </w:r>
      <w:r w:rsidR="0084273F">
        <w:rPr>
          <w:rFonts w:eastAsia="Calibri" w:cs="Times New Roman"/>
          <w:iCs/>
          <w:szCs w:val="20"/>
        </w:rPr>
        <w:t>3</w:t>
      </w:r>
      <w:r w:rsidRPr="009631AB">
        <w:rPr>
          <w:rFonts w:eastAsia="Calibri" w:cs="Times New Roman"/>
          <w:iCs/>
          <w:szCs w:val="20"/>
        </w:rPr>
        <w:t xml:space="preserve"> de la presente Sentencia</w:t>
      </w:r>
      <w:r w:rsidRPr="009631AB">
        <w:rPr>
          <w:rFonts w:eastAsia="Calibri" w:cs="Times New Roman"/>
          <w:iCs/>
          <w:szCs w:val="20"/>
          <w:lang w:val="es-CO"/>
        </w:rPr>
        <w:t>.</w:t>
      </w:r>
    </w:p>
    <w:p w14:paraId="67C66003" w14:textId="77777777" w:rsidR="009F21B0" w:rsidRPr="009631AB" w:rsidRDefault="009F21B0" w:rsidP="003B3610">
      <w:pPr>
        <w:pStyle w:val="Prrafodelista"/>
        <w:ind w:left="0"/>
        <w:contextualSpacing w:val="0"/>
        <w:rPr>
          <w:rFonts w:eastAsia="Calibri" w:cs="Times New Roman"/>
          <w:iCs/>
          <w:szCs w:val="20"/>
        </w:rPr>
      </w:pPr>
    </w:p>
    <w:p w14:paraId="716C66CC" w14:textId="77777777" w:rsidR="009F21B0" w:rsidRPr="009631AB" w:rsidRDefault="009F21B0" w:rsidP="003B3610">
      <w:pPr>
        <w:pStyle w:val="Prrafodelista"/>
        <w:ind w:left="0"/>
        <w:contextualSpacing w:val="0"/>
        <w:rPr>
          <w:rFonts w:eastAsia="Calibri" w:cs="Times New Roman"/>
          <w:b/>
          <w:iCs/>
          <w:szCs w:val="20"/>
        </w:rPr>
      </w:pPr>
      <w:r w:rsidRPr="009631AB">
        <w:rPr>
          <w:rFonts w:eastAsia="Calibri" w:cs="Times New Roman"/>
          <w:b/>
          <w:iCs/>
          <w:szCs w:val="20"/>
        </w:rPr>
        <w:t xml:space="preserve">Y DISPONE: </w:t>
      </w:r>
    </w:p>
    <w:p w14:paraId="66B08ABB" w14:textId="77777777" w:rsidR="009F21B0" w:rsidRPr="009631AB" w:rsidRDefault="009F21B0" w:rsidP="003B3610">
      <w:pPr>
        <w:pStyle w:val="Prrafodelista"/>
        <w:ind w:left="0"/>
        <w:contextualSpacing w:val="0"/>
        <w:rPr>
          <w:rFonts w:eastAsia="Calibri" w:cs="Times New Roman"/>
          <w:iCs/>
          <w:szCs w:val="20"/>
        </w:rPr>
      </w:pPr>
    </w:p>
    <w:p w14:paraId="3B63909F" w14:textId="421F902C" w:rsidR="000B53A4" w:rsidRPr="009631AB" w:rsidRDefault="000B53A4" w:rsidP="003B3610">
      <w:pPr>
        <w:spacing w:after="0" w:line="240" w:lineRule="auto"/>
        <w:rPr>
          <w:rFonts w:eastAsia="Calibri" w:cs="Times New Roman"/>
          <w:iCs/>
          <w:noProof/>
          <w:szCs w:val="20"/>
        </w:rPr>
      </w:pPr>
      <w:r w:rsidRPr="009631AB">
        <w:rPr>
          <w:rFonts w:eastAsia="Calibri" w:cs="Times New Roman"/>
          <w:iCs/>
          <w:noProof/>
          <w:szCs w:val="20"/>
        </w:rPr>
        <w:t xml:space="preserve">Por </w:t>
      </w:r>
      <w:r w:rsidR="00BB7269">
        <w:rPr>
          <w:rFonts w:eastAsia="Calibri" w:cs="Times New Roman"/>
          <w:iCs/>
          <w:noProof/>
          <w:szCs w:val="20"/>
        </w:rPr>
        <w:t>unanimidad,</w:t>
      </w:r>
    </w:p>
    <w:p w14:paraId="4EBE727B" w14:textId="77777777" w:rsidR="000B53A4" w:rsidRPr="009631AB" w:rsidRDefault="000B53A4" w:rsidP="003B3610">
      <w:pPr>
        <w:spacing w:after="0" w:line="240" w:lineRule="auto"/>
        <w:rPr>
          <w:rFonts w:eastAsia="Calibri" w:cs="Times New Roman"/>
          <w:iCs/>
          <w:noProof/>
          <w:szCs w:val="20"/>
        </w:rPr>
      </w:pPr>
    </w:p>
    <w:p w14:paraId="6F3B0CA7" w14:textId="77777777" w:rsidR="009F21B0" w:rsidRPr="009631AB" w:rsidRDefault="009F21B0" w:rsidP="003B3610">
      <w:pPr>
        <w:pStyle w:val="Prrafodelista"/>
        <w:numPr>
          <w:ilvl w:val="0"/>
          <w:numId w:val="36"/>
        </w:numPr>
        <w:ind w:left="0" w:firstLine="0"/>
        <w:contextualSpacing w:val="0"/>
        <w:rPr>
          <w:rFonts w:eastAsia="Calibri" w:cs="Times New Roman"/>
          <w:iCs/>
          <w:szCs w:val="20"/>
        </w:rPr>
      </w:pPr>
      <w:r w:rsidRPr="009631AB">
        <w:rPr>
          <w:rFonts w:eastAsia="Calibri" w:cs="Times New Roman"/>
          <w:iCs/>
          <w:szCs w:val="20"/>
        </w:rPr>
        <w:t xml:space="preserve">Esta Sentencia constituye, por sí misma, una forma de reparación. </w:t>
      </w:r>
    </w:p>
    <w:p w14:paraId="47616604" w14:textId="77777777" w:rsidR="009F21B0" w:rsidRPr="009631AB" w:rsidRDefault="009F21B0" w:rsidP="003B3610">
      <w:pPr>
        <w:pStyle w:val="Prrafodelista"/>
        <w:ind w:left="0"/>
        <w:contextualSpacing w:val="0"/>
        <w:rPr>
          <w:rFonts w:eastAsia="Calibri" w:cs="Times New Roman"/>
          <w:iCs/>
          <w:szCs w:val="20"/>
        </w:rPr>
      </w:pPr>
    </w:p>
    <w:p w14:paraId="1DFF7467" w14:textId="2F66D964" w:rsidR="000B53A4" w:rsidRPr="009631AB" w:rsidRDefault="000B53A4" w:rsidP="003B3610">
      <w:pPr>
        <w:spacing w:after="0" w:line="240" w:lineRule="auto"/>
        <w:rPr>
          <w:rFonts w:eastAsia="Calibri" w:cs="Times New Roman"/>
          <w:iCs/>
          <w:noProof/>
          <w:szCs w:val="20"/>
        </w:rPr>
      </w:pPr>
      <w:r w:rsidRPr="009631AB">
        <w:rPr>
          <w:rFonts w:eastAsia="Calibri" w:cs="Times New Roman"/>
          <w:iCs/>
          <w:noProof/>
          <w:szCs w:val="20"/>
        </w:rPr>
        <w:t xml:space="preserve">Por </w:t>
      </w:r>
      <w:r w:rsidR="00BB7269">
        <w:rPr>
          <w:rFonts w:eastAsia="Calibri" w:cs="Times New Roman"/>
          <w:iCs/>
          <w:noProof/>
          <w:szCs w:val="20"/>
        </w:rPr>
        <w:t>unanimidad,</w:t>
      </w:r>
    </w:p>
    <w:p w14:paraId="306B895B" w14:textId="77777777" w:rsidR="000B53A4" w:rsidRPr="009631AB" w:rsidRDefault="000B53A4" w:rsidP="003B3610">
      <w:pPr>
        <w:spacing w:after="0" w:line="240" w:lineRule="auto"/>
        <w:rPr>
          <w:rFonts w:eastAsia="Calibri" w:cs="Times New Roman"/>
          <w:iCs/>
          <w:noProof/>
          <w:szCs w:val="20"/>
        </w:rPr>
      </w:pPr>
    </w:p>
    <w:p w14:paraId="311CF2C4" w14:textId="6F8FAD07" w:rsidR="009F21B0" w:rsidRPr="009631AB" w:rsidRDefault="001B6592" w:rsidP="003B3610">
      <w:pPr>
        <w:pStyle w:val="Prrafodelista"/>
        <w:numPr>
          <w:ilvl w:val="0"/>
          <w:numId w:val="36"/>
        </w:numPr>
        <w:ind w:left="0" w:firstLine="0"/>
        <w:contextualSpacing w:val="0"/>
        <w:rPr>
          <w:rFonts w:eastAsia="Calibri" w:cs="Times New Roman"/>
          <w:iCs/>
          <w:szCs w:val="20"/>
        </w:rPr>
      </w:pPr>
      <w:r w:rsidRPr="009631AB">
        <w:rPr>
          <w:rFonts w:eastAsia="Calibri" w:cs="Times New Roman"/>
          <w:iCs/>
          <w:szCs w:val="20"/>
        </w:rPr>
        <w:t xml:space="preserve">El Estado realizará, en el plazo de seis meses, las publicaciones indicadas en </w:t>
      </w:r>
      <w:r w:rsidR="00D50D46">
        <w:rPr>
          <w:rFonts w:eastAsia="Calibri" w:cs="Times New Roman"/>
          <w:iCs/>
          <w:szCs w:val="20"/>
        </w:rPr>
        <w:t>el párrafo 226</w:t>
      </w:r>
      <w:r w:rsidRPr="009631AB">
        <w:rPr>
          <w:rFonts w:eastAsia="Calibri" w:cs="Times New Roman"/>
          <w:iCs/>
          <w:szCs w:val="20"/>
        </w:rPr>
        <w:t xml:space="preserve"> de la presente Sentencia. </w:t>
      </w:r>
    </w:p>
    <w:p w14:paraId="3E9A134F" w14:textId="77777777" w:rsidR="009F21B0" w:rsidRPr="009631AB" w:rsidRDefault="009F21B0" w:rsidP="003B3610">
      <w:pPr>
        <w:pStyle w:val="Prrafodelista"/>
        <w:ind w:left="0"/>
        <w:contextualSpacing w:val="0"/>
        <w:rPr>
          <w:rFonts w:eastAsia="Calibri" w:cs="Times New Roman"/>
          <w:iCs/>
          <w:szCs w:val="20"/>
        </w:rPr>
      </w:pPr>
    </w:p>
    <w:p w14:paraId="7613DE5F" w14:textId="490CC596" w:rsidR="000B53A4" w:rsidRPr="009631AB" w:rsidRDefault="000B53A4" w:rsidP="003B3610">
      <w:pPr>
        <w:spacing w:after="0" w:line="240" w:lineRule="auto"/>
        <w:rPr>
          <w:rFonts w:eastAsia="Calibri" w:cs="Times New Roman"/>
          <w:iCs/>
          <w:noProof/>
          <w:szCs w:val="20"/>
        </w:rPr>
      </w:pPr>
      <w:r w:rsidRPr="009631AB">
        <w:rPr>
          <w:rFonts w:eastAsia="Calibri" w:cs="Times New Roman"/>
          <w:iCs/>
          <w:noProof/>
          <w:szCs w:val="20"/>
        </w:rPr>
        <w:t xml:space="preserve">Por </w:t>
      </w:r>
      <w:r w:rsidR="00BB7269">
        <w:rPr>
          <w:rFonts w:eastAsia="Calibri" w:cs="Times New Roman"/>
          <w:iCs/>
          <w:noProof/>
          <w:szCs w:val="20"/>
        </w:rPr>
        <w:t>unanimidad,</w:t>
      </w:r>
    </w:p>
    <w:p w14:paraId="600B4F36" w14:textId="77777777" w:rsidR="000B53A4" w:rsidRPr="009631AB" w:rsidRDefault="000B53A4" w:rsidP="003B3610">
      <w:pPr>
        <w:spacing w:after="0" w:line="240" w:lineRule="auto"/>
        <w:rPr>
          <w:rFonts w:eastAsia="Calibri" w:cs="Times New Roman"/>
          <w:iCs/>
          <w:noProof/>
          <w:szCs w:val="20"/>
        </w:rPr>
      </w:pPr>
    </w:p>
    <w:p w14:paraId="3C6197D6" w14:textId="2ED3253C" w:rsidR="009F21B0" w:rsidRPr="009631AB" w:rsidRDefault="00CD2E8C" w:rsidP="003B3610">
      <w:pPr>
        <w:pStyle w:val="Prrafodelista"/>
        <w:numPr>
          <w:ilvl w:val="0"/>
          <w:numId w:val="36"/>
        </w:numPr>
        <w:ind w:left="0" w:firstLine="0"/>
        <w:contextualSpacing w:val="0"/>
        <w:rPr>
          <w:rFonts w:eastAsia="Calibri" w:cs="Times New Roman"/>
          <w:iCs/>
          <w:szCs w:val="20"/>
        </w:rPr>
      </w:pPr>
      <w:r w:rsidRPr="00CD2E8C">
        <w:rPr>
          <w:rFonts w:eastAsia="Calibri" w:cs="Times New Roman"/>
          <w:iCs/>
          <w:szCs w:val="20"/>
          <w:lang w:val="es-CR"/>
        </w:rPr>
        <w:t>El Estado</w:t>
      </w:r>
      <w:r w:rsidR="006C14B5">
        <w:rPr>
          <w:rFonts w:eastAsia="Calibri" w:cs="Times New Roman"/>
          <w:iCs/>
          <w:szCs w:val="20"/>
          <w:lang w:val="es-CR"/>
        </w:rPr>
        <w:t xml:space="preserve"> </w:t>
      </w:r>
      <w:r w:rsidRPr="00CD2E8C">
        <w:rPr>
          <w:rFonts w:eastAsia="Calibri" w:cs="Times New Roman"/>
          <w:iCs/>
          <w:szCs w:val="20"/>
          <w:lang w:val="es-CR"/>
        </w:rPr>
        <w:t>adoptar</w:t>
      </w:r>
      <w:r w:rsidR="006C14B5">
        <w:rPr>
          <w:rFonts w:eastAsia="Calibri" w:cs="Times New Roman"/>
          <w:iCs/>
          <w:szCs w:val="20"/>
          <w:lang w:val="es-CR"/>
        </w:rPr>
        <w:t>á</w:t>
      </w:r>
      <w:r w:rsidRPr="00CD2E8C">
        <w:rPr>
          <w:rFonts w:eastAsia="Calibri" w:cs="Times New Roman"/>
          <w:iCs/>
          <w:szCs w:val="20"/>
          <w:lang w:val="es-CR"/>
        </w:rPr>
        <w:t xml:space="preserve">, en un plazo de seis meses contado a partir de la notificación del presente Fallo, todas las medidas necesarias en el derecho interno para dejar sin efecto las consecuencias de cualquier índole que se derivan del proceso penal seguido contra el señor </w:t>
      </w:r>
      <w:r>
        <w:rPr>
          <w:rFonts w:eastAsia="Calibri" w:cs="Times New Roman"/>
          <w:iCs/>
          <w:szCs w:val="20"/>
          <w:lang w:val="es-CR"/>
        </w:rPr>
        <w:t>Mario Montesinos Mejía</w:t>
      </w:r>
      <w:r w:rsidRPr="00CD2E8C">
        <w:rPr>
          <w:rFonts w:eastAsia="Calibri" w:cs="Times New Roman"/>
          <w:iCs/>
          <w:szCs w:val="20"/>
          <w:lang w:val="es-CR"/>
        </w:rPr>
        <w:t>, en los términos de</w:t>
      </w:r>
      <w:r w:rsidR="00D50D46">
        <w:rPr>
          <w:rFonts w:eastAsia="Calibri" w:cs="Times New Roman"/>
          <w:iCs/>
          <w:szCs w:val="20"/>
          <w:lang w:val="es-CR"/>
        </w:rPr>
        <w:t>l</w:t>
      </w:r>
      <w:r w:rsidRPr="00CD2E8C">
        <w:rPr>
          <w:rFonts w:eastAsia="Calibri" w:cs="Times New Roman"/>
          <w:iCs/>
          <w:szCs w:val="20"/>
          <w:lang w:val="es-CR"/>
        </w:rPr>
        <w:t xml:space="preserve"> párrafo </w:t>
      </w:r>
      <w:r w:rsidR="00D50D46">
        <w:rPr>
          <w:rFonts w:eastAsia="Calibri" w:cs="Times New Roman"/>
          <w:iCs/>
          <w:szCs w:val="20"/>
          <w:lang w:val="es-CR"/>
        </w:rPr>
        <w:t>227</w:t>
      </w:r>
      <w:r w:rsidRPr="00CD2E8C">
        <w:rPr>
          <w:rFonts w:eastAsia="Calibri" w:cs="Times New Roman"/>
          <w:iCs/>
          <w:szCs w:val="20"/>
          <w:lang w:val="es-CR"/>
        </w:rPr>
        <w:t xml:space="preserve"> de la presente Sentencia. </w:t>
      </w:r>
    </w:p>
    <w:p w14:paraId="070AC3E3" w14:textId="77777777" w:rsidR="009F21B0" w:rsidRPr="009631AB" w:rsidRDefault="009F21B0" w:rsidP="003B3610">
      <w:pPr>
        <w:pStyle w:val="Prrafodelista"/>
        <w:ind w:left="0"/>
        <w:contextualSpacing w:val="0"/>
        <w:rPr>
          <w:rFonts w:eastAsia="Calibri" w:cs="Times New Roman"/>
          <w:iCs/>
          <w:szCs w:val="20"/>
        </w:rPr>
      </w:pPr>
    </w:p>
    <w:p w14:paraId="5A7F3897" w14:textId="30A45F6A" w:rsidR="001B6592" w:rsidRPr="009631AB" w:rsidRDefault="001B6592" w:rsidP="003B3610">
      <w:pPr>
        <w:spacing w:after="0" w:line="240" w:lineRule="auto"/>
        <w:rPr>
          <w:rFonts w:eastAsia="Calibri" w:cs="Times New Roman"/>
          <w:iCs/>
          <w:noProof/>
          <w:szCs w:val="20"/>
        </w:rPr>
      </w:pPr>
      <w:r w:rsidRPr="009631AB">
        <w:rPr>
          <w:rFonts w:eastAsia="Calibri" w:cs="Times New Roman"/>
          <w:iCs/>
          <w:noProof/>
          <w:szCs w:val="20"/>
        </w:rPr>
        <w:t xml:space="preserve">Por </w:t>
      </w:r>
      <w:r w:rsidR="00BB7269">
        <w:rPr>
          <w:rFonts w:eastAsia="Calibri" w:cs="Times New Roman"/>
          <w:iCs/>
          <w:noProof/>
          <w:szCs w:val="20"/>
        </w:rPr>
        <w:t>unanimidad,</w:t>
      </w:r>
    </w:p>
    <w:p w14:paraId="5DAAD3AB" w14:textId="77777777" w:rsidR="001B6592" w:rsidRPr="009631AB" w:rsidRDefault="001B6592" w:rsidP="003B3610">
      <w:pPr>
        <w:spacing w:after="0" w:line="240" w:lineRule="auto"/>
        <w:rPr>
          <w:rFonts w:eastAsia="Calibri" w:cs="Times New Roman"/>
          <w:iCs/>
          <w:noProof/>
          <w:szCs w:val="20"/>
        </w:rPr>
      </w:pPr>
    </w:p>
    <w:p w14:paraId="7D8726A7" w14:textId="65D52679" w:rsidR="001B6592" w:rsidRPr="009631AB" w:rsidRDefault="001B6592" w:rsidP="003B3610">
      <w:pPr>
        <w:pStyle w:val="Prrafodelista"/>
        <w:numPr>
          <w:ilvl w:val="0"/>
          <w:numId w:val="36"/>
        </w:numPr>
        <w:ind w:left="0" w:firstLine="0"/>
        <w:contextualSpacing w:val="0"/>
        <w:rPr>
          <w:rFonts w:eastAsia="Calibri" w:cs="Times New Roman"/>
          <w:iCs/>
          <w:szCs w:val="20"/>
        </w:rPr>
      </w:pPr>
      <w:r w:rsidRPr="009631AB">
        <w:rPr>
          <w:rFonts w:eastAsia="Calibri" w:cs="Times New Roman"/>
          <w:iCs/>
          <w:szCs w:val="20"/>
        </w:rPr>
        <w:t>El Estado iniciará</w:t>
      </w:r>
      <w:r w:rsidRPr="009631AB">
        <w:rPr>
          <w:lang w:val="es-ES"/>
        </w:rPr>
        <w:t>, en un plazo razonable, la investigación necesaria para determinar, juzgar, y, en su caso, sancionar a los responsables de los tratos crueles, inhumanos y degradantes establecidos en la presente Sentencia, así como de la tortura denunciada por el señor Montesinos en el año 1996</w:t>
      </w:r>
      <w:r w:rsidRPr="009631AB">
        <w:rPr>
          <w:rFonts w:eastAsia="Calibri" w:cs="Times New Roman"/>
          <w:iCs/>
          <w:szCs w:val="20"/>
        </w:rPr>
        <w:t>, en los términos de</w:t>
      </w:r>
      <w:r w:rsidR="008B772B">
        <w:rPr>
          <w:rFonts w:eastAsia="Calibri" w:cs="Times New Roman"/>
          <w:iCs/>
          <w:szCs w:val="20"/>
        </w:rPr>
        <w:t>l</w:t>
      </w:r>
      <w:r w:rsidRPr="009631AB">
        <w:rPr>
          <w:rFonts w:eastAsia="Calibri" w:cs="Times New Roman"/>
          <w:iCs/>
          <w:szCs w:val="20"/>
        </w:rPr>
        <w:t xml:space="preserve"> párraf</w:t>
      </w:r>
      <w:r w:rsidR="003B1385">
        <w:rPr>
          <w:rFonts w:eastAsia="Calibri" w:cs="Times New Roman"/>
          <w:iCs/>
          <w:szCs w:val="20"/>
        </w:rPr>
        <w:t>o 229</w:t>
      </w:r>
      <w:r w:rsidRPr="009631AB">
        <w:rPr>
          <w:rFonts w:eastAsia="Calibri" w:cs="Times New Roman"/>
          <w:iCs/>
          <w:szCs w:val="20"/>
        </w:rPr>
        <w:t xml:space="preserve"> de la presente Sentencia.</w:t>
      </w:r>
      <w:r w:rsidR="001B465D">
        <w:rPr>
          <w:rFonts w:eastAsia="Calibri" w:cs="Times New Roman"/>
          <w:iCs/>
          <w:szCs w:val="20"/>
        </w:rPr>
        <w:t xml:space="preserve"> </w:t>
      </w:r>
    </w:p>
    <w:p w14:paraId="177B3EA4" w14:textId="77777777" w:rsidR="001B6592" w:rsidRPr="009631AB" w:rsidRDefault="001B6592" w:rsidP="003B3610">
      <w:pPr>
        <w:spacing w:after="0" w:line="240" w:lineRule="auto"/>
        <w:rPr>
          <w:rFonts w:eastAsia="Calibri" w:cs="Times New Roman"/>
          <w:iCs/>
          <w:noProof/>
          <w:szCs w:val="20"/>
          <w:lang w:val="es-ES_tradnl"/>
        </w:rPr>
      </w:pPr>
    </w:p>
    <w:p w14:paraId="169B3D37" w14:textId="66647914" w:rsidR="009F21B0" w:rsidRPr="009631AB" w:rsidRDefault="009F21B0" w:rsidP="003B3610">
      <w:pPr>
        <w:spacing w:after="0" w:line="240" w:lineRule="auto"/>
        <w:rPr>
          <w:rFonts w:eastAsia="Calibri" w:cs="Times New Roman"/>
          <w:iCs/>
          <w:noProof/>
          <w:szCs w:val="20"/>
        </w:rPr>
      </w:pPr>
      <w:r w:rsidRPr="009631AB">
        <w:rPr>
          <w:rFonts w:eastAsia="Calibri" w:cs="Times New Roman"/>
          <w:iCs/>
          <w:noProof/>
          <w:szCs w:val="20"/>
        </w:rPr>
        <w:t xml:space="preserve">Por </w:t>
      </w:r>
      <w:r w:rsidR="00BB7269">
        <w:rPr>
          <w:rFonts w:eastAsia="Calibri" w:cs="Times New Roman"/>
          <w:iCs/>
          <w:noProof/>
          <w:szCs w:val="20"/>
        </w:rPr>
        <w:t>unanimidad,</w:t>
      </w:r>
    </w:p>
    <w:p w14:paraId="5C88180F" w14:textId="77777777" w:rsidR="009F21B0" w:rsidRPr="009631AB" w:rsidRDefault="009F21B0" w:rsidP="003B3610">
      <w:pPr>
        <w:pStyle w:val="Prrafodelista"/>
        <w:ind w:left="0"/>
        <w:contextualSpacing w:val="0"/>
        <w:rPr>
          <w:rFonts w:eastAsia="Calibri" w:cs="Times New Roman"/>
          <w:iCs/>
          <w:szCs w:val="20"/>
        </w:rPr>
      </w:pPr>
    </w:p>
    <w:p w14:paraId="6C0FD050" w14:textId="27E90D67" w:rsidR="009F21B0" w:rsidRPr="009631AB" w:rsidRDefault="009F21B0" w:rsidP="003B3610">
      <w:pPr>
        <w:pStyle w:val="Prrafodelista"/>
        <w:numPr>
          <w:ilvl w:val="0"/>
          <w:numId w:val="36"/>
        </w:numPr>
        <w:ind w:left="0" w:firstLine="0"/>
        <w:contextualSpacing w:val="0"/>
        <w:rPr>
          <w:rFonts w:eastAsia="Calibri" w:cs="Times New Roman"/>
          <w:iCs/>
          <w:szCs w:val="20"/>
        </w:rPr>
      </w:pPr>
      <w:r w:rsidRPr="009631AB">
        <w:rPr>
          <w:rFonts w:eastAsia="Calibri" w:cs="Times New Roman"/>
          <w:iCs/>
          <w:szCs w:val="20"/>
        </w:rPr>
        <w:t>El Estado pagará las canti</w:t>
      </w:r>
      <w:r w:rsidR="00D50D46">
        <w:rPr>
          <w:rFonts w:eastAsia="Calibri" w:cs="Times New Roman"/>
          <w:iCs/>
          <w:szCs w:val="20"/>
        </w:rPr>
        <w:t>dades fijadas en los párrafos 237 al 239</w:t>
      </w:r>
      <w:r w:rsidRPr="009631AB">
        <w:rPr>
          <w:rFonts w:eastAsia="Calibri" w:cs="Times New Roman"/>
          <w:iCs/>
          <w:szCs w:val="20"/>
        </w:rPr>
        <w:t xml:space="preserve"> de la presente Sentencia, por concepto de daños materiales e inmateriales y por el reintegro de costas y gastos, e</w:t>
      </w:r>
      <w:r w:rsidR="00D50D46">
        <w:rPr>
          <w:rFonts w:eastAsia="Calibri" w:cs="Times New Roman"/>
          <w:iCs/>
          <w:szCs w:val="20"/>
        </w:rPr>
        <w:t>n los términos de los párrafos 250 al 255</w:t>
      </w:r>
      <w:r w:rsidRPr="009631AB">
        <w:rPr>
          <w:rFonts w:eastAsia="Calibri" w:cs="Times New Roman"/>
          <w:iCs/>
          <w:szCs w:val="20"/>
        </w:rPr>
        <w:t xml:space="preserve"> de la presente Sentencia. </w:t>
      </w:r>
    </w:p>
    <w:p w14:paraId="35B7773D" w14:textId="77777777" w:rsidR="009F21B0" w:rsidRPr="009631AB" w:rsidRDefault="009F21B0" w:rsidP="003B3610">
      <w:pPr>
        <w:pStyle w:val="Prrafodelista"/>
        <w:ind w:left="0"/>
        <w:contextualSpacing w:val="0"/>
        <w:rPr>
          <w:rFonts w:eastAsia="Calibri" w:cs="Times New Roman"/>
          <w:iCs/>
          <w:szCs w:val="20"/>
        </w:rPr>
      </w:pPr>
    </w:p>
    <w:p w14:paraId="086444BA" w14:textId="762226A1" w:rsidR="000B53A4" w:rsidRPr="009631AB" w:rsidRDefault="000B53A4" w:rsidP="003B3610">
      <w:pPr>
        <w:spacing w:after="0" w:line="240" w:lineRule="auto"/>
        <w:rPr>
          <w:rFonts w:eastAsia="Calibri" w:cs="Times New Roman"/>
          <w:iCs/>
          <w:noProof/>
          <w:szCs w:val="20"/>
        </w:rPr>
      </w:pPr>
      <w:r w:rsidRPr="009631AB">
        <w:rPr>
          <w:rFonts w:eastAsia="Calibri" w:cs="Times New Roman"/>
          <w:iCs/>
          <w:noProof/>
          <w:szCs w:val="20"/>
        </w:rPr>
        <w:t xml:space="preserve">Por </w:t>
      </w:r>
      <w:r w:rsidR="00BB7269">
        <w:rPr>
          <w:rFonts w:eastAsia="Calibri" w:cs="Times New Roman"/>
          <w:iCs/>
          <w:noProof/>
          <w:szCs w:val="20"/>
        </w:rPr>
        <w:t>unanimidad,</w:t>
      </w:r>
    </w:p>
    <w:p w14:paraId="788A540F" w14:textId="77777777" w:rsidR="001B6592" w:rsidRPr="009631AB" w:rsidRDefault="001B6592" w:rsidP="003B3610">
      <w:pPr>
        <w:spacing w:after="0" w:line="240" w:lineRule="auto"/>
        <w:rPr>
          <w:rFonts w:eastAsia="Calibri" w:cs="Times New Roman"/>
          <w:iCs/>
          <w:noProof/>
          <w:szCs w:val="20"/>
        </w:rPr>
      </w:pPr>
    </w:p>
    <w:p w14:paraId="0D6FADD6" w14:textId="35A53EF8" w:rsidR="009F21B0" w:rsidRPr="009631AB" w:rsidRDefault="009F21B0" w:rsidP="003B3610">
      <w:pPr>
        <w:pStyle w:val="Prrafodelista"/>
        <w:numPr>
          <w:ilvl w:val="0"/>
          <w:numId w:val="36"/>
        </w:numPr>
        <w:ind w:left="0" w:firstLine="0"/>
        <w:contextualSpacing w:val="0"/>
        <w:rPr>
          <w:rFonts w:eastAsia="Calibri" w:cs="Times New Roman"/>
          <w:iCs/>
          <w:szCs w:val="20"/>
        </w:rPr>
      </w:pPr>
      <w:r w:rsidRPr="009631AB">
        <w:rPr>
          <w:rFonts w:eastAsia="Calibri" w:cs="Times New Roman"/>
          <w:iCs/>
          <w:szCs w:val="20"/>
        </w:rPr>
        <w:t>El Estado brindará gratuitamente y de forma inmediata, adecuada y efectiva, el tratamiento psicológico y psiquiátrico que requiera la víctima, previo consentimiento informado y por el tiempo que sea necesario, incluida la provisión gratuita de medicamentos, en los términos de</w:t>
      </w:r>
      <w:r w:rsidR="00D50D46">
        <w:rPr>
          <w:rFonts w:eastAsia="Calibri" w:cs="Times New Roman"/>
          <w:iCs/>
          <w:szCs w:val="20"/>
        </w:rPr>
        <w:t>l</w:t>
      </w:r>
      <w:r w:rsidRPr="009631AB">
        <w:rPr>
          <w:rFonts w:eastAsia="Calibri" w:cs="Times New Roman"/>
          <w:iCs/>
          <w:szCs w:val="20"/>
        </w:rPr>
        <w:t xml:space="preserve"> párrafo </w:t>
      </w:r>
      <w:r w:rsidR="00D50D46">
        <w:rPr>
          <w:rFonts w:eastAsia="Calibri" w:cs="Times New Roman"/>
          <w:iCs/>
          <w:szCs w:val="20"/>
        </w:rPr>
        <w:t>237</w:t>
      </w:r>
      <w:r w:rsidRPr="009631AB">
        <w:rPr>
          <w:rFonts w:eastAsia="Calibri" w:cs="Times New Roman"/>
          <w:iCs/>
          <w:szCs w:val="20"/>
        </w:rPr>
        <w:t xml:space="preserve"> de la presente Sentencia.</w:t>
      </w:r>
    </w:p>
    <w:p w14:paraId="106CA963" w14:textId="77777777" w:rsidR="009F21B0" w:rsidRPr="009631AB" w:rsidRDefault="009F21B0" w:rsidP="003B3610">
      <w:pPr>
        <w:pStyle w:val="Prrafodelista"/>
        <w:ind w:left="0"/>
        <w:contextualSpacing w:val="0"/>
        <w:rPr>
          <w:rFonts w:eastAsia="Calibri" w:cs="Times New Roman"/>
          <w:iCs/>
          <w:szCs w:val="20"/>
        </w:rPr>
      </w:pPr>
    </w:p>
    <w:p w14:paraId="101411F9" w14:textId="53CEEFBB" w:rsidR="000B53A4" w:rsidRPr="009631AB" w:rsidRDefault="000B53A4" w:rsidP="003B3610">
      <w:pPr>
        <w:spacing w:after="0" w:line="240" w:lineRule="auto"/>
        <w:rPr>
          <w:rFonts w:eastAsia="Calibri" w:cs="Times New Roman"/>
          <w:iCs/>
          <w:noProof/>
          <w:szCs w:val="20"/>
        </w:rPr>
      </w:pPr>
      <w:r w:rsidRPr="009631AB">
        <w:rPr>
          <w:rFonts w:eastAsia="Calibri" w:cs="Times New Roman"/>
          <w:iCs/>
          <w:noProof/>
          <w:szCs w:val="20"/>
        </w:rPr>
        <w:t xml:space="preserve">Por </w:t>
      </w:r>
      <w:r w:rsidR="00BB7269">
        <w:rPr>
          <w:rFonts w:eastAsia="Calibri" w:cs="Times New Roman"/>
          <w:iCs/>
          <w:noProof/>
          <w:szCs w:val="20"/>
        </w:rPr>
        <w:t>unanimidad,</w:t>
      </w:r>
    </w:p>
    <w:p w14:paraId="3B475C66" w14:textId="77777777" w:rsidR="009F21B0" w:rsidRPr="009631AB" w:rsidRDefault="009F21B0" w:rsidP="003B3610">
      <w:pPr>
        <w:pStyle w:val="Prrafodelista"/>
        <w:ind w:left="0"/>
        <w:contextualSpacing w:val="0"/>
        <w:rPr>
          <w:rFonts w:eastAsia="Calibri" w:cs="Times New Roman"/>
          <w:iCs/>
          <w:szCs w:val="20"/>
        </w:rPr>
      </w:pPr>
    </w:p>
    <w:p w14:paraId="3BB07FE9" w14:textId="394709B5" w:rsidR="009F21B0" w:rsidRPr="009631AB" w:rsidRDefault="009F21B0" w:rsidP="003B3610">
      <w:pPr>
        <w:pStyle w:val="Prrafodelista"/>
        <w:numPr>
          <w:ilvl w:val="0"/>
          <w:numId w:val="36"/>
        </w:numPr>
        <w:ind w:left="0" w:firstLine="0"/>
        <w:contextualSpacing w:val="0"/>
        <w:rPr>
          <w:rFonts w:eastAsia="Calibri" w:cs="Times New Roman"/>
          <w:iCs/>
          <w:szCs w:val="20"/>
        </w:rPr>
      </w:pPr>
      <w:r w:rsidRPr="009631AB">
        <w:rPr>
          <w:rFonts w:eastAsia="Calibri" w:cs="Times New Roman"/>
          <w:iCs/>
          <w:szCs w:val="20"/>
        </w:rPr>
        <w:t>El Estado reintegrará al Fondo de Asistencia Legal de Víctimas de la Corte Interamericana de Derechos Humanos la cantidad erogada durante la tramitación del presente caso, en los términos del párrafo</w:t>
      </w:r>
      <w:r w:rsidRPr="009631AB">
        <w:rPr>
          <w:rFonts w:eastAsia="Calibri" w:cs="Times New Roman"/>
          <w:b/>
          <w:iCs/>
          <w:szCs w:val="20"/>
        </w:rPr>
        <w:t xml:space="preserve"> </w:t>
      </w:r>
      <w:r w:rsidR="008C2747">
        <w:rPr>
          <w:rFonts w:eastAsia="Calibri" w:cs="Times New Roman"/>
          <w:iCs/>
          <w:szCs w:val="20"/>
        </w:rPr>
        <w:t>249</w:t>
      </w:r>
      <w:r w:rsidRPr="009631AB">
        <w:rPr>
          <w:rFonts w:eastAsia="Calibri" w:cs="Times New Roman"/>
          <w:iCs/>
          <w:szCs w:val="20"/>
        </w:rPr>
        <w:t xml:space="preserve"> de esta Sentencia. </w:t>
      </w:r>
    </w:p>
    <w:p w14:paraId="7D27D2BA" w14:textId="77777777" w:rsidR="009F21B0" w:rsidRPr="009631AB" w:rsidRDefault="009F21B0" w:rsidP="003B3610">
      <w:pPr>
        <w:pStyle w:val="Prrafodelista"/>
        <w:ind w:left="0"/>
        <w:contextualSpacing w:val="0"/>
        <w:rPr>
          <w:rFonts w:eastAsia="Calibri" w:cs="Times New Roman"/>
          <w:iCs/>
          <w:szCs w:val="20"/>
        </w:rPr>
      </w:pPr>
    </w:p>
    <w:p w14:paraId="033F1E65" w14:textId="08752999" w:rsidR="000B53A4" w:rsidRPr="009631AB" w:rsidRDefault="000B53A4" w:rsidP="003B3610">
      <w:pPr>
        <w:spacing w:after="0" w:line="240" w:lineRule="auto"/>
        <w:rPr>
          <w:rFonts w:eastAsia="Calibri" w:cs="Times New Roman"/>
          <w:iCs/>
          <w:noProof/>
          <w:szCs w:val="20"/>
        </w:rPr>
      </w:pPr>
      <w:r w:rsidRPr="009631AB">
        <w:rPr>
          <w:rFonts w:eastAsia="Calibri" w:cs="Times New Roman"/>
          <w:iCs/>
          <w:noProof/>
          <w:szCs w:val="20"/>
        </w:rPr>
        <w:t xml:space="preserve">Por </w:t>
      </w:r>
      <w:r w:rsidR="00BB7269">
        <w:rPr>
          <w:rFonts w:eastAsia="Calibri" w:cs="Times New Roman"/>
          <w:iCs/>
          <w:noProof/>
          <w:szCs w:val="20"/>
        </w:rPr>
        <w:t>unanimidad,</w:t>
      </w:r>
    </w:p>
    <w:p w14:paraId="5F634598" w14:textId="77777777" w:rsidR="009F21B0" w:rsidRPr="009631AB" w:rsidRDefault="009F21B0" w:rsidP="003B3610">
      <w:pPr>
        <w:pStyle w:val="Prrafodelista"/>
        <w:ind w:left="0"/>
        <w:contextualSpacing w:val="0"/>
        <w:rPr>
          <w:rFonts w:eastAsia="Calibri" w:cs="Times New Roman"/>
          <w:iCs/>
          <w:szCs w:val="20"/>
        </w:rPr>
      </w:pPr>
    </w:p>
    <w:p w14:paraId="7E71B8CC" w14:textId="77777777" w:rsidR="009F21B0" w:rsidRPr="009631AB" w:rsidRDefault="009F21B0" w:rsidP="003B3610">
      <w:pPr>
        <w:pStyle w:val="Prrafodelista"/>
        <w:numPr>
          <w:ilvl w:val="0"/>
          <w:numId w:val="36"/>
        </w:numPr>
        <w:ind w:left="0" w:firstLine="0"/>
        <w:contextualSpacing w:val="0"/>
        <w:rPr>
          <w:rFonts w:eastAsia="Calibri" w:cs="Times New Roman"/>
          <w:iCs/>
          <w:szCs w:val="20"/>
        </w:rPr>
      </w:pPr>
      <w:r w:rsidRPr="009631AB">
        <w:rPr>
          <w:rFonts w:eastAsia="Calibri" w:cs="Times New Roman"/>
          <w:iCs/>
          <w:szCs w:val="20"/>
        </w:rPr>
        <w:t xml:space="preserve">El Estado rendirá al Tribunal un informe, dentro del plazo de un año contado a partir de la notificación de esta Sentencia, sobre las medidas adoptadas para cumplir con la misma. </w:t>
      </w:r>
    </w:p>
    <w:p w14:paraId="6BCB6F7B" w14:textId="77777777" w:rsidR="009F21B0" w:rsidRPr="009631AB" w:rsidRDefault="009F21B0" w:rsidP="003B3610">
      <w:pPr>
        <w:pStyle w:val="Prrafodelista"/>
        <w:ind w:left="0"/>
        <w:contextualSpacing w:val="0"/>
        <w:rPr>
          <w:rFonts w:eastAsia="Calibri" w:cs="Times New Roman"/>
          <w:iCs/>
          <w:szCs w:val="20"/>
        </w:rPr>
      </w:pPr>
    </w:p>
    <w:p w14:paraId="623496D2" w14:textId="230F56F5" w:rsidR="000B53A4" w:rsidRPr="009631AB" w:rsidRDefault="000B53A4" w:rsidP="003B3610">
      <w:pPr>
        <w:spacing w:after="0" w:line="240" w:lineRule="auto"/>
        <w:rPr>
          <w:rFonts w:eastAsia="Calibri" w:cs="Times New Roman"/>
          <w:iCs/>
          <w:noProof/>
          <w:szCs w:val="20"/>
        </w:rPr>
      </w:pPr>
      <w:r w:rsidRPr="009631AB">
        <w:rPr>
          <w:rFonts w:eastAsia="Calibri" w:cs="Times New Roman"/>
          <w:iCs/>
          <w:noProof/>
          <w:szCs w:val="20"/>
        </w:rPr>
        <w:t xml:space="preserve">Por </w:t>
      </w:r>
      <w:r w:rsidR="00BB7269">
        <w:rPr>
          <w:rFonts w:eastAsia="Calibri" w:cs="Times New Roman"/>
          <w:iCs/>
          <w:noProof/>
          <w:szCs w:val="20"/>
        </w:rPr>
        <w:t>unanimidad,</w:t>
      </w:r>
    </w:p>
    <w:p w14:paraId="40B2A038" w14:textId="77777777" w:rsidR="009F21B0" w:rsidRPr="009631AB" w:rsidRDefault="009F21B0" w:rsidP="003B3610">
      <w:pPr>
        <w:pStyle w:val="Prrafodelista"/>
        <w:ind w:left="0"/>
        <w:contextualSpacing w:val="0"/>
        <w:rPr>
          <w:rFonts w:eastAsia="Calibri" w:cs="Times New Roman"/>
          <w:iCs/>
          <w:szCs w:val="20"/>
        </w:rPr>
      </w:pPr>
    </w:p>
    <w:p w14:paraId="1FB94D1A" w14:textId="77777777" w:rsidR="009F21B0" w:rsidRPr="009631AB" w:rsidRDefault="009F21B0" w:rsidP="003B3610">
      <w:pPr>
        <w:pStyle w:val="Prrafodelista"/>
        <w:numPr>
          <w:ilvl w:val="0"/>
          <w:numId w:val="36"/>
        </w:numPr>
        <w:ind w:left="0" w:firstLine="0"/>
        <w:contextualSpacing w:val="0"/>
        <w:rPr>
          <w:rFonts w:eastAsia="Calibri" w:cs="Times New Roman"/>
          <w:iCs/>
          <w:szCs w:val="20"/>
        </w:rPr>
      </w:pPr>
      <w:r w:rsidRPr="009631AB">
        <w:rPr>
          <w:rFonts w:eastAsia="Calibri" w:cs="Times New Roman"/>
          <w:iCs/>
          <w:szCs w:val="2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22CFA03C" w14:textId="77777777" w:rsidR="009F21B0" w:rsidRPr="009631AB" w:rsidRDefault="009F21B0" w:rsidP="000B53A4">
      <w:pPr>
        <w:pStyle w:val="Prrafodelista"/>
        <w:contextualSpacing w:val="0"/>
        <w:rPr>
          <w:rFonts w:eastAsia="Calibri" w:cs="Times New Roman"/>
          <w:iCs/>
          <w:szCs w:val="20"/>
        </w:rPr>
      </w:pPr>
    </w:p>
    <w:p w14:paraId="18476792" w14:textId="44519D7F" w:rsidR="009F21B0" w:rsidRDefault="009F21B0" w:rsidP="000B53A4">
      <w:pPr>
        <w:spacing w:after="0" w:line="240" w:lineRule="auto"/>
        <w:rPr>
          <w:rFonts w:eastAsia="Calibri" w:cs="Times New Roman"/>
          <w:iCs/>
          <w:noProof/>
          <w:szCs w:val="20"/>
        </w:rPr>
      </w:pPr>
      <w:r w:rsidRPr="009631AB">
        <w:rPr>
          <w:rFonts w:eastAsia="Calibri" w:cs="Times New Roman"/>
          <w:iCs/>
          <w:noProof/>
          <w:szCs w:val="20"/>
        </w:rPr>
        <w:t>Redactada en español, en San José, Costa Rica, el 27 de enero de 2020</w:t>
      </w:r>
      <w:r w:rsidR="000B53A4" w:rsidRPr="009631AB">
        <w:rPr>
          <w:rFonts w:eastAsia="Calibri" w:cs="Times New Roman"/>
          <w:iCs/>
          <w:noProof/>
          <w:szCs w:val="20"/>
        </w:rPr>
        <w:t>.</w:t>
      </w:r>
    </w:p>
    <w:p w14:paraId="1617A0C1" w14:textId="77777777" w:rsidR="00580BA7" w:rsidRDefault="00580BA7" w:rsidP="000B53A4">
      <w:pPr>
        <w:spacing w:after="0" w:line="240" w:lineRule="auto"/>
        <w:rPr>
          <w:rFonts w:eastAsia="Calibri" w:cs="Times New Roman"/>
          <w:iCs/>
          <w:noProof/>
          <w:szCs w:val="20"/>
        </w:rPr>
      </w:pPr>
    </w:p>
    <w:p w14:paraId="237ED5C5" w14:textId="77777777" w:rsidR="00580BA7" w:rsidRDefault="00580BA7" w:rsidP="000B53A4">
      <w:pPr>
        <w:spacing w:after="0" w:line="240" w:lineRule="auto"/>
        <w:rPr>
          <w:rFonts w:eastAsia="Calibri" w:cs="Times New Roman"/>
          <w:iCs/>
          <w:noProof/>
          <w:szCs w:val="20"/>
        </w:rPr>
      </w:pPr>
    </w:p>
    <w:p w14:paraId="53DBAF3F" w14:textId="77777777" w:rsidR="00580BA7" w:rsidRDefault="00580BA7" w:rsidP="000B53A4">
      <w:pPr>
        <w:spacing w:after="0" w:line="240" w:lineRule="auto"/>
        <w:rPr>
          <w:rFonts w:eastAsia="Calibri" w:cs="Times New Roman"/>
          <w:iCs/>
          <w:noProof/>
          <w:szCs w:val="20"/>
        </w:rPr>
      </w:pPr>
    </w:p>
    <w:p w14:paraId="2DDEE512" w14:textId="77777777" w:rsidR="00580BA7" w:rsidRDefault="00580BA7" w:rsidP="000B53A4">
      <w:pPr>
        <w:spacing w:after="0" w:line="240" w:lineRule="auto"/>
        <w:rPr>
          <w:rFonts w:eastAsia="Calibri" w:cs="Times New Roman"/>
          <w:iCs/>
          <w:noProof/>
          <w:szCs w:val="20"/>
        </w:rPr>
      </w:pPr>
    </w:p>
    <w:p w14:paraId="5B06AD91" w14:textId="77777777" w:rsidR="00580BA7" w:rsidRDefault="00580BA7" w:rsidP="000B53A4">
      <w:pPr>
        <w:spacing w:after="0" w:line="240" w:lineRule="auto"/>
        <w:rPr>
          <w:rFonts w:eastAsia="Calibri" w:cs="Times New Roman"/>
          <w:iCs/>
          <w:noProof/>
          <w:szCs w:val="20"/>
        </w:rPr>
      </w:pPr>
    </w:p>
    <w:p w14:paraId="2A3D7F33" w14:textId="77777777" w:rsidR="00580BA7" w:rsidRDefault="00580BA7" w:rsidP="000B53A4">
      <w:pPr>
        <w:spacing w:after="0" w:line="240" w:lineRule="auto"/>
        <w:rPr>
          <w:rFonts w:eastAsia="Calibri" w:cs="Times New Roman"/>
          <w:iCs/>
          <w:noProof/>
          <w:szCs w:val="20"/>
        </w:rPr>
      </w:pPr>
    </w:p>
    <w:p w14:paraId="1445941B" w14:textId="77777777" w:rsidR="00580BA7" w:rsidRDefault="00580BA7" w:rsidP="000B53A4">
      <w:pPr>
        <w:spacing w:after="0" w:line="240" w:lineRule="auto"/>
        <w:rPr>
          <w:rFonts w:eastAsia="Calibri" w:cs="Times New Roman"/>
          <w:iCs/>
          <w:noProof/>
          <w:szCs w:val="20"/>
        </w:rPr>
      </w:pPr>
    </w:p>
    <w:p w14:paraId="4C4F9BB6" w14:textId="77777777" w:rsidR="00580BA7" w:rsidRDefault="00580BA7" w:rsidP="000B53A4">
      <w:pPr>
        <w:spacing w:after="0" w:line="240" w:lineRule="auto"/>
        <w:rPr>
          <w:rFonts w:eastAsia="Calibri" w:cs="Times New Roman"/>
          <w:iCs/>
          <w:noProof/>
          <w:szCs w:val="20"/>
        </w:rPr>
      </w:pPr>
    </w:p>
    <w:p w14:paraId="25156F08" w14:textId="77777777" w:rsidR="00580BA7" w:rsidRDefault="00580BA7" w:rsidP="000B53A4">
      <w:pPr>
        <w:spacing w:after="0" w:line="240" w:lineRule="auto"/>
        <w:rPr>
          <w:rFonts w:eastAsia="Calibri" w:cs="Times New Roman"/>
          <w:iCs/>
          <w:noProof/>
          <w:szCs w:val="20"/>
        </w:rPr>
      </w:pPr>
    </w:p>
    <w:p w14:paraId="42515E8C" w14:textId="77777777" w:rsidR="00580BA7" w:rsidRDefault="00580BA7" w:rsidP="000B53A4">
      <w:pPr>
        <w:spacing w:after="0" w:line="240" w:lineRule="auto"/>
        <w:rPr>
          <w:rFonts w:eastAsia="Calibri" w:cs="Times New Roman"/>
          <w:iCs/>
          <w:noProof/>
          <w:szCs w:val="20"/>
        </w:rPr>
      </w:pPr>
    </w:p>
    <w:p w14:paraId="46A4F621" w14:textId="77777777" w:rsidR="00580BA7" w:rsidRDefault="00580BA7" w:rsidP="000B53A4">
      <w:pPr>
        <w:spacing w:after="0" w:line="240" w:lineRule="auto"/>
        <w:rPr>
          <w:rFonts w:eastAsia="Calibri" w:cs="Times New Roman"/>
          <w:iCs/>
          <w:noProof/>
          <w:szCs w:val="20"/>
        </w:rPr>
      </w:pPr>
    </w:p>
    <w:p w14:paraId="41831E97" w14:textId="77777777" w:rsidR="00580BA7" w:rsidRDefault="00580BA7" w:rsidP="000B53A4">
      <w:pPr>
        <w:spacing w:after="0" w:line="240" w:lineRule="auto"/>
        <w:rPr>
          <w:rFonts w:eastAsia="Calibri" w:cs="Times New Roman"/>
          <w:iCs/>
          <w:noProof/>
          <w:szCs w:val="20"/>
        </w:rPr>
      </w:pPr>
    </w:p>
    <w:p w14:paraId="5E394F16" w14:textId="77777777" w:rsidR="00580BA7" w:rsidRDefault="00580BA7" w:rsidP="000B53A4">
      <w:pPr>
        <w:spacing w:after="0" w:line="240" w:lineRule="auto"/>
        <w:rPr>
          <w:rFonts w:eastAsia="Calibri" w:cs="Times New Roman"/>
          <w:iCs/>
          <w:noProof/>
          <w:szCs w:val="20"/>
        </w:rPr>
      </w:pPr>
    </w:p>
    <w:p w14:paraId="579BDCBA" w14:textId="77777777" w:rsidR="00580BA7" w:rsidRDefault="00580BA7" w:rsidP="000B53A4">
      <w:pPr>
        <w:spacing w:after="0" w:line="240" w:lineRule="auto"/>
        <w:rPr>
          <w:rFonts w:eastAsia="Calibri" w:cs="Times New Roman"/>
          <w:iCs/>
          <w:noProof/>
          <w:szCs w:val="20"/>
        </w:rPr>
      </w:pPr>
    </w:p>
    <w:p w14:paraId="116FAE54" w14:textId="77777777" w:rsidR="00580BA7" w:rsidRDefault="00580BA7" w:rsidP="000B53A4">
      <w:pPr>
        <w:spacing w:after="0" w:line="240" w:lineRule="auto"/>
        <w:rPr>
          <w:rFonts w:eastAsia="Calibri" w:cs="Times New Roman"/>
          <w:iCs/>
          <w:noProof/>
          <w:szCs w:val="20"/>
        </w:rPr>
      </w:pPr>
    </w:p>
    <w:p w14:paraId="047F8F6E" w14:textId="77777777" w:rsidR="00580BA7" w:rsidRDefault="00580BA7" w:rsidP="000B53A4">
      <w:pPr>
        <w:spacing w:after="0" w:line="240" w:lineRule="auto"/>
        <w:rPr>
          <w:rFonts w:eastAsia="Calibri" w:cs="Times New Roman"/>
          <w:iCs/>
          <w:noProof/>
          <w:szCs w:val="20"/>
        </w:rPr>
      </w:pPr>
    </w:p>
    <w:p w14:paraId="2CAE2A4E" w14:textId="77777777" w:rsidR="00580BA7" w:rsidRDefault="00580BA7" w:rsidP="000B53A4">
      <w:pPr>
        <w:spacing w:after="0" w:line="240" w:lineRule="auto"/>
        <w:rPr>
          <w:rFonts w:eastAsia="Calibri" w:cs="Times New Roman"/>
          <w:iCs/>
          <w:noProof/>
          <w:szCs w:val="20"/>
        </w:rPr>
      </w:pPr>
    </w:p>
    <w:p w14:paraId="3099C6C8" w14:textId="77777777" w:rsidR="00580BA7" w:rsidRDefault="00580BA7" w:rsidP="000B53A4">
      <w:pPr>
        <w:spacing w:after="0" w:line="240" w:lineRule="auto"/>
        <w:rPr>
          <w:rFonts w:eastAsia="Calibri" w:cs="Times New Roman"/>
          <w:iCs/>
          <w:noProof/>
          <w:szCs w:val="20"/>
        </w:rPr>
      </w:pPr>
    </w:p>
    <w:p w14:paraId="166BB555" w14:textId="77777777" w:rsidR="00580BA7" w:rsidRDefault="00580BA7" w:rsidP="000B53A4">
      <w:pPr>
        <w:spacing w:after="0" w:line="240" w:lineRule="auto"/>
        <w:rPr>
          <w:rFonts w:eastAsia="Calibri" w:cs="Times New Roman"/>
          <w:iCs/>
          <w:noProof/>
          <w:szCs w:val="20"/>
        </w:rPr>
      </w:pPr>
    </w:p>
    <w:p w14:paraId="3D184D14" w14:textId="77777777" w:rsidR="00580BA7" w:rsidRDefault="00580BA7" w:rsidP="000B53A4">
      <w:pPr>
        <w:spacing w:after="0" w:line="240" w:lineRule="auto"/>
        <w:rPr>
          <w:rFonts w:eastAsia="Calibri" w:cs="Times New Roman"/>
          <w:iCs/>
          <w:noProof/>
          <w:szCs w:val="20"/>
        </w:rPr>
      </w:pPr>
    </w:p>
    <w:p w14:paraId="6851D1E1" w14:textId="77777777" w:rsidR="00580BA7" w:rsidRDefault="00580BA7" w:rsidP="000B53A4">
      <w:pPr>
        <w:spacing w:after="0" w:line="240" w:lineRule="auto"/>
        <w:rPr>
          <w:rFonts w:eastAsia="Calibri" w:cs="Times New Roman"/>
          <w:iCs/>
          <w:noProof/>
          <w:szCs w:val="20"/>
        </w:rPr>
      </w:pPr>
    </w:p>
    <w:p w14:paraId="25ED87DF" w14:textId="77777777" w:rsidR="00580BA7" w:rsidRDefault="00580BA7" w:rsidP="000B53A4">
      <w:pPr>
        <w:spacing w:after="0" w:line="240" w:lineRule="auto"/>
        <w:rPr>
          <w:rFonts w:eastAsia="Calibri" w:cs="Times New Roman"/>
          <w:iCs/>
          <w:noProof/>
          <w:szCs w:val="20"/>
        </w:rPr>
      </w:pPr>
    </w:p>
    <w:p w14:paraId="483AD24B" w14:textId="77777777" w:rsidR="00580BA7" w:rsidRDefault="00580BA7" w:rsidP="00580BA7">
      <w:pPr>
        <w:spacing w:after="0" w:line="240" w:lineRule="auto"/>
        <w:jc w:val="both"/>
        <w:rPr>
          <w:lang w:val="es-ES"/>
        </w:rPr>
      </w:pPr>
    </w:p>
    <w:p w14:paraId="13A25C4B" w14:textId="77777777" w:rsidR="00580BA7" w:rsidRDefault="00580BA7" w:rsidP="00580BA7">
      <w:pPr>
        <w:spacing w:after="0" w:line="240" w:lineRule="auto"/>
        <w:jc w:val="both"/>
        <w:rPr>
          <w:strike/>
          <w:lang w:val="es-ES"/>
        </w:rPr>
      </w:pPr>
    </w:p>
    <w:p w14:paraId="56BB62F1" w14:textId="77777777" w:rsidR="00580BA7" w:rsidRPr="002D12F9" w:rsidRDefault="00580BA7" w:rsidP="00580BA7">
      <w:pPr>
        <w:spacing w:after="0" w:line="240" w:lineRule="auto"/>
        <w:jc w:val="both"/>
        <w:rPr>
          <w:strike/>
          <w:lang w:val="es-ES"/>
        </w:rPr>
      </w:pPr>
    </w:p>
    <w:p w14:paraId="6DCF8C24" w14:textId="77777777" w:rsidR="00580BA7" w:rsidRPr="002D12F9" w:rsidRDefault="00580BA7" w:rsidP="00580BA7">
      <w:pPr>
        <w:spacing w:after="0" w:line="240" w:lineRule="auto"/>
        <w:jc w:val="both"/>
        <w:rPr>
          <w:lang w:val="es-ES"/>
        </w:rPr>
      </w:pPr>
      <w:r w:rsidRPr="002D12F9">
        <w:rPr>
          <w:lang w:val="es-ES"/>
        </w:rPr>
        <w:t xml:space="preserve">Corte IDH. </w:t>
      </w:r>
      <w:r w:rsidRPr="000304D5">
        <w:rPr>
          <w:i/>
          <w:lang w:val="es-ES"/>
        </w:rPr>
        <w:t xml:space="preserve">Caso </w:t>
      </w:r>
      <w:r>
        <w:rPr>
          <w:i/>
          <w:iCs/>
        </w:rPr>
        <w:t>Montesinos Mejías</w:t>
      </w:r>
      <w:r w:rsidRPr="000304D5">
        <w:rPr>
          <w:i/>
          <w:iCs/>
        </w:rPr>
        <w:t xml:space="preserve"> </w:t>
      </w:r>
      <w:r>
        <w:rPr>
          <w:i/>
          <w:iCs/>
        </w:rPr>
        <w:t>V</w:t>
      </w:r>
      <w:r w:rsidRPr="000304D5">
        <w:rPr>
          <w:i/>
          <w:iCs/>
        </w:rPr>
        <w:t xml:space="preserve">s. </w:t>
      </w:r>
      <w:r>
        <w:rPr>
          <w:i/>
          <w:iCs/>
        </w:rPr>
        <w:t>Ecuador</w:t>
      </w:r>
      <w:r w:rsidRPr="006B1112">
        <w:rPr>
          <w:iCs/>
        </w:rPr>
        <w:t>. Excepciones Preliminares</w:t>
      </w:r>
      <w:r>
        <w:rPr>
          <w:iCs/>
        </w:rPr>
        <w:t>,</w:t>
      </w:r>
      <w:r w:rsidRPr="002D12F9">
        <w:rPr>
          <w:lang w:val="es-ES"/>
        </w:rPr>
        <w:t xml:space="preserve"> Fondo, Reparaciones y Costas. Sentencia de </w:t>
      </w:r>
      <w:r>
        <w:rPr>
          <w:lang w:val="es-ES"/>
        </w:rPr>
        <w:t>27</w:t>
      </w:r>
      <w:r w:rsidRPr="002D12F9">
        <w:rPr>
          <w:lang w:val="es-ES"/>
        </w:rPr>
        <w:t xml:space="preserve"> de </w:t>
      </w:r>
      <w:r>
        <w:rPr>
          <w:lang w:val="es-ES"/>
        </w:rPr>
        <w:t>enero</w:t>
      </w:r>
      <w:r w:rsidRPr="002D12F9">
        <w:rPr>
          <w:lang w:val="es-ES"/>
        </w:rPr>
        <w:t xml:space="preserve"> de 20</w:t>
      </w:r>
      <w:r>
        <w:rPr>
          <w:lang w:val="es-ES"/>
        </w:rPr>
        <w:t>20</w:t>
      </w:r>
      <w:r w:rsidRPr="002D12F9">
        <w:rPr>
          <w:lang w:val="es-ES"/>
        </w:rPr>
        <w:t>.</w:t>
      </w:r>
    </w:p>
    <w:p w14:paraId="4E40440D" w14:textId="77777777" w:rsidR="00580BA7" w:rsidRPr="002D12F9" w:rsidRDefault="00580BA7" w:rsidP="00580BA7">
      <w:pPr>
        <w:spacing w:after="0" w:line="240" w:lineRule="auto"/>
        <w:jc w:val="both"/>
        <w:rPr>
          <w:lang w:val="pt-BR"/>
        </w:rPr>
      </w:pPr>
    </w:p>
    <w:p w14:paraId="127F940C" w14:textId="77777777" w:rsidR="00580BA7" w:rsidRDefault="00580BA7" w:rsidP="00580BA7">
      <w:pPr>
        <w:spacing w:after="0" w:line="240" w:lineRule="auto"/>
        <w:jc w:val="center"/>
        <w:rPr>
          <w:lang w:val="pt-BR"/>
        </w:rPr>
      </w:pPr>
    </w:p>
    <w:p w14:paraId="435F445C" w14:textId="77777777" w:rsidR="00580BA7" w:rsidRDefault="00580BA7" w:rsidP="00580BA7">
      <w:pPr>
        <w:spacing w:after="0" w:line="240" w:lineRule="auto"/>
        <w:jc w:val="center"/>
        <w:rPr>
          <w:lang w:val="pt-BR"/>
        </w:rPr>
      </w:pPr>
    </w:p>
    <w:p w14:paraId="38CE5982" w14:textId="77777777" w:rsidR="00580BA7" w:rsidRDefault="00580BA7" w:rsidP="00580BA7">
      <w:pPr>
        <w:spacing w:after="0" w:line="240" w:lineRule="auto"/>
        <w:jc w:val="center"/>
        <w:rPr>
          <w:lang w:val="pt-BR"/>
        </w:rPr>
      </w:pPr>
    </w:p>
    <w:p w14:paraId="5F4CB321" w14:textId="77777777" w:rsidR="00580BA7" w:rsidRDefault="00580BA7" w:rsidP="00580BA7">
      <w:pPr>
        <w:spacing w:after="0" w:line="240" w:lineRule="auto"/>
        <w:jc w:val="center"/>
        <w:rPr>
          <w:lang w:val="pt-BR"/>
        </w:rPr>
      </w:pPr>
    </w:p>
    <w:p w14:paraId="1C80F034" w14:textId="77777777" w:rsidR="00580BA7" w:rsidRDefault="00580BA7" w:rsidP="00580BA7">
      <w:pPr>
        <w:spacing w:after="0" w:line="240" w:lineRule="auto"/>
        <w:jc w:val="center"/>
        <w:rPr>
          <w:lang w:val="pt-BR"/>
        </w:rPr>
      </w:pPr>
      <w:r>
        <w:rPr>
          <w:lang w:val="pt-BR"/>
        </w:rPr>
        <w:t>Elizabeth Odio Benito</w:t>
      </w:r>
    </w:p>
    <w:p w14:paraId="198BADFF" w14:textId="77777777" w:rsidR="00580BA7" w:rsidRDefault="00580BA7" w:rsidP="00580BA7">
      <w:pPr>
        <w:spacing w:after="0" w:line="240" w:lineRule="auto"/>
        <w:jc w:val="center"/>
        <w:rPr>
          <w:lang w:val="pt-BR"/>
        </w:rPr>
      </w:pPr>
      <w:r>
        <w:rPr>
          <w:lang w:val="pt-BR"/>
        </w:rPr>
        <w:t>Presidenta</w:t>
      </w:r>
    </w:p>
    <w:p w14:paraId="1E9EBE78" w14:textId="77777777" w:rsidR="00580BA7" w:rsidRDefault="00580BA7" w:rsidP="00580BA7">
      <w:pPr>
        <w:spacing w:after="0" w:line="240" w:lineRule="auto"/>
        <w:jc w:val="center"/>
        <w:rPr>
          <w:lang w:val="pt-BR"/>
        </w:rPr>
      </w:pPr>
    </w:p>
    <w:p w14:paraId="4AFDC93A" w14:textId="77777777" w:rsidR="00580BA7" w:rsidRDefault="00580BA7" w:rsidP="00580BA7">
      <w:pPr>
        <w:spacing w:after="0" w:line="240" w:lineRule="auto"/>
        <w:jc w:val="center"/>
        <w:rPr>
          <w:lang w:val="pt-BR"/>
        </w:rPr>
      </w:pPr>
    </w:p>
    <w:p w14:paraId="051D826D" w14:textId="77777777" w:rsidR="00580BA7" w:rsidRDefault="00580BA7" w:rsidP="00580BA7">
      <w:pPr>
        <w:spacing w:after="0" w:line="240" w:lineRule="auto"/>
        <w:rPr>
          <w:lang w:val="pt-BR"/>
        </w:rPr>
      </w:pPr>
    </w:p>
    <w:p w14:paraId="58214698" w14:textId="77777777" w:rsidR="00580BA7" w:rsidRDefault="00580BA7" w:rsidP="00580BA7">
      <w:pPr>
        <w:spacing w:after="0" w:line="240" w:lineRule="auto"/>
        <w:rPr>
          <w:lang w:val="pt-BR"/>
        </w:rPr>
      </w:pPr>
    </w:p>
    <w:p w14:paraId="0F9E1B80" w14:textId="77777777" w:rsidR="00580BA7" w:rsidRDefault="00580BA7" w:rsidP="00580BA7">
      <w:pPr>
        <w:spacing w:after="0" w:line="240" w:lineRule="auto"/>
        <w:rPr>
          <w:lang w:val="pt-BR"/>
        </w:rPr>
      </w:pPr>
    </w:p>
    <w:p w14:paraId="3F91AEA7" w14:textId="77777777" w:rsidR="00580BA7" w:rsidRDefault="00580BA7" w:rsidP="00580BA7">
      <w:pPr>
        <w:spacing w:after="0" w:line="240" w:lineRule="auto"/>
        <w:rPr>
          <w:lang w:val="pt-BR"/>
        </w:rPr>
      </w:pPr>
      <w:r>
        <w:rPr>
          <w:lang w:val="pt-BR"/>
        </w:rPr>
        <w:t>Eduardo Vio Grossi</w:t>
      </w:r>
      <w:r>
        <w:rPr>
          <w:lang w:val="pt-BR"/>
        </w:rPr>
        <w:tab/>
      </w:r>
      <w:r>
        <w:rPr>
          <w:lang w:val="pt-BR"/>
        </w:rPr>
        <w:tab/>
      </w:r>
      <w:r>
        <w:rPr>
          <w:lang w:val="pt-BR"/>
        </w:rPr>
        <w:tab/>
      </w:r>
      <w:r>
        <w:rPr>
          <w:lang w:val="pt-BR"/>
        </w:rPr>
        <w:tab/>
      </w:r>
      <w:r>
        <w:rPr>
          <w:lang w:val="pt-BR"/>
        </w:rPr>
        <w:tab/>
      </w:r>
      <w:r>
        <w:rPr>
          <w:lang w:val="pt-BR"/>
        </w:rPr>
        <w:tab/>
        <w:t xml:space="preserve">       Humberto Antonio Sierra Porto</w:t>
      </w:r>
    </w:p>
    <w:p w14:paraId="52E61C80" w14:textId="77777777" w:rsidR="00580BA7" w:rsidRDefault="00580BA7" w:rsidP="00580BA7">
      <w:pPr>
        <w:spacing w:after="0" w:line="240" w:lineRule="auto"/>
        <w:rPr>
          <w:lang w:val="pt-BR"/>
        </w:rPr>
      </w:pPr>
    </w:p>
    <w:p w14:paraId="60E0408D" w14:textId="77777777" w:rsidR="00580BA7" w:rsidRDefault="00580BA7" w:rsidP="00580BA7">
      <w:pPr>
        <w:spacing w:after="0" w:line="240" w:lineRule="auto"/>
        <w:rPr>
          <w:lang w:val="pt-BR"/>
        </w:rPr>
      </w:pPr>
    </w:p>
    <w:p w14:paraId="16194A33" w14:textId="77777777" w:rsidR="00580BA7" w:rsidRDefault="00580BA7" w:rsidP="00580BA7">
      <w:pPr>
        <w:spacing w:after="0" w:line="240" w:lineRule="auto"/>
        <w:rPr>
          <w:lang w:val="pt-BR"/>
        </w:rPr>
      </w:pPr>
    </w:p>
    <w:p w14:paraId="63404C5C" w14:textId="77777777" w:rsidR="00580BA7" w:rsidRDefault="00580BA7" w:rsidP="00580BA7">
      <w:pPr>
        <w:spacing w:after="0" w:line="240" w:lineRule="auto"/>
        <w:rPr>
          <w:lang w:val="pt-BR"/>
        </w:rPr>
      </w:pPr>
    </w:p>
    <w:p w14:paraId="34BE4A5A" w14:textId="77777777" w:rsidR="00580BA7" w:rsidRDefault="00580BA7" w:rsidP="00580BA7">
      <w:pPr>
        <w:spacing w:after="0" w:line="240" w:lineRule="auto"/>
        <w:rPr>
          <w:lang w:val="pt-BR"/>
        </w:rPr>
      </w:pPr>
    </w:p>
    <w:p w14:paraId="03372BE0" w14:textId="77777777" w:rsidR="00580BA7" w:rsidRDefault="00580BA7" w:rsidP="00580BA7">
      <w:pPr>
        <w:spacing w:after="0" w:line="240" w:lineRule="auto"/>
        <w:rPr>
          <w:lang w:val="pt-BR"/>
        </w:rPr>
      </w:pPr>
      <w:r>
        <w:rPr>
          <w:lang w:val="pt-BR"/>
        </w:rPr>
        <w:t>Eduardo Ferrer Mac-Gregor Poisot</w:t>
      </w:r>
      <w:r>
        <w:rPr>
          <w:lang w:val="pt-BR"/>
        </w:rPr>
        <w:tab/>
      </w:r>
      <w:r>
        <w:rPr>
          <w:lang w:val="pt-BR"/>
        </w:rPr>
        <w:tab/>
      </w:r>
      <w:r>
        <w:rPr>
          <w:lang w:val="pt-BR"/>
        </w:rPr>
        <w:tab/>
      </w:r>
      <w:r>
        <w:rPr>
          <w:lang w:val="pt-BR"/>
        </w:rPr>
        <w:tab/>
        <w:t xml:space="preserve">                  Eugenio Raúl Zaffaroni</w:t>
      </w:r>
      <w:r>
        <w:rPr>
          <w:lang w:val="pt-BR"/>
        </w:rPr>
        <w:tab/>
      </w:r>
      <w:r w:rsidRPr="0019261A">
        <w:rPr>
          <w:lang w:val="pt-BR"/>
        </w:rPr>
        <w:tab/>
      </w:r>
      <w:r>
        <w:rPr>
          <w:lang w:val="pt-BR"/>
        </w:rPr>
        <w:t xml:space="preserve">                                                   </w:t>
      </w:r>
    </w:p>
    <w:p w14:paraId="769AE74B" w14:textId="77777777" w:rsidR="00580BA7" w:rsidRDefault="00580BA7" w:rsidP="00580BA7">
      <w:pPr>
        <w:spacing w:after="0" w:line="240" w:lineRule="auto"/>
        <w:rPr>
          <w:lang w:val="pt-BR"/>
        </w:rPr>
      </w:pPr>
    </w:p>
    <w:p w14:paraId="2FA82DEC" w14:textId="77777777" w:rsidR="00580BA7" w:rsidRDefault="00580BA7" w:rsidP="00580BA7">
      <w:pPr>
        <w:spacing w:after="0" w:line="240" w:lineRule="auto"/>
        <w:rPr>
          <w:lang w:val="pt-BR"/>
        </w:rPr>
      </w:pPr>
    </w:p>
    <w:p w14:paraId="61F68316" w14:textId="77777777" w:rsidR="00580BA7" w:rsidRDefault="00580BA7" w:rsidP="00580BA7">
      <w:pPr>
        <w:spacing w:after="0" w:line="240" w:lineRule="auto"/>
        <w:rPr>
          <w:lang w:val="pt-BR"/>
        </w:rPr>
      </w:pPr>
    </w:p>
    <w:p w14:paraId="490FC05A" w14:textId="77777777" w:rsidR="00580BA7" w:rsidRDefault="00580BA7" w:rsidP="00580BA7">
      <w:pPr>
        <w:spacing w:after="0" w:line="240" w:lineRule="auto"/>
        <w:rPr>
          <w:lang w:val="pt-BR"/>
        </w:rPr>
      </w:pPr>
    </w:p>
    <w:p w14:paraId="7C5322F8" w14:textId="77777777" w:rsidR="00580BA7" w:rsidRDefault="00580BA7" w:rsidP="00580BA7">
      <w:pPr>
        <w:spacing w:after="0" w:line="240" w:lineRule="auto"/>
        <w:rPr>
          <w:lang w:val="pt-BR"/>
        </w:rPr>
      </w:pPr>
    </w:p>
    <w:p w14:paraId="1C7181FA" w14:textId="77777777" w:rsidR="00580BA7" w:rsidRPr="0019261A" w:rsidRDefault="00580BA7" w:rsidP="00580BA7">
      <w:pPr>
        <w:spacing w:after="0" w:line="240" w:lineRule="auto"/>
        <w:jc w:val="center"/>
        <w:rPr>
          <w:lang w:val="pt-BR"/>
        </w:rPr>
      </w:pPr>
      <w:r>
        <w:rPr>
          <w:lang w:val="pt-BR"/>
        </w:rPr>
        <w:t>Ricardo C. Pérez Manrique</w:t>
      </w:r>
    </w:p>
    <w:p w14:paraId="49940D4A" w14:textId="77777777" w:rsidR="00580BA7" w:rsidRDefault="00580BA7" w:rsidP="00580BA7">
      <w:pPr>
        <w:spacing w:after="0" w:line="240" w:lineRule="auto"/>
        <w:jc w:val="both"/>
        <w:rPr>
          <w:lang w:val="pt-BR"/>
        </w:rPr>
      </w:pPr>
    </w:p>
    <w:p w14:paraId="4FCEB5EF" w14:textId="77777777" w:rsidR="00580BA7" w:rsidRDefault="00580BA7" w:rsidP="00580BA7">
      <w:pPr>
        <w:spacing w:after="0" w:line="240" w:lineRule="auto"/>
        <w:jc w:val="both"/>
        <w:rPr>
          <w:lang w:val="pt-BR"/>
        </w:rPr>
      </w:pPr>
    </w:p>
    <w:p w14:paraId="48267ACC" w14:textId="77777777" w:rsidR="00580BA7" w:rsidRDefault="00580BA7" w:rsidP="00580BA7">
      <w:pPr>
        <w:spacing w:after="0" w:line="240" w:lineRule="auto"/>
        <w:jc w:val="both"/>
        <w:rPr>
          <w:lang w:val="pt-BR"/>
        </w:rPr>
      </w:pPr>
    </w:p>
    <w:p w14:paraId="0741D04F" w14:textId="77777777" w:rsidR="00580BA7" w:rsidRDefault="00580BA7" w:rsidP="00580BA7">
      <w:pPr>
        <w:spacing w:after="0" w:line="240" w:lineRule="auto"/>
        <w:jc w:val="both"/>
        <w:rPr>
          <w:lang w:val="pt-BR"/>
        </w:rPr>
      </w:pPr>
    </w:p>
    <w:p w14:paraId="02E12545" w14:textId="77777777" w:rsidR="00580BA7" w:rsidRPr="0019261A" w:rsidRDefault="00580BA7" w:rsidP="00580BA7">
      <w:pPr>
        <w:spacing w:after="0" w:line="240" w:lineRule="auto"/>
        <w:jc w:val="both"/>
        <w:rPr>
          <w:lang w:val="pt-BR"/>
        </w:rPr>
      </w:pPr>
    </w:p>
    <w:p w14:paraId="125F6EE2" w14:textId="77777777" w:rsidR="00580BA7" w:rsidRPr="0019261A" w:rsidRDefault="00580BA7" w:rsidP="00580BA7">
      <w:pPr>
        <w:spacing w:after="0" w:line="240" w:lineRule="auto"/>
        <w:jc w:val="both"/>
        <w:rPr>
          <w:lang w:val="pt-BR"/>
        </w:rPr>
      </w:pPr>
    </w:p>
    <w:p w14:paraId="722D8B06" w14:textId="77777777" w:rsidR="00580BA7" w:rsidRPr="00FC4051" w:rsidRDefault="00580BA7" w:rsidP="00580BA7">
      <w:pPr>
        <w:spacing w:after="0" w:line="240" w:lineRule="auto"/>
        <w:jc w:val="center"/>
        <w:rPr>
          <w:lang w:val="pt-BR"/>
        </w:rPr>
      </w:pPr>
      <w:r w:rsidRPr="00FC4051">
        <w:rPr>
          <w:lang w:val="pt-BR"/>
        </w:rPr>
        <w:t>Pablo Saavedra Alessandri</w:t>
      </w:r>
    </w:p>
    <w:p w14:paraId="583B5B7E" w14:textId="77777777" w:rsidR="00580BA7" w:rsidRDefault="00580BA7" w:rsidP="00580BA7">
      <w:pPr>
        <w:spacing w:after="0" w:line="240" w:lineRule="auto"/>
        <w:jc w:val="center"/>
        <w:rPr>
          <w:lang w:val="pt-BR"/>
        </w:rPr>
      </w:pPr>
      <w:r w:rsidRPr="00FC4051">
        <w:rPr>
          <w:lang w:val="pt-BR"/>
        </w:rPr>
        <w:t>Secret</w:t>
      </w:r>
      <w:r>
        <w:rPr>
          <w:lang w:val="pt-BR"/>
        </w:rPr>
        <w:t>a</w:t>
      </w:r>
      <w:r w:rsidRPr="00FC4051">
        <w:rPr>
          <w:lang w:val="pt-BR"/>
        </w:rPr>
        <w:t>rio</w:t>
      </w:r>
    </w:p>
    <w:p w14:paraId="7831C36B" w14:textId="77777777" w:rsidR="00580BA7" w:rsidRPr="00FC4051" w:rsidRDefault="00580BA7" w:rsidP="00580BA7">
      <w:pPr>
        <w:pStyle w:val="Textonotapie"/>
        <w:rPr>
          <w:lang w:val="pt-BR"/>
        </w:rPr>
      </w:pPr>
    </w:p>
    <w:p w14:paraId="2822C720" w14:textId="77777777" w:rsidR="00580BA7" w:rsidRPr="00FC4051" w:rsidRDefault="00580BA7" w:rsidP="00580BA7">
      <w:pPr>
        <w:pStyle w:val="Textonotapie"/>
        <w:rPr>
          <w:lang w:val="pt-BR"/>
        </w:rPr>
      </w:pPr>
    </w:p>
    <w:p w14:paraId="593DD5CA" w14:textId="77777777" w:rsidR="00580BA7" w:rsidRPr="00FC4051" w:rsidRDefault="00580BA7" w:rsidP="00580BA7">
      <w:pPr>
        <w:spacing w:after="0" w:line="240" w:lineRule="auto"/>
        <w:jc w:val="both"/>
        <w:rPr>
          <w:lang w:val="pt-BR"/>
        </w:rPr>
      </w:pPr>
      <w:r>
        <w:rPr>
          <w:lang w:val="pt-BR"/>
        </w:rPr>
        <w:t>Comuníquese y ejecútese</w:t>
      </w:r>
      <w:r w:rsidRPr="00FC4051">
        <w:rPr>
          <w:lang w:val="pt-BR"/>
        </w:rPr>
        <w:t>,</w:t>
      </w:r>
    </w:p>
    <w:p w14:paraId="343F84F2" w14:textId="77777777" w:rsidR="00580BA7" w:rsidRPr="00FC4051" w:rsidRDefault="00580BA7" w:rsidP="00580BA7">
      <w:pPr>
        <w:spacing w:after="0" w:line="240" w:lineRule="auto"/>
        <w:rPr>
          <w:lang w:val="pt-BR"/>
        </w:rPr>
      </w:pPr>
    </w:p>
    <w:p w14:paraId="03DBF43C" w14:textId="77777777" w:rsidR="00580BA7" w:rsidRDefault="00580BA7" w:rsidP="00580BA7">
      <w:pPr>
        <w:spacing w:after="0" w:line="240" w:lineRule="auto"/>
        <w:jc w:val="center"/>
        <w:rPr>
          <w:lang w:val="pt-BR"/>
        </w:rPr>
      </w:pPr>
    </w:p>
    <w:p w14:paraId="28355DBE" w14:textId="77777777" w:rsidR="00580BA7" w:rsidRDefault="00580BA7" w:rsidP="00580BA7">
      <w:pPr>
        <w:spacing w:after="0" w:line="240" w:lineRule="auto"/>
        <w:jc w:val="center"/>
        <w:rPr>
          <w:lang w:val="pt-BR"/>
        </w:rPr>
      </w:pPr>
    </w:p>
    <w:p w14:paraId="225A017D" w14:textId="77777777" w:rsidR="00580BA7" w:rsidRPr="00FC4051" w:rsidRDefault="00580BA7" w:rsidP="00580BA7">
      <w:pPr>
        <w:spacing w:after="0" w:line="240" w:lineRule="auto"/>
        <w:jc w:val="right"/>
        <w:rPr>
          <w:lang w:val="pt-BR"/>
        </w:rPr>
      </w:pPr>
    </w:p>
    <w:p w14:paraId="71F7EC7A" w14:textId="77777777" w:rsidR="00580BA7" w:rsidRDefault="00580BA7" w:rsidP="00580BA7">
      <w:pPr>
        <w:spacing w:after="0" w:line="240" w:lineRule="auto"/>
        <w:jc w:val="center"/>
        <w:rPr>
          <w:lang w:val="pt-BR"/>
        </w:rPr>
      </w:pPr>
      <w:r>
        <w:rPr>
          <w:lang w:val="pt-BR"/>
        </w:rPr>
        <w:t xml:space="preserve">                                                                                                Elizabeth Odio Benito</w:t>
      </w:r>
    </w:p>
    <w:p w14:paraId="4F37FCE1" w14:textId="31F09EEB" w:rsidR="00580BA7" w:rsidRDefault="00580BA7" w:rsidP="00580BA7">
      <w:pPr>
        <w:spacing w:after="0" w:line="240" w:lineRule="auto"/>
        <w:ind w:firstLine="720"/>
        <w:rPr>
          <w:lang w:val="pt-BR"/>
        </w:rPr>
      </w:pPr>
      <w:r>
        <w:rPr>
          <w:lang w:val="pt-BR"/>
        </w:rPr>
        <w:t xml:space="preserve">   </w:t>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t xml:space="preserve">                 Presidenta</w:t>
      </w:r>
    </w:p>
    <w:p w14:paraId="31ED279E" w14:textId="77777777" w:rsidR="00580BA7" w:rsidRPr="00FC4051" w:rsidRDefault="00580BA7" w:rsidP="00580BA7">
      <w:pPr>
        <w:spacing w:after="0" w:line="240" w:lineRule="auto"/>
        <w:jc w:val="both"/>
        <w:rPr>
          <w:lang w:val="pt-BR"/>
        </w:rPr>
      </w:pPr>
    </w:p>
    <w:p w14:paraId="7215B71B" w14:textId="77777777" w:rsidR="00580BA7" w:rsidRDefault="00580BA7" w:rsidP="00580BA7">
      <w:pPr>
        <w:spacing w:after="0" w:line="240" w:lineRule="auto"/>
        <w:jc w:val="both"/>
        <w:rPr>
          <w:lang w:val="pt-BR"/>
        </w:rPr>
      </w:pPr>
    </w:p>
    <w:p w14:paraId="461E776D" w14:textId="77777777" w:rsidR="00580BA7" w:rsidRPr="00FC4051" w:rsidRDefault="00580BA7" w:rsidP="00580BA7">
      <w:pPr>
        <w:spacing w:after="0" w:line="240" w:lineRule="auto"/>
        <w:jc w:val="both"/>
        <w:rPr>
          <w:lang w:val="pt-BR"/>
        </w:rPr>
      </w:pPr>
    </w:p>
    <w:p w14:paraId="19D86ABD" w14:textId="77777777" w:rsidR="00580BA7" w:rsidRPr="00FC4051" w:rsidRDefault="00580BA7" w:rsidP="00580BA7">
      <w:pPr>
        <w:spacing w:after="0" w:line="240" w:lineRule="auto"/>
        <w:jc w:val="both"/>
        <w:rPr>
          <w:lang w:val="pt-BR"/>
        </w:rPr>
      </w:pPr>
      <w:r w:rsidRPr="00FC4051">
        <w:rPr>
          <w:lang w:val="pt-BR"/>
        </w:rPr>
        <w:t>Pablo Saavedra Alessandri</w:t>
      </w:r>
    </w:p>
    <w:p w14:paraId="085967E8" w14:textId="318706F0" w:rsidR="00580BA7" w:rsidRPr="009631AB" w:rsidRDefault="00580BA7" w:rsidP="00580BA7">
      <w:pPr>
        <w:spacing w:after="0" w:line="240" w:lineRule="auto"/>
        <w:rPr>
          <w:rFonts w:eastAsia="Calibri" w:cs="Times New Roman"/>
          <w:iCs/>
          <w:noProof/>
          <w:szCs w:val="20"/>
        </w:rPr>
      </w:pPr>
      <w:r>
        <w:rPr>
          <w:lang w:val="pt-BR"/>
        </w:rPr>
        <w:t xml:space="preserve">          </w:t>
      </w:r>
      <w:r w:rsidRPr="0019261A">
        <w:rPr>
          <w:lang w:val="es-ES"/>
        </w:rPr>
        <w:t>Secret</w:t>
      </w:r>
      <w:r>
        <w:rPr>
          <w:lang w:val="es-ES"/>
        </w:rPr>
        <w:t>ario</w:t>
      </w:r>
    </w:p>
    <w:sectPr w:rsidR="00580BA7" w:rsidRPr="009631AB" w:rsidSect="00510ACE">
      <w:footerReference w:type="default" r:id="rId8"/>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5903F" w14:textId="77777777" w:rsidR="005B09B2" w:rsidRDefault="005B09B2" w:rsidP="001D1455">
      <w:pPr>
        <w:spacing w:after="0" w:line="240" w:lineRule="auto"/>
      </w:pPr>
      <w:r>
        <w:separator/>
      </w:r>
    </w:p>
  </w:endnote>
  <w:endnote w:type="continuationSeparator" w:id="0">
    <w:p w14:paraId="20F74E3D" w14:textId="77777777" w:rsidR="005B09B2" w:rsidRDefault="005B09B2" w:rsidP="001D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Palatino-Italic">
    <w:altName w:val="Malgun Gothic Semilight"/>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ple Chancery">
    <w:charset w:val="B1"/>
    <w:family w:val="script"/>
    <w:pitch w:val="variable"/>
    <w:sig w:usb0="80000867" w:usb1="00000003" w:usb2="00000000" w:usb3="00000000" w:csb0="000001F3" w:csb1="00000000"/>
  </w:font>
  <w:font w:name="MS Mincho">
    <w:altName w:val="ＭＳ 明朝"/>
    <w:panose1 w:val="02020609040205080304"/>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Bold">
    <w:charset w:val="00"/>
    <w:family w:val="auto"/>
    <w:pitch w:val="variable"/>
    <w:sig w:usb0="A1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TimesNewRomanPS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829238956"/>
      <w:docPartObj>
        <w:docPartGallery w:val="Page Numbers (Bottom of Page)"/>
        <w:docPartUnique/>
      </w:docPartObj>
    </w:sdtPr>
    <w:sdtEndPr>
      <w:rPr>
        <w:noProof/>
      </w:rPr>
    </w:sdtEndPr>
    <w:sdtContent>
      <w:p w14:paraId="266FBCAB" w14:textId="3F1BE3A8" w:rsidR="00443B67" w:rsidRDefault="00443B67">
        <w:pPr>
          <w:pStyle w:val="Piedepgina"/>
          <w:jc w:val="center"/>
        </w:pPr>
        <w:r>
          <w:rPr>
            <w:noProof w:val="0"/>
          </w:rPr>
          <w:fldChar w:fldCharType="begin"/>
        </w:r>
        <w:r>
          <w:instrText xml:space="preserve"> PAGE   \* MERGEFORMAT </w:instrText>
        </w:r>
        <w:r>
          <w:rPr>
            <w:noProof w:val="0"/>
          </w:rPr>
          <w:fldChar w:fldCharType="separate"/>
        </w:r>
        <w:r w:rsidR="00580BA7">
          <w:t>53</w:t>
        </w:r>
        <w:r>
          <w:fldChar w:fldCharType="end"/>
        </w:r>
      </w:p>
    </w:sdtContent>
  </w:sdt>
  <w:p w14:paraId="27A5C2AA" w14:textId="77777777" w:rsidR="00443B67" w:rsidRDefault="00443B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17DA8" w14:textId="77777777" w:rsidR="005B09B2" w:rsidRDefault="005B09B2" w:rsidP="001D1455">
      <w:pPr>
        <w:spacing w:after="0" w:line="240" w:lineRule="auto"/>
      </w:pPr>
      <w:r>
        <w:separator/>
      </w:r>
    </w:p>
  </w:footnote>
  <w:footnote w:type="continuationSeparator" w:id="0">
    <w:p w14:paraId="7D24DA3A" w14:textId="77777777" w:rsidR="005B09B2" w:rsidRDefault="005B09B2" w:rsidP="001D1455">
      <w:pPr>
        <w:spacing w:after="0" w:line="240" w:lineRule="auto"/>
      </w:pPr>
      <w:r>
        <w:continuationSeparator/>
      </w:r>
    </w:p>
  </w:footnote>
  <w:footnote w:id="1">
    <w:p w14:paraId="3FB6807C" w14:textId="6FE6E80C" w:rsidR="00443B67" w:rsidRPr="000D358D" w:rsidRDefault="00443B67" w:rsidP="00587147">
      <w:pPr>
        <w:pStyle w:val="Footnotes"/>
        <w:rPr>
          <w:i/>
          <w:spacing w:val="0"/>
        </w:rPr>
      </w:pPr>
      <w:r w:rsidRPr="000D358D">
        <w:rPr>
          <w:rStyle w:val="Refdenotaalpie"/>
          <w:rFonts w:ascii="Verdana" w:hAnsi="Verdana"/>
          <w:spacing w:val="0"/>
          <w:szCs w:val="16"/>
        </w:rPr>
        <w:t>*</w:t>
      </w:r>
      <w:r w:rsidRPr="000D358D">
        <w:rPr>
          <w:spacing w:val="0"/>
        </w:rPr>
        <w:t xml:space="preserve"> El Juez L. Patricio Pazmiño, de nacionalidad ecuatoriana, no participó en la deliberación de la presente Sentencia, de conformidad con lo dispuesto en los artículos 19.2 del Estatuto y 19.1 del Reglamento de la Corte.</w:t>
      </w:r>
    </w:p>
  </w:footnote>
  <w:footnote w:id="2">
    <w:p w14:paraId="75183678" w14:textId="05B2B3AD" w:rsidR="00443B67" w:rsidRPr="000D358D" w:rsidRDefault="00443B67" w:rsidP="00587147">
      <w:pPr>
        <w:pStyle w:val="Footnotes"/>
        <w:rPr>
          <w:spacing w:val="0"/>
        </w:rPr>
      </w:pPr>
      <w:r w:rsidRPr="000D358D">
        <w:rPr>
          <w:rStyle w:val="Refdenotaalpie"/>
          <w:rFonts w:ascii="Verdana" w:hAnsi="Verdana"/>
          <w:spacing w:val="0"/>
          <w:szCs w:val="16"/>
        </w:rPr>
        <w:footnoteRef/>
      </w:r>
      <w:r w:rsidRPr="000D358D">
        <w:rPr>
          <w:spacing w:val="0"/>
        </w:rPr>
        <w:t xml:space="preserve"> </w:t>
      </w:r>
      <w:r w:rsidRPr="000D358D">
        <w:rPr>
          <w:rFonts w:eastAsia="Calibri" w:cs="Times New Roman"/>
          <w:spacing w:val="0"/>
          <w:lang w:val="es-ES"/>
        </w:rPr>
        <w:t xml:space="preserve">Concluyó que Ecuador era responsable por la violación de los artículos 5.1, 5.2, </w:t>
      </w:r>
      <w:r>
        <w:rPr>
          <w:rFonts w:eastAsia="Calibri" w:cs="Times New Roman"/>
          <w:spacing w:val="0"/>
          <w:lang w:val="es-ES"/>
        </w:rPr>
        <w:t>7.1, 7.2, 7.3, 7.4, 7.5, 7.6,</w:t>
      </w:r>
      <w:r w:rsidRPr="000D358D">
        <w:rPr>
          <w:rFonts w:eastAsia="Calibri" w:cs="Times New Roman"/>
          <w:spacing w:val="0"/>
          <w:lang w:val="es-ES"/>
        </w:rPr>
        <w:t xml:space="preserve"> 8.1, 8.2, 8.2.d, 8.3, 24, 25.1, 25.2.c de la Convención Americana, en conexión con los artículos 1.1 y 2 de dicho instrumento. </w:t>
      </w:r>
    </w:p>
  </w:footnote>
  <w:footnote w:id="3">
    <w:p w14:paraId="28E25508" w14:textId="377D9DB5" w:rsidR="00443B67" w:rsidRPr="000D358D" w:rsidRDefault="00443B67" w:rsidP="00587147">
      <w:pPr>
        <w:pStyle w:val="Footnotes"/>
        <w:rPr>
          <w:spacing w:val="0"/>
          <w:lang w:val="es-MX"/>
        </w:rPr>
      </w:pPr>
      <w:r w:rsidRPr="000D358D">
        <w:rPr>
          <w:rStyle w:val="Refdenotaalpie"/>
          <w:rFonts w:ascii="Verdana" w:hAnsi="Verdana"/>
          <w:spacing w:val="0"/>
          <w:szCs w:val="16"/>
        </w:rPr>
        <w:footnoteRef/>
      </w:r>
      <w:r w:rsidRPr="000D358D">
        <w:rPr>
          <w:spacing w:val="0"/>
        </w:rPr>
        <w:t xml:space="preserve"> El representante solicitó a la Corte que declare la responsabilidad internacional del Estado por la violación: </w:t>
      </w:r>
      <w:r w:rsidRPr="000D358D">
        <w:rPr>
          <w:spacing w:val="0"/>
          <w:lang w:val="es-MX"/>
        </w:rPr>
        <w:t xml:space="preserve">1) del derecho a la integridad personal </w:t>
      </w:r>
      <w:r w:rsidRPr="00486F31">
        <w:rPr>
          <w:spacing w:val="0"/>
          <w:lang w:val="es-MX"/>
        </w:rPr>
        <w:t>(artículo 5.1, 5.2 y 5.3 de la Convención Americana); 2) del derecho a la libertad personal (artículo 7.1, 7.2, 7.3, 7.4, 7.5, 7.6 de la Convención Americana); 3) del derecho a las garantías judiciales (artículo 8.1, 8.2, 8.2.b, 8.2.d, 8.3 y 8.4 de la Convención Americana); 4) del principio de legalidad y no retroactividad (artículo 9 de la Convención); 4) del derecho a protección de la honra y a la dignidad (artículo 11 de la Convención); 5) del derecho a la propiedad privada (artículo 21 de la Convención); 6) del principio de igualdad ante la ley (artículo 24 de la Convención Americana)</w:t>
      </w:r>
      <w:r w:rsidRPr="000D358D">
        <w:rPr>
          <w:spacing w:val="0"/>
          <w:lang w:val="es-MX"/>
        </w:rPr>
        <w:t xml:space="preserve"> y 7) del derecho a la prot</w:t>
      </w:r>
      <w:r>
        <w:rPr>
          <w:spacing w:val="0"/>
          <w:lang w:val="es-MX"/>
        </w:rPr>
        <w:t>ección judicial (artículo 25.1, 25.2.a y 25.2.c</w:t>
      </w:r>
      <w:r w:rsidRPr="000D358D">
        <w:rPr>
          <w:spacing w:val="0"/>
          <w:lang w:val="es-MX"/>
        </w:rPr>
        <w:t xml:space="preserve"> de la Convención), todos ellos en relación con los artículos 1.1</w:t>
      </w:r>
      <w:r>
        <w:rPr>
          <w:spacing w:val="0"/>
          <w:lang w:val="es-MX"/>
        </w:rPr>
        <w:t>,</w:t>
      </w:r>
      <w:r w:rsidRPr="000D358D">
        <w:rPr>
          <w:spacing w:val="0"/>
          <w:lang w:val="es-MX"/>
        </w:rPr>
        <w:t xml:space="preserve"> 2 </w:t>
      </w:r>
      <w:r>
        <w:rPr>
          <w:spacing w:val="0"/>
          <w:lang w:val="es-MX"/>
        </w:rPr>
        <w:t xml:space="preserve">y 3 </w:t>
      </w:r>
      <w:r w:rsidRPr="000D358D">
        <w:rPr>
          <w:spacing w:val="0"/>
          <w:lang w:val="es-MX"/>
        </w:rPr>
        <w:t xml:space="preserve">de la Convención Americana. </w:t>
      </w:r>
    </w:p>
  </w:footnote>
  <w:footnote w:id="4">
    <w:p w14:paraId="0DE4E8E1" w14:textId="5B60A315" w:rsidR="00443B67" w:rsidRPr="000D358D" w:rsidRDefault="00443B67" w:rsidP="00587147">
      <w:pPr>
        <w:pStyle w:val="Footnotes"/>
        <w:rPr>
          <w:spacing w:val="0"/>
        </w:rPr>
      </w:pPr>
      <w:r w:rsidRPr="000D358D">
        <w:rPr>
          <w:rStyle w:val="Refdenotaalpie"/>
          <w:rFonts w:ascii="Verdana" w:hAnsi="Verdana"/>
          <w:spacing w:val="0"/>
          <w:szCs w:val="16"/>
        </w:rPr>
        <w:footnoteRef/>
      </w:r>
      <w:r w:rsidRPr="000D358D">
        <w:rPr>
          <w:spacing w:val="0"/>
        </w:rPr>
        <w:t xml:space="preserve"> En esa oportunidad el Estado asignó como Agente para el presente caso a Carlos Espín Arias, y como Agentes Alternos a Daniela Ulloa Saltos y Alonso Fonseca.</w:t>
      </w:r>
    </w:p>
  </w:footnote>
  <w:footnote w:id="5">
    <w:p w14:paraId="5EB957F2" w14:textId="41A072E2" w:rsidR="00443B67" w:rsidRPr="000D358D" w:rsidRDefault="00443B67" w:rsidP="00587147">
      <w:pPr>
        <w:pStyle w:val="Footnotes"/>
        <w:rPr>
          <w:spacing w:val="0"/>
          <w:lang w:val="es-ES"/>
        </w:rPr>
      </w:pPr>
      <w:r w:rsidRPr="000D358D">
        <w:rPr>
          <w:rStyle w:val="Refdenotaalpie"/>
          <w:rFonts w:ascii="Verdana" w:eastAsia="Batang" w:hAnsi="Verdana"/>
          <w:spacing w:val="0"/>
          <w:szCs w:val="16"/>
          <w:lang w:val="es-ES"/>
        </w:rPr>
        <w:footnoteRef/>
      </w:r>
      <w:r w:rsidRPr="000D358D">
        <w:rPr>
          <w:spacing w:val="0"/>
          <w:lang w:val="es-ES"/>
        </w:rPr>
        <w:t xml:space="preserve"> </w:t>
      </w:r>
      <w:r w:rsidRPr="000D358D">
        <w:rPr>
          <w:i/>
          <w:spacing w:val="0"/>
          <w:lang w:val="es-ES"/>
        </w:rPr>
        <w:t>Cfr.</w:t>
      </w:r>
      <w:r w:rsidRPr="000D358D">
        <w:rPr>
          <w:spacing w:val="0"/>
          <w:lang w:val="es-ES"/>
        </w:rPr>
        <w:t xml:space="preserve"> </w:t>
      </w:r>
      <w:r w:rsidRPr="000D358D">
        <w:rPr>
          <w:i/>
          <w:spacing w:val="0"/>
          <w:lang w:val="es-ES"/>
        </w:rPr>
        <w:t>Caso Montesinos Mejía Vs. Ecuador, Resolución del Presidente de la Corte Interamericana de Derechos Humanos</w:t>
      </w:r>
      <w:r w:rsidRPr="000D358D">
        <w:rPr>
          <w:spacing w:val="0"/>
          <w:lang w:val="es-ES"/>
        </w:rPr>
        <w:t xml:space="preserve"> de 25 de junio de 2019. Disponible en: </w:t>
      </w:r>
      <w:hyperlink r:id="rId1" w:history="1">
        <w:r w:rsidRPr="000D358D">
          <w:rPr>
            <w:rStyle w:val="Hipervnculo"/>
            <w:rFonts w:eastAsia="Calibri"/>
          </w:rPr>
          <w:t>http://www.corteidh.or.cr/docs/asuntos/montesinosmejia_25_06_19.pdf</w:t>
        </w:r>
      </w:hyperlink>
      <w:r w:rsidRPr="000D358D">
        <w:rPr>
          <w:spacing w:val="0"/>
          <w:lang w:val="es-ES"/>
        </w:rPr>
        <w:t>.</w:t>
      </w:r>
    </w:p>
  </w:footnote>
  <w:footnote w:id="6">
    <w:p w14:paraId="076FBB28" w14:textId="63DB9DC5" w:rsidR="00443B67" w:rsidRPr="000D358D" w:rsidRDefault="00443B67" w:rsidP="00587147">
      <w:pPr>
        <w:pStyle w:val="Footnotes"/>
        <w:rPr>
          <w:spacing w:val="0"/>
          <w:lang w:val="es-MX"/>
        </w:rPr>
      </w:pPr>
      <w:r w:rsidRPr="000D358D">
        <w:rPr>
          <w:rStyle w:val="Refdenotaalpie"/>
          <w:rFonts w:ascii="Verdana" w:eastAsia="Batang" w:hAnsi="Verdana"/>
          <w:spacing w:val="0"/>
          <w:szCs w:val="16"/>
          <w:lang w:val="es-ES"/>
        </w:rPr>
        <w:footnoteRef/>
      </w:r>
      <w:r w:rsidRPr="000D358D">
        <w:rPr>
          <w:spacing w:val="0"/>
          <w:lang w:val="es-ES"/>
        </w:rPr>
        <w:t xml:space="preserve"> A esta audiencia comparecieron: a) por la Comisión Interamericana: Luis Ernesto Vargas, Marisol Blanchard, Jorge H. Meza Flores, Piero Vásquez Agüero, Analía </w:t>
      </w:r>
      <w:proofErr w:type="spellStart"/>
      <w:r w:rsidRPr="000D358D">
        <w:rPr>
          <w:spacing w:val="0"/>
          <w:lang w:val="es-ES"/>
        </w:rPr>
        <w:t>Banfi</w:t>
      </w:r>
      <w:proofErr w:type="spellEnd"/>
      <w:r w:rsidRPr="000D358D">
        <w:rPr>
          <w:spacing w:val="0"/>
          <w:lang w:val="es-ES"/>
        </w:rPr>
        <w:t xml:space="preserve"> </w:t>
      </w:r>
      <w:proofErr w:type="spellStart"/>
      <w:r w:rsidRPr="000D358D">
        <w:rPr>
          <w:spacing w:val="0"/>
          <w:lang w:val="es-ES"/>
        </w:rPr>
        <w:t>Vique</w:t>
      </w:r>
      <w:proofErr w:type="spellEnd"/>
      <w:r w:rsidRPr="000D358D">
        <w:rPr>
          <w:spacing w:val="0"/>
          <w:lang w:val="es-ES"/>
        </w:rPr>
        <w:t>;</w:t>
      </w:r>
      <w:r w:rsidRPr="000D358D">
        <w:rPr>
          <w:b/>
          <w:spacing w:val="0"/>
          <w:lang w:val="es-ES"/>
        </w:rPr>
        <w:t xml:space="preserve"> </w:t>
      </w:r>
      <w:r w:rsidRPr="000D358D">
        <w:rPr>
          <w:spacing w:val="0"/>
          <w:lang w:val="es-ES"/>
        </w:rPr>
        <w:t>b) por el representante de la presunta víctima: Alejandro Ponce Villacís;</w:t>
      </w:r>
      <w:r w:rsidRPr="000D358D">
        <w:rPr>
          <w:b/>
          <w:spacing w:val="0"/>
          <w:lang w:val="es-ES"/>
        </w:rPr>
        <w:t xml:space="preserve"> </w:t>
      </w:r>
      <w:r w:rsidRPr="000D358D">
        <w:rPr>
          <w:spacing w:val="0"/>
          <w:lang w:val="es-ES"/>
        </w:rPr>
        <w:t xml:space="preserve">c) por el Estado: </w:t>
      </w:r>
      <w:r w:rsidRPr="000D358D">
        <w:rPr>
          <w:spacing w:val="0"/>
          <w:lang w:val="es-MX"/>
        </w:rPr>
        <w:t xml:space="preserve">María Fernanda Álvarez </w:t>
      </w:r>
      <w:proofErr w:type="spellStart"/>
      <w:r w:rsidRPr="000D358D">
        <w:rPr>
          <w:spacing w:val="0"/>
          <w:lang w:val="es-MX"/>
        </w:rPr>
        <w:t>Alcivar</w:t>
      </w:r>
      <w:proofErr w:type="spellEnd"/>
      <w:r w:rsidRPr="000D358D">
        <w:rPr>
          <w:spacing w:val="0"/>
          <w:lang w:val="es-MX"/>
        </w:rPr>
        <w:t>, Directora Nacional de Derechos Humanos de la Procuraduría General del Estado, Alonso Fonseca Garcés, Director Nacional de Derechos Humanos Subrogante de la Procuraduría General del Estado y Carlos Espín Arias, agente.</w:t>
      </w:r>
    </w:p>
  </w:footnote>
  <w:footnote w:id="7">
    <w:p w14:paraId="25C5F5C1" w14:textId="625A975C"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D6153C">
        <w:rPr>
          <w:i/>
          <w:szCs w:val="16"/>
          <w:lang w:val="es-CR"/>
        </w:rPr>
        <w:t xml:space="preserve">Cfr. Caso Tibi Vs. Ecuador. Excepciones Preliminares, Fondo, Reparaciones y Costas. </w:t>
      </w:r>
      <w:r w:rsidRPr="003B3610">
        <w:rPr>
          <w:szCs w:val="16"/>
          <w:lang w:val="es-CR"/>
        </w:rPr>
        <w:t>Sentencia de 7 de septiembre de 2004. Serie C No. 114, párr. 61 y</w:t>
      </w:r>
      <w:r w:rsidRPr="00D6153C">
        <w:rPr>
          <w:i/>
          <w:szCs w:val="16"/>
          <w:lang w:val="es-CR"/>
        </w:rPr>
        <w:t xml:space="preserve"> Caso Terrones Silva y otros Vs. Perú. Excepciones Preliminares, Fondo, Reparaciones y Costas. </w:t>
      </w:r>
      <w:r w:rsidRPr="003B3610">
        <w:rPr>
          <w:szCs w:val="16"/>
          <w:lang w:val="es-CR"/>
        </w:rPr>
        <w:t>Sentencia de 26 de septiembre de 2018. Serie C No. 360, párr. 33.</w:t>
      </w:r>
    </w:p>
  </w:footnote>
  <w:footnote w:id="8">
    <w:p w14:paraId="3671B499" w14:textId="1FACA5F9" w:rsidR="00443B67" w:rsidRPr="00D6153C" w:rsidRDefault="00443B67" w:rsidP="00587147">
      <w:pPr>
        <w:pStyle w:val="Textonotapie"/>
        <w:rPr>
          <w:szCs w:val="16"/>
        </w:rPr>
      </w:pPr>
      <w:r w:rsidRPr="000D358D">
        <w:rPr>
          <w:rStyle w:val="Refdenotaalpie"/>
          <w:rFonts w:ascii="Verdana" w:eastAsia="Calibri" w:hAnsi="Verdana"/>
          <w:szCs w:val="16"/>
        </w:rPr>
        <w:footnoteRef/>
      </w:r>
      <w:r w:rsidRPr="000D358D">
        <w:rPr>
          <w:i/>
          <w:szCs w:val="16"/>
        </w:rPr>
        <w:t xml:space="preserve"> </w:t>
      </w:r>
      <w:r w:rsidRPr="00D6153C">
        <w:rPr>
          <w:i/>
          <w:szCs w:val="16"/>
          <w:lang w:val="es-CR"/>
        </w:rPr>
        <w:t xml:space="preserve">Cfr. Caso de los Hermanos Gómez Paquiyauri Vs. Perú. Fondo, Reparaciones y Costas. </w:t>
      </w:r>
      <w:r w:rsidRPr="003B3610">
        <w:rPr>
          <w:szCs w:val="16"/>
          <w:lang w:val="es-CR"/>
        </w:rPr>
        <w:t xml:space="preserve">Sentencia de 8 de julio de 2004. Serie C No. 110, párr. 196, </w:t>
      </w:r>
      <w:r w:rsidRPr="00D6153C">
        <w:rPr>
          <w:i/>
          <w:szCs w:val="16"/>
          <w:lang w:val="es-CR"/>
        </w:rPr>
        <w:t>Caso Tibi Vs. Ecuador, párr. 62,</w:t>
      </w:r>
      <w:r w:rsidRPr="00D6153C">
        <w:rPr>
          <w:i/>
          <w:iCs/>
          <w:szCs w:val="16"/>
          <w:lang w:val="es-CR"/>
        </w:rPr>
        <w:t xml:space="preserve"> Caso J Vs. Perú. Excepción Preliminar, Fondo, Reparaciones y Costas</w:t>
      </w:r>
      <w:r w:rsidRPr="003B3610">
        <w:rPr>
          <w:iCs/>
          <w:szCs w:val="16"/>
          <w:lang w:val="es-CR"/>
        </w:rPr>
        <w:t>. Sentencia de 27 de noviembre de 2013. Serie C No. 291, párr. 21</w:t>
      </w:r>
      <w:r w:rsidRPr="003B3610">
        <w:rPr>
          <w:szCs w:val="16"/>
          <w:lang w:val="es-CR"/>
        </w:rPr>
        <w:t xml:space="preserve"> y</w:t>
      </w:r>
      <w:r w:rsidRPr="00D6153C">
        <w:rPr>
          <w:i/>
          <w:szCs w:val="16"/>
          <w:lang w:val="es-CR"/>
        </w:rPr>
        <w:t xml:space="preserve"> Caso Terrones Silva y otros Vs. Perú, </w:t>
      </w:r>
      <w:r w:rsidRPr="003B3610">
        <w:rPr>
          <w:szCs w:val="16"/>
          <w:lang w:val="es-CR"/>
        </w:rPr>
        <w:t>párr. 34.</w:t>
      </w:r>
    </w:p>
  </w:footnote>
  <w:footnote w:id="9">
    <w:p w14:paraId="5413E339" w14:textId="2F5058AA" w:rsidR="00443B67" w:rsidRPr="00DA7EEF" w:rsidRDefault="00443B67">
      <w:pPr>
        <w:pStyle w:val="Textonotapie"/>
      </w:pPr>
      <w:r w:rsidRPr="003B3610">
        <w:rPr>
          <w:rStyle w:val="Refdenotaalpie"/>
        </w:rPr>
        <w:footnoteRef/>
      </w:r>
      <w:r w:rsidRPr="003B3610">
        <w:t xml:space="preserve"> En la presente Sentencia la Corte usará el término “hábeas corpus” de acuerdo a lo establecido en la Constitución de la República del Ecuador.</w:t>
      </w:r>
      <w:r>
        <w:t xml:space="preserve"> </w:t>
      </w:r>
    </w:p>
  </w:footnote>
  <w:footnote w:id="10">
    <w:p w14:paraId="175A5F2B" w14:textId="7CABCE38" w:rsidR="00443B67" w:rsidRPr="000D358D" w:rsidRDefault="00443B67" w:rsidP="00587147">
      <w:pPr>
        <w:pStyle w:val="Footnotes"/>
        <w:rPr>
          <w:spacing w:val="0"/>
          <w:lang w:val="es-MX"/>
        </w:rPr>
      </w:pPr>
      <w:r w:rsidRPr="000D358D">
        <w:rPr>
          <w:rStyle w:val="Refdenotaalpie"/>
          <w:rFonts w:ascii="Verdana" w:eastAsiaTheme="majorEastAsia" w:hAnsi="Verdana"/>
          <w:szCs w:val="16"/>
        </w:rPr>
        <w:footnoteRef/>
      </w:r>
      <w:r w:rsidRPr="000D358D">
        <w:t xml:space="preserve"> </w:t>
      </w:r>
      <w:r w:rsidRPr="000D358D">
        <w:rPr>
          <w:i/>
          <w:spacing w:val="0"/>
        </w:rPr>
        <w:t>Cfr.</w:t>
      </w:r>
      <w:r>
        <w:rPr>
          <w:i/>
          <w:spacing w:val="0"/>
        </w:rPr>
        <w:t xml:space="preserve"> </w:t>
      </w:r>
      <w:r w:rsidRPr="00D6153C">
        <w:rPr>
          <w:i/>
          <w:spacing w:val="0"/>
        </w:rPr>
        <w:t xml:space="preserve">Caso Velásquez Rodríguez Vs. </w:t>
      </w:r>
      <w:r w:rsidRPr="00D6153C">
        <w:rPr>
          <w:i/>
          <w:spacing w:val="0"/>
          <w:lang w:val="es-MX"/>
        </w:rPr>
        <w:t xml:space="preserve">Honduras. Excepciones Preliminares. Sentencia de 26 de junio de 1987. Serie C No. 1, párr. 85 y Caso López Soto y otros Vs. Argentina. Excepciones Preliminares, Fondo, Reparaciones y Costas. </w:t>
      </w:r>
      <w:r w:rsidRPr="003B3610">
        <w:rPr>
          <w:spacing w:val="0"/>
          <w:lang w:val="es-MX"/>
        </w:rPr>
        <w:t>Sentencia de 25 de noviembre de 2019. Serie C No. 396, párr. 20.</w:t>
      </w:r>
    </w:p>
  </w:footnote>
  <w:footnote w:id="11">
    <w:p w14:paraId="0101A6D4" w14:textId="68CE2EDC" w:rsidR="00443B67" w:rsidRPr="000D358D" w:rsidRDefault="00443B67" w:rsidP="00587147">
      <w:pPr>
        <w:pStyle w:val="Footnotes"/>
        <w:rPr>
          <w:spacing w:val="0"/>
        </w:rPr>
      </w:pPr>
      <w:r w:rsidRPr="000D358D">
        <w:rPr>
          <w:rStyle w:val="Refdenotaalpie"/>
          <w:rFonts w:ascii="Verdana" w:eastAsiaTheme="majorEastAsia" w:hAnsi="Verdana"/>
          <w:spacing w:val="0"/>
          <w:szCs w:val="16"/>
        </w:rPr>
        <w:footnoteRef/>
      </w:r>
      <w:r w:rsidRPr="000D358D">
        <w:rPr>
          <w:spacing w:val="0"/>
          <w:lang w:val="es-MX"/>
        </w:rPr>
        <w:t xml:space="preserve"> </w:t>
      </w:r>
      <w:r w:rsidRPr="00D6153C">
        <w:rPr>
          <w:i/>
          <w:spacing w:val="0"/>
          <w:lang w:val="es-MX"/>
        </w:rPr>
        <w:t xml:space="preserve">Cfr. Caso Velásquez Rodríguez Vs. Honduras. Excepciones Preliminares, </w:t>
      </w:r>
      <w:r w:rsidRPr="003B3610">
        <w:rPr>
          <w:spacing w:val="0"/>
          <w:lang w:val="es-MX"/>
        </w:rPr>
        <w:t>párr. 88 y</w:t>
      </w:r>
      <w:r w:rsidRPr="00D6153C">
        <w:rPr>
          <w:i/>
          <w:spacing w:val="0"/>
          <w:lang w:val="es-MX"/>
        </w:rPr>
        <w:t xml:space="preserve"> Caso López Soto y otros Vs. Argentina, </w:t>
      </w:r>
      <w:r w:rsidRPr="003B3610">
        <w:rPr>
          <w:spacing w:val="0"/>
          <w:lang w:val="es-MX"/>
        </w:rPr>
        <w:t>párr. 21.</w:t>
      </w:r>
    </w:p>
  </w:footnote>
  <w:footnote w:id="12">
    <w:p w14:paraId="5A6EDE4C" w14:textId="2537B538" w:rsidR="00443B67" w:rsidRPr="000D358D" w:rsidRDefault="00443B67" w:rsidP="00587147">
      <w:pPr>
        <w:pStyle w:val="Textonotapie"/>
        <w:rPr>
          <w:szCs w:val="16"/>
        </w:rPr>
      </w:pPr>
      <w:r w:rsidRPr="000D358D">
        <w:rPr>
          <w:rStyle w:val="Refdenotaalpie"/>
          <w:rFonts w:ascii="Verdana" w:hAnsi="Verdana"/>
          <w:szCs w:val="16"/>
        </w:rPr>
        <w:footnoteRef/>
      </w:r>
      <w:r w:rsidRPr="00580BA7">
        <w:rPr>
          <w:szCs w:val="16"/>
          <w:lang w:val="es-ES"/>
        </w:rPr>
        <w:t xml:space="preserve"> </w:t>
      </w:r>
      <w:r w:rsidRPr="00580BA7">
        <w:rPr>
          <w:i/>
          <w:iCs/>
          <w:szCs w:val="16"/>
          <w:lang w:val="es-ES"/>
        </w:rPr>
        <w:t xml:space="preserve">Caso Wong Ho Wing Vs. </w:t>
      </w:r>
      <w:r w:rsidRPr="00D6153C">
        <w:rPr>
          <w:i/>
          <w:iCs/>
          <w:szCs w:val="16"/>
          <w:lang w:val="es-CR"/>
        </w:rPr>
        <w:t xml:space="preserve">Perú. Excepción Preliminar, Fondo, Reparaciones y Costas. </w:t>
      </w:r>
      <w:r w:rsidRPr="003B3610">
        <w:rPr>
          <w:iCs/>
          <w:szCs w:val="16"/>
          <w:lang w:val="es-CR"/>
        </w:rPr>
        <w:t>Sentencia de 30 de junio de 2015. Serie C No. 297, párr. 25 y</w:t>
      </w:r>
      <w:r w:rsidRPr="00D6153C">
        <w:rPr>
          <w:i/>
          <w:iCs/>
          <w:szCs w:val="16"/>
          <w:lang w:val="es-CR"/>
        </w:rPr>
        <w:t xml:space="preserve"> Caso Díaz Loreto. Excepciones Preliminares, Fondo, Reparaciones y Costas. </w:t>
      </w:r>
      <w:r w:rsidRPr="003B3610">
        <w:rPr>
          <w:iCs/>
          <w:szCs w:val="16"/>
          <w:lang w:val="es-CR"/>
        </w:rPr>
        <w:t>Sentencia de 19 de noviembre de 2019. Serie C No. 392, párr. 18.</w:t>
      </w:r>
    </w:p>
  </w:footnote>
  <w:footnote w:id="13">
    <w:p w14:paraId="2712C41B" w14:textId="359AB639" w:rsidR="00443B67" w:rsidRPr="000D358D" w:rsidRDefault="00443B67" w:rsidP="00587147">
      <w:pPr>
        <w:pStyle w:val="Textonotapie"/>
        <w:rPr>
          <w:szCs w:val="16"/>
          <w:lang w:val="es-MX"/>
        </w:rPr>
      </w:pPr>
      <w:r w:rsidRPr="000D358D">
        <w:rPr>
          <w:rStyle w:val="Refdenotaalpie"/>
          <w:rFonts w:ascii="Verdana" w:hAnsi="Verdana"/>
          <w:szCs w:val="16"/>
        </w:rPr>
        <w:footnoteRef/>
      </w:r>
      <w:r w:rsidRPr="000D358D">
        <w:rPr>
          <w:szCs w:val="16"/>
          <w:lang w:val="es-MX"/>
        </w:rPr>
        <w:t xml:space="preserve"> </w:t>
      </w:r>
      <w:r w:rsidRPr="000D358D">
        <w:rPr>
          <w:i/>
          <w:szCs w:val="16"/>
          <w:lang w:val="es-MX"/>
        </w:rPr>
        <w:t xml:space="preserve">Cfr. </w:t>
      </w:r>
      <w:r w:rsidRPr="00D6153C">
        <w:rPr>
          <w:i/>
          <w:szCs w:val="16"/>
          <w:lang w:val="es-CR"/>
        </w:rPr>
        <w:t xml:space="preserve">Caso Cabrera García y Montiel Flores Vs. México. Excepción Preliminar, Fondo, Reparaciones y Costas. </w:t>
      </w:r>
      <w:r w:rsidRPr="003B3610">
        <w:rPr>
          <w:szCs w:val="16"/>
          <w:lang w:val="es-CR"/>
        </w:rPr>
        <w:t>Sentencia de 26 de noviembre de 2010, Serie C No. 220, párr. 18</w:t>
      </w:r>
      <w:r w:rsidRPr="003B3610" w:rsidDel="00410AD9">
        <w:rPr>
          <w:szCs w:val="16"/>
          <w:lang w:val="es-MX"/>
        </w:rPr>
        <w:t xml:space="preserve"> </w:t>
      </w:r>
      <w:r w:rsidRPr="003B3610">
        <w:rPr>
          <w:szCs w:val="16"/>
          <w:lang w:val="es-MX"/>
        </w:rPr>
        <w:t xml:space="preserve">y </w:t>
      </w:r>
      <w:r w:rsidRPr="00D6153C">
        <w:rPr>
          <w:i/>
          <w:szCs w:val="16"/>
          <w:lang w:val="es-MX"/>
        </w:rPr>
        <w:t>Caso Díaz Loreto y otros Vs. Venezuela</w:t>
      </w:r>
      <w:r w:rsidRPr="003B3610">
        <w:rPr>
          <w:szCs w:val="16"/>
          <w:lang w:val="es-MX"/>
        </w:rPr>
        <w:t>, párr. 20.</w:t>
      </w:r>
      <w:r>
        <w:rPr>
          <w:szCs w:val="16"/>
          <w:lang w:val="es-MX"/>
        </w:rPr>
        <w:t xml:space="preserve"> </w:t>
      </w:r>
    </w:p>
  </w:footnote>
  <w:footnote w:id="14">
    <w:p w14:paraId="13EAD51B" w14:textId="0DC12038"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rFonts w:eastAsia="Times New Roman" w:cs="Times New Roman"/>
          <w:i/>
          <w:szCs w:val="16"/>
        </w:rPr>
        <w:t>Cfr.</w:t>
      </w:r>
      <w:r w:rsidRPr="000D358D">
        <w:rPr>
          <w:rFonts w:eastAsia="Times New Roman" w:cs="Times New Roman"/>
          <w:szCs w:val="16"/>
        </w:rPr>
        <w:t xml:space="preserve"> </w:t>
      </w:r>
      <w:r w:rsidRPr="000D358D">
        <w:rPr>
          <w:rFonts w:eastAsia="Times New Roman" w:cs="Times New Roman"/>
          <w:i/>
          <w:szCs w:val="16"/>
        </w:rPr>
        <w:t>Caso de los “Niños de la Calle” (Villagrán Morales y otros) Vs. Guatemala. Fondo</w:t>
      </w:r>
      <w:r w:rsidRPr="000D358D">
        <w:rPr>
          <w:rFonts w:eastAsia="Times New Roman" w:cs="Times New Roman"/>
          <w:szCs w:val="16"/>
        </w:rPr>
        <w:t xml:space="preserve">. Sentencia de 19 de noviembre de 1999. Serie C No. 63, párr. 222 </w:t>
      </w:r>
      <w:r w:rsidRPr="000D358D">
        <w:rPr>
          <w:szCs w:val="16"/>
          <w:lang w:val="es-MX"/>
        </w:rPr>
        <w:t xml:space="preserve">y </w:t>
      </w:r>
      <w:r w:rsidRPr="000D358D">
        <w:rPr>
          <w:i/>
          <w:szCs w:val="16"/>
          <w:lang w:val="es-MX"/>
        </w:rPr>
        <w:t>Caso Díaz Loreto y otros Vs. Venezuela</w:t>
      </w:r>
      <w:r w:rsidRPr="000D358D">
        <w:rPr>
          <w:rFonts w:eastAsia="Times New Roman" w:cs="Times New Roman"/>
          <w:i/>
          <w:szCs w:val="16"/>
        </w:rPr>
        <w:t>,</w:t>
      </w:r>
      <w:r>
        <w:rPr>
          <w:rFonts w:eastAsia="Times New Roman" w:cs="Times New Roman"/>
          <w:i/>
          <w:szCs w:val="16"/>
        </w:rPr>
        <w:t xml:space="preserve"> </w:t>
      </w:r>
      <w:r w:rsidRPr="000D358D">
        <w:rPr>
          <w:rFonts w:eastAsia="Times New Roman" w:cs="Times New Roman"/>
          <w:szCs w:val="16"/>
        </w:rPr>
        <w:t>párr. 21.</w:t>
      </w:r>
    </w:p>
  </w:footnote>
  <w:footnote w:id="15">
    <w:p w14:paraId="02447BA7" w14:textId="1F82C42E" w:rsidR="00443B67" w:rsidRPr="000D358D" w:rsidRDefault="00443B67" w:rsidP="00587147">
      <w:pPr>
        <w:tabs>
          <w:tab w:val="left" w:pos="426"/>
        </w:tabs>
        <w:spacing w:after="0" w:line="240" w:lineRule="auto"/>
        <w:jc w:val="both"/>
        <w:rPr>
          <w:sz w:val="16"/>
          <w:szCs w:val="16"/>
        </w:rPr>
      </w:pPr>
      <w:r w:rsidRPr="000D358D">
        <w:rPr>
          <w:sz w:val="16"/>
          <w:szCs w:val="16"/>
          <w:vertAlign w:val="superscript"/>
        </w:rPr>
        <w:footnoteRef/>
      </w:r>
      <w:r w:rsidRPr="000D358D">
        <w:rPr>
          <w:sz w:val="16"/>
          <w:szCs w:val="16"/>
        </w:rPr>
        <w:t xml:space="preserve"> </w:t>
      </w:r>
      <w:r w:rsidRPr="00D6153C">
        <w:rPr>
          <w:i/>
          <w:sz w:val="16"/>
          <w:szCs w:val="16"/>
        </w:rPr>
        <w:t xml:space="preserve">Cfr. Caso Trabajadores Cesados del Congreso (Aguado Alfaro y otros) Vs. Perú. Excepciones Preliminares, Fondo, Reparaciones y Costas. </w:t>
      </w:r>
      <w:r w:rsidRPr="003B3610">
        <w:rPr>
          <w:sz w:val="16"/>
          <w:szCs w:val="16"/>
        </w:rPr>
        <w:t>Sentencia de 24 de noviembre de 2006. Serie C No. 158, párr. 66, y</w:t>
      </w:r>
      <w:r w:rsidRPr="00D6153C">
        <w:rPr>
          <w:i/>
          <w:sz w:val="16"/>
          <w:szCs w:val="16"/>
        </w:rPr>
        <w:t xml:space="preserve"> Caso Herrera Espinoza y otros Vs. Ecuador. Excepciones Preliminares, Fondo, Reparaciones y Costas. </w:t>
      </w:r>
      <w:r w:rsidRPr="003B3610">
        <w:rPr>
          <w:sz w:val="16"/>
          <w:szCs w:val="16"/>
        </w:rPr>
        <w:t>Sentencia de 1 de septiembre de 2016. Serie C No. 316, párr. 39.</w:t>
      </w:r>
    </w:p>
  </w:footnote>
  <w:footnote w:id="16">
    <w:p w14:paraId="3DEF78F5" w14:textId="266FE542"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D6153C">
        <w:rPr>
          <w:i/>
          <w:szCs w:val="16"/>
          <w:lang w:val="es-CR"/>
        </w:rPr>
        <w:t xml:space="preserve">Cfr. Caso Velásquez Rodríguez Vs. Honduras. Fondo. </w:t>
      </w:r>
      <w:r w:rsidRPr="003B3610">
        <w:rPr>
          <w:szCs w:val="16"/>
          <w:lang w:val="es-CR"/>
        </w:rPr>
        <w:t>Sentencia de 29 de julio de 1988. Serie C No. 4, párr. 140, y</w:t>
      </w:r>
      <w:r w:rsidRPr="00D6153C">
        <w:rPr>
          <w:i/>
          <w:szCs w:val="16"/>
          <w:lang w:val="es-CR"/>
        </w:rPr>
        <w:t xml:space="preserve"> Caso Jenkins Vs. Argentina. Excepciones Preliminares, Fondo, Reparaciones y Costas. </w:t>
      </w:r>
      <w:r w:rsidRPr="003B3610">
        <w:rPr>
          <w:szCs w:val="16"/>
          <w:lang w:val="es-CR"/>
        </w:rPr>
        <w:t>Sentencia de 26 de noviembre de 2019, párr. 38.</w:t>
      </w:r>
    </w:p>
  </w:footnote>
  <w:footnote w:id="17">
    <w:p w14:paraId="03DF1C54" w14:textId="77777777" w:rsidR="00443B67" w:rsidRPr="000D358D" w:rsidRDefault="00443B67" w:rsidP="00587147">
      <w:pPr>
        <w:pStyle w:val="Footnotes"/>
        <w:rPr>
          <w:spacing w:val="0"/>
        </w:rPr>
      </w:pPr>
      <w:r w:rsidRPr="000D358D">
        <w:rPr>
          <w:rStyle w:val="Refdenotaalpie"/>
          <w:rFonts w:ascii="Verdana" w:eastAsia="MS Gothic" w:hAnsi="Verdana"/>
          <w:spacing w:val="0"/>
          <w:szCs w:val="16"/>
        </w:rPr>
        <w:footnoteRef/>
      </w:r>
      <w:r w:rsidRPr="000D358D">
        <w:rPr>
          <w:spacing w:val="0"/>
        </w:rPr>
        <w:t xml:space="preserve"> Las mismas fueron presentadas por: Marcia González Rubio, Maritza Montesinos González, María del Carmen Montesinos González, Vinicio Montesinos González, Rafael Iván Suárez Rosero y Reinaldo Aníbal </w:t>
      </w:r>
      <w:proofErr w:type="spellStart"/>
      <w:r w:rsidRPr="000D358D">
        <w:rPr>
          <w:spacing w:val="0"/>
        </w:rPr>
        <w:t>Calvachi</w:t>
      </w:r>
      <w:proofErr w:type="spellEnd"/>
      <w:r w:rsidRPr="000D358D">
        <w:rPr>
          <w:spacing w:val="0"/>
        </w:rPr>
        <w:t xml:space="preserve"> Cruz, propuestos por el representante; y Leonardo Jaramillo, Marcella da </w:t>
      </w:r>
      <w:proofErr w:type="spellStart"/>
      <w:r w:rsidRPr="000D358D">
        <w:rPr>
          <w:spacing w:val="0"/>
        </w:rPr>
        <w:t>Fonte</w:t>
      </w:r>
      <w:proofErr w:type="spellEnd"/>
      <w:r w:rsidRPr="000D358D">
        <w:rPr>
          <w:spacing w:val="0"/>
        </w:rPr>
        <w:t>, propuestos por el Estado. Los objetos de las declaraciones se encuentran establecidos en la Resolución del Presidente de la Corte del 14 de febrero del 2019.</w:t>
      </w:r>
    </w:p>
  </w:footnote>
  <w:footnote w:id="18">
    <w:p w14:paraId="17074E9C" w14:textId="12BEA99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La Corte decidió trasladar al presente caso los peritajes de Ernesto Albán Gómez y Mario Luis Coriolano, rendidos en los casos Suárez Rosero Vs. Ecuador y Herrera Espinoza y otros vs. Ecuador, mediante Resolución de 25 de junio de 2019 (expediente de fondo, folio 448).</w:t>
      </w:r>
    </w:p>
  </w:footnote>
  <w:footnote w:id="19">
    <w:p w14:paraId="42ADCAFC" w14:textId="32A79515" w:rsidR="00443B67" w:rsidRPr="000D358D" w:rsidRDefault="00443B67" w:rsidP="00587147">
      <w:pPr>
        <w:pStyle w:val="Footnotes"/>
        <w:rPr>
          <w:spacing w:val="0"/>
        </w:rPr>
      </w:pPr>
      <w:r w:rsidRPr="000D358D">
        <w:rPr>
          <w:rStyle w:val="Refdenotaalpie"/>
          <w:rFonts w:ascii="Verdana" w:eastAsiaTheme="majorEastAsia" w:hAnsi="Verdana"/>
          <w:spacing w:val="0"/>
          <w:szCs w:val="16"/>
        </w:rPr>
        <w:footnoteRef/>
      </w:r>
      <w:r w:rsidRPr="000D358D">
        <w:rPr>
          <w:spacing w:val="0"/>
        </w:rPr>
        <w:t xml:space="preserve"> </w:t>
      </w:r>
      <w:r w:rsidRPr="00D6153C">
        <w:rPr>
          <w:i/>
          <w:spacing w:val="0"/>
        </w:rPr>
        <w:t xml:space="preserve">Cfr. Caso </w:t>
      </w:r>
      <w:proofErr w:type="spellStart"/>
      <w:r w:rsidRPr="00D6153C">
        <w:rPr>
          <w:i/>
          <w:spacing w:val="0"/>
        </w:rPr>
        <w:t>Barbani</w:t>
      </w:r>
      <w:proofErr w:type="spellEnd"/>
      <w:r w:rsidRPr="00D6153C">
        <w:rPr>
          <w:i/>
          <w:spacing w:val="0"/>
        </w:rPr>
        <w:t xml:space="preserve"> Duarte y otros Vs. Uruguay. Fondo,</w:t>
      </w:r>
      <w:r>
        <w:rPr>
          <w:i/>
          <w:spacing w:val="0"/>
        </w:rPr>
        <w:t xml:space="preserve"> Reparaciones y C</w:t>
      </w:r>
      <w:r w:rsidRPr="00D6153C">
        <w:rPr>
          <w:i/>
          <w:spacing w:val="0"/>
        </w:rPr>
        <w:t xml:space="preserve">ostas. </w:t>
      </w:r>
      <w:r w:rsidRPr="003B3610">
        <w:rPr>
          <w:spacing w:val="0"/>
        </w:rPr>
        <w:t>Sentencia de 13 de octubre de 2011. Serie C No. 234, párr. 22, y</w:t>
      </w:r>
      <w:r w:rsidRPr="00D6153C">
        <w:rPr>
          <w:i/>
          <w:spacing w:val="0"/>
        </w:rPr>
        <w:t xml:space="preserve"> Caso Arrom </w:t>
      </w:r>
      <w:proofErr w:type="spellStart"/>
      <w:r w:rsidRPr="00D6153C">
        <w:rPr>
          <w:i/>
          <w:spacing w:val="0"/>
        </w:rPr>
        <w:t>Suhurt</w:t>
      </w:r>
      <w:proofErr w:type="spellEnd"/>
      <w:r w:rsidRPr="00D6153C">
        <w:rPr>
          <w:i/>
          <w:spacing w:val="0"/>
        </w:rPr>
        <w:t xml:space="preserve"> y otros y otros Vs. Paraguay. Fondo. </w:t>
      </w:r>
      <w:r w:rsidRPr="003B3610">
        <w:rPr>
          <w:spacing w:val="0"/>
        </w:rPr>
        <w:t>Sentencia de 13 de mayo de 2019. Serie C No 377, párr. 40.</w:t>
      </w:r>
    </w:p>
  </w:footnote>
  <w:footnote w:id="20">
    <w:p w14:paraId="0C7FEFE1"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Informe investigativo No. 080-JPEIP-CP1-92 (expediente de prueba, folio 4).</w:t>
      </w:r>
    </w:p>
  </w:footnote>
  <w:footnote w:id="21">
    <w:p w14:paraId="23224DCD" w14:textId="038457D0" w:rsidR="00443B67" w:rsidRPr="000D358D" w:rsidRDefault="00443B67" w:rsidP="00587147">
      <w:pPr>
        <w:spacing w:after="0" w:line="240" w:lineRule="auto"/>
        <w:jc w:val="both"/>
        <w:rPr>
          <w:sz w:val="16"/>
          <w:szCs w:val="16"/>
        </w:rPr>
      </w:pPr>
      <w:r w:rsidRPr="000D358D">
        <w:rPr>
          <w:rStyle w:val="Refdenotaalpie"/>
          <w:rFonts w:ascii="Verdana" w:hAnsi="Verdana"/>
          <w:sz w:val="16"/>
          <w:szCs w:val="16"/>
        </w:rPr>
        <w:footnoteRef/>
      </w:r>
      <w:r w:rsidRPr="000D358D">
        <w:rPr>
          <w:sz w:val="16"/>
          <w:szCs w:val="16"/>
        </w:rPr>
        <w:t xml:space="preserve"> Informe investigativo No. 080-JPEIP-CP1-92 (expediente de prueba, folio 6).</w:t>
      </w:r>
    </w:p>
  </w:footnote>
  <w:footnote w:id="22">
    <w:p w14:paraId="760F7AC0" w14:textId="4865A11A"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Pr>
          <w:szCs w:val="16"/>
        </w:rPr>
        <w:t>El señor Mario Montesinos</w:t>
      </w:r>
      <w:r w:rsidRPr="00AD09AB">
        <w:rPr>
          <w:szCs w:val="16"/>
          <w:lang w:val="es-CR"/>
        </w:rPr>
        <w:t xml:space="preserve"> a la fecha de los hechos tenía 52 años</w:t>
      </w:r>
      <w:r w:rsidR="0053221B">
        <w:rPr>
          <w:szCs w:val="16"/>
          <w:lang w:val="es-CR"/>
        </w:rPr>
        <w:t xml:space="preserve"> y</w:t>
      </w:r>
      <w:r w:rsidRPr="00AD09AB">
        <w:rPr>
          <w:szCs w:val="16"/>
          <w:lang w:val="es-CR"/>
        </w:rPr>
        <w:t xml:space="preserve"> tres años antes había solicitado su baja voluntaria</w:t>
      </w:r>
      <w:r>
        <w:rPr>
          <w:szCs w:val="16"/>
          <w:lang w:val="es-CR"/>
        </w:rPr>
        <w:t xml:space="preserve"> del Ejército del Ecuador. Durante su </w:t>
      </w:r>
      <w:r w:rsidRPr="00AD09AB">
        <w:rPr>
          <w:szCs w:val="16"/>
          <w:lang w:val="es-CR"/>
        </w:rPr>
        <w:t xml:space="preserve">carrera militar </w:t>
      </w:r>
      <w:r>
        <w:rPr>
          <w:szCs w:val="16"/>
          <w:lang w:val="es-CR"/>
        </w:rPr>
        <w:t xml:space="preserve">llegó al rango de Coronel y </w:t>
      </w:r>
      <w:r w:rsidRPr="00AD09AB">
        <w:rPr>
          <w:szCs w:val="16"/>
          <w:lang w:val="es-CR"/>
        </w:rPr>
        <w:t>ocup</w:t>
      </w:r>
      <w:r>
        <w:rPr>
          <w:szCs w:val="16"/>
          <w:lang w:val="es-CR"/>
        </w:rPr>
        <w:t xml:space="preserve">ó </w:t>
      </w:r>
      <w:r w:rsidRPr="00AD09AB">
        <w:rPr>
          <w:szCs w:val="16"/>
          <w:lang w:val="es-CR"/>
        </w:rPr>
        <w:t>altos cargos</w:t>
      </w:r>
      <w:r w:rsidR="0053221B">
        <w:rPr>
          <w:szCs w:val="16"/>
          <w:lang w:val="es-CR"/>
        </w:rPr>
        <w:t>;</w:t>
      </w:r>
      <w:r w:rsidRPr="00AD09AB">
        <w:rPr>
          <w:szCs w:val="16"/>
          <w:lang w:val="es-CR"/>
        </w:rPr>
        <w:t xml:space="preserve"> trabajó directamente en la </w:t>
      </w:r>
      <w:r>
        <w:rPr>
          <w:szCs w:val="16"/>
          <w:lang w:val="es-CR"/>
        </w:rPr>
        <w:t>P</w:t>
      </w:r>
      <w:r w:rsidRPr="00AD09AB">
        <w:rPr>
          <w:szCs w:val="16"/>
          <w:lang w:val="es-CR"/>
        </w:rPr>
        <w:t xml:space="preserve">residencia de la </w:t>
      </w:r>
      <w:r>
        <w:rPr>
          <w:szCs w:val="16"/>
          <w:lang w:val="es-CR"/>
        </w:rPr>
        <w:t>R</w:t>
      </w:r>
      <w:r w:rsidRPr="00AD09AB">
        <w:rPr>
          <w:szCs w:val="16"/>
          <w:lang w:val="es-CR"/>
        </w:rPr>
        <w:t>epública como asesor directo del entonces presidente Febres Cordero en temas anti drogas</w:t>
      </w:r>
      <w:r>
        <w:rPr>
          <w:szCs w:val="16"/>
        </w:rPr>
        <w:t xml:space="preserve">. Después de obtener la baja militar, pasó a administrar una hacienda. </w:t>
      </w:r>
      <w:r w:rsidRPr="000D358D">
        <w:rPr>
          <w:szCs w:val="16"/>
          <w:lang w:val="es-CR"/>
        </w:rPr>
        <w:t>Parte elevado al Jefe de la Oficina de Investigación del Delito (expediente de prueba, folio 18 y 2089).</w:t>
      </w:r>
    </w:p>
  </w:footnote>
  <w:footnote w:id="23">
    <w:p w14:paraId="4AE50A51" w14:textId="77777777"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Parte elevado al jefe de la Oficina de Investigación del Delito (expediente de prueba, folio 18 y 2089).</w:t>
      </w:r>
    </w:p>
  </w:footnote>
  <w:footnote w:id="24">
    <w:p w14:paraId="4FC994ED" w14:textId="77777777"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Parte elevado al jefe de la Oficina de Investigación del Delito (expediente de prueba, folio 18 y 2089).</w:t>
      </w:r>
    </w:p>
  </w:footnote>
  <w:footnote w:id="25">
    <w:p w14:paraId="45077338" w14:textId="77777777"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 xml:space="preserve">Certificado Médico de Sanidad de Policía del señor Mario Alfonso Montesinos Mejía, documento expedido el 27 de julio de 1992 (expediente de prueba, folio 44). </w:t>
      </w:r>
    </w:p>
  </w:footnote>
  <w:footnote w:id="26">
    <w:p w14:paraId="0363173A" w14:textId="77777777"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Comunicación de la parte peticionaria del 30 de agosto de 1996 (expediente de prueba, folio 23).</w:t>
      </w:r>
    </w:p>
  </w:footnote>
  <w:footnote w:id="27">
    <w:p w14:paraId="0B7EB85B" w14:textId="65E82916"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 xml:space="preserve">Parte elevado al Jefe de la Oficina de Investigación del Delito. Dentro de la comunicación se enlistaron los siguientes armamentos: </w:t>
      </w:r>
      <w:r w:rsidRPr="000D358D">
        <w:rPr>
          <w:szCs w:val="16"/>
        </w:rPr>
        <w:t xml:space="preserve">Dentro de los armamentos encontrados constan: </w:t>
      </w:r>
      <w:r w:rsidRPr="00522B85">
        <w:rPr>
          <w:szCs w:val="16"/>
          <w:lang w:val="es-CR"/>
        </w:rPr>
        <w:t>un revólver marca Smith Wesson, cal. 38 especial, cañón corto, No. D9792276 - AWT8046 más 28 cartuchos calibre 38; un revólver marca Smith Wesson, cañón corto, cal. 38, No. B1811788 – 2001096; una pistola marca Beretta, de fabricación italiana, calibre 380. No. 425P202136 más dos alimentadoras con 25 cartuchos cal. 38; una pistola Browning, cal. 9mm, No. T0393. 2 alimentadoras con 13 cartuchos calibre 9mm; un fusil de asalto marca Beretta, calibre 2.23, de fabricación italiana No. M31303 patente No. 909566, 2 alimetnadoras con 13 cartuchos calibre 2.23; una escopeta Mosberg calibre 12 No. J888993; una escopeta Mosberg calibre 12 niquelada, No K679676; una escopeta Mosberg calibre 12 niquelada, No K684074; una escopeta Mosberg calibre 12, con cargador de cilindro No. 102664; una escopeta cal. 16, doble cañón, No. 598381, marca Gwehrlsufs; una escopeta cal. 16, fabricación española s/n; una escopeta cal. 22, maca Sauage, USA, Mod. 987, No. E920747; una escopeta cal. 22, fabricación alemana, Marca DIANA con 2 miras telescópicas, un cuchillo marca Wonka conestuche; 1 machete con estuche; 79 cartuchos cal. 12; 65 cartuchos cal. 9 mm; 4 cartuchos cal. 16</w:t>
      </w:r>
      <w:r>
        <w:rPr>
          <w:szCs w:val="16"/>
        </w:rPr>
        <w:t xml:space="preserve"> </w:t>
      </w:r>
      <w:r w:rsidRPr="000D358D">
        <w:rPr>
          <w:szCs w:val="16"/>
          <w:lang w:val="es-CR"/>
        </w:rPr>
        <w:t>(expediente de prueba, folio 18 y 2089).</w:t>
      </w:r>
    </w:p>
  </w:footnote>
  <w:footnote w:id="28">
    <w:p w14:paraId="17733BF3" w14:textId="77777777"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ES"/>
        </w:rPr>
        <w:t>Declaración del señor Mario Alfonso Montesinos Mejía recibida por la Dirección Nacional de Investigaciones, Jefatura/Sub Jefatura de interpol Pichincha. Dentro del Caso N° P1-142-JPEIP-CP-1-92 (expediente de prueba, folio 56).</w:t>
      </w:r>
    </w:p>
  </w:footnote>
  <w:footnote w:id="29">
    <w:p w14:paraId="3ACF984B" w14:textId="77777777"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ES"/>
        </w:rPr>
        <w:t>Declaración del señor Mario Alfonso Montesinos Mejía recibida por la Dirección Nacional de Investigaciones, Jefatura/Sub Jefatura de interpol Pichincha. Dentro del Caso N° P1-142-JPEIP-CP-1-92 (expediente de prueba, folio 58).</w:t>
      </w:r>
    </w:p>
  </w:footnote>
  <w:footnote w:id="30">
    <w:p w14:paraId="491245DE" w14:textId="77777777"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Comunicación de la parte peticionaria del 30 de agosto de 1996 (expediente de prueba, folio 23).</w:t>
      </w:r>
    </w:p>
  </w:footnote>
  <w:footnote w:id="31">
    <w:p w14:paraId="2D2D0299" w14:textId="77777777"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 xml:space="preserve">Comunicación de la parte peticionaria del 30 de agosto de 1996 (expediente de prueba, folio 25). </w:t>
      </w:r>
    </w:p>
  </w:footnote>
  <w:footnote w:id="32">
    <w:p w14:paraId="32C96E17" w14:textId="77777777" w:rsidR="00443B67" w:rsidRPr="000D358D" w:rsidRDefault="00443B67" w:rsidP="00587147">
      <w:pPr>
        <w:pStyle w:val="Textonotapie"/>
        <w:rPr>
          <w:rFonts w:cs="Arial"/>
          <w:szCs w:val="16"/>
          <w:lang w:val="es-CR"/>
        </w:rPr>
      </w:pPr>
      <w:r w:rsidRPr="000D358D">
        <w:rPr>
          <w:rStyle w:val="Refdenotaalpie"/>
          <w:rFonts w:ascii="Verdana" w:hAnsi="Verdana" w:cs="Arial"/>
          <w:szCs w:val="16"/>
        </w:rPr>
        <w:footnoteRef/>
      </w:r>
      <w:r w:rsidRPr="000D358D">
        <w:rPr>
          <w:rFonts w:cs="Arial"/>
          <w:szCs w:val="16"/>
        </w:rPr>
        <w:t xml:space="preserve"> </w:t>
      </w:r>
      <w:r w:rsidRPr="000D358D">
        <w:rPr>
          <w:rFonts w:cs="Arial"/>
          <w:szCs w:val="16"/>
          <w:lang w:val="es-CR"/>
        </w:rPr>
        <w:t>Declaración mediante affidavit del señor Rafael Iván Suárez Rosero de 7 de agosto de 2019 (</w:t>
      </w:r>
      <w:r w:rsidRPr="000D358D">
        <w:rPr>
          <w:szCs w:val="16"/>
          <w:lang w:val="es-CR"/>
        </w:rPr>
        <w:t>expediente de prueba</w:t>
      </w:r>
      <w:r w:rsidRPr="000D358D">
        <w:rPr>
          <w:rFonts w:cs="Arial"/>
          <w:szCs w:val="16"/>
          <w:lang w:val="es-CR"/>
        </w:rPr>
        <w:t>, folio 2895-2896).</w:t>
      </w:r>
    </w:p>
  </w:footnote>
  <w:footnote w:id="33">
    <w:p w14:paraId="74913F45" w14:textId="6C8402BE"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Boleta Constitucional de Encarcelamiento N° 172-IGPP-04 emitida en Quito el 11 de julio de 1992 (expediente de prueba, folio 62).</w:t>
      </w:r>
    </w:p>
  </w:footnote>
  <w:footnote w:id="34">
    <w:p w14:paraId="03352EE2" w14:textId="459B6814"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 xml:space="preserve">Boleta Constitucional de Encarcelamiento N° 089-92-EC emitida el 13 de agosto de 1992 por la Jueza Primera de lo Penal de Pichincha (expediente de prueba, folio 64). </w:t>
      </w:r>
    </w:p>
  </w:footnote>
  <w:footnote w:id="35">
    <w:p w14:paraId="2A544E79" w14:textId="0AA2A8B1"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 xml:space="preserve">Contestación del Estado de Ecuador de 6 de septiembre de 2018 (expediente de </w:t>
      </w:r>
      <w:r>
        <w:rPr>
          <w:szCs w:val="16"/>
          <w:lang w:val="es-CR"/>
        </w:rPr>
        <w:t>fondo</w:t>
      </w:r>
      <w:r w:rsidRPr="000D358D">
        <w:rPr>
          <w:szCs w:val="16"/>
          <w:lang w:val="es-CR"/>
        </w:rPr>
        <w:t xml:space="preserve">, folio 180). </w:t>
      </w:r>
    </w:p>
  </w:footnote>
  <w:footnote w:id="36">
    <w:p w14:paraId="7F533E8A" w14:textId="77777777"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Petición dentro del Proceso 91-92 de Rodrigo Bucheli Mera, dirigida al Presidente de la Corte Superior de Justicia de Quito (expediente de prueba, folio 66).</w:t>
      </w:r>
    </w:p>
  </w:footnote>
  <w:footnote w:id="37">
    <w:p w14:paraId="37932906" w14:textId="33BB6232" w:rsidR="00443B67" w:rsidRPr="000D358D" w:rsidRDefault="00443B67" w:rsidP="00587147">
      <w:pPr>
        <w:pStyle w:val="Textonotapie"/>
        <w:rPr>
          <w:rFonts w:cs="Arial"/>
          <w:szCs w:val="16"/>
          <w:lang w:val="es-CR"/>
        </w:rPr>
      </w:pPr>
      <w:r w:rsidRPr="000D358D">
        <w:rPr>
          <w:rStyle w:val="Refdenotaalpie"/>
          <w:rFonts w:ascii="Verdana" w:hAnsi="Verdana" w:cs="Arial"/>
          <w:szCs w:val="16"/>
        </w:rPr>
        <w:footnoteRef/>
      </w:r>
      <w:r w:rsidRPr="000D358D">
        <w:rPr>
          <w:rFonts w:cs="Arial"/>
          <w:szCs w:val="16"/>
        </w:rPr>
        <w:t xml:space="preserve"> </w:t>
      </w:r>
      <w:r w:rsidRPr="000D358D">
        <w:rPr>
          <w:rFonts w:cs="Arial"/>
          <w:szCs w:val="16"/>
          <w:lang w:val="es-CR"/>
        </w:rPr>
        <w:t>Carta del 13 de octubre de 1995. Dirigida por el señor Mario Montesinos al señor Carlos Solorzano Constantine Presidente de la Corte Suprema de Justicia (expediente de prueba, folios 6</w:t>
      </w:r>
      <w:r>
        <w:rPr>
          <w:rFonts w:cs="Arial"/>
          <w:szCs w:val="16"/>
          <w:lang w:val="es-CR"/>
        </w:rPr>
        <w:t>8</w:t>
      </w:r>
      <w:r w:rsidRPr="000D358D">
        <w:rPr>
          <w:rFonts w:cs="Arial"/>
          <w:szCs w:val="16"/>
          <w:lang w:val="es-CR"/>
        </w:rPr>
        <w:t>-69).</w:t>
      </w:r>
    </w:p>
  </w:footnote>
  <w:footnote w:id="38">
    <w:p w14:paraId="23998C72" w14:textId="569590AD"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522B85">
        <w:rPr>
          <w:szCs w:val="16"/>
          <w:lang w:val="es-CR"/>
        </w:rPr>
        <w:t>Resolución 182-96-CP expedida por el tribunal de Garantías Constitucionales dentro del marco del caso Nro. 45/96-TC. (expediente de prueba, folio 46).</w:t>
      </w:r>
    </w:p>
  </w:footnote>
  <w:footnote w:id="39">
    <w:p w14:paraId="54ADACE8" w14:textId="6F24357C"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522B85">
        <w:rPr>
          <w:szCs w:val="16"/>
          <w:lang w:val="es-CR"/>
        </w:rPr>
        <w:t>Resolución 182-96-CP expedida por el tribunal de Garantías Constitucionales dentro del marco del caso Nro. 45/96-TC. (expediente de prueba, folio 46).</w:t>
      </w:r>
    </w:p>
  </w:footnote>
  <w:footnote w:id="40">
    <w:p w14:paraId="25CF22AA" w14:textId="6E1DEC81"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522B85">
        <w:rPr>
          <w:szCs w:val="16"/>
          <w:lang w:val="es-CR"/>
        </w:rPr>
        <w:t xml:space="preserve">Resolución 182-96-CP expedida por el tribunal de Garantías Constitucionales dentro del marco del caso Nro. 45/96-TC. (expediente de prueba, folio </w:t>
      </w:r>
      <w:r>
        <w:rPr>
          <w:szCs w:val="16"/>
          <w:lang w:val="es-CR"/>
        </w:rPr>
        <w:t>53</w:t>
      </w:r>
      <w:r w:rsidRPr="00522B85">
        <w:rPr>
          <w:szCs w:val="16"/>
          <w:lang w:val="es-CR"/>
        </w:rPr>
        <w:t>).</w:t>
      </w:r>
    </w:p>
  </w:footnote>
  <w:footnote w:id="41">
    <w:p w14:paraId="16719A31" w14:textId="33926DB1"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522B85">
        <w:rPr>
          <w:szCs w:val="16"/>
          <w:lang w:val="es-CR"/>
        </w:rPr>
        <w:t>Resolución 182-96-CP expedida por el tribunal de Garantías Constitucionales dentro del marco del caso Nro. 45/96-TC. (expediente de prueba, folio 4</w:t>
      </w:r>
      <w:r>
        <w:rPr>
          <w:szCs w:val="16"/>
          <w:lang w:val="es-CR"/>
        </w:rPr>
        <w:t>7</w:t>
      </w:r>
      <w:r w:rsidRPr="00522B85">
        <w:rPr>
          <w:szCs w:val="16"/>
          <w:lang w:val="es-CR"/>
        </w:rPr>
        <w:t>).</w:t>
      </w:r>
    </w:p>
  </w:footnote>
  <w:footnote w:id="42">
    <w:p w14:paraId="1F3519C0" w14:textId="4C294BEF" w:rsidR="00443B67" w:rsidRPr="000D358D" w:rsidRDefault="00443B67" w:rsidP="00587147">
      <w:pPr>
        <w:pStyle w:val="Textonotapie"/>
        <w:rPr>
          <w:rFonts w:cs="Arial"/>
          <w:szCs w:val="16"/>
          <w:lang w:val="es-CR"/>
        </w:rPr>
      </w:pPr>
      <w:r w:rsidRPr="000D358D">
        <w:rPr>
          <w:rStyle w:val="Refdenotaalpie"/>
          <w:rFonts w:ascii="Verdana" w:hAnsi="Verdana" w:cs="Arial"/>
          <w:szCs w:val="16"/>
        </w:rPr>
        <w:footnoteRef/>
      </w:r>
      <w:r w:rsidRPr="000D358D">
        <w:rPr>
          <w:rFonts w:cs="Arial"/>
          <w:szCs w:val="16"/>
        </w:rPr>
        <w:t xml:space="preserve"> </w:t>
      </w:r>
      <w:r w:rsidRPr="000D358D">
        <w:rPr>
          <w:rFonts w:cs="Arial"/>
          <w:szCs w:val="16"/>
          <w:lang w:val="es-CR"/>
        </w:rPr>
        <w:t>Resolución 182-96-CP emitida por el Tribunal de Garantías Constitucionales dentro del marco del Caso N° 45/96-TC (expediente de prueba, folios 53).</w:t>
      </w:r>
    </w:p>
  </w:footnote>
  <w:footnote w:id="43">
    <w:p w14:paraId="5329AD52" w14:textId="474DE519"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 xml:space="preserve">Contestación del Estado de Ecuador de 6 de septiembre de 2018 (expediente de </w:t>
      </w:r>
      <w:r>
        <w:rPr>
          <w:szCs w:val="16"/>
          <w:lang w:val="es-CR"/>
        </w:rPr>
        <w:t>fondo</w:t>
      </w:r>
      <w:r w:rsidRPr="000D358D">
        <w:rPr>
          <w:szCs w:val="16"/>
          <w:lang w:val="es-CR"/>
        </w:rPr>
        <w:t>, folio 213).</w:t>
      </w:r>
    </w:p>
  </w:footnote>
  <w:footnote w:id="44">
    <w:p w14:paraId="00EB0313" w14:textId="77777777"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 xml:space="preserve">Resolución de la Corte Superior de Quito de 30 de noviembre de 1992 (expediente de prueba, folios 971-974). </w:t>
      </w:r>
    </w:p>
  </w:footnote>
  <w:footnote w:id="45">
    <w:p w14:paraId="52E1B30A" w14:textId="79268E49"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 xml:space="preserve">Contestación del Estado de Ecuador de 6 de septiembre de 2018 (expediente de </w:t>
      </w:r>
      <w:r>
        <w:rPr>
          <w:szCs w:val="16"/>
          <w:lang w:val="es-CR"/>
        </w:rPr>
        <w:t>fondo</w:t>
      </w:r>
      <w:r w:rsidRPr="000D358D">
        <w:rPr>
          <w:szCs w:val="16"/>
          <w:lang w:val="es-CR"/>
        </w:rPr>
        <w:t>, folio 186).</w:t>
      </w:r>
    </w:p>
  </w:footnote>
  <w:footnote w:id="46">
    <w:p w14:paraId="379E56E2" w14:textId="08EE9921"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Resolución de la Presidencia de la Corte Superior de Justicia (expediente de prueba, folios 177-339 y 414-576). </w:t>
      </w:r>
    </w:p>
  </w:footnote>
  <w:footnote w:id="47">
    <w:p w14:paraId="5077EFA5" w14:textId="7BF06C82"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 xml:space="preserve">Contestación del Estado de Ecuador de 6 de septiembre de 2018 (expediente de </w:t>
      </w:r>
      <w:r>
        <w:rPr>
          <w:szCs w:val="16"/>
          <w:lang w:val="es-CR"/>
        </w:rPr>
        <w:t>fondo</w:t>
      </w:r>
      <w:r w:rsidRPr="000D358D">
        <w:rPr>
          <w:szCs w:val="16"/>
          <w:lang w:val="es-CR"/>
        </w:rPr>
        <w:t>, folio 187).</w:t>
      </w:r>
    </w:p>
  </w:footnote>
  <w:footnote w:id="48">
    <w:p w14:paraId="24317B17" w14:textId="2256626F"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Resolución de la Corte Superior de Justicia de fecha 7 de mayo de 1998 dentro de la causa por enriquecimiento ilícito, por la cual sobresee de forma definitiva al señor </w:t>
      </w:r>
      <w:r>
        <w:rPr>
          <w:szCs w:val="16"/>
        </w:rPr>
        <w:t>M</w:t>
      </w:r>
      <w:r w:rsidRPr="000D358D">
        <w:rPr>
          <w:szCs w:val="16"/>
        </w:rPr>
        <w:t xml:space="preserve">ontesinos </w:t>
      </w:r>
      <w:r w:rsidRPr="000D358D">
        <w:rPr>
          <w:szCs w:val="16"/>
          <w:lang w:val="es-CR"/>
        </w:rPr>
        <w:t>(expediente de prueba, folios 1265-1277).</w:t>
      </w:r>
    </w:p>
  </w:footnote>
  <w:footnote w:id="49">
    <w:p w14:paraId="194BD549" w14:textId="77777777"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 xml:space="preserve">Resolución de la Corte Superior de Quito de 30 de noviembre de 1992 (expediente de prueba, folios 964-969). </w:t>
      </w:r>
    </w:p>
  </w:footnote>
  <w:footnote w:id="50">
    <w:p w14:paraId="0D420047" w14:textId="3D7197DC"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 xml:space="preserve">Contestación del Estado de Ecuador de 6 de septiembre de 2018 (expediente de </w:t>
      </w:r>
      <w:r>
        <w:rPr>
          <w:szCs w:val="16"/>
          <w:lang w:val="es-CR"/>
        </w:rPr>
        <w:t>fondo</w:t>
      </w:r>
      <w:r w:rsidRPr="000D358D">
        <w:rPr>
          <w:szCs w:val="16"/>
          <w:lang w:val="es-CR"/>
        </w:rPr>
        <w:t>, folio 182).</w:t>
      </w:r>
    </w:p>
  </w:footnote>
  <w:footnote w:id="51">
    <w:p w14:paraId="38116475" w14:textId="335F25CC"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 xml:space="preserve">Resolución de la Corte Superior de Quito de 30 de septiembre de 1996 (expediente de prueba, 71-162 y 577-668) y Oficio N° 2078-CSJO-96, emitido por la Presidencia de la Corte Superior de Justicia de 25 de noviembre de 1996 (expediente de prueba, 341 y 398) y Contestación del Estado de Ecuador de 6 de septiembre de 2018 (expediente de </w:t>
      </w:r>
      <w:r>
        <w:rPr>
          <w:szCs w:val="16"/>
          <w:lang w:val="es-CR"/>
        </w:rPr>
        <w:t>fondo</w:t>
      </w:r>
      <w:r w:rsidRPr="000D358D">
        <w:rPr>
          <w:szCs w:val="16"/>
          <w:lang w:val="es-CR"/>
        </w:rPr>
        <w:t xml:space="preserve">, folio 182). </w:t>
      </w:r>
    </w:p>
  </w:footnote>
  <w:footnote w:id="52">
    <w:p w14:paraId="07BAC74F" w14:textId="092B6572"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Resolución de la Corte Superior de Justicia Sala Cuarta de 29 de abril de 1998 (expediente de prueba, folio 164)</w:t>
      </w:r>
    </w:p>
  </w:footnote>
  <w:footnote w:id="53">
    <w:p w14:paraId="08FD9CB0" w14:textId="77777777"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 xml:space="preserve">Resolución de la Corte Superior de Justicia Sala Cuarta de 29 de abril de 1998 (expediente de prueba, folios 164-175). </w:t>
      </w:r>
    </w:p>
  </w:footnote>
  <w:footnote w:id="54">
    <w:p w14:paraId="2FB74A9F" w14:textId="281760BE"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Fallo del 29 de abril de 1998 de la Corte Superior de Justicia de Quito – Cuarta Sala de Conjueces en el juicio por conversión o transferencia de bienes seguido contra Mario Montesinos </w:t>
      </w:r>
      <w:r w:rsidRPr="000D358D">
        <w:rPr>
          <w:szCs w:val="16"/>
          <w:lang w:val="es-CR"/>
        </w:rPr>
        <w:t>(expediente de prueba, folio 171);</w:t>
      </w:r>
      <w:r w:rsidRPr="000D358D">
        <w:rPr>
          <w:b/>
          <w:szCs w:val="16"/>
        </w:rPr>
        <w:t xml:space="preserve"> </w:t>
      </w:r>
      <w:r w:rsidRPr="000D358D">
        <w:rPr>
          <w:szCs w:val="16"/>
        </w:rPr>
        <w:t xml:space="preserve">Resolución de la Corte Superior de Justicia de fecha 7 de mayo de 1998 dentro de la causa por enriquecimiento ilícito, por la cual sobresee de forma definitiva al señor Montesinos </w:t>
      </w:r>
      <w:r w:rsidRPr="000D358D">
        <w:rPr>
          <w:szCs w:val="16"/>
          <w:lang w:val="es-CR"/>
        </w:rPr>
        <w:t xml:space="preserve">(expediente de prueba, folios 1270 y 1271). </w:t>
      </w:r>
    </w:p>
  </w:footnote>
  <w:footnote w:id="55">
    <w:p w14:paraId="6EC3CFCE" w14:textId="77777777"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 xml:space="preserve">Resolución de la Presidencia de la Corte Superior de Quito de 18 de noviembre de 1992 (expediente de prueba, folios 765-770). </w:t>
      </w:r>
    </w:p>
  </w:footnote>
  <w:footnote w:id="56">
    <w:p w14:paraId="6907FBA2" w14:textId="43EC162C"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Queja dirigida al Presidente del Tribunal de Grantías Constitucionales de febrero de 1996 (expediente de prueba, folios 350 a 356).</w:t>
      </w:r>
    </w:p>
  </w:footnote>
  <w:footnote w:id="57">
    <w:p w14:paraId="724D61F8" w14:textId="77777777"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 xml:space="preserve">Resolución del Tribunal de Garantías N° 083-96-CA de 26 de marzo de 1996 (expediente de prueba, folio 358). </w:t>
      </w:r>
    </w:p>
  </w:footnote>
  <w:footnote w:id="58">
    <w:p w14:paraId="1DB46B6B" w14:textId="77777777"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Resolución del Tribunal de Garantías N° 093-96-Ca de 23 de abril de 1996 (expediente de prueba, folio 360).</w:t>
      </w:r>
    </w:p>
  </w:footnote>
  <w:footnote w:id="59">
    <w:p w14:paraId="2D89B952" w14:textId="76D62900"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szCs w:val="16"/>
          <w:lang w:val="es-CR"/>
        </w:rPr>
        <w:t>Contestación del Estado de Ecuador de 6 de septiembre de 2018 (expediente de fondo, folios 193 y 194).</w:t>
      </w:r>
    </w:p>
  </w:footnote>
  <w:footnote w:id="60">
    <w:p w14:paraId="17974347" w14:textId="5265FFF8" w:rsidR="00443B67" w:rsidRPr="000D358D" w:rsidRDefault="00443B67" w:rsidP="00587147">
      <w:pPr>
        <w:pStyle w:val="Textonotapie"/>
        <w:rPr>
          <w:b/>
          <w:szCs w:val="16"/>
          <w:lang w:val="es-CR"/>
        </w:rPr>
      </w:pPr>
      <w:r w:rsidRPr="000D358D">
        <w:rPr>
          <w:rStyle w:val="Refdenotaalpie"/>
          <w:rFonts w:ascii="Verdana" w:hAnsi="Verdana"/>
          <w:szCs w:val="16"/>
        </w:rPr>
        <w:footnoteRef/>
      </w:r>
      <w:r w:rsidRPr="000D358D">
        <w:rPr>
          <w:szCs w:val="16"/>
        </w:rPr>
        <w:t xml:space="preserve"> Auto de apertura de la etapa del plenario por el delito tipificado en el Art. 78 de la Ley Sobre Sustancias Estupefacientes y Psicotrópicas, de 23 de marzo de 1998 (expediente de prueba, folios 2224 a 2447); </w:t>
      </w:r>
      <w:r w:rsidRPr="000D358D">
        <w:rPr>
          <w:szCs w:val="16"/>
          <w:lang w:val="es-CR"/>
        </w:rPr>
        <w:t xml:space="preserve">Contestación del Estado de Ecuador de 6 de septiembre de 2018 (expediente de fondo, folios 195 a 198). </w:t>
      </w:r>
    </w:p>
  </w:footnote>
  <w:footnote w:id="61">
    <w:p w14:paraId="20FCAF05" w14:textId="73591BC5" w:rsidR="00443B67" w:rsidRPr="000D358D" w:rsidRDefault="00443B67" w:rsidP="00587147">
      <w:pPr>
        <w:pStyle w:val="Textonotapie"/>
        <w:rPr>
          <w:szCs w:val="16"/>
          <w:highlight w:val="yellow"/>
          <w:lang w:val="es-CR"/>
        </w:rPr>
      </w:pPr>
      <w:r w:rsidRPr="000D358D">
        <w:rPr>
          <w:rStyle w:val="Refdenotaalpie"/>
          <w:rFonts w:ascii="Verdana" w:hAnsi="Verdana"/>
          <w:szCs w:val="16"/>
        </w:rPr>
        <w:footnoteRef/>
      </w:r>
      <w:r w:rsidRPr="000D358D">
        <w:rPr>
          <w:szCs w:val="16"/>
        </w:rPr>
        <w:t xml:space="preserve"> Sentencia de Primera Instancia de 9 de septiembre de 2003 de la Presidencia Subrogante de la Corte Superior de Quito (expediente de prueba, folios 2539 a 2579); </w:t>
      </w:r>
      <w:r w:rsidRPr="000D358D">
        <w:rPr>
          <w:szCs w:val="16"/>
          <w:lang w:val="es-CR"/>
        </w:rPr>
        <w:t>Contestación del Estado de Ecuador de 6 de septiembre de 2018 (expediente de fondo, folio 200 y 201).</w:t>
      </w:r>
    </w:p>
  </w:footnote>
  <w:footnote w:id="62">
    <w:p w14:paraId="18D31D73" w14:textId="6F742104" w:rsidR="00443B67" w:rsidRPr="000D358D" w:rsidRDefault="00443B67" w:rsidP="00587147">
      <w:pPr>
        <w:pStyle w:val="Textonotapie"/>
        <w:rPr>
          <w:b/>
          <w:szCs w:val="16"/>
          <w:highlight w:val="yellow"/>
          <w:lang w:val="es-CR"/>
        </w:rPr>
      </w:pPr>
      <w:r w:rsidRPr="000D358D">
        <w:rPr>
          <w:rStyle w:val="Refdenotaalpie"/>
          <w:rFonts w:ascii="Verdana" w:hAnsi="Verdana"/>
          <w:szCs w:val="16"/>
        </w:rPr>
        <w:footnoteRef/>
      </w:r>
      <w:r w:rsidRPr="000D358D">
        <w:rPr>
          <w:szCs w:val="16"/>
        </w:rPr>
        <w:t xml:space="preserve"> </w:t>
      </w:r>
      <w:r w:rsidRPr="000D358D">
        <w:rPr>
          <w:bCs/>
          <w:szCs w:val="16"/>
        </w:rPr>
        <w:t>Sentencia de Apelación, de 8 de septiembre de 2008</w:t>
      </w:r>
      <w:r w:rsidRPr="000D358D">
        <w:rPr>
          <w:szCs w:val="16"/>
          <w:lang w:val="es-CR"/>
        </w:rPr>
        <w:t xml:space="preserve"> </w:t>
      </w:r>
      <w:r w:rsidRPr="000D358D">
        <w:rPr>
          <w:szCs w:val="16"/>
        </w:rPr>
        <w:t>(expediente de prueba, folios 2588 a 2686);</w:t>
      </w:r>
      <w:r w:rsidRPr="000D358D">
        <w:rPr>
          <w:szCs w:val="16"/>
          <w:lang w:val="es-CR"/>
        </w:rPr>
        <w:t xml:space="preserve"> Contestación del Estado de Ecuador de 6 de septiembre de 2018 (expediente de fondo, folio 201).</w:t>
      </w:r>
    </w:p>
  </w:footnote>
  <w:footnote w:id="63">
    <w:p w14:paraId="0BDF1D54" w14:textId="62F0B6FB" w:rsidR="00443B67" w:rsidRPr="000D358D" w:rsidRDefault="00443B67" w:rsidP="00587147">
      <w:pPr>
        <w:pStyle w:val="Textonotapie"/>
        <w:rPr>
          <w:b/>
          <w:szCs w:val="16"/>
        </w:rPr>
      </w:pPr>
      <w:r w:rsidRPr="000D358D">
        <w:rPr>
          <w:rStyle w:val="Refdenotaalpie"/>
          <w:rFonts w:ascii="Verdana" w:hAnsi="Verdana"/>
          <w:szCs w:val="16"/>
        </w:rPr>
        <w:footnoteRef/>
      </w:r>
      <w:r w:rsidRPr="000D358D">
        <w:rPr>
          <w:szCs w:val="16"/>
        </w:rPr>
        <w:t xml:space="preserve"> </w:t>
      </w:r>
      <w:r w:rsidRPr="000D358D">
        <w:rPr>
          <w:bCs/>
          <w:szCs w:val="16"/>
        </w:rPr>
        <w:t xml:space="preserve">Auto de Concesión de Recurso de Casación, de 18 de septiembre de 2008 </w:t>
      </w:r>
      <w:r w:rsidRPr="000D358D">
        <w:rPr>
          <w:szCs w:val="16"/>
        </w:rPr>
        <w:t>(expediente de prueba, folios 2688 a 2690).</w:t>
      </w:r>
    </w:p>
  </w:footnote>
  <w:footnote w:id="64">
    <w:p w14:paraId="761D74F4" w14:textId="43C96A5D" w:rsidR="00443B67" w:rsidRPr="000D358D" w:rsidRDefault="00443B67" w:rsidP="00587147">
      <w:pPr>
        <w:pStyle w:val="Textonotapie"/>
        <w:rPr>
          <w:b/>
          <w:szCs w:val="16"/>
          <w:highlight w:val="yellow"/>
          <w:lang w:val="es-CR"/>
        </w:rPr>
      </w:pPr>
      <w:r w:rsidRPr="000D358D">
        <w:rPr>
          <w:rStyle w:val="Refdenotaalpie"/>
          <w:rFonts w:ascii="Verdana" w:hAnsi="Verdana"/>
          <w:szCs w:val="16"/>
        </w:rPr>
        <w:footnoteRef/>
      </w:r>
      <w:r w:rsidRPr="000D358D">
        <w:rPr>
          <w:szCs w:val="16"/>
        </w:rPr>
        <w:t xml:space="preserve"> </w:t>
      </w:r>
      <w:r w:rsidRPr="000D358D">
        <w:rPr>
          <w:bCs/>
          <w:szCs w:val="16"/>
        </w:rPr>
        <w:t xml:space="preserve">Sentencia de Casación, de 31 de agosto de 2010 </w:t>
      </w:r>
      <w:r w:rsidRPr="000D358D">
        <w:rPr>
          <w:szCs w:val="16"/>
        </w:rPr>
        <w:t xml:space="preserve">(expediente de prueba, folios 2719 a 2764); </w:t>
      </w:r>
      <w:r w:rsidRPr="000D358D">
        <w:rPr>
          <w:szCs w:val="16"/>
          <w:lang w:val="es-CR"/>
        </w:rPr>
        <w:t>Contestación del Estado de Ecuador de 6 de septiembre de 2018 (expediente de fondo, folio 202).</w:t>
      </w:r>
    </w:p>
  </w:footnote>
  <w:footnote w:id="65">
    <w:p w14:paraId="42CE34BE"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bCs/>
          <w:szCs w:val="16"/>
        </w:rPr>
        <w:t xml:space="preserve">Acción Extraordinaria de Protección presentada ante la Corte Constitucional el 29 de septiembre de 2010 </w:t>
      </w:r>
      <w:r w:rsidRPr="000D358D">
        <w:rPr>
          <w:szCs w:val="16"/>
        </w:rPr>
        <w:t>(expediente de prueba, folios 2766 a 2776).</w:t>
      </w:r>
    </w:p>
  </w:footnote>
  <w:footnote w:id="66">
    <w:p w14:paraId="7BCA3450" w14:textId="77777777" w:rsidR="00443B67" w:rsidRPr="000D358D" w:rsidRDefault="00443B67" w:rsidP="00587147">
      <w:pPr>
        <w:pStyle w:val="Textonotapie"/>
        <w:rPr>
          <w:b/>
          <w:szCs w:val="16"/>
        </w:rPr>
      </w:pPr>
      <w:r w:rsidRPr="000D358D">
        <w:rPr>
          <w:rStyle w:val="Refdenotaalpie"/>
          <w:rFonts w:ascii="Verdana" w:hAnsi="Verdana"/>
          <w:szCs w:val="16"/>
        </w:rPr>
        <w:footnoteRef/>
      </w:r>
      <w:r w:rsidRPr="000D358D">
        <w:rPr>
          <w:szCs w:val="16"/>
        </w:rPr>
        <w:t xml:space="preserve"> </w:t>
      </w:r>
      <w:r w:rsidRPr="000D358D">
        <w:rPr>
          <w:bCs/>
          <w:szCs w:val="16"/>
        </w:rPr>
        <w:t xml:space="preserve">Auto de ampliación/ aclaración de sentencia de casación, Primera Sala de lo Penal de la Corte Nacional de Justicia de 5 de octubre de 2010 </w:t>
      </w:r>
      <w:r w:rsidRPr="000D358D">
        <w:rPr>
          <w:szCs w:val="16"/>
        </w:rPr>
        <w:t>(expediente de prueba, folios 2778 a 2781).</w:t>
      </w:r>
    </w:p>
  </w:footnote>
  <w:footnote w:id="67">
    <w:p w14:paraId="631CACF9" w14:textId="29C1B6A5" w:rsidR="00443B67" w:rsidRPr="000D358D" w:rsidRDefault="00443B67" w:rsidP="00587147">
      <w:pPr>
        <w:pStyle w:val="Textonotapie"/>
        <w:rPr>
          <w:szCs w:val="16"/>
          <w:lang w:val="es-CR"/>
        </w:rPr>
      </w:pPr>
      <w:r w:rsidRPr="000D358D">
        <w:rPr>
          <w:rStyle w:val="Refdenotaalpie"/>
          <w:rFonts w:ascii="Verdana" w:hAnsi="Verdana"/>
          <w:szCs w:val="16"/>
        </w:rPr>
        <w:footnoteRef/>
      </w:r>
      <w:r w:rsidRPr="003B3610">
        <w:rPr>
          <w:szCs w:val="16"/>
          <w:lang w:val="pt-BR"/>
        </w:rPr>
        <w:t xml:space="preserve"> </w:t>
      </w:r>
      <w:r w:rsidRPr="003B3610">
        <w:rPr>
          <w:bCs/>
          <w:szCs w:val="16"/>
          <w:lang w:val="pt-BR"/>
        </w:rPr>
        <w:t xml:space="preserve">Corte Constitucional. Causa No. 1657-10-EP. </w:t>
      </w:r>
      <w:r w:rsidRPr="00522B85">
        <w:rPr>
          <w:bCs/>
          <w:szCs w:val="16"/>
          <w:lang w:val="es-CR"/>
        </w:rPr>
        <w:t>Auto de Inadmisión de 18 de enero de 2011. Sala de admisión de la Corte Constitucional para el periodo de transición (expediente de prueba, folios 2783 a 2786).</w:t>
      </w:r>
    </w:p>
  </w:footnote>
  <w:footnote w:id="68">
    <w:p w14:paraId="7DB1CB20"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Artículos 7.1, 7.2, 7.3, 7.5 y 7.6 de la Convención Americana. </w:t>
      </w:r>
    </w:p>
  </w:footnote>
  <w:footnote w:id="69">
    <w:p w14:paraId="28CA92C5"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Artículo 8.2 de la Convención Americana. </w:t>
      </w:r>
    </w:p>
  </w:footnote>
  <w:footnote w:id="70">
    <w:p w14:paraId="7E6D6B0D"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Artículo 24 de la Convención Americana. </w:t>
      </w:r>
    </w:p>
  </w:footnote>
  <w:footnote w:id="71">
    <w:p w14:paraId="46B0C99C" w14:textId="51336224"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 xml:space="preserve">Cfr. </w:t>
      </w:r>
      <w:r w:rsidRPr="000D73EA">
        <w:rPr>
          <w:i/>
          <w:szCs w:val="16"/>
          <w:lang w:val="es-CR"/>
        </w:rPr>
        <w:t xml:space="preserve">Caso "Instituto de Reeducación del Menor" Vs. Paraguay. Excepciones Preliminares, Fondo, Reparaciones y Costas. </w:t>
      </w:r>
      <w:r w:rsidRPr="003B3610">
        <w:rPr>
          <w:szCs w:val="16"/>
          <w:lang w:val="es-CR"/>
        </w:rPr>
        <w:t>Sentencia de 2 de septiembre de 2004. Serie C No. 112, párr. 223, y</w:t>
      </w:r>
      <w:r w:rsidRPr="000D73EA">
        <w:rPr>
          <w:i/>
          <w:szCs w:val="16"/>
          <w:lang w:val="es-CR"/>
        </w:rPr>
        <w:t xml:space="preserve"> Caso Romero Feris Vs. Argentina. Fondo, Reparaciones y Costas.</w:t>
      </w:r>
      <w:r w:rsidRPr="003B3610">
        <w:rPr>
          <w:szCs w:val="16"/>
          <w:lang w:val="es-CR"/>
        </w:rPr>
        <w:t xml:space="preserve"> Sentencia de 15 de octubre de 2019. Serie C No. 391, párr. 76. </w:t>
      </w:r>
      <w:r w:rsidRPr="000D358D">
        <w:rPr>
          <w:szCs w:val="16"/>
        </w:rPr>
        <w:t xml:space="preserve"> </w:t>
      </w:r>
    </w:p>
  </w:footnote>
  <w:footnote w:id="72">
    <w:p w14:paraId="07333121" w14:textId="7FF5E7E9" w:rsidR="00443B67" w:rsidRPr="000D358D" w:rsidRDefault="00443B67" w:rsidP="00587147">
      <w:pPr>
        <w:pStyle w:val="Textonotapie"/>
        <w:rPr>
          <w:iCs/>
          <w:szCs w:val="16"/>
        </w:rPr>
      </w:pPr>
      <w:r w:rsidRPr="000D358D">
        <w:rPr>
          <w:iCs/>
          <w:szCs w:val="16"/>
          <w:vertAlign w:val="superscript"/>
        </w:rPr>
        <w:footnoteRef/>
      </w:r>
      <w:r w:rsidRPr="000D358D">
        <w:rPr>
          <w:i/>
          <w:szCs w:val="16"/>
        </w:rPr>
        <w:t xml:space="preserve"> </w:t>
      </w:r>
      <w:r w:rsidRPr="000D358D">
        <w:rPr>
          <w:i/>
          <w:iCs/>
          <w:szCs w:val="16"/>
        </w:rPr>
        <w:t xml:space="preserve">Cfr. Caso Chaparro Álvarez y Lapo Íñiguez Vs. Ecuador. Excepciones Preliminares, Fondo, Reparaciones y Costas. </w:t>
      </w:r>
      <w:r w:rsidRPr="000D358D">
        <w:rPr>
          <w:iCs/>
          <w:szCs w:val="16"/>
        </w:rPr>
        <w:t>Sentencia de 21 de noviembre de 2007. Serie C No. 170, párr. 51,</w:t>
      </w:r>
      <w:r w:rsidRPr="000D358D">
        <w:rPr>
          <w:i/>
          <w:iCs/>
          <w:szCs w:val="16"/>
        </w:rPr>
        <w:t xml:space="preserve"> </w:t>
      </w:r>
      <w:r w:rsidRPr="000D358D">
        <w:rPr>
          <w:iCs/>
          <w:szCs w:val="16"/>
        </w:rPr>
        <w:t>y</w:t>
      </w:r>
      <w:r w:rsidRPr="000D358D">
        <w:rPr>
          <w:i/>
          <w:iCs/>
          <w:szCs w:val="16"/>
        </w:rPr>
        <w:t xml:space="preserve"> </w:t>
      </w:r>
      <w:r w:rsidRPr="000D73EA">
        <w:rPr>
          <w:i/>
          <w:iCs/>
          <w:szCs w:val="16"/>
          <w:lang w:val="es-CR"/>
        </w:rPr>
        <w:t>Caso Romero Feris Vs. Argentina</w:t>
      </w:r>
      <w:r>
        <w:rPr>
          <w:iCs/>
          <w:szCs w:val="16"/>
          <w:lang w:val="es-CR"/>
        </w:rPr>
        <w:t>, párr. 76</w:t>
      </w:r>
      <w:r w:rsidRPr="000D358D">
        <w:rPr>
          <w:iCs/>
          <w:szCs w:val="16"/>
        </w:rPr>
        <w:t>.</w:t>
      </w:r>
    </w:p>
  </w:footnote>
  <w:footnote w:id="73">
    <w:p w14:paraId="51F06F17" w14:textId="1BA20706" w:rsidR="00443B67" w:rsidRPr="000D358D" w:rsidRDefault="00443B67" w:rsidP="00587147">
      <w:pPr>
        <w:pStyle w:val="Textonotapie"/>
        <w:rPr>
          <w:iCs/>
          <w:szCs w:val="16"/>
        </w:rPr>
      </w:pPr>
      <w:r w:rsidRPr="000D358D">
        <w:rPr>
          <w:iCs/>
          <w:szCs w:val="16"/>
          <w:vertAlign w:val="superscript"/>
        </w:rPr>
        <w:footnoteRef/>
      </w:r>
      <w:r w:rsidRPr="000D358D">
        <w:rPr>
          <w:i/>
          <w:iCs/>
          <w:szCs w:val="16"/>
        </w:rPr>
        <w:t xml:space="preserve"> Cfr. Caso Chaparro Álvarez y Lapo Íñiguez Vs. Ecuador</w:t>
      </w:r>
      <w:r w:rsidRPr="000D358D">
        <w:rPr>
          <w:iCs/>
          <w:szCs w:val="16"/>
        </w:rPr>
        <w:t>, párr. 54, y</w:t>
      </w:r>
      <w:r w:rsidRPr="000D358D">
        <w:rPr>
          <w:i/>
          <w:iCs/>
          <w:szCs w:val="16"/>
        </w:rPr>
        <w:t xml:space="preserve"> </w:t>
      </w:r>
      <w:r w:rsidRPr="000D73EA">
        <w:rPr>
          <w:i/>
          <w:iCs/>
          <w:szCs w:val="16"/>
          <w:lang w:val="es-CR"/>
        </w:rPr>
        <w:t>Caso Romero Feris Vs. Argentina</w:t>
      </w:r>
      <w:r>
        <w:rPr>
          <w:iCs/>
          <w:szCs w:val="16"/>
          <w:lang w:val="es-CR"/>
        </w:rPr>
        <w:t>, párr. 76</w:t>
      </w:r>
      <w:r w:rsidRPr="000D358D">
        <w:rPr>
          <w:iCs/>
          <w:szCs w:val="16"/>
        </w:rPr>
        <w:t>.</w:t>
      </w:r>
    </w:p>
  </w:footnote>
  <w:footnote w:id="74">
    <w:p w14:paraId="0FE2B6BA" w14:textId="10FE85D5" w:rsidR="00443B67" w:rsidRPr="000D358D" w:rsidRDefault="00443B67" w:rsidP="00587147">
      <w:pPr>
        <w:pStyle w:val="Textonotapie"/>
        <w:rPr>
          <w:szCs w:val="16"/>
        </w:rPr>
      </w:pPr>
      <w:r w:rsidRPr="000D358D">
        <w:rPr>
          <w:rStyle w:val="Refdenotaalpie"/>
          <w:rFonts w:ascii="Verdana" w:hAnsi="Verdana"/>
          <w:szCs w:val="16"/>
        </w:rPr>
        <w:footnoteRef/>
      </w:r>
      <w:r>
        <w:rPr>
          <w:szCs w:val="16"/>
        </w:rPr>
        <w:t xml:space="preserve"> </w:t>
      </w:r>
      <w:r w:rsidRPr="000D358D">
        <w:rPr>
          <w:i/>
          <w:szCs w:val="16"/>
        </w:rPr>
        <w:t>Cfr. Caso Chaparro Álvarez y Lapo Íñiguez Vs. Ecuador</w:t>
      </w:r>
      <w:r w:rsidRPr="000D358D">
        <w:rPr>
          <w:szCs w:val="16"/>
        </w:rPr>
        <w:t>, párr. 167</w:t>
      </w:r>
      <w:r>
        <w:rPr>
          <w:szCs w:val="16"/>
        </w:rPr>
        <w:t xml:space="preserve">, </w:t>
      </w:r>
      <w:r w:rsidRPr="000D358D">
        <w:rPr>
          <w:iCs/>
          <w:szCs w:val="16"/>
        </w:rPr>
        <w:t>y</w:t>
      </w:r>
      <w:r w:rsidRPr="000D358D">
        <w:rPr>
          <w:i/>
          <w:iCs/>
          <w:szCs w:val="16"/>
        </w:rPr>
        <w:t xml:space="preserve"> </w:t>
      </w:r>
      <w:r w:rsidRPr="000D73EA">
        <w:rPr>
          <w:i/>
          <w:iCs/>
          <w:szCs w:val="16"/>
          <w:lang w:val="es-CR"/>
        </w:rPr>
        <w:t>Caso Romero Feris Vs. Argentina</w:t>
      </w:r>
      <w:r>
        <w:rPr>
          <w:iCs/>
          <w:szCs w:val="16"/>
          <w:lang w:val="es-CR"/>
        </w:rPr>
        <w:t>, párr. 76</w:t>
      </w:r>
      <w:r w:rsidRPr="000D358D">
        <w:rPr>
          <w:szCs w:val="16"/>
        </w:rPr>
        <w:t xml:space="preserve">. </w:t>
      </w:r>
    </w:p>
  </w:footnote>
  <w:footnote w:id="75">
    <w:p w14:paraId="0788AA3B" w14:textId="0E9863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 Caso Chaparro Álvarez y Lapo Íñiguez Vs. Ecuador</w:t>
      </w:r>
      <w:r w:rsidRPr="000D358D">
        <w:rPr>
          <w:szCs w:val="16"/>
        </w:rPr>
        <w:t>, párr. 57</w:t>
      </w:r>
      <w:r>
        <w:rPr>
          <w:szCs w:val="16"/>
        </w:rPr>
        <w:t xml:space="preserve">, </w:t>
      </w:r>
      <w:r w:rsidRPr="000D358D">
        <w:rPr>
          <w:iCs/>
          <w:szCs w:val="16"/>
        </w:rPr>
        <w:t>y</w:t>
      </w:r>
      <w:r w:rsidRPr="000D358D">
        <w:rPr>
          <w:i/>
          <w:iCs/>
          <w:szCs w:val="16"/>
        </w:rPr>
        <w:t xml:space="preserve"> </w:t>
      </w:r>
      <w:r w:rsidRPr="000D73EA">
        <w:rPr>
          <w:i/>
          <w:iCs/>
          <w:szCs w:val="16"/>
          <w:lang w:val="es-CR"/>
        </w:rPr>
        <w:t>Caso Romero Feris Vs. Argentina</w:t>
      </w:r>
      <w:r>
        <w:rPr>
          <w:iCs/>
          <w:szCs w:val="16"/>
          <w:lang w:val="es-CR"/>
        </w:rPr>
        <w:t>, párr. 77</w:t>
      </w:r>
      <w:r w:rsidRPr="000D358D">
        <w:rPr>
          <w:szCs w:val="16"/>
        </w:rPr>
        <w:t>.</w:t>
      </w:r>
    </w:p>
  </w:footnote>
  <w:footnote w:id="76">
    <w:p w14:paraId="20F756CD" w14:textId="67E63CF2" w:rsidR="00443B67" w:rsidRPr="003B3610" w:rsidRDefault="00443B67" w:rsidP="00587147">
      <w:pPr>
        <w:pStyle w:val="Textonotapie"/>
        <w:rPr>
          <w:szCs w:val="16"/>
          <w:lang w:val="es-419"/>
        </w:rPr>
      </w:pPr>
      <w:r w:rsidRPr="000D358D">
        <w:rPr>
          <w:rStyle w:val="Refdenotaalpie"/>
          <w:rFonts w:ascii="Verdana" w:hAnsi="Verdana"/>
          <w:szCs w:val="16"/>
        </w:rPr>
        <w:footnoteRef/>
      </w:r>
      <w:r w:rsidRPr="000D358D">
        <w:rPr>
          <w:szCs w:val="16"/>
        </w:rPr>
        <w:t xml:space="preserve"> </w:t>
      </w:r>
      <w:r w:rsidRPr="000D358D">
        <w:rPr>
          <w:i/>
          <w:szCs w:val="16"/>
        </w:rPr>
        <w:t>Cfr.</w:t>
      </w:r>
      <w:r w:rsidRPr="000D358D">
        <w:rPr>
          <w:szCs w:val="16"/>
        </w:rPr>
        <w:t xml:space="preserve"> </w:t>
      </w:r>
      <w:r w:rsidRPr="000D358D">
        <w:rPr>
          <w:i/>
          <w:szCs w:val="16"/>
        </w:rPr>
        <w:t>Caso Chaparro Álvarez y Lapo Íñiguez Vs. Ecuador</w:t>
      </w:r>
      <w:r w:rsidRPr="000D358D">
        <w:rPr>
          <w:szCs w:val="16"/>
        </w:rPr>
        <w:t xml:space="preserve">, párr. </w:t>
      </w:r>
      <w:r w:rsidRPr="003B3610">
        <w:rPr>
          <w:szCs w:val="16"/>
          <w:lang w:val="es-419"/>
        </w:rPr>
        <w:t xml:space="preserve">57, y </w:t>
      </w:r>
      <w:r w:rsidRPr="003B3610">
        <w:rPr>
          <w:i/>
          <w:iCs/>
          <w:szCs w:val="16"/>
          <w:lang w:val="es-419"/>
        </w:rPr>
        <w:t>Caso Romero Feris Vs. Argentina</w:t>
      </w:r>
      <w:r w:rsidRPr="003B3610">
        <w:rPr>
          <w:iCs/>
          <w:szCs w:val="16"/>
          <w:lang w:val="es-419"/>
        </w:rPr>
        <w:t>, párr. 77.</w:t>
      </w:r>
      <w:r>
        <w:rPr>
          <w:szCs w:val="16"/>
          <w:lang w:val="es-419"/>
        </w:rPr>
        <w:t xml:space="preserve"> </w:t>
      </w:r>
    </w:p>
  </w:footnote>
  <w:footnote w:id="77">
    <w:p w14:paraId="4BC9C73F" w14:textId="75D66A2C" w:rsidR="00443B67" w:rsidRPr="000D358D" w:rsidRDefault="00443B67" w:rsidP="00587147">
      <w:pPr>
        <w:pStyle w:val="Textonotapie"/>
        <w:rPr>
          <w:szCs w:val="16"/>
        </w:rPr>
      </w:pPr>
      <w:r w:rsidRPr="000D358D">
        <w:rPr>
          <w:rStyle w:val="Refdenotaalpie"/>
          <w:rFonts w:ascii="Verdana" w:hAnsi="Verdana"/>
          <w:szCs w:val="16"/>
        </w:rPr>
        <w:footnoteRef/>
      </w:r>
      <w:r w:rsidRPr="003B3610">
        <w:rPr>
          <w:szCs w:val="16"/>
          <w:lang w:val="es-419"/>
        </w:rPr>
        <w:t xml:space="preserve"> </w:t>
      </w:r>
      <w:r w:rsidRPr="003B3610">
        <w:rPr>
          <w:i/>
          <w:szCs w:val="16"/>
          <w:lang w:val="es-419"/>
        </w:rPr>
        <w:t xml:space="preserve">Cfr. Caso Gangaram Panday Vs. Suriname. </w:t>
      </w:r>
      <w:r w:rsidRPr="000D358D">
        <w:rPr>
          <w:i/>
          <w:szCs w:val="16"/>
        </w:rPr>
        <w:t>Fondo, Reparaciones y Costas.</w:t>
      </w:r>
      <w:r w:rsidRPr="000D358D">
        <w:rPr>
          <w:szCs w:val="16"/>
        </w:rPr>
        <w:t xml:space="preserve"> Sentencia de 21 de enero de 1994. Serie C No. 16, párr. 47, </w:t>
      </w:r>
      <w:r w:rsidRPr="000D358D">
        <w:rPr>
          <w:iCs/>
          <w:szCs w:val="16"/>
        </w:rPr>
        <w:t>y</w:t>
      </w:r>
      <w:r w:rsidRPr="000D358D">
        <w:rPr>
          <w:i/>
          <w:iCs/>
          <w:szCs w:val="16"/>
        </w:rPr>
        <w:t xml:space="preserve"> </w:t>
      </w:r>
      <w:r w:rsidRPr="000D73EA">
        <w:rPr>
          <w:i/>
          <w:iCs/>
          <w:szCs w:val="16"/>
          <w:lang w:val="es-CR"/>
        </w:rPr>
        <w:t>Caso Romero Feris Vs. Argentina</w:t>
      </w:r>
      <w:r>
        <w:rPr>
          <w:iCs/>
          <w:szCs w:val="16"/>
          <w:lang w:val="es-CR"/>
        </w:rPr>
        <w:t>, párr. 91</w:t>
      </w:r>
      <w:r w:rsidRPr="000D358D">
        <w:rPr>
          <w:szCs w:val="16"/>
        </w:rPr>
        <w:t>.</w:t>
      </w:r>
    </w:p>
  </w:footnote>
  <w:footnote w:id="78">
    <w:p w14:paraId="16ED8E63" w14:textId="4C463C5E"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 Caso Chaparro Álvarez y Lapo Íñiguez Vs. Ecuador</w:t>
      </w:r>
      <w:r w:rsidRPr="000D358D">
        <w:rPr>
          <w:szCs w:val="16"/>
        </w:rPr>
        <w:t xml:space="preserve">, párr. 92, </w:t>
      </w:r>
      <w:r w:rsidRPr="000D358D">
        <w:rPr>
          <w:iCs/>
          <w:szCs w:val="16"/>
        </w:rPr>
        <w:t>y</w:t>
      </w:r>
      <w:r w:rsidRPr="000D358D">
        <w:rPr>
          <w:i/>
          <w:iCs/>
          <w:szCs w:val="16"/>
        </w:rPr>
        <w:t xml:space="preserve"> </w:t>
      </w:r>
      <w:r w:rsidRPr="000D73EA">
        <w:rPr>
          <w:i/>
          <w:iCs/>
          <w:szCs w:val="16"/>
          <w:lang w:val="es-CR"/>
        </w:rPr>
        <w:t>Caso Romero Feris Vs. Argentina</w:t>
      </w:r>
      <w:r>
        <w:rPr>
          <w:iCs/>
          <w:szCs w:val="16"/>
          <w:lang w:val="es-CR"/>
        </w:rPr>
        <w:t>, párr. 91</w:t>
      </w:r>
      <w:r w:rsidRPr="000D358D">
        <w:rPr>
          <w:szCs w:val="16"/>
        </w:rPr>
        <w:t>.</w:t>
      </w:r>
    </w:p>
  </w:footnote>
  <w:footnote w:id="79">
    <w:p w14:paraId="327C1EEB" w14:textId="059D1E0E" w:rsidR="00443B67" w:rsidRPr="000D358D" w:rsidRDefault="00443B67" w:rsidP="00587147">
      <w:pPr>
        <w:pStyle w:val="Textonotapie"/>
        <w:tabs>
          <w:tab w:val="left" w:pos="426"/>
        </w:tabs>
        <w:rPr>
          <w:szCs w:val="16"/>
        </w:rPr>
      </w:pPr>
      <w:r w:rsidRPr="000D358D">
        <w:rPr>
          <w:rStyle w:val="Refdenotaalpie"/>
          <w:rFonts w:ascii="Verdana" w:hAnsi="Verdana"/>
          <w:szCs w:val="16"/>
        </w:rPr>
        <w:footnoteRef/>
      </w:r>
      <w:r w:rsidRPr="000D358D">
        <w:rPr>
          <w:szCs w:val="16"/>
        </w:rPr>
        <w:t xml:space="preserve"> La Corte ha explicado que “La información de los ‘motivos y razones’ de la detención debe darse ‘cuando ésta se produce’, lo cual constituye un mecanismo para evitar detenciones ilegales o arbitrarias desde el momento mismo de la privación de libertad y, a su vez, garantiza el derecho de defensa del individuo. Asimismo, esta Corte ha señalado que el agente que lleva a cabo la detención debe informar en un lenguaje simple, libre de tecnicismos, los hechos y bases jurídicas esenciales en los que se basa la detención y que no se satisface el artículo 7.4 de la Convención si solo se menciona la base legal si la persona no es informada adecuadamente de las razones de la detención, incluyendo los hechos y su base jurídica, no sabe contra cuál cargo defenderse y, en forma concatenada, se hace ilusorio el control judicial” (</w:t>
      </w:r>
      <w:r w:rsidRPr="000D358D">
        <w:rPr>
          <w:i/>
          <w:szCs w:val="16"/>
        </w:rPr>
        <w:t xml:space="preserve">Caso Yvon Neptune Vs. Haití. Fondo, Reparaciones y Costas. </w:t>
      </w:r>
      <w:r w:rsidRPr="000D358D">
        <w:rPr>
          <w:szCs w:val="16"/>
        </w:rPr>
        <w:t xml:space="preserve">Sentencia de 6 de mayo de 2008. Serie C No. 180, párr. 109; </w:t>
      </w:r>
      <w:r w:rsidRPr="000D358D">
        <w:rPr>
          <w:i/>
          <w:szCs w:val="16"/>
        </w:rPr>
        <w:t>Caso Herrera Espinoza y otros Vs. Ecuador. Excepciones Preliminares, Fondo, Reparaciones y Costas.</w:t>
      </w:r>
      <w:r w:rsidRPr="000D358D">
        <w:rPr>
          <w:szCs w:val="16"/>
        </w:rPr>
        <w:t xml:space="preserve"> Sentencia de 1 de septiembre de 2016. Serie C No. 316, párr. 154, y </w:t>
      </w:r>
      <w:r w:rsidRPr="000D358D">
        <w:rPr>
          <w:i/>
          <w:iCs/>
          <w:szCs w:val="16"/>
        </w:rPr>
        <w:t>Caso Mujeres Víctimas de Tortura Sexual en Atenco Vs. México</w:t>
      </w:r>
      <w:r w:rsidRPr="000D358D">
        <w:rPr>
          <w:iCs/>
          <w:szCs w:val="16"/>
        </w:rPr>
        <w:t>, párr</w:t>
      </w:r>
      <w:r w:rsidRPr="000D358D">
        <w:rPr>
          <w:szCs w:val="16"/>
          <w:lang w:val="es-ES"/>
        </w:rPr>
        <w:t>. 246</w:t>
      </w:r>
      <w:r>
        <w:rPr>
          <w:szCs w:val="16"/>
        </w:rPr>
        <w:t>).</w:t>
      </w:r>
      <w:r w:rsidRPr="000D358D">
        <w:rPr>
          <w:szCs w:val="16"/>
        </w:rPr>
        <w:t xml:space="preserve"> </w:t>
      </w:r>
    </w:p>
  </w:footnote>
  <w:footnote w:id="80">
    <w:p w14:paraId="77A1A932" w14:textId="3737B697" w:rsidR="00443B67" w:rsidRPr="000D358D" w:rsidRDefault="00443B67" w:rsidP="00587147">
      <w:pPr>
        <w:pStyle w:val="Textonotapie"/>
        <w:tabs>
          <w:tab w:val="left" w:pos="567"/>
        </w:tabs>
        <w:rPr>
          <w:szCs w:val="16"/>
        </w:rPr>
      </w:pPr>
      <w:r w:rsidRPr="000D358D">
        <w:rPr>
          <w:szCs w:val="16"/>
          <w:vertAlign w:val="superscript"/>
        </w:rPr>
        <w:footnoteRef/>
      </w:r>
      <w:r w:rsidRPr="000D358D">
        <w:rPr>
          <w:i/>
          <w:szCs w:val="16"/>
          <w:vertAlign w:val="superscript"/>
        </w:rPr>
        <w:t xml:space="preserve"> </w:t>
      </w:r>
      <w:r w:rsidRPr="000D358D">
        <w:rPr>
          <w:i/>
          <w:szCs w:val="16"/>
        </w:rPr>
        <w:t xml:space="preserve">Cfr. </w:t>
      </w:r>
      <w:r w:rsidRPr="00F10C65">
        <w:rPr>
          <w:i/>
          <w:szCs w:val="16"/>
          <w:lang w:val="es-CR"/>
        </w:rPr>
        <w:t xml:space="preserve">Caso Bayarri Vs. Argentina. Excepción Preliminar, Fondo, Reparaciones y Costas. </w:t>
      </w:r>
      <w:r w:rsidRPr="0086767B">
        <w:rPr>
          <w:szCs w:val="16"/>
          <w:lang w:val="es-CR"/>
        </w:rPr>
        <w:t>Sentencia de 30 de octubre de 2008. Serie C No. 187, párr. 70, y</w:t>
      </w:r>
      <w:r>
        <w:rPr>
          <w:i/>
          <w:szCs w:val="16"/>
          <w:lang w:val="es-CR"/>
        </w:rPr>
        <w:t xml:space="preserve"> </w:t>
      </w:r>
      <w:r w:rsidRPr="00F10C65">
        <w:rPr>
          <w:i/>
          <w:szCs w:val="16"/>
          <w:lang w:val="es-CR"/>
        </w:rPr>
        <w:t xml:space="preserve">Caso Amrhein y otros Vs. Costa Rica. Excepciones Preliminares, Fondo, Reparaciones y Costas. </w:t>
      </w:r>
      <w:r w:rsidRPr="0086767B">
        <w:rPr>
          <w:szCs w:val="16"/>
          <w:lang w:val="es-CR"/>
        </w:rPr>
        <w:t>Sentencias de 25 de abril de 2018, párr. 361.</w:t>
      </w:r>
    </w:p>
  </w:footnote>
  <w:footnote w:id="81">
    <w:p w14:paraId="0FE4E638" w14:textId="6D9ECD91" w:rsidR="00443B67" w:rsidRPr="000D358D" w:rsidRDefault="00443B67" w:rsidP="00587147">
      <w:pPr>
        <w:pStyle w:val="Textonotapie"/>
        <w:tabs>
          <w:tab w:val="left" w:pos="567"/>
        </w:tabs>
        <w:rPr>
          <w:szCs w:val="16"/>
        </w:rPr>
      </w:pPr>
      <w:r w:rsidRPr="000D358D">
        <w:rPr>
          <w:szCs w:val="16"/>
          <w:vertAlign w:val="superscript"/>
        </w:rPr>
        <w:footnoteRef/>
      </w:r>
      <w:r w:rsidRPr="000D358D">
        <w:rPr>
          <w:szCs w:val="16"/>
          <w:vertAlign w:val="superscript"/>
        </w:rPr>
        <w:t xml:space="preserve"> </w:t>
      </w:r>
      <w:r w:rsidRPr="000D358D">
        <w:rPr>
          <w:i/>
          <w:szCs w:val="16"/>
        </w:rPr>
        <w:t xml:space="preserve">Cfr. </w:t>
      </w:r>
      <w:r w:rsidRPr="00F10C65">
        <w:rPr>
          <w:i/>
          <w:szCs w:val="16"/>
          <w:lang w:val="es-CR"/>
        </w:rPr>
        <w:t xml:space="preserve">Caso Bayarri Vs. Argentina, </w:t>
      </w:r>
      <w:r w:rsidRPr="0086767B">
        <w:rPr>
          <w:szCs w:val="16"/>
          <w:lang w:val="es-CR"/>
        </w:rPr>
        <w:t>párr. 74</w:t>
      </w:r>
      <w:r>
        <w:rPr>
          <w:szCs w:val="16"/>
          <w:lang w:val="es-CR"/>
        </w:rPr>
        <w:t>,</w:t>
      </w:r>
      <w:r w:rsidRPr="0086767B">
        <w:rPr>
          <w:szCs w:val="16"/>
          <w:lang w:val="es-CR"/>
        </w:rPr>
        <w:t xml:space="preserve"> y</w:t>
      </w:r>
      <w:r w:rsidRPr="00F10C65">
        <w:rPr>
          <w:i/>
          <w:szCs w:val="16"/>
          <w:lang w:val="es-CR"/>
        </w:rPr>
        <w:t xml:space="preserve"> Caso Amrhein y otros Vs. Costa Rica, </w:t>
      </w:r>
      <w:r w:rsidRPr="0086767B">
        <w:rPr>
          <w:szCs w:val="16"/>
          <w:lang w:val="es-CR"/>
        </w:rPr>
        <w:t>párr. 362</w:t>
      </w:r>
      <w:r w:rsidRPr="000D358D">
        <w:rPr>
          <w:szCs w:val="16"/>
        </w:rPr>
        <w:t>.</w:t>
      </w:r>
    </w:p>
  </w:footnote>
  <w:footnote w:id="82">
    <w:p w14:paraId="5B6099FB" w14:textId="16C320BE" w:rsidR="00443B67" w:rsidRPr="000D358D" w:rsidRDefault="00443B67" w:rsidP="00587147">
      <w:pPr>
        <w:pStyle w:val="Textonotapie"/>
        <w:rPr>
          <w:szCs w:val="16"/>
          <w:lang w:val="es-ES"/>
        </w:rPr>
      </w:pPr>
      <w:r w:rsidRPr="000D358D">
        <w:rPr>
          <w:rStyle w:val="Refdenotaalpie"/>
          <w:rFonts w:ascii="Verdana" w:hAnsi="Verdana"/>
          <w:szCs w:val="16"/>
        </w:rPr>
        <w:footnoteRef/>
      </w:r>
      <w:r w:rsidRPr="000D358D">
        <w:rPr>
          <w:szCs w:val="16"/>
          <w:lang w:val="es-ES"/>
        </w:rPr>
        <w:t xml:space="preserve"> </w:t>
      </w:r>
      <w:r w:rsidRPr="00F10C65">
        <w:rPr>
          <w:i/>
          <w:szCs w:val="16"/>
          <w:lang w:val="es-ES"/>
        </w:rPr>
        <w:t xml:space="preserve">Caso Suárez Rosero Vs. Ecuador. Fondo. </w:t>
      </w:r>
      <w:r w:rsidRPr="0086767B">
        <w:rPr>
          <w:szCs w:val="16"/>
          <w:lang w:val="es-ES"/>
        </w:rPr>
        <w:t>Sentencia de 12 de noviembre de 1997. Serie C No. 35, párr. 70, y</w:t>
      </w:r>
      <w:r w:rsidRPr="00F10C65">
        <w:rPr>
          <w:i/>
          <w:szCs w:val="16"/>
          <w:lang w:val="es-ES"/>
        </w:rPr>
        <w:t xml:space="preserve"> Caso Norín Catrimán y otros Vs. Chile. Fondo, Reparaciones y Costas. Serie C No. 279</w:t>
      </w:r>
      <w:r w:rsidRPr="0086767B">
        <w:rPr>
          <w:szCs w:val="16"/>
          <w:lang w:val="es-ES"/>
        </w:rPr>
        <w:t>, párr. 354.</w:t>
      </w:r>
    </w:p>
  </w:footnote>
  <w:footnote w:id="83">
    <w:p w14:paraId="24000F65" w14:textId="6B00A1A3" w:rsidR="00443B67" w:rsidRPr="000D358D" w:rsidRDefault="00443B67" w:rsidP="00587147">
      <w:pPr>
        <w:pStyle w:val="Textonotapie"/>
        <w:rPr>
          <w:szCs w:val="16"/>
          <w:lang w:val="es-ES"/>
        </w:rPr>
      </w:pPr>
      <w:r w:rsidRPr="000D358D">
        <w:rPr>
          <w:rStyle w:val="Refdenotaalpie"/>
          <w:rFonts w:ascii="Verdana" w:hAnsi="Verdana"/>
          <w:szCs w:val="16"/>
        </w:rPr>
        <w:footnoteRef/>
      </w:r>
      <w:r w:rsidRPr="000D358D">
        <w:rPr>
          <w:szCs w:val="16"/>
          <w:lang w:val="es-ES"/>
        </w:rPr>
        <w:t xml:space="preserve"> </w:t>
      </w:r>
      <w:r w:rsidRPr="000D358D">
        <w:rPr>
          <w:i/>
          <w:szCs w:val="16"/>
          <w:lang w:val="es-ES"/>
        </w:rPr>
        <w:t>Cfr.</w:t>
      </w:r>
      <w:r w:rsidRPr="000D358D">
        <w:rPr>
          <w:szCs w:val="16"/>
          <w:lang w:val="es-ES"/>
        </w:rPr>
        <w:t xml:space="preserve"> </w:t>
      </w:r>
      <w:r w:rsidRPr="00F10C65">
        <w:rPr>
          <w:i/>
          <w:szCs w:val="16"/>
          <w:lang w:val="es-ES"/>
        </w:rPr>
        <w:t xml:space="preserve">Caso Suárez Rosero Vs. Ecuador, </w:t>
      </w:r>
      <w:r w:rsidRPr="0086767B">
        <w:rPr>
          <w:szCs w:val="16"/>
          <w:lang w:val="es-ES"/>
        </w:rPr>
        <w:t>párr. 77, y</w:t>
      </w:r>
      <w:r>
        <w:rPr>
          <w:i/>
          <w:szCs w:val="16"/>
          <w:lang w:val="es-ES"/>
        </w:rPr>
        <w:t xml:space="preserve"> </w:t>
      </w:r>
      <w:r w:rsidRPr="00F10C65">
        <w:rPr>
          <w:i/>
          <w:szCs w:val="16"/>
          <w:lang w:val="es-ES"/>
        </w:rPr>
        <w:t>Caso Norín Catrimán y otros Vs. Chile</w:t>
      </w:r>
      <w:r w:rsidRPr="0086767B">
        <w:rPr>
          <w:szCs w:val="16"/>
          <w:lang w:val="es-ES"/>
        </w:rPr>
        <w:t>, párr. 311</w:t>
      </w:r>
      <w:r w:rsidRPr="000D358D">
        <w:rPr>
          <w:szCs w:val="16"/>
          <w:lang w:val="es-ES"/>
        </w:rPr>
        <w:t xml:space="preserve">. </w:t>
      </w:r>
    </w:p>
  </w:footnote>
  <w:footnote w:id="84">
    <w:p w14:paraId="315B6E08" w14:textId="28EC60C6" w:rsidR="00443B67" w:rsidRPr="000D358D" w:rsidRDefault="00443B67" w:rsidP="00587147">
      <w:pPr>
        <w:pStyle w:val="Textonotapie"/>
        <w:rPr>
          <w:szCs w:val="16"/>
          <w:lang w:val="es-ES"/>
        </w:rPr>
      </w:pPr>
      <w:r w:rsidRPr="000D358D">
        <w:rPr>
          <w:rStyle w:val="Refdenotaalpie"/>
          <w:rFonts w:ascii="Verdana" w:hAnsi="Verdana"/>
          <w:szCs w:val="16"/>
        </w:rPr>
        <w:footnoteRef/>
      </w:r>
      <w:r w:rsidRPr="000D358D">
        <w:rPr>
          <w:szCs w:val="16"/>
          <w:lang w:val="es-ES"/>
        </w:rPr>
        <w:t xml:space="preserve"> </w:t>
      </w:r>
      <w:r w:rsidRPr="000D358D">
        <w:rPr>
          <w:i/>
          <w:szCs w:val="16"/>
          <w:lang w:val="es-ES"/>
        </w:rPr>
        <w:t>Caso Suárez Rosero Vs. Ecuador</w:t>
      </w:r>
      <w:r>
        <w:rPr>
          <w:i/>
          <w:szCs w:val="16"/>
          <w:lang w:val="es-ES"/>
        </w:rPr>
        <w:t xml:space="preserve">, </w:t>
      </w:r>
      <w:r w:rsidRPr="000D358D">
        <w:rPr>
          <w:szCs w:val="16"/>
          <w:lang w:val="es-ES"/>
        </w:rPr>
        <w:t>párr. 70.</w:t>
      </w:r>
    </w:p>
  </w:footnote>
  <w:footnote w:id="85">
    <w:p w14:paraId="41D8E7B9" w14:textId="1060FF03" w:rsidR="00443B67" w:rsidRPr="000D358D" w:rsidRDefault="00443B67" w:rsidP="00587147">
      <w:pPr>
        <w:pStyle w:val="Textonotapie"/>
        <w:rPr>
          <w:szCs w:val="16"/>
          <w:lang w:val="es-ES"/>
        </w:rPr>
      </w:pPr>
      <w:r w:rsidRPr="000D358D">
        <w:rPr>
          <w:rStyle w:val="Refdenotaalpie"/>
          <w:rFonts w:ascii="Verdana" w:hAnsi="Verdana"/>
          <w:szCs w:val="16"/>
        </w:rPr>
        <w:footnoteRef/>
      </w:r>
      <w:r w:rsidRPr="000D358D">
        <w:rPr>
          <w:szCs w:val="16"/>
        </w:rPr>
        <w:t xml:space="preserve"> Esto fue constatado por la Corte con anterioridad: </w:t>
      </w:r>
      <w:r w:rsidRPr="000D358D">
        <w:rPr>
          <w:i/>
          <w:szCs w:val="16"/>
        </w:rPr>
        <w:t>cfr.</w:t>
      </w:r>
      <w:r w:rsidRPr="000D358D">
        <w:rPr>
          <w:szCs w:val="16"/>
        </w:rPr>
        <w:t xml:space="preserve"> </w:t>
      </w:r>
      <w:r w:rsidRPr="000D358D">
        <w:rPr>
          <w:i/>
          <w:szCs w:val="16"/>
        </w:rPr>
        <w:t xml:space="preserve">Caso Tibi Vs. Ecuador, </w:t>
      </w:r>
      <w:r w:rsidRPr="000D358D">
        <w:rPr>
          <w:szCs w:val="16"/>
        </w:rPr>
        <w:t>párr. 103.</w:t>
      </w:r>
    </w:p>
  </w:footnote>
  <w:footnote w:id="86">
    <w:p w14:paraId="58EE40D7" w14:textId="70B51BEE"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w:t>
      </w:r>
      <w:r w:rsidRPr="000D358D">
        <w:rPr>
          <w:szCs w:val="16"/>
        </w:rPr>
        <w:t xml:space="preserve"> </w:t>
      </w:r>
      <w:r w:rsidRPr="000D358D">
        <w:rPr>
          <w:szCs w:val="16"/>
          <w:lang w:val="es-CR"/>
        </w:rPr>
        <w:t>Declaraciones rendidas ante fedatario público por Maritza Elizabeth, María del Carmen y Vinicio Ricardo Montesinos González (expediente de prueba, folios 2873, 2874, 2880, 2881, 2887 y 2888).</w:t>
      </w:r>
    </w:p>
  </w:footnote>
  <w:footnote w:id="87">
    <w:p w14:paraId="473A6533"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Anexo 7 CIDH (expediente de prueba, folio 62). </w:t>
      </w:r>
    </w:p>
  </w:footnote>
  <w:footnote w:id="88">
    <w:p w14:paraId="2649415A"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Anexo 8 CIDH (expediente de prueba, folio 64).</w:t>
      </w:r>
    </w:p>
  </w:footnote>
  <w:footnote w:id="89">
    <w:p w14:paraId="5326C543" w14:textId="19DCCC13"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Pr>
          <w:szCs w:val="16"/>
        </w:rPr>
        <w:t>Anexos 11 t 12 (e</w:t>
      </w:r>
      <w:r w:rsidRPr="000D358D">
        <w:rPr>
          <w:szCs w:val="16"/>
        </w:rPr>
        <w:t>xpediente de prueba, folio</w:t>
      </w:r>
      <w:r>
        <w:rPr>
          <w:szCs w:val="16"/>
        </w:rPr>
        <w:t>s</w:t>
      </w:r>
      <w:r w:rsidRPr="000D358D">
        <w:rPr>
          <w:szCs w:val="16"/>
        </w:rPr>
        <w:t xml:space="preserve"> 21</w:t>
      </w:r>
      <w:r>
        <w:rPr>
          <w:szCs w:val="16"/>
        </w:rPr>
        <w:t>4</w:t>
      </w:r>
      <w:r w:rsidRPr="000D358D">
        <w:rPr>
          <w:szCs w:val="16"/>
        </w:rPr>
        <w:t>8</w:t>
      </w:r>
      <w:r>
        <w:rPr>
          <w:szCs w:val="16"/>
        </w:rPr>
        <w:t xml:space="preserve"> a 2158)</w:t>
      </w:r>
      <w:r w:rsidRPr="000D358D">
        <w:rPr>
          <w:szCs w:val="16"/>
        </w:rPr>
        <w:t>.</w:t>
      </w:r>
    </w:p>
  </w:footnote>
  <w:footnote w:id="90">
    <w:p w14:paraId="65011AA9" w14:textId="722DF754"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w:t>
      </w:r>
      <w:r w:rsidRPr="000D358D">
        <w:rPr>
          <w:szCs w:val="16"/>
        </w:rPr>
        <w:t xml:space="preserve">. </w:t>
      </w:r>
      <w:r w:rsidRPr="000D358D">
        <w:rPr>
          <w:bCs/>
          <w:i/>
          <w:szCs w:val="16"/>
        </w:rPr>
        <w:t>Caso Servellón García y otros Vs. Honduras</w:t>
      </w:r>
      <w:r w:rsidRPr="000D358D">
        <w:rPr>
          <w:bCs/>
          <w:szCs w:val="16"/>
        </w:rPr>
        <w:t xml:space="preserve">, </w:t>
      </w:r>
      <w:r w:rsidRPr="00F10C65">
        <w:rPr>
          <w:bCs/>
          <w:i/>
          <w:szCs w:val="16"/>
          <w:lang w:val="es-CR"/>
        </w:rPr>
        <w:t>Excepción Preliminar, Fondo, Reparaciones y Costas.</w:t>
      </w:r>
      <w:r w:rsidRPr="00F10C65">
        <w:rPr>
          <w:bCs/>
          <w:szCs w:val="16"/>
          <w:lang w:val="es-CR"/>
        </w:rPr>
        <w:t xml:space="preserve"> Sentencia de 21 de septiembre de 2006. Serie C No. 152, </w:t>
      </w:r>
      <w:r w:rsidRPr="000D358D">
        <w:rPr>
          <w:bCs/>
          <w:szCs w:val="16"/>
        </w:rPr>
        <w:t>párr. 90 y</w:t>
      </w:r>
      <w:r w:rsidRPr="000D358D">
        <w:rPr>
          <w:b/>
          <w:bCs/>
          <w:szCs w:val="16"/>
        </w:rPr>
        <w:t xml:space="preserve"> </w:t>
      </w:r>
      <w:r w:rsidRPr="000D358D">
        <w:rPr>
          <w:i/>
          <w:szCs w:val="16"/>
        </w:rPr>
        <w:t>Caso Chaparro Álvarez y Lapo Íñiguez Vs. Ecuador</w:t>
      </w:r>
      <w:r w:rsidRPr="000D358D">
        <w:rPr>
          <w:szCs w:val="16"/>
        </w:rPr>
        <w:t>, párrs. 101 y 103. Esto no debe constituir en sí mismo un elemento que sea susceptible de menoscabar el principio de presunción de inocencia contenido en el artículo 8.2 de la Convención. Por el contrario, se trata de un supuesto adicional a los otros requisitos. Esta decisión no debe tener ningún efecto frente a la decisión del juzgador respecto de la responsabilidad del procesado. La sospecha tiene que estar fundada en hechos específicos y articulados con palabras, esto es, no en meras conjeturas o intuiciones abstractas. De allí se deduce que el Estado no debe detener para luego investigar, por el contrario, sólo está autorizado a privar de la libertad a una persona cuando alcance el conocimiento suficiente para poder llevarla a juicio.</w:t>
      </w:r>
    </w:p>
  </w:footnote>
  <w:footnote w:id="91">
    <w:p w14:paraId="7C68696F" w14:textId="69DE43E4" w:rsidR="00443B67" w:rsidRPr="000D358D" w:rsidRDefault="00443B67" w:rsidP="00587147">
      <w:pPr>
        <w:pStyle w:val="Textonotapie"/>
        <w:rPr>
          <w:szCs w:val="16"/>
        </w:rPr>
      </w:pPr>
      <w:r w:rsidRPr="000D358D">
        <w:rPr>
          <w:rStyle w:val="Refdenotaalpie"/>
          <w:rFonts w:ascii="Verdana" w:hAnsi="Verdana"/>
          <w:szCs w:val="16"/>
        </w:rPr>
        <w:footnoteRef/>
      </w:r>
      <w:r>
        <w:rPr>
          <w:szCs w:val="16"/>
        </w:rPr>
        <w:t xml:space="preserve"> </w:t>
      </w:r>
      <w:r w:rsidRPr="000D358D">
        <w:rPr>
          <w:i/>
          <w:szCs w:val="16"/>
        </w:rPr>
        <w:t>Cfr. Caso Servellón García y otros Vs. Honduras</w:t>
      </w:r>
      <w:r w:rsidRPr="000D358D">
        <w:rPr>
          <w:szCs w:val="16"/>
        </w:rPr>
        <w:t xml:space="preserve">, párr. 90, y </w:t>
      </w:r>
      <w:r w:rsidRPr="000D358D">
        <w:rPr>
          <w:i/>
          <w:szCs w:val="16"/>
        </w:rPr>
        <w:t>Caso Mujeres Víctimas de Tortura Sexual en Atenco Vs. México</w:t>
      </w:r>
      <w:r w:rsidRPr="000D358D">
        <w:rPr>
          <w:szCs w:val="16"/>
        </w:rPr>
        <w:t xml:space="preserve">, párr. 251. </w:t>
      </w:r>
    </w:p>
  </w:footnote>
  <w:footnote w:id="92">
    <w:p w14:paraId="4CA1C919" w14:textId="41B4FCCA"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w:t>
      </w:r>
      <w:r w:rsidRPr="000D358D">
        <w:rPr>
          <w:szCs w:val="16"/>
        </w:rPr>
        <w:t xml:space="preserve">. </w:t>
      </w:r>
      <w:r w:rsidRPr="000D358D">
        <w:rPr>
          <w:i/>
          <w:szCs w:val="16"/>
        </w:rPr>
        <w:t>Caso Suárez Rosero Vs. Ecuador</w:t>
      </w:r>
      <w:r w:rsidRPr="000D358D">
        <w:rPr>
          <w:szCs w:val="16"/>
        </w:rPr>
        <w:t xml:space="preserve">, párr. 77, </w:t>
      </w:r>
      <w:r w:rsidRPr="000D358D">
        <w:rPr>
          <w:i/>
          <w:szCs w:val="16"/>
        </w:rPr>
        <w:t>Caso Chaparro Álvarez y Lapo Íñiguez Vs. Ecuador</w:t>
      </w:r>
      <w:r w:rsidRPr="000D358D">
        <w:rPr>
          <w:szCs w:val="16"/>
        </w:rPr>
        <w:t xml:space="preserve">, párr. 170, </w:t>
      </w:r>
      <w:r w:rsidRPr="000D358D">
        <w:rPr>
          <w:bCs/>
          <w:i/>
          <w:szCs w:val="16"/>
        </w:rPr>
        <w:t>Caso Wong Ho Wing Vs. Perú</w:t>
      </w:r>
      <w:r w:rsidRPr="000D358D">
        <w:rPr>
          <w:szCs w:val="16"/>
        </w:rPr>
        <w:t xml:space="preserve">, párr. 250, y </w:t>
      </w:r>
      <w:r w:rsidRPr="000D358D">
        <w:rPr>
          <w:i/>
          <w:szCs w:val="16"/>
        </w:rPr>
        <w:t>Caso Mujeres Víctimas de Tortura Sexual en Atenco Vs. México</w:t>
      </w:r>
      <w:r w:rsidRPr="000D358D">
        <w:rPr>
          <w:szCs w:val="16"/>
        </w:rPr>
        <w:t xml:space="preserve">, párr. 250. </w:t>
      </w:r>
      <w:r w:rsidRPr="000D358D">
        <w:rPr>
          <w:szCs w:val="16"/>
          <w:lang w:val="es-ES"/>
        </w:rPr>
        <w:t xml:space="preserve">La exigencia de dichos fines, encuentra fundamento en los artículos 7.3, 7.5 y 8.2 de la </w:t>
      </w:r>
      <w:r w:rsidRPr="000D358D">
        <w:rPr>
          <w:szCs w:val="16"/>
        </w:rPr>
        <w:t>Convención (</w:t>
      </w:r>
      <w:r w:rsidRPr="000D358D">
        <w:rPr>
          <w:i/>
          <w:szCs w:val="16"/>
        </w:rPr>
        <w:t>Cfr</w:t>
      </w:r>
      <w:r w:rsidRPr="000D358D">
        <w:rPr>
          <w:szCs w:val="16"/>
        </w:rPr>
        <w:t xml:space="preserve">. </w:t>
      </w:r>
      <w:r w:rsidRPr="000D358D">
        <w:rPr>
          <w:i/>
          <w:szCs w:val="16"/>
        </w:rPr>
        <w:t>Caso Usón Ramírez Vs. Venezuela. Excepción Preliminar, Fondo, Reparaciones y Costas</w:t>
      </w:r>
      <w:r w:rsidRPr="000D358D">
        <w:rPr>
          <w:szCs w:val="16"/>
        </w:rPr>
        <w:t>. Sentencia de 20 de noviembre de 2009. Serie C No. 207, párr. 144).</w:t>
      </w:r>
    </w:p>
  </w:footnote>
  <w:footnote w:id="93">
    <w:p w14:paraId="75ACB4FF" w14:textId="3701EBA6"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 Caso Palamara Iribarne Vs. Chile. Fondo, Reparaciones y Costas</w:t>
      </w:r>
      <w:r w:rsidRPr="000D358D">
        <w:rPr>
          <w:szCs w:val="16"/>
        </w:rPr>
        <w:t xml:space="preserve">. Sentencia de 22 de noviembre de 2005. Serie C No. 135, párr. 197, y </w:t>
      </w:r>
      <w:r w:rsidRPr="000D358D">
        <w:rPr>
          <w:i/>
          <w:szCs w:val="16"/>
        </w:rPr>
        <w:t>Caso Mujeres Víctimas de Tortura Sexual en Atenco Vs. México</w:t>
      </w:r>
      <w:r w:rsidRPr="000D358D">
        <w:rPr>
          <w:szCs w:val="16"/>
        </w:rPr>
        <w:t>, párr. 251.</w:t>
      </w:r>
      <w:r>
        <w:rPr>
          <w:szCs w:val="16"/>
        </w:rPr>
        <w:t xml:space="preserve"> </w:t>
      </w:r>
      <w:r w:rsidRPr="000D358D">
        <w:rPr>
          <w:szCs w:val="16"/>
        </w:rPr>
        <w:t xml:space="preserve">Esto significa: i) </w:t>
      </w:r>
      <w:r w:rsidRPr="000D358D">
        <w:rPr>
          <w:i/>
          <w:szCs w:val="16"/>
        </w:rPr>
        <w:t xml:space="preserve">idóneas, </w:t>
      </w:r>
      <w:r w:rsidRPr="000D358D">
        <w:rPr>
          <w:szCs w:val="16"/>
        </w:rPr>
        <w:t>o sea aptas</w:t>
      </w:r>
      <w:r w:rsidRPr="000D358D">
        <w:rPr>
          <w:i/>
          <w:szCs w:val="16"/>
        </w:rPr>
        <w:t xml:space="preserve"> </w:t>
      </w:r>
      <w:r w:rsidRPr="000D358D">
        <w:rPr>
          <w:szCs w:val="16"/>
        </w:rPr>
        <w:t xml:space="preserve">para cumplir con el fin perseguido; ii) </w:t>
      </w:r>
      <w:r w:rsidRPr="000D358D">
        <w:rPr>
          <w:i/>
          <w:szCs w:val="16"/>
        </w:rPr>
        <w:t>necesarias</w:t>
      </w:r>
      <w:r w:rsidRPr="000D358D">
        <w:rPr>
          <w:szCs w:val="16"/>
        </w:rPr>
        <w:t>, en el sentido de que sean absolutamente indispensables para conseguir el fin deseado y que no exista una medida menos gravosa respecto al derecho intervenido entre todas aquellas que cuentan con la misma idoneidad para alcanzar el objetivo propuesto, y iii) que resulten estrictamente proporcionales, de tal forma que el sacrificio inherente a la restricción del derecho a la libertad no resulte exagerado o desmedido frente a las ventajas que se obtienen mediante tal restricción y el cumplimiento de la finalidad perseguida (</w:t>
      </w:r>
      <w:r w:rsidRPr="000D358D">
        <w:rPr>
          <w:i/>
          <w:szCs w:val="16"/>
        </w:rPr>
        <w:t>Cfr. Caso Chaparro Álvarez y Lapo Íñiguez Vs. Ecuador</w:t>
      </w:r>
      <w:r w:rsidRPr="000D358D">
        <w:rPr>
          <w:szCs w:val="16"/>
        </w:rPr>
        <w:t xml:space="preserve">, párr. 92, </w:t>
      </w:r>
      <w:r w:rsidRPr="000D358D">
        <w:rPr>
          <w:i/>
          <w:szCs w:val="16"/>
        </w:rPr>
        <w:t>Caso Argüelles y otros Vs. Argentina. Excepciones Preliminares, Fondo, Reparaciones y Costas.</w:t>
      </w:r>
      <w:r w:rsidRPr="000D358D">
        <w:rPr>
          <w:szCs w:val="16"/>
        </w:rPr>
        <w:t xml:space="preserve"> Sentencia de 20 de noviembre de 2014. </w:t>
      </w:r>
      <w:r w:rsidRPr="0086767B">
        <w:rPr>
          <w:szCs w:val="16"/>
          <w:lang w:val="es-419"/>
        </w:rPr>
        <w:t xml:space="preserve">Serie C No. 288, párr. 120, </w:t>
      </w:r>
      <w:r w:rsidRPr="0086767B">
        <w:rPr>
          <w:i/>
          <w:szCs w:val="16"/>
          <w:lang w:val="es-419"/>
        </w:rPr>
        <w:t>Caso Wong Ho Wing Vs. Perú</w:t>
      </w:r>
      <w:r w:rsidRPr="000D358D">
        <w:rPr>
          <w:szCs w:val="16"/>
        </w:rPr>
        <w:t xml:space="preserve">, párr. 248, y </w:t>
      </w:r>
      <w:r w:rsidRPr="000D358D">
        <w:rPr>
          <w:i/>
          <w:szCs w:val="16"/>
        </w:rPr>
        <w:t>Caso Amrhein y otros Vs. Costa Rica</w:t>
      </w:r>
      <w:r w:rsidRPr="000D358D">
        <w:rPr>
          <w:szCs w:val="16"/>
        </w:rPr>
        <w:t xml:space="preserve">, párr. 356). </w:t>
      </w:r>
    </w:p>
  </w:footnote>
  <w:footnote w:id="94">
    <w:p w14:paraId="7DA89092" w14:textId="231CAB96"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 xml:space="preserve">Cfr. Caso García Asto y Ramírez Rojas Vs. Perú. Excepción Preliminar, Fondo, Reparaciones y Costas. </w:t>
      </w:r>
      <w:r w:rsidRPr="000D358D">
        <w:rPr>
          <w:szCs w:val="16"/>
        </w:rPr>
        <w:t xml:space="preserve">Sentencia de 25 de noviembre de 2005. Serie C No. 137, párr. 128, y </w:t>
      </w:r>
      <w:r w:rsidRPr="000D358D">
        <w:rPr>
          <w:i/>
          <w:szCs w:val="16"/>
        </w:rPr>
        <w:t>Caso Mujeres Víctimas de Tortura Sexual en Atenco Vs. México</w:t>
      </w:r>
      <w:r w:rsidRPr="000D358D">
        <w:rPr>
          <w:szCs w:val="16"/>
        </w:rPr>
        <w:t xml:space="preserve">, párr. 251. En efecto, </w:t>
      </w:r>
      <w:r w:rsidRPr="000D358D">
        <w:rPr>
          <w:szCs w:val="16"/>
          <w:lang w:val="es-ES" w:eastAsia="es-ES"/>
        </w:rPr>
        <w:t>la Corte ha considerado que cualquier restricción a la libertad que no contenga una motivación suficiente (artículo 8.1) que permita evaluar si se ajusta a las condiciones señaladas será arbitraria y, por tanto, viola el artículo 7.3 de la Convención. De este modo, para que se respete la presunción de inocencia (artículo 8.2) al ordenarse medidas cautelares restrictivas de la libertad, es preciso que el Estado fundamente y acredite, de manera clara y motivada, según cada caso concreto, la existencia de los referidos requisitos exigidos por la Convención</w:t>
      </w:r>
      <w:r>
        <w:rPr>
          <w:szCs w:val="16"/>
          <w:lang w:val="es-ES" w:eastAsia="es-ES"/>
        </w:rPr>
        <w:t>.</w:t>
      </w:r>
    </w:p>
  </w:footnote>
  <w:footnote w:id="95">
    <w:p w14:paraId="46BF2DA5" w14:textId="179E98C2" w:rsidR="00443B67" w:rsidRPr="000D358D" w:rsidRDefault="00443B67" w:rsidP="00587147">
      <w:pPr>
        <w:pStyle w:val="Textonotapie"/>
        <w:rPr>
          <w:color w:val="000000" w:themeColor="text1"/>
          <w:szCs w:val="16"/>
          <w:lang w:val="es-ES"/>
        </w:rPr>
      </w:pPr>
      <w:r w:rsidRPr="000D358D">
        <w:rPr>
          <w:rStyle w:val="Refdenotaalpie"/>
          <w:rFonts w:ascii="Verdana" w:hAnsi="Verdana"/>
          <w:color w:val="000000" w:themeColor="text1"/>
          <w:szCs w:val="16"/>
        </w:rPr>
        <w:footnoteRef/>
      </w:r>
      <w:r w:rsidRPr="000D358D">
        <w:rPr>
          <w:color w:val="000000" w:themeColor="text1"/>
          <w:szCs w:val="16"/>
          <w:lang w:val="es-ES"/>
        </w:rPr>
        <w:t xml:space="preserve"> </w:t>
      </w:r>
      <w:r w:rsidRPr="00F10C65">
        <w:rPr>
          <w:i/>
          <w:color w:val="000000" w:themeColor="text1"/>
          <w:szCs w:val="16"/>
          <w:lang w:val="es-ES"/>
        </w:rPr>
        <w:t>Caso Garci</w:t>
      </w:r>
      <w:r>
        <w:rPr>
          <w:i/>
          <w:color w:val="000000" w:themeColor="text1"/>
          <w:szCs w:val="16"/>
          <w:lang w:val="es-ES"/>
        </w:rPr>
        <w:t>a Asto y Ramirez Rojas Vs. Perú</w:t>
      </w:r>
      <w:r w:rsidRPr="00F10C65">
        <w:rPr>
          <w:i/>
          <w:color w:val="000000" w:themeColor="text1"/>
          <w:szCs w:val="16"/>
          <w:lang w:val="es-ES"/>
        </w:rPr>
        <w:t xml:space="preserve">, </w:t>
      </w:r>
      <w:r w:rsidRPr="0086767B">
        <w:rPr>
          <w:color w:val="000000" w:themeColor="text1"/>
          <w:szCs w:val="16"/>
          <w:lang w:val="es-ES"/>
        </w:rPr>
        <w:t>párrs. 128 y 129 y</w:t>
      </w:r>
      <w:r w:rsidRPr="00F10C65">
        <w:rPr>
          <w:i/>
          <w:color w:val="000000" w:themeColor="text1"/>
          <w:szCs w:val="16"/>
          <w:lang w:val="es-ES"/>
        </w:rPr>
        <w:t xml:space="preserve"> Caso Mujeres Víctimas de Tortura Sexual en Atenco Vs. México, </w:t>
      </w:r>
      <w:r w:rsidRPr="0086767B">
        <w:rPr>
          <w:color w:val="000000" w:themeColor="text1"/>
          <w:szCs w:val="16"/>
          <w:lang w:val="es-ES"/>
        </w:rPr>
        <w:t>párr. 251.</w:t>
      </w:r>
    </w:p>
  </w:footnote>
  <w:footnote w:id="96">
    <w:p w14:paraId="2F46EF7B"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Código de Procedimiento Penal de Ecuador, Artículo 177: “[e]l juez podrá dictar auto de prisión preventiva cuando lo creyere necesario, siempre que aparezcan los siguientes datos procesales: 1. Indicios que hagan presumir la existencia de un delito que merezca pena privativa de libertad; y, 2. Indicios que hagan presumir que el sindicado es autor o cómplice del delito que es objeto del proceso.”</w:t>
      </w:r>
    </w:p>
  </w:footnote>
  <w:footnote w:id="97">
    <w:p w14:paraId="0CACC016" w14:textId="37CB3A09"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Caso Herrera Espinoza y otros Vs. Ecuador. Excepciones Preliminares, Fondo, Reparaciones y Costas</w:t>
      </w:r>
      <w:r w:rsidRPr="000D358D">
        <w:rPr>
          <w:szCs w:val="16"/>
        </w:rPr>
        <w:t>. Sentencia de 1 de septiembre de 2016. Serie C No. 316, párrs. 148, 149 y 150.</w:t>
      </w:r>
    </w:p>
  </w:footnote>
  <w:footnote w:id="98">
    <w:p w14:paraId="647301F8" w14:textId="27E53372" w:rsidR="00443B67" w:rsidRPr="000D358D" w:rsidRDefault="00443B67" w:rsidP="00587147">
      <w:pPr>
        <w:pStyle w:val="Textonotapie"/>
        <w:rPr>
          <w:szCs w:val="16"/>
          <w:lang w:val="es-ES"/>
        </w:rPr>
      </w:pPr>
      <w:r w:rsidRPr="000D358D">
        <w:rPr>
          <w:rStyle w:val="Refdenotaalpie"/>
          <w:rFonts w:ascii="Verdana" w:hAnsi="Verdana"/>
          <w:szCs w:val="16"/>
        </w:rPr>
        <w:footnoteRef/>
      </w:r>
      <w:r w:rsidRPr="000D358D">
        <w:rPr>
          <w:szCs w:val="16"/>
          <w:lang w:val="es-ES"/>
        </w:rPr>
        <w:t xml:space="preserve"> </w:t>
      </w:r>
      <w:r w:rsidRPr="000D358D">
        <w:rPr>
          <w:i/>
          <w:szCs w:val="16"/>
          <w:lang w:val="es-ES"/>
        </w:rPr>
        <w:t xml:space="preserve">Cfr. </w:t>
      </w:r>
      <w:r w:rsidRPr="00F10C65">
        <w:rPr>
          <w:i/>
          <w:szCs w:val="16"/>
          <w:lang w:val="es-ES"/>
        </w:rPr>
        <w:t xml:space="preserve">Caso Chaparro Álvarez y Lapo Iñiguez Vs. Ecuador, </w:t>
      </w:r>
      <w:r w:rsidRPr="0086767B">
        <w:rPr>
          <w:szCs w:val="16"/>
          <w:lang w:val="es-ES"/>
        </w:rPr>
        <w:t>párr. 107 y</w:t>
      </w:r>
      <w:r w:rsidRPr="00F10C65">
        <w:rPr>
          <w:i/>
          <w:szCs w:val="16"/>
          <w:lang w:val="es-ES"/>
        </w:rPr>
        <w:t xml:space="preserve"> Caso Romero Feris Vs. Argentina</w:t>
      </w:r>
      <w:r w:rsidRPr="0086767B">
        <w:rPr>
          <w:szCs w:val="16"/>
          <w:lang w:val="es-ES"/>
        </w:rPr>
        <w:t>, párr. 111.</w:t>
      </w:r>
    </w:p>
  </w:footnote>
  <w:footnote w:id="99">
    <w:p w14:paraId="2B1F62CF" w14:textId="58C576A5"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w:t>
      </w:r>
      <w:r w:rsidRPr="000D358D">
        <w:rPr>
          <w:szCs w:val="16"/>
        </w:rPr>
        <w:t xml:space="preserve">. </w:t>
      </w:r>
      <w:r w:rsidRPr="000D358D">
        <w:rPr>
          <w:i/>
          <w:szCs w:val="16"/>
        </w:rPr>
        <w:t>Caso Bayarri Vs. Argentina</w:t>
      </w:r>
      <w:r w:rsidRPr="000D358D">
        <w:rPr>
          <w:szCs w:val="16"/>
        </w:rPr>
        <w:t xml:space="preserve">, párr. 74, y </w:t>
      </w:r>
      <w:r w:rsidRPr="00F10C65">
        <w:rPr>
          <w:i/>
          <w:szCs w:val="16"/>
          <w:lang w:val="es-ES"/>
        </w:rPr>
        <w:t>Caso Romero Feris Vs. Argentina</w:t>
      </w:r>
      <w:r w:rsidRPr="00E27406">
        <w:rPr>
          <w:szCs w:val="16"/>
          <w:lang w:val="es-ES"/>
        </w:rPr>
        <w:t>, párr. 111</w:t>
      </w:r>
      <w:r w:rsidRPr="000D358D">
        <w:rPr>
          <w:szCs w:val="16"/>
        </w:rPr>
        <w:t xml:space="preserve">. </w:t>
      </w:r>
    </w:p>
  </w:footnote>
  <w:footnote w:id="100">
    <w:p w14:paraId="6E1E5F43" w14:textId="753D83C1" w:rsidR="00443B67" w:rsidRPr="000D358D" w:rsidRDefault="00443B67" w:rsidP="00587147">
      <w:pPr>
        <w:pStyle w:val="Textonotapie"/>
        <w:tabs>
          <w:tab w:val="left" w:pos="426"/>
        </w:tabs>
        <w:rPr>
          <w:szCs w:val="16"/>
          <w:lang w:val="es-AR"/>
        </w:rPr>
      </w:pPr>
      <w:r w:rsidRPr="000D358D">
        <w:rPr>
          <w:rStyle w:val="Refdenotaalpie"/>
          <w:rFonts w:ascii="Verdana" w:hAnsi="Verdana"/>
          <w:szCs w:val="16"/>
        </w:rPr>
        <w:footnoteRef/>
      </w:r>
      <w:r w:rsidRPr="000D358D">
        <w:rPr>
          <w:szCs w:val="16"/>
        </w:rPr>
        <w:t xml:space="preserve"> </w:t>
      </w:r>
      <w:r w:rsidRPr="000D358D">
        <w:rPr>
          <w:i/>
          <w:szCs w:val="16"/>
          <w:lang w:val="es-ES"/>
        </w:rPr>
        <w:t>Cfr. Caso Bayarri Vs. Argentina</w:t>
      </w:r>
      <w:r w:rsidRPr="000D358D">
        <w:rPr>
          <w:szCs w:val="16"/>
          <w:lang w:val="es-ES"/>
        </w:rPr>
        <w:t xml:space="preserve">, párr. 74, y </w:t>
      </w:r>
      <w:r w:rsidRPr="00F10C65">
        <w:rPr>
          <w:i/>
          <w:szCs w:val="16"/>
          <w:lang w:val="es-ES"/>
        </w:rPr>
        <w:t>Caso Romero Feris Vs. Argentina</w:t>
      </w:r>
      <w:r w:rsidRPr="00E27406">
        <w:rPr>
          <w:szCs w:val="16"/>
          <w:lang w:val="es-ES"/>
        </w:rPr>
        <w:t xml:space="preserve">, párr. </w:t>
      </w:r>
      <w:r>
        <w:rPr>
          <w:szCs w:val="16"/>
          <w:lang w:val="es-ES"/>
        </w:rPr>
        <w:t>111.</w:t>
      </w:r>
    </w:p>
  </w:footnote>
  <w:footnote w:id="101">
    <w:p w14:paraId="1E3972CC" w14:textId="44D55034" w:rsidR="00443B67" w:rsidRPr="000D358D" w:rsidRDefault="00443B67" w:rsidP="00587147">
      <w:pPr>
        <w:pStyle w:val="Textonotapie"/>
        <w:rPr>
          <w:szCs w:val="16"/>
          <w:lang w:val="es-ES"/>
        </w:rPr>
      </w:pPr>
      <w:r w:rsidRPr="000D358D">
        <w:rPr>
          <w:rStyle w:val="Refdenotaalpie"/>
          <w:rFonts w:ascii="Verdana" w:hAnsi="Verdana"/>
          <w:szCs w:val="16"/>
        </w:rPr>
        <w:footnoteRef/>
      </w:r>
      <w:r w:rsidRPr="000D358D">
        <w:rPr>
          <w:szCs w:val="16"/>
          <w:lang w:val="es-ES"/>
        </w:rPr>
        <w:t xml:space="preserve"> </w:t>
      </w:r>
      <w:r w:rsidRPr="000D358D">
        <w:rPr>
          <w:i/>
          <w:szCs w:val="16"/>
          <w:lang w:val="es-ES"/>
        </w:rPr>
        <w:t xml:space="preserve">Caso Arguelles y Otros Vs. Argentina. Excepciones Preliminares, Fondo, Reparaciones y Costas. </w:t>
      </w:r>
      <w:r w:rsidRPr="000D358D">
        <w:rPr>
          <w:szCs w:val="16"/>
          <w:lang w:val="es-ES"/>
        </w:rPr>
        <w:t xml:space="preserve">Sentencia de 20 de noviembre de 2014. Serie C No. 288, párr. 122 y </w:t>
      </w:r>
      <w:r w:rsidRPr="00F10C65">
        <w:rPr>
          <w:i/>
          <w:szCs w:val="16"/>
          <w:lang w:val="es-ES"/>
        </w:rPr>
        <w:t>Caso Romero Feris Vs. Argentina</w:t>
      </w:r>
      <w:r w:rsidRPr="00E27406">
        <w:rPr>
          <w:szCs w:val="16"/>
          <w:lang w:val="es-ES"/>
        </w:rPr>
        <w:t>, párr. 111</w:t>
      </w:r>
      <w:r w:rsidRPr="000D358D">
        <w:rPr>
          <w:szCs w:val="16"/>
          <w:lang w:val="es-ES"/>
        </w:rPr>
        <w:t>.</w:t>
      </w:r>
    </w:p>
  </w:footnote>
  <w:footnote w:id="102">
    <w:p w14:paraId="03AEC2A2" w14:textId="73EC580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noProof w:val="0"/>
          <w:szCs w:val="16"/>
        </w:rPr>
        <w:t xml:space="preserve">En ese mismo sentido, el perito Reinaldo </w:t>
      </w:r>
      <w:proofErr w:type="spellStart"/>
      <w:r w:rsidRPr="000D358D">
        <w:rPr>
          <w:noProof w:val="0"/>
          <w:szCs w:val="16"/>
        </w:rPr>
        <w:t>Calvachi</w:t>
      </w:r>
      <w:proofErr w:type="spellEnd"/>
      <w:r w:rsidRPr="000D358D">
        <w:rPr>
          <w:noProof w:val="0"/>
          <w:szCs w:val="16"/>
        </w:rPr>
        <w:t xml:space="preserve"> Cruz señaló que</w:t>
      </w:r>
      <w:r w:rsidR="0053221B">
        <w:rPr>
          <w:noProof w:val="0"/>
          <w:szCs w:val="16"/>
        </w:rPr>
        <w:t>,</w:t>
      </w:r>
      <w:r w:rsidRPr="000D358D">
        <w:rPr>
          <w:noProof w:val="0"/>
          <w:szCs w:val="16"/>
        </w:rPr>
        <w:t xml:space="preserve"> durante la época de los hechos en Ecuador, “las medidas cautelares personales, especialmente la prisión preventiva, no cumplían el requisito de excepcionalidad”. </w:t>
      </w:r>
      <w:r w:rsidRPr="000D358D">
        <w:rPr>
          <w:szCs w:val="16"/>
        </w:rPr>
        <w:t xml:space="preserve">Declaración pericial rendida por affidavit por Reinaldo Cavalchi Cruz el 8 de agosto de 2019 (expediente de prueba, folio 2903). </w:t>
      </w:r>
    </w:p>
  </w:footnote>
  <w:footnote w:id="103">
    <w:p w14:paraId="339D9832" w14:textId="55E9CE3E" w:rsidR="00443B67" w:rsidRPr="000D358D" w:rsidRDefault="00443B67" w:rsidP="00587147">
      <w:pPr>
        <w:pStyle w:val="Textonotapie"/>
        <w:rPr>
          <w:szCs w:val="16"/>
          <w:lang w:val="es-ES"/>
        </w:rPr>
      </w:pPr>
      <w:r w:rsidRPr="000D358D">
        <w:rPr>
          <w:rStyle w:val="Refdenotaalpie"/>
          <w:rFonts w:ascii="Verdana" w:hAnsi="Verdana"/>
          <w:szCs w:val="16"/>
        </w:rPr>
        <w:footnoteRef/>
      </w:r>
      <w:r w:rsidRPr="000D358D">
        <w:rPr>
          <w:szCs w:val="16"/>
          <w:lang w:val="es-ES"/>
        </w:rPr>
        <w:t xml:space="preserve"> </w:t>
      </w:r>
      <w:r w:rsidRPr="000D358D">
        <w:rPr>
          <w:i/>
          <w:szCs w:val="16"/>
          <w:lang w:val="es-ES"/>
        </w:rPr>
        <w:t>Cfr.</w:t>
      </w:r>
      <w:r w:rsidRPr="000D358D">
        <w:rPr>
          <w:szCs w:val="16"/>
          <w:lang w:val="es-ES"/>
        </w:rPr>
        <w:t xml:space="preserve"> </w:t>
      </w:r>
      <w:r w:rsidRPr="000D358D">
        <w:rPr>
          <w:i/>
          <w:szCs w:val="16"/>
          <w:lang w:val="es-ES"/>
        </w:rPr>
        <w:t>Caso Bayarri Vs. Argentina</w:t>
      </w:r>
      <w:r w:rsidRPr="000D358D">
        <w:rPr>
          <w:szCs w:val="16"/>
          <w:lang w:val="es-ES"/>
        </w:rPr>
        <w:t>, párr. 70</w:t>
      </w:r>
      <w:r>
        <w:rPr>
          <w:szCs w:val="16"/>
          <w:lang w:val="es-ES"/>
        </w:rPr>
        <w:t xml:space="preserve">, y </w:t>
      </w:r>
      <w:r w:rsidRPr="00F10C65">
        <w:rPr>
          <w:i/>
          <w:szCs w:val="16"/>
          <w:lang w:val="es-ES"/>
        </w:rPr>
        <w:t>Caso Romero Feris Vs. Argentina</w:t>
      </w:r>
      <w:r w:rsidRPr="00E27406">
        <w:rPr>
          <w:szCs w:val="16"/>
          <w:lang w:val="es-ES"/>
        </w:rPr>
        <w:t xml:space="preserve">, párr. </w:t>
      </w:r>
      <w:r>
        <w:rPr>
          <w:szCs w:val="16"/>
          <w:lang w:val="es-ES"/>
        </w:rPr>
        <w:t>109.</w:t>
      </w:r>
    </w:p>
  </w:footnote>
  <w:footnote w:id="104">
    <w:p w14:paraId="180D62CA" w14:textId="77777777"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Código Penal, Artículo 114 bis: “[l]as personas que hubieren permanecido detenidas sin haber recibido auto de sobreseimiento o de apertura al plenario por un tiempo igual o mayor a la tercera parte del establecido por el Código Penal como pena máxima para el delito por el cual estuvieren encausadas, serán puestas inmediatamente en libertad por el juez que conozca el proceso. De igual modo las personas que hubieren permanecido detenidas sin haber recibido sentencia, por un tiempo igual o mayor a la mitad del establecido por el Código Penal como pena máxima por el delito por el cual estuvieren encausadas, serán puestas en libertad por el tribunal penal que conozca el proceso. Se excluye de estas disposiciones a los que estuvieren encausados, por delitos sancionados por la Ley sobre Sustancias Estupefacientes y Psicotrópicas”.</w:t>
      </w:r>
    </w:p>
  </w:footnote>
  <w:footnote w:id="105">
    <w:p w14:paraId="549392B5" w14:textId="77777777"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0D358D">
        <w:rPr>
          <w:i/>
          <w:szCs w:val="16"/>
        </w:rPr>
        <w:t xml:space="preserve">Caso Suárez Rosero Vs. Ecuador, </w:t>
      </w:r>
      <w:r w:rsidRPr="000D358D">
        <w:rPr>
          <w:szCs w:val="16"/>
        </w:rPr>
        <w:t>párrs. 97 y 98.</w:t>
      </w:r>
    </w:p>
  </w:footnote>
  <w:footnote w:id="106">
    <w:p w14:paraId="3C7013DA" w14:textId="77777777"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Providencia de 19 de agosto de 1997 de la Sala Primera del Tribunal Constitucional (expediente de pruebas, folio 2083).</w:t>
      </w:r>
    </w:p>
  </w:footnote>
  <w:footnote w:id="107">
    <w:p w14:paraId="2C69E997" w14:textId="1C897558"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noProof w:val="0"/>
          <w:szCs w:val="16"/>
        </w:rPr>
        <w:t xml:space="preserve">Al respecto, afirmó el perito Reinaldo </w:t>
      </w:r>
      <w:proofErr w:type="spellStart"/>
      <w:r w:rsidRPr="000D358D">
        <w:rPr>
          <w:noProof w:val="0"/>
          <w:szCs w:val="16"/>
        </w:rPr>
        <w:t>Cavalchi</w:t>
      </w:r>
      <w:proofErr w:type="spellEnd"/>
      <w:r w:rsidRPr="000D358D">
        <w:rPr>
          <w:noProof w:val="0"/>
          <w:szCs w:val="16"/>
        </w:rPr>
        <w:t xml:space="preserve"> Cruz que “no cabe duda de que mientras estuvo vigente [el artículo 116 de la Ley 108 sobre Sustancias Estupefacientes] (más de 7 años), se afectó a todos los procesados bajo la Ley 108. Cabe agregar que esta norma también contravenía el derecho a la igualdad y al principio de no discriminación, reconocidos en el numeral 4 del artículo 19 de la Constitución Política”. </w:t>
      </w:r>
      <w:r w:rsidRPr="000D358D">
        <w:rPr>
          <w:szCs w:val="16"/>
        </w:rPr>
        <w:t>Declaración pericial rendida por affidavit por Reinaldo Cavalchi Cruz el 8 de agosto de 2019 (expediente de prueba, folio 2907).</w:t>
      </w:r>
    </w:p>
  </w:footnote>
  <w:footnote w:id="108">
    <w:p w14:paraId="79324512" w14:textId="3E7FF09B" w:rsidR="00443B67" w:rsidRPr="000D358D" w:rsidRDefault="00443B67" w:rsidP="00587147">
      <w:pPr>
        <w:autoSpaceDE w:val="0"/>
        <w:autoSpaceDN w:val="0"/>
        <w:spacing w:after="0" w:line="240" w:lineRule="auto"/>
        <w:rPr>
          <w:sz w:val="16"/>
          <w:szCs w:val="16"/>
        </w:rPr>
      </w:pPr>
      <w:r w:rsidRPr="000D358D">
        <w:rPr>
          <w:rStyle w:val="Refdenotaalpie"/>
          <w:rFonts w:ascii="Verdana" w:hAnsi="Verdana"/>
          <w:sz w:val="16"/>
          <w:szCs w:val="16"/>
        </w:rPr>
        <w:footnoteRef/>
      </w:r>
      <w:r w:rsidRPr="000D358D">
        <w:rPr>
          <w:sz w:val="16"/>
          <w:szCs w:val="16"/>
        </w:rPr>
        <w:t xml:space="preserve"> </w:t>
      </w:r>
      <w:r w:rsidRPr="000D358D">
        <w:rPr>
          <w:i/>
          <w:sz w:val="16"/>
          <w:szCs w:val="16"/>
        </w:rPr>
        <w:t xml:space="preserve">Cfr. </w:t>
      </w:r>
      <w:r w:rsidRPr="000D358D">
        <w:rPr>
          <w:rStyle w:val="Textoennegrita"/>
          <w:b w:val="0"/>
          <w:i/>
          <w:sz w:val="16"/>
          <w:szCs w:val="16"/>
        </w:rPr>
        <w:t>Condición jurídica y derechos de los migrantes indocumentados</w:t>
      </w:r>
      <w:r w:rsidRPr="000D358D">
        <w:rPr>
          <w:rStyle w:val="Textoennegrita"/>
          <w:b w:val="0"/>
          <w:sz w:val="16"/>
          <w:szCs w:val="16"/>
        </w:rPr>
        <w:t>. Opinión Consultiva OC-18/03 de 17 de septiembre de 2003. Serie A No. 18</w:t>
      </w:r>
      <w:r w:rsidRPr="000D358D">
        <w:rPr>
          <w:rStyle w:val="apple-style-span"/>
          <w:rFonts w:ascii="Verdana" w:hAnsi="Verdana"/>
          <w:b/>
          <w:bCs/>
          <w:color w:val="000000"/>
          <w:sz w:val="16"/>
          <w:szCs w:val="16"/>
        </w:rPr>
        <w:t>,</w:t>
      </w:r>
      <w:r w:rsidRPr="000D358D">
        <w:rPr>
          <w:rStyle w:val="apple-style-span"/>
          <w:rFonts w:ascii="Verdana" w:hAnsi="Verdana"/>
          <w:bCs/>
          <w:color w:val="000000"/>
          <w:sz w:val="16"/>
          <w:szCs w:val="16"/>
        </w:rPr>
        <w:t xml:space="preserve"> </w:t>
      </w:r>
      <w:r w:rsidRPr="000D358D">
        <w:rPr>
          <w:sz w:val="16"/>
          <w:szCs w:val="16"/>
        </w:rPr>
        <w:t xml:space="preserve">párr. 103, y </w:t>
      </w:r>
      <w:r w:rsidRPr="000D358D">
        <w:rPr>
          <w:i/>
          <w:sz w:val="16"/>
          <w:szCs w:val="16"/>
        </w:rPr>
        <w:t xml:space="preserve">Caso Jenkins Vs. Argentina. Excepciones Preliminares, Fondo, Reparaciones y Costas. </w:t>
      </w:r>
      <w:r w:rsidRPr="000D358D">
        <w:rPr>
          <w:sz w:val="16"/>
          <w:szCs w:val="16"/>
        </w:rPr>
        <w:t xml:space="preserve">Sentencia de 26 de noviembre de 2019. Serie C No. </w:t>
      </w:r>
      <w:r>
        <w:rPr>
          <w:sz w:val="16"/>
          <w:szCs w:val="16"/>
        </w:rPr>
        <w:t>397</w:t>
      </w:r>
      <w:r w:rsidRPr="000D358D">
        <w:rPr>
          <w:sz w:val="16"/>
          <w:szCs w:val="16"/>
        </w:rPr>
        <w:t>, párr. 91.</w:t>
      </w:r>
    </w:p>
  </w:footnote>
  <w:footnote w:id="109">
    <w:p w14:paraId="1890BD00" w14:textId="2F554105"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w:t>
      </w:r>
      <w:r w:rsidRPr="000D358D">
        <w:rPr>
          <w:szCs w:val="16"/>
        </w:rPr>
        <w:t xml:space="preserve"> </w:t>
      </w:r>
      <w:r w:rsidRPr="000D358D">
        <w:rPr>
          <w:i/>
          <w:szCs w:val="16"/>
        </w:rPr>
        <w:t xml:space="preserve">Caso Apitz Barbera y otros (“Corte Primera de lo Contencioso Administrativo”) Vs. Venezuela. Excepción Preliminar, Fondo, Reparaciones y Costas. </w:t>
      </w:r>
      <w:r w:rsidRPr="000D358D">
        <w:rPr>
          <w:szCs w:val="16"/>
        </w:rPr>
        <w:t xml:space="preserve">Sentencia de 5 de agosto de 2008. Serie C No. 182, párr. 209, y </w:t>
      </w:r>
      <w:r w:rsidRPr="000D358D">
        <w:rPr>
          <w:i/>
          <w:szCs w:val="16"/>
        </w:rPr>
        <w:t>Caso Jenkins Vs. Argentina</w:t>
      </w:r>
      <w:r w:rsidRPr="000D358D">
        <w:rPr>
          <w:szCs w:val="16"/>
        </w:rPr>
        <w:t>, párr. 91.</w:t>
      </w:r>
    </w:p>
  </w:footnote>
  <w:footnote w:id="110">
    <w:p w14:paraId="03AF6D6A" w14:textId="74AC20B3" w:rsidR="00443B67" w:rsidRPr="000D358D" w:rsidRDefault="00443B67" w:rsidP="00587147">
      <w:pPr>
        <w:pStyle w:val="Textonotapie"/>
        <w:rPr>
          <w:rFonts w:cs="Vrinda"/>
          <w:spacing w:val="-4"/>
          <w:szCs w:val="16"/>
        </w:rPr>
      </w:pPr>
      <w:r w:rsidRPr="000D358D">
        <w:rPr>
          <w:rStyle w:val="Refdenotaalpie"/>
          <w:rFonts w:ascii="Verdana" w:hAnsi="Verdana" w:cs="Vrinda"/>
          <w:spacing w:val="-4"/>
          <w:szCs w:val="16"/>
        </w:rPr>
        <w:footnoteRef/>
      </w:r>
      <w:r w:rsidRPr="000D358D">
        <w:rPr>
          <w:rFonts w:cs="Vrinda"/>
          <w:spacing w:val="-4"/>
          <w:szCs w:val="16"/>
          <w:lang w:val="es-UY"/>
        </w:rPr>
        <w:t xml:space="preserve"> </w:t>
      </w:r>
      <w:r w:rsidRPr="000D358D">
        <w:rPr>
          <w:rFonts w:cs="Vrinda"/>
          <w:i/>
          <w:spacing w:val="-4"/>
          <w:szCs w:val="16"/>
        </w:rPr>
        <w:t xml:space="preserve">Cfr. </w:t>
      </w:r>
      <w:r w:rsidRPr="000D358D">
        <w:rPr>
          <w:bCs/>
          <w:i/>
          <w:szCs w:val="16"/>
        </w:rPr>
        <w:t>Condición</w:t>
      </w:r>
      <w:r w:rsidRPr="000D358D">
        <w:rPr>
          <w:i/>
          <w:szCs w:val="16"/>
        </w:rPr>
        <w:t xml:space="preserve"> Jurídica y Derechos Humanos del Niño. </w:t>
      </w:r>
      <w:r w:rsidRPr="000D358D">
        <w:rPr>
          <w:szCs w:val="16"/>
        </w:rPr>
        <w:t>Opinión Consultiva OC-17/02 del 28 de agosto de 2002. Serie A No. 17</w:t>
      </w:r>
      <w:r w:rsidRPr="000D358D">
        <w:rPr>
          <w:i/>
          <w:szCs w:val="16"/>
        </w:rPr>
        <w:t xml:space="preserve">, </w:t>
      </w:r>
      <w:r w:rsidRPr="000D358D">
        <w:rPr>
          <w:bCs/>
          <w:szCs w:val="16"/>
        </w:rPr>
        <w:t>párr</w:t>
      </w:r>
      <w:r w:rsidRPr="000D358D">
        <w:rPr>
          <w:bCs/>
          <w:i/>
          <w:szCs w:val="16"/>
        </w:rPr>
        <w:t xml:space="preserve">. </w:t>
      </w:r>
      <w:r w:rsidRPr="000D358D">
        <w:rPr>
          <w:rFonts w:cs="Vrinda"/>
          <w:spacing w:val="-4"/>
          <w:szCs w:val="16"/>
        </w:rPr>
        <w:t xml:space="preserve">46, y </w:t>
      </w:r>
      <w:r w:rsidRPr="000D358D">
        <w:rPr>
          <w:i/>
          <w:szCs w:val="16"/>
        </w:rPr>
        <w:t xml:space="preserve">Caso Jenkins Vs. Argentina, </w:t>
      </w:r>
      <w:r w:rsidRPr="000D358D">
        <w:rPr>
          <w:bCs/>
          <w:szCs w:val="16"/>
        </w:rPr>
        <w:t>párr</w:t>
      </w:r>
      <w:r w:rsidRPr="000D358D">
        <w:rPr>
          <w:bCs/>
          <w:i/>
          <w:szCs w:val="16"/>
        </w:rPr>
        <w:t xml:space="preserve">. </w:t>
      </w:r>
      <w:r w:rsidRPr="000D358D">
        <w:rPr>
          <w:rFonts w:cs="Vrinda"/>
          <w:spacing w:val="-4"/>
          <w:szCs w:val="16"/>
        </w:rPr>
        <w:t>91.</w:t>
      </w:r>
    </w:p>
  </w:footnote>
  <w:footnote w:id="111">
    <w:p w14:paraId="7C0528C3" w14:textId="66896530" w:rsidR="00443B67" w:rsidRPr="000D358D" w:rsidRDefault="00443B67" w:rsidP="00587147">
      <w:pPr>
        <w:pStyle w:val="Textonotapie"/>
        <w:rPr>
          <w:rFonts w:cs="Vrinda"/>
          <w:spacing w:val="-4"/>
          <w:szCs w:val="16"/>
        </w:rPr>
      </w:pPr>
      <w:r w:rsidRPr="000D358D">
        <w:rPr>
          <w:rStyle w:val="Refdenotaalpie"/>
          <w:rFonts w:ascii="Verdana" w:hAnsi="Verdana" w:cs="Vrinda"/>
          <w:spacing w:val="-4"/>
          <w:szCs w:val="16"/>
        </w:rPr>
        <w:footnoteRef/>
      </w:r>
      <w:r w:rsidRPr="000D358D">
        <w:rPr>
          <w:rFonts w:cs="Vrinda"/>
          <w:spacing w:val="-4"/>
          <w:szCs w:val="16"/>
        </w:rPr>
        <w:t xml:space="preserve"> </w:t>
      </w:r>
      <w:r w:rsidRPr="000D358D">
        <w:rPr>
          <w:rFonts w:cs="Vrinda"/>
          <w:i/>
          <w:spacing w:val="-4"/>
          <w:szCs w:val="16"/>
        </w:rPr>
        <w:t>Cfr.</w:t>
      </w:r>
      <w:r w:rsidRPr="000D358D">
        <w:rPr>
          <w:rFonts w:cs="Vrinda"/>
          <w:b/>
          <w:i/>
          <w:spacing w:val="-4"/>
          <w:szCs w:val="16"/>
        </w:rPr>
        <w:t xml:space="preserve"> </w:t>
      </w:r>
      <w:r w:rsidRPr="000D358D">
        <w:rPr>
          <w:rStyle w:val="Textoennegrita"/>
          <w:rFonts w:cs="Vrinda"/>
          <w:b w:val="0"/>
          <w:i/>
          <w:color w:val="000000"/>
          <w:spacing w:val="-4"/>
          <w:szCs w:val="16"/>
          <w:lang w:val="es-GT"/>
        </w:rPr>
        <w:t>Caso Norín Catrimán (Dirigentes, Miembros y Activista del Pueblo Indígena Mapuche) y otros Vs. Chile,</w:t>
      </w:r>
      <w:r w:rsidRPr="000D358D">
        <w:rPr>
          <w:rFonts w:cs="Vrinda"/>
          <w:b/>
          <w:i/>
          <w:spacing w:val="-4"/>
          <w:szCs w:val="16"/>
        </w:rPr>
        <w:t xml:space="preserve"> </w:t>
      </w:r>
      <w:r w:rsidRPr="000D358D">
        <w:rPr>
          <w:rFonts w:cs="Vrinda"/>
          <w:spacing w:val="-4"/>
          <w:szCs w:val="16"/>
        </w:rPr>
        <w:t xml:space="preserve">párr. 200, y </w:t>
      </w:r>
      <w:r w:rsidRPr="000D358D">
        <w:rPr>
          <w:i/>
          <w:szCs w:val="16"/>
        </w:rPr>
        <w:t xml:space="preserve">Caso Jenkins Vs. Argentina, </w:t>
      </w:r>
      <w:r w:rsidRPr="000D358D">
        <w:rPr>
          <w:bCs/>
          <w:szCs w:val="16"/>
        </w:rPr>
        <w:t>párr</w:t>
      </w:r>
      <w:r w:rsidRPr="000D358D">
        <w:rPr>
          <w:bCs/>
          <w:i/>
          <w:szCs w:val="16"/>
        </w:rPr>
        <w:t xml:space="preserve">. </w:t>
      </w:r>
      <w:r w:rsidRPr="000D358D">
        <w:rPr>
          <w:rFonts w:cs="Vrinda"/>
          <w:spacing w:val="-4"/>
          <w:szCs w:val="16"/>
        </w:rPr>
        <w:t>91.</w:t>
      </w:r>
    </w:p>
  </w:footnote>
  <w:footnote w:id="112">
    <w:p w14:paraId="6CF9B5F3" w14:textId="045B0CA4"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 xml:space="preserve">Cfr. Caso Argüelles y otros Vs. Argentina, </w:t>
      </w:r>
      <w:r w:rsidRPr="000D358D">
        <w:rPr>
          <w:szCs w:val="16"/>
        </w:rPr>
        <w:t>párr. 227, y</w:t>
      </w:r>
      <w:r w:rsidRPr="000D358D">
        <w:rPr>
          <w:i/>
          <w:szCs w:val="16"/>
        </w:rPr>
        <w:t xml:space="preserve"> Caso Jenkins Vs. Argentina</w:t>
      </w:r>
      <w:r w:rsidRPr="000D358D">
        <w:rPr>
          <w:rStyle w:val="Textoennegrita"/>
          <w:rFonts w:eastAsia="MS Mincho"/>
          <w:b w:val="0"/>
          <w:i/>
          <w:color w:val="000000"/>
          <w:szCs w:val="16"/>
          <w:shd w:val="clear" w:color="auto" w:fill="FFFFFF"/>
        </w:rPr>
        <w:t>,</w:t>
      </w:r>
      <w:r w:rsidRPr="000D358D">
        <w:rPr>
          <w:rStyle w:val="Textoennegrita"/>
          <w:rFonts w:eastAsia="MS Mincho"/>
          <w:b w:val="0"/>
          <w:color w:val="000000"/>
          <w:szCs w:val="16"/>
          <w:shd w:val="clear" w:color="auto" w:fill="FFFFFF"/>
        </w:rPr>
        <w:t xml:space="preserve"> párr. 92.</w:t>
      </w:r>
    </w:p>
  </w:footnote>
  <w:footnote w:id="113">
    <w:p w14:paraId="38F52E2C" w14:textId="77777777"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Resolución No. 119-1-97 del Tribunal Constitucional (expediente de prueba, folios 2054 a 2056).</w:t>
      </w:r>
    </w:p>
  </w:footnote>
  <w:footnote w:id="114">
    <w:p w14:paraId="1C86597E" w14:textId="19FC4AAB"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 El Hábeas Corpus Bajo Suspensión de Garantías (arts. 27.2, 25.1 y 7.6 Convención Americana sobre Derechos Humanos).</w:t>
      </w:r>
      <w:r w:rsidRPr="000D358D">
        <w:rPr>
          <w:szCs w:val="16"/>
        </w:rPr>
        <w:t xml:space="preserve"> Opinión Consultiva OC-8/87 de 30 de enero de 1987</w:t>
      </w:r>
      <w:r>
        <w:rPr>
          <w:szCs w:val="16"/>
        </w:rPr>
        <w:t>, p</w:t>
      </w:r>
      <w:r w:rsidRPr="000D358D">
        <w:rPr>
          <w:szCs w:val="16"/>
        </w:rPr>
        <w:t xml:space="preserve">árr. 33; </w:t>
      </w:r>
      <w:r w:rsidRPr="000D358D">
        <w:rPr>
          <w:i/>
          <w:szCs w:val="16"/>
        </w:rPr>
        <w:t xml:space="preserve">Caso </w:t>
      </w:r>
      <w:r>
        <w:rPr>
          <w:i/>
          <w:szCs w:val="16"/>
        </w:rPr>
        <w:t xml:space="preserve">Romero Feris Vs. Argentina, </w:t>
      </w:r>
      <w:r w:rsidRPr="000D358D">
        <w:rPr>
          <w:szCs w:val="16"/>
        </w:rPr>
        <w:t xml:space="preserve">párr. </w:t>
      </w:r>
      <w:r>
        <w:rPr>
          <w:szCs w:val="16"/>
        </w:rPr>
        <w:t>122</w:t>
      </w:r>
      <w:r w:rsidRPr="000D358D">
        <w:rPr>
          <w:szCs w:val="16"/>
        </w:rPr>
        <w:t>.</w:t>
      </w:r>
    </w:p>
  </w:footnote>
  <w:footnote w:id="115">
    <w:p w14:paraId="69240991"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 Caso Acosta Calderón Vs. Ecuador. Fondo, Reparaciones y Costas</w:t>
      </w:r>
      <w:r w:rsidRPr="000D358D">
        <w:rPr>
          <w:szCs w:val="16"/>
        </w:rPr>
        <w:t xml:space="preserve">. Sentencia de 24 de junio de 2005. Serie C No.129, párr. 97; </w:t>
      </w:r>
      <w:r w:rsidRPr="000D358D">
        <w:rPr>
          <w:i/>
          <w:szCs w:val="16"/>
        </w:rPr>
        <w:t>Caso Amrhein y otros Vs. Costa Rica</w:t>
      </w:r>
      <w:r w:rsidRPr="000D358D">
        <w:rPr>
          <w:szCs w:val="16"/>
        </w:rPr>
        <w:t>, párr. 370.</w:t>
      </w:r>
    </w:p>
  </w:footnote>
  <w:footnote w:id="116">
    <w:p w14:paraId="055D1EEC" w14:textId="2DDC8AED"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Caso Chaparro Álvarez y Lapo Íñiguez Vs. Ecuador</w:t>
      </w:r>
      <w:r w:rsidRPr="000D358D">
        <w:rPr>
          <w:szCs w:val="16"/>
        </w:rPr>
        <w:t>, párr. 128.</w:t>
      </w:r>
    </w:p>
  </w:footnote>
  <w:footnote w:id="117">
    <w:p w14:paraId="6077FCE7"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Caso Chaparro Álvarez y Lapo Íñiguez Vs. Ecuador</w:t>
      </w:r>
      <w:r w:rsidRPr="000D358D">
        <w:rPr>
          <w:szCs w:val="16"/>
        </w:rPr>
        <w:t>, párr. 129.</w:t>
      </w:r>
    </w:p>
  </w:footnote>
  <w:footnote w:id="118">
    <w:p w14:paraId="762E1A75" w14:textId="6946C8EF" w:rsidR="00443B67" w:rsidRPr="000D358D" w:rsidRDefault="00443B67" w:rsidP="00587147">
      <w:pPr>
        <w:autoSpaceDE w:val="0"/>
        <w:autoSpaceDN w:val="0"/>
        <w:adjustRightInd w:val="0"/>
        <w:spacing w:after="0" w:line="240" w:lineRule="auto"/>
        <w:jc w:val="both"/>
        <w:rPr>
          <w:rFonts w:eastAsia="Batang" w:cs="Times"/>
          <w:noProof/>
          <w:sz w:val="16"/>
          <w:szCs w:val="16"/>
          <w:lang w:val="es-CO"/>
        </w:rPr>
      </w:pPr>
      <w:r w:rsidRPr="000D358D">
        <w:rPr>
          <w:rStyle w:val="Refdenotaalpie"/>
          <w:rFonts w:ascii="Verdana" w:hAnsi="Verdana"/>
          <w:sz w:val="16"/>
          <w:szCs w:val="16"/>
        </w:rPr>
        <w:footnoteRef/>
      </w:r>
      <w:r w:rsidRPr="000D358D">
        <w:rPr>
          <w:sz w:val="16"/>
          <w:szCs w:val="16"/>
        </w:rPr>
        <w:t xml:space="preserve"> </w:t>
      </w:r>
      <w:r w:rsidRPr="000D358D">
        <w:rPr>
          <w:rFonts w:eastAsia="Batang" w:cs="Times"/>
          <w:noProof/>
          <w:sz w:val="16"/>
          <w:szCs w:val="16"/>
          <w:lang w:val="es-ES_tradnl"/>
        </w:rPr>
        <w:t>Resolución 182-96-CP emitida por el Tribunal de Garantías Constitucionales dentro del marco del caso No. 45/96-TC (expediente de prueba, folio 46);</w:t>
      </w:r>
      <w:r>
        <w:rPr>
          <w:rFonts w:eastAsia="Batang" w:cs="Times"/>
          <w:noProof/>
          <w:sz w:val="16"/>
          <w:szCs w:val="16"/>
          <w:lang w:val="es-ES_tradnl"/>
        </w:rPr>
        <w:t xml:space="preserve"> </w:t>
      </w:r>
      <w:r w:rsidRPr="000D358D">
        <w:rPr>
          <w:rFonts w:eastAsia="Batang" w:cs="Times"/>
          <w:noProof/>
          <w:sz w:val="16"/>
          <w:szCs w:val="16"/>
          <w:lang w:val="es-ES_tradnl"/>
        </w:rPr>
        <w:t xml:space="preserve">Recurso de </w:t>
      </w:r>
      <w:r>
        <w:rPr>
          <w:rFonts w:eastAsia="Batang" w:cs="Times"/>
          <w:i/>
          <w:noProof/>
          <w:sz w:val="16"/>
          <w:szCs w:val="16"/>
          <w:lang w:val="es-ES_tradnl"/>
        </w:rPr>
        <w:t>Hábeas corpus</w:t>
      </w:r>
      <w:r w:rsidRPr="000D358D">
        <w:rPr>
          <w:rFonts w:eastAsia="Batang" w:cs="Times"/>
          <w:noProof/>
          <w:sz w:val="16"/>
          <w:szCs w:val="16"/>
          <w:lang w:val="es-ES_tradnl"/>
        </w:rPr>
        <w:t xml:space="preserve"> interpuesto por el señor Alejandro Ponce Villacís en favor de Mario Montesinos Mejía el 14 de abril de 1998</w:t>
      </w:r>
      <w:r w:rsidRPr="000D358D">
        <w:rPr>
          <w:rFonts w:eastAsia="MS Mincho" w:cs="Times New Roman"/>
          <w:sz w:val="16"/>
          <w:szCs w:val="16"/>
          <w:lang w:val="es-CO"/>
        </w:rPr>
        <w:t xml:space="preserve"> </w:t>
      </w:r>
      <w:r w:rsidRPr="000D358D">
        <w:rPr>
          <w:rFonts w:eastAsia="Batang" w:cs="Times"/>
          <w:noProof/>
          <w:sz w:val="16"/>
          <w:szCs w:val="16"/>
          <w:lang w:val="es-ES_tradnl"/>
        </w:rPr>
        <w:t>(expediente de prueba, folios 346 a 348).</w:t>
      </w:r>
      <w:r>
        <w:rPr>
          <w:rFonts w:eastAsia="Batang" w:cs="Times"/>
          <w:noProof/>
          <w:sz w:val="16"/>
          <w:szCs w:val="16"/>
          <w:lang w:val="es-ES_tradnl"/>
        </w:rPr>
        <w:t xml:space="preserve"> </w:t>
      </w:r>
      <w:r>
        <w:rPr>
          <w:rFonts w:eastAsia="MS Mincho" w:cs="Times New Roman"/>
          <w:sz w:val="16"/>
          <w:szCs w:val="16"/>
          <w:lang w:val="es-CO"/>
        </w:rPr>
        <w:t xml:space="preserve"> </w:t>
      </w:r>
    </w:p>
  </w:footnote>
  <w:footnote w:id="119">
    <w:p w14:paraId="61B9F3F6" w14:textId="7C824783"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Resolución 182-96-CP emitida por el Tribunal de Garantías Constitucionales dentro del marco del caso No. 45/96-TC (expediente de prueba, folios 53 y 2814).</w:t>
      </w:r>
      <w:r w:rsidRPr="000D358D">
        <w:rPr>
          <w:b/>
          <w:szCs w:val="16"/>
        </w:rPr>
        <w:t xml:space="preserve"> </w:t>
      </w:r>
    </w:p>
  </w:footnote>
  <w:footnote w:id="120">
    <w:p w14:paraId="35D10F24" w14:textId="264E0A08"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Nota de prensa: "DDHH El TC pide la excarcelación. Montesinos: su libertad en debate". Artículo publicado en el diario El Comercio el 23 de noviembre </w:t>
      </w:r>
      <w:r>
        <w:rPr>
          <w:szCs w:val="16"/>
        </w:rPr>
        <w:t xml:space="preserve">de 1996 </w:t>
      </w:r>
      <w:r w:rsidRPr="000D358D">
        <w:rPr>
          <w:szCs w:val="16"/>
        </w:rPr>
        <w:t>(expediente de prueba, folio 344);</w:t>
      </w:r>
      <w:r w:rsidRPr="000D358D">
        <w:rPr>
          <w:b/>
          <w:szCs w:val="16"/>
        </w:rPr>
        <w:t xml:space="preserve"> </w:t>
      </w:r>
      <w:r w:rsidRPr="000D358D">
        <w:rPr>
          <w:szCs w:val="16"/>
        </w:rPr>
        <w:t xml:space="preserve">Resolución de la Primera Sala del Tribunal Constitucional de 19 de agosto de 1997 (expediente de prueba, folio 2083); Recurso de </w:t>
      </w:r>
      <w:r>
        <w:rPr>
          <w:i/>
          <w:szCs w:val="16"/>
        </w:rPr>
        <w:t>Hábeas corpus</w:t>
      </w:r>
      <w:r>
        <w:rPr>
          <w:szCs w:val="16"/>
        </w:rPr>
        <w:t xml:space="preserve"> </w:t>
      </w:r>
      <w:r w:rsidRPr="000D358D">
        <w:rPr>
          <w:szCs w:val="16"/>
        </w:rPr>
        <w:t>interpuesto por el señor Alejandro Ponce Villacís en favor de Mario Montesinos Mejía el 14 de abril de 1998 (expediente de prueba, folio 346);</w:t>
      </w:r>
      <w:r w:rsidRPr="000D358D">
        <w:rPr>
          <w:b/>
          <w:szCs w:val="16"/>
        </w:rPr>
        <w:t xml:space="preserve"> </w:t>
      </w:r>
      <w:r w:rsidRPr="000D358D">
        <w:rPr>
          <w:szCs w:val="16"/>
        </w:rPr>
        <w:t>Resolución 119-HC-98-I.S. de 13 de agosto de 1998, emitida por el Tribunal de Garantías Constitucionales dentro del marco del caso No. 207-98-HC (expediente de prueba, folio 2827).</w:t>
      </w:r>
    </w:p>
  </w:footnote>
  <w:footnote w:id="121">
    <w:p w14:paraId="303EABB3" w14:textId="539D6E73"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Resolución 119-HC-98-I.S. de 13 de agosto de 1998, emitida por el Tribunal de Garantías Constitucionales dentro del marco del caso No. 207-98-HC (expediente de prueba, folioa 2825 a 2830).</w:t>
      </w:r>
      <w:r w:rsidRPr="000D358D">
        <w:rPr>
          <w:b/>
          <w:szCs w:val="16"/>
        </w:rPr>
        <w:t xml:space="preserve"> </w:t>
      </w:r>
    </w:p>
  </w:footnote>
  <w:footnote w:id="122">
    <w:p w14:paraId="6F4DC0C6" w14:textId="75D3CA7F"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Recurso de </w:t>
      </w:r>
      <w:r>
        <w:rPr>
          <w:i/>
          <w:szCs w:val="16"/>
        </w:rPr>
        <w:t>Hábeas corpus</w:t>
      </w:r>
      <w:r w:rsidRPr="000D358D">
        <w:rPr>
          <w:szCs w:val="16"/>
        </w:rPr>
        <w:t xml:space="preserve"> interpuesto por el señor Alejandro Ponce Villacís en favor de Mario Montesinos Mejía el 14 de abril de 1998 (expediente de prueba, folios 346 y 347).</w:t>
      </w:r>
      <w:r w:rsidRPr="000D358D">
        <w:rPr>
          <w:b/>
          <w:szCs w:val="16"/>
        </w:rPr>
        <w:t xml:space="preserve"> </w:t>
      </w:r>
    </w:p>
  </w:footnote>
  <w:footnote w:id="123">
    <w:p w14:paraId="14E96877" w14:textId="5FA321F4"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Escrito de Solicitudes, Argumentos y Pruebas (expediente de fondo, folio 85);</w:t>
      </w:r>
      <w:r w:rsidRPr="000D358D">
        <w:rPr>
          <w:b/>
          <w:szCs w:val="16"/>
        </w:rPr>
        <w:t xml:space="preserve"> </w:t>
      </w:r>
      <w:r w:rsidRPr="000D358D">
        <w:rPr>
          <w:szCs w:val="16"/>
        </w:rPr>
        <w:t>Escrito de contestación del Estado (expediente de fondo, folio 213)</w:t>
      </w:r>
      <w:r>
        <w:rPr>
          <w:szCs w:val="16"/>
        </w:rPr>
        <w:t>.</w:t>
      </w:r>
    </w:p>
  </w:footnote>
  <w:footnote w:id="124">
    <w:p w14:paraId="59594C82" w14:textId="5FED33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Resolución 119-HC-98-I.S. de 13 de agosto de 1998, emitida por el Tribunal de Garantías Constitucionales dentro del marco del caso No. 207-98-HC (expediente de prueba, folio 2827).</w:t>
      </w:r>
      <w:r w:rsidRPr="000D358D">
        <w:rPr>
          <w:b/>
          <w:szCs w:val="16"/>
        </w:rPr>
        <w:t xml:space="preserve"> </w:t>
      </w:r>
    </w:p>
  </w:footnote>
  <w:footnote w:id="125">
    <w:p w14:paraId="1D5FC2FA" w14:textId="177F8ACB" w:rsidR="00443B67" w:rsidRPr="0086767B" w:rsidRDefault="00443B67" w:rsidP="00587147">
      <w:pPr>
        <w:pStyle w:val="Textonotapie"/>
        <w:rPr>
          <w:i/>
          <w:szCs w:val="16"/>
          <w:lang w:val="es-ES"/>
        </w:rPr>
      </w:pPr>
      <w:r w:rsidRPr="000D358D">
        <w:rPr>
          <w:rStyle w:val="Refdenotaalpie"/>
          <w:rFonts w:ascii="Verdana" w:hAnsi="Verdana"/>
          <w:szCs w:val="16"/>
        </w:rPr>
        <w:footnoteRef/>
      </w:r>
      <w:r w:rsidRPr="000D358D">
        <w:rPr>
          <w:szCs w:val="16"/>
          <w:lang w:val="es-ES"/>
        </w:rPr>
        <w:t xml:space="preserve"> </w:t>
      </w:r>
      <w:r w:rsidRPr="00A15EAD">
        <w:rPr>
          <w:i/>
          <w:szCs w:val="16"/>
          <w:lang w:val="es-ES"/>
        </w:rPr>
        <w:t xml:space="preserve">Entre otros, Caso Tibi Vs. Ecuador, </w:t>
      </w:r>
      <w:r w:rsidRPr="0086767B">
        <w:rPr>
          <w:szCs w:val="16"/>
          <w:lang w:val="es-ES"/>
        </w:rPr>
        <w:t>párr. 106;</w:t>
      </w:r>
      <w:r w:rsidRPr="00A15EAD">
        <w:rPr>
          <w:i/>
          <w:szCs w:val="16"/>
          <w:lang w:val="es-ES"/>
        </w:rPr>
        <w:t xml:space="preserve"> Caso Acosta Calderón Vs. Ecuador, </w:t>
      </w:r>
      <w:r w:rsidRPr="0086767B">
        <w:rPr>
          <w:szCs w:val="16"/>
          <w:lang w:val="es-ES"/>
        </w:rPr>
        <w:t>párr. 74;</w:t>
      </w:r>
      <w:r w:rsidRPr="00A15EAD">
        <w:rPr>
          <w:i/>
          <w:szCs w:val="16"/>
          <w:lang w:val="es-ES"/>
        </w:rPr>
        <w:t xml:space="preserve"> Caso Palamara Iribarne Vs. Chile, </w:t>
      </w:r>
      <w:r w:rsidRPr="0086767B">
        <w:rPr>
          <w:szCs w:val="16"/>
          <w:lang w:val="es-ES"/>
        </w:rPr>
        <w:t>párr. 196;</w:t>
      </w:r>
      <w:r w:rsidRPr="00A15EAD">
        <w:rPr>
          <w:i/>
          <w:szCs w:val="16"/>
          <w:lang w:val="es-ES"/>
        </w:rPr>
        <w:t xml:space="preserve"> Caso Lopez Alvarez Vs. Honduras. Fondo, Reparaciones y Costas. </w:t>
      </w:r>
      <w:r w:rsidRPr="0086767B">
        <w:rPr>
          <w:szCs w:val="16"/>
          <w:lang w:val="es-ES"/>
        </w:rPr>
        <w:t>Sentencia de 1 de febrero de 2006. Serie C No 191, párr. 67 y</w:t>
      </w:r>
      <w:r w:rsidRPr="00A15EAD">
        <w:rPr>
          <w:i/>
          <w:szCs w:val="16"/>
          <w:lang w:val="es-ES"/>
        </w:rPr>
        <w:t xml:space="preserve"> Caso Jenkins Vs. Argentina, </w:t>
      </w:r>
      <w:r w:rsidRPr="0086767B">
        <w:rPr>
          <w:szCs w:val="16"/>
          <w:lang w:val="es-ES"/>
        </w:rPr>
        <w:t>párr. 72.</w:t>
      </w:r>
    </w:p>
  </w:footnote>
  <w:footnote w:id="126">
    <w:p w14:paraId="7DC7B5C0" w14:textId="31615A68"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w:t>
      </w:r>
      <w:r w:rsidRPr="000D358D">
        <w:rPr>
          <w:szCs w:val="16"/>
        </w:rPr>
        <w:t xml:space="preserve">. </w:t>
      </w:r>
      <w:r w:rsidRPr="00A15EAD">
        <w:rPr>
          <w:i/>
          <w:szCs w:val="16"/>
          <w:lang w:val="es-CR"/>
        </w:rPr>
        <w:t xml:space="preserve">Caso Ricardo Canese Vs. Paraguay. Fondo, Reparaciones y Costas. </w:t>
      </w:r>
      <w:r w:rsidRPr="0086767B">
        <w:rPr>
          <w:szCs w:val="16"/>
          <w:lang w:val="es-CR"/>
        </w:rPr>
        <w:t>Sentencia de 31 de agosto de 2004. Serie C No. 111, párr. 153 y</w:t>
      </w:r>
      <w:r w:rsidRPr="00A15EAD">
        <w:rPr>
          <w:i/>
          <w:szCs w:val="16"/>
          <w:lang w:val="es-CR"/>
        </w:rPr>
        <w:t xml:space="preserve"> Caso Hernández Vs. Argentina. Excepciones Preliminares, Fondo, Reparaciones y Costas. </w:t>
      </w:r>
      <w:r w:rsidRPr="0086767B">
        <w:rPr>
          <w:szCs w:val="16"/>
          <w:lang w:val="es-CR"/>
        </w:rPr>
        <w:t>Sentencia de 22 de noviembre de 2019. Serie C No 395, párr. 109.</w:t>
      </w:r>
    </w:p>
  </w:footnote>
  <w:footnote w:id="127">
    <w:p w14:paraId="71948B25" w14:textId="44B175BD" w:rsidR="00443B67" w:rsidRPr="000D358D" w:rsidRDefault="00443B67" w:rsidP="00587147">
      <w:pPr>
        <w:pStyle w:val="Textonotapie"/>
        <w:rPr>
          <w:szCs w:val="16"/>
        </w:rPr>
      </w:pPr>
      <w:r w:rsidRPr="000D358D">
        <w:rPr>
          <w:rStyle w:val="Refdenotaalpie"/>
          <w:rFonts w:ascii="Verdana" w:hAnsi="Verdana"/>
          <w:szCs w:val="16"/>
        </w:rPr>
        <w:footnoteRef/>
      </w:r>
      <w:r>
        <w:rPr>
          <w:szCs w:val="16"/>
          <w:vertAlign w:val="superscript"/>
        </w:rPr>
        <w:t xml:space="preserve"> </w:t>
      </w:r>
      <w:r w:rsidRPr="000D358D">
        <w:rPr>
          <w:i/>
          <w:szCs w:val="16"/>
          <w:lang w:val="es-PR"/>
        </w:rPr>
        <w:t>Cfr</w:t>
      </w:r>
      <w:r w:rsidRPr="000D358D">
        <w:rPr>
          <w:szCs w:val="16"/>
        </w:rPr>
        <w:t xml:space="preserve"> </w:t>
      </w:r>
      <w:r w:rsidRPr="000D358D">
        <w:rPr>
          <w:i/>
          <w:szCs w:val="16"/>
        </w:rPr>
        <w:t>Caso Amrhein y otros Vs. Costa Rica</w:t>
      </w:r>
      <w:r w:rsidRPr="000D358D">
        <w:rPr>
          <w:szCs w:val="16"/>
        </w:rPr>
        <w:t>, párr. 357</w:t>
      </w:r>
      <w:r>
        <w:rPr>
          <w:szCs w:val="16"/>
        </w:rPr>
        <w:t xml:space="preserve">, y </w:t>
      </w:r>
      <w:r w:rsidRPr="00A15EAD">
        <w:rPr>
          <w:i/>
          <w:szCs w:val="16"/>
          <w:lang w:val="es-CR"/>
        </w:rPr>
        <w:t>Caso Hernández Vs. Argentina</w:t>
      </w:r>
      <w:r w:rsidRPr="0086767B">
        <w:rPr>
          <w:szCs w:val="16"/>
          <w:lang w:val="es-CR"/>
        </w:rPr>
        <w:t>, párr. 109.</w:t>
      </w:r>
    </w:p>
  </w:footnote>
  <w:footnote w:id="128">
    <w:p w14:paraId="6AAB0925" w14:textId="11AB0752" w:rsidR="00443B67" w:rsidRPr="000D358D" w:rsidRDefault="00443B67" w:rsidP="00587147">
      <w:pPr>
        <w:pStyle w:val="Textonotapie"/>
        <w:rPr>
          <w:szCs w:val="16"/>
        </w:rPr>
      </w:pPr>
      <w:r w:rsidRPr="000D358D">
        <w:rPr>
          <w:rStyle w:val="Refdenotaalpie"/>
          <w:rFonts w:ascii="Verdana" w:hAnsi="Verdana"/>
          <w:szCs w:val="16"/>
        </w:rPr>
        <w:footnoteRef/>
      </w:r>
      <w:r>
        <w:rPr>
          <w:szCs w:val="16"/>
        </w:rPr>
        <w:t xml:space="preserve"> </w:t>
      </w:r>
      <w:r w:rsidRPr="000D358D">
        <w:rPr>
          <w:i/>
          <w:szCs w:val="16"/>
        </w:rPr>
        <w:t xml:space="preserve">Cfr. </w:t>
      </w:r>
      <w:r w:rsidRPr="00A15EAD">
        <w:rPr>
          <w:i/>
          <w:szCs w:val="16"/>
          <w:lang w:val="es-CR"/>
        </w:rPr>
        <w:t xml:space="preserve">Caso Bayarri Vs. Argentina, </w:t>
      </w:r>
      <w:r w:rsidRPr="0086767B">
        <w:rPr>
          <w:szCs w:val="16"/>
          <w:lang w:val="es-CR"/>
        </w:rPr>
        <w:t>párr. 74 y</w:t>
      </w:r>
      <w:r w:rsidRPr="00A15EAD">
        <w:rPr>
          <w:i/>
          <w:szCs w:val="16"/>
          <w:lang w:val="es-CR"/>
        </w:rPr>
        <w:t xml:space="preserve"> Caso Hernández Vs. Argentina, </w:t>
      </w:r>
      <w:r w:rsidRPr="0086767B">
        <w:rPr>
          <w:szCs w:val="16"/>
          <w:lang w:val="es-CR"/>
        </w:rPr>
        <w:t>párr. 116.</w:t>
      </w:r>
    </w:p>
  </w:footnote>
  <w:footnote w:id="129">
    <w:p w14:paraId="3E8AB046" w14:textId="61BF70B1"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 xml:space="preserve">Cfr. </w:t>
      </w:r>
      <w:r w:rsidRPr="00A15EAD">
        <w:rPr>
          <w:rFonts w:cs="Calibri"/>
          <w:i/>
          <w:szCs w:val="16"/>
          <w:lang w:val="es-CR"/>
        </w:rPr>
        <w:t xml:space="preserve">Caso López Álvarez Vs. Honduras, </w:t>
      </w:r>
      <w:r w:rsidRPr="0086767B">
        <w:rPr>
          <w:rFonts w:cs="Calibri"/>
          <w:szCs w:val="16"/>
          <w:lang w:val="es-CR"/>
        </w:rPr>
        <w:t>párr. 69 y</w:t>
      </w:r>
      <w:r w:rsidRPr="00A15EAD">
        <w:rPr>
          <w:rFonts w:cs="Calibri"/>
          <w:i/>
          <w:szCs w:val="16"/>
          <w:lang w:val="es-CR"/>
        </w:rPr>
        <w:t xml:space="preserve"> Caso Hernández Vs. Argentina, </w:t>
      </w:r>
      <w:r w:rsidRPr="0086767B">
        <w:rPr>
          <w:rFonts w:cs="Calibri"/>
          <w:szCs w:val="16"/>
          <w:lang w:val="es-CR"/>
        </w:rPr>
        <w:t>párr. 109</w:t>
      </w:r>
      <w:r w:rsidRPr="000D358D">
        <w:rPr>
          <w:szCs w:val="16"/>
        </w:rPr>
        <w:t xml:space="preserve">. En el mismo sentido la Comisión Interamericana ha sostenido que: “Por lo tanto, es contrario a esta norma y al derecho a la presunción de inocencia, e incongruente con el principio de interpretación </w:t>
      </w:r>
      <w:r w:rsidRPr="000D358D">
        <w:rPr>
          <w:i/>
          <w:szCs w:val="16"/>
        </w:rPr>
        <w:t>pro homine</w:t>
      </w:r>
      <w:r w:rsidRPr="000D358D">
        <w:rPr>
          <w:szCs w:val="16"/>
        </w:rPr>
        <w:t>, el que se justifique la detención previa al juicio en fines preventivos como la peligrosidad del imputado, la posibilidad de que cometa delitos en el futuro o la repercusión social del hecho. No sólo por las razones expuestas, sino porque se apoyan en criterios de derecho penal material, no procesal, propios de la respuesta punitiva. Informes sobre el uso de la prisión preventiva en las Américas. OEA/Ser.L/V/II. Doc. 46/13. 30 diciembre 2013, párr. 144.</w:t>
      </w:r>
    </w:p>
  </w:footnote>
  <w:footnote w:id="130">
    <w:p w14:paraId="51D908AB" w14:textId="64B07F72" w:rsidR="00443B67" w:rsidRPr="000D358D" w:rsidRDefault="00443B67" w:rsidP="00587147">
      <w:pPr>
        <w:pStyle w:val="Textonotapie"/>
        <w:rPr>
          <w:szCs w:val="16"/>
          <w:lang w:val="es-ES"/>
        </w:rPr>
      </w:pPr>
      <w:r w:rsidRPr="000D358D">
        <w:rPr>
          <w:rStyle w:val="Refdenotaalpie"/>
          <w:rFonts w:ascii="Verdana" w:hAnsi="Verdana"/>
          <w:szCs w:val="16"/>
        </w:rPr>
        <w:footnoteRef/>
      </w:r>
      <w:r w:rsidRPr="000D358D">
        <w:rPr>
          <w:szCs w:val="16"/>
          <w:lang w:val="es-ES"/>
        </w:rPr>
        <w:t xml:space="preserve"> </w:t>
      </w:r>
      <w:r w:rsidRPr="00A15EAD">
        <w:rPr>
          <w:i/>
          <w:szCs w:val="16"/>
          <w:lang w:val="es-ES"/>
        </w:rPr>
        <w:t xml:space="preserve">Caso López Álvarez Vs. Honduras, </w:t>
      </w:r>
      <w:r w:rsidRPr="0086767B">
        <w:rPr>
          <w:szCs w:val="16"/>
          <w:lang w:val="es-ES"/>
        </w:rPr>
        <w:t>párr. 67 y</w:t>
      </w:r>
      <w:r w:rsidRPr="00A15EAD">
        <w:rPr>
          <w:i/>
          <w:szCs w:val="16"/>
          <w:lang w:val="es-ES"/>
        </w:rPr>
        <w:t xml:space="preserve"> Caso Hernández Vs. Argentina, </w:t>
      </w:r>
      <w:r w:rsidRPr="0086767B">
        <w:rPr>
          <w:szCs w:val="16"/>
          <w:lang w:val="es-ES"/>
        </w:rPr>
        <w:t>párr. 106.</w:t>
      </w:r>
    </w:p>
  </w:footnote>
  <w:footnote w:id="131">
    <w:p w14:paraId="0E2E621D" w14:textId="5478B985" w:rsidR="00443B67" w:rsidRPr="000D358D" w:rsidRDefault="00443B67" w:rsidP="00587147">
      <w:pPr>
        <w:pStyle w:val="Textonotapie"/>
        <w:rPr>
          <w:szCs w:val="16"/>
          <w:lang w:val="es-ES"/>
        </w:rPr>
      </w:pPr>
      <w:r w:rsidRPr="000D358D">
        <w:rPr>
          <w:rStyle w:val="Refdenotaalpie"/>
          <w:rFonts w:ascii="Verdana" w:hAnsi="Verdana"/>
          <w:szCs w:val="16"/>
        </w:rPr>
        <w:footnoteRef/>
      </w:r>
      <w:r w:rsidRPr="000D358D">
        <w:rPr>
          <w:szCs w:val="16"/>
          <w:lang w:val="es-ES"/>
        </w:rPr>
        <w:t xml:space="preserve"> </w:t>
      </w:r>
      <w:r w:rsidRPr="00A15EAD">
        <w:rPr>
          <w:i/>
          <w:szCs w:val="16"/>
          <w:lang w:val="es-ES"/>
        </w:rPr>
        <w:t xml:space="preserve">Caso Suárez Rosero Vs. Ecuador, </w:t>
      </w:r>
      <w:r w:rsidRPr="0086767B">
        <w:rPr>
          <w:szCs w:val="16"/>
          <w:lang w:val="es-ES"/>
        </w:rPr>
        <w:t>párr. 77 y</w:t>
      </w:r>
      <w:r w:rsidRPr="00A15EAD">
        <w:rPr>
          <w:i/>
          <w:szCs w:val="16"/>
          <w:lang w:val="es-ES"/>
        </w:rPr>
        <w:t xml:space="preserve"> Caso Amrhein y Otros Vs. Costa Rica, </w:t>
      </w:r>
      <w:r w:rsidRPr="0086767B">
        <w:rPr>
          <w:szCs w:val="16"/>
          <w:lang w:val="es-ES"/>
        </w:rPr>
        <w:t>párr. 387.</w:t>
      </w:r>
    </w:p>
  </w:footnote>
  <w:footnote w:id="132">
    <w:p w14:paraId="2476ABC8"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Artículos 5.1, 5.2 de la Convención Americana. </w:t>
      </w:r>
    </w:p>
  </w:footnote>
  <w:footnote w:id="133">
    <w:p w14:paraId="77A8E8CD"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Artículos 5.2 de la Convención Americana y 1, 6, y 8 de la Convención Interamericana para Prevenir y Sancionar la Tortura.</w:t>
      </w:r>
    </w:p>
  </w:footnote>
  <w:footnote w:id="134">
    <w:p w14:paraId="25F7F5D0"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 xml:space="preserve">Cfr. </w:t>
      </w:r>
      <w:r w:rsidRPr="000D358D">
        <w:rPr>
          <w:rStyle w:val="Textoennegrita"/>
          <w:b w:val="0"/>
          <w:i/>
          <w:color w:val="000000"/>
          <w:szCs w:val="16"/>
          <w:shd w:val="clear" w:color="auto" w:fill="FFFFFF"/>
        </w:rPr>
        <w:t>Caso Suárez Rosero Vs. Ecuador. Fondo</w:t>
      </w:r>
      <w:r w:rsidRPr="000D358D">
        <w:rPr>
          <w:rStyle w:val="Textoennegrita"/>
          <w:b w:val="0"/>
          <w:color w:val="000000"/>
          <w:szCs w:val="16"/>
          <w:shd w:val="clear" w:color="auto" w:fill="FFFFFF"/>
        </w:rPr>
        <w:t>. Sentencia de 12 de noviembre de 1997. Serie C No. 35.</w:t>
      </w:r>
    </w:p>
  </w:footnote>
  <w:footnote w:id="135">
    <w:p w14:paraId="349DF16C" w14:textId="2FE84592" w:rsidR="00443B67" w:rsidRPr="000D358D" w:rsidRDefault="00443B67" w:rsidP="00587147">
      <w:pPr>
        <w:pStyle w:val="Textonotapie"/>
        <w:rPr>
          <w:szCs w:val="16"/>
        </w:rPr>
      </w:pPr>
      <w:r w:rsidRPr="000D358D">
        <w:rPr>
          <w:rStyle w:val="Refdenotaalpie"/>
          <w:rFonts w:ascii="Verdana" w:eastAsia="Times" w:hAnsi="Verdana"/>
          <w:szCs w:val="16"/>
        </w:rPr>
        <w:footnoteRef/>
      </w:r>
      <w:r w:rsidRPr="000D358D">
        <w:rPr>
          <w:szCs w:val="16"/>
        </w:rPr>
        <w:t xml:space="preserve"> </w:t>
      </w:r>
      <w:r w:rsidRPr="000D358D">
        <w:rPr>
          <w:i/>
          <w:szCs w:val="16"/>
        </w:rPr>
        <w:t xml:space="preserve">Cfr. </w:t>
      </w:r>
      <w:r w:rsidRPr="005056AC">
        <w:rPr>
          <w:i/>
          <w:szCs w:val="16"/>
          <w:lang w:val="es-CR"/>
        </w:rPr>
        <w:t xml:space="preserve">Caso Loayza Tamayo Vs. Perú. Fondo. Sentencia de 17 de septiembre de 1997. Serie C No. 33, </w:t>
      </w:r>
      <w:r w:rsidRPr="0086767B">
        <w:rPr>
          <w:szCs w:val="16"/>
          <w:lang w:val="es-CR"/>
        </w:rPr>
        <w:t>párr. 57, y</w:t>
      </w:r>
      <w:r w:rsidRPr="005056AC">
        <w:rPr>
          <w:i/>
          <w:szCs w:val="16"/>
          <w:lang w:val="es-CR"/>
        </w:rPr>
        <w:t xml:space="preserve"> Caso Mujeres Víctimas de Tortura Sexual en Atenco Vs. México, </w:t>
      </w:r>
      <w:r w:rsidRPr="0086767B">
        <w:rPr>
          <w:szCs w:val="16"/>
          <w:lang w:val="es-CR"/>
        </w:rPr>
        <w:t>párr. 177.</w:t>
      </w:r>
    </w:p>
  </w:footnote>
  <w:footnote w:id="136">
    <w:p w14:paraId="2A43934D" w14:textId="4A254AB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w:t>
      </w:r>
      <w:r w:rsidRPr="000D358D">
        <w:rPr>
          <w:szCs w:val="16"/>
        </w:rPr>
        <w:t xml:space="preserve">. </w:t>
      </w:r>
      <w:r w:rsidRPr="005056AC">
        <w:rPr>
          <w:bCs/>
          <w:i/>
          <w:szCs w:val="16"/>
          <w:lang w:val="es-CR"/>
        </w:rPr>
        <w:t xml:space="preserve">Caso Neira Alegría y otros Vs. Perú. Fondo. </w:t>
      </w:r>
      <w:r w:rsidRPr="0086767B">
        <w:rPr>
          <w:bCs/>
          <w:szCs w:val="16"/>
          <w:lang w:val="es-CR"/>
        </w:rPr>
        <w:t>Sentencia de 19 de enero de 1995. Serie C No 20, párr. 60 y</w:t>
      </w:r>
      <w:r w:rsidRPr="005056AC">
        <w:rPr>
          <w:bCs/>
          <w:i/>
          <w:szCs w:val="16"/>
          <w:lang w:val="es-CR"/>
        </w:rPr>
        <w:t xml:space="preserve"> Caso Rodríguez Revolorio y otros Vs. Guatemala. Excepciones Preliminares, Fondo, Reparaciones y Costas. </w:t>
      </w:r>
      <w:r w:rsidRPr="0086767B">
        <w:rPr>
          <w:bCs/>
          <w:szCs w:val="16"/>
          <w:lang w:val="es-CR"/>
        </w:rPr>
        <w:t>Sentencia de 14 de octubre de 2019. Serie C No 387, párr. 71.</w:t>
      </w:r>
      <w:r w:rsidRPr="000D358D">
        <w:rPr>
          <w:rStyle w:val="Textoennegrita"/>
          <w:szCs w:val="16"/>
        </w:rPr>
        <w:tab/>
      </w:r>
    </w:p>
  </w:footnote>
  <w:footnote w:id="137">
    <w:p w14:paraId="7D76CD5B" w14:textId="46FB19E5" w:rsidR="00443B67" w:rsidRPr="000D358D" w:rsidRDefault="00443B67" w:rsidP="00587147">
      <w:pPr>
        <w:pStyle w:val="Textonotapie"/>
        <w:rPr>
          <w:szCs w:val="16"/>
        </w:rPr>
      </w:pPr>
      <w:r w:rsidRPr="000D358D">
        <w:rPr>
          <w:rStyle w:val="Refdenotaalpie"/>
          <w:rFonts w:ascii="Verdana" w:eastAsia="MS Mincho" w:hAnsi="Verdana"/>
          <w:szCs w:val="16"/>
        </w:rPr>
        <w:footnoteRef/>
      </w:r>
      <w:r w:rsidRPr="000D358D">
        <w:rPr>
          <w:szCs w:val="16"/>
        </w:rPr>
        <w:t xml:space="preserve"> </w:t>
      </w:r>
      <w:r w:rsidRPr="000D358D">
        <w:rPr>
          <w:i/>
          <w:szCs w:val="16"/>
        </w:rPr>
        <w:t>Cfr.</w:t>
      </w:r>
      <w:r w:rsidRPr="000D358D">
        <w:rPr>
          <w:szCs w:val="16"/>
        </w:rPr>
        <w:t xml:space="preserve"> </w:t>
      </w:r>
      <w:r w:rsidRPr="005056AC">
        <w:rPr>
          <w:i/>
          <w:szCs w:val="16"/>
          <w:lang w:val="es-CR"/>
        </w:rPr>
        <w:t>Caso Neira Alegría y otros Vs. Perú,</w:t>
      </w:r>
      <w:r w:rsidRPr="0086767B">
        <w:rPr>
          <w:szCs w:val="16"/>
          <w:lang w:val="es-CR"/>
        </w:rPr>
        <w:t xml:space="preserve"> párr. 60 y</w:t>
      </w:r>
      <w:r w:rsidRPr="005056AC">
        <w:rPr>
          <w:i/>
          <w:szCs w:val="16"/>
          <w:lang w:val="es-CR"/>
        </w:rPr>
        <w:t xml:space="preserve"> </w:t>
      </w:r>
      <w:r w:rsidRPr="005056AC">
        <w:rPr>
          <w:bCs/>
          <w:i/>
          <w:szCs w:val="16"/>
          <w:lang w:val="es-CR"/>
        </w:rPr>
        <w:t>Caso Rodríguez Revolorio y otros Vs. Guatemala</w:t>
      </w:r>
      <w:r w:rsidRPr="005056AC">
        <w:rPr>
          <w:b/>
          <w:i/>
          <w:szCs w:val="16"/>
          <w:lang w:val="es-CR"/>
        </w:rPr>
        <w:t xml:space="preserve">, </w:t>
      </w:r>
      <w:r w:rsidRPr="0086767B">
        <w:rPr>
          <w:bCs/>
          <w:szCs w:val="16"/>
          <w:lang w:val="es-CR"/>
        </w:rPr>
        <w:t>párr. 71</w:t>
      </w:r>
      <w:r w:rsidRPr="0086767B">
        <w:rPr>
          <w:b/>
          <w:szCs w:val="16"/>
          <w:lang w:val="es-ES"/>
        </w:rPr>
        <w:t>.</w:t>
      </w:r>
    </w:p>
  </w:footnote>
  <w:footnote w:id="138">
    <w:p w14:paraId="51B11AD6" w14:textId="51A7C21B" w:rsidR="00443B67" w:rsidRPr="000D358D" w:rsidRDefault="00443B67" w:rsidP="00587147">
      <w:pPr>
        <w:pStyle w:val="Textonotapie"/>
        <w:rPr>
          <w:szCs w:val="16"/>
        </w:rPr>
      </w:pPr>
      <w:r w:rsidRPr="000D358D">
        <w:rPr>
          <w:rStyle w:val="Refdenotaalpie"/>
          <w:rFonts w:ascii="Verdana" w:eastAsia="MS Mincho" w:hAnsi="Verdana"/>
          <w:szCs w:val="16"/>
        </w:rPr>
        <w:footnoteRef/>
      </w:r>
      <w:r w:rsidRPr="000D358D">
        <w:rPr>
          <w:szCs w:val="16"/>
        </w:rPr>
        <w:t xml:space="preserve"> </w:t>
      </w:r>
      <w:r w:rsidRPr="000D358D">
        <w:rPr>
          <w:i/>
          <w:szCs w:val="16"/>
        </w:rPr>
        <w:t>Cfr. Caso “Instituto de Reeducación del Menor” Vs. Paraguay. Excepciones Preliminares, Fondo, Reparaciones y Costas.</w:t>
      </w:r>
      <w:r w:rsidRPr="000D358D">
        <w:rPr>
          <w:szCs w:val="16"/>
        </w:rPr>
        <w:t xml:space="preserve"> Sentencia de 2 de septiembre de 2004. Serie C No. 112, párr. 159, y </w:t>
      </w:r>
      <w:r w:rsidRPr="000D358D">
        <w:rPr>
          <w:rStyle w:val="Textoennegrita"/>
          <w:b w:val="0"/>
          <w:szCs w:val="16"/>
        </w:rPr>
        <w:t xml:space="preserve">Caso </w:t>
      </w:r>
      <w:r w:rsidRPr="005056AC">
        <w:rPr>
          <w:bCs/>
          <w:i/>
          <w:szCs w:val="16"/>
          <w:lang w:val="es-CR"/>
        </w:rPr>
        <w:t>Rodríguez Revolorio y otros Vs. Guatemala</w:t>
      </w:r>
      <w:r w:rsidRPr="005056AC">
        <w:rPr>
          <w:b/>
          <w:bCs/>
          <w:i/>
          <w:szCs w:val="16"/>
          <w:lang w:val="es-CR"/>
        </w:rPr>
        <w:t xml:space="preserve">, </w:t>
      </w:r>
      <w:r w:rsidRPr="005056AC">
        <w:rPr>
          <w:bCs/>
          <w:szCs w:val="16"/>
          <w:lang w:val="es-CR"/>
        </w:rPr>
        <w:t>párr. 71</w:t>
      </w:r>
      <w:r w:rsidRPr="005056AC">
        <w:rPr>
          <w:bCs/>
          <w:szCs w:val="16"/>
          <w:lang w:val="es-ES"/>
        </w:rPr>
        <w:t>.</w:t>
      </w:r>
    </w:p>
  </w:footnote>
  <w:footnote w:id="139">
    <w:p w14:paraId="125F6A79" w14:textId="18277089"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 Caso Ximenes Lopes Vs. Brasil.</w:t>
      </w:r>
      <w:r w:rsidRPr="000D358D">
        <w:rPr>
          <w:szCs w:val="16"/>
        </w:rPr>
        <w:t xml:space="preserve"> Sentencia de 4 de julio de 2006. Serie C No. 149, párr. 147; </w:t>
      </w:r>
      <w:r w:rsidRPr="000D358D">
        <w:rPr>
          <w:i/>
          <w:szCs w:val="16"/>
        </w:rPr>
        <w:t>Caso Herrera Espinoza y otros Vs. Ecuador</w:t>
      </w:r>
      <w:r w:rsidRPr="000D358D">
        <w:rPr>
          <w:szCs w:val="16"/>
        </w:rPr>
        <w:t>, párr. 103.</w:t>
      </w:r>
    </w:p>
  </w:footnote>
  <w:footnote w:id="140">
    <w:p w14:paraId="7184588E" w14:textId="532A8452"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 Caso Velásquez Rodríguez Vs. Honduras. Excepciones Preliminares</w:t>
      </w:r>
      <w:r w:rsidRPr="000D358D">
        <w:rPr>
          <w:szCs w:val="16"/>
        </w:rPr>
        <w:t>, párr. 91</w:t>
      </w:r>
      <w:r>
        <w:rPr>
          <w:szCs w:val="16"/>
        </w:rPr>
        <w:t>, y</w:t>
      </w:r>
      <w:r w:rsidRPr="000D358D">
        <w:rPr>
          <w:szCs w:val="16"/>
        </w:rPr>
        <w:t xml:space="preserve"> </w:t>
      </w:r>
      <w:r w:rsidRPr="000D358D">
        <w:rPr>
          <w:i/>
          <w:szCs w:val="16"/>
        </w:rPr>
        <w:t>Caso Herrera Espinoza y otros Vs. Ecuador</w:t>
      </w:r>
      <w:r w:rsidRPr="000D358D">
        <w:rPr>
          <w:szCs w:val="16"/>
        </w:rPr>
        <w:t>, párr. 103.</w:t>
      </w:r>
    </w:p>
  </w:footnote>
  <w:footnote w:id="141">
    <w:p w14:paraId="7D462D0E" w14:textId="7644309B"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 Caso Velásquez Rodríguez Vs. Honduras. Fondo</w:t>
      </w:r>
      <w:r w:rsidRPr="000D358D">
        <w:rPr>
          <w:szCs w:val="16"/>
        </w:rPr>
        <w:t>, párr. 177</w:t>
      </w:r>
      <w:r>
        <w:rPr>
          <w:szCs w:val="16"/>
        </w:rPr>
        <w:t>, y</w:t>
      </w:r>
      <w:r w:rsidRPr="000D358D">
        <w:rPr>
          <w:szCs w:val="16"/>
        </w:rPr>
        <w:t xml:space="preserve"> </w:t>
      </w:r>
      <w:r w:rsidRPr="000D358D">
        <w:rPr>
          <w:i/>
          <w:szCs w:val="16"/>
        </w:rPr>
        <w:t>Caso Herrera Espinoza y otros Vs. Ecuador</w:t>
      </w:r>
      <w:r w:rsidRPr="000D358D">
        <w:rPr>
          <w:szCs w:val="16"/>
        </w:rPr>
        <w:t>, párr. 103.</w:t>
      </w:r>
    </w:p>
  </w:footnote>
  <w:footnote w:id="142">
    <w:p w14:paraId="083B5A77" w14:textId="3D2C6540"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Caso Tibi Vs. Ecuador</w:t>
      </w:r>
      <w:r w:rsidRPr="000D358D">
        <w:rPr>
          <w:szCs w:val="16"/>
        </w:rPr>
        <w:t>, párr. 159</w:t>
      </w:r>
      <w:r>
        <w:rPr>
          <w:szCs w:val="16"/>
        </w:rPr>
        <w:t xml:space="preserve">, y </w:t>
      </w:r>
      <w:r w:rsidRPr="000D358D">
        <w:rPr>
          <w:i/>
          <w:szCs w:val="16"/>
        </w:rPr>
        <w:t>Caso Herrera Espinoza y otros Vs. Ecuador</w:t>
      </w:r>
      <w:r w:rsidRPr="000D358D">
        <w:rPr>
          <w:szCs w:val="16"/>
        </w:rPr>
        <w:t>, párr. 103.</w:t>
      </w:r>
    </w:p>
  </w:footnote>
  <w:footnote w:id="143">
    <w:p w14:paraId="680A3BC1" w14:textId="29214F2A"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5056AC">
        <w:rPr>
          <w:i/>
          <w:szCs w:val="16"/>
          <w:lang w:val="es-CR"/>
        </w:rPr>
        <w:t xml:space="preserve">Caso J. Vs. Perú, </w:t>
      </w:r>
      <w:r w:rsidRPr="0086767B">
        <w:rPr>
          <w:szCs w:val="16"/>
          <w:lang w:val="es-CR"/>
        </w:rPr>
        <w:t>párr. 353 y</w:t>
      </w:r>
      <w:r w:rsidRPr="005056AC">
        <w:rPr>
          <w:i/>
          <w:szCs w:val="16"/>
          <w:lang w:val="es-CR"/>
        </w:rPr>
        <w:t xml:space="preserve"> Caso Herrera Espinoza y otros Vs. Ecuador, </w:t>
      </w:r>
      <w:r w:rsidRPr="0086767B">
        <w:rPr>
          <w:szCs w:val="16"/>
          <w:lang w:val="es-CR"/>
        </w:rPr>
        <w:t>párr. 105.</w:t>
      </w:r>
    </w:p>
  </w:footnote>
  <w:footnote w:id="144">
    <w:p w14:paraId="6BA3419D"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Declaración rendida ante fedatario público por Rafael Iván Suárez Rosero el 7 de agosto de 2019 (expediente de pruebas, folios 2895 y 2896).</w:t>
      </w:r>
    </w:p>
  </w:footnote>
  <w:footnote w:id="145">
    <w:p w14:paraId="71191074"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Caso Suárez Rosero Vs. Ecuador</w:t>
      </w:r>
      <w:r w:rsidRPr="000D358D">
        <w:rPr>
          <w:szCs w:val="16"/>
        </w:rPr>
        <w:t>, párr. 91.</w:t>
      </w:r>
    </w:p>
  </w:footnote>
  <w:footnote w:id="146">
    <w:p w14:paraId="69992C0C" w14:textId="62F57DAC"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Resolución 182-96-CP emitida por el Tribunal de Garantías Constitucionales dentro del marco del caso No. 45/96-TC (expediente de prueba, folio 48).</w:t>
      </w:r>
    </w:p>
  </w:footnote>
  <w:footnote w:id="147">
    <w:p w14:paraId="343BB694" w14:textId="23E81254"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Resolución 182-96-CP emitida por el Tribunal de Garantías Constitucionales dentro del marco del caso No. 45/96-TC (expediente de prueba, folios 46 y 47).</w:t>
      </w:r>
    </w:p>
  </w:footnote>
  <w:footnote w:id="148">
    <w:p w14:paraId="62270D00" w14:textId="34F61116"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C</w:t>
      </w:r>
      <w:r w:rsidRPr="000D358D">
        <w:rPr>
          <w:szCs w:val="16"/>
          <w:lang w:val="es-CR"/>
        </w:rPr>
        <w:t>arta remitida al Presidente de la Corte Suprema de Justicia el 13 de octubre de 1995 (expediente de prueba, folios 68 y 69).</w:t>
      </w:r>
    </w:p>
  </w:footnote>
  <w:footnote w:id="149">
    <w:p w14:paraId="71D82D05"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Artículo 8 de la Convención Americana.</w:t>
      </w:r>
    </w:p>
  </w:footnote>
  <w:footnote w:id="150">
    <w:p w14:paraId="6CD6AA3D"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 Garantías Judiciales en Estados de Emergencia</w:t>
      </w:r>
      <w:r w:rsidRPr="000D358D">
        <w:rPr>
          <w:szCs w:val="16"/>
        </w:rPr>
        <w:t xml:space="preserve"> (arts. 27.2, 25 y 8 Convención Americana sobre Derechos Humanos). Opinión Consultiva OC-9/87 de 6 de octubre de 1987. Serie A, No. 9, párr. 27.</w:t>
      </w:r>
    </w:p>
  </w:footnote>
  <w:footnote w:id="151">
    <w:p w14:paraId="024DD9B4" w14:textId="02338CEE"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 xml:space="preserve">Cfr. </w:t>
      </w:r>
      <w:r w:rsidRPr="006C56F5">
        <w:rPr>
          <w:i/>
          <w:szCs w:val="16"/>
          <w:lang w:val="es-CR"/>
        </w:rPr>
        <w:t>Caso del Tribunal Constitucional Vs. Perú</w:t>
      </w:r>
      <w:r w:rsidRPr="0086767B">
        <w:rPr>
          <w:i/>
          <w:szCs w:val="16"/>
          <w:lang w:val="es-CR"/>
        </w:rPr>
        <w:t xml:space="preserve">. Fondo, Reparaciones y Costas. </w:t>
      </w:r>
      <w:r w:rsidRPr="0086767B">
        <w:rPr>
          <w:szCs w:val="16"/>
          <w:lang w:val="es-CR"/>
        </w:rPr>
        <w:t>Sentencia de 31 de enero de 2001. Serie C No. 71, párr. 69 y</w:t>
      </w:r>
      <w:r w:rsidRPr="006C56F5">
        <w:rPr>
          <w:i/>
          <w:szCs w:val="16"/>
          <w:lang w:val="es-CR"/>
        </w:rPr>
        <w:t xml:space="preserve"> </w:t>
      </w:r>
      <w:r w:rsidRPr="0086767B">
        <w:rPr>
          <w:i/>
          <w:szCs w:val="16"/>
          <w:lang w:val="es-CR"/>
        </w:rPr>
        <w:t>Caso López y otros Vs. Argentina</w:t>
      </w:r>
      <w:r w:rsidRPr="006C56F5">
        <w:rPr>
          <w:i/>
          <w:szCs w:val="16"/>
          <w:lang w:val="es-CR"/>
        </w:rPr>
        <w:t>.</w:t>
      </w:r>
      <w:r w:rsidRPr="0086767B">
        <w:rPr>
          <w:i/>
          <w:szCs w:val="16"/>
          <w:lang w:val="es-CR"/>
        </w:rPr>
        <w:t xml:space="preserve"> Excepciones Preliminares, Fondo, Reparaciones y Costas. </w:t>
      </w:r>
      <w:r w:rsidRPr="0086767B">
        <w:rPr>
          <w:szCs w:val="16"/>
          <w:lang w:val="es-CR"/>
        </w:rPr>
        <w:t>Sentencia de 25 de noviembre de 2019, Serie C, No. 396, párr. 198</w:t>
      </w:r>
      <w:r w:rsidRPr="000D358D">
        <w:rPr>
          <w:szCs w:val="16"/>
        </w:rPr>
        <w:t>.</w:t>
      </w:r>
    </w:p>
  </w:footnote>
  <w:footnote w:id="152">
    <w:p w14:paraId="43D032EC" w14:textId="301D4180" w:rsidR="00443B67" w:rsidRPr="00750698" w:rsidRDefault="00443B67" w:rsidP="006C56F5">
      <w:pPr>
        <w:pStyle w:val="Textonotapie"/>
        <w:rPr>
          <w:i/>
          <w:szCs w:val="16"/>
        </w:rPr>
      </w:pPr>
      <w:r w:rsidRPr="000D358D">
        <w:rPr>
          <w:rStyle w:val="Refdenotaalpie"/>
          <w:rFonts w:ascii="Verdana" w:hAnsi="Verdana"/>
          <w:szCs w:val="16"/>
        </w:rPr>
        <w:footnoteRef/>
      </w:r>
      <w:r w:rsidRPr="000D358D">
        <w:rPr>
          <w:szCs w:val="16"/>
        </w:rPr>
        <w:t xml:space="preserve"> </w:t>
      </w:r>
      <w:r w:rsidRPr="006C56F5">
        <w:rPr>
          <w:i/>
          <w:szCs w:val="16"/>
        </w:rPr>
        <w:t xml:space="preserve">Caso Hilaire, Constantine y Benjamin y otros Vs. Trinidad y Tobago. Fondo, Reparaciones y Costas. </w:t>
      </w:r>
      <w:r w:rsidRPr="0086767B">
        <w:rPr>
          <w:szCs w:val="16"/>
        </w:rPr>
        <w:t>Sentencia de</w:t>
      </w:r>
    </w:p>
    <w:p w14:paraId="7FA58576" w14:textId="2BFF6A76" w:rsidR="00443B67" w:rsidRPr="000D358D" w:rsidRDefault="00443B67" w:rsidP="006C56F5">
      <w:pPr>
        <w:pStyle w:val="Textonotapie"/>
        <w:rPr>
          <w:b/>
          <w:szCs w:val="16"/>
        </w:rPr>
      </w:pPr>
      <w:r w:rsidRPr="0086767B">
        <w:rPr>
          <w:szCs w:val="16"/>
          <w:lang w:val="es-CR"/>
        </w:rPr>
        <w:t>21 de junio de 2002. Serie C No. 94, párr. 147 y</w:t>
      </w:r>
      <w:r w:rsidRPr="006C56F5">
        <w:rPr>
          <w:i/>
          <w:szCs w:val="16"/>
          <w:lang w:val="es-CR"/>
        </w:rPr>
        <w:t xml:space="preserve"> Caso Álvarez Ramos Vs. Venezuela</w:t>
      </w:r>
      <w:r w:rsidRPr="0086767B">
        <w:rPr>
          <w:i/>
          <w:szCs w:val="16"/>
          <w:lang w:val="es-CR"/>
        </w:rPr>
        <w:t xml:space="preserve">. Excepción preliminar, Fondo, Reparaciones y Costas. </w:t>
      </w:r>
      <w:r w:rsidRPr="0086767B">
        <w:rPr>
          <w:szCs w:val="16"/>
          <w:lang w:val="es-CR"/>
        </w:rPr>
        <w:t>Sentencia</w:t>
      </w:r>
      <w:r>
        <w:rPr>
          <w:szCs w:val="16"/>
          <w:lang w:val="es-CR"/>
        </w:rPr>
        <w:t xml:space="preserve"> </w:t>
      </w:r>
      <w:r w:rsidRPr="0086767B">
        <w:rPr>
          <w:szCs w:val="16"/>
          <w:lang w:val="es-CR"/>
        </w:rPr>
        <w:t>de 30 de agosto de 2019. Serie C No. 380, párr. 144</w:t>
      </w:r>
      <w:r w:rsidRPr="000D358D">
        <w:rPr>
          <w:szCs w:val="16"/>
        </w:rPr>
        <w:t xml:space="preserve">. </w:t>
      </w:r>
    </w:p>
  </w:footnote>
  <w:footnote w:id="153">
    <w:p w14:paraId="0BFDED1E" w14:textId="2597279B"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86767B">
        <w:rPr>
          <w:i/>
          <w:szCs w:val="16"/>
          <w:lang w:val="es-CR"/>
        </w:rPr>
        <w:t xml:space="preserve">Caso Hilaire, Constantine y Benjamin y otros Vs. Trinidad y Tobago, </w:t>
      </w:r>
      <w:r w:rsidRPr="0086767B">
        <w:rPr>
          <w:szCs w:val="16"/>
          <w:lang w:val="es-CR"/>
        </w:rPr>
        <w:t>párr. 147, y</w:t>
      </w:r>
      <w:r w:rsidRPr="006C56F5">
        <w:rPr>
          <w:i/>
          <w:szCs w:val="16"/>
          <w:lang w:val="es-CR"/>
        </w:rPr>
        <w:t xml:space="preserve"> </w:t>
      </w:r>
      <w:r w:rsidRPr="0086767B">
        <w:rPr>
          <w:i/>
          <w:szCs w:val="16"/>
          <w:lang w:val="es-CR"/>
        </w:rPr>
        <w:t xml:space="preserve">Caso Álvarez Ramos Vs. Venezuela, </w:t>
      </w:r>
      <w:r w:rsidRPr="0086767B">
        <w:rPr>
          <w:szCs w:val="16"/>
          <w:lang w:val="es-CR"/>
        </w:rPr>
        <w:t>parr. 144</w:t>
      </w:r>
      <w:r w:rsidRPr="000D358D">
        <w:rPr>
          <w:szCs w:val="16"/>
        </w:rPr>
        <w:t>.</w:t>
      </w:r>
    </w:p>
  </w:footnote>
  <w:footnote w:id="154">
    <w:p w14:paraId="277E5C03" w14:textId="1CA32C32" w:rsidR="00443B67" w:rsidRPr="000D358D" w:rsidRDefault="00443B67" w:rsidP="00587147">
      <w:pPr>
        <w:spacing w:after="0" w:line="240" w:lineRule="auto"/>
        <w:jc w:val="both"/>
        <w:rPr>
          <w:bCs/>
          <w:sz w:val="16"/>
          <w:szCs w:val="16"/>
          <w:shd w:val="clear" w:color="auto" w:fill="FFFFFF"/>
        </w:rPr>
      </w:pPr>
      <w:r w:rsidRPr="000D358D">
        <w:rPr>
          <w:rStyle w:val="Refdenotaalpie"/>
          <w:rFonts w:ascii="Verdana" w:hAnsi="Verdana"/>
          <w:sz w:val="16"/>
          <w:szCs w:val="16"/>
        </w:rPr>
        <w:footnoteRef/>
      </w:r>
      <w:r w:rsidRPr="000D358D">
        <w:rPr>
          <w:sz w:val="16"/>
          <w:szCs w:val="16"/>
        </w:rPr>
        <w:t xml:space="preserve"> </w:t>
      </w:r>
      <w:r w:rsidRPr="000D358D">
        <w:rPr>
          <w:i/>
          <w:sz w:val="16"/>
          <w:szCs w:val="16"/>
        </w:rPr>
        <w:t>Cfr.</w:t>
      </w:r>
      <w:r w:rsidRPr="000D358D">
        <w:rPr>
          <w:sz w:val="16"/>
          <w:szCs w:val="16"/>
        </w:rPr>
        <w:t xml:space="preserve"> </w:t>
      </w:r>
      <w:r w:rsidRPr="000D358D">
        <w:rPr>
          <w:rStyle w:val="Textoennegrita"/>
          <w:b w:val="0"/>
          <w:i/>
          <w:sz w:val="16"/>
          <w:szCs w:val="16"/>
          <w:shd w:val="clear" w:color="auto" w:fill="FFFFFF"/>
        </w:rPr>
        <w:t>Caso Claude Reyes y otros Vs. Chile. Fondo, Reparaciones y Costas</w:t>
      </w:r>
      <w:r w:rsidRPr="000D358D">
        <w:rPr>
          <w:rStyle w:val="Textoennegrita"/>
          <w:b w:val="0"/>
          <w:sz w:val="16"/>
          <w:szCs w:val="16"/>
          <w:shd w:val="clear" w:color="auto" w:fill="FFFFFF"/>
        </w:rPr>
        <w:t>. Sentencia de 19 de septiembre de 2006. Serie C No. 151,</w:t>
      </w:r>
      <w:r w:rsidRPr="000D358D">
        <w:rPr>
          <w:i/>
          <w:sz w:val="16"/>
          <w:szCs w:val="16"/>
        </w:rPr>
        <w:t xml:space="preserve"> </w:t>
      </w:r>
      <w:r w:rsidRPr="000D358D">
        <w:rPr>
          <w:sz w:val="16"/>
          <w:szCs w:val="16"/>
        </w:rPr>
        <w:t>párr. 117, y</w:t>
      </w:r>
      <w:r w:rsidRPr="000D358D">
        <w:rPr>
          <w:i/>
          <w:sz w:val="16"/>
          <w:szCs w:val="16"/>
        </w:rPr>
        <w:t xml:space="preserve"> </w:t>
      </w:r>
      <w:r w:rsidRPr="0086767B">
        <w:rPr>
          <w:i/>
          <w:sz w:val="16"/>
          <w:szCs w:val="16"/>
        </w:rPr>
        <w:t xml:space="preserve">Caso </w:t>
      </w:r>
      <w:r w:rsidRPr="006C56F5">
        <w:rPr>
          <w:i/>
          <w:sz w:val="16"/>
          <w:szCs w:val="16"/>
        </w:rPr>
        <w:t>López</w:t>
      </w:r>
      <w:r w:rsidRPr="0086767B">
        <w:rPr>
          <w:i/>
          <w:sz w:val="16"/>
          <w:szCs w:val="16"/>
        </w:rPr>
        <w:t xml:space="preserve"> y otros Vs. Argentina,</w:t>
      </w:r>
      <w:r w:rsidRPr="006C56F5">
        <w:rPr>
          <w:i/>
          <w:sz w:val="16"/>
          <w:szCs w:val="16"/>
        </w:rPr>
        <w:t xml:space="preserve"> </w:t>
      </w:r>
      <w:r w:rsidRPr="0086767B">
        <w:rPr>
          <w:sz w:val="16"/>
          <w:szCs w:val="16"/>
        </w:rPr>
        <w:t>párr. 200</w:t>
      </w:r>
      <w:r w:rsidRPr="000D358D">
        <w:rPr>
          <w:sz w:val="16"/>
          <w:szCs w:val="16"/>
        </w:rPr>
        <w:t xml:space="preserve">. </w:t>
      </w:r>
    </w:p>
  </w:footnote>
  <w:footnote w:id="155">
    <w:p w14:paraId="359C96D6"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iCs/>
          <w:szCs w:val="16"/>
        </w:rPr>
        <w:t>Cfr.</w:t>
      </w:r>
      <w:r w:rsidRPr="000D358D">
        <w:rPr>
          <w:szCs w:val="16"/>
        </w:rPr>
        <w:t xml:space="preserve"> </w:t>
      </w:r>
      <w:r w:rsidRPr="000D358D">
        <w:rPr>
          <w:i/>
          <w:iCs/>
          <w:szCs w:val="16"/>
        </w:rPr>
        <w:t>Caso Baena Ricardo Vs. Panamá</w:t>
      </w:r>
      <w:r w:rsidRPr="000D358D">
        <w:rPr>
          <w:szCs w:val="16"/>
        </w:rPr>
        <w:t xml:space="preserve">. </w:t>
      </w:r>
      <w:r w:rsidRPr="000D358D">
        <w:rPr>
          <w:i/>
          <w:szCs w:val="16"/>
        </w:rPr>
        <w:t>Fondo, Reparaciones y Costas</w:t>
      </w:r>
      <w:r w:rsidRPr="000D358D">
        <w:rPr>
          <w:szCs w:val="16"/>
        </w:rPr>
        <w:t>. Sentencia de 2 de febrero de 2001. Serie C No. 72, párr. 137.</w:t>
      </w:r>
    </w:p>
  </w:footnote>
  <w:footnote w:id="156">
    <w:p w14:paraId="53536EFA"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iCs/>
          <w:szCs w:val="16"/>
        </w:rPr>
        <w:t>Caso Baena Ricardo Vs. Panamá</w:t>
      </w:r>
      <w:r w:rsidRPr="000D358D">
        <w:rPr>
          <w:szCs w:val="16"/>
        </w:rPr>
        <w:t xml:space="preserve">, párr. 127, y </w:t>
      </w:r>
      <w:r w:rsidRPr="000D358D">
        <w:rPr>
          <w:rStyle w:val="Textoennegrita"/>
          <w:b w:val="0"/>
          <w:i/>
          <w:szCs w:val="16"/>
          <w:shd w:val="clear" w:color="auto" w:fill="FFFFFF"/>
        </w:rPr>
        <w:t>Caso del Tribunal Constitucional (Camba Campos y otros) Vs. Ecuador. Excepciones Preliminares, Fondo, Reparaciones y Costas</w:t>
      </w:r>
      <w:r w:rsidRPr="000D358D">
        <w:rPr>
          <w:rStyle w:val="Textoennegrita"/>
          <w:b w:val="0"/>
          <w:szCs w:val="16"/>
          <w:shd w:val="clear" w:color="auto" w:fill="FFFFFF"/>
        </w:rPr>
        <w:t>. Sentencia de 28 de agosto de 2013. Serie C No. 268, párr. 167.</w:t>
      </w:r>
    </w:p>
  </w:footnote>
  <w:footnote w:id="157">
    <w:p w14:paraId="42D5417D" w14:textId="4FE5CAC0"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Caso Suárez Rosero Vs. Ecuador. Fondo</w:t>
      </w:r>
      <w:r w:rsidRPr="000D358D">
        <w:rPr>
          <w:szCs w:val="16"/>
        </w:rPr>
        <w:t>, párr. 70.</w:t>
      </w:r>
    </w:p>
  </w:footnote>
  <w:footnote w:id="158">
    <w:p w14:paraId="1090421D" w14:textId="5F70A9D5" w:rsidR="00443B67" w:rsidRPr="000D358D" w:rsidRDefault="00443B67" w:rsidP="006C56F5">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Caso Hilaire, Constantine y Benjamin y otros Vs. Trinidad y Tobago</w:t>
      </w:r>
      <w:r w:rsidRPr="000D358D">
        <w:rPr>
          <w:szCs w:val="16"/>
        </w:rPr>
        <w:t>, párr. 145</w:t>
      </w:r>
      <w:r>
        <w:rPr>
          <w:szCs w:val="16"/>
        </w:rPr>
        <w:t xml:space="preserve">, </w:t>
      </w:r>
      <w:r w:rsidRPr="006C56F5">
        <w:rPr>
          <w:szCs w:val="16"/>
        </w:rPr>
        <w:t xml:space="preserve">y </w:t>
      </w:r>
      <w:r w:rsidRPr="006C56F5">
        <w:rPr>
          <w:i/>
          <w:szCs w:val="16"/>
        </w:rPr>
        <w:t>Caso Jenkins Vs. Argentina</w:t>
      </w:r>
      <w:r w:rsidRPr="006C56F5">
        <w:rPr>
          <w:szCs w:val="16"/>
        </w:rPr>
        <w:t>, párr. 106.</w:t>
      </w:r>
    </w:p>
  </w:footnote>
  <w:footnote w:id="159">
    <w:p w14:paraId="094506EA" w14:textId="022629F9"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 Caso Anzualdo Castro Vs. Perú. Excepción Preliminar, Fondo, Reparaciones y Costas</w:t>
      </w:r>
      <w:r w:rsidRPr="000D358D">
        <w:rPr>
          <w:szCs w:val="16"/>
        </w:rPr>
        <w:t>. Sentencia de 22 de septiembre de 2009. Serie C No. 202, párr. 156</w:t>
      </w:r>
      <w:r>
        <w:rPr>
          <w:szCs w:val="16"/>
        </w:rPr>
        <w:t>,</w:t>
      </w:r>
      <w:r w:rsidRPr="006C56F5">
        <w:rPr>
          <w:rFonts w:eastAsia="SimSun" w:cstheme="minorBidi"/>
          <w:noProof w:val="0"/>
          <w:sz w:val="20"/>
          <w:szCs w:val="16"/>
          <w:lang w:val="es-CR"/>
        </w:rPr>
        <w:t xml:space="preserve"> </w:t>
      </w:r>
      <w:r w:rsidRPr="006C56F5">
        <w:rPr>
          <w:szCs w:val="16"/>
          <w:lang w:val="es-CR"/>
        </w:rPr>
        <w:t xml:space="preserve">y </w:t>
      </w:r>
      <w:r w:rsidRPr="006C56F5">
        <w:rPr>
          <w:i/>
          <w:szCs w:val="16"/>
          <w:lang w:val="es-CR"/>
        </w:rPr>
        <w:t>Caso Jenkins Vs. Argentina</w:t>
      </w:r>
      <w:r w:rsidRPr="006C56F5">
        <w:rPr>
          <w:szCs w:val="16"/>
          <w:lang w:val="es-CR"/>
        </w:rPr>
        <w:t>, párr. 106</w:t>
      </w:r>
      <w:r w:rsidRPr="000D358D">
        <w:rPr>
          <w:szCs w:val="16"/>
        </w:rPr>
        <w:t>.</w:t>
      </w:r>
    </w:p>
  </w:footnote>
  <w:footnote w:id="160">
    <w:p w14:paraId="3826F136" w14:textId="2C246474"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 Caso Suárez Rosero Vs. Ecuador. Fondo</w:t>
      </w:r>
      <w:r w:rsidRPr="000D358D">
        <w:rPr>
          <w:szCs w:val="16"/>
        </w:rPr>
        <w:t xml:space="preserve">, párr. </w:t>
      </w:r>
      <w:r w:rsidRPr="00580BA7">
        <w:rPr>
          <w:szCs w:val="16"/>
          <w:lang w:val="en-US"/>
        </w:rPr>
        <w:t xml:space="preserve">71, y </w:t>
      </w:r>
      <w:r w:rsidRPr="00580BA7">
        <w:rPr>
          <w:i/>
          <w:szCs w:val="16"/>
          <w:lang w:val="en-US"/>
        </w:rPr>
        <w:t xml:space="preserve">Caso Wong Ho Wing Vs. </w:t>
      </w:r>
      <w:r w:rsidRPr="000D358D">
        <w:rPr>
          <w:i/>
          <w:szCs w:val="16"/>
        </w:rPr>
        <w:t>Perú</w:t>
      </w:r>
      <w:r w:rsidRPr="000D358D">
        <w:rPr>
          <w:szCs w:val="16"/>
        </w:rPr>
        <w:t>, párr. 209.</w:t>
      </w:r>
    </w:p>
  </w:footnote>
  <w:footnote w:id="161">
    <w:p w14:paraId="490072EB" w14:textId="58EF3408"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Caso Suárez Rosero Vs. Ecuador</w:t>
      </w:r>
      <w:r>
        <w:rPr>
          <w:szCs w:val="16"/>
        </w:rPr>
        <w:t>. Fondo</w:t>
      </w:r>
      <w:r w:rsidRPr="000D358D">
        <w:rPr>
          <w:szCs w:val="16"/>
        </w:rPr>
        <w:t>, párr. 70.</w:t>
      </w:r>
    </w:p>
  </w:footnote>
  <w:footnote w:id="162">
    <w:p w14:paraId="31457418" w14:textId="49BB288E"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Fallo del 29 de abril de 1998 de la Corte Superior de Justicia de Quito – Cuarta Sala de Conjueces en el juicio por conversión o transferencia de bienes seguido contra Mario Montesinos (expediente de prueba, folios 164 a 175).</w:t>
      </w:r>
      <w:r w:rsidRPr="000D358D">
        <w:rPr>
          <w:b/>
          <w:szCs w:val="16"/>
        </w:rPr>
        <w:t xml:space="preserve"> </w:t>
      </w:r>
    </w:p>
  </w:footnote>
  <w:footnote w:id="163">
    <w:p w14:paraId="50838493" w14:textId="0397544E"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Resolución de la Corte Superior de Justicia de fecha 7 de mayo de 1998 dentro de la causa por enriquecimiento ilícito, por la cual sobresee de forma definitiva al señor montesinos (expediente de prueba, folios 1270 a 1271).</w:t>
      </w:r>
    </w:p>
  </w:footnote>
  <w:footnote w:id="164">
    <w:p w14:paraId="6081DCA8" w14:textId="600F7DE1"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Sentencia de la Sala de lo Penal de la Corte Nacional de Justicia de 31 de octubre de 2010 en la que se niega el recurso de casación (expediente de prueba, folio 1566 a 1612).</w:t>
      </w:r>
    </w:p>
  </w:footnote>
  <w:footnote w:id="165">
    <w:p w14:paraId="70FB1064" w14:textId="5D3408ED"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Sentencia condenatoria dictada por la Primera Sala Especializada de lo Penal, Tránsito y Colusorio de la Corte Superior de Justicia de Quito de 8 de septiembre de 2008 (expediente de prueba, folios 1466 a 1564 ).</w:t>
      </w:r>
    </w:p>
  </w:footnote>
  <w:footnote w:id="166">
    <w:p w14:paraId="5069E853" w14:textId="3215C630" w:rsidR="00443B67" w:rsidRPr="000D358D" w:rsidRDefault="00443B67" w:rsidP="00587147">
      <w:pPr>
        <w:pStyle w:val="Textonotapie"/>
        <w:rPr>
          <w:rFonts w:cs="Times New Roman"/>
          <w:szCs w:val="16"/>
        </w:rPr>
      </w:pPr>
      <w:r w:rsidRPr="000D358D">
        <w:rPr>
          <w:rStyle w:val="Refdenotaalpie"/>
          <w:rFonts w:ascii="Verdana" w:hAnsi="Verdana"/>
          <w:szCs w:val="16"/>
        </w:rPr>
        <w:footnoteRef/>
      </w:r>
      <w:r w:rsidRPr="000D358D">
        <w:rPr>
          <w:szCs w:val="16"/>
          <w:lang w:val="pt-BR"/>
        </w:rPr>
        <w:t xml:space="preserve"> </w:t>
      </w:r>
      <w:r w:rsidRPr="000D358D">
        <w:rPr>
          <w:rFonts w:cs="Times New Roman"/>
          <w:i/>
          <w:szCs w:val="16"/>
          <w:lang w:val="pt-BR"/>
        </w:rPr>
        <w:t xml:space="preserve">Cfr. Caso Genie Lacayo Vs. Nicaragua. </w:t>
      </w:r>
      <w:r w:rsidRPr="000D358D">
        <w:rPr>
          <w:rFonts w:cs="Times New Roman"/>
          <w:i/>
          <w:szCs w:val="16"/>
        </w:rPr>
        <w:t>Fondo, Reparaciones y Costas</w:t>
      </w:r>
      <w:r w:rsidRPr="000D358D">
        <w:rPr>
          <w:rFonts w:cs="Times New Roman"/>
          <w:szCs w:val="16"/>
        </w:rPr>
        <w:t>. Sentencia de 29 de enero de 1997. Serie C No. 30, párr. 78, y</w:t>
      </w:r>
      <w:r>
        <w:rPr>
          <w:rFonts w:cs="Times New Roman"/>
          <w:szCs w:val="16"/>
        </w:rPr>
        <w:t xml:space="preserve"> </w:t>
      </w:r>
      <w:r w:rsidRPr="006C56F5">
        <w:rPr>
          <w:rFonts w:cs="Times New Roman"/>
          <w:i/>
          <w:szCs w:val="16"/>
          <w:lang w:val="es-CR"/>
        </w:rPr>
        <w:t xml:space="preserve">Caso Jenkins Vs. Argentina, </w:t>
      </w:r>
      <w:r w:rsidRPr="0086767B">
        <w:rPr>
          <w:rFonts w:cs="Times New Roman"/>
          <w:bCs/>
          <w:szCs w:val="16"/>
          <w:lang w:val="es-CR"/>
        </w:rPr>
        <w:t xml:space="preserve">párr. </w:t>
      </w:r>
      <w:r w:rsidRPr="0086767B">
        <w:rPr>
          <w:rFonts w:cs="Times New Roman"/>
          <w:szCs w:val="16"/>
          <w:lang w:val="es-CR"/>
        </w:rPr>
        <w:t>110</w:t>
      </w:r>
      <w:r w:rsidRPr="000D358D">
        <w:rPr>
          <w:rFonts w:cs="Times New Roman"/>
          <w:szCs w:val="16"/>
        </w:rPr>
        <w:t>.</w:t>
      </w:r>
    </w:p>
  </w:footnote>
  <w:footnote w:id="167">
    <w:p w14:paraId="0A028927" w14:textId="251F9B2B" w:rsidR="00443B67" w:rsidRPr="000D358D" w:rsidRDefault="00443B67" w:rsidP="00587147">
      <w:pPr>
        <w:pStyle w:val="Textonotapie"/>
        <w:rPr>
          <w:rFonts w:cs="Times New Roman"/>
          <w:szCs w:val="16"/>
        </w:rPr>
      </w:pPr>
      <w:r w:rsidRPr="000D358D">
        <w:rPr>
          <w:rStyle w:val="Refdenotaalpie"/>
          <w:rFonts w:ascii="Verdana" w:hAnsi="Verdana"/>
          <w:szCs w:val="16"/>
        </w:rPr>
        <w:footnoteRef/>
      </w:r>
      <w:r w:rsidRPr="000D358D">
        <w:rPr>
          <w:szCs w:val="16"/>
        </w:rPr>
        <w:t xml:space="preserve"> </w:t>
      </w:r>
      <w:r w:rsidRPr="000D358D">
        <w:rPr>
          <w:rFonts w:cs="Times New Roman"/>
          <w:i/>
          <w:szCs w:val="16"/>
        </w:rPr>
        <w:t>Cfr. Caso Acosta Calderón Vs. Ecuador.</w:t>
      </w:r>
      <w:r w:rsidRPr="000D358D">
        <w:rPr>
          <w:rFonts w:cs="Times New Roman"/>
          <w:szCs w:val="16"/>
        </w:rPr>
        <w:t xml:space="preserve"> Fondo, Reparaciones y Costas. Sentencia de 24 de junio de 2005. Serie C No. 129, párr. 106, y </w:t>
      </w:r>
      <w:r w:rsidRPr="006C56F5">
        <w:rPr>
          <w:rFonts w:cs="Times New Roman"/>
          <w:i/>
          <w:szCs w:val="16"/>
          <w:lang w:val="es-CR"/>
        </w:rPr>
        <w:t xml:space="preserve">Caso Jenkins Vs. Argentina, </w:t>
      </w:r>
      <w:r w:rsidRPr="0086767B">
        <w:rPr>
          <w:rFonts w:cs="Times New Roman"/>
          <w:bCs/>
          <w:szCs w:val="16"/>
          <w:lang w:val="es-CR"/>
        </w:rPr>
        <w:t xml:space="preserve">párr. </w:t>
      </w:r>
      <w:r w:rsidRPr="0086767B">
        <w:rPr>
          <w:rFonts w:cs="Times New Roman"/>
          <w:szCs w:val="16"/>
          <w:lang w:val="es-CR"/>
        </w:rPr>
        <w:t>110</w:t>
      </w:r>
      <w:r w:rsidRPr="000D358D">
        <w:rPr>
          <w:rFonts w:cs="Times New Roman"/>
          <w:szCs w:val="16"/>
        </w:rPr>
        <w:t>.</w:t>
      </w:r>
    </w:p>
  </w:footnote>
  <w:footnote w:id="168">
    <w:p w14:paraId="1E545E35" w14:textId="26C4D5E0" w:rsidR="00443B67" w:rsidRPr="000D358D" w:rsidRDefault="00443B67" w:rsidP="00587147">
      <w:pPr>
        <w:pStyle w:val="Textonotapie"/>
        <w:rPr>
          <w:rFonts w:cs="Times New Roman"/>
          <w:szCs w:val="16"/>
        </w:rPr>
      </w:pPr>
      <w:r w:rsidRPr="000D358D">
        <w:rPr>
          <w:rStyle w:val="Refdenotaalpie"/>
          <w:rFonts w:ascii="Verdana" w:hAnsi="Verdana"/>
          <w:szCs w:val="16"/>
        </w:rPr>
        <w:footnoteRef/>
      </w:r>
      <w:r w:rsidRPr="000D358D">
        <w:rPr>
          <w:szCs w:val="16"/>
        </w:rPr>
        <w:t xml:space="preserve"> </w:t>
      </w:r>
      <w:r w:rsidRPr="000D358D">
        <w:rPr>
          <w:rFonts w:cs="Times New Roman"/>
          <w:i/>
          <w:szCs w:val="16"/>
        </w:rPr>
        <w:t>Cfr. Caso Furlan y familiares Vs. Argentina. Excepciones Preliminares, Fondo, Reparaciones y Costas</w:t>
      </w:r>
      <w:r w:rsidRPr="000D358D">
        <w:rPr>
          <w:rFonts w:cs="Times New Roman"/>
          <w:szCs w:val="16"/>
        </w:rPr>
        <w:t xml:space="preserve">. Sentencia de 31 de agosto de 2012. Serie C No. 246, párr. 156 y </w:t>
      </w:r>
      <w:r w:rsidRPr="000D358D">
        <w:rPr>
          <w:rFonts w:cs="Times New Roman"/>
          <w:i/>
          <w:szCs w:val="16"/>
        </w:rPr>
        <w:t>Caso Díaz Loreto y otros</w:t>
      </w:r>
      <w:r>
        <w:rPr>
          <w:rFonts w:cs="Times New Roman"/>
          <w:i/>
          <w:szCs w:val="16"/>
        </w:rPr>
        <w:t xml:space="preserve"> Vs. Venezuela</w:t>
      </w:r>
      <w:r w:rsidRPr="000D358D">
        <w:rPr>
          <w:rFonts w:cs="Times New Roman"/>
          <w:szCs w:val="16"/>
        </w:rPr>
        <w:t>, párr. 113.</w:t>
      </w:r>
    </w:p>
  </w:footnote>
  <w:footnote w:id="169">
    <w:p w14:paraId="25AEE435" w14:textId="0DFBA17B" w:rsidR="00443B67" w:rsidRPr="000D358D" w:rsidRDefault="00443B67" w:rsidP="00587147">
      <w:pPr>
        <w:pStyle w:val="Textonotapie"/>
        <w:tabs>
          <w:tab w:val="left" w:pos="426"/>
        </w:tabs>
        <w:rPr>
          <w:rFonts w:cs="Times New Roman"/>
          <w:szCs w:val="16"/>
        </w:rPr>
      </w:pPr>
      <w:r w:rsidRPr="000D358D">
        <w:rPr>
          <w:rStyle w:val="Refdenotaalpie"/>
          <w:rFonts w:ascii="Verdana" w:hAnsi="Verdana"/>
          <w:szCs w:val="16"/>
        </w:rPr>
        <w:footnoteRef/>
      </w:r>
      <w:r w:rsidRPr="000D358D">
        <w:rPr>
          <w:rFonts w:cs="Times New Roman"/>
          <w:szCs w:val="16"/>
        </w:rPr>
        <w:t xml:space="preserve"> Mutatis mutandis, </w:t>
      </w:r>
      <w:r w:rsidRPr="000D358D">
        <w:rPr>
          <w:rFonts w:cs="Times New Roman"/>
          <w:i/>
          <w:szCs w:val="16"/>
        </w:rPr>
        <w:t>Cfr. Caso Heliodoro Portugal Vs. Panamá</w:t>
      </w:r>
      <w:r w:rsidRPr="000D358D">
        <w:rPr>
          <w:rFonts w:cs="Times New Roman"/>
          <w:szCs w:val="16"/>
        </w:rPr>
        <w:t xml:space="preserve">. Excepciones Preliminares, Fondo, Reparaciones y Costas. Sentencia de 12 de agosto de 2008. Serie C No. 186, párr. 150, y </w:t>
      </w:r>
      <w:r w:rsidRPr="000D358D">
        <w:rPr>
          <w:rFonts w:cs="Times New Roman"/>
          <w:i/>
          <w:szCs w:val="16"/>
        </w:rPr>
        <w:t>Caso Díaz Loreto y otros</w:t>
      </w:r>
      <w:r>
        <w:rPr>
          <w:rFonts w:cs="Times New Roman"/>
          <w:i/>
          <w:szCs w:val="16"/>
        </w:rPr>
        <w:t xml:space="preserve"> Vs. Venezuela</w:t>
      </w:r>
      <w:r w:rsidRPr="000D358D">
        <w:rPr>
          <w:rFonts w:cs="Times New Roman"/>
          <w:szCs w:val="16"/>
        </w:rPr>
        <w:t>, párr. 113.</w:t>
      </w:r>
    </w:p>
  </w:footnote>
  <w:footnote w:id="170">
    <w:p w14:paraId="41758DA3" w14:textId="0553CA5D"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rFonts w:cs="Times New Roman"/>
          <w:i/>
          <w:szCs w:val="16"/>
        </w:rPr>
        <w:t>Cfr. Caso Salvador Chiriboga Vs. Ecuador. Excepción Preliminar y Fondo</w:t>
      </w:r>
      <w:r w:rsidRPr="000D358D">
        <w:rPr>
          <w:rFonts w:cs="Times New Roman"/>
          <w:szCs w:val="16"/>
        </w:rPr>
        <w:t xml:space="preserve">. Sentencia de 6 de mayo de 2008. Serie C No. 179, párr. 83, </w:t>
      </w:r>
      <w:r w:rsidRPr="000D358D">
        <w:rPr>
          <w:rFonts w:cs="Times New Roman"/>
          <w:i/>
          <w:szCs w:val="16"/>
        </w:rPr>
        <w:t xml:space="preserve">y </w:t>
      </w:r>
      <w:r w:rsidRPr="006C56F5">
        <w:rPr>
          <w:rFonts w:cs="Times New Roman"/>
          <w:i/>
          <w:szCs w:val="16"/>
          <w:lang w:val="es-CR"/>
        </w:rPr>
        <w:t xml:space="preserve">y Caso Jenkins Vs. Argentina, </w:t>
      </w:r>
      <w:r w:rsidRPr="0086767B">
        <w:rPr>
          <w:rFonts w:cs="Times New Roman"/>
          <w:bCs/>
          <w:szCs w:val="16"/>
          <w:lang w:val="es-CR"/>
        </w:rPr>
        <w:t xml:space="preserve">párr. </w:t>
      </w:r>
      <w:r w:rsidRPr="0086767B">
        <w:rPr>
          <w:rFonts w:cs="Times New Roman"/>
          <w:szCs w:val="16"/>
          <w:lang w:val="es-CR"/>
        </w:rPr>
        <w:t>110</w:t>
      </w:r>
      <w:r w:rsidRPr="000D358D">
        <w:rPr>
          <w:rFonts w:cs="Times New Roman"/>
          <w:szCs w:val="16"/>
        </w:rPr>
        <w:t>.</w:t>
      </w:r>
    </w:p>
  </w:footnote>
  <w:footnote w:id="171">
    <w:p w14:paraId="55C76B86" w14:textId="574388A3" w:rsidR="00443B67" w:rsidRPr="000D358D" w:rsidRDefault="00443B67" w:rsidP="00587147">
      <w:pPr>
        <w:pStyle w:val="Textonotapie"/>
        <w:rPr>
          <w:rFonts w:cs="Times New Roman"/>
          <w:szCs w:val="16"/>
        </w:rPr>
      </w:pPr>
      <w:r w:rsidRPr="000D358D">
        <w:rPr>
          <w:rStyle w:val="Refdenotaalpie"/>
          <w:rFonts w:ascii="Verdana" w:hAnsi="Verdana"/>
          <w:szCs w:val="16"/>
        </w:rPr>
        <w:footnoteRef/>
      </w:r>
      <w:r w:rsidRPr="000D358D">
        <w:rPr>
          <w:szCs w:val="16"/>
        </w:rPr>
        <w:t xml:space="preserve"> </w:t>
      </w:r>
      <w:r w:rsidRPr="000D358D">
        <w:rPr>
          <w:rFonts w:cs="Times New Roman"/>
          <w:i/>
          <w:szCs w:val="16"/>
        </w:rPr>
        <w:t>Cfr. Caso Furlan y familiares Vs. Argentina</w:t>
      </w:r>
      <w:r w:rsidRPr="000D358D">
        <w:rPr>
          <w:rFonts w:cs="Times New Roman"/>
          <w:szCs w:val="16"/>
        </w:rPr>
        <w:t>, párr. 156, y</w:t>
      </w:r>
      <w:r w:rsidRPr="000D358D">
        <w:rPr>
          <w:rFonts w:cs="Times New Roman"/>
          <w:i/>
          <w:szCs w:val="16"/>
        </w:rPr>
        <w:t xml:space="preserve"> Caso Díaz Loreto y otros</w:t>
      </w:r>
      <w:r>
        <w:rPr>
          <w:rFonts w:cs="Times New Roman"/>
          <w:i/>
          <w:szCs w:val="16"/>
        </w:rPr>
        <w:t xml:space="preserve"> Vs. Venezuela</w:t>
      </w:r>
      <w:r w:rsidRPr="000D358D">
        <w:rPr>
          <w:rFonts w:cs="Times New Roman"/>
          <w:szCs w:val="16"/>
        </w:rPr>
        <w:t xml:space="preserve">, párr. 113. </w:t>
      </w:r>
    </w:p>
  </w:footnote>
  <w:footnote w:id="172">
    <w:p w14:paraId="4E12A1D8" w14:textId="416699F3"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Fallo del 29 de abril de 1998 de la Corte Superior de Justicia de Quito – Cuarta Sala de Conjueces en el juicio por conversión o transferencia de bienes seguido contra Mario Montesinos (expediente de prueba, folio 171);</w:t>
      </w:r>
      <w:r w:rsidRPr="000D358D">
        <w:rPr>
          <w:b/>
          <w:szCs w:val="16"/>
        </w:rPr>
        <w:t xml:space="preserve"> </w:t>
      </w:r>
      <w:r w:rsidRPr="000D358D">
        <w:rPr>
          <w:szCs w:val="16"/>
        </w:rPr>
        <w:t>Resolución de la Corte Superior de Justicia de fecha 7 de mayo de 1998 dentro de la causa por enriquecimiento ilícito, por la cual sobresee de forma definitiva al señor montesinos (expediente de prueba, folios 1270 a 1271).</w:t>
      </w:r>
    </w:p>
  </w:footnote>
  <w:footnote w:id="173">
    <w:p w14:paraId="3BD7C724" w14:textId="630F4B02"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Sentencia condenatoria dictada por la Primera Sala Especializada de lo Penal, Tránsito y Colusorio de la Corte Superior de Justicia de Quito de 8 de septiembre de 2008 (expediente de prueba, folios 1466 a 1564).</w:t>
      </w:r>
    </w:p>
  </w:footnote>
  <w:footnote w:id="174">
    <w:p w14:paraId="5FFF8A97" w14:textId="1DD01FEA"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Auto cabeza de proceso por el delito de testaferrismo de fecha 18 de noviembre de 1992 (expediente de prueba, folios 765 a 770 ).</w:t>
      </w:r>
    </w:p>
  </w:footnote>
  <w:footnote w:id="175">
    <w:p w14:paraId="6974ACE0" w14:textId="68220A6C"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Los hechos en todos los casos se refieren a chequeras de las que aparece como titular con cheques en firmados en blanco, con los cuales supuestamente se hacían pagos de distinta naturaleza y, además que existirían varios bienes inmuebles a nombre del señor Montesinos</w:t>
      </w:r>
      <w:r>
        <w:rPr>
          <w:szCs w:val="16"/>
        </w:rPr>
        <w:t xml:space="preserve"> </w:t>
      </w:r>
      <w:r w:rsidRPr="000D358D">
        <w:rPr>
          <w:szCs w:val="16"/>
        </w:rPr>
        <w:t>pero que en realidad le pertenecen a Jorge Hugo Reyes Torres</w:t>
      </w:r>
      <w:r w:rsidRPr="000D358D">
        <w:rPr>
          <w:b/>
          <w:szCs w:val="16"/>
        </w:rPr>
        <w:t xml:space="preserve"> </w:t>
      </w:r>
      <w:r w:rsidRPr="000D358D">
        <w:rPr>
          <w:szCs w:val="16"/>
        </w:rPr>
        <w:t>(expediente de prueba, folios 186 y 187).</w:t>
      </w:r>
    </w:p>
  </w:footnote>
  <w:footnote w:id="176">
    <w:p w14:paraId="3C190E67" w14:textId="1CC8FB12" w:rsidR="00443B67" w:rsidRPr="0086767B" w:rsidRDefault="00443B67" w:rsidP="00587147">
      <w:pPr>
        <w:pStyle w:val="Textonotapie"/>
        <w:rPr>
          <w:szCs w:val="16"/>
          <w:lang w:val="pt-BR"/>
        </w:rPr>
      </w:pPr>
      <w:r w:rsidRPr="000D358D">
        <w:rPr>
          <w:rStyle w:val="Refdenotaalpie"/>
          <w:rFonts w:ascii="Verdana" w:hAnsi="Verdana"/>
          <w:szCs w:val="16"/>
        </w:rPr>
        <w:footnoteRef/>
      </w:r>
      <w:r>
        <w:rPr>
          <w:szCs w:val="16"/>
          <w:lang w:val="pt-BR"/>
        </w:rPr>
        <w:t xml:space="preserve"> </w:t>
      </w:r>
      <w:r w:rsidRPr="000D358D">
        <w:rPr>
          <w:i/>
          <w:szCs w:val="16"/>
          <w:lang w:val="pt-BR"/>
        </w:rPr>
        <w:t>Caso Genie Lacayo Vs. Nicaragua</w:t>
      </w:r>
      <w:r w:rsidRPr="000D358D">
        <w:rPr>
          <w:szCs w:val="16"/>
          <w:lang w:val="pt-BR"/>
        </w:rPr>
        <w:t xml:space="preserve">, párr. </w:t>
      </w:r>
      <w:r w:rsidRPr="0086767B">
        <w:rPr>
          <w:szCs w:val="16"/>
          <w:lang w:val="pt-BR"/>
        </w:rPr>
        <w:t xml:space="preserve">79, y </w:t>
      </w:r>
      <w:r w:rsidRPr="0086767B">
        <w:rPr>
          <w:i/>
          <w:szCs w:val="16"/>
          <w:lang w:val="pt-BR"/>
        </w:rPr>
        <w:t xml:space="preserve">Caso Jenkins Vs. Argentina, </w:t>
      </w:r>
      <w:r w:rsidRPr="0086767B">
        <w:rPr>
          <w:bCs/>
          <w:szCs w:val="16"/>
          <w:lang w:val="pt-BR"/>
        </w:rPr>
        <w:t>párr</w:t>
      </w:r>
      <w:r w:rsidRPr="0086767B">
        <w:rPr>
          <w:bCs/>
          <w:i/>
          <w:szCs w:val="16"/>
          <w:lang w:val="pt-BR"/>
        </w:rPr>
        <w:t xml:space="preserve">. </w:t>
      </w:r>
      <w:r w:rsidRPr="0086767B">
        <w:rPr>
          <w:szCs w:val="16"/>
          <w:lang w:val="pt-BR"/>
        </w:rPr>
        <w:t>117.</w:t>
      </w:r>
    </w:p>
  </w:footnote>
  <w:footnote w:id="177">
    <w:p w14:paraId="284A5704" w14:textId="2557CE9E" w:rsidR="00443B67" w:rsidRPr="0086767B" w:rsidRDefault="00443B67" w:rsidP="00587147">
      <w:pPr>
        <w:pStyle w:val="Textonotapie"/>
        <w:rPr>
          <w:szCs w:val="16"/>
          <w:lang w:val="pt-BR"/>
        </w:rPr>
      </w:pPr>
      <w:r w:rsidRPr="000D358D">
        <w:rPr>
          <w:rStyle w:val="Refdenotaalpie"/>
          <w:rFonts w:ascii="Verdana" w:hAnsi="Verdana"/>
          <w:szCs w:val="16"/>
        </w:rPr>
        <w:footnoteRef/>
      </w:r>
      <w:r w:rsidRPr="0086767B">
        <w:rPr>
          <w:szCs w:val="16"/>
          <w:lang w:val="pt-BR"/>
        </w:rPr>
        <w:t xml:space="preserve"> </w:t>
      </w:r>
      <w:r w:rsidRPr="0086767B">
        <w:rPr>
          <w:i/>
          <w:szCs w:val="16"/>
          <w:lang w:val="pt-BR"/>
        </w:rPr>
        <w:t>Caso Mémoli Vs. Argentina</w:t>
      </w:r>
      <w:r w:rsidRPr="0086767B">
        <w:rPr>
          <w:szCs w:val="16"/>
          <w:lang w:val="pt-BR"/>
        </w:rPr>
        <w:t xml:space="preserve">, párr. 174; </w:t>
      </w:r>
      <w:r w:rsidRPr="0086767B">
        <w:rPr>
          <w:i/>
          <w:szCs w:val="16"/>
          <w:lang w:val="pt-BR"/>
        </w:rPr>
        <w:t>Caso Wong Ho Wing Vs. Perú</w:t>
      </w:r>
      <w:r w:rsidRPr="0086767B">
        <w:rPr>
          <w:szCs w:val="16"/>
          <w:lang w:val="pt-BR"/>
        </w:rPr>
        <w:t>, párr. 211.</w:t>
      </w:r>
    </w:p>
  </w:footnote>
  <w:footnote w:id="178">
    <w:p w14:paraId="460F07D1" w14:textId="6D21B018" w:rsidR="00443B67" w:rsidRPr="000D358D" w:rsidRDefault="00443B67" w:rsidP="00587147">
      <w:pPr>
        <w:pStyle w:val="Textonotapie"/>
        <w:rPr>
          <w:szCs w:val="16"/>
          <w:lang w:val="es-PE"/>
        </w:rPr>
      </w:pPr>
      <w:r w:rsidRPr="000D358D">
        <w:rPr>
          <w:rStyle w:val="Refdenotaalpie"/>
          <w:rFonts w:ascii="Verdana" w:hAnsi="Verdana"/>
          <w:szCs w:val="16"/>
        </w:rPr>
        <w:footnoteRef/>
      </w:r>
      <w:r w:rsidRPr="0086767B">
        <w:rPr>
          <w:szCs w:val="16"/>
          <w:lang w:val="pt-BR"/>
        </w:rPr>
        <w:t xml:space="preserve"> </w:t>
      </w:r>
      <w:r w:rsidRPr="0086767B">
        <w:rPr>
          <w:i/>
          <w:szCs w:val="16"/>
          <w:lang w:val="pt-BR"/>
        </w:rPr>
        <w:t xml:space="preserve">Cfr. Caso Myrna Mack Chang Vs. </w:t>
      </w:r>
      <w:r w:rsidRPr="000D358D">
        <w:rPr>
          <w:i/>
          <w:szCs w:val="16"/>
        </w:rPr>
        <w:t>Guatemala. Fondo, Reparaciones y Costas</w:t>
      </w:r>
      <w:r w:rsidRPr="000D358D">
        <w:rPr>
          <w:szCs w:val="16"/>
        </w:rPr>
        <w:t xml:space="preserve">. Sentencia de 25 de noviembre de 2003. Serie C No. 101, párr. 211, y </w:t>
      </w:r>
      <w:r w:rsidRPr="000D358D">
        <w:rPr>
          <w:i/>
          <w:szCs w:val="16"/>
        </w:rPr>
        <w:t>Caso Villamizar Durán y otros Vs. Colombia</w:t>
      </w:r>
      <w:r w:rsidRPr="000D358D">
        <w:rPr>
          <w:szCs w:val="16"/>
        </w:rPr>
        <w:t>, párr. 166.</w:t>
      </w:r>
    </w:p>
  </w:footnote>
  <w:footnote w:id="179">
    <w:p w14:paraId="46F906E0"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Caso Valle Jaramillo y otros Vs. Colombia</w:t>
      </w:r>
      <w:r w:rsidRPr="000D358D">
        <w:rPr>
          <w:szCs w:val="16"/>
        </w:rPr>
        <w:t>, párr. 155.</w:t>
      </w:r>
    </w:p>
  </w:footnote>
  <w:footnote w:id="180">
    <w:p w14:paraId="6AA83195" w14:textId="2B89AC1A" w:rsidR="00443B67" w:rsidRPr="0086767B" w:rsidRDefault="00443B67" w:rsidP="006C56F5">
      <w:pPr>
        <w:pStyle w:val="Textonotapie"/>
        <w:rPr>
          <w:szCs w:val="16"/>
          <w:lang w:val="es-419"/>
        </w:rPr>
      </w:pPr>
      <w:r w:rsidRPr="000D358D">
        <w:rPr>
          <w:rStyle w:val="Refdenotaalpie"/>
          <w:rFonts w:ascii="Verdana" w:hAnsi="Verdana"/>
          <w:szCs w:val="16"/>
        </w:rPr>
        <w:footnoteRef/>
      </w:r>
      <w:r w:rsidRPr="000D358D">
        <w:rPr>
          <w:szCs w:val="16"/>
        </w:rPr>
        <w:t xml:space="preserve"> </w:t>
      </w:r>
      <w:r w:rsidRPr="000D358D">
        <w:rPr>
          <w:i/>
          <w:szCs w:val="16"/>
        </w:rPr>
        <w:t>Caso Bayarri Vs. Argentina</w:t>
      </w:r>
      <w:r w:rsidRPr="000D358D">
        <w:rPr>
          <w:szCs w:val="16"/>
        </w:rPr>
        <w:t xml:space="preserve">, párr. </w:t>
      </w:r>
      <w:r w:rsidRPr="00995CA5">
        <w:rPr>
          <w:szCs w:val="16"/>
          <w:lang w:val="en-US"/>
        </w:rPr>
        <w:t xml:space="preserve">70, y </w:t>
      </w:r>
      <w:r w:rsidRPr="00995CA5">
        <w:rPr>
          <w:i/>
          <w:szCs w:val="16"/>
          <w:lang w:val="en-US"/>
        </w:rPr>
        <w:t xml:space="preserve">Caso Wong Ho Wing Vs. </w:t>
      </w:r>
      <w:r w:rsidRPr="0086767B">
        <w:rPr>
          <w:i/>
          <w:szCs w:val="16"/>
          <w:lang w:val="es-419"/>
        </w:rPr>
        <w:t>Perú</w:t>
      </w:r>
      <w:r w:rsidRPr="0086767B">
        <w:rPr>
          <w:szCs w:val="16"/>
          <w:lang w:val="es-419"/>
        </w:rPr>
        <w:t>, párr. 268.</w:t>
      </w:r>
    </w:p>
  </w:footnote>
  <w:footnote w:id="181">
    <w:p w14:paraId="518316FE" w14:textId="060BA1C2" w:rsidR="00443B67" w:rsidRPr="000D358D" w:rsidRDefault="00443B67" w:rsidP="00587147">
      <w:pPr>
        <w:pStyle w:val="Textonotapie"/>
        <w:rPr>
          <w:szCs w:val="16"/>
        </w:rPr>
      </w:pPr>
      <w:r w:rsidRPr="000D358D">
        <w:rPr>
          <w:rStyle w:val="Refdenotaalpie"/>
          <w:rFonts w:ascii="Verdana" w:hAnsi="Verdana"/>
          <w:szCs w:val="16"/>
        </w:rPr>
        <w:footnoteRef/>
      </w:r>
      <w:r w:rsidRPr="0086767B">
        <w:rPr>
          <w:szCs w:val="16"/>
          <w:lang w:val="es-419"/>
        </w:rPr>
        <w:t xml:space="preserve"> </w:t>
      </w:r>
      <w:r w:rsidRPr="0086767B">
        <w:rPr>
          <w:i/>
          <w:szCs w:val="16"/>
          <w:lang w:val="es-419"/>
        </w:rPr>
        <w:t xml:space="preserve">Cfr. Caso Barreto Leiva Vs. </w:t>
      </w:r>
      <w:r w:rsidRPr="000D358D">
        <w:rPr>
          <w:i/>
          <w:szCs w:val="16"/>
        </w:rPr>
        <w:t>Venezuela. Fondo, Reparaciones y Costas</w:t>
      </w:r>
      <w:r w:rsidRPr="000D358D">
        <w:rPr>
          <w:szCs w:val="16"/>
        </w:rPr>
        <w:t>. Sentencia de 17 de noviembre de 2009. Serie C No. 206, párr. 29</w:t>
      </w:r>
      <w:r>
        <w:rPr>
          <w:szCs w:val="16"/>
        </w:rPr>
        <w:t xml:space="preserve">, y </w:t>
      </w:r>
      <w:r w:rsidRPr="0086767B">
        <w:rPr>
          <w:i/>
          <w:szCs w:val="16"/>
        </w:rPr>
        <w:t>Caso Herrera Espinoza y otros Vs. Ecuador</w:t>
      </w:r>
      <w:r w:rsidRPr="000D358D">
        <w:rPr>
          <w:szCs w:val="16"/>
        </w:rPr>
        <w:t>, párr. 181.</w:t>
      </w:r>
    </w:p>
  </w:footnote>
  <w:footnote w:id="182">
    <w:p w14:paraId="2D15DD66" w14:textId="302229AB" w:rsidR="00443B67" w:rsidRPr="000D358D" w:rsidRDefault="00443B67" w:rsidP="00587147">
      <w:pPr>
        <w:pStyle w:val="Textonotapie"/>
        <w:rPr>
          <w:szCs w:val="16"/>
        </w:rPr>
      </w:pPr>
      <w:r w:rsidRPr="000D358D">
        <w:rPr>
          <w:rStyle w:val="Refdenotaalpie"/>
          <w:rFonts w:ascii="Verdana" w:hAnsi="Verdana"/>
          <w:szCs w:val="16"/>
        </w:rPr>
        <w:footnoteRef/>
      </w:r>
      <w:r w:rsidRPr="0086767B">
        <w:rPr>
          <w:szCs w:val="16"/>
          <w:lang w:val="es-419"/>
        </w:rPr>
        <w:t xml:space="preserve"> </w:t>
      </w:r>
      <w:r w:rsidRPr="0086767B">
        <w:rPr>
          <w:i/>
          <w:szCs w:val="16"/>
          <w:lang w:val="es-419"/>
        </w:rPr>
        <w:t xml:space="preserve">Cfr. Caso Barreto Leiva Vs. </w:t>
      </w:r>
      <w:r w:rsidRPr="006C56F5">
        <w:rPr>
          <w:i/>
          <w:szCs w:val="16"/>
          <w:lang w:val="es-CR"/>
        </w:rPr>
        <w:t xml:space="preserve">Venezuela, </w:t>
      </w:r>
      <w:r w:rsidRPr="0086767B">
        <w:rPr>
          <w:szCs w:val="16"/>
          <w:lang w:val="es-CR"/>
        </w:rPr>
        <w:t>párr. 30 y</w:t>
      </w:r>
      <w:r w:rsidRPr="006C56F5">
        <w:rPr>
          <w:i/>
          <w:szCs w:val="16"/>
          <w:lang w:val="es-CR"/>
        </w:rPr>
        <w:t xml:space="preserve"> Caso Herrera Espinoza y otros Vs. Ecuador, </w:t>
      </w:r>
      <w:r w:rsidRPr="0086767B">
        <w:rPr>
          <w:szCs w:val="16"/>
          <w:lang w:val="es-CR"/>
        </w:rPr>
        <w:t>párr. 182.</w:t>
      </w:r>
    </w:p>
  </w:footnote>
  <w:footnote w:id="183">
    <w:p w14:paraId="3ADB64B4" w14:textId="041D54A8" w:rsidR="00443B67" w:rsidRPr="000D358D" w:rsidRDefault="00443B67" w:rsidP="00587147">
      <w:pPr>
        <w:pStyle w:val="Textonotapie"/>
        <w:rPr>
          <w:szCs w:val="16"/>
        </w:rPr>
      </w:pPr>
      <w:r w:rsidRPr="000D358D">
        <w:rPr>
          <w:rStyle w:val="Refdenotaalpie"/>
          <w:rFonts w:ascii="Verdana" w:hAnsi="Verdana"/>
          <w:szCs w:val="16"/>
        </w:rPr>
        <w:footnoteRef/>
      </w:r>
      <w:r w:rsidRPr="0086767B">
        <w:rPr>
          <w:szCs w:val="16"/>
          <w:lang w:val="es-419"/>
        </w:rPr>
        <w:t xml:space="preserve"> </w:t>
      </w:r>
      <w:r w:rsidRPr="0086767B">
        <w:rPr>
          <w:i/>
          <w:szCs w:val="16"/>
          <w:lang w:val="es-419"/>
        </w:rPr>
        <w:t xml:space="preserve">Cfr. </w:t>
      </w:r>
      <w:r w:rsidRPr="006C56F5">
        <w:rPr>
          <w:i/>
          <w:szCs w:val="16"/>
          <w:lang w:val="es-CR"/>
        </w:rPr>
        <w:t xml:space="preserve">Cfr. Caso Tibi Vs. Ecuador, párrs. </w:t>
      </w:r>
      <w:r w:rsidRPr="0086767B">
        <w:rPr>
          <w:szCs w:val="16"/>
          <w:lang w:val="es-CR"/>
        </w:rPr>
        <w:t>193, 194 y 196,</w:t>
      </w:r>
      <w:r w:rsidRPr="006C56F5">
        <w:rPr>
          <w:i/>
          <w:szCs w:val="16"/>
          <w:lang w:val="es-CR"/>
        </w:rPr>
        <w:t xml:space="preserve"> Caso Herrera Espinoza y otros Vs. Ecuador,</w:t>
      </w:r>
      <w:r w:rsidRPr="0086767B">
        <w:rPr>
          <w:szCs w:val="16"/>
          <w:lang w:val="es-CR"/>
        </w:rPr>
        <w:t xml:space="preserve"> párr. 183</w:t>
      </w:r>
    </w:p>
  </w:footnote>
  <w:footnote w:id="184">
    <w:p w14:paraId="29379F2C" w14:textId="11C69FB8"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w:t>
      </w:r>
      <w:r w:rsidRPr="000D358D">
        <w:rPr>
          <w:szCs w:val="16"/>
        </w:rPr>
        <w:t xml:space="preserve"> </w:t>
      </w:r>
      <w:r w:rsidRPr="000D358D">
        <w:rPr>
          <w:i/>
          <w:szCs w:val="16"/>
        </w:rPr>
        <w:t>Caso Tibi Vs. Ecuador</w:t>
      </w:r>
      <w:r w:rsidRPr="000D358D">
        <w:rPr>
          <w:szCs w:val="16"/>
        </w:rPr>
        <w:t xml:space="preserve">, párrs. 193, 194 y 196, </w:t>
      </w:r>
      <w:r w:rsidRPr="000D358D">
        <w:rPr>
          <w:i/>
          <w:szCs w:val="16"/>
        </w:rPr>
        <w:t>Caso Acosta Calderón Vs. Ecuador</w:t>
      </w:r>
      <w:r w:rsidRPr="000D358D">
        <w:rPr>
          <w:szCs w:val="16"/>
        </w:rPr>
        <w:t xml:space="preserve">, párrs. 124 y 126, </w:t>
      </w:r>
      <w:r>
        <w:rPr>
          <w:szCs w:val="16"/>
        </w:rPr>
        <w:t xml:space="preserve">y </w:t>
      </w:r>
      <w:r w:rsidRPr="000D358D">
        <w:rPr>
          <w:i/>
          <w:szCs w:val="16"/>
        </w:rPr>
        <w:t>Caso Herrera Espinoza y otros Vs. Ecuador</w:t>
      </w:r>
      <w:r w:rsidRPr="000D358D">
        <w:rPr>
          <w:szCs w:val="16"/>
        </w:rPr>
        <w:t xml:space="preserve">, párr. 181-187. En sentido similar, en el caso </w:t>
      </w:r>
      <w:r w:rsidRPr="000D358D">
        <w:rPr>
          <w:i/>
          <w:szCs w:val="16"/>
        </w:rPr>
        <w:t>Chaparro Álvarez y Lapo Íñiguez vs. Ecuador,</w:t>
      </w:r>
      <w:r w:rsidRPr="000D358D">
        <w:rPr>
          <w:szCs w:val="16"/>
        </w:rPr>
        <w:t xml:space="preserve"> párr. 158), la Corte encontró que la circunstancia de que la víctima “no cont[ara] con la presencia de un abogado defensor al momento de ser interrogado por parte de la Policía” formaba parte de hechos violatorios del artículo 8.2.d) de la Convención.</w:t>
      </w:r>
    </w:p>
  </w:footnote>
  <w:footnote w:id="185">
    <w:p w14:paraId="60AFC43B" w14:textId="0E9F16EC"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Declaración presumarial del señor Montesinos de fecha 12 de julio de 1992 en las oficinas de la Interpol de Pichincha (expediente de prueba, folios 815 y 816);</w:t>
      </w:r>
      <w:r w:rsidRPr="000D358D">
        <w:rPr>
          <w:b/>
          <w:szCs w:val="16"/>
        </w:rPr>
        <w:t xml:space="preserve"> </w:t>
      </w:r>
      <w:r w:rsidRPr="000D358D">
        <w:rPr>
          <w:szCs w:val="16"/>
        </w:rPr>
        <w:t>Declaración presumarial del Señor Mario Montecinos Mejía de fecha 2</w:t>
      </w:r>
      <w:r>
        <w:rPr>
          <w:szCs w:val="16"/>
        </w:rPr>
        <w:t>5</w:t>
      </w:r>
      <w:r w:rsidRPr="000D358D">
        <w:rPr>
          <w:szCs w:val="16"/>
        </w:rPr>
        <w:t xml:space="preserve"> de junio de 1992 (expediente de prueba, folios 56 a 60).</w:t>
      </w:r>
      <w:r w:rsidRPr="000D358D">
        <w:rPr>
          <w:b/>
          <w:szCs w:val="16"/>
        </w:rPr>
        <w:t xml:space="preserve"> </w:t>
      </w:r>
    </w:p>
  </w:footnote>
  <w:footnote w:id="186">
    <w:p w14:paraId="5207ECFD" w14:textId="21BEE4BF"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Auto de cabeza de proceso de la Corte Superior de Justicia por el delito de conversión o transferencia de bienes de fecha 30 de noviembre de 1992 (expediente de prueba, folios 964 a 968);</w:t>
      </w:r>
      <w:r w:rsidRPr="000D358D">
        <w:rPr>
          <w:b/>
          <w:szCs w:val="16"/>
        </w:rPr>
        <w:t xml:space="preserve"> </w:t>
      </w:r>
      <w:r w:rsidRPr="000D358D">
        <w:rPr>
          <w:szCs w:val="16"/>
        </w:rPr>
        <w:t>Auto de cabeza de proceso de la Corte Superior de Justicia por el delito de enriquecimiento ilícito de fecha 30 de noviembre de 1992 (expediente de prueba, folios 971 a 97</w:t>
      </w:r>
      <w:r>
        <w:rPr>
          <w:szCs w:val="16"/>
        </w:rPr>
        <w:t>5</w:t>
      </w:r>
      <w:r w:rsidRPr="000D358D">
        <w:rPr>
          <w:szCs w:val="16"/>
        </w:rPr>
        <w:t>).</w:t>
      </w:r>
    </w:p>
  </w:footnote>
  <w:footnote w:id="187">
    <w:p w14:paraId="151B92C9" w14:textId="52468B80"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Resolución 182-96-CP emitida por el Tribunal de Garantías Constitucionales dentro del marco del caso No. 45/96-TC (expediente de prueba, folios 47 a 48). </w:t>
      </w:r>
    </w:p>
  </w:footnote>
  <w:footnote w:id="188">
    <w:p w14:paraId="5DDAD992" w14:textId="1D00B056"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Declaración presumarial del señor Montesinos de fecha 12 de junio de 1992 en las oficinas de la Interpol de Pichincha (expediente de prueba, folios 815 a 816);</w:t>
      </w:r>
      <w:r w:rsidRPr="000D358D">
        <w:rPr>
          <w:b/>
          <w:szCs w:val="16"/>
        </w:rPr>
        <w:t xml:space="preserve"> </w:t>
      </w:r>
      <w:r w:rsidRPr="000D358D">
        <w:rPr>
          <w:szCs w:val="16"/>
        </w:rPr>
        <w:t>Declaración presumarial del Señor Mario Montecinos Mejía de fecha 2</w:t>
      </w:r>
      <w:r>
        <w:rPr>
          <w:szCs w:val="16"/>
        </w:rPr>
        <w:t>5</w:t>
      </w:r>
      <w:r w:rsidRPr="000D358D">
        <w:rPr>
          <w:szCs w:val="16"/>
        </w:rPr>
        <w:t xml:space="preserve"> de junio de 1992 (expediente de prueba, folios 56 a 60);</w:t>
      </w:r>
      <w:r w:rsidRPr="000D358D">
        <w:rPr>
          <w:b/>
          <w:szCs w:val="16"/>
        </w:rPr>
        <w:t xml:space="preserve"> </w:t>
      </w:r>
      <w:r w:rsidRPr="000D358D">
        <w:rPr>
          <w:szCs w:val="16"/>
        </w:rPr>
        <w:t>testimonios indagatorios de fecha 20 de enero de 1993 y 30 de diciembre de 1993 (expediente de prueba, folios 2149 a 2158).</w:t>
      </w:r>
    </w:p>
  </w:footnote>
  <w:footnote w:id="189">
    <w:p w14:paraId="2FD9AADB" w14:textId="1F36B8F4"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Resolución 182-96-CP emitida por el Tribunal de Garantías Constitucionales dentro del marco del caso No. 45/96-TC (expediente de prueba, folio 48). </w:t>
      </w:r>
    </w:p>
  </w:footnote>
  <w:footnote w:id="190">
    <w:p w14:paraId="4C7C4DDA" w14:textId="4BFB0E29"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Resolución 182-96-CP emitida por el Tribunal de Garantías Constitucionales dentro del marco del caso No. 45/96-TC (expediente de prueba, folios 47 y 48). </w:t>
      </w:r>
    </w:p>
  </w:footnote>
  <w:footnote w:id="191">
    <w:p w14:paraId="57C38A2C" w14:textId="0A442A23"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El artículo 15 de la Convención contra la Tortura y Otros Tratos o Penas Crueles, Inhumanos o Degradantes establece que “[t]odo Estado Parte se asegurará de que ninguna declaración que se demuestre que ha sido hecha como resultado de tortura pueda ser invocada como prueba en ningún procedimiento, salvo en contra de una persona acusada de tortura como prueba de que se ha formulado la declaración”. Por su parte, el artículo 10 de la Convención Interamericana para Prevenir y Sancionar la Tortura indica que “[n]inguna declaración que se compruebe haber sido obtenida mediante tortura podrá ser admitida como medio de prueba en un proceso, salvo en el que se siga contra la persona o personas acusadas de haberla obtenido mediante actos de tortura y únicamente como prueba de que por ese medio el acusado obtuvo tal declaración”.</w:t>
      </w:r>
    </w:p>
  </w:footnote>
  <w:footnote w:id="192">
    <w:p w14:paraId="10A5293B" w14:textId="2C646D7E"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Al respecto, el Comité contra la Tortura ha señalado que “las obligaciones previstas en los artículos 2 (según el cual “en ningún caso podrán invocarse circunstancias excepcionales como justificación de la tortura”), 15 (que prohíbe admitir como prueba las confesiones obtenidas mediante tortura, salvo en contra del torturador) y 16 (que prohíbe los tratos o penas crueles, inhumanos o degradantes) deben respetarse en todo momento”. Cfr. Naciones Unidas. Comité contra la Tortura. Observación General No. 2, ‘Aplicación del artículo 2 por los Estados Partes’ de 24 de enero de 2008 (CAT/C/GC/2), párr. 6. Por su parte, el Comité de Derechos Humanos ha indicado lo siguiente: “Las garantías procesales nunca podrán ser objeto de medidas derogatorias que soslayen la protección de derechos que no son susceptibles de suspensión. (…) ninguna declaración o confesión o, en principio, ninguna prueba que se obtenga en violación de esta disposición podrá admitirse en los procesos previstos por el artículo 14, incluso durante un estado de excepción, salvo si una declaración o confesión obtenida en violación del artículo 7 se utiliza como prueba de tortura u otro trato prohibido por esta disposición”. Naciones Unidas. Comité de Derechos humanos. Observación general N° 32, El derecho a un juicio imparcial y a la igualdad ante los tribunales y cortes de justicia (HRI/GEN/1/Rev.9 (vol. I), párr 6.</w:t>
      </w:r>
    </w:p>
  </w:footnote>
  <w:footnote w:id="193">
    <w:p w14:paraId="2B2B7AA0" w14:textId="23C94DA5"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Caso Cabrera García y Montiel Flores Vs. México. Excepción Preliminar, Fondo, Reparaciones y Costas</w:t>
      </w:r>
      <w:r w:rsidRPr="000D358D">
        <w:rPr>
          <w:szCs w:val="16"/>
        </w:rPr>
        <w:t>. Sentencia de 26 de noviembre de 2010. Serie C No. 220, párr. 165.</w:t>
      </w:r>
    </w:p>
  </w:footnote>
  <w:footnote w:id="194">
    <w:p w14:paraId="3E0C1CD3" w14:textId="3F902C08"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 Caso Bayarri vs. Argentina</w:t>
      </w:r>
      <w:r w:rsidRPr="000D358D">
        <w:rPr>
          <w:szCs w:val="16"/>
        </w:rPr>
        <w:t xml:space="preserve">, párr. 108; </w:t>
      </w:r>
      <w:r w:rsidRPr="000D358D">
        <w:rPr>
          <w:i/>
          <w:szCs w:val="16"/>
        </w:rPr>
        <w:t>Caso Cabrera García y Montiel Flores Vs. México</w:t>
      </w:r>
      <w:r w:rsidRPr="000D358D">
        <w:rPr>
          <w:szCs w:val="16"/>
        </w:rPr>
        <w:t>, párr. 166.</w:t>
      </w:r>
    </w:p>
  </w:footnote>
  <w:footnote w:id="195">
    <w:p w14:paraId="71BA962D"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Caso Cabrera García y Montiel Flores Vs. México</w:t>
      </w:r>
      <w:r w:rsidRPr="000D358D">
        <w:rPr>
          <w:szCs w:val="16"/>
        </w:rPr>
        <w:t>, párr. 166.</w:t>
      </w:r>
    </w:p>
  </w:footnote>
  <w:footnote w:id="196">
    <w:p w14:paraId="1E204026"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Caso Cabrera García y Montiel Flores Vs. México</w:t>
      </w:r>
      <w:r w:rsidRPr="000D358D">
        <w:rPr>
          <w:szCs w:val="16"/>
        </w:rPr>
        <w:t>, párr. 167.</w:t>
      </w:r>
    </w:p>
  </w:footnote>
  <w:footnote w:id="197">
    <w:p w14:paraId="5649B8C3"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Caso Suárez Rosero Vs. Ecuador</w:t>
      </w:r>
      <w:r w:rsidRPr="000D358D">
        <w:rPr>
          <w:szCs w:val="16"/>
        </w:rPr>
        <w:t>, párr. 91.</w:t>
      </w:r>
    </w:p>
  </w:footnote>
  <w:footnote w:id="198">
    <w:p w14:paraId="6541EB34" w14:textId="0FA0A0B9"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Sentencia condenatoria dictada por la Primera Sala Especializada de lo Penal, Tránsito y Colusorio de la Corte Superior de Justicia de Quito de 8 de septiembre de 2008 (expediente de prueba, folio 1473). </w:t>
      </w:r>
    </w:p>
  </w:footnote>
  <w:footnote w:id="199">
    <w:p w14:paraId="2CE905FB" w14:textId="76AC287D"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Sentencia condenatoria dictada por la Primera Sala Especializada de lo Penal, Tránsito y Colusorio de la Corte Superior de Justicia de Quito de 8 de septiembre de 2008 (expediente de prueba, folios 1525 a 1527).</w:t>
      </w:r>
      <w:r w:rsidRPr="000D358D">
        <w:rPr>
          <w:b/>
          <w:szCs w:val="16"/>
        </w:rPr>
        <w:t xml:space="preserve"> </w:t>
      </w:r>
    </w:p>
  </w:footnote>
  <w:footnote w:id="200">
    <w:p w14:paraId="02972ABB" w14:textId="2E83C978"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Resolución 182-96-CP emitida por el Tribunal de Garantías Constitucionales dentro del marco del caso No. 45/96-TC (expediente de prueba, folios 47 y 48). </w:t>
      </w:r>
    </w:p>
  </w:footnote>
  <w:footnote w:id="201">
    <w:p w14:paraId="0D44102E"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Artículo 9 de la Convención Americana.</w:t>
      </w:r>
    </w:p>
  </w:footnote>
  <w:footnote w:id="202">
    <w:p w14:paraId="072D75D4"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Artículo 11 de la Convención Americana.</w:t>
      </w:r>
    </w:p>
  </w:footnote>
  <w:footnote w:id="203">
    <w:p w14:paraId="760DF392" w14:textId="77777777" w:rsidR="00443B67" w:rsidRPr="000D358D" w:rsidRDefault="00443B67" w:rsidP="00587147">
      <w:pPr>
        <w:pStyle w:val="Textonotapie"/>
        <w:rPr>
          <w:szCs w:val="16"/>
        </w:rPr>
      </w:pPr>
      <w:r w:rsidRPr="000D358D">
        <w:rPr>
          <w:rStyle w:val="Refdenotaalpie"/>
          <w:rFonts w:ascii="Verdana" w:hAnsi="Verdana"/>
          <w:szCs w:val="16"/>
        </w:rPr>
        <w:footnoteRef/>
      </w:r>
      <w:r w:rsidRPr="000D358D">
        <w:rPr>
          <w:szCs w:val="16"/>
        </w:rPr>
        <w:t xml:space="preserve"> Artículo 21 de la Convención Americana.</w:t>
      </w:r>
    </w:p>
  </w:footnote>
  <w:footnote w:id="204">
    <w:p w14:paraId="03042382" w14:textId="5C8686BE" w:rsidR="00443B67" w:rsidRPr="000D358D" w:rsidRDefault="00443B67" w:rsidP="00587147">
      <w:pPr>
        <w:pStyle w:val="Textonotapie"/>
        <w:rPr>
          <w:szCs w:val="16"/>
          <w:lang w:val="es-CR"/>
        </w:rPr>
      </w:pPr>
      <w:r w:rsidRPr="000D358D">
        <w:rPr>
          <w:rStyle w:val="Refdenotaalpie"/>
          <w:rFonts w:ascii="Verdana" w:hAnsi="Verdana"/>
          <w:szCs w:val="16"/>
        </w:rPr>
        <w:footnoteRef/>
      </w:r>
      <w:r w:rsidRPr="000D358D">
        <w:rPr>
          <w:szCs w:val="16"/>
        </w:rPr>
        <w:t xml:space="preserve"> </w:t>
      </w:r>
      <w:r w:rsidRPr="00993193">
        <w:rPr>
          <w:i/>
          <w:szCs w:val="16"/>
          <w:lang w:val="es-CR"/>
        </w:rPr>
        <w:t xml:space="preserve">Caso I.V. Vs. Bolivia. Excepción Preliminar, Fondo, Reparaciones y Costas. </w:t>
      </w:r>
      <w:r w:rsidRPr="0086767B">
        <w:rPr>
          <w:szCs w:val="16"/>
          <w:lang w:val="es-CR"/>
        </w:rPr>
        <w:t>Sentencia de 30 de noviembre de 2016. Serie C No. 329, párr. 45 y</w:t>
      </w:r>
      <w:r w:rsidRPr="00993193">
        <w:rPr>
          <w:i/>
          <w:szCs w:val="16"/>
          <w:lang w:val="es-CR"/>
        </w:rPr>
        <w:t xml:space="preserve"> Caso Rodríguez Revolorio Vs. Guatemala. Excepción Preliminar, Fondo, Reparaciones y Costas. </w:t>
      </w:r>
      <w:r w:rsidRPr="0086767B">
        <w:rPr>
          <w:szCs w:val="16"/>
          <w:lang w:val="es-CR"/>
        </w:rPr>
        <w:t>Sentencia de 14 de octubre de 2019. Serie C No. 387, párr. 24.</w:t>
      </w:r>
    </w:p>
  </w:footnote>
  <w:footnote w:id="205">
    <w:p w14:paraId="4B1234B6" w14:textId="77777777" w:rsidR="00443B67" w:rsidRPr="000D358D" w:rsidRDefault="00443B67" w:rsidP="008A66CA">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 Caso Velásquez Rodríguez Vs. Honduras. Reparaciones y Costas</w:t>
      </w:r>
      <w:r w:rsidRPr="000D358D">
        <w:rPr>
          <w:szCs w:val="16"/>
        </w:rPr>
        <w:t>. Sentencia de 21 de julio de 1989. Serie C No. 7, párr. 2</w:t>
      </w:r>
      <w:r>
        <w:rPr>
          <w:szCs w:val="16"/>
        </w:rPr>
        <w:t>5</w:t>
      </w:r>
      <w:r w:rsidRPr="000D358D">
        <w:rPr>
          <w:szCs w:val="16"/>
        </w:rPr>
        <w:t xml:space="preserve">, y </w:t>
      </w:r>
      <w:r w:rsidRPr="000D358D">
        <w:rPr>
          <w:i/>
          <w:szCs w:val="16"/>
        </w:rPr>
        <w:t xml:space="preserve">Caso </w:t>
      </w:r>
      <w:r>
        <w:rPr>
          <w:i/>
          <w:szCs w:val="16"/>
        </w:rPr>
        <w:t xml:space="preserve">Jenkins Vs. Argentina, </w:t>
      </w:r>
      <w:r w:rsidRPr="000D358D">
        <w:rPr>
          <w:szCs w:val="16"/>
        </w:rPr>
        <w:t xml:space="preserve"> párr. 12</w:t>
      </w:r>
      <w:r>
        <w:rPr>
          <w:szCs w:val="16"/>
        </w:rPr>
        <w:t>2</w:t>
      </w:r>
      <w:r w:rsidRPr="000D358D">
        <w:rPr>
          <w:szCs w:val="16"/>
        </w:rPr>
        <w:t>.</w:t>
      </w:r>
    </w:p>
  </w:footnote>
  <w:footnote w:id="206">
    <w:p w14:paraId="147D06E2" w14:textId="77777777" w:rsidR="00443B67" w:rsidRPr="000D358D" w:rsidRDefault="00443B67" w:rsidP="008A66CA">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 Caso Velásquez Rodríguez Vs. Honduras</w:t>
      </w:r>
      <w:r w:rsidRPr="000D358D">
        <w:rPr>
          <w:szCs w:val="16"/>
        </w:rPr>
        <w:t xml:space="preserve">, párr. 26, y </w:t>
      </w:r>
      <w:r>
        <w:rPr>
          <w:i/>
          <w:szCs w:val="16"/>
        </w:rPr>
        <w:t>Caso Jenkins Vs. Argentina</w:t>
      </w:r>
      <w:r>
        <w:rPr>
          <w:szCs w:val="16"/>
        </w:rPr>
        <w:t>, párr. 123.</w:t>
      </w:r>
    </w:p>
  </w:footnote>
  <w:footnote w:id="207">
    <w:p w14:paraId="1B7DBAA2" w14:textId="77777777" w:rsidR="00443B67" w:rsidRPr="000D358D" w:rsidRDefault="00443B67" w:rsidP="008A66CA">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 Caso Velásquez Rodríguez Vs. Honduras</w:t>
      </w:r>
      <w:r w:rsidRPr="000D358D">
        <w:rPr>
          <w:szCs w:val="16"/>
        </w:rPr>
        <w:t xml:space="preserve">, párr. 26, y </w:t>
      </w:r>
      <w:r>
        <w:rPr>
          <w:i/>
          <w:szCs w:val="16"/>
        </w:rPr>
        <w:t xml:space="preserve">Caso Jenkins Vs. Argentina, </w:t>
      </w:r>
      <w:r w:rsidRPr="00726C54">
        <w:rPr>
          <w:szCs w:val="16"/>
        </w:rPr>
        <w:t>párr. 123.</w:t>
      </w:r>
    </w:p>
  </w:footnote>
  <w:footnote w:id="208">
    <w:p w14:paraId="416DAAF9" w14:textId="77777777" w:rsidR="00443B67" w:rsidRPr="000D358D" w:rsidRDefault="00443B67" w:rsidP="008A66CA">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 Caso de la Masacre de Las Dos Erres Vs. Guatemala, Excepción Preliminar, Fondo, Reparaciones y Costas</w:t>
      </w:r>
      <w:r w:rsidRPr="000D358D">
        <w:rPr>
          <w:szCs w:val="16"/>
        </w:rPr>
        <w:t xml:space="preserve">. Sentencia de 24 de noviembre de 2009. Serie C No. 211, párr. 226, y </w:t>
      </w:r>
      <w:r>
        <w:rPr>
          <w:i/>
          <w:szCs w:val="16"/>
        </w:rPr>
        <w:t xml:space="preserve">Caso Jenkins Vs. Argentina, </w:t>
      </w:r>
      <w:r>
        <w:rPr>
          <w:szCs w:val="16"/>
        </w:rPr>
        <w:t>párr. 123.</w:t>
      </w:r>
      <w:r w:rsidRPr="000D358D">
        <w:rPr>
          <w:szCs w:val="16"/>
        </w:rPr>
        <w:t xml:space="preserve"> </w:t>
      </w:r>
    </w:p>
  </w:footnote>
  <w:footnote w:id="209">
    <w:p w14:paraId="2744EF4C" w14:textId="77777777" w:rsidR="00443B67" w:rsidRPr="000D358D" w:rsidRDefault="00443B67" w:rsidP="008A66CA">
      <w:pPr>
        <w:pStyle w:val="Textonotapie"/>
        <w:rPr>
          <w:szCs w:val="16"/>
        </w:rPr>
      </w:pPr>
      <w:r w:rsidRPr="000D358D">
        <w:rPr>
          <w:rStyle w:val="Refdenotaalpie"/>
          <w:rFonts w:ascii="Verdana" w:hAnsi="Verdana"/>
          <w:szCs w:val="16"/>
        </w:rPr>
        <w:footnoteRef/>
      </w:r>
      <w:r w:rsidRPr="000D358D">
        <w:rPr>
          <w:i/>
          <w:szCs w:val="16"/>
        </w:rPr>
        <w:t xml:space="preserve"> Cfr. Caso Ticona Estrada y otros Vs. Bolivia. Fondo, Reparaciones y Costas</w:t>
      </w:r>
      <w:r w:rsidRPr="000D358D">
        <w:rPr>
          <w:szCs w:val="16"/>
        </w:rPr>
        <w:t xml:space="preserve">. Sentencia de 27 de noviembre de 2008. Serie C No. 191, párr. 110, y </w:t>
      </w:r>
      <w:r>
        <w:rPr>
          <w:i/>
          <w:szCs w:val="16"/>
        </w:rPr>
        <w:t>Caso Jenkins Vs. Argentina, párr. 124.</w:t>
      </w:r>
    </w:p>
  </w:footnote>
  <w:footnote w:id="210">
    <w:p w14:paraId="1A9CEC1C" w14:textId="77777777" w:rsidR="00443B67" w:rsidRPr="000D358D" w:rsidRDefault="00443B67" w:rsidP="008A66CA">
      <w:pPr>
        <w:pStyle w:val="Textonotapie"/>
        <w:rPr>
          <w:szCs w:val="16"/>
        </w:rPr>
      </w:pPr>
      <w:r w:rsidRPr="000D358D">
        <w:rPr>
          <w:rStyle w:val="Refdenotaalpie"/>
          <w:rFonts w:ascii="Verdana" w:hAnsi="Verdana"/>
          <w:szCs w:val="16"/>
        </w:rPr>
        <w:footnoteRef/>
      </w:r>
      <w:r w:rsidRPr="00726C54">
        <w:rPr>
          <w:szCs w:val="16"/>
          <w:lang w:val="es-419"/>
        </w:rPr>
        <w:t xml:space="preserve"> </w:t>
      </w:r>
      <w:r w:rsidRPr="00726C54">
        <w:rPr>
          <w:i/>
          <w:szCs w:val="16"/>
          <w:lang w:val="es-419"/>
        </w:rPr>
        <w:t>Cfr. Caso Velásquez Rodríguez Vs. Honduras</w:t>
      </w:r>
      <w:r w:rsidRPr="000D358D">
        <w:rPr>
          <w:szCs w:val="16"/>
        </w:rPr>
        <w:t>, párr</w:t>
      </w:r>
      <w:r>
        <w:rPr>
          <w:szCs w:val="16"/>
        </w:rPr>
        <w:t>s</w:t>
      </w:r>
      <w:r w:rsidRPr="000D358D">
        <w:rPr>
          <w:szCs w:val="16"/>
        </w:rPr>
        <w:t xml:space="preserve">. </w:t>
      </w:r>
      <w:r>
        <w:rPr>
          <w:szCs w:val="16"/>
        </w:rPr>
        <w:t>25 a 27</w:t>
      </w:r>
      <w:r w:rsidRPr="000D358D">
        <w:rPr>
          <w:szCs w:val="16"/>
        </w:rPr>
        <w:t xml:space="preserve">, y </w:t>
      </w:r>
      <w:r w:rsidRPr="000D358D">
        <w:rPr>
          <w:i/>
          <w:szCs w:val="16"/>
        </w:rPr>
        <w:t xml:space="preserve">Caso </w:t>
      </w:r>
      <w:r>
        <w:rPr>
          <w:i/>
          <w:szCs w:val="16"/>
        </w:rPr>
        <w:t xml:space="preserve">Jenkins Vs. Argentina, </w:t>
      </w:r>
      <w:r w:rsidRPr="000D358D">
        <w:rPr>
          <w:szCs w:val="16"/>
        </w:rPr>
        <w:t>párr. 12</w:t>
      </w:r>
      <w:r>
        <w:rPr>
          <w:szCs w:val="16"/>
        </w:rPr>
        <w:t>5</w:t>
      </w:r>
      <w:r w:rsidRPr="000D358D">
        <w:rPr>
          <w:szCs w:val="16"/>
        </w:rPr>
        <w:t>.</w:t>
      </w:r>
    </w:p>
  </w:footnote>
  <w:footnote w:id="211">
    <w:p w14:paraId="111ABC2D" w14:textId="77777777" w:rsidR="00443B67" w:rsidRPr="000D358D" w:rsidRDefault="00443B67" w:rsidP="008A66CA">
      <w:pPr>
        <w:pStyle w:val="Textonotapie"/>
        <w:rPr>
          <w:szCs w:val="16"/>
        </w:rPr>
      </w:pPr>
      <w:r w:rsidRPr="000D358D">
        <w:rPr>
          <w:rStyle w:val="Refdenotaalpie"/>
          <w:rFonts w:ascii="Verdana" w:hAnsi="Verdana"/>
          <w:szCs w:val="16"/>
        </w:rPr>
        <w:footnoteRef/>
      </w:r>
      <w:r w:rsidRPr="000D358D">
        <w:rPr>
          <w:szCs w:val="16"/>
        </w:rPr>
        <w:t xml:space="preserve"> </w:t>
      </w:r>
      <w:r w:rsidRPr="000D358D">
        <w:rPr>
          <w:i/>
          <w:szCs w:val="16"/>
        </w:rPr>
        <w:t>Cfr. Caso Neira Alegría y otros Vs. Perú. Reparaciones y Costas</w:t>
      </w:r>
      <w:r w:rsidRPr="000D358D">
        <w:rPr>
          <w:szCs w:val="16"/>
        </w:rPr>
        <w:t xml:space="preserve">. Sentencia de 19 de septiembre de 1996. Serie C No. 29, párr. 56, y </w:t>
      </w:r>
      <w:r w:rsidRPr="000D358D">
        <w:rPr>
          <w:i/>
          <w:szCs w:val="16"/>
        </w:rPr>
        <w:t xml:space="preserve">Caso </w:t>
      </w:r>
      <w:r>
        <w:rPr>
          <w:i/>
          <w:szCs w:val="16"/>
        </w:rPr>
        <w:t>Jenkins Vs. Argentina</w:t>
      </w:r>
      <w:r w:rsidRPr="000D358D">
        <w:rPr>
          <w:szCs w:val="16"/>
        </w:rPr>
        <w:t>, párr. 1</w:t>
      </w:r>
      <w:r>
        <w:rPr>
          <w:szCs w:val="16"/>
        </w:rPr>
        <w:t>06</w:t>
      </w:r>
      <w:r w:rsidRPr="000D358D">
        <w:rPr>
          <w:szCs w:val="16"/>
        </w:rPr>
        <w:t>.</w:t>
      </w:r>
    </w:p>
  </w:footnote>
  <w:footnote w:id="212">
    <w:p w14:paraId="49B1C132" w14:textId="77777777" w:rsidR="00443B67" w:rsidRPr="000D358D" w:rsidRDefault="00443B67" w:rsidP="008A66CA">
      <w:pPr>
        <w:pStyle w:val="Textonotapie"/>
        <w:rPr>
          <w:szCs w:val="16"/>
          <w:lang w:val="es-PE"/>
        </w:rPr>
      </w:pPr>
      <w:r w:rsidRPr="000D358D">
        <w:rPr>
          <w:rStyle w:val="Refdenotaalpie"/>
          <w:rFonts w:ascii="Verdana" w:hAnsi="Verdana"/>
          <w:szCs w:val="16"/>
        </w:rPr>
        <w:footnoteRef/>
      </w:r>
      <w:r w:rsidRPr="000D358D">
        <w:rPr>
          <w:szCs w:val="16"/>
          <w:lang w:val="es-PE"/>
        </w:rPr>
        <w:t xml:space="preserve"> </w:t>
      </w:r>
      <w:r w:rsidRPr="000D358D">
        <w:rPr>
          <w:i/>
          <w:iCs/>
          <w:szCs w:val="16"/>
          <w:lang w:val="es-PE"/>
        </w:rPr>
        <w:t xml:space="preserve">Cfr. Caso Cantoral Benavides Vs. Perú, </w:t>
      </w:r>
      <w:r w:rsidRPr="000D358D">
        <w:rPr>
          <w:szCs w:val="16"/>
          <w:lang w:val="es-PE"/>
        </w:rPr>
        <w:t xml:space="preserve">párr. 79, y </w:t>
      </w:r>
      <w:r w:rsidRPr="000D358D">
        <w:rPr>
          <w:i/>
          <w:iCs/>
          <w:szCs w:val="16"/>
          <w:lang w:val="es-PE"/>
        </w:rPr>
        <w:t xml:space="preserve">Caso </w:t>
      </w:r>
      <w:r>
        <w:rPr>
          <w:i/>
          <w:iCs/>
          <w:szCs w:val="16"/>
          <w:lang w:val="es-PE"/>
        </w:rPr>
        <w:t>López Soto y otros Vs. Argentina</w:t>
      </w:r>
      <w:r w:rsidRPr="000D358D">
        <w:rPr>
          <w:i/>
          <w:iCs/>
          <w:szCs w:val="16"/>
          <w:lang w:val="es-PE"/>
        </w:rPr>
        <w:t xml:space="preserve">, </w:t>
      </w:r>
      <w:r w:rsidRPr="000D358D">
        <w:rPr>
          <w:iCs/>
          <w:szCs w:val="16"/>
          <w:lang w:val="es-PE"/>
        </w:rPr>
        <w:t>párr. 23</w:t>
      </w:r>
      <w:r>
        <w:rPr>
          <w:iCs/>
          <w:szCs w:val="16"/>
          <w:lang w:val="es-PE"/>
        </w:rPr>
        <w:t>7</w:t>
      </w:r>
      <w:r w:rsidRPr="000D358D">
        <w:rPr>
          <w:iCs/>
          <w:szCs w:val="16"/>
          <w:lang w:val="es-PE"/>
        </w:rPr>
        <w:t>.</w:t>
      </w:r>
    </w:p>
  </w:footnote>
  <w:footnote w:id="213">
    <w:p w14:paraId="434D7381" w14:textId="77777777" w:rsidR="00443B67" w:rsidRPr="000D358D" w:rsidRDefault="00443B67" w:rsidP="008A66CA">
      <w:pPr>
        <w:pStyle w:val="Textonotapie"/>
        <w:rPr>
          <w:b/>
          <w:szCs w:val="16"/>
        </w:rPr>
      </w:pPr>
      <w:r w:rsidRPr="000D358D">
        <w:rPr>
          <w:rStyle w:val="Refdenotaalpie"/>
          <w:rFonts w:ascii="Verdana" w:hAnsi="Verdana"/>
          <w:szCs w:val="16"/>
        </w:rPr>
        <w:footnoteRef/>
      </w:r>
      <w:r w:rsidRPr="000D358D">
        <w:rPr>
          <w:szCs w:val="16"/>
        </w:rPr>
        <w:t xml:space="preserve"> Certificado medico de 23 de noviembre de 1997 sobre cardiopatía isquémica (expediente de prueba, folio 2081); certificados médicos que acreditan el estado de salud actual de Mario Montesinos Mejía y carnet de discapacidad (expediente de prueba, folio 2076 a 2079). </w:t>
      </w:r>
    </w:p>
  </w:footnote>
  <w:footnote w:id="214">
    <w:p w14:paraId="0D54FBA0" w14:textId="77777777" w:rsidR="00443B67" w:rsidRPr="000D358D" w:rsidRDefault="00443B67" w:rsidP="008A66CA">
      <w:pPr>
        <w:shd w:val="clear" w:color="auto" w:fill="FFFFFF"/>
        <w:spacing w:after="0" w:line="240" w:lineRule="auto"/>
        <w:jc w:val="both"/>
        <w:rPr>
          <w:rFonts w:eastAsia="Times New Roman" w:cs="Times New Roman"/>
          <w:sz w:val="16"/>
          <w:szCs w:val="16"/>
          <w:lang w:eastAsia="en-GB"/>
        </w:rPr>
      </w:pPr>
      <w:r w:rsidRPr="000D358D">
        <w:rPr>
          <w:rStyle w:val="Refdenotaalpie"/>
          <w:rFonts w:ascii="Verdana" w:hAnsi="Verdana"/>
          <w:sz w:val="16"/>
          <w:szCs w:val="16"/>
        </w:rPr>
        <w:footnoteRef/>
      </w:r>
      <w:r w:rsidRPr="000D358D">
        <w:rPr>
          <w:sz w:val="16"/>
          <w:szCs w:val="16"/>
        </w:rPr>
        <w:t xml:space="preserve"> </w:t>
      </w:r>
      <w:r w:rsidRPr="000D358D">
        <w:rPr>
          <w:rFonts w:eastAsia="Times New Roman" w:cs="Times New Roman"/>
          <w:i/>
          <w:sz w:val="16"/>
          <w:szCs w:val="16"/>
          <w:lang w:eastAsia="en-GB"/>
        </w:rPr>
        <w:t>Caso Bámaca Velásquez Vs. Guatemala. Reparaciones y Costas</w:t>
      </w:r>
      <w:r w:rsidRPr="000D358D">
        <w:rPr>
          <w:rFonts w:eastAsia="Times New Roman" w:cs="Times New Roman"/>
          <w:sz w:val="16"/>
          <w:szCs w:val="16"/>
          <w:lang w:eastAsia="en-GB"/>
        </w:rPr>
        <w:t xml:space="preserve">. Sentencia de 22 de febrero de 2002, Serie C No. 91, párr. 43; y </w:t>
      </w:r>
      <w:r w:rsidRPr="000D358D">
        <w:rPr>
          <w:rFonts w:eastAsia="Times New Roman" w:cs="Times New Roman"/>
          <w:i/>
          <w:sz w:val="16"/>
          <w:szCs w:val="16"/>
          <w:lang w:eastAsia="en-GB"/>
        </w:rPr>
        <w:t xml:space="preserve">Caso </w:t>
      </w:r>
      <w:r>
        <w:rPr>
          <w:rFonts w:eastAsia="Times New Roman" w:cs="Times New Roman"/>
          <w:i/>
          <w:sz w:val="16"/>
          <w:szCs w:val="16"/>
          <w:lang w:eastAsia="en-GB"/>
        </w:rPr>
        <w:t>Jenkins</w:t>
      </w:r>
      <w:r w:rsidRPr="000D358D">
        <w:rPr>
          <w:rFonts w:eastAsia="Times New Roman" w:cs="Times New Roman"/>
          <w:i/>
          <w:sz w:val="16"/>
          <w:szCs w:val="16"/>
          <w:lang w:eastAsia="en-GB"/>
        </w:rPr>
        <w:t xml:space="preserve"> Vs. </w:t>
      </w:r>
      <w:r>
        <w:rPr>
          <w:rFonts w:eastAsia="Times New Roman" w:cs="Times New Roman"/>
          <w:i/>
          <w:sz w:val="16"/>
          <w:szCs w:val="16"/>
          <w:lang w:eastAsia="en-GB"/>
        </w:rPr>
        <w:t>Argentina</w:t>
      </w:r>
      <w:r w:rsidRPr="000D358D">
        <w:rPr>
          <w:rFonts w:eastAsia="Times New Roman" w:cs="Times New Roman"/>
          <w:sz w:val="16"/>
          <w:szCs w:val="16"/>
          <w:lang w:eastAsia="en-GB"/>
        </w:rPr>
        <w:t xml:space="preserve">, párr. </w:t>
      </w:r>
      <w:r>
        <w:rPr>
          <w:rFonts w:eastAsia="Times New Roman" w:cs="Times New Roman"/>
          <w:sz w:val="16"/>
          <w:szCs w:val="16"/>
          <w:lang w:eastAsia="en-GB"/>
        </w:rPr>
        <w:t>145</w:t>
      </w:r>
      <w:r w:rsidRPr="000D358D">
        <w:rPr>
          <w:rFonts w:eastAsia="Times New Roman" w:cs="Times New Roman"/>
          <w:sz w:val="16"/>
          <w:szCs w:val="16"/>
          <w:lang w:eastAsia="en-GB"/>
        </w:rPr>
        <w:t>.</w:t>
      </w:r>
    </w:p>
  </w:footnote>
  <w:footnote w:id="215">
    <w:p w14:paraId="1045E1D9" w14:textId="77777777" w:rsidR="00443B67" w:rsidRPr="000D358D" w:rsidRDefault="00443B67" w:rsidP="008A66CA">
      <w:pPr>
        <w:spacing w:after="0" w:line="240" w:lineRule="auto"/>
        <w:jc w:val="both"/>
        <w:rPr>
          <w:rFonts w:eastAsia="Batang" w:cs="Times"/>
          <w:sz w:val="16"/>
          <w:szCs w:val="16"/>
          <w:lang w:val="es-ES_tradnl"/>
        </w:rPr>
      </w:pPr>
      <w:r w:rsidRPr="000D358D">
        <w:rPr>
          <w:rStyle w:val="Refdenotaalpie"/>
          <w:rFonts w:ascii="Verdana" w:hAnsi="Verdana"/>
          <w:sz w:val="16"/>
          <w:szCs w:val="16"/>
        </w:rPr>
        <w:footnoteRef/>
      </w:r>
      <w:r w:rsidRPr="000D358D">
        <w:rPr>
          <w:sz w:val="16"/>
          <w:szCs w:val="16"/>
        </w:rPr>
        <w:t xml:space="preserve"> </w:t>
      </w:r>
      <w:r w:rsidRPr="000D358D">
        <w:rPr>
          <w:i/>
          <w:sz w:val="16"/>
          <w:szCs w:val="16"/>
        </w:rPr>
        <w:t>Cfr.</w:t>
      </w:r>
      <w:r w:rsidRPr="000D358D">
        <w:rPr>
          <w:sz w:val="16"/>
          <w:szCs w:val="16"/>
        </w:rPr>
        <w:t xml:space="preserve"> </w:t>
      </w:r>
      <w:r w:rsidRPr="000D358D">
        <w:rPr>
          <w:i/>
          <w:sz w:val="16"/>
          <w:szCs w:val="16"/>
        </w:rPr>
        <w:t>Caso Bámaca Velásquez Vs. Guatemala</w:t>
      </w:r>
      <w:r w:rsidRPr="000D358D">
        <w:rPr>
          <w:sz w:val="16"/>
          <w:szCs w:val="16"/>
        </w:rPr>
        <w:t xml:space="preserve">, párr. 43 y </w:t>
      </w:r>
      <w:r w:rsidRPr="000D358D">
        <w:rPr>
          <w:i/>
          <w:sz w:val="16"/>
          <w:szCs w:val="16"/>
        </w:rPr>
        <w:t xml:space="preserve">Caso </w:t>
      </w:r>
      <w:r>
        <w:rPr>
          <w:i/>
          <w:sz w:val="16"/>
          <w:szCs w:val="16"/>
        </w:rPr>
        <w:t>Jenkins Vs. Argentina</w:t>
      </w:r>
      <w:r w:rsidRPr="000D358D">
        <w:rPr>
          <w:sz w:val="16"/>
          <w:szCs w:val="16"/>
        </w:rPr>
        <w:t xml:space="preserve">, párr. </w:t>
      </w:r>
      <w:r>
        <w:rPr>
          <w:sz w:val="16"/>
          <w:szCs w:val="16"/>
        </w:rPr>
        <w:t>145</w:t>
      </w:r>
      <w:r w:rsidRPr="000D358D">
        <w:rPr>
          <w:sz w:val="16"/>
          <w:szCs w:val="16"/>
        </w:rPr>
        <w:t>.</w:t>
      </w:r>
    </w:p>
  </w:footnote>
  <w:footnote w:id="216">
    <w:p w14:paraId="63F60890" w14:textId="77777777" w:rsidR="00443B67" w:rsidRPr="000D358D" w:rsidRDefault="00443B67" w:rsidP="008A66CA">
      <w:pPr>
        <w:spacing w:after="0" w:line="240" w:lineRule="auto"/>
        <w:jc w:val="both"/>
        <w:rPr>
          <w:sz w:val="16"/>
          <w:szCs w:val="16"/>
        </w:rPr>
      </w:pPr>
      <w:r w:rsidRPr="000D358D">
        <w:rPr>
          <w:rStyle w:val="Refdenotaalpie"/>
          <w:rFonts w:ascii="Verdana" w:hAnsi="Verdana"/>
          <w:sz w:val="16"/>
          <w:szCs w:val="16"/>
        </w:rPr>
        <w:footnoteRef/>
      </w:r>
      <w:r w:rsidRPr="000D358D">
        <w:rPr>
          <w:sz w:val="16"/>
          <w:szCs w:val="16"/>
        </w:rPr>
        <w:t xml:space="preserve"> </w:t>
      </w:r>
      <w:r w:rsidRPr="000D358D">
        <w:rPr>
          <w:i/>
          <w:sz w:val="16"/>
          <w:szCs w:val="16"/>
        </w:rPr>
        <w:t>Cfr. Caso de los “Niños de la Calle” (Villagrán Morales y otros) Vs. Guatemala. Reparaciones y Costas.</w:t>
      </w:r>
      <w:r w:rsidRPr="000D358D">
        <w:rPr>
          <w:sz w:val="16"/>
          <w:szCs w:val="16"/>
        </w:rPr>
        <w:t xml:space="preserve"> Sentencia de 26 de mayo de 2001. Serie C No. 77, párr. 84, y </w:t>
      </w:r>
      <w:r w:rsidRPr="000D358D">
        <w:rPr>
          <w:i/>
          <w:sz w:val="16"/>
          <w:szCs w:val="16"/>
        </w:rPr>
        <w:t xml:space="preserve">Caso </w:t>
      </w:r>
      <w:r>
        <w:rPr>
          <w:i/>
          <w:sz w:val="16"/>
          <w:szCs w:val="16"/>
        </w:rPr>
        <w:t>Jenkins Vs. Argentina</w:t>
      </w:r>
      <w:r w:rsidRPr="000D358D">
        <w:rPr>
          <w:sz w:val="16"/>
          <w:szCs w:val="16"/>
        </w:rPr>
        <w:t>, párr.</w:t>
      </w:r>
      <w:r>
        <w:rPr>
          <w:sz w:val="16"/>
          <w:szCs w:val="16"/>
        </w:rPr>
        <w:t xml:space="preserve"> </w:t>
      </w:r>
      <w:r w:rsidRPr="000D358D">
        <w:rPr>
          <w:sz w:val="16"/>
          <w:szCs w:val="16"/>
        </w:rPr>
        <w:t>1</w:t>
      </w:r>
      <w:r>
        <w:rPr>
          <w:sz w:val="16"/>
          <w:szCs w:val="16"/>
        </w:rPr>
        <w:t>58</w:t>
      </w:r>
      <w:r w:rsidRPr="000D358D">
        <w:rPr>
          <w:sz w:val="16"/>
          <w:szCs w:val="16"/>
        </w:rPr>
        <w:t>.</w:t>
      </w:r>
    </w:p>
  </w:footnote>
  <w:footnote w:id="217">
    <w:p w14:paraId="70B36822" w14:textId="77777777" w:rsidR="00443B67" w:rsidRPr="000D358D" w:rsidRDefault="00443B67" w:rsidP="008A66CA">
      <w:pPr>
        <w:spacing w:after="0" w:line="240" w:lineRule="auto"/>
        <w:jc w:val="both"/>
        <w:rPr>
          <w:rFonts w:cs="Times"/>
          <w:sz w:val="16"/>
          <w:szCs w:val="16"/>
          <w:lang w:val="es-ES_tradnl"/>
        </w:rPr>
      </w:pPr>
      <w:r w:rsidRPr="000D358D">
        <w:rPr>
          <w:rStyle w:val="Refdenotaalpie"/>
          <w:rFonts w:ascii="Verdana" w:hAnsi="Verdana"/>
          <w:sz w:val="16"/>
          <w:szCs w:val="16"/>
        </w:rPr>
        <w:footnoteRef/>
      </w:r>
      <w:r w:rsidRPr="000D358D">
        <w:rPr>
          <w:sz w:val="16"/>
          <w:szCs w:val="16"/>
        </w:rPr>
        <w:t xml:space="preserve"> </w:t>
      </w:r>
      <w:r w:rsidRPr="000D358D">
        <w:rPr>
          <w:i/>
          <w:sz w:val="16"/>
          <w:szCs w:val="16"/>
        </w:rPr>
        <w:t>Cfr. Caso Garrido y Baigorria Vs. Argentina. Reparaciones y Costas</w:t>
      </w:r>
      <w:r w:rsidRPr="000D358D">
        <w:rPr>
          <w:sz w:val="16"/>
          <w:szCs w:val="16"/>
        </w:rPr>
        <w:t xml:space="preserve">. Sentencia de 27 de agosto de 1998. Serie C No. 39, párr. 79 </w:t>
      </w:r>
      <w:r w:rsidRPr="000D358D">
        <w:rPr>
          <w:i/>
          <w:sz w:val="16"/>
          <w:szCs w:val="16"/>
        </w:rPr>
        <w:t xml:space="preserve">y Caso </w:t>
      </w:r>
      <w:r>
        <w:rPr>
          <w:i/>
          <w:sz w:val="16"/>
          <w:szCs w:val="16"/>
        </w:rPr>
        <w:t>Jenkins Vs. Argentina</w:t>
      </w:r>
      <w:r w:rsidRPr="000D358D">
        <w:rPr>
          <w:sz w:val="16"/>
          <w:szCs w:val="16"/>
        </w:rPr>
        <w:t xml:space="preserve">, párr. </w:t>
      </w:r>
      <w:r>
        <w:rPr>
          <w:sz w:val="16"/>
          <w:szCs w:val="16"/>
        </w:rPr>
        <w:t>164</w:t>
      </w:r>
      <w:r w:rsidRPr="000D358D">
        <w:rPr>
          <w:sz w:val="16"/>
          <w:szCs w:val="16"/>
        </w:rPr>
        <w:t>.</w:t>
      </w:r>
    </w:p>
  </w:footnote>
  <w:footnote w:id="218">
    <w:p w14:paraId="2DAEC8CE" w14:textId="77777777" w:rsidR="00443B67" w:rsidRPr="000D358D" w:rsidRDefault="00443B67" w:rsidP="008A66CA">
      <w:pPr>
        <w:spacing w:after="0" w:line="240" w:lineRule="auto"/>
        <w:jc w:val="both"/>
        <w:rPr>
          <w:sz w:val="16"/>
          <w:szCs w:val="16"/>
        </w:rPr>
      </w:pPr>
      <w:r w:rsidRPr="000D358D">
        <w:rPr>
          <w:rStyle w:val="Refdenotaalpie"/>
          <w:rFonts w:ascii="Verdana" w:hAnsi="Verdana"/>
          <w:sz w:val="16"/>
          <w:szCs w:val="16"/>
        </w:rPr>
        <w:footnoteRef/>
      </w:r>
      <w:r w:rsidRPr="000D358D">
        <w:rPr>
          <w:sz w:val="16"/>
          <w:szCs w:val="16"/>
        </w:rPr>
        <w:t xml:space="preserve"> </w:t>
      </w:r>
      <w:r w:rsidRPr="000D358D">
        <w:rPr>
          <w:i/>
          <w:sz w:val="16"/>
          <w:szCs w:val="16"/>
        </w:rPr>
        <w:t>Cfr. Caso Garrido y Baigorria Vs. Argentina</w:t>
      </w:r>
      <w:r w:rsidRPr="000D358D">
        <w:rPr>
          <w:sz w:val="16"/>
          <w:szCs w:val="16"/>
        </w:rPr>
        <w:t xml:space="preserve">, párr. 82 y </w:t>
      </w:r>
      <w:r w:rsidRPr="000D358D">
        <w:rPr>
          <w:i/>
          <w:sz w:val="16"/>
          <w:szCs w:val="16"/>
        </w:rPr>
        <w:t xml:space="preserve">Caso Omeara Carrascal y otros Vs. Colombia. Fondo, Reparaciones y Costas. </w:t>
      </w:r>
      <w:r w:rsidRPr="000D358D">
        <w:rPr>
          <w:sz w:val="16"/>
          <w:szCs w:val="16"/>
        </w:rPr>
        <w:t>Sentencia de 21 de noviembre de 2018. Serie C No. 368, párr. 342.</w:t>
      </w:r>
    </w:p>
  </w:footnote>
  <w:footnote w:id="219">
    <w:p w14:paraId="255A4268" w14:textId="77777777" w:rsidR="00443B67" w:rsidRPr="000D358D" w:rsidRDefault="00443B67" w:rsidP="008A66CA">
      <w:pPr>
        <w:spacing w:after="0" w:line="240" w:lineRule="auto"/>
        <w:jc w:val="both"/>
        <w:rPr>
          <w:sz w:val="16"/>
          <w:szCs w:val="16"/>
        </w:rPr>
      </w:pPr>
      <w:r w:rsidRPr="000D358D">
        <w:rPr>
          <w:rStyle w:val="Refdenotaalpie"/>
          <w:rFonts w:ascii="Verdana" w:hAnsi="Verdana"/>
          <w:sz w:val="16"/>
          <w:szCs w:val="16"/>
        </w:rPr>
        <w:footnoteRef/>
      </w:r>
      <w:r w:rsidRPr="000D358D">
        <w:rPr>
          <w:sz w:val="16"/>
          <w:szCs w:val="16"/>
        </w:rPr>
        <w:t xml:space="preserve"> </w:t>
      </w:r>
      <w:r w:rsidRPr="000D358D">
        <w:rPr>
          <w:rFonts w:eastAsia="Verdana" w:cs="Verdana"/>
          <w:i/>
          <w:sz w:val="16"/>
          <w:szCs w:val="16"/>
          <w:lang w:val="es-ES"/>
        </w:rPr>
        <w:t xml:space="preserve">Cfr. Caso Chaparro Álvarez y Lapo Íñiguez Vs. Ecuador. Excepciones Preliminares, Fondo, Reparaciones y Costas. </w:t>
      </w:r>
      <w:r w:rsidRPr="000D358D">
        <w:rPr>
          <w:rFonts w:eastAsia="Verdana" w:cs="Verdana"/>
          <w:iCs/>
          <w:sz w:val="16"/>
          <w:szCs w:val="16"/>
          <w:lang w:val="es-ES"/>
        </w:rPr>
        <w:t>Sentencia de 21 de noviembre de 2007. Serie C No. 170</w:t>
      </w:r>
      <w:r w:rsidRPr="000D358D">
        <w:rPr>
          <w:rFonts w:eastAsia="Verdana" w:cs="Verdana"/>
          <w:sz w:val="16"/>
          <w:szCs w:val="16"/>
          <w:lang w:val="es-ES"/>
        </w:rPr>
        <w:t xml:space="preserve">, párr. 275 y </w:t>
      </w:r>
      <w:r w:rsidRPr="000D358D">
        <w:rPr>
          <w:rFonts w:eastAsia="Verdana" w:cs="Verdana"/>
          <w:i/>
          <w:sz w:val="16"/>
          <w:szCs w:val="16"/>
          <w:lang w:val="es-ES"/>
        </w:rPr>
        <w:t xml:space="preserve">Caso </w:t>
      </w:r>
      <w:r>
        <w:rPr>
          <w:rFonts w:eastAsia="Verdana" w:cs="Verdana"/>
          <w:i/>
          <w:sz w:val="16"/>
          <w:szCs w:val="16"/>
          <w:lang w:val="es-ES"/>
        </w:rPr>
        <w:t>Jenkins Vs. Argentina</w:t>
      </w:r>
      <w:r w:rsidRPr="000D358D">
        <w:rPr>
          <w:rFonts w:eastAsia="Verdana" w:cs="Verdana"/>
          <w:sz w:val="16"/>
          <w:szCs w:val="16"/>
          <w:lang w:val="es-ES"/>
        </w:rPr>
        <w:t xml:space="preserve">, párr. </w:t>
      </w:r>
      <w:r>
        <w:rPr>
          <w:rFonts w:eastAsia="Verdana" w:cs="Verdana"/>
          <w:sz w:val="16"/>
          <w:szCs w:val="16"/>
          <w:lang w:val="es-ES"/>
        </w:rPr>
        <w:t>164</w:t>
      </w:r>
      <w:r w:rsidRPr="000D358D">
        <w:rPr>
          <w:rFonts w:eastAsia="Verdana" w:cs="Verdana"/>
          <w:sz w:val="16"/>
          <w:szCs w:val="16"/>
          <w:lang w:val="es-ES"/>
        </w:rPr>
        <w:t>.</w:t>
      </w:r>
    </w:p>
  </w:footnote>
  <w:footnote w:id="220">
    <w:p w14:paraId="12B252C5" w14:textId="77777777" w:rsidR="00443B67" w:rsidRPr="000D358D" w:rsidRDefault="00443B67" w:rsidP="008A66CA">
      <w:pPr>
        <w:spacing w:after="0" w:line="240" w:lineRule="auto"/>
        <w:jc w:val="both"/>
        <w:rPr>
          <w:sz w:val="16"/>
          <w:szCs w:val="16"/>
        </w:rPr>
      </w:pPr>
      <w:r w:rsidRPr="000D358D">
        <w:rPr>
          <w:rStyle w:val="Refdenotaalpie"/>
          <w:rFonts w:ascii="Verdana" w:hAnsi="Verdana"/>
          <w:sz w:val="16"/>
          <w:szCs w:val="16"/>
        </w:rPr>
        <w:footnoteRef/>
      </w:r>
      <w:r w:rsidRPr="000D358D">
        <w:rPr>
          <w:sz w:val="16"/>
          <w:szCs w:val="16"/>
        </w:rPr>
        <w:t xml:space="preserve"> </w:t>
      </w:r>
      <w:r w:rsidRPr="000D358D">
        <w:rPr>
          <w:i/>
          <w:sz w:val="16"/>
          <w:szCs w:val="16"/>
        </w:rPr>
        <w:t>Cfr.</w:t>
      </w:r>
      <w:r w:rsidRPr="000D358D">
        <w:rPr>
          <w:sz w:val="16"/>
          <w:szCs w:val="16"/>
        </w:rPr>
        <w:t xml:space="preserve"> </w:t>
      </w:r>
      <w:r w:rsidRPr="000D358D">
        <w:rPr>
          <w:i/>
          <w:sz w:val="16"/>
          <w:szCs w:val="16"/>
        </w:rPr>
        <w:t>Caso Chaparro Álvarez y Lapo Íñiguez Vs. Ecuador</w:t>
      </w:r>
      <w:r w:rsidRPr="000D358D">
        <w:rPr>
          <w:sz w:val="16"/>
          <w:szCs w:val="16"/>
        </w:rPr>
        <w:t xml:space="preserve">, párr. 277 y </w:t>
      </w:r>
      <w:r w:rsidRPr="000D358D">
        <w:rPr>
          <w:i/>
          <w:sz w:val="16"/>
          <w:szCs w:val="16"/>
        </w:rPr>
        <w:t xml:space="preserve">Caso </w:t>
      </w:r>
      <w:r>
        <w:rPr>
          <w:i/>
          <w:sz w:val="16"/>
          <w:szCs w:val="16"/>
        </w:rPr>
        <w:t>Jenkins Vs. Argentina</w:t>
      </w:r>
      <w:r w:rsidRPr="000D358D">
        <w:rPr>
          <w:sz w:val="16"/>
          <w:szCs w:val="16"/>
        </w:rPr>
        <w:t xml:space="preserve">, párr. </w:t>
      </w:r>
      <w:r>
        <w:rPr>
          <w:sz w:val="16"/>
          <w:szCs w:val="16"/>
        </w:rPr>
        <w:t>164</w:t>
      </w:r>
      <w:r w:rsidRPr="000D358D">
        <w:rPr>
          <w:sz w:val="16"/>
          <w:szCs w:val="16"/>
        </w:rPr>
        <w:t xml:space="preserve">. </w:t>
      </w:r>
    </w:p>
  </w:footnote>
  <w:footnote w:id="221">
    <w:p w14:paraId="5E1E11E0" w14:textId="77777777" w:rsidR="00443B67" w:rsidRPr="000D358D" w:rsidRDefault="00443B67" w:rsidP="008A66CA">
      <w:pPr>
        <w:spacing w:after="0" w:line="240" w:lineRule="auto"/>
        <w:jc w:val="both"/>
        <w:rPr>
          <w:sz w:val="16"/>
          <w:szCs w:val="16"/>
        </w:rPr>
      </w:pPr>
      <w:r w:rsidRPr="000D358D">
        <w:rPr>
          <w:rStyle w:val="Refdenotaalpie"/>
          <w:rFonts w:ascii="Verdana" w:hAnsi="Verdana"/>
          <w:sz w:val="16"/>
          <w:szCs w:val="16"/>
        </w:rPr>
        <w:footnoteRef/>
      </w:r>
      <w:r w:rsidRPr="000D358D">
        <w:rPr>
          <w:sz w:val="16"/>
          <w:szCs w:val="16"/>
        </w:rPr>
        <w:t xml:space="preserve"> </w:t>
      </w:r>
      <w:r w:rsidRPr="000D358D">
        <w:rPr>
          <w:i/>
          <w:sz w:val="16"/>
          <w:szCs w:val="16"/>
        </w:rPr>
        <w:t>Cfr. Caso Gudiel Álvarez y otros (Diario Militar) Vs. Guatemala. Interpretación de la Sentencia de Fondo, Reparaciones y Costas</w:t>
      </w:r>
      <w:r w:rsidRPr="000D358D">
        <w:rPr>
          <w:sz w:val="16"/>
          <w:szCs w:val="16"/>
        </w:rPr>
        <w:t xml:space="preserve">. Sentencia de 19 de agosto de 2013. Serie C No. 262, párr. 62, y </w:t>
      </w:r>
      <w:r w:rsidRPr="000D358D">
        <w:rPr>
          <w:bCs/>
          <w:i/>
          <w:sz w:val="16"/>
          <w:szCs w:val="16"/>
        </w:rPr>
        <w:t xml:space="preserve">Caso </w:t>
      </w:r>
      <w:r>
        <w:rPr>
          <w:bCs/>
          <w:i/>
          <w:sz w:val="16"/>
          <w:szCs w:val="16"/>
        </w:rPr>
        <w:t>Jenkins Vs. Argentina</w:t>
      </w:r>
      <w:r w:rsidRPr="000D358D">
        <w:rPr>
          <w:sz w:val="16"/>
          <w:szCs w:val="16"/>
        </w:rPr>
        <w:t xml:space="preserve">, párr. </w:t>
      </w:r>
      <w:r>
        <w:rPr>
          <w:sz w:val="16"/>
          <w:szCs w:val="16"/>
        </w:rPr>
        <w:t>165</w:t>
      </w:r>
      <w:r w:rsidRPr="000D358D">
        <w:rPr>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BA37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492345"/>
    <w:multiLevelType w:val="hybridMultilevel"/>
    <w:tmpl w:val="23EA46EC"/>
    <w:lvl w:ilvl="0" w:tplc="22EC0B88">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AB7F81"/>
    <w:multiLevelType w:val="hybridMultilevel"/>
    <w:tmpl w:val="6C627DF0"/>
    <w:lvl w:ilvl="0" w:tplc="F1D0548E">
      <w:start w:val="1"/>
      <w:numFmt w:val="upperLetter"/>
      <w:pStyle w:val="Ttulo2"/>
      <w:lvlText w:val="%1."/>
      <w:lvlJc w:val="left"/>
      <w:pPr>
        <w:ind w:left="1069" w:hanging="360"/>
      </w:pPr>
      <w:rPr>
        <w:b/>
        <w:i/>
        <w:lang w:val="es-CR"/>
      </w:rPr>
    </w:lvl>
    <w:lvl w:ilvl="1" w:tplc="21C4D032">
      <w:start w:val="1"/>
      <w:numFmt w:val="lowerLetter"/>
      <w:pStyle w:val="StyleHeading2LatinTimesNewRomanAsianBatang12ptN"/>
      <w:lvlText w:val="%2."/>
      <w:lvlJc w:val="left"/>
      <w:pPr>
        <w:ind w:left="1519" w:hanging="360"/>
      </w:pPr>
      <w:rPr>
        <w:color w:val="auto"/>
      </w:rPr>
    </w:lvl>
    <w:lvl w:ilvl="2" w:tplc="140A001B" w:tentative="1">
      <w:start w:val="1"/>
      <w:numFmt w:val="lowerRoman"/>
      <w:lvlText w:val="%3."/>
      <w:lvlJc w:val="right"/>
      <w:pPr>
        <w:ind w:left="2239" w:hanging="180"/>
      </w:pPr>
    </w:lvl>
    <w:lvl w:ilvl="3" w:tplc="140A000F" w:tentative="1">
      <w:start w:val="1"/>
      <w:numFmt w:val="decimal"/>
      <w:lvlText w:val="%4."/>
      <w:lvlJc w:val="left"/>
      <w:pPr>
        <w:ind w:left="2959" w:hanging="360"/>
      </w:pPr>
    </w:lvl>
    <w:lvl w:ilvl="4" w:tplc="140A0019" w:tentative="1">
      <w:start w:val="1"/>
      <w:numFmt w:val="lowerLetter"/>
      <w:lvlText w:val="%5."/>
      <w:lvlJc w:val="left"/>
      <w:pPr>
        <w:ind w:left="3679" w:hanging="360"/>
      </w:pPr>
    </w:lvl>
    <w:lvl w:ilvl="5" w:tplc="140A001B" w:tentative="1">
      <w:start w:val="1"/>
      <w:numFmt w:val="lowerRoman"/>
      <w:lvlText w:val="%6."/>
      <w:lvlJc w:val="right"/>
      <w:pPr>
        <w:ind w:left="4399" w:hanging="180"/>
      </w:pPr>
    </w:lvl>
    <w:lvl w:ilvl="6" w:tplc="140A000F" w:tentative="1">
      <w:start w:val="1"/>
      <w:numFmt w:val="decimal"/>
      <w:lvlText w:val="%7."/>
      <w:lvlJc w:val="left"/>
      <w:pPr>
        <w:ind w:left="5119" w:hanging="360"/>
      </w:pPr>
    </w:lvl>
    <w:lvl w:ilvl="7" w:tplc="140A0019" w:tentative="1">
      <w:start w:val="1"/>
      <w:numFmt w:val="lowerLetter"/>
      <w:lvlText w:val="%8."/>
      <w:lvlJc w:val="left"/>
      <w:pPr>
        <w:ind w:left="5839" w:hanging="360"/>
      </w:pPr>
    </w:lvl>
    <w:lvl w:ilvl="8" w:tplc="140A001B" w:tentative="1">
      <w:start w:val="1"/>
      <w:numFmt w:val="lowerRoman"/>
      <w:lvlText w:val="%9."/>
      <w:lvlJc w:val="right"/>
      <w:pPr>
        <w:ind w:left="6559" w:hanging="180"/>
      </w:pPr>
    </w:lvl>
  </w:abstractNum>
  <w:abstractNum w:abstractNumId="3" w15:restartNumberingAfterBreak="0">
    <w:nsid w:val="05757E47"/>
    <w:multiLevelType w:val="hybridMultilevel"/>
    <w:tmpl w:val="D730EB0C"/>
    <w:lvl w:ilvl="0" w:tplc="CF325398">
      <w:start w:val="1"/>
      <w:numFmt w:val="decimal"/>
      <w:pStyle w:val="Titre1"/>
      <w:lvlText w:val="%1."/>
      <w:lvlJc w:val="left"/>
      <w:pPr>
        <w:tabs>
          <w:tab w:val="num" w:pos="720"/>
        </w:tabs>
        <w:ind w:left="0" w:firstLine="720"/>
      </w:pPr>
      <w:rPr>
        <w:rFonts w:ascii="Verdana" w:hAnsi="Verdana" w:hint="default"/>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77C654AA">
      <w:start w:val="1"/>
      <w:numFmt w:val="decimal"/>
      <w:lvlText w:val="%3."/>
      <w:lvlJc w:val="left"/>
      <w:pPr>
        <w:tabs>
          <w:tab w:val="num" w:pos="2340"/>
        </w:tabs>
        <w:ind w:left="2340" w:hanging="360"/>
      </w:pPr>
      <w:rPr>
        <w:b/>
        <w:i w:val="0"/>
        <w:sz w:val="22"/>
      </w:rPr>
    </w:lvl>
    <w:lvl w:ilvl="3" w:tplc="00170409">
      <w:start w:val="1"/>
      <w:numFmt w:val="lowerLetter"/>
      <w:lvlText w:val="%4)"/>
      <w:lvlJc w:val="left"/>
      <w:pPr>
        <w:tabs>
          <w:tab w:val="num" w:pos="2880"/>
        </w:tabs>
        <w:ind w:left="2880" w:hanging="360"/>
      </w:pPr>
      <w:rPr>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3DF7B87"/>
    <w:multiLevelType w:val="hybridMultilevel"/>
    <w:tmpl w:val="661823B4"/>
    <w:lvl w:ilvl="0" w:tplc="96CEFDAC">
      <w:start w:val="1"/>
      <w:numFmt w:val="upperLetter"/>
      <w:lvlText w:val="%1."/>
      <w:lvlJc w:val="left"/>
      <w:pPr>
        <w:ind w:left="720" w:hanging="360"/>
      </w:pPr>
      <w:rPr>
        <w:rFonts w:eastAsia="Batang" w:cs="Time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F6D40A6"/>
    <w:multiLevelType w:val="hybridMultilevel"/>
    <w:tmpl w:val="9000EEB4"/>
    <w:lvl w:ilvl="0" w:tplc="0520EE5C">
      <w:start w:val="1"/>
      <w:numFmt w:val="decimal"/>
      <w:lvlText w:val="%1."/>
      <w:lvlJc w:val="left"/>
      <w:pPr>
        <w:ind w:left="720" w:hanging="360"/>
      </w:pPr>
      <w:rPr>
        <w:b w:val="0"/>
        <w:i w:val="0"/>
        <w:strike w:val="0"/>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9A55A12"/>
    <w:multiLevelType w:val="hybridMultilevel"/>
    <w:tmpl w:val="296093FA"/>
    <w:lvl w:ilvl="0" w:tplc="680284D2">
      <w:start w:val="1"/>
      <w:numFmt w:val="decimal"/>
      <w:lvlText w:val="%1."/>
      <w:lvlJc w:val="left"/>
      <w:pPr>
        <w:ind w:left="360" w:hanging="360"/>
      </w:pPr>
      <w:rPr>
        <w:b w:val="0"/>
      </w:rPr>
    </w:lvl>
    <w:lvl w:ilvl="1" w:tplc="8E5E18F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F75919"/>
    <w:multiLevelType w:val="hybridMultilevel"/>
    <w:tmpl w:val="4B3CBE08"/>
    <w:lvl w:ilvl="0" w:tplc="040A000F">
      <w:start w:val="7"/>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4171C51"/>
    <w:multiLevelType w:val="hybridMultilevel"/>
    <w:tmpl w:val="F4703726"/>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3FD76741"/>
    <w:multiLevelType w:val="hybridMultilevel"/>
    <w:tmpl w:val="D9588A98"/>
    <w:lvl w:ilvl="0" w:tplc="84B44DC0">
      <w:start w:val="1"/>
      <w:numFmt w:val="lowerLetter"/>
      <w:lvlText w:val="%1)"/>
      <w:lvlJc w:val="left"/>
      <w:pPr>
        <w:ind w:left="720" w:hanging="360"/>
      </w:pPr>
      <w:rPr>
        <w:b w:val="0"/>
        <w:i w:val="0"/>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4111687C"/>
    <w:multiLevelType w:val="hybridMultilevel"/>
    <w:tmpl w:val="789420CA"/>
    <w:lvl w:ilvl="0" w:tplc="96FA6156">
      <w:start w:val="3"/>
      <w:numFmt w:val="decimal"/>
      <w:lvlText w:val="%1."/>
      <w:lvlJc w:val="left"/>
      <w:pPr>
        <w:ind w:left="0" w:firstLine="0"/>
      </w:pPr>
      <w:rPr>
        <w:rFonts w:hint="default"/>
        <w:b w:val="0"/>
        <w:i w:val="0"/>
        <w:strike w:val="0"/>
        <w:dstrike w:val="0"/>
        <w:color w:val="auto"/>
        <w:sz w:val="20"/>
        <w:szCs w:val="20"/>
        <w:u w:val="none"/>
        <w:effect w:val="none"/>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418E2CF0"/>
    <w:multiLevelType w:val="hybridMultilevel"/>
    <w:tmpl w:val="D2523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51FE1"/>
    <w:multiLevelType w:val="hybridMultilevel"/>
    <w:tmpl w:val="81202B54"/>
    <w:lvl w:ilvl="0" w:tplc="727A37C8">
      <w:start w:val="1"/>
      <w:numFmt w:val="decimal"/>
      <w:lvlText w:val="%1."/>
      <w:lvlJc w:val="left"/>
      <w:pPr>
        <w:ind w:left="720" w:hanging="360"/>
      </w:pPr>
      <w:rPr>
        <w:b w:val="0"/>
        <w:i w:val="0"/>
      </w:rPr>
    </w:lvl>
    <w:lvl w:ilvl="1" w:tplc="C02C06B2">
      <w:start w:val="1"/>
      <w:numFmt w:val="upperLetter"/>
      <w:lvlText w:val="%2."/>
      <w:lvlJc w:val="left"/>
      <w:pPr>
        <w:ind w:left="1440" w:hanging="360"/>
      </w:pPr>
      <w:rPr>
        <w:rFonts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4CCD1B5F"/>
    <w:multiLevelType w:val="hybridMultilevel"/>
    <w:tmpl w:val="A7B675EA"/>
    <w:lvl w:ilvl="0" w:tplc="987A0574">
      <w:start w:val="1"/>
      <w:numFmt w:val="decimal"/>
      <w:lvlText w:val="%1."/>
      <w:lvlJc w:val="left"/>
      <w:pPr>
        <w:ind w:left="928" w:hanging="360"/>
      </w:pPr>
      <w:rPr>
        <w:rFonts w:ascii="Verdana" w:eastAsia="Batang" w:hAnsi="Verdana" w:cs="Times"/>
        <w:b w:val="0"/>
        <w:i w:val="0"/>
        <w:color w:val="auto"/>
        <w:sz w:val="20"/>
        <w:szCs w:val="20"/>
      </w:rPr>
    </w:lvl>
    <w:lvl w:ilvl="1" w:tplc="62A25344">
      <w:start w:val="1"/>
      <w:numFmt w:val="lowerLetter"/>
      <w:lvlText w:val="%2)"/>
      <w:lvlJc w:val="left"/>
      <w:pPr>
        <w:ind w:left="1080" w:hanging="360"/>
      </w:pPr>
      <w:rPr>
        <w:rFonts w:ascii="Verdana" w:eastAsia="Batang" w:hAnsi="Verdana" w:cs="Times"/>
      </w:rPr>
    </w:lvl>
    <w:lvl w:ilvl="2" w:tplc="487AF94A">
      <w:start w:val="1"/>
      <w:numFmt w:val="upperLetter"/>
      <w:lvlText w:val="%3."/>
      <w:lvlJc w:val="left"/>
      <w:pPr>
        <w:ind w:left="1980" w:hanging="360"/>
      </w:pPr>
      <w:rPr>
        <w:rFonts w:cs="Tahoma" w:hint="default"/>
      </w:rPr>
    </w:lvl>
    <w:lvl w:ilvl="3" w:tplc="F50C6474">
      <w:start w:val="1"/>
      <w:numFmt w:val="lowerLetter"/>
      <w:lvlText w:val="%4)"/>
      <w:lvlJc w:val="left"/>
      <w:pPr>
        <w:ind w:left="2520" w:hanging="360"/>
      </w:pPr>
      <w:rPr>
        <w:rFonts w:hint="default"/>
      </w:rPr>
    </w:lvl>
    <w:lvl w:ilvl="4" w:tplc="86144CC8">
      <w:start w:val="7"/>
      <w:numFmt w:val="decimal"/>
      <w:lvlText w:val="%5"/>
      <w:lvlJc w:val="left"/>
      <w:pPr>
        <w:ind w:left="3240" w:hanging="360"/>
      </w:pPr>
      <w:rPr>
        <w:rFonts w:hint="default"/>
        <w:i/>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04B2116"/>
    <w:multiLevelType w:val="hybridMultilevel"/>
    <w:tmpl w:val="9FB80792"/>
    <w:lvl w:ilvl="0" w:tplc="140A001B">
      <w:start w:val="1"/>
      <w:numFmt w:val="lowerRoman"/>
      <w:lvlText w:val="%1."/>
      <w:lvlJc w:val="righ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55C93AC8"/>
    <w:multiLevelType w:val="hybridMultilevel"/>
    <w:tmpl w:val="C4E625A4"/>
    <w:lvl w:ilvl="0" w:tplc="6EBCBE78">
      <w:start w:val="1"/>
      <w:numFmt w:val="decimal"/>
      <w:lvlText w:val="%1."/>
      <w:lvlJc w:val="left"/>
      <w:pPr>
        <w:ind w:left="3827" w:hanging="708"/>
      </w:pPr>
      <w:rPr>
        <w:rFonts w:ascii="Verdana" w:hAnsi="Verdana" w:hint="default"/>
        <w:b w:val="0"/>
        <w:i w:val="0"/>
        <w:strike w:val="0"/>
        <w:sz w:val="20"/>
        <w:szCs w:val="20"/>
        <w:vertAlign w:val="baseline"/>
      </w:rPr>
    </w:lvl>
    <w:lvl w:ilvl="1" w:tplc="140A0019" w:tentative="1">
      <w:start w:val="1"/>
      <w:numFmt w:val="lowerLetter"/>
      <w:lvlText w:val="%2."/>
      <w:lvlJc w:val="left"/>
      <w:pPr>
        <w:ind w:left="371" w:hanging="360"/>
      </w:pPr>
    </w:lvl>
    <w:lvl w:ilvl="2" w:tplc="140A001B" w:tentative="1">
      <w:start w:val="1"/>
      <w:numFmt w:val="lowerRoman"/>
      <w:lvlText w:val="%3."/>
      <w:lvlJc w:val="right"/>
      <w:pPr>
        <w:ind w:left="1091" w:hanging="180"/>
      </w:pPr>
    </w:lvl>
    <w:lvl w:ilvl="3" w:tplc="140A000F" w:tentative="1">
      <w:start w:val="1"/>
      <w:numFmt w:val="decimal"/>
      <w:lvlText w:val="%4."/>
      <w:lvlJc w:val="left"/>
      <w:pPr>
        <w:ind w:left="1811" w:hanging="360"/>
      </w:pPr>
    </w:lvl>
    <w:lvl w:ilvl="4" w:tplc="140A0019" w:tentative="1">
      <w:start w:val="1"/>
      <w:numFmt w:val="lowerLetter"/>
      <w:lvlText w:val="%5."/>
      <w:lvlJc w:val="left"/>
      <w:pPr>
        <w:ind w:left="2531" w:hanging="360"/>
      </w:pPr>
    </w:lvl>
    <w:lvl w:ilvl="5" w:tplc="140A001B" w:tentative="1">
      <w:start w:val="1"/>
      <w:numFmt w:val="lowerRoman"/>
      <w:lvlText w:val="%6."/>
      <w:lvlJc w:val="right"/>
      <w:pPr>
        <w:ind w:left="3251" w:hanging="180"/>
      </w:pPr>
    </w:lvl>
    <w:lvl w:ilvl="6" w:tplc="140A000F" w:tentative="1">
      <w:start w:val="1"/>
      <w:numFmt w:val="decimal"/>
      <w:lvlText w:val="%7."/>
      <w:lvlJc w:val="left"/>
      <w:pPr>
        <w:ind w:left="3971" w:hanging="360"/>
      </w:pPr>
    </w:lvl>
    <w:lvl w:ilvl="7" w:tplc="140A0019" w:tentative="1">
      <w:start w:val="1"/>
      <w:numFmt w:val="lowerLetter"/>
      <w:lvlText w:val="%8."/>
      <w:lvlJc w:val="left"/>
      <w:pPr>
        <w:ind w:left="4691" w:hanging="360"/>
      </w:pPr>
    </w:lvl>
    <w:lvl w:ilvl="8" w:tplc="140A001B" w:tentative="1">
      <w:start w:val="1"/>
      <w:numFmt w:val="lowerRoman"/>
      <w:lvlText w:val="%9."/>
      <w:lvlJc w:val="right"/>
      <w:pPr>
        <w:ind w:left="5411" w:hanging="180"/>
      </w:pPr>
    </w:lvl>
  </w:abstractNum>
  <w:abstractNum w:abstractNumId="16" w15:restartNumberingAfterBreak="0">
    <w:nsid w:val="5C351D73"/>
    <w:multiLevelType w:val="hybridMultilevel"/>
    <w:tmpl w:val="5776C3DE"/>
    <w:lvl w:ilvl="0" w:tplc="580A0015">
      <w:start w:val="1"/>
      <w:numFmt w:val="upp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5D0B448E"/>
    <w:multiLevelType w:val="multilevel"/>
    <w:tmpl w:val="329E66AE"/>
    <w:lvl w:ilvl="0">
      <w:start w:val="1"/>
      <w:numFmt w:val="decimal"/>
      <w:lvlText w:val="%1."/>
      <w:lvlJc w:val="left"/>
      <w:pPr>
        <w:ind w:left="0" w:firstLine="0"/>
      </w:pPr>
      <w:rPr>
        <w:rFonts w:ascii="Verdana" w:hAnsi="Verdana" w:hint="default"/>
        <w:b w:val="0"/>
        <w:i w:val="0"/>
        <w:strike w:val="0"/>
        <w:dstrike w:val="0"/>
        <w:color w:val="auto"/>
        <w:sz w:val="20"/>
        <w:szCs w:val="20"/>
        <w:u w:val="none"/>
        <w:effect w:val="none"/>
        <w:vertAlign w:val="baseline"/>
      </w:rPr>
    </w:lvl>
    <w:lvl w:ilvl="1">
      <w:start w:val="1"/>
      <w:numFmt w:val="lowerLetter"/>
      <w:lvlText w:val="%2."/>
      <w:lvlJc w:val="left"/>
      <w:pPr>
        <w:ind w:left="1298" w:hanging="360"/>
      </w:pPr>
      <w:rPr>
        <w:rFonts w:ascii="Verdana" w:eastAsia="Batang" w:hAnsi="Verdana" w:cs="Times"/>
        <w:i/>
        <w:lang w:val="es-ES_tradnl"/>
      </w:rPr>
    </w:lvl>
    <w:lvl w:ilvl="2">
      <w:start w:val="1"/>
      <w:numFmt w:val="lowerRoman"/>
      <w:lvlText w:val="%3."/>
      <w:lvlJc w:val="right"/>
      <w:pPr>
        <w:ind w:left="2018" w:hanging="180"/>
      </w:pPr>
      <w:rPr>
        <w:i/>
      </w:r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8" w15:restartNumberingAfterBreak="0">
    <w:nsid w:val="5DD86B66"/>
    <w:multiLevelType w:val="hybridMultilevel"/>
    <w:tmpl w:val="14902710"/>
    <w:lvl w:ilvl="0" w:tplc="FA0A065E">
      <w:start w:val="1"/>
      <w:numFmt w:val="lowerRoman"/>
      <w:lvlText w:val="%1)"/>
      <w:lvlJc w:val="left"/>
      <w:pPr>
        <w:ind w:left="1854" w:hanging="720"/>
      </w:pPr>
    </w:lvl>
    <w:lvl w:ilvl="1" w:tplc="F538E97A">
      <w:start w:val="1"/>
      <w:numFmt w:val="decimal"/>
      <w:lvlText w:val="%2."/>
      <w:lvlJc w:val="left"/>
      <w:pPr>
        <w:ind w:left="1800" w:hanging="360"/>
      </w:pPr>
      <w:rPr>
        <w:rFonts w:ascii="Verdana" w:hAnsi="Verdana" w:hint="default"/>
        <w:b w:val="0"/>
        <w:i w:val="0"/>
        <w:strike w:val="0"/>
        <w:dstrike w:val="0"/>
        <w:color w:val="auto"/>
        <w:sz w:val="20"/>
        <w:szCs w:val="20"/>
        <w:u w:val="none"/>
        <w:effect w:val="none"/>
        <w:lang w:val="es-ES"/>
      </w:rPr>
    </w:lvl>
    <w:lvl w:ilvl="2" w:tplc="EF566DDC">
      <w:start w:val="1"/>
      <w:numFmt w:val="upperLetter"/>
      <w:lvlText w:val="%3."/>
      <w:lvlJc w:val="left"/>
      <w:pPr>
        <w:ind w:left="0" w:firstLine="0"/>
      </w:pPr>
      <w:rPr>
        <w:b/>
        <w:i/>
      </w:rPr>
    </w:lvl>
    <w:lvl w:ilvl="3" w:tplc="140A000F">
      <w:start w:val="1"/>
      <w:numFmt w:val="decimal"/>
      <w:lvlText w:val="%4."/>
      <w:lvlJc w:val="left"/>
      <w:pPr>
        <w:ind w:left="3654" w:hanging="360"/>
      </w:pPr>
    </w:lvl>
    <w:lvl w:ilvl="4" w:tplc="140A0019">
      <w:start w:val="1"/>
      <w:numFmt w:val="lowerLetter"/>
      <w:lvlText w:val="%5."/>
      <w:lvlJc w:val="left"/>
      <w:pPr>
        <w:ind w:left="4374" w:hanging="360"/>
      </w:pPr>
    </w:lvl>
    <w:lvl w:ilvl="5" w:tplc="140A001B">
      <w:start w:val="1"/>
      <w:numFmt w:val="lowerRoman"/>
      <w:lvlText w:val="%6."/>
      <w:lvlJc w:val="right"/>
      <w:pPr>
        <w:ind w:left="5094" w:hanging="180"/>
      </w:pPr>
    </w:lvl>
    <w:lvl w:ilvl="6" w:tplc="140A000F">
      <w:start w:val="1"/>
      <w:numFmt w:val="decimal"/>
      <w:lvlText w:val="%7."/>
      <w:lvlJc w:val="left"/>
      <w:pPr>
        <w:ind w:left="5814" w:hanging="360"/>
      </w:pPr>
    </w:lvl>
    <w:lvl w:ilvl="7" w:tplc="140A0019">
      <w:start w:val="1"/>
      <w:numFmt w:val="lowerLetter"/>
      <w:lvlText w:val="%8."/>
      <w:lvlJc w:val="left"/>
      <w:pPr>
        <w:ind w:left="6534" w:hanging="360"/>
      </w:pPr>
    </w:lvl>
    <w:lvl w:ilvl="8" w:tplc="140A001B">
      <w:start w:val="1"/>
      <w:numFmt w:val="lowerRoman"/>
      <w:lvlText w:val="%9."/>
      <w:lvlJc w:val="right"/>
      <w:pPr>
        <w:ind w:left="7254" w:hanging="180"/>
      </w:pPr>
    </w:lvl>
  </w:abstractNum>
  <w:abstractNum w:abstractNumId="19" w15:restartNumberingAfterBreak="0">
    <w:nsid w:val="626C1EB1"/>
    <w:multiLevelType w:val="hybridMultilevel"/>
    <w:tmpl w:val="AB50CB7C"/>
    <w:lvl w:ilvl="0" w:tplc="04090015">
      <w:start w:val="1"/>
      <w:numFmt w:val="upperLetter"/>
      <w:lvlText w:val="%1."/>
      <w:lvlJc w:val="left"/>
      <w:pPr>
        <w:ind w:left="1440" w:hanging="360"/>
      </w:pPr>
    </w:lvl>
    <w:lvl w:ilvl="1" w:tplc="E738F1D4">
      <w:start w:val="1"/>
      <w:numFmt w:val="upperLetter"/>
      <w:lvlText w:val="%2."/>
      <w:lvlJc w:val="left"/>
      <w:pPr>
        <w:ind w:left="2160" w:hanging="360"/>
      </w:pPr>
      <w:rPr>
        <w:b/>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AE6F96"/>
    <w:multiLevelType w:val="hybridMultilevel"/>
    <w:tmpl w:val="C70817FC"/>
    <w:lvl w:ilvl="0" w:tplc="A3B02EAC">
      <w:start w:val="1"/>
      <w:numFmt w:val="decimal"/>
      <w:lvlText w:val="%1."/>
      <w:lvlJc w:val="left"/>
      <w:pPr>
        <w:ind w:left="786"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4253AC"/>
    <w:multiLevelType w:val="hybridMultilevel"/>
    <w:tmpl w:val="2DCE80FC"/>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6E9F1637"/>
    <w:multiLevelType w:val="hybridMultilevel"/>
    <w:tmpl w:val="00A290EA"/>
    <w:lvl w:ilvl="0" w:tplc="D4D46356">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6753A80"/>
    <w:multiLevelType w:val="hybridMultilevel"/>
    <w:tmpl w:val="9C7229B2"/>
    <w:lvl w:ilvl="0" w:tplc="9170075E">
      <w:start w:val="1"/>
      <w:numFmt w:val="decimal"/>
      <w:lvlText w:val="%1."/>
      <w:lvlJc w:val="left"/>
      <w:pPr>
        <w:ind w:left="0" w:firstLine="0"/>
      </w:pPr>
      <w:rPr>
        <w:rFonts w:ascii="Verdana" w:hAnsi="Verdana" w:hint="default"/>
        <w:b w:val="0"/>
        <w:i w:val="0"/>
        <w:strike w:val="0"/>
        <w:dstrike w:val="0"/>
        <w:color w:val="auto"/>
        <w:sz w:val="20"/>
        <w:szCs w:val="20"/>
        <w:u w:val="none"/>
        <w:effect w:val="none"/>
        <w:vertAlign w:val="baseline"/>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24" w15:restartNumberingAfterBreak="0">
    <w:nsid w:val="79354707"/>
    <w:multiLevelType w:val="hybridMultilevel"/>
    <w:tmpl w:val="BDF00F96"/>
    <w:lvl w:ilvl="0" w:tplc="68F4B366">
      <w:start w:val="1"/>
      <w:numFmt w:val="decimal"/>
      <w:lvlText w:val="%1."/>
      <w:lvlJc w:val="left"/>
      <w:pPr>
        <w:ind w:left="825" w:hanging="825"/>
      </w:pPr>
      <w:rPr>
        <w:rFonts w:ascii="Verdana" w:eastAsia="Verdana" w:hAnsi="Verdana" w:cs="Verdana" w:hint="default"/>
        <w:b w:val="0"/>
        <w:i w:val="0"/>
        <w:color w:val="auto"/>
        <w:sz w:val="20"/>
        <w:szCs w:val="20"/>
        <w:vertAlign w:val="baseline"/>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7CE64D32"/>
    <w:multiLevelType w:val="hybridMultilevel"/>
    <w:tmpl w:val="E9AAC004"/>
    <w:lvl w:ilvl="0" w:tplc="84C60B70">
      <w:start w:val="1"/>
      <w:numFmt w:val="decimal"/>
      <w:lvlText w:val="%1."/>
      <w:lvlJc w:val="left"/>
      <w:pPr>
        <w:tabs>
          <w:tab w:val="num" w:pos="11028"/>
        </w:tabs>
        <w:ind w:left="0" w:firstLine="0"/>
      </w:pPr>
      <w:rPr>
        <w:rFonts w:ascii="Verdana" w:eastAsia="Times New Roman" w:hAnsi="Verdana"/>
        <w:b w:val="0"/>
        <w:bCs w:val="0"/>
        <w:i w:val="0"/>
        <w:iCs w:val="0"/>
        <w:strike w:val="0"/>
        <w:dstrike w:val="0"/>
        <w:color w:val="auto"/>
        <w:sz w:val="20"/>
        <w:szCs w:val="20"/>
        <w:u w:val="none"/>
        <w:effect w:val="none"/>
        <w:lang w:val="es-ES_tradnl"/>
      </w:rPr>
    </w:lvl>
    <w:lvl w:ilvl="1" w:tplc="140A0019">
      <w:start w:val="1"/>
      <w:numFmt w:val="lowerLetter"/>
      <w:lvlText w:val="%2)"/>
      <w:lvlJc w:val="left"/>
      <w:pPr>
        <w:tabs>
          <w:tab w:val="num" w:pos="1080"/>
        </w:tabs>
        <w:ind w:left="1080" w:hanging="360"/>
      </w:pPr>
      <w:rPr>
        <w:b w:val="0"/>
        <w:bCs w:val="0"/>
        <w:i w:val="0"/>
        <w:iCs w:val="0"/>
        <w:sz w:val="20"/>
        <w:szCs w:val="20"/>
      </w:rPr>
    </w:lvl>
    <w:lvl w:ilvl="2" w:tplc="140A001B">
      <w:start w:val="1"/>
      <w:numFmt w:val="lowerRoman"/>
      <w:lvlText w:val="%3."/>
      <w:lvlJc w:val="right"/>
      <w:pPr>
        <w:tabs>
          <w:tab w:val="num" w:pos="1530"/>
        </w:tabs>
        <w:ind w:left="1530" w:hanging="180"/>
      </w:pPr>
      <w:rPr>
        <w:b w:val="0"/>
        <w:strike w:val="0"/>
        <w:dstrike w:val="0"/>
        <w:u w:val="none"/>
        <w:effect w:val="none"/>
      </w:rPr>
    </w:lvl>
    <w:lvl w:ilvl="3" w:tplc="140A000F">
      <w:start w:val="1"/>
      <w:numFmt w:val="decimal"/>
      <w:lvlText w:val="%4."/>
      <w:lvlJc w:val="left"/>
      <w:pPr>
        <w:tabs>
          <w:tab w:val="num" w:pos="2880"/>
        </w:tabs>
        <w:ind w:left="2880" w:hanging="360"/>
      </w:pPr>
    </w:lvl>
    <w:lvl w:ilvl="4" w:tplc="140A0019">
      <w:start w:val="1"/>
      <w:numFmt w:val="lowerLetter"/>
      <w:pStyle w:val="Ttulo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num w:numId="1">
    <w:abstractNumId w:val="25"/>
  </w:num>
  <w:num w:numId="2">
    <w:abstractNumId w:val="0"/>
  </w:num>
  <w:num w:numId="3">
    <w:abstractNumId w:val="3"/>
  </w:num>
  <w:num w:numId="4">
    <w:abstractNumId w:val="23"/>
  </w:num>
  <w:num w:numId="5">
    <w:abstractNumId w:val="2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
  </w:num>
  <w:num w:numId="9">
    <w:abstractNumId w:val="21"/>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6"/>
  </w:num>
  <w:num w:numId="17">
    <w:abstractNumId w:val="19"/>
  </w:num>
  <w:num w:numId="18">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1"/>
  </w:num>
  <w:num w:numId="22">
    <w:abstractNumId w:val="4"/>
  </w:num>
  <w:num w:numId="23">
    <w:abstractNumId w:val="13"/>
  </w:num>
  <w:num w:numId="24">
    <w:abstractNumId w:val="14"/>
  </w:num>
  <w:num w:numId="25">
    <w:abstractNumId w:val="10"/>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12"/>
  </w:num>
  <w:num w:numId="31">
    <w:abstractNumId w:val="1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4"/>
  </w:num>
  <w:num w:numId="35">
    <w:abstractNumId w:val="17"/>
  </w:num>
  <w:num w:numId="3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R" w:vendorID="64" w:dllVersion="6" w:nlCheck="1" w:checkStyle="0"/>
  <w:activeWritingStyle w:appName="MSWord" w:lang="en-US" w:vendorID="64" w:dllVersion="6" w:nlCheck="1" w:checkStyle="1"/>
  <w:activeWritingStyle w:appName="MSWord" w:lang="es-MX" w:vendorID="64" w:dllVersion="6" w:nlCheck="1" w:checkStyle="0"/>
  <w:activeWritingStyle w:appName="MSWord" w:lang="es-CL" w:vendorID="64" w:dllVersion="6" w:nlCheck="1" w:checkStyle="1"/>
  <w:activeWritingStyle w:appName="MSWord" w:lang="es-AR" w:vendorID="64" w:dllVersion="6" w:nlCheck="1" w:checkStyle="1"/>
  <w:activeWritingStyle w:appName="MSWord" w:lang="es-CO" w:vendorID="64" w:dllVersion="6" w:nlCheck="1" w:checkStyle="0"/>
  <w:activeWritingStyle w:appName="MSWord" w:lang="es-PE" w:vendorID="64" w:dllVersion="6" w:nlCheck="1" w:checkStyle="0"/>
  <w:activeWritingStyle w:appName="MSWord" w:lang="es-VE" w:vendorID="64" w:dllVersion="6" w:nlCheck="1" w:checkStyle="1"/>
  <w:activeWritingStyle w:appName="MSWord" w:lang="fr-FR" w:vendorID="64" w:dllVersion="6" w:nlCheck="1" w:checkStyle="1"/>
  <w:activeWritingStyle w:appName="MSWord" w:lang="es-GT"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s-EC" w:vendorID="64" w:dllVersion="6" w:nlCheck="1" w:checkStyle="1"/>
  <w:activeWritingStyle w:appName="MSWord" w:lang="es-PR" w:vendorID="64" w:dllVersion="6" w:nlCheck="1" w:checkStyle="0"/>
  <w:activeWritingStyle w:appName="MSWord" w:lang="es-419"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55"/>
    <w:rsid w:val="000008DB"/>
    <w:rsid w:val="00001FF6"/>
    <w:rsid w:val="0000234E"/>
    <w:rsid w:val="00002968"/>
    <w:rsid w:val="00002DCD"/>
    <w:rsid w:val="00002F69"/>
    <w:rsid w:val="00003F73"/>
    <w:rsid w:val="000064B0"/>
    <w:rsid w:val="000065D6"/>
    <w:rsid w:val="00006B3C"/>
    <w:rsid w:val="000075CD"/>
    <w:rsid w:val="000077DC"/>
    <w:rsid w:val="00010372"/>
    <w:rsid w:val="00010863"/>
    <w:rsid w:val="00011514"/>
    <w:rsid w:val="0001168E"/>
    <w:rsid w:val="00011994"/>
    <w:rsid w:val="00012192"/>
    <w:rsid w:val="00012C6E"/>
    <w:rsid w:val="00012C95"/>
    <w:rsid w:val="000149A8"/>
    <w:rsid w:val="00014E37"/>
    <w:rsid w:val="0001515A"/>
    <w:rsid w:val="00015DBD"/>
    <w:rsid w:val="00016780"/>
    <w:rsid w:val="000175BB"/>
    <w:rsid w:val="00017F3F"/>
    <w:rsid w:val="00017FB7"/>
    <w:rsid w:val="00020A3E"/>
    <w:rsid w:val="00020D5F"/>
    <w:rsid w:val="00021BBC"/>
    <w:rsid w:val="00021D42"/>
    <w:rsid w:val="000228EE"/>
    <w:rsid w:val="000230DA"/>
    <w:rsid w:val="000231F7"/>
    <w:rsid w:val="000245C5"/>
    <w:rsid w:val="000251CD"/>
    <w:rsid w:val="00025DAC"/>
    <w:rsid w:val="00026502"/>
    <w:rsid w:val="000268AC"/>
    <w:rsid w:val="00026CE3"/>
    <w:rsid w:val="00026D31"/>
    <w:rsid w:val="000276D3"/>
    <w:rsid w:val="000305B1"/>
    <w:rsid w:val="00030CAE"/>
    <w:rsid w:val="00031F73"/>
    <w:rsid w:val="000320BB"/>
    <w:rsid w:val="00032638"/>
    <w:rsid w:val="00032924"/>
    <w:rsid w:val="0003331F"/>
    <w:rsid w:val="00035123"/>
    <w:rsid w:val="000361ED"/>
    <w:rsid w:val="00037544"/>
    <w:rsid w:val="000409AD"/>
    <w:rsid w:val="00041243"/>
    <w:rsid w:val="00041380"/>
    <w:rsid w:val="00043238"/>
    <w:rsid w:val="0004374A"/>
    <w:rsid w:val="00043AB1"/>
    <w:rsid w:val="00043BB6"/>
    <w:rsid w:val="00044783"/>
    <w:rsid w:val="00044790"/>
    <w:rsid w:val="0004509D"/>
    <w:rsid w:val="00047310"/>
    <w:rsid w:val="0005087A"/>
    <w:rsid w:val="00051469"/>
    <w:rsid w:val="00051786"/>
    <w:rsid w:val="000518AE"/>
    <w:rsid w:val="00051E84"/>
    <w:rsid w:val="00051F03"/>
    <w:rsid w:val="00052AEA"/>
    <w:rsid w:val="00052BD8"/>
    <w:rsid w:val="000537B6"/>
    <w:rsid w:val="00053F53"/>
    <w:rsid w:val="00054A53"/>
    <w:rsid w:val="00054C11"/>
    <w:rsid w:val="00054DD8"/>
    <w:rsid w:val="00055227"/>
    <w:rsid w:val="00055240"/>
    <w:rsid w:val="00056037"/>
    <w:rsid w:val="000561BA"/>
    <w:rsid w:val="00057E14"/>
    <w:rsid w:val="0006074D"/>
    <w:rsid w:val="00061398"/>
    <w:rsid w:val="00062608"/>
    <w:rsid w:val="000633BE"/>
    <w:rsid w:val="0006362D"/>
    <w:rsid w:val="000640FA"/>
    <w:rsid w:val="000645F7"/>
    <w:rsid w:val="00065DB1"/>
    <w:rsid w:val="00065EF0"/>
    <w:rsid w:val="00066649"/>
    <w:rsid w:val="00067A9B"/>
    <w:rsid w:val="00067C09"/>
    <w:rsid w:val="00072099"/>
    <w:rsid w:val="0007242D"/>
    <w:rsid w:val="0007304B"/>
    <w:rsid w:val="00073ACA"/>
    <w:rsid w:val="00073D08"/>
    <w:rsid w:val="000741DC"/>
    <w:rsid w:val="000744A8"/>
    <w:rsid w:val="0007496E"/>
    <w:rsid w:val="0007545E"/>
    <w:rsid w:val="00076571"/>
    <w:rsid w:val="000767B9"/>
    <w:rsid w:val="00076A83"/>
    <w:rsid w:val="000819A0"/>
    <w:rsid w:val="00083080"/>
    <w:rsid w:val="00085806"/>
    <w:rsid w:val="00085AD3"/>
    <w:rsid w:val="000861F7"/>
    <w:rsid w:val="000917C2"/>
    <w:rsid w:val="000917E1"/>
    <w:rsid w:val="0009296A"/>
    <w:rsid w:val="00094B39"/>
    <w:rsid w:val="00094D6C"/>
    <w:rsid w:val="00095203"/>
    <w:rsid w:val="00095F7C"/>
    <w:rsid w:val="000A1D93"/>
    <w:rsid w:val="000A2E96"/>
    <w:rsid w:val="000A429E"/>
    <w:rsid w:val="000A4FED"/>
    <w:rsid w:val="000A6683"/>
    <w:rsid w:val="000A67F1"/>
    <w:rsid w:val="000A6DAF"/>
    <w:rsid w:val="000A70EF"/>
    <w:rsid w:val="000A71DC"/>
    <w:rsid w:val="000B1E5D"/>
    <w:rsid w:val="000B1FB7"/>
    <w:rsid w:val="000B34B3"/>
    <w:rsid w:val="000B4165"/>
    <w:rsid w:val="000B4CB1"/>
    <w:rsid w:val="000B4EA9"/>
    <w:rsid w:val="000B53A4"/>
    <w:rsid w:val="000B53D0"/>
    <w:rsid w:val="000B565F"/>
    <w:rsid w:val="000B6219"/>
    <w:rsid w:val="000B679F"/>
    <w:rsid w:val="000B69AC"/>
    <w:rsid w:val="000B7317"/>
    <w:rsid w:val="000B73C2"/>
    <w:rsid w:val="000B7854"/>
    <w:rsid w:val="000B7AD0"/>
    <w:rsid w:val="000B7E5E"/>
    <w:rsid w:val="000C004E"/>
    <w:rsid w:val="000C059C"/>
    <w:rsid w:val="000C1420"/>
    <w:rsid w:val="000C1A43"/>
    <w:rsid w:val="000C1EDB"/>
    <w:rsid w:val="000C36E3"/>
    <w:rsid w:val="000C3D05"/>
    <w:rsid w:val="000C4480"/>
    <w:rsid w:val="000C4A92"/>
    <w:rsid w:val="000C5993"/>
    <w:rsid w:val="000C59FE"/>
    <w:rsid w:val="000C5CD0"/>
    <w:rsid w:val="000C742F"/>
    <w:rsid w:val="000C74EE"/>
    <w:rsid w:val="000C7805"/>
    <w:rsid w:val="000C7BC2"/>
    <w:rsid w:val="000C7DD3"/>
    <w:rsid w:val="000D02D8"/>
    <w:rsid w:val="000D12A7"/>
    <w:rsid w:val="000D1898"/>
    <w:rsid w:val="000D3224"/>
    <w:rsid w:val="000D358D"/>
    <w:rsid w:val="000D37F4"/>
    <w:rsid w:val="000D383E"/>
    <w:rsid w:val="000D385D"/>
    <w:rsid w:val="000D3C9D"/>
    <w:rsid w:val="000D3DFD"/>
    <w:rsid w:val="000D3E00"/>
    <w:rsid w:val="000D54AA"/>
    <w:rsid w:val="000D58F9"/>
    <w:rsid w:val="000D6095"/>
    <w:rsid w:val="000D624D"/>
    <w:rsid w:val="000D62C4"/>
    <w:rsid w:val="000D63A5"/>
    <w:rsid w:val="000D64DD"/>
    <w:rsid w:val="000D67FA"/>
    <w:rsid w:val="000D73EA"/>
    <w:rsid w:val="000D790F"/>
    <w:rsid w:val="000D7B36"/>
    <w:rsid w:val="000E0E0F"/>
    <w:rsid w:val="000E19C9"/>
    <w:rsid w:val="000E2621"/>
    <w:rsid w:val="000E2C62"/>
    <w:rsid w:val="000E2D97"/>
    <w:rsid w:val="000E3354"/>
    <w:rsid w:val="000E3E8E"/>
    <w:rsid w:val="000E40D3"/>
    <w:rsid w:val="000E48A9"/>
    <w:rsid w:val="000E4F2B"/>
    <w:rsid w:val="000E4F86"/>
    <w:rsid w:val="000E5EF6"/>
    <w:rsid w:val="000E79F5"/>
    <w:rsid w:val="000E7EF1"/>
    <w:rsid w:val="000F120D"/>
    <w:rsid w:val="000F14CA"/>
    <w:rsid w:val="000F15A8"/>
    <w:rsid w:val="000F212C"/>
    <w:rsid w:val="000F3F79"/>
    <w:rsid w:val="000F479A"/>
    <w:rsid w:val="000F569D"/>
    <w:rsid w:val="000F5EA0"/>
    <w:rsid w:val="000F6141"/>
    <w:rsid w:val="000F6954"/>
    <w:rsid w:val="000F72C7"/>
    <w:rsid w:val="000F72CC"/>
    <w:rsid w:val="000F7C6C"/>
    <w:rsid w:val="000F7F7D"/>
    <w:rsid w:val="0010068A"/>
    <w:rsid w:val="00101181"/>
    <w:rsid w:val="001016F1"/>
    <w:rsid w:val="0010175A"/>
    <w:rsid w:val="00101A2E"/>
    <w:rsid w:val="00102A61"/>
    <w:rsid w:val="0010370B"/>
    <w:rsid w:val="00103E32"/>
    <w:rsid w:val="00103FD7"/>
    <w:rsid w:val="001041B4"/>
    <w:rsid w:val="00105B19"/>
    <w:rsid w:val="00105BF4"/>
    <w:rsid w:val="00106B12"/>
    <w:rsid w:val="00110166"/>
    <w:rsid w:val="00111EE3"/>
    <w:rsid w:val="00112971"/>
    <w:rsid w:val="00113485"/>
    <w:rsid w:val="0011514E"/>
    <w:rsid w:val="0011533F"/>
    <w:rsid w:val="00115A6A"/>
    <w:rsid w:val="00115CCB"/>
    <w:rsid w:val="0011694A"/>
    <w:rsid w:val="00116A36"/>
    <w:rsid w:val="00121D84"/>
    <w:rsid w:val="00121FFA"/>
    <w:rsid w:val="00122199"/>
    <w:rsid w:val="00122991"/>
    <w:rsid w:val="00124377"/>
    <w:rsid w:val="00124D4E"/>
    <w:rsid w:val="00124EAB"/>
    <w:rsid w:val="00125E8F"/>
    <w:rsid w:val="001265ED"/>
    <w:rsid w:val="00127239"/>
    <w:rsid w:val="001274B8"/>
    <w:rsid w:val="00127705"/>
    <w:rsid w:val="00127B9C"/>
    <w:rsid w:val="00130917"/>
    <w:rsid w:val="00131F39"/>
    <w:rsid w:val="00131F9D"/>
    <w:rsid w:val="0013224B"/>
    <w:rsid w:val="001337B9"/>
    <w:rsid w:val="00135B10"/>
    <w:rsid w:val="00136592"/>
    <w:rsid w:val="001374AA"/>
    <w:rsid w:val="00140673"/>
    <w:rsid w:val="00140FAC"/>
    <w:rsid w:val="00141659"/>
    <w:rsid w:val="001440B0"/>
    <w:rsid w:val="00144637"/>
    <w:rsid w:val="00144F5D"/>
    <w:rsid w:val="00145375"/>
    <w:rsid w:val="00145791"/>
    <w:rsid w:val="00145FCA"/>
    <w:rsid w:val="00146156"/>
    <w:rsid w:val="00147181"/>
    <w:rsid w:val="00147655"/>
    <w:rsid w:val="00147696"/>
    <w:rsid w:val="00147861"/>
    <w:rsid w:val="00150BAE"/>
    <w:rsid w:val="001511E9"/>
    <w:rsid w:val="00152087"/>
    <w:rsid w:val="001537AB"/>
    <w:rsid w:val="00153CDA"/>
    <w:rsid w:val="00154D5C"/>
    <w:rsid w:val="001565C1"/>
    <w:rsid w:val="00156E19"/>
    <w:rsid w:val="00157FC3"/>
    <w:rsid w:val="0016061C"/>
    <w:rsid w:val="00160C42"/>
    <w:rsid w:val="001614F2"/>
    <w:rsid w:val="0016288F"/>
    <w:rsid w:val="0016366F"/>
    <w:rsid w:val="00164550"/>
    <w:rsid w:val="00164F4F"/>
    <w:rsid w:val="00165676"/>
    <w:rsid w:val="00166B35"/>
    <w:rsid w:val="00167039"/>
    <w:rsid w:val="00170F1E"/>
    <w:rsid w:val="00171564"/>
    <w:rsid w:val="00172587"/>
    <w:rsid w:val="00172E48"/>
    <w:rsid w:val="00172FED"/>
    <w:rsid w:val="001730DC"/>
    <w:rsid w:val="00173275"/>
    <w:rsid w:val="00173BA8"/>
    <w:rsid w:val="0017561E"/>
    <w:rsid w:val="00175A64"/>
    <w:rsid w:val="00176050"/>
    <w:rsid w:val="00176687"/>
    <w:rsid w:val="00176937"/>
    <w:rsid w:val="00176FAA"/>
    <w:rsid w:val="00177849"/>
    <w:rsid w:val="00177BE5"/>
    <w:rsid w:val="00180045"/>
    <w:rsid w:val="00180545"/>
    <w:rsid w:val="00182B42"/>
    <w:rsid w:val="00182B49"/>
    <w:rsid w:val="00182BB2"/>
    <w:rsid w:val="00184831"/>
    <w:rsid w:val="00186F72"/>
    <w:rsid w:val="00187138"/>
    <w:rsid w:val="00187C21"/>
    <w:rsid w:val="001901A3"/>
    <w:rsid w:val="0019259A"/>
    <w:rsid w:val="00192640"/>
    <w:rsid w:val="0019342B"/>
    <w:rsid w:val="0019362A"/>
    <w:rsid w:val="00193726"/>
    <w:rsid w:val="001940C8"/>
    <w:rsid w:val="00195785"/>
    <w:rsid w:val="001957CE"/>
    <w:rsid w:val="00195B54"/>
    <w:rsid w:val="001969CE"/>
    <w:rsid w:val="001977D2"/>
    <w:rsid w:val="00197C67"/>
    <w:rsid w:val="00197F79"/>
    <w:rsid w:val="001A06AA"/>
    <w:rsid w:val="001A22DA"/>
    <w:rsid w:val="001A25C1"/>
    <w:rsid w:val="001A2809"/>
    <w:rsid w:val="001A3133"/>
    <w:rsid w:val="001A35CD"/>
    <w:rsid w:val="001A52AF"/>
    <w:rsid w:val="001A578C"/>
    <w:rsid w:val="001A69CC"/>
    <w:rsid w:val="001A6E53"/>
    <w:rsid w:val="001A7516"/>
    <w:rsid w:val="001B0939"/>
    <w:rsid w:val="001B0A54"/>
    <w:rsid w:val="001B2656"/>
    <w:rsid w:val="001B465D"/>
    <w:rsid w:val="001B4953"/>
    <w:rsid w:val="001B4A4B"/>
    <w:rsid w:val="001B5576"/>
    <w:rsid w:val="001B627B"/>
    <w:rsid w:val="001B6592"/>
    <w:rsid w:val="001B704A"/>
    <w:rsid w:val="001B7521"/>
    <w:rsid w:val="001B785F"/>
    <w:rsid w:val="001B7F69"/>
    <w:rsid w:val="001C360D"/>
    <w:rsid w:val="001C3AFF"/>
    <w:rsid w:val="001C44DC"/>
    <w:rsid w:val="001C51C5"/>
    <w:rsid w:val="001C53B1"/>
    <w:rsid w:val="001C58C5"/>
    <w:rsid w:val="001C6017"/>
    <w:rsid w:val="001C602A"/>
    <w:rsid w:val="001C67E8"/>
    <w:rsid w:val="001C71F9"/>
    <w:rsid w:val="001D00F7"/>
    <w:rsid w:val="001D01BF"/>
    <w:rsid w:val="001D0552"/>
    <w:rsid w:val="001D0579"/>
    <w:rsid w:val="001D0D43"/>
    <w:rsid w:val="001D0EFC"/>
    <w:rsid w:val="001D0F17"/>
    <w:rsid w:val="001D1455"/>
    <w:rsid w:val="001D28BA"/>
    <w:rsid w:val="001D34B1"/>
    <w:rsid w:val="001D4059"/>
    <w:rsid w:val="001D4E55"/>
    <w:rsid w:val="001D4E9C"/>
    <w:rsid w:val="001D4FFB"/>
    <w:rsid w:val="001D5FC5"/>
    <w:rsid w:val="001D6486"/>
    <w:rsid w:val="001D68AC"/>
    <w:rsid w:val="001D6DD6"/>
    <w:rsid w:val="001E2716"/>
    <w:rsid w:val="001E37C9"/>
    <w:rsid w:val="001E393F"/>
    <w:rsid w:val="001E3D9A"/>
    <w:rsid w:val="001E3DA2"/>
    <w:rsid w:val="001E4168"/>
    <w:rsid w:val="001E41BC"/>
    <w:rsid w:val="001E471A"/>
    <w:rsid w:val="001E5A72"/>
    <w:rsid w:val="001E5A77"/>
    <w:rsid w:val="001E65BA"/>
    <w:rsid w:val="001E6E1E"/>
    <w:rsid w:val="001E71E5"/>
    <w:rsid w:val="001E7539"/>
    <w:rsid w:val="001E7F34"/>
    <w:rsid w:val="001E7F95"/>
    <w:rsid w:val="001F1170"/>
    <w:rsid w:val="001F1A27"/>
    <w:rsid w:val="001F231E"/>
    <w:rsid w:val="001F2FF9"/>
    <w:rsid w:val="001F36AF"/>
    <w:rsid w:val="001F4757"/>
    <w:rsid w:val="001F5605"/>
    <w:rsid w:val="001F58A4"/>
    <w:rsid w:val="001F5D35"/>
    <w:rsid w:val="001F641B"/>
    <w:rsid w:val="001F672E"/>
    <w:rsid w:val="001F7FBA"/>
    <w:rsid w:val="002004A7"/>
    <w:rsid w:val="002006C6"/>
    <w:rsid w:val="002006ED"/>
    <w:rsid w:val="00200771"/>
    <w:rsid w:val="00200D66"/>
    <w:rsid w:val="002014AF"/>
    <w:rsid w:val="00201941"/>
    <w:rsid w:val="00202227"/>
    <w:rsid w:val="00202347"/>
    <w:rsid w:val="00203008"/>
    <w:rsid w:val="002033B5"/>
    <w:rsid w:val="0020385B"/>
    <w:rsid w:val="00203CC9"/>
    <w:rsid w:val="00205524"/>
    <w:rsid w:val="00205526"/>
    <w:rsid w:val="002059D5"/>
    <w:rsid w:val="00206213"/>
    <w:rsid w:val="002079B7"/>
    <w:rsid w:val="00207C72"/>
    <w:rsid w:val="00210642"/>
    <w:rsid w:val="00211083"/>
    <w:rsid w:val="002124D6"/>
    <w:rsid w:val="00212530"/>
    <w:rsid w:val="00212CF0"/>
    <w:rsid w:val="00213DFA"/>
    <w:rsid w:val="0021619C"/>
    <w:rsid w:val="00216F04"/>
    <w:rsid w:val="00217744"/>
    <w:rsid w:val="002219EE"/>
    <w:rsid w:val="00221E8F"/>
    <w:rsid w:val="00222106"/>
    <w:rsid w:val="002221DB"/>
    <w:rsid w:val="00222249"/>
    <w:rsid w:val="00223337"/>
    <w:rsid w:val="00225FCF"/>
    <w:rsid w:val="00226DB8"/>
    <w:rsid w:val="00226F98"/>
    <w:rsid w:val="00227A77"/>
    <w:rsid w:val="00227D38"/>
    <w:rsid w:val="00231D97"/>
    <w:rsid w:val="002329FC"/>
    <w:rsid w:val="00232DB2"/>
    <w:rsid w:val="002335C7"/>
    <w:rsid w:val="002342E5"/>
    <w:rsid w:val="0023486A"/>
    <w:rsid w:val="00234C98"/>
    <w:rsid w:val="00236096"/>
    <w:rsid w:val="002360B3"/>
    <w:rsid w:val="00236817"/>
    <w:rsid w:val="0023716C"/>
    <w:rsid w:val="00237232"/>
    <w:rsid w:val="00240555"/>
    <w:rsid w:val="00240F33"/>
    <w:rsid w:val="002417EB"/>
    <w:rsid w:val="002424F2"/>
    <w:rsid w:val="00242D50"/>
    <w:rsid w:val="00242D95"/>
    <w:rsid w:val="0024314C"/>
    <w:rsid w:val="00243AE4"/>
    <w:rsid w:val="002443CD"/>
    <w:rsid w:val="002456B1"/>
    <w:rsid w:val="00245F38"/>
    <w:rsid w:val="00246168"/>
    <w:rsid w:val="002465A8"/>
    <w:rsid w:val="00247604"/>
    <w:rsid w:val="0025030F"/>
    <w:rsid w:val="002504FB"/>
    <w:rsid w:val="0025133D"/>
    <w:rsid w:val="00251C85"/>
    <w:rsid w:val="00253081"/>
    <w:rsid w:val="00253297"/>
    <w:rsid w:val="002534E4"/>
    <w:rsid w:val="00253862"/>
    <w:rsid w:val="00254B7C"/>
    <w:rsid w:val="002551F3"/>
    <w:rsid w:val="0025587E"/>
    <w:rsid w:val="002560AC"/>
    <w:rsid w:val="00256ACA"/>
    <w:rsid w:val="00256F2E"/>
    <w:rsid w:val="00257197"/>
    <w:rsid w:val="002577D3"/>
    <w:rsid w:val="002600E0"/>
    <w:rsid w:val="0026030B"/>
    <w:rsid w:val="00261C69"/>
    <w:rsid w:val="00261E79"/>
    <w:rsid w:val="002626F4"/>
    <w:rsid w:val="002648A6"/>
    <w:rsid w:val="00266994"/>
    <w:rsid w:val="0027072C"/>
    <w:rsid w:val="00270A4F"/>
    <w:rsid w:val="002721CE"/>
    <w:rsid w:val="00272582"/>
    <w:rsid w:val="002726D2"/>
    <w:rsid w:val="0027275B"/>
    <w:rsid w:val="0027287B"/>
    <w:rsid w:val="00272908"/>
    <w:rsid w:val="00272D08"/>
    <w:rsid w:val="00273C1A"/>
    <w:rsid w:val="00275102"/>
    <w:rsid w:val="00275264"/>
    <w:rsid w:val="00275F69"/>
    <w:rsid w:val="00276B5B"/>
    <w:rsid w:val="00276BA1"/>
    <w:rsid w:val="00277AA4"/>
    <w:rsid w:val="0028069D"/>
    <w:rsid w:val="002812C8"/>
    <w:rsid w:val="00281392"/>
    <w:rsid w:val="0028148A"/>
    <w:rsid w:val="0028176A"/>
    <w:rsid w:val="00282487"/>
    <w:rsid w:val="002842F1"/>
    <w:rsid w:val="00284822"/>
    <w:rsid w:val="00285172"/>
    <w:rsid w:val="0028561E"/>
    <w:rsid w:val="002857F4"/>
    <w:rsid w:val="00286B70"/>
    <w:rsid w:val="00286F51"/>
    <w:rsid w:val="002873E1"/>
    <w:rsid w:val="00290DBF"/>
    <w:rsid w:val="00291C5B"/>
    <w:rsid w:val="00291E78"/>
    <w:rsid w:val="00292EC9"/>
    <w:rsid w:val="00293294"/>
    <w:rsid w:val="00293C17"/>
    <w:rsid w:val="00294561"/>
    <w:rsid w:val="00294838"/>
    <w:rsid w:val="002950B0"/>
    <w:rsid w:val="00295357"/>
    <w:rsid w:val="00296CA6"/>
    <w:rsid w:val="002974C0"/>
    <w:rsid w:val="002A0C0A"/>
    <w:rsid w:val="002A1370"/>
    <w:rsid w:val="002A254E"/>
    <w:rsid w:val="002A3769"/>
    <w:rsid w:val="002A44B3"/>
    <w:rsid w:val="002A4C60"/>
    <w:rsid w:val="002A5494"/>
    <w:rsid w:val="002A6616"/>
    <w:rsid w:val="002A6CBB"/>
    <w:rsid w:val="002A7174"/>
    <w:rsid w:val="002A72CF"/>
    <w:rsid w:val="002A7351"/>
    <w:rsid w:val="002A7493"/>
    <w:rsid w:val="002B0118"/>
    <w:rsid w:val="002B03C8"/>
    <w:rsid w:val="002B0F6C"/>
    <w:rsid w:val="002B16FE"/>
    <w:rsid w:val="002B1FE9"/>
    <w:rsid w:val="002B2E20"/>
    <w:rsid w:val="002B3594"/>
    <w:rsid w:val="002B3D68"/>
    <w:rsid w:val="002B4084"/>
    <w:rsid w:val="002B4208"/>
    <w:rsid w:val="002B4221"/>
    <w:rsid w:val="002B4FAF"/>
    <w:rsid w:val="002B51F5"/>
    <w:rsid w:val="002B52F5"/>
    <w:rsid w:val="002B6E07"/>
    <w:rsid w:val="002B75B8"/>
    <w:rsid w:val="002B75F5"/>
    <w:rsid w:val="002B7754"/>
    <w:rsid w:val="002B78BD"/>
    <w:rsid w:val="002C07B2"/>
    <w:rsid w:val="002C106A"/>
    <w:rsid w:val="002C1AA7"/>
    <w:rsid w:val="002C2822"/>
    <w:rsid w:val="002C340E"/>
    <w:rsid w:val="002C3601"/>
    <w:rsid w:val="002C37D7"/>
    <w:rsid w:val="002C3C49"/>
    <w:rsid w:val="002C4D3E"/>
    <w:rsid w:val="002C4E16"/>
    <w:rsid w:val="002C5021"/>
    <w:rsid w:val="002C50C8"/>
    <w:rsid w:val="002C5735"/>
    <w:rsid w:val="002C5860"/>
    <w:rsid w:val="002C5918"/>
    <w:rsid w:val="002C596B"/>
    <w:rsid w:val="002C5FA4"/>
    <w:rsid w:val="002D014D"/>
    <w:rsid w:val="002D03B5"/>
    <w:rsid w:val="002D0814"/>
    <w:rsid w:val="002D0A32"/>
    <w:rsid w:val="002D1F90"/>
    <w:rsid w:val="002D2574"/>
    <w:rsid w:val="002D5B32"/>
    <w:rsid w:val="002D62E0"/>
    <w:rsid w:val="002D731B"/>
    <w:rsid w:val="002D77B5"/>
    <w:rsid w:val="002E0089"/>
    <w:rsid w:val="002E1565"/>
    <w:rsid w:val="002E1C8B"/>
    <w:rsid w:val="002E21DF"/>
    <w:rsid w:val="002E3257"/>
    <w:rsid w:val="002E3A2C"/>
    <w:rsid w:val="002E5C07"/>
    <w:rsid w:val="002E634A"/>
    <w:rsid w:val="002E64FF"/>
    <w:rsid w:val="002E68A4"/>
    <w:rsid w:val="002E79FD"/>
    <w:rsid w:val="002E7EA9"/>
    <w:rsid w:val="002F0D79"/>
    <w:rsid w:val="002F1120"/>
    <w:rsid w:val="002F14B8"/>
    <w:rsid w:val="002F1555"/>
    <w:rsid w:val="002F1A63"/>
    <w:rsid w:val="002F2C62"/>
    <w:rsid w:val="002F3A18"/>
    <w:rsid w:val="002F3D8F"/>
    <w:rsid w:val="002F4520"/>
    <w:rsid w:val="002F463F"/>
    <w:rsid w:val="002F515E"/>
    <w:rsid w:val="002F5857"/>
    <w:rsid w:val="00300242"/>
    <w:rsid w:val="0030025D"/>
    <w:rsid w:val="00300FA2"/>
    <w:rsid w:val="00301220"/>
    <w:rsid w:val="0030192C"/>
    <w:rsid w:val="003019C5"/>
    <w:rsid w:val="00301DED"/>
    <w:rsid w:val="00301F7F"/>
    <w:rsid w:val="003020F9"/>
    <w:rsid w:val="003023B1"/>
    <w:rsid w:val="00302E65"/>
    <w:rsid w:val="00303399"/>
    <w:rsid w:val="00303F7A"/>
    <w:rsid w:val="0030524C"/>
    <w:rsid w:val="00306603"/>
    <w:rsid w:val="00307693"/>
    <w:rsid w:val="00307776"/>
    <w:rsid w:val="00307D7C"/>
    <w:rsid w:val="00310D24"/>
    <w:rsid w:val="003112D1"/>
    <w:rsid w:val="003124FB"/>
    <w:rsid w:val="0031453A"/>
    <w:rsid w:val="003149E4"/>
    <w:rsid w:val="00314AE8"/>
    <w:rsid w:val="00315D6A"/>
    <w:rsid w:val="0031600B"/>
    <w:rsid w:val="0031602D"/>
    <w:rsid w:val="0031681F"/>
    <w:rsid w:val="00316F68"/>
    <w:rsid w:val="00316F93"/>
    <w:rsid w:val="00317F06"/>
    <w:rsid w:val="00317F8B"/>
    <w:rsid w:val="003207A3"/>
    <w:rsid w:val="00320874"/>
    <w:rsid w:val="0032232B"/>
    <w:rsid w:val="00324EF3"/>
    <w:rsid w:val="00325764"/>
    <w:rsid w:val="003259A6"/>
    <w:rsid w:val="003262D4"/>
    <w:rsid w:val="00326510"/>
    <w:rsid w:val="00327292"/>
    <w:rsid w:val="00330D09"/>
    <w:rsid w:val="00331347"/>
    <w:rsid w:val="0033151A"/>
    <w:rsid w:val="00333420"/>
    <w:rsid w:val="00333FA1"/>
    <w:rsid w:val="00334496"/>
    <w:rsid w:val="00335381"/>
    <w:rsid w:val="0033574C"/>
    <w:rsid w:val="003362A3"/>
    <w:rsid w:val="003367E2"/>
    <w:rsid w:val="00340EAC"/>
    <w:rsid w:val="00342F77"/>
    <w:rsid w:val="00343815"/>
    <w:rsid w:val="00343C9E"/>
    <w:rsid w:val="0034524E"/>
    <w:rsid w:val="00346487"/>
    <w:rsid w:val="003473E4"/>
    <w:rsid w:val="00347568"/>
    <w:rsid w:val="00347704"/>
    <w:rsid w:val="00347AA9"/>
    <w:rsid w:val="003500BD"/>
    <w:rsid w:val="00350217"/>
    <w:rsid w:val="00350E86"/>
    <w:rsid w:val="0035115F"/>
    <w:rsid w:val="003511F2"/>
    <w:rsid w:val="00351D67"/>
    <w:rsid w:val="00353120"/>
    <w:rsid w:val="003540A0"/>
    <w:rsid w:val="00356D24"/>
    <w:rsid w:val="00356E4E"/>
    <w:rsid w:val="00356F66"/>
    <w:rsid w:val="00360778"/>
    <w:rsid w:val="003619EA"/>
    <w:rsid w:val="00361CA9"/>
    <w:rsid w:val="00363439"/>
    <w:rsid w:val="00363B47"/>
    <w:rsid w:val="00363C97"/>
    <w:rsid w:val="00364B84"/>
    <w:rsid w:val="00365215"/>
    <w:rsid w:val="0036537C"/>
    <w:rsid w:val="003656C0"/>
    <w:rsid w:val="00366A93"/>
    <w:rsid w:val="00366BD6"/>
    <w:rsid w:val="003673CD"/>
    <w:rsid w:val="00371D20"/>
    <w:rsid w:val="00374A06"/>
    <w:rsid w:val="00376466"/>
    <w:rsid w:val="003769CA"/>
    <w:rsid w:val="00376D57"/>
    <w:rsid w:val="00376E8D"/>
    <w:rsid w:val="003776F7"/>
    <w:rsid w:val="0037779E"/>
    <w:rsid w:val="00380D56"/>
    <w:rsid w:val="00380E3D"/>
    <w:rsid w:val="003813FD"/>
    <w:rsid w:val="003816DF"/>
    <w:rsid w:val="00381DB1"/>
    <w:rsid w:val="003822FE"/>
    <w:rsid w:val="0038269E"/>
    <w:rsid w:val="003840E0"/>
    <w:rsid w:val="00384639"/>
    <w:rsid w:val="00384921"/>
    <w:rsid w:val="00384B3A"/>
    <w:rsid w:val="00390469"/>
    <w:rsid w:val="00391073"/>
    <w:rsid w:val="003921F4"/>
    <w:rsid w:val="0039234C"/>
    <w:rsid w:val="00392BA6"/>
    <w:rsid w:val="0039322F"/>
    <w:rsid w:val="0039365F"/>
    <w:rsid w:val="00394283"/>
    <w:rsid w:val="003945EB"/>
    <w:rsid w:val="00395738"/>
    <w:rsid w:val="00395CB7"/>
    <w:rsid w:val="00396C2A"/>
    <w:rsid w:val="00396C9C"/>
    <w:rsid w:val="00396D4E"/>
    <w:rsid w:val="003978C9"/>
    <w:rsid w:val="003A0002"/>
    <w:rsid w:val="003A04CE"/>
    <w:rsid w:val="003A0640"/>
    <w:rsid w:val="003A2029"/>
    <w:rsid w:val="003A2288"/>
    <w:rsid w:val="003A650E"/>
    <w:rsid w:val="003A679E"/>
    <w:rsid w:val="003A6F16"/>
    <w:rsid w:val="003A6F95"/>
    <w:rsid w:val="003A7A9F"/>
    <w:rsid w:val="003A7BBA"/>
    <w:rsid w:val="003A7C1A"/>
    <w:rsid w:val="003A7CA8"/>
    <w:rsid w:val="003B08F7"/>
    <w:rsid w:val="003B1310"/>
    <w:rsid w:val="003B1385"/>
    <w:rsid w:val="003B18D8"/>
    <w:rsid w:val="003B247E"/>
    <w:rsid w:val="003B25A4"/>
    <w:rsid w:val="003B2B30"/>
    <w:rsid w:val="003B2C00"/>
    <w:rsid w:val="003B3610"/>
    <w:rsid w:val="003B4082"/>
    <w:rsid w:val="003B4587"/>
    <w:rsid w:val="003B4F3F"/>
    <w:rsid w:val="003B4F6B"/>
    <w:rsid w:val="003B518C"/>
    <w:rsid w:val="003B5FC8"/>
    <w:rsid w:val="003B64EF"/>
    <w:rsid w:val="003B756A"/>
    <w:rsid w:val="003B7774"/>
    <w:rsid w:val="003C06A5"/>
    <w:rsid w:val="003C09B0"/>
    <w:rsid w:val="003C0B0D"/>
    <w:rsid w:val="003C0F69"/>
    <w:rsid w:val="003C17C3"/>
    <w:rsid w:val="003C1809"/>
    <w:rsid w:val="003C20A8"/>
    <w:rsid w:val="003C29FA"/>
    <w:rsid w:val="003C2F2B"/>
    <w:rsid w:val="003C4139"/>
    <w:rsid w:val="003C4643"/>
    <w:rsid w:val="003C4D2A"/>
    <w:rsid w:val="003C5008"/>
    <w:rsid w:val="003C60D4"/>
    <w:rsid w:val="003C6992"/>
    <w:rsid w:val="003D02A2"/>
    <w:rsid w:val="003D0680"/>
    <w:rsid w:val="003D0A87"/>
    <w:rsid w:val="003D1477"/>
    <w:rsid w:val="003D1925"/>
    <w:rsid w:val="003D30D6"/>
    <w:rsid w:val="003D3211"/>
    <w:rsid w:val="003D48F8"/>
    <w:rsid w:val="003D4AAA"/>
    <w:rsid w:val="003D4DEF"/>
    <w:rsid w:val="003D5CFC"/>
    <w:rsid w:val="003D683D"/>
    <w:rsid w:val="003D6FC7"/>
    <w:rsid w:val="003D7932"/>
    <w:rsid w:val="003D7E2F"/>
    <w:rsid w:val="003E0032"/>
    <w:rsid w:val="003E023F"/>
    <w:rsid w:val="003E03C0"/>
    <w:rsid w:val="003E057B"/>
    <w:rsid w:val="003E078F"/>
    <w:rsid w:val="003E1510"/>
    <w:rsid w:val="003E2AD7"/>
    <w:rsid w:val="003E321E"/>
    <w:rsid w:val="003E3DB3"/>
    <w:rsid w:val="003E50D7"/>
    <w:rsid w:val="003E53F3"/>
    <w:rsid w:val="003E57C4"/>
    <w:rsid w:val="003E678B"/>
    <w:rsid w:val="003E6959"/>
    <w:rsid w:val="003E72C6"/>
    <w:rsid w:val="003F0A10"/>
    <w:rsid w:val="003F140C"/>
    <w:rsid w:val="003F206B"/>
    <w:rsid w:val="003F4B26"/>
    <w:rsid w:val="003F5713"/>
    <w:rsid w:val="003F5727"/>
    <w:rsid w:val="003F5FCD"/>
    <w:rsid w:val="003F60D3"/>
    <w:rsid w:val="003F6B01"/>
    <w:rsid w:val="003F740A"/>
    <w:rsid w:val="004001CE"/>
    <w:rsid w:val="004001E2"/>
    <w:rsid w:val="00401340"/>
    <w:rsid w:val="0040136A"/>
    <w:rsid w:val="00401D48"/>
    <w:rsid w:val="0040282C"/>
    <w:rsid w:val="004033DD"/>
    <w:rsid w:val="0040355A"/>
    <w:rsid w:val="00403EAC"/>
    <w:rsid w:val="00405BF3"/>
    <w:rsid w:val="004075C4"/>
    <w:rsid w:val="00412F4A"/>
    <w:rsid w:val="004139C8"/>
    <w:rsid w:val="00414CE5"/>
    <w:rsid w:val="004162D0"/>
    <w:rsid w:val="004162DE"/>
    <w:rsid w:val="0041708E"/>
    <w:rsid w:val="0042039A"/>
    <w:rsid w:val="004214D6"/>
    <w:rsid w:val="004224A6"/>
    <w:rsid w:val="004225B8"/>
    <w:rsid w:val="0042487C"/>
    <w:rsid w:val="004259C2"/>
    <w:rsid w:val="00425DA4"/>
    <w:rsid w:val="004264B3"/>
    <w:rsid w:val="00430035"/>
    <w:rsid w:val="004310D0"/>
    <w:rsid w:val="00431A24"/>
    <w:rsid w:val="00431AC0"/>
    <w:rsid w:val="00431B6F"/>
    <w:rsid w:val="00432E4D"/>
    <w:rsid w:val="00433C49"/>
    <w:rsid w:val="00434773"/>
    <w:rsid w:val="00436E00"/>
    <w:rsid w:val="00437217"/>
    <w:rsid w:val="00437839"/>
    <w:rsid w:val="00437C29"/>
    <w:rsid w:val="00437ED6"/>
    <w:rsid w:val="00437EDF"/>
    <w:rsid w:val="004401AB"/>
    <w:rsid w:val="00440A76"/>
    <w:rsid w:val="004425BC"/>
    <w:rsid w:val="00443B67"/>
    <w:rsid w:val="00443E16"/>
    <w:rsid w:val="00443FC0"/>
    <w:rsid w:val="00444129"/>
    <w:rsid w:val="0044416F"/>
    <w:rsid w:val="0044443F"/>
    <w:rsid w:val="004444B9"/>
    <w:rsid w:val="00444BFA"/>
    <w:rsid w:val="0044527C"/>
    <w:rsid w:val="004456C0"/>
    <w:rsid w:val="00445905"/>
    <w:rsid w:val="00445B92"/>
    <w:rsid w:val="00446018"/>
    <w:rsid w:val="00446061"/>
    <w:rsid w:val="0044689F"/>
    <w:rsid w:val="004468E6"/>
    <w:rsid w:val="0044737A"/>
    <w:rsid w:val="004479C2"/>
    <w:rsid w:val="00447BD9"/>
    <w:rsid w:val="004505B2"/>
    <w:rsid w:val="00450EB6"/>
    <w:rsid w:val="00451928"/>
    <w:rsid w:val="004522FD"/>
    <w:rsid w:val="00452BFF"/>
    <w:rsid w:val="00452E87"/>
    <w:rsid w:val="00453B68"/>
    <w:rsid w:val="004552F2"/>
    <w:rsid w:val="00455A02"/>
    <w:rsid w:val="00455CB9"/>
    <w:rsid w:val="00455DAD"/>
    <w:rsid w:val="00457234"/>
    <w:rsid w:val="00457616"/>
    <w:rsid w:val="004579DD"/>
    <w:rsid w:val="00457EB4"/>
    <w:rsid w:val="00457F6F"/>
    <w:rsid w:val="0046153C"/>
    <w:rsid w:val="004633C7"/>
    <w:rsid w:val="004633CE"/>
    <w:rsid w:val="004634B6"/>
    <w:rsid w:val="00463BC0"/>
    <w:rsid w:val="00463D64"/>
    <w:rsid w:val="00464174"/>
    <w:rsid w:val="00466544"/>
    <w:rsid w:val="00467A2F"/>
    <w:rsid w:val="00470221"/>
    <w:rsid w:val="00470CDE"/>
    <w:rsid w:val="00470FA0"/>
    <w:rsid w:val="00473A51"/>
    <w:rsid w:val="00474398"/>
    <w:rsid w:val="0047499E"/>
    <w:rsid w:val="00476328"/>
    <w:rsid w:val="00476827"/>
    <w:rsid w:val="00477D91"/>
    <w:rsid w:val="00477E73"/>
    <w:rsid w:val="00483058"/>
    <w:rsid w:val="004833AB"/>
    <w:rsid w:val="00483939"/>
    <w:rsid w:val="00484A9B"/>
    <w:rsid w:val="00485086"/>
    <w:rsid w:val="00485267"/>
    <w:rsid w:val="00485358"/>
    <w:rsid w:val="004855C2"/>
    <w:rsid w:val="00485642"/>
    <w:rsid w:val="004857AA"/>
    <w:rsid w:val="00486511"/>
    <w:rsid w:val="00486E3B"/>
    <w:rsid w:val="00486F31"/>
    <w:rsid w:val="00486FA2"/>
    <w:rsid w:val="00487603"/>
    <w:rsid w:val="004905C4"/>
    <w:rsid w:val="004911B7"/>
    <w:rsid w:val="0049125E"/>
    <w:rsid w:val="00491437"/>
    <w:rsid w:val="00491501"/>
    <w:rsid w:val="004922B1"/>
    <w:rsid w:val="00492465"/>
    <w:rsid w:val="004935AA"/>
    <w:rsid w:val="00493A7F"/>
    <w:rsid w:val="00493BDE"/>
    <w:rsid w:val="00493CF5"/>
    <w:rsid w:val="00494EE1"/>
    <w:rsid w:val="0049569E"/>
    <w:rsid w:val="004956B9"/>
    <w:rsid w:val="00495E2E"/>
    <w:rsid w:val="00495FF0"/>
    <w:rsid w:val="00497853"/>
    <w:rsid w:val="004A0342"/>
    <w:rsid w:val="004A05EB"/>
    <w:rsid w:val="004A241D"/>
    <w:rsid w:val="004A299A"/>
    <w:rsid w:val="004A2BB5"/>
    <w:rsid w:val="004A400D"/>
    <w:rsid w:val="004A499A"/>
    <w:rsid w:val="004A5ECE"/>
    <w:rsid w:val="004A61E8"/>
    <w:rsid w:val="004A6874"/>
    <w:rsid w:val="004A7F5F"/>
    <w:rsid w:val="004B0C83"/>
    <w:rsid w:val="004B23AB"/>
    <w:rsid w:val="004B3D7E"/>
    <w:rsid w:val="004B3E6E"/>
    <w:rsid w:val="004B5D8C"/>
    <w:rsid w:val="004B62E3"/>
    <w:rsid w:val="004B6E23"/>
    <w:rsid w:val="004C0682"/>
    <w:rsid w:val="004C1881"/>
    <w:rsid w:val="004C1A36"/>
    <w:rsid w:val="004C2289"/>
    <w:rsid w:val="004C4271"/>
    <w:rsid w:val="004C4447"/>
    <w:rsid w:val="004C44DC"/>
    <w:rsid w:val="004C5D8E"/>
    <w:rsid w:val="004C6332"/>
    <w:rsid w:val="004C6478"/>
    <w:rsid w:val="004C6773"/>
    <w:rsid w:val="004C6A6D"/>
    <w:rsid w:val="004C717E"/>
    <w:rsid w:val="004C78D3"/>
    <w:rsid w:val="004D0F54"/>
    <w:rsid w:val="004D1A6B"/>
    <w:rsid w:val="004D21BD"/>
    <w:rsid w:val="004D2BB7"/>
    <w:rsid w:val="004D2F5D"/>
    <w:rsid w:val="004D3154"/>
    <w:rsid w:val="004D331B"/>
    <w:rsid w:val="004D41B8"/>
    <w:rsid w:val="004D4383"/>
    <w:rsid w:val="004D456B"/>
    <w:rsid w:val="004D46C4"/>
    <w:rsid w:val="004D4FFF"/>
    <w:rsid w:val="004D51D8"/>
    <w:rsid w:val="004D5B2F"/>
    <w:rsid w:val="004D5CA7"/>
    <w:rsid w:val="004D63B3"/>
    <w:rsid w:val="004D7D8A"/>
    <w:rsid w:val="004E019E"/>
    <w:rsid w:val="004E12AA"/>
    <w:rsid w:val="004E2EA8"/>
    <w:rsid w:val="004E55B7"/>
    <w:rsid w:val="004E5648"/>
    <w:rsid w:val="004E58AC"/>
    <w:rsid w:val="004E674F"/>
    <w:rsid w:val="004E6777"/>
    <w:rsid w:val="004F15F6"/>
    <w:rsid w:val="004F1F45"/>
    <w:rsid w:val="004F4CFC"/>
    <w:rsid w:val="004F59F2"/>
    <w:rsid w:val="004F5D1A"/>
    <w:rsid w:val="004F6282"/>
    <w:rsid w:val="004F7B09"/>
    <w:rsid w:val="00500384"/>
    <w:rsid w:val="00500A0E"/>
    <w:rsid w:val="00500F17"/>
    <w:rsid w:val="00501610"/>
    <w:rsid w:val="005026FC"/>
    <w:rsid w:val="0050278E"/>
    <w:rsid w:val="00502869"/>
    <w:rsid w:val="00502875"/>
    <w:rsid w:val="00502A96"/>
    <w:rsid w:val="00502DA1"/>
    <w:rsid w:val="0050448F"/>
    <w:rsid w:val="0050490C"/>
    <w:rsid w:val="005056AC"/>
    <w:rsid w:val="00505D39"/>
    <w:rsid w:val="0050618C"/>
    <w:rsid w:val="005068A0"/>
    <w:rsid w:val="00506BC0"/>
    <w:rsid w:val="00506D4A"/>
    <w:rsid w:val="00506D7E"/>
    <w:rsid w:val="00506EDA"/>
    <w:rsid w:val="00510ACE"/>
    <w:rsid w:val="00510C96"/>
    <w:rsid w:val="005117E2"/>
    <w:rsid w:val="00511B36"/>
    <w:rsid w:val="00512A77"/>
    <w:rsid w:val="00512C77"/>
    <w:rsid w:val="00512D7D"/>
    <w:rsid w:val="00513545"/>
    <w:rsid w:val="00513BF3"/>
    <w:rsid w:val="00513ECE"/>
    <w:rsid w:val="005142B5"/>
    <w:rsid w:val="00514C1C"/>
    <w:rsid w:val="00515B7A"/>
    <w:rsid w:val="00515F00"/>
    <w:rsid w:val="005207D6"/>
    <w:rsid w:val="00520CAC"/>
    <w:rsid w:val="0052100E"/>
    <w:rsid w:val="00521CB8"/>
    <w:rsid w:val="00522821"/>
    <w:rsid w:val="00522B85"/>
    <w:rsid w:val="00522C9A"/>
    <w:rsid w:val="00522E66"/>
    <w:rsid w:val="00523D13"/>
    <w:rsid w:val="00523F74"/>
    <w:rsid w:val="005241E5"/>
    <w:rsid w:val="0052470D"/>
    <w:rsid w:val="005247C0"/>
    <w:rsid w:val="0052529B"/>
    <w:rsid w:val="005253E0"/>
    <w:rsid w:val="00526002"/>
    <w:rsid w:val="00526030"/>
    <w:rsid w:val="005261EC"/>
    <w:rsid w:val="00526FA6"/>
    <w:rsid w:val="0052767C"/>
    <w:rsid w:val="005276A9"/>
    <w:rsid w:val="005277C9"/>
    <w:rsid w:val="00527B65"/>
    <w:rsid w:val="00530503"/>
    <w:rsid w:val="00530A8F"/>
    <w:rsid w:val="00531462"/>
    <w:rsid w:val="00531A82"/>
    <w:rsid w:val="00531D5B"/>
    <w:rsid w:val="005321EC"/>
    <w:rsid w:val="0053221B"/>
    <w:rsid w:val="0053226C"/>
    <w:rsid w:val="005325CB"/>
    <w:rsid w:val="0053284F"/>
    <w:rsid w:val="00532AD3"/>
    <w:rsid w:val="00533C7C"/>
    <w:rsid w:val="005346B3"/>
    <w:rsid w:val="00535258"/>
    <w:rsid w:val="005353E4"/>
    <w:rsid w:val="00535FA5"/>
    <w:rsid w:val="00537846"/>
    <w:rsid w:val="005405D7"/>
    <w:rsid w:val="00540A33"/>
    <w:rsid w:val="005418AB"/>
    <w:rsid w:val="00541F3D"/>
    <w:rsid w:val="00542210"/>
    <w:rsid w:val="005427CB"/>
    <w:rsid w:val="00542B8F"/>
    <w:rsid w:val="0054356B"/>
    <w:rsid w:val="00544736"/>
    <w:rsid w:val="00544B8D"/>
    <w:rsid w:val="00545612"/>
    <w:rsid w:val="005458A2"/>
    <w:rsid w:val="00546077"/>
    <w:rsid w:val="005461B9"/>
    <w:rsid w:val="005462BF"/>
    <w:rsid w:val="00546B24"/>
    <w:rsid w:val="00546F55"/>
    <w:rsid w:val="0054761C"/>
    <w:rsid w:val="0055062C"/>
    <w:rsid w:val="00551132"/>
    <w:rsid w:val="00551A06"/>
    <w:rsid w:val="00551E57"/>
    <w:rsid w:val="00552375"/>
    <w:rsid w:val="0055269D"/>
    <w:rsid w:val="005526E7"/>
    <w:rsid w:val="005527C7"/>
    <w:rsid w:val="00552E27"/>
    <w:rsid w:val="00553772"/>
    <w:rsid w:val="00554167"/>
    <w:rsid w:val="00554CDD"/>
    <w:rsid w:val="0055519C"/>
    <w:rsid w:val="00555279"/>
    <w:rsid w:val="00555A7D"/>
    <w:rsid w:val="00556C27"/>
    <w:rsid w:val="00556D47"/>
    <w:rsid w:val="00557AEB"/>
    <w:rsid w:val="00560125"/>
    <w:rsid w:val="0056046B"/>
    <w:rsid w:val="00560E47"/>
    <w:rsid w:val="00561447"/>
    <w:rsid w:val="005614A6"/>
    <w:rsid w:val="00562EBF"/>
    <w:rsid w:val="00563693"/>
    <w:rsid w:val="005638FE"/>
    <w:rsid w:val="00564756"/>
    <w:rsid w:val="00565187"/>
    <w:rsid w:val="00570682"/>
    <w:rsid w:val="0057094A"/>
    <w:rsid w:val="00570F3A"/>
    <w:rsid w:val="00571EE6"/>
    <w:rsid w:val="00572ACE"/>
    <w:rsid w:val="005734CF"/>
    <w:rsid w:val="005735D2"/>
    <w:rsid w:val="00573D52"/>
    <w:rsid w:val="00573DEF"/>
    <w:rsid w:val="00574AC2"/>
    <w:rsid w:val="005756AB"/>
    <w:rsid w:val="0057573C"/>
    <w:rsid w:val="00575E92"/>
    <w:rsid w:val="0057761C"/>
    <w:rsid w:val="00577F4A"/>
    <w:rsid w:val="005805F7"/>
    <w:rsid w:val="0058073E"/>
    <w:rsid w:val="00580788"/>
    <w:rsid w:val="00580BA7"/>
    <w:rsid w:val="00582125"/>
    <w:rsid w:val="00582DB0"/>
    <w:rsid w:val="0058320B"/>
    <w:rsid w:val="00584E23"/>
    <w:rsid w:val="00584F87"/>
    <w:rsid w:val="005851B6"/>
    <w:rsid w:val="005858C4"/>
    <w:rsid w:val="005859AB"/>
    <w:rsid w:val="00585EB5"/>
    <w:rsid w:val="00586802"/>
    <w:rsid w:val="00587147"/>
    <w:rsid w:val="00587A10"/>
    <w:rsid w:val="0059010E"/>
    <w:rsid w:val="0059049C"/>
    <w:rsid w:val="00590608"/>
    <w:rsid w:val="00591F8E"/>
    <w:rsid w:val="00592ABB"/>
    <w:rsid w:val="00592C89"/>
    <w:rsid w:val="00593DE5"/>
    <w:rsid w:val="00594066"/>
    <w:rsid w:val="00594382"/>
    <w:rsid w:val="0059457E"/>
    <w:rsid w:val="00595778"/>
    <w:rsid w:val="00596876"/>
    <w:rsid w:val="00596A98"/>
    <w:rsid w:val="00596CE2"/>
    <w:rsid w:val="00597254"/>
    <w:rsid w:val="00597322"/>
    <w:rsid w:val="005A14C8"/>
    <w:rsid w:val="005A1C3E"/>
    <w:rsid w:val="005A212B"/>
    <w:rsid w:val="005A2F5C"/>
    <w:rsid w:val="005A316F"/>
    <w:rsid w:val="005A36E1"/>
    <w:rsid w:val="005A3B6F"/>
    <w:rsid w:val="005A42BE"/>
    <w:rsid w:val="005A43ED"/>
    <w:rsid w:val="005A43F2"/>
    <w:rsid w:val="005A5128"/>
    <w:rsid w:val="005A5326"/>
    <w:rsid w:val="005A5623"/>
    <w:rsid w:val="005A6DDD"/>
    <w:rsid w:val="005A6F49"/>
    <w:rsid w:val="005A72EC"/>
    <w:rsid w:val="005A7654"/>
    <w:rsid w:val="005A7DC6"/>
    <w:rsid w:val="005A7DD0"/>
    <w:rsid w:val="005B0699"/>
    <w:rsid w:val="005B09B2"/>
    <w:rsid w:val="005B2A1C"/>
    <w:rsid w:val="005B31AC"/>
    <w:rsid w:val="005B3D7C"/>
    <w:rsid w:val="005B3DBD"/>
    <w:rsid w:val="005B47E5"/>
    <w:rsid w:val="005B4B01"/>
    <w:rsid w:val="005B5ED4"/>
    <w:rsid w:val="005B5F63"/>
    <w:rsid w:val="005B6FC5"/>
    <w:rsid w:val="005B7052"/>
    <w:rsid w:val="005C0609"/>
    <w:rsid w:val="005C0B2C"/>
    <w:rsid w:val="005C117E"/>
    <w:rsid w:val="005C128E"/>
    <w:rsid w:val="005C18DA"/>
    <w:rsid w:val="005C1E35"/>
    <w:rsid w:val="005C3781"/>
    <w:rsid w:val="005C4045"/>
    <w:rsid w:val="005C4723"/>
    <w:rsid w:val="005C4836"/>
    <w:rsid w:val="005C5324"/>
    <w:rsid w:val="005C5E2A"/>
    <w:rsid w:val="005C659C"/>
    <w:rsid w:val="005C659E"/>
    <w:rsid w:val="005D058B"/>
    <w:rsid w:val="005D0C6F"/>
    <w:rsid w:val="005D0D07"/>
    <w:rsid w:val="005D0ED1"/>
    <w:rsid w:val="005D2AA1"/>
    <w:rsid w:val="005D320A"/>
    <w:rsid w:val="005D3A79"/>
    <w:rsid w:val="005D3BAE"/>
    <w:rsid w:val="005D3DF1"/>
    <w:rsid w:val="005D4797"/>
    <w:rsid w:val="005D6346"/>
    <w:rsid w:val="005D68F1"/>
    <w:rsid w:val="005D70C0"/>
    <w:rsid w:val="005D72BD"/>
    <w:rsid w:val="005D78B2"/>
    <w:rsid w:val="005D7F6D"/>
    <w:rsid w:val="005E138E"/>
    <w:rsid w:val="005E15E3"/>
    <w:rsid w:val="005E19C7"/>
    <w:rsid w:val="005E2377"/>
    <w:rsid w:val="005E2FCF"/>
    <w:rsid w:val="005E402B"/>
    <w:rsid w:val="005E4438"/>
    <w:rsid w:val="005E47EC"/>
    <w:rsid w:val="005E4BFC"/>
    <w:rsid w:val="005E591D"/>
    <w:rsid w:val="005E673C"/>
    <w:rsid w:val="005E6D9B"/>
    <w:rsid w:val="005E753F"/>
    <w:rsid w:val="005E7CC1"/>
    <w:rsid w:val="005F035E"/>
    <w:rsid w:val="005F1156"/>
    <w:rsid w:val="005F1426"/>
    <w:rsid w:val="005F1EAD"/>
    <w:rsid w:val="005F20BB"/>
    <w:rsid w:val="005F3E63"/>
    <w:rsid w:val="005F43C3"/>
    <w:rsid w:val="005F6025"/>
    <w:rsid w:val="005F609E"/>
    <w:rsid w:val="005F624B"/>
    <w:rsid w:val="005F6A21"/>
    <w:rsid w:val="005F6B8D"/>
    <w:rsid w:val="005F6C3B"/>
    <w:rsid w:val="005F75C2"/>
    <w:rsid w:val="0060075A"/>
    <w:rsid w:val="006024D3"/>
    <w:rsid w:val="00602CDC"/>
    <w:rsid w:val="006135A8"/>
    <w:rsid w:val="00614087"/>
    <w:rsid w:val="00614318"/>
    <w:rsid w:val="0061546A"/>
    <w:rsid w:val="00615639"/>
    <w:rsid w:val="00616845"/>
    <w:rsid w:val="006178A7"/>
    <w:rsid w:val="00621580"/>
    <w:rsid w:val="006226DB"/>
    <w:rsid w:val="00624CA0"/>
    <w:rsid w:val="006258CC"/>
    <w:rsid w:val="00626604"/>
    <w:rsid w:val="00626AD8"/>
    <w:rsid w:val="00627F59"/>
    <w:rsid w:val="0063116F"/>
    <w:rsid w:val="00631625"/>
    <w:rsid w:val="00633C31"/>
    <w:rsid w:val="00633D3F"/>
    <w:rsid w:val="006357C2"/>
    <w:rsid w:val="0063580B"/>
    <w:rsid w:val="00635EAF"/>
    <w:rsid w:val="00636A05"/>
    <w:rsid w:val="0063790B"/>
    <w:rsid w:val="00640087"/>
    <w:rsid w:val="006403CF"/>
    <w:rsid w:val="00640CDE"/>
    <w:rsid w:val="00641E7C"/>
    <w:rsid w:val="00641FF6"/>
    <w:rsid w:val="00642CCE"/>
    <w:rsid w:val="00643548"/>
    <w:rsid w:val="0064444B"/>
    <w:rsid w:val="006462BE"/>
    <w:rsid w:val="006462E4"/>
    <w:rsid w:val="006473BF"/>
    <w:rsid w:val="00647A36"/>
    <w:rsid w:val="00647C81"/>
    <w:rsid w:val="00650150"/>
    <w:rsid w:val="00650279"/>
    <w:rsid w:val="00650B11"/>
    <w:rsid w:val="006510A8"/>
    <w:rsid w:val="00652B70"/>
    <w:rsid w:val="00652B9B"/>
    <w:rsid w:val="006531BE"/>
    <w:rsid w:val="00653324"/>
    <w:rsid w:val="006533DA"/>
    <w:rsid w:val="00653473"/>
    <w:rsid w:val="0065532F"/>
    <w:rsid w:val="006556A5"/>
    <w:rsid w:val="00655F38"/>
    <w:rsid w:val="0065603B"/>
    <w:rsid w:val="00656F3A"/>
    <w:rsid w:val="006577D9"/>
    <w:rsid w:val="00657C8D"/>
    <w:rsid w:val="0066005B"/>
    <w:rsid w:val="00660EEE"/>
    <w:rsid w:val="006612A4"/>
    <w:rsid w:val="00662A66"/>
    <w:rsid w:val="00663351"/>
    <w:rsid w:val="0066434D"/>
    <w:rsid w:val="006645EF"/>
    <w:rsid w:val="00664964"/>
    <w:rsid w:val="00664C87"/>
    <w:rsid w:val="00664D6B"/>
    <w:rsid w:val="006652EA"/>
    <w:rsid w:val="006659A1"/>
    <w:rsid w:val="00665A0A"/>
    <w:rsid w:val="00665D73"/>
    <w:rsid w:val="00666597"/>
    <w:rsid w:val="0066694C"/>
    <w:rsid w:val="00666A9C"/>
    <w:rsid w:val="00666F43"/>
    <w:rsid w:val="00667D95"/>
    <w:rsid w:val="00670AB0"/>
    <w:rsid w:val="00670BCC"/>
    <w:rsid w:val="00670D8D"/>
    <w:rsid w:val="00671749"/>
    <w:rsid w:val="00671FF4"/>
    <w:rsid w:val="006726A1"/>
    <w:rsid w:val="00672E91"/>
    <w:rsid w:val="00672ECA"/>
    <w:rsid w:val="00673FD4"/>
    <w:rsid w:val="006740D3"/>
    <w:rsid w:val="006753D4"/>
    <w:rsid w:val="00676A21"/>
    <w:rsid w:val="00676F81"/>
    <w:rsid w:val="00677679"/>
    <w:rsid w:val="00677746"/>
    <w:rsid w:val="00677B4D"/>
    <w:rsid w:val="006804F7"/>
    <w:rsid w:val="00680DCF"/>
    <w:rsid w:val="006811A0"/>
    <w:rsid w:val="00681AED"/>
    <w:rsid w:val="00682812"/>
    <w:rsid w:val="006833E9"/>
    <w:rsid w:val="00683CA6"/>
    <w:rsid w:val="00683DCB"/>
    <w:rsid w:val="00684265"/>
    <w:rsid w:val="0068551C"/>
    <w:rsid w:val="0068750A"/>
    <w:rsid w:val="006877FA"/>
    <w:rsid w:val="006902ED"/>
    <w:rsid w:val="00691448"/>
    <w:rsid w:val="0069149D"/>
    <w:rsid w:val="00691561"/>
    <w:rsid w:val="0069243B"/>
    <w:rsid w:val="00693857"/>
    <w:rsid w:val="00696950"/>
    <w:rsid w:val="00696EBA"/>
    <w:rsid w:val="006972D0"/>
    <w:rsid w:val="00697508"/>
    <w:rsid w:val="00697C8A"/>
    <w:rsid w:val="00697E62"/>
    <w:rsid w:val="006A042F"/>
    <w:rsid w:val="006A0628"/>
    <w:rsid w:val="006A1189"/>
    <w:rsid w:val="006A1234"/>
    <w:rsid w:val="006A144B"/>
    <w:rsid w:val="006A1BED"/>
    <w:rsid w:val="006A3766"/>
    <w:rsid w:val="006A3C3B"/>
    <w:rsid w:val="006A469C"/>
    <w:rsid w:val="006A61C5"/>
    <w:rsid w:val="006A702B"/>
    <w:rsid w:val="006A7458"/>
    <w:rsid w:val="006A7756"/>
    <w:rsid w:val="006B03DC"/>
    <w:rsid w:val="006B184F"/>
    <w:rsid w:val="006B1F94"/>
    <w:rsid w:val="006B1FFE"/>
    <w:rsid w:val="006B4C01"/>
    <w:rsid w:val="006B4D0D"/>
    <w:rsid w:val="006B5734"/>
    <w:rsid w:val="006B71A8"/>
    <w:rsid w:val="006B7324"/>
    <w:rsid w:val="006B7326"/>
    <w:rsid w:val="006B79A8"/>
    <w:rsid w:val="006B7D4F"/>
    <w:rsid w:val="006B7DC1"/>
    <w:rsid w:val="006C010D"/>
    <w:rsid w:val="006C14B5"/>
    <w:rsid w:val="006C4006"/>
    <w:rsid w:val="006C4613"/>
    <w:rsid w:val="006C56F5"/>
    <w:rsid w:val="006C643B"/>
    <w:rsid w:val="006C6642"/>
    <w:rsid w:val="006C6D95"/>
    <w:rsid w:val="006C72BA"/>
    <w:rsid w:val="006C741C"/>
    <w:rsid w:val="006C7443"/>
    <w:rsid w:val="006C7B21"/>
    <w:rsid w:val="006C7DE9"/>
    <w:rsid w:val="006D034C"/>
    <w:rsid w:val="006D0CED"/>
    <w:rsid w:val="006D1451"/>
    <w:rsid w:val="006D2AFB"/>
    <w:rsid w:val="006D54EB"/>
    <w:rsid w:val="006D5648"/>
    <w:rsid w:val="006D5D2D"/>
    <w:rsid w:val="006D5D5B"/>
    <w:rsid w:val="006D65A9"/>
    <w:rsid w:val="006D671F"/>
    <w:rsid w:val="006D6775"/>
    <w:rsid w:val="006D7A77"/>
    <w:rsid w:val="006D7AC3"/>
    <w:rsid w:val="006E0F37"/>
    <w:rsid w:val="006E1199"/>
    <w:rsid w:val="006E22C9"/>
    <w:rsid w:val="006E3BFA"/>
    <w:rsid w:val="006E3F99"/>
    <w:rsid w:val="006E4250"/>
    <w:rsid w:val="006E4A63"/>
    <w:rsid w:val="006E4E8C"/>
    <w:rsid w:val="006E6601"/>
    <w:rsid w:val="006E6628"/>
    <w:rsid w:val="006E7EA9"/>
    <w:rsid w:val="006F0326"/>
    <w:rsid w:val="006F04C5"/>
    <w:rsid w:val="006F1ECC"/>
    <w:rsid w:val="006F5798"/>
    <w:rsid w:val="006F78EB"/>
    <w:rsid w:val="00700DB9"/>
    <w:rsid w:val="007033D1"/>
    <w:rsid w:val="00704FFB"/>
    <w:rsid w:val="0071078D"/>
    <w:rsid w:val="007108A5"/>
    <w:rsid w:val="00711CF6"/>
    <w:rsid w:val="00712086"/>
    <w:rsid w:val="00712657"/>
    <w:rsid w:val="007127B2"/>
    <w:rsid w:val="00712E98"/>
    <w:rsid w:val="00713372"/>
    <w:rsid w:val="007140D5"/>
    <w:rsid w:val="00714CB5"/>
    <w:rsid w:val="00714DAF"/>
    <w:rsid w:val="007150EB"/>
    <w:rsid w:val="00715748"/>
    <w:rsid w:val="0071640E"/>
    <w:rsid w:val="00716745"/>
    <w:rsid w:val="00716A16"/>
    <w:rsid w:val="007170F1"/>
    <w:rsid w:val="007173AA"/>
    <w:rsid w:val="0071761C"/>
    <w:rsid w:val="007179A4"/>
    <w:rsid w:val="00720793"/>
    <w:rsid w:val="00720B1B"/>
    <w:rsid w:val="00720D15"/>
    <w:rsid w:val="00722A7B"/>
    <w:rsid w:val="00722A82"/>
    <w:rsid w:val="0072533A"/>
    <w:rsid w:val="00726E20"/>
    <w:rsid w:val="00726E2E"/>
    <w:rsid w:val="0073075A"/>
    <w:rsid w:val="00730840"/>
    <w:rsid w:val="00732F8E"/>
    <w:rsid w:val="00733AF2"/>
    <w:rsid w:val="00734B53"/>
    <w:rsid w:val="00735366"/>
    <w:rsid w:val="007354CB"/>
    <w:rsid w:val="00736B7E"/>
    <w:rsid w:val="00740881"/>
    <w:rsid w:val="00741095"/>
    <w:rsid w:val="007414C7"/>
    <w:rsid w:val="00741682"/>
    <w:rsid w:val="007429FE"/>
    <w:rsid w:val="007439B3"/>
    <w:rsid w:val="007439F4"/>
    <w:rsid w:val="00743B21"/>
    <w:rsid w:val="007440BE"/>
    <w:rsid w:val="007445CF"/>
    <w:rsid w:val="00745FCC"/>
    <w:rsid w:val="00746381"/>
    <w:rsid w:val="007465F1"/>
    <w:rsid w:val="007477A2"/>
    <w:rsid w:val="00747860"/>
    <w:rsid w:val="00750698"/>
    <w:rsid w:val="007511EC"/>
    <w:rsid w:val="00754390"/>
    <w:rsid w:val="007543A4"/>
    <w:rsid w:val="0075618A"/>
    <w:rsid w:val="007572D2"/>
    <w:rsid w:val="00761CF9"/>
    <w:rsid w:val="00762156"/>
    <w:rsid w:val="007628C6"/>
    <w:rsid w:val="00763B58"/>
    <w:rsid w:val="00764958"/>
    <w:rsid w:val="00765688"/>
    <w:rsid w:val="00765C35"/>
    <w:rsid w:val="007661D7"/>
    <w:rsid w:val="00766842"/>
    <w:rsid w:val="00767839"/>
    <w:rsid w:val="00767885"/>
    <w:rsid w:val="007711C1"/>
    <w:rsid w:val="00772160"/>
    <w:rsid w:val="00772993"/>
    <w:rsid w:val="00772A77"/>
    <w:rsid w:val="00772D6F"/>
    <w:rsid w:val="00773F78"/>
    <w:rsid w:val="00773F94"/>
    <w:rsid w:val="00774421"/>
    <w:rsid w:val="00775711"/>
    <w:rsid w:val="00775C8C"/>
    <w:rsid w:val="00775CA3"/>
    <w:rsid w:val="00776165"/>
    <w:rsid w:val="007769E3"/>
    <w:rsid w:val="00781232"/>
    <w:rsid w:val="00781963"/>
    <w:rsid w:val="007828A2"/>
    <w:rsid w:val="00782E24"/>
    <w:rsid w:val="007835A4"/>
    <w:rsid w:val="00783CB0"/>
    <w:rsid w:val="00785101"/>
    <w:rsid w:val="00786DA6"/>
    <w:rsid w:val="007872A2"/>
    <w:rsid w:val="00787EA7"/>
    <w:rsid w:val="00790641"/>
    <w:rsid w:val="00790F77"/>
    <w:rsid w:val="00793367"/>
    <w:rsid w:val="007943C4"/>
    <w:rsid w:val="007945EB"/>
    <w:rsid w:val="00794862"/>
    <w:rsid w:val="00794B4B"/>
    <w:rsid w:val="00794C81"/>
    <w:rsid w:val="00795616"/>
    <w:rsid w:val="00795628"/>
    <w:rsid w:val="007958B2"/>
    <w:rsid w:val="00795A35"/>
    <w:rsid w:val="00796087"/>
    <w:rsid w:val="00796876"/>
    <w:rsid w:val="0079697A"/>
    <w:rsid w:val="00796F43"/>
    <w:rsid w:val="0079743A"/>
    <w:rsid w:val="00797711"/>
    <w:rsid w:val="007A0A7D"/>
    <w:rsid w:val="007A1643"/>
    <w:rsid w:val="007A19E5"/>
    <w:rsid w:val="007A2002"/>
    <w:rsid w:val="007A2732"/>
    <w:rsid w:val="007A3E7A"/>
    <w:rsid w:val="007A4299"/>
    <w:rsid w:val="007A49CC"/>
    <w:rsid w:val="007A5488"/>
    <w:rsid w:val="007A60C0"/>
    <w:rsid w:val="007A73D0"/>
    <w:rsid w:val="007A779F"/>
    <w:rsid w:val="007A7C04"/>
    <w:rsid w:val="007B0AD0"/>
    <w:rsid w:val="007B178F"/>
    <w:rsid w:val="007B2066"/>
    <w:rsid w:val="007B38BE"/>
    <w:rsid w:val="007B3A2F"/>
    <w:rsid w:val="007B3B94"/>
    <w:rsid w:val="007B49EE"/>
    <w:rsid w:val="007B69AB"/>
    <w:rsid w:val="007B6D6C"/>
    <w:rsid w:val="007B6DD5"/>
    <w:rsid w:val="007B6ECE"/>
    <w:rsid w:val="007C2388"/>
    <w:rsid w:val="007C24A7"/>
    <w:rsid w:val="007C5244"/>
    <w:rsid w:val="007C5B0D"/>
    <w:rsid w:val="007C72D6"/>
    <w:rsid w:val="007C757D"/>
    <w:rsid w:val="007D0CAB"/>
    <w:rsid w:val="007D2246"/>
    <w:rsid w:val="007D33A2"/>
    <w:rsid w:val="007D39EC"/>
    <w:rsid w:val="007D3FC5"/>
    <w:rsid w:val="007D5EAA"/>
    <w:rsid w:val="007D7F36"/>
    <w:rsid w:val="007E04CF"/>
    <w:rsid w:val="007E1DDE"/>
    <w:rsid w:val="007E22ED"/>
    <w:rsid w:val="007E2598"/>
    <w:rsid w:val="007E284D"/>
    <w:rsid w:val="007E2ECA"/>
    <w:rsid w:val="007E44D9"/>
    <w:rsid w:val="007E57A6"/>
    <w:rsid w:val="007E585F"/>
    <w:rsid w:val="007E5E48"/>
    <w:rsid w:val="007E66CF"/>
    <w:rsid w:val="007E78F7"/>
    <w:rsid w:val="007E7D85"/>
    <w:rsid w:val="007F00A3"/>
    <w:rsid w:val="007F0325"/>
    <w:rsid w:val="007F091E"/>
    <w:rsid w:val="007F18ED"/>
    <w:rsid w:val="007F1E18"/>
    <w:rsid w:val="007F2818"/>
    <w:rsid w:val="007F34D9"/>
    <w:rsid w:val="007F42FF"/>
    <w:rsid w:val="007F47F4"/>
    <w:rsid w:val="007F645B"/>
    <w:rsid w:val="007F6B69"/>
    <w:rsid w:val="007F6EE4"/>
    <w:rsid w:val="007F7F8E"/>
    <w:rsid w:val="008003BB"/>
    <w:rsid w:val="008019C2"/>
    <w:rsid w:val="00802489"/>
    <w:rsid w:val="008032AD"/>
    <w:rsid w:val="008048B6"/>
    <w:rsid w:val="00805110"/>
    <w:rsid w:val="0080796D"/>
    <w:rsid w:val="008079AE"/>
    <w:rsid w:val="00810746"/>
    <w:rsid w:val="00810C08"/>
    <w:rsid w:val="00810F1F"/>
    <w:rsid w:val="0081290F"/>
    <w:rsid w:val="00814408"/>
    <w:rsid w:val="0081513D"/>
    <w:rsid w:val="00815E4E"/>
    <w:rsid w:val="00816160"/>
    <w:rsid w:val="00816D10"/>
    <w:rsid w:val="00816FEA"/>
    <w:rsid w:val="00817DCB"/>
    <w:rsid w:val="00820CCE"/>
    <w:rsid w:val="00820E25"/>
    <w:rsid w:val="00821885"/>
    <w:rsid w:val="008219F5"/>
    <w:rsid w:val="00822930"/>
    <w:rsid w:val="0082361A"/>
    <w:rsid w:val="00824556"/>
    <w:rsid w:val="00825DD3"/>
    <w:rsid w:val="008263A5"/>
    <w:rsid w:val="00827490"/>
    <w:rsid w:val="00827FAE"/>
    <w:rsid w:val="008309B3"/>
    <w:rsid w:val="0083146D"/>
    <w:rsid w:val="0083159B"/>
    <w:rsid w:val="008325EF"/>
    <w:rsid w:val="00832C51"/>
    <w:rsid w:val="00833576"/>
    <w:rsid w:val="008348E3"/>
    <w:rsid w:val="00834C56"/>
    <w:rsid w:val="008367CD"/>
    <w:rsid w:val="00836ADE"/>
    <w:rsid w:val="00836AFE"/>
    <w:rsid w:val="00836B9F"/>
    <w:rsid w:val="00840C0C"/>
    <w:rsid w:val="008419D7"/>
    <w:rsid w:val="0084273F"/>
    <w:rsid w:val="00842D1E"/>
    <w:rsid w:val="008433D7"/>
    <w:rsid w:val="0084545E"/>
    <w:rsid w:val="00845E6D"/>
    <w:rsid w:val="008463B1"/>
    <w:rsid w:val="00846F64"/>
    <w:rsid w:val="00847D75"/>
    <w:rsid w:val="008500B4"/>
    <w:rsid w:val="0085078A"/>
    <w:rsid w:val="008508F9"/>
    <w:rsid w:val="00851140"/>
    <w:rsid w:val="00851E30"/>
    <w:rsid w:val="0085259B"/>
    <w:rsid w:val="0085266C"/>
    <w:rsid w:val="00853139"/>
    <w:rsid w:val="00854C88"/>
    <w:rsid w:val="00854DCA"/>
    <w:rsid w:val="0085678E"/>
    <w:rsid w:val="00856FF0"/>
    <w:rsid w:val="00857092"/>
    <w:rsid w:val="00857627"/>
    <w:rsid w:val="00857743"/>
    <w:rsid w:val="00857B0B"/>
    <w:rsid w:val="0086095F"/>
    <w:rsid w:val="00860CE6"/>
    <w:rsid w:val="00860FB1"/>
    <w:rsid w:val="00861506"/>
    <w:rsid w:val="00861946"/>
    <w:rsid w:val="0086201E"/>
    <w:rsid w:val="00862220"/>
    <w:rsid w:val="00862DF1"/>
    <w:rsid w:val="0086380A"/>
    <w:rsid w:val="0086624D"/>
    <w:rsid w:val="0086767B"/>
    <w:rsid w:val="00870834"/>
    <w:rsid w:val="008709D6"/>
    <w:rsid w:val="00871909"/>
    <w:rsid w:val="00872AC1"/>
    <w:rsid w:val="00872B95"/>
    <w:rsid w:val="00872DAF"/>
    <w:rsid w:val="0087319D"/>
    <w:rsid w:val="008738AD"/>
    <w:rsid w:val="00873EAD"/>
    <w:rsid w:val="00873EC4"/>
    <w:rsid w:val="00873FFA"/>
    <w:rsid w:val="00874B14"/>
    <w:rsid w:val="00874ECF"/>
    <w:rsid w:val="0087602D"/>
    <w:rsid w:val="00876AA3"/>
    <w:rsid w:val="0088070E"/>
    <w:rsid w:val="0088153C"/>
    <w:rsid w:val="008827BD"/>
    <w:rsid w:val="0088379E"/>
    <w:rsid w:val="00884C0D"/>
    <w:rsid w:val="008853CB"/>
    <w:rsid w:val="00886C2D"/>
    <w:rsid w:val="0088735B"/>
    <w:rsid w:val="00887BB9"/>
    <w:rsid w:val="00890E56"/>
    <w:rsid w:val="008914C1"/>
    <w:rsid w:val="008915BB"/>
    <w:rsid w:val="00891997"/>
    <w:rsid w:val="0089214D"/>
    <w:rsid w:val="00892850"/>
    <w:rsid w:val="00892A6B"/>
    <w:rsid w:val="00893D84"/>
    <w:rsid w:val="00894D54"/>
    <w:rsid w:val="00894DD4"/>
    <w:rsid w:val="0089527C"/>
    <w:rsid w:val="00895504"/>
    <w:rsid w:val="00896855"/>
    <w:rsid w:val="00896857"/>
    <w:rsid w:val="00896F7A"/>
    <w:rsid w:val="00897B93"/>
    <w:rsid w:val="00897F1D"/>
    <w:rsid w:val="008A089A"/>
    <w:rsid w:val="008A224D"/>
    <w:rsid w:val="008A35A3"/>
    <w:rsid w:val="008A368A"/>
    <w:rsid w:val="008A3F33"/>
    <w:rsid w:val="008A40E6"/>
    <w:rsid w:val="008A43D9"/>
    <w:rsid w:val="008A4428"/>
    <w:rsid w:val="008A4F50"/>
    <w:rsid w:val="008A5008"/>
    <w:rsid w:val="008A5411"/>
    <w:rsid w:val="008A5C81"/>
    <w:rsid w:val="008A66CA"/>
    <w:rsid w:val="008A7BCD"/>
    <w:rsid w:val="008B04A6"/>
    <w:rsid w:val="008B0693"/>
    <w:rsid w:val="008B0E49"/>
    <w:rsid w:val="008B1B18"/>
    <w:rsid w:val="008B1CE0"/>
    <w:rsid w:val="008B20F2"/>
    <w:rsid w:val="008B3133"/>
    <w:rsid w:val="008B433D"/>
    <w:rsid w:val="008B4357"/>
    <w:rsid w:val="008B772B"/>
    <w:rsid w:val="008C0044"/>
    <w:rsid w:val="008C1700"/>
    <w:rsid w:val="008C2747"/>
    <w:rsid w:val="008C2E44"/>
    <w:rsid w:val="008C44A8"/>
    <w:rsid w:val="008C4BCE"/>
    <w:rsid w:val="008C5412"/>
    <w:rsid w:val="008C79E8"/>
    <w:rsid w:val="008D0D5E"/>
    <w:rsid w:val="008D158E"/>
    <w:rsid w:val="008D1A8D"/>
    <w:rsid w:val="008D1E41"/>
    <w:rsid w:val="008D2D25"/>
    <w:rsid w:val="008D3984"/>
    <w:rsid w:val="008D3E05"/>
    <w:rsid w:val="008D3E8F"/>
    <w:rsid w:val="008D4437"/>
    <w:rsid w:val="008D4ABA"/>
    <w:rsid w:val="008D4BFD"/>
    <w:rsid w:val="008D4D1F"/>
    <w:rsid w:val="008D66D4"/>
    <w:rsid w:val="008D6AD3"/>
    <w:rsid w:val="008E0872"/>
    <w:rsid w:val="008E15B3"/>
    <w:rsid w:val="008E207A"/>
    <w:rsid w:val="008E2396"/>
    <w:rsid w:val="008E2EC7"/>
    <w:rsid w:val="008E344E"/>
    <w:rsid w:val="008E364A"/>
    <w:rsid w:val="008E36EB"/>
    <w:rsid w:val="008E4213"/>
    <w:rsid w:val="008E4715"/>
    <w:rsid w:val="008E5044"/>
    <w:rsid w:val="008E5060"/>
    <w:rsid w:val="008E5661"/>
    <w:rsid w:val="008E597C"/>
    <w:rsid w:val="008E5BFC"/>
    <w:rsid w:val="008E70DD"/>
    <w:rsid w:val="008E71A2"/>
    <w:rsid w:val="008E7385"/>
    <w:rsid w:val="008E740B"/>
    <w:rsid w:val="008E7687"/>
    <w:rsid w:val="008E7827"/>
    <w:rsid w:val="008E7A7B"/>
    <w:rsid w:val="008E7B41"/>
    <w:rsid w:val="008F26B4"/>
    <w:rsid w:val="008F2B7B"/>
    <w:rsid w:val="008F2ED8"/>
    <w:rsid w:val="008F417D"/>
    <w:rsid w:val="008F49BF"/>
    <w:rsid w:val="008F4A75"/>
    <w:rsid w:val="008F4E4D"/>
    <w:rsid w:val="008F5CF5"/>
    <w:rsid w:val="008F754C"/>
    <w:rsid w:val="008F7717"/>
    <w:rsid w:val="009002C5"/>
    <w:rsid w:val="009019FF"/>
    <w:rsid w:val="00904403"/>
    <w:rsid w:val="00904D2D"/>
    <w:rsid w:val="009056C7"/>
    <w:rsid w:val="00905E07"/>
    <w:rsid w:val="00910783"/>
    <w:rsid w:val="009115C0"/>
    <w:rsid w:val="00912038"/>
    <w:rsid w:val="009124E0"/>
    <w:rsid w:val="009128C2"/>
    <w:rsid w:val="00912E46"/>
    <w:rsid w:val="009137E1"/>
    <w:rsid w:val="00913FB5"/>
    <w:rsid w:val="00914B44"/>
    <w:rsid w:val="00915937"/>
    <w:rsid w:val="00915B86"/>
    <w:rsid w:val="009161BD"/>
    <w:rsid w:val="00916324"/>
    <w:rsid w:val="00916CB6"/>
    <w:rsid w:val="0091714E"/>
    <w:rsid w:val="00917155"/>
    <w:rsid w:val="00917BEE"/>
    <w:rsid w:val="00920AA2"/>
    <w:rsid w:val="00920AC2"/>
    <w:rsid w:val="009214E7"/>
    <w:rsid w:val="00921A2A"/>
    <w:rsid w:val="00921EEE"/>
    <w:rsid w:val="00921FE5"/>
    <w:rsid w:val="00922630"/>
    <w:rsid w:val="00922706"/>
    <w:rsid w:val="00922A20"/>
    <w:rsid w:val="00923579"/>
    <w:rsid w:val="00923803"/>
    <w:rsid w:val="00925DDB"/>
    <w:rsid w:val="009268E7"/>
    <w:rsid w:val="00927350"/>
    <w:rsid w:val="009273EC"/>
    <w:rsid w:val="00927429"/>
    <w:rsid w:val="009277CD"/>
    <w:rsid w:val="00927893"/>
    <w:rsid w:val="00927E44"/>
    <w:rsid w:val="00930B8E"/>
    <w:rsid w:val="009315F4"/>
    <w:rsid w:val="0093261F"/>
    <w:rsid w:val="00932A75"/>
    <w:rsid w:val="009332F0"/>
    <w:rsid w:val="00933A36"/>
    <w:rsid w:val="00934B24"/>
    <w:rsid w:val="0093665C"/>
    <w:rsid w:val="0093678E"/>
    <w:rsid w:val="009367FB"/>
    <w:rsid w:val="0093766D"/>
    <w:rsid w:val="00937DA6"/>
    <w:rsid w:val="009419EB"/>
    <w:rsid w:val="00941FEF"/>
    <w:rsid w:val="00942454"/>
    <w:rsid w:val="009424B3"/>
    <w:rsid w:val="009428B5"/>
    <w:rsid w:val="00944436"/>
    <w:rsid w:val="009448BD"/>
    <w:rsid w:val="00944BD2"/>
    <w:rsid w:val="009459A1"/>
    <w:rsid w:val="00946796"/>
    <w:rsid w:val="009476E5"/>
    <w:rsid w:val="00947B4A"/>
    <w:rsid w:val="0095092D"/>
    <w:rsid w:val="0095123E"/>
    <w:rsid w:val="00953612"/>
    <w:rsid w:val="00953B30"/>
    <w:rsid w:val="009558A3"/>
    <w:rsid w:val="00956159"/>
    <w:rsid w:val="009579AF"/>
    <w:rsid w:val="0096017D"/>
    <w:rsid w:val="00960DAE"/>
    <w:rsid w:val="00961C2A"/>
    <w:rsid w:val="00962153"/>
    <w:rsid w:val="009629A0"/>
    <w:rsid w:val="00962A4B"/>
    <w:rsid w:val="00962B6F"/>
    <w:rsid w:val="009631AB"/>
    <w:rsid w:val="00963476"/>
    <w:rsid w:val="009647AA"/>
    <w:rsid w:val="00964CBC"/>
    <w:rsid w:val="00964DC8"/>
    <w:rsid w:val="00965B29"/>
    <w:rsid w:val="00970246"/>
    <w:rsid w:val="00970FF1"/>
    <w:rsid w:val="009712B1"/>
    <w:rsid w:val="00971EFB"/>
    <w:rsid w:val="00972C62"/>
    <w:rsid w:val="009767F3"/>
    <w:rsid w:val="00976E36"/>
    <w:rsid w:val="0097701E"/>
    <w:rsid w:val="00980BA3"/>
    <w:rsid w:val="009810B5"/>
    <w:rsid w:val="00981125"/>
    <w:rsid w:val="00983089"/>
    <w:rsid w:val="00983606"/>
    <w:rsid w:val="00983D97"/>
    <w:rsid w:val="00985FCE"/>
    <w:rsid w:val="009861F5"/>
    <w:rsid w:val="0098666E"/>
    <w:rsid w:val="0098705E"/>
    <w:rsid w:val="00987DED"/>
    <w:rsid w:val="00990863"/>
    <w:rsid w:val="00990BA3"/>
    <w:rsid w:val="00991456"/>
    <w:rsid w:val="00991D69"/>
    <w:rsid w:val="009925C7"/>
    <w:rsid w:val="009926B5"/>
    <w:rsid w:val="00993193"/>
    <w:rsid w:val="00994F82"/>
    <w:rsid w:val="009955F3"/>
    <w:rsid w:val="0099577B"/>
    <w:rsid w:val="00995C91"/>
    <w:rsid w:val="00995CA5"/>
    <w:rsid w:val="00996A74"/>
    <w:rsid w:val="00996E5E"/>
    <w:rsid w:val="00996E61"/>
    <w:rsid w:val="00997BD3"/>
    <w:rsid w:val="00997EFB"/>
    <w:rsid w:val="009A054A"/>
    <w:rsid w:val="009A070E"/>
    <w:rsid w:val="009A0B31"/>
    <w:rsid w:val="009A0ECB"/>
    <w:rsid w:val="009A0F7A"/>
    <w:rsid w:val="009A105A"/>
    <w:rsid w:val="009A1B97"/>
    <w:rsid w:val="009A2464"/>
    <w:rsid w:val="009A3190"/>
    <w:rsid w:val="009A38ED"/>
    <w:rsid w:val="009A3944"/>
    <w:rsid w:val="009A4744"/>
    <w:rsid w:val="009A4B58"/>
    <w:rsid w:val="009A51E9"/>
    <w:rsid w:val="009A7AF5"/>
    <w:rsid w:val="009B050F"/>
    <w:rsid w:val="009B0526"/>
    <w:rsid w:val="009B1356"/>
    <w:rsid w:val="009B2158"/>
    <w:rsid w:val="009B2726"/>
    <w:rsid w:val="009B2781"/>
    <w:rsid w:val="009B3A00"/>
    <w:rsid w:val="009B470B"/>
    <w:rsid w:val="009B4B57"/>
    <w:rsid w:val="009B4F03"/>
    <w:rsid w:val="009B5443"/>
    <w:rsid w:val="009B58EA"/>
    <w:rsid w:val="009B636E"/>
    <w:rsid w:val="009B70B1"/>
    <w:rsid w:val="009B7137"/>
    <w:rsid w:val="009B724F"/>
    <w:rsid w:val="009B7E18"/>
    <w:rsid w:val="009C00A5"/>
    <w:rsid w:val="009C00CD"/>
    <w:rsid w:val="009C13EB"/>
    <w:rsid w:val="009C309D"/>
    <w:rsid w:val="009C3219"/>
    <w:rsid w:val="009C3610"/>
    <w:rsid w:val="009C473F"/>
    <w:rsid w:val="009C4A88"/>
    <w:rsid w:val="009C53D5"/>
    <w:rsid w:val="009C5E2C"/>
    <w:rsid w:val="009C67A6"/>
    <w:rsid w:val="009C68BE"/>
    <w:rsid w:val="009C6A3A"/>
    <w:rsid w:val="009C78A5"/>
    <w:rsid w:val="009D04D2"/>
    <w:rsid w:val="009D0B28"/>
    <w:rsid w:val="009D1B9E"/>
    <w:rsid w:val="009D2168"/>
    <w:rsid w:val="009D228D"/>
    <w:rsid w:val="009D2BE7"/>
    <w:rsid w:val="009D2ED2"/>
    <w:rsid w:val="009D396C"/>
    <w:rsid w:val="009D5BC0"/>
    <w:rsid w:val="009D5C3D"/>
    <w:rsid w:val="009D62A2"/>
    <w:rsid w:val="009D6309"/>
    <w:rsid w:val="009D653B"/>
    <w:rsid w:val="009D66B7"/>
    <w:rsid w:val="009D6B26"/>
    <w:rsid w:val="009D6FEC"/>
    <w:rsid w:val="009D755B"/>
    <w:rsid w:val="009D7613"/>
    <w:rsid w:val="009D785A"/>
    <w:rsid w:val="009D7ABC"/>
    <w:rsid w:val="009E0BE5"/>
    <w:rsid w:val="009E1009"/>
    <w:rsid w:val="009E12DC"/>
    <w:rsid w:val="009E159A"/>
    <w:rsid w:val="009E2391"/>
    <w:rsid w:val="009E2523"/>
    <w:rsid w:val="009E30DD"/>
    <w:rsid w:val="009E46CA"/>
    <w:rsid w:val="009E47FD"/>
    <w:rsid w:val="009E613E"/>
    <w:rsid w:val="009E655C"/>
    <w:rsid w:val="009E7042"/>
    <w:rsid w:val="009F0409"/>
    <w:rsid w:val="009F0843"/>
    <w:rsid w:val="009F0991"/>
    <w:rsid w:val="009F11D3"/>
    <w:rsid w:val="009F21B0"/>
    <w:rsid w:val="009F3329"/>
    <w:rsid w:val="009F3774"/>
    <w:rsid w:val="009F3B90"/>
    <w:rsid w:val="009F4FE3"/>
    <w:rsid w:val="009F514F"/>
    <w:rsid w:val="009F538E"/>
    <w:rsid w:val="009F5951"/>
    <w:rsid w:val="009F6233"/>
    <w:rsid w:val="009F66AA"/>
    <w:rsid w:val="009F67A7"/>
    <w:rsid w:val="009F7499"/>
    <w:rsid w:val="009F7705"/>
    <w:rsid w:val="00A01044"/>
    <w:rsid w:val="00A01DE2"/>
    <w:rsid w:val="00A03258"/>
    <w:rsid w:val="00A0334F"/>
    <w:rsid w:val="00A04305"/>
    <w:rsid w:val="00A04481"/>
    <w:rsid w:val="00A05372"/>
    <w:rsid w:val="00A05457"/>
    <w:rsid w:val="00A05955"/>
    <w:rsid w:val="00A05AD6"/>
    <w:rsid w:val="00A05C03"/>
    <w:rsid w:val="00A062B4"/>
    <w:rsid w:val="00A067E6"/>
    <w:rsid w:val="00A07328"/>
    <w:rsid w:val="00A073B2"/>
    <w:rsid w:val="00A07E89"/>
    <w:rsid w:val="00A102A0"/>
    <w:rsid w:val="00A103D1"/>
    <w:rsid w:val="00A103EA"/>
    <w:rsid w:val="00A1075D"/>
    <w:rsid w:val="00A11455"/>
    <w:rsid w:val="00A11979"/>
    <w:rsid w:val="00A125AC"/>
    <w:rsid w:val="00A13768"/>
    <w:rsid w:val="00A1417F"/>
    <w:rsid w:val="00A15EAD"/>
    <w:rsid w:val="00A17644"/>
    <w:rsid w:val="00A1796E"/>
    <w:rsid w:val="00A17D80"/>
    <w:rsid w:val="00A20877"/>
    <w:rsid w:val="00A20F13"/>
    <w:rsid w:val="00A20FF1"/>
    <w:rsid w:val="00A22195"/>
    <w:rsid w:val="00A22990"/>
    <w:rsid w:val="00A22E4B"/>
    <w:rsid w:val="00A2458D"/>
    <w:rsid w:val="00A2570B"/>
    <w:rsid w:val="00A25E7F"/>
    <w:rsid w:val="00A2642D"/>
    <w:rsid w:val="00A30C26"/>
    <w:rsid w:val="00A3229C"/>
    <w:rsid w:val="00A336EE"/>
    <w:rsid w:val="00A34513"/>
    <w:rsid w:val="00A34FCC"/>
    <w:rsid w:val="00A36083"/>
    <w:rsid w:val="00A37DF1"/>
    <w:rsid w:val="00A37E8E"/>
    <w:rsid w:val="00A40D2A"/>
    <w:rsid w:val="00A41C06"/>
    <w:rsid w:val="00A42000"/>
    <w:rsid w:val="00A4379F"/>
    <w:rsid w:val="00A4384C"/>
    <w:rsid w:val="00A43C9D"/>
    <w:rsid w:val="00A43F95"/>
    <w:rsid w:val="00A463CD"/>
    <w:rsid w:val="00A50522"/>
    <w:rsid w:val="00A50D7A"/>
    <w:rsid w:val="00A511C6"/>
    <w:rsid w:val="00A518A9"/>
    <w:rsid w:val="00A51D21"/>
    <w:rsid w:val="00A5268E"/>
    <w:rsid w:val="00A52C14"/>
    <w:rsid w:val="00A5384F"/>
    <w:rsid w:val="00A53EFA"/>
    <w:rsid w:val="00A549B7"/>
    <w:rsid w:val="00A54C12"/>
    <w:rsid w:val="00A56445"/>
    <w:rsid w:val="00A573C4"/>
    <w:rsid w:val="00A61423"/>
    <w:rsid w:val="00A62446"/>
    <w:rsid w:val="00A6266B"/>
    <w:rsid w:val="00A629B7"/>
    <w:rsid w:val="00A62EB1"/>
    <w:rsid w:val="00A6316B"/>
    <w:rsid w:val="00A639CC"/>
    <w:rsid w:val="00A646A0"/>
    <w:rsid w:val="00A657E8"/>
    <w:rsid w:val="00A66030"/>
    <w:rsid w:val="00A66369"/>
    <w:rsid w:val="00A66B24"/>
    <w:rsid w:val="00A672F0"/>
    <w:rsid w:val="00A70A8E"/>
    <w:rsid w:val="00A7189D"/>
    <w:rsid w:val="00A73574"/>
    <w:rsid w:val="00A737E6"/>
    <w:rsid w:val="00A74193"/>
    <w:rsid w:val="00A7558A"/>
    <w:rsid w:val="00A75F28"/>
    <w:rsid w:val="00A77006"/>
    <w:rsid w:val="00A80EF9"/>
    <w:rsid w:val="00A80F15"/>
    <w:rsid w:val="00A818C4"/>
    <w:rsid w:val="00A82736"/>
    <w:rsid w:val="00A8284E"/>
    <w:rsid w:val="00A82D9C"/>
    <w:rsid w:val="00A83205"/>
    <w:rsid w:val="00A83484"/>
    <w:rsid w:val="00A83BED"/>
    <w:rsid w:val="00A859C5"/>
    <w:rsid w:val="00A85A4A"/>
    <w:rsid w:val="00A85C83"/>
    <w:rsid w:val="00A86E17"/>
    <w:rsid w:val="00A8741F"/>
    <w:rsid w:val="00A87E16"/>
    <w:rsid w:val="00A91058"/>
    <w:rsid w:val="00A912A3"/>
    <w:rsid w:val="00A917DC"/>
    <w:rsid w:val="00A91BA3"/>
    <w:rsid w:val="00A9286A"/>
    <w:rsid w:val="00A928F8"/>
    <w:rsid w:val="00A94282"/>
    <w:rsid w:val="00A94601"/>
    <w:rsid w:val="00A95975"/>
    <w:rsid w:val="00A95D01"/>
    <w:rsid w:val="00A970FB"/>
    <w:rsid w:val="00A977D2"/>
    <w:rsid w:val="00AA0135"/>
    <w:rsid w:val="00AA175C"/>
    <w:rsid w:val="00AA2024"/>
    <w:rsid w:val="00AA2481"/>
    <w:rsid w:val="00AA45C8"/>
    <w:rsid w:val="00AA4EAF"/>
    <w:rsid w:val="00AA500B"/>
    <w:rsid w:val="00AA589E"/>
    <w:rsid w:val="00AA5F0B"/>
    <w:rsid w:val="00AA6A6B"/>
    <w:rsid w:val="00AA7330"/>
    <w:rsid w:val="00AA77AE"/>
    <w:rsid w:val="00AA78B2"/>
    <w:rsid w:val="00AB01B3"/>
    <w:rsid w:val="00AB0F64"/>
    <w:rsid w:val="00AB119C"/>
    <w:rsid w:val="00AB27A2"/>
    <w:rsid w:val="00AB3724"/>
    <w:rsid w:val="00AB3C4E"/>
    <w:rsid w:val="00AB407A"/>
    <w:rsid w:val="00AB4658"/>
    <w:rsid w:val="00AB4844"/>
    <w:rsid w:val="00AB63C2"/>
    <w:rsid w:val="00AB6B6D"/>
    <w:rsid w:val="00AC18E6"/>
    <w:rsid w:val="00AC2042"/>
    <w:rsid w:val="00AC2E31"/>
    <w:rsid w:val="00AC3061"/>
    <w:rsid w:val="00AC3114"/>
    <w:rsid w:val="00AC3A96"/>
    <w:rsid w:val="00AC46F4"/>
    <w:rsid w:val="00AC5881"/>
    <w:rsid w:val="00AC5B98"/>
    <w:rsid w:val="00AC6455"/>
    <w:rsid w:val="00AC6721"/>
    <w:rsid w:val="00AC77EF"/>
    <w:rsid w:val="00AC7E0E"/>
    <w:rsid w:val="00AD05BB"/>
    <w:rsid w:val="00AD09AB"/>
    <w:rsid w:val="00AD0B93"/>
    <w:rsid w:val="00AD0DD3"/>
    <w:rsid w:val="00AD0F4F"/>
    <w:rsid w:val="00AD15B3"/>
    <w:rsid w:val="00AD237D"/>
    <w:rsid w:val="00AD3FB7"/>
    <w:rsid w:val="00AD4CB8"/>
    <w:rsid w:val="00AD5076"/>
    <w:rsid w:val="00AD586D"/>
    <w:rsid w:val="00AD7E26"/>
    <w:rsid w:val="00AE0282"/>
    <w:rsid w:val="00AE04A6"/>
    <w:rsid w:val="00AE1149"/>
    <w:rsid w:val="00AE21DC"/>
    <w:rsid w:val="00AE3CE4"/>
    <w:rsid w:val="00AE6378"/>
    <w:rsid w:val="00AE66BC"/>
    <w:rsid w:val="00AE6C62"/>
    <w:rsid w:val="00AE6EFF"/>
    <w:rsid w:val="00AE7581"/>
    <w:rsid w:val="00AE7D77"/>
    <w:rsid w:val="00AF0B47"/>
    <w:rsid w:val="00AF0D7C"/>
    <w:rsid w:val="00AF173D"/>
    <w:rsid w:val="00AF1787"/>
    <w:rsid w:val="00AF187E"/>
    <w:rsid w:val="00AF1EB6"/>
    <w:rsid w:val="00AF241B"/>
    <w:rsid w:val="00AF267E"/>
    <w:rsid w:val="00AF2A02"/>
    <w:rsid w:val="00AF2BD2"/>
    <w:rsid w:val="00AF40C6"/>
    <w:rsid w:val="00AF4504"/>
    <w:rsid w:val="00AF5183"/>
    <w:rsid w:val="00AF649D"/>
    <w:rsid w:val="00AF70DA"/>
    <w:rsid w:val="00B000A2"/>
    <w:rsid w:val="00B005F5"/>
    <w:rsid w:val="00B00A8A"/>
    <w:rsid w:val="00B00BC9"/>
    <w:rsid w:val="00B011FE"/>
    <w:rsid w:val="00B01E6E"/>
    <w:rsid w:val="00B02609"/>
    <w:rsid w:val="00B02AAB"/>
    <w:rsid w:val="00B02ABC"/>
    <w:rsid w:val="00B0332B"/>
    <w:rsid w:val="00B03F3F"/>
    <w:rsid w:val="00B0408D"/>
    <w:rsid w:val="00B040F8"/>
    <w:rsid w:val="00B04674"/>
    <w:rsid w:val="00B04B82"/>
    <w:rsid w:val="00B06221"/>
    <w:rsid w:val="00B06288"/>
    <w:rsid w:val="00B06E3B"/>
    <w:rsid w:val="00B07BBA"/>
    <w:rsid w:val="00B10225"/>
    <w:rsid w:val="00B123FB"/>
    <w:rsid w:val="00B1260C"/>
    <w:rsid w:val="00B13023"/>
    <w:rsid w:val="00B15C70"/>
    <w:rsid w:val="00B15DE7"/>
    <w:rsid w:val="00B15E64"/>
    <w:rsid w:val="00B1621A"/>
    <w:rsid w:val="00B17469"/>
    <w:rsid w:val="00B17499"/>
    <w:rsid w:val="00B17B38"/>
    <w:rsid w:val="00B17F19"/>
    <w:rsid w:val="00B20B50"/>
    <w:rsid w:val="00B21CCB"/>
    <w:rsid w:val="00B21E84"/>
    <w:rsid w:val="00B230FB"/>
    <w:rsid w:val="00B23130"/>
    <w:rsid w:val="00B249AF"/>
    <w:rsid w:val="00B25904"/>
    <w:rsid w:val="00B25ADD"/>
    <w:rsid w:val="00B26C51"/>
    <w:rsid w:val="00B26C63"/>
    <w:rsid w:val="00B26DB6"/>
    <w:rsid w:val="00B26E2F"/>
    <w:rsid w:val="00B30B55"/>
    <w:rsid w:val="00B312F5"/>
    <w:rsid w:val="00B315DA"/>
    <w:rsid w:val="00B32CC0"/>
    <w:rsid w:val="00B3381A"/>
    <w:rsid w:val="00B3383D"/>
    <w:rsid w:val="00B3542D"/>
    <w:rsid w:val="00B36294"/>
    <w:rsid w:val="00B36350"/>
    <w:rsid w:val="00B36B18"/>
    <w:rsid w:val="00B37534"/>
    <w:rsid w:val="00B37FD9"/>
    <w:rsid w:val="00B403FE"/>
    <w:rsid w:val="00B40AFA"/>
    <w:rsid w:val="00B417C3"/>
    <w:rsid w:val="00B41C32"/>
    <w:rsid w:val="00B43E3D"/>
    <w:rsid w:val="00B46A5C"/>
    <w:rsid w:val="00B4754F"/>
    <w:rsid w:val="00B50D72"/>
    <w:rsid w:val="00B515EC"/>
    <w:rsid w:val="00B51A44"/>
    <w:rsid w:val="00B525CF"/>
    <w:rsid w:val="00B52C2F"/>
    <w:rsid w:val="00B52C85"/>
    <w:rsid w:val="00B53B57"/>
    <w:rsid w:val="00B54E20"/>
    <w:rsid w:val="00B55000"/>
    <w:rsid w:val="00B550CC"/>
    <w:rsid w:val="00B550E4"/>
    <w:rsid w:val="00B552E1"/>
    <w:rsid w:val="00B557E2"/>
    <w:rsid w:val="00B55AF2"/>
    <w:rsid w:val="00B55B5B"/>
    <w:rsid w:val="00B56453"/>
    <w:rsid w:val="00B56DCE"/>
    <w:rsid w:val="00B57941"/>
    <w:rsid w:val="00B601BC"/>
    <w:rsid w:val="00B6030B"/>
    <w:rsid w:val="00B612ED"/>
    <w:rsid w:val="00B629DA"/>
    <w:rsid w:val="00B64ECE"/>
    <w:rsid w:val="00B64F43"/>
    <w:rsid w:val="00B650A9"/>
    <w:rsid w:val="00B650CF"/>
    <w:rsid w:val="00B657C7"/>
    <w:rsid w:val="00B65A04"/>
    <w:rsid w:val="00B65AA6"/>
    <w:rsid w:val="00B67A03"/>
    <w:rsid w:val="00B67E3F"/>
    <w:rsid w:val="00B71092"/>
    <w:rsid w:val="00B73520"/>
    <w:rsid w:val="00B74C0E"/>
    <w:rsid w:val="00B7508C"/>
    <w:rsid w:val="00B75150"/>
    <w:rsid w:val="00B75F73"/>
    <w:rsid w:val="00B76786"/>
    <w:rsid w:val="00B77736"/>
    <w:rsid w:val="00B77738"/>
    <w:rsid w:val="00B77AE8"/>
    <w:rsid w:val="00B831A8"/>
    <w:rsid w:val="00B84FE1"/>
    <w:rsid w:val="00B8686D"/>
    <w:rsid w:val="00B86B4B"/>
    <w:rsid w:val="00B87370"/>
    <w:rsid w:val="00B87487"/>
    <w:rsid w:val="00B87F14"/>
    <w:rsid w:val="00B9180A"/>
    <w:rsid w:val="00B918AC"/>
    <w:rsid w:val="00B91D70"/>
    <w:rsid w:val="00B92278"/>
    <w:rsid w:val="00B92357"/>
    <w:rsid w:val="00B92941"/>
    <w:rsid w:val="00B9480F"/>
    <w:rsid w:val="00B95BED"/>
    <w:rsid w:val="00BA1516"/>
    <w:rsid w:val="00BA4394"/>
    <w:rsid w:val="00BA527D"/>
    <w:rsid w:val="00BA538D"/>
    <w:rsid w:val="00BA5EA1"/>
    <w:rsid w:val="00BA6711"/>
    <w:rsid w:val="00BA67D4"/>
    <w:rsid w:val="00BA7B95"/>
    <w:rsid w:val="00BA7EF6"/>
    <w:rsid w:val="00BB0B80"/>
    <w:rsid w:val="00BB0D3C"/>
    <w:rsid w:val="00BB12EF"/>
    <w:rsid w:val="00BB193F"/>
    <w:rsid w:val="00BB20B0"/>
    <w:rsid w:val="00BB26F8"/>
    <w:rsid w:val="00BB4025"/>
    <w:rsid w:val="00BB48D3"/>
    <w:rsid w:val="00BB66EF"/>
    <w:rsid w:val="00BB702F"/>
    <w:rsid w:val="00BB7269"/>
    <w:rsid w:val="00BC0617"/>
    <w:rsid w:val="00BC2D84"/>
    <w:rsid w:val="00BC31C4"/>
    <w:rsid w:val="00BC38FC"/>
    <w:rsid w:val="00BC3EF8"/>
    <w:rsid w:val="00BC4328"/>
    <w:rsid w:val="00BC4580"/>
    <w:rsid w:val="00BC512B"/>
    <w:rsid w:val="00BC5276"/>
    <w:rsid w:val="00BC75EA"/>
    <w:rsid w:val="00BC76EF"/>
    <w:rsid w:val="00BD02D9"/>
    <w:rsid w:val="00BD04F6"/>
    <w:rsid w:val="00BD0AFF"/>
    <w:rsid w:val="00BD1693"/>
    <w:rsid w:val="00BD1F58"/>
    <w:rsid w:val="00BD2920"/>
    <w:rsid w:val="00BD2F22"/>
    <w:rsid w:val="00BD46E5"/>
    <w:rsid w:val="00BD4B1E"/>
    <w:rsid w:val="00BD52D6"/>
    <w:rsid w:val="00BD579E"/>
    <w:rsid w:val="00BD6B96"/>
    <w:rsid w:val="00BD7CF5"/>
    <w:rsid w:val="00BD7DD9"/>
    <w:rsid w:val="00BD7EE8"/>
    <w:rsid w:val="00BE01E0"/>
    <w:rsid w:val="00BE06B4"/>
    <w:rsid w:val="00BE120C"/>
    <w:rsid w:val="00BE1AD3"/>
    <w:rsid w:val="00BE1B7C"/>
    <w:rsid w:val="00BE2732"/>
    <w:rsid w:val="00BE3575"/>
    <w:rsid w:val="00BE4A26"/>
    <w:rsid w:val="00BE5A0C"/>
    <w:rsid w:val="00BE5D66"/>
    <w:rsid w:val="00BE5DF9"/>
    <w:rsid w:val="00BE6169"/>
    <w:rsid w:val="00BE638C"/>
    <w:rsid w:val="00BE6B87"/>
    <w:rsid w:val="00BF002F"/>
    <w:rsid w:val="00BF0EA4"/>
    <w:rsid w:val="00BF1A07"/>
    <w:rsid w:val="00BF2300"/>
    <w:rsid w:val="00BF3514"/>
    <w:rsid w:val="00BF408A"/>
    <w:rsid w:val="00BF4B60"/>
    <w:rsid w:val="00BF529C"/>
    <w:rsid w:val="00BF6589"/>
    <w:rsid w:val="00BF699F"/>
    <w:rsid w:val="00BF70A7"/>
    <w:rsid w:val="00BF7AD8"/>
    <w:rsid w:val="00C01016"/>
    <w:rsid w:val="00C01B17"/>
    <w:rsid w:val="00C02105"/>
    <w:rsid w:val="00C03092"/>
    <w:rsid w:val="00C0367F"/>
    <w:rsid w:val="00C03741"/>
    <w:rsid w:val="00C049DA"/>
    <w:rsid w:val="00C04C31"/>
    <w:rsid w:val="00C04D5F"/>
    <w:rsid w:val="00C05446"/>
    <w:rsid w:val="00C055FC"/>
    <w:rsid w:val="00C060AA"/>
    <w:rsid w:val="00C0625E"/>
    <w:rsid w:val="00C06A4D"/>
    <w:rsid w:val="00C0793F"/>
    <w:rsid w:val="00C07F1E"/>
    <w:rsid w:val="00C10BE2"/>
    <w:rsid w:val="00C10F00"/>
    <w:rsid w:val="00C1115C"/>
    <w:rsid w:val="00C11593"/>
    <w:rsid w:val="00C11C44"/>
    <w:rsid w:val="00C134F9"/>
    <w:rsid w:val="00C13A8E"/>
    <w:rsid w:val="00C13DAD"/>
    <w:rsid w:val="00C15315"/>
    <w:rsid w:val="00C153BA"/>
    <w:rsid w:val="00C155E9"/>
    <w:rsid w:val="00C162B2"/>
    <w:rsid w:val="00C16634"/>
    <w:rsid w:val="00C16C95"/>
    <w:rsid w:val="00C16D23"/>
    <w:rsid w:val="00C173C1"/>
    <w:rsid w:val="00C203E5"/>
    <w:rsid w:val="00C20E63"/>
    <w:rsid w:val="00C21446"/>
    <w:rsid w:val="00C21726"/>
    <w:rsid w:val="00C22A9C"/>
    <w:rsid w:val="00C234BE"/>
    <w:rsid w:val="00C239E7"/>
    <w:rsid w:val="00C249C6"/>
    <w:rsid w:val="00C249DF"/>
    <w:rsid w:val="00C25A9E"/>
    <w:rsid w:val="00C25E48"/>
    <w:rsid w:val="00C268E3"/>
    <w:rsid w:val="00C26A37"/>
    <w:rsid w:val="00C2761C"/>
    <w:rsid w:val="00C3005A"/>
    <w:rsid w:val="00C3232E"/>
    <w:rsid w:val="00C326EC"/>
    <w:rsid w:val="00C33504"/>
    <w:rsid w:val="00C35EF5"/>
    <w:rsid w:val="00C367A3"/>
    <w:rsid w:val="00C36A9B"/>
    <w:rsid w:val="00C40383"/>
    <w:rsid w:val="00C40582"/>
    <w:rsid w:val="00C40821"/>
    <w:rsid w:val="00C41085"/>
    <w:rsid w:val="00C4153E"/>
    <w:rsid w:val="00C41C67"/>
    <w:rsid w:val="00C425B4"/>
    <w:rsid w:val="00C4314B"/>
    <w:rsid w:val="00C433F9"/>
    <w:rsid w:val="00C4447F"/>
    <w:rsid w:val="00C47688"/>
    <w:rsid w:val="00C476CB"/>
    <w:rsid w:val="00C50130"/>
    <w:rsid w:val="00C51501"/>
    <w:rsid w:val="00C51878"/>
    <w:rsid w:val="00C518EA"/>
    <w:rsid w:val="00C5193D"/>
    <w:rsid w:val="00C5394D"/>
    <w:rsid w:val="00C54188"/>
    <w:rsid w:val="00C54317"/>
    <w:rsid w:val="00C54472"/>
    <w:rsid w:val="00C54950"/>
    <w:rsid w:val="00C54AA6"/>
    <w:rsid w:val="00C54FCE"/>
    <w:rsid w:val="00C56411"/>
    <w:rsid w:val="00C56E3D"/>
    <w:rsid w:val="00C56E98"/>
    <w:rsid w:val="00C6010F"/>
    <w:rsid w:val="00C60EFD"/>
    <w:rsid w:val="00C60FB4"/>
    <w:rsid w:val="00C613F6"/>
    <w:rsid w:val="00C614D0"/>
    <w:rsid w:val="00C63426"/>
    <w:rsid w:val="00C63782"/>
    <w:rsid w:val="00C639A5"/>
    <w:rsid w:val="00C63DB5"/>
    <w:rsid w:val="00C64070"/>
    <w:rsid w:val="00C65E38"/>
    <w:rsid w:val="00C65EEB"/>
    <w:rsid w:val="00C663C4"/>
    <w:rsid w:val="00C66F4D"/>
    <w:rsid w:val="00C66F63"/>
    <w:rsid w:val="00C7023D"/>
    <w:rsid w:val="00C70F95"/>
    <w:rsid w:val="00C7154A"/>
    <w:rsid w:val="00C71FA5"/>
    <w:rsid w:val="00C72601"/>
    <w:rsid w:val="00C733C3"/>
    <w:rsid w:val="00C7355B"/>
    <w:rsid w:val="00C73B8D"/>
    <w:rsid w:val="00C74018"/>
    <w:rsid w:val="00C74670"/>
    <w:rsid w:val="00C747A1"/>
    <w:rsid w:val="00C74B15"/>
    <w:rsid w:val="00C74B82"/>
    <w:rsid w:val="00C7616B"/>
    <w:rsid w:val="00C7687D"/>
    <w:rsid w:val="00C768BA"/>
    <w:rsid w:val="00C76D04"/>
    <w:rsid w:val="00C773AE"/>
    <w:rsid w:val="00C773F7"/>
    <w:rsid w:val="00C77785"/>
    <w:rsid w:val="00C77C38"/>
    <w:rsid w:val="00C77DAD"/>
    <w:rsid w:val="00C77FD9"/>
    <w:rsid w:val="00C802A9"/>
    <w:rsid w:val="00C80450"/>
    <w:rsid w:val="00C80921"/>
    <w:rsid w:val="00C80A32"/>
    <w:rsid w:val="00C80C57"/>
    <w:rsid w:val="00C81781"/>
    <w:rsid w:val="00C81B26"/>
    <w:rsid w:val="00C820B8"/>
    <w:rsid w:val="00C827AE"/>
    <w:rsid w:val="00C839BD"/>
    <w:rsid w:val="00C863E2"/>
    <w:rsid w:val="00C86692"/>
    <w:rsid w:val="00C86966"/>
    <w:rsid w:val="00C86A7D"/>
    <w:rsid w:val="00C86CF1"/>
    <w:rsid w:val="00C870FC"/>
    <w:rsid w:val="00C90B9C"/>
    <w:rsid w:val="00C92012"/>
    <w:rsid w:val="00C9210F"/>
    <w:rsid w:val="00C92312"/>
    <w:rsid w:val="00C92739"/>
    <w:rsid w:val="00C9299F"/>
    <w:rsid w:val="00C92AD8"/>
    <w:rsid w:val="00C9313F"/>
    <w:rsid w:val="00C9339A"/>
    <w:rsid w:val="00C94116"/>
    <w:rsid w:val="00C941EE"/>
    <w:rsid w:val="00C949C3"/>
    <w:rsid w:val="00C96B7A"/>
    <w:rsid w:val="00C97867"/>
    <w:rsid w:val="00CA005B"/>
    <w:rsid w:val="00CA0EF0"/>
    <w:rsid w:val="00CA1272"/>
    <w:rsid w:val="00CA1383"/>
    <w:rsid w:val="00CA1F12"/>
    <w:rsid w:val="00CA26D4"/>
    <w:rsid w:val="00CA2E6F"/>
    <w:rsid w:val="00CA3863"/>
    <w:rsid w:val="00CA48AE"/>
    <w:rsid w:val="00CA5158"/>
    <w:rsid w:val="00CA5A4B"/>
    <w:rsid w:val="00CA6B18"/>
    <w:rsid w:val="00CA6C50"/>
    <w:rsid w:val="00CA7B8C"/>
    <w:rsid w:val="00CB0C1D"/>
    <w:rsid w:val="00CB0C94"/>
    <w:rsid w:val="00CB0ECE"/>
    <w:rsid w:val="00CB1D08"/>
    <w:rsid w:val="00CB296B"/>
    <w:rsid w:val="00CB2C31"/>
    <w:rsid w:val="00CB3A7C"/>
    <w:rsid w:val="00CB3F25"/>
    <w:rsid w:val="00CB4A9B"/>
    <w:rsid w:val="00CB5787"/>
    <w:rsid w:val="00CB5962"/>
    <w:rsid w:val="00CB5AB6"/>
    <w:rsid w:val="00CB631F"/>
    <w:rsid w:val="00CB65A8"/>
    <w:rsid w:val="00CB791F"/>
    <w:rsid w:val="00CC14BD"/>
    <w:rsid w:val="00CC20DC"/>
    <w:rsid w:val="00CC223F"/>
    <w:rsid w:val="00CC3462"/>
    <w:rsid w:val="00CC3AD8"/>
    <w:rsid w:val="00CC41FF"/>
    <w:rsid w:val="00CC52E0"/>
    <w:rsid w:val="00CC5582"/>
    <w:rsid w:val="00CC56BD"/>
    <w:rsid w:val="00CC5A6A"/>
    <w:rsid w:val="00CC5DD0"/>
    <w:rsid w:val="00CC6C20"/>
    <w:rsid w:val="00CC6E63"/>
    <w:rsid w:val="00CD0080"/>
    <w:rsid w:val="00CD0660"/>
    <w:rsid w:val="00CD0B4E"/>
    <w:rsid w:val="00CD0CF2"/>
    <w:rsid w:val="00CD13D4"/>
    <w:rsid w:val="00CD1EC5"/>
    <w:rsid w:val="00CD216D"/>
    <w:rsid w:val="00CD22E8"/>
    <w:rsid w:val="00CD2E8C"/>
    <w:rsid w:val="00CD2EB4"/>
    <w:rsid w:val="00CD3355"/>
    <w:rsid w:val="00CD4BCA"/>
    <w:rsid w:val="00CD55A2"/>
    <w:rsid w:val="00CD5CA7"/>
    <w:rsid w:val="00CD67A2"/>
    <w:rsid w:val="00CD70B0"/>
    <w:rsid w:val="00CD7231"/>
    <w:rsid w:val="00CD74A8"/>
    <w:rsid w:val="00CD7C73"/>
    <w:rsid w:val="00CE169E"/>
    <w:rsid w:val="00CE1EA7"/>
    <w:rsid w:val="00CE1EBF"/>
    <w:rsid w:val="00CE25FB"/>
    <w:rsid w:val="00CE2768"/>
    <w:rsid w:val="00CE2A8B"/>
    <w:rsid w:val="00CE396B"/>
    <w:rsid w:val="00CE3DB9"/>
    <w:rsid w:val="00CE48C8"/>
    <w:rsid w:val="00CE4B31"/>
    <w:rsid w:val="00CE6F97"/>
    <w:rsid w:val="00CE7924"/>
    <w:rsid w:val="00CF04E9"/>
    <w:rsid w:val="00CF38B9"/>
    <w:rsid w:val="00CF3A00"/>
    <w:rsid w:val="00CF436F"/>
    <w:rsid w:val="00CF4709"/>
    <w:rsid w:val="00CF4EF4"/>
    <w:rsid w:val="00CF621C"/>
    <w:rsid w:val="00CF7524"/>
    <w:rsid w:val="00D01D31"/>
    <w:rsid w:val="00D02632"/>
    <w:rsid w:val="00D03924"/>
    <w:rsid w:val="00D049EB"/>
    <w:rsid w:val="00D05429"/>
    <w:rsid w:val="00D061BC"/>
    <w:rsid w:val="00D0797E"/>
    <w:rsid w:val="00D1081C"/>
    <w:rsid w:val="00D12A96"/>
    <w:rsid w:val="00D12CC8"/>
    <w:rsid w:val="00D131E6"/>
    <w:rsid w:val="00D16A5B"/>
    <w:rsid w:val="00D16BC7"/>
    <w:rsid w:val="00D171A3"/>
    <w:rsid w:val="00D17FB6"/>
    <w:rsid w:val="00D20621"/>
    <w:rsid w:val="00D20889"/>
    <w:rsid w:val="00D21083"/>
    <w:rsid w:val="00D218AA"/>
    <w:rsid w:val="00D21FA3"/>
    <w:rsid w:val="00D2314F"/>
    <w:rsid w:val="00D231F5"/>
    <w:rsid w:val="00D24534"/>
    <w:rsid w:val="00D2469D"/>
    <w:rsid w:val="00D24FAD"/>
    <w:rsid w:val="00D25000"/>
    <w:rsid w:val="00D252C5"/>
    <w:rsid w:val="00D25B74"/>
    <w:rsid w:val="00D270F1"/>
    <w:rsid w:val="00D275F4"/>
    <w:rsid w:val="00D277C2"/>
    <w:rsid w:val="00D27928"/>
    <w:rsid w:val="00D300D3"/>
    <w:rsid w:val="00D3098D"/>
    <w:rsid w:val="00D30BA7"/>
    <w:rsid w:val="00D3112C"/>
    <w:rsid w:val="00D31711"/>
    <w:rsid w:val="00D31897"/>
    <w:rsid w:val="00D33BC5"/>
    <w:rsid w:val="00D341D3"/>
    <w:rsid w:val="00D34387"/>
    <w:rsid w:val="00D34B7E"/>
    <w:rsid w:val="00D35E53"/>
    <w:rsid w:val="00D369A3"/>
    <w:rsid w:val="00D400DC"/>
    <w:rsid w:val="00D41DF6"/>
    <w:rsid w:val="00D42B08"/>
    <w:rsid w:val="00D43808"/>
    <w:rsid w:val="00D43FF8"/>
    <w:rsid w:val="00D45326"/>
    <w:rsid w:val="00D4599D"/>
    <w:rsid w:val="00D45B15"/>
    <w:rsid w:val="00D50D46"/>
    <w:rsid w:val="00D52E7F"/>
    <w:rsid w:val="00D537B8"/>
    <w:rsid w:val="00D545B3"/>
    <w:rsid w:val="00D5504A"/>
    <w:rsid w:val="00D55411"/>
    <w:rsid w:val="00D5699B"/>
    <w:rsid w:val="00D5730E"/>
    <w:rsid w:val="00D57573"/>
    <w:rsid w:val="00D57C5E"/>
    <w:rsid w:val="00D57D35"/>
    <w:rsid w:val="00D60CE8"/>
    <w:rsid w:val="00D6153C"/>
    <w:rsid w:val="00D61A28"/>
    <w:rsid w:val="00D61B71"/>
    <w:rsid w:val="00D627EE"/>
    <w:rsid w:val="00D63502"/>
    <w:rsid w:val="00D635CE"/>
    <w:rsid w:val="00D63CB5"/>
    <w:rsid w:val="00D64264"/>
    <w:rsid w:val="00D64305"/>
    <w:rsid w:val="00D64EE6"/>
    <w:rsid w:val="00D65329"/>
    <w:rsid w:val="00D6536B"/>
    <w:rsid w:val="00D67A9E"/>
    <w:rsid w:val="00D727EE"/>
    <w:rsid w:val="00D72AB9"/>
    <w:rsid w:val="00D73276"/>
    <w:rsid w:val="00D75173"/>
    <w:rsid w:val="00D759C1"/>
    <w:rsid w:val="00D75ABA"/>
    <w:rsid w:val="00D773FE"/>
    <w:rsid w:val="00D779AE"/>
    <w:rsid w:val="00D80202"/>
    <w:rsid w:val="00D80CB2"/>
    <w:rsid w:val="00D82113"/>
    <w:rsid w:val="00D828CD"/>
    <w:rsid w:val="00D82F4E"/>
    <w:rsid w:val="00D83316"/>
    <w:rsid w:val="00D8454A"/>
    <w:rsid w:val="00D858A8"/>
    <w:rsid w:val="00D85950"/>
    <w:rsid w:val="00D859E1"/>
    <w:rsid w:val="00D85E08"/>
    <w:rsid w:val="00D868F9"/>
    <w:rsid w:val="00D86ABA"/>
    <w:rsid w:val="00D870E0"/>
    <w:rsid w:val="00D900BD"/>
    <w:rsid w:val="00D90103"/>
    <w:rsid w:val="00D90FD8"/>
    <w:rsid w:val="00D91C3F"/>
    <w:rsid w:val="00D92254"/>
    <w:rsid w:val="00D92920"/>
    <w:rsid w:val="00D92A3E"/>
    <w:rsid w:val="00D937CC"/>
    <w:rsid w:val="00D93EBB"/>
    <w:rsid w:val="00D9424D"/>
    <w:rsid w:val="00D95CA9"/>
    <w:rsid w:val="00D97191"/>
    <w:rsid w:val="00D97A96"/>
    <w:rsid w:val="00DA17F5"/>
    <w:rsid w:val="00DA261C"/>
    <w:rsid w:val="00DA26EC"/>
    <w:rsid w:val="00DA2CD1"/>
    <w:rsid w:val="00DA2E65"/>
    <w:rsid w:val="00DA3522"/>
    <w:rsid w:val="00DA5208"/>
    <w:rsid w:val="00DA5425"/>
    <w:rsid w:val="00DA5B05"/>
    <w:rsid w:val="00DA5B25"/>
    <w:rsid w:val="00DA5E64"/>
    <w:rsid w:val="00DA6122"/>
    <w:rsid w:val="00DA73AE"/>
    <w:rsid w:val="00DA78F6"/>
    <w:rsid w:val="00DA7EEF"/>
    <w:rsid w:val="00DA7FC1"/>
    <w:rsid w:val="00DB03D2"/>
    <w:rsid w:val="00DB08B8"/>
    <w:rsid w:val="00DB1163"/>
    <w:rsid w:val="00DB12B4"/>
    <w:rsid w:val="00DB1694"/>
    <w:rsid w:val="00DB1C07"/>
    <w:rsid w:val="00DB1F30"/>
    <w:rsid w:val="00DB1F8C"/>
    <w:rsid w:val="00DB2C22"/>
    <w:rsid w:val="00DB2C54"/>
    <w:rsid w:val="00DB335A"/>
    <w:rsid w:val="00DB3D4C"/>
    <w:rsid w:val="00DB3DCB"/>
    <w:rsid w:val="00DB4085"/>
    <w:rsid w:val="00DB4166"/>
    <w:rsid w:val="00DB51A7"/>
    <w:rsid w:val="00DB5B5D"/>
    <w:rsid w:val="00DB5DBC"/>
    <w:rsid w:val="00DB7663"/>
    <w:rsid w:val="00DB7F33"/>
    <w:rsid w:val="00DC0F91"/>
    <w:rsid w:val="00DC1F7E"/>
    <w:rsid w:val="00DC3125"/>
    <w:rsid w:val="00DC45A5"/>
    <w:rsid w:val="00DC5147"/>
    <w:rsid w:val="00DC5793"/>
    <w:rsid w:val="00DC7F9E"/>
    <w:rsid w:val="00DD0A1D"/>
    <w:rsid w:val="00DD4030"/>
    <w:rsid w:val="00DD40BE"/>
    <w:rsid w:val="00DD4E64"/>
    <w:rsid w:val="00DD65A1"/>
    <w:rsid w:val="00DD7476"/>
    <w:rsid w:val="00DD756C"/>
    <w:rsid w:val="00DD788B"/>
    <w:rsid w:val="00DD7F50"/>
    <w:rsid w:val="00DE05A3"/>
    <w:rsid w:val="00DE0C2A"/>
    <w:rsid w:val="00DE15CC"/>
    <w:rsid w:val="00DE2A24"/>
    <w:rsid w:val="00DE2DE2"/>
    <w:rsid w:val="00DE3CF7"/>
    <w:rsid w:val="00DE483B"/>
    <w:rsid w:val="00DE4DAA"/>
    <w:rsid w:val="00DE611B"/>
    <w:rsid w:val="00DE6D24"/>
    <w:rsid w:val="00DE712E"/>
    <w:rsid w:val="00DE77A6"/>
    <w:rsid w:val="00DF03F7"/>
    <w:rsid w:val="00DF0C1D"/>
    <w:rsid w:val="00DF0FC6"/>
    <w:rsid w:val="00DF19F7"/>
    <w:rsid w:val="00DF23FD"/>
    <w:rsid w:val="00DF25AC"/>
    <w:rsid w:val="00DF2867"/>
    <w:rsid w:val="00DF4484"/>
    <w:rsid w:val="00DF47A6"/>
    <w:rsid w:val="00DF5245"/>
    <w:rsid w:val="00DF5316"/>
    <w:rsid w:val="00DF5BD2"/>
    <w:rsid w:val="00DF5DCB"/>
    <w:rsid w:val="00DF6584"/>
    <w:rsid w:val="00E00F9D"/>
    <w:rsid w:val="00E013C0"/>
    <w:rsid w:val="00E01D8E"/>
    <w:rsid w:val="00E024B9"/>
    <w:rsid w:val="00E02682"/>
    <w:rsid w:val="00E02C31"/>
    <w:rsid w:val="00E02F0A"/>
    <w:rsid w:val="00E0476C"/>
    <w:rsid w:val="00E049D2"/>
    <w:rsid w:val="00E0516F"/>
    <w:rsid w:val="00E06F6C"/>
    <w:rsid w:val="00E07224"/>
    <w:rsid w:val="00E07A59"/>
    <w:rsid w:val="00E11FC2"/>
    <w:rsid w:val="00E12241"/>
    <w:rsid w:val="00E14011"/>
    <w:rsid w:val="00E14B11"/>
    <w:rsid w:val="00E15D24"/>
    <w:rsid w:val="00E16521"/>
    <w:rsid w:val="00E16695"/>
    <w:rsid w:val="00E16C08"/>
    <w:rsid w:val="00E17212"/>
    <w:rsid w:val="00E2015E"/>
    <w:rsid w:val="00E201D8"/>
    <w:rsid w:val="00E20859"/>
    <w:rsid w:val="00E20E9A"/>
    <w:rsid w:val="00E21135"/>
    <w:rsid w:val="00E212F6"/>
    <w:rsid w:val="00E22AAE"/>
    <w:rsid w:val="00E23BD1"/>
    <w:rsid w:val="00E24623"/>
    <w:rsid w:val="00E246DA"/>
    <w:rsid w:val="00E2489E"/>
    <w:rsid w:val="00E2528A"/>
    <w:rsid w:val="00E257CE"/>
    <w:rsid w:val="00E25AF5"/>
    <w:rsid w:val="00E25C7A"/>
    <w:rsid w:val="00E2628E"/>
    <w:rsid w:val="00E26688"/>
    <w:rsid w:val="00E27448"/>
    <w:rsid w:val="00E275F8"/>
    <w:rsid w:val="00E30060"/>
    <w:rsid w:val="00E3007B"/>
    <w:rsid w:val="00E30452"/>
    <w:rsid w:val="00E3063B"/>
    <w:rsid w:val="00E30643"/>
    <w:rsid w:val="00E30838"/>
    <w:rsid w:val="00E31B24"/>
    <w:rsid w:val="00E31D3E"/>
    <w:rsid w:val="00E345B2"/>
    <w:rsid w:val="00E35671"/>
    <w:rsid w:val="00E36166"/>
    <w:rsid w:val="00E364F8"/>
    <w:rsid w:val="00E3671A"/>
    <w:rsid w:val="00E376D3"/>
    <w:rsid w:val="00E37B27"/>
    <w:rsid w:val="00E37FD9"/>
    <w:rsid w:val="00E40F2E"/>
    <w:rsid w:val="00E436BD"/>
    <w:rsid w:val="00E43EC9"/>
    <w:rsid w:val="00E44079"/>
    <w:rsid w:val="00E44606"/>
    <w:rsid w:val="00E44914"/>
    <w:rsid w:val="00E451EA"/>
    <w:rsid w:val="00E45B8D"/>
    <w:rsid w:val="00E4677E"/>
    <w:rsid w:val="00E47124"/>
    <w:rsid w:val="00E472F5"/>
    <w:rsid w:val="00E4747C"/>
    <w:rsid w:val="00E47625"/>
    <w:rsid w:val="00E47B9E"/>
    <w:rsid w:val="00E47E12"/>
    <w:rsid w:val="00E47E6C"/>
    <w:rsid w:val="00E503B6"/>
    <w:rsid w:val="00E5050D"/>
    <w:rsid w:val="00E5109B"/>
    <w:rsid w:val="00E51281"/>
    <w:rsid w:val="00E51493"/>
    <w:rsid w:val="00E522BF"/>
    <w:rsid w:val="00E52828"/>
    <w:rsid w:val="00E52E99"/>
    <w:rsid w:val="00E5419A"/>
    <w:rsid w:val="00E54EE9"/>
    <w:rsid w:val="00E551F6"/>
    <w:rsid w:val="00E5551C"/>
    <w:rsid w:val="00E57411"/>
    <w:rsid w:val="00E57CFF"/>
    <w:rsid w:val="00E60CAF"/>
    <w:rsid w:val="00E61360"/>
    <w:rsid w:val="00E61F98"/>
    <w:rsid w:val="00E630DD"/>
    <w:rsid w:val="00E6464D"/>
    <w:rsid w:val="00E646BE"/>
    <w:rsid w:val="00E649DF"/>
    <w:rsid w:val="00E668B8"/>
    <w:rsid w:val="00E668D0"/>
    <w:rsid w:val="00E67046"/>
    <w:rsid w:val="00E67683"/>
    <w:rsid w:val="00E67853"/>
    <w:rsid w:val="00E70BA9"/>
    <w:rsid w:val="00E70FC2"/>
    <w:rsid w:val="00E711E1"/>
    <w:rsid w:val="00E72B40"/>
    <w:rsid w:val="00E732F6"/>
    <w:rsid w:val="00E736C7"/>
    <w:rsid w:val="00E73911"/>
    <w:rsid w:val="00E74C77"/>
    <w:rsid w:val="00E75851"/>
    <w:rsid w:val="00E762B7"/>
    <w:rsid w:val="00E763B7"/>
    <w:rsid w:val="00E76C34"/>
    <w:rsid w:val="00E76F53"/>
    <w:rsid w:val="00E76FCD"/>
    <w:rsid w:val="00E77557"/>
    <w:rsid w:val="00E77616"/>
    <w:rsid w:val="00E81716"/>
    <w:rsid w:val="00E81EE2"/>
    <w:rsid w:val="00E82ABC"/>
    <w:rsid w:val="00E82AFE"/>
    <w:rsid w:val="00E83BA4"/>
    <w:rsid w:val="00E84F79"/>
    <w:rsid w:val="00E858C7"/>
    <w:rsid w:val="00E8638C"/>
    <w:rsid w:val="00E86590"/>
    <w:rsid w:val="00E86A56"/>
    <w:rsid w:val="00E8712A"/>
    <w:rsid w:val="00E87470"/>
    <w:rsid w:val="00E87E01"/>
    <w:rsid w:val="00E91011"/>
    <w:rsid w:val="00E948FD"/>
    <w:rsid w:val="00E94F50"/>
    <w:rsid w:val="00E94F60"/>
    <w:rsid w:val="00E96399"/>
    <w:rsid w:val="00E966C4"/>
    <w:rsid w:val="00E97086"/>
    <w:rsid w:val="00E97350"/>
    <w:rsid w:val="00E973EB"/>
    <w:rsid w:val="00E97A0E"/>
    <w:rsid w:val="00E97D5C"/>
    <w:rsid w:val="00EA06E0"/>
    <w:rsid w:val="00EA07CA"/>
    <w:rsid w:val="00EA1059"/>
    <w:rsid w:val="00EA1CF7"/>
    <w:rsid w:val="00EA287F"/>
    <w:rsid w:val="00EA2969"/>
    <w:rsid w:val="00EA3475"/>
    <w:rsid w:val="00EA34F9"/>
    <w:rsid w:val="00EA5F86"/>
    <w:rsid w:val="00EA6017"/>
    <w:rsid w:val="00EA7FFA"/>
    <w:rsid w:val="00EB0204"/>
    <w:rsid w:val="00EB0285"/>
    <w:rsid w:val="00EB08E6"/>
    <w:rsid w:val="00EB0C2B"/>
    <w:rsid w:val="00EB15D4"/>
    <w:rsid w:val="00EB1D67"/>
    <w:rsid w:val="00EB1EC5"/>
    <w:rsid w:val="00EB3DC9"/>
    <w:rsid w:val="00EB41A4"/>
    <w:rsid w:val="00EB492D"/>
    <w:rsid w:val="00EB51C4"/>
    <w:rsid w:val="00EB5408"/>
    <w:rsid w:val="00EB5C35"/>
    <w:rsid w:val="00EC0AAF"/>
    <w:rsid w:val="00EC0FA7"/>
    <w:rsid w:val="00EC20E9"/>
    <w:rsid w:val="00EC2985"/>
    <w:rsid w:val="00EC2B89"/>
    <w:rsid w:val="00EC3346"/>
    <w:rsid w:val="00EC3ED9"/>
    <w:rsid w:val="00EC56A5"/>
    <w:rsid w:val="00EC5760"/>
    <w:rsid w:val="00ED048A"/>
    <w:rsid w:val="00ED0B3F"/>
    <w:rsid w:val="00ED20E7"/>
    <w:rsid w:val="00ED2600"/>
    <w:rsid w:val="00ED45AB"/>
    <w:rsid w:val="00ED4954"/>
    <w:rsid w:val="00ED50F5"/>
    <w:rsid w:val="00ED67FF"/>
    <w:rsid w:val="00ED6C46"/>
    <w:rsid w:val="00ED75CD"/>
    <w:rsid w:val="00ED7D37"/>
    <w:rsid w:val="00ED7E9A"/>
    <w:rsid w:val="00EE0A11"/>
    <w:rsid w:val="00EE0AC6"/>
    <w:rsid w:val="00EE0EC4"/>
    <w:rsid w:val="00EE141E"/>
    <w:rsid w:val="00EE142F"/>
    <w:rsid w:val="00EE1777"/>
    <w:rsid w:val="00EE1C3E"/>
    <w:rsid w:val="00EE1F6B"/>
    <w:rsid w:val="00EE3501"/>
    <w:rsid w:val="00EE3AE2"/>
    <w:rsid w:val="00EE3DB5"/>
    <w:rsid w:val="00EE45C5"/>
    <w:rsid w:val="00EE528C"/>
    <w:rsid w:val="00EE52B0"/>
    <w:rsid w:val="00EE5962"/>
    <w:rsid w:val="00EE6009"/>
    <w:rsid w:val="00EE6619"/>
    <w:rsid w:val="00EE67B1"/>
    <w:rsid w:val="00EE7127"/>
    <w:rsid w:val="00EF1790"/>
    <w:rsid w:val="00EF1E92"/>
    <w:rsid w:val="00EF213C"/>
    <w:rsid w:val="00EF2408"/>
    <w:rsid w:val="00EF60AA"/>
    <w:rsid w:val="00EF6485"/>
    <w:rsid w:val="00EF6E96"/>
    <w:rsid w:val="00EF79F4"/>
    <w:rsid w:val="00EF7CAC"/>
    <w:rsid w:val="00F00163"/>
    <w:rsid w:val="00F02159"/>
    <w:rsid w:val="00F03F82"/>
    <w:rsid w:val="00F042F8"/>
    <w:rsid w:val="00F071E1"/>
    <w:rsid w:val="00F074FE"/>
    <w:rsid w:val="00F079DF"/>
    <w:rsid w:val="00F10C65"/>
    <w:rsid w:val="00F1117C"/>
    <w:rsid w:val="00F12A9E"/>
    <w:rsid w:val="00F12FA0"/>
    <w:rsid w:val="00F1564C"/>
    <w:rsid w:val="00F15966"/>
    <w:rsid w:val="00F15A09"/>
    <w:rsid w:val="00F15B1F"/>
    <w:rsid w:val="00F16427"/>
    <w:rsid w:val="00F166B1"/>
    <w:rsid w:val="00F166BB"/>
    <w:rsid w:val="00F16F28"/>
    <w:rsid w:val="00F17897"/>
    <w:rsid w:val="00F202A6"/>
    <w:rsid w:val="00F21680"/>
    <w:rsid w:val="00F2216C"/>
    <w:rsid w:val="00F22725"/>
    <w:rsid w:val="00F23321"/>
    <w:rsid w:val="00F23E87"/>
    <w:rsid w:val="00F240A7"/>
    <w:rsid w:val="00F254A3"/>
    <w:rsid w:val="00F25B92"/>
    <w:rsid w:val="00F26ECB"/>
    <w:rsid w:val="00F301D1"/>
    <w:rsid w:val="00F30BA5"/>
    <w:rsid w:val="00F31B2A"/>
    <w:rsid w:val="00F31D66"/>
    <w:rsid w:val="00F31F77"/>
    <w:rsid w:val="00F325C3"/>
    <w:rsid w:val="00F326E5"/>
    <w:rsid w:val="00F32AD2"/>
    <w:rsid w:val="00F32FF3"/>
    <w:rsid w:val="00F3641F"/>
    <w:rsid w:val="00F3766A"/>
    <w:rsid w:val="00F37E0B"/>
    <w:rsid w:val="00F37EBC"/>
    <w:rsid w:val="00F423CD"/>
    <w:rsid w:val="00F426B5"/>
    <w:rsid w:val="00F432FA"/>
    <w:rsid w:val="00F44021"/>
    <w:rsid w:val="00F45499"/>
    <w:rsid w:val="00F46FAD"/>
    <w:rsid w:val="00F50ED0"/>
    <w:rsid w:val="00F52F3A"/>
    <w:rsid w:val="00F537D2"/>
    <w:rsid w:val="00F54596"/>
    <w:rsid w:val="00F5507D"/>
    <w:rsid w:val="00F55824"/>
    <w:rsid w:val="00F56083"/>
    <w:rsid w:val="00F56496"/>
    <w:rsid w:val="00F57168"/>
    <w:rsid w:val="00F61DA0"/>
    <w:rsid w:val="00F61F68"/>
    <w:rsid w:val="00F626B8"/>
    <w:rsid w:val="00F62FFA"/>
    <w:rsid w:val="00F63B2B"/>
    <w:rsid w:val="00F64B1E"/>
    <w:rsid w:val="00F652C6"/>
    <w:rsid w:val="00F66BE8"/>
    <w:rsid w:val="00F6740E"/>
    <w:rsid w:val="00F67D9E"/>
    <w:rsid w:val="00F71C5F"/>
    <w:rsid w:val="00F720BE"/>
    <w:rsid w:val="00F72219"/>
    <w:rsid w:val="00F72BA8"/>
    <w:rsid w:val="00F730AB"/>
    <w:rsid w:val="00F7582B"/>
    <w:rsid w:val="00F75A87"/>
    <w:rsid w:val="00F771AB"/>
    <w:rsid w:val="00F7775E"/>
    <w:rsid w:val="00F77A3B"/>
    <w:rsid w:val="00F80691"/>
    <w:rsid w:val="00F80FA7"/>
    <w:rsid w:val="00F8157B"/>
    <w:rsid w:val="00F8234A"/>
    <w:rsid w:val="00F82E95"/>
    <w:rsid w:val="00F83187"/>
    <w:rsid w:val="00F83811"/>
    <w:rsid w:val="00F83816"/>
    <w:rsid w:val="00F83901"/>
    <w:rsid w:val="00F83959"/>
    <w:rsid w:val="00F83BCC"/>
    <w:rsid w:val="00F83DB4"/>
    <w:rsid w:val="00F83F1F"/>
    <w:rsid w:val="00F84657"/>
    <w:rsid w:val="00F855C4"/>
    <w:rsid w:val="00F859FB"/>
    <w:rsid w:val="00F86662"/>
    <w:rsid w:val="00F874C7"/>
    <w:rsid w:val="00F875FC"/>
    <w:rsid w:val="00F87635"/>
    <w:rsid w:val="00F87DEF"/>
    <w:rsid w:val="00F90009"/>
    <w:rsid w:val="00F910C3"/>
    <w:rsid w:val="00F91570"/>
    <w:rsid w:val="00F91BBC"/>
    <w:rsid w:val="00F938C8"/>
    <w:rsid w:val="00F945FB"/>
    <w:rsid w:val="00F94669"/>
    <w:rsid w:val="00F94B87"/>
    <w:rsid w:val="00F94F7E"/>
    <w:rsid w:val="00F95349"/>
    <w:rsid w:val="00F9562B"/>
    <w:rsid w:val="00F95BE0"/>
    <w:rsid w:val="00F97DC7"/>
    <w:rsid w:val="00FA0370"/>
    <w:rsid w:val="00FA09DA"/>
    <w:rsid w:val="00FA0D57"/>
    <w:rsid w:val="00FA0FF4"/>
    <w:rsid w:val="00FA110B"/>
    <w:rsid w:val="00FA38CA"/>
    <w:rsid w:val="00FA482A"/>
    <w:rsid w:val="00FA4F14"/>
    <w:rsid w:val="00FA5B44"/>
    <w:rsid w:val="00FA62A5"/>
    <w:rsid w:val="00FA68D8"/>
    <w:rsid w:val="00FA7181"/>
    <w:rsid w:val="00FA7531"/>
    <w:rsid w:val="00FA76EB"/>
    <w:rsid w:val="00FB0223"/>
    <w:rsid w:val="00FB02BD"/>
    <w:rsid w:val="00FB05C4"/>
    <w:rsid w:val="00FB200B"/>
    <w:rsid w:val="00FB2B41"/>
    <w:rsid w:val="00FB301E"/>
    <w:rsid w:val="00FB3034"/>
    <w:rsid w:val="00FB306B"/>
    <w:rsid w:val="00FB3454"/>
    <w:rsid w:val="00FB3932"/>
    <w:rsid w:val="00FB3FA2"/>
    <w:rsid w:val="00FB3FC1"/>
    <w:rsid w:val="00FB4376"/>
    <w:rsid w:val="00FB46A5"/>
    <w:rsid w:val="00FB4C15"/>
    <w:rsid w:val="00FB6B38"/>
    <w:rsid w:val="00FB6BA4"/>
    <w:rsid w:val="00FB70CE"/>
    <w:rsid w:val="00FC00A1"/>
    <w:rsid w:val="00FC0790"/>
    <w:rsid w:val="00FC105B"/>
    <w:rsid w:val="00FC19D3"/>
    <w:rsid w:val="00FC2108"/>
    <w:rsid w:val="00FC2548"/>
    <w:rsid w:val="00FC2D94"/>
    <w:rsid w:val="00FC369D"/>
    <w:rsid w:val="00FC4608"/>
    <w:rsid w:val="00FC52A3"/>
    <w:rsid w:val="00FC558B"/>
    <w:rsid w:val="00FC5ACB"/>
    <w:rsid w:val="00FC5B8F"/>
    <w:rsid w:val="00FC5E53"/>
    <w:rsid w:val="00FC6713"/>
    <w:rsid w:val="00FC6852"/>
    <w:rsid w:val="00FC725A"/>
    <w:rsid w:val="00FC7EBE"/>
    <w:rsid w:val="00FC7F1C"/>
    <w:rsid w:val="00FD0FE8"/>
    <w:rsid w:val="00FD14DF"/>
    <w:rsid w:val="00FD175A"/>
    <w:rsid w:val="00FD1CB1"/>
    <w:rsid w:val="00FD30E0"/>
    <w:rsid w:val="00FD354C"/>
    <w:rsid w:val="00FD36F5"/>
    <w:rsid w:val="00FD411D"/>
    <w:rsid w:val="00FD442F"/>
    <w:rsid w:val="00FD55B5"/>
    <w:rsid w:val="00FD7D61"/>
    <w:rsid w:val="00FE1025"/>
    <w:rsid w:val="00FE1782"/>
    <w:rsid w:val="00FE179B"/>
    <w:rsid w:val="00FE190E"/>
    <w:rsid w:val="00FE3792"/>
    <w:rsid w:val="00FE48E7"/>
    <w:rsid w:val="00FE5BB8"/>
    <w:rsid w:val="00FE5F10"/>
    <w:rsid w:val="00FE632D"/>
    <w:rsid w:val="00FE66A0"/>
    <w:rsid w:val="00FE699E"/>
    <w:rsid w:val="00FE6A91"/>
    <w:rsid w:val="00FE707C"/>
    <w:rsid w:val="00FE75A3"/>
    <w:rsid w:val="00FF06D7"/>
    <w:rsid w:val="00FF0C70"/>
    <w:rsid w:val="00FF167D"/>
    <w:rsid w:val="00FF186A"/>
    <w:rsid w:val="00FF1960"/>
    <w:rsid w:val="00FF1EA2"/>
    <w:rsid w:val="00FF32A4"/>
    <w:rsid w:val="00FF4235"/>
    <w:rsid w:val="00FF4505"/>
    <w:rsid w:val="00FF5325"/>
    <w:rsid w:val="00FF54D3"/>
    <w:rsid w:val="00FF59E1"/>
    <w:rsid w:val="00FF600B"/>
    <w:rsid w:val="00FF7666"/>
    <w:rsid w:val="00FF78A5"/>
  </w:rsids>
  <m:mathPr>
    <m:mathFont m:val="Cambria Math"/>
    <m:brkBin m:val="before"/>
    <m:brkBinSub m:val="--"/>
    <m:smallFrac m:val="0"/>
    <m:dispDef/>
    <m:lMargin m:val="0"/>
    <m:rMargin m:val="0"/>
    <m:defJc m:val="centerGroup"/>
    <m:wrapIndent m:val="1440"/>
    <m:intLim m:val="subSup"/>
    <m:naryLim m:val="undOvr"/>
  </m:mathPr>
  <w:themeFontLang w:val="es-C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ED32"/>
  <w15:docId w15:val="{4EFC8E61-3CE3-4028-9765-8D5A50CA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D3"/>
    <w:rPr>
      <w:rFonts w:ascii="Verdana" w:hAnsi="Verdana"/>
      <w:sz w:val="20"/>
    </w:rPr>
  </w:style>
  <w:style w:type="paragraph" w:styleId="Ttulo1">
    <w:name w:val="heading 1"/>
    <w:basedOn w:val="Prrafodelista"/>
    <w:next w:val="Normal"/>
    <w:link w:val="Ttulo1Car"/>
    <w:uiPriority w:val="9"/>
    <w:qFormat/>
    <w:rsid w:val="00C51501"/>
    <w:pPr>
      <w:ind w:left="0"/>
      <w:jc w:val="center"/>
      <w:outlineLvl w:val="0"/>
    </w:pPr>
    <w:rPr>
      <w:rFonts w:eastAsia="Calibri" w:cs="Times New Roman"/>
      <w:b/>
      <w:szCs w:val="20"/>
      <w:lang w:val="es-ES"/>
    </w:rPr>
  </w:style>
  <w:style w:type="paragraph" w:styleId="Ttulo2">
    <w:name w:val="heading 2"/>
    <w:basedOn w:val="Normal"/>
    <w:next w:val="Normal"/>
    <w:link w:val="Ttulo2Car"/>
    <w:uiPriority w:val="9"/>
    <w:unhideWhenUsed/>
    <w:qFormat/>
    <w:rsid w:val="00C51501"/>
    <w:pPr>
      <w:keepNext/>
      <w:keepLines/>
      <w:numPr>
        <w:numId w:val="8"/>
      </w:numPr>
      <w:spacing w:after="0" w:line="240" w:lineRule="auto"/>
      <w:ind w:left="0" w:firstLine="0"/>
      <w:contextualSpacing/>
      <w:jc w:val="both"/>
      <w:outlineLvl w:val="1"/>
    </w:pPr>
    <w:rPr>
      <w:rFonts w:eastAsia="Calibri" w:cs="Times New Roman"/>
      <w:b/>
      <w:i/>
      <w:szCs w:val="20"/>
      <w:lang w:val="es-ES"/>
    </w:rPr>
  </w:style>
  <w:style w:type="paragraph" w:styleId="Ttulo3">
    <w:name w:val="heading 3"/>
    <w:basedOn w:val="Normal"/>
    <w:next w:val="Normal"/>
    <w:link w:val="Ttulo3Car"/>
    <w:uiPriority w:val="9"/>
    <w:unhideWhenUsed/>
    <w:qFormat/>
    <w:rsid w:val="00CE1EA7"/>
    <w:pPr>
      <w:keepNext/>
      <w:keepLines/>
      <w:spacing w:after="0" w:line="240" w:lineRule="auto"/>
      <w:ind w:left="426"/>
      <w:contextualSpacing/>
      <w:jc w:val="both"/>
      <w:outlineLvl w:val="2"/>
    </w:pPr>
    <w:rPr>
      <w:rFonts w:eastAsia="Calibri" w:cs="Times New Roman"/>
      <w:i/>
      <w:szCs w:val="20"/>
      <w:lang w:val="es-ES"/>
    </w:rPr>
  </w:style>
  <w:style w:type="paragraph" w:styleId="Ttulo4">
    <w:name w:val="heading 4"/>
    <w:basedOn w:val="Normal"/>
    <w:next w:val="Normal"/>
    <w:link w:val="Ttulo4Car"/>
    <w:uiPriority w:val="9"/>
    <w:unhideWhenUsed/>
    <w:qFormat/>
    <w:rsid w:val="001D1455"/>
    <w:pPr>
      <w:keepNext/>
      <w:keepLines/>
      <w:spacing w:before="200" w:after="0" w:line="240" w:lineRule="auto"/>
      <w:jc w:val="both"/>
      <w:outlineLvl w:val="3"/>
    </w:pPr>
    <w:rPr>
      <w:rFonts w:ascii="Cambria" w:eastAsia="MS Gothic" w:hAnsi="Cambria" w:cs="Times New Roman"/>
      <w:b/>
      <w:bCs/>
      <w:i/>
      <w:iCs/>
      <w:color w:val="4F81BD" w:themeColor="accent1"/>
      <w:szCs w:val="24"/>
      <w:lang w:val="es-ES_tradnl"/>
    </w:rPr>
  </w:style>
  <w:style w:type="paragraph" w:styleId="Ttulo5">
    <w:name w:val="heading 5"/>
    <w:basedOn w:val="Normal"/>
    <w:next w:val="Normal"/>
    <w:link w:val="Ttulo5Car"/>
    <w:uiPriority w:val="9"/>
    <w:unhideWhenUsed/>
    <w:qFormat/>
    <w:rsid w:val="00DB1F30"/>
    <w:pPr>
      <w:keepNext/>
      <w:keepLines/>
      <w:spacing w:after="0" w:line="240" w:lineRule="auto"/>
      <w:jc w:val="both"/>
      <w:outlineLvl w:val="4"/>
    </w:pPr>
    <w:rPr>
      <w:rFonts w:ascii="Cambria" w:eastAsia="MS Gothic" w:hAnsi="Cambria" w:cs="Times New Roman"/>
      <w:noProof/>
      <w:color w:val="243F60" w:themeColor="accent1" w:themeShade="7F"/>
      <w:szCs w:val="24"/>
      <w:lang w:val="es-ES_tradnl"/>
    </w:rPr>
  </w:style>
  <w:style w:type="paragraph" w:styleId="Ttulo6">
    <w:name w:val="heading 6"/>
    <w:basedOn w:val="Ttulo5"/>
    <w:next w:val="Normal"/>
    <w:link w:val="Ttulo6Car"/>
    <w:uiPriority w:val="99"/>
    <w:semiHidden/>
    <w:unhideWhenUsed/>
    <w:qFormat/>
    <w:rsid w:val="001D1455"/>
    <w:pPr>
      <w:keepNext w:val="0"/>
      <w:keepLines w:val="0"/>
      <w:numPr>
        <w:ilvl w:val="4"/>
        <w:numId w:val="1"/>
      </w:numPr>
      <w:outlineLvl w:val="5"/>
    </w:pPr>
    <w:rPr>
      <w:rFonts w:ascii="Verdana" w:eastAsia="Times New Roman" w:hAnsi="Verdana"/>
      <w:noProof w:val="0"/>
      <w:color w:val="auto"/>
      <w:spacing w:val="-2"/>
      <w:szCs w:val="20"/>
      <w:lang w:eastAsia="es-CR"/>
    </w:rPr>
  </w:style>
  <w:style w:type="paragraph" w:styleId="Ttulo7">
    <w:name w:val="heading 7"/>
    <w:basedOn w:val="Normal"/>
    <w:next w:val="Normal"/>
    <w:link w:val="Ttulo7Car"/>
    <w:uiPriority w:val="99"/>
    <w:semiHidden/>
    <w:unhideWhenUsed/>
    <w:qFormat/>
    <w:rsid w:val="001D1455"/>
    <w:pPr>
      <w:keepNext/>
      <w:keepLines/>
      <w:spacing w:before="200" w:after="0" w:line="240" w:lineRule="auto"/>
      <w:jc w:val="both"/>
      <w:outlineLvl w:val="6"/>
    </w:pPr>
    <w:rPr>
      <w:rFonts w:asciiTheme="majorHAnsi" w:eastAsiaTheme="majorEastAsia" w:hAnsiTheme="majorHAnsi" w:cstheme="majorBidi"/>
      <w:i/>
      <w:iCs/>
      <w:noProof/>
      <w:color w:val="404040" w:themeColor="text1" w:themeTint="BF"/>
      <w:szCs w:val="24"/>
      <w:lang w:val="es-ES_tradnl"/>
    </w:rPr>
  </w:style>
  <w:style w:type="paragraph" w:styleId="Ttulo8">
    <w:name w:val="heading 8"/>
    <w:basedOn w:val="Normal"/>
    <w:next w:val="Normal"/>
    <w:link w:val="Ttulo8Car"/>
    <w:uiPriority w:val="99"/>
    <w:semiHidden/>
    <w:unhideWhenUsed/>
    <w:qFormat/>
    <w:rsid w:val="001D1455"/>
    <w:pPr>
      <w:keepNext/>
      <w:keepLines/>
      <w:spacing w:before="200" w:after="0" w:line="240" w:lineRule="auto"/>
      <w:jc w:val="both"/>
      <w:outlineLvl w:val="7"/>
    </w:pPr>
    <w:rPr>
      <w:rFonts w:asciiTheme="majorHAnsi" w:eastAsiaTheme="majorEastAsia" w:hAnsiTheme="majorHAnsi" w:cstheme="majorBidi"/>
      <w:noProof/>
      <w:color w:val="404040" w:themeColor="text1" w:themeTint="BF"/>
      <w:szCs w:val="20"/>
      <w:lang w:val="es-ES_tradnl"/>
    </w:rPr>
  </w:style>
  <w:style w:type="paragraph" w:styleId="Ttulo9">
    <w:name w:val="heading 9"/>
    <w:basedOn w:val="Normal"/>
    <w:next w:val="Normal"/>
    <w:link w:val="Ttulo9Car"/>
    <w:uiPriority w:val="99"/>
    <w:semiHidden/>
    <w:unhideWhenUsed/>
    <w:qFormat/>
    <w:rsid w:val="001D1455"/>
    <w:pPr>
      <w:keepNext/>
      <w:keepLines/>
      <w:spacing w:before="200" w:after="0" w:line="240" w:lineRule="auto"/>
      <w:jc w:val="both"/>
      <w:outlineLvl w:val="8"/>
    </w:pPr>
    <w:rPr>
      <w:rFonts w:asciiTheme="majorHAnsi" w:eastAsiaTheme="majorEastAsia" w:hAnsiTheme="majorHAnsi" w:cstheme="majorBidi"/>
      <w:i/>
      <w:iCs/>
      <w:noProof/>
      <w:color w:val="404040" w:themeColor="text1" w:themeTint="BF"/>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1501"/>
    <w:rPr>
      <w:rFonts w:ascii="Verdana" w:eastAsia="Calibri" w:hAnsi="Verdana" w:cs="Times New Roman"/>
      <w:b/>
      <w:noProof/>
      <w:sz w:val="20"/>
      <w:szCs w:val="20"/>
      <w:lang w:val="es-ES"/>
    </w:rPr>
  </w:style>
  <w:style w:type="character" w:customStyle="1" w:styleId="Ttulo2Car">
    <w:name w:val="Título 2 Car"/>
    <w:basedOn w:val="Fuentedeprrafopredeter"/>
    <w:link w:val="Ttulo2"/>
    <w:uiPriority w:val="9"/>
    <w:rsid w:val="00C51501"/>
    <w:rPr>
      <w:rFonts w:ascii="Verdana" w:eastAsia="Calibri" w:hAnsi="Verdana" w:cs="Times New Roman"/>
      <w:b/>
      <w:i/>
      <w:sz w:val="20"/>
      <w:szCs w:val="20"/>
      <w:lang w:val="es-ES"/>
    </w:rPr>
  </w:style>
  <w:style w:type="character" w:customStyle="1" w:styleId="Ttulo3Car">
    <w:name w:val="Título 3 Car"/>
    <w:basedOn w:val="Fuentedeprrafopredeter"/>
    <w:link w:val="Ttulo3"/>
    <w:uiPriority w:val="9"/>
    <w:rsid w:val="00CE1EA7"/>
    <w:rPr>
      <w:rFonts w:ascii="Verdana" w:eastAsia="Calibri" w:hAnsi="Verdana" w:cs="Times New Roman"/>
      <w:i/>
      <w:sz w:val="20"/>
      <w:szCs w:val="20"/>
      <w:lang w:val="es-ES"/>
    </w:rPr>
  </w:style>
  <w:style w:type="character" w:customStyle="1" w:styleId="Ttulo4Car">
    <w:name w:val="Título 4 Car"/>
    <w:basedOn w:val="Fuentedeprrafopredeter"/>
    <w:link w:val="Ttulo4"/>
    <w:uiPriority w:val="9"/>
    <w:rsid w:val="001D1455"/>
    <w:rPr>
      <w:rFonts w:ascii="Cambria" w:eastAsia="MS Gothic" w:hAnsi="Cambria" w:cs="Times New Roman"/>
      <w:b/>
      <w:bCs/>
      <w:i/>
      <w:iCs/>
      <w:color w:val="4F81BD" w:themeColor="accent1"/>
      <w:sz w:val="20"/>
      <w:szCs w:val="24"/>
      <w:lang w:val="es-ES_tradnl"/>
    </w:rPr>
  </w:style>
  <w:style w:type="character" w:customStyle="1" w:styleId="Ttulo5Car">
    <w:name w:val="Título 5 Car"/>
    <w:basedOn w:val="Fuentedeprrafopredeter"/>
    <w:link w:val="Ttulo5"/>
    <w:uiPriority w:val="9"/>
    <w:rsid w:val="00DB1F30"/>
    <w:rPr>
      <w:rFonts w:ascii="Cambria" w:eastAsia="MS Gothic" w:hAnsi="Cambria" w:cs="Times New Roman"/>
      <w:noProof/>
      <w:color w:val="243F60" w:themeColor="accent1" w:themeShade="7F"/>
      <w:sz w:val="20"/>
      <w:szCs w:val="24"/>
      <w:lang w:val="es-ES_tradnl"/>
    </w:rPr>
  </w:style>
  <w:style w:type="character" w:customStyle="1" w:styleId="Ttulo6Car">
    <w:name w:val="Título 6 Car"/>
    <w:basedOn w:val="Fuentedeprrafopredeter"/>
    <w:link w:val="Ttulo6"/>
    <w:uiPriority w:val="99"/>
    <w:semiHidden/>
    <w:rsid w:val="001D1455"/>
    <w:rPr>
      <w:rFonts w:ascii="Verdana" w:eastAsia="Times New Roman" w:hAnsi="Verdana" w:cs="Times New Roman"/>
      <w:spacing w:val="-2"/>
      <w:sz w:val="20"/>
      <w:szCs w:val="20"/>
      <w:lang w:val="es-ES_tradnl" w:eastAsia="es-CR"/>
    </w:rPr>
  </w:style>
  <w:style w:type="character" w:customStyle="1" w:styleId="Ttulo7Car">
    <w:name w:val="Título 7 Car"/>
    <w:basedOn w:val="Fuentedeprrafopredeter"/>
    <w:link w:val="Ttulo7"/>
    <w:uiPriority w:val="99"/>
    <w:semiHidden/>
    <w:rsid w:val="001D1455"/>
    <w:rPr>
      <w:rFonts w:asciiTheme="majorHAnsi" w:eastAsiaTheme="majorEastAsia" w:hAnsiTheme="majorHAnsi" w:cstheme="majorBidi"/>
      <w:i/>
      <w:iCs/>
      <w:noProof/>
      <w:color w:val="404040" w:themeColor="text1" w:themeTint="BF"/>
      <w:sz w:val="20"/>
      <w:szCs w:val="24"/>
      <w:lang w:val="es-ES_tradnl"/>
    </w:rPr>
  </w:style>
  <w:style w:type="character" w:customStyle="1" w:styleId="Ttulo8Car">
    <w:name w:val="Título 8 Car"/>
    <w:basedOn w:val="Fuentedeprrafopredeter"/>
    <w:link w:val="Ttulo8"/>
    <w:uiPriority w:val="99"/>
    <w:semiHidden/>
    <w:rsid w:val="001D1455"/>
    <w:rPr>
      <w:rFonts w:asciiTheme="majorHAnsi" w:eastAsiaTheme="majorEastAsia" w:hAnsiTheme="majorHAnsi" w:cstheme="majorBidi"/>
      <w:noProof/>
      <w:color w:val="404040" w:themeColor="text1" w:themeTint="BF"/>
      <w:sz w:val="20"/>
      <w:szCs w:val="20"/>
      <w:lang w:val="es-ES_tradnl"/>
    </w:rPr>
  </w:style>
  <w:style w:type="character" w:customStyle="1" w:styleId="Ttulo9Car">
    <w:name w:val="Título 9 Car"/>
    <w:basedOn w:val="Fuentedeprrafopredeter"/>
    <w:link w:val="Ttulo9"/>
    <w:uiPriority w:val="99"/>
    <w:semiHidden/>
    <w:rsid w:val="001D1455"/>
    <w:rPr>
      <w:rFonts w:asciiTheme="majorHAnsi" w:eastAsiaTheme="majorEastAsia" w:hAnsiTheme="majorHAnsi" w:cstheme="majorBidi"/>
      <w:i/>
      <w:iCs/>
      <w:noProof/>
      <w:color w:val="404040" w:themeColor="text1" w:themeTint="BF"/>
      <w:sz w:val="20"/>
      <w:szCs w:val="20"/>
      <w:lang w:val="es-ES_tradnl"/>
    </w:rPr>
  </w:style>
  <w:style w:type="numbering" w:customStyle="1" w:styleId="Sinlista1">
    <w:name w:val="Sin lista1"/>
    <w:next w:val="Sinlista"/>
    <w:uiPriority w:val="99"/>
    <w:semiHidden/>
    <w:unhideWhenUsed/>
    <w:rsid w:val="001D1455"/>
  </w:style>
  <w:style w:type="character" w:styleId="Hipervnculo">
    <w:name w:val="Hyperlink"/>
    <w:aliases w:val="Heading 3 caso"/>
    <w:basedOn w:val="Fuentedeprrafopredeter"/>
    <w:uiPriority w:val="99"/>
    <w:unhideWhenUsed/>
    <w:rsid w:val="001D1455"/>
    <w:rPr>
      <w:color w:val="0000FF"/>
      <w:u w:val="single"/>
    </w:rPr>
  </w:style>
  <w:style w:type="character" w:styleId="Hipervnculovisitado">
    <w:name w:val="FollowedHyperlink"/>
    <w:basedOn w:val="Fuentedeprrafopredeter"/>
    <w:uiPriority w:val="99"/>
    <w:semiHidden/>
    <w:unhideWhenUsed/>
    <w:rsid w:val="001D1455"/>
    <w:rPr>
      <w:rFonts w:ascii="Times New Roman" w:hAnsi="Times New Roman" w:cs="Times New Roman" w:hint="default"/>
      <w:color w:val="800080"/>
      <w:u w:val="single"/>
    </w:rPr>
  </w:style>
  <w:style w:type="character" w:styleId="nfasis">
    <w:name w:val="Emphasis"/>
    <w:basedOn w:val="Fuentedeprrafopredeter"/>
    <w:uiPriority w:val="20"/>
    <w:qFormat/>
    <w:rsid w:val="001D1455"/>
    <w:rPr>
      <w:rFonts w:ascii="Times New Roman" w:hAnsi="Times New Roman" w:cs="Times New Roman" w:hint="default"/>
      <w:i/>
      <w:iCs/>
    </w:rPr>
  </w:style>
  <w:style w:type="paragraph" w:styleId="Prrafodelista">
    <w:name w:val="List Paragraph"/>
    <w:aliases w:val="Footnote,List Paragraph1,Colorful List - Accent 11,Párrafo de lista1,List Paragraph2,Lista vistosa - Énfasis 11,Parrafos,Subtle Emphasis1,Footnote1,List Paragraph11"/>
    <w:basedOn w:val="Normal"/>
    <w:link w:val="PrrafodelistaCar"/>
    <w:uiPriority w:val="34"/>
    <w:qFormat/>
    <w:rsid w:val="001D1455"/>
    <w:pPr>
      <w:spacing w:after="0" w:line="240" w:lineRule="auto"/>
      <w:ind w:left="720"/>
      <w:contextualSpacing/>
      <w:jc w:val="both"/>
    </w:pPr>
    <w:rPr>
      <w:rFonts w:eastAsia="Batang" w:cs="Times"/>
      <w:noProof/>
      <w:szCs w:val="24"/>
      <w:lang w:val="es-ES_tradnl"/>
    </w:rPr>
  </w:style>
  <w:style w:type="paragraph" w:styleId="NormalWeb">
    <w:name w:val="Normal (Web)"/>
    <w:aliases w:val="Normal (Web) Char1,Normal (Web) Char Char,Normal (Web) Char1 Char,Normal (Web) Char Char Char"/>
    <w:basedOn w:val="Ttulo1"/>
    <w:next w:val="Normal"/>
    <w:autoRedefine/>
    <w:uiPriority w:val="99"/>
    <w:unhideWhenUsed/>
    <w:qFormat/>
    <w:rsid w:val="00291C5B"/>
    <w:pPr>
      <w:contextualSpacing w:val="0"/>
      <w:jc w:val="both"/>
      <w:outlineLvl w:val="9"/>
    </w:pPr>
    <w:rPr>
      <w:rFonts w:eastAsia="MS Gothic" w:cs="Calibri"/>
      <w:b w:val="0"/>
      <w:noProof w:val="0"/>
      <w:sz w:val="16"/>
      <w:szCs w:val="16"/>
      <w:lang w:val="en-US" w:eastAsia="ja-JP"/>
    </w:rPr>
  </w:style>
  <w:style w:type="character" w:customStyle="1" w:styleId="TextonotapieCar1">
    <w:name w:val="Texto nota pie Car1"/>
    <w:aliases w:val="2. Footnote Text Car,Footnote Tesina Car,FA Fu Car1,Footnote Text Char Char Char Char Char Car1,Footnote Text Char Char Char Char Car1,Footnote reference Car1,Footnote Text Char Char Char Car1,Footnote Text Cha Car1,Ca Car,C Car"/>
    <w:basedOn w:val="Fuentedeprrafopredeter"/>
    <w:link w:val="Textonotapie"/>
    <w:uiPriority w:val="99"/>
    <w:qFormat/>
    <w:locked/>
    <w:rsid w:val="005353E4"/>
    <w:rPr>
      <w:rFonts w:ascii="Verdana" w:eastAsia="Batang" w:hAnsi="Verdana" w:cs="Times"/>
      <w:noProof/>
      <w:sz w:val="16"/>
      <w:szCs w:val="20"/>
      <w:lang w:val="es-ES_tradnl"/>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TextonotapieCar1"/>
    <w:unhideWhenUsed/>
    <w:qFormat/>
    <w:rsid w:val="005353E4"/>
    <w:pPr>
      <w:spacing w:after="0" w:line="240" w:lineRule="auto"/>
      <w:jc w:val="both"/>
    </w:pPr>
    <w:rPr>
      <w:rFonts w:eastAsia="Batang" w:cs="Times"/>
      <w:noProof/>
      <w:sz w:val="16"/>
      <w:szCs w:val="20"/>
      <w:lang w:val="es-ES_tradnl"/>
    </w:rPr>
  </w:style>
  <w:style w:type="character" w:customStyle="1" w:styleId="TextonotapieCar">
    <w:name w:val="Texto nota pie Car"/>
    <w:aliases w:val="2. Footnote Text Car1,Footnote Tesina Car1,FA Fu Car,Footnote Text Char Char Char Char Char Car,Footnote Text Char Char Char Char Car,Footnote reference Car,Footnote Text Char Char Char Car,Footnote Text Cha Car,FA Fußnotentext Car"/>
    <w:basedOn w:val="Fuentedeprrafopredeter"/>
    <w:uiPriority w:val="99"/>
    <w:semiHidden/>
    <w:rsid w:val="001D1455"/>
    <w:rPr>
      <w:sz w:val="20"/>
      <w:szCs w:val="20"/>
    </w:rPr>
  </w:style>
  <w:style w:type="character" w:customStyle="1" w:styleId="TextocomentarioCar">
    <w:name w:val="Texto comentario Car"/>
    <w:basedOn w:val="Fuentedeprrafopredeter"/>
    <w:link w:val="Textocomentario"/>
    <w:uiPriority w:val="99"/>
    <w:locked/>
    <w:rsid w:val="001D1455"/>
    <w:rPr>
      <w:rFonts w:ascii="Verdana" w:eastAsia="Batang" w:hAnsi="Verdana" w:cs="Times"/>
      <w:noProof/>
      <w:sz w:val="20"/>
      <w:szCs w:val="20"/>
      <w:lang w:val="es-ES_tradnl"/>
    </w:rPr>
  </w:style>
  <w:style w:type="character" w:customStyle="1" w:styleId="EncabezadoCar">
    <w:name w:val="Encabezado Car"/>
    <w:basedOn w:val="Fuentedeprrafopredeter"/>
    <w:link w:val="Encabezado"/>
    <w:uiPriority w:val="99"/>
    <w:locked/>
    <w:rsid w:val="001D1455"/>
    <w:rPr>
      <w:rFonts w:ascii="Verdana" w:eastAsia="Batang" w:hAnsi="Verdana" w:cs="Times"/>
      <w:noProof/>
      <w:sz w:val="20"/>
      <w:szCs w:val="24"/>
      <w:lang w:val="es-ES_tradnl"/>
    </w:rPr>
  </w:style>
  <w:style w:type="character" w:customStyle="1" w:styleId="PiedepginaCar">
    <w:name w:val="Pie de página Car"/>
    <w:basedOn w:val="Fuentedeprrafopredeter"/>
    <w:link w:val="Piedepgina"/>
    <w:uiPriority w:val="99"/>
    <w:locked/>
    <w:rsid w:val="001D1455"/>
    <w:rPr>
      <w:rFonts w:ascii="Verdana" w:eastAsia="Batang" w:hAnsi="Verdana" w:cs="Times"/>
      <w:noProof/>
      <w:sz w:val="20"/>
      <w:szCs w:val="24"/>
      <w:lang w:val="es-ES_tradnl"/>
    </w:rPr>
  </w:style>
  <w:style w:type="character" w:customStyle="1" w:styleId="TextonotaalfinalCar">
    <w:name w:val="Texto nota al final Car"/>
    <w:basedOn w:val="Fuentedeprrafopredeter"/>
    <w:link w:val="Textonotaalfinal"/>
    <w:uiPriority w:val="99"/>
    <w:semiHidden/>
    <w:locked/>
    <w:rsid w:val="001D1455"/>
    <w:rPr>
      <w:rFonts w:ascii="CG Times" w:eastAsia="Times New Roman" w:hAnsi="CG Times" w:cs="Times New Roman"/>
      <w:szCs w:val="20"/>
    </w:rPr>
  </w:style>
  <w:style w:type="character" w:customStyle="1" w:styleId="TtuloCar">
    <w:name w:val="Título Car"/>
    <w:basedOn w:val="Fuentedeprrafopredeter"/>
    <w:link w:val="Ttulo"/>
    <w:locked/>
    <w:rsid w:val="001D1455"/>
    <w:rPr>
      <w:rFonts w:ascii="Verdana" w:eastAsia="Times New Roman" w:hAnsi="Verdana" w:cs="Times New Roman"/>
      <w:b/>
      <w:noProof/>
      <w:sz w:val="20"/>
      <w:szCs w:val="20"/>
      <w:lang w:val="es-ES_tradnl"/>
    </w:rPr>
  </w:style>
  <w:style w:type="character" w:customStyle="1" w:styleId="TextoindependienteCar">
    <w:name w:val="Texto independiente Car"/>
    <w:basedOn w:val="Fuentedeprrafopredeter"/>
    <w:link w:val="Textoindependiente"/>
    <w:uiPriority w:val="99"/>
    <w:semiHidden/>
    <w:locked/>
    <w:rsid w:val="001D1455"/>
    <w:rPr>
      <w:rFonts w:ascii="Univers" w:eastAsia="Times New Roman" w:hAnsi="Univers" w:cs="Times New Roman"/>
      <w:szCs w:val="20"/>
      <w:lang w:val="es-CL"/>
    </w:rPr>
  </w:style>
  <w:style w:type="character" w:customStyle="1" w:styleId="SangradetextonormalCar">
    <w:name w:val="Sangría de texto normal Car"/>
    <w:basedOn w:val="Fuentedeprrafopredeter"/>
    <w:link w:val="Sangradetextonormal"/>
    <w:uiPriority w:val="99"/>
    <w:semiHidden/>
    <w:locked/>
    <w:rsid w:val="001D1455"/>
    <w:rPr>
      <w:rFonts w:ascii="Univers" w:eastAsia="Times New Roman" w:hAnsi="Univers" w:cs="Times New Roman"/>
      <w:sz w:val="20"/>
      <w:szCs w:val="20"/>
      <w:lang w:val="es-CL"/>
    </w:rPr>
  </w:style>
  <w:style w:type="character" w:customStyle="1" w:styleId="SubttuloCar">
    <w:name w:val="Subtítulo Car"/>
    <w:basedOn w:val="Fuentedeprrafopredeter"/>
    <w:link w:val="Subttulo"/>
    <w:locked/>
    <w:rsid w:val="001D1455"/>
    <w:rPr>
      <w:rFonts w:ascii="Verdana" w:eastAsia="Times New Roman" w:hAnsi="Verdana" w:cs="Times New Roman"/>
      <w:b/>
      <w:i/>
      <w:iCs/>
      <w:noProof/>
      <w:spacing w:val="15"/>
      <w:sz w:val="20"/>
      <w:szCs w:val="24"/>
      <w:lang w:val="es-ES_tradnl"/>
    </w:rPr>
  </w:style>
  <w:style w:type="character" w:customStyle="1" w:styleId="Textoindependiente2Car">
    <w:name w:val="Texto independiente 2 Car"/>
    <w:basedOn w:val="Fuentedeprrafopredeter"/>
    <w:link w:val="Textoindependiente2"/>
    <w:uiPriority w:val="99"/>
    <w:semiHidden/>
    <w:locked/>
    <w:rsid w:val="001D1455"/>
    <w:rPr>
      <w:rFonts w:ascii="Times New Roman" w:eastAsia="Times New Roman" w:hAnsi="Times New Roman" w:cs="Times New Roman"/>
      <w:sz w:val="24"/>
      <w:szCs w:val="24"/>
      <w:lang w:val="es-ES_tradnl"/>
    </w:rPr>
  </w:style>
  <w:style w:type="character" w:customStyle="1" w:styleId="Textoindependiente3Car">
    <w:name w:val="Texto independiente 3 Car"/>
    <w:basedOn w:val="Fuentedeprrafopredeter"/>
    <w:link w:val="Textoindependiente3"/>
    <w:uiPriority w:val="99"/>
    <w:semiHidden/>
    <w:locked/>
    <w:rsid w:val="001D1455"/>
    <w:rPr>
      <w:rFonts w:ascii="Times New Roman" w:eastAsia="Times New Roman" w:hAnsi="Times New Roman" w:cs="Times New Roman"/>
      <w:sz w:val="16"/>
      <w:szCs w:val="16"/>
    </w:rPr>
  </w:style>
  <w:style w:type="character" w:customStyle="1" w:styleId="Sangra2detindependienteCar">
    <w:name w:val="Sangría 2 de t. independiente Car"/>
    <w:basedOn w:val="Fuentedeprrafopredeter"/>
    <w:link w:val="Sangra2detindependiente"/>
    <w:uiPriority w:val="99"/>
    <w:semiHidden/>
    <w:locked/>
    <w:rsid w:val="001D1455"/>
    <w:rPr>
      <w:rFonts w:ascii="Times New Roman" w:eastAsia="Times New Roman" w:hAnsi="Times New Roman" w:cs="Times New Roman"/>
      <w:sz w:val="24"/>
      <w:szCs w:val="20"/>
      <w:lang w:val="es-ES_tradnl"/>
    </w:rPr>
  </w:style>
  <w:style w:type="character" w:customStyle="1" w:styleId="Sangra3detindependienteCar">
    <w:name w:val="Sangría 3 de t. independiente Car"/>
    <w:basedOn w:val="Fuentedeprrafopredeter"/>
    <w:link w:val="Sangra3detindependiente"/>
    <w:uiPriority w:val="99"/>
    <w:semiHidden/>
    <w:locked/>
    <w:rsid w:val="001D1455"/>
    <w:rPr>
      <w:rFonts w:ascii="Times New Roman" w:eastAsia="Times New Roman" w:hAnsi="Times New Roman" w:cs="Times New Roman"/>
      <w:sz w:val="16"/>
      <w:szCs w:val="16"/>
    </w:rPr>
  </w:style>
  <w:style w:type="paragraph" w:styleId="Textocomentario">
    <w:name w:val="annotation text"/>
    <w:basedOn w:val="Normal"/>
    <w:link w:val="TextocomentarioCar"/>
    <w:uiPriority w:val="99"/>
    <w:unhideWhenUsed/>
    <w:rsid w:val="001D1455"/>
    <w:pPr>
      <w:spacing w:after="0" w:line="240" w:lineRule="auto"/>
      <w:jc w:val="both"/>
    </w:pPr>
    <w:rPr>
      <w:rFonts w:eastAsia="Batang" w:cs="Times"/>
      <w:noProof/>
      <w:szCs w:val="20"/>
      <w:lang w:val="es-ES_tradnl"/>
    </w:rPr>
  </w:style>
  <w:style w:type="character" w:customStyle="1" w:styleId="TextocomentarioCar1">
    <w:name w:val="Texto comentario Car1"/>
    <w:basedOn w:val="Fuentedeprrafopredeter"/>
    <w:uiPriority w:val="99"/>
    <w:semiHidden/>
    <w:rsid w:val="001D1455"/>
    <w:rPr>
      <w:sz w:val="20"/>
      <w:szCs w:val="20"/>
    </w:rPr>
  </w:style>
  <w:style w:type="character" w:customStyle="1" w:styleId="AsuntodelcomentarioCar">
    <w:name w:val="Asunto del comentario Car"/>
    <w:basedOn w:val="TextocomentarioCar"/>
    <w:link w:val="Asuntodelcomentario"/>
    <w:uiPriority w:val="99"/>
    <w:locked/>
    <w:rsid w:val="001D1455"/>
    <w:rPr>
      <w:rFonts w:ascii="Verdana" w:eastAsia="Batang" w:hAnsi="Verdana" w:cs="Times"/>
      <w:b/>
      <w:bCs/>
      <w:noProof/>
      <w:sz w:val="20"/>
      <w:szCs w:val="20"/>
      <w:lang w:val="es-ES_tradnl"/>
    </w:rPr>
  </w:style>
  <w:style w:type="character" w:customStyle="1" w:styleId="TextodegloboCar">
    <w:name w:val="Texto de globo Car"/>
    <w:basedOn w:val="Fuentedeprrafopredeter"/>
    <w:link w:val="Textodeglobo"/>
    <w:uiPriority w:val="99"/>
    <w:semiHidden/>
    <w:locked/>
    <w:rsid w:val="001D1455"/>
    <w:rPr>
      <w:rFonts w:ascii="Tahoma" w:eastAsia="Batang" w:hAnsi="Tahoma" w:cs="Tahoma"/>
      <w:noProof/>
      <w:sz w:val="16"/>
      <w:szCs w:val="16"/>
      <w:lang w:val="es-ES_tradnl"/>
    </w:rPr>
  </w:style>
  <w:style w:type="character" w:customStyle="1" w:styleId="PrrafodelistaCar">
    <w:name w:val="Párrafo de lista Car"/>
    <w:aliases w:val="Footnote Car,List Paragraph1 Car,Colorful List - Accent 11 Car,Párrafo de lista1 Car,List Paragraph2 Car,Lista vistosa - Énfasis 11 Car,Parrafos Car,Subtle Emphasis1 Car,Footnote1 Car,List Paragraph11 Car"/>
    <w:basedOn w:val="Fuentedeprrafopredeter"/>
    <w:link w:val="Prrafodelista"/>
    <w:uiPriority w:val="34"/>
    <w:locked/>
    <w:rsid w:val="001D1455"/>
    <w:rPr>
      <w:rFonts w:ascii="Verdana" w:eastAsia="Batang" w:hAnsi="Verdana" w:cs="Times"/>
      <w:noProof/>
      <w:sz w:val="20"/>
      <w:szCs w:val="24"/>
      <w:lang w:val="es-ES_tradnl"/>
    </w:rPr>
  </w:style>
  <w:style w:type="paragraph" w:customStyle="1" w:styleId="citaindirecta">
    <w:name w:val="cita indirecta"/>
    <w:basedOn w:val="Normal"/>
    <w:uiPriority w:val="99"/>
    <w:rsid w:val="001D1455"/>
    <w:pPr>
      <w:spacing w:after="0" w:line="240" w:lineRule="auto"/>
      <w:ind w:left="708"/>
      <w:jc w:val="both"/>
    </w:pPr>
    <w:rPr>
      <w:rFonts w:eastAsia="Times New Roman" w:cs="Times New Roman"/>
      <w:noProof/>
      <w:szCs w:val="20"/>
      <w:lang w:val="es-ES_tradnl"/>
    </w:rPr>
  </w:style>
  <w:style w:type="character" w:customStyle="1" w:styleId="Estilo1Car">
    <w:name w:val="Estilo1 Car"/>
    <w:basedOn w:val="Fuentedeprrafopredeter"/>
    <w:link w:val="Estilo1"/>
    <w:locked/>
    <w:rsid w:val="001D1455"/>
    <w:rPr>
      <w:rFonts w:ascii="Verdana" w:eastAsia="Batang" w:hAnsi="Verdana" w:cs="Times"/>
      <w:i/>
      <w:noProof/>
      <w:sz w:val="20"/>
      <w:szCs w:val="24"/>
      <w:lang w:val="es-ES_tradnl"/>
    </w:rPr>
  </w:style>
  <w:style w:type="paragraph" w:customStyle="1" w:styleId="Estilo1">
    <w:name w:val="Estilo1"/>
    <w:basedOn w:val="Normal"/>
    <w:link w:val="Estilo1Car"/>
    <w:qFormat/>
    <w:rsid w:val="001D1455"/>
    <w:pPr>
      <w:spacing w:after="120" w:line="240" w:lineRule="auto"/>
      <w:ind w:left="2018" w:right="6" w:hanging="180"/>
      <w:jc w:val="both"/>
    </w:pPr>
    <w:rPr>
      <w:rFonts w:eastAsia="Batang" w:cs="Times"/>
      <w:i/>
      <w:noProof/>
      <w:szCs w:val="24"/>
      <w:lang w:val="es-ES_tradnl"/>
    </w:rPr>
  </w:style>
  <w:style w:type="character" w:customStyle="1" w:styleId="FootnotesChar">
    <w:name w:val="**. Footnotes Char"/>
    <w:basedOn w:val="Fuentedeprrafopredeter"/>
    <w:link w:val="Footnotes"/>
    <w:locked/>
    <w:rsid w:val="00D86ABA"/>
    <w:rPr>
      <w:rFonts w:ascii="Verdana" w:eastAsia="Times New Roman" w:hAnsi="Verdana" w:cs="Palatino-Italic"/>
      <w:iCs/>
      <w:spacing w:val="-4"/>
      <w:sz w:val="16"/>
      <w:szCs w:val="16"/>
      <w:lang w:bidi="en-US"/>
    </w:rPr>
  </w:style>
  <w:style w:type="paragraph" w:customStyle="1" w:styleId="Footnotes">
    <w:name w:val="**. Footnotes"/>
    <w:basedOn w:val="Textonotapie"/>
    <w:link w:val="FootnotesChar"/>
    <w:autoRedefine/>
    <w:qFormat/>
    <w:rsid w:val="00D86ABA"/>
    <w:rPr>
      <w:rFonts w:eastAsia="Times New Roman" w:cs="Palatino-Italic"/>
      <w:iCs/>
      <w:noProof w:val="0"/>
      <w:spacing w:val="-4"/>
      <w:szCs w:val="16"/>
      <w:lang w:val="es-CR" w:bidi="en-US"/>
    </w:rPr>
  </w:style>
  <w:style w:type="character" w:customStyle="1" w:styleId="2FootnotesChar">
    <w:name w:val="2. Footnotes Char"/>
    <w:link w:val="2Footnotes"/>
    <w:locked/>
    <w:rsid w:val="001D1455"/>
    <w:rPr>
      <w:rFonts w:ascii="Verdana" w:eastAsia="Times New Roman" w:hAnsi="Verdana" w:cs="Palatino-Italic"/>
      <w:iCs/>
      <w:sz w:val="16"/>
      <w:szCs w:val="18"/>
    </w:rPr>
  </w:style>
  <w:style w:type="paragraph" w:customStyle="1" w:styleId="2Footnotes">
    <w:name w:val="2. Footnotes"/>
    <w:basedOn w:val="Textonotapie"/>
    <w:link w:val="2FootnotesChar"/>
    <w:autoRedefine/>
    <w:qFormat/>
    <w:rsid w:val="001D1455"/>
    <w:rPr>
      <w:rFonts w:eastAsia="Times New Roman" w:cs="Palatino-Italic"/>
      <w:iCs/>
      <w:noProof w:val="0"/>
      <w:szCs w:val="18"/>
      <w:lang w:val="es-CR"/>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1D1455"/>
    <w:rPr>
      <w:rFonts w:ascii="Times New Roman" w:hAnsi="Times New Roman" w:cs="Times New Roman"/>
      <w:szCs w:val="20"/>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D1455"/>
    <w:pPr>
      <w:spacing w:after="0" w:line="240" w:lineRule="auto"/>
      <w:jc w:val="both"/>
    </w:pPr>
    <w:rPr>
      <w:rFonts w:ascii="Times New Roman" w:hAnsi="Times New Roman" w:cs="Times New Roman"/>
      <w:szCs w:val="20"/>
      <w:vertAlign w:val="superscript"/>
    </w:rPr>
  </w:style>
  <w:style w:type="character" w:customStyle="1" w:styleId="PrrafodeSentenciaChar">
    <w:name w:val="*. Párrafo de Sentencia Char"/>
    <w:link w:val="PrrafodeSentencia"/>
    <w:locked/>
    <w:rsid w:val="001D1455"/>
    <w:rPr>
      <w:rFonts w:ascii="Verdana" w:eastAsia="Batang" w:hAnsi="Verdana" w:cs="Arial"/>
      <w:sz w:val="20"/>
      <w:szCs w:val="20"/>
      <w:lang w:eastAsia="es-MX"/>
    </w:rPr>
  </w:style>
  <w:style w:type="paragraph" w:customStyle="1" w:styleId="PrrafodeSentencia">
    <w:name w:val="*. Párrafo de Sentencia"/>
    <w:basedOn w:val="Textonotapie"/>
    <w:link w:val="PrrafodeSentenciaChar"/>
    <w:autoRedefine/>
    <w:qFormat/>
    <w:rsid w:val="001D1455"/>
    <w:pPr>
      <w:tabs>
        <w:tab w:val="left" w:pos="720"/>
      </w:tabs>
    </w:pPr>
    <w:rPr>
      <w:rFonts w:cs="Arial"/>
      <w:noProof w:val="0"/>
      <w:sz w:val="20"/>
      <w:lang w:val="es-CR" w:eastAsia="es-MX"/>
    </w:rPr>
  </w:style>
  <w:style w:type="paragraph" w:customStyle="1" w:styleId="negritamayuscula">
    <w:name w:val="negrita mayuscula"/>
    <w:basedOn w:val="Normal"/>
    <w:uiPriority w:val="99"/>
    <w:rsid w:val="001D1455"/>
    <w:pPr>
      <w:widowControl w:val="0"/>
      <w:tabs>
        <w:tab w:val="left" w:pos="1120"/>
      </w:tabs>
      <w:spacing w:before="60" w:after="60" w:line="360" w:lineRule="atLeast"/>
      <w:jc w:val="both"/>
    </w:pPr>
    <w:rPr>
      <w:rFonts w:ascii="Garamond" w:eastAsia="Times New Roman" w:hAnsi="Garamond" w:cs="Times New Roman"/>
      <w:sz w:val="24"/>
      <w:szCs w:val="20"/>
      <w:lang w:val="es-ES_tradnl"/>
    </w:rPr>
  </w:style>
  <w:style w:type="paragraph" w:customStyle="1" w:styleId="Default">
    <w:name w:val="Default"/>
    <w:rsid w:val="001D1455"/>
    <w:pPr>
      <w:autoSpaceDE w:val="0"/>
      <w:autoSpaceDN w:val="0"/>
      <w:adjustRightInd w:val="0"/>
      <w:spacing w:before="60" w:after="0" w:line="240" w:lineRule="auto"/>
    </w:pPr>
    <w:rPr>
      <w:rFonts w:ascii="Arial" w:eastAsia="Times New Roman" w:hAnsi="Arial" w:cs="Arial"/>
      <w:color w:val="000000"/>
      <w:sz w:val="24"/>
      <w:szCs w:val="24"/>
      <w:lang w:val="en-US"/>
    </w:rPr>
  </w:style>
  <w:style w:type="paragraph" w:customStyle="1" w:styleId="newsbody">
    <w:name w:val="news_body"/>
    <w:basedOn w:val="Normal"/>
    <w:uiPriority w:val="99"/>
    <w:rsid w:val="001D1455"/>
    <w:pPr>
      <w:spacing w:before="100" w:beforeAutospacing="1" w:after="100" w:afterAutospacing="1"/>
    </w:pPr>
    <w:rPr>
      <w:rFonts w:eastAsia="Times New Roman" w:cs="Times New Roman"/>
      <w:color w:val="000000"/>
      <w:spacing w:val="3"/>
      <w:sz w:val="18"/>
      <w:szCs w:val="18"/>
      <w:lang w:val="es-ES" w:eastAsia="es-ES"/>
    </w:rPr>
  </w:style>
  <w:style w:type="paragraph" w:customStyle="1" w:styleId="Titre1">
    <w:name w:val="Titre 1"/>
    <w:basedOn w:val="Normal"/>
    <w:uiPriority w:val="99"/>
    <w:rsid w:val="001D1455"/>
    <w:pPr>
      <w:numPr>
        <w:numId w:val="3"/>
      </w:numPr>
      <w:tabs>
        <w:tab w:val="num" w:pos="1080"/>
      </w:tabs>
      <w:spacing w:before="60" w:after="60"/>
      <w:ind w:left="1080" w:hanging="720"/>
      <w:jc w:val="center"/>
    </w:pPr>
    <w:rPr>
      <w:rFonts w:eastAsia="Times New Roman" w:cs="Times New Roman"/>
      <w:b/>
      <w:caps/>
      <w:szCs w:val="20"/>
      <w:lang w:val="es-ES" w:eastAsia="es-ES"/>
    </w:rPr>
  </w:style>
  <w:style w:type="paragraph" w:customStyle="1" w:styleId="textoparrafo">
    <w:name w:val="textoparrafo"/>
    <w:basedOn w:val="Normal"/>
    <w:uiPriority w:val="99"/>
    <w:rsid w:val="001D1455"/>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rrafodelista1">
    <w:name w:val="P∑rrafo de lista1"/>
    <w:basedOn w:val="Normal"/>
    <w:uiPriority w:val="99"/>
    <w:rsid w:val="001D1455"/>
    <w:pPr>
      <w:spacing w:before="60" w:after="60"/>
      <w:ind w:left="720"/>
      <w:contextualSpacing/>
    </w:pPr>
    <w:rPr>
      <w:rFonts w:ascii="Times New Roman" w:eastAsia="Times New Roman" w:hAnsi="Times New Roman" w:cs="Times New Roman"/>
      <w:sz w:val="24"/>
      <w:szCs w:val="24"/>
      <w:lang w:val="es-ES_tradnl"/>
    </w:rPr>
  </w:style>
  <w:style w:type="paragraph" w:customStyle="1" w:styleId="StyleHeading2LatinTimesNewRomanAsianBatang12ptN">
    <w:name w:val="Style Heading 2 + (Latin) Times New Roman (Asian) Batang 12 pt N..."/>
    <w:basedOn w:val="Ttulo2"/>
    <w:next w:val="Normal"/>
    <w:uiPriority w:val="99"/>
    <w:rsid w:val="001D1455"/>
    <w:pPr>
      <w:numPr>
        <w:ilvl w:val="1"/>
      </w:numPr>
      <w:tabs>
        <w:tab w:val="num" w:pos="360"/>
        <w:tab w:val="num" w:pos="576"/>
      </w:tabs>
      <w:spacing w:line="276" w:lineRule="auto"/>
      <w:ind w:left="576" w:hanging="576"/>
    </w:pPr>
    <w:rPr>
      <w:rFonts w:ascii="Times New Roman" w:hAnsi="Times New Roman"/>
      <w:i w:val="0"/>
      <w:color w:val="365F91"/>
      <w:sz w:val="24"/>
      <w:lang w:eastAsia="es-ES"/>
    </w:rPr>
  </w:style>
  <w:style w:type="paragraph" w:customStyle="1" w:styleId="JuPara">
    <w:name w:val="Ju_Para"/>
    <w:basedOn w:val="Normal"/>
    <w:uiPriority w:val="99"/>
    <w:rsid w:val="001D1455"/>
    <w:pPr>
      <w:suppressAutoHyphens/>
      <w:spacing w:before="240" w:after="240"/>
      <w:ind w:firstLine="284"/>
      <w:jc w:val="both"/>
    </w:pPr>
    <w:rPr>
      <w:rFonts w:ascii="Times New Roman" w:eastAsia="Times New Roman" w:hAnsi="Times New Roman" w:cs="Times New Roman"/>
      <w:sz w:val="24"/>
      <w:szCs w:val="20"/>
      <w:lang w:val="en-GB"/>
    </w:rPr>
  </w:style>
  <w:style w:type="paragraph" w:customStyle="1" w:styleId="Index91">
    <w:name w:val="Index 91"/>
    <w:basedOn w:val="Normal"/>
    <w:uiPriority w:val="99"/>
    <w:rsid w:val="001D1455"/>
    <w:pPr>
      <w:spacing w:before="60" w:after="60"/>
      <w:jc w:val="center"/>
    </w:pPr>
    <w:rPr>
      <w:rFonts w:ascii="Apple Chancery" w:eastAsia="Times New Roman" w:hAnsi="Apple Chancery" w:cs="Times New Roman"/>
      <w:b/>
      <w:sz w:val="24"/>
      <w:szCs w:val="20"/>
      <w:lang w:val="es-ES_tradnl" w:eastAsia="es-ES"/>
    </w:rPr>
  </w:style>
  <w:style w:type="paragraph" w:customStyle="1" w:styleId="Textoindependiente21">
    <w:name w:val="Texto independiente 21"/>
    <w:basedOn w:val="Normal"/>
    <w:uiPriority w:val="99"/>
    <w:rsid w:val="001D1455"/>
    <w:pPr>
      <w:spacing w:before="60" w:after="60" w:line="360" w:lineRule="atLeast"/>
      <w:jc w:val="both"/>
    </w:pPr>
    <w:rPr>
      <w:rFonts w:eastAsia="Times New Roman" w:cs="Times New Roman"/>
      <w:szCs w:val="20"/>
      <w:lang w:val="es-ES_tradnl" w:eastAsia="es-ES"/>
    </w:rPr>
  </w:style>
  <w:style w:type="paragraph" w:customStyle="1" w:styleId="Normal6">
    <w:name w:val="Normal+6"/>
    <w:basedOn w:val="Normal"/>
    <w:next w:val="Normal"/>
    <w:uiPriority w:val="99"/>
    <w:rsid w:val="001D1455"/>
    <w:pPr>
      <w:autoSpaceDE w:val="0"/>
      <w:autoSpaceDN w:val="0"/>
      <w:adjustRightInd w:val="0"/>
      <w:spacing w:before="60" w:after="60"/>
    </w:pPr>
    <w:rPr>
      <w:rFonts w:ascii="Times New Roman" w:eastAsia="Times New Roman" w:hAnsi="Times New Roman" w:cs="Times New Roman"/>
      <w:sz w:val="24"/>
      <w:szCs w:val="24"/>
      <w:lang w:val="es-ES" w:eastAsia="es-ES"/>
    </w:rPr>
  </w:style>
  <w:style w:type="paragraph" w:customStyle="1" w:styleId="MacroText1">
    <w:name w:val="Macro Text1"/>
    <w:basedOn w:val="Normal"/>
    <w:uiPriority w:val="99"/>
    <w:rsid w:val="001D1455"/>
    <w:pPr>
      <w:suppressAutoHyphens/>
      <w:spacing w:before="60" w:after="60"/>
    </w:pPr>
    <w:rPr>
      <w:rFonts w:eastAsia="Times New Roman" w:cs="Times New Roman"/>
      <w:sz w:val="24"/>
      <w:szCs w:val="20"/>
      <w:lang w:val="es-ES_tradnl" w:eastAsia="ar-SA"/>
    </w:rPr>
  </w:style>
  <w:style w:type="paragraph" w:customStyle="1" w:styleId="ju-005fpara-0020char1-0020char-0020char-0020char-0020char-0020char">
    <w:name w:val="ju-005fpara-0020char1-0020char-0020char-0020char-0020char-0020char"/>
    <w:basedOn w:val="Normal"/>
    <w:uiPriority w:val="99"/>
    <w:rsid w:val="001D1455"/>
    <w:pPr>
      <w:spacing w:before="100" w:beforeAutospacing="1" w:after="100" w:afterAutospacing="1"/>
    </w:pPr>
    <w:rPr>
      <w:rFonts w:ascii="Times New Roman" w:eastAsia="Times New Roman" w:hAnsi="Times New Roman" w:cs="Times New Roman"/>
      <w:sz w:val="24"/>
      <w:szCs w:val="24"/>
      <w:lang w:val="en-US"/>
    </w:rPr>
  </w:style>
  <w:style w:type="paragraph" w:customStyle="1" w:styleId="ju-005fpara-0020char-0020char-0020char">
    <w:name w:val="ju-005fpara-0020char-0020char-0020char"/>
    <w:basedOn w:val="Normal"/>
    <w:uiPriority w:val="99"/>
    <w:rsid w:val="001D1455"/>
    <w:pPr>
      <w:spacing w:before="100" w:beforeAutospacing="1" w:after="100" w:afterAutospacing="1"/>
    </w:pPr>
    <w:rPr>
      <w:rFonts w:ascii="Times New Roman" w:eastAsia="Times New Roman" w:hAnsi="Times New Roman" w:cs="Times New Roman"/>
      <w:sz w:val="24"/>
      <w:szCs w:val="24"/>
      <w:lang w:val="en-US"/>
    </w:rPr>
  </w:style>
  <w:style w:type="paragraph" w:customStyle="1" w:styleId="western">
    <w:name w:val="western"/>
    <w:basedOn w:val="Normal"/>
    <w:uiPriority w:val="99"/>
    <w:rsid w:val="001D1455"/>
    <w:pPr>
      <w:spacing w:before="100" w:beforeAutospacing="1" w:after="60"/>
      <w:jc w:val="both"/>
    </w:pPr>
    <w:rPr>
      <w:rFonts w:ascii="Times New Roman" w:eastAsia="Times New Roman" w:hAnsi="Times New Roman" w:cs="Times New Roman"/>
      <w:color w:val="000000"/>
      <w:sz w:val="28"/>
      <w:szCs w:val="28"/>
      <w:lang w:val="en-US"/>
    </w:rPr>
  </w:style>
  <w:style w:type="paragraph" w:customStyle="1" w:styleId="CM124">
    <w:name w:val="CM124"/>
    <w:basedOn w:val="Default"/>
    <w:next w:val="Default"/>
    <w:uiPriority w:val="99"/>
    <w:rsid w:val="001D1455"/>
    <w:pPr>
      <w:widowControl w:val="0"/>
    </w:pPr>
    <w:rPr>
      <w:color w:val="auto"/>
    </w:rPr>
  </w:style>
  <w:style w:type="paragraph" w:customStyle="1" w:styleId="CM125">
    <w:name w:val="CM125"/>
    <w:basedOn w:val="Default"/>
    <w:next w:val="Default"/>
    <w:uiPriority w:val="99"/>
    <w:rsid w:val="001D1455"/>
    <w:pPr>
      <w:widowControl w:val="0"/>
    </w:pPr>
    <w:rPr>
      <w:color w:val="auto"/>
    </w:rPr>
  </w:style>
  <w:style w:type="paragraph" w:customStyle="1" w:styleId="CM129">
    <w:name w:val="CM129"/>
    <w:basedOn w:val="Default"/>
    <w:next w:val="Default"/>
    <w:uiPriority w:val="99"/>
    <w:rsid w:val="001D1455"/>
    <w:pPr>
      <w:widowControl w:val="0"/>
    </w:pPr>
    <w:rPr>
      <w:color w:val="auto"/>
    </w:rPr>
  </w:style>
  <w:style w:type="paragraph" w:customStyle="1" w:styleId="Prrafodelista2">
    <w:name w:val="Párrafo de lista2"/>
    <w:basedOn w:val="Normal"/>
    <w:uiPriority w:val="99"/>
    <w:rsid w:val="001D1455"/>
    <w:pPr>
      <w:spacing w:after="0" w:line="240" w:lineRule="auto"/>
      <w:ind w:left="720"/>
    </w:pPr>
    <w:rPr>
      <w:rFonts w:eastAsia="MS Mincho" w:cs="Times New Roman"/>
      <w:szCs w:val="20"/>
      <w:lang w:val="es-ES_tradnl" w:bidi="en-US"/>
    </w:rPr>
  </w:style>
  <w:style w:type="character" w:styleId="Refdecomentario">
    <w:name w:val="annotation reference"/>
    <w:basedOn w:val="Fuentedeprrafopredeter"/>
    <w:uiPriority w:val="99"/>
    <w:semiHidden/>
    <w:unhideWhenUsed/>
    <w:rsid w:val="001D1455"/>
    <w:rPr>
      <w:sz w:val="16"/>
      <w:szCs w:val="16"/>
    </w:rPr>
  </w:style>
  <w:style w:type="character" w:styleId="Nmerodepgina">
    <w:name w:val="page number"/>
    <w:basedOn w:val="Fuentedeprrafopredeter"/>
    <w:uiPriority w:val="99"/>
    <w:semiHidden/>
    <w:unhideWhenUsed/>
    <w:rsid w:val="001D1455"/>
    <w:rPr>
      <w:rFonts w:ascii="Times New Roman" w:hAnsi="Times New Roman" w:cs="Times New Roman" w:hint="default"/>
    </w:rPr>
  </w:style>
  <w:style w:type="character" w:styleId="Refdenotaalfinal">
    <w:name w:val="endnote reference"/>
    <w:basedOn w:val="Fuentedeprrafopredeter"/>
    <w:uiPriority w:val="99"/>
    <w:semiHidden/>
    <w:unhideWhenUsed/>
    <w:rsid w:val="001D1455"/>
    <w:rPr>
      <w:vertAlign w:val="superscript"/>
    </w:rPr>
  </w:style>
  <w:style w:type="character" w:styleId="Textodelmarcadordeposicin">
    <w:name w:val="Placeholder Text"/>
    <w:basedOn w:val="Fuentedeprrafopredeter"/>
    <w:uiPriority w:val="99"/>
    <w:semiHidden/>
    <w:rsid w:val="001D1455"/>
    <w:rPr>
      <w:color w:val="808080"/>
    </w:rPr>
  </w:style>
  <w:style w:type="character" w:customStyle="1" w:styleId="Ttulo7Car1">
    <w:name w:val="Título 7 Car1"/>
    <w:basedOn w:val="Fuentedeprrafopredeter"/>
    <w:uiPriority w:val="99"/>
    <w:semiHidden/>
    <w:rsid w:val="001D1455"/>
    <w:rPr>
      <w:rFonts w:asciiTheme="majorHAnsi" w:eastAsiaTheme="majorEastAsia" w:hAnsiTheme="majorHAnsi" w:cstheme="majorBidi"/>
      <w:i/>
      <w:iCs/>
      <w:noProof/>
      <w:color w:val="404040" w:themeColor="text1" w:themeTint="BF"/>
      <w:szCs w:val="24"/>
      <w:lang w:val="es-ES_tradnl"/>
    </w:rPr>
  </w:style>
  <w:style w:type="character" w:customStyle="1" w:styleId="Ttulo8Car1">
    <w:name w:val="Título 8 Car1"/>
    <w:basedOn w:val="Fuentedeprrafopredeter"/>
    <w:uiPriority w:val="99"/>
    <w:semiHidden/>
    <w:rsid w:val="001D1455"/>
    <w:rPr>
      <w:rFonts w:asciiTheme="majorHAnsi" w:eastAsiaTheme="majorEastAsia" w:hAnsiTheme="majorHAnsi" w:cstheme="majorBidi"/>
      <w:noProof/>
      <w:color w:val="404040" w:themeColor="text1" w:themeTint="BF"/>
      <w:lang w:val="es-ES_tradnl"/>
    </w:rPr>
  </w:style>
  <w:style w:type="character" w:customStyle="1" w:styleId="Ttulo9Car1">
    <w:name w:val="Título 9 Car1"/>
    <w:basedOn w:val="Fuentedeprrafopredeter"/>
    <w:uiPriority w:val="99"/>
    <w:semiHidden/>
    <w:rsid w:val="001D1455"/>
    <w:rPr>
      <w:rFonts w:asciiTheme="majorHAnsi" w:eastAsiaTheme="majorEastAsia" w:hAnsiTheme="majorHAnsi" w:cstheme="majorBidi"/>
      <w:i/>
      <w:iCs/>
      <w:noProof/>
      <w:color w:val="404040" w:themeColor="text1" w:themeTint="BF"/>
      <w:lang w:val="es-ES_tradnl"/>
    </w:rPr>
  </w:style>
  <w:style w:type="paragraph" w:styleId="Ttulo">
    <w:name w:val="Title"/>
    <w:basedOn w:val="Normal"/>
    <w:next w:val="Normal"/>
    <w:link w:val="TtuloCar"/>
    <w:qFormat/>
    <w:rsid w:val="001D1455"/>
    <w:pPr>
      <w:pBdr>
        <w:bottom w:val="single" w:sz="8" w:space="4" w:color="4F81BD" w:themeColor="accent1"/>
      </w:pBdr>
      <w:spacing w:after="300" w:line="240" w:lineRule="auto"/>
      <w:contextualSpacing/>
      <w:jc w:val="both"/>
    </w:pPr>
    <w:rPr>
      <w:rFonts w:eastAsia="Times New Roman" w:cs="Times New Roman"/>
      <w:b/>
      <w:noProof/>
      <w:szCs w:val="20"/>
      <w:lang w:val="es-ES_tradnl"/>
    </w:rPr>
  </w:style>
  <w:style w:type="character" w:customStyle="1" w:styleId="TtuloCar1">
    <w:name w:val="Título Car1"/>
    <w:basedOn w:val="Fuentedeprrafopredeter"/>
    <w:rsid w:val="001D145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1D1455"/>
    <w:pPr>
      <w:numPr>
        <w:ilvl w:val="1"/>
      </w:numPr>
      <w:spacing w:after="0" w:line="240" w:lineRule="auto"/>
      <w:jc w:val="both"/>
    </w:pPr>
    <w:rPr>
      <w:rFonts w:eastAsia="Times New Roman" w:cs="Times New Roman"/>
      <w:b/>
      <w:i/>
      <w:iCs/>
      <w:noProof/>
      <w:spacing w:val="15"/>
      <w:szCs w:val="24"/>
      <w:lang w:val="es-ES_tradnl"/>
    </w:rPr>
  </w:style>
  <w:style w:type="character" w:customStyle="1" w:styleId="SubttuloCar1">
    <w:name w:val="Subtítulo Car1"/>
    <w:basedOn w:val="Fuentedeprrafopredeter"/>
    <w:rsid w:val="001D1455"/>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unhideWhenUsed/>
    <w:rsid w:val="001D1455"/>
    <w:pPr>
      <w:tabs>
        <w:tab w:val="center" w:pos="4419"/>
        <w:tab w:val="right" w:pos="8838"/>
      </w:tabs>
      <w:spacing w:after="0" w:line="240" w:lineRule="auto"/>
      <w:jc w:val="both"/>
    </w:pPr>
    <w:rPr>
      <w:rFonts w:eastAsia="Batang" w:cs="Times"/>
      <w:noProof/>
      <w:szCs w:val="24"/>
      <w:lang w:val="es-ES_tradnl"/>
    </w:rPr>
  </w:style>
  <w:style w:type="character" w:customStyle="1" w:styleId="EncabezadoCar1">
    <w:name w:val="Encabezado Car1"/>
    <w:basedOn w:val="Fuentedeprrafopredeter"/>
    <w:uiPriority w:val="99"/>
    <w:semiHidden/>
    <w:rsid w:val="001D1455"/>
  </w:style>
  <w:style w:type="paragraph" w:styleId="Piedepgina">
    <w:name w:val="footer"/>
    <w:basedOn w:val="Normal"/>
    <w:link w:val="PiedepginaCar"/>
    <w:uiPriority w:val="99"/>
    <w:unhideWhenUsed/>
    <w:rsid w:val="001D1455"/>
    <w:pPr>
      <w:tabs>
        <w:tab w:val="center" w:pos="4419"/>
        <w:tab w:val="right" w:pos="8838"/>
      </w:tabs>
      <w:spacing w:after="0" w:line="240" w:lineRule="auto"/>
      <w:jc w:val="both"/>
    </w:pPr>
    <w:rPr>
      <w:rFonts w:eastAsia="Batang" w:cs="Times"/>
      <w:noProof/>
      <w:szCs w:val="24"/>
      <w:lang w:val="es-ES_tradnl"/>
    </w:rPr>
  </w:style>
  <w:style w:type="character" w:customStyle="1" w:styleId="PiedepginaCar1">
    <w:name w:val="Pie de página Car1"/>
    <w:basedOn w:val="Fuentedeprrafopredeter"/>
    <w:uiPriority w:val="99"/>
    <w:semiHidden/>
    <w:rsid w:val="001D1455"/>
  </w:style>
  <w:style w:type="character" w:customStyle="1" w:styleId="apple-converted-space">
    <w:name w:val="apple-converted-space"/>
    <w:basedOn w:val="Fuentedeprrafopredeter"/>
    <w:rsid w:val="001D1455"/>
  </w:style>
  <w:style w:type="paragraph" w:styleId="Textodeglobo">
    <w:name w:val="Balloon Text"/>
    <w:basedOn w:val="Normal"/>
    <w:link w:val="TextodegloboCar"/>
    <w:uiPriority w:val="99"/>
    <w:semiHidden/>
    <w:unhideWhenUsed/>
    <w:rsid w:val="001D1455"/>
    <w:pPr>
      <w:spacing w:after="0" w:line="240" w:lineRule="auto"/>
      <w:jc w:val="both"/>
    </w:pPr>
    <w:rPr>
      <w:rFonts w:ascii="Tahoma" w:eastAsia="Batang" w:hAnsi="Tahoma" w:cs="Tahoma"/>
      <w:noProof/>
      <w:sz w:val="16"/>
      <w:szCs w:val="16"/>
      <w:lang w:val="es-ES_tradnl"/>
    </w:rPr>
  </w:style>
  <w:style w:type="character" w:customStyle="1" w:styleId="TextodegloboCar1">
    <w:name w:val="Texto de globo Car1"/>
    <w:basedOn w:val="Fuentedeprrafopredeter"/>
    <w:uiPriority w:val="99"/>
    <w:semiHidden/>
    <w:rsid w:val="001D1455"/>
    <w:rPr>
      <w:rFonts w:ascii="Tahoma" w:hAnsi="Tahoma" w:cs="Tahoma"/>
      <w:sz w:val="16"/>
      <w:szCs w:val="16"/>
    </w:rPr>
  </w:style>
  <w:style w:type="paragraph" w:styleId="Asuntodelcomentario">
    <w:name w:val="annotation subject"/>
    <w:basedOn w:val="Textocomentario"/>
    <w:next w:val="Textocomentario"/>
    <w:link w:val="AsuntodelcomentarioCar"/>
    <w:uiPriority w:val="99"/>
    <w:unhideWhenUsed/>
    <w:rsid w:val="001D1455"/>
    <w:rPr>
      <w:b/>
      <w:bCs/>
    </w:rPr>
  </w:style>
  <w:style w:type="character" w:customStyle="1" w:styleId="AsuntodelcomentarioCar1">
    <w:name w:val="Asunto del comentario Car1"/>
    <w:basedOn w:val="TextocomentarioCar1"/>
    <w:uiPriority w:val="99"/>
    <w:semiHidden/>
    <w:rsid w:val="001D1455"/>
    <w:rPr>
      <w:b/>
      <w:bCs/>
      <w:sz w:val="20"/>
      <w:szCs w:val="20"/>
    </w:rPr>
  </w:style>
  <w:style w:type="character" w:customStyle="1" w:styleId="Smbolodenotaalpie">
    <w:name w:val="Símbolo de nota al pie"/>
    <w:rsid w:val="001D1455"/>
    <w:rPr>
      <w:rFonts w:ascii="Times New Roman" w:hAnsi="Times New Roman" w:cs="Times New Roman" w:hint="default"/>
      <w:szCs w:val="20"/>
      <w:vertAlign w:val="superscript"/>
    </w:rPr>
  </w:style>
  <w:style w:type="paragraph" w:styleId="Textonotaalfinal">
    <w:name w:val="endnote text"/>
    <w:basedOn w:val="Normal"/>
    <w:link w:val="TextonotaalfinalCar"/>
    <w:uiPriority w:val="99"/>
    <w:semiHidden/>
    <w:unhideWhenUsed/>
    <w:rsid w:val="001D1455"/>
    <w:pPr>
      <w:spacing w:after="0" w:line="240" w:lineRule="auto"/>
      <w:jc w:val="both"/>
    </w:pPr>
    <w:rPr>
      <w:rFonts w:ascii="CG Times" w:eastAsia="Times New Roman" w:hAnsi="CG Times" w:cs="Times New Roman"/>
      <w:szCs w:val="20"/>
    </w:rPr>
  </w:style>
  <w:style w:type="character" w:customStyle="1" w:styleId="TextonotaalfinalCar1">
    <w:name w:val="Texto nota al final Car1"/>
    <w:basedOn w:val="Fuentedeprrafopredeter"/>
    <w:uiPriority w:val="99"/>
    <w:semiHidden/>
    <w:rsid w:val="001D1455"/>
    <w:rPr>
      <w:sz w:val="20"/>
      <w:szCs w:val="20"/>
    </w:rPr>
  </w:style>
  <w:style w:type="paragraph" w:styleId="Sangradetextonormal">
    <w:name w:val="Body Text Indent"/>
    <w:basedOn w:val="Normal"/>
    <w:link w:val="SangradetextonormalCar"/>
    <w:uiPriority w:val="99"/>
    <w:semiHidden/>
    <w:unhideWhenUsed/>
    <w:rsid w:val="001D1455"/>
    <w:pPr>
      <w:spacing w:after="120" w:line="240" w:lineRule="auto"/>
      <w:ind w:left="283"/>
      <w:jc w:val="both"/>
    </w:pPr>
    <w:rPr>
      <w:rFonts w:ascii="Univers" w:eastAsia="Times New Roman" w:hAnsi="Univers" w:cs="Times New Roman"/>
      <w:szCs w:val="20"/>
      <w:lang w:val="es-CL"/>
    </w:rPr>
  </w:style>
  <w:style w:type="character" w:customStyle="1" w:styleId="SangradetextonormalCar1">
    <w:name w:val="Sangría de texto normal Car1"/>
    <w:basedOn w:val="Fuentedeprrafopredeter"/>
    <w:uiPriority w:val="99"/>
    <w:semiHidden/>
    <w:rsid w:val="001D1455"/>
  </w:style>
  <w:style w:type="paragraph" w:styleId="Textoindependiente">
    <w:name w:val="Body Text"/>
    <w:basedOn w:val="Normal"/>
    <w:link w:val="TextoindependienteCar"/>
    <w:uiPriority w:val="99"/>
    <w:semiHidden/>
    <w:unhideWhenUsed/>
    <w:rsid w:val="001D1455"/>
    <w:pPr>
      <w:spacing w:after="120" w:line="240" w:lineRule="auto"/>
      <w:jc w:val="both"/>
    </w:pPr>
    <w:rPr>
      <w:rFonts w:ascii="Univers" w:eastAsia="Times New Roman" w:hAnsi="Univers" w:cs="Times New Roman"/>
      <w:szCs w:val="20"/>
      <w:lang w:val="es-CL"/>
    </w:rPr>
  </w:style>
  <w:style w:type="character" w:customStyle="1" w:styleId="TextoindependienteCar1">
    <w:name w:val="Texto independiente Car1"/>
    <w:basedOn w:val="Fuentedeprrafopredeter"/>
    <w:uiPriority w:val="99"/>
    <w:semiHidden/>
    <w:rsid w:val="001D1455"/>
  </w:style>
  <w:style w:type="paragraph" w:styleId="Textoindependiente2">
    <w:name w:val="Body Text 2"/>
    <w:basedOn w:val="Normal"/>
    <w:link w:val="Textoindependiente2Car"/>
    <w:uiPriority w:val="99"/>
    <w:semiHidden/>
    <w:unhideWhenUsed/>
    <w:rsid w:val="001D1455"/>
    <w:pPr>
      <w:spacing w:after="120" w:line="480" w:lineRule="auto"/>
      <w:jc w:val="both"/>
    </w:pPr>
    <w:rPr>
      <w:rFonts w:ascii="Times New Roman" w:eastAsia="Times New Roman" w:hAnsi="Times New Roman" w:cs="Times New Roman"/>
      <w:sz w:val="24"/>
      <w:szCs w:val="24"/>
      <w:lang w:val="es-ES_tradnl"/>
    </w:rPr>
  </w:style>
  <w:style w:type="character" w:customStyle="1" w:styleId="Textoindependiente2Car1">
    <w:name w:val="Texto independiente 2 Car1"/>
    <w:basedOn w:val="Fuentedeprrafopredeter"/>
    <w:uiPriority w:val="99"/>
    <w:semiHidden/>
    <w:rsid w:val="001D1455"/>
  </w:style>
  <w:style w:type="paragraph" w:styleId="Sangra2detindependiente">
    <w:name w:val="Body Text Indent 2"/>
    <w:basedOn w:val="Normal"/>
    <w:link w:val="Sangra2detindependienteCar"/>
    <w:uiPriority w:val="99"/>
    <w:semiHidden/>
    <w:unhideWhenUsed/>
    <w:rsid w:val="001D1455"/>
    <w:pPr>
      <w:spacing w:after="120" w:line="480" w:lineRule="auto"/>
      <w:ind w:left="283"/>
      <w:jc w:val="both"/>
    </w:pPr>
    <w:rPr>
      <w:rFonts w:ascii="Times New Roman" w:eastAsia="Times New Roman" w:hAnsi="Times New Roman" w:cs="Times New Roman"/>
      <w:sz w:val="24"/>
      <w:szCs w:val="20"/>
      <w:lang w:val="es-ES_tradnl"/>
    </w:rPr>
  </w:style>
  <w:style w:type="character" w:customStyle="1" w:styleId="Sangra2detindependienteCar1">
    <w:name w:val="Sangría 2 de t. independiente Car1"/>
    <w:basedOn w:val="Fuentedeprrafopredeter"/>
    <w:uiPriority w:val="99"/>
    <w:semiHidden/>
    <w:rsid w:val="001D1455"/>
  </w:style>
  <w:style w:type="paragraph" w:styleId="Sangra3detindependiente">
    <w:name w:val="Body Text Indent 3"/>
    <w:basedOn w:val="Normal"/>
    <w:link w:val="Sangra3detindependienteCar"/>
    <w:uiPriority w:val="99"/>
    <w:semiHidden/>
    <w:unhideWhenUsed/>
    <w:rsid w:val="001D1455"/>
    <w:pPr>
      <w:spacing w:after="120" w:line="240" w:lineRule="auto"/>
      <w:ind w:left="283"/>
      <w:jc w:val="both"/>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1D1455"/>
    <w:rPr>
      <w:sz w:val="16"/>
      <w:szCs w:val="16"/>
    </w:rPr>
  </w:style>
  <w:style w:type="paragraph" w:styleId="Textoindependiente3">
    <w:name w:val="Body Text 3"/>
    <w:basedOn w:val="Normal"/>
    <w:link w:val="Textoindependiente3Car"/>
    <w:uiPriority w:val="99"/>
    <w:semiHidden/>
    <w:unhideWhenUsed/>
    <w:rsid w:val="001D1455"/>
    <w:pPr>
      <w:spacing w:after="120" w:line="240" w:lineRule="auto"/>
      <w:jc w:val="both"/>
    </w:pPr>
    <w:rPr>
      <w:rFonts w:ascii="Times New Roman" w:eastAsia="Times New Roman" w:hAnsi="Times New Roman" w:cs="Times New Roman"/>
      <w:sz w:val="16"/>
      <w:szCs w:val="16"/>
    </w:rPr>
  </w:style>
  <w:style w:type="character" w:customStyle="1" w:styleId="Textoindependiente3Car1">
    <w:name w:val="Texto independiente 3 Car1"/>
    <w:basedOn w:val="Fuentedeprrafopredeter"/>
    <w:uiPriority w:val="99"/>
    <w:semiHidden/>
    <w:rsid w:val="001D1455"/>
    <w:rPr>
      <w:sz w:val="16"/>
      <w:szCs w:val="16"/>
    </w:rPr>
  </w:style>
  <w:style w:type="character" w:customStyle="1" w:styleId="Smbolodenotaalpie0">
    <w:name w:val="S√mbolo de nota al pie"/>
    <w:uiPriority w:val="99"/>
    <w:rsid w:val="001D1455"/>
    <w:rPr>
      <w:vertAlign w:val="superscript"/>
    </w:rPr>
  </w:style>
  <w:style w:type="character" w:customStyle="1" w:styleId="FootnoteCharacters">
    <w:name w:val="Footnote Characters"/>
    <w:basedOn w:val="Fuentedeprrafopredeter"/>
    <w:uiPriority w:val="99"/>
    <w:rsid w:val="001D1455"/>
    <w:rPr>
      <w:rFonts w:ascii="Times New Roman" w:hAnsi="Times New Roman" w:cs="Times New Roman" w:hint="default"/>
      <w:vertAlign w:val="superscript"/>
    </w:rPr>
  </w:style>
  <w:style w:type="character" w:customStyle="1" w:styleId="CarCar">
    <w:name w:val="Car Car"/>
    <w:basedOn w:val="Fuentedeprrafopredeter"/>
    <w:uiPriority w:val="99"/>
    <w:rsid w:val="001D1455"/>
    <w:rPr>
      <w:rFonts w:ascii="Times New Roman" w:hAnsi="Times New Roman" w:cs="Times New Roman" w:hint="default"/>
      <w:sz w:val="24"/>
      <w:lang w:val="es-ES" w:eastAsia="en-US"/>
    </w:rPr>
  </w:style>
  <w:style w:type="character" w:customStyle="1" w:styleId="documentbody">
    <w:name w:val="documentbody"/>
    <w:basedOn w:val="Fuentedeprrafopredeter"/>
    <w:uiPriority w:val="99"/>
    <w:rsid w:val="001D1455"/>
    <w:rPr>
      <w:rFonts w:ascii="Times New Roman" w:hAnsi="Times New Roman" w:cs="Times New Roman" w:hint="default"/>
    </w:rPr>
  </w:style>
  <w:style w:type="character" w:customStyle="1" w:styleId="Refdenotaalpie7">
    <w:name w:val="Ref. de nota al pie7"/>
    <w:uiPriority w:val="99"/>
    <w:rsid w:val="001D1455"/>
    <w:rPr>
      <w:vertAlign w:val="superscript"/>
    </w:rPr>
  </w:style>
  <w:style w:type="character" w:customStyle="1" w:styleId="googqs-tidbit1">
    <w:name w:val="goog_qs-tidbit1"/>
    <w:basedOn w:val="Fuentedeprrafopredeter"/>
    <w:uiPriority w:val="99"/>
    <w:rsid w:val="001D1455"/>
    <w:rPr>
      <w:rFonts w:ascii="Times New Roman" w:hAnsi="Times New Roman" w:cs="Times New Roman" w:hint="default"/>
    </w:rPr>
  </w:style>
  <w:style w:type="character" w:customStyle="1" w:styleId="apple-style-span">
    <w:name w:val="apple-style-span"/>
    <w:basedOn w:val="Fuentedeprrafopredeter"/>
    <w:rsid w:val="001D1455"/>
    <w:rPr>
      <w:rFonts w:ascii="Times New Roman" w:hAnsi="Times New Roman" w:cs="Times New Roman" w:hint="default"/>
    </w:rPr>
  </w:style>
  <w:style w:type="character" w:customStyle="1" w:styleId="WW8Num5z1">
    <w:name w:val="WW8Num5z1"/>
    <w:uiPriority w:val="99"/>
    <w:rsid w:val="001D1455"/>
    <w:rPr>
      <w:rFonts w:ascii="Courier New" w:hAnsi="Courier New" w:cs="Courier New" w:hint="default"/>
    </w:rPr>
  </w:style>
  <w:style w:type="character" w:customStyle="1" w:styleId="A10">
    <w:name w:val="A10"/>
    <w:uiPriority w:val="99"/>
    <w:rsid w:val="001D1455"/>
    <w:rPr>
      <w:color w:val="000000"/>
      <w:sz w:val="11"/>
    </w:rPr>
  </w:style>
  <w:style w:type="character" w:customStyle="1" w:styleId="ju-005fpara-0020char-0020char-0020char--char">
    <w:name w:val="ju-005fpara-0020char-0020char-0020char--char"/>
    <w:basedOn w:val="Fuentedeprrafopredeter"/>
    <w:uiPriority w:val="99"/>
    <w:rsid w:val="001D1455"/>
    <w:rPr>
      <w:rFonts w:ascii="Times New Roman" w:hAnsi="Times New Roman" w:cs="Times New Roman" w:hint="default"/>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1D1455"/>
    <w:rPr>
      <w:rFonts w:ascii="Univers" w:hAnsi="Univers" w:cs="Times New Roman" w:hint="default"/>
      <w:lang w:val="en-US" w:eastAsia="en-US" w:bidi="ar-SA"/>
    </w:rPr>
  </w:style>
  <w:style w:type="character" w:customStyle="1" w:styleId="FootnoteAnchor">
    <w:name w:val="Footnote Anchor"/>
    <w:rsid w:val="001D1455"/>
    <w:rPr>
      <w:vertAlign w:val="superscript"/>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Fuentedeprrafopredeter"/>
    <w:qFormat/>
    <w:locked/>
    <w:rsid w:val="001D1455"/>
    <w:rPr>
      <w:rFonts w:ascii="Verdana" w:hAnsi="Verdana" w:hint="default"/>
    </w:rPr>
  </w:style>
  <w:style w:type="character" w:customStyle="1" w:styleId="notranslate">
    <w:name w:val="notranslate"/>
    <w:basedOn w:val="Fuentedeprrafopredeter"/>
    <w:rsid w:val="001D1455"/>
  </w:style>
  <w:style w:type="table" w:styleId="Tablaconcuadrcula">
    <w:name w:val="Table Grid"/>
    <w:basedOn w:val="Tablanormal"/>
    <w:uiPriority w:val="99"/>
    <w:rsid w:val="001D145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aliases w:val="Heading 2.1"/>
    <w:basedOn w:val="Fuentedeprrafopredeter"/>
    <w:uiPriority w:val="22"/>
    <w:qFormat/>
    <w:rsid w:val="001D1455"/>
    <w:rPr>
      <w:b/>
      <w:bCs/>
    </w:rPr>
  </w:style>
  <w:style w:type="paragraph" w:styleId="Listaconvietas">
    <w:name w:val="List Bullet"/>
    <w:basedOn w:val="Normal"/>
    <w:uiPriority w:val="99"/>
    <w:semiHidden/>
    <w:unhideWhenUsed/>
    <w:rsid w:val="001D1455"/>
    <w:pPr>
      <w:numPr>
        <w:numId w:val="2"/>
      </w:numPr>
      <w:spacing w:after="0" w:line="240" w:lineRule="auto"/>
      <w:contextualSpacing/>
      <w:jc w:val="both"/>
    </w:pPr>
    <w:rPr>
      <w:rFonts w:eastAsia="Batang" w:cs="Times"/>
      <w:noProof/>
      <w:szCs w:val="24"/>
      <w:lang w:val="es-ES_tradnl"/>
    </w:rPr>
  </w:style>
  <w:style w:type="paragraph" w:styleId="TDC1">
    <w:name w:val="toc 1"/>
    <w:basedOn w:val="Normal"/>
    <w:next w:val="Normal"/>
    <w:autoRedefine/>
    <w:uiPriority w:val="39"/>
    <w:unhideWhenUsed/>
    <w:rsid w:val="004F1F45"/>
    <w:pPr>
      <w:tabs>
        <w:tab w:val="left" w:pos="567"/>
        <w:tab w:val="right" w:leader="dot" w:pos="9356"/>
      </w:tabs>
      <w:spacing w:after="20" w:line="240" w:lineRule="auto"/>
    </w:pPr>
    <w:rPr>
      <w:rFonts w:eastAsia="Calibri" w:cs="Times New Roman"/>
      <w:b/>
      <w:noProof/>
      <w:sz w:val="2"/>
      <w:szCs w:val="2"/>
      <w:lang w:val="es-CO" w:eastAsia="es-ES"/>
    </w:rPr>
  </w:style>
  <w:style w:type="paragraph" w:styleId="TDC2">
    <w:name w:val="toc 2"/>
    <w:basedOn w:val="Normal"/>
    <w:next w:val="Normal"/>
    <w:autoRedefine/>
    <w:uiPriority w:val="39"/>
    <w:unhideWhenUsed/>
    <w:rsid w:val="00D24534"/>
    <w:pPr>
      <w:tabs>
        <w:tab w:val="left" w:pos="567"/>
        <w:tab w:val="left" w:pos="660"/>
        <w:tab w:val="right" w:leader="dot" w:pos="9356"/>
      </w:tabs>
      <w:spacing w:after="20" w:line="240" w:lineRule="auto"/>
      <w:ind w:left="220"/>
    </w:pPr>
    <w:rPr>
      <w:rFonts w:eastAsia="Calibri" w:cs="Times New Roman"/>
      <w:b/>
      <w:i/>
      <w:noProof/>
    </w:rPr>
  </w:style>
  <w:style w:type="paragraph" w:styleId="TDC3">
    <w:name w:val="toc 3"/>
    <w:basedOn w:val="Normal"/>
    <w:next w:val="Normal"/>
    <w:autoRedefine/>
    <w:uiPriority w:val="39"/>
    <w:unhideWhenUsed/>
    <w:rsid w:val="008F49BF"/>
    <w:pPr>
      <w:spacing w:after="100"/>
      <w:ind w:left="440"/>
    </w:pPr>
  </w:style>
  <w:style w:type="numbering" w:customStyle="1" w:styleId="NoList1">
    <w:name w:val="No List1"/>
    <w:next w:val="Sinlista"/>
    <w:uiPriority w:val="99"/>
    <w:semiHidden/>
    <w:unhideWhenUsed/>
    <w:rsid w:val="003B5FC8"/>
  </w:style>
  <w:style w:type="paragraph" w:customStyle="1" w:styleId="Revision1">
    <w:name w:val="Revision1"/>
    <w:next w:val="Revisin"/>
    <w:hidden/>
    <w:uiPriority w:val="99"/>
    <w:semiHidden/>
    <w:rsid w:val="003B5FC8"/>
    <w:pPr>
      <w:spacing w:after="0" w:line="240" w:lineRule="auto"/>
    </w:pPr>
  </w:style>
  <w:style w:type="paragraph" w:styleId="Revisin">
    <w:name w:val="Revision"/>
    <w:hidden/>
    <w:uiPriority w:val="99"/>
    <w:semiHidden/>
    <w:rsid w:val="003B5FC8"/>
    <w:pPr>
      <w:spacing w:after="0" w:line="240" w:lineRule="auto"/>
    </w:pPr>
  </w:style>
  <w:style w:type="paragraph" w:customStyle="1" w:styleId="Heading23">
    <w:name w:val="Heading 2.3"/>
    <w:basedOn w:val="Normal"/>
    <w:uiPriority w:val="99"/>
    <w:qFormat/>
    <w:rsid w:val="00B17F19"/>
    <w:pPr>
      <w:spacing w:after="0" w:line="240" w:lineRule="auto"/>
      <w:jc w:val="both"/>
    </w:pPr>
    <w:rPr>
      <w:rFonts w:cs="Verdana"/>
      <w:sz w:val="16"/>
      <w:szCs w:val="16"/>
      <w:vertAlign w:val="superscript"/>
    </w:rPr>
  </w:style>
  <w:style w:type="character" w:styleId="Nmerodelnea">
    <w:name w:val="line number"/>
    <w:basedOn w:val="Fuentedeprrafopredeter"/>
    <w:uiPriority w:val="99"/>
    <w:semiHidden/>
    <w:unhideWhenUsed/>
    <w:rsid w:val="00D95CA9"/>
  </w:style>
  <w:style w:type="paragraph" w:customStyle="1" w:styleId="Estilo2">
    <w:name w:val="Estilo2"/>
    <w:basedOn w:val="Normal"/>
    <w:qFormat/>
    <w:rsid w:val="00B91D70"/>
    <w:pPr>
      <w:tabs>
        <w:tab w:val="left" w:pos="567"/>
        <w:tab w:val="left" w:pos="1134"/>
        <w:tab w:val="num" w:pos="4767"/>
      </w:tabs>
      <w:spacing w:after="120" w:line="240" w:lineRule="auto"/>
      <w:ind w:left="4767" w:hanging="360"/>
      <w:jc w:val="both"/>
    </w:pPr>
    <w:rPr>
      <w:rFonts w:eastAsia="Calibri" w:cs="Times New Roman"/>
      <w:szCs w:val="20"/>
      <w:lang w:val="es-ES"/>
    </w:rPr>
  </w:style>
  <w:style w:type="paragraph" w:customStyle="1" w:styleId="ju-005fpara-002cleft-002cfirst-0020line-003a-0020-00200-0020cm">
    <w:name w:val="ju-005fpara-002cleft-002cfirst-0020line-003a-0020-00200-0020cm"/>
    <w:basedOn w:val="Normal"/>
    <w:rsid w:val="00C9299F"/>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numbering" w:customStyle="1" w:styleId="NoList2">
    <w:name w:val="No List2"/>
    <w:next w:val="Sinlista"/>
    <w:uiPriority w:val="99"/>
    <w:semiHidden/>
    <w:unhideWhenUsed/>
    <w:rsid w:val="000744A8"/>
  </w:style>
  <w:style w:type="paragraph" w:styleId="Textodebloque">
    <w:name w:val="Block Text"/>
    <w:basedOn w:val="Normal"/>
    <w:uiPriority w:val="99"/>
    <w:unhideWhenUsed/>
    <w:rsid w:val="000744A8"/>
    <w:pPr>
      <w:spacing w:after="0" w:line="240" w:lineRule="auto"/>
      <w:ind w:left="709" w:right="662"/>
      <w:jc w:val="both"/>
    </w:pPr>
    <w:rPr>
      <w:sz w:val="18"/>
      <w:szCs w:val="18"/>
    </w:rPr>
  </w:style>
  <w:style w:type="character" w:styleId="MquinadeescribirHTML">
    <w:name w:val="HTML Typewriter"/>
    <w:rsid w:val="000744A8"/>
    <w:rPr>
      <w:rFonts w:ascii="Courier New" w:eastAsia="Times New Roman" w:hAnsi="Courier New" w:cs="Courier New"/>
      <w:sz w:val="20"/>
      <w:szCs w:val="20"/>
    </w:rPr>
  </w:style>
  <w:style w:type="paragraph" w:styleId="Sinespaciado">
    <w:name w:val="No Spacing"/>
    <w:uiPriority w:val="1"/>
    <w:qFormat/>
    <w:rsid w:val="000744A8"/>
    <w:pPr>
      <w:spacing w:after="0" w:line="240" w:lineRule="auto"/>
      <w:jc w:val="both"/>
    </w:pPr>
    <w:rPr>
      <w:rFonts w:ascii="Verdana" w:eastAsia="Batang" w:hAnsi="Verdana" w:cs="Times New Roman"/>
      <w:sz w:val="24"/>
      <w:szCs w:val="24"/>
      <w:lang w:val="es-ES_tradnl"/>
    </w:rPr>
  </w:style>
  <w:style w:type="character" w:customStyle="1" w:styleId="xcolumn01">
    <w:name w:val="x_column01"/>
    <w:basedOn w:val="Fuentedeprrafopredeter"/>
    <w:rsid w:val="00B55AF2"/>
  </w:style>
  <w:style w:type="character" w:customStyle="1" w:styleId="xs6b621b36">
    <w:name w:val="x_s6b621b36"/>
    <w:basedOn w:val="Fuentedeprrafopredeter"/>
    <w:rsid w:val="00B55AF2"/>
  </w:style>
  <w:style w:type="paragraph" w:customStyle="1" w:styleId="paragraph">
    <w:name w:val="paragraph"/>
    <w:basedOn w:val="Normal"/>
    <w:rsid w:val="00B17469"/>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normaltextrun">
    <w:name w:val="normaltextrun"/>
    <w:basedOn w:val="Fuentedeprrafopredeter"/>
    <w:rsid w:val="00B17469"/>
  </w:style>
  <w:style w:type="character" w:customStyle="1" w:styleId="CommentTextChar1">
    <w:name w:val="Comment Text Char1"/>
    <w:basedOn w:val="Fuentedeprrafopredeter"/>
    <w:uiPriority w:val="99"/>
    <w:semiHidden/>
    <w:rsid w:val="00177849"/>
    <w:rPr>
      <w:rFonts w:eastAsia="SimSun"/>
      <w:szCs w:val="20"/>
      <w:lang w:val="es-CO"/>
    </w:rPr>
  </w:style>
  <w:style w:type="character" w:customStyle="1" w:styleId="TitleChar1">
    <w:name w:val="Title Char1"/>
    <w:basedOn w:val="Fuentedeprrafopredeter"/>
    <w:uiPriority w:val="10"/>
    <w:rsid w:val="00177849"/>
    <w:rPr>
      <w:rFonts w:asciiTheme="majorHAnsi" w:eastAsiaTheme="majorEastAsia" w:hAnsiTheme="majorHAnsi" w:cstheme="majorBidi"/>
      <w:spacing w:val="-10"/>
      <w:kern w:val="28"/>
      <w:sz w:val="56"/>
      <w:szCs w:val="56"/>
      <w:lang w:val="es-CO"/>
    </w:rPr>
  </w:style>
  <w:style w:type="character" w:customStyle="1" w:styleId="SubtitleChar1">
    <w:name w:val="Subtitle Char1"/>
    <w:basedOn w:val="Fuentedeprrafopredeter"/>
    <w:uiPriority w:val="11"/>
    <w:rsid w:val="00177849"/>
    <w:rPr>
      <w:rFonts w:asciiTheme="minorHAnsi" w:eastAsiaTheme="minorEastAsia" w:hAnsiTheme="minorHAnsi"/>
      <w:color w:val="5A5A5A" w:themeColor="text1" w:themeTint="A5"/>
      <w:spacing w:val="15"/>
      <w:sz w:val="22"/>
      <w:szCs w:val="22"/>
      <w:lang w:val="es-CO"/>
    </w:rPr>
  </w:style>
  <w:style w:type="character" w:customStyle="1" w:styleId="HeaderChar1">
    <w:name w:val="Header Char1"/>
    <w:basedOn w:val="Fuentedeprrafopredeter"/>
    <w:uiPriority w:val="99"/>
    <w:semiHidden/>
    <w:rsid w:val="00177849"/>
    <w:rPr>
      <w:rFonts w:eastAsia="SimSun"/>
      <w:szCs w:val="22"/>
      <w:lang w:val="es-CO"/>
    </w:rPr>
  </w:style>
  <w:style w:type="character" w:customStyle="1" w:styleId="FooterChar1">
    <w:name w:val="Footer Char1"/>
    <w:basedOn w:val="Fuentedeprrafopredeter"/>
    <w:uiPriority w:val="99"/>
    <w:semiHidden/>
    <w:rsid w:val="00177849"/>
    <w:rPr>
      <w:rFonts w:eastAsia="SimSun"/>
      <w:szCs w:val="22"/>
      <w:lang w:val="es-CO"/>
    </w:rPr>
  </w:style>
  <w:style w:type="character" w:customStyle="1" w:styleId="BalloonTextChar1">
    <w:name w:val="Balloon Text Char1"/>
    <w:basedOn w:val="Fuentedeprrafopredeter"/>
    <w:uiPriority w:val="99"/>
    <w:semiHidden/>
    <w:rsid w:val="00177849"/>
    <w:rPr>
      <w:rFonts w:ascii="Segoe UI" w:eastAsia="SimSun" w:hAnsi="Segoe UI" w:cs="Segoe UI"/>
      <w:sz w:val="18"/>
      <w:szCs w:val="18"/>
      <w:lang w:val="es-CO"/>
    </w:rPr>
  </w:style>
  <w:style w:type="character" w:customStyle="1" w:styleId="CommentSubjectChar1">
    <w:name w:val="Comment Subject Char1"/>
    <w:basedOn w:val="CommentTextChar1"/>
    <w:uiPriority w:val="99"/>
    <w:semiHidden/>
    <w:rsid w:val="00177849"/>
    <w:rPr>
      <w:rFonts w:eastAsia="SimSun"/>
      <w:b/>
      <w:bCs/>
      <w:szCs w:val="20"/>
      <w:lang w:val="es-CO"/>
    </w:rPr>
  </w:style>
  <w:style w:type="character" w:customStyle="1" w:styleId="EndnoteTextChar1">
    <w:name w:val="Endnote Text Char1"/>
    <w:basedOn w:val="Fuentedeprrafopredeter"/>
    <w:uiPriority w:val="99"/>
    <w:semiHidden/>
    <w:rsid w:val="00177849"/>
    <w:rPr>
      <w:rFonts w:eastAsia="SimSun"/>
      <w:szCs w:val="20"/>
      <w:lang w:val="es-CO"/>
    </w:rPr>
  </w:style>
  <w:style w:type="character" w:customStyle="1" w:styleId="BodyTextIndentChar1">
    <w:name w:val="Body Text Indent Char1"/>
    <w:basedOn w:val="Fuentedeprrafopredeter"/>
    <w:uiPriority w:val="99"/>
    <w:semiHidden/>
    <w:rsid w:val="00177849"/>
    <w:rPr>
      <w:rFonts w:eastAsia="SimSun"/>
      <w:szCs w:val="22"/>
      <w:lang w:val="es-CO"/>
    </w:rPr>
  </w:style>
  <w:style w:type="character" w:customStyle="1" w:styleId="BodyTextChar1">
    <w:name w:val="Body Text Char1"/>
    <w:basedOn w:val="Fuentedeprrafopredeter"/>
    <w:uiPriority w:val="99"/>
    <w:semiHidden/>
    <w:rsid w:val="00177849"/>
    <w:rPr>
      <w:rFonts w:eastAsia="SimSun"/>
      <w:szCs w:val="22"/>
      <w:lang w:val="es-CO"/>
    </w:rPr>
  </w:style>
  <w:style w:type="character" w:customStyle="1" w:styleId="BodyText2Char1">
    <w:name w:val="Body Text 2 Char1"/>
    <w:basedOn w:val="Fuentedeprrafopredeter"/>
    <w:uiPriority w:val="99"/>
    <w:semiHidden/>
    <w:rsid w:val="00177849"/>
    <w:rPr>
      <w:rFonts w:eastAsia="SimSun"/>
      <w:szCs w:val="22"/>
      <w:lang w:val="es-CO"/>
    </w:rPr>
  </w:style>
  <w:style w:type="character" w:customStyle="1" w:styleId="BodyTextIndent2Char1">
    <w:name w:val="Body Text Indent 2 Char1"/>
    <w:basedOn w:val="Fuentedeprrafopredeter"/>
    <w:uiPriority w:val="99"/>
    <w:semiHidden/>
    <w:rsid w:val="00177849"/>
    <w:rPr>
      <w:rFonts w:eastAsia="SimSun"/>
      <w:szCs w:val="22"/>
      <w:lang w:val="es-CO"/>
    </w:rPr>
  </w:style>
  <w:style w:type="character" w:customStyle="1" w:styleId="BodyTextIndent3Char1">
    <w:name w:val="Body Text Indent 3 Char1"/>
    <w:basedOn w:val="Fuentedeprrafopredeter"/>
    <w:uiPriority w:val="99"/>
    <w:semiHidden/>
    <w:rsid w:val="00177849"/>
    <w:rPr>
      <w:rFonts w:eastAsia="SimSun"/>
      <w:sz w:val="16"/>
      <w:lang w:val="es-CO"/>
    </w:rPr>
  </w:style>
  <w:style w:type="character" w:customStyle="1" w:styleId="BodyText3Char1">
    <w:name w:val="Body Text 3 Char1"/>
    <w:basedOn w:val="Fuentedeprrafopredeter"/>
    <w:uiPriority w:val="99"/>
    <w:semiHidden/>
    <w:rsid w:val="00177849"/>
    <w:rPr>
      <w:rFonts w:eastAsia="SimSun"/>
      <w:sz w:val="16"/>
      <w:lang w:val="es-CO"/>
    </w:rPr>
  </w:style>
  <w:style w:type="paragraph" w:styleId="TtuloTDC">
    <w:name w:val="TOC Heading"/>
    <w:basedOn w:val="Ttulo1"/>
    <w:next w:val="Normal"/>
    <w:uiPriority w:val="39"/>
    <w:unhideWhenUsed/>
    <w:qFormat/>
    <w:rsid w:val="00177849"/>
    <w:pPr>
      <w:keepNext/>
      <w:keepLines/>
      <w:spacing w:before="240" w:line="259" w:lineRule="auto"/>
      <w:contextualSpacing w:val="0"/>
      <w:jc w:val="left"/>
      <w:outlineLvl w:val="9"/>
    </w:pPr>
    <w:rPr>
      <w:rFonts w:asciiTheme="majorHAnsi" w:eastAsiaTheme="majorEastAsia" w:hAnsiTheme="majorHAnsi" w:cstheme="majorBidi"/>
      <w:b w:val="0"/>
      <w:noProof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801">
      <w:bodyDiv w:val="1"/>
      <w:marLeft w:val="0"/>
      <w:marRight w:val="0"/>
      <w:marTop w:val="0"/>
      <w:marBottom w:val="0"/>
      <w:divBdr>
        <w:top w:val="none" w:sz="0" w:space="0" w:color="auto"/>
        <w:left w:val="none" w:sz="0" w:space="0" w:color="auto"/>
        <w:bottom w:val="none" w:sz="0" w:space="0" w:color="auto"/>
        <w:right w:val="none" w:sz="0" w:space="0" w:color="auto"/>
      </w:divBdr>
      <w:divsChild>
        <w:div w:id="612595660">
          <w:marLeft w:val="0"/>
          <w:marRight w:val="0"/>
          <w:marTop w:val="0"/>
          <w:marBottom w:val="0"/>
          <w:divBdr>
            <w:top w:val="none" w:sz="0" w:space="0" w:color="auto"/>
            <w:left w:val="none" w:sz="0" w:space="0" w:color="auto"/>
            <w:bottom w:val="none" w:sz="0" w:space="0" w:color="auto"/>
            <w:right w:val="none" w:sz="0" w:space="0" w:color="auto"/>
          </w:divBdr>
        </w:div>
      </w:divsChild>
    </w:div>
    <w:div w:id="63065646">
      <w:bodyDiv w:val="1"/>
      <w:marLeft w:val="0"/>
      <w:marRight w:val="0"/>
      <w:marTop w:val="0"/>
      <w:marBottom w:val="0"/>
      <w:divBdr>
        <w:top w:val="none" w:sz="0" w:space="0" w:color="auto"/>
        <w:left w:val="none" w:sz="0" w:space="0" w:color="auto"/>
        <w:bottom w:val="none" w:sz="0" w:space="0" w:color="auto"/>
        <w:right w:val="none" w:sz="0" w:space="0" w:color="auto"/>
      </w:divBdr>
    </w:div>
    <w:div w:id="67459119">
      <w:bodyDiv w:val="1"/>
      <w:marLeft w:val="0"/>
      <w:marRight w:val="0"/>
      <w:marTop w:val="0"/>
      <w:marBottom w:val="0"/>
      <w:divBdr>
        <w:top w:val="none" w:sz="0" w:space="0" w:color="auto"/>
        <w:left w:val="none" w:sz="0" w:space="0" w:color="auto"/>
        <w:bottom w:val="none" w:sz="0" w:space="0" w:color="auto"/>
        <w:right w:val="none" w:sz="0" w:space="0" w:color="auto"/>
      </w:divBdr>
    </w:div>
    <w:div w:id="135488328">
      <w:bodyDiv w:val="1"/>
      <w:marLeft w:val="0"/>
      <w:marRight w:val="0"/>
      <w:marTop w:val="0"/>
      <w:marBottom w:val="0"/>
      <w:divBdr>
        <w:top w:val="none" w:sz="0" w:space="0" w:color="auto"/>
        <w:left w:val="none" w:sz="0" w:space="0" w:color="auto"/>
        <w:bottom w:val="none" w:sz="0" w:space="0" w:color="auto"/>
        <w:right w:val="none" w:sz="0" w:space="0" w:color="auto"/>
      </w:divBdr>
    </w:div>
    <w:div w:id="141239645">
      <w:bodyDiv w:val="1"/>
      <w:marLeft w:val="0"/>
      <w:marRight w:val="0"/>
      <w:marTop w:val="0"/>
      <w:marBottom w:val="0"/>
      <w:divBdr>
        <w:top w:val="none" w:sz="0" w:space="0" w:color="auto"/>
        <w:left w:val="none" w:sz="0" w:space="0" w:color="auto"/>
        <w:bottom w:val="none" w:sz="0" w:space="0" w:color="auto"/>
        <w:right w:val="none" w:sz="0" w:space="0" w:color="auto"/>
      </w:divBdr>
    </w:div>
    <w:div w:id="144276819">
      <w:bodyDiv w:val="1"/>
      <w:marLeft w:val="0"/>
      <w:marRight w:val="0"/>
      <w:marTop w:val="0"/>
      <w:marBottom w:val="0"/>
      <w:divBdr>
        <w:top w:val="none" w:sz="0" w:space="0" w:color="auto"/>
        <w:left w:val="none" w:sz="0" w:space="0" w:color="auto"/>
        <w:bottom w:val="none" w:sz="0" w:space="0" w:color="auto"/>
        <w:right w:val="none" w:sz="0" w:space="0" w:color="auto"/>
      </w:divBdr>
    </w:div>
    <w:div w:id="199515394">
      <w:bodyDiv w:val="1"/>
      <w:marLeft w:val="0"/>
      <w:marRight w:val="0"/>
      <w:marTop w:val="0"/>
      <w:marBottom w:val="0"/>
      <w:divBdr>
        <w:top w:val="none" w:sz="0" w:space="0" w:color="auto"/>
        <w:left w:val="none" w:sz="0" w:space="0" w:color="auto"/>
        <w:bottom w:val="none" w:sz="0" w:space="0" w:color="auto"/>
        <w:right w:val="none" w:sz="0" w:space="0" w:color="auto"/>
      </w:divBdr>
    </w:div>
    <w:div w:id="200554352">
      <w:bodyDiv w:val="1"/>
      <w:marLeft w:val="0"/>
      <w:marRight w:val="0"/>
      <w:marTop w:val="0"/>
      <w:marBottom w:val="0"/>
      <w:divBdr>
        <w:top w:val="none" w:sz="0" w:space="0" w:color="auto"/>
        <w:left w:val="none" w:sz="0" w:space="0" w:color="auto"/>
        <w:bottom w:val="none" w:sz="0" w:space="0" w:color="auto"/>
        <w:right w:val="none" w:sz="0" w:space="0" w:color="auto"/>
      </w:divBdr>
    </w:div>
    <w:div w:id="202405199">
      <w:bodyDiv w:val="1"/>
      <w:marLeft w:val="0"/>
      <w:marRight w:val="0"/>
      <w:marTop w:val="0"/>
      <w:marBottom w:val="0"/>
      <w:divBdr>
        <w:top w:val="none" w:sz="0" w:space="0" w:color="auto"/>
        <w:left w:val="none" w:sz="0" w:space="0" w:color="auto"/>
        <w:bottom w:val="none" w:sz="0" w:space="0" w:color="auto"/>
        <w:right w:val="none" w:sz="0" w:space="0" w:color="auto"/>
      </w:divBdr>
    </w:div>
    <w:div w:id="222562588">
      <w:bodyDiv w:val="1"/>
      <w:marLeft w:val="0"/>
      <w:marRight w:val="0"/>
      <w:marTop w:val="0"/>
      <w:marBottom w:val="0"/>
      <w:divBdr>
        <w:top w:val="none" w:sz="0" w:space="0" w:color="auto"/>
        <w:left w:val="none" w:sz="0" w:space="0" w:color="auto"/>
        <w:bottom w:val="none" w:sz="0" w:space="0" w:color="auto"/>
        <w:right w:val="none" w:sz="0" w:space="0" w:color="auto"/>
      </w:divBdr>
    </w:div>
    <w:div w:id="230309558">
      <w:bodyDiv w:val="1"/>
      <w:marLeft w:val="0"/>
      <w:marRight w:val="0"/>
      <w:marTop w:val="0"/>
      <w:marBottom w:val="0"/>
      <w:divBdr>
        <w:top w:val="none" w:sz="0" w:space="0" w:color="auto"/>
        <w:left w:val="none" w:sz="0" w:space="0" w:color="auto"/>
        <w:bottom w:val="none" w:sz="0" w:space="0" w:color="auto"/>
        <w:right w:val="none" w:sz="0" w:space="0" w:color="auto"/>
      </w:divBdr>
    </w:div>
    <w:div w:id="308948295">
      <w:bodyDiv w:val="1"/>
      <w:marLeft w:val="0"/>
      <w:marRight w:val="0"/>
      <w:marTop w:val="0"/>
      <w:marBottom w:val="0"/>
      <w:divBdr>
        <w:top w:val="none" w:sz="0" w:space="0" w:color="auto"/>
        <w:left w:val="none" w:sz="0" w:space="0" w:color="auto"/>
        <w:bottom w:val="none" w:sz="0" w:space="0" w:color="auto"/>
        <w:right w:val="none" w:sz="0" w:space="0" w:color="auto"/>
      </w:divBdr>
    </w:div>
    <w:div w:id="359622452">
      <w:bodyDiv w:val="1"/>
      <w:marLeft w:val="0"/>
      <w:marRight w:val="0"/>
      <w:marTop w:val="0"/>
      <w:marBottom w:val="0"/>
      <w:divBdr>
        <w:top w:val="none" w:sz="0" w:space="0" w:color="auto"/>
        <w:left w:val="none" w:sz="0" w:space="0" w:color="auto"/>
        <w:bottom w:val="none" w:sz="0" w:space="0" w:color="auto"/>
        <w:right w:val="none" w:sz="0" w:space="0" w:color="auto"/>
      </w:divBdr>
    </w:div>
    <w:div w:id="415709865">
      <w:bodyDiv w:val="1"/>
      <w:marLeft w:val="0"/>
      <w:marRight w:val="0"/>
      <w:marTop w:val="0"/>
      <w:marBottom w:val="0"/>
      <w:divBdr>
        <w:top w:val="none" w:sz="0" w:space="0" w:color="auto"/>
        <w:left w:val="none" w:sz="0" w:space="0" w:color="auto"/>
        <w:bottom w:val="none" w:sz="0" w:space="0" w:color="auto"/>
        <w:right w:val="none" w:sz="0" w:space="0" w:color="auto"/>
      </w:divBdr>
    </w:div>
    <w:div w:id="417293240">
      <w:bodyDiv w:val="1"/>
      <w:marLeft w:val="0"/>
      <w:marRight w:val="0"/>
      <w:marTop w:val="0"/>
      <w:marBottom w:val="0"/>
      <w:divBdr>
        <w:top w:val="none" w:sz="0" w:space="0" w:color="auto"/>
        <w:left w:val="none" w:sz="0" w:space="0" w:color="auto"/>
        <w:bottom w:val="none" w:sz="0" w:space="0" w:color="auto"/>
        <w:right w:val="none" w:sz="0" w:space="0" w:color="auto"/>
      </w:divBdr>
    </w:div>
    <w:div w:id="539243399">
      <w:bodyDiv w:val="1"/>
      <w:marLeft w:val="0"/>
      <w:marRight w:val="0"/>
      <w:marTop w:val="0"/>
      <w:marBottom w:val="0"/>
      <w:divBdr>
        <w:top w:val="none" w:sz="0" w:space="0" w:color="auto"/>
        <w:left w:val="none" w:sz="0" w:space="0" w:color="auto"/>
        <w:bottom w:val="none" w:sz="0" w:space="0" w:color="auto"/>
        <w:right w:val="none" w:sz="0" w:space="0" w:color="auto"/>
      </w:divBdr>
    </w:div>
    <w:div w:id="566040719">
      <w:bodyDiv w:val="1"/>
      <w:marLeft w:val="0"/>
      <w:marRight w:val="0"/>
      <w:marTop w:val="0"/>
      <w:marBottom w:val="0"/>
      <w:divBdr>
        <w:top w:val="none" w:sz="0" w:space="0" w:color="auto"/>
        <w:left w:val="none" w:sz="0" w:space="0" w:color="auto"/>
        <w:bottom w:val="none" w:sz="0" w:space="0" w:color="auto"/>
        <w:right w:val="none" w:sz="0" w:space="0" w:color="auto"/>
      </w:divBdr>
    </w:div>
    <w:div w:id="600913988">
      <w:bodyDiv w:val="1"/>
      <w:marLeft w:val="0"/>
      <w:marRight w:val="0"/>
      <w:marTop w:val="0"/>
      <w:marBottom w:val="0"/>
      <w:divBdr>
        <w:top w:val="none" w:sz="0" w:space="0" w:color="auto"/>
        <w:left w:val="none" w:sz="0" w:space="0" w:color="auto"/>
        <w:bottom w:val="none" w:sz="0" w:space="0" w:color="auto"/>
        <w:right w:val="none" w:sz="0" w:space="0" w:color="auto"/>
      </w:divBdr>
    </w:div>
    <w:div w:id="633604545">
      <w:bodyDiv w:val="1"/>
      <w:marLeft w:val="0"/>
      <w:marRight w:val="0"/>
      <w:marTop w:val="0"/>
      <w:marBottom w:val="0"/>
      <w:divBdr>
        <w:top w:val="none" w:sz="0" w:space="0" w:color="auto"/>
        <w:left w:val="none" w:sz="0" w:space="0" w:color="auto"/>
        <w:bottom w:val="none" w:sz="0" w:space="0" w:color="auto"/>
        <w:right w:val="none" w:sz="0" w:space="0" w:color="auto"/>
      </w:divBdr>
    </w:div>
    <w:div w:id="669256201">
      <w:bodyDiv w:val="1"/>
      <w:marLeft w:val="0"/>
      <w:marRight w:val="0"/>
      <w:marTop w:val="0"/>
      <w:marBottom w:val="0"/>
      <w:divBdr>
        <w:top w:val="none" w:sz="0" w:space="0" w:color="auto"/>
        <w:left w:val="none" w:sz="0" w:space="0" w:color="auto"/>
        <w:bottom w:val="none" w:sz="0" w:space="0" w:color="auto"/>
        <w:right w:val="none" w:sz="0" w:space="0" w:color="auto"/>
      </w:divBdr>
    </w:div>
    <w:div w:id="742876122">
      <w:bodyDiv w:val="1"/>
      <w:marLeft w:val="0"/>
      <w:marRight w:val="0"/>
      <w:marTop w:val="0"/>
      <w:marBottom w:val="0"/>
      <w:divBdr>
        <w:top w:val="none" w:sz="0" w:space="0" w:color="auto"/>
        <w:left w:val="none" w:sz="0" w:space="0" w:color="auto"/>
        <w:bottom w:val="none" w:sz="0" w:space="0" w:color="auto"/>
        <w:right w:val="none" w:sz="0" w:space="0" w:color="auto"/>
      </w:divBdr>
    </w:div>
    <w:div w:id="808593979">
      <w:bodyDiv w:val="1"/>
      <w:marLeft w:val="0"/>
      <w:marRight w:val="0"/>
      <w:marTop w:val="0"/>
      <w:marBottom w:val="0"/>
      <w:divBdr>
        <w:top w:val="none" w:sz="0" w:space="0" w:color="auto"/>
        <w:left w:val="none" w:sz="0" w:space="0" w:color="auto"/>
        <w:bottom w:val="none" w:sz="0" w:space="0" w:color="auto"/>
        <w:right w:val="none" w:sz="0" w:space="0" w:color="auto"/>
      </w:divBdr>
    </w:div>
    <w:div w:id="812676244">
      <w:bodyDiv w:val="1"/>
      <w:marLeft w:val="0"/>
      <w:marRight w:val="0"/>
      <w:marTop w:val="0"/>
      <w:marBottom w:val="0"/>
      <w:divBdr>
        <w:top w:val="none" w:sz="0" w:space="0" w:color="auto"/>
        <w:left w:val="none" w:sz="0" w:space="0" w:color="auto"/>
        <w:bottom w:val="none" w:sz="0" w:space="0" w:color="auto"/>
        <w:right w:val="none" w:sz="0" w:space="0" w:color="auto"/>
      </w:divBdr>
    </w:div>
    <w:div w:id="823013528">
      <w:bodyDiv w:val="1"/>
      <w:marLeft w:val="0"/>
      <w:marRight w:val="0"/>
      <w:marTop w:val="0"/>
      <w:marBottom w:val="0"/>
      <w:divBdr>
        <w:top w:val="none" w:sz="0" w:space="0" w:color="auto"/>
        <w:left w:val="none" w:sz="0" w:space="0" w:color="auto"/>
        <w:bottom w:val="none" w:sz="0" w:space="0" w:color="auto"/>
        <w:right w:val="none" w:sz="0" w:space="0" w:color="auto"/>
      </w:divBdr>
    </w:div>
    <w:div w:id="864682684">
      <w:bodyDiv w:val="1"/>
      <w:marLeft w:val="0"/>
      <w:marRight w:val="0"/>
      <w:marTop w:val="0"/>
      <w:marBottom w:val="0"/>
      <w:divBdr>
        <w:top w:val="none" w:sz="0" w:space="0" w:color="auto"/>
        <w:left w:val="none" w:sz="0" w:space="0" w:color="auto"/>
        <w:bottom w:val="none" w:sz="0" w:space="0" w:color="auto"/>
        <w:right w:val="none" w:sz="0" w:space="0" w:color="auto"/>
      </w:divBdr>
    </w:div>
    <w:div w:id="925773077">
      <w:bodyDiv w:val="1"/>
      <w:marLeft w:val="0"/>
      <w:marRight w:val="0"/>
      <w:marTop w:val="0"/>
      <w:marBottom w:val="0"/>
      <w:divBdr>
        <w:top w:val="none" w:sz="0" w:space="0" w:color="auto"/>
        <w:left w:val="none" w:sz="0" w:space="0" w:color="auto"/>
        <w:bottom w:val="none" w:sz="0" w:space="0" w:color="auto"/>
        <w:right w:val="none" w:sz="0" w:space="0" w:color="auto"/>
      </w:divBdr>
    </w:div>
    <w:div w:id="967122538">
      <w:bodyDiv w:val="1"/>
      <w:marLeft w:val="0"/>
      <w:marRight w:val="0"/>
      <w:marTop w:val="0"/>
      <w:marBottom w:val="0"/>
      <w:divBdr>
        <w:top w:val="none" w:sz="0" w:space="0" w:color="auto"/>
        <w:left w:val="none" w:sz="0" w:space="0" w:color="auto"/>
        <w:bottom w:val="none" w:sz="0" w:space="0" w:color="auto"/>
        <w:right w:val="none" w:sz="0" w:space="0" w:color="auto"/>
      </w:divBdr>
    </w:div>
    <w:div w:id="967204754">
      <w:bodyDiv w:val="1"/>
      <w:marLeft w:val="0"/>
      <w:marRight w:val="0"/>
      <w:marTop w:val="0"/>
      <w:marBottom w:val="0"/>
      <w:divBdr>
        <w:top w:val="none" w:sz="0" w:space="0" w:color="auto"/>
        <w:left w:val="none" w:sz="0" w:space="0" w:color="auto"/>
        <w:bottom w:val="none" w:sz="0" w:space="0" w:color="auto"/>
        <w:right w:val="none" w:sz="0" w:space="0" w:color="auto"/>
      </w:divBdr>
    </w:div>
    <w:div w:id="970789517">
      <w:bodyDiv w:val="1"/>
      <w:marLeft w:val="0"/>
      <w:marRight w:val="0"/>
      <w:marTop w:val="0"/>
      <w:marBottom w:val="0"/>
      <w:divBdr>
        <w:top w:val="none" w:sz="0" w:space="0" w:color="auto"/>
        <w:left w:val="none" w:sz="0" w:space="0" w:color="auto"/>
        <w:bottom w:val="none" w:sz="0" w:space="0" w:color="auto"/>
        <w:right w:val="none" w:sz="0" w:space="0" w:color="auto"/>
      </w:divBdr>
      <w:divsChild>
        <w:div w:id="1477916819">
          <w:marLeft w:val="0"/>
          <w:marRight w:val="0"/>
          <w:marTop w:val="15"/>
          <w:marBottom w:val="0"/>
          <w:divBdr>
            <w:top w:val="none" w:sz="0" w:space="0" w:color="auto"/>
            <w:left w:val="none" w:sz="0" w:space="0" w:color="auto"/>
            <w:bottom w:val="none" w:sz="0" w:space="0" w:color="auto"/>
            <w:right w:val="none" w:sz="0" w:space="0" w:color="auto"/>
          </w:divBdr>
          <w:divsChild>
            <w:div w:id="676004780">
              <w:marLeft w:val="0"/>
              <w:marRight w:val="0"/>
              <w:marTop w:val="0"/>
              <w:marBottom w:val="0"/>
              <w:divBdr>
                <w:top w:val="none" w:sz="0" w:space="0" w:color="auto"/>
                <w:left w:val="none" w:sz="0" w:space="0" w:color="auto"/>
                <w:bottom w:val="none" w:sz="0" w:space="0" w:color="auto"/>
                <w:right w:val="none" w:sz="0" w:space="0" w:color="auto"/>
              </w:divBdr>
              <w:divsChild>
                <w:div w:id="232860928">
                  <w:marLeft w:val="0"/>
                  <w:marRight w:val="0"/>
                  <w:marTop w:val="0"/>
                  <w:marBottom w:val="0"/>
                  <w:divBdr>
                    <w:top w:val="none" w:sz="0" w:space="0" w:color="auto"/>
                    <w:left w:val="none" w:sz="0" w:space="0" w:color="auto"/>
                    <w:bottom w:val="none" w:sz="0" w:space="0" w:color="auto"/>
                    <w:right w:val="none" w:sz="0" w:space="0" w:color="auto"/>
                  </w:divBdr>
                </w:div>
                <w:div w:id="505167299">
                  <w:marLeft w:val="0"/>
                  <w:marRight w:val="0"/>
                  <w:marTop w:val="0"/>
                  <w:marBottom w:val="0"/>
                  <w:divBdr>
                    <w:top w:val="none" w:sz="0" w:space="0" w:color="auto"/>
                    <w:left w:val="none" w:sz="0" w:space="0" w:color="auto"/>
                    <w:bottom w:val="none" w:sz="0" w:space="0" w:color="auto"/>
                    <w:right w:val="none" w:sz="0" w:space="0" w:color="auto"/>
                  </w:divBdr>
                </w:div>
                <w:div w:id="533884283">
                  <w:marLeft w:val="0"/>
                  <w:marRight w:val="0"/>
                  <w:marTop w:val="0"/>
                  <w:marBottom w:val="0"/>
                  <w:divBdr>
                    <w:top w:val="none" w:sz="0" w:space="0" w:color="auto"/>
                    <w:left w:val="none" w:sz="0" w:space="0" w:color="auto"/>
                    <w:bottom w:val="none" w:sz="0" w:space="0" w:color="auto"/>
                    <w:right w:val="none" w:sz="0" w:space="0" w:color="auto"/>
                  </w:divBdr>
                </w:div>
                <w:div w:id="597836180">
                  <w:marLeft w:val="0"/>
                  <w:marRight w:val="0"/>
                  <w:marTop w:val="0"/>
                  <w:marBottom w:val="0"/>
                  <w:divBdr>
                    <w:top w:val="none" w:sz="0" w:space="0" w:color="auto"/>
                    <w:left w:val="none" w:sz="0" w:space="0" w:color="auto"/>
                    <w:bottom w:val="none" w:sz="0" w:space="0" w:color="auto"/>
                    <w:right w:val="none" w:sz="0" w:space="0" w:color="auto"/>
                  </w:divBdr>
                </w:div>
                <w:div w:id="797068451">
                  <w:marLeft w:val="0"/>
                  <w:marRight w:val="0"/>
                  <w:marTop w:val="0"/>
                  <w:marBottom w:val="0"/>
                  <w:divBdr>
                    <w:top w:val="none" w:sz="0" w:space="0" w:color="auto"/>
                    <w:left w:val="none" w:sz="0" w:space="0" w:color="auto"/>
                    <w:bottom w:val="none" w:sz="0" w:space="0" w:color="auto"/>
                    <w:right w:val="none" w:sz="0" w:space="0" w:color="auto"/>
                  </w:divBdr>
                </w:div>
                <w:div w:id="1007485684">
                  <w:marLeft w:val="0"/>
                  <w:marRight w:val="0"/>
                  <w:marTop w:val="0"/>
                  <w:marBottom w:val="0"/>
                  <w:divBdr>
                    <w:top w:val="none" w:sz="0" w:space="0" w:color="auto"/>
                    <w:left w:val="none" w:sz="0" w:space="0" w:color="auto"/>
                    <w:bottom w:val="none" w:sz="0" w:space="0" w:color="auto"/>
                    <w:right w:val="none" w:sz="0" w:space="0" w:color="auto"/>
                  </w:divBdr>
                </w:div>
                <w:div w:id="1014720607">
                  <w:marLeft w:val="0"/>
                  <w:marRight w:val="0"/>
                  <w:marTop w:val="0"/>
                  <w:marBottom w:val="0"/>
                  <w:divBdr>
                    <w:top w:val="none" w:sz="0" w:space="0" w:color="auto"/>
                    <w:left w:val="none" w:sz="0" w:space="0" w:color="auto"/>
                    <w:bottom w:val="none" w:sz="0" w:space="0" w:color="auto"/>
                    <w:right w:val="none" w:sz="0" w:space="0" w:color="auto"/>
                  </w:divBdr>
                </w:div>
                <w:div w:id="1200778246">
                  <w:marLeft w:val="0"/>
                  <w:marRight w:val="0"/>
                  <w:marTop w:val="0"/>
                  <w:marBottom w:val="0"/>
                  <w:divBdr>
                    <w:top w:val="none" w:sz="0" w:space="0" w:color="auto"/>
                    <w:left w:val="none" w:sz="0" w:space="0" w:color="auto"/>
                    <w:bottom w:val="none" w:sz="0" w:space="0" w:color="auto"/>
                    <w:right w:val="none" w:sz="0" w:space="0" w:color="auto"/>
                  </w:divBdr>
                </w:div>
                <w:div w:id="1275748324">
                  <w:marLeft w:val="0"/>
                  <w:marRight w:val="0"/>
                  <w:marTop w:val="0"/>
                  <w:marBottom w:val="0"/>
                  <w:divBdr>
                    <w:top w:val="none" w:sz="0" w:space="0" w:color="auto"/>
                    <w:left w:val="none" w:sz="0" w:space="0" w:color="auto"/>
                    <w:bottom w:val="none" w:sz="0" w:space="0" w:color="auto"/>
                    <w:right w:val="none" w:sz="0" w:space="0" w:color="auto"/>
                  </w:divBdr>
                </w:div>
                <w:div w:id="1385448937">
                  <w:marLeft w:val="0"/>
                  <w:marRight w:val="0"/>
                  <w:marTop w:val="0"/>
                  <w:marBottom w:val="0"/>
                  <w:divBdr>
                    <w:top w:val="none" w:sz="0" w:space="0" w:color="auto"/>
                    <w:left w:val="none" w:sz="0" w:space="0" w:color="auto"/>
                    <w:bottom w:val="none" w:sz="0" w:space="0" w:color="auto"/>
                    <w:right w:val="none" w:sz="0" w:space="0" w:color="auto"/>
                  </w:divBdr>
                </w:div>
                <w:div w:id="1402559737">
                  <w:marLeft w:val="0"/>
                  <w:marRight w:val="0"/>
                  <w:marTop w:val="0"/>
                  <w:marBottom w:val="0"/>
                  <w:divBdr>
                    <w:top w:val="none" w:sz="0" w:space="0" w:color="auto"/>
                    <w:left w:val="none" w:sz="0" w:space="0" w:color="auto"/>
                    <w:bottom w:val="none" w:sz="0" w:space="0" w:color="auto"/>
                    <w:right w:val="none" w:sz="0" w:space="0" w:color="auto"/>
                  </w:divBdr>
                </w:div>
                <w:div w:id="1456294218">
                  <w:marLeft w:val="0"/>
                  <w:marRight w:val="0"/>
                  <w:marTop w:val="0"/>
                  <w:marBottom w:val="0"/>
                  <w:divBdr>
                    <w:top w:val="none" w:sz="0" w:space="0" w:color="auto"/>
                    <w:left w:val="none" w:sz="0" w:space="0" w:color="auto"/>
                    <w:bottom w:val="none" w:sz="0" w:space="0" w:color="auto"/>
                    <w:right w:val="none" w:sz="0" w:space="0" w:color="auto"/>
                  </w:divBdr>
                </w:div>
                <w:div w:id="1499810961">
                  <w:marLeft w:val="0"/>
                  <w:marRight w:val="0"/>
                  <w:marTop w:val="0"/>
                  <w:marBottom w:val="0"/>
                  <w:divBdr>
                    <w:top w:val="none" w:sz="0" w:space="0" w:color="auto"/>
                    <w:left w:val="none" w:sz="0" w:space="0" w:color="auto"/>
                    <w:bottom w:val="none" w:sz="0" w:space="0" w:color="auto"/>
                    <w:right w:val="none" w:sz="0" w:space="0" w:color="auto"/>
                  </w:divBdr>
                </w:div>
                <w:div w:id="1702169079">
                  <w:marLeft w:val="0"/>
                  <w:marRight w:val="0"/>
                  <w:marTop w:val="0"/>
                  <w:marBottom w:val="0"/>
                  <w:divBdr>
                    <w:top w:val="none" w:sz="0" w:space="0" w:color="auto"/>
                    <w:left w:val="none" w:sz="0" w:space="0" w:color="auto"/>
                    <w:bottom w:val="none" w:sz="0" w:space="0" w:color="auto"/>
                    <w:right w:val="none" w:sz="0" w:space="0" w:color="auto"/>
                  </w:divBdr>
                </w:div>
                <w:div w:id="1747532835">
                  <w:marLeft w:val="0"/>
                  <w:marRight w:val="0"/>
                  <w:marTop w:val="0"/>
                  <w:marBottom w:val="0"/>
                  <w:divBdr>
                    <w:top w:val="none" w:sz="0" w:space="0" w:color="auto"/>
                    <w:left w:val="none" w:sz="0" w:space="0" w:color="auto"/>
                    <w:bottom w:val="none" w:sz="0" w:space="0" w:color="auto"/>
                    <w:right w:val="none" w:sz="0" w:space="0" w:color="auto"/>
                  </w:divBdr>
                </w:div>
                <w:div w:id="1832794941">
                  <w:marLeft w:val="0"/>
                  <w:marRight w:val="0"/>
                  <w:marTop w:val="0"/>
                  <w:marBottom w:val="0"/>
                  <w:divBdr>
                    <w:top w:val="none" w:sz="0" w:space="0" w:color="auto"/>
                    <w:left w:val="none" w:sz="0" w:space="0" w:color="auto"/>
                    <w:bottom w:val="none" w:sz="0" w:space="0" w:color="auto"/>
                    <w:right w:val="none" w:sz="0" w:space="0" w:color="auto"/>
                  </w:divBdr>
                </w:div>
                <w:div w:id="18605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2600">
      <w:bodyDiv w:val="1"/>
      <w:marLeft w:val="0"/>
      <w:marRight w:val="0"/>
      <w:marTop w:val="0"/>
      <w:marBottom w:val="0"/>
      <w:divBdr>
        <w:top w:val="none" w:sz="0" w:space="0" w:color="auto"/>
        <w:left w:val="none" w:sz="0" w:space="0" w:color="auto"/>
        <w:bottom w:val="none" w:sz="0" w:space="0" w:color="auto"/>
        <w:right w:val="none" w:sz="0" w:space="0" w:color="auto"/>
      </w:divBdr>
    </w:div>
    <w:div w:id="1004743612">
      <w:bodyDiv w:val="1"/>
      <w:marLeft w:val="0"/>
      <w:marRight w:val="0"/>
      <w:marTop w:val="0"/>
      <w:marBottom w:val="0"/>
      <w:divBdr>
        <w:top w:val="none" w:sz="0" w:space="0" w:color="auto"/>
        <w:left w:val="none" w:sz="0" w:space="0" w:color="auto"/>
        <w:bottom w:val="none" w:sz="0" w:space="0" w:color="auto"/>
        <w:right w:val="none" w:sz="0" w:space="0" w:color="auto"/>
      </w:divBdr>
    </w:div>
    <w:div w:id="1011686908">
      <w:bodyDiv w:val="1"/>
      <w:marLeft w:val="0"/>
      <w:marRight w:val="0"/>
      <w:marTop w:val="0"/>
      <w:marBottom w:val="0"/>
      <w:divBdr>
        <w:top w:val="none" w:sz="0" w:space="0" w:color="auto"/>
        <w:left w:val="none" w:sz="0" w:space="0" w:color="auto"/>
        <w:bottom w:val="none" w:sz="0" w:space="0" w:color="auto"/>
        <w:right w:val="none" w:sz="0" w:space="0" w:color="auto"/>
      </w:divBdr>
    </w:div>
    <w:div w:id="1024598960">
      <w:bodyDiv w:val="1"/>
      <w:marLeft w:val="0"/>
      <w:marRight w:val="0"/>
      <w:marTop w:val="0"/>
      <w:marBottom w:val="0"/>
      <w:divBdr>
        <w:top w:val="none" w:sz="0" w:space="0" w:color="auto"/>
        <w:left w:val="none" w:sz="0" w:space="0" w:color="auto"/>
        <w:bottom w:val="none" w:sz="0" w:space="0" w:color="auto"/>
        <w:right w:val="none" w:sz="0" w:space="0" w:color="auto"/>
      </w:divBdr>
    </w:div>
    <w:div w:id="1028143948">
      <w:bodyDiv w:val="1"/>
      <w:marLeft w:val="0"/>
      <w:marRight w:val="0"/>
      <w:marTop w:val="0"/>
      <w:marBottom w:val="0"/>
      <w:divBdr>
        <w:top w:val="none" w:sz="0" w:space="0" w:color="auto"/>
        <w:left w:val="none" w:sz="0" w:space="0" w:color="auto"/>
        <w:bottom w:val="none" w:sz="0" w:space="0" w:color="auto"/>
        <w:right w:val="none" w:sz="0" w:space="0" w:color="auto"/>
      </w:divBdr>
    </w:div>
    <w:div w:id="1042558476">
      <w:bodyDiv w:val="1"/>
      <w:marLeft w:val="0"/>
      <w:marRight w:val="0"/>
      <w:marTop w:val="0"/>
      <w:marBottom w:val="0"/>
      <w:divBdr>
        <w:top w:val="none" w:sz="0" w:space="0" w:color="auto"/>
        <w:left w:val="none" w:sz="0" w:space="0" w:color="auto"/>
        <w:bottom w:val="none" w:sz="0" w:space="0" w:color="auto"/>
        <w:right w:val="none" w:sz="0" w:space="0" w:color="auto"/>
      </w:divBdr>
    </w:div>
    <w:div w:id="1061749532">
      <w:bodyDiv w:val="1"/>
      <w:marLeft w:val="0"/>
      <w:marRight w:val="0"/>
      <w:marTop w:val="0"/>
      <w:marBottom w:val="0"/>
      <w:divBdr>
        <w:top w:val="none" w:sz="0" w:space="0" w:color="auto"/>
        <w:left w:val="none" w:sz="0" w:space="0" w:color="auto"/>
        <w:bottom w:val="none" w:sz="0" w:space="0" w:color="auto"/>
        <w:right w:val="none" w:sz="0" w:space="0" w:color="auto"/>
      </w:divBdr>
    </w:div>
    <w:div w:id="1070538704">
      <w:bodyDiv w:val="1"/>
      <w:marLeft w:val="0"/>
      <w:marRight w:val="0"/>
      <w:marTop w:val="0"/>
      <w:marBottom w:val="0"/>
      <w:divBdr>
        <w:top w:val="none" w:sz="0" w:space="0" w:color="auto"/>
        <w:left w:val="none" w:sz="0" w:space="0" w:color="auto"/>
        <w:bottom w:val="none" w:sz="0" w:space="0" w:color="auto"/>
        <w:right w:val="none" w:sz="0" w:space="0" w:color="auto"/>
      </w:divBdr>
      <w:divsChild>
        <w:div w:id="748578218">
          <w:marLeft w:val="0"/>
          <w:marRight w:val="0"/>
          <w:marTop w:val="0"/>
          <w:marBottom w:val="0"/>
          <w:divBdr>
            <w:top w:val="none" w:sz="0" w:space="0" w:color="auto"/>
            <w:left w:val="none" w:sz="0" w:space="0" w:color="auto"/>
            <w:bottom w:val="none" w:sz="0" w:space="0" w:color="auto"/>
            <w:right w:val="none" w:sz="0" w:space="0" w:color="auto"/>
          </w:divBdr>
        </w:div>
      </w:divsChild>
    </w:div>
    <w:div w:id="1074083692">
      <w:bodyDiv w:val="1"/>
      <w:marLeft w:val="0"/>
      <w:marRight w:val="0"/>
      <w:marTop w:val="0"/>
      <w:marBottom w:val="0"/>
      <w:divBdr>
        <w:top w:val="none" w:sz="0" w:space="0" w:color="auto"/>
        <w:left w:val="none" w:sz="0" w:space="0" w:color="auto"/>
        <w:bottom w:val="none" w:sz="0" w:space="0" w:color="auto"/>
        <w:right w:val="none" w:sz="0" w:space="0" w:color="auto"/>
      </w:divBdr>
    </w:div>
    <w:div w:id="1084031776">
      <w:bodyDiv w:val="1"/>
      <w:marLeft w:val="0"/>
      <w:marRight w:val="0"/>
      <w:marTop w:val="0"/>
      <w:marBottom w:val="0"/>
      <w:divBdr>
        <w:top w:val="none" w:sz="0" w:space="0" w:color="auto"/>
        <w:left w:val="none" w:sz="0" w:space="0" w:color="auto"/>
        <w:bottom w:val="none" w:sz="0" w:space="0" w:color="auto"/>
        <w:right w:val="none" w:sz="0" w:space="0" w:color="auto"/>
      </w:divBdr>
    </w:div>
    <w:div w:id="1187282832">
      <w:bodyDiv w:val="1"/>
      <w:marLeft w:val="0"/>
      <w:marRight w:val="0"/>
      <w:marTop w:val="0"/>
      <w:marBottom w:val="0"/>
      <w:divBdr>
        <w:top w:val="none" w:sz="0" w:space="0" w:color="auto"/>
        <w:left w:val="none" w:sz="0" w:space="0" w:color="auto"/>
        <w:bottom w:val="none" w:sz="0" w:space="0" w:color="auto"/>
        <w:right w:val="none" w:sz="0" w:space="0" w:color="auto"/>
      </w:divBdr>
    </w:div>
    <w:div w:id="1192499696">
      <w:bodyDiv w:val="1"/>
      <w:marLeft w:val="0"/>
      <w:marRight w:val="0"/>
      <w:marTop w:val="0"/>
      <w:marBottom w:val="0"/>
      <w:divBdr>
        <w:top w:val="none" w:sz="0" w:space="0" w:color="auto"/>
        <w:left w:val="none" w:sz="0" w:space="0" w:color="auto"/>
        <w:bottom w:val="none" w:sz="0" w:space="0" w:color="auto"/>
        <w:right w:val="none" w:sz="0" w:space="0" w:color="auto"/>
      </w:divBdr>
    </w:div>
    <w:div w:id="1196425992">
      <w:bodyDiv w:val="1"/>
      <w:marLeft w:val="0"/>
      <w:marRight w:val="0"/>
      <w:marTop w:val="0"/>
      <w:marBottom w:val="0"/>
      <w:divBdr>
        <w:top w:val="none" w:sz="0" w:space="0" w:color="auto"/>
        <w:left w:val="none" w:sz="0" w:space="0" w:color="auto"/>
        <w:bottom w:val="none" w:sz="0" w:space="0" w:color="auto"/>
        <w:right w:val="none" w:sz="0" w:space="0" w:color="auto"/>
      </w:divBdr>
    </w:div>
    <w:div w:id="1223175568">
      <w:bodyDiv w:val="1"/>
      <w:marLeft w:val="0"/>
      <w:marRight w:val="0"/>
      <w:marTop w:val="0"/>
      <w:marBottom w:val="0"/>
      <w:divBdr>
        <w:top w:val="none" w:sz="0" w:space="0" w:color="auto"/>
        <w:left w:val="none" w:sz="0" w:space="0" w:color="auto"/>
        <w:bottom w:val="none" w:sz="0" w:space="0" w:color="auto"/>
        <w:right w:val="none" w:sz="0" w:space="0" w:color="auto"/>
      </w:divBdr>
    </w:div>
    <w:div w:id="1224871555">
      <w:bodyDiv w:val="1"/>
      <w:marLeft w:val="0"/>
      <w:marRight w:val="0"/>
      <w:marTop w:val="0"/>
      <w:marBottom w:val="0"/>
      <w:divBdr>
        <w:top w:val="none" w:sz="0" w:space="0" w:color="auto"/>
        <w:left w:val="none" w:sz="0" w:space="0" w:color="auto"/>
        <w:bottom w:val="none" w:sz="0" w:space="0" w:color="auto"/>
        <w:right w:val="none" w:sz="0" w:space="0" w:color="auto"/>
      </w:divBdr>
    </w:div>
    <w:div w:id="1241518912">
      <w:bodyDiv w:val="1"/>
      <w:marLeft w:val="0"/>
      <w:marRight w:val="0"/>
      <w:marTop w:val="0"/>
      <w:marBottom w:val="0"/>
      <w:divBdr>
        <w:top w:val="none" w:sz="0" w:space="0" w:color="auto"/>
        <w:left w:val="none" w:sz="0" w:space="0" w:color="auto"/>
        <w:bottom w:val="none" w:sz="0" w:space="0" w:color="auto"/>
        <w:right w:val="none" w:sz="0" w:space="0" w:color="auto"/>
      </w:divBdr>
    </w:div>
    <w:div w:id="1296372314">
      <w:bodyDiv w:val="1"/>
      <w:marLeft w:val="0"/>
      <w:marRight w:val="0"/>
      <w:marTop w:val="0"/>
      <w:marBottom w:val="0"/>
      <w:divBdr>
        <w:top w:val="none" w:sz="0" w:space="0" w:color="auto"/>
        <w:left w:val="none" w:sz="0" w:space="0" w:color="auto"/>
        <w:bottom w:val="none" w:sz="0" w:space="0" w:color="auto"/>
        <w:right w:val="none" w:sz="0" w:space="0" w:color="auto"/>
      </w:divBdr>
    </w:div>
    <w:div w:id="1334725679">
      <w:bodyDiv w:val="1"/>
      <w:marLeft w:val="0"/>
      <w:marRight w:val="0"/>
      <w:marTop w:val="0"/>
      <w:marBottom w:val="0"/>
      <w:divBdr>
        <w:top w:val="none" w:sz="0" w:space="0" w:color="auto"/>
        <w:left w:val="none" w:sz="0" w:space="0" w:color="auto"/>
        <w:bottom w:val="none" w:sz="0" w:space="0" w:color="auto"/>
        <w:right w:val="none" w:sz="0" w:space="0" w:color="auto"/>
      </w:divBdr>
    </w:div>
    <w:div w:id="1340427801">
      <w:bodyDiv w:val="1"/>
      <w:marLeft w:val="0"/>
      <w:marRight w:val="0"/>
      <w:marTop w:val="0"/>
      <w:marBottom w:val="0"/>
      <w:divBdr>
        <w:top w:val="none" w:sz="0" w:space="0" w:color="auto"/>
        <w:left w:val="none" w:sz="0" w:space="0" w:color="auto"/>
        <w:bottom w:val="none" w:sz="0" w:space="0" w:color="auto"/>
        <w:right w:val="none" w:sz="0" w:space="0" w:color="auto"/>
      </w:divBdr>
    </w:div>
    <w:div w:id="1340690891">
      <w:bodyDiv w:val="1"/>
      <w:marLeft w:val="0"/>
      <w:marRight w:val="0"/>
      <w:marTop w:val="0"/>
      <w:marBottom w:val="0"/>
      <w:divBdr>
        <w:top w:val="none" w:sz="0" w:space="0" w:color="auto"/>
        <w:left w:val="none" w:sz="0" w:space="0" w:color="auto"/>
        <w:bottom w:val="none" w:sz="0" w:space="0" w:color="auto"/>
        <w:right w:val="none" w:sz="0" w:space="0" w:color="auto"/>
      </w:divBdr>
    </w:div>
    <w:div w:id="1357581254">
      <w:bodyDiv w:val="1"/>
      <w:marLeft w:val="0"/>
      <w:marRight w:val="0"/>
      <w:marTop w:val="0"/>
      <w:marBottom w:val="0"/>
      <w:divBdr>
        <w:top w:val="none" w:sz="0" w:space="0" w:color="auto"/>
        <w:left w:val="none" w:sz="0" w:space="0" w:color="auto"/>
        <w:bottom w:val="none" w:sz="0" w:space="0" w:color="auto"/>
        <w:right w:val="none" w:sz="0" w:space="0" w:color="auto"/>
      </w:divBdr>
    </w:div>
    <w:div w:id="1382903328">
      <w:bodyDiv w:val="1"/>
      <w:marLeft w:val="0"/>
      <w:marRight w:val="0"/>
      <w:marTop w:val="0"/>
      <w:marBottom w:val="0"/>
      <w:divBdr>
        <w:top w:val="none" w:sz="0" w:space="0" w:color="auto"/>
        <w:left w:val="none" w:sz="0" w:space="0" w:color="auto"/>
        <w:bottom w:val="none" w:sz="0" w:space="0" w:color="auto"/>
        <w:right w:val="none" w:sz="0" w:space="0" w:color="auto"/>
      </w:divBdr>
    </w:div>
    <w:div w:id="1426996611">
      <w:bodyDiv w:val="1"/>
      <w:marLeft w:val="0"/>
      <w:marRight w:val="0"/>
      <w:marTop w:val="0"/>
      <w:marBottom w:val="0"/>
      <w:divBdr>
        <w:top w:val="none" w:sz="0" w:space="0" w:color="auto"/>
        <w:left w:val="none" w:sz="0" w:space="0" w:color="auto"/>
        <w:bottom w:val="none" w:sz="0" w:space="0" w:color="auto"/>
        <w:right w:val="none" w:sz="0" w:space="0" w:color="auto"/>
      </w:divBdr>
      <w:divsChild>
        <w:div w:id="460152187">
          <w:marLeft w:val="0"/>
          <w:marRight w:val="0"/>
          <w:marTop w:val="15"/>
          <w:marBottom w:val="0"/>
          <w:divBdr>
            <w:top w:val="none" w:sz="0" w:space="0" w:color="auto"/>
            <w:left w:val="none" w:sz="0" w:space="0" w:color="auto"/>
            <w:bottom w:val="none" w:sz="0" w:space="0" w:color="auto"/>
            <w:right w:val="none" w:sz="0" w:space="0" w:color="auto"/>
          </w:divBdr>
          <w:divsChild>
            <w:div w:id="974410889">
              <w:marLeft w:val="0"/>
              <w:marRight w:val="0"/>
              <w:marTop w:val="0"/>
              <w:marBottom w:val="0"/>
              <w:divBdr>
                <w:top w:val="none" w:sz="0" w:space="0" w:color="auto"/>
                <w:left w:val="none" w:sz="0" w:space="0" w:color="auto"/>
                <w:bottom w:val="none" w:sz="0" w:space="0" w:color="auto"/>
                <w:right w:val="none" w:sz="0" w:space="0" w:color="auto"/>
              </w:divBdr>
              <w:divsChild>
                <w:div w:id="238755016">
                  <w:marLeft w:val="0"/>
                  <w:marRight w:val="0"/>
                  <w:marTop w:val="0"/>
                  <w:marBottom w:val="0"/>
                  <w:divBdr>
                    <w:top w:val="none" w:sz="0" w:space="0" w:color="auto"/>
                    <w:left w:val="none" w:sz="0" w:space="0" w:color="auto"/>
                    <w:bottom w:val="none" w:sz="0" w:space="0" w:color="auto"/>
                    <w:right w:val="none" w:sz="0" w:space="0" w:color="auto"/>
                  </w:divBdr>
                </w:div>
                <w:div w:id="404301503">
                  <w:marLeft w:val="0"/>
                  <w:marRight w:val="0"/>
                  <w:marTop w:val="0"/>
                  <w:marBottom w:val="0"/>
                  <w:divBdr>
                    <w:top w:val="none" w:sz="0" w:space="0" w:color="auto"/>
                    <w:left w:val="none" w:sz="0" w:space="0" w:color="auto"/>
                    <w:bottom w:val="none" w:sz="0" w:space="0" w:color="auto"/>
                    <w:right w:val="none" w:sz="0" w:space="0" w:color="auto"/>
                  </w:divBdr>
                </w:div>
                <w:div w:id="611742005">
                  <w:marLeft w:val="0"/>
                  <w:marRight w:val="0"/>
                  <w:marTop w:val="0"/>
                  <w:marBottom w:val="0"/>
                  <w:divBdr>
                    <w:top w:val="none" w:sz="0" w:space="0" w:color="auto"/>
                    <w:left w:val="none" w:sz="0" w:space="0" w:color="auto"/>
                    <w:bottom w:val="none" w:sz="0" w:space="0" w:color="auto"/>
                    <w:right w:val="none" w:sz="0" w:space="0" w:color="auto"/>
                  </w:divBdr>
                </w:div>
                <w:div w:id="653223407">
                  <w:marLeft w:val="0"/>
                  <w:marRight w:val="0"/>
                  <w:marTop w:val="0"/>
                  <w:marBottom w:val="0"/>
                  <w:divBdr>
                    <w:top w:val="none" w:sz="0" w:space="0" w:color="auto"/>
                    <w:left w:val="none" w:sz="0" w:space="0" w:color="auto"/>
                    <w:bottom w:val="none" w:sz="0" w:space="0" w:color="auto"/>
                    <w:right w:val="none" w:sz="0" w:space="0" w:color="auto"/>
                  </w:divBdr>
                </w:div>
                <w:div w:id="690376936">
                  <w:marLeft w:val="0"/>
                  <w:marRight w:val="0"/>
                  <w:marTop w:val="0"/>
                  <w:marBottom w:val="0"/>
                  <w:divBdr>
                    <w:top w:val="none" w:sz="0" w:space="0" w:color="auto"/>
                    <w:left w:val="none" w:sz="0" w:space="0" w:color="auto"/>
                    <w:bottom w:val="none" w:sz="0" w:space="0" w:color="auto"/>
                    <w:right w:val="none" w:sz="0" w:space="0" w:color="auto"/>
                  </w:divBdr>
                </w:div>
                <w:div w:id="944849997">
                  <w:marLeft w:val="0"/>
                  <w:marRight w:val="0"/>
                  <w:marTop w:val="0"/>
                  <w:marBottom w:val="0"/>
                  <w:divBdr>
                    <w:top w:val="none" w:sz="0" w:space="0" w:color="auto"/>
                    <w:left w:val="none" w:sz="0" w:space="0" w:color="auto"/>
                    <w:bottom w:val="none" w:sz="0" w:space="0" w:color="auto"/>
                    <w:right w:val="none" w:sz="0" w:space="0" w:color="auto"/>
                  </w:divBdr>
                </w:div>
                <w:div w:id="963538309">
                  <w:marLeft w:val="0"/>
                  <w:marRight w:val="0"/>
                  <w:marTop w:val="0"/>
                  <w:marBottom w:val="0"/>
                  <w:divBdr>
                    <w:top w:val="none" w:sz="0" w:space="0" w:color="auto"/>
                    <w:left w:val="none" w:sz="0" w:space="0" w:color="auto"/>
                    <w:bottom w:val="none" w:sz="0" w:space="0" w:color="auto"/>
                    <w:right w:val="none" w:sz="0" w:space="0" w:color="auto"/>
                  </w:divBdr>
                </w:div>
                <w:div w:id="997923603">
                  <w:marLeft w:val="0"/>
                  <w:marRight w:val="0"/>
                  <w:marTop w:val="0"/>
                  <w:marBottom w:val="0"/>
                  <w:divBdr>
                    <w:top w:val="none" w:sz="0" w:space="0" w:color="auto"/>
                    <w:left w:val="none" w:sz="0" w:space="0" w:color="auto"/>
                    <w:bottom w:val="none" w:sz="0" w:space="0" w:color="auto"/>
                    <w:right w:val="none" w:sz="0" w:space="0" w:color="auto"/>
                  </w:divBdr>
                </w:div>
                <w:div w:id="1272201047">
                  <w:marLeft w:val="0"/>
                  <w:marRight w:val="0"/>
                  <w:marTop w:val="0"/>
                  <w:marBottom w:val="0"/>
                  <w:divBdr>
                    <w:top w:val="none" w:sz="0" w:space="0" w:color="auto"/>
                    <w:left w:val="none" w:sz="0" w:space="0" w:color="auto"/>
                    <w:bottom w:val="none" w:sz="0" w:space="0" w:color="auto"/>
                    <w:right w:val="none" w:sz="0" w:space="0" w:color="auto"/>
                  </w:divBdr>
                </w:div>
                <w:div w:id="1324703313">
                  <w:marLeft w:val="0"/>
                  <w:marRight w:val="0"/>
                  <w:marTop w:val="0"/>
                  <w:marBottom w:val="0"/>
                  <w:divBdr>
                    <w:top w:val="none" w:sz="0" w:space="0" w:color="auto"/>
                    <w:left w:val="none" w:sz="0" w:space="0" w:color="auto"/>
                    <w:bottom w:val="none" w:sz="0" w:space="0" w:color="auto"/>
                    <w:right w:val="none" w:sz="0" w:space="0" w:color="auto"/>
                  </w:divBdr>
                </w:div>
                <w:div w:id="1632903594">
                  <w:marLeft w:val="0"/>
                  <w:marRight w:val="0"/>
                  <w:marTop w:val="0"/>
                  <w:marBottom w:val="0"/>
                  <w:divBdr>
                    <w:top w:val="none" w:sz="0" w:space="0" w:color="auto"/>
                    <w:left w:val="none" w:sz="0" w:space="0" w:color="auto"/>
                    <w:bottom w:val="none" w:sz="0" w:space="0" w:color="auto"/>
                    <w:right w:val="none" w:sz="0" w:space="0" w:color="auto"/>
                  </w:divBdr>
                </w:div>
                <w:div w:id="1876505161">
                  <w:marLeft w:val="0"/>
                  <w:marRight w:val="0"/>
                  <w:marTop w:val="0"/>
                  <w:marBottom w:val="0"/>
                  <w:divBdr>
                    <w:top w:val="none" w:sz="0" w:space="0" w:color="auto"/>
                    <w:left w:val="none" w:sz="0" w:space="0" w:color="auto"/>
                    <w:bottom w:val="none" w:sz="0" w:space="0" w:color="auto"/>
                    <w:right w:val="none" w:sz="0" w:space="0" w:color="auto"/>
                  </w:divBdr>
                </w:div>
                <w:div w:id="1948611338">
                  <w:marLeft w:val="0"/>
                  <w:marRight w:val="0"/>
                  <w:marTop w:val="0"/>
                  <w:marBottom w:val="0"/>
                  <w:divBdr>
                    <w:top w:val="none" w:sz="0" w:space="0" w:color="auto"/>
                    <w:left w:val="none" w:sz="0" w:space="0" w:color="auto"/>
                    <w:bottom w:val="none" w:sz="0" w:space="0" w:color="auto"/>
                    <w:right w:val="none" w:sz="0" w:space="0" w:color="auto"/>
                  </w:divBdr>
                </w:div>
                <w:div w:id="1997488980">
                  <w:marLeft w:val="0"/>
                  <w:marRight w:val="0"/>
                  <w:marTop w:val="0"/>
                  <w:marBottom w:val="0"/>
                  <w:divBdr>
                    <w:top w:val="none" w:sz="0" w:space="0" w:color="auto"/>
                    <w:left w:val="none" w:sz="0" w:space="0" w:color="auto"/>
                    <w:bottom w:val="none" w:sz="0" w:space="0" w:color="auto"/>
                    <w:right w:val="none" w:sz="0" w:space="0" w:color="auto"/>
                  </w:divBdr>
                </w:div>
                <w:div w:id="2049642659">
                  <w:marLeft w:val="0"/>
                  <w:marRight w:val="0"/>
                  <w:marTop w:val="0"/>
                  <w:marBottom w:val="0"/>
                  <w:divBdr>
                    <w:top w:val="none" w:sz="0" w:space="0" w:color="auto"/>
                    <w:left w:val="none" w:sz="0" w:space="0" w:color="auto"/>
                    <w:bottom w:val="none" w:sz="0" w:space="0" w:color="auto"/>
                    <w:right w:val="none" w:sz="0" w:space="0" w:color="auto"/>
                  </w:divBdr>
                </w:div>
                <w:div w:id="2102098947">
                  <w:marLeft w:val="0"/>
                  <w:marRight w:val="0"/>
                  <w:marTop w:val="0"/>
                  <w:marBottom w:val="0"/>
                  <w:divBdr>
                    <w:top w:val="none" w:sz="0" w:space="0" w:color="auto"/>
                    <w:left w:val="none" w:sz="0" w:space="0" w:color="auto"/>
                    <w:bottom w:val="none" w:sz="0" w:space="0" w:color="auto"/>
                    <w:right w:val="none" w:sz="0" w:space="0" w:color="auto"/>
                  </w:divBdr>
                </w:div>
                <w:div w:id="2127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40637">
      <w:bodyDiv w:val="1"/>
      <w:marLeft w:val="0"/>
      <w:marRight w:val="0"/>
      <w:marTop w:val="0"/>
      <w:marBottom w:val="0"/>
      <w:divBdr>
        <w:top w:val="none" w:sz="0" w:space="0" w:color="auto"/>
        <w:left w:val="none" w:sz="0" w:space="0" w:color="auto"/>
        <w:bottom w:val="none" w:sz="0" w:space="0" w:color="auto"/>
        <w:right w:val="none" w:sz="0" w:space="0" w:color="auto"/>
      </w:divBdr>
    </w:div>
    <w:div w:id="1438528434">
      <w:bodyDiv w:val="1"/>
      <w:marLeft w:val="0"/>
      <w:marRight w:val="0"/>
      <w:marTop w:val="0"/>
      <w:marBottom w:val="0"/>
      <w:divBdr>
        <w:top w:val="none" w:sz="0" w:space="0" w:color="auto"/>
        <w:left w:val="none" w:sz="0" w:space="0" w:color="auto"/>
        <w:bottom w:val="none" w:sz="0" w:space="0" w:color="auto"/>
        <w:right w:val="none" w:sz="0" w:space="0" w:color="auto"/>
      </w:divBdr>
    </w:div>
    <w:div w:id="1445228117">
      <w:bodyDiv w:val="1"/>
      <w:marLeft w:val="0"/>
      <w:marRight w:val="0"/>
      <w:marTop w:val="0"/>
      <w:marBottom w:val="0"/>
      <w:divBdr>
        <w:top w:val="none" w:sz="0" w:space="0" w:color="auto"/>
        <w:left w:val="none" w:sz="0" w:space="0" w:color="auto"/>
        <w:bottom w:val="none" w:sz="0" w:space="0" w:color="auto"/>
        <w:right w:val="none" w:sz="0" w:space="0" w:color="auto"/>
      </w:divBdr>
    </w:div>
    <w:div w:id="1472014905">
      <w:bodyDiv w:val="1"/>
      <w:marLeft w:val="0"/>
      <w:marRight w:val="0"/>
      <w:marTop w:val="0"/>
      <w:marBottom w:val="0"/>
      <w:divBdr>
        <w:top w:val="none" w:sz="0" w:space="0" w:color="auto"/>
        <w:left w:val="none" w:sz="0" w:space="0" w:color="auto"/>
        <w:bottom w:val="none" w:sz="0" w:space="0" w:color="auto"/>
        <w:right w:val="none" w:sz="0" w:space="0" w:color="auto"/>
      </w:divBdr>
    </w:div>
    <w:div w:id="1505625947">
      <w:bodyDiv w:val="1"/>
      <w:marLeft w:val="0"/>
      <w:marRight w:val="0"/>
      <w:marTop w:val="0"/>
      <w:marBottom w:val="0"/>
      <w:divBdr>
        <w:top w:val="none" w:sz="0" w:space="0" w:color="auto"/>
        <w:left w:val="none" w:sz="0" w:space="0" w:color="auto"/>
        <w:bottom w:val="none" w:sz="0" w:space="0" w:color="auto"/>
        <w:right w:val="none" w:sz="0" w:space="0" w:color="auto"/>
      </w:divBdr>
    </w:div>
    <w:div w:id="1527599817">
      <w:bodyDiv w:val="1"/>
      <w:marLeft w:val="0"/>
      <w:marRight w:val="0"/>
      <w:marTop w:val="0"/>
      <w:marBottom w:val="0"/>
      <w:divBdr>
        <w:top w:val="none" w:sz="0" w:space="0" w:color="auto"/>
        <w:left w:val="none" w:sz="0" w:space="0" w:color="auto"/>
        <w:bottom w:val="none" w:sz="0" w:space="0" w:color="auto"/>
        <w:right w:val="none" w:sz="0" w:space="0" w:color="auto"/>
      </w:divBdr>
    </w:div>
    <w:div w:id="1533616571">
      <w:bodyDiv w:val="1"/>
      <w:marLeft w:val="0"/>
      <w:marRight w:val="0"/>
      <w:marTop w:val="0"/>
      <w:marBottom w:val="0"/>
      <w:divBdr>
        <w:top w:val="none" w:sz="0" w:space="0" w:color="auto"/>
        <w:left w:val="none" w:sz="0" w:space="0" w:color="auto"/>
        <w:bottom w:val="none" w:sz="0" w:space="0" w:color="auto"/>
        <w:right w:val="none" w:sz="0" w:space="0" w:color="auto"/>
      </w:divBdr>
    </w:div>
    <w:div w:id="1559970202">
      <w:bodyDiv w:val="1"/>
      <w:marLeft w:val="0"/>
      <w:marRight w:val="0"/>
      <w:marTop w:val="0"/>
      <w:marBottom w:val="0"/>
      <w:divBdr>
        <w:top w:val="none" w:sz="0" w:space="0" w:color="auto"/>
        <w:left w:val="none" w:sz="0" w:space="0" w:color="auto"/>
        <w:bottom w:val="none" w:sz="0" w:space="0" w:color="auto"/>
        <w:right w:val="none" w:sz="0" w:space="0" w:color="auto"/>
      </w:divBdr>
      <w:divsChild>
        <w:div w:id="330253322">
          <w:marLeft w:val="0"/>
          <w:marRight w:val="0"/>
          <w:marTop w:val="0"/>
          <w:marBottom w:val="0"/>
          <w:divBdr>
            <w:top w:val="none" w:sz="0" w:space="0" w:color="auto"/>
            <w:left w:val="none" w:sz="0" w:space="0" w:color="auto"/>
            <w:bottom w:val="none" w:sz="0" w:space="0" w:color="auto"/>
            <w:right w:val="none" w:sz="0" w:space="0" w:color="auto"/>
          </w:divBdr>
        </w:div>
        <w:div w:id="499078539">
          <w:marLeft w:val="0"/>
          <w:marRight w:val="0"/>
          <w:marTop w:val="0"/>
          <w:marBottom w:val="0"/>
          <w:divBdr>
            <w:top w:val="none" w:sz="0" w:space="0" w:color="auto"/>
            <w:left w:val="none" w:sz="0" w:space="0" w:color="auto"/>
            <w:bottom w:val="none" w:sz="0" w:space="0" w:color="auto"/>
            <w:right w:val="none" w:sz="0" w:space="0" w:color="auto"/>
          </w:divBdr>
        </w:div>
        <w:div w:id="1208877760">
          <w:marLeft w:val="0"/>
          <w:marRight w:val="0"/>
          <w:marTop w:val="0"/>
          <w:marBottom w:val="0"/>
          <w:divBdr>
            <w:top w:val="none" w:sz="0" w:space="0" w:color="auto"/>
            <w:left w:val="none" w:sz="0" w:space="0" w:color="auto"/>
            <w:bottom w:val="none" w:sz="0" w:space="0" w:color="auto"/>
            <w:right w:val="none" w:sz="0" w:space="0" w:color="auto"/>
          </w:divBdr>
        </w:div>
        <w:div w:id="1555502885">
          <w:marLeft w:val="0"/>
          <w:marRight w:val="0"/>
          <w:marTop w:val="0"/>
          <w:marBottom w:val="0"/>
          <w:divBdr>
            <w:top w:val="none" w:sz="0" w:space="0" w:color="auto"/>
            <w:left w:val="none" w:sz="0" w:space="0" w:color="auto"/>
            <w:bottom w:val="none" w:sz="0" w:space="0" w:color="auto"/>
            <w:right w:val="none" w:sz="0" w:space="0" w:color="auto"/>
          </w:divBdr>
        </w:div>
        <w:div w:id="1600597815">
          <w:marLeft w:val="0"/>
          <w:marRight w:val="0"/>
          <w:marTop w:val="0"/>
          <w:marBottom w:val="0"/>
          <w:divBdr>
            <w:top w:val="none" w:sz="0" w:space="0" w:color="auto"/>
            <w:left w:val="none" w:sz="0" w:space="0" w:color="auto"/>
            <w:bottom w:val="none" w:sz="0" w:space="0" w:color="auto"/>
            <w:right w:val="none" w:sz="0" w:space="0" w:color="auto"/>
          </w:divBdr>
        </w:div>
        <w:div w:id="1827699917">
          <w:marLeft w:val="0"/>
          <w:marRight w:val="0"/>
          <w:marTop w:val="0"/>
          <w:marBottom w:val="0"/>
          <w:divBdr>
            <w:top w:val="none" w:sz="0" w:space="0" w:color="auto"/>
            <w:left w:val="none" w:sz="0" w:space="0" w:color="auto"/>
            <w:bottom w:val="none" w:sz="0" w:space="0" w:color="auto"/>
            <w:right w:val="none" w:sz="0" w:space="0" w:color="auto"/>
          </w:divBdr>
        </w:div>
        <w:div w:id="2020113784">
          <w:marLeft w:val="0"/>
          <w:marRight w:val="0"/>
          <w:marTop w:val="0"/>
          <w:marBottom w:val="0"/>
          <w:divBdr>
            <w:top w:val="none" w:sz="0" w:space="0" w:color="auto"/>
            <w:left w:val="none" w:sz="0" w:space="0" w:color="auto"/>
            <w:bottom w:val="none" w:sz="0" w:space="0" w:color="auto"/>
            <w:right w:val="none" w:sz="0" w:space="0" w:color="auto"/>
          </w:divBdr>
        </w:div>
      </w:divsChild>
    </w:div>
    <w:div w:id="1577401931">
      <w:bodyDiv w:val="1"/>
      <w:marLeft w:val="0"/>
      <w:marRight w:val="0"/>
      <w:marTop w:val="0"/>
      <w:marBottom w:val="0"/>
      <w:divBdr>
        <w:top w:val="none" w:sz="0" w:space="0" w:color="auto"/>
        <w:left w:val="none" w:sz="0" w:space="0" w:color="auto"/>
        <w:bottom w:val="none" w:sz="0" w:space="0" w:color="auto"/>
        <w:right w:val="none" w:sz="0" w:space="0" w:color="auto"/>
      </w:divBdr>
    </w:div>
    <w:div w:id="1607889209">
      <w:bodyDiv w:val="1"/>
      <w:marLeft w:val="0"/>
      <w:marRight w:val="0"/>
      <w:marTop w:val="0"/>
      <w:marBottom w:val="0"/>
      <w:divBdr>
        <w:top w:val="none" w:sz="0" w:space="0" w:color="auto"/>
        <w:left w:val="none" w:sz="0" w:space="0" w:color="auto"/>
        <w:bottom w:val="none" w:sz="0" w:space="0" w:color="auto"/>
        <w:right w:val="none" w:sz="0" w:space="0" w:color="auto"/>
      </w:divBdr>
    </w:div>
    <w:div w:id="1628438630">
      <w:bodyDiv w:val="1"/>
      <w:marLeft w:val="0"/>
      <w:marRight w:val="0"/>
      <w:marTop w:val="0"/>
      <w:marBottom w:val="0"/>
      <w:divBdr>
        <w:top w:val="none" w:sz="0" w:space="0" w:color="auto"/>
        <w:left w:val="none" w:sz="0" w:space="0" w:color="auto"/>
        <w:bottom w:val="none" w:sz="0" w:space="0" w:color="auto"/>
        <w:right w:val="none" w:sz="0" w:space="0" w:color="auto"/>
      </w:divBdr>
    </w:div>
    <w:div w:id="1659267534">
      <w:bodyDiv w:val="1"/>
      <w:marLeft w:val="0"/>
      <w:marRight w:val="0"/>
      <w:marTop w:val="0"/>
      <w:marBottom w:val="0"/>
      <w:divBdr>
        <w:top w:val="none" w:sz="0" w:space="0" w:color="auto"/>
        <w:left w:val="none" w:sz="0" w:space="0" w:color="auto"/>
        <w:bottom w:val="none" w:sz="0" w:space="0" w:color="auto"/>
        <w:right w:val="none" w:sz="0" w:space="0" w:color="auto"/>
      </w:divBdr>
    </w:div>
    <w:div w:id="1713722802">
      <w:bodyDiv w:val="1"/>
      <w:marLeft w:val="0"/>
      <w:marRight w:val="0"/>
      <w:marTop w:val="0"/>
      <w:marBottom w:val="0"/>
      <w:divBdr>
        <w:top w:val="none" w:sz="0" w:space="0" w:color="auto"/>
        <w:left w:val="none" w:sz="0" w:space="0" w:color="auto"/>
        <w:bottom w:val="none" w:sz="0" w:space="0" w:color="auto"/>
        <w:right w:val="none" w:sz="0" w:space="0" w:color="auto"/>
      </w:divBdr>
    </w:div>
    <w:div w:id="1752314986">
      <w:bodyDiv w:val="1"/>
      <w:marLeft w:val="0"/>
      <w:marRight w:val="0"/>
      <w:marTop w:val="0"/>
      <w:marBottom w:val="0"/>
      <w:divBdr>
        <w:top w:val="none" w:sz="0" w:space="0" w:color="auto"/>
        <w:left w:val="none" w:sz="0" w:space="0" w:color="auto"/>
        <w:bottom w:val="none" w:sz="0" w:space="0" w:color="auto"/>
        <w:right w:val="none" w:sz="0" w:space="0" w:color="auto"/>
      </w:divBdr>
    </w:div>
    <w:div w:id="1790004999">
      <w:bodyDiv w:val="1"/>
      <w:marLeft w:val="0"/>
      <w:marRight w:val="0"/>
      <w:marTop w:val="0"/>
      <w:marBottom w:val="0"/>
      <w:divBdr>
        <w:top w:val="none" w:sz="0" w:space="0" w:color="auto"/>
        <w:left w:val="none" w:sz="0" w:space="0" w:color="auto"/>
        <w:bottom w:val="none" w:sz="0" w:space="0" w:color="auto"/>
        <w:right w:val="none" w:sz="0" w:space="0" w:color="auto"/>
      </w:divBdr>
    </w:div>
    <w:div w:id="1872574800">
      <w:bodyDiv w:val="1"/>
      <w:marLeft w:val="0"/>
      <w:marRight w:val="0"/>
      <w:marTop w:val="0"/>
      <w:marBottom w:val="0"/>
      <w:divBdr>
        <w:top w:val="none" w:sz="0" w:space="0" w:color="auto"/>
        <w:left w:val="none" w:sz="0" w:space="0" w:color="auto"/>
        <w:bottom w:val="none" w:sz="0" w:space="0" w:color="auto"/>
        <w:right w:val="none" w:sz="0" w:space="0" w:color="auto"/>
      </w:divBdr>
    </w:div>
    <w:div w:id="1873150588">
      <w:bodyDiv w:val="1"/>
      <w:marLeft w:val="0"/>
      <w:marRight w:val="0"/>
      <w:marTop w:val="0"/>
      <w:marBottom w:val="0"/>
      <w:divBdr>
        <w:top w:val="none" w:sz="0" w:space="0" w:color="auto"/>
        <w:left w:val="none" w:sz="0" w:space="0" w:color="auto"/>
        <w:bottom w:val="none" w:sz="0" w:space="0" w:color="auto"/>
        <w:right w:val="none" w:sz="0" w:space="0" w:color="auto"/>
      </w:divBdr>
    </w:div>
    <w:div w:id="1890147276">
      <w:bodyDiv w:val="1"/>
      <w:marLeft w:val="0"/>
      <w:marRight w:val="0"/>
      <w:marTop w:val="0"/>
      <w:marBottom w:val="0"/>
      <w:divBdr>
        <w:top w:val="none" w:sz="0" w:space="0" w:color="auto"/>
        <w:left w:val="none" w:sz="0" w:space="0" w:color="auto"/>
        <w:bottom w:val="none" w:sz="0" w:space="0" w:color="auto"/>
        <w:right w:val="none" w:sz="0" w:space="0" w:color="auto"/>
      </w:divBdr>
    </w:div>
    <w:div w:id="1915896724">
      <w:bodyDiv w:val="1"/>
      <w:marLeft w:val="0"/>
      <w:marRight w:val="0"/>
      <w:marTop w:val="0"/>
      <w:marBottom w:val="0"/>
      <w:divBdr>
        <w:top w:val="none" w:sz="0" w:space="0" w:color="auto"/>
        <w:left w:val="none" w:sz="0" w:space="0" w:color="auto"/>
        <w:bottom w:val="none" w:sz="0" w:space="0" w:color="auto"/>
        <w:right w:val="none" w:sz="0" w:space="0" w:color="auto"/>
      </w:divBdr>
    </w:div>
    <w:div w:id="1926188801">
      <w:bodyDiv w:val="1"/>
      <w:marLeft w:val="0"/>
      <w:marRight w:val="0"/>
      <w:marTop w:val="0"/>
      <w:marBottom w:val="0"/>
      <w:divBdr>
        <w:top w:val="none" w:sz="0" w:space="0" w:color="auto"/>
        <w:left w:val="none" w:sz="0" w:space="0" w:color="auto"/>
        <w:bottom w:val="none" w:sz="0" w:space="0" w:color="auto"/>
        <w:right w:val="none" w:sz="0" w:space="0" w:color="auto"/>
      </w:divBdr>
      <w:divsChild>
        <w:div w:id="104422346">
          <w:marLeft w:val="0"/>
          <w:marRight w:val="0"/>
          <w:marTop w:val="0"/>
          <w:marBottom w:val="0"/>
          <w:divBdr>
            <w:top w:val="none" w:sz="0" w:space="0" w:color="auto"/>
            <w:left w:val="none" w:sz="0" w:space="0" w:color="auto"/>
            <w:bottom w:val="none" w:sz="0" w:space="0" w:color="auto"/>
            <w:right w:val="none" w:sz="0" w:space="0" w:color="auto"/>
          </w:divBdr>
        </w:div>
        <w:div w:id="109907235">
          <w:marLeft w:val="0"/>
          <w:marRight w:val="0"/>
          <w:marTop w:val="0"/>
          <w:marBottom w:val="0"/>
          <w:divBdr>
            <w:top w:val="none" w:sz="0" w:space="0" w:color="auto"/>
            <w:left w:val="none" w:sz="0" w:space="0" w:color="auto"/>
            <w:bottom w:val="none" w:sz="0" w:space="0" w:color="auto"/>
            <w:right w:val="none" w:sz="0" w:space="0" w:color="auto"/>
          </w:divBdr>
        </w:div>
        <w:div w:id="452403516">
          <w:marLeft w:val="0"/>
          <w:marRight w:val="0"/>
          <w:marTop w:val="0"/>
          <w:marBottom w:val="0"/>
          <w:divBdr>
            <w:top w:val="none" w:sz="0" w:space="0" w:color="auto"/>
            <w:left w:val="none" w:sz="0" w:space="0" w:color="auto"/>
            <w:bottom w:val="none" w:sz="0" w:space="0" w:color="auto"/>
            <w:right w:val="none" w:sz="0" w:space="0" w:color="auto"/>
          </w:divBdr>
        </w:div>
        <w:div w:id="536968817">
          <w:marLeft w:val="0"/>
          <w:marRight w:val="0"/>
          <w:marTop w:val="0"/>
          <w:marBottom w:val="0"/>
          <w:divBdr>
            <w:top w:val="none" w:sz="0" w:space="0" w:color="auto"/>
            <w:left w:val="none" w:sz="0" w:space="0" w:color="auto"/>
            <w:bottom w:val="none" w:sz="0" w:space="0" w:color="auto"/>
            <w:right w:val="none" w:sz="0" w:space="0" w:color="auto"/>
          </w:divBdr>
        </w:div>
        <w:div w:id="1472946186">
          <w:marLeft w:val="0"/>
          <w:marRight w:val="0"/>
          <w:marTop w:val="0"/>
          <w:marBottom w:val="0"/>
          <w:divBdr>
            <w:top w:val="none" w:sz="0" w:space="0" w:color="auto"/>
            <w:left w:val="none" w:sz="0" w:space="0" w:color="auto"/>
            <w:bottom w:val="none" w:sz="0" w:space="0" w:color="auto"/>
            <w:right w:val="none" w:sz="0" w:space="0" w:color="auto"/>
          </w:divBdr>
        </w:div>
        <w:div w:id="1505900919">
          <w:marLeft w:val="0"/>
          <w:marRight w:val="0"/>
          <w:marTop w:val="0"/>
          <w:marBottom w:val="0"/>
          <w:divBdr>
            <w:top w:val="none" w:sz="0" w:space="0" w:color="auto"/>
            <w:left w:val="none" w:sz="0" w:space="0" w:color="auto"/>
            <w:bottom w:val="none" w:sz="0" w:space="0" w:color="auto"/>
            <w:right w:val="none" w:sz="0" w:space="0" w:color="auto"/>
          </w:divBdr>
        </w:div>
        <w:div w:id="1812475931">
          <w:marLeft w:val="0"/>
          <w:marRight w:val="0"/>
          <w:marTop w:val="0"/>
          <w:marBottom w:val="0"/>
          <w:divBdr>
            <w:top w:val="none" w:sz="0" w:space="0" w:color="auto"/>
            <w:left w:val="none" w:sz="0" w:space="0" w:color="auto"/>
            <w:bottom w:val="none" w:sz="0" w:space="0" w:color="auto"/>
            <w:right w:val="none" w:sz="0" w:space="0" w:color="auto"/>
          </w:divBdr>
        </w:div>
      </w:divsChild>
    </w:div>
    <w:div w:id="1929001209">
      <w:bodyDiv w:val="1"/>
      <w:marLeft w:val="0"/>
      <w:marRight w:val="0"/>
      <w:marTop w:val="0"/>
      <w:marBottom w:val="0"/>
      <w:divBdr>
        <w:top w:val="none" w:sz="0" w:space="0" w:color="auto"/>
        <w:left w:val="none" w:sz="0" w:space="0" w:color="auto"/>
        <w:bottom w:val="none" w:sz="0" w:space="0" w:color="auto"/>
        <w:right w:val="none" w:sz="0" w:space="0" w:color="auto"/>
      </w:divBdr>
    </w:div>
    <w:div w:id="1931886947">
      <w:bodyDiv w:val="1"/>
      <w:marLeft w:val="0"/>
      <w:marRight w:val="0"/>
      <w:marTop w:val="0"/>
      <w:marBottom w:val="0"/>
      <w:divBdr>
        <w:top w:val="none" w:sz="0" w:space="0" w:color="auto"/>
        <w:left w:val="none" w:sz="0" w:space="0" w:color="auto"/>
        <w:bottom w:val="none" w:sz="0" w:space="0" w:color="auto"/>
        <w:right w:val="none" w:sz="0" w:space="0" w:color="auto"/>
      </w:divBdr>
    </w:div>
    <w:div w:id="1939172630">
      <w:bodyDiv w:val="1"/>
      <w:marLeft w:val="0"/>
      <w:marRight w:val="0"/>
      <w:marTop w:val="0"/>
      <w:marBottom w:val="0"/>
      <w:divBdr>
        <w:top w:val="none" w:sz="0" w:space="0" w:color="auto"/>
        <w:left w:val="none" w:sz="0" w:space="0" w:color="auto"/>
        <w:bottom w:val="none" w:sz="0" w:space="0" w:color="auto"/>
        <w:right w:val="none" w:sz="0" w:space="0" w:color="auto"/>
      </w:divBdr>
    </w:div>
    <w:div w:id="1956055581">
      <w:bodyDiv w:val="1"/>
      <w:marLeft w:val="0"/>
      <w:marRight w:val="0"/>
      <w:marTop w:val="0"/>
      <w:marBottom w:val="0"/>
      <w:divBdr>
        <w:top w:val="none" w:sz="0" w:space="0" w:color="auto"/>
        <w:left w:val="none" w:sz="0" w:space="0" w:color="auto"/>
        <w:bottom w:val="none" w:sz="0" w:space="0" w:color="auto"/>
        <w:right w:val="none" w:sz="0" w:space="0" w:color="auto"/>
      </w:divBdr>
    </w:div>
    <w:div w:id="1980525704">
      <w:bodyDiv w:val="1"/>
      <w:marLeft w:val="0"/>
      <w:marRight w:val="0"/>
      <w:marTop w:val="0"/>
      <w:marBottom w:val="0"/>
      <w:divBdr>
        <w:top w:val="none" w:sz="0" w:space="0" w:color="auto"/>
        <w:left w:val="none" w:sz="0" w:space="0" w:color="auto"/>
        <w:bottom w:val="none" w:sz="0" w:space="0" w:color="auto"/>
        <w:right w:val="none" w:sz="0" w:space="0" w:color="auto"/>
      </w:divBdr>
    </w:div>
    <w:div w:id="1982540068">
      <w:bodyDiv w:val="1"/>
      <w:marLeft w:val="0"/>
      <w:marRight w:val="0"/>
      <w:marTop w:val="0"/>
      <w:marBottom w:val="0"/>
      <w:divBdr>
        <w:top w:val="none" w:sz="0" w:space="0" w:color="auto"/>
        <w:left w:val="none" w:sz="0" w:space="0" w:color="auto"/>
        <w:bottom w:val="none" w:sz="0" w:space="0" w:color="auto"/>
        <w:right w:val="none" w:sz="0" w:space="0" w:color="auto"/>
      </w:divBdr>
    </w:div>
    <w:div w:id="1983461767">
      <w:bodyDiv w:val="1"/>
      <w:marLeft w:val="0"/>
      <w:marRight w:val="0"/>
      <w:marTop w:val="0"/>
      <w:marBottom w:val="0"/>
      <w:divBdr>
        <w:top w:val="none" w:sz="0" w:space="0" w:color="auto"/>
        <w:left w:val="none" w:sz="0" w:space="0" w:color="auto"/>
        <w:bottom w:val="none" w:sz="0" w:space="0" w:color="auto"/>
        <w:right w:val="none" w:sz="0" w:space="0" w:color="auto"/>
      </w:divBdr>
    </w:div>
    <w:div w:id="1988514222">
      <w:bodyDiv w:val="1"/>
      <w:marLeft w:val="0"/>
      <w:marRight w:val="0"/>
      <w:marTop w:val="0"/>
      <w:marBottom w:val="0"/>
      <w:divBdr>
        <w:top w:val="none" w:sz="0" w:space="0" w:color="auto"/>
        <w:left w:val="none" w:sz="0" w:space="0" w:color="auto"/>
        <w:bottom w:val="none" w:sz="0" w:space="0" w:color="auto"/>
        <w:right w:val="none" w:sz="0" w:space="0" w:color="auto"/>
      </w:divBdr>
    </w:div>
    <w:div w:id="1995180235">
      <w:bodyDiv w:val="1"/>
      <w:marLeft w:val="0"/>
      <w:marRight w:val="0"/>
      <w:marTop w:val="0"/>
      <w:marBottom w:val="0"/>
      <w:divBdr>
        <w:top w:val="none" w:sz="0" w:space="0" w:color="auto"/>
        <w:left w:val="none" w:sz="0" w:space="0" w:color="auto"/>
        <w:bottom w:val="none" w:sz="0" w:space="0" w:color="auto"/>
        <w:right w:val="none" w:sz="0" w:space="0" w:color="auto"/>
      </w:divBdr>
    </w:div>
    <w:div w:id="2040470228">
      <w:bodyDiv w:val="1"/>
      <w:marLeft w:val="0"/>
      <w:marRight w:val="0"/>
      <w:marTop w:val="0"/>
      <w:marBottom w:val="0"/>
      <w:divBdr>
        <w:top w:val="none" w:sz="0" w:space="0" w:color="auto"/>
        <w:left w:val="none" w:sz="0" w:space="0" w:color="auto"/>
        <w:bottom w:val="none" w:sz="0" w:space="0" w:color="auto"/>
        <w:right w:val="none" w:sz="0" w:space="0" w:color="auto"/>
      </w:divBdr>
    </w:div>
    <w:div w:id="2062046956">
      <w:bodyDiv w:val="1"/>
      <w:marLeft w:val="0"/>
      <w:marRight w:val="0"/>
      <w:marTop w:val="0"/>
      <w:marBottom w:val="0"/>
      <w:divBdr>
        <w:top w:val="none" w:sz="0" w:space="0" w:color="auto"/>
        <w:left w:val="none" w:sz="0" w:space="0" w:color="auto"/>
        <w:bottom w:val="none" w:sz="0" w:space="0" w:color="auto"/>
        <w:right w:val="none" w:sz="0" w:space="0" w:color="auto"/>
      </w:divBdr>
    </w:div>
    <w:div w:id="2076200332">
      <w:bodyDiv w:val="1"/>
      <w:marLeft w:val="0"/>
      <w:marRight w:val="0"/>
      <w:marTop w:val="0"/>
      <w:marBottom w:val="0"/>
      <w:divBdr>
        <w:top w:val="none" w:sz="0" w:space="0" w:color="auto"/>
        <w:left w:val="none" w:sz="0" w:space="0" w:color="auto"/>
        <w:bottom w:val="none" w:sz="0" w:space="0" w:color="auto"/>
        <w:right w:val="none" w:sz="0" w:space="0" w:color="auto"/>
      </w:divBdr>
    </w:div>
    <w:div w:id="20949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asuntos/montesinosmejia_25_06_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2F9A-A57E-4126-BD7D-BCA32C62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55</Pages>
  <Words>24939</Words>
  <Characters>137165</Characters>
  <Application>Microsoft Office Word</Application>
  <DocSecurity>0</DocSecurity>
  <Lines>1143</Lines>
  <Paragraphs>323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Francella Hernandez</cp:lastModifiedBy>
  <cp:revision>3</cp:revision>
  <cp:lastPrinted>2020-02-25T22:59:00Z</cp:lastPrinted>
  <dcterms:created xsi:type="dcterms:W3CDTF">2020-02-25T22:59:00Z</dcterms:created>
  <dcterms:modified xsi:type="dcterms:W3CDTF">2020-02-25T23:00:00Z</dcterms:modified>
</cp:coreProperties>
</file>