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D6A8E" w14:textId="77777777" w:rsidR="00FF4CBF" w:rsidRPr="00833BAB" w:rsidRDefault="00FF4CBF" w:rsidP="00945CE2">
      <w:pPr>
        <w:pStyle w:val="Ttulo"/>
        <w:ind w:left="-142" w:right="-4"/>
        <w:rPr>
          <w:rFonts w:eastAsia="MS Mincho"/>
          <w:lang w:val="en-US"/>
        </w:rPr>
      </w:pPr>
      <w:bookmarkStart w:id="0" w:name="_Hlk79999759"/>
    </w:p>
    <w:p w14:paraId="1696E873" w14:textId="77777777" w:rsidR="009403BF" w:rsidRPr="00833BAB" w:rsidRDefault="009403BF" w:rsidP="00945CE2">
      <w:pPr>
        <w:pStyle w:val="Ttulo"/>
        <w:ind w:left="-142" w:right="-4"/>
        <w:rPr>
          <w:rFonts w:eastAsia="MS Mincho"/>
          <w:lang w:val="en-US"/>
        </w:rPr>
      </w:pPr>
    </w:p>
    <w:p w14:paraId="6B2807DA" w14:textId="6C51475A" w:rsidR="00871E19" w:rsidRPr="00833BAB" w:rsidRDefault="00871E19" w:rsidP="00945CE2">
      <w:pPr>
        <w:pStyle w:val="Ttulo"/>
        <w:ind w:left="-142" w:right="-4"/>
        <w:rPr>
          <w:rFonts w:eastAsia="MS Mincho"/>
          <w:lang w:val="en-US"/>
        </w:rPr>
      </w:pPr>
    </w:p>
    <w:p w14:paraId="052B2B47" w14:textId="3E1F4137" w:rsidR="00156651" w:rsidRDefault="00156651" w:rsidP="00945CE2">
      <w:pPr>
        <w:pStyle w:val="Ttulo"/>
        <w:ind w:left="-142" w:right="-4"/>
        <w:rPr>
          <w:rFonts w:eastAsia="MS Mincho"/>
          <w:lang w:val="en-US"/>
        </w:rPr>
      </w:pPr>
    </w:p>
    <w:p w14:paraId="50159E91" w14:textId="77777777" w:rsidR="00CA5443" w:rsidRPr="00833BAB" w:rsidRDefault="00CA5443" w:rsidP="00945CE2">
      <w:pPr>
        <w:pStyle w:val="Ttulo"/>
        <w:ind w:left="-142" w:right="-4"/>
        <w:rPr>
          <w:rFonts w:eastAsia="MS Mincho"/>
          <w:lang w:val="en-US"/>
        </w:rPr>
      </w:pPr>
    </w:p>
    <w:p w14:paraId="28C22ED8" w14:textId="77777777" w:rsidR="00871E19" w:rsidRPr="00833BAB" w:rsidRDefault="00871E19" w:rsidP="00945CE2">
      <w:pPr>
        <w:pStyle w:val="Ttulo"/>
        <w:ind w:left="-142" w:right="-4"/>
        <w:rPr>
          <w:rFonts w:eastAsia="MS Mincho"/>
          <w:lang w:val="en-US"/>
        </w:rPr>
      </w:pPr>
    </w:p>
    <w:p w14:paraId="5B9348CA" w14:textId="77777777" w:rsidR="00871E19" w:rsidRPr="00833BAB" w:rsidRDefault="00871E19" w:rsidP="00945CE2">
      <w:pPr>
        <w:pStyle w:val="Ttulo"/>
        <w:ind w:left="-142" w:right="-4"/>
        <w:rPr>
          <w:rFonts w:eastAsia="MS Mincho"/>
          <w:lang w:val="en-US"/>
        </w:rPr>
      </w:pPr>
    </w:p>
    <w:p w14:paraId="3C6CD8A3" w14:textId="77777777" w:rsidR="00871E19" w:rsidRPr="00833BAB" w:rsidRDefault="00871E19" w:rsidP="00945CE2">
      <w:pPr>
        <w:pStyle w:val="Ttulo"/>
        <w:ind w:left="-142" w:right="-4"/>
        <w:rPr>
          <w:rFonts w:eastAsia="MS Mincho"/>
          <w:lang w:val="en-US"/>
        </w:rPr>
      </w:pPr>
    </w:p>
    <w:p w14:paraId="7395DED3" w14:textId="77777777" w:rsidR="00871E19" w:rsidRPr="00833BAB" w:rsidRDefault="00871E19" w:rsidP="00945CE2">
      <w:pPr>
        <w:pStyle w:val="Ttulo"/>
        <w:ind w:left="-142" w:right="-4"/>
        <w:rPr>
          <w:rFonts w:eastAsia="MS Mincho"/>
          <w:lang w:val="en-US"/>
        </w:rPr>
      </w:pPr>
    </w:p>
    <w:p w14:paraId="225F8C2F" w14:textId="77777777" w:rsidR="00871E19" w:rsidRPr="00833BAB" w:rsidRDefault="00871E19" w:rsidP="00945CE2">
      <w:pPr>
        <w:pStyle w:val="Ttulo"/>
        <w:ind w:left="-142" w:right="-4"/>
        <w:rPr>
          <w:rFonts w:eastAsia="MS Mincho"/>
          <w:lang w:val="en-US"/>
        </w:rPr>
      </w:pPr>
    </w:p>
    <w:p w14:paraId="603E0734" w14:textId="77777777" w:rsidR="00871E19" w:rsidRPr="00833BAB" w:rsidRDefault="00871E19" w:rsidP="00945CE2">
      <w:pPr>
        <w:pStyle w:val="Ttulo"/>
        <w:ind w:left="-142" w:right="-4"/>
        <w:rPr>
          <w:rFonts w:eastAsia="MS Mincho"/>
          <w:lang w:val="en-US"/>
        </w:rPr>
      </w:pPr>
    </w:p>
    <w:p w14:paraId="1B2BD914" w14:textId="77777777" w:rsidR="00871E19" w:rsidRPr="00833BAB" w:rsidRDefault="00871E19" w:rsidP="00945CE2">
      <w:pPr>
        <w:pStyle w:val="Ttulo"/>
        <w:ind w:left="-142" w:right="-4"/>
        <w:rPr>
          <w:rFonts w:eastAsia="MS Mincho"/>
          <w:lang w:val="en-US"/>
        </w:rPr>
      </w:pPr>
    </w:p>
    <w:p w14:paraId="366053CD" w14:textId="7A665F08" w:rsidR="009403BF" w:rsidRPr="001558A5" w:rsidRDefault="00871E19" w:rsidP="00945CE2">
      <w:pPr>
        <w:pStyle w:val="Ttulo"/>
        <w:ind w:left="-142" w:right="-4"/>
        <w:rPr>
          <w:rFonts w:eastAsia="MS Mincho"/>
          <w:lang w:val="en-US"/>
        </w:rPr>
      </w:pPr>
      <w:r w:rsidRPr="001558A5">
        <w:rPr>
          <w:rFonts w:eastAsia="MS Mincho"/>
          <w:lang w:val="en-US"/>
        </w:rPr>
        <w:t>INTER-AMERICAN COURT OF HUMAN RIGHTS</w:t>
      </w:r>
    </w:p>
    <w:p w14:paraId="287BB904" w14:textId="77777777" w:rsidR="009403BF" w:rsidRPr="001558A5" w:rsidRDefault="009403BF" w:rsidP="00945CE2">
      <w:pPr>
        <w:pStyle w:val="Ttulo"/>
        <w:ind w:left="708" w:right="-4" w:hanging="708"/>
        <w:rPr>
          <w:rFonts w:eastAsia="MS Mincho"/>
          <w:lang w:val="en-US"/>
        </w:rPr>
      </w:pPr>
    </w:p>
    <w:p w14:paraId="2D758441" w14:textId="77777777" w:rsidR="009403BF" w:rsidRPr="001558A5" w:rsidRDefault="009403BF" w:rsidP="00945CE2">
      <w:pPr>
        <w:pStyle w:val="Ttulo"/>
        <w:tabs>
          <w:tab w:val="left" w:pos="7501"/>
        </w:tabs>
        <w:ind w:left="-142" w:right="-4"/>
        <w:rPr>
          <w:rFonts w:eastAsia="MS Mincho"/>
          <w:lang w:val="en-US"/>
        </w:rPr>
      </w:pPr>
    </w:p>
    <w:p w14:paraId="105F7520" w14:textId="77777777" w:rsidR="009403BF" w:rsidRPr="001558A5" w:rsidRDefault="009403BF" w:rsidP="00945CE2">
      <w:pPr>
        <w:pStyle w:val="Ttulo"/>
        <w:ind w:left="-142" w:right="-4"/>
        <w:rPr>
          <w:rFonts w:eastAsia="MS Mincho"/>
          <w:i/>
          <w:lang w:val="en-US"/>
        </w:rPr>
      </w:pPr>
    </w:p>
    <w:p w14:paraId="391D195A" w14:textId="4458B270" w:rsidR="008F1678" w:rsidRPr="001558A5" w:rsidRDefault="004F6877" w:rsidP="00945CE2">
      <w:pPr>
        <w:jc w:val="center"/>
        <w:rPr>
          <w:b/>
          <w:i/>
          <w:smallCaps/>
          <w:szCs w:val="20"/>
          <w:lang w:val="es-CR" w:eastAsia="es-ES"/>
        </w:rPr>
      </w:pPr>
      <w:r w:rsidRPr="001558A5">
        <w:rPr>
          <w:rFonts w:cs="Verdana Bold"/>
          <w:b/>
          <w:bCs/>
          <w:i/>
          <w:caps/>
          <w:szCs w:val="20"/>
          <w:lang w:val="es-CR"/>
        </w:rPr>
        <w:t xml:space="preserve">vicky </w:t>
      </w:r>
      <w:r w:rsidR="00871E19" w:rsidRPr="001558A5">
        <w:rPr>
          <w:rFonts w:cs="Verdana Bold"/>
          <w:b/>
          <w:bCs/>
          <w:i/>
          <w:caps/>
          <w:szCs w:val="20"/>
          <w:lang w:val="es-CR"/>
        </w:rPr>
        <w:t>Hernández et al.</w:t>
      </w:r>
      <w:r w:rsidR="005535D1" w:rsidRPr="001558A5">
        <w:rPr>
          <w:rFonts w:cs="Verdana Bold"/>
          <w:b/>
          <w:bCs/>
          <w:i/>
          <w:caps/>
          <w:szCs w:val="20"/>
          <w:lang w:val="es-CR"/>
        </w:rPr>
        <w:t xml:space="preserve"> V. HONDURAS</w:t>
      </w:r>
    </w:p>
    <w:p w14:paraId="2C626B89" w14:textId="77777777" w:rsidR="009403BF" w:rsidRPr="001558A5" w:rsidRDefault="009403BF" w:rsidP="00945CE2">
      <w:pPr>
        <w:spacing w:after="120"/>
        <w:ind w:right="-4"/>
        <w:jc w:val="center"/>
        <w:rPr>
          <w:rFonts w:cs="Verdana Bold"/>
          <w:b/>
          <w:bCs/>
          <w:i/>
          <w:caps/>
          <w:szCs w:val="20"/>
          <w:lang w:val="es-CR"/>
        </w:rPr>
      </w:pPr>
    </w:p>
    <w:p w14:paraId="40B62071" w14:textId="77777777" w:rsidR="009403BF" w:rsidRPr="001558A5" w:rsidRDefault="009403BF" w:rsidP="00945CE2">
      <w:pPr>
        <w:pStyle w:val="Ttulo"/>
        <w:ind w:left="-142" w:right="-4"/>
        <w:rPr>
          <w:rFonts w:eastAsia="MS Mincho"/>
          <w:lang w:val="es-CR"/>
        </w:rPr>
      </w:pPr>
    </w:p>
    <w:p w14:paraId="26075D47" w14:textId="1E7AB6A9" w:rsidR="009403BF" w:rsidRPr="001558A5" w:rsidRDefault="00DD4354" w:rsidP="00945CE2">
      <w:pPr>
        <w:pStyle w:val="Ttulo"/>
        <w:ind w:left="-142" w:right="-4"/>
        <w:rPr>
          <w:rFonts w:eastAsia="MS Mincho"/>
          <w:lang w:val="en-US"/>
        </w:rPr>
      </w:pPr>
      <w:r w:rsidRPr="001558A5">
        <w:rPr>
          <w:rFonts w:eastAsia="MS Mincho"/>
          <w:lang w:val="en-US"/>
        </w:rPr>
        <w:t>JUDGMENT OF MARCH 26,</w:t>
      </w:r>
      <w:r w:rsidR="00435896" w:rsidRPr="001558A5">
        <w:rPr>
          <w:rFonts w:eastAsia="MS Mincho"/>
          <w:lang w:val="en-US"/>
        </w:rPr>
        <w:t xml:space="preserve"> </w:t>
      </w:r>
      <w:r w:rsidR="009779A1" w:rsidRPr="001558A5">
        <w:rPr>
          <w:rFonts w:eastAsia="MS Mincho"/>
          <w:lang w:val="en-US"/>
        </w:rPr>
        <w:t>2021</w:t>
      </w:r>
    </w:p>
    <w:p w14:paraId="283B8632" w14:textId="0E97FDB0" w:rsidR="00871E19" w:rsidRPr="001558A5" w:rsidRDefault="00871E19" w:rsidP="00945CE2">
      <w:pPr>
        <w:pStyle w:val="Ttulo"/>
        <w:ind w:left="-142" w:right="-4"/>
        <w:rPr>
          <w:rFonts w:eastAsia="MS Mincho"/>
          <w:lang w:val="en-US"/>
        </w:rPr>
      </w:pPr>
    </w:p>
    <w:p w14:paraId="77EC1463" w14:textId="64BE22C5" w:rsidR="00871E19" w:rsidRPr="001558A5" w:rsidRDefault="00871E19" w:rsidP="00945CE2">
      <w:pPr>
        <w:pStyle w:val="Ttulo"/>
        <w:ind w:left="-142" w:right="-4"/>
        <w:rPr>
          <w:rFonts w:eastAsia="MS Mincho"/>
          <w:lang w:val="en-US"/>
        </w:rPr>
      </w:pPr>
      <w:r w:rsidRPr="001558A5">
        <w:rPr>
          <w:rFonts w:eastAsia="MS Mincho"/>
          <w:lang w:val="en-US"/>
        </w:rPr>
        <w:t>(</w:t>
      </w:r>
      <w:r w:rsidRPr="001558A5">
        <w:rPr>
          <w:rFonts w:eastAsia="MS Mincho"/>
          <w:i/>
          <w:iCs/>
          <w:lang w:val="en-US"/>
        </w:rPr>
        <w:t>Merits, reparations and costs</w:t>
      </w:r>
      <w:r w:rsidR="00DD4354" w:rsidRPr="001558A5">
        <w:rPr>
          <w:rFonts w:eastAsia="MS Mincho"/>
          <w:lang w:val="en-US"/>
        </w:rPr>
        <w:t>)</w:t>
      </w:r>
    </w:p>
    <w:p w14:paraId="0392388D" w14:textId="77777777" w:rsidR="009569E6" w:rsidRPr="001558A5" w:rsidRDefault="009569E6" w:rsidP="00526FDD">
      <w:pPr>
        <w:pStyle w:val="Ttulo"/>
        <w:ind w:right="-4"/>
        <w:jc w:val="both"/>
        <w:rPr>
          <w:rFonts w:eastAsia="MS Mincho"/>
          <w:lang w:val="en-US"/>
        </w:rPr>
      </w:pPr>
    </w:p>
    <w:p w14:paraId="02FBD8A1" w14:textId="77777777" w:rsidR="009403BF" w:rsidRPr="001558A5" w:rsidRDefault="009403BF" w:rsidP="00945CE2">
      <w:pPr>
        <w:ind w:left="-142" w:right="-4"/>
        <w:rPr>
          <w:szCs w:val="20"/>
          <w:lang w:val="en-US"/>
        </w:rPr>
      </w:pPr>
    </w:p>
    <w:p w14:paraId="12B246A6" w14:textId="5DA1D27F" w:rsidR="009403BF" w:rsidRPr="001558A5" w:rsidRDefault="009403BF" w:rsidP="00945CE2">
      <w:pPr>
        <w:ind w:left="-142" w:right="-4"/>
        <w:rPr>
          <w:szCs w:val="20"/>
          <w:lang w:val="en-US"/>
        </w:rPr>
      </w:pPr>
    </w:p>
    <w:p w14:paraId="241534F8" w14:textId="17C5FFD1" w:rsidR="00871E19" w:rsidRPr="001558A5" w:rsidRDefault="00871E19" w:rsidP="00945CE2">
      <w:pPr>
        <w:ind w:left="-142" w:right="-4"/>
        <w:rPr>
          <w:szCs w:val="20"/>
          <w:lang w:val="en-US"/>
        </w:rPr>
      </w:pPr>
    </w:p>
    <w:p w14:paraId="21F3C015" w14:textId="77777777" w:rsidR="00871E19" w:rsidRPr="001558A5" w:rsidRDefault="00871E19" w:rsidP="00945CE2">
      <w:pPr>
        <w:ind w:left="-142" w:right="-4"/>
        <w:rPr>
          <w:szCs w:val="20"/>
          <w:lang w:val="en-US"/>
        </w:rPr>
      </w:pPr>
    </w:p>
    <w:p w14:paraId="5C4CFD96" w14:textId="77777777" w:rsidR="009403BF" w:rsidRPr="001558A5" w:rsidRDefault="009403BF" w:rsidP="00945CE2">
      <w:pPr>
        <w:ind w:left="-142" w:right="-4"/>
        <w:rPr>
          <w:szCs w:val="20"/>
          <w:lang w:val="en-US"/>
        </w:rPr>
      </w:pPr>
    </w:p>
    <w:p w14:paraId="10A94594" w14:textId="1446F431" w:rsidR="008F1678" w:rsidRPr="001558A5" w:rsidRDefault="00DD4354" w:rsidP="00945CE2">
      <w:pPr>
        <w:rPr>
          <w:i/>
          <w:szCs w:val="20"/>
          <w:lang w:val="en-US"/>
        </w:rPr>
      </w:pPr>
      <w:r w:rsidRPr="001558A5">
        <w:rPr>
          <w:szCs w:val="20"/>
          <w:lang w:val="en-US"/>
        </w:rPr>
        <w:t>In the</w:t>
      </w:r>
      <w:r w:rsidR="009403BF" w:rsidRPr="001558A5">
        <w:rPr>
          <w:szCs w:val="20"/>
          <w:lang w:val="en-US"/>
        </w:rPr>
        <w:t xml:space="preserve"> </w:t>
      </w:r>
      <w:r w:rsidR="00871E19" w:rsidRPr="001558A5">
        <w:rPr>
          <w:i/>
          <w:szCs w:val="20"/>
          <w:lang w:val="en-US"/>
        </w:rPr>
        <w:t>Case of</w:t>
      </w:r>
      <w:r w:rsidR="008F1678" w:rsidRPr="001558A5">
        <w:rPr>
          <w:i/>
          <w:szCs w:val="20"/>
          <w:lang w:val="en-US"/>
        </w:rPr>
        <w:t xml:space="preserve"> </w:t>
      </w:r>
      <w:r w:rsidR="00774B5E" w:rsidRPr="001558A5">
        <w:rPr>
          <w:i/>
          <w:szCs w:val="20"/>
          <w:lang w:val="en-US"/>
        </w:rPr>
        <w:t xml:space="preserve">Vicky </w:t>
      </w:r>
      <w:r w:rsidR="00871E19" w:rsidRPr="001558A5">
        <w:rPr>
          <w:i/>
          <w:szCs w:val="20"/>
          <w:lang w:val="en-US"/>
        </w:rPr>
        <w:t>Hernández et al.</w:t>
      </w:r>
      <w:r w:rsidR="008F1678" w:rsidRPr="001558A5">
        <w:rPr>
          <w:i/>
          <w:szCs w:val="20"/>
          <w:lang w:val="en-US"/>
        </w:rPr>
        <w:t xml:space="preserve"> </w:t>
      </w:r>
      <w:r w:rsidR="00871E19" w:rsidRPr="001558A5">
        <w:rPr>
          <w:i/>
          <w:szCs w:val="20"/>
          <w:lang w:val="en-US"/>
        </w:rPr>
        <w:t>v.</w:t>
      </w:r>
      <w:r w:rsidR="008F1678" w:rsidRPr="001558A5">
        <w:rPr>
          <w:i/>
          <w:szCs w:val="20"/>
          <w:lang w:val="en-US"/>
        </w:rPr>
        <w:t xml:space="preserve"> </w:t>
      </w:r>
      <w:r w:rsidR="006C4DA6" w:rsidRPr="001558A5">
        <w:rPr>
          <w:i/>
          <w:szCs w:val="20"/>
          <w:lang w:val="en-US"/>
        </w:rPr>
        <w:t>Honduras</w:t>
      </w:r>
      <w:r w:rsidR="004B605F" w:rsidRPr="001558A5">
        <w:rPr>
          <w:i/>
          <w:szCs w:val="20"/>
          <w:lang w:val="en-US"/>
        </w:rPr>
        <w:t>,</w:t>
      </w:r>
    </w:p>
    <w:p w14:paraId="48DEE953" w14:textId="77777777" w:rsidR="009403BF" w:rsidRPr="001558A5" w:rsidRDefault="009403BF" w:rsidP="00945CE2">
      <w:pPr>
        <w:ind w:right="-4"/>
        <w:rPr>
          <w:szCs w:val="20"/>
          <w:lang w:val="en-US"/>
        </w:rPr>
      </w:pPr>
    </w:p>
    <w:p w14:paraId="553F4C90" w14:textId="40D5D2C3" w:rsidR="009403BF" w:rsidRPr="001558A5" w:rsidRDefault="00871E19" w:rsidP="00945CE2">
      <w:pPr>
        <w:ind w:right="-4"/>
        <w:rPr>
          <w:szCs w:val="20"/>
          <w:lang w:val="en-US"/>
        </w:rPr>
      </w:pPr>
      <w:proofErr w:type="gramStart"/>
      <w:r w:rsidRPr="001558A5">
        <w:rPr>
          <w:szCs w:val="20"/>
          <w:lang w:val="en-US"/>
        </w:rPr>
        <w:t>the</w:t>
      </w:r>
      <w:proofErr w:type="gramEnd"/>
      <w:r w:rsidRPr="001558A5">
        <w:rPr>
          <w:szCs w:val="20"/>
          <w:lang w:val="en-US"/>
        </w:rPr>
        <w:t xml:space="preserve"> Inter-American Court of Human Rights</w:t>
      </w:r>
      <w:r w:rsidR="009403BF" w:rsidRPr="001558A5">
        <w:rPr>
          <w:szCs w:val="20"/>
          <w:lang w:val="en-US"/>
        </w:rPr>
        <w:t xml:space="preserve"> (</w:t>
      </w:r>
      <w:r w:rsidRPr="001558A5">
        <w:rPr>
          <w:szCs w:val="20"/>
          <w:lang w:val="en-US"/>
        </w:rPr>
        <w:t>hereinafter</w:t>
      </w:r>
      <w:r w:rsidR="009403BF" w:rsidRPr="001558A5">
        <w:rPr>
          <w:szCs w:val="20"/>
          <w:lang w:val="en-US"/>
        </w:rPr>
        <w:t xml:space="preserve"> “</w:t>
      </w:r>
      <w:r w:rsidRPr="001558A5">
        <w:rPr>
          <w:szCs w:val="20"/>
          <w:lang w:val="en-US"/>
        </w:rPr>
        <w:t>the Inter-American Court</w:t>
      </w:r>
      <w:r w:rsidR="009403BF" w:rsidRPr="001558A5">
        <w:rPr>
          <w:szCs w:val="20"/>
          <w:lang w:val="en-US"/>
        </w:rPr>
        <w:t>” o</w:t>
      </w:r>
      <w:r w:rsidR="00DD4354" w:rsidRPr="001558A5">
        <w:rPr>
          <w:szCs w:val="20"/>
          <w:lang w:val="en-US"/>
        </w:rPr>
        <w:t>r</w:t>
      </w:r>
      <w:r w:rsidR="009403BF" w:rsidRPr="001558A5">
        <w:rPr>
          <w:szCs w:val="20"/>
          <w:lang w:val="en-US"/>
        </w:rPr>
        <w:t xml:space="preserve"> “</w:t>
      </w:r>
      <w:r w:rsidRPr="001558A5">
        <w:rPr>
          <w:szCs w:val="20"/>
          <w:lang w:val="en-US"/>
        </w:rPr>
        <w:t>the Court</w:t>
      </w:r>
      <w:r w:rsidR="009403BF" w:rsidRPr="001558A5">
        <w:rPr>
          <w:szCs w:val="20"/>
          <w:lang w:val="en-US"/>
        </w:rPr>
        <w:t xml:space="preserve">”), </w:t>
      </w:r>
      <w:r w:rsidR="00DD4354" w:rsidRPr="001558A5">
        <w:rPr>
          <w:szCs w:val="20"/>
          <w:lang w:val="en-US"/>
        </w:rPr>
        <w:t>composed of the following judges</w:t>
      </w:r>
      <w:r w:rsidR="009403BF" w:rsidRPr="001558A5">
        <w:rPr>
          <w:szCs w:val="20"/>
          <w:lang w:val="en-US"/>
        </w:rPr>
        <w:t>:</w:t>
      </w:r>
    </w:p>
    <w:p w14:paraId="78691EAE" w14:textId="77777777" w:rsidR="009403BF" w:rsidRPr="001558A5" w:rsidRDefault="009403BF" w:rsidP="00945CE2">
      <w:pPr>
        <w:ind w:right="-4"/>
        <w:rPr>
          <w:szCs w:val="20"/>
          <w:lang w:val="en-US"/>
        </w:rPr>
      </w:pPr>
    </w:p>
    <w:p w14:paraId="73CAE867" w14:textId="03FFECCC" w:rsidR="009403BF" w:rsidRPr="001558A5" w:rsidRDefault="008063A7" w:rsidP="00945CE2">
      <w:pPr>
        <w:pStyle w:val="citaindirecta"/>
        <w:ind w:right="-4"/>
        <w:rPr>
          <w:lang w:val="es-CR"/>
        </w:rPr>
      </w:pPr>
      <w:r w:rsidRPr="001558A5">
        <w:rPr>
          <w:lang w:val="es-CR"/>
        </w:rPr>
        <w:t>Elizabeth Odio Benito</w:t>
      </w:r>
      <w:r w:rsidR="009403BF" w:rsidRPr="001558A5">
        <w:rPr>
          <w:lang w:val="es-CR"/>
        </w:rPr>
        <w:t xml:space="preserve">, </w:t>
      </w:r>
      <w:proofErr w:type="spellStart"/>
      <w:r w:rsidR="00871E19" w:rsidRPr="001558A5">
        <w:rPr>
          <w:lang w:val="es-CR"/>
        </w:rPr>
        <w:t>President</w:t>
      </w:r>
      <w:proofErr w:type="spellEnd"/>
    </w:p>
    <w:p w14:paraId="4A42A689" w14:textId="0C2C04A9" w:rsidR="009403BF" w:rsidRPr="001558A5" w:rsidRDefault="008063A7" w:rsidP="00945CE2">
      <w:pPr>
        <w:pStyle w:val="citaindirecta"/>
        <w:ind w:right="-4"/>
        <w:rPr>
          <w:lang w:val="es-CR"/>
        </w:rPr>
      </w:pPr>
      <w:r w:rsidRPr="001558A5">
        <w:rPr>
          <w:lang w:val="es-CR"/>
        </w:rPr>
        <w:t>L. Patricio Pazmiño Freire</w:t>
      </w:r>
      <w:r w:rsidR="0027106F" w:rsidRPr="001558A5">
        <w:rPr>
          <w:lang w:val="es-CR"/>
        </w:rPr>
        <w:t>, Vice</w:t>
      </w:r>
      <w:r w:rsidR="00DD4354" w:rsidRPr="001558A5">
        <w:rPr>
          <w:lang w:val="es-CR"/>
        </w:rPr>
        <w:t xml:space="preserve"> </w:t>
      </w:r>
      <w:proofErr w:type="spellStart"/>
      <w:r w:rsidR="00871E19" w:rsidRPr="001558A5">
        <w:rPr>
          <w:lang w:val="es-CR"/>
        </w:rPr>
        <w:t>President</w:t>
      </w:r>
      <w:proofErr w:type="spellEnd"/>
    </w:p>
    <w:p w14:paraId="4E0DDC30" w14:textId="27BE7F2B" w:rsidR="008063A7" w:rsidRPr="001558A5" w:rsidRDefault="008063A7" w:rsidP="00945CE2">
      <w:pPr>
        <w:pStyle w:val="citaindirecta"/>
        <w:ind w:right="-4"/>
        <w:rPr>
          <w:lang w:val="es-CR"/>
        </w:rPr>
      </w:pPr>
      <w:r w:rsidRPr="001558A5">
        <w:rPr>
          <w:lang w:val="es-CR"/>
        </w:rPr>
        <w:t xml:space="preserve">Eduardo Vio Grossi, </w:t>
      </w:r>
      <w:proofErr w:type="spellStart"/>
      <w:r w:rsidR="00871E19" w:rsidRPr="001558A5">
        <w:rPr>
          <w:lang w:val="es-CR"/>
        </w:rPr>
        <w:t>Judge</w:t>
      </w:r>
      <w:proofErr w:type="spellEnd"/>
    </w:p>
    <w:p w14:paraId="79FBBDFE" w14:textId="52214BD8" w:rsidR="008B75C4" w:rsidRPr="001558A5" w:rsidRDefault="008B75C4" w:rsidP="00945CE2">
      <w:pPr>
        <w:pStyle w:val="citaindirecta"/>
        <w:ind w:right="-4"/>
        <w:rPr>
          <w:lang w:val="es-CR"/>
        </w:rPr>
      </w:pPr>
      <w:r w:rsidRPr="001558A5">
        <w:rPr>
          <w:lang w:val="es-CR"/>
        </w:rPr>
        <w:t xml:space="preserve">Humberto Antonio Sierra Porto, </w:t>
      </w:r>
      <w:proofErr w:type="spellStart"/>
      <w:r w:rsidR="00871E19" w:rsidRPr="001558A5">
        <w:rPr>
          <w:lang w:val="es-CR"/>
        </w:rPr>
        <w:t>Judge</w:t>
      </w:r>
      <w:proofErr w:type="spellEnd"/>
    </w:p>
    <w:p w14:paraId="49B4AC83" w14:textId="62677249" w:rsidR="009403BF" w:rsidRPr="001558A5" w:rsidRDefault="008063A7" w:rsidP="00945CE2">
      <w:pPr>
        <w:pStyle w:val="citaindirecta"/>
        <w:ind w:right="-4"/>
        <w:rPr>
          <w:lang w:val="en-US"/>
        </w:rPr>
      </w:pPr>
      <w:r w:rsidRPr="001558A5">
        <w:rPr>
          <w:lang w:val="en-US"/>
        </w:rPr>
        <w:t>Eduardo Ferrer Mac-</w:t>
      </w:r>
      <w:proofErr w:type="spellStart"/>
      <w:r w:rsidRPr="001558A5">
        <w:rPr>
          <w:lang w:val="en-US"/>
        </w:rPr>
        <w:t>Gregor</w:t>
      </w:r>
      <w:proofErr w:type="spellEnd"/>
      <w:r w:rsidRPr="001558A5">
        <w:rPr>
          <w:lang w:val="en-US"/>
        </w:rPr>
        <w:t xml:space="preserve"> </w:t>
      </w:r>
      <w:proofErr w:type="spellStart"/>
      <w:r w:rsidRPr="001558A5">
        <w:rPr>
          <w:lang w:val="en-US"/>
        </w:rPr>
        <w:t>Poisot</w:t>
      </w:r>
      <w:proofErr w:type="spellEnd"/>
      <w:r w:rsidRPr="001558A5">
        <w:rPr>
          <w:lang w:val="en-US"/>
        </w:rPr>
        <w:t xml:space="preserve">, </w:t>
      </w:r>
      <w:r w:rsidR="00871E19" w:rsidRPr="001558A5">
        <w:rPr>
          <w:lang w:val="en-US"/>
        </w:rPr>
        <w:t>Judge</w:t>
      </w:r>
    </w:p>
    <w:p w14:paraId="601F7051" w14:textId="55152178" w:rsidR="009403BF" w:rsidRPr="001558A5" w:rsidRDefault="008063A7" w:rsidP="00945CE2">
      <w:pPr>
        <w:pStyle w:val="citaindirecta"/>
        <w:ind w:right="-4"/>
        <w:rPr>
          <w:lang w:val="en-US"/>
        </w:rPr>
      </w:pPr>
      <w:r w:rsidRPr="001558A5">
        <w:rPr>
          <w:lang w:val="en-US"/>
        </w:rPr>
        <w:t xml:space="preserve">Eugenio </w:t>
      </w:r>
      <w:proofErr w:type="spellStart"/>
      <w:r w:rsidRPr="001558A5">
        <w:rPr>
          <w:lang w:val="en-US"/>
        </w:rPr>
        <w:t>Raúl</w:t>
      </w:r>
      <w:proofErr w:type="spellEnd"/>
      <w:r w:rsidRPr="001558A5">
        <w:rPr>
          <w:lang w:val="en-US"/>
        </w:rPr>
        <w:t xml:space="preserve"> </w:t>
      </w:r>
      <w:proofErr w:type="spellStart"/>
      <w:r w:rsidRPr="001558A5">
        <w:rPr>
          <w:lang w:val="en-US"/>
        </w:rPr>
        <w:t>Zaffaroni</w:t>
      </w:r>
      <w:proofErr w:type="spellEnd"/>
      <w:r w:rsidRPr="001558A5">
        <w:rPr>
          <w:lang w:val="en-US"/>
        </w:rPr>
        <w:t xml:space="preserve">, </w:t>
      </w:r>
      <w:r w:rsidR="00871E19" w:rsidRPr="001558A5">
        <w:rPr>
          <w:lang w:val="en-US"/>
        </w:rPr>
        <w:t>Judge</w:t>
      </w:r>
      <w:r w:rsidRPr="001558A5">
        <w:rPr>
          <w:lang w:val="en-US"/>
        </w:rPr>
        <w:t xml:space="preserve">, </w:t>
      </w:r>
      <w:r w:rsidR="00DD4354" w:rsidRPr="001558A5">
        <w:rPr>
          <w:lang w:val="en-US"/>
        </w:rPr>
        <w:t>and</w:t>
      </w:r>
    </w:p>
    <w:p w14:paraId="3124CBB0" w14:textId="6235B7E6" w:rsidR="008B75C4" w:rsidRPr="001558A5" w:rsidRDefault="008B75C4" w:rsidP="00945CE2">
      <w:pPr>
        <w:pStyle w:val="citaindirecta"/>
        <w:ind w:right="-4"/>
        <w:rPr>
          <w:lang w:val="en-US"/>
        </w:rPr>
      </w:pPr>
      <w:r w:rsidRPr="001558A5">
        <w:rPr>
          <w:lang w:val="en-US"/>
        </w:rPr>
        <w:t xml:space="preserve">Ricardo Pérez </w:t>
      </w:r>
      <w:proofErr w:type="spellStart"/>
      <w:r w:rsidRPr="001558A5">
        <w:rPr>
          <w:lang w:val="en-US"/>
        </w:rPr>
        <w:t>Manrique</w:t>
      </w:r>
      <w:proofErr w:type="spellEnd"/>
      <w:r w:rsidRPr="001558A5">
        <w:rPr>
          <w:lang w:val="en-US"/>
        </w:rPr>
        <w:t xml:space="preserve">, </w:t>
      </w:r>
      <w:r w:rsidR="00871E19" w:rsidRPr="001558A5">
        <w:rPr>
          <w:lang w:val="en-US"/>
        </w:rPr>
        <w:t>Judge</w:t>
      </w:r>
      <w:r w:rsidRPr="001558A5">
        <w:rPr>
          <w:lang w:val="en-US"/>
        </w:rPr>
        <w:t>;</w:t>
      </w:r>
    </w:p>
    <w:p w14:paraId="6BA6E6DE" w14:textId="77777777" w:rsidR="009403BF" w:rsidRPr="001558A5" w:rsidRDefault="009403BF" w:rsidP="00945CE2">
      <w:pPr>
        <w:ind w:right="-4"/>
        <w:rPr>
          <w:szCs w:val="20"/>
          <w:lang w:val="en-US"/>
        </w:rPr>
      </w:pPr>
    </w:p>
    <w:p w14:paraId="7CF3BADF" w14:textId="7CD7C2E0" w:rsidR="009403BF" w:rsidRPr="001558A5" w:rsidRDefault="00DD4354" w:rsidP="00945CE2">
      <w:pPr>
        <w:ind w:right="-4"/>
        <w:rPr>
          <w:szCs w:val="20"/>
          <w:lang w:val="en-US"/>
        </w:rPr>
      </w:pPr>
      <w:proofErr w:type="gramStart"/>
      <w:r w:rsidRPr="001558A5">
        <w:rPr>
          <w:szCs w:val="20"/>
          <w:lang w:val="en-US"/>
        </w:rPr>
        <w:t>also</w:t>
      </w:r>
      <w:proofErr w:type="gramEnd"/>
      <w:r w:rsidRPr="001558A5">
        <w:rPr>
          <w:szCs w:val="20"/>
          <w:lang w:val="en-US"/>
        </w:rPr>
        <w:t xml:space="preserve"> present</w:t>
      </w:r>
      <w:r w:rsidR="009403BF" w:rsidRPr="001558A5">
        <w:rPr>
          <w:szCs w:val="20"/>
          <w:lang w:val="en-US"/>
        </w:rPr>
        <w:t>,</w:t>
      </w:r>
    </w:p>
    <w:p w14:paraId="2D54F054" w14:textId="77777777" w:rsidR="009403BF" w:rsidRPr="001558A5" w:rsidRDefault="009403BF" w:rsidP="00945CE2">
      <w:pPr>
        <w:ind w:right="-4"/>
        <w:rPr>
          <w:szCs w:val="20"/>
          <w:lang w:val="en-US"/>
        </w:rPr>
      </w:pPr>
    </w:p>
    <w:p w14:paraId="2F102A6B" w14:textId="45B731FB" w:rsidR="00E043D2" w:rsidRPr="001558A5" w:rsidRDefault="009403BF" w:rsidP="00945CE2">
      <w:pPr>
        <w:ind w:right="-4" w:firstLine="708"/>
        <w:rPr>
          <w:szCs w:val="20"/>
          <w:lang w:val="en-US"/>
        </w:rPr>
      </w:pPr>
      <w:r w:rsidRPr="001558A5">
        <w:rPr>
          <w:szCs w:val="20"/>
          <w:lang w:val="en-US"/>
        </w:rPr>
        <w:t>Pablo Sa</w:t>
      </w:r>
      <w:r w:rsidR="008B75C4" w:rsidRPr="001558A5">
        <w:rPr>
          <w:szCs w:val="20"/>
          <w:lang w:val="en-US"/>
        </w:rPr>
        <w:t xml:space="preserve">avedra </w:t>
      </w:r>
      <w:proofErr w:type="spellStart"/>
      <w:r w:rsidR="008B75C4" w:rsidRPr="001558A5">
        <w:rPr>
          <w:szCs w:val="20"/>
          <w:lang w:val="en-US"/>
        </w:rPr>
        <w:t>Alessandri</w:t>
      </w:r>
      <w:proofErr w:type="spellEnd"/>
      <w:r w:rsidR="008B75C4" w:rsidRPr="001558A5">
        <w:rPr>
          <w:szCs w:val="20"/>
          <w:lang w:val="en-US"/>
        </w:rPr>
        <w:t xml:space="preserve">, </w:t>
      </w:r>
      <w:r w:rsidR="00871E19" w:rsidRPr="001558A5">
        <w:rPr>
          <w:szCs w:val="20"/>
          <w:lang w:val="en-US"/>
        </w:rPr>
        <w:t>Secretary</w:t>
      </w:r>
      <w:r w:rsidR="008B75C4" w:rsidRPr="001558A5">
        <w:rPr>
          <w:szCs w:val="20"/>
          <w:lang w:val="en-US"/>
        </w:rPr>
        <w:t>,</w:t>
      </w:r>
      <w:r w:rsidR="00E043D2" w:rsidRPr="001558A5">
        <w:rPr>
          <w:lang w:val="en-US"/>
        </w:rPr>
        <w:t xml:space="preserve"> </w:t>
      </w:r>
      <w:r w:rsidR="00DD4354" w:rsidRPr="001558A5">
        <w:rPr>
          <w:szCs w:val="20"/>
          <w:lang w:val="en-US"/>
        </w:rPr>
        <w:t>and</w:t>
      </w:r>
    </w:p>
    <w:p w14:paraId="2E948EF9" w14:textId="5054B70C" w:rsidR="009403BF" w:rsidRPr="001558A5" w:rsidRDefault="00E043D2" w:rsidP="00945CE2">
      <w:pPr>
        <w:ind w:right="-4" w:firstLine="708"/>
        <w:rPr>
          <w:szCs w:val="20"/>
          <w:lang w:val="en-US"/>
        </w:rPr>
      </w:pPr>
      <w:proofErr w:type="spellStart"/>
      <w:r w:rsidRPr="001558A5">
        <w:rPr>
          <w:szCs w:val="20"/>
          <w:lang w:val="en-US"/>
        </w:rPr>
        <w:t>Romina</w:t>
      </w:r>
      <w:proofErr w:type="spellEnd"/>
      <w:r w:rsidRPr="001558A5">
        <w:rPr>
          <w:szCs w:val="20"/>
          <w:lang w:val="en-US"/>
        </w:rPr>
        <w:t xml:space="preserve"> I. </w:t>
      </w:r>
      <w:proofErr w:type="spellStart"/>
      <w:r w:rsidRPr="001558A5">
        <w:rPr>
          <w:szCs w:val="20"/>
          <w:lang w:val="en-US"/>
        </w:rPr>
        <w:t>Sijniensky</w:t>
      </w:r>
      <w:proofErr w:type="spellEnd"/>
      <w:r w:rsidRPr="001558A5">
        <w:rPr>
          <w:szCs w:val="20"/>
          <w:lang w:val="en-US"/>
        </w:rPr>
        <w:t xml:space="preserve">, </w:t>
      </w:r>
      <w:r w:rsidR="00DD4354" w:rsidRPr="001558A5">
        <w:rPr>
          <w:szCs w:val="20"/>
          <w:lang w:val="en-US"/>
        </w:rPr>
        <w:t xml:space="preserve">Deputy </w:t>
      </w:r>
      <w:r w:rsidR="00871E19" w:rsidRPr="001558A5">
        <w:rPr>
          <w:szCs w:val="20"/>
          <w:lang w:val="en-US"/>
        </w:rPr>
        <w:t>Secretary</w:t>
      </w:r>
      <w:r w:rsidRPr="001558A5">
        <w:rPr>
          <w:szCs w:val="20"/>
          <w:lang w:val="en-US"/>
        </w:rPr>
        <w:t>,</w:t>
      </w:r>
    </w:p>
    <w:p w14:paraId="143DB2BD" w14:textId="77777777" w:rsidR="009403BF" w:rsidRPr="001558A5" w:rsidRDefault="009403BF" w:rsidP="00945CE2">
      <w:pPr>
        <w:ind w:right="-4"/>
        <w:rPr>
          <w:szCs w:val="20"/>
          <w:lang w:val="en-US"/>
        </w:rPr>
      </w:pPr>
    </w:p>
    <w:p w14:paraId="43197D4C" w14:textId="57E17309" w:rsidR="00C32DA9" w:rsidRPr="001558A5" w:rsidRDefault="00DD4354" w:rsidP="00871E19">
      <w:pPr>
        <w:ind w:right="-4"/>
        <w:rPr>
          <w:szCs w:val="20"/>
          <w:lang w:val="en-US"/>
        </w:rPr>
      </w:pPr>
      <w:proofErr w:type="gramStart"/>
      <w:r w:rsidRPr="001558A5">
        <w:rPr>
          <w:szCs w:val="20"/>
          <w:lang w:val="en-US"/>
        </w:rPr>
        <w:t>pursuant</w:t>
      </w:r>
      <w:proofErr w:type="gramEnd"/>
      <w:r w:rsidRPr="001558A5">
        <w:rPr>
          <w:szCs w:val="20"/>
          <w:lang w:val="en-US"/>
        </w:rPr>
        <w:t xml:space="preserve"> to</w:t>
      </w:r>
      <w:r w:rsidR="009403BF" w:rsidRPr="001558A5">
        <w:rPr>
          <w:szCs w:val="20"/>
          <w:lang w:val="en-US"/>
        </w:rPr>
        <w:t xml:space="preserve"> </w:t>
      </w:r>
      <w:r w:rsidR="00871E19" w:rsidRPr="001558A5">
        <w:rPr>
          <w:szCs w:val="20"/>
          <w:lang w:val="en-US"/>
        </w:rPr>
        <w:t>Articles</w:t>
      </w:r>
      <w:r w:rsidR="009403BF" w:rsidRPr="001558A5">
        <w:rPr>
          <w:szCs w:val="20"/>
          <w:lang w:val="en-US"/>
        </w:rPr>
        <w:t xml:space="preserve"> 62</w:t>
      </w:r>
      <w:r w:rsidRPr="001558A5">
        <w:rPr>
          <w:szCs w:val="20"/>
          <w:lang w:val="en-US"/>
        </w:rPr>
        <w:t>(</w:t>
      </w:r>
      <w:r w:rsidR="009403BF" w:rsidRPr="001558A5">
        <w:rPr>
          <w:szCs w:val="20"/>
          <w:lang w:val="en-US"/>
        </w:rPr>
        <w:t>3</w:t>
      </w:r>
      <w:r w:rsidRPr="001558A5">
        <w:rPr>
          <w:szCs w:val="20"/>
          <w:lang w:val="en-US"/>
        </w:rPr>
        <w:t xml:space="preserve">) and 63(1) of the </w:t>
      </w:r>
      <w:r w:rsidR="00871E19" w:rsidRPr="001558A5">
        <w:rPr>
          <w:szCs w:val="20"/>
          <w:lang w:val="en-US"/>
        </w:rPr>
        <w:t>American Convention on Human Rights</w:t>
      </w:r>
      <w:r w:rsidR="009403BF" w:rsidRPr="001558A5">
        <w:rPr>
          <w:szCs w:val="20"/>
          <w:lang w:val="en-US"/>
        </w:rPr>
        <w:t xml:space="preserve"> (</w:t>
      </w:r>
      <w:r w:rsidR="00871E19" w:rsidRPr="001558A5">
        <w:rPr>
          <w:szCs w:val="20"/>
          <w:lang w:val="en-US"/>
        </w:rPr>
        <w:t>hereinafter</w:t>
      </w:r>
      <w:r w:rsidR="009403BF" w:rsidRPr="001558A5">
        <w:rPr>
          <w:szCs w:val="20"/>
          <w:lang w:val="en-US"/>
        </w:rPr>
        <w:t xml:space="preserve"> “</w:t>
      </w:r>
      <w:r w:rsidR="00871E19" w:rsidRPr="001558A5">
        <w:rPr>
          <w:szCs w:val="20"/>
          <w:lang w:val="en-US"/>
        </w:rPr>
        <w:t>the American Convention</w:t>
      </w:r>
      <w:r w:rsidR="009403BF" w:rsidRPr="001558A5">
        <w:rPr>
          <w:szCs w:val="20"/>
          <w:lang w:val="en-US"/>
        </w:rPr>
        <w:t>” o</w:t>
      </w:r>
      <w:r w:rsidRPr="001558A5">
        <w:rPr>
          <w:szCs w:val="20"/>
          <w:lang w:val="en-US"/>
        </w:rPr>
        <w:t>r</w:t>
      </w:r>
      <w:r w:rsidR="009403BF" w:rsidRPr="001558A5">
        <w:rPr>
          <w:szCs w:val="20"/>
          <w:lang w:val="en-US"/>
        </w:rPr>
        <w:t xml:space="preserve"> “</w:t>
      </w:r>
      <w:r w:rsidR="00871E19" w:rsidRPr="001558A5">
        <w:rPr>
          <w:szCs w:val="20"/>
          <w:lang w:val="en-US"/>
        </w:rPr>
        <w:t>the Convention</w:t>
      </w:r>
      <w:r w:rsidR="009403BF" w:rsidRPr="001558A5">
        <w:rPr>
          <w:szCs w:val="20"/>
          <w:lang w:val="en-US"/>
        </w:rPr>
        <w:t xml:space="preserve">”) </w:t>
      </w:r>
      <w:r w:rsidRPr="001558A5">
        <w:rPr>
          <w:szCs w:val="20"/>
          <w:lang w:val="en-US"/>
        </w:rPr>
        <w:t>and</w:t>
      </w:r>
      <w:r w:rsidR="009403BF" w:rsidRPr="001558A5">
        <w:rPr>
          <w:szCs w:val="20"/>
          <w:lang w:val="en-US"/>
        </w:rPr>
        <w:t xml:space="preserve"> </w:t>
      </w:r>
      <w:r w:rsidR="00871E19" w:rsidRPr="001558A5">
        <w:rPr>
          <w:szCs w:val="20"/>
          <w:lang w:val="en-US"/>
        </w:rPr>
        <w:t>Articles</w:t>
      </w:r>
      <w:r w:rsidR="009403BF" w:rsidRPr="001558A5">
        <w:rPr>
          <w:szCs w:val="20"/>
          <w:lang w:val="en-US"/>
        </w:rPr>
        <w:t xml:space="preserve"> 31, 32, 65</w:t>
      </w:r>
      <w:r w:rsidRPr="001558A5">
        <w:rPr>
          <w:szCs w:val="20"/>
          <w:lang w:val="en-US"/>
        </w:rPr>
        <w:t xml:space="preserve"> and </w:t>
      </w:r>
      <w:r w:rsidR="009403BF" w:rsidRPr="001558A5">
        <w:rPr>
          <w:szCs w:val="20"/>
          <w:lang w:val="en-US"/>
        </w:rPr>
        <w:t>67</w:t>
      </w:r>
      <w:r w:rsidRPr="001558A5">
        <w:rPr>
          <w:szCs w:val="20"/>
          <w:lang w:val="en-US"/>
        </w:rPr>
        <w:t xml:space="preserve"> of the </w:t>
      </w:r>
      <w:r w:rsidR="00871E19" w:rsidRPr="001558A5">
        <w:rPr>
          <w:szCs w:val="20"/>
          <w:lang w:val="en-US"/>
        </w:rPr>
        <w:t>Rules of Procedure</w:t>
      </w:r>
      <w:r w:rsidRPr="001558A5">
        <w:rPr>
          <w:szCs w:val="20"/>
          <w:lang w:val="en-US"/>
        </w:rPr>
        <w:t xml:space="preserve"> of the </w:t>
      </w:r>
      <w:r w:rsidR="00871E19" w:rsidRPr="001558A5">
        <w:rPr>
          <w:szCs w:val="20"/>
          <w:lang w:val="en-US"/>
        </w:rPr>
        <w:t>Court</w:t>
      </w:r>
      <w:r w:rsidR="009403BF" w:rsidRPr="001558A5">
        <w:rPr>
          <w:szCs w:val="20"/>
          <w:lang w:val="en-US"/>
        </w:rPr>
        <w:t xml:space="preserve"> (</w:t>
      </w:r>
      <w:r w:rsidR="00871E19" w:rsidRPr="001558A5">
        <w:rPr>
          <w:szCs w:val="20"/>
          <w:lang w:val="en-US"/>
        </w:rPr>
        <w:t>hereinafter</w:t>
      </w:r>
      <w:r w:rsidR="009403BF" w:rsidRPr="001558A5">
        <w:rPr>
          <w:szCs w:val="20"/>
          <w:lang w:val="en-US"/>
        </w:rPr>
        <w:t xml:space="preserve"> </w:t>
      </w:r>
      <w:r w:rsidRPr="001558A5">
        <w:rPr>
          <w:szCs w:val="20"/>
          <w:lang w:val="en-US"/>
        </w:rPr>
        <w:t>also</w:t>
      </w:r>
      <w:r w:rsidR="009403BF" w:rsidRPr="001558A5">
        <w:rPr>
          <w:szCs w:val="20"/>
          <w:lang w:val="en-US"/>
        </w:rPr>
        <w:t xml:space="preserve"> “</w:t>
      </w:r>
      <w:r w:rsidR="00871E19" w:rsidRPr="001558A5">
        <w:rPr>
          <w:szCs w:val="20"/>
          <w:lang w:val="en-US"/>
        </w:rPr>
        <w:t>the Rules of Procedure</w:t>
      </w:r>
      <w:r w:rsidR="009403BF" w:rsidRPr="001558A5">
        <w:rPr>
          <w:szCs w:val="20"/>
          <w:lang w:val="en-US"/>
        </w:rPr>
        <w:t xml:space="preserve">”), </w:t>
      </w:r>
      <w:r w:rsidRPr="001558A5">
        <w:rPr>
          <w:szCs w:val="20"/>
          <w:lang w:val="en-US"/>
        </w:rPr>
        <w:t>delivers this judgment structured as follows:</w:t>
      </w:r>
    </w:p>
    <w:p w14:paraId="7CDEB526" w14:textId="77777777" w:rsidR="00F73A14" w:rsidRPr="001558A5" w:rsidRDefault="00F73A14" w:rsidP="00945CE2">
      <w:pPr>
        <w:spacing w:after="200" w:line="276" w:lineRule="auto"/>
        <w:jc w:val="left"/>
        <w:rPr>
          <w:rFonts w:eastAsia="Times New Roman" w:cs="Verdana"/>
          <w:b/>
          <w:bCs/>
          <w:caps/>
          <w:snapToGrid w:val="0"/>
          <w:szCs w:val="20"/>
          <w:lang w:val="en-US" w:eastAsia="es-ES"/>
        </w:rPr>
      </w:pPr>
      <w:bookmarkStart w:id="1" w:name="_Toc369989729"/>
      <w:bookmarkStart w:id="2" w:name="_Toc438132269"/>
      <w:bookmarkStart w:id="3" w:name="_Toc288744729"/>
      <w:bookmarkStart w:id="4" w:name="_Toc486693351"/>
      <w:bookmarkStart w:id="5" w:name="_Toc486842767"/>
      <w:bookmarkStart w:id="6" w:name="_Toc486842905"/>
      <w:bookmarkStart w:id="7" w:name="_Toc11166262"/>
      <w:r w:rsidRPr="001558A5">
        <w:rPr>
          <w:lang w:val="en-US"/>
        </w:rPr>
        <w:br w:type="page"/>
      </w:r>
    </w:p>
    <w:p w14:paraId="63E635C5" w14:textId="6DC16DF1" w:rsidR="007914C4" w:rsidRPr="001558A5" w:rsidRDefault="00871E19" w:rsidP="00945CE2">
      <w:pPr>
        <w:jc w:val="center"/>
        <w:rPr>
          <w:b/>
          <w:i/>
          <w:smallCaps/>
          <w:szCs w:val="20"/>
          <w:lang w:val="en-US" w:eastAsia="es-ES"/>
        </w:rPr>
      </w:pPr>
      <w:r w:rsidRPr="001558A5">
        <w:rPr>
          <w:rFonts w:cs="Verdana Bold"/>
          <w:b/>
          <w:bCs/>
          <w:i/>
          <w:caps/>
          <w:szCs w:val="20"/>
          <w:lang w:val="en-US"/>
        </w:rPr>
        <w:lastRenderedPageBreak/>
        <w:t>Case of</w:t>
      </w:r>
      <w:r w:rsidR="008063A7" w:rsidRPr="001558A5">
        <w:rPr>
          <w:rFonts w:cs="Verdana Bold"/>
          <w:b/>
          <w:bCs/>
          <w:i/>
          <w:caps/>
          <w:szCs w:val="20"/>
          <w:lang w:val="en-US"/>
        </w:rPr>
        <w:t xml:space="preserve"> </w:t>
      </w:r>
      <w:r w:rsidR="00C77836" w:rsidRPr="001558A5">
        <w:rPr>
          <w:rFonts w:cs="Verdana Bold"/>
          <w:b/>
          <w:bCs/>
          <w:i/>
          <w:caps/>
          <w:szCs w:val="20"/>
          <w:lang w:val="en-US"/>
        </w:rPr>
        <w:t xml:space="preserve">Vicky </w:t>
      </w:r>
      <w:r w:rsidRPr="001558A5">
        <w:rPr>
          <w:rFonts w:cs="Verdana Bold"/>
          <w:b/>
          <w:bCs/>
          <w:i/>
          <w:caps/>
          <w:szCs w:val="20"/>
          <w:lang w:val="en-US"/>
        </w:rPr>
        <w:t>Hernández et al.</w:t>
      </w:r>
      <w:r w:rsidR="007914C4" w:rsidRPr="001558A5">
        <w:rPr>
          <w:rFonts w:cs="Verdana Bold"/>
          <w:b/>
          <w:bCs/>
          <w:i/>
          <w:caps/>
          <w:szCs w:val="20"/>
          <w:lang w:val="en-US"/>
        </w:rPr>
        <w:t xml:space="preserve"> </w:t>
      </w:r>
      <w:r w:rsidRPr="001558A5">
        <w:rPr>
          <w:rFonts w:cs="Verdana Bold"/>
          <w:b/>
          <w:bCs/>
          <w:i/>
          <w:caps/>
          <w:szCs w:val="20"/>
          <w:lang w:val="en-US"/>
        </w:rPr>
        <w:t>v</w:t>
      </w:r>
      <w:r w:rsidR="007914C4" w:rsidRPr="001558A5">
        <w:rPr>
          <w:rFonts w:cs="Verdana Bold"/>
          <w:b/>
          <w:bCs/>
          <w:i/>
          <w:caps/>
          <w:szCs w:val="20"/>
          <w:lang w:val="en-US"/>
        </w:rPr>
        <w:t xml:space="preserve">. </w:t>
      </w:r>
      <w:r w:rsidR="00C77836" w:rsidRPr="001558A5">
        <w:rPr>
          <w:rFonts w:cs="Verdana Bold"/>
          <w:b/>
          <w:bCs/>
          <w:i/>
          <w:caps/>
          <w:szCs w:val="20"/>
          <w:lang w:val="en-US"/>
        </w:rPr>
        <w:t>honduras</w:t>
      </w:r>
    </w:p>
    <w:p w14:paraId="3CDC20E1" w14:textId="77777777" w:rsidR="007914C4" w:rsidRPr="001558A5" w:rsidRDefault="007914C4" w:rsidP="00945CE2">
      <w:pPr>
        <w:rPr>
          <w:lang w:val="en-US" w:eastAsia="ja-JP"/>
        </w:rPr>
      </w:pPr>
    </w:p>
    <w:sdt>
      <w:sdtPr>
        <w:rPr>
          <w:b/>
          <w:lang w:val="en-US"/>
        </w:rPr>
        <w:id w:val="219566276"/>
        <w:docPartObj>
          <w:docPartGallery w:val="Table of Contents"/>
          <w:docPartUnique/>
        </w:docPartObj>
      </w:sdtPr>
      <w:sdtEndPr>
        <w:rPr>
          <w:bCs/>
        </w:rPr>
      </w:sdtEndPr>
      <w:sdtContent>
        <w:p w14:paraId="1AECA0F2" w14:textId="727D36D6" w:rsidR="007914C4" w:rsidRPr="001558A5" w:rsidRDefault="00871E19" w:rsidP="00945CE2">
          <w:pPr>
            <w:spacing w:after="200" w:line="276" w:lineRule="auto"/>
            <w:jc w:val="center"/>
            <w:rPr>
              <w:b/>
              <w:lang w:val="en-US"/>
            </w:rPr>
          </w:pPr>
          <w:r w:rsidRPr="001558A5">
            <w:rPr>
              <w:b/>
              <w:lang w:val="en-US"/>
            </w:rPr>
            <w:t>Table of contents</w:t>
          </w:r>
        </w:p>
        <w:p w14:paraId="43BBDEC2" w14:textId="22EBE410" w:rsidR="00C02388" w:rsidRPr="001558A5" w:rsidRDefault="007914C4" w:rsidP="00156651">
          <w:pPr>
            <w:pStyle w:val="TDC1"/>
            <w:tabs>
              <w:tab w:val="clear" w:pos="9072"/>
              <w:tab w:val="right" w:leader="dot" w:pos="9167"/>
            </w:tabs>
            <w:rPr>
              <w:rFonts w:asciiTheme="minorHAnsi" w:eastAsiaTheme="minorEastAsia" w:hAnsiTheme="minorHAnsi" w:cstheme="minorBidi"/>
              <w:b w:val="0"/>
              <w:noProof/>
              <w:sz w:val="24"/>
              <w:lang w:val="en-US" w:eastAsia="es-MX"/>
            </w:rPr>
          </w:pPr>
          <w:r w:rsidRPr="001558A5">
            <w:rPr>
              <w:bCs/>
              <w:lang w:val="en-US"/>
            </w:rPr>
            <w:fldChar w:fldCharType="begin"/>
          </w:r>
          <w:r w:rsidRPr="001558A5">
            <w:rPr>
              <w:bCs/>
              <w:lang w:val="en-US"/>
            </w:rPr>
            <w:instrText xml:space="preserve"> TOC \o "1-3" \h \z \u </w:instrText>
          </w:r>
          <w:r w:rsidRPr="001558A5">
            <w:rPr>
              <w:bCs/>
              <w:lang w:val="en-US"/>
            </w:rPr>
            <w:fldChar w:fldCharType="separate"/>
          </w:r>
          <w:hyperlink w:anchor="_Toc73430032" w:history="1">
            <w:r w:rsidR="00C02388" w:rsidRPr="001558A5">
              <w:rPr>
                <w:rStyle w:val="Hipervnculo"/>
                <w:noProof/>
                <w:lang w:val="en-US"/>
              </w:rPr>
              <w:t xml:space="preserve">I. </w:t>
            </w:r>
            <w:r w:rsidR="00871E19" w:rsidRPr="001558A5">
              <w:rPr>
                <w:rStyle w:val="Hipervnculo"/>
                <w:noProof/>
                <w:lang w:val="en-US"/>
              </w:rPr>
              <w:t>INTRODUCTION OF THE CASE AND PURPOSE OF THE DISPUTE</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_Toc73430032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4</w:t>
            </w:r>
            <w:r w:rsidR="00C02388" w:rsidRPr="001558A5">
              <w:rPr>
                <w:noProof/>
                <w:webHidden/>
                <w:lang w:val="en-US"/>
              </w:rPr>
              <w:fldChar w:fldCharType="end"/>
            </w:r>
          </w:hyperlink>
        </w:p>
        <w:p w14:paraId="195D801C" w14:textId="49BBED6C" w:rsidR="00C02388" w:rsidRPr="001558A5" w:rsidRDefault="00547BDC" w:rsidP="00156651">
          <w:pPr>
            <w:pStyle w:val="TDC1"/>
            <w:tabs>
              <w:tab w:val="clear" w:pos="9072"/>
              <w:tab w:val="right" w:leader="dot" w:pos="9167"/>
            </w:tabs>
            <w:rPr>
              <w:rFonts w:asciiTheme="minorHAnsi" w:eastAsiaTheme="minorEastAsia" w:hAnsiTheme="minorHAnsi" w:cstheme="minorBidi"/>
              <w:b w:val="0"/>
              <w:noProof/>
              <w:sz w:val="24"/>
              <w:lang w:val="en-US" w:eastAsia="es-MX"/>
            </w:rPr>
          </w:pPr>
          <w:hyperlink w:anchor="_Toc73430033" w:history="1">
            <w:r w:rsidR="00C02388" w:rsidRPr="001558A5">
              <w:rPr>
                <w:rStyle w:val="Hipervnculo"/>
                <w:noProof/>
                <w:lang w:val="en-US"/>
              </w:rPr>
              <w:t xml:space="preserve">II. </w:t>
            </w:r>
            <w:r w:rsidR="00871E19" w:rsidRPr="001558A5">
              <w:rPr>
                <w:rStyle w:val="Hipervnculo"/>
                <w:noProof/>
                <w:lang w:val="en-US"/>
              </w:rPr>
              <w:t>PROCEEDINGS BEFORE</w:t>
            </w:r>
            <w:r w:rsidR="00C02388" w:rsidRPr="001558A5">
              <w:rPr>
                <w:rStyle w:val="Hipervnculo"/>
                <w:noProof/>
                <w:lang w:val="en-US"/>
              </w:rPr>
              <w:t xml:space="preserve"> </w:t>
            </w:r>
            <w:r w:rsidR="00871E19" w:rsidRPr="001558A5">
              <w:rPr>
                <w:rStyle w:val="Hipervnculo"/>
                <w:noProof/>
                <w:lang w:val="en-US"/>
              </w:rPr>
              <w:t>THE COURT</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_Toc73430033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5</w:t>
            </w:r>
            <w:r w:rsidR="00C02388" w:rsidRPr="001558A5">
              <w:rPr>
                <w:noProof/>
                <w:webHidden/>
                <w:lang w:val="en-US"/>
              </w:rPr>
              <w:fldChar w:fldCharType="end"/>
            </w:r>
          </w:hyperlink>
        </w:p>
        <w:p w14:paraId="33087E86" w14:textId="1E5938EF" w:rsidR="00C02388" w:rsidRPr="001558A5" w:rsidRDefault="00547BDC" w:rsidP="00156651">
          <w:pPr>
            <w:pStyle w:val="TDC1"/>
            <w:tabs>
              <w:tab w:val="clear" w:pos="9072"/>
              <w:tab w:val="right" w:leader="dot" w:pos="9167"/>
            </w:tabs>
            <w:rPr>
              <w:rFonts w:asciiTheme="minorHAnsi" w:eastAsiaTheme="minorEastAsia" w:hAnsiTheme="minorHAnsi" w:cstheme="minorBidi"/>
              <w:b w:val="0"/>
              <w:noProof/>
              <w:sz w:val="24"/>
              <w:lang w:val="en-US" w:eastAsia="es-MX"/>
            </w:rPr>
          </w:pPr>
          <w:hyperlink w:anchor="_Toc73430034" w:history="1">
            <w:r w:rsidR="00C02388" w:rsidRPr="001558A5">
              <w:rPr>
                <w:rStyle w:val="Hipervnculo"/>
                <w:noProof/>
                <w:lang w:val="en-US"/>
              </w:rPr>
              <w:t xml:space="preserve">III. </w:t>
            </w:r>
            <w:r w:rsidR="00871E19" w:rsidRPr="001558A5">
              <w:rPr>
                <w:rStyle w:val="Hipervnculo"/>
                <w:noProof/>
                <w:lang w:val="en-US"/>
              </w:rPr>
              <w:t>JURISDICTION</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_Toc73430034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8</w:t>
            </w:r>
            <w:r w:rsidR="00C02388" w:rsidRPr="001558A5">
              <w:rPr>
                <w:noProof/>
                <w:webHidden/>
                <w:lang w:val="en-US"/>
              </w:rPr>
              <w:fldChar w:fldCharType="end"/>
            </w:r>
          </w:hyperlink>
        </w:p>
        <w:p w14:paraId="67EAB80A" w14:textId="2E2CCE15" w:rsidR="00C02388" w:rsidRPr="001558A5" w:rsidRDefault="00547BDC" w:rsidP="00156651">
          <w:pPr>
            <w:pStyle w:val="TDC1"/>
            <w:tabs>
              <w:tab w:val="clear" w:pos="9072"/>
              <w:tab w:val="right" w:leader="dot" w:pos="9167"/>
            </w:tabs>
            <w:rPr>
              <w:rFonts w:asciiTheme="minorHAnsi" w:eastAsiaTheme="minorEastAsia" w:hAnsiTheme="minorHAnsi" w:cstheme="minorBidi"/>
              <w:b w:val="0"/>
              <w:noProof/>
              <w:sz w:val="24"/>
              <w:lang w:val="en-US" w:eastAsia="es-MX"/>
            </w:rPr>
          </w:pPr>
          <w:hyperlink w:anchor="_Toc73430035" w:history="1">
            <w:r w:rsidR="00C02388" w:rsidRPr="001558A5">
              <w:rPr>
                <w:rStyle w:val="Hipervnculo"/>
                <w:noProof/>
                <w:lang w:val="en-US"/>
              </w:rPr>
              <w:t xml:space="preserve">IV. </w:t>
            </w:r>
            <w:r w:rsidR="00871E19" w:rsidRPr="001558A5">
              <w:rPr>
                <w:rStyle w:val="Hipervnculo"/>
                <w:noProof/>
                <w:lang w:val="en-US"/>
              </w:rPr>
              <w:t>ACKNOWLEDGEMENT OF RESPONSIBILITY</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_Toc73430035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8</w:t>
            </w:r>
            <w:r w:rsidR="00C02388" w:rsidRPr="001558A5">
              <w:rPr>
                <w:noProof/>
                <w:webHidden/>
                <w:lang w:val="en-US"/>
              </w:rPr>
              <w:fldChar w:fldCharType="end"/>
            </w:r>
          </w:hyperlink>
        </w:p>
        <w:p w14:paraId="32A33DE9" w14:textId="1991E8B6"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36" w:history="1">
            <w:r w:rsidR="00C02388" w:rsidRPr="001558A5">
              <w:rPr>
                <w:rStyle w:val="Hipervnculo"/>
                <w:i/>
                <w:noProof/>
                <w:lang w:val="en-US"/>
              </w:rPr>
              <w:t>A.</w:t>
            </w:r>
            <w:r w:rsidR="00C02388" w:rsidRPr="001558A5">
              <w:rPr>
                <w:rFonts w:asciiTheme="minorHAnsi" w:eastAsiaTheme="minorEastAsia" w:hAnsiTheme="minorHAnsi" w:cstheme="minorBidi"/>
                <w:noProof/>
                <w:sz w:val="24"/>
                <w:lang w:val="en-US" w:eastAsia="es-MX"/>
              </w:rPr>
              <w:tab/>
            </w:r>
            <w:r w:rsidR="00DD4354" w:rsidRPr="001558A5">
              <w:rPr>
                <w:rStyle w:val="Hipervnculo"/>
                <w:i/>
                <w:noProof/>
                <w:lang w:val="en-US"/>
              </w:rPr>
              <w:t>Acknowledgement by the State</w:t>
            </w:r>
            <w:r w:rsidR="000F74E0" w:rsidRPr="001558A5">
              <w:rPr>
                <w:rStyle w:val="Hipervnculo"/>
                <w:i/>
                <w:noProof/>
                <w:lang w:val="en-US"/>
              </w:rPr>
              <w:t xml:space="preserve"> and</w:t>
            </w:r>
            <w:r w:rsidR="00C02388" w:rsidRPr="001558A5">
              <w:rPr>
                <w:rStyle w:val="Hipervnculo"/>
                <w:i/>
                <w:noProof/>
                <w:lang w:val="en-US"/>
              </w:rPr>
              <w:t xml:space="preserve"> </w:t>
            </w:r>
            <w:r w:rsidR="00871E19" w:rsidRPr="001558A5">
              <w:rPr>
                <w:rStyle w:val="Hipervnculo"/>
                <w:i/>
                <w:noProof/>
                <w:lang w:val="en-US"/>
              </w:rPr>
              <w:t>observations</w:t>
            </w:r>
            <w:r w:rsidR="00DD4354" w:rsidRPr="001558A5">
              <w:rPr>
                <w:rStyle w:val="Hipervnculo"/>
                <w:i/>
                <w:noProof/>
                <w:lang w:val="en-US"/>
              </w:rPr>
              <w:t xml:space="preserve"> of the representatives and </w:t>
            </w:r>
            <w:r w:rsidR="00871E19" w:rsidRPr="001558A5">
              <w:rPr>
                <w:rStyle w:val="Hipervnculo"/>
                <w:i/>
                <w:noProof/>
                <w:lang w:val="en-US"/>
              </w:rPr>
              <w:t>the Commission</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_Toc73430036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8</w:t>
            </w:r>
            <w:r w:rsidR="00C02388" w:rsidRPr="001558A5">
              <w:rPr>
                <w:noProof/>
                <w:webHidden/>
                <w:lang w:val="en-US"/>
              </w:rPr>
              <w:fldChar w:fldCharType="end"/>
            </w:r>
          </w:hyperlink>
        </w:p>
        <w:p w14:paraId="3B8AEB29" w14:textId="0EEE6265"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37" w:history="1">
            <w:r w:rsidR="00C02388" w:rsidRPr="001558A5">
              <w:rPr>
                <w:rStyle w:val="Hipervnculo"/>
                <w:i/>
                <w:noProof/>
                <w:lang w:val="en-US"/>
              </w:rPr>
              <w:t>B.</w:t>
            </w:r>
            <w:r w:rsidR="00C02388" w:rsidRPr="001558A5">
              <w:rPr>
                <w:rFonts w:asciiTheme="minorHAnsi" w:eastAsiaTheme="minorEastAsia" w:hAnsiTheme="minorHAnsi" w:cstheme="minorBidi"/>
                <w:noProof/>
                <w:sz w:val="24"/>
                <w:lang w:val="en-US" w:eastAsia="es-MX"/>
              </w:rPr>
              <w:tab/>
            </w:r>
            <w:r w:rsidR="00871E19" w:rsidRPr="001558A5">
              <w:rPr>
                <w:rStyle w:val="Hipervnculo"/>
                <w:i/>
                <w:noProof/>
                <w:lang w:val="en-US"/>
              </w:rPr>
              <w:t>Considerations</w:t>
            </w:r>
            <w:r w:rsidR="00DD4354" w:rsidRPr="001558A5">
              <w:rPr>
                <w:rStyle w:val="Hipervnculo"/>
                <w:i/>
                <w:noProof/>
                <w:lang w:val="en-US"/>
              </w:rPr>
              <w:t xml:space="preserve"> of the </w:t>
            </w:r>
            <w:r w:rsidR="00871E19" w:rsidRPr="001558A5">
              <w:rPr>
                <w:rStyle w:val="Hipervnculo"/>
                <w:i/>
                <w:noProof/>
                <w:lang w:val="en-US"/>
              </w:rPr>
              <w:t>Court</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_Toc73430037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8</w:t>
            </w:r>
            <w:r w:rsidR="00C02388" w:rsidRPr="001558A5">
              <w:rPr>
                <w:noProof/>
                <w:webHidden/>
                <w:lang w:val="en-US"/>
              </w:rPr>
              <w:fldChar w:fldCharType="end"/>
            </w:r>
          </w:hyperlink>
        </w:p>
        <w:p w14:paraId="5B6C63BA" w14:textId="0993CA5D" w:rsidR="00C02388" w:rsidRPr="001558A5" w:rsidRDefault="00547BDC" w:rsidP="003A3662">
          <w:pPr>
            <w:pStyle w:val="TDC3"/>
            <w:rPr>
              <w:rFonts w:asciiTheme="minorHAnsi" w:eastAsiaTheme="minorEastAsia" w:hAnsiTheme="minorHAnsi" w:cstheme="minorBidi"/>
              <w:noProof/>
              <w:sz w:val="24"/>
              <w:lang w:val="en-US" w:eastAsia="es-MX"/>
            </w:rPr>
          </w:pPr>
          <w:hyperlink w:anchor="_Toc73430038" w:history="1">
            <w:r w:rsidR="00C02388" w:rsidRPr="001558A5">
              <w:rPr>
                <w:rStyle w:val="Hipervnculo"/>
                <w:noProof/>
                <w:snapToGrid w:val="0"/>
                <w:spacing w:val="-2"/>
                <w:lang w:val="en-US" w:eastAsia="es-ES"/>
              </w:rPr>
              <w:t xml:space="preserve">B.1. </w:t>
            </w:r>
            <w:r w:rsidR="003A3662" w:rsidRPr="001558A5">
              <w:rPr>
                <w:rStyle w:val="Hipervnculo"/>
                <w:noProof/>
                <w:snapToGrid w:val="0"/>
                <w:spacing w:val="-2"/>
                <w:lang w:val="en-US" w:eastAsia="es-ES"/>
              </w:rPr>
              <w:t>T</w:t>
            </w:r>
            <w:r w:rsidR="00B43A52" w:rsidRPr="001558A5">
              <w:rPr>
                <w:rStyle w:val="Hipervnculo"/>
                <w:noProof/>
                <w:snapToGrid w:val="0"/>
                <w:spacing w:val="-2"/>
                <w:lang w:val="en-US" w:eastAsia="es-ES"/>
              </w:rPr>
              <w:t>he fact</w:t>
            </w:r>
            <w:r w:rsidR="00DE5B17" w:rsidRPr="001558A5">
              <w:rPr>
                <w:rStyle w:val="Hipervnculo"/>
                <w:noProof/>
                <w:snapToGrid w:val="0"/>
                <w:spacing w:val="-2"/>
                <w:lang w:val="en-US" w:eastAsia="es-ES"/>
              </w:rPr>
              <w:t>s</w:t>
            </w:r>
            <w:r w:rsidR="00DE5B17" w:rsidRPr="001558A5">
              <w:rPr>
                <w:noProof/>
                <w:webHidden/>
                <w:lang w:val="en-US"/>
              </w:rPr>
              <w:tab/>
            </w:r>
            <w:r w:rsidR="00DE5B17"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_Toc73430038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9</w:t>
            </w:r>
            <w:r w:rsidR="00C02388" w:rsidRPr="001558A5">
              <w:rPr>
                <w:noProof/>
                <w:webHidden/>
                <w:lang w:val="en-US"/>
              </w:rPr>
              <w:fldChar w:fldCharType="end"/>
            </w:r>
          </w:hyperlink>
        </w:p>
        <w:p w14:paraId="683ABC9F" w14:textId="633A425F" w:rsidR="00C02388" w:rsidRPr="001558A5" w:rsidRDefault="00547BDC" w:rsidP="003A3662">
          <w:pPr>
            <w:pStyle w:val="TDC3"/>
            <w:rPr>
              <w:rFonts w:asciiTheme="minorHAnsi" w:eastAsiaTheme="minorEastAsia" w:hAnsiTheme="minorHAnsi" w:cstheme="minorBidi"/>
              <w:noProof/>
              <w:sz w:val="24"/>
              <w:lang w:val="en-US" w:eastAsia="es-MX"/>
            </w:rPr>
          </w:pPr>
          <w:hyperlink w:anchor="_Toc73430039" w:history="1">
            <w:r w:rsidR="00C02388" w:rsidRPr="001558A5">
              <w:rPr>
                <w:rStyle w:val="Hipervnculo"/>
                <w:noProof/>
                <w:snapToGrid w:val="0"/>
                <w:spacing w:val="-2"/>
                <w:lang w:val="en-US" w:eastAsia="es-ES"/>
              </w:rPr>
              <w:t xml:space="preserve">B.2. </w:t>
            </w:r>
            <w:r w:rsidR="003A3662" w:rsidRPr="001558A5">
              <w:rPr>
                <w:rStyle w:val="Hipervnculo"/>
                <w:noProof/>
                <w:snapToGrid w:val="0"/>
                <w:spacing w:val="-2"/>
                <w:lang w:val="en-US" w:eastAsia="es-ES"/>
              </w:rPr>
              <w:t>T</w:t>
            </w:r>
            <w:r w:rsidR="00B43A52" w:rsidRPr="001558A5">
              <w:rPr>
                <w:rStyle w:val="Hipervnculo"/>
                <w:noProof/>
                <w:snapToGrid w:val="0"/>
                <w:spacing w:val="-2"/>
                <w:lang w:val="en-US" w:eastAsia="es-ES"/>
              </w:rPr>
              <w:t>he legal claims</w:t>
            </w:r>
            <w:r w:rsidR="00C02388" w:rsidRPr="001558A5">
              <w:rPr>
                <w:noProof/>
                <w:webHidden/>
                <w:lang w:val="en-US"/>
              </w:rPr>
              <w:tab/>
            </w:r>
            <w:r w:rsidR="00DE5B17"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_Toc73430039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9</w:t>
            </w:r>
            <w:r w:rsidR="00C02388" w:rsidRPr="001558A5">
              <w:rPr>
                <w:noProof/>
                <w:webHidden/>
                <w:lang w:val="en-US"/>
              </w:rPr>
              <w:fldChar w:fldCharType="end"/>
            </w:r>
          </w:hyperlink>
        </w:p>
        <w:p w14:paraId="306308BD" w14:textId="423DE930" w:rsidR="00C02388" w:rsidRPr="001558A5" w:rsidRDefault="00547BDC" w:rsidP="003A3662">
          <w:pPr>
            <w:pStyle w:val="TDC3"/>
            <w:rPr>
              <w:rFonts w:asciiTheme="minorHAnsi" w:eastAsiaTheme="minorEastAsia" w:hAnsiTheme="minorHAnsi" w:cstheme="minorBidi"/>
              <w:noProof/>
              <w:sz w:val="24"/>
              <w:lang w:val="en-US" w:eastAsia="es-MX"/>
            </w:rPr>
          </w:pPr>
          <w:hyperlink w:anchor="_Toc73430040" w:history="1">
            <w:r w:rsidR="00C02388" w:rsidRPr="001558A5">
              <w:rPr>
                <w:rStyle w:val="Hipervnculo"/>
                <w:noProof/>
                <w:snapToGrid w:val="0"/>
                <w:spacing w:val="-2"/>
                <w:lang w:val="en-US" w:eastAsia="es-ES"/>
              </w:rPr>
              <w:t xml:space="preserve">B.3. </w:t>
            </w:r>
            <w:r w:rsidR="003A3662" w:rsidRPr="001558A5">
              <w:rPr>
                <w:rStyle w:val="Hipervnculo"/>
                <w:noProof/>
                <w:snapToGrid w:val="0"/>
                <w:spacing w:val="-2"/>
                <w:lang w:val="en-US" w:eastAsia="es-ES"/>
              </w:rPr>
              <w:t>R</w:t>
            </w:r>
            <w:r w:rsidR="00973D19" w:rsidRPr="001558A5">
              <w:rPr>
                <w:rStyle w:val="Hipervnculo"/>
                <w:noProof/>
                <w:snapToGrid w:val="0"/>
                <w:spacing w:val="-2"/>
                <w:lang w:val="en-US" w:eastAsia="es-ES"/>
              </w:rPr>
              <w:t>eparations</w:t>
            </w:r>
            <w:r w:rsidR="00C02388" w:rsidRPr="001558A5">
              <w:rPr>
                <w:noProof/>
                <w:webHidden/>
                <w:lang w:val="en-US"/>
              </w:rPr>
              <w:tab/>
            </w:r>
            <w:r w:rsidR="00DE5B17" w:rsidRPr="001558A5">
              <w:rPr>
                <w:noProof/>
                <w:webHidden/>
                <w:lang w:val="en-US"/>
              </w:rPr>
              <w:tab/>
              <w:t>9</w:t>
            </w:r>
          </w:hyperlink>
        </w:p>
        <w:p w14:paraId="6253007E" w14:textId="7AF87612" w:rsidR="00C02388" w:rsidRPr="001558A5" w:rsidRDefault="00547BDC" w:rsidP="003A3662">
          <w:pPr>
            <w:pStyle w:val="TDC3"/>
            <w:rPr>
              <w:rFonts w:asciiTheme="minorHAnsi" w:eastAsiaTheme="minorEastAsia" w:hAnsiTheme="minorHAnsi" w:cstheme="minorBidi"/>
              <w:noProof/>
              <w:sz w:val="24"/>
              <w:lang w:val="en-US" w:eastAsia="es-MX"/>
            </w:rPr>
          </w:pPr>
          <w:hyperlink w:anchor="_Toc73430041" w:history="1">
            <w:r w:rsidR="00C02388" w:rsidRPr="001558A5">
              <w:rPr>
                <w:rStyle w:val="Hipervnculo"/>
                <w:noProof/>
                <w:snapToGrid w:val="0"/>
                <w:spacing w:val="-2"/>
                <w:lang w:val="en-US" w:eastAsia="es-ES"/>
              </w:rPr>
              <w:t xml:space="preserve">B.4. </w:t>
            </w:r>
            <w:r w:rsidR="00973D19" w:rsidRPr="001558A5">
              <w:rPr>
                <w:rStyle w:val="Hipervnculo"/>
                <w:noProof/>
                <w:snapToGrid w:val="0"/>
                <w:spacing w:val="-2"/>
                <w:lang w:val="en-US" w:eastAsia="es-ES"/>
              </w:rPr>
              <w:t>Assessment of the acknowledgement of responsibility</w:t>
            </w:r>
            <w:r w:rsidR="00C02388" w:rsidRPr="001558A5">
              <w:rPr>
                <w:noProof/>
                <w:webHidden/>
                <w:lang w:val="en-US"/>
              </w:rPr>
              <w:tab/>
            </w:r>
            <w:r w:rsidR="00DE5B17" w:rsidRPr="001558A5">
              <w:rPr>
                <w:noProof/>
                <w:webHidden/>
                <w:lang w:val="en-US"/>
              </w:rPr>
              <w:t>9</w:t>
            </w:r>
          </w:hyperlink>
        </w:p>
        <w:p w14:paraId="2546C6B4" w14:textId="1E15F8EC" w:rsidR="00C02388" w:rsidRPr="001558A5" w:rsidRDefault="00547BDC" w:rsidP="00156651">
          <w:pPr>
            <w:pStyle w:val="TDC1"/>
            <w:tabs>
              <w:tab w:val="clear" w:pos="9072"/>
              <w:tab w:val="right" w:leader="dot" w:pos="9167"/>
            </w:tabs>
            <w:rPr>
              <w:rFonts w:asciiTheme="minorHAnsi" w:eastAsiaTheme="minorEastAsia" w:hAnsiTheme="minorHAnsi" w:cstheme="minorBidi"/>
              <w:b w:val="0"/>
              <w:noProof/>
              <w:sz w:val="24"/>
              <w:lang w:val="en-US" w:eastAsia="es-MX"/>
            </w:rPr>
          </w:pPr>
          <w:hyperlink w:anchor="_Toc73430042" w:history="1">
            <w:r w:rsidR="00C02388" w:rsidRPr="001558A5">
              <w:rPr>
                <w:rStyle w:val="Hipervnculo"/>
                <w:noProof/>
                <w:lang w:val="en-US"/>
              </w:rPr>
              <w:t xml:space="preserve">V. </w:t>
            </w:r>
            <w:r w:rsidR="00871E19" w:rsidRPr="001558A5">
              <w:rPr>
                <w:rStyle w:val="Hipervnculo"/>
                <w:noProof/>
                <w:lang w:val="en-US"/>
              </w:rPr>
              <w:t>EVIDENCE</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_Toc73430042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10</w:t>
            </w:r>
            <w:r w:rsidR="00C02388" w:rsidRPr="001558A5">
              <w:rPr>
                <w:noProof/>
                <w:webHidden/>
                <w:lang w:val="en-US"/>
              </w:rPr>
              <w:fldChar w:fldCharType="end"/>
            </w:r>
          </w:hyperlink>
        </w:p>
        <w:p w14:paraId="2741B492" w14:textId="05174217" w:rsidR="00C02388" w:rsidRPr="001558A5" w:rsidRDefault="00547BDC" w:rsidP="00156651">
          <w:pPr>
            <w:pStyle w:val="TDC1"/>
            <w:tabs>
              <w:tab w:val="clear" w:pos="9072"/>
              <w:tab w:val="right" w:leader="dot" w:pos="9167"/>
            </w:tabs>
            <w:rPr>
              <w:rFonts w:asciiTheme="minorHAnsi" w:eastAsiaTheme="minorEastAsia" w:hAnsiTheme="minorHAnsi" w:cstheme="minorBidi"/>
              <w:b w:val="0"/>
              <w:noProof/>
              <w:sz w:val="24"/>
              <w:lang w:val="en-US" w:eastAsia="es-MX"/>
            </w:rPr>
          </w:pPr>
          <w:hyperlink w:anchor="_Toc73430043" w:history="1">
            <w:r w:rsidR="00C02388" w:rsidRPr="001558A5">
              <w:rPr>
                <w:rStyle w:val="Hipervnculo"/>
                <w:noProof/>
                <w:lang w:val="en-US"/>
              </w:rPr>
              <w:t xml:space="preserve">VI. </w:t>
            </w:r>
            <w:r w:rsidR="00871E19" w:rsidRPr="001558A5">
              <w:rPr>
                <w:rStyle w:val="Hipervnculo"/>
                <w:noProof/>
                <w:lang w:val="en-US"/>
              </w:rPr>
              <w:t>FACTS</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_Toc73430043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11</w:t>
            </w:r>
            <w:r w:rsidR="00C02388" w:rsidRPr="001558A5">
              <w:rPr>
                <w:noProof/>
                <w:webHidden/>
                <w:lang w:val="en-US"/>
              </w:rPr>
              <w:fldChar w:fldCharType="end"/>
            </w:r>
          </w:hyperlink>
        </w:p>
        <w:p w14:paraId="1EB8FBF7" w14:textId="5805C221"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44" w:history="1">
            <w:r w:rsidR="00C02388" w:rsidRPr="001558A5">
              <w:rPr>
                <w:rStyle w:val="Hipervnculo"/>
                <w:i/>
                <w:noProof/>
                <w:lang w:val="en-US"/>
              </w:rPr>
              <w:t>A.</w:t>
            </w:r>
            <w:r w:rsidR="00C02388" w:rsidRPr="001558A5">
              <w:rPr>
                <w:rFonts w:asciiTheme="minorHAnsi" w:eastAsiaTheme="minorEastAsia" w:hAnsiTheme="minorHAnsi" w:cstheme="minorBidi"/>
                <w:noProof/>
                <w:sz w:val="24"/>
                <w:lang w:val="en-US" w:eastAsia="es-MX"/>
              </w:rPr>
              <w:tab/>
            </w:r>
            <w:r w:rsidR="00DD4354" w:rsidRPr="001558A5">
              <w:rPr>
                <w:rStyle w:val="Hipervnculo"/>
                <w:i/>
                <w:noProof/>
                <w:lang w:val="en-US"/>
              </w:rPr>
              <w:t>Context</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_Toc73430044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11</w:t>
            </w:r>
            <w:r w:rsidR="00C02388" w:rsidRPr="001558A5">
              <w:rPr>
                <w:noProof/>
                <w:webHidden/>
                <w:lang w:val="en-US"/>
              </w:rPr>
              <w:fldChar w:fldCharType="end"/>
            </w:r>
          </w:hyperlink>
        </w:p>
        <w:p w14:paraId="39A6EBAD" w14:textId="4BA96D1E" w:rsidR="00C02388" w:rsidRPr="001558A5" w:rsidRDefault="00547BDC" w:rsidP="003A3662">
          <w:pPr>
            <w:pStyle w:val="TDC3"/>
            <w:rPr>
              <w:rFonts w:asciiTheme="minorHAnsi" w:eastAsiaTheme="minorEastAsia" w:hAnsiTheme="minorHAnsi" w:cstheme="minorBidi"/>
              <w:noProof/>
              <w:sz w:val="24"/>
              <w:lang w:val="en-US" w:eastAsia="es-MX"/>
            </w:rPr>
          </w:pPr>
          <w:hyperlink w:anchor="_Toc73430045" w:history="1">
            <w:r w:rsidR="00C02388" w:rsidRPr="001558A5">
              <w:rPr>
                <w:rStyle w:val="Hipervnculo"/>
                <w:noProof/>
                <w:snapToGrid w:val="0"/>
                <w:spacing w:val="-2"/>
                <w:lang w:val="en-US" w:eastAsia="es-ES"/>
              </w:rPr>
              <w:t xml:space="preserve">A.1. </w:t>
            </w:r>
            <w:r w:rsidR="00DD4354" w:rsidRPr="001558A5">
              <w:rPr>
                <w:rStyle w:val="Hipervnculo"/>
                <w:noProof/>
                <w:snapToGrid w:val="0"/>
                <w:spacing w:val="-2"/>
                <w:lang w:val="en-US" w:eastAsia="es-ES"/>
              </w:rPr>
              <w:t>The context</w:t>
            </w:r>
            <w:r w:rsidR="00C02388" w:rsidRPr="001558A5">
              <w:rPr>
                <w:rStyle w:val="Hipervnculo"/>
                <w:noProof/>
                <w:snapToGrid w:val="0"/>
                <w:spacing w:val="-2"/>
                <w:lang w:val="en-US" w:eastAsia="es-ES"/>
              </w:rPr>
              <w:t xml:space="preserve"> </w:t>
            </w:r>
            <w:r w:rsidR="00215FEF" w:rsidRPr="001558A5">
              <w:rPr>
                <w:rStyle w:val="Hipervnculo"/>
                <w:noProof/>
                <w:snapToGrid w:val="0"/>
                <w:spacing w:val="-2"/>
                <w:lang w:val="en-US" w:eastAsia="es-ES"/>
              </w:rPr>
              <w:t xml:space="preserve">of violence </w:t>
            </w:r>
            <w:r w:rsidR="009460CA" w:rsidRPr="001558A5">
              <w:rPr>
                <w:rStyle w:val="Hipervnculo"/>
                <w:noProof/>
                <w:snapToGrid w:val="0"/>
                <w:spacing w:val="-2"/>
                <w:lang w:val="en-US" w:eastAsia="es-ES"/>
              </w:rPr>
              <w:t>against the LGBTI community</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_Toc73430045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1</w:t>
            </w:r>
            <w:r w:rsidR="00DE5B17" w:rsidRPr="001558A5">
              <w:rPr>
                <w:noProof/>
                <w:webHidden/>
                <w:lang w:val="en-US"/>
              </w:rPr>
              <w:t>1</w:t>
            </w:r>
            <w:r w:rsidR="00C02388" w:rsidRPr="001558A5">
              <w:rPr>
                <w:noProof/>
                <w:webHidden/>
                <w:lang w:val="en-US"/>
              </w:rPr>
              <w:fldChar w:fldCharType="end"/>
            </w:r>
          </w:hyperlink>
        </w:p>
        <w:p w14:paraId="53AC277C" w14:textId="3DCBE693" w:rsidR="00C02388" w:rsidRPr="001558A5" w:rsidRDefault="00547BDC" w:rsidP="003A3662">
          <w:pPr>
            <w:pStyle w:val="TDC3"/>
            <w:rPr>
              <w:rFonts w:asciiTheme="minorHAnsi" w:eastAsiaTheme="minorEastAsia" w:hAnsiTheme="minorHAnsi" w:cstheme="minorBidi"/>
              <w:noProof/>
              <w:sz w:val="24"/>
              <w:lang w:val="en-US" w:eastAsia="es-MX"/>
            </w:rPr>
          </w:pPr>
          <w:hyperlink w:anchor="_Toc73430046" w:history="1">
            <w:r w:rsidR="00C02388" w:rsidRPr="001558A5">
              <w:rPr>
                <w:rStyle w:val="Hipervnculo"/>
                <w:noProof/>
                <w:snapToGrid w:val="0"/>
                <w:spacing w:val="-2"/>
                <w:lang w:val="en-US" w:eastAsia="es-ES"/>
              </w:rPr>
              <w:t xml:space="preserve">A.2. </w:t>
            </w:r>
            <w:r w:rsidR="00B74256" w:rsidRPr="001558A5">
              <w:rPr>
                <w:rStyle w:val="Hipervnculo"/>
                <w:noProof/>
                <w:snapToGrid w:val="0"/>
                <w:spacing w:val="-2"/>
                <w:lang w:val="en-US" w:eastAsia="es-ES"/>
              </w:rPr>
              <w:t>The coup d’état</w:t>
            </w:r>
            <w:r w:rsidR="00C02388" w:rsidRPr="001558A5">
              <w:rPr>
                <w:rStyle w:val="Hipervnculo"/>
                <w:noProof/>
                <w:snapToGrid w:val="0"/>
                <w:spacing w:val="-2"/>
                <w:lang w:val="en-US" w:eastAsia="es-ES"/>
              </w:rPr>
              <w:t xml:space="preserve"> </w:t>
            </w:r>
            <w:r w:rsidR="00443040" w:rsidRPr="001558A5">
              <w:rPr>
                <w:rStyle w:val="Hipervnculo"/>
                <w:noProof/>
                <w:snapToGrid w:val="0"/>
                <w:spacing w:val="-2"/>
                <w:lang w:val="en-US" w:eastAsia="es-ES"/>
              </w:rPr>
              <w:t>of June 28,</w:t>
            </w:r>
            <w:r w:rsidR="00C02388" w:rsidRPr="001558A5">
              <w:rPr>
                <w:rStyle w:val="Hipervnculo"/>
                <w:noProof/>
                <w:snapToGrid w:val="0"/>
                <w:spacing w:val="-2"/>
                <w:lang w:val="en-US" w:eastAsia="es-ES"/>
              </w:rPr>
              <w:t xml:space="preserve"> 2009</w:t>
            </w:r>
            <w:r w:rsidR="00C02388" w:rsidRPr="001558A5">
              <w:rPr>
                <w:noProof/>
                <w:webHidden/>
                <w:lang w:val="en-US"/>
              </w:rPr>
              <w:tab/>
            </w:r>
            <w:r w:rsidR="00DE5B17"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_Toc73430046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14</w:t>
            </w:r>
            <w:r w:rsidR="00C02388" w:rsidRPr="001558A5">
              <w:rPr>
                <w:noProof/>
                <w:webHidden/>
                <w:lang w:val="en-US"/>
              </w:rPr>
              <w:fldChar w:fldCharType="end"/>
            </w:r>
          </w:hyperlink>
        </w:p>
        <w:p w14:paraId="0E739F82" w14:textId="4A75418F"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47" w:history="1">
            <w:r w:rsidR="00C02388" w:rsidRPr="001558A5">
              <w:rPr>
                <w:rStyle w:val="Hipervnculo"/>
                <w:i/>
                <w:noProof/>
                <w:lang w:val="en-US"/>
              </w:rPr>
              <w:t>B.</w:t>
            </w:r>
            <w:r w:rsidR="00C02388" w:rsidRPr="001558A5">
              <w:rPr>
                <w:rFonts w:asciiTheme="minorHAnsi" w:eastAsiaTheme="minorEastAsia" w:hAnsiTheme="minorHAnsi" w:cstheme="minorBidi"/>
                <w:noProof/>
                <w:sz w:val="24"/>
                <w:lang w:val="en-US" w:eastAsia="es-MX"/>
              </w:rPr>
              <w:tab/>
            </w:r>
            <w:r w:rsidR="00215FEF" w:rsidRPr="001558A5">
              <w:rPr>
                <w:rStyle w:val="Hipervnculo"/>
                <w:i/>
                <w:noProof/>
                <w:lang w:val="en-US"/>
              </w:rPr>
              <w:t>Vicky Hernández and her death</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_Toc73430047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1</w:t>
            </w:r>
            <w:r w:rsidR="00DE5B17" w:rsidRPr="001558A5">
              <w:rPr>
                <w:noProof/>
                <w:webHidden/>
                <w:lang w:val="en-US"/>
              </w:rPr>
              <w:t>4</w:t>
            </w:r>
            <w:r w:rsidR="00C02388" w:rsidRPr="001558A5">
              <w:rPr>
                <w:noProof/>
                <w:webHidden/>
                <w:lang w:val="en-US"/>
              </w:rPr>
              <w:fldChar w:fldCharType="end"/>
            </w:r>
          </w:hyperlink>
        </w:p>
        <w:p w14:paraId="04BB0171" w14:textId="149A5B05"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48" w:history="1">
            <w:r w:rsidR="00C02388" w:rsidRPr="001558A5">
              <w:rPr>
                <w:rStyle w:val="Hipervnculo"/>
                <w:i/>
                <w:noProof/>
                <w:lang w:val="en-US"/>
              </w:rPr>
              <w:t>C.</w:t>
            </w:r>
            <w:r w:rsidR="00C02388" w:rsidRPr="001558A5">
              <w:rPr>
                <w:rFonts w:asciiTheme="minorHAnsi" w:eastAsiaTheme="minorEastAsia" w:hAnsiTheme="minorHAnsi" w:cstheme="minorBidi"/>
                <w:noProof/>
                <w:sz w:val="24"/>
                <w:lang w:val="en-US" w:eastAsia="es-MX"/>
              </w:rPr>
              <w:tab/>
            </w:r>
            <w:r w:rsidR="00215FEF" w:rsidRPr="001558A5">
              <w:rPr>
                <w:rStyle w:val="Hipervnculo"/>
                <w:i/>
                <w:noProof/>
                <w:lang w:val="en-US"/>
              </w:rPr>
              <w:t>Investigations into the death of</w:t>
            </w:r>
            <w:r w:rsidR="00C02388" w:rsidRPr="001558A5">
              <w:rPr>
                <w:rStyle w:val="Hipervnculo"/>
                <w:i/>
                <w:noProof/>
                <w:lang w:val="en-US"/>
              </w:rPr>
              <w:t xml:space="preserve"> Vicky Hernández</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_Toc73430048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1</w:t>
            </w:r>
            <w:r w:rsidR="00DE5B17" w:rsidRPr="001558A5">
              <w:rPr>
                <w:noProof/>
                <w:webHidden/>
                <w:lang w:val="en-US"/>
              </w:rPr>
              <w:t>6</w:t>
            </w:r>
            <w:r w:rsidR="00C02388" w:rsidRPr="001558A5">
              <w:rPr>
                <w:noProof/>
                <w:webHidden/>
                <w:lang w:val="en-US"/>
              </w:rPr>
              <w:fldChar w:fldCharType="end"/>
            </w:r>
          </w:hyperlink>
        </w:p>
        <w:p w14:paraId="1532FCE8" w14:textId="79445CAF" w:rsidR="00C02388" w:rsidRPr="001558A5" w:rsidRDefault="00547BDC" w:rsidP="00156651">
          <w:pPr>
            <w:pStyle w:val="TDC1"/>
            <w:tabs>
              <w:tab w:val="clear" w:pos="9072"/>
              <w:tab w:val="right" w:leader="dot" w:pos="9167"/>
            </w:tabs>
            <w:rPr>
              <w:rFonts w:asciiTheme="minorHAnsi" w:eastAsiaTheme="minorEastAsia" w:hAnsiTheme="minorHAnsi" w:cstheme="minorBidi"/>
              <w:b w:val="0"/>
              <w:noProof/>
              <w:sz w:val="24"/>
              <w:lang w:val="en-US" w:eastAsia="es-MX"/>
            </w:rPr>
          </w:pPr>
          <w:hyperlink w:anchor="_Toc73430049" w:history="1">
            <w:r w:rsidR="00C02388" w:rsidRPr="001558A5">
              <w:rPr>
                <w:rStyle w:val="Hipervnculo"/>
                <w:noProof/>
                <w:lang w:val="en-US"/>
              </w:rPr>
              <w:t xml:space="preserve">VII. </w:t>
            </w:r>
            <w:r w:rsidR="00871E19" w:rsidRPr="001558A5">
              <w:rPr>
                <w:rStyle w:val="Hipervnculo"/>
                <w:noProof/>
                <w:lang w:val="en-US"/>
              </w:rPr>
              <w:t>MERITS</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_Toc73430049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1</w:t>
            </w:r>
            <w:r w:rsidR="00DE5B17" w:rsidRPr="001558A5">
              <w:rPr>
                <w:noProof/>
                <w:webHidden/>
                <w:lang w:val="en-US"/>
              </w:rPr>
              <w:t>8</w:t>
            </w:r>
            <w:r w:rsidR="00C02388" w:rsidRPr="001558A5">
              <w:rPr>
                <w:noProof/>
                <w:webHidden/>
                <w:lang w:val="en-US"/>
              </w:rPr>
              <w:fldChar w:fldCharType="end"/>
            </w:r>
          </w:hyperlink>
        </w:p>
        <w:p w14:paraId="601D143D" w14:textId="2B96962B" w:rsidR="00C02388" w:rsidRPr="001558A5" w:rsidRDefault="00547BDC" w:rsidP="00156651">
          <w:pPr>
            <w:pStyle w:val="TDC1"/>
            <w:tabs>
              <w:tab w:val="clear" w:pos="9072"/>
              <w:tab w:val="right" w:leader="dot" w:pos="9167"/>
            </w:tabs>
            <w:rPr>
              <w:rFonts w:asciiTheme="minorHAnsi" w:eastAsiaTheme="minorEastAsia" w:hAnsiTheme="minorHAnsi" w:cstheme="minorBidi"/>
              <w:b w:val="0"/>
              <w:noProof/>
              <w:sz w:val="24"/>
              <w:lang w:val="en-US" w:eastAsia="es-MX"/>
            </w:rPr>
          </w:pPr>
          <w:hyperlink w:anchor="_Toc73430050" w:history="1">
            <w:r w:rsidR="00C02388" w:rsidRPr="001558A5">
              <w:rPr>
                <w:rStyle w:val="Hipervnculo"/>
                <w:noProof/>
                <w:lang w:val="en-US"/>
              </w:rPr>
              <w:t xml:space="preserve">VII.1. </w:t>
            </w:r>
            <w:r w:rsidR="00871E19" w:rsidRPr="001558A5">
              <w:rPr>
                <w:rStyle w:val="Hipervnculo"/>
                <w:noProof/>
                <w:lang w:val="en-US"/>
              </w:rPr>
              <w:t>GENERAL CONSIDERATIONS ON THE RIGHT TO EQUALITY AND NON-DISCRIMINATION</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_Toc73430050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1</w:t>
            </w:r>
            <w:r w:rsidR="00DE5B17" w:rsidRPr="001558A5">
              <w:rPr>
                <w:noProof/>
                <w:webHidden/>
                <w:lang w:val="en-US"/>
              </w:rPr>
              <w:t>8</w:t>
            </w:r>
            <w:r w:rsidR="00C02388" w:rsidRPr="001558A5">
              <w:rPr>
                <w:noProof/>
                <w:webHidden/>
                <w:lang w:val="en-US"/>
              </w:rPr>
              <w:fldChar w:fldCharType="end"/>
            </w:r>
          </w:hyperlink>
        </w:p>
        <w:p w14:paraId="569E5EB2" w14:textId="1B45A7AF"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51" w:history="1">
            <w:r w:rsidR="00C02388" w:rsidRPr="001558A5">
              <w:rPr>
                <w:rStyle w:val="Hipervnculo"/>
                <w:i/>
                <w:noProof/>
                <w:lang w:val="en-US"/>
              </w:rPr>
              <w:t>A.</w:t>
            </w:r>
            <w:r w:rsidR="00C02388" w:rsidRPr="001558A5">
              <w:rPr>
                <w:rFonts w:asciiTheme="minorHAnsi" w:eastAsiaTheme="minorEastAsia" w:hAnsiTheme="minorHAnsi" w:cstheme="minorBidi"/>
                <w:noProof/>
                <w:sz w:val="24"/>
                <w:lang w:val="en-US" w:eastAsia="es-MX"/>
              </w:rPr>
              <w:tab/>
            </w:r>
            <w:r w:rsidR="00DD4354" w:rsidRPr="001558A5">
              <w:rPr>
                <w:rStyle w:val="Hipervnculo"/>
                <w:i/>
                <w:noProof/>
                <w:lang w:val="en-US"/>
              </w:rPr>
              <w:t>Arguments of the parties and</w:t>
            </w:r>
            <w:r w:rsidR="00C02388" w:rsidRPr="001558A5">
              <w:rPr>
                <w:rStyle w:val="Hipervnculo"/>
                <w:i/>
                <w:noProof/>
                <w:lang w:val="en-US"/>
              </w:rPr>
              <w:t xml:space="preserve"> </w:t>
            </w:r>
            <w:r w:rsidR="00871E19" w:rsidRPr="001558A5">
              <w:rPr>
                <w:rStyle w:val="Hipervnculo"/>
                <w:i/>
                <w:noProof/>
                <w:lang w:val="en-US"/>
              </w:rPr>
              <w:t>the Commission</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_Toc73430051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1</w:t>
            </w:r>
            <w:r w:rsidR="00DE5B17" w:rsidRPr="001558A5">
              <w:rPr>
                <w:noProof/>
                <w:webHidden/>
                <w:lang w:val="en-US"/>
              </w:rPr>
              <w:t>8</w:t>
            </w:r>
            <w:r w:rsidR="00C02388" w:rsidRPr="001558A5">
              <w:rPr>
                <w:noProof/>
                <w:webHidden/>
                <w:lang w:val="en-US"/>
              </w:rPr>
              <w:fldChar w:fldCharType="end"/>
            </w:r>
          </w:hyperlink>
        </w:p>
        <w:p w14:paraId="14A3BA25" w14:textId="46E4289E"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52" w:history="1">
            <w:r w:rsidR="00C02388" w:rsidRPr="001558A5">
              <w:rPr>
                <w:rStyle w:val="Hipervnculo"/>
                <w:i/>
                <w:noProof/>
                <w:lang w:val="en-US"/>
              </w:rPr>
              <w:t>B.</w:t>
            </w:r>
            <w:r w:rsidR="00C02388" w:rsidRPr="001558A5">
              <w:rPr>
                <w:rFonts w:asciiTheme="minorHAnsi" w:eastAsiaTheme="minorEastAsia" w:hAnsiTheme="minorHAnsi" w:cstheme="minorBidi"/>
                <w:noProof/>
                <w:sz w:val="24"/>
                <w:lang w:val="en-US" w:eastAsia="es-MX"/>
              </w:rPr>
              <w:tab/>
            </w:r>
            <w:r w:rsidR="00871E19" w:rsidRPr="001558A5">
              <w:rPr>
                <w:rStyle w:val="Hipervnculo"/>
                <w:i/>
                <w:noProof/>
                <w:lang w:val="en-US"/>
              </w:rPr>
              <w:t>Considerations</w:t>
            </w:r>
            <w:r w:rsidR="00DD4354" w:rsidRPr="001558A5">
              <w:rPr>
                <w:rStyle w:val="Hipervnculo"/>
                <w:i/>
                <w:noProof/>
                <w:lang w:val="en-US"/>
              </w:rPr>
              <w:t xml:space="preserve"> of the </w:t>
            </w:r>
            <w:r w:rsidR="00871E19" w:rsidRPr="001558A5">
              <w:rPr>
                <w:rStyle w:val="Hipervnculo"/>
                <w:i/>
                <w:noProof/>
                <w:lang w:val="en-US"/>
              </w:rPr>
              <w:t>Court</w:t>
            </w:r>
            <w:r w:rsidR="00C02388" w:rsidRPr="001558A5">
              <w:rPr>
                <w:noProof/>
                <w:webHidden/>
                <w:lang w:val="en-US"/>
              </w:rPr>
              <w:tab/>
            </w:r>
            <w:r w:rsidR="00DE5B17" w:rsidRPr="001558A5">
              <w:rPr>
                <w:noProof/>
                <w:webHidden/>
                <w:lang w:val="en-US"/>
              </w:rPr>
              <w:t>19</w:t>
            </w:r>
          </w:hyperlink>
        </w:p>
        <w:p w14:paraId="6828CAFF" w14:textId="58916BFE" w:rsidR="00C02388" w:rsidRPr="001558A5" w:rsidRDefault="00547BDC" w:rsidP="00156651">
          <w:pPr>
            <w:pStyle w:val="TDC1"/>
            <w:tabs>
              <w:tab w:val="clear" w:pos="9072"/>
              <w:tab w:val="right" w:leader="dot" w:pos="9167"/>
            </w:tabs>
            <w:rPr>
              <w:rFonts w:asciiTheme="minorHAnsi" w:eastAsiaTheme="minorEastAsia" w:hAnsiTheme="minorHAnsi" w:cstheme="minorBidi"/>
              <w:b w:val="0"/>
              <w:noProof/>
              <w:sz w:val="24"/>
              <w:lang w:val="en-US" w:eastAsia="es-MX"/>
            </w:rPr>
          </w:pPr>
          <w:hyperlink w:anchor="_Toc73430053" w:history="1">
            <w:r w:rsidR="00C02388" w:rsidRPr="001558A5">
              <w:rPr>
                <w:rStyle w:val="Hipervnculo"/>
                <w:noProof/>
                <w:lang w:val="en-US"/>
              </w:rPr>
              <w:t xml:space="preserve">VII.2. </w:t>
            </w:r>
            <w:r w:rsidR="00044EE8" w:rsidRPr="001558A5">
              <w:rPr>
                <w:rStyle w:val="Hipervnculo"/>
                <w:noProof/>
                <w:lang w:val="en-US"/>
              </w:rPr>
              <w:t>RIGHTS TO</w:t>
            </w:r>
            <w:r w:rsidR="00C02388" w:rsidRPr="001558A5">
              <w:rPr>
                <w:rStyle w:val="Hipervnculo"/>
                <w:noProof/>
                <w:lang w:val="en-US"/>
              </w:rPr>
              <w:t xml:space="preserve"> </w:t>
            </w:r>
            <w:r w:rsidR="00907FBD" w:rsidRPr="001558A5">
              <w:rPr>
                <w:rStyle w:val="Hipervnculo"/>
                <w:noProof/>
                <w:lang w:val="en-US"/>
              </w:rPr>
              <w:t>RECOGNITION OF JURIDICAL PERSONALITY</w:t>
            </w:r>
            <w:r w:rsidR="00C02388" w:rsidRPr="001558A5">
              <w:rPr>
                <w:rStyle w:val="Hipervnculo"/>
                <w:noProof/>
                <w:lang w:val="en-US"/>
              </w:rPr>
              <w:t xml:space="preserve">, </w:t>
            </w:r>
            <w:r w:rsidR="00044EE8" w:rsidRPr="001558A5">
              <w:rPr>
                <w:rStyle w:val="Hipervnculo"/>
                <w:noProof/>
                <w:lang w:val="en-US"/>
              </w:rPr>
              <w:t>LIFE</w:t>
            </w:r>
            <w:r w:rsidR="00C02388" w:rsidRPr="001558A5">
              <w:rPr>
                <w:rStyle w:val="Hipervnculo"/>
                <w:noProof/>
                <w:lang w:val="en-US"/>
              </w:rPr>
              <w:t>,</w:t>
            </w:r>
            <w:r w:rsidR="000E3F6F" w:rsidRPr="001558A5">
              <w:rPr>
                <w:rStyle w:val="Hipervnculo"/>
                <w:noProof/>
                <w:lang w:val="en-US"/>
              </w:rPr>
              <w:t xml:space="preserve"> </w:t>
            </w:r>
            <w:r w:rsidR="00B732DD" w:rsidRPr="001558A5">
              <w:rPr>
                <w:rStyle w:val="Hipervnculo"/>
                <w:noProof/>
                <w:lang w:val="en-US"/>
              </w:rPr>
              <w:t>PERSONAL INTEGRITY</w:t>
            </w:r>
            <w:r w:rsidR="00C02388" w:rsidRPr="001558A5">
              <w:rPr>
                <w:rStyle w:val="Hipervnculo"/>
                <w:noProof/>
                <w:lang w:val="en-US"/>
              </w:rPr>
              <w:t>,</w:t>
            </w:r>
            <w:r w:rsidR="000E3F6F" w:rsidRPr="001558A5">
              <w:rPr>
                <w:rStyle w:val="Hipervnculo"/>
                <w:noProof/>
                <w:lang w:val="en-US"/>
              </w:rPr>
              <w:t xml:space="preserve"> PERSONAL LIBERTY,</w:t>
            </w:r>
            <w:r w:rsidR="00C02388" w:rsidRPr="001558A5">
              <w:rPr>
                <w:rStyle w:val="Hipervnculo"/>
                <w:noProof/>
                <w:lang w:val="en-US"/>
              </w:rPr>
              <w:t xml:space="preserve"> </w:t>
            </w:r>
            <w:r w:rsidR="00B732DD" w:rsidRPr="001558A5">
              <w:rPr>
                <w:rStyle w:val="Hipervnculo"/>
                <w:noProof/>
                <w:lang w:val="en-US"/>
              </w:rPr>
              <w:t>JUDICIAL GUARANTEES</w:t>
            </w:r>
            <w:r w:rsidR="00C02388" w:rsidRPr="001558A5">
              <w:rPr>
                <w:rStyle w:val="Hipervnculo"/>
                <w:noProof/>
                <w:lang w:val="en-US"/>
              </w:rPr>
              <w:t xml:space="preserve">, </w:t>
            </w:r>
            <w:r w:rsidR="000E3F6F" w:rsidRPr="001558A5">
              <w:rPr>
                <w:rStyle w:val="Hipervnculo"/>
                <w:noProof/>
                <w:lang w:val="en-US"/>
              </w:rPr>
              <w:t>PRIVACY</w:t>
            </w:r>
            <w:r w:rsidR="00C02388" w:rsidRPr="001558A5">
              <w:rPr>
                <w:rStyle w:val="Hipervnculo"/>
                <w:noProof/>
                <w:lang w:val="en-US"/>
              </w:rPr>
              <w:t>,</w:t>
            </w:r>
            <w:r w:rsidR="000E3F6F" w:rsidRPr="001558A5">
              <w:rPr>
                <w:rStyle w:val="Hipervnculo"/>
                <w:noProof/>
                <w:lang w:val="en-US"/>
              </w:rPr>
              <w:t xml:space="preserve"> </w:t>
            </w:r>
            <w:r w:rsidR="00B732DD" w:rsidRPr="001558A5">
              <w:rPr>
                <w:rStyle w:val="Hipervnculo"/>
                <w:noProof/>
                <w:lang w:val="en-US"/>
              </w:rPr>
              <w:t>FREEDOM OF EXPRESSION</w:t>
            </w:r>
            <w:r w:rsidR="00C02388" w:rsidRPr="001558A5">
              <w:rPr>
                <w:rStyle w:val="Hipervnculo"/>
                <w:noProof/>
                <w:lang w:val="en-US"/>
              </w:rPr>
              <w:t xml:space="preserve">, </w:t>
            </w:r>
            <w:r w:rsidR="000E3F6F" w:rsidRPr="001558A5">
              <w:rPr>
                <w:rStyle w:val="Hipervnculo"/>
                <w:noProof/>
                <w:lang w:val="en-US"/>
              </w:rPr>
              <w:t>A NAME</w:t>
            </w:r>
            <w:r w:rsidR="00C02388" w:rsidRPr="001558A5">
              <w:rPr>
                <w:rStyle w:val="Hipervnculo"/>
                <w:noProof/>
                <w:lang w:val="en-US"/>
              </w:rPr>
              <w:t>,</w:t>
            </w:r>
            <w:r w:rsidR="000E3F6F" w:rsidRPr="001558A5">
              <w:rPr>
                <w:rStyle w:val="Hipervnculo"/>
                <w:noProof/>
                <w:lang w:val="en-US"/>
              </w:rPr>
              <w:t xml:space="preserve"> </w:t>
            </w:r>
            <w:r w:rsidR="00B732DD" w:rsidRPr="001558A5">
              <w:rPr>
                <w:rStyle w:val="Hipervnculo"/>
                <w:noProof/>
                <w:lang w:val="en-US"/>
              </w:rPr>
              <w:t>JUDICIAL PROTECTION</w:t>
            </w:r>
            <w:r w:rsidR="00C02388" w:rsidRPr="001558A5">
              <w:rPr>
                <w:rStyle w:val="Hipervnculo"/>
                <w:noProof/>
                <w:lang w:val="en-US"/>
              </w:rPr>
              <w:t>,</w:t>
            </w:r>
            <w:r w:rsidR="000E3F6F" w:rsidRPr="001558A5">
              <w:rPr>
                <w:rStyle w:val="Hipervnculo"/>
                <w:noProof/>
                <w:lang w:val="en-US"/>
              </w:rPr>
              <w:t xml:space="preserve"> EQUALITY AND NON-DISCRIMINATION AND</w:t>
            </w:r>
            <w:r w:rsidR="00DD4354" w:rsidRPr="001558A5">
              <w:rPr>
                <w:rStyle w:val="Hipervnculo"/>
                <w:noProof/>
                <w:lang w:val="en-US"/>
              </w:rPr>
              <w:t xml:space="preserve"> </w:t>
            </w:r>
            <w:r w:rsidR="00044EE8" w:rsidRPr="001558A5">
              <w:rPr>
                <w:rStyle w:val="Hipervnculo"/>
                <w:noProof/>
                <w:lang w:val="en-US"/>
              </w:rPr>
              <w:t>A LIFE FREE OF VIOLENCE</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_Toc73430053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2</w:t>
            </w:r>
            <w:r w:rsidR="00DE5B17" w:rsidRPr="001558A5">
              <w:rPr>
                <w:noProof/>
                <w:webHidden/>
                <w:lang w:val="en-US"/>
              </w:rPr>
              <w:t>2</w:t>
            </w:r>
            <w:r w:rsidR="00C02388" w:rsidRPr="001558A5">
              <w:rPr>
                <w:noProof/>
                <w:webHidden/>
                <w:lang w:val="en-US"/>
              </w:rPr>
              <w:fldChar w:fldCharType="end"/>
            </w:r>
          </w:hyperlink>
        </w:p>
        <w:p w14:paraId="00008344" w14:textId="46A90D02"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54" w:history="1">
            <w:r w:rsidR="00C02388" w:rsidRPr="001558A5">
              <w:rPr>
                <w:rStyle w:val="Hipervnculo"/>
                <w:i/>
                <w:noProof/>
                <w:lang w:val="en-US"/>
              </w:rPr>
              <w:t>A.</w:t>
            </w:r>
            <w:r w:rsidR="00C02388" w:rsidRPr="001558A5">
              <w:rPr>
                <w:rFonts w:asciiTheme="minorHAnsi" w:eastAsiaTheme="minorEastAsia" w:hAnsiTheme="minorHAnsi" w:cstheme="minorBidi"/>
                <w:noProof/>
                <w:sz w:val="24"/>
                <w:lang w:val="en-US" w:eastAsia="es-MX"/>
              </w:rPr>
              <w:tab/>
            </w:r>
            <w:r w:rsidR="00CC521A" w:rsidRPr="001558A5">
              <w:rPr>
                <w:rStyle w:val="Hipervnculo"/>
                <w:i/>
                <w:noProof/>
                <w:lang w:val="en-US"/>
              </w:rPr>
              <w:t>Arguments of the parties and the Commission</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_Toc73430054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2</w:t>
            </w:r>
            <w:r w:rsidR="00DE5B17" w:rsidRPr="001558A5">
              <w:rPr>
                <w:noProof/>
                <w:webHidden/>
                <w:lang w:val="en-US"/>
              </w:rPr>
              <w:t>2</w:t>
            </w:r>
            <w:r w:rsidR="00C02388" w:rsidRPr="001558A5">
              <w:rPr>
                <w:noProof/>
                <w:webHidden/>
                <w:lang w:val="en-US"/>
              </w:rPr>
              <w:fldChar w:fldCharType="end"/>
            </w:r>
          </w:hyperlink>
        </w:p>
        <w:p w14:paraId="2EB86706" w14:textId="5FD0249D"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55" w:history="1">
            <w:r w:rsidR="00C02388" w:rsidRPr="001558A5">
              <w:rPr>
                <w:rStyle w:val="Hipervnculo"/>
                <w:i/>
                <w:noProof/>
                <w:lang w:val="en-US"/>
              </w:rPr>
              <w:t>B.</w:t>
            </w:r>
            <w:r w:rsidR="00C02388" w:rsidRPr="001558A5">
              <w:rPr>
                <w:rFonts w:asciiTheme="minorHAnsi" w:eastAsiaTheme="minorEastAsia" w:hAnsiTheme="minorHAnsi" w:cstheme="minorBidi"/>
                <w:noProof/>
                <w:sz w:val="24"/>
                <w:lang w:val="en-US" w:eastAsia="es-MX"/>
              </w:rPr>
              <w:tab/>
            </w:r>
            <w:r w:rsidR="00871E19" w:rsidRPr="001558A5">
              <w:rPr>
                <w:rStyle w:val="Hipervnculo"/>
                <w:i/>
                <w:noProof/>
                <w:lang w:val="en-US"/>
              </w:rPr>
              <w:t>Considerations</w:t>
            </w:r>
            <w:r w:rsidR="00DD4354" w:rsidRPr="001558A5">
              <w:rPr>
                <w:rStyle w:val="Hipervnculo"/>
                <w:i/>
                <w:noProof/>
                <w:lang w:val="en-US"/>
              </w:rPr>
              <w:t xml:space="preserve"> of the </w:t>
            </w:r>
            <w:r w:rsidR="00871E19" w:rsidRPr="001558A5">
              <w:rPr>
                <w:rStyle w:val="Hipervnculo"/>
                <w:i/>
                <w:noProof/>
                <w:lang w:val="en-US"/>
              </w:rPr>
              <w:t>Court</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_Toc73430055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2</w:t>
            </w:r>
            <w:r w:rsidR="00DE5B17" w:rsidRPr="001558A5">
              <w:rPr>
                <w:noProof/>
                <w:webHidden/>
                <w:lang w:val="en-US"/>
              </w:rPr>
              <w:t>4</w:t>
            </w:r>
            <w:r w:rsidR="00C02388" w:rsidRPr="001558A5">
              <w:rPr>
                <w:noProof/>
                <w:webHidden/>
                <w:lang w:val="en-US"/>
              </w:rPr>
              <w:fldChar w:fldCharType="end"/>
            </w:r>
          </w:hyperlink>
        </w:p>
        <w:p w14:paraId="7355282C" w14:textId="10C953EC" w:rsidR="00C02388" w:rsidRPr="001558A5" w:rsidRDefault="00547BDC" w:rsidP="003A3662">
          <w:pPr>
            <w:pStyle w:val="TDC3"/>
            <w:rPr>
              <w:rFonts w:asciiTheme="minorHAnsi" w:eastAsiaTheme="minorEastAsia" w:hAnsiTheme="minorHAnsi" w:cstheme="minorBidi"/>
              <w:noProof/>
              <w:sz w:val="24"/>
              <w:lang w:val="en-US" w:eastAsia="es-MX"/>
            </w:rPr>
          </w:pPr>
          <w:hyperlink w:anchor="_Toc73430056" w:history="1">
            <w:r w:rsidR="00C02388" w:rsidRPr="001558A5">
              <w:rPr>
                <w:rStyle w:val="Hipervnculo"/>
                <w:noProof/>
                <w:snapToGrid w:val="0"/>
                <w:spacing w:val="-2"/>
                <w:lang w:val="en-US" w:eastAsia="es-ES"/>
              </w:rPr>
              <w:t xml:space="preserve">B.1. </w:t>
            </w:r>
            <w:r w:rsidR="00D354FF" w:rsidRPr="001558A5">
              <w:rPr>
                <w:rStyle w:val="Hipervnculo"/>
                <w:noProof/>
                <w:snapToGrid w:val="0"/>
                <w:spacing w:val="-2"/>
                <w:lang w:val="en-US" w:eastAsia="es-ES"/>
              </w:rPr>
              <w:t xml:space="preserve">The </w:t>
            </w:r>
            <w:r w:rsidR="00B27C31" w:rsidRPr="001558A5">
              <w:rPr>
                <w:rStyle w:val="Hipervnculo"/>
                <w:noProof/>
                <w:snapToGrid w:val="0"/>
                <w:spacing w:val="-2"/>
                <w:lang w:val="en-US" w:eastAsia="es-ES"/>
              </w:rPr>
              <w:t>alleged violation of the rights to life and</w:t>
            </w:r>
            <w:r w:rsidR="00C02388" w:rsidRPr="001558A5">
              <w:rPr>
                <w:rStyle w:val="Hipervnculo"/>
                <w:noProof/>
                <w:snapToGrid w:val="0"/>
                <w:spacing w:val="-2"/>
                <w:lang w:val="en-US" w:eastAsia="es-ES"/>
              </w:rPr>
              <w:t xml:space="preserve"> </w:t>
            </w:r>
            <w:r w:rsidR="00B732DD" w:rsidRPr="001558A5">
              <w:rPr>
                <w:rStyle w:val="Hipervnculo"/>
                <w:noProof/>
                <w:snapToGrid w:val="0"/>
                <w:spacing w:val="-2"/>
                <w:lang w:val="en-US" w:eastAsia="es-ES"/>
              </w:rPr>
              <w:t>personal integrity</w:t>
            </w:r>
            <w:r w:rsidR="00B27C31" w:rsidRPr="001558A5">
              <w:rPr>
                <w:rStyle w:val="Hipervnculo"/>
                <w:noProof/>
                <w:snapToGrid w:val="0"/>
                <w:spacing w:val="-2"/>
                <w:lang w:val="en-US" w:eastAsia="es-ES"/>
              </w:rPr>
              <w:t xml:space="preserve"> </w:t>
            </w:r>
            <w:r w:rsidR="00B43A52" w:rsidRPr="001558A5">
              <w:rPr>
                <w:rStyle w:val="Hipervnculo"/>
                <w:noProof/>
                <w:snapToGrid w:val="0"/>
                <w:spacing w:val="-2"/>
                <w:lang w:val="en-US" w:eastAsia="es-ES"/>
              </w:rPr>
              <w:t>of</w:t>
            </w:r>
            <w:r w:rsidR="00C02388" w:rsidRPr="001558A5">
              <w:rPr>
                <w:rStyle w:val="Hipervnculo"/>
                <w:noProof/>
                <w:snapToGrid w:val="0"/>
                <w:spacing w:val="-2"/>
                <w:lang w:val="en-US" w:eastAsia="es-ES"/>
              </w:rPr>
              <w:t xml:space="preserve"> Vicky Hernández</w:t>
            </w:r>
            <w:r w:rsidR="00C02388" w:rsidRPr="001558A5">
              <w:rPr>
                <w:noProof/>
                <w:webHidden/>
                <w:lang w:val="en-US"/>
              </w:rPr>
              <w:tab/>
            </w:r>
            <w:r w:rsidR="00DE5B17" w:rsidRPr="001558A5">
              <w:rPr>
                <w:noProof/>
                <w:webHidden/>
                <w:lang w:val="en-US"/>
              </w:rPr>
              <w:t xml:space="preserve">  </w:t>
            </w:r>
            <w:r w:rsidR="00DE5B17" w:rsidRPr="001558A5">
              <w:rPr>
                <w:noProof/>
                <w:webHidden/>
                <w:lang w:val="en-US"/>
              </w:rPr>
              <w:tab/>
            </w:r>
            <w:r w:rsidR="00DE5B17"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_Toc73430056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2</w:t>
            </w:r>
            <w:r w:rsidR="00DE5B17" w:rsidRPr="001558A5">
              <w:rPr>
                <w:noProof/>
                <w:webHidden/>
                <w:lang w:val="en-US"/>
              </w:rPr>
              <w:t>4</w:t>
            </w:r>
            <w:r w:rsidR="00C02388" w:rsidRPr="001558A5">
              <w:rPr>
                <w:noProof/>
                <w:webHidden/>
                <w:lang w:val="en-US"/>
              </w:rPr>
              <w:fldChar w:fldCharType="end"/>
            </w:r>
          </w:hyperlink>
        </w:p>
        <w:p w14:paraId="24F30331" w14:textId="5D3DE5B5" w:rsidR="00C02388" w:rsidRPr="001558A5" w:rsidRDefault="00547BDC" w:rsidP="003A3662">
          <w:pPr>
            <w:pStyle w:val="TDC3"/>
            <w:rPr>
              <w:rFonts w:asciiTheme="minorHAnsi" w:eastAsiaTheme="minorEastAsia" w:hAnsiTheme="minorHAnsi" w:cstheme="minorBidi"/>
              <w:noProof/>
              <w:sz w:val="24"/>
              <w:lang w:val="en-US" w:eastAsia="es-MX"/>
            </w:rPr>
          </w:pPr>
          <w:hyperlink w:anchor="_Toc73430057" w:history="1">
            <w:r w:rsidR="00C02388" w:rsidRPr="001558A5">
              <w:rPr>
                <w:rStyle w:val="Hipervnculo"/>
                <w:noProof/>
                <w:snapToGrid w:val="0"/>
                <w:spacing w:val="-2"/>
                <w:lang w:val="en-US" w:eastAsia="es-ES"/>
              </w:rPr>
              <w:t xml:space="preserve">B.2. </w:t>
            </w:r>
            <w:r w:rsidR="00D354FF" w:rsidRPr="001558A5">
              <w:rPr>
                <w:rStyle w:val="Hipervnculo"/>
                <w:noProof/>
                <w:snapToGrid w:val="0"/>
                <w:spacing w:val="-2"/>
                <w:lang w:val="en-US" w:eastAsia="es-ES"/>
              </w:rPr>
              <w:t xml:space="preserve">The </w:t>
            </w:r>
            <w:r w:rsidR="0062184D" w:rsidRPr="001558A5">
              <w:rPr>
                <w:rStyle w:val="Hipervnculo"/>
                <w:noProof/>
                <w:snapToGrid w:val="0"/>
                <w:spacing w:val="-2"/>
                <w:lang w:val="en-US" w:eastAsia="es-ES"/>
              </w:rPr>
              <w:t>violation of the rights to</w:t>
            </w:r>
            <w:r w:rsidR="00C02388" w:rsidRPr="001558A5">
              <w:rPr>
                <w:rStyle w:val="Hipervnculo"/>
                <w:noProof/>
                <w:snapToGrid w:val="0"/>
                <w:spacing w:val="-2"/>
                <w:lang w:val="en-US" w:eastAsia="es-ES"/>
              </w:rPr>
              <w:t xml:space="preserve"> </w:t>
            </w:r>
            <w:r w:rsidR="00B732DD" w:rsidRPr="001558A5">
              <w:rPr>
                <w:rStyle w:val="Hipervnculo"/>
                <w:noProof/>
                <w:snapToGrid w:val="0"/>
                <w:spacing w:val="-2"/>
                <w:lang w:val="en-US" w:eastAsia="es-ES"/>
              </w:rPr>
              <w:t>judicial guarantees</w:t>
            </w:r>
            <w:r w:rsidR="00DD4354" w:rsidRPr="001558A5">
              <w:rPr>
                <w:rStyle w:val="Hipervnculo"/>
                <w:noProof/>
                <w:snapToGrid w:val="0"/>
                <w:spacing w:val="-2"/>
                <w:lang w:val="en-US" w:eastAsia="es-ES"/>
              </w:rPr>
              <w:t xml:space="preserve"> and </w:t>
            </w:r>
            <w:r w:rsidR="0062184D" w:rsidRPr="001558A5">
              <w:rPr>
                <w:rStyle w:val="Hipervnculo"/>
                <w:noProof/>
                <w:snapToGrid w:val="0"/>
                <w:spacing w:val="-2"/>
                <w:lang w:val="en-US" w:eastAsia="es-ES"/>
              </w:rPr>
              <w:t>judicial protection of Vicky Hernández’s family</w:t>
            </w:r>
            <w:r w:rsidR="0016523C" w:rsidRPr="001558A5">
              <w:rPr>
                <w:rStyle w:val="Hipervnculo"/>
                <w:noProof/>
                <w:snapToGrid w:val="0"/>
                <w:spacing w:val="-2"/>
                <w:lang w:val="en-US" w:eastAsia="es-ES"/>
              </w:rPr>
              <w:tab/>
            </w:r>
            <w:r w:rsidR="00C02388" w:rsidRPr="001558A5">
              <w:rPr>
                <w:noProof/>
                <w:webHidden/>
                <w:lang w:val="en-US"/>
              </w:rPr>
              <w:tab/>
            </w:r>
            <w:r w:rsidR="00DE5B17" w:rsidRPr="001558A5">
              <w:rPr>
                <w:noProof/>
                <w:webHidden/>
                <w:lang w:val="en-US"/>
              </w:rPr>
              <w:t>28</w:t>
            </w:r>
          </w:hyperlink>
        </w:p>
        <w:p w14:paraId="19CE3529" w14:textId="2E118F4F" w:rsidR="00C02388" w:rsidRPr="001558A5" w:rsidRDefault="00547BDC" w:rsidP="003A3662">
          <w:pPr>
            <w:pStyle w:val="TDC3"/>
            <w:rPr>
              <w:rFonts w:asciiTheme="minorHAnsi" w:eastAsiaTheme="minorEastAsia" w:hAnsiTheme="minorHAnsi" w:cstheme="minorBidi"/>
              <w:noProof/>
              <w:sz w:val="24"/>
              <w:lang w:val="en-US" w:eastAsia="es-MX"/>
            </w:rPr>
          </w:pPr>
          <w:hyperlink w:anchor="_Toc73430058" w:history="1">
            <w:r w:rsidR="00C02388" w:rsidRPr="001558A5">
              <w:rPr>
                <w:rStyle w:val="Hipervnculo"/>
                <w:noProof/>
                <w:snapToGrid w:val="0"/>
                <w:spacing w:val="-2"/>
                <w:lang w:val="en-US" w:eastAsia="es-ES"/>
              </w:rPr>
              <w:t xml:space="preserve">B.3. </w:t>
            </w:r>
            <w:r w:rsidR="00D354FF" w:rsidRPr="001558A5">
              <w:rPr>
                <w:rStyle w:val="Hipervnculo"/>
                <w:noProof/>
                <w:snapToGrid w:val="0"/>
                <w:spacing w:val="-2"/>
                <w:lang w:val="en-US" w:eastAsia="es-ES"/>
              </w:rPr>
              <w:t>T</w:t>
            </w:r>
            <w:r w:rsidR="00433B75" w:rsidRPr="001558A5">
              <w:rPr>
                <w:rStyle w:val="Hipervnculo"/>
                <w:noProof/>
                <w:snapToGrid w:val="0"/>
                <w:spacing w:val="-2"/>
                <w:lang w:val="en-US" w:eastAsia="es-ES"/>
              </w:rPr>
              <w:t xml:space="preserve">he violation of the rights to recognition of juridical personality, </w:t>
            </w:r>
            <w:r w:rsidR="004A4A92" w:rsidRPr="001558A5">
              <w:rPr>
                <w:rStyle w:val="Hipervnculo"/>
                <w:noProof/>
                <w:snapToGrid w:val="0"/>
                <w:spacing w:val="-2"/>
                <w:lang w:val="en-US" w:eastAsia="es-ES"/>
              </w:rPr>
              <w:t>personal liberty</w:t>
            </w:r>
            <w:r w:rsidR="00C02388" w:rsidRPr="001558A5">
              <w:rPr>
                <w:rStyle w:val="Hipervnculo"/>
                <w:noProof/>
                <w:snapToGrid w:val="0"/>
                <w:spacing w:val="-2"/>
                <w:lang w:val="en-US" w:eastAsia="es-ES"/>
              </w:rPr>
              <w:t>,</w:t>
            </w:r>
            <w:r w:rsidR="00433B75" w:rsidRPr="001558A5">
              <w:rPr>
                <w:rStyle w:val="Hipervnculo"/>
                <w:noProof/>
                <w:snapToGrid w:val="0"/>
                <w:spacing w:val="-2"/>
                <w:lang w:val="en-US" w:eastAsia="es-ES"/>
              </w:rPr>
              <w:t xml:space="preserve"> privacy,</w:t>
            </w:r>
            <w:r w:rsidR="00C02388" w:rsidRPr="001558A5">
              <w:rPr>
                <w:rStyle w:val="Hipervnculo"/>
                <w:noProof/>
                <w:snapToGrid w:val="0"/>
                <w:spacing w:val="-2"/>
                <w:lang w:val="en-US" w:eastAsia="es-ES"/>
              </w:rPr>
              <w:t xml:space="preserve"> </w:t>
            </w:r>
            <w:r w:rsidR="00433B75" w:rsidRPr="001558A5">
              <w:rPr>
                <w:rStyle w:val="Hipervnculo"/>
                <w:noProof/>
                <w:snapToGrid w:val="0"/>
                <w:spacing w:val="-2"/>
                <w:lang w:val="en-US" w:eastAsia="es-ES"/>
              </w:rPr>
              <w:t>f</w:t>
            </w:r>
            <w:r w:rsidR="00B732DD" w:rsidRPr="001558A5">
              <w:rPr>
                <w:rStyle w:val="Hipervnculo"/>
                <w:noProof/>
                <w:snapToGrid w:val="0"/>
                <w:spacing w:val="-2"/>
                <w:lang w:val="en-US" w:eastAsia="es-ES"/>
              </w:rPr>
              <w:t>reedom of expression</w:t>
            </w:r>
            <w:r w:rsidR="00433B75" w:rsidRPr="001558A5">
              <w:rPr>
                <w:rStyle w:val="Hipervnculo"/>
                <w:noProof/>
                <w:snapToGrid w:val="0"/>
                <w:spacing w:val="-2"/>
                <w:lang w:val="en-US" w:eastAsia="es-ES"/>
              </w:rPr>
              <w:t>,</w:t>
            </w:r>
            <w:r w:rsidR="00C02388" w:rsidRPr="001558A5">
              <w:rPr>
                <w:rStyle w:val="Hipervnculo"/>
                <w:noProof/>
                <w:snapToGrid w:val="0"/>
                <w:spacing w:val="-2"/>
                <w:lang w:val="en-US" w:eastAsia="es-ES"/>
              </w:rPr>
              <w:t xml:space="preserve"> </w:t>
            </w:r>
            <w:r w:rsidR="00433B75" w:rsidRPr="001558A5">
              <w:rPr>
                <w:rStyle w:val="Hipervnculo"/>
                <w:noProof/>
                <w:snapToGrid w:val="0"/>
                <w:spacing w:val="-2"/>
                <w:lang w:val="en-US" w:eastAsia="es-ES"/>
              </w:rPr>
              <w:t>a name,</w:t>
            </w:r>
            <w:r w:rsidR="00DD4354" w:rsidRPr="001558A5">
              <w:rPr>
                <w:rStyle w:val="Hipervnculo"/>
                <w:noProof/>
                <w:snapToGrid w:val="0"/>
                <w:spacing w:val="-2"/>
                <w:lang w:val="en-US" w:eastAsia="es-ES"/>
              </w:rPr>
              <w:t xml:space="preserve"> and</w:t>
            </w:r>
            <w:r w:rsidR="00C02388" w:rsidRPr="001558A5">
              <w:rPr>
                <w:rStyle w:val="Hipervnculo"/>
                <w:noProof/>
                <w:snapToGrid w:val="0"/>
                <w:spacing w:val="-2"/>
                <w:lang w:val="en-US" w:eastAsia="es-ES"/>
              </w:rPr>
              <w:t xml:space="preserve"> </w:t>
            </w:r>
            <w:r w:rsidR="00B732DD" w:rsidRPr="001558A5">
              <w:rPr>
                <w:rStyle w:val="Hipervnculo"/>
                <w:noProof/>
                <w:snapToGrid w:val="0"/>
                <w:spacing w:val="-2"/>
                <w:lang w:val="en-US" w:eastAsia="es-ES"/>
              </w:rPr>
              <w:t>equality and non-discrimination</w:t>
            </w:r>
            <w:r w:rsidR="00C02388" w:rsidRPr="001558A5">
              <w:rPr>
                <w:rStyle w:val="Hipervnculo"/>
                <w:noProof/>
                <w:snapToGrid w:val="0"/>
                <w:spacing w:val="-2"/>
                <w:lang w:val="en-US" w:eastAsia="es-ES"/>
              </w:rPr>
              <w:t xml:space="preserve"> </w:t>
            </w:r>
            <w:r w:rsidR="00B43A52" w:rsidRPr="001558A5">
              <w:rPr>
                <w:rStyle w:val="Hipervnculo"/>
                <w:noProof/>
                <w:snapToGrid w:val="0"/>
                <w:spacing w:val="-2"/>
                <w:lang w:val="en-US" w:eastAsia="es-ES"/>
              </w:rPr>
              <w:t>of</w:t>
            </w:r>
            <w:r w:rsidR="00C02388" w:rsidRPr="001558A5">
              <w:rPr>
                <w:rStyle w:val="Hipervnculo"/>
                <w:noProof/>
                <w:snapToGrid w:val="0"/>
                <w:spacing w:val="-2"/>
                <w:lang w:val="en-US" w:eastAsia="es-ES"/>
              </w:rPr>
              <w:t xml:space="preserve"> Vicky Hernández</w:t>
            </w:r>
            <w:r w:rsidR="0016523C" w:rsidRPr="001558A5">
              <w:rPr>
                <w:rStyle w:val="Hipervnculo"/>
                <w:noProof/>
                <w:snapToGrid w:val="0"/>
                <w:spacing w:val="-2"/>
                <w:lang w:val="en-US" w:eastAsia="es-ES"/>
              </w:rPr>
              <w:tab/>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_Toc73430058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3</w:t>
            </w:r>
            <w:r w:rsidR="00DE5B17" w:rsidRPr="001558A5">
              <w:rPr>
                <w:noProof/>
                <w:webHidden/>
                <w:lang w:val="en-US"/>
              </w:rPr>
              <w:t>0</w:t>
            </w:r>
            <w:r w:rsidR="00C02388" w:rsidRPr="001558A5">
              <w:rPr>
                <w:noProof/>
                <w:webHidden/>
                <w:lang w:val="en-US"/>
              </w:rPr>
              <w:fldChar w:fldCharType="end"/>
            </w:r>
          </w:hyperlink>
        </w:p>
        <w:p w14:paraId="16DA2EE1" w14:textId="42EB7C51" w:rsidR="00C02388" w:rsidRPr="001558A5" w:rsidRDefault="00547BDC" w:rsidP="003A3662">
          <w:pPr>
            <w:pStyle w:val="TDC3"/>
            <w:rPr>
              <w:rFonts w:asciiTheme="minorHAnsi" w:eastAsiaTheme="minorEastAsia" w:hAnsiTheme="minorHAnsi" w:cstheme="minorBidi"/>
              <w:noProof/>
              <w:sz w:val="24"/>
              <w:lang w:val="en-US" w:eastAsia="es-MX"/>
            </w:rPr>
          </w:pPr>
          <w:hyperlink w:anchor="_Toc73430059" w:history="1">
            <w:r w:rsidR="00C02388" w:rsidRPr="001558A5">
              <w:rPr>
                <w:rStyle w:val="Hipervnculo"/>
                <w:noProof/>
                <w:snapToGrid w:val="0"/>
                <w:spacing w:val="-2"/>
                <w:lang w:val="en-US" w:eastAsia="es-ES"/>
              </w:rPr>
              <w:t xml:space="preserve">B.4. </w:t>
            </w:r>
            <w:r w:rsidR="00D354FF" w:rsidRPr="001558A5">
              <w:rPr>
                <w:rStyle w:val="Hipervnculo"/>
                <w:noProof/>
                <w:snapToGrid w:val="0"/>
                <w:spacing w:val="-2"/>
                <w:lang w:val="en-US" w:eastAsia="es-ES"/>
              </w:rPr>
              <w:t>T</w:t>
            </w:r>
            <w:r w:rsidR="00433B75" w:rsidRPr="001558A5">
              <w:rPr>
                <w:rStyle w:val="Hipervnculo"/>
                <w:noProof/>
                <w:snapToGrid w:val="0"/>
                <w:spacing w:val="-2"/>
                <w:lang w:val="en-US" w:eastAsia="es-ES"/>
              </w:rPr>
              <w:t>he alleged violation of</w:t>
            </w:r>
            <w:r w:rsidR="00C02388" w:rsidRPr="001558A5">
              <w:rPr>
                <w:rStyle w:val="Hipervnculo"/>
                <w:noProof/>
                <w:snapToGrid w:val="0"/>
                <w:spacing w:val="-2"/>
                <w:lang w:val="en-US" w:eastAsia="es-ES"/>
              </w:rPr>
              <w:t xml:space="preserve"> </w:t>
            </w:r>
            <w:r w:rsidR="00871E19" w:rsidRPr="001558A5">
              <w:rPr>
                <w:rStyle w:val="Hipervnculo"/>
                <w:noProof/>
                <w:snapToGrid w:val="0"/>
                <w:spacing w:val="-2"/>
                <w:lang w:val="en-US" w:eastAsia="es-ES"/>
              </w:rPr>
              <w:t xml:space="preserve">the </w:t>
            </w:r>
            <w:r w:rsidR="00B732DD" w:rsidRPr="001558A5">
              <w:rPr>
                <w:rStyle w:val="Hipervnculo"/>
                <w:noProof/>
                <w:snapToGrid w:val="0"/>
                <w:spacing w:val="-2"/>
                <w:lang w:val="en-US" w:eastAsia="es-ES"/>
              </w:rPr>
              <w:t>Inter-American Convention for the Prevention, Punishment and Eradication of Violence against Women</w:t>
            </w:r>
            <w:r w:rsidR="00C02388" w:rsidRPr="001558A5">
              <w:rPr>
                <w:rStyle w:val="Hipervnculo"/>
                <w:noProof/>
                <w:snapToGrid w:val="0"/>
                <w:spacing w:val="-2"/>
                <w:lang w:val="en-US" w:eastAsia="es-ES"/>
              </w:rPr>
              <w:t xml:space="preserve"> (</w:t>
            </w:r>
            <w:r w:rsidR="001164FE" w:rsidRPr="001558A5">
              <w:rPr>
                <w:rStyle w:val="Hipervnculo"/>
                <w:noProof/>
                <w:snapToGrid w:val="0"/>
                <w:spacing w:val="-2"/>
                <w:lang w:val="en-US" w:eastAsia="es-ES"/>
              </w:rPr>
              <w:t>Convention</w:t>
            </w:r>
            <w:r w:rsidR="00C02388" w:rsidRPr="001558A5">
              <w:rPr>
                <w:rStyle w:val="Hipervnculo"/>
                <w:noProof/>
                <w:snapToGrid w:val="0"/>
                <w:spacing w:val="-2"/>
                <w:lang w:val="en-US" w:eastAsia="es-ES"/>
              </w:rPr>
              <w:t xml:space="preserve"> </w:t>
            </w:r>
            <w:r w:rsidR="00B74256" w:rsidRPr="001558A5">
              <w:rPr>
                <w:rStyle w:val="Hipervnculo"/>
                <w:noProof/>
                <w:snapToGrid w:val="0"/>
                <w:spacing w:val="-2"/>
                <w:lang w:val="en-US" w:eastAsia="es-ES"/>
              </w:rPr>
              <w:t>of Belém</w:t>
            </w:r>
            <w:r w:rsidR="00C02388" w:rsidRPr="001558A5">
              <w:rPr>
                <w:rStyle w:val="Hipervnculo"/>
                <w:noProof/>
                <w:snapToGrid w:val="0"/>
                <w:spacing w:val="-2"/>
                <w:lang w:val="en-US" w:eastAsia="es-ES"/>
              </w:rPr>
              <w:t xml:space="preserve"> do Pará)</w:t>
            </w:r>
            <w:r w:rsidR="00156651" w:rsidRPr="001558A5">
              <w:rPr>
                <w:rStyle w:val="Hipervnculo"/>
                <w:noProof/>
                <w:snapToGrid w:val="0"/>
                <w:spacing w:val="-2"/>
                <w:lang w:val="en-US" w:eastAsia="es-ES"/>
              </w:rPr>
              <w:t xml:space="preserve">      </w:t>
            </w:r>
            <w:r w:rsidR="00C02388" w:rsidRPr="001558A5">
              <w:rPr>
                <w:noProof/>
                <w:webHidden/>
                <w:lang w:val="en-US"/>
              </w:rPr>
              <w:tab/>
            </w:r>
            <w:r w:rsidR="00D354FF"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_Toc73430059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3</w:t>
            </w:r>
            <w:r w:rsidR="00DE5B17" w:rsidRPr="001558A5">
              <w:rPr>
                <w:noProof/>
                <w:webHidden/>
                <w:lang w:val="en-US"/>
              </w:rPr>
              <w:t>3</w:t>
            </w:r>
            <w:r w:rsidR="00C02388" w:rsidRPr="001558A5">
              <w:rPr>
                <w:noProof/>
                <w:webHidden/>
                <w:lang w:val="en-US"/>
              </w:rPr>
              <w:fldChar w:fldCharType="end"/>
            </w:r>
          </w:hyperlink>
        </w:p>
        <w:p w14:paraId="4B451E11" w14:textId="130CF2C2" w:rsidR="00C02388" w:rsidRPr="001558A5" w:rsidRDefault="00547BDC" w:rsidP="00156651">
          <w:pPr>
            <w:pStyle w:val="TDC1"/>
            <w:tabs>
              <w:tab w:val="clear" w:pos="9072"/>
              <w:tab w:val="right" w:leader="dot" w:pos="9167"/>
            </w:tabs>
            <w:rPr>
              <w:rFonts w:asciiTheme="minorHAnsi" w:eastAsiaTheme="minorEastAsia" w:hAnsiTheme="minorHAnsi" w:cstheme="minorBidi"/>
              <w:b w:val="0"/>
              <w:noProof/>
              <w:sz w:val="24"/>
              <w:lang w:val="en-US" w:eastAsia="es-MX"/>
            </w:rPr>
          </w:pPr>
          <w:hyperlink w:anchor="_Toc73430060" w:history="1">
            <w:r w:rsidR="00C02388" w:rsidRPr="001558A5">
              <w:rPr>
                <w:rStyle w:val="Hipervnculo"/>
                <w:noProof/>
                <w:lang w:val="en-US"/>
              </w:rPr>
              <w:t xml:space="preserve">VII.3. </w:t>
            </w:r>
            <w:r w:rsidR="00433B75" w:rsidRPr="001558A5">
              <w:rPr>
                <w:rStyle w:val="Hipervnculo"/>
                <w:noProof/>
                <w:lang w:val="en-US"/>
              </w:rPr>
              <w:t>RIGHT TO</w:t>
            </w:r>
            <w:r w:rsidR="00C02388" w:rsidRPr="001558A5">
              <w:rPr>
                <w:rStyle w:val="Hipervnculo"/>
                <w:noProof/>
                <w:lang w:val="en-US"/>
              </w:rPr>
              <w:t xml:space="preserve"> </w:t>
            </w:r>
            <w:r w:rsidR="00B732DD" w:rsidRPr="001558A5">
              <w:rPr>
                <w:rStyle w:val="Hipervnculo"/>
                <w:noProof/>
                <w:lang w:val="en-US"/>
              </w:rPr>
              <w:t>PERSONAL INTEGRITY</w:t>
            </w:r>
            <w:r w:rsidR="00C02388" w:rsidRPr="001558A5">
              <w:rPr>
                <w:rStyle w:val="Hipervnculo"/>
                <w:noProof/>
                <w:lang w:val="en-US"/>
              </w:rPr>
              <w:t xml:space="preserve"> </w:t>
            </w:r>
            <w:r w:rsidR="00433B75" w:rsidRPr="001558A5">
              <w:rPr>
                <w:rStyle w:val="Hipervnculo"/>
                <w:noProof/>
                <w:lang w:val="en-US"/>
              </w:rPr>
              <w:t>OF VICKY HERNÁNDEZ’S FAMILY</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_Toc73430060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3</w:t>
            </w:r>
            <w:r w:rsidR="001558A5" w:rsidRPr="001558A5">
              <w:rPr>
                <w:noProof/>
                <w:webHidden/>
                <w:lang w:val="en-US"/>
              </w:rPr>
              <w:t>5</w:t>
            </w:r>
            <w:r w:rsidR="00C02388" w:rsidRPr="001558A5">
              <w:rPr>
                <w:noProof/>
                <w:webHidden/>
                <w:lang w:val="en-US"/>
              </w:rPr>
              <w:fldChar w:fldCharType="end"/>
            </w:r>
          </w:hyperlink>
        </w:p>
        <w:p w14:paraId="359F5216" w14:textId="3D7E802D"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61" w:history="1">
            <w:r w:rsidR="00C02388" w:rsidRPr="001558A5">
              <w:rPr>
                <w:rStyle w:val="Hipervnculo"/>
                <w:i/>
                <w:noProof/>
                <w:lang w:val="en-US"/>
              </w:rPr>
              <w:t>A.</w:t>
            </w:r>
            <w:r w:rsidR="00C02388" w:rsidRPr="001558A5">
              <w:rPr>
                <w:rFonts w:asciiTheme="minorHAnsi" w:eastAsiaTheme="minorEastAsia" w:hAnsiTheme="minorHAnsi" w:cstheme="minorBidi"/>
                <w:noProof/>
                <w:sz w:val="24"/>
                <w:lang w:val="en-US" w:eastAsia="es-MX"/>
              </w:rPr>
              <w:tab/>
            </w:r>
            <w:r w:rsidR="00CC521A" w:rsidRPr="001558A5">
              <w:rPr>
                <w:rStyle w:val="Hipervnculo"/>
                <w:i/>
                <w:noProof/>
                <w:lang w:val="en-US"/>
              </w:rPr>
              <w:t>Arguments of the parties and the Commission</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_Toc73430061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3</w:t>
            </w:r>
            <w:r w:rsidR="001558A5" w:rsidRPr="001558A5">
              <w:rPr>
                <w:noProof/>
                <w:webHidden/>
                <w:lang w:val="en-US"/>
              </w:rPr>
              <w:t>5</w:t>
            </w:r>
            <w:r w:rsidR="00C02388" w:rsidRPr="001558A5">
              <w:rPr>
                <w:noProof/>
                <w:webHidden/>
                <w:lang w:val="en-US"/>
              </w:rPr>
              <w:fldChar w:fldCharType="end"/>
            </w:r>
          </w:hyperlink>
        </w:p>
        <w:p w14:paraId="3C1CDCA6" w14:textId="06ABBA14"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62" w:history="1">
            <w:r w:rsidR="00C02388" w:rsidRPr="001558A5">
              <w:rPr>
                <w:rStyle w:val="Hipervnculo"/>
                <w:i/>
                <w:noProof/>
                <w:lang w:val="en-US"/>
              </w:rPr>
              <w:t>B.</w:t>
            </w:r>
            <w:r w:rsidR="00C02388" w:rsidRPr="001558A5">
              <w:rPr>
                <w:rFonts w:asciiTheme="minorHAnsi" w:eastAsiaTheme="minorEastAsia" w:hAnsiTheme="minorHAnsi" w:cstheme="minorBidi"/>
                <w:noProof/>
                <w:sz w:val="24"/>
                <w:lang w:val="en-US" w:eastAsia="es-MX"/>
              </w:rPr>
              <w:tab/>
            </w:r>
            <w:r w:rsidR="00871E19" w:rsidRPr="001558A5">
              <w:rPr>
                <w:rStyle w:val="Hipervnculo"/>
                <w:i/>
                <w:noProof/>
                <w:lang w:val="en-US"/>
              </w:rPr>
              <w:t>Considerations</w:t>
            </w:r>
            <w:r w:rsidR="00DD4354" w:rsidRPr="001558A5">
              <w:rPr>
                <w:rStyle w:val="Hipervnculo"/>
                <w:i/>
                <w:noProof/>
                <w:lang w:val="en-US"/>
              </w:rPr>
              <w:t xml:space="preserve"> of the </w:t>
            </w:r>
            <w:r w:rsidR="00871E19" w:rsidRPr="001558A5">
              <w:rPr>
                <w:rStyle w:val="Hipervnculo"/>
                <w:i/>
                <w:noProof/>
                <w:lang w:val="en-US"/>
              </w:rPr>
              <w:t>Court</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_Toc73430062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3</w:t>
            </w:r>
            <w:r w:rsidR="001558A5" w:rsidRPr="001558A5">
              <w:rPr>
                <w:noProof/>
                <w:webHidden/>
                <w:lang w:val="en-US"/>
              </w:rPr>
              <w:t>6</w:t>
            </w:r>
            <w:r w:rsidR="00C02388" w:rsidRPr="001558A5">
              <w:rPr>
                <w:noProof/>
                <w:webHidden/>
                <w:lang w:val="en-US"/>
              </w:rPr>
              <w:fldChar w:fldCharType="end"/>
            </w:r>
          </w:hyperlink>
        </w:p>
        <w:p w14:paraId="3A49B129" w14:textId="44B218D6" w:rsidR="00C02388" w:rsidRPr="001558A5" w:rsidRDefault="00547BDC" w:rsidP="00156651">
          <w:pPr>
            <w:pStyle w:val="TDC1"/>
            <w:tabs>
              <w:tab w:val="clear" w:pos="9072"/>
              <w:tab w:val="right" w:leader="dot" w:pos="9167"/>
            </w:tabs>
            <w:rPr>
              <w:rFonts w:asciiTheme="minorHAnsi" w:eastAsiaTheme="minorEastAsia" w:hAnsiTheme="minorHAnsi" w:cstheme="minorBidi"/>
              <w:b w:val="0"/>
              <w:noProof/>
              <w:sz w:val="24"/>
              <w:lang w:val="en-US" w:eastAsia="es-MX"/>
            </w:rPr>
          </w:pPr>
          <w:hyperlink w:anchor="_Toc73430063" w:history="1">
            <w:r w:rsidR="00C02388" w:rsidRPr="001558A5">
              <w:rPr>
                <w:rStyle w:val="Hipervnculo"/>
                <w:noProof/>
                <w:lang w:val="en-US"/>
              </w:rPr>
              <w:t xml:space="preserve">VIII. </w:t>
            </w:r>
            <w:r w:rsidR="00871E19" w:rsidRPr="001558A5">
              <w:rPr>
                <w:rStyle w:val="Hipervnculo"/>
                <w:noProof/>
                <w:lang w:val="en-US"/>
              </w:rPr>
              <w:t>REPARATIONS</w:t>
            </w:r>
            <w:r w:rsidR="00C02388" w:rsidRPr="001558A5">
              <w:rPr>
                <w:noProof/>
                <w:webHidden/>
                <w:lang w:val="en-US"/>
              </w:rPr>
              <w:tab/>
            </w:r>
            <w:r w:rsidR="001558A5" w:rsidRPr="001558A5">
              <w:rPr>
                <w:noProof/>
                <w:webHidden/>
                <w:lang w:val="en-US"/>
              </w:rPr>
              <w:t>37</w:t>
            </w:r>
          </w:hyperlink>
        </w:p>
        <w:p w14:paraId="381E381A" w14:textId="198C736E"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64" w:history="1">
            <w:r w:rsidR="00C02388" w:rsidRPr="001558A5">
              <w:rPr>
                <w:rStyle w:val="Hipervnculo"/>
                <w:i/>
                <w:noProof/>
                <w:lang w:val="en-US"/>
              </w:rPr>
              <w:t>A.</w:t>
            </w:r>
            <w:r w:rsidR="00C02388" w:rsidRPr="001558A5">
              <w:rPr>
                <w:rFonts w:asciiTheme="minorHAnsi" w:eastAsiaTheme="minorEastAsia" w:hAnsiTheme="minorHAnsi" w:cstheme="minorBidi"/>
                <w:noProof/>
                <w:sz w:val="24"/>
                <w:lang w:val="en-US" w:eastAsia="es-MX"/>
              </w:rPr>
              <w:tab/>
            </w:r>
            <w:r w:rsidR="00134F57" w:rsidRPr="001558A5">
              <w:rPr>
                <w:rStyle w:val="Hipervnculo"/>
                <w:i/>
                <w:noProof/>
                <w:lang w:val="en-US"/>
              </w:rPr>
              <w:t>Injured party</w:t>
            </w:r>
            <w:r w:rsidR="00C02388" w:rsidRPr="001558A5">
              <w:rPr>
                <w:noProof/>
                <w:webHidden/>
                <w:lang w:val="en-US"/>
              </w:rPr>
              <w:tab/>
            </w:r>
            <w:r w:rsidR="001558A5" w:rsidRPr="001558A5">
              <w:rPr>
                <w:noProof/>
                <w:webHidden/>
                <w:lang w:val="en-US"/>
              </w:rPr>
              <w:t>38</w:t>
            </w:r>
          </w:hyperlink>
        </w:p>
        <w:p w14:paraId="7A5B1ED9" w14:textId="7FB30D64"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65" w:history="1">
            <w:r w:rsidR="00C02388" w:rsidRPr="001558A5">
              <w:rPr>
                <w:rStyle w:val="Hipervnculo"/>
                <w:i/>
                <w:noProof/>
                <w:lang w:val="en-US"/>
              </w:rPr>
              <w:t>B.</w:t>
            </w:r>
            <w:r w:rsidR="00C02388" w:rsidRPr="001558A5">
              <w:rPr>
                <w:rFonts w:asciiTheme="minorHAnsi" w:eastAsiaTheme="minorEastAsia" w:hAnsiTheme="minorHAnsi" w:cstheme="minorBidi"/>
                <w:noProof/>
                <w:sz w:val="24"/>
                <w:lang w:val="en-US" w:eastAsia="es-MX"/>
              </w:rPr>
              <w:tab/>
            </w:r>
            <w:r w:rsidR="00134F57" w:rsidRPr="001558A5">
              <w:rPr>
                <w:rStyle w:val="Hipervnculo"/>
                <w:i/>
                <w:noProof/>
                <w:lang w:val="en-US"/>
              </w:rPr>
              <w:t>Obligation to investigate</w:t>
            </w:r>
            <w:r w:rsidR="00C02388" w:rsidRPr="001558A5">
              <w:rPr>
                <w:noProof/>
                <w:webHidden/>
                <w:lang w:val="en-US"/>
              </w:rPr>
              <w:tab/>
            </w:r>
            <w:r w:rsidR="001558A5" w:rsidRPr="001558A5">
              <w:rPr>
                <w:noProof/>
                <w:webHidden/>
                <w:lang w:val="en-US"/>
              </w:rPr>
              <w:t>38</w:t>
            </w:r>
          </w:hyperlink>
        </w:p>
        <w:p w14:paraId="14BB7022" w14:textId="4FD4145F"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66" w:history="1">
            <w:r w:rsidR="00C02388" w:rsidRPr="001558A5">
              <w:rPr>
                <w:rStyle w:val="Hipervnculo"/>
                <w:i/>
                <w:noProof/>
                <w:lang w:val="en-US"/>
              </w:rPr>
              <w:t>C.</w:t>
            </w:r>
            <w:r w:rsidR="00C02388" w:rsidRPr="001558A5">
              <w:rPr>
                <w:rFonts w:asciiTheme="minorHAnsi" w:eastAsiaTheme="minorEastAsia" w:hAnsiTheme="minorHAnsi" w:cstheme="minorBidi"/>
                <w:noProof/>
                <w:sz w:val="24"/>
                <w:lang w:val="en-US" w:eastAsia="es-MX"/>
              </w:rPr>
              <w:tab/>
            </w:r>
            <w:r w:rsidR="007B4D4B" w:rsidRPr="001558A5">
              <w:rPr>
                <w:rStyle w:val="Hipervnculo"/>
                <w:i/>
                <w:noProof/>
                <w:lang w:val="en-US"/>
              </w:rPr>
              <w:t>Measures of satisfaction and rehabilitation</w:t>
            </w:r>
            <w:r w:rsidR="00C02388" w:rsidRPr="001558A5">
              <w:rPr>
                <w:noProof/>
                <w:webHidden/>
                <w:lang w:val="en-US"/>
              </w:rPr>
              <w:tab/>
            </w:r>
            <w:r w:rsidR="001558A5" w:rsidRPr="001558A5">
              <w:rPr>
                <w:noProof/>
                <w:webHidden/>
                <w:lang w:val="en-US"/>
              </w:rPr>
              <w:t>39</w:t>
            </w:r>
          </w:hyperlink>
        </w:p>
        <w:p w14:paraId="75C98138" w14:textId="69930B4D" w:rsidR="00C02388" w:rsidRPr="001558A5" w:rsidRDefault="00547BDC" w:rsidP="003A3662">
          <w:pPr>
            <w:pStyle w:val="TDC3"/>
            <w:rPr>
              <w:rFonts w:asciiTheme="minorHAnsi" w:eastAsiaTheme="minorEastAsia" w:hAnsiTheme="minorHAnsi" w:cstheme="minorBidi"/>
              <w:noProof/>
              <w:sz w:val="24"/>
              <w:lang w:val="en-US" w:eastAsia="es-MX"/>
            </w:rPr>
          </w:pPr>
          <w:hyperlink w:anchor="_Toc73430067" w:history="1">
            <w:r w:rsidR="00C02388" w:rsidRPr="001558A5">
              <w:rPr>
                <w:rStyle w:val="Hipervnculo"/>
                <w:noProof/>
                <w:lang w:val="en-US"/>
              </w:rPr>
              <w:t xml:space="preserve">C.1. </w:t>
            </w:r>
            <w:r w:rsidR="007B4D4B" w:rsidRPr="001558A5">
              <w:rPr>
                <w:rStyle w:val="Hipervnculo"/>
                <w:noProof/>
                <w:lang w:val="en-US"/>
              </w:rPr>
              <w:t>Measures of satisfaction</w:t>
            </w:r>
            <w:r w:rsidR="00C02388" w:rsidRPr="001558A5">
              <w:rPr>
                <w:noProof/>
                <w:webHidden/>
                <w:lang w:val="en-US"/>
              </w:rPr>
              <w:tab/>
            </w:r>
            <w:r w:rsidR="001558A5" w:rsidRPr="001558A5">
              <w:rPr>
                <w:noProof/>
                <w:webHidden/>
                <w:lang w:val="en-US"/>
              </w:rPr>
              <w:tab/>
              <w:t>39</w:t>
            </w:r>
          </w:hyperlink>
        </w:p>
        <w:p w14:paraId="4E6F3C60" w14:textId="0955F7F3" w:rsidR="00C02388" w:rsidRPr="001558A5" w:rsidRDefault="00547BDC" w:rsidP="003A3662">
          <w:pPr>
            <w:pStyle w:val="TDC3"/>
            <w:rPr>
              <w:rFonts w:asciiTheme="minorHAnsi" w:eastAsiaTheme="minorEastAsia" w:hAnsiTheme="minorHAnsi" w:cstheme="minorBidi"/>
              <w:noProof/>
              <w:sz w:val="24"/>
              <w:lang w:val="en-US" w:eastAsia="es-MX"/>
            </w:rPr>
          </w:pPr>
          <w:hyperlink w:anchor="_Toc73430068" w:history="1">
            <w:r w:rsidR="00C02388" w:rsidRPr="001558A5">
              <w:rPr>
                <w:rStyle w:val="Hipervnculo"/>
                <w:noProof/>
                <w:lang w:val="en-US"/>
              </w:rPr>
              <w:t xml:space="preserve">C.2. </w:t>
            </w:r>
            <w:r w:rsidR="007B4D4B" w:rsidRPr="001558A5">
              <w:rPr>
                <w:rStyle w:val="Hipervnculo"/>
                <w:noProof/>
                <w:lang w:val="en-US"/>
              </w:rPr>
              <w:t>Measures of rehabilitation</w:t>
            </w:r>
            <w:r w:rsidR="00C02388" w:rsidRPr="001558A5">
              <w:rPr>
                <w:noProof/>
                <w:webHidden/>
                <w:lang w:val="en-US"/>
              </w:rPr>
              <w:tab/>
            </w:r>
            <w:r w:rsidR="001558A5"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_Toc73430068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4</w:t>
            </w:r>
            <w:r w:rsidR="001558A5" w:rsidRPr="001558A5">
              <w:rPr>
                <w:noProof/>
                <w:webHidden/>
                <w:lang w:val="en-US"/>
              </w:rPr>
              <w:t>2</w:t>
            </w:r>
            <w:r w:rsidR="00C02388" w:rsidRPr="001558A5">
              <w:rPr>
                <w:noProof/>
                <w:webHidden/>
                <w:lang w:val="en-US"/>
              </w:rPr>
              <w:fldChar w:fldCharType="end"/>
            </w:r>
          </w:hyperlink>
        </w:p>
        <w:p w14:paraId="1C6C129B" w14:textId="5B659311"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69" w:history="1">
            <w:r w:rsidR="00C02388" w:rsidRPr="001558A5">
              <w:rPr>
                <w:rStyle w:val="Hipervnculo"/>
                <w:i/>
                <w:noProof/>
                <w:lang w:val="en-US"/>
              </w:rPr>
              <w:t>D.</w:t>
            </w:r>
            <w:r w:rsidR="00C02388" w:rsidRPr="001558A5">
              <w:rPr>
                <w:rFonts w:asciiTheme="minorHAnsi" w:eastAsiaTheme="minorEastAsia" w:hAnsiTheme="minorHAnsi" w:cstheme="minorBidi"/>
                <w:noProof/>
                <w:sz w:val="24"/>
                <w:lang w:val="en-US" w:eastAsia="es-MX"/>
              </w:rPr>
              <w:tab/>
            </w:r>
            <w:r w:rsidR="00306C73" w:rsidRPr="001558A5">
              <w:rPr>
                <w:rStyle w:val="Hipervnculo"/>
                <w:i/>
                <w:noProof/>
                <w:lang w:val="en-US"/>
              </w:rPr>
              <w:t>Guarantees of non-repetition</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_Toc73430069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4</w:t>
            </w:r>
            <w:r w:rsidR="001558A5" w:rsidRPr="001558A5">
              <w:rPr>
                <w:noProof/>
                <w:webHidden/>
                <w:lang w:val="en-US"/>
              </w:rPr>
              <w:t>3</w:t>
            </w:r>
            <w:r w:rsidR="00C02388" w:rsidRPr="001558A5">
              <w:rPr>
                <w:noProof/>
                <w:webHidden/>
                <w:lang w:val="en-US"/>
              </w:rPr>
              <w:fldChar w:fldCharType="end"/>
            </w:r>
          </w:hyperlink>
        </w:p>
        <w:p w14:paraId="79129514" w14:textId="2A46D3A1" w:rsidR="00C02388" w:rsidRPr="001558A5" w:rsidRDefault="00547BDC" w:rsidP="003A3662">
          <w:pPr>
            <w:pStyle w:val="TDC3"/>
            <w:rPr>
              <w:rFonts w:asciiTheme="minorHAnsi" w:eastAsiaTheme="minorEastAsia" w:hAnsiTheme="minorHAnsi" w:cstheme="minorBidi"/>
              <w:noProof/>
              <w:sz w:val="24"/>
              <w:lang w:val="en-US" w:eastAsia="es-MX"/>
            </w:rPr>
          </w:pPr>
          <w:hyperlink w:anchor="_Toc73430070" w:history="1">
            <w:r w:rsidR="00C02388" w:rsidRPr="001558A5">
              <w:rPr>
                <w:rStyle w:val="Hipervnculo"/>
                <w:noProof/>
                <w:lang w:val="en-US"/>
              </w:rPr>
              <w:t xml:space="preserve">D.1. </w:t>
            </w:r>
            <w:r w:rsidR="00306C73" w:rsidRPr="001558A5">
              <w:rPr>
                <w:rStyle w:val="Hipervnculo"/>
                <w:noProof/>
                <w:lang w:val="en-US"/>
              </w:rPr>
              <w:t>Education, awareness-raising and training for law enforcement personnel</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_Toc73430070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4</w:t>
            </w:r>
            <w:r w:rsidR="001558A5" w:rsidRPr="001558A5">
              <w:rPr>
                <w:noProof/>
                <w:webHidden/>
                <w:lang w:val="en-US"/>
              </w:rPr>
              <w:t>3</w:t>
            </w:r>
            <w:r w:rsidR="00C02388" w:rsidRPr="001558A5">
              <w:rPr>
                <w:noProof/>
                <w:webHidden/>
                <w:lang w:val="en-US"/>
              </w:rPr>
              <w:fldChar w:fldCharType="end"/>
            </w:r>
          </w:hyperlink>
        </w:p>
        <w:p w14:paraId="58EE1920" w14:textId="5B54D8B7" w:rsidR="00C02388" w:rsidRPr="001558A5" w:rsidRDefault="00547BDC" w:rsidP="003A3662">
          <w:pPr>
            <w:pStyle w:val="TDC3"/>
            <w:rPr>
              <w:rFonts w:asciiTheme="minorHAnsi" w:eastAsiaTheme="minorEastAsia" w:hAnsiTheme="minorHAnsi" w:cstheme="minorBidi"/>
              <w:noProof/>
              <w:sz w:val="24"/>
              <w:lang w:val="en-US" w:eastAsia="es-MX"/>
            </w:rPr>
          </w:pPr>
          <w:hyperlink w:anchor="_Toc73430071" w:history="1">
            <w:r w:rsidR="00C02388" w:rsidRPr="001558A5">
              <w:rPr>
                <w:rStyle w:val="Hipervnculo"/>
                <w:noProof/>
                <w:lang w:val="en-US"/>
              </w:rPr>
              <w:t xml:space="preserve">D.2. </w:t>
            </w:r>
            <w:r w:rsidR="00F65BB5" w:rsidRPr="001558A5">
              <w:rPr>
                <w:rStyle w:val="Hipervnculo"/>
                <w:noProof/>
                <w:lang w:val="en-US"/>
              </w:rPr>
              <w:t>Procedure for the recognition of</w:t>
            </w:r>
            <w:r w:rsidR="00C02388" w:rsidRPr="001558A5">
              <w:rPr>
                <w:rStyle w:val="Hipervnculo"/>
                <w:noProof/>
                <w:lang w:val="en-US"/>
              </w:rPr>
              <w:t xml:space="preserve"> </w:t>
            </w:r>
            <w:r w:rsidR="00DF7573" w:rsidRPr="001558A5">
              <w:rPr>
                <w:rStyle w:val="Hipervnculo"/>
                <w:noProof/>
                <w:lang w:val="en-US"/>
              </w:rPr>
              <w:t>gender identity</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_Toc73430071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4</w:t>
            </w:r>
            <w:r w:rsidR="00C02388" w:rsidRPr="001558A5">
              <w:rPr>
                <w:noProof/>
                <w:webHidden/>
                <w:lang w:val="en-US"/>
              </w:rPr>
              <w:fldChar w:fldCharType="end"/>
            </w:r>
          </w:hyperlink>
          <w:r w:rsidR="001558A5" w:rsidRPr="001558A5">
            <w:rPr>
              <w:noProof/>
              <w:lang w:val="en-US"/>
            </w:rPr>
            <w:t>3</w:t>
          </w:r>
        </w:p>
        <w:p w14:paraId="4146BA04" w14:textId="756A937E" w:rsidR="00C02388" w:rsidRPr="001558A5" w:rsidRDefault="00547BDC" w:rsidP="003A3662">
          <w:pPr>
            <w:pStyle w:val="TDC3"/>
            <w:rPr>
              <w:rFonts w:asciiTheme="minorHAnsi" w:eastAsiaTheme="minorEastAsia" w:hAnsiTheme="minorHAnsi" w:cstheme="minorBidi"/>
              <w:noProof/>
              <w:sz w:val="24"/>
              <w:lang w:val="en-US" w:eastAsia="es-MX"/>
            </w:rPr>
          </w:pPr>
          <w:hyperlink w:anchor="_Toc73430072" w:history="1">
            <w:r w:rsidR="00C02388" w:rsidRPr="001558A5">
              <w:rPr>
                <w:rStyle w:val="Hipervnculo"/>
                <w:noProof/>
                <w:lang w:val="en-US"/>
              </w:rPr>
              <w:t xml:space="preserve">D.3. </w:t>
            </w:r>
            <w:r w:rsidR="00C84E97" w:rsidRPr="001558A5">
              <w:rPr>
                <w:rStyle w:val="Hipervnculo"/>
                <w:noProof/>
                <w:lang w:val="en-US"/>
              </w:rPr>
              <w:t>Adoption of special investigation protocols</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_Toc73430072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4</w:t>
            </w:r>
            <w:r w:rsidR="001558A5" w:rsidRPr="001558A5">
              <w:rPr>
                <w:noProof/>
                <w:webHidden/>
                <w:lang w:val="en-US"/>
              </w:rPr>
              <w:t>4</w:t>
            </w:r>
            <w:r w:rsidR="00C02388" w:rsidRPr="001558A5">
              <w:rPr>
                <w:noProof/>
                <w:webHidden/>
                <w:lang w:val="en-US"/>
              </w:rPr>
              <w:fldChar w:fldCharType="end"/>
            </w:r>
          </w:hyperlink>
        </w:p>
        <w:p w14:paraId="515AF9AD" w14:textId="39DAD92D" w:rsidR="00C02388" w:rsidRPr="001558A5" w:rsidRDefault="00547BDC" w:rsidP="003A3662">
          <w:pPr>
            <w:pStyle w:val="TDC3"/>
            <w:rPr>
              <w:rFonts w:asciiTheme="minorHAnsi" w:eastAsiaTheme="minorEastAsia" w:hAnsiTheme="minorHAnsi" w:cstheme="minorBidi"/>
              <w:noProof/>
              <w:sz w:val="24"/>
              <w:lang w:val="en-US" w:eastAsia="es-MX"/>
            </w:rPr>
          </w:pPr>
          <w:hyperlink w:anchor="_Toc73430073" w:history="1">
            <w:r w:rsidR="00C02388" w:rsidRPr="001558A5">
              <w:rPr>
                <w:rStyle w:val="Hipervnculo"/>
                <w:noProof/>
                <w:lang w:val="en-US"/>
              </w:rPr>
              <w:t xml:space="preserve">D.4. </w:t>
            </w:r>
            <w:r w:rsidR="00180499" w:rsidRPr="001558A5">
              <w:rPr>
                <w:rStyle w:val="Hipervnculo"/>
                <w:noProof/>
                <w:lang w:val="en-US"/>
              </w:rPr>
              <w:t>Diagnosis, compilation of data and elaboration of statistics</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_Toc73430073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4</w:t>
            </w:r>
            <w:r w:rsidR="001558A5" w:rsidRPr="001558A5">
              <w:rPr>
                <w:noProof/>
                <w:webHidden/>
                <w:lang w:val="en-US"/>
              </w:rPr>
              <w:t>5</w:t>
            </w:r>
            <w:r w:rsidR="00C02388" w:rsidRPr="001558A5">
              <w:rPr>
                <w:noProof/>
                <w:webHidden/>
                <w:lang w:val="en-US"/>
              </w:rPr>
              <w:fldChar w:fldCharType="end"/>
            </w:r>
          </w:hyperlink>
        </w:p>
        <w:p w14:paraId="2A2953F7" w14:textId="3F3902B5"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74" w:history="1">
            <w:r w:rsidR="00C02388" w:rsidRPr="001558A5">
              <w:rPr>
                <w:rStyle w:val="Hipervnculo"/>
                <w:i/>
                <w:noProof/>
                <w:lang w:val="en-US"/>
              </w:rPr>
              <w:t>E.</w:t>
            </w:r>
            <w:r w:rsidR="00C02388" w:rsidRPr="001558A5">
              <w:rPr>
                <w:rFonts w:asciiTheme="minorHAnsi" w:eastAsiaTheme="minorEastAsia" w:hAnsiTheme="minorHAnsi" w:cstheme="minorBidi"/>
                <w:noProof/>
                <w:sz w:val="24"/>
                <w:lang w:val="en-US" w:eastAsia="es-MX"/>
              </w:rPr>
              <w:tab/>
            </w:r>
            <w:r w:rsidR="006C6EBD" w:rsidRPr="001558A5">
              <w:rPr>
                <w:rStyle w:val="Hipervnculo"/>
                <w:i/>
                <w:noProof/>
                <w:lang w:val="en-US"/>
              </w:rPr>
              <w:t>Other measures requested</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_Toc73430074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4</w:t>
            </w:r>
            <w:r w:rsidR="001558A5" w:rsidRPr="001558A5">
              <w:rPr>
                <w:noProof/>
                <w:webHidden/>
                <w:lang w:val="en-US"/>
              </w:rPr>
              <w:t>6</w:t>
            </w:r>
            <w:r w:rsidR="00C02388" w:rsidRPr="001558A5">
              <w:rPr>
                <w:noProof/>
                <w:webHidden/>
                <w:lang w:val="en-US"/>
              </w:rPr>
              <w:fldChar w:fldCharType="end"/>
            </w:r>
          </w:hyperlink>
        </w:p>
        <w:p w14:paraId="0E86F6B6" w14:textId="2E7ADB11"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75" w:history="1">
            <w:r w:rsidR="00C02388" w:rsidRPr="001558A5">
              <w:rPr>
                <w:rStyle w:val="Hipervnculo"/>
                <w:i/>
                <w:noProof/>
                <w:lang w:val="en-US"/>
              </w:rPr>
              <w:t>F.</w:t>
            </w:r>
            <w:r w:rsidR="00C02388" w:rsidRPr="001558A5">
              <w:rPr>
                <w:rFonts w:asciiTheme="minorHAnsi" w:eastAsiaTheme="minorEastAsia" w:hAnsiTheme="minorHAnsi" w:cstheme="minorBidi"/>
                <w:noProof/>
                <w:sz w:val="24"/>
                <w:lang w:val="en-US" w:eastAsia="es-MX"/>
              </w:rPr>
              <w:tab/>
            </w:r>
            <w:r w:rsidR="00490D1B" w:rsidRPr="001558A5">
              <w:rPr>
                <w:rStyle w:val="Hipervnculo"/>
                <w:i/>
                <w:noProof/>
                <w:lang w:val="en-US"/>
              </w:rPr>
              <w:t>Compensation</w:t>
            </w:r>
            <w:r w:rsidR="00C02388" w:rsidRPr="001558A5">
              <w:rPr>
                <w:noProof/>
                <w:webHidden/>
                <w:lang w:val="en-US"/>
              </w:rPr>
              <w:tab/>
            </w:r>
            <w:r w:rsidR="001558A5" w:rsidRPr="001558A5">
              <w:rPr>
                <w:noProof/>
                <w:webHidden/>
                <w:lang w:val="en-US"/>
              </w:rPr>
              <w:t>47</w:t>
            </w:r>
          </w:hyperlink>
        </w:p>
        <w:p w14:paraId="6AB35EA2" w14:textId="1FA827ED" w:rsidR="00C02388" w:rsidRPr="001558A5" w:rsidRDefault="00547BDC" w:rsidP="003A3662">
          <w:pPr>
            <w:pStyle w:val="TDC3"/>
            <w:rPr>
              <w:rFonts w:asciiTheme="minorHAnsi" w:eastAsiaTheme="minorEastAsia" w:hAnsiTheme="minorHAnsi" w:cstheme="minorBidi"/>
              <w:noProof/>
              <w:sz w:val="24"/>
              <w:lang w:val="en-US" w:eastAsia="es-MX"/>
            </w:rPr>
          </w:pPr>
          <w:hyperlink w:anchor="_Toc73430076" w:history="1">
            <w:r w:rsidR="00C02388" w:rsidRPr="001558A5">
              <w:rPr>
                <w:rStyle w:val="Hipervnculo"/>
                <w:noProof/>
                <w:snapToGrid w:val="0"/>
                <w:spacing w:val="-2"/>
                <w:lang w:val="en-US" w:eastAsia="es-ES"/>
              </w:rPr>
              <w:t xml:space="preserve">F.1 </w:t>
            </w:r>
            <w:r w:rsidR="00F747EC" w:rsidRPr="001558A5">
              <w:rPr>
                <w:rStyle w:val="Hipervnculo"/>
                <w:noProof/>
                <w:snapToGrid w:val="0"/>
                <w:spacing w:val="-2"/>
                <w:lang w:val="en-US" w:eastAsia="es-ES"/>
              </w:rPr>
              <w:t xml:space="preserve"> </w:t>
            </w:r>
            <w:r w:rsidR="00490D1B" w:rsidRPr="001558A5">
              <w:rPr>
                <w:rStyle w:val="Hipervnculo"/>
                <w:noProof/>
                <w:snapToGrid w:val="0"/>
                <w:spacing w:val="-2"/>
                <w:lang w:val="en-US" w:eastAsia="es-ES"/>
              </w:rPr>
              <w:t>Pecuniary damage</w:t>
            </w:r>
            <w:r w:rsidR="00C02388" w:rsidRPr="001558A5">
              <w:rPr>
                <w:noProof/>
                <w:webHidden/>
                <w:lang w:val="en-US"/>
              </w:rPr>
              <w:tab/>
            </w:r>
            <w:r w:rsidR="001558A5" w:rsidRPr="001558A5">
              <w:rPr>
                <w:noProof/>
                <w:webHidden/>
                <w:lang w:val="en-US"/>
              </w:rPr>
              <w:tab/>
              <w:t>47</w:t>
            </w:r>
          </w:hyperlink>
        </w:p>
        <w:p w14:paraId="7E4267BB" w14:textId="30B55181" w:rsidR="00C02388" w:rsidRPr="001558A5" w:rsidRDefault="00547BDC" w:rsidP="003A3662">
          <w:pPr>
            <w:pStyle w:val="TDC3"/>
            <w:rPr>
              <w:rFonts w:asciiTheme="minorHAnsi" w:eastAsiaTheme="minorEastAsia" w:hAnsiTheme="minorHAnsi" w:cstheme="minorBidi"/>
              <w:noProof/>
              <w:sz w:val="24"/>
              <w:lang w:val="en-US" w:eastAsia="es-MX"/>
            </w:rPr>
          </w:pPr>
          <w:hyperlink w:anchor="_Toc73430077" w:history="1">
            <w:r w:rsidR="00C02388" w:rsidRPr="001558A5">
              <w:rPr>
                <w:rStyle w:val="Hipervnculo"/>
                <w:noProof/>
                <w:snapToGrid w:val="0"/>
                <w:spacing w:val="-2"/>
                <w:lang w:val="en-US" w:eastAsia="es-ES"/>
              </w:rPr>
              <w:t xml:space="preserve">F.2. </w:t>
            </w:r>
            <w:r w:rsidR="00490D1B" w:rsidRPr="001558A5">
              <w:rPr>
                <w:rStyle w:val="Hipervnculo"/>
                <w:noProof/>
                <w:snapToGrid w:val="0"/>
                <w:spacing w:val="-2"/>
                <w:lang w:val="en-US" w:eastAsia="es-ES"/>
              </w:rPr>
              <w:t>Non-pecuniary damage</w:t>
            </w:r>
            <w:r w:rsidR="00C02388" w:rsidRPr="001558A5">
              <w:rPr>
                <w:noProof/>
                <w:webHidden/>
                <w:lang w:val="en-US"/>
              </w:rPr>
              <w:tab/>
            </w:r>
            <w:r w:rsidR="001558A5" w:rsidRPr="001558A5">
              <w:rPr>
                <w:noProof/>
                <w:webHidden/>
                <w:lang w:val="en-US"/>
              </w:rPr>
              <w:tab/>
              <w:t>48</w:t>
            </w:r>
          </w:hyperlink>
        </w:p>
        <w:p w14:paraId="54926CF0" w14:textId="63B22593"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78" w:history="1">
            <w:r w:rsidR="00C02388" w:rsidRPr="001558A5">
              <w:rPr>
                <w:rStyle w:val="Hipervnculo"/>
                <w:i/>
                <w:noProof/>
                <w:lang w:val="en-US"/>
              </w:rPr>
              <w:t>G.</w:t>
            </w:r>
            <w:r w:rsidR="00C02388" w:rsidRPr="001558A5">
              <w:rPr>
                <w:rFonts w:asciiTheme="minorHAnsi" w:eastAsiaTheme="minorEastAsia" w:hAnsiTheme="minorHAnsi" w:cstheme="minorBidi"/>
                <w:noProof/>
                <w:sz w:val="24"/>
                <w:lang w:val="en-US" w:eastAsia="es-MX"/>
              </w:rPr>
              <w:tab/>
            </w:r>
            <w:r w:rsidR="00907FBD" w:rsidRPr="001558A5">
              <w:rPr>
                <w:rStyle w:val="Hipervnculo"/>
                <w:i/>
                <w:noProof/>
                <w:lang w:val="en-US"/>
              </w:rPr>
              <w:t>Costs and expenses</w:t>
            </w:r>
            <w:r w:rsidR="00C02388" w:rsidRPr="001558A5">
              <w:rPr>
                <w:noProof/>
                <w:webHidden/>
                <w:lang w:val="en-US"/>
              </w:rPr>
              <w:tab/>
            </w:r>
            <w:r w:rsidR="001558A5" w:rsidRPr="001558A5">
              <w:rPr>
                <w:noProof/>
                <w:webHidden/>
                <w:lang w:val="en-US"/>
              </w:rPr>
              <w:t>49</w:t>
            </w:r>
          </w:hyperlink>
        </w:p>
        <w:p w14:paraId="106A24B5" w14:textId="0D1B31E5" w:rsidR="00C02388" w:rsidRPr="001558A5" w:rsidRDefault="00547BDC" w:rsidP="00156651">
          <w:pPr>
            <w:pStyle w:val="TDC2"/>
            <w:tabs>
              <w:tab w:val="clear" w:pos="9072"/>
              <w:tab w:val="right" w:leader="dot" w:pos="9167"/>
            </w:tabs>
            <w:rPr>
              <w:rFonts w:asciiTheme="minorHAnsi" w:eastAsiaTheme="minorEastAsia" w:hAnsiTheme="minorHAnsi" w:cstheme="minorBidi"/>
              <w:noProof/>
              <w:sz w:val="24"/>
              <w:lang w:val="en-US" w:eastAsia="es-MX"/>
            </w:rPr>
          </w:pPr>
          <w:hyperlink w:anchor="_Toc73430079" w:history="1">
            <w:r w:rsidR="00C02388" w:rsidRPr="001558A5">
              <w:rPr>
                <w:rStyle w:val="Hipervnculo"/>
                <w:i/>
                <w:noProof/>
                <w:lang w:val="en-US"/>
              </w:rPr>
              <w:t>H.</w:t>
            </w:r>
            <w:r w:rsidR="00C02388" w:rsidRPr="001558A5">
              <w:rPr>
                <w:rFonts w:asciiTheme="minorHAnsi" w:eastAsiaTheme="minorEastAsia" w:hAnsiTheme="minorHAnsi" w:cstheme="minorBidi"/>
                <w:noProof/>
                <w:sz w:val="24"/>
                <w:lang w:val="en-US" w:eastAsia="es-MX"/>
              </w:rPr>
              <w:tab/>
            </w:r>
            <w:r w:rsidR="00E135CD" w:rsidRPr="001558A5">
              <w:rPr>
                <w:rStyle w:val="Hipervnculo"/>
                <w:i/>
                <w:noProof/>
                <w:lang w:val="en-US"/>
              </w:rPr>
              <w:t>Method of complying with the payments ordered</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_Toc73430079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5</w:t>
            </w:r>
            <w:r w:rsidR="001558A5" w:rsidRPr="001558A5">
              <w:rPr>
                <w:noProof/>
                <w:webHidden/>
                <w:lang w:val="en-US"/>
              </w:rPr>
              <w:t>0</w:t>
            </w:r>
            <w:r w:rsidR="00C02388" w:rsidRPr="001558A5">
              <w:rPr>
                <w:noProof/>
                <w:webHidden/>
                <w:lang w:val="en-US"/>
              </w:rPr>
              <w:fldChar w:fldCharType="end"/>
            </w:r>
          </w:hyperlink>
        </w:p>
        <w:p w14:paraId="530EEE59" w14:textId="630E76A5" w:rsidR="00C02388" w:rsidRPr="001558A5" w:rsidRDefault="00547BDC" w:rsidP="00156651">
          <w:pPr>
            <w:pStyle w:val="TDC1"/>
            <w:tabs>
              <w:tab w:val="clear" w:pos="9072"/>
              <w:tab w:val="right" w:leader="dot" w:pos="9167"/>
            </w:tabs>
            <w:rPr>
              <w:rFonts w:asciiTheme="minorHAnsi" w:eastAsiaTheme="minorEastAsia" w:hAnsiTheme="minorHAnsi" w:cstheme="minorBidi"/>
              <w:b w:val="0"/>
              <w:noProof/>
              <w:sz w:val="24"/>
              <w:lang w:val="en-US" w:eastAsia="es-MX"/>
            </w:rPr>
          </w:pPr>
          <w:hyperlink w:anchor="_Toc73430080" w:history="1">
            <w:r w:rsidR="00C02388" w:rsidRPr="001558A5">
              <w:rPr>
                <w:rStyle w:val="Hipervnculo"/>
                <w:noProof/>
                <w:lang w:val="en-US"/>
              </w:rPr>
              <w:t xml:space="preserve">IX. </w:t>
            </w:r>
            <w:r w:rsidR="00871E19" w:rsidRPr="001558A5">
              <w:rPr>
                <w:rStyle w:val="Hipervnculo"/>
                <w:noProof/>
                <w:lang w:val="en-US"/>
              </w:rPr>
              <w:t>OPERATIVE PARAGRAPHS</w:t>
            </w:r>
            <w:r w:rsidR="00C02388" w:rsidRPr="001558A5">
              <w:rPr>
                <w:noProof/>
                <w:webHidden/>
                <w:lang w:val="en-US"/>
              </w:rPr>
              <w:tab/>
            </w:r>
            <w:r w:rsidR="00C02388" w:rsidRPr="001558A5">
              <w:rPr>
                <w:noProof/>
                <w:webHidden/>
                <w:lang w:val="en-US"/>
              </w:rPr>
              <w:fldChar w:fldCharType="begin"/>
            </w:r>
            <w:r w:rsidR="00C02388" w:rsidRPr="001558A5">
              <w:rPr>
                <w:noProof/>
                <w:webHidden/>
                <w:lang w:val="en-US"/>
              </w:rPr>
              <w:instrText xml:space="preserve"> PAGEREF _Toc73430080 \h </w:instrText>
            </w:r>
            <w:r w:rsidR="00C02388" w:rsidRPr="001558A5">
              <w:rPr>
                <w:noProof/>
                <w:webHidden/>
                <w:lang w:val="en-US"/>
              </w:rPr>
            </w:r>
            <w:r w:rsidR="00C02388" w:rsidRPr="001558A5">
              <w:rPr>
                <w:noProof/>
                <w:webHidden/>
                <w:lang w:val="en-US"/>
              </w:rPr>
              <w:fldChar w:fldCharType="separate"/>
            </w:r>
            <w:r w:rsidR="00C02388" w:rsidRPr="001558A5">
              <w:rPr>
                <w:noProof/>
                <w:webHidden/>
                <w:lang w:val="en-US"/>
              </w:rPr>
              <w:t>5</w:t>
            </w:r>
            <w:r w:rsidR="001558A5" w:rsidRPr="001558A5">
              <w:rPr>
                <w:noProof/>
                <w:webHidden/>
                <w:lang w:val="en-US"/>
              </w:rPr>
              <w:t>0</w:t>
            </w:r>
            <w:r w:rsidR="00C02388" w:rsidRPr="001558A5">
              <w:rPr>
                <w:noProof/>
                <w:webHidden/>
                <w:lang w:val="en-US"/>
              </w:rPr>
              <w:fldChar w:fldCharType="end"/>
            </w:r>
          </w:hyperlink>
        </w:p>
        <w:p w14:paraId="02E7222F" w14:textId="0E8ECFD7" w:rsidR="007914C4" w:rsidRPr="001558A5" w:rsidRDefault="007914C4" w:rsidP="00945CE2">
          <w:pPr>
            <w:rPr>
              <w:lang w:val="en-US"/>
            </w:rPr>
          </w:pPr>
          <w:r w:rsidRPr="001558A5">
            <w:rPr>
              <w:b/>
              <w:bCs/>
              <w:lang w:val="en-US"/>
            </w:rPr>
            <w:fldChar w:fldCharType="end"/>
          </w:r>
        </w:p>
      </w:sdtContent>
    </w:sdt>
    <w:p w14:paraId="3A81514D" w14:textId="46C0B6A3" w:rsidR="00FC2BD9" w:rsidRPr="001558A5" w:rsidRDefault="00FC2BD9" w:rsidP="00945CE2">
      <w:pPr>
        <w:spacing w:after="200" w:line="276" w:lineRule="auto"/>
        <w:jc w:val="left"/>
        <w:rPr>
          <w:rFonts w:eastAsia="Times New Roman" w:cs="Verdana"/>
          <w:b/>
          <w:bCs/>
          <w:caps/>
          <w:snapToGrid w:val="0"/>
          <w:szCs w:val="20"/>
          <w:lang w:val="en-US" w:eastAsia="es-ES"/>
        </w:rPr>
      </w:pPr>
      <w:r w:rsidRPr="001558A5">
        <w:rPr>
          <w:rFonts w:eastAsia="Times New Roman" w:cs="Verdana"/>
          <w:b/>
          <w:bCs/>
          <w:caps/>
          <w:snapToGrid w:val="0"/>
          <w:szCs w:val="20"/>
          <w:lang w:val="en-US" w:eastAsia="es-ES"/>
        </w:rPr>
        <w:br w:type="page"/>
      </w:r>
    </w:p>
    <w:p w14:paraId="43E8B3B6" w14:textId="448867A8" w:rsidR="009569E6" w:rsidRPr="001558A5" w:rsidRDefault="00C6683F" w:rsidP="00945CE2">
      <w:pPr>
        <w:pStyle w:val="Ttulo1"/>
        <w:ind w:right="-4"/>
        <w:rPr>
          <w:lang w:val="en-US"/>
        </w:rPr>
      </w:pPr>
      <w:bookmarkStart w:id="8" w:name="_Toc73430032"/>
      <w:r w:rsidRPr="001558A5">
        <w:rPr>
          <w:lang w:val="en-US"/>
        </w:rPr>
        <w:lastRenderedPageBreak/>
        <w:t>I</w:t>
      </w:r>
      <w:r w:rsidRPr="001558A5">
        <w:rPr>
          <w:color w:val="FFFFFF" w:themeColor="background1"/>
          <w:lang w:val="en-US"/>
        </w:rPr>
        <w:t>.</w:t>
      </w:r>
      <w:r w:rsidRPr="001558A5">
        <w:rPr>
          <w:lang w:val="en-US"/>
        </w:rPr>
        <w:br/>
      </w:r>
      <w:r w:rsidR="00871E19" w:rsidRPr="001558A5">
        <w:rPr>
          <w:lang w:val="en-US"/>
        </w:rPr>
        <w:t>INTRODUCTION OF THE CASE AND PURPOSE OF THE DISPUTE</w:t>
      </w:r>
      <w:bookmarkEnd w:id="1"/>
      <w:bookmarkEnd w:id="2"/>
      <w:bookmarkEnd w:id="3"/>
      <w:bookmarkEnd w:id="4"/>
      <w:bookmarkEnd w:id="5"/>
      <w:bookmarkEnd w:id="6"/>
      <w:bookmarkEnd w:id="7"/>
      <w:bookmarkEnd w:id="8"/>
    </w:p>
    <w:p w14:paraId="5143248F" w14:textId="3241C6B9" w:rsidR="00585356" w:rsidRPr="001558A5" w:rsidRDefault="00DE0C4B" w:rsidP="005137C7">
      <w:pPr>
        <w:pStyle w:val="Prrafodelista"/>
        <w:numPr>
          <w:ilvl w:val="0"/>
          <w:numId w:val="2"/>
        </w:numPr>
        <w:spacing w:before="120" w:after="120"/>
        <w:ind w:left="0" w:right="-6" w:firstLine="0"/>
        <w:rPr>
          <w:szCs w:val="20"/>
          <w:lang w:val="en-US"/>
        </w:rPr>
      </w:pPr>
      <w:r w:rsidRPr="001558A5">
        <w:rPr>
          <w:i/>
          <w:szCs w:val="20"/>
          <w:lang w:val="en-US"/>
        </w:rPr>
        <w:t>The case submitted to</w:t>
      </w:r>
      <w:r w:rsidR="009569E6" w:rsidRPr="001558A5">
        <w:rPr>
          <w:i/>
          <w:szCs w:val="20"/>
          <w:lang w:val="en-US"/>
        </w:rPr>
        <w:t xml:space="preserve"> </w:t>
      </w:r>
      <w:r w:rsidR="00871E19" w:rsidRPr="001558A5">
        <w:rPr>
          <w:i/>
          <w:szCs w:val="20"/>
          <w:lang w:val="en-US"/>
        </w:rPr>
        <w:t>the Court</w:t>
      </w:r>
      <w:r w:rsidR="009569E6" w:rsidRPr="001558A5">
        <w:rPr>
          <w:i/>
          <w:szCs w:val="20"/>
          <w:lang w:val="en-US"/>
        </w:rPr>
        <w:t>.</w:t>
      </w:r>
      <w:r w:rsidR="009569E6" w:rsidRPr="001558A5">
        <w:rPr>
          <w:szCs w:val="20"/>
          <w:lang w:val="en-US"/>
        </w:rPr>
        <w:t xml:space="preserve"> </w:t>
      </w:r>
      <w:r w:rsidRPr="001558A5">
        <w:rPr>
          <w:szCs w:val="20"/>
          <w:lang w:val="en-US"/>
        </w:rPr>
        <w:t>On April 30,</w:t>
      </w:r>
      <w:r w:rsidR="00A86DF9" w:rsidRPr="001558A5">
        <w:rPr>
          <w:szCs w:val="20"/>
          <w:lang w:val="en-US"/>
        </w:rPr>
        <w:t xml:space="preserve"> 201</w:t>
      </w:r>
      <w:r w:rsidR="006C4DA6" w:rsidRPr="001558A5">
        <w:rPr>
          <w:szCs w:val="20"/>
          <w:lang w:val="en-US"/>
        </w:rPr>
        <w:t>9</w:t>
      </w:r>
      <w:r w:rsidRPr="001558A5">
        <w:rPr>
          <w:szCs w:val="20"/>
          <w:lang w:val="en-US"/>
        </w:rPr>
        <w:t>,</w:t>
      </w:r>
      <w:r w:rsidR="00FE10A5" w:rsidRPr="001558A5">
        <w:rPr>
          <w:szCs w:val="20"/>
          <w:lang w:val="en-US"/>
        </w:rPr>
        <w:t xml:space="preserve"> </w:t>
      </w:r>
      <w:r w:rsidR="00871E19" w:rsidRPr="001558A5">
        <w:rPr>
          <w:szCs w:val="20"/>
          <w:lang w:val="en-US"/>
        </w:rPr>
        <w:t>the Inter-American Commission on Human Rights</w:t>
      </w:r>
      <w:r w:rsidR="00FE10A5" w:rsidRPr="001558A5">
        <w:rPr>
          <w:szCs w:val="20"/>
          <w:lang w:val="en-US"/>
        </w:rPr>
        <w:t xml:space="preserve"> (</w:t>
      </w:r>
      <w:r w:rsidR="00871E19" w:rsidRPr="001558A5">
        <w:rPr>
          <w:szCs w:val="20"/>
          <w:lang w:val="en-US"/>
        </w:rPr>
        <w:t>hereinafter</w:t>
      </w:r>
      <w:r w:rsidRPr="001558A5">
        <w:rPr>
          <w:szCs w:val="20"/>
          <w:lang w:val="en-US"/>
        </w:rPr>
        <w:t xml:space="preserve"> </w:t>
      </w:r>
      <w:r w:rsidR="00FE10A5" w:rsidRPr="001558A5">
        <w:rPr>
          <w:szCs w:val="20"/>
          <w:lang w:val="en-US"/>
        </w:rPr>
        <w:t>“</w:t>
      </w:r>
      <w:r w:rsidR="00871E19" w:rsidRPr="001558A5">
        <w:rPr>
          <w:szCs w:val="20"/>
          <w:lang w:val="en-US"/>
        </w:rPr>
        <w:t>the Inter-American Commission</w:t>
      </w:r>
      <w:r w:rsidR="00FE10A5" w:rsidRPr="001558A5">
        <w:rPr>
          <w:szCs w:val="20"/>
          <w:lang w:val="en-US"/>
        </w:rPr>
        <w:t>” o</w:t>
      </w:r>
      <w:r w:rsidRPr="001558A5">
        <w:rPr>
          <w:szCs w:val="20"/>
          <w:lang w:val="en-US"/>
        </w:rPr>
        <w:t>r</w:t>
      </w:r>
      <w:r w:rsidR="00FE10A5" w:rsidRPr="001558A5">
        <w:rPr>
          <w:szCs w:val="20"/>
          <w:lang w:val="en-US"/>
        </w:rPr>
        <w:t xml:space="preserve"> “</w:t>
      </w:r>
      <w:r w:rsidR="00871E19" w:rsidRPr="001558A5">
        <w:rPr>
          <w:szCs w:val="20"/>
          <w:lang w:val="en-US"/>
        </w:rPr>
        <w:t>the Commission</w:t>
      </w:r>
      <w:r w:rsidR="00FE10A5" w:rsidRPr="001558A5">
        <w:rPr>
          <w:szCs w:val="20"/>
          <w:lang w:val="en-US"/>
        </w:rPr>
        <w:t>”) s</w:t>
      </w:r>
      <w:r w:rsidRPr="001558A5">
        <w:rPr>
          <w:szCs w:val="20"/>
          <w:lang w:val="en-US"/>
        </w:rPr>
        <w:t>ubmitted to the jurisdiction</w:t>
      </w:r>
      <w:r w:rsidR="00DD4354" w:rsidRPr="001558A5">
        <w:rPr>
          <w:szCs w:val="20"/>
          <w:lang w:val="en-US"/>
        </w:rPr>
        <w:t xml:space="preserve"> of the </w:t>
      </w:r>
      <w:r w:rsidR="00871E19" w:rsidRPr="001558A5">
        <w:rPr>
          <w:szCs w:val="20"/>
          <w:lang w:val="en-US"/>
        </w:rPr>
        <w:t>Inter-American Court</w:t>
      </w:r>
      <w:r w:rsidR="00CA012B" w:rsidRPr="001558A5">
        <w:rPr>
          <w:szCs w:val="20"/>
          <w:lang w:val="en-US"/>
        </w:rPr>
        <w:t xml:space="preserve">, </w:t>
      </w:r>
      <w:r w:rsidRPr="001558A5">
        <w:rPr>
          <w:szCs w:val="20"/>
          <w:lang w:val="en-US"/>
        </w:rPr>
        <w:t>pursuant to</w:t>
      </w:r>
      <w:r w:rsidR="00CA012B" w:rsidRPr="001558A5">
        <w:rPr>
          <w:szCs w:val="20"/>
          <w:lang w:val="en-US"/>
        </w:rPr>
        <w:t xml:space="preserve"> </w:t>
      </w:r>
      <w:r w:rsidR="00871E19" w:rsidRPr="001558A5">
        <w:rPr>
          <w:szCs w:val="20"/>
          <w:lang w:val="en-US"/>
        </w:rPr>
        <w:t>Articles</w:t>
      </w:r>
      <w:r w:rsidR="00CA012B" w:rsidRPr="001558A5">
        <w:rPr>
          <w:szCs w:val="20"/>
          <w:lang w:val="en-US"/>
        </w:rPr>
        <w:t xml:space="preserve"> 51</w:t>
      </w:r>
      <w:r w:rsidR="00DD4354" w:rsidRPr="001558A5">
        <w:rPr>
          <w:szCs w:val="20"/>
          <w:lang w:val="en-US"/>
        </w:rPr>
        <w:t xml:space="preserve"> and </w:t>
      </w:r>
      <w:r w:rsidR="00CA012B" w:rsidRPr="001558A5">
        <w:rPr>
          <w:szCs w:val="20"/>
          <w:lang w:val="en-US"/>
        </w:rPr>
        <w:t>61</w:t>
      </w:r>
      <w:r w:rsidR="00DD4354" w:rsidRPr="001558A5">
        <w:rPr>
          <w:szCs w:val="20"/>
          <w:lang w:val="en-US"/>
        </w:rPr>
        <w:t xml:space="preserve"> of the </w:t>
      </w:r>
      <w:r w:rsidR="00871E19" w:rsidRPr="001558A5">
        <w:rPr>
          <w:szCs w:val="20"/>
          <w:lang w:val="en-US"/>
        </w:rPr>
        <w:t>American Convention</w:t>
      </w:r>
      <w:r w:rsidR="00CA012B" w:rsidRPr="001558A5">
        <w:rPr>
          <w:szCs w:val="20"/>
          <w:lang w:val="en-US"/>
        </w:rPr>
        <w:t xml:space="preserve">, </w:t>
      </w:r>
      <w:r w:rsidRPr="001558A5">
        <w:rPr>
          <w:szCs w:val="20"/>
          <w:lang w:val="en-US"/>
        </w:rPr>
        <w:t>the case of</w:t>
      </w:r>
      <w:r w:rsidR="00CA012B" w:rsidRPr="001558A5">
        <w:rPr>
          <w:szCs w:val="20"/>
          <w:lang w:val="en-US"/>
        </w:rPr>
        <w:t xml:space="preserve"> </w:t>
      </w:r>
      <w:r w:rsidR="00C075E0" w:rsidRPr="001558A5">
        <w:rPr>
          <w:szCs w:val="20"/>
          <w:lang w:val="en-US"/>
        </w:rPr>
        <w:t>“</w:t>
      </w:r>
      <w:r w:rsidR="006C4DA6" w:rsidRPr="001558A5">
        <w:rPr>
          <w:iCs/>
          <w:szCs w:val="20"/>
          <w:lang w:val="en-US"/>
        </w:rPr>
        <w:t>Vicky Hernández</w:t>
      </w:r>
      <w:r w:rsidR="00DD4354" w:rsidRPr="001558A5">
        <w:rPr>
          <w:iCs/>
          <w:szCs w:val="20"/>
          <w:lang w:val="en-US"/>
        </w:rPr>
        <w:t xml:space="preserve"> and </w:t>
      </w:r>
      <w:r w:rsidR="006C4DA6" w:rsidRPr="001558A5">
        <w:rPr>
          <w:iCs/>
          <w:szCs w:val="20"/>
          <w:lang w:val="en-US"/>
        </w:rPr>
        <w:t>f</w:t>
      </w:r>
      <w:r w:rsidR="008063A7" w:rsidRPr="001558A5">
        <w:rPr>
          <w:iCs/>
          <w:szCs w:val="20"/>
          <w:lang w:val="en-US"/>
        </w:rPr>
        <w:t>amil</w:t>
      </w:r>
      <w:r w:rsidRPr="001558A5">
        <w:rPr>
          <w:iCs/>
          <w:szCs w:val="20"/>
          <w:lang w:val="en-US"/>
        </w:rPr>
        <w:t>y</w:t>
      </w:r>
      <w:r w:rsidR="00C075E0" w:rsidRPr="001558A5">
        <w:rPr>
          <w:iCs/>
          <w:szCs w:val="20"/>
          <w:lang w:val="en-US"/>
        </w:rPr>
        <w:t>”</w:t>
      </w:r>
      <w:r w:rsidR="00CA012B" w:rsidRPr="001558A5">
        <w:rPr>
          <w:szCs w:val="20"/>
          <w:lang w:val="en-US"/>
        </w:rPr>
        <w:t xml:space="preserve"> </w:t>
      </w:r>
      <w:r w:rsidRPr="001558A5">
        <w:rPr>
          <w:szCs w:val="20"/>
          <w:lang w:val="en-US"/>
        </w:rPr>
        <w:t>with regard to</w:t>
      </w:r>
      <w:r w:rsidR="000C5CCB" w:rsidRPr="001558A5">
        <w:rPr>
          <w:szCs w:val="20"/>
          <w:lang w:val="en-US"/>
        </w:rPr>
        <w:t xml:space="preserve"> </w:t>
      </w:r>
      <w:r w:rsidRPr="001558A5">
        <w:rPr>
          <w:szCs w:val="20"/>
          <w:lang w:val="en-US"/>
        </w:rPr>
        <w:t>the Republic of</w:t>
      </w:r>
      <w:r w:rsidR="006C4DA6" w:rsidRPr="001558A5">
        <w:rPr>
          <w:szCs w:val="20"/>
          <w:lang w:val="en-US"/>
        </w:rPr>
        <w:t xml:space="preserve"> Honduras</w:t>
      </w:r>
      <w:r w:rsidR="00CA012B" w:rsidRPr="001558A5">
        <w:rPr>
          <w:szCs w:val="20"/>
          <w:lang w:val="en-US"/>
        </w:rPr>
        <w:t xml:space="preserve"> (</w:t>
      </w:r>
      <w:r w:rsidR="00871E19" w:rsidRPr="001558A5">
        <w:rPr>
          <w:szCs w:val="20"/>
          <w:lang w:val="en-US"/>
        </w:rPr>
        <w:t>hereinafter</w:t>
      </w:r>
      <w:r w:rsidR="00CA012B" w:rsidRPr="001558A5">
        <w:rPr>
          <w:szCs w:val="20"/>
          <w:lang w:val="en-US"/>
        </w:rPr>
        <w:t xml:space="preserve"> </w:t>
      </w:r>
      <w:r w:rsidR="000C5CCB" w:rsidRPr="001558A5">
        <w:rPr>
          <w:szCs w:val="20"/>
          <w:lang w:val="en-US"/>
        </w:rPr>
        <w:t>“</w:t>
      </w:r>
      <w:r w:rsidR="00DD4354" w:rsidRPr="001558A5">
        <w:rPr>
          <w:szCs w:val="20"/>
          <w:lang w:val="en-US"/>
        </w:rPr>
        <w:t>the State</w:t>
      </w:r>
      <w:r w:rsidRPr="001558A5">
        <w:rPr>
          <w:szCs w:val="20"/>
          <w:lang w:val="en-US"/>
        </w:rPr>
        <w:t>,</w:t>
      </w:r>
      <w:r w:rsidR="000C5CCB" w:rsidRPr="001558A5">
        <w:rPr>
          <w:szCs w:val="20"/>
          <w:lang w:val="en-US"/>
        </w:rPr>
        <w:t>” “</w:t>
      </w:r>
      <w:r w:rsidR="00DD4354" w:rsidRPr="001558A5">
        <w:rPr>
          <w:szCs w:val="20"/>
          <w:lang w:val="en-US"/>
        </w:rPr>
        <w:t xml:space="preserve">the </w:t>
      </w:r>
      <w:r w:rsidRPr="001558A5">
        <w:rPr>
          <w:szCs w:val="20"/>
          <w:lang w:val="en-US"/>
        </w:rPr>
        <w:t>Honduran State</w:t>
      </w:r>
      <w:r w:rsidR="006C4DA6" w:rsidRPr="001558A5">
        <w:rPr>
          <w:szCs w:val="20"/>
          <w:lang w:val="en-US"/>
        </w:rPr>
        <w:t xml:space="preserve">” </w:t>
      </w:r>
      <w:r w:rsidRPr="001558A5">
        <w:rPr>
          <w:szCs w:val="20"/>
          <w:lang w:val="en-US"/>
        </w:rPr>
        <w:t>or</w:t>
      </w:r>
      <w:r w:rsidR="006C4DA6" w:rsidRPr="001558A5">
        <w:rPr>
          <w:szCs w:val="20"/>
          <w:lang w:val="en-US"/>
        </w:rPr>
        <w:t xml:space="preserve"> “Honduras</w:t>
      </w:r>
      <w:r w:rsidR="00CA012B" w:rsidRPr="001558A5">
        <w:rPr>
          <w:szCs w:val="20"/>
          <w:lang w:val="en-US"/>
        </w:rPr>
        <w:t>”)</w:t>
      </w:r>
      <w:r w:rsidR="000B621A" w:rsidRPr="001558A5">
        <w:rPr>
          <w:szCs w:val="20"/>
          <w:lang w:val="en-US"/>
        </w:rPr>
        <w:t xml:space="preserve">. </w:t>
      </w:r>
      <w:r w:rsidRPr="001558A5">
        <w:rPr>
          <w:szCs w:val="20"/>
          <w:lang w:val="en-US"/>
        </w:rPr>
        <w:t xml:space="preserve">According to </w:t>
      </w:r>
      <w:r w:rsidR="00871E19" w:rsidRPr="001558A5">
        <w:rPr>
          <w:szCs w:val="20"/>
          <w:lang w:val="en-US"/>
        </w:rPr>
        <w:t>the Commission</w:t>
      </w:r>
      <w:r w:rsidRPr="001558A5">
        <w:rPr>
          <w:szCs w:val="20"/>
          <w:lang w:val="en-US"/>
        </w:rPr>
        <w:t xml:space="preserve"> the dispute relates to the death of</w:t>
      </w:r>
      <w:r w:rsidR="009514E4" w:rsidRPr="001558A5">
        <w:rPr>
          <w:szCs w:val="20"/>
          <w:lang w:val="en-US"/>
        </w:rPr>
        <w:t xml:space="preserve"> </w:t>
      </w:r>
      <w:r w:rsidR="006C4DA6" w:rsidRPr="001558A5">
        <w:rPr>
          <w:szCs w:val="20"/>
          <w:lang w:val="en-US"/>
        </w:rPr>
        <w:t xml:space="preserve">Vicky Hernández, </w:t>
      </w:r>
      <w:r w:rsidRPr="001558A5">
        <w:rPr>
          <w:szCs w:val="20"/>
          <w:lang w:val="en-US"/>
        </w:rPr>
        <w:t>a trans woman and human rights defender, in the city of San Pedro Sula between the evening of June 28 and the early morning hours of June 29, 2009, while a curfew was in place.</w:t>
      </w:r>
      <w:r w:rsidR="005137C7" w:rsidRPr="001558A5">
        <w:rPr>
          <w:szCs w:val="20"/>
          <w:lang w:val="en-US"/>
        </w:rPr>
        <w:t xml:space="preserve"> The Commission also indicated that the death of Vicky Hernández took place in two relevant contexts. On the one hand, a </w:t>
      </w:r>
      <w:r w:rsidR="00DD4354" w:rsidRPr="001558A5">
        <w:rPr>
          <w:szCs w:val="20"/>
          <w:lang w:val="en-US"/>
        </w:rPr>
        <w:t>context</w:t>
      </w:r>
      <w:r w:rsidR="00011404" w:rsidRPr="001558A5">
        <w:rPr>
          <w:szCs w:val="20"/>
          <w:lang w:val="en-US"/>
        </w:rPr>
        <w:t xml:space="preserve"> </w:t>
      </w:r>
      <w:r w:rsidR="005137C7" w:rsidRPr="001558A5">
        <w:rPr>
          <w:szCs w:val="20"/>
          <w:lang w:val="en-US"/>
        </w:rPr>
        <w:t xml:space="preserve">of violence and discrimination against the LGBTI community in Honduras with a high rate of acts committed by </w:t>
      </w:r>
      <w:r w:rsidR="00732E2E" w:rsidRPr="001558A5">
        <w:rPr>
          <w:szCs w:val="20"/>
          <w:lang w:val="en-US"/>
        </w:rPr>
        <w:t>law enforcement</w:t>
      </w:r>
      <w:r w:rsidR="005137C7" w:rsidRPr="001558A5">
        <w:rPr>
          <w:szCs w:val="20"/>
          <w:lang w:val="en-US"/>
        </w:rPr>
        <w:t xml:space="preserve"> agents and, on the other, the context of the coup d’état of June 28, 2009. Taking into account these contexts, t</w:t>
      </w:r>
      <w:r w:rsidR="00871E19" w:rsidRPr="001558A5">
        <w:rPr>
          <w:szCs w:val="20"/>
          <w:lang w:val="en-US"/>
        </w:rPr>
        <w:t>he Commission</w:t>
      </w:r>
      <w:r w:rsidR="00011404" w:rsidRPr="001558A5">
        <w:rPr>
          <w:szCs w:val="20"/>
          <w:lang w:val="en-US"/>
        </w:rPr>
        <w:t xml:space="preserve"> consider</w:t>
      </w:r>
      <w:r w:rsidR="005137C7" w:rsidRPr="001558A5">
        <w:rPr>
          <w:szCs w:val="20"/>
          <w:lang w:val="en-US"/>
        </w:rPr>
        <w:t xml:space="preserve">ed that </w:t>
      </w:r>
      <w:r w:rsidR="00F02D2C" w:rsidRPr="001558A5">
        <w:rPr>
          <w:szCs w:val="20"/>
          <w:lang w:val="en-US"/>
        </w:rPr>
        <w:t>given</w:t>
      </w:r>
      <w:r w:rsidR="005137C7" w:rsidRPr="001558A5">
        <w:rPr>
          <w:szCs w:val="20"/>
          <w:lang w:val="en-US"/>
        </w:rPr>
        <w:t xml:space="preserve"> that the streets were under the complete control of security forces,</w:t>
      </w:r>
      <w:r w:rsidR="00900AD2" w:rsidRPr="001558A5">
        <w:rPr>
          <w:szCs w:val="20"/>
          <w:lang w:val="en-US"/>
        </w:rPr>
        <w:t xml:space="preserve"> and that the State had failed</w:t>
      </w:r>
      <w:r w:rsidR="005137C7" w:rsidRPr="001558A5">
        <w:rPr>
          <w:szCs w:val="20"/>
          <w:lang w:val="en-US"/>
        </w:rPr>
        <w:t xml:space="preserve"> to </w:t>
      </w:r>
      <w:r w:rsidR="00900AD2" w:rsidRPr="001558A5">
        <w:rPr>
          <w:szCs w:val="20"/>
          <w:lang w:val="en-US"/>
        </w:rPr>
        <w:t xml:space="preserve">elucidate what happened in the courts, sufficient evidence existed to conclude that the State was directly responsible for the death of Vicky Hernández and that, </w:t>
      </w:r>
      <w:r w:rsidR="003F5677" w:rsidRPr="001558A5">
        <w:rPr>
          <w:szCs w:val="20"/>
          <w:lang w:val="en-US"/>
        </w:rPr>
        <w:t>due to</w:t>
      </w:r>
      <w:r w:rsidR="00900AD2" w:rsidRPr="001558A5">
        <w:rPr>
          <w:szCs w:val="20"/>
          <w:lang w:val="en-US"/>
        </w:rPr>
        <w:t xml:space="preserve"> the characteristics of the case, what happened to Vicky Hernández constituted a situation of prejudice-based violence</w:t>
      </w:r>
      <w:r w:rsidR="003F5677" w:rsidRPr="001558A5">
        <w:rPr>
          <w:szCs w:val="20"/>
          <w:lang w:val="en-US"/>
        </w:rPr>
        <w:t xml:space="preserve"> owing to</w:t>
      </w:r>
      <w:r w:rsidR="00900AD2" w:rsidRPr="001558A5">
        <w:rPr>
          <w:szCs w:val="20"/>
          <w:lang w:val="en-US"/>
        </w:rPr>
        <w:t xml:space="preserve"> her gender identity and expression. Lastly, the Commission alleged that </w:t>
      </w:r>
      <w:r w:rsidR="00DD4354" w:rsidRPr="001558A5">
        <w:rPr>
          <w:szCs w:val="20"/>
          <w:lang w:val="en-US"/>
        </w:rPr>
        <w:t xml:space="preserve">the </w:t>
      </w:r>
      <w:r w:rsidRPr="001558A5">
        <w:rPr>
          <w:szCs w:val="20"/>
          <w:lang w:val="en-US"/>
        </w:rPr>
        <w:t>Honduran State</w:t>
      </w:r>
      <w:r w:rsidR="00011404" w:rsidRPr="001558A5">
        <w:rPr>
          <w:szCs w:val="20"/>
          <w:lang w:val="en-US"/>
        </w:rPr>
        <w:t xml:space="preserve"> </w:t>
      </w:r>
      <w:r w:rsidR="00900AD2" w:rsidRPr="001558A5">
        <w:rPr>
          <w:szCs w:val="20"/>
          <w:lang w:val="en-US"/>
        </w:rPr>
        <w:t>had failed to investigate the facts of the case adequately, with due diligence and within a reasonable time, and the</w:t>
      </w:r>
      <w:r w:rsidR="003F5677" w:rsidRPr="001558A5">
        <w:rPr>
          <w:szCs w:val="20"/>
          <w:lang w:val="en-US"/>
        </w:rPr>
        <w:t>y</w:t>
      </w:r>
      <w:r w:rsidR="00900AD2" w:rsidRPr="001558A5">
        <w:rPr>
          <w:szCs w:val="20"/>
          <w:lang w:val="en-US"/>
        </w:rPr>
        <w:t xml:space="preserve"> remain in impunity.</w:t>
      </w:r>
      <w:r w:rsidR="00555B55" w:rsidRPr="001558A5">
        <w:rPr>
          <w:rStyle w:val="Refdenotaalpie"/>
          <w:lang w:val="en-US"/>
        </w:rPr>
        <w:footnoteReference w:id="1"/>
      </w:r>
      <w:r w:rsidR="000B621A" w:rsidRPr="001558A5">
        <w:rPr>
          <w:szCs w:val="20"/>
          <w:lang w:val="en-US"/>
        </w:rPr>
        <w:t xml:space="preserve"> </w:t>
      </w:r>
    </w:p>
    <w:p w14:paraId="3DA10DD7" w14:textId="77777777" w:rsidR="00011404" w:rsidRPr="001558A5" w:rsidRDefault="00011404" w:rsidP="00945CE2">
      <w:pPr>
        <w:pStyle w:val="Prrafodelista"/>
        <w:spacing w:before="120" w:after="120"/>
        <w:ind w:left="0" w:right="-6"/>
        <w:rPr>
          <w:szCs w:val="20"/>
          <w:lang w:val="en-US"/>
        </w:rPr>
      </w:pPr>
    </w:p>
    <w:p w14:paraId="17DE5AD1" w14:textId="5C5DAF03" w:rsidR="00070CFE" w:rsidRPr="001558A5" w:rsidRDefault="00EB397C" w:rsidP="00945CE2">
      <w:pPr>
        <w:pStyle w:val="Prrafodelista"/>
        <w:numPr>
          <w:ilvl w:val="0"/>
          <w:numId w:val="2"/>
        </w:numPr>
        <w:spacing w:before="120" w:after="120"/>
        <w:ind w:left="0" w:right="-6" w:firstLine="0"/>
        <w:contextualSpacing w:val="0"/>
        <w:rPr>
          <w:szCs w:val="20"/>
          <w:lang w:val="en-US"/>
        </w:rPr>
      </w:pPr>
      <w:bookmarkStart w:id="9" w:name="_Ref363651855"/>
      <w:r w:rsidRPr="001558A5">
        <w:rPr>
          <w:i/>
          <w:szCs w:val="20"/>
          <w:lang w:val="en-US"/>
        </w:rPr>
        <w:t>Procedure before</w:t>
      </w:r>
      <w:r w:rsidR="006F5C6B" w:rsidRPr="001558A5">
        <w:rPr>
          <w:i/>
          <w:szCs w:val="20"/>
          <w:lang w:val="en-US"/>
        </w:rPr>
        <w:t xml:space="preserve"> </w:t>
      </w:r>
      <w:r w:rsidR="00871E19" w:rsidRPr="001558A5">
        <w:rPr>
          <w:i/>
          <w:szCs w:val="20"/>
          <w:lang w:val="en-US"/>
        </w:rPr>
        <w:t>the Commission</w:t>
      </w:r>
      <w:r w:rsidR="006F5C6B" w:rsidRPr="001558A5">
        <w:rPr>
          <w:i/>
          <w:szCs w:val="20"/>
          <w:lang w:val="en-US"/>
        </w:rPr>
        <w:t>.</w:t>
      </w:r>
      <w:r w:rsidR="006F5C6B" w:rsidRPr="001558A5">
        <w:rPr>
          <w:szCs w:val="20"/>
          <w:lang w:val="en-US"/>
        </w:rPr>
        <w:t xml:space="preserve"> </w:t>
      </w:r>
      <w:r w:rsidRPr="001558A5">
        <w:rPr>
          <w:szCs w:val="20"/>
          <w:lang w:val="en-US"/>
        </w:rPr>
        <w:t>The procedure before</w:t>
      </w:r>
      <w:r w:rsidR="006F5C6B" w:rsidRPr="001558A5">
        <w:rPr>
          <w:szCs w:val="20"/>
          <w:lang w:val="en-US"/>
        </w:rPr>
        <w:t xml:space="preserve"> </w:t>
      </w:r>
      <w:r w:rsidR="00871E19" w:rsidRPr="001558A5">
        <w:rPr>
          <w:szCs w:val="20"/>
          <w:lang w:val="en-US"/>
        </w:rPr>
        <w:t>the Commission</w:t>
      </w:r>
      <w:r w:rsidR="006F5C6B" w:rsidRPr="001558A5">
        <w:rPr>
          <w:szCs w:val="20"/>
          <w:lang w:val="en-US"/>
        </w:rPr>
        <w:t xml:space="preserve"> </w:t>
      </w:r>
      <w:r w:rsidRPr="001558A5">
        <w:rPr>
          <w:szCs w:val="20"/>
          <w:lang w:val="en-US"/>
        </w:rPr>
        <w:t>was as follows:</w:t>
      </w:r>
      <w:bookmarkEnd w:id="9"/>
    </w:p>
    <w:p w14:paraId="730F8591" w14:textId="70207CB8" w:rsidR="00EB397C" w:rsidRPr="001558A5" w:rsidRDefault="006F5C6B" w:rsidP="00EB397C">
      <w:pPr>
        <w:spacing w:before="120" w:after="120"/>
        <w:ind w:left="284" w:right="-6"/>
        <w:rPr>
          <w:szCs w:val="20"/>
          <w:lang w:val="en-US"/>
        </w:rPr>
      </w:pPr>
      <w:r w:rsidRPr="001558A5">
        <w:rPr>
          <w:i/>
          <w:szCs w:val="20"/>
          <w:lang w:val="en-US"/>
        </w:rPr>
        <w:t>Peti</w:t>
      </w:r>
      <w:r w:rsidR="00DC4C29" w:rsidRPr="001558A5">
        <w:rPr>
          <w:i/>
          <w:szCs w:val="20"/>
          <w:lang w:val="en-US"/>
        </w:rPr>
        <w:t>tio</w:t>
      </w:r>
      <w:r w:rsidRPr="001558A5">
        <w:rPr>
          <w:i/>
          <w:szCs w:val="20"/>
          <w:lang w:val="en-US"/>
        </w:rPr>
        <w:t xml:space="preserve">n. </w:t>
      </w:r>
      <w:r w:rsidR="00EB397C" w:rsidRPr="001558A5">
        <w:rPr>
          <w:szCs w:val="20"/>
          <w:lang w:val="en-US"/>
        </w:rPr>
        <w:t>On December 23,</w:t>
      </w:r>
      <w:r w:rsidR="00011404" w:rsidRPr="001558A5">
        <w:rPr>
          <w:szCs w:val="20"/>
          <w:lang w:val="en-US"/>
        </w:rPr>
        <w:t xml:space="preserve"> 2012</w:t>
      </w:r>
      <w:r w:rsidR="00187623" w:rsidRPr="001558A5">
        <w:rPr>
          <w:szCs w:val="20"/>
          <w:lang w:val="en-US"/>
        </w:rPr>
        <w:t xml:space="preserve">, </w:t>
      </w:r>
      <w:r w:rsidR="00871E19" w:rsidRPr="001558A5">
        <w:rPr>
          <w:szCs w:val="20"/>
          <w:lang w:val="en-US"/>
        </w:rPr>
        <w:t>the Commission</w:t>
      </w:r>
      <w:r w:rsidR="0003786A" w:rsidRPr="001558A5">
        <w:rPr>
          <w:szCs w:val="20"/>
          <w:lang w:val="en-US"/>
        </w:rPr>
        <w:t xml:space="preserve"> </w:t>
      </w:r>
      <w:r w:rsidR="00EB397C" w:rsidRPr="001558A5">
        <w:rPr>
          <w:color w:val="000000" w:themeColor="text1"/>
          <w:szCs w:val="20"/>
          <w:lang w:val="en-US"/>
        </w:rPr>
        <w:t xml:space="preserve">received a petition lodged </w:t>
      </w:r>
      <w:r w:rsidR="003F5677" w:rsidRPr="001558A5">
        <w:rPr>
          <w:color w:val="000000" w:themeColor="text1"/>
          <w:szCs w:val="20"/>
          <w:lang w:val="en-US"/>
        </w:rPr>
        <w:t xml:space="preserve">against Honduras </w:t>
      </w:r>
      <w:r w:rsidR="00EB397C" w:rsidRPr="001558A5">
        <w:rPr>
          <w:color w:val="000000" w:themeColor="text1"/>
          <w:szCs w:val="20"/>
          <w:lang w:val="en-US"/>
        </w:rPr>
        <w:t xml:space="preserve">by </w:t>
      </w:r>
      <w:r w:rsidR="003F5677" w:rsidRPr="001558A5">
        <w:rPr>
          <w:color w:val="000000" w:themeColor="text1"/>
          <w:szCs w:val="20"/>
          <w:lang w:val="en-US"/>
        </w:rPr>
        <w:t xml:space="preserve">the Red </w:t>
      </w:r>
      <w:proofErr w:type="spellStart"/>
      <w:r w:rsidR="003F5677" w:rsidRPr="001558A5">
        <w:rPr>
          <w:color w:val="000000" w:themeColor="text1"/>
          <w:szCs w:val="20"/>
          <w:lang w:val="en-US"/>
        </w:rPr>
        <w:t>Lésbica</w:t>
      </w:r>
      <w:proofErr w:type="spellEnd"/>
      <w:r w:rsidR="003F5677" w:rsidRPr="001558A5">
        <w:rPr>
          <w:color w:val="000000" w:themeColor="text1"/>
          <w:szCs w:val="20"/>
          <w:lang w:val="en-US"/>
        </w:rPr>
        <w:t xml:space="preserve"> </w:t>
      </w:r>
      <w:r w:rsidR="00EB397C" w:rsidRPr="001558A5">
        <w:rPr>
          <w:color w:val="000000" w:themeColor="text1"/>
          <w:szCs w:val="20"/>
          <w:lang w:val="en-US"/>
        </w:rPr>
        <w:t>“</w:t>
      </w:r>
      <w:proofErr w:type="spellStart"/>
      <w:r w:rsidR="00120416" w:rsidRPr="001558A5">
        <w:rPr>
          <w:color w:val="000000" w:themeColor="text1"/>
          <w:szCs w:val="20"/>
          <w:lang w:val="en-US"/>
        </w:rPr>
        <w:t>Cattrachas</w:t>
      </w:r>
      <w:proofErr w:type="spellEnd"/>
      <w:r w:rsidR="003F5677" w:rsidRPr="001558A5">
        <w:rPr>
          <w:color w:val="000000" w:themeColor="text1"/>
          <w:szCs w:val="20"/>
          <w:lang w:val="en-US"/>
        </w:rPr>
        <w:t>,</w:t>
      </w:r>
      <w:r w:rsidR="00EB397C" w:rsidRPr="001558A5">
        <w:rPr>
          <w:color w:val="000000" w:themeColor="text1"/>
          <w:szCs w:val="20"/>
          <w:lang w:val="en-US"/>
        </w:rPr>
        <w:t>” a Honduran feminist lesbian organization</w:t>
      </w:r>
      <w:r w:rsidR="003F5677" w:rsidRPr="001558A5">
        <w:rPr>
          <w:color w:val="000000" w:themeColor="text1"/>
          <w:szCs w:val="20"/>
          <w:lang w:val="en-US"/>
        </w:rPr>
        <w:t>,</w:t>
      </w:r>
      <w:r w:rsidR="00EB397C" w:rsidRPr="001558A5">
        <w:rPr>
          <w:color w:val="000000" w:themeColor="text1"/>
          <w:szCs w:val="20"/>
          <w:lang w:val="en-US"/>
        </w:rPr>
        <w:t xml:space="preserve"> and the Centro de </w:t>
      </w:r>
      <w:r w:rsidR="003F5677" w:rsidRPr="001558A5">
        <w:rPr>
          <w:color w:val="000000" w:themeColor="text1"/>
          <w:szCs w:val="20"/>
          <w:lang w:val="en-US"/>
        </w:rPr>
        <w:t>Derechos Humanos</w:t>
      </w:r>
      <w:r w:rsidR="00EB397C" w:rsidRPr="001558A5">
        <w:rPr>
          <w:color w:val="000000" w:themeColor="text1"/>
          <w:szCs w:val="20"/>
          <w:lang w:val="en-US"/>
        </w:rPr>
        <w:t xml:space="preserve"> de las </w:t>
      </w:r>
      <w:proofErr w:type="spellStart"/>
      <w:r w:rsidR="00EB397C" w:rsidRPr="001558A5">
        <w:rPr>
          <w:color w:val="000000" w:themeColor="text1"/>
          <w:szCs w:val="20"/>
          <w:lang w:val="en-US"/>
        </w:rPr>
        <w:t>Mujeres</w:t>
      </w:r>
      <w:proofErr w:type="spellEnd"/>
      <w:r w:rsidR="00EB397C" w:rsidRPr="001558A5">
        <w:rPr>
          <w:rStyle w:val="Refdenotaalpie"/>
          <w:lang w:val="en-US"/>
        </w:rPr>
        <w:footnoteReference w:id="2"/>
      </w:r>
      <w:r w:rsidR="00EB397C" w:rsidRPr="001558A5">
        <w:rPr>
          <w:szCs w:val="20"/>
          <w:lang w:val="en-US"/>
        </w:rPr>
        <w:t xml:space="preserve"> (hereinafter “the petitioners”). </w:t>
      </w:r>
    </w:p>
    <w:p w14:paraId="11515FE6" w14:textId="002928B7" w:rsidR="005D7A49" w:rsidRPr="001558A5" w:rsidRDefault="00EB397C" w:rsidP="00945CE2">
      <w:pPr>
        <w:pStyle w:val="Prrafodelista"/>
        <w:numPr>
          <w:ilvl w:val="1"/>
          <w:numId w:val="1"/>
        </w:numPr>
        <w:spacing w:before="120" w:after="120"/>
        <w:ind w:left="284" w:right="-6" w:firstLine="0"/>
        <w:contextualSpacing w:val="0"/>
        <w:rPr>
          <w:szCs w:val="20"/>
          <w:lang w:val="en-US"/>
        </w:rPr>
      </w:pPr>
      <w:r w:rsidRPr="001558A5">
        <w:rPr>
          <w:i/>
          <w:szCs w:val="20"/>
          <w:lang w:val="en-US"/>
        </w:rPr>
        <w:t>Admissibility Report</w:t>
      </w:r>
      <w:r w:rsidR="005D7A49" w:rsidRPr="001558A5">
        <w:rPr>
          <w:i/>
          <w:szCs w:val="20"/>
          <w:lang w:val="en-US"/>
        </w:rPr>
        <w:t>.</w:t>
      </w:r>
      <w:r w:rsidR="007701AD" w:rsidRPr="001558A5">
        <w:rPr>
          <w:szCs w:val="20"/>
          <w:lang w:val="en-US"/>
        </w:rPr>
        <w:t xml:space="preserve"> </w:t>
      </w:r>
      <w:r w:rsidRPr="001558A5">
        <w:rPr>
          <w:szCs w:val="20"/>
          <w:lang w:val="en-US"/>
        </w:rPr>
        <w:t>On December 6,</w:t>
      </w:r>
      <w:r w:rsidR="007701AD" w:rsidRPr="001558A5">
        <w:rPr>
          <w:szCs w:val="20"/>
          <w:lang w:val="en-US"/>
        </w:rPr>
        <w:t xml:space="preserve"> 2016</w:t>
      </w:r>
      <w:r w:rsidR="005D7A49" w:rsidRPr="001558A5">
        <w:rPr>
          <w:szCs w:val="20"/>
          <w:lang w:val="en-US"/>
        </w:rPr>
        <w:t xml:space="preserve">, </w:t>
      </w:r>
      <w:r w:rsidR="00871E19" w:rsidRPr="001558A5">
        <w:rPr>
          <w:szCs w:val="20"/>
          <w:lang w:val="en-US"/>
        </w:rPr>
        <w:t>the Commission</w:t>
      </w:r>
      <w:r w:rsidR="005D7A49" w:rsidRPr="001558A5">
        <w:rPr>
          <w:szCs w:val="20"/>
          <w:lang w:val="en-US"/>
        </w:rPr>
        <w:t xml:space="preserve"> </w:t>
      </w:r>
      <w:r w:rsidRPr="001558A5">
        <w:rPr>
          <w:szCs w:val="20"/>
          <w:lang w:val="en-US"/>
        </w:rPr>
        <w:t>adopted</w:t>
      </w:r>
      <w:r w:rsidR="0017500C" w:rsidRPr="001558A5">
        <w:rPr>
          <w:szCs w:val="20"/>
          <w:lang w:val="en-US"/>
        </w:rPr>
        <w:t xml:space="preserve"> </w:t>
      </w:r>
      <w:r w:rsidRPr="001558A5">
        <w:rPr>
          <w:szCs w:val="20"/>
          <w:lang w:val="en-US"/>
        </w:rPr>
        <w:t>Admissibility Report</w:t>
      </w:r>
      <w:r w:rsidR="00F6342C" w:rsidRPr="001558A5">
        <w:rPr>
          <w:szCs w:val="20"/>
          <w:lang w:val="en-US"/>
        </w:rPr>
        <w:t xml:space="preserve"> N</w:t>
      </w:r>
      <w:r w:rsidR="003E6431" w:rsidRPr="001558A5">
        <w:rPr>
          <w:szCs w:val="20"/>
          <w:lang w:val="en-US"/>
        </w:rPr>
        <w:t>o.</w:t>
      </w:r>
      <w:r w:rsidR="007701AD" w:rsidRPr="001558A5">
        <w:rPr>
          <w:szCs w:val="20"/>
          <w:lang w:val="en-US"/>
        </w:rPr>
        <w:t xml:space="preserve"> 64/16</w:t>
      </w:r>
      <w:r w:rsidR="002C249E" w:rsidRPr="001558A5">
        <w:rPr>
          <w:szCs w:val="20"/>
          <w:lang w:val="en-US"/>
        </w:rPr>
        <w:t>.</w:t>
      </w:r>
      <w:r w:rsidR="002D4BC5" w:rsidRPr="001558A5">
        <w:rPr>
          <w:szCs w:val="20"/>
          <w:lang w:val="en-US"/>
        </w:rPr>
        <w:t xml:space="preserve"> </w:t>
      </w:r>
    </w:p>
    <w:p w14:paraId="79D8C3E8" w14:textId="0BD1DC5E" w:rsidR="006F5C6B" w:rsidRPr="001558A5" w:rsidRDefault="00EB397C" w:rsidP="00945CE2">
      <w:pPr>
        <w:pStyle w:val="Prrafodelista"/>
        <w:numPr>
          <w:ilvl w:val="1"/>
          <w:numId w:val="1"/>
        </w:numPr>
        <w:spacing w:before="120" w:after="120"/>
        <w:ind w:left="284" w:right="-6" w:firstLine="0"/>
        <w:contextualSpacing w:val="0"/>
        <w:rPr>
          <w:szCs w:val="20"/>
          <w:lang w:val="en-US"/>
        </w:rPr>
      </w:pPr>
      <w:r w:rsidRPr="001558A5">
        <w:rPr>
          <w:i/>
          <w:szCs w:val="20"/>
          <w:lang w:val="en-US"/>
        </w:rPr>
        <w:t>Merits Report</w:t>
      </w:r>
      <w:r w:rsidR="006F5C6B" w:rsidRPr="001558A5">
        <w:rPr>
          <w:szCs w:val="20"/>
          <w:lang w:val="en-US"/>
        </w:rPr>
        <w:t xml:space="preserve">. </w:t>
      </w:r>
      <w:r w:rsidRPr="001558A5">
        <w:rPr>
          <w:szCs w:val="20"/>
          <w:lang w:val="en-US"/>
        </w:rPr>
        <w:t>On December 7,</w:t>
      </w:r>
      <w:r w:rsidR="00FE10A5" w:rsidRPr="001558A5">
        <w:rPr>
          <w:szCs w:val="20"/>
          <w:lang w:val="en-US"/>
        </w:rPr>
        <w:t xml:space="preserve"> </w:t>
      </w:r>
      <w:r w:rsidR="00F00E22" w:rsidRPr="001558A5">
        <w:rPr>
          <w:szCs w:val="20"/>
          <w:lang w:val="en-US"/>
        </w:rPr>
        <w:t>2018</w:t>
      </w:r>
      <w:r w:rsidRPr="001558A5">
        <w:rPr>
          <w:szCs w:val="20"/>
          <w:lang w:val="en-US"/>
        </w:rPr>
        <w:t>,</w:t>
      </w:r>
      <w:r w:rsidR="00DE0EB0" w:rsidRPr="001558A5">
        <w:rPr>
          <w:szCs w:val="20"/>
          <w:lang w:val="en-US"/>
        </w:rPr>
        <w:t xml:space="preserve"> </w:t>
      </w:r>
      <w:r w:rsidR="00871E19" w:rsidRPr="001558A5">
        <w:rPr>
          <w:szCs w:val="20"/>
          <w:lang w:val="en-US"/>
        </w:rPr>
        <w:t>the Commission</w:t>
      </w:r>
      <w:r w:rsidR="00EB0270" w:rsidRPr="001558A5">
        <w:rPr>
          <w:szCs w:val="20"/>
          <w:lang w:val="en-US"/>
        </w:rPr>
        <w:t xml:space="preserve"> </w:t>
      </w:r>
      <w:r w:rsidRPr="001558A5">
        <w:rPr>
          <w:szCs w:val="20"/>
          <w:lang w:val="en-US"/>
        </w:rPr>
        <w:t>issued</w:t>
      </w:r>
      <w:r w:rsidR="006F5C6B" w:rsidRPr="001558A5">
        <w:rPr>
          <w:szCs w:val="20"/>
          <w:lang w:val="en-US"/>
        </w:rPr>
        <w:t xml:space="preserve"> </w:t>
      </w:r>
      <w:r w:rsidRPr="001558A5">
        <w:rPr>
          <w:szCs w:val="20"/>
          <w:lang w:val="en-US"/>
        </w:rPr>
        <w:t>Merits Report</w:t>
      </w:r>
      <w:r w:rsidR="006F5C6B" w:rsidRPr="001558A5">
        <w:rPr>
          <w:szCs w:val="20"/>
          <w:lang w:val="en-US"/>
        </w:rPr>
        <w:t xml:space="preserve"> N</w:t>
      </w:r>
      <w:r w:rsidR="006E7309" w:rsidRPr="001558A5">
        <w:rPr>
          <w:szCs w:val="20"/>
          <w:lang w:val="en-US"/>
        </w:rPr>
        <w:t>o.</w:t>
      </w:r>
      <w:r w:rsidR="00C075E0" w:rsidRPr="001558A5">
        <w:rPr>
          <w:szCs w:val="20"/>
          <w:vertAlign w:val="superscript"/>
          <w:lang w:val="en-US"/>
        </w:rPr>
        <w:t xml:space="preserve"> </w:t>
      </w:r>
      <w:r w:rsidR="007701AD" w:rsidRPr="001558A5">
        <w:rPr>
          <w:szCs w:val="20"/>
          <w:lang w:val="en-US"/>
        </w:rPr>
        <w:t>157</w:t>
      </w:r>
      <w:r w:rsidR="005217A1" w:rsidRPr="001558A5">
        <w:rPr>
          <w:szCs w:val="20"/>
          <w:lang w:val="en-US"/>
        </w:rPr>
        <w:t>/</w:t>
      </w:r>
      <w:r w:rsidR="00F00E22" w:rsidRPr="001558A5">
        <w:rPr>
          <w:szCs w:val="20"/>
          <w:lang w:val="en-US"/>
        </w:rPr>
        <w:t>18</w:t>
      </w:r>
      <w:r w:rsidR="00EB0270" w:rsidRPr="001558A5">
        <w:rPr>
          <w:szCs w:val="20"/>
          <w:lang w:val="en-US"/>
        </w:rPr>
        <w:t>,</w:t>
      </w:r>
      <w:r w:rsidR="006F5C6B" w:rsidRPr="001558A5">
        <w:rPr>
          <w:szCs w:val="20"/>
          <w:lang w:val="en-US"/>
        </w:rPr>
        <w:t xml:space="preserve"> </w:t>
      </w:r>
      <w:r w:rsidRPr="001558A5">
        <w:rPr>
          <w:szCs w:val="20"/>
          <w:lang w:val="en-US"/>
        </w:rPr>
        <w:t>under</w:t>
      </w:r>
      <w:r w:rsidR="006A2B05" w:rsidRPr="001558A5">
        <w:rPr>
          <w:szCs w:val="20"/>
          <w:lang w:val="en-US"/>
        </w:rPr>
        <w:t xml:space="preserve"> </w:t>
      </w:r>
      <w:r w:rsidR="00871E19" w:rsidRPr="001558A5">
        <w:rPr>
          <w:szCs w:val="20"/>
          <w:lang w:val="en-US"/>
        </w:rPr>
        <w:t>Article</w:t>
      </w:r>
      <w:r w:rsidR="006A2B05" w:rsidRPr="001558A5">
        <w:rPr>
          <w:szCs w:val="20"/>
          <w:lang w:val="en-US"/>
        </w:rPr>
        <w:t xml:space="preserve"> 50</w:t>
      </w:r>
      <w:r w:rsidR="00DD4354" w:rsidRPr="001558A5">
        <w:rPr>
          <w:szCs w:val="20"/>
          <w:lang w:val="en-US"/>
        </w:rPr>
        <w:t xml:space="preserve"> of the </w:t>
      </w:r>
      <w:r w:rsidR="00871E19" w:rsidRPr="001558A5">
        <w:rPr>
          <w:szCs w:val="20"/>
          <w:lang w:val="en-US"/>
        </w:rPr>
        <w:t>Convention</w:t>
      </w:r>
      <w:r w:rsidR="006A2B05" w:rsidRPr="001558A5">
        <w:rPr>
          <w:szCs w:val="20"/>
          <w:lang w:val="en-US"/>
        </w:rPr>
        <w:t xml:space="preserve"> </w:t>
      </w:r>
      <w:r w:rsidR="0014438A" w:rsidRPr="001558A5">
        <w:rPr>
          <w:szCs w:val="20"/>
          <w:lang w:val="en-US"/>
        </w:rPr>
        <w:t>(</w:t>
      </w:r>
      <w:r w:rsidR="00871E19" w:rsidRPr="001558A5">
        <w:rPr>
          <w:szCs w:val="20"/>
          <w:lang w:val="en-US"/>
        </w:rPr>
        <w:t>hereinafter</w:t>
      </w:r>
      <w:r w:rsidR="0014438A" w:rsidRPr="001558A5">
        <w:rPr>
          <w:szCs w:val="20"/>
          <w:lang w:val="en-US"/>
        </w:rPr>
        <w:t xml:space="preserve"> “</w:t>
      </w:r>
      <w:r w:rsidRPr="001558A5">
        <w:rPr>
          <w:szCs w:val="20"/>
          <w:lang w:val="en-US"/>
        </w:rPr>
        <w:t>the Merits Report</w:t>
      </w:r>
      <w:r w:rsidR="00AD50B4" w:rsidRPr="001558A5">
        <w:rPr>
          <w:szCs w:val="20"/>
          <w:lang w:val="en-US"/>
        </w:rPr>
        <w:t>” o</w:t>
      </w:r>
      <w:r w:rsidRPr="001558A5">
        <w:rPr>
          <w:szCs w:val="20"/>
          <w:lang w:val="en-US"/>
        </w:rPr>
        <w:t>r</w:t>
      </w:r>
      <w:r w:rsidR="00AD50B4" w:rsidRPr="001558A5">
        <w:rPr>
          <w:szCs w:val="20"/>
          <w:lang w:val="en-US"/>
        </w:rPr>
        <w:t xml:space="preserve"> “</w:t>
      </w:r>
      <w:r w:rsidRPr="001558A5">
        <w:rPr>
          <w:szCs w:val="20"/>
          <w:lang w:val="en-US"/>
        </w:rPr>
        <w:t>Report No.</w:t>
      </w:r>
      <w:r w:rsidR="007701AD" w:rsidRPr="001558A5">
        <w:rPr>
          <w:szCs w:val="20"/>
          <w:lang w:val="en-US"/>
        </w:rPr>
        <w:t xml:space="preserve"> 157</w:t>
      </w:r>
      <w:r w:rsidR="00F00E22" w:rsidRPr="001558A5">
        <w:rPr>
          <w:szCs w:val="20"/>
          <w:lang w:val="en-US"/>
        </w:rPr>
        <w:t>/18</w:t>
      </w:r>
      <w:r w:rsidR="0014438A" w:rsidRPr="001558A5">
        <w:rPr>
          <w:szCs w:val="20"/>
          <w:lang w:val="en-US"/>
        </w:rPr>
        <w:t>”)</w:t>
      </w:r>
      <w:r w:rsidR="006A2B05" w:rsidRPr="001558A5">
        <w:rPr>
          <w:szCs w:val="20"/>
          <w:lang w:val="en-US"/>
        </w:rPr>
        <w:t xml:space="preserve">, </w:t>
      </w:r>
      <w:r w:rsidRPr="001558A5">
        <w:rPr>
          <w:szCs w:val="20"/>
          <w:lang w:val="en-US"/>
        </w:rPr>
        <w:t xml:space="preserve">in which it reached a series </w:t>
      </w:r>
      <w:r w:rsidR="00EB0270" w:rsidRPr="001558A5">
        <w:rPr>
          <w:szCs w:val="20"/>
          <w:lang w:val="en-US"/>
        </w:rPr>
        <w:t>conclusions</w:t>
      </w:r>
      <w:r w:rsidR="00DE0EB0" w:rsidRPr="001558A5">
        <w:rPr>
          <w:rStyle w:val="Refdenotaalpie"/>
          <w:lang w:val="en-US"/>
        </w:rPr>
        <w:footnoteReference w:id="3"/>
      </w:r>
      <w:r w:rsidR="00DD4354" w:rsidRPr="001558A5">
        <w:rPr>
          <w:szCs w:val="20"/>
          <w:lang w:val="en-US"/>
        </w:rPr>
        <w:t xml:space="preserve"> and</w:t>
      </w:r>
      <w:r w:rsidRPr="001558A5">
        <w:rPr>
          <w:szCs w:val="20"/>
          <w:lang w:val="en-US"/>
        </w:rPr>
        <w:t xml:space="preserve"> made several recommendations to the State.</w:t>
      </w:r>
    </w:p>
    <w:p w14:paraId="0BE094D2" w14:textId="175EE14E" w:rsidR="00C12AF0" w:rsidRPr="001558A5" w:rsidRDefault="00B10905" w:rsidP="00945CE2">
      <w:pPr>
        <w:pStyle w:val="Prrafodelista"/>
        <w:numPr>
          <w:ilvl w:val="1"/>
          <w:numId w:val="1"/>
        </w:numPr>
        <w:spacing w:before="120" w:after="120"/>
        <w:ind w:left="284" w:right="-6" w:firstLine="0"/>
        <w:contextualSpacing w:val="0"/>
        <w:rPr>
          <w:szCs w:val="20"/>
          <w:lang w:val="en-US"/>
        </w:rPr>
      </w:pPr>
      <w:r w:rsidRPr="001558A5">
        <w:rPr>
          <w:szCs w:val="20"/>
          <w:lang w:val="en-US"/>
        </w:rPr>
        <w:t xml:space="preserve"> </w:t>
      </w:r>
      <w:r w:rsidR="00375DA4" w:rsidRPr="001558A5">
        <w:rPr>
          <w:i/>
          <w:szCs w:val="20"/>
          <w:lang w:val="en-US"/>
        </w:rPr>
        <w:t>Notifica</w:t>
      </w:r>
      <w:r w:rsidR="00EB397C" w:rsidRPr="001558A5">
        <w:rPr>
          <w:i/>
          <w:szCs w:val="20"/>
          <w:lang w:val="en-US"/>
        </w:rPr>
        <w:t>tion to the State</w:t>
      </w:r>
      <w:r w:rsidR="00375DA4" w:rsidRPr="001558A5">
        <w:rPr>
          <w:i/>
          <w:szCs w:val="20"/>
          <w:lang w:val="en-US"/>
        </w:rPr>
        <w:t xml:space="preserve">. </w:t>
      </w:r>
      <w:r w:rsidR="00EB397C" w:rsidRPr="001558A5">
        <w:rPr>
          <w:szCs w:val="20"/>
          <w:lang w:val="en-US"/>
        </w:rPr>
        <w:t>The</w:t>
      </w:r>
      <w:r w:rsidR="00375DA4" w:rsidRPr="001558A5">
        <w:rPr>
          <w:szCs w:val="20"/>
          <w:lang w:val="en-US"/>
        </w:rPr>
        <w:t xml:space="preserve"> </w:t>
      </w:r>
      <w:r w:rsidR="00EB397C" w:rsidRPr="001558A5">
        <w:rPr>
          <w:szCs w:val="20"/>
          <w:lang w:val="en-US"/>
        </w:rPr>
        <w:t xml:space="preserve">Merits Report was notified to the State on January 30, 2019, granting it two months to report on compliance with the recommendations. </w:t>
      </w:r>
      <w:r w:rsidR="00DD4354" w:rsidRPr="001558A5">
        <w:rPr>
          <w:szCs w:val="20"/>
          <w:lang w:val="en-US"/>
        </w:rPr>
        <w:t>The State</w:t>
      </w:r>
      <w:r w:rsidR="00785A29" w:rsidRPr="001558A5">
        <w:rPr>
          <w:szCs w:val="20"/>
          <w:lang w:val="en-US"/>
        </w:rPr>
        <w:t xml:space="preserve"> </w:t>
      </w:r>
      <w:r w:rsidR="00EB397C" w:rsidRPr="001558A5">
        <w:rPr>
          <w:szCs w:val="20"/>
          <w:lang w:val="en-US"/>
        </w:rPr>
        <w:t xml:space="preserve">requested additional time to present its report and </w:t>
      </w:r>
      <w:r w:rsidR="00871E19" w:rsidRPr="001558A5">
        <w:rPr>
          <w:szCs w:val="20"/>
          <w:lang w:val="en-US"/>
        </w:rPr>
        <w:t>the Commission</w:t>
      </w:r>
      <w:r w:rsidR="003F5677" w:rsidRPr="001558A5">
        <w:rPr>
          <w:szCs w:val="20"/>
          <w:lang w:val="en-US"/>
        </w:rPr>
        <w:t xml:space="preserve"> granted this</w:t>
      </w:r>
      <w:r w:rsidR="00EB397C" w:rsidRPr="001558A5">
        <w:rPr>
          <w:szCs w:val="20"/>
          <w:lang w:val="en-US"/>
        </w:rPr>
        <w:t xml:space="preserve">; however, </w:t>
      </w:r>
      <w:r w:rsidR="00DD4354" w:rsidRPr="001558A5">
        <w:rPr>
          <w:szCs w:val="20"/>
          <w:lang w:val="en-US"/>
        </w:rPr>
        <w:t>the State</w:t>
      </w:r>
      <w:r w:rsidR="00F41F50" w:rsidRPr="001558A5">
        <w:rPr>
          <w:szCs w:val="20"/>
          <w:lang w:val="en-US"/>
        </w:rPr>
        <w:t xml:space="preserve"> </w:t>
      </w:r>
      <w:r w:rsidR="00EB397C" w:rsidRPr="001558A5">
        <w:rPr>
          <w:szCs w:val="20"/>
          <w:lang w:val="en-US"/>
        </w:rPr>
        <w:t xml:space="preserve">did not submit its </w:t>
      </w:r>
      <w:r w:rsidR="003F5677" w:rsidRPr="001558A5">
        <w:rPr>
          <w:szCs w:val="20"/>
          <w:lang w:val="en-US"/>
        </w:rPr>
        <w:t>re</w:t>
      </w:r>
      <w:r w:rsidR="00EB397C" w:rsidRPr="001558A5">
        <w:rPr>
          <w:szCs w:val="20"/>
          <w:lang w:val="en-US"/>
        </w:rPr>
        <w:t>port or a request for a</w:t>
      </w:r>
      <w:r w:rsidR="003F5677" w:rsidRPr="001558A5">
        <w:rPr>
          <w:szCs w:val="20"/>
          <w:lang w:val="en-US"/>
        </w:rPr>
        <w:t xml:space="preserve"> further</w:t>
      </w:r>
      <w:r w:rsidR="00EB397C" w:rsidRPr="001558A5">
        <w:rPr>
          <w:szCs w:val="20"/>
          <w:lang w:val="en-US"/>
        </w:rPr>
        <w:t xml:space="preserve"> extension.</w:t>
      </w:r>
      <w:r w:rsidR="00F41F50" w:rsidRPr="001558A5">
        <w:rPr>
          <w:szCs w:val="20"/>
          <w:lang w:val="en-US"/>
        </w:rPr>
        <w:t xml:space="preserve"> </w:t>
      </w:r>
    </w:p>
    <w:p w14:paraId="41B9E161" w14:textId="57217381" w:rsidR="00C12AF0" w:rsidRPr="001558A5" w:rsidRDefault="00B732DD" w:rsidP="00945CE2">
      <w:pPr>
        <w:pStyle w:val="Prrafodelista"/>
        <w:numPr>
          <w:ilvl w:val="0"/>
          <w:numId w:val="2"/>
        </w:numPr>
        <w:spacing w:before="120" w:after="120"/>
        <w:ind w:left="0" w:right="-4" w:firstLine="0"/>
        <w:contextualSpacing w:val="0"/>
        <w:rPr>
          <w:szCs w:val="20"/>
          <w:lang w:val="en-US"/>
        </w:rPr>
      </w:pPr>
      <w:r w:rsidRPr="001558A5">
        <w:rPr>
          <w:i/>
          <w:szCs w:val="20"/>
          <w:lang w:val="en-US"/>
        </w:rPr>
        <w:t>Submission to</w:t>
      </w:r>
      <w:r w:rsidR="00375DA4" w:rsidRPr="001558A5">
        <w:rPr>
          <w:i/>
          <w:szCs w:val="20"/>
          <w:lang w:val="en-US"/>
        </w:rPr>
        <w:t xml:space="preserve"> </w:t>
      </w:r>
      <w:r w:rsidR="00871E19" w:rsidRPr="001558A5">
        <w:rPr>
          <w:i/>
          <w:szCs w:val="20"/>
          <w:lang w:val="en-US"/>
        </w:rPr>
        <w:t>the Court</w:t>
      </w:r>
      <w:r w:rsidR="00375DA4" w:rsidRPr="001558A5">
        <w:rPr>
          <w:i/>
          <w:szCs w:val="20"/>
          <w:lang w:val="en-US"/>
        </w:rPr>
        <w:t xml:space="preserve">. </w:t>
      </w:r>
      <w:r w:rsidRPr="001558A5">
        <w:rPr>
          <w:szCs w:val="20"/>
          <w:lang w:val="en-US"/>
        </w:rPr>
        <w:t>On April 30,</w:t>
      </w:r>
      <w:r w:rsidR="00F32505" w:rsidRPr="001558A5">
        <w:rPr>
          <w:szCs w:val="20"/>
          <w:lang w:val="en-US"/>
        </w:rPr>
        <w:t xml:space="preserve"> </w:t>
      </w:r>
      <w:r w:rsidR="00440C74" w:rsidRPr="001558A5">
        <w:rPr>
          <w:szCs w:val="20"/>
          <w:lang w:val="en-US"/>
        </w:rPr>
        <w:t>2019</w:t>
      </w:r>
      <w:r w:rsidRPr="001558A5">
        <w:rPr>
          <w:szCs w:val="20"/>
          <w:lang w:val="en-US"/>
        </w:rPr>
        <w:t>,</w:t>
      </w:r>
      <w:r w:rsidR="002D0C3F" w:rsidRPr="001558A5">
        <w:rPr>
          <w:szCs w:val="20"/>
          <w:lang w:val="en-US"/>
        </w:rPr>
        <w:t xml:space="preserve"> </w:t>
      </w:r>
      <w:r w:rsidR="00871E19" w:rsidRPr="001558A5">
        <w:rPr>
          <w:szCs w:val="20"/>
          <w:lang w:val="en-US"/>
        </w:rPr>
        <w:t>the Commission</w:t>
      </w:r>
      <w:r w:rsidR="00375DA4" w:rsidRPr="001558A5">
        <w:rPr>
          <w:szCs w:val="20"/>
          <w:lang w:val="en-US"/>
        </w:rPr>
        <w:t xml:space="preserve"> </w:t>
      </w:r>
      <w:r w:rsidRPr="001558A5">
        <w:rPr>
          <w:szCs w:val="20"/>
          <w:lang w:val="en-US"/>
        </w:rPr>
        <w:t>submitted all the facts and alleged human rights violations described in the Merits Report to</w:t>
      </w:r>
      <w:r w:rsidR="00DD4354" w:rsidRPr="001558A5">
        <w:rPr>
          <w:rFonts w:eastAsiaTheme="minorHAnsi" w:cs="Verdana"/>
          <w:szCs w:val="20"/>
          <w:lang w:val="en-US"/>
        </w:rPr>
        <w:t xml:space="preserve"> the </w:t>
      </w:r>
      <w:r w:rsidR="00871E19" w:rsidRPr="001558A5">
        <w:rPr>
          <w:rFonts w:eastAsiaTheme="minorHAnsi" w:cs="Verdana"/>
          <w:szCs w:val="20"/>
          <w:lang w:val="en-US"/>
        </w:rPr>
        <w:t>Inter-American Court</w:t>
      </w:r>
      <w:r w:rsidR="00375DA4" w:rsidRPr="001558A5">
        <w:rPr>
          <w:rFonts w:eastAsiaTheme="minorHAnsi" w:cs="Verdana"/>
          <w:szCs w:val="20"/>
          <w:lang w:val="en-US"/>
        </w:rPr>
        <w:t xml:space="preserve"> </w:t>
      </w:r>
      <w:r w:rsidR="00375DA4" w:rsidRPr="001558A5">
        <w:rPr>
          <w:szCs w:val="20"/>
          <w:lang w:val="en-US"/>
        </w:rPr>
        <w:lastRenderedPageBreak/>
        <w:t>“</w:t>
      </w:r>
      <w:r w:rsidRPr="001558A5">
        <w:rPr>
          <w:szCs w:val="20"/>
          <w:lang w:val="en-US"/>
        </w:rPr>
        <w:t xml:space="preserve">due to the need to obtain justice and reparation.” It asked the Court to declare the international responsibility of Honduras for the violations of the rights indicated in the </w:t>
      </w:r>
      <w:r w:rsidR="00E21C82" w:rsidRPr="001558A5">
        <w:rPr>
          <w:szCs w:val="20"/>
          <w:lang w:val="en-US"/>
        </w:rPr>
        <w:t xml:space="preserve">report’s </w:t>
      </w:r>
      <w:r w:rsidRPr="001558A5">
        <w:rPr>
          <w:szCs w:val="20"/>
          <w:lang w:val="en-US"/>
        </w:rPr>
        <w:t xml:space="preserve">conclusions. In addition, it asked the Court to order certain measures of reparation </w:t>
      </w:r>
      <w:r w:rsidR="005936DA" w:rsidRPr="001558A5">
        <w:rPr>
          <w:szCs w:val="20"/>
          <w:lang w:val="en-US"/>
        </w:rPr>
        <w:t>(</w:t>
      </w:r>
      <w:r w:rsidR="005936DA" w:rsidRPr="001558A5">
        <w:rPr>
          <w:i/>
          <w:szCs w:val="20"/>
          <w:lang w:val="en-US"/>
        </w:rPr>
        <w:t>infra</w:t>
      </w:r>
      <w:r w:rsidR="005936DA" w:rsidRPr="001558A5">
        <w:rPr>
          <w:szCs w:val="20"/>
          <w:lang w:val="en-US"/>
        </w:rPr>
        <w:t xml:space="preserve"> C</w:t>
      </w:r>
      <w:r w:rsidRPr="001558A5">
        <w:rPr>
          <w:szCs w:val="20"/>
          <w:lang w:val="en-US"/>
        </w:rPr>
        <w:t>hapter</w:t>
      </w:r>
      <w:r w:rsidR="005936DA" w:rsidRPr="001558A5">
        <w:rPr>
          <w:szCs w:val="20"/>
          <w:lang w:val="en-US"/>
        </w:rPr>
        <w:t xml:space="preserve"> </w:t>
      </w:r>
      <w:r w:rsidR="00CA023F" w:rsidRPr="001558A5">
        <w:rPr>
          <w:szCs w:val="20"/>
          <w:lang w:val="en-US"/>
        </w:rPr>
        <w:t>VIII</w:t>
      </w:r>
      <w:r w:rsidR="005936DA" w:rsidRPr="001558A5">
        <w:rPr>
          <w:szCs w:val="20"/>
          <w:lang w:val="en-US"/>
        </w:rPr>
        <w:t>).</w:t>
      </w:r>
      <w:r w:rsidR="00B4186A" w:rsidRPr="001558A5">
        <w:rPr>
          <w:szCs w:val="20"/>
          <w:lang w:val="en-US"/>
        </w:rPr>
        <w:t xml:space="preserve"> </w:t>
      </w:r>
      <w:r w:rsidRPr="001558A5">
        <w:rPr>
          <w:szCs w:val="20"/>
          <w:lang w:val="en-US"/>
        </w:rPr>
        <w:t>The Court notes that six years and four months elapsed between the lodging of the initial petition before the Commission and the submission of the case to the Court.</w:t>
      </w:r>
    </w:p>
    <w:p w14:paraId="394216C2" w14:textId="6AF8CD7D" w:rsidR="00473A82" w:rsidRPr="001558A5" w:rsidRDefault="00C6683F" w:rsidP="00945CE2">
      <w:pPr>
        <w:pStyle w:val="Ttulo1"/>
        <w:ind w:right="-4"/>
        <w:rPr>
          <w:lang w:val="en-US"/>
        </w:rPr>
      </w:pPr>
      <w:bookmarkStart w:id="10" w:name="_Toc359314415"/>
      <w:bookmarkStart w:id="11" w:name="_Toc361671572"/>
      <w:bookmarkStart w:id="12" w:name="_Toc361671992"/>
      <w:bookmarkStart w:id="13" w:name="_Toc361732789"/>
      <w:bookmarkStart w:id="14" w:name="_Toc361732832"/>
      <w:bookmarkStart w:id="15" w:name="_Toc362456863"/>
      <w:bookmarkStart w:id="16" w:name="_Toc365021392"/>
      <w:bookmarkStart w:id="17" w:name="_Toc369076778"/>
      <w:bookmarkStart w:id="18" w:name="_Toc369989362"/>
      <w:bookmarkStart w:id="19" w:name="_Toc369989449"/>
      <w:bookmarkStart w:id="20" w:name="_Toc369989730"/>
      <w:bookmarkStart w:id="21" w:name="_Toc438132270"/>
      <w:bookmarkStart w:id="22" w:name="_Toc311128156"/>
      <w:bookmarkStart w:id="23" w:name="_Toc311128353"/>
      <w:bookmarkStart w:id="24" w:name="_Toc486693352"/>
      <w:bookmarkStart w:id="25" w:name="_Toc486842768"/>
      <w:bookmarkStart w:id="26" w:name="_Toc486842906"/>
      <w:bookmarkStart w:id="27" w:name="_Toc11166263"/>
      <w:bookmarkStart w:id="28" w:name="_Toc73430033"/>
      <w:r w:rsidRPr="001558A5">
        <w:rPr>
          <w:lang w:val="en-US"/>
        </w:rPr>
        <w:t>II</w:t>
      </w:r>
      <w:r w:rsidRPr="001558A5">
        <w:rPr>
          <w:color w:val="FFFFFF" w:themeColor="background1"/>
          <w:lang w:val="en-US"/>
        </w:rPr>
        <w:t>.</w:t>
      </w:r>
      <w:r w:rsidRPr="001558A5">
        <w:rPr>
          <w:lang w:val="en-US"/>
        </w:rPr>
        <w:br/>
      </w:r>
      <w:r w:rsidR="00871E19" w:rsidRPr="001558A5">
        <w:rPr>
          <w:lang w:val="en-US"/>
        </w:rPr>
        <w:t>PROCEEDINGS BEFORE</w:t>
      </w:r>
      <w:r w:rsidR="00473A82" w:rsidRPr="001558A5">
        <w:rPr>
          <w:lang w:val="en-US"/>
        </w:rPr>
        <w:t xml:space="preserve"> </w:t>
      </w:r>
      <w:r w:rsidR="00871E19" w:rsidRPr="001558A5">
        <w:rPr>
          <w:lang w:val="en-US"/>
        </w:rPr>
        <w:t>THE COURT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376FE37F" w14:textId="37766D33" w:rsidR="00565BE2" w:rsidRPr="001558A5" w:rsidRDefault="00E17DFF" w:rsidP="00945CE2">
      <w:pPr>
        <w:pStyle w:val="Estilo1"/>
        <w:numPr>
          <w:ilvl w:val="0"/>
          <w:numId w:val="2"/>
        </w:numPr>
        <w:tabs>
          <w:tab w:val="left" w:pos="0"/>
        </w:tabs>
        <w:spacing w:before="120"/>
        <w:ind w:left="0" w:right="-4" w:firstLine="0"/>
        <w:rPr>
          <w:szCs w:val="20"/>
          <w:lang w:val="en-US"/>
        </w:rPr>
      </w:pPr>
      <w:r w:rsidRPr="001558A5">
        <w:rPr>
          <w:szCs w:val="20"/>
          <w:lang w:val="en-US" w:eastAsia="es-ES"/>
        </w:rPr>
        <w:t>Notification to the State</w:t>
      </w:r>
      <w:r w:rsidR="00DD4354" w:rsidRPr="001558A5">
        <w:rPr>
          <w:szCs w:val="20"/>
          <w:lang w:val="en-US" w:eastAsia="es-ES"/>
        </w:rPr>
        <w:t xml:space="preserve"> and </w:t>
      </w:r>
      <w:r w:rsidRPr="001558A5">
        <w:rPr>
          <w:szCs w:val="20"/>
          <w:lang w:val="en-US" w:eastAsia="es-ES"/>
        </w:rPr>
        <w:t>to</w:t>
      </w:r>
      <w:r w:rsidR="00473A82" w:rsidRPr="001558A5">
        <w:rPr>
          <w:szCs w:val="20"/>
          <w:lang w:val="en-US" w:eastAsia="es-ES"/>
        </w:rPr>
        <w:t xml:space="preserve"> </w:t>
      </w:r>
      <w:r w:rsidR="00DD4354" w:rsidRPr="001558A5">
        <w:rPr>
          <w:szCs w:val="20"/>
          <w:lang w:val="en-US" w:eastAsia="es-ES"/>
        </w:rPr>
        <w:t>the representatives</w:t>
      </w:r>
      <w:r w:rsidRPr="001558A5">
        <w:rPr>
          <w:szCs w:val="20"/>
          <w:lang w:val="en-US" w:eastAsia="es-ES"/>
        </w:rPr>
        <w:t>.</w:t>
      </w:r>
      <w:r w:rsidR="00933036" w:rsidRPr="001558A5">
        <w:rPr>
          <w:rStyle w:val="Refdenotaalpie"/>
          <w:lang w:val="en-US" w:eastAsia="es-ES"/>
        </w:rPr>
        <w:footnoteReference w:id="4"/>
      </w:r>
      <w:r w:rsidR="00473A82" w:rsidRPr="001558A5">
        <w:rPr>
          <w:szCs w:val="20"/>
          <w:lang w:val="en-US" w:eastAsia="es-ES"/>
        </w:rPr>
        <w:t xml:space="preserve"> </w:t>
      </w:r>
      <w:r w:rsidRPr="001558A5">
        <w:rPr>
          <w:i w:val="0"/>
          <w:szCs w:val="20"/>
          <w:lang w:val="en-US"/>
        </w:rPr>
        <w:t xml:space="preserve">The submission of the case was notified to </w:t>
      </w:r>
      <w:r w:rsidR="00DD4354" w:rsidRPr="001558A5">
        <w:rPr>
          <w:i w:val="0"/>
          <w:szCs w:val="20"/>
          <w:lang w:val="en-US"/>
        </w:rPr>
        <w:t xml:space="preserve">the representatives and </w:t>
      </w:r>
      <w:r w:rsidRPr="001558A5">
        <w:rPr>
          <w:i w:val="0"/>
          <w:szCs w:val="20"/>
          <w:lang w:val="en-US"/>
        </w:rPr>
        <w:t>the State on May</w:t>
      </w:r>
      <w:r w:rsidR="00CF4D1E" w:rsidRPr="001558A5">
        <w:rPr>
          <w:i w:val="0"/>
          <w:szCs w:val="20"/>
          <w:lang w:val="en-US"/>
        </w:rPr>
        <w:t xml:space="preserve"> </w:t>
      </w:r>
      <w:r w:rsidR="00102A96" w:rsidRPr="001558A5">
        <w:rPr>
          <w:i w:val="0"/>
          <w:szCs w:val="20"/>
          <w:lang w:val="en-US"/>
        </w:rPr>
        <w:t>2</w:t>
      </w:r>
      <w:r w:rsidR="00E0490B" w:rsidRPr="001558A5">
        <w:rPr>
          <w:i w:val="0"/>
          <w:szCs w:val="20"/>
          <w:lang w:val="en-US"/>
        </w:rPr>
        <w:t>9</w:t>
      </w:r>
      <w:r w:rsidRPr="001558A5">
        <w:rPr>
          <w:i w:val="0"/>
          <w:szCs w:val="20"/>
          <w:lang w:val="en-US"/>
        </w:rPr>
        <w:t xml:space="preserve">, </w:t>
      </w:r>
      <w:r w:rsidR="00102A96" w:rsidRPr="001558A5">
        <w:rPr>
          <w:i w:val="0"/>
          <w:szCs w:val="20"/>
          <w:lang w:val="en-US"/>
        </w:rPr>
        <w:t>2019</w:t>
      </w:r>
      <w:r w:rsidR="007E7F4B" w:rsidRPr="001558A5">
        <w:rPr>
          <w:i w:val="0"/>
          <w:szCs w:val="20"/>
          <w:lang w:val="en-US"/>
        </w:rPr>
        <w:t>.</w:t>
      </w:r>
      <w:r w:rsidR="00102A96" w:rsidRPr="001558A5">
        <w:rPr>
          <w:i w:val="0"/>
          <w:szCs w:val="20"/>
          <w:lang w:val="en-US"/>
        </w:rPr>
        <w:t xml:space="preserve"> </w:t>
      </w:r>
    </w:p>
    <w:p w14:paraId="5A7762DD" w14:textId="1B44F194" w:rsidR="00565BE2" w:rsidRPr="001558A5" w:rsidRDefault="00E17DFF" w:rsidP="00945CE2">
      <w:pPr>
        <w:pStyle w:val="Estilo1"/>
        <w:numPr>
          <w:ilvl w:val="0"/>
          <w:numId w:val="2"/>
        </w:numPr>
        <w:tabs>
          <w:tab w:val="left" w:pos="0"/>
        </w:tabs>
        <w:spacing w:before="120"/>
        <w:ind w:left="0" w:right="-4" w:firstLine="0"/>
        <w:rPr>
          <w:szCs w:val="20"/>
          <w:lang w:val="en-US"/>
        </w:rPr>
      </w:pPr>
      <w:bookmarkStart w:id="29" w:name="_Hlk78636941"/>
      <w:r w:rsidRPr="001558A5">
        <w:rPr>
          <w:szCs w:val="20"/>
          <w:lang w:val="en-US" w:eastAsia="es-ES"/>
        </w:rPr>
        <w:t>Brief with pleadings, motions and evidence</w:t>
      </w:r>
      <w:bookmarkEnd w:id="29"/>
      <w:r w:rsidR="00565BE2" w:rsidRPr="001558A5">
        <w:rPr>
          <w:szCs w:val="20"/>
          <w:lang w:val="en-US" w:eastAsia="es-ES"/>
        </w:rPr>
        <w:t xml:space="preserve">. </w:t>
      </w:r>
      <w:r w:rsidRPr="001558A5">
        <w:rPr>
          <w:i w:val="0"/>
          <w:szCs w:val="20"/>
          <w:lang w:val="en-US"/>
        </w:rPr>
        <w:t>On July 25,</w:t>
      </w:r>
      <w:r w:rsidR="008036B2" w:rsidRPr="001558A5">
        <w:rPr>
          <w:i w:val="0"/>
          <w:szCs w:val="20"/>
          <w:lang w:val="en-US"/>
        </w:rPr>
        <w:t xml:space="preserve"> 2019</w:t>
      </w:r>
      <w:r w:rsidR="00492F24" w:rsidRPr="001558A5">
        <w:rPr>
          <w:i w:val="0"/>
          <w:szCs w:val="20"/>
          <w:lang w:val="en-US"/>
        </w:rPr>
        <w:t xml:space="preserve">, </w:t>
      </w:r>
      <w:r w:rsidR="00DD4354" w:rsidRPr="001558A5">
        <w:rPr>
          <w:i w:val="0"/>
          <w:szCs w:val="20"/>
          <w:lang w:val="en-US"/>
        </w:rPr>
        <w:t>the representatives</w:t>
      </w:r>
      <w:r w:rsidR="00492F24" w:rsidRPr="001558A5">
        <w:rPr>
          <w:i w:val="0"/>
          <w:szCs w:val="20"/>
          <w:lang w:val="en-US"/>
        </w:rPr>
        <w:t xml:space="preserve"> </w:t>
      </w:r>
      <w:r w:rsidRPr="001558A5">
        <w:rPr>
          <w:i w:val="0"/>
          <w:szCs w:val="20"/>
          <w:lang w:val="en-US"/>
        </w:rPr>
        <w:t>presented their brief with pleadings, motions and evidence</w:t>
      </w:r>
      <w:r w:rsidR="00565BE2" w:rsidRPr="001558A5">
        <w:rPr>
          <w:i w:val="0"/>
          <w:szCs w:val="20"/>
          <w:lang w:val="en-US"/>
        </w:rPr>
        <w:t xml:space="preserve"> (</w:t>
      </w:r>
      <w:r w:rsidR="00871E19" w:rsidRPr="001558A5">
        <w:rPr>
          <w:i w:val="0"/>
          <w:szCs w:val="20"/>
          <w:lang w:val="en-US"/>
        </w:rPr>
        <w:t>hereinafter</w:t>
      </w:r>
      <w:r w:rsidR="00565BE2" w:rsidRPr="001558A5">
        <w:rPr>
          <w:i w:val="0"/>
          <w:szCs w:val="20"/>
          <w:lang w:val="en-US"/>
        </w:rPr>
        <w:t xml:space="preserve"> “</w:t>
      </w:r>
      <w:r w:rsidRPr="001558A5">
        <w:rPr>
          <w:i w:val="0"/>
          <w:szCs w:val="20"/>
          <w:lang w:val="en-US"/>
        </w:rPr>
        <w:t>pleadings and motions brief</w:t>
      </w:r>
      <w:r w:rsidR="00991BAB" w:rsidRPr="001558A5">
        <w:rPr>
          <w:i w:val="0"/>
          <w:szCs w:val="20"/>
          <w:lang w:val="en-US"/>
        </w:rPr>
        <w:t>”</w:t>
      </w:r>
      <w:r w:rsidR="00565BE2" w:rsidRPr="001558A5">
        <w:rPr>
          <w:i w:val="0"/>
          <w:szCs w:val="20"/>
          <w:lang w:val="en-US"/>
        </w:rPr>
        <w:t>)</w:t>
      </w:r>
      <w:r w:rsidRPr="001558A5">
        <w:rPr>
          <w:i w:val="0"/>
          <w:szCs w:val="20"/>
          <w:lang w:val="en-US"/>
        </w:rPr>
        <w:t xml:space="preserve"> under</w:t>
      </w:r>
      <w:r w:rsidR="00565BE2" w:rsidRPr="001558A5">
        <w:rPr>
          <w:i w:val="0"/>
          <w:szCs w:val="20"/>
          <w:lang w:val="en-US"/>
        </w:rPr>
        <w:t xml:space="preserve"> </w:t>
      </w:r>
      <w:r w:rsidR="00871E19" w:rsidRPr="001558A5">
        <w:rPr>
          <w:i w:val="0"/>
          <w:szCs w:val="20"/>
          <w:lang w:val="en-US"/>
        </w:rPr>
        <w:t>Articles</w:t>
      </w:r>
      <w:r w:rsidR="00565BE2" w:rsidRPr="001558A5">
        <w:rPr>
          <w:i w:val="0"/>
          <w:szCs w:val="20"/>
          <w:lang w:val="en-US"/>
        </w:rPr>
        <w:t xml:space="preserve"> 25</w:t>
      </w:r>
      <w:r w:rsidR="00DD4354" w:rsidRPr="001558A5">
        <w:rPr>
          <w:i w:val="0"/>
          <w:szCs w:val="20"/>
          <w:lang w:val="en-US"/>
        </w:rPr>
        <w:t xml:space="preserve"> and </w:t>
      </w:r>
      <w:r w:rsidR="00565BE2" w:rsidRPr="001558A5">
        <w:rPr>
          <w:i w:val="0"/>
          <w:szCs w:val="20"/>
          <w:lang w:val="en-US"/>
        </w:rPr>
        <w:t>40</w:t>
      </w:r>
      <w:r w:rsidR="00DD4354" w:rsidRPr="001558A5">
        <w:rPr>
          <w:i w:val="0"/>
          <w:szCs w:val="20"/>
          <w:lang w:val="en-US"/>
        </w:rPr>
        <w:t xml:space="preserve"> of the </w:t>
      </w:r>
      <w:r w:rsidRPr="001558A5">
        <w:rPr>
          <w:i w:val="0"/>
          <w:szCs w:val="20"/>
          <w:lang w:val="en-US"/>
        </w:rPr>
        <w:t xml:space="preserve">Court’s </w:t>
      </w:r>
      <w:r w:rsidR="00871E19" w:rsidRPr="001558A5">
        <w:rPr>
          <w:i w:val="0"/>
          <w:szCs w:val="20"/>
          <w:lang w:val="en-US"/>
        </w:rPr>
        <w:t>Rules of Procedure</w:t>
      </w:r>
      <w:r w:rsidR="00B71DDA" w:rsidRPr="001558A5">
        <w:rPr>
          <w:i w:val="0"/>
          <w:szCs w:val="20"/>
          <w:lang w:val="en-US"/>
        </w:rPr>
        <w:t xml:space="preserve">. </w:t>
      </w:r>
      <w:r w:rsidR="00DD4354" w:rsidRPr="001558A5">
        <w:rPr>
          <w:i w:val="0"/>
          <w:szCs w:val="20"/>
          <w:lang w:val="en-US"/>
        </w:rPr>
        <w:t>The representatives</w:t>
      </w:r>
      <w:r w:rsidR="00B71DDA" w:rsidRPr="001558A5">
        <w:rPr>
          <w:i w:val="0"/>
          <w:szCs w:val="20"/>
          <w:lang w:val="en-US"/>
        </w:rPr>
        <w:t xml:space="preserve"> </w:t>
      </w:r>
      <w:r w:rsidRPr="001558A5">
        <w:rPr>
          <w:i w:val="0"/>
          <w:szCs w:val="20"/>
          <w:lang w:val="en-US"/>
        </w:rPr>
        <w:t xml:space="preserve">agreed with </w:t>
      </w:r>
      <w:r w:rsidR="00871E19" w:rsidRPr="001558A5">
        <w:rPr>
          <w:i w:val="0"/>
          <w:szCs w:val="20"/>
          <w:lang w:val="en-US"/>
        </w:rPr>
        <w:t>the Commission</w:t>
      </w:r>
      <w:r w:rsidR="00907FBD" w:rsidRPr="001558A5">
        <w:rPr>
          <w:i w:val="0"/>
          <w:szCs w:val="20"/>
          <w:lang w:val="en-US"/>
        </w:rPr>
        <w:t>’s allegations and also asked the Court to declare that the State had violated the rights to</w:t>
      </w:r>
      <w:r w:rsidR="001F0396" w:rsidRPr="001558A5">
        <w:rPr>
          <w:i w:val="0"/>
          <w:szCs w:val="20"/>
          <w:lang w:val="en-US"/>
        </w:rPr>
        <w:t xml:space="preserve"> </w:t>
      </w:r>
      <w:r w:rsidR="00907FBD" w:rsidRPr="001558A5">
        <w:rPr>
          <w:i w:val="0"/>
          <w:szCs w:val="20"/>
          <w:lang w:val="en-US"/>
        </w:rPr>
        <w:t>recognition of juridical personality</w:t>
      </w:r>
      <w:r w:rsidR="00DD4354" w:rsidRPr="001558A5">
        <w:rPr>
          <w:i w:val="0"/>
          <w:szCs w:val="20"/>
          <w:lang w:val="en-US"/>
        </w:rPr>
        <w:t xml:space="preserve"> and </w:t>
      </w:r>
      <w:r w:rsidR="00907FBD" w:rsidRPr="001558A5">
        <w:rPr>
          <w:i w:val="0"/>
          <w:szCs w:val="20"/>
          <w:lang w:val="en-US"/>
        </w:rPr>
        <w:t>to a name, In addition, they asked the Court to order the State to adopt various measures of reparation and to reimburse costs and expenses</w:t>
      </w:r>
      <w:r w:rsidR="00565BE2" w:rsidRPr="001558A5">
        <w:rPr>
          <w:i w:val="0"/>
          <w:szCs w:val="20"/>
          <w:lang w:val="en-US"/>
        </w:rPr>
        <w:t xml:space="preserve">. </w:t>
      </w:r>
    </w:p>
    <w:p w14:paraId="3118AF6C" w14:textId="6DCC9623" w:rsidR="00565BE2" w:rsidRPr="001558A5" w:rsidRDefault="00907FBD" w:rsidP="00907FBD">
      <w:pPr>
        <w:pStyle w:val="Estilo1"/>
        <w:numPr>
          <w:ilvl w:val="0"/>
          <w:numId w:val="2"/>
        </w:numPr>
        <w:tabs>
          <w:tab w:val="left" w:pos="0"/>
        </w:tabs>
        <w:spacing w:before="120"/>
        <w:ind w:left="0" w:right="-4" w:firstLine="0"/>
        <w:rPr>
          <w:szCs w:val="20"/>
          <w:lang w:val="en-US"/>
        </w:rPr>
      </w:pPr>
      <w:r w:rsidRPr="001558A5">
        <w:rPr>
          <w:rFonts w:eastAsia="Calibri"/>
          <w:bCs/>
          <w:szCs w:val="20"/>
          <w:lang w:val="en-US"/>
        </w:rPr>
        <w:t>Answering brief.</w:t>
      </w:r>
      <w:r w:rsidR="00565BE2" w:rsidRPr="001558A5">
        <w:rPr>
          <w:rStyle w:val="Refdenotaalpie"/>
          <w:rFonts w:eastAsia="Calibri"/>
          <w:bCs/>
          <w:lang w:val="en-US"/>
        </w:rPr>
        <w:footnoteReference w:id="5"/>
      </w:r>
      <w:r w:rsidR="00565BE2" w:rsidRPr="001558A5">
        <w:rPr>
          <w:rFonts w:eastAsia="Calibri"/>
          <w:bCs/>
          <w:szCs w:val="20"/>
          <w:lang w:val="en-US"/>
        </w:rPr>
        <w:t xml:space="preserve"> </w:t>
      </w:r>
      <w:r w:rsidRPr="001558A5">
        <w:rPr>
          <w:i w:val="0"/>
          <w:szCs w:val="20"/>
          <w:lang w:val="en-US"/>
        </w:rPr>
        <w:t>On October 23,</w:t>
      </w:r>
      <w:r w:rsidR="00565BE2" w:rsidRPr="001558A5">
        <w:rPr>
          <w:i w:val="0"/>
          <w:szCs w:val="20"/>
          <w:lang w:val="en-US"/>
        </w:rPr>
        <w:t xml:space="preserve"> </w:t>
      </w:r>
      <w:r w:rsidR="00014C1A" w:rsidRPr="001558A5">
        <w:rPr>
          <w:i w:val="0"/>
          <w:szCs w:val="20"/>
          <w:lang w:val="en-US"/>
        </w:rPr>
        <w:t>2019</w:t>
      </w:r>
      <w:r w:rsidR="00565BE2" w:rsidRPr="001558A5">
        <w:rPr>
          <w:i w:val="0"/>
          <w:szCs w:val="20"/>
          <w:lang w:val="en-US"/>
        </w:rPr>
        <w:t xml:space="preserve">, </w:t>
      </w:r>
      <w:r w:rsidR="00DD4354" w:rsidRPr="001558A5">
        <w:rPr>
          <w:i w:val="0"/>
          <w:szCs w:val="20"/>
          <w:lang w:val="en-US"/>
        </w:rPr>
        <w:t>the State</w:t>
      </w:r>
      <w:r w:rsidR="00565BE2" w:rsidRPr="001558A5">
        <w:rPr>
          <w:i w:val="0"/>
          <w:szCs w:val="20"/>
          <w:lang w:val="en-US"/>
        </w:rPr>
        <w:t xml:space="preserve"> </w:t>
      </w:r>
      <w:r w:rsidRPr="001558A5">
        <w:rPr>
          <w:i w:val="0"/>
          <w:szCs w:val="20"/>
          <w:lang w:val="en-US"/>
        </w:rPr>
        <w:t>presented its brief</w:t>
      </w:r>
      <w:r w:rsidR="00565BE2" w:rsidRPr="001558A5">
        <w:rPr>
          <w:i w:val="0"/>
          <w:szCs w:val="20"/>
          <w:lang w:val="en-US"/>
        </w:rPr>
        <w:t xml:space="preserve"> </w:t>
      </w:r>
      <w:r w:rsidRPr="001558A5">
        <w:rPr>
          <w:i w:val="0"/>
          <w:szCs w:val="20"/>
          <w:lang w:val="en-US"/>
        </w:rPr>
        <w:t xml:space="preserve">answering the submission of the case and the </w:t>
      </w:r>
      <w:r w:rsidR="00E17DFF" w:rsidRPr="001558A5">
        <w:rPr>
          <w:i w:val="0"/>
          <w:szCs w:val="20"/>
          <w:lang w:val="en-US"/>
        </w:rPr>
        <w:t>pleadings and motions brief</w:t>
      </w:r>
      <w:r w:rsidR="00565BE2" w:rsidRPr="001558A5">
        <w:rPr>
          <w:i w:val="0"/>
          <w:szCs w:val="20"/>
          <w:lang w:val="en-US"/>
        </w:rPr>
        <w:t xml:space="preserve"> (</w:t>
      </w:r>
      <w:r w:rsidR="00871E19" w:rsidRPr="001558A5">
        <w:rPr>
          <w:i w:val="0"/>
          <w:szCs w:val="20"/>
          <w:lang w:val="en-US"/>
        </w:rPr>
        <w:t>hereinafter</w:t>
      </w:r>
      <w:r w:rsidR="00991BAB" w:rsidRPr="001558A5">
        <w:rPr>
          <w:i w:val="0"/>
          <w:szCs w:val="20"/>
          <w:lang w:val="en-US"/>
        </w:rPr>
        <w:t xml:space="preserve"> “</w:t>
      </w:r>
      <w:r w:rsidRPr="001558A5">
        <w:rPr>
          <w:i w:val="0"/>
          <w:szCs w:val="20"/>
          <w:lang w:val="en-US"/>
        </w:rPr>
        <w:t>answering brief</w:t>
      </w:r>
      <w:r w:rsidR="00991BAB" w:rsidRPr="001558A5">
        <w:rPr>
          <w:i w:val="0"/>
          <w:szCs w:val="20"/>
          <w:lang w:val="en-US"/>
        </w:rPr>
        <w:t>”)</w:t>
      </w:r>
      <w:r w:rsidR="001175CE" w:rsidRPr="001558A5">
        <w:rPr>
          <w:i w:val="0"/>
          <w:szCs w:val="20"/>
          <w:lang w:val="en-US"/>
        </w:rPr>
        <w:t>.</w:t>
      </w:r>
      <w:r w:rsidR="00565BE2" w:rsidRPr="001558A5">
        <w:rPr>
          <w:i w:val="0"/>
          <w:szCs w:val="20"/>
          <w:lang w:val="en-US"/>
        </w:rPr>
        <w:t xml:space="preserve"> </w:t>
      </w:r>
      <w:r w:rsidRPr="001558A5">
        <w:rPr>
          <w:i w:val="0"/>
          <w:szCs w:val="20"/>
          <w:lang w:val="en-US"/>
        </w:rPr>
        <w:t>In this brief, the State contested the alleged violations and the measures of reparation</w:t>
      </w:r>
      <w:r w:rsidR="00942E1B" w:rsidRPr="001558A5">
        <w:rPr>
          <w:i w:val="0"/>
          <w:szCs w:val="20"/>
          <w:lang w:val="en-US"/>
        </w:rPr>
        <w:t xml:space="preserve"> requested</w:t>
      </w:r>
      <w:r w:rsidRPr="001558A5">
        <w:rPr>
          <w:i w:val="0"/>
          <w:szCs w:val="20"/>
          <w:lang w:val="en-US"/>
        </w:rPr>
        <w:t xml:space="preserve">. It asked the Court to declare that the Commission’s claims were unfounded and to find that the State was not responsible for the violations indicated in the </w:t>
      </w:r>
      <w:r w:rsidR="00EB397C" w:rsidRPr="001558A5">
        <w:rPr>
          <w:i w:val="0"/>
          <w:szCs w:val="20"/>
          <w:lang w:val="en-US"/>
        </w:rPr>
        <w:t>Merits Report</w:t>
      </w:r>
      <w:r w:rsidR="00B71DDA" w:rsidRPr="001558A5">
        <w:rPr>
          <w:i w:val="0"/>
          <w:szCs w:val="20"/>
          <w:lang w:val="en-US"/>
        </w:rPr>
        <w:t xml:space="preserve">. </w:t>
      </w:r>
    </w:p>
    <w:p w14:paraId="2079919E" w14:textId="726707DA" w:rsidR="00545746" w:rsidRPr="001558A5" w:rsidRDefault="00907FBD" w:rsidP="00945CE2">
      <w:pPr>
        <w:pStyle w:val="Estilo1"/>
        <w:numPr>
          <w:ilvl w:val="0"/>
          <w:numId w:val="2"/>
        </w:numPr>
        <w:tabs>
          <w:tab w:val="left" w:pos="0"/>
        </w:tabs>
        <w:spacing w:before="120"/>
        <w:ind w:left="0" w:right="-4" w:firstLine="0"/>
        <w:rPr>
          <w:i w:val="0"/>
          <w:szCs w:val="20"/>
          <w:lang w:val="en-US" w:eastAsia="es-ES"/>
        </w:rPr>
      </w:pPr>
      <w:r w:rsidRPr="001558A5">
        <w:rPr>
          <w:szCs w:val="20"/>
          <w:lang w:val="en-US" w:eastAsia="es-ES"/>
        </w:rPr>
        <w:t>Public hearing</w:t>
      </w:r>
      <w:r w:rsidR="00903B40" w:rsidRPr="001558A5">
        <w:rPr>
          <w:szCs w:val="20"/>
          <w:lang w:val="en-US" w:eastAsia="es-ES"/>
        </w:rPr>
        <w:t>.</w:t>
      </w:r>
      <w:r w:rsidR="00545746" w:rsidRPr="001558A5">
        <w:rPr>
          <w:szCs w:val="20"/>
          <w:lang w:val="en-US" w:eastAsia="es-ES"/>
        </w:rPr>
        <w:t xml:space="preserve"> </w:t>
      </w:r>
      <w:r w:rsidRPr="001558A5">
        <w:rPr>
          <w:i w:val="0"/>
          <w:szCs w:val="20"/>
          <w:lang w:val="en-US" w:eastAsia="es-ES"/>
        </w:rPr>
        <w:t>In an order of September 1,</w:t>
      </w:r>
      <w:r w:rsidR="00831C09" w:rsidRPr="001558A5">
        <w:rPr>
          <w:i w:val="0"/>
          <w:szCs w:val="20"/>
          <w:lang w:val="en-US" w:eastAsia="es-ES"/>
        </w:rPr>
        <w:t xml:space="preserve"> </w:t>
      </w:r>
      <w:r w:rsidR="002C2207" w:rsidRPr="001558A5">
        <w:rPr>
          <w:i w:val="0"/>
          <w:szCs w:val="20"/>
          <w:lang w:val="en-US" w:eastAsia="es-ES"/>
        </w:rPr>
        <w:t>2020</w:t>
      </w:r>
      <w:r w:rsidRPr="001558A5">
        <w:rPr>
          <w:i w:val="0"/>
          <w:szCs w:val="20"/>
          <w:lang w:val="en-US" w:eastAsia="es-ES"/>
        </w:rPr>
        <w:t>,</w:t>
      </w:r>
      <w:r w:rsidR="00045309" w:rsidRPr="001558A5">
        <w:rPr>
          <w:rStyle w:val="Refdenotaalpie"/>
          <w:i w:val="0"/>
          <w:lang w:val="en-US" w:eastAsia="es-ES"/>
        </w:rPr>
        <w:footnoteReference w:id="6"/>
      </w:r>
      <w:r w:rsidR="002C2207" w:rsidRPr="001558A5">
        <w:rPr>
          <w:i w:val="0"/>
          <w:szCs w:val="20"/>
          <w:lang w:val="en-US" w:eastAsia="es-ES"/>
        </w:rPr>
        <w:t xml:space="preserve"> </w:t>
      </w:r>
      <w:r w:rsidR="00871E19" w:rsidRPr="001558A5">
        <w:rPr>
          <w:i w:val="0"/>
          <w:szCs w:val="20"/>
          <w:lang w:val="en-US" w:eastAsia="es-ES"/>
        </w:rPr>
        <w:t>the President</w:t>
      </w:r>
      <w:r w:rsidR="00DD4354" w:rsidRPr="001558A5">
        <w:rPr>
          <w:i w:val="0"/>
          <w:szCs w:val="20"/>
          <w:lang w:val="en-US" w:eastAsia="es-ES"/>
        </w:rPr>
        <w:t xml:space="preserve"> of the </w:t>
      </w:r>
      <w:r w:rsidR="00871E19" w:rsidRPr="001558A5">
        <w:rPr>
          <w:i w:val="0"/>
          <w:szCs w:val="20"/>
          <w:lang w:val="en-US" w:eastAsia="es-ES"/>
        </w:rPr>
        <w:t>Court</w:t>
      </w:r>
      <w:r w:rsidR="0049717E" w:rsidRPr="001558A5">
        <w:rPr>
          <w:i w:val="0"/>
          <w:szCs w:val="20"/>
          <w:lang w:val="en-US" w:eastAsia="es-ES"/>
        </w:rPr>
        <w:t xml:space="preserve"> </w:t>
      </w:r>
      <w:r w:rsidR="00EA4699" w:rsidRPr="001558A5">
        <w:rPr>
          <w:i w:val="0"/>
          <w:szCs w:val="20"/>
          <w:lang w:val="en-US" w:eastAsia="es-ES"/>
        </w:rPr>
        <w:t>c</w:t>
      </w:r>
      <w:r w:rsidRPr="001558A5">
        <w:rPr>
          <w:i w:val="0"/>
          <w:szCs w:val="20"/>
          <w:lang w:val="en-US" w:eastAsia="es-ES"/>
        </w:rPr>
        <w:t xml:space="preserve">alled the parties and </w:t>
      </w:r>
      <w:r w:rsidR="00871E19" w:rsidRPr="001558A5">
        <w:rPr>
          <w:i w:val="0"/>
          <w:szCs w:val="20"/>
          <w:lang w:val="en-US" w:eastAsia="es-ES"/>
        </w:rPr>
        <w:t>the Commission</w:t>
      </w:r>
      <w:r w:rsidR="00EA4699" w:rsidRPr="001558A5">
        <w:rPr>
          <w:i w:val="0"/>
          <w:szCs w:val="20"/>
          <w:lang w:val="en-US" w:eastAsia="es-ES"/>
        </w:rPr>
        <w:t xml:space="preserve"> </w:t>
      </w:r>
      <w:r w:rsidRPr="001558A5">
        <w:rPr>
          <w:i w:val="0"/>
          <w:szCs w:val="20"/>
          <w:lang w:val="en-US" w:eastAsia="es-ES"/>
        </w:rPr>
        <w:t>to a</w:t>
      </w:r>
      <w:r w:rsidR="00EA4699" w:rsidRPr="001558A5">
        <w:rPr>
          <w:i w:val="0"/>
          <w:szCs w:val="20"/>
          <w:lang w:val="en-US" w:eastAsia="es-ES"/>
        </w:rPr>
        <w:t xml:space="preserve"> </w:t>
      </w:r>
      <w:r w:rsidRPr="001558A5">
        <w:rPr>
          <w:i w:val="0"/>
          <w:szCs w:val="20"/>
          <w:lang w:val="en-US" w:eastAsia="es-ES"/>
        </w:rPr>
        <w:t>public hearing</w:t>
      </w:r>
      <w:r w:rsidR="00EA4699" w:rsidRPr="001558A5">
        <w:rPr>
          <w:i w:val="0"/>
          <w:szCs w:val="20"/>
          <w:lang w:val="en-US" w:eastAsia="es-ES"/>
        </w:rPr>
        <w:t xml:space="preserve"> </w:t>
      </w:r>
      <w:r w:rsidR="00942E1B" w:rsidRPr="001558A5">
        <w:rPr>
          <w:i w:val="0"/>
          <w:szCs w:val="20"/>
          <w:lang w:val="en-US" w:eastAsia="es-ES"/>
        </w:rPr>
        <w:t>and this</w:t>
      </w:r>
      <w:r w:rsidRPr="001558A5">
        <w:rPr>
          <w:i w:val="0"/>
          <w:szCs w:val="20"/>
          <w:lang w:val="en-US" w:eastAsia="es-ES"/>
        </w:rPr>
        <w:t xml:space="preserve"> was held on November</w:t>
      </w:r>
      <w:r w:rsidR="00E67576" w:rsidRPr="001558A5">
        <w:rPr>
          <w:i w:val="0"/>
          <w:szCs w:val="20"/>
          <w:lang w:val="en-US" w:eastAsia="es-ES"/>
        </w:rPr>
        <w:t xml:space="preserve"> 11</w:t>
      </w:r>
      <w:r w:rsidR="00DD4354" w:rsidRPr="001558A5">
        <w:rPr>
          <w:i w:val="0"/>
          <w:szCs w:val="20"/>
          <w:lang w:val="en-US" w:eastAsia="es-ES"/>
        </w:rPr>
        <w:t xml:space="preserve"> and </w:t>
      </w:r>
      <w:r w:rsidR="00E67576" w:rsidRPr="001558A5">
        <w:rPr>
          <w:i w:val="0"/>
          <w:szCs w:val="20"/>
          <w:lang w:val="en-US" w:eastAsia="es-ES"/>
        </w:rPr>
        <w:t>12</w:t>
      </w:r>
      <w:r w:rsidRPr="001558A5">
        <w:rPr>
          <w:i w:val="0"/>
          <w:szCs w:val="20"/>
          <w:lang w:val="en-US" w:eastAsia="es-ES"/>
        </w:rPr>
        <w:t xml:space="preserve">, </w:t>
      </w:r>
      <w:r w:rsidR="002C2207" w:rsidRPr="001558A5">
        <w:rPr>
          <w:i w:val="0"/>
          <w:szCs w:val="20"/>
          <w:lang w:val="en-US" w:eastAsia="es-ES"/>
        </w:rPr>
        <w:t>2020</w:t>
      </w:r>
      <w:r w:rsidR="00EA4699" w:rsidRPr="001558A5">
        <w:rPr>
          <w:i w:val="0"/>
          <w:szCs w:val="20"/>
          <w:lang w:val="en-US" w:eastAsia="es-ES"/>
        </w:rPr>
        <w:t xml:space="preserve">, </w:t>
      </w:r>
      <w:r w:rsidRPr="001558A5">
        <w:rPr>
          <w:i w:val="0"/>
          <w:szCs w:val="20"/>
          <w:lang w:val="en-US" w:eastAsia="es-ES"/>
        </w:rPr>
        <w:t>during the Court’s 138</w:t>
      </w:r>
      <w:r w:rsidRPr="001558A5">
        <w:rPr>
          <w:i w:val="0"/>
          <w:szCs w:val="20"/>
          <w:vertAlign w:val="superscript"/>
          <w:lang w:val="en-US" w:eastAsia="es-ES"/>
        </w:rPr>
        <w:t>th</w:t>
      </w:r>
      <w:r w:rsidRPr="001558A5">
        <w:rPr>
          <w:i w:val="0"/>
          <w:szCs w:val="20"/>
          <w:lang w:val="en-US" w:eastAsia="es-ES"/>
        </w:rPr>
        <w:t xml:space="preserve"> regular session, which took place by videoconference.</w:t>
      </w:r>
      <w:r w:rsidR="00EA4699" w:rsidRPr="001558A5">
        <w:rPr>
          <w:rStyle w:val="Refdenotaalpie"/>
          <w:i w:val="0"/>
          <w:lang w:val="en-US"/>
        </w:rPr>
        <w:footnoteReference w:id="7"/>
      </w:r>
      <w:r w:rsidR="00B71DDA" w:rsidRPr="001558A5">
        <w:rPr>
          <w:i w:val="0"/>
          <w:szCs w:val="20"/>
          <w:lang w:val="en-US" w:eastAsia="es-ES"/>
        </w:rPr>
        <w:t xml:space="preserve"> </w:t>
      </w:r>
      <w:r w:rsidRPr="001558A5">
        <w:rPr>
          <w:i w:val="0"/>
          <w:szCs w:val="20"/>
          <w:lang w:val="en-US" w:eastAsia="es-ES"/>
        </w:rPr>
        <w:t>During th</w:t>
      </w:r>
      <w:r w:rsidR="00942E1B" w:rsidRPr="001558A5">
        <w:rPr>
          <w:i w:val="0"/>
          <w:szCs w:val="20"/>
          <w:lang w:val="en-US" w:eastAsia="es-ES"/>
        </w:rPr>
        <w:t>is</w:t>
      </w:r>
      <w:r w:rsidRPr="001558A5">
        <w:rPr>
          <w:i w:val="0"/>
          <w:szCs w:val="20"/>
          <w:lang w:val="en-US" w:eastAsia="es-ES"/>
        </w:rPr>
        <w:t xml:space="preserve"> hearing, the State made a partial acknowledgement of responsibility </w:t>
      </w:r>
      <w:r w:rsidR="00B71DDA" w:rsidRPr="001558A5">
        <w:rPr>
          <w:i w:val="0"/>
          <w:szCs w:val="20"/>
          <w:lang w:val="en-US" w:eastAsia="es-ES"/>
        </w:rPr>
        <w:t>(</w:t>
      </w:r>
      <w:r w:rsidR="00B71DDA" w:rsidRPr="001558A5">
        <w:rPr>
          <w:iCs/>
          <w:szCs w:val="20"/>
          <w:lang w:val="en-US" w:eastAsia="es-ES"/>
        </w:rPr>
        <w:t>infra</w:t>
      </w:r>
      <w:r w:rsidR="00B71DDA" w:rsidRPr="001558A5">
        <w:rPr>
          <w:i w:val="0"/>
          <w:szCs w:val="20"/>
          <w:lang w:val="en-US" w:eastAsia="es-ES"/>
        </w:rPr>
        <w:t xml:space="preserve"> </w:t>
      </w:r>
      <w:r w:rsidRPr="001558A5">
        <w:rPr>
          <w:i w:val="0"/>
          <w:szCs w:val="20"/>
          <w:lang w:val="en-US" w:eastAsia="es-ES"/>
        </w:rPr>
        <w:t>Chapter</w:t>
      </w:r>
      <w:r w:rsidR="00B71DDA" w:rsidRPr="001558A5">
        <w:rPr>
          <w:i w:val="0"/>
          <w:szCs w:val="20"/>
          <w:lang w:val="en-US" w:eastAsia="es-ES"/>
        </w:rPr>
        <w:t xml:space="preserve"> IV).</w:t>
      </w:r>
    </w:p>
    <w:p w14:paraId="6E82AD4E" w14:textId="6066186A" w:rsidR="00B00F49" w:rsidRPr="001558A5" w:rsidRDefault="00B00F49" w:rsidP="00945CE2">
      <w:pPr>
        <w:pStyle w:val="Prrafodelista"/>
        <w:numPr>
          <w:ilvl w:val="0"/>
          <w:numId w:val="2"/>
        </w:numPr>
        <w:spacing w:before="120" w:after="120"/>
        <w:ind w:left="0" w:firstLine="0"/>
        <w:contextualSpacing w:val="0"/>
        <w:rPr>
          <w:szCs w:val="20"/>
          <w:lang w:val="en-US"/>
        </w:rPr>
      </w:pPr>
      <w:r w:rsidRPr="001558A5">
        <w:rPr>
          <w:i/>
          <w:iCs/>
          <w:szCs w:val="20"/>
          <w:lang w:val="en-US"/>
        </w:rPr>
        <w:t xml:space="preserve">Amici Curiae. </w:t>
      </w:r>
      <w:r w:rsidR="00871E19" w:rsidRPr="001558A5">
        <w:rPr>
          <w:szCs w:val="20"/>
          <w:lang w:val="en-US"/>
        </w:rPr>
        <w:t>The Court</w:t>
      </w:r>
      <w:r w:rsidRPr="001558A5">
        <w:rPr>
          <w:szCs w:val="20"/>
          <w:lang w:val="en-US"/>
        </w:rPr>
        <w:t xml:space="preserve"> rec</w:t>
      </w:r>
      <w:r w:rsidR="00907FBD" w:rsidRPr="001558A5">
        <w:rPr>
          <w:szCs w:val="20"/>
          <w:lang w:val="en-US"/>
        </w:rPr>
        <w:t>eived</w:t>
      </w:r>
      <w:r w:rsidRPr="001558A5">
        <w:rPr>
          <w:szCs w:val="20"/>
          <w:lang w:val="en-US"/>
        </w:rPr>
        <w:t xml:space="preserve"> </w:t>
      </w:r>
      <w:r w:rsidR="006F583F" w:rsidRPr="001558A5">
        <w:rPr>
          <w:szCs w:val="20"/>
          <w:lang w:val="en-US"/>
        </w:rPr>
        <w:t>18</w:t>
      </w:r>
      <w:r w:rsidRPr="001558A5">
        <w:rPr>
          <w:szCs w:val="20"/>
          <w:lang w:val="en-US"/>
        </w:rPr>
        <w:t xml:space="preserve"> </w:t>
      </w:r>
      <w:r w:rsidRPr="001558A5">
        <w:rPr>
          <w:i/>
          <w:iCs/>
          <w:szCs w:val="20"/>
          <w:lang w:val="en-US"/>
        </w:rPr>
        <w:t xml:space="preserve">amicus curiae </w:t>
      </w:r>
      <w:r w:rsidR="00907FBD" w:rsidRPr="001558A5">
        <w:rPr>
          <w:szCs w:val="20"/>
          <w:lang w:val="en-US"/>
        </w:rPr>
        <w:t>briefs submitted by: (</w:t>
      </w:r>
      <w:r w:rsidRPr="001558A5">
        <w:rPr>
          <w:szCs w:val="20"/>
          <w:lang w:val="en-US"/>
        </w:rPr>
        <w:t>1)</w:t>
      </w:r>
      <w:r w:rsidR="00085CC1" w:rsidRPr="001558A5">
        <w:rPr>
          <w:lang w:val="en-US"/>
        </w:rPr>
        <w:t xml:space="preserve"> </w:t>
      </w:r>
      <w:r w:rsidR="009F36EF" w:rsidRPr="001558A5">
        <w:rPr>
          <w:szCs w:val="20"/>
          <w:lang w:val="en-US"/>
        </w:rPr>
        <w:t>Parliamentarians</w:t>
      </w:r>
      <w:r w:rsidR="00907FBD" w:rsidRPr="001558A5">
        <w:rPr>
          <w:szCs w:val="20"/>
          <w:lang w:val="en-US"/>
        </w:rPr>
        <w:t xml:space="preserve"> for Global Action;</w:t>
      </w:r>
      <w:r w:rsidRPr="001558A5">
        <w:rPr>
          <w:rStyle w:val="Refdenotaalpie"/>
          <w:lang w:val="en-US"/>
        </w:rPr>
        <w:footnoteReference w:id="8"/>
      </w:r>
      <w:r w:rsidRPr="001558A5">
        <w:rPr>
          <w:szCs w:val="20"/>
          <w:lang w:val="en-US"/>
        </w:rPr>
        <w:t xml:space="preserve"> </w:t>
      </w:r>
      <w:r w:rsidR="00907FBD" w:rsidRPr="001558A5">
        <w:rPr>
          <w:szCs w:val="20"/>
          <w:lang w:val="en-US"/>
        </w:rPr>
        <w:t>(</w:t>
      </w:r>
      <w:r w:rsidRPr="001558A5">
        <w:rPr>
          <w:szCs w:val="20"/>
          <w:lang w:val="en-US"/>
        </w:rPr>
        <w:t>2)</w:t>
      </w:r>
      <w:r w:rsidR="00B642C2" w:rsidRPr="001558A5">
        <w:rPr>
          <w:lang w:val="en-US"/>
        </w:rPr>
        <w:t xml:space="preserve"> </w:t>
      </w:r>
      <w:r w:rsidR="00B642C2" w:rsidRPr="001558A5">
        <w:rPr>
          <w:szCs w:val="20"/>
          <w:lang w:val="en-US"/>
        </w:rPr>
        <w:t>María Helena Luna Hernández</w:t>
      </w:r>
      <w:r w:rsidR="00907FBD" w:rsidRPr="001558A5">
        <w:rPr>
          <w:szCs w:val="20"/>
          <w:lang w:val="en-US"/>
        </w:rPr>
        <w:t>;</w:t>
      </w:r>
      <w:r w:rsidRPr="001558A5">
        <w:rPr>
          <w:rStyle w:val="Refdenotaalpie"/>
          <w:lang w:val="en-US"/>
        </w:rPr>
        <w:footnoteReference w:id="9"/>
      </w:r>
      <w:r w:rsidRPr="001558A5">
        <w:rPr>
          <w:szCs w:val="20"/>
          <w:lang w:val="en-US"/>
        </w:rPr>
        <w:t xml:space="preserve"> </w:t>
      </w:r>
      <w:r w:rsidR="00907FBD" w:rsidRPr="001558A5">
        <w:rPr>
          <w:szCs w:val="20"/>
          <w:lang w:val="en-US"/>
        </w:rPr>
        <w:t>(</w:t>
      </w:r>
      <w:r w:rsidRPr="001558A5">
        <w:rPr>
          <w:szCs w:val="20"/>
          <w:lang w:val="en-US"/>
        </w:rPr>
        <w:t>3)</w:t>
      </w:r>
      <w:r w:rsidR="00E25C17" w:rsidRPr="001558A5">
        <w:rPr>
          <w:szCs w:val="20"/>
          <w:lang w:val="en-US"/>
        </w:rPr>
        <w:t xml:space="preserve"> </w:t>
      </w:r>
      <w:r w:rsidR="00942E1B" w:rsidRPr="001558A5">
        <w:rPr>
          <w:szCs w:val="20"/>
          <w:lang w:val="en-US"/>
        </w:rPr>
        <w:t xml:space="preserve">the </w:t>
      </w:r>
      <w:r w:rsidR="0017498F" w:rsidRPr="001558A5">
        <w:rPr>
          <w:szCs w:val="20"/>
          <w:lang w:val="en-US"/>
        </w:rPr>
        <w:t xml:space="preserve">International </w:t>
      </w:r>
      <w:r w:rsidR="0017498F" w:rsidRPr="001558A5">
        <w:rPr>
          <w:szCs w:val="20"/>
          <w:lang w:val="en-US"/>
        </w:rPr>
        <w:lastRenderedPageBreak/>
        <w:t>Service for Human Rights;</w:t>
      </w:r>
      <w:r w:rsidRPr="001558A5">
        <w:rPr>
          <w:rStyle w:val="Refdenotaalpie"/>
          <w:lang w:val="en-US"/>
        </w:rPr>
        <w:footnoteReference w:id="10"/>
      </w:r>
      <w:r w:rsidR="00B642C2" w:rsidRPr="001558A5">
        <w:rPr>
          <w:szCs w:val="20"/>
          <w:lang w:val="en-US"/>
        </w:rPr>
        <w:t xml:space="preserve"> </w:t>
      </w:r>
      <w:r w:rsidR="0017498F" w:rsidRPr="001558A5">
        <w:rPr>
          <w:szCs w:val="20"/>
          <w:lang w:val="en-US"/>
        </w:rPr>
        <w:t>(</w:t>
      </w:r>
      <w:r w:rsidR="00B642C2" w:rsidRPr="001558A5">
        <w:rPr>
          <w:szCs w:val="20"/>
          <w:lang w:val="en-US"/>
        </w:rPr>
        <w:t>4)</w:t>
      </w:r>
      <w:r w:rsidR="002175B1" w:rsidRPr="001558A5">
        <w:rPr>
          <w:szCs w:val="20"/>
          <w:lang w:val="en-US"/>
        </w:rPr>
        <w:t xml:space="preserve"> José </w:t>
      </w:r>
      <w:proofErr w:type="spellStart"/>
      <w:r w:rsidR="002175B1" w:rsidRPr="001558A5">
        <w:rPr>
          <w:szCs w:val="20"/>
          <w:lang w:val="en-US"/>
        </w:rPr>
        <w:t>Benjamín</w:t>
      </w:r>
      <w:proofErr w:type="spellEnd"/>
      <w:r w:rsidR="002175B1" w:rsidRPr="001558A5">
        <w:rPr>
          <w:szCs w:val="20"/>
          <w:lang w:val="en-US"/>
        </w:rPr>
        <w:t xml:space="preserve"> González Mauricio</w:t>
      </w:r>
      <w:r w:rsidR="0017498F" w:rsidRPr="001558A5">
        <w:rPr>
          <w:szCs w:val="20"/>
          <w:lang w:val="en-US"/>
        </w:rPr>
        <w:t>;</w:t>
      </w:r>
      <w:r w:rsidR="00B642C2" w:rsidRPr="001558A5">
        <w:rPr>
          <w:rStyle w:val="Refdenotaalpie"/>
          <w:lang w:val="en-US"/>
        </w:rPr>
        <w:footnoteReference w:id="11"/>
      </w:r>
      <w:r w:rsidR="009E11DF" w:rsidRPr="001558A5">
        <w:rPr>
          <w:szCs w:val="20"/>
          <w:lang w:val="en-US"/>
        </w:rPr>
        <w:t xml:space="preserve"> </w:t>
      </w:r>
      <w:r w:rsidR="0017498F" w:rsidRPr="001558A5">
        <w:rPr>
          <w:szCs w:val="20"/>
          <w:lang w:val="en-US"/>
        </w:rPr>
        <w:t>(</w:t>
      </w:r>
      <w:r w:rsidR="009E11DF" w:rsidRPr="001558A5">
        <w:rPr>
          <w:szCs w:val="20"/>
          <w:lang w:val="en-US"/>
        </w:rPr>
        <w:t>5</w:t>
      </w:r>
      <w:r w:rsidR="00B642C2" w:rsidRPr="001558A5">
        <w:rPr>
          <w:szCs w:val="20"/>
          <w:lang w:val="en-US"/>
        </w:rPr>
        <w:t>)</w:t>
      </w:r>
      <w:r w:rsidR="009E11DF" w:rsidRPr="001558A5">
        <w:rPr>
          <w:szCs w:val="20"/>
          <w:lang w:val="en-US"/>
        </w:rPr>
        <w:t xml:space="preserve"> </w:t>
      </w:r>
      <w:r w:rsidR="00942E1B" w:rsidRPr="001558A5">
        <w:rPr>
          <w:szCs w:val="20"/>
          <w:lang w:val="en-US"/>
        </w:rPr>
        <w:t xml:space="preserve">the </w:t>
      </w:r>
      <w:r w:rsidR="0017498F" w:rsidRPr="001558A5">
        <w:rPr>
          <w:szCs w:val="20"/>
          <w:lang w:val="en-US"/>
        </w:rPr>
        <w:t>United  Nations High Commissioner for Human Rights;</w:t>
      </w:r>
      <w:r w:rsidR="00B642C2" w:rsidRPr="001558A5">
        <w:rPr>
          <w:rStyle w:val="Refdenotaalpie"/>
          <w:lang w:val="en-US"/>
        </w:rPr>
        <w:footnoteReference w:id="12"/>
      </w:r>
      <w:r w:rsidR="00B642C2" w:rsidRPr="001558A5">
        <w:rPr>
          <w:szCs w:val="20"/>
          <w:lang w:val="en-US"/>
        </w:rPr>
        <w:t xml:space="preserve"> </w:t>
      </w:r>
      <w:r w:rsidR="0017498F" w:rsidRPr="001558A5">
        <w:rPr>
          <w:szCs w:val="20"/>
          <w:lang w:val="en-US"/>
        </w:rPr>
        <w:t>(</w:t>
      </w:r>
      <w:r w:rsidR="00AF3308" w:rsidRPr="001558A5">
        <w:rPr>
          <w:szCs w:val="20"/>
          <w:lang w:val="en-US"/>
        </w:rPr>
        <w:t>6</w:t>
      </w:r>
      <w:r w:rsidR="00B642C2" w:rsidRPr="001558A5">
        <w:rPr>
          <w:szCs w:val="20"/>
          <w:lang w:val="en-US"/>
        </w:rPr>
        <w:t>)</w:t>
      </w:r>
      <w:r w:rsidR="00AF3308" w:rsidRPr="001558A5">
        <w:rPr>
          <w:szCs w:val="20"/>
          <w:lang w:val="en-US"/>
        </w:rPr>
        <w:t xml:space="preserve"> Human Rights Watch</w:t>
      </w:r>
      <w:r w:rsidR="0017498F" w:rsidRPr="001558A5">
        <w:rPr>
          <w:szCs w:val="20"/>
          <w:lang w:val="en-US"/>
        </w:rPr>
        <w:t>;</w:t>
      </w:r>
      <w:r w:rsidR="00B642C2" w:rsidRPr="001558A5">
        <w:rPr>
          <w:rStyle w:val="Refdenotaalpie"/>
          <w:lang w:val="en-US"/>
        </w:rPr>
        <w:footnoteReference w:id="13"/>
      </w:r>
      <w:r w:rsidR="00B642C2" w:rsidRPr="001558A5">
        <w:rPr>
          <w:szCs w:val="20"/>
          <w:lang w:val="en-US"/>
        </w:rPr>
        <w:t xml:space="preserve"> </w:t>
      </w:r>
      <w:r w:rsidR="0017498F" w:rsidRPr="001558A5">
        <w:rPr>
          <w:szCs w:val="20"/>
          <w:lang w:val="en-US"/>
        </w:rPr>
        <w:t>(7</w:t>
      </w:r>
      <w:r w:rsidR="00B642C2" w:rsidRPr="001558A5">
        <w:rPr>
          <w:szCs w:val="20"/>
          <w:lang w:val="en-US"/>
        </w:rPr>
        <w:t>)</w:t>
      </w:r>
      <w:r w:rsidR="00AF3308" w:rsidRPr="001558A5">
        <w:rPr>
          <w:szCs w:val="20"/>
          <w:lang w:val="en-US"/>
        </w:rPr>
        <w:t xml:space="preserve"> </w:t>
      </w:r>
      <w:r w:rsidR="00942E1B" w:rsidRPr="001558A5">
        <w:rPr>
          <w:szCs w:val="20"/>
          <w:lang w:val="en-US"/>
        </w:rPr>
        <w:t xml:space="preserve">the </w:t>
      </w:r>
      <w:proofErr w:type="spellStart"/>
      <w:r w:rsidR="00424C57" w:rsidRPr="001558A5">
        <w:rPr>
          <w:szCs w:val="20"/>
          <w:lang w:val="en-US"/>
        </w:rPr>
        <w:t>Comité</w:t>
      </w:r>
      <w:proofErr w:type="spellEnd"/>
      <w:r w:rsidR="00424C57" w:rsidRPr="001558A5">
        <w:rPr>
          <w:szCs w:val="20"/>
          <w:lang w:val="en-US"/>
        </w:rPr>
        <w:t xml:space="preserve"> de </w:t>
      </w:r>
      <w:proofErr w:type="spellStart"/>
      <w:r w:rsidR="00424C57" w:rsidRPr="001558A5">
        <w:rPr>
          <w:szCs w:val="20"/>
          <w:lang w:val="en-US"/>
        </w:rPr>
        <w:t>Familiares</w:t>
      </w:r>
      <w:proofErr w:type="spellEnd"/>
      <w:r w:rsidR="00424C57" w:rsidRPr="001558A5">
        <w:rPr>
          <w:szCs w:val="20"/>
          <w:lang w:val="en-US"/>
        </w:rPr>
        <w:t xml:space="preserve"> de </w:t>
      </w:r>
      <w:proofErr w:type="spellStart"/>
      <w:r w:rsidR="00424C57" w:rsidRPr="001558A5">
        <w:rPr>
          <w:szCs w:val="20"/>
          <w:lang w:val="en-US"/>
        </w:rPr>
        <w:t>Detenidos</w:t>
      </w:r>
      <w:proofErr w:type="spellEnd"/>
      <w:r w:rsidR="00424C57" w:rsidRPr="001558A5">
        <w:rPr>
          <w:szCs w:val="20"/>
          <w:lang w:val="en-US"/>
        </w:rPr>
        <w:t xml:space="preserve"> </w:t>
      </w:r>
      <w:proofErr w:type="spellStart"/>
      <w:r w:rsidR="00424C57" w:rsidRPr="001558A5">
        <w:rPr>
          <w:szCs w:val="20"/>
          <w:lang w:val="en-US"/>
        </w:rPr>
        <w:t>Desaparecidos</w:t>
      </w:r>
      <w:proofErr w:type="spellEnd"/>
      <w:r w:rsidR="00424C57" w:rsidRPr="001558A5">
        <w:rPr>
          <w:szCs w:val="20"/>
          <w:lang w:val="en-US"/>
        </w:rPr>
        <w:t xml:space="preserve"> </w:t>
      </w:r>
      <w:proofErr w:type="spellStart"/>
      <w:r w:rsidR="00942E1B" w:rsidRPr="001558A5">
        <w:rPr>
          <w:szCs w:val="20"/>
          <w:lang w:val="en-US"/>
        </w:rPr>
        <w:t>e</w:t>
      </w:r>
      <w:r w:rsidR="00215FEF" w:rsidRPr="001558A5">
        <w:rPr>
          <w:szCs w:val="20"/>
          <w:lang w:val="en-US"/>
        </w:rPr>
        <w:t>n</w:t>
      </w:r>
      <w:proofErr w:type="spellEnd"/>
      <w:r w:rsidR="00215FEF" w:rsidRPr="001558A5">
        <w:rPr>
          <w:szCs w:val="20"/>
          <w:lang w:val="en-US"/>
        </w:rPr>
        <w:t xml:space="preserve"> Honduras</w:t>
      </w:r>
      <w:r w:rsidR="00424C57" w:rsidRPr="001558A5">
        <w:rPr>
          <w:szCs w:val="20"/>
          <w:lang w:val="en-US"/>
        </w:rPr>
        <w:t xml:space="preserve"> (COFADEH)</w:t>
      </w:r>
      <w:r w:rsidR="0017498F" w:rsidRPr="001558A5">
        <w:rPr>
          <w:szCs w:val="20"/>
          <w:lang w:val="en-US"/>
        </w:rPr>
        <w:t>;</w:t>
      </w:r>
      <w:r w:rsidR="00B642C2" w:rsidRPr="001558A5">
        <w:rPr>
          <w:rStyle w:val="Refdenotaalpie"/>
          <w:lang w:val="en-US"/>
        </w:rPr>
        <w:footnoteReference w:id="14"/>
      </w:r>
      <w:r w:rsidR="00B642C2" w:rsidRPr="001558A5">
        <w:rPr>
          <w:szCs w:val="20"/>
          <w:lang w:val="en-US"/>
        </w:rPr>
        <w:t xml:space="preserve"> </w:t>
      </w:r>
      <w:r w:rsidR="0017498F" w:rsidRPr="001558A5">
        <w:rPr>
          <w:szCs w:val="20"/>
          <w:lang w:val="en-US"/>
        </w:rPr>
        <w:t>(</w:t>
      </w:r>
      <w:r w:rsidR="00424C57" w:rsidRPr="001558A5">
        <w:rPr>
          <w:szCs w:val="20"/>
          <w:lang w:val="en-US"/>
        </w:rPr>
        <w:t>8</w:t>
      </w:r>
      <w:r w:rsidR="00B642C2" w:rsidRPr="001558A5">
        <w:rPr>
          <w:szCs w:val="20"/>
          <w:lang w:val="en-US"/>
        </w:rPr>
        <w:t>)</w:t>
      </w:r>
      <w:r w:rsidR="00424C57" w:rsidRPr="001558A5">
        <w:rPr>
          <w:szCs w:val="20"/>
          <w:lang w:val="en-US"/>
        </w:rPr>
        <w:t xml:space="preserve"> </w:t>
      </w:r>
      <w:r w:rsidR="00942E1B" w:rsidRPr="001558A5">
        <w:rPr>
          <w:szCs w:val="20"/>
          <w:lang w:val="en-US"/>
        </w:rPr>
        <w:t xml:space="preserve">the </w:t>
      </w:r>
      <w:proofErr w:type="spellStart"/>
      <w:r w:rsidR="00424C57" w:rsidRPr="001558A5">
        <w:rPr>
          <w:szCs w:val="20"/>
          <w:lang w:val="en-US"/>
        </w:rPr>
        <w:t>Equipo</w:t>
      </w:r>
      <w:proofErr w:type="spellEnd"/>
      <w:r w:rsidR="00424C57" w:rsidRPr="001558A5">
        <w:rPr>
          <w:szCs w:val="20"/>
          <w:lang w:val="en-US"/>
        </w:rPr>
        <w:t xml:space="preserve"> de </w:t>
      </w:r>
      <w:proofErr w:type="spellStart"/>
      <w:r w:rsidR="00424C57" w:rsidRPr="001558A5">
        <w:rPr>
          <w:szCs w:val="20"/>
          <w:lang w:val="en-US"/>
        </w:rPr>
        <w:t>Reflexión</w:t>
      </w:r>
      <w:proofErr w:type="spellEnd"/>
      <w:r w:rsidR="00424C57" w:rsidRPr="001558A5">
        <w:rPr>
          <w:szCs w:val="20"/>
          <w:lang w:val="en-US"/>
        </w:rPr>
        <w:t xml:space="preserve">, </w:t>
      </w:r>
      <w:proofErr w:type="spellStart"/>
      <w:r w:rsidR="00424C57" w:rsidRPr="001558A5">
        <w:rPr>
          <w:szCs w:val="20"/>
          <w:lang w:val="en-US"/>
        </w:rPr>
        <w:t>Investigación</w:t>
      </w:r>
      <w:proofErr w:type="spellEnd"/>
      <w:r w:rsidR="00DD4354" w:rsidRPr="001558A5">
        <w:rPr>
          <w:szCs w:val="20"/>
          <w:lang w:val="en-US"/>
        </w:rPr>
        <w:t xml:space="preserve"> </w:t>
      </w:r>
      <w:r w:rsidR="0017498F" w:rsidRPr="001558A5">
        <w:rPr>
          <w:szCs w:val="20"/>
          <w:lang w:val="en-US"/>
        </w:rPr>
        <w:t>y</w:t>
      </w:r>
      <w:r w:rsidR="00DD4354" w:rsidRPr="001558A5">
        <w:rPr>
          <w:szCs w:val="20"/>
          <w:lang w:val="en-US"/>
        </w:rPr>
        <w:t xml:space="preserve"> </w:t>
      </w:r>
      <w:r w:rsidR="004A4A92" w:rsidRPr="001558A5">
        <w:rPr>
          <w:szCs w:val="20"/>
          <w:lang w:val="en-US"/>
        </w:rPr>
        <w:t>Communication</w:t>
      </w:r>
      <w:r w:rsidR="00424C57" w:rsidRPr="001558A5">
        <w:rPr>
          <w:szCs w:val="20"/>
          <w:lang w:val="en-US"/>
        </w:rPr>
        <w:t xml:space="preserve"> </w:t>
      </w:r>
      <w:r w:rsidR="004F4F9C" w:rsidRPr="001558A5">
        <w:rPr>
          <w:szCs w:val="20"/>
          <w:lang w:val="en-US"/>
        </w:rPr>
        <w:t>of the Society of Jesus i</w:t>
      </w:r>
      <w:r w:rsidR="00424C57" w:rsidRPr="001558A5">
        <w:rPr>
          <w:szCs w:val="20"/>
          <w:lang w:val="en-US"/>
        </w:rPr>
        <w:t>n Honduras</w:t>
      </w:r>
      <w:r w:rsidR="00DD4354" w:rsidRPr="001558A5">
        <w:rPr>
          <w:szCs w:val="20"/>
          <w:lang w:val="en-US"/>
        </w:rPr>
        <w:t xml:space="preserve"> and </w:t>
      </w:r>
      <w:r w:rsidR="0017498F" w:rsidRPr="001558A5">
        <w:rPr>
          <w:szCs w:val="20"/>
          <w:lang w:val="en-US"/>
        </w:rPr>
        <w:t xml:space="preserve">the </w:t>
      </w:r>
      <w:proofErr w:type="spellStart"/>
      <w:r w:rsidR="00424C57" w:rsidRPr="001558A5">
        <w:rPr>
          <w:szCs w:val="20"/>
          <w:lang w:val="en-US"/>
        </w:rPr>
        <w:t>Equipo</w:t>
      </w:r>
      <w:proofErr w:type="spellEnd"/>
      <w:r w:rsidR="00424C57" w:rsidRPr="001558A5">
        <w:rPr>
          <w:szCs w:val="20"/>
          <w:lang w:val="en-US"/>
        </w:rPr>
        <w:t xml:space="preserve"> </w:t>
      </w:r>
      <w:proofErr w:type="spellStart"/>
      <w:r w:rsidR="00424C57" w:rsidRPr="001558A5">
        <w:rPr>
          <w:szCs w:val="20"/>
          <w:lang w:val="en-US"/>
        </w:rPr>
        <w:t>Jurídico</w:t>
      </w:r>
      <w:proofErr w:type="spellEnd"/>
      <w:r w:rsidR="00424C57" w:rsidRPr="001558A5">
        <w:rPr>
          <w:szCs w:val="20"/>
          <w:lang w:val="en-US"/>
        </w:rPr>
        <w:t xml:space="preserve"> </w:t>
      </w:r>
      <w:proofErr w:type="spellStart"/>
      <w:r w:rsidR="00424C57" w:rsidRPr="001558A5">
        <w:rPr>
          <w:szCs w:val="20"/>
          <w:lang w:val="en-US"/>
        </w:rPr>
        <w:t>por</w:t>
      </w:r>
      <w:proofErr w:type="spellEnd"/>
      <w:r w:rsidR="00424C57" w:rsidRPr="001558A5">
        <w:rPr>
          <w:szCs w:val="20"/>
          <w:lang w:val="en-US"/>
        </w:rPr>
        <w:t xml:space="preserve"> </w:t>
      </w:r>
      <w:proofErr w:type="spellStart"/>
      <w:r w:rsidR="00424C57" w:rsidRPr="001558A5">
        <w:rPr>
          <w:szCs w:val="20"/>
          <w:lang w:val="en-US"/>
        </w:rPr>
        <w:t>los</w:t>
      </w:r>
      <w:proofErr w:type="spellEnd"/>
      <w:r w:rsidR="00942E1B" w:rsidRPr="001558A5">
        <w:rPr>
          <w:szCs w:val="20"/>
          <w:lang w:val="en-US"/>
        </w:rPr>
        <w:t xml:space="preserve"> Derechos Humanos</w:t>
      </w:r>
      <w:r w:rsidR="0017498F" w:rsidRPr="001558A5">
        <w:rPr>
          <w:szCs w:val="20"/>
          <w:lang w:val="en-US"/>
        </w:rPr>
        <w:t>;</w:t>
      </w:r>
      <w:r w:rsidR="00B642C2" w:rsidRPr="001558A5">
        <w:rPr>
          <w:rStyle w:val="Refdenotaalpie"/>
          <w:lang w:val="en-US"/>
        </w:rPr>
        <w:footnoteReference w:id="15"/>
      </w:r>
      <w:r w:rsidR="00B642C2" w:rsidRPr="001558A5">
        <w:rPr>
          <w:szCs w:val="20"/>
          <w:lang w:val="en-US"/>
        </w:rPr>
        <w:t xml:space="preserve"> </w:t>
      </w:r>
      <w:r w:rsidR="0017498F" w:rsidRPr="001558A5">
        <w:rPr>
          <w:szCs w:val="20"/>
          <w:lang w:val="en-US"/>
        </w:rPr>
        <w:t>(</w:t>
      </w:r>
      <w:r w:rsidR="00424C57" w:rsidRPr="001558A5">
        <w:rPr>
          <w:szCs w:val="20"/>
          <w:lang w:val="en-US"/>
        </w:rPr>
        <w:t>9</w:t>
      </w:r>
      <w:r w:rsidR="00B642C2" w:rsidRPr="001558A5">
        <w:rPr>
          <w:szCs w:val="20"/>
          <w:lang w:val="en-US"/>
        </w:rPr>
        <w:t>)</w:t>
      </w:r>
      <w:r w:rsidR="00C158DC" w:rsidRPr="001558A5">
        <w:rPr>
          <w:szCs w:val="20"/>
          <w:lang w:val="en-US"/>
        </w:rPr>
        <w:t xml:space="preserve"> </w:t>
      </w:r>
      <w:r w:rsidR="0017498F" w:rsidRPr="001558A5">
        <w:rPr>
          <w:rStyle w:val="markedcontent"/>
          <w:rFonts w:cs="Arial"/>
          <w:lang w:val="en-US"/>
        </w:rPr>
        <w:t xml:space="preserve">the Latin America and Caribbean Coalition </w:t>
      </w:r>
      <w:r w:rsidR="0017498F" w:rsidRPr="001558A5">
        <w:rPr>
          <w:szCs w:val="20"/>
          <w:lang w:val="en-US"/>
        </w:rPr>
        <w:t xml:space="preserve">of </w:t>
      </w:r>
      <w:r w:rsidR="002C55E4" w:rsidRPr="001558A5">
        <w:rPr>
          <w:szCs w:val="20"/>
          <w:lang w:val="en-US"/>
        </w:rPr>
        <w:t>LGBTTTI</w:t>
      </w:r>
      <w:r w:rsidR="0017498F" w:rsidRPr="001558A5">
        <w:rPr>
          <w:szCs w:val="20"/>
          <w:lang w:val="en-US"/>
        </w:rPr>
        <w:t xml:space="preserve"> organizations;</w:t>
      </w:r>
      <w:r w:rsidR="00B642C2" w:rsidRPr="001558A5">
        <w:rPr>
          <w:rStyle w:val="Refdenotaalpie"/>
          <w:lang w:val="en-US"/>
        </w:rPr>
        <w:footnoteReference w:id="16"/>
      </w:r>
      <w:r w:rsidR="00B642C2" w:rsidRPr="001558A5">
        <w:rPr>
          <w:szCs w:val="20"/>
          <w:lang w:val="en-US"/>
        </w:rPr>
        <w:t xml:space="preserve"> </w:t>
      </w:r>
      <w:r w:rsidR="0017498F" w:rsidRPr="001558A5">
        <w:rPr>
          <w:szCs w:val="20"/>
          <w:lang w:val="en-US"/>
        </w:rPr>
        <w:t>(</w:t>
      </w:r>
      <w:r w:rsidR="00C158DC" w:rsidRPr="001558A5">
        <w:rPr>
          <w:szCs w:val="20"/>
          <w:lang w:val="en-US"/>
        </w:rPr>
        <w:t>10</w:t>
      </w:r>
      <w:r w:rsidR="00B642C2" w:rsidRPr="001558A5">
        <w:rPr>
          <w:szCs w:val="20"/>
          <w:lang w:val="en-US"/>
        </w:rPr>
        <w:t>)</w:t>
      </w:r>
      <w:r w:rsidR="00815419" w:rsidRPr="001558A5">
        <w:rPr>
          <w:szCs w:val="20"/>
          <w:lang w:val="en-US"/>
        </w:rPr>
        <w:t xml:space="preserve"> </w:t>
      </w:r>
      <w:r w:rsidR="0017498F" w:rsidRPr="001558A5">
        <w:rPr>
          <w:szCs w:val="20"/>
          <w:lang w:val="en-US"/>
        </w:rPr>
        <w:t>the</w:t>
      </w:r>
      <w:r w:rsidR="00815419" w:rsidRPr="001558A5">
        <w:rPr>
          <w:szCs w:val="20"/>
          <w:lang w:val="en-US"/>
        </w:rPr>
        <w:t xml:space="preserve"> </w:t>
      </w:r>
      <w:proofErr w:type="spellStart"/>
      <w:r w:rsidR="00815419" w:rsidRPr="001558A5">
        <w:rPr>
          <w:szCs w:val="20"/>
          <w:lang w:val="en-US"/>
        </w:rPr>
        <w:t>Pakta</w:t>
      </w:r>
      <w:proofErr w:type="spellEnd"/>
      <w:r w:rsidR="00815419" w:rsidRPr="001558A5">
        <w:rPr>
          <w:szCs w:val="20"/>
          <w:lang w:val="en-US"/>
        </w:rPr>
        <w:t xml:space="preserve"> </w:t>
      </w:r>
      <w:r w:rsidR="0017498F" w:rsidRPr="001558A5">
        <w:rPr>
          <w:szCs w:val="20"/>
          <w:lang w:val="en-US"/>
        </w:rPr>
        <w:t>Foundation of</w:t>
      </w:r>
      <w:r w:rsidR="00815419" w:rsidRPr="001558A5">
        <w:rPr>
          <w:szCs w:val="20"/>
          <w:lang w:val="en-US"/>
        </w:rPr>
        <w:t xml:space="preserve"> Ecuador</w:t>
      </w:r>
      <w:r w:rsidR="0017498F" w:rsidRPr="001558A5">
        <w:rPr>
          <w:szCs w:val="20"/>
          <w:lang w:val="en-US"/>
        </w:rPr>
        <w:t>;</w:t>
      </w:r>
      <w:r w:rsidR="00B642C2" w:rsidRPr="001558A5">
        <w:rPr>
          <w:rStyle w:val="Refdenotaalpie"/>
          <w:lang w:val="en-US"/>
        </w:rPr>
        <w:footnoteReference w:id="17"/>
      </w:r>
      <w:r w:rsidR="00B642C2" w:rsidRPr="001558A5">
        <w:rPr>
          <w:szCs w:val="20"/>
          <w:lang w:val="en-US"/>
        </w:rPr>
        <w:t xml:space="preserve"> </w:t>
      </w:r>
      <w:r w:rsidR="0017498F" w:rsidRPr="001558A5">
        <w:rPr>
          <w:szCs w:val="20"/>
          <w:lang w:val="en-US"/>
        </w:rPr>
        <w:t>(</w:t>
      </w:r>
      <w:r w:rsidR="00815419" w:rsidRPr="001558A5">
        <w:rPr>
          <w:szCs w:val="20"/>
          <w:lang w:val="en-US"/>
        </w:rPr>
        <w:t>11</w:t>
      </w:r>
      <w:r w:rsidR="00B642C2" w:rsidRPr="001558A5">
        <w:rPr>
          <w:szCs w:val="20"/>
          <w:lang w:val="en-US"/>
        </w:rPr>
        <w:t>)</w:t>
      </w:r>
      <w:r w:rsidR="005A124E" w:rsidRPr="001558A5">
        <w:rPr>
          <w:szCs w:val="20"/>
          <w:lang w:val="en-US"/>
        </w:rPr>
        <w:t xml:space="preserve"> </w:t>
      </w:r>
      <w:r w:rsidR="0017498F" w:rsidRPr="001558A5">
        <w:rPr>
          <w:szCs w:val="20"/>
          <w:lang w:val="en-US"/>
        </w:rPr>
        <w:t xml:space="preserve">the Human Rights Clinic at the </w:t>
      </w:r>
      <w:r w:rsidR="005A124E" w:rsidRPr="001558A5">
        <w:rPr>
          <w:szCs w:val="20"/>
          <w:lang w:val="en-US"/>
        </w:rPr>
        <w:t>Universidad de Santa Clara</w:t>
      </w:r>
      <w:r w:rsidR="0017498F" w:rsidRPr="001558A5">
        <w:rPr>
          <w:szCs w:val="20"/>
          <w:lang w:val="en-US"/>
        </w:rPr>
        <w:t>;</w:t>
      </w:r>
      <w:r w:rsidR="00B642C2" w:rsidRPr="001558A5">
        <w:rPr>
          <w:rStyle w:val="Refdenotaalpie"/>
          <w:lang w:val="en-US"/>
        </w:rPr>
        <w:footnoteReference w:id="18"/>
      </w:r>
      <w:r w:rsidR="00815419" w:rsidRPr="001558A5">
        <w:rPr>
          <w:szCs w:val="20"/>
          <w:lang w:val="en-US"/>
        </w:rPr>
        <w:t xml:space="preserve"> </w:t>
      </w:r>
      <w:r w:rsidR="0017498F" w:rsidRPr="001558A5">
        <w:rPr>
          <w:szCs w:val="20"/>
          <w:lang w:val="en-US"/>
        </w:rPr>
        <w:t>(</w:t>
      </w:r>
      <w:r w:rsidR="00815419" w:rsidRPr="001558A5">
        <w:rPr>
          <w:szCs w:val="20"/>
          <w:lang w:val="en-US"/>
        </w:rPr>
        <w:t>12</w:t>
      </w:r>
      <w:r w:rsidR="00B642C2" w:rsidRPr="001558A5">
        <w:rPr>
          <w:szCs w:val="20"/>
          <w:lang w:val="en-US"/>
        </w:rPr>
        <w:t>)</w:t>
      </w:r>
      <w:r w:rsidR="005A124E" w:rsidRPr="001558A5">
        <w:rPr>
          <w:szCs w:val="20"/>
          <w:lang w:val="en-US"/>
        </w:rPr>
        <w:t xml:space="preserve"> </w:t>
      </w:r>
      <w:r w:rsidR="00B74256" w:rsidRPr="001558A5">
        <w:rPr>
          <w:szCs w:val="20"/>
          <w:lang w:val="en-US"/>
        </w:rPr>
        <w:t>t</w:t>
      </w:r>
      <w:r w:rsidR="0017498F" w:rsidRPr="001558A5">
        <w:rPr>
          <w:szCs w:val="20"/>
          <w:lang w:val="en-US"/>
        </w:rPr>
        <w:t>he Law, Justice and Society Study Center –</w:t>
      </w:r>
      <w:r w:rsidR="00420896" w:rsidRPr="001558A5">
        <w:rPr>
          <w:szCs w:val="20"/>
          <w:lang w:val="en-US"/>
        </w:rPr>
        <w:t xml:space="preserve"> </w:t>
      </w:r>
      <w:proofErr w:type="spellStart"/>
      <w:r w:rsidR="00420896" w:rsidRPr="001558A5">
        <w:rPr>
          <w:szCs w:val="20"/>
          <w:lang w:val="en-US"/>
        </w:rPr>
        <w:t>Dejusticia</w:t>
      </w:r>
      <w:proofErr w:type="spellEnd"/>
      <w:r w:rsidR="0017498F" w:rsidRPr="001558A5">
        <w:rPr>
          <w:szCs w:val="20"/>
          <w:lang w:val="en-US"/>
        </w:rPr>
        <w:t>;</w:t>
      </w:r>
      <w:r w:rsidR="00B642C2" w:rsidRPr="001558A5">
        <w:rPr>
          <w:rStyle w:val="Refdenotaalpie"/>
          <w:lang w:val="en-US"/>
        </w:rPr>
        <w:footnoteReference w:id="19"/>
      </w:r>
      <w:r w:rsidR="00B642C2" w:rsidRPr="001558A5">
        <w:rPr>
          <w:szCs w:val="20"/>
          <w:lang w:val="en-US"/>
        </w:rPr>
        <w:t xml:space="preserve"> </w:t>
      </w:r>
      <w:r w:rsidR="0017498F" w:rsidRPr="001558A5">
        <w:rPr>
          <w:szCs w:val="20"/>
          <w:lang w:val="en-US"/>
        </w:rPr>
        <w:t>(</w:t>
      </w:r>
      <w:r w:rsidR="005A124E" w:rsidRPr="001558A5">
        <w:rPr>
          <w:szCs w:val="20"/>
          <w:lang w:val="en-US"/>
        </w:rPr>
        <w:t>1</w:t>
      </w:r>
      <w:r w:rsidR="00B642C2" w:rsidRPr="001558A5">
        <w:rPr>
          <w:szCs w:val="20"/>
          <w:lang w:val="en-US"/>
        </w:rPr>
        <w:t>3)</w:t>
      </w:r>
      <w:r w:rsidR="0084148F" w:rsidRPr="001558A5">
        <w:rPr>
          <w:szCs w:val="20"/>
          <w:lang w:val="en-US"/>
        </w:rPr>
        <w:t xml:space="preserve"> Colombia </w:t>
      </w:r>
      <w:proofErr w:type="spellStart"/>
      <w:r w:rsidR="0084148F" w:rsidRPr="001558A5">
        <w:rPr>
          <w:szCs w:val="20"/>
          <w:lang w:val="en-US"/>
        </w:rPr>
        <w:t>Diversa</w:t>
      </w:r>
      <w:proofErr w:type="spellEnd"/>
      <w:r w:rsidR="0017498F" w:rsidRPr="001558A5">
        <w:rPr>
          <w:szCs w:val="20"/>
          <w:lang w:val="en-US"/>
        </w:rPr>
        <w:t>;</w:t>
      </w:r>
      <w:r w:rsidR="00B642C2" w:rsidRPr="001558A5">
        <w:rPr>
          <w:rStyle w:val="Refdenotaalpie"/>
          <w:lang w:val="en-US"/>
        </w:rPr>
        <w:footnoteReference w:id="20"/>
      </w:r>
      <w:r w:rsidR="00B642C2" w:rsidRPr="001558A5">
        <w:rPr>
          <w:szCs w:val="20"/>
          <w:lang w:val="en-US"/>
        </w:rPr>
        <w:t xml:space="preserve"> </w:t>
      </w:r>
      <w:r w:rsidR="0017498F" w:rsidRPr="001558A5">
        <w:rPr>
          <w:szCs w:val="20"/>
          <w:lang w:val="en-US"/>
        </w:rPr>
        <w:t>(</w:t>
      </w:r>
      <w:r w:rsidR="0084148F" w:rsidRPr="001558A5">
        <w:rPr>
          <w:szCs w:val="20"/>
          <w:lang w:val="en-US"/>
        </w:rPr>
        <w:t>14</w:t>
      </w:r>
      <w:r w:rsidR="00B642C2" w:rsidRPr="001558A5">
        <w:rPr>
          <w:szCs w:val="20"/>
          <w:lang w:val="en-US"/>
        </w:rPr>
        <w:t>)</w:t>
      </w:r>
      <w:r w:rsidR="00B87305" w:rsidRPr="001558A5">
        <w:rPr>
          <w:szCs w:val="20"/>
          <w:lang w:val="en-US"/>
        </w:rPr>
        <w:t xml:space="preserve"> </w:t>
      </w:r>
      <w:proofErr w:type="spellStart"/>
      <w:r w:rsidR="00B87305" w:rsidRPr="001558A5">
        <w:rPr>
          <w:szCs w:val="20"/>
          <w:lang w:val="en-US"/>
        </w:rPr>
        <w:t>Equis</w:t>
      </w:r>
      <w:proofErr w:type="spellEnd"/>
      <w:r w:rsidR="00B87305" w:rsidRPr="001558A5">
        <w:rPr>
          <w:szCs w:val="20"/>
          <w:lang w:val="en-US"/>
        </w:rPr>
        <w:t xml:space="preserve"> </w:t>
      </w:r>
      <w:proofErr w:type="spellStart"/>
      <w:r w:rsidR="00B87305" w:rsidRPr="001558A5">
        <w:rPr>
          <w:szCs w:val="20"/>
          <w:lang w:val="en-US"/>
        </w:rPr>
        <w:t>Justicia</w:t>
      </w:r>
      <w:proofErr w:type="spellEnd"/>
      <w:r w:rsidR="00B87305" w:rsidRPr="001558A5">
        <w:rPr>
          <w:szCs w:val="20"/>
          <w:lang w:val="en-US"/>
        </w:rPr>
        <w:t xml:space="preserve"> para las </w:t>
      </w:r>
      <w:proofErr w:type="spellStart"/>
      <w:r w:rsidR="00B87305" w:rsidRPr="001558A5">
        <w:rPr>
          <w:szCs w:val="20"/>
          <w:lang w:val="en-US"/>
        </w:rPr>
        <w:t>Mujeres</w:t>
      </w:r>
      <w:proofErr w:type="spellEnd"/>
      <w:r w:rsidR="00B87305" w:rsidRPr="001558A5">
        <w:rPr>
          <w:szCs w:val="20"/>
          <w:lang w:val="en-US"/>
        </w:rPr>
        <w:t>, A. C.,</w:t>
      </w:r>
      <w:r w:rsidR="00DD4354" w:rsidRPr="001558A5">
        <w:rPr>
          <w:szCs w:val="20"/>
          <w:lang w:val="en-US"/>
        </w:rPr>
        <w:t xml:space="preserve"> and </w:t>
      </w:r>
      <w:r w:rsidR="00B87305" w:rsidRPr="001558A5">
        <w:rPr>
          <w:szCs w:val="20"/>
          <w:lang w:val="en-US"/>
        </w:rPr>
        <w:t xml:space="preserve">Casa de las </w:t>
      </w:r>
      <w:proofErr w:type="spellStart"/>
      <w:r w:rsidR="00B87305" w:rsidRPr="001558A5">
        <w:rPr>
          <w:szCs w:val="20"/>
          <w:lang w:val="en-US"/>
        </w:rPr>
        <w:t>Muñecas</w:t>
      </w:r>
      <w:proofErr w:type="spellEnd"/>
      <w:r w:rsidR="00B87305" w:rsidRPr="001558A5">
        <w:rPr>
          <w:szCs w:val="20"/>
          <w:lang w:val="en-US"/>
        </w:rPr>
        <w:t xml:space="preserve"> Tiresias, A.C</w:t>
      </w:r>
      <w:r w:rsidR="0017498F" w:rsidRPr="001558A5">
        <w:rPr>
          <w:szCs w:val="20"/>
          <w:lang w:val="en-US"/>
        </w:rPr>
        <w:t>.;</w:t>
      </w:r>
      <w:r w:rsidR="00B642C2" w:rsidRPr="001558A5">
        <w:rPr>
          <w:rStyle w:val="Refdenotaalpie"/>
          <w:lang w:val="en-US"/>
        </w:rPr>
        <w:footnoteReference w:id="21"/>
      </w:r>
      <w:r w:rsidR="00B642C2" w:rsidRPr="001558A5">
        <w:rPr>
          <w:szCs w:val="20"/>
          <w:lang w:val="en-US"/>
        </w:rPr>
        <w:t xml:space="preserve"> </w:t>
      </w:r>
      <w:r w:rsidR="0017498F" w:rsidRPr="001558A5">
        <w:rPr>
          <w:szCs w:val="20"/>
          <w:lang w:val="en-US"/>
        </w:rPr>
        <w:t>(</w:t>
      </w:r>
      <w:r w:rsidR="0084148F" w:rsidRPr="001558A5">
        <w:rPr>
          <w:szCs w:val="20"/>
          <w:lang w:val="en-US"/>
        </w:rPr>
        <w:t>15</w:t>
      </w:r>
      <w:r w:rsidR="00B642C2" w:rsidRPr="001558A5">
        <w:rPr>
          <w:szCs w:val="20"/>
          <w:lang w:val="en-US"/>
        </w:rPr>
        <w:t>)</w:t>
      </w:r>
      <w:r w:rsidR="00B87305" w:rsidRPr="001558A5">
        <w:rPr>
          <w:szCs w:val="20"/>
          <w:lang w:val="en-US"/>
        </w:rPr>
        <w:t xml:space="preserve"> ODRI, </w:t>
      </w:r>
      <w:proofErr w:type="spellStart"/>
      <w:r w:rsidR="006B1380" w:rsidRPr="001558A5">
        <w:rPr>
          <w:szCs w:val="20"/>
          <w:lang w:val="en-US"/>
        </w:rPr>
        <w:t>Oficina</w:t>
      </w:r>
      <w:proofErr w:type="spellEnd"/>
      <w:r w:rsidR="006B1380" w:rsidRPr="001558A5">
        <w:rPr>
          <w:szCs w:val="20"/>
          <w:lang w:val="en-US"/>
        </w:rPr>
        <w:t xml:space="preserve"> </w:t>
      </w:r>
      <w:r w:rsidR="00B87305" w:rsidRPr="001558A5">
        <w:rPr>
          <w:szCs w:val="20"/>
          <w:lang w:val="en-US"/>
        </w:rPr>
        <w:t xml:space="preserve">de </w:t>
      </w:r>
      <w:r w:rsidR="006B1380" w:rsidRPr="001558A5">
        <w:rPr>
          <w:szCs w:val="20"/>
          <w:lang w:val="en-US"/>
        </w:rPr>
        <w:t>D</w:t>
      </w:r>
      <w:r w:rsidR="00B87305" w:rsidRPr="001558A5">
        <w:rPr>
          <w:szCs w:val="20"/>
          <w:lang w:val="en-US"/>
        </w:rPr>
        <w:t xml:space="preserve">erechos </w:t>
      </w:r>
      <w:proofErr w:type="spellStart"/>
      <w:r w:rsidR="006B1380" w:rsidRPr="001558A5">
        <w:rPr>
          <w:szCs w:val="20"/>
          <w:lang w:val="en-US"/>
        </w:rPr>
        <w:t>Interseccionales</w:t>
      </w:r>
      <w:proofErr w:type="spellEnd"/>
      <w:r w:rsidR="0017498F" w:rsidRPr="001558A5">
        <w:rPr>
          <w:szCs w:val="20"/>
          <w:lang w:val="en-US"/>
        </w:rPr>
        <w:t>;</w:t>
      </w:r>
      <w:r w:rsidR="00B642C2" w:rsidRPr="001558A5">
        <w:rPr>
          <w:rStyle w:val="Refdenotaalpie"/>
          <w:lang w:val="en-US"/>
        </w:rPr>
        <w:footnoteReference w:id="22"/>
      </w:r>
      <w:r w:rsidR="00B642C2" w:rsidRPr="001558A5">
        <w:rPr>
          <w:szCs w:val="20"/>
          <w:lang w:val="en-US"/>
        </w:rPr>
        <w:t xml:space="preserve"> </w:t>
      </w:r>
      <w:r w:rsidR="0017498F" w:rsidRPr="001558A5">
        <w:rPr>
          <w:szCs w:val="20"/>
          <w:lang w:val="en-US"/>
        </w:rPr>
        <w:t>(</w:t>
      </w:r>
      <w:r w:rsidR="0084148F" w:rsidRPr="001558A5">
        <w:rPr>
          <w:szCs w:val="20"/>
          <w:lang w:val="en-US"/>
        </w:rPr>
        <w:t>16</w:t>
      </w:r>
      <w:r w:rsidR="00B642C2" w:rsidRPr="001558A5">
        <w:rPr>
          <w:szCs w:val="20"/>
          <w:lang w:val="en-US"/>
        </w:rPr>
        <w:t>)</w:t>
      </w:r>
      <w:r w:rsidR="00B87305" w:rsidRPr="001558A5">
        <w:rPr>
          <w:szCs w:val="20"/>
          <w:lang w:val="en-US"/>
        </w:rPr>
        <w:t xml:space="preserve"> </w:t>
      </w:r>
      <w:r w:rsidR="0017498F" w:rsidRPr="001558A5">
        <w:rPr>
          <w:szCs w:val="20"/>
          <w:lang w:val="en-US"/>
        </w:rPr>
        <w:t>Lawyers without Borders,</w:t>
      </w:r>
      <w:r w:rsidR="00B87305" w:rsidRPr="001558A5">
        <w:rPr>
          <w:szCs w:val="20"/>
          <w:lang w:val="en-US"/>
        </w:rPr>
        <w:t xml:space="preserve"> Canad</w:t>
      </w:r>
      <w:r w:rsidR="0017498F" w:rsidRPr="001558A5">
        <w:rPr>
          <w:szCs w:val="20"/>
          <w:lang w:val="en-US"/>
        </w:rPr>
        <w:t>a;</w:t>
      </w:r>
      <w:r w:rsidR="00B642C2" w:rsidRPr="001558A5">
        <w:rPr>
          <w:rStyle w:val="Refdenotaalpie"/>
          <w:lang w:val="en-US"/>
        </w:rPr>
        <w:footnoteReference w:id="23"/>
      </w:r>
      <w:r w:rsidR="00B642C2" w:rsidRPr="001558A5">
        <w:rPr>
          <w:szCs w:val="20"/>
          <w:lang w:val="en-US"/>
        </w:rPr>
        <w:t xml:space="preserve"> </w:t>
      </w:r>
      <w:r w:rsidR="0017498F" w:rsidRPr="001558A5">
        <w:rPr>
          <w:szCs w:val="20"/>
          <w:lang w:val="en-US"/>
        </w:rPr>
        <w:t>(</w:t>
      </w:r>
      <w:r w:rsidR="0084148F" w:rsidRPr="001558A5">
        <w:rPr>
          <w:szCs w:val="20"/>
          <w:lang w:val="en-US"/>
        </w:rPr>
        <w:t>17</w:t>
      </w:r>
      <w:r w:rsidR="00B642C2" w:rsidRPr="001558A5">
        <w:rPr>
          <w:szCs w:val="20"/>
          <w:lang w:val="en-US"/>
        </w:rPr>
        <w:t>)</w:t>
      </w:r>
      <w:r w:rsidR="00B87305" w:rsidRPr="001558A5">
        <w:rPr>
          <w:szCs w:val="20"/>
          <w:lang w:val="en-US"/>
        </w:rPr>
        <w:t xml:space="preserve"> </w:t>
      </w:r>
      <w:r w:rsidR="00942E1B" w:rsidRPr="001558A5">
        <w:rPr>
          <w:szCs w:val="20"/>
          <w:lang w:val="en-US"/>
        </w:rPr>
        <w:t xml:space="preserve">the </w:t>
      </w:r>
      <w:proofErr w:type="spellStart"/>
      <w:r w:rsidR="006F583F" w:rsidRPr="001558A5">
        <w:rPr>
          <w:szCs w:val="20"/>
          <w:lang w:val="en-US"/>
        </w:rPr>
        <w:t>RedTraSex</w:t>
      </w:r>
      <w:proofErr w:type="spellEnd"/>
      <w:r w:rsidR="0017498F" w:rsidRPr="001558A5">
        <w:rPr>
          <w:szCs w:val="20"/>
          <w:lang w:val="en-US"/>
        </w:rPr>
        <w:t>,</w:t>
      </w:r>
      <w:r w:rsidR="00B642C2" w:rsidRPr="001558A5">
        <w:rPr>
          <w:rStyle w:val="Refdenotaalpie"/>
          <w:lang w:val="en-US"/>
        </w:rPr>
        <w:footnoteReference w:id="24"/>
      </w:r>
      <w:r w:rsidR="00DD4354" w:rsidRPr="001558A5">
        <w:rPr>
          <w:szCs w:val="20"/>
          <w:lang w:val="en-US"/>
        </w:rPr>
        <w:t xml:space="preserve"> and </w:t>
      </w:r>
      <w:r w:rsidR="0017498F" w:rsidRPr="001558A5">
        <w:rPr>
          <w:szCs w:val="20"/>
          <w:lang w:val="en-US"/>
        </w:rPr>
        <w:t>(</w:t>
      </w:r>
      <w:r w:rsidR="006F583F" w:rsidRPr="001558A5">
        <w:rPr>
          <w:szCs w:val="20"/>
          <w:lang w:val="en-US"/>
        </w:rPr>
        <w:t>18</w:t>
      </w:r>
      <w:r w:rsidR="00B642C2" w:rsidRPr="001558A5">
        <w:rPr>
          <w:szCs w:val="20"/>
          <w:lang w:val="en-US"/>
        </w:rPr>
        <w:t>)</w:t>
      </w:r>
      <w:r w:rsidR="006F583F" w:rsidRPr="001558A5">
        <w:rPr>
          <w:szCs w:val="20"/>
          <w:lang w:val="en-US"/>
        </w:rPr>
        <w:t xml:space="preserve"> Pedro </w:t>
      </w:r>
      <w:proofErr w:type="spellStart"/>
      <w:r w:rsidR="006F583F" w:rsidRPr="001558A5">
        <w:rPr>
          <w:szCs w:val="20"/>
          <w:lang w:val="en-US"/>
        </w:rPr>
        <w:t>DiPietro</w:t>
      </w:r>
      <w:proofErr w:type="spellEnd"/>
      <w:r w:rsidR="0017498F" w:rsidRPr="001558A5">
        <w:rPr>
          <w:szCs w:val="20"/>
          <w:lang w:val="en-US"/>
        </w:rPr>
        <w:t>.</w:t>
      </w:r>
      <w:r w:rsidR="00B642C2" w:rsidRPr="001558A5">
        <w:rPr>
          <w:rStyle w:val="Refdenotaalpie"/>
          <w:lang w:val="en-US"/>
        </w:rPr>
        <w:footnoteReference w:id="25"/>
      </w:r>
    </w:p>
    <w:p w14:paraId="42D50A6E" w14:textId="165CBA97" w:rsidR="00E10969" w:rsidRPr="001558A5" w:rsidRDefault="0017498F" w:rsidP="00945CE2">
      <w:pPr>
        <w:pStyle w:val="Estilo1"/>
        <w:numPr>
          <w:ilvl w:val="0"/>
          <w:numId w:val="2"/>
        </w:numPr>
        <w:tabs>
          <w:tab w:val="left" w:pos="0"/>
        </w:tabs>
        <w:spacing w:before="120"/>
        <w:ind w:left="0" w:right="-4" w:firstLine="0"/>
        <w:rPr>
          <w:i w:val="0"/>
          <w:szCs w:val="20"/>
          <w:lang w:val="en-US" w:eastAsia="es-ES"/>
        </w:rPr>
      </w:pPr>
      <w:r w:rsidRPr="001558A5">
        <w:rPr>
          <w:szCs w:val="20"/>
          <w:lang w:val="en-US" w:eastAsia="es-ES"/>
        </w:rPr>
        <w:t>Provisional measures</w:t>
      </w:r>
      <w:r w:rsidR="00545746" w:rsidRPr="001558A5">
        <w:rPr>
          <w:szCs w:val="20"/>
          <w:lang w:val="en-US" w:eastAsia="es-ES"/>
        </w:rPr>
        <w:t xml:space="preserve">. </w:t>
      </w:r>
      <w:r w:rsidR="009F36EF" w:rsidRPr="001558A5">
        <w:rPr>
          <w:i w:val="0"/>
          <w:lang w:val="en-US"/>
        </w:rPr>
        <w:t xml:space="preserve">In an order of November 12, </w:t>
      </w:r>
      <w:r w:rsidR="00E10969" w:rsidRPr="001558A5">
        <w:rPr>
          <w:i w:val="0"/>
          <w:szCs w:val="20"/>
          <w:lang w:val="en-US" w:eastAsia="es-ES"/>
        </w:rPr>
        <w:t>2020</w:t>
      </w:r>
      <w:r w:rsidR="009F36EF" w:rsidRPr="001558A5">
        <w:rPr>
          <w:i w:val="0"/>
          <w:szCs w:val="20"/>
          <w:lang w:val="en-US" w:eastAsia="es-ES"/>
        </w:rPr>
        <w:t>,</w:t>
      </w:r>
      <w:r w:rsidR="00045309" w:rsidRPr="001558A5">
        <w:rPr>
          <w:rStyle w:val="Refdenotaalpie"/>
          <w:i w:val="0"/>
          <w:lang w:val="en-US" w:eastAsia="es-ES"/>
        </w:rPr>
        <w:footnoteReference w:id="26"/>
      </w:r>
      <w:r w:rsidR="00E10969" w:rsidRPr="001558A5">
        <w:rPr>
          <w:i w:val="0"/>
          <w:szCs w:val="20"/>
          <w:lang w:val="en-US" w:eastAsia="es-ES"/>
        </w:rPr>
        <w:t xml:space="preserve"> </w:t>
      </w:r>
      <w:r w:rsidR="00871E19" w:rsidRPr="001558A5">
        <w:rPr>
          <w:i w:val="0"/>
          <w:szCs w:val="20"/>
          <w:lang w:val="en-US" w:eastAsia="es-ES"/>
        </w:rPr>
        <w:t>the Court</w:t>
      </w:r>
      <w:r w:rsidR="00E10969" w:rsidRPr="001558A5">
        <w:rPr>
          <w:i w:val="0"/>
          <w:szCs w:val="20"/>
          <w:lang w:val="en-US" w:eastAsia="es-ES"/>
        </w:rPr>
        <w:t xml:space="preserve"> </w:t>
      </w:r>
      <w:r w:rsidR="009F36EF" w:rsidRPr="001558A5">
        <w:rPr>
          <w:i w:val="0"/>
          <w:szCs w:val="20"/>
          <w:lang w:val="en-US" w:eastAsia="es-ES"/>
        </w:rPr>
        <w:t xml:space="preserve">required the State to adopt all appropriate measures to provide effective protection to the rights to life and </w:t>
      </w:r>
      <w:r w:rsidR="00E10969" w:rsidRPr="001558A5">
        <w:rPr>
          <w:i w:val="0"/>
          <w:szCs w:val="20"/>
          <w:lang w:val="en-US" w:eastAsia="es-ES"/>
        </w:rPr>
        <w:t xml:space="preserve"> </w:t>
      </w:r>
      <w:r w:rsidR="00B732DD" w:rsidRPr="001558A5">
        <w:rPr>
          <w:i w:val="0"/>
          <w:szCs w:val="20"/>
          <w:lang w:val="en-US" w:eastAsia="es-ES"/>
        </w:rPr>
        <w:t>personal integrity</w:t>
      </w:r>
      <w:r w:rsidR="00E10969" w:rsidRPr="001558A5">
        <w:rPr>
          <w:i w:val="0"/>
          <w:szCs w:val="20"/>
          <w:lang w:val="en-US" w:eastAsia="es-ES"/>
        </w:rPr>
        <w:t xml:space="preserve"> </w:t>
      </w:r>
      <w:r w:rsidR="009F36EF" w:rsidRPr="001558A5">
        <w:rPr>
          <w:i w:val="0"/>
          <w:szCs w:val="20"/>
          <w:lang w:val="en-US" w:eastAsia="es-ES"/>
        </w:rPr>
        <w:t xml:space="preserve">of Vicky Hernández’s family, </w:t>
      </w:r>
      <w:r w:rsidR="00E10969" w:rsidRPr="001558A5">
        <w:rPr>
          <w:i w:val="0"/>
          <w:szCs w:val="20"/>
          <w:lang w:val="en-US" w:eastAsia="es-ES"/>
        </w:rPr>
        <w:t>a</w:t>
      </w:r>
      <w:r w:rsidR="009F36EF" w:rsidRPr="001558A5">
        <w:rPr>
          <w:i w:val="0"/>
          <w:szCs w:val="20"/>
          <w:lang w:val="en-US" w:eastAsia="es-ES"/>
        </w:rPr>
        <w:t xml:space="preserve">s well as to the members of the </w:t>
      </w:r>
      <w:r w:rsidR="00E10969" w:rsidRPr="001558A5">
        <w:rPr>
          <w:i w:val="0"/>
          <w:szCs w:val="20"/>
          <w:lang w:val="en-US" w:eastAsia="es-ES"/>
        </w:rPr>
        <w:t xml:space="preserve">Red </w:t>
      </w:r>
      <w:proofErr w:type="spellStart"/>
      <w:r w:rsidR="00E10969" w:rsidRPr="001558A5">
        <w:rPr>
          <w:i w:val="0"/>
          <w:szCs w:val="20"/>
          <w:lang w:val="en-US" w:eastAsia="es-ES"/>
        </w:rPr>
        <w:t>Lésbica</w:t>
      </w:r>
      <w:proofErr w:type="spellEnd"/>
      <w:r w:rsidR="00E10969" w:rsidRPr="001558A5">
        <w:rPr>
          <w:i w:val="0"/>
          <w:szCs w:val="20"/>
          <w:lang w:val="en-US" w:eastAsia="es-ES"/>
        </w:rPr>
        <w:t xml:space="preserve"> “</w:t>
      </w:r>
      <w:proofErr w:type="spellStart"/>
      <w:r w:rsidR="00E10969" w:rsidRPr="001558A5">
        <w:rPr>
          <w:i w:val="0"/>
          <w:szCs w:val="20"/>
          <w:lang w:val="en-US" w:eastAsia="es-ES"/>
        </w:rPr>
        <w:t>Cattrachas</w:t>
      </w:r>
      <w:proofErr w:type="spellEnd"/>
      <w:r w:rsidR="009F36EF" w:rsidRPr="001558A5">
        <w:rPr>
          <w:i w:val="0"/>
          <w:szCs w:val="20"/>
          <w:lang w:val="en-US" w:eastAsia="es-ES"/>
        </w:rPr>
        <w:t>.</w:t>
      </w:r>
      <w:r w:rsidR="00E10969" w:rsidRPr="001558A5">
        <w:rPr>
          <w:i w:val="0"/>
          <w:szCs w:val="20"/>
          <w:lang w:val="en-US" w:eastAsia="es-ES"/>
        </w:rPr>
        <w:t>”</w:t>
      </w:r>
      <w:r w:rsidR="00E10969" w:rsidRPr="001558A5">
        <w:rPr>
          <w:rStyle w:val="Refdenotaalpie"/>
          <w:i w:val="0"/>
          <w:lang w:val="en-US" w:eastAsia="es-ES"/>
        </w:rPr>
        <w:footnoteReference w:id="27"/>
      </w:r>
    </w:p>
    <w:p w14:paraId="0BD76C1B" w14:textId="0646057A" w:rsidR="005F1F8D" w:rsidRPr="001558A5" w:rsidRDefault="0017498F" w:rsidP="00945CE2">
      <w:pPr>
        <w:pStyle w:val="Estilo1"/>
        <w:numPr>
          <w:ilvl w:val="0"/>
          <w:numId w:val="2"/>
        </w:numPr>
        <w:tabs>
          <w:tab w:val="left" w:pos="0"/>
        </w:tabs>
        <w:spacing w:before="120"/>
        <w:ind w:left="0" w:right="-4" w:firstLine="0"/>
        <w:rPr>
          <w:i w:val="0"/>
          <w:szCs w:val="20"/>
          <w:lang w:val="en-US" w:eastAsia="es-ES"/>
        </w:rPr>
      </w:pPr>
      <w:r w:rsidRPr="001558A5">
        <w:rPr>
          <w:rFonts w:cs="Arial"/>
          <w:szCs w:val="20"/>
          <w:lang w:val="en-US" w:eastAsia="es-ES"/>
        </w:rPr>
        <w:t xml:space="preserve">Final written arguments </w:t>
      </w:r>
      <w:r w:rsidR="00DD4354" w:rsidRPr="001558A5">
        <w:rPr>
          <w:rFonts w:cs="Verdana"/>
          <w:szCs w:val="20"/>
          <w:lang w:val="en-US" w:eastAsia="es-ES"/>
        </w:rPr>
        <w:t xml:space="preserve">and </w:t>
      </w:r>
      <w:r w:rsidR="00871E19" w:rsidRPr="001558A5">
        <w:rPr>
          <w:rFonts w:cs="Verdana"/>
          <w:szCs w:val="20"/>
          <w:lang w:val="en-US" w:eastAsia="es-ES"/>
        </w:rPr>
        <w:t>observations</w:t>
      </w:r>
      <w:r w:rsidR="007D74F9" w:rsidRPr="001558A5">
        <w:rPr>
          <w:rFonts w:cs="Verdana"/>
          <w:szCs w:val="20"/>
          <w:lang w:val="en-US" w:eastAsia="es-ES"/>
        </w:rPr>
        <w:t>.</w:t>
      </w:r>
      <w:r w:rsidR="0049717E" w:rsidRPr="001558A5">
        <w:rPr>
          <w:rFonts w:cs="Verdana"/>
          <w:szCs w:val="20"/>
          <w:lang w:val="en-US" w:eastAsia="es-ES"/>
        </w:rPr>
        <w:t xml:space="preserve"> </w:t>
      </w:r>
      <w:r w:rsidRPr="001558A5">
        <w:rPr>
          <w:rFonts w:cs="Verdana"/>
          <w:i w:val="0"/>
          <w:szCs w:val="20"/>
          <w:lang w:val="en-US" w:eastAsia="es-ES"/>
        </w:rPr>
        <w:t>On December 14,</w:t>
      </w:r>
      <w:r w:rsidR="002177D7" w:rsidRPr="001558A5">
        <w:rPr>
          <w:rFonts w:cs="Verdana"/>
          <w:i w:val="0"/>
          <w:szCs w:val="20"/>
          <w:lang w:val="en-US" w:eastAsia="es-ES"/>
        </w:rPr>
        <w:t xml:space="preserve"> 2020</w:t>
      </w:r>
      <w:r w:rsidR="0014574E" w:rsidRPr="001558A5">
        <w:rPr>
          <w:rFonts w:cs="Verdana"/>
          <w:i w:val="0"/>
          <w:szCs w:val="20"/>
          <w:lang w:val="en-US" w:eastAsia="es-ES"/>
        </w:rPr>
        <w:t>,</w:t>
      </w:r>
      <w:r w:rsidR="008E2A4C" w:rsidRPr="001558A5">
        <w:rPr>
          <w:rFonts w:cs="Verdana"/>
          <w:i w:val="0"/>
          <w:szCs w:val="20"/>
          <w:lang w:val="en-US" w:eastAsia="es-ES"/>
        </w:rPr>
        <w:t xml:space="preserve"> </w:t>
      </w:r>
      <w:r w:rsidRPr="001558A5">
        <w:rPr>
          <w:rFonts w:cs="Verdana"/>
          <w:i w:val="0"/>
          <w:szCs w:val="20"/>
          <w:lang w:val="en-US" w:eastAsia="es-ES"/>
        </w:rPr>
        <w:t>the parties</w:t>
      </w:r>
      <w:r w:rsidR="00DD4354" w:rsidRPr="001558A5">
        <w:rPr>
          <w:rFonts w:cs="Verdana"/>
          <w:i w:val="0"/>
          <w:szCs w:val="20"/>
          <w:lang w:val="en-US" w:eastAsia="es-ES"/>
        </w:rPr>
        <w:t xml:space="preserve"> and </w:t>
      </w:r>
      <w:r w:rsidR="00871E19" w:rsidRPr="001558A5">
        <w:rPr>
          <w:rFonts w:cs="Verdana"/>
          <w:i w:val="0"/>
          <w:szCs w:val="20"/>
          <w:lang w:val="en-US" w:eastAsia="es-ES"/>
        </w:rPr>
        <w:t>the Commission</w:t>
      </w:r>
      <w:r w:rsidR="00A24FC0" w:rsidRPr="001558A5">
        <w:rPr>
          <w:rFonts w:cs="Verdana"/>
          <w:i w:val="0"/>
          <w:szCs w:val="20"/>
          <w:lang w:val="en-US" w:eastAsia="es-ES"/>
        </w:rPr>
        <w:t xml:space="preserve"> present</w:t>
      </w:r>
      <w:r w:rsidRPr="001558A5">
        <w:rPr>
          <w:rFonts w:cs="Verdana"/>
          <w:i w:val="0"/>
          <w:szCs w:val="20"/>
          <w:lang w:val="en-US" w:eastAsia="es-ES"/>
        </w:rPr>
        <w:t xml:space="preserve">ed their final written arguments and </w:t>
      </w:r>
      <w:r w:rsidR="00732FB3" w:rsidRPr="001558A5">
        <w:rPr>
          <w:rFonts w:cs="Verdana"/>
          <w:i w:val="0"/>
          <w:szCs w:val="20"/>
          <w:lang w:val="en-US" w:eastAsia="es-ES"/>
        </w:rPr>
        <w:t xml:space="preserve">final written </w:t>
      </w:r>
      <w:r w:rsidRPr="001558A5">
        <w:rPr>
          <w:rFonts w:cs="Verdana"/>
          <w:i w:val="0"/>
          <w:szCs w:val="20"/>
          <w:lang w:val="en-US" w:eastAsia="es-ES"/>
        </w:rPr>
        <w:t>observations</w:t>
      </w:r>
      <w:r w:rsidR="00732FB3" w:rsidRPr="001558A5">
        <w:rPr>
          <w:rFonts w:cs="Verdana"/>
          <w:i w:val="0"/>
          <w:szCs w:val="20"/>
          <w:lang w:val="en-US" w:eastAsia="es-ES"/>
        </w:rPr>
        <w:t>,</w:t>
      </w:r>
      <w:r w:rsidRPr="001558A5">
        <w:rPr>
          <w:rFonts w:cs="Verdana"/>
          <w:i w:val="0"/>
          <w:szCs w:val="20"/>
          <w:lang w:val="en-US" w:eastAsia="es-ES"/>
        </w:rPr>
        <w:t xml:space="preserve"> </w:t>
      </w:r>
      <w:r w:rsidR="00135F70" w:rsidRPr="001558A5">
        <w:rPr>
          <w:rFonts w:cs="Verdana"/>
          <w:i w:val="0"/>
          <w:szCs w:val="20"/>
          <w:lang w:val="en-US" w:eastAsia="es-ES"/>
        </w:rPr>
        <w:t>respecti</w:t>
      </w:r>
      <w:r w:rsidR="00732FB3" w:rsidRPr="001558A5">
        <w:rPr>
          <w:rFonts w:cs="Verdana"/>
          <w:i w:val="0"/>
          <w:szCs w:val="20"/>
          <w:lang w:val="en-US" w:eastAsia="es-ES"/>
        </w:rPr>
        <w:t>vely</w:t>
      </w:r>
      <w:r w:rsidR="0049717E" w:rsidRPr="001558A5">
        <w:rPr>
          <w:rFonts w:cs="Verdana"/>
          <w:i w:val="0"/>
          <w:szCs w:val="20"/>
          <w:lang w:val="en-US" w:eastAsia="es-ES"/>
        </w:rPr>
        <w:t xml:space="preserve">. </w:t>
      </w:r>
    </w:p>
    <w:p w14:paraId="7C67A89E" w14:textId="6B74AD3A" w:rsidR="00B71DDA" w:rsidRPr="001558A5" w:rsidRDefault="00732FB3" w:rsidP="00945CE2">
      <w:pPr>
        <w:pStyle w:val="Estilo1"/>
        <w:numPr>
          <w:ilvl w:val="0"/>
          <w:numId w:val="2"/>
        </w:numPr>
        <w:tabs>
          <w:tab w:val="left" w:pos="0"/>
        </w:tabs>
        <w:spacing w:before="120"/>
        <w:ind w:left="0" w:right="-4" w:firstLine="0"/>
        <w:rPr>
          <w:rFonts w:cs="Verdana"/>
          <w:i w:val="0"/>
          <w:szCs w:val="20"/>
          <w:lang w:val="en-US" w:eastAsia="es-ES"/>
        </w:rPr>
      </w:pPr>
      <w:bookmarkStart w:id="30" w:name="_Hlk78637047"/>
      <w:r w:rsidRPr="001558A5">
        <w:rPr>
          <w:rFonts w:cs="Verdana"/>
          <w:iCs/>
          <w:szCs w:val="20"/>
          <w:lang w:val="en-US" w:eastAsia="es-ES"/>
        </w:rPr>
        <w:t>Helpful evidence</w:t>
      </w:r>
      <w:r w:rsidR="00B71DDA" w:rsidRPr="001558A5">
        <w:rPr>
          <w:rFonts w:cs="Verdana"/>
          <w:i w:val="0"/>
          <w:szCs w:val="20"/>
          <w:lang w:val="en-US" w:eastAsia="es-ES"/>
        </w:rPr>
        <w:t xml:space="preserve">. </w:t>
      </w:r>
      <w:bookmarkEnd w:id="30"/>
      <w:r w:rsidRPr="001558A5">
        <w:rPr>
          <w:rFonts w:cs="Verdana"/>
          <w:i w:val="0"/>
          <w:szCs w:val="20"/>
          <w:lang w:val="en-US" w:eastAsia="es-ES"/>
        </w:rPr>
        <w:t>On January 29,</w:t>
      </w:r>
      <w:r w:rsidR="00B71DDA" w:rsidRPr="001558A5">
        <w:rPr>
          <w:rFonts w:cs="Verdana"/>
          <w:i w:val="0"/>
          <w:szCs w:val="20"/>
          <w:lang w:val="en-US" w:eastAsia="es-ES"/>
        </w:rPr>
        <w:t xml:space="preserve"> 2021, </w:t>
      </w:r>
      <w:r w:rsidRPr="001558A5">
        <w:rPr>
          <w:rFonts w:cs="Verdana"/>
          <w:i w:val="0"/>
          <w:szCs w:val="20"/>
          <w:lang w:val="en-US" w:eastAsia="es-ES"/>
        </w:rPr>
        <w:t>pursuant to</w:t>
      </w:r>
      <w:r w:rsidR="00B71DDA" w:rsidRPr="001558A5">
        <w:rPr>
          <w:rFonts w:cs="Verdana"/>
          <w:i w:val="0"/>
          <w:szCs w:val="20"/>
          <w:lang w:val="en-US" w:eastAsia="es-ES"/>
        </w:rPr>
        <w:t xml:space="preserve"> </w:t>
      </w:r>
      <w:r w:rsidR="00871E19" w:rsidRPr="001558A5">
        <w:rPr>
          <w:rFonts w:cs="Verdana"/>
          <w:i w:val="0"/>
          <w:szCs w:val="20"/>
          <w:lang w:val="en-US" w:eastAsia="es-ES"/>
        </w:rPr>
        <w:t>Article</w:t>
      </w:r>
      <w:r w:rsidR="00B71DDA" w:rsidRPr="001558A5">
        <w:rPr>
          <w:rFonts w:cs="Verdana"/>
          <w:i w:val="0"/>
          <w:szCs w:val="20"/>
          <w:lang w:val="en-US" w:eastAsia="es-ES"/>
        </w:rPr>
        <w:t xml:space="preserve"> 58</w:t>
      </w:r>
      <w:r w:rsidR="00DD4354" w:rsidRPr="001558A5">
        <w:rPr>
          <w:rFonts w:cs="Verdana"/>
          <w:i w:val="0"/>
          <w:szCs w:val="20"/>
          <w:lang w:val="en-US" w:eastAsia="es-ES"/>
        </w:rPr>
        <w:t xml:space="preserve"> of the </w:t>
      </w:r>
      <w:r w:rsidR="00871E19" w:rsidRPr="001558A5">
        <w:rPr>
          <w:rFonts w:cs="Verdana"/>
          <w:i w:val="0"/>
          <w:szCs w:val="20"/>
          <w:lang w:val="en-US" w:eastAsia="es-ES"/>
        </w:rPr>
        <w:t>Rules of Procedure</w:t>
      </w:r>
      <w:r w:rsidR="00B71DDA" w:rsidRPr="001558A5">
        <w:rPr>
          <w:rFonts w:cs="Verdana"/>
          <w:i w:val="0"/>
          <w:szCs w:val="20"/>
          <w:lang w:val="en-US" w:eastAsia="es-ES"/>
        </w:rPr>
        <w:t xml:space="preserve">, </w:t>
      </w:r>
      <w:r w:rsidRPr="001558A5">
        <w:rPr>
          <w:rFonts w:cs="Verdana"/>
          <w:i w:val="0"/>
          <w:szCs w:val="20"/>
          <w:lang w:val="en-US" w:eastAsia="es-ES"/>
        </w:rPr>
        <w:t>the State was asked to submit helpful evidence and this was received on February 11,</w:t>
      </w:r>
      <w:r w:rsidR="00B71DDA" w:rsidRPr="001558A5">
        <w:rPr>
          <w:rFonts w:cs="Verdana"/>
          <w:i w:val="0"/>
          <w:szCs w:val="20"/>
          <w:lang w:val="en-US" w:eastAsia="es-ES"/>
        </w:rPr>
        <w:t xml:space="preserve"> 2021.</w:t>
      </w:r>
    </w:p>
    <w:p w14:paraId="554A8981" w14:textId="0231764E" w:rsidR="00903B40" w:rsidRPr="001558A5" w:rsidRDefault="00903B40" w:rsidP="00945CE2">
      <w:pPr>
        <w:pStyle w:val="Estilo1"/>
        <w:numPr>
          <w:ilvl w:val="0"/>
          <w:numId w:val="2"/>
        </w:numPr>
        <w:tabs>
          <w:tab w:val="left" w:pos="0"/>
        </w:tabs>
        <w:spacing w:before="120"/>
        <w:ind w:left="0" w:right="-4" w:firstLine="0"/>
        <w:rPr>
          <w:rFonts w:cs="Verdana"/>
          <w:i w:val="0"/>
          <w:szCs w:val="20"/>
          <w:lang w:val="en-US" w:eastAsia="es-ES"/>
        </w:rPr>
      </w:pPr>
      <w:r w:rsidRPr="001558A5">
        <w:rPr>
          <w:szCs w:val="20"/>
          <w:lang w:val="en-US" w:eastAsia="es-CR"/>
        </w:rPr>
        <w:t>Deliber</w:t>
      </w:r>
      <w:r w:rsidR="00732FB3" w:rsidRPr="001558A5">
        <w:rPr>
          <w:szCs w:val="20"/>
          <w:lang w:val="en-US" w:eastAsia="es-CR"/>
        </w:rPr>
        <w:t>ation of the case</w:t>
      </w:r>
      <w:r w:rsidRPr="001558A5">
        <w:rPr>
          <w:szCs w:val="20"/>
          <w:lang w:val="en-US" w:eastAsia="es-CR"/>
        </w:rPr>
        <w:t xml:space="preserve">. </w:t>
      </w:r>
      <w:r w:rsidR="00871E19" w:rsidRPr="001558A5">
        <w:rPr>
          <w:i w:val="0"/>
          <w:szCs w:val="20"/>
          <w:lang w:val="en-US" w:eastAsia="es-CR"/>
        </w:rPr>
        <w:t>The Court</w:t>
      </w:r>
      <w:r w:rsidRPr="001558A5">
        <w:rPr>
          <w:i w:val="0"/>
          <w:szCs w:val="20"/>
          <w:lang w:val="en-US" w:eastAsia="es-CR"/>
        </w:rPr>
        <w:t xml:space="preserve"> </w:t>
      </w:r>
      <w:r w:rsidR="00732FB3" w:rsidRPr="001558A5">
        <w:rPr>
          <w:i w:val="0"/>
          <w:szCs w:val="20"/>
          <w:lang w:val="en-US" w:eastAsia="es-CR"/>
        </w:rPr>
        <w:t xml:space="preserve">began deliberating this judgment on March 24, </w:t>
      </w:r>
      <w:r w:rsidR="00345C40" w:rsidRPr="001558A5">
        <w:rPr>
          <w:i w:val="0"/>
          <w:szCs w:val="20"/>
          <w:lang w:val="en-US" w:eastAsia="es-CR"/>
        </w:rPr>
        <w:t>202</w:t>
      </w:r>
      <w:r w:rsidR="00A05179" w:rsidRPr="001558A5">
        <w:rPr>
          <w:i w:val="0"/>
          <w:szCs w:val="20"/>
          <w:lang w:val="en-US" w:eastAsia="es-CR"/>
        </w:rPr>
        <w:t>1</w:t>
      </w:r>
      <w:r w:rsidR="00732FB3" w:rsidRPr="001558A5">
        <w:rPr>
          <w:i w:val="0"/>
          <w:szCs w:val="20"/>
          <w:lang w:val="en-US" w:eastAsia="es-CR"/>
        </w:rPr>
        <w:t>.</w:t>
      </w:r>
      <w:r w:rsidR="009514E4" w:rsidRPr="001558A5">
        <w:rPr>
          <w:rStyle w:val="Refdenotaalpie"/>
          <w:i w:val="0"/>
          <w:lang w:val="en-US" w:eastAsia="es-CR"/>
        </w:rPr>
        <w:footnoteReference w:id="28"/>
      </w:r>
    </w:p>
    <w:p w14:paraId="2789FABF" w14:textId="58EB41D5" w:rsidR="001B5D04" w:rsidRPr="001558A5" w:rsidRDefault="00907543" w:rsidP="00945CE2">
      <w:pPr>
        <w:pStyle w:val="Ttulo1"/>
        <w:rPr>
          <w:lang w:val="en-US"/>
        </w:rPr>
      </w:pPr>
      <w:bookmarkStart w:id="31" w:name="_Toc486693353"/>
      <w:bookmarkStart w:id="32" w:name="_Toc486842769"/>
      <w:bookmarkStart w:id="33" w:name="_Toc486842907"/>
      <w:bookmarkStart w:id="34" w:name="_Toc11166264"/>
      <w:bookmarkStart w:id="35" w:name="_Toc73430034"/>
      <w:r w:rsidRPr="001558A5">
        <w:rPr>
          <w:lang w:val="en-US"/>
        </w:rPr>
        <w:t>III</w:t>
      </w:r>
      <w:r w:rsidRPr="001558A5">
        <w:rPr>
          <w:color w:val="FFFFFF" w:themeColor="background1"/>
          <w:lang w:val="en-US"/>
        </w:rPr>
        <w:t>.</w:t>
      </w:r>
      <w:r w:rsidRPr="001558A5">
        <w:rPr>
          <w:lang w:val="en-US"/>
        </w:rPr>
        <w:br/>
      </w:r>
      <w:r w:rsidR="00871E19" w:rsidRPr="001558A5">
        <w:rPr>
          <w:lang w:val="en-US"/>
        </w:rPr>
        <w:t>JURISDICTION</w:t>
      </w:r>
      <w:bookmarkEnd w:id="31"/>
      <w:bookmarkEnd w:id="32"/>
      <w:bookmarkEnd w:id="33"/>
      <w:bookmarkEnd w:id="34"/>
      <w:bookmarkEnd w:id="35"/>
    </w:p>
    <w:p w14:paraId="736545E7" w14:textId="0FF44F8D" w:rsidR="00FD1869" w:rsidRPr="001558A5" w:rsidRDefault="00871E19" w:rsidP="00945CE2">
      <w:pPr>
        <w:pStyle w:val="Estilo1"/>
        <w:numPr>
          <w:ilvl w:val="0"/>
          <w:numId w:val="2"/>
        </w:numPr>
        <w:tabs>
          <w:tab w:val="left" w:pos="0"/>
        </w:tabs>
        <w:spacing w:before="120"/>
        <w:ind w:left="0" w:right="-4" w:firstLine="0"/>
        <w:rPr>
          <w:i w:val="0"/>
          <w:szCs w:val="20"/>
          <w:lang w:val="en-US"/>
        </w:rPr>
      </w:pPr>
      <w:bookmarkStart w:id="36" w:name="_Toc438132275"/>
      <w:bookmarkStart w:id="37" w:name="_Toc315133577"/>
      <w:bookmarkStart w:id="38" w:name="_Toc316919762"/>
      <w:bookmarkStart w:id="39" w:name="_Toc329703867"/>
      <w:bookmarkStart w:id="40" w:name="_Toc336638904"/>
      <w:bookmarkStart w:id="41" w:name="_Toc359314424"/>
      <w:bookmarkStart w:id="42" w:name="_Toc361671574"/>
      <w:bookmarkStart w:id="43" w:name="_Toc361671994"/>
      <w:bookmarkStart w:id="44" w:name="_Toc361732791"/>
      <w:bookmarkStart w:id="45" w:name="_Toc361732834"/>
      <w:bookmarkStart w:id="46" w:name="_Toc362456865"/>
      <w:bookmarkStart w:id="47" w:name="_Toc365021394"/>
      <w:bookmarkStart w:id="48" w:name="_Toc369076780"/>
      <w:bookmarkStart w:id="49" w:name="_Toc369989372"/>
      <w:bookmarkStart w:id="50" w:name="_Toc369989459"/>
      <w:bookmarkStart w:id="51" w:name="_Toc369989740"/>
      <w:bookmarkStart w:id="52" w:name="_Toc311128165"/>
      <w:bookmarkStart w:id="53" w:name="_Toc311128362"/>
      <w:bookmarkStart w:id="54" w:name="_Toc442082545"/>
      <w:bookmarkStart w:id="55" w:name="_Toc486693357"/>
      <w:bookmarkStart w:id="56" w:name="_Toc486842773"/>
      <w:bookmarkStart w:id="57" w:name="_Toc486842911"/>
      <w:r w:rsidRPr="001558A5">
        <w:rPr>
          <w:i w:val="0"/>
          <w:szCs w:val="20"/>
          <w:lang w:val="en-US" w:eastAsia="es-ES"/>
        </w:rPr>
        <w:t>The Court</w:t>
      </w:r>
      <w:r w:rsidR="00B3320F" w:rsidRPr="001558A5">
        <w:rPr>
          <w:i w:val="0"/>
          <w:szCs w:val="20"/>
          <w:lang w:val="en-US" w:eastAsia="es-ES"/>
        </w:rPr>
        <w:t xml:space="preserve"> has jurisdiction to hear this case, pursuant to</w:t>
      </w:r>
      <w:r w:rsidR="00B74256" w:rsidRPr="001558A5">
        <w:rPr>
          <w:i w:val="0"/>
          <w:szCs w:val="20"/>
          <w:lang w:val="en-US" w:eastAsia="es-ES"/>
        </w:rPr>
        <w:t xml:space="preserve"> Article</w:t>
      </w:r>
      <w:r w:rsidR="00F4501E" w:rsidRPr="001558A5">
        <w:rPr>
          <w:i w:val="0"/>
          <w:szCs w:val="20"/>
          <w:lang w:val="en-US" w:eastAsia="es-ES"/>
        </w:rPr>
        <w:t xml:space="preserve"> 62</w:t>
      </w:r>
      <w:r w:rsidR="00B3320F" w:rsidRPr="001558A5">
        <w:rPr>
          <w:i w:val="0"/>
          <w:szCs w:val="20"/>
          <w:lang w:val="en-US" w:eastAsia="es-ES"/>
        </w:rPr>
        <w:t>(</w:t>
      </w:r>
      <w:r w:rsidR="00F4501E" w:rsidRPr="001558A5">
        <w:rPr>
          <w:i w:val="0"/>
          <w:szCs w:val="20"/>
          <w:lang w:val="en-US" w:eastAsia="es-ES"/>
        </w:rPr>
        <w:t>3</w:t>
      </w:r>
      <w:r w:rsidR="00B3320F" w:rsidRPr="001558A5">
        <w:rPr>
          <w:i w:val="0"/>
          <w:szCs w:val="20"/>
          <w:lang w:val="en-US" w:eastAsia="es-ES"/>
        </w:rPr>
        <w:t>)</w:t>
      </w:r>
      <w:r w:rsidR="00DD4354" w:rsidRPr="001558A5">
        <w:rPr>
          <w:i w:val="0"/>
          <w:szCs w:val="20"/>
          <w:lang w:val="en-US" w:eastAsia="es-ES"/>
        </w:rPr>
        <w:t xml:space="preserve"> of the </w:t>
      </w:r>
      <w:r w:rsidRPr="001558A5">
        <w:rPr>
          <w:i w:val="0"/>
          <w:szCs w:val="20"/>
          <w:lang w:val="en-US" w:eastAsia="es-ES"/>
        </w:rPr>
        <w:t>Convention</w:t>
      </w:r>
      <w:r w:rsidR="002177D7" w:rsidRPr="001558A5">
        <w:rPr>
          <w:i w:val="0"/>
          <w:szCs w:val="20"/>
          <w:lang w:val="en-US" w:eastAsia="es-ES"/>
        </w:rPr>
        <w:t xml:space="preserve"> </w:t>
      </w:r>
      <w:r w:rsidR="00B3320F" w:rsidRPr="001558A5">
        <w:rPr>
          <w:i w:val="0"/>
          <w:szCs w:val="20"/>
          <w:lang w:val="en-US" w:eastAsia="es-ES"/>
        </w:rPr>
        <w:t xml:space="preserve">because Honduras has been a State Party to </w:t>
      </w:r>
      <w:r w:rsidR="00DD4354" w:rsidRPr="001558A5">
        <w:rPr>
          <w:i w:val="0"/>
          <w:szCs w:val="20"/>
          <w:lang w:val="en-US" w:eastAsia="es-ES"/>
        </w:rPr>
        <w:t xml:space="preserve">the </w:t>
      </w:r>
      <w:r w:rsidRPr="001558A5">
        <w:rPr>
          <w:i w:val="0"/>
          <w:szCs w:val="20"/>
          <w:lang w:val="en-US" w:eastAsia="es-ES"/>
        </w:rPr>
        <w:t>Convention</w:t>
      </w:r>
      <w:r w:rsidR="002177D7" w:rsidRPr="001558A5">
        <w:rPr>
          <w:i w:val="0"/>
          <w:szCs w:val="20"/>
          <w:lang w:val="en-US" w:eastAsia="es-ES"/>
        </w:rPr>
        <w:t xml:space="preserve"> </w:t>
      </w:r>
      <w:r w:rsidR="00DF711E" w:rsidRPr="001558A5">
        <w:rPr>
          <w:i w:val="0"/>
          <w:szCs w:val="20"/>
          <w:lang w:val="en-US" w:eastAsia="es-ES"/>
        </w:rPr>
        <w:t>since September 8,</w:t>
      </w:r>
      <w:r w:rsidR="002177D7" w:rsidRPr="001558A5">
        <w:rPr>
          <w:i w:val="0"/>
          <w:szCs w:val="20"/>
          <w:lang w:val="en-US" w:eastAsia="es-ES"/>
        </w:rPr>
        <w:t xml:space="preserve"> 1977</w:t>
      </w:r>
      <w:r w:rsidR="00DF711E" w:rsidRPr="001558A5">
        <w:rPr>
          <w:i w:val="0"/>
          <w:szCs w:val="20"/>
          <w:lang w:val="en-US" w:eastAsia="es-ES"/>
        </w:rPr>
        <w:t>,</w:t>
      </w:r>
      <w:r w:rsidR="00DD4354" w:rsidRPr="001558A5">
        <w:rPr>
          <w:i w:val="0"/>
          <w:szCs w:val="20"/>
          <w:lang w:val="en-US" w:eastAsia="es-ES"/>
        </w:rPr>
        <w:t xml:space="preserve"> and </w:t>
      </w:r>
      <w:r w:rsidR="00DF711E" w:rsidRPr="001558A5">
        <w:rPr>
          <w:i w:val="0"/>
          <w:szCs w:val="20"/>
          <w:lang w:val="en-US" w:eastAsia="es-ES"/>
        </w:rPr>
        <w:t xml:space="preserve">accepted the contentious jurisdiction </w:t>
      </w:r>
      <w:r w:rsidR="00DD4354" w:rsidRPr="001558A5">
        <w:rPr>
          <w:i w:val="0"/>
          <w:szCs w:val="20"/>
          <w:lang w:val="en-US" w:eastAsia="es-ES"/>
        </w:rPr>
        <w:t xml:space="preserve">of the </w:t>
      </w:r>
      <w:r w:rsidRPr="001558A5">
        <w:rPr>
          <w:i w:val="0"/>
          <w:szCs w:val="20"/>
          <w:lang w:val="en-US" w:eastAsia="es-ES"/>
        </w:rPr>
        <w:t>Court</w:t>
      </w:r>
      <w:r w:rsidR="002177D7" w:rsidRPr="001558A5">
        <w:rPr>
          <w:i w:val="0"/>
          <w:szCs w:val="20"/>
          <w:lang w:val="en-US" w:eastAsia="es-ES"/>
        </w:rPr>
        <w:t xml:space="preserve"> </w:t>
      </w:r>
      <w:r w:rsidR="00DF711E" w:rsidRPr="001558A5">
        <w:rPr>
          <w:i w:val="0"/>
          <w:szCs w:val="20"/>
          <w:lang w:val="en-US" w:eastAsia="es-ES"/>
        </w:rPr>
        <w:t>on September 9,</w:t>
      </w:r>
      <w:r w:rsidR="002177D7" w:rsidRPr="001558A5">
        <w:rPr>
          <w:i w:val="0"/>
          <w:szCs w:val="20"/>
          <w:lang w:val="en-US" w:eastAsia="es-ES"/>
        </w:rPr>
        <w:t xml:space="preserve"> 1981</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002177D7" w:rsidRPr="001558A5">
        <w:rPr>
          <w:i w:val="0"/>
          <w:szCs w:val="20"/>
          <w:lang w:val="en-US" w:eastAsia="es-ES"/>
        </w:rPr>
        <w:t>.</w:t>
      </w:r>
    </w:p>
    <w:p w14:paraId="7D576BDE" w14:textId="19937920" w:rsidR="00A63F8D" w:rsidRPr="001558A5" w:rsidRDefault="00A63F8D" w:rsidP="00945CE2">
      <w:pPr>
        <w:pStyle w:val="Ttulo1"/>
        <w:rPr>
          <w:caps w:val="0"/>
          <w:lang w:val="en-US"/>
        </w:rPr>
      </w:pPr>
      <w:bookmarkStart w:id="58" w:name="_Toc73430035"/>
      <w:r w:rsidRPr="001558A5">
        <w:rPr>
          <w:caps w:val="0"/>
          <w:lang w:val="en-US"/>
        </w:rPr>
        <w:t>IV</w:t>
      </w:r>
      <w:r w:rsidR="006B1380" w:rsidRPr="001558A5">
        <w:rPr>
          <w:caps w:val="0"/>
          <w:color w:val="FFFFFF" w:themeColor="background1"/>
          <w:lang w:val="en-US"/>
        </w:rPr>
        <w:t>.</w:t>
      </w:r>
      <w:r w:rsidRPr="001558A5">
        <w:rPr>
          <w:caps w:val="0"/>
          <w:lang w:val="en-US"/>
        </w:rPr>
        <w:br/>
      </w:r>
      <w:r w:rsidR="00871E19" w:rsidRPr="001558A5">
        <w:rPr>
          <w:caps w:val="0"/>
          <w:lang w:val="en-US"/>
        </w:rPr>
        <w:t>ACKNOWLEDGEMENT OF RESPONSIBILITY</w:t>
      </w:r>
      <w:bookmarkEnd w:id="58"/>
    </w:p>
    <w:p w14:paraId="1DD21804" w14:textId="22C73950" w:rsidR="00A63F8D" w:rsidRPr="001558A5" w:rsidRDefault="00DD4354" w:rsidP="00945CE2">
      <w:pPr>
        <w:pStyle w:val="Ttulo2"/>
        <w:numPr>
          <w:ilvl w:val="0"/>
          <w:numId w:val="8"/>
        </w:numPr>
        <w:spacing w:before="240" w:after="240"/>
        <w:ind w:left="714" w:hanging="357"/>
        <w:rPr>
          <w:rFonts w:ascii="Verdana" w:hAnsi="Verdana"/>
          <w:bCs w:val="0"/>
          <w:i/>
          <w:color w:val="000000" w:themeColor="text1"/>
          <w:sz w:val="20"/>
          <w:szCs w:val="20"/>
          <w:lang w:val="en-US"/>
        </w:rPr>
      </w:pPr>
      <w:bookmarkStart w:id="59" w:name="_Toc59089810"/>
      <w:bookmarkStart w:id="60" w:name="_Toc73430036"/>
      <w:r w:rsidRPr="001558A5">
        <w:rPr>
          <w:rFonts w:ascii="Verdana" w:hAnsi="Verdana"/>
          <w:bCs w:val="0"/>
          <w:i/>
          <w:color w:val="000000" w:themeColor="text1"/>
          <w:sz w:val="20"/>
          <w:szCs w:val="20"/>
          <w:lang w:val="en-US"/>
        </w:rPr>
        <w:t>Acknowledgement by the State</w:t>
      </w:r>
      <w:r w:rsidR="00A63F8D" w:rsidRPr="001558A5">
        <w:rPr>
          <w:rFonts w:ascii="Verdana" w:hAnsi="Verdana"/>
          <w:bCs w:val="0"/>
          <w:i/>
          <w:color w:val="000000" w:themeColor="text1"/>
          <w:sz w:val="20"/>
          <w:szCs w:val="20"/>
          <w:lang w:val="en-US"/>
        </w:rPr>
        <w:t xml:space="preserve"> </w:t>
      </w:r>
      <w:r w:rsidR="000F74E0" w:rsidRPr="001558A5">
        <w:rPr>
          <w:rFonts w:ascii="Verdana" w:hAnsi="Verdana"/>
          <w:bCs w:val="0"/>
          <w:i/>
          <w:color w:val="000000" w:themeColor="text1"/>
          <w:sz w:val="20"/>
          <w:szCs w:val="20"/>
          <w:lang w:val="en-US"/>
        </w:rPr>
        <w:t xml:space="preserve">and </w:t>
      </w:r>
      <w:r w:rsidR="00871E19" w:rsidRPr="001558A5">
        <w:rPr>
          <w:rFonts w:ascii="Verdana" w:hAnsi="Verdana"/>
          <w:bCs w:val="0"/>
          <w:i/>
          <w:color w:val="000000" w:themeColor="text1"/>
          <w:sz w:val="20"/>
          <w:szCs w:val="20"/>
          <w:lang w:val="en-US"/>
        </w:rPr>
        <w:t>observations</w:t>
      </w:r>
      <w:bookmarkEnd w:id="59"/>
      <w:r w:rsidRPr="001558A5">
        <w:rPr>
          <w:rFonts w:ascii="Verdana" w:hAnsi="Verdana"/>
          <w:bCs w:val="0"/>
          <w:i/>
          <w:color w:val="000000" w:themeColor="text1"/>
          <w:sz w:val="20"/>
          <w:szCs w:val="20"/>
          <w:lang w:val="en-US"/>
        </w:rPr>
        <w:t xml:space="preserve"> of the representatives and </w:t>
      </w:r>
      <w:r w:rsidR="00871E19" w:rsidRPr="001558A5">
        <w:rPr>
          <w:rFonts w:ascii="Verdana" w:hAnsi="Verdana"/>
          <w:bCs w:val="0"/>
          <w:i/>
          <w:color w:val="000000" w:themeColor="text1"/>
          <w:sz w:val="20"/>
          <w:szCs w:val="20"/>
          <w:lang w:val="en-US"/>
        </w:rPr>
        <w:t>the Commission</w:t>
      </w:r>
      <w:bookmarkEnd w:id="60"/>
    </w:p>
    <w:p w14:paraId="1FF00861" w14:textId="3B9B98D1" w:rsidR="00A63F8D" w:rsidRPr="001558A5" w:rsidRDefault="00DF711E" w:rsidP="00DF711E">
      <w:pPr>
        <w:pStyle w:val="Prrafodelista"/>
        <w:numPr>
          <w:ilvl w:val="0"/>
          <w:numId w:val="2"/>
        </w:numPr>
        <w:spacing w:before="120" w:after="120"/>
        <w:ind w:left="0" w:firstLine="0"/>
        <w:contextualSpacing w:val="0"/>
        <w:rPr>
          <w:szCs w:val="20"/>
          <w:lang w:val="en-US"/>
        </w:rPr>
      </w:pPr>
      <w:r w:rsidRPr="001558A5">
        <w:rPr>
          <w:szCs w:val="20"/>
          <w:lang w:val="en-US"/>
        </w:rPr>
        <w:t>During the</w:t>
      </w:r>
      <w:r w:rsidR="00A63F8D" w:rsidRPr="001558A5">
        <w:rPr>
          <w:szCs w:val="20"/>
          <w:lang w:val="en-US"/>
        </w:rPr>
        <w:t xml:space="preserve"> </w:t>
      </w:r>
      <w:r w:rsidR="00907FBD" w:rsidRPr="001558A5">
        <w:rPr>
          <w:szCs w:val="20"/>
          <w:lang w:val="en-US"/>
        </w:rPr>
        <w:t>public hearing</w:t>
      </w:r>
      <w:r w:rsidR="00A63F8D" w:rsidRPr="001558A5">
        <w:rPr>
          <w:szCs w:val="20"/>
          <w:lang w:val="en-US"/>
        </w:rPr>
        <w:t xml:space="preserve">, </w:t>
      </w:r>
      <w:r w:rsidR="00DD4354" w:rsidRPr="001558A5">
        <w:rPr>
          <w:szCs w:val="20"/>
          <w:lang w:val="en-US"/>
        </w:rPr>
        <w:t xml:space="preserve">the </w:t>
      </w:r>
      <w:r w:rsidR="00DD4354" w:rsidRPr="001558A5">
        <w:rPr>
          <w:b/>
          <w:bCs/>
          <w:i/>
          <w:iCs/>
          <w:szCs w:val="20"/>
          <w:lang w:val="en-US"/>
        </w:rPr>
        <w:t>State</w:t>
      </w:r>
      <w:r w:rsidR="00A63F8D" w:rsidRPr="001558A5">
        <w:rPr>
          <w:szCs w:val="20"/>
          <w:lang w:val="en-US"/>
        </w:rPr>
        <w:t xml:space="preserve"> indic</w:t>
      </w:r>
      <w:r w:rsidRPr="001558A5">
        <w:rPr>
          <w:szCs w:val="20"/>
          <w:lang w:val="en-US"/>
        </w:rPr>
        <w:t xml:space="preserve">ated that “based on the principle of good faith, it </w:t>
      </w:r>
      <w:r w:rsidR="00CB7A91" w:rsidRPr="001558A5">
        <w:rPr>
          <w:szCs w:val="20"/>
          <w:lang w:val="en-US"/>
        </w:rPr>
        <w:t>recogniz</w:t>
      </w:r>
      <w:r w:rsidRPr="001558A5">
        <w:rPr>
          <w:szCs w:val="20"/>
          <w:lang w:val="en-US"/>
        </w:rPr>
        <w:t xml:space="preserve">e[d] the rights established in the American Convention and officially made […] a partial </w:t>
      </w:r>
      <w:r w:rsidR="009F36EF" w:rsidRPr="001558A5">
        <w:rPr>
          <w:szCs w:val="20"/>
          <w:lang w:val="en-US"/>
        </w:rPr>
        <w:t>acquiescence</w:t>
      </w:r>
      <w:r w:rsidRPr="001558A5">
        <w:rPr>
          <w:szCs w:val="20"/>
          <w:lang w:val="en-US"/>
        </w:rPr>
        <w:t xml:space="preserve"> because the case was not investigated </w:t>
      </w:r>
      <w:r w:rsidR="00CB7A91" w:rsidRPr="001558A5">
        <w:rPr>
          <w:szCs w:val="20"/>
          <w:lang w:val="en-US"/>
        </w:rPr>
        <w:t xml:space="preserve">at the time, </w:t>
      </w:r>
      <w:r w:rsidRPr="001558A5">
        <w:rPr>
          <w:szCs w:val="20"/>
          <w:lang w:val="en-US"/>
        </w:rPr>
        <w:t>in 2009; […] consequently, it w[</w:t>
      </w:r>
      <w:proofErr w:type="spellStart"/>
      <w:r w:rsidRPr="001558A5">
        <w:rPr>
          <w:szCs w:val="20"/>
          <w:lang w:val="en-US"/>
        </w:rPr>
        <w:t>ould</w:t>
      </w:r>
      <w:proofErr w:type="spellEnd"/>
      <w:r w:rsidRPr="001558A5">
        <w:rPr>
          <w:szCs w:val="20"/>
          <w:lang w:val="en-US"/>
        </w:rPr>
        <w:t xml:space="preserve">] not present arguments in that regard.” In its final arguments, the State indicated that “as established in Article 62 of the Rules of Procedure of the Court […], the State of Honduras, guided by the principle of good faith, has presented a partial acquiescence specifically with regard to the arguments relating to the violation of the rights </w:t>
      </w:r>
      <w:r w:rsidR="00B732DD" w:rsidRPr="001558A5">
        <w:rPr>
          <w:szCs w:val="20"/>
          <w:lang w:val="en-US"/>
        </w:rPr>
        <w:t>established in</w:t>
      </w:r>
      <w:r w:rsidR="00A63F8D" w:rsidRPr="001558A5">
        <w:rPr>
          <w:szCs w:val="20"/>
          <w:lang w:val="en-US"/>
        </w:rPr>
        <w:t xml:space="preserve"> </w:t>
      </w:r>
      <w:r w:rsidR="00871E19" w:rsidRPr="001558A5">
        <w:rPr>
          <w:szCs w:val="20"/>
          <w:lang w:val="en-US"/>
        </w:rPr>
        <w:t>Articles</w:t>
      </w:r>
      <w:r w:rsidR="00A63F8D" w:rsidRPr="001558A5">
        <w:rPr>
          <w:szCs w:val="20"/>
          <w:lang w:val="en-US"/>
        </w:rPr>
        <w:t xml:space="preserve"> </w:t>
      </w:r>
      <w:r w:rsidR="00B732DD" w:rsidRPr="001558A5">
        <w:rPr>
          <w:szCs w:val="20"/>
          <w:lang w:val="en-US"/>
        </w:rPr>
        <w:t>8(1)</w:t>
      </w:r>
      <w:r w:rsidR="00DD4354" w:rsidRPr="001558A5">
        <w:rPr>
          <w:szCs w:val="20"/>
          <w:lang w:val="en-US"/>
        </w:rPr>
        <w:t xml:space="preserve"> and </w:t>
      </w:r>
      <w:r w:rsidR="00A63F8D" w:rsidRPr="001558A5">
        <w:rPr>
          <w:szCs w:val="20"/>
          <w:lang w:val="en-US"/>
        </w:rPr>
        <w:t>2</w:t>
      </w:r>
      <w:r w:rsidR="00B732DD" w:rsidRPr="001558A5">
        <w:rPr>
          <w:szCs w:val="20"/>
          <w:lang w:val="en-US"/>
        </w:rPr>
        <w:t>5(1)</w:t>
      </w:r>
      <w:r w:rsidR="00DD4354" w:rsidRPr="001558A5">
        <w:rPr>
          <w:szCs w:val="20"/>
          <w:lang w:val="en-US"/>
        </w:rPr>
        <w:t xml:space="preserve"> of the </w:t>
      </w:r>
      <w:r w:rsidR="00871E19" w:rsidRPr="001558A5">
        <w:rPr>
          <w:szCs w:val="20"/>
          <w:lang w:val="en-US"/>
        </w:rPr>
        <w:t>Convention</w:t>
      </w:r>
      <w:r w:rsidR="00CB7A91" w:rsidRPr="001558A5">
        <w:rPr>
          <w:szCs w:val="20"/>
          <w:lang w:val="en-US"/>
        </w:rPr>
        <w:t>,</w:t>
      </w:r>
      <w:r w:rsidRPr="001558A5">
        <w:rPr>
          <w:szCs w:val="20"/>
          <w:lang w:val="en-US"/>
        </w:rPr>
        <w:t xml:space="preserve"> thereby recognizing that, at the time that the regrettable act occurred, the competent </w:t>
      </w:r>
      <w:r w:rsidR="00CB7A91" w:rsidRPr="001558A5">
        <w:rPr>
          <w:szCs w:val="20"/>
          <w:lang w:val="en-US"/>
        </w:rPr>
        <w:t>authorities</w:t>
      </w:r>
      <w:r w:rsidRPr="001558A5">
        <w:rPr>
          <w:szCs w:val="20"/>
          <w:lang w:val="en-US"/>
        </w:rPr>
        <w:t xml:space="preserve"> did not conduct the </w:t>
      </w:r>
      <w:r w:rsidR="00CB7A91" w:rsidRPr="001558A5">
        <w:rPr>
          <w:szCs w:val="20"/>
          <w:lang w:val="en-US"/>
        </w:rPr>
        <w:t>required</w:t>
      </w:r>
      <w:r w:rsidRPr="001558A5">
        <w:rPr>
          <w:szCs w:val="20"/>
          <w:lang w:val="en-US"/>
        </w:rPr>
        <w:t xml:space="preserve"> investigation into the unlawful acts and clarify the death of </w:t>
      </w:r>
      <w:r w:rsidR="00A63F8D" w:rsidRPr="001558A5">
        <w:rPr>
          <w:szCs w:val="20"/>
          <w:lang w:val="en-US"/>
        </w:rPr>
        <w:t>Vicky Hernández</w:t>
      </w:r>
      <w:r w:rsidRPr="001558A5">
        <w:rPr>
          <w:szCs w:val="20"/>
          <w:lang w:val="en-US"/>
        </w:rPr>
        <w:t>.</w:t>
      </w:r>
      <w:r w:rsidR="00A63F8D" w:rsidRPr="001558A5">
        <w:rPr>
          <w:szCs w:val="20"/>
          <w:lang w:val="en-US"/>
        </w:rPr>
        <w:t>”</w:t>
      </w:r>
    </w:p>
    <w:p w14:paraId="567E2A2F" w14:textId="47E71056" w:rsidR="00A63F8D" w:rsidRPr="001558A5" w:rsidRDefault="00DF711E" w:rsidP="00CF254B">
      <w:pPr>
        <w:pStyle w:val="Prrafodelista"/>
        <w:numPr>
          <w:ilvl w:val="0"/>
          <w:numId w:val="2"/>
        </w:numPr>
        <w:spacing w:before="120" w:after="120"/>
        <w:ind w:left="0" w:firstLine="0"/>
        <w:contextualSpacing w:val="0"/>
        <w:rPr>
          <w:szCs w:val="20"/>
          <w:lang w:val="en-US"/>
        </w:rPr>
      </w:pPr>
      <w:r w:rsidRPr="001558A5">
        <w:rPr>
          <w:szCs w:val="20"/>
          <w:lang w:val="en-US"/>
        </w:rPr>
        <w:t>The</w:t>
      </w:r>
      <w:r w:rsidR="00DD4354" w:rsidRPr="001558A5">
        <w:rPr>
          <w:szCs w:val="20"/>
          <w:lang w:val="en-US"/>
        </w:rPr>
        <w:t xml:space="preserve"> </w:t>
      </w:r>
      <w:r w:rsidR="00DD4354" w:rsidRPr="001558A5">
        <w:rPr>
          <w:b/>
          <w:bCs/>
          <w:i/>
          <w:iCs/>
          <w:szCs w:val="20"/>
          <w:lang w:val="en-US"/>
        </w:rPr>
        <w:t>representatives</w:t>
      </w:r>
      <w:r w:rsidR="00A63F8D" w:rsidRPr="001558A5">
        <w:rPr>
          <w:szCs w:val="20"/>
          <w:lang w:val="en-US"/>
        </w:rPr>
        <w:t xml:space="preserve"> </w:t>
      </w:r>
      <w:r w:rsidR="00CF254B" w:rsidRPr="001558A5">
        <w:rPr>
          <w:szCs w:val="20"/>
          <w:lang w:val="en-US"/>
        </w:rPr>
        <w:t>emphasized the contradiction revealed by the State b</w:t>
      </w:r>
      <w:r w:rsidR="0010500E" w:rsidRPr="001558A5">
        <w:rPr>
          <w:szCs w:val="20"/>
          <w:lang w:val="en-US"/>
        </w:rPr>
        <w:t>ecause it</w:t>
      </w:r>
      <w:r w:rsidR="00CF254B" w:rsidRPr="001558A5">
        <w:rPr>
          <w:szCs w:val="20"/>
          <w:lang w:val="en-US"/>
        </w:rPr>
        <w:t xml:space="preserve"> bas</w:t>
      </w:r>
      <w:r w:rsidR="0010500E" w:rsidRPr="001558A5">
        <w:rPr>
          <w:szCs w:val="20"/>
          <w:lang w:val="en-US"/>
        </w:rPr>
        <w:t>ed</w:t>
      </w:r>
      <w:r w:rsidR="00CF254B" w:rsidRPr="001558A5">
        <w:rPr>
          <w:szCs w:val="20"/>
          <w:lang w:val="en-US"/>
        </w:rPr>
        <w:t xml:space="preserve"> its categorical rejection of the possible participation of state agents in the death of Vicky Hernández on the investigation, while at the same time acknowledging that this was not conducted in </w:t>
      </w:r>
      <w:r w:rsidR="0010500E" w:rsidRPr="001558A5">
        <w:rPr>
          <w:szCs w:val="20"/>
          <w:lang w:val="en-US"/>
        </w:rPr>
        <w:t>keeping</w:t>
      </w:r>
      <w:r w:rsidR="00CF254B" w:rsidRPr="001558A5">
        <w:rPr>
          <w:szCs w:val="20"/>
          <w:lang w:val="en-US"/>
        </w:rPr>
        <w:t xml:space="preserve"> with the inter-American standards. They added that there was sufficient evidence to presume that an unlawful death at the hands of state agents had occurred </w:t>
      </w:r>
      <w:r w:rsidR="0010500E" w:rsidRPr="001558A5">
        <w:rPr>
          <w:szCs w:val="20"/>
          <w:lang w:val="en-US"/>
        </w:rPr>
        <w:t xml:space="preserve">in the case of Vicky Hernández, </w:t>
      </w:r>
      <w:r w:rsidR="00CF254B" w:rsidRPr="001558A5">
        <w:rPr>
          <w:szCs w:val="20"/>
          <w:lang w:val="en-US"/>
        </w:rPr>
        <w:t xml:space="preserve">and that the burden of proof in this regard should be reversed and fall on the State. </w:t>
      </w:r>
      <w:r w:rsidR="0010500E" w:rsidRPr="001558A5">
        <w:rPr>
          <w:szCs w:val="20"/>
          <w:lang w:val="en-US"/>
        </w:rPr>
        <w:t>They also argued that</w:t>
      </w:r>
      <w:r w:rsidR="00CF254B" w:rsidRPr="001558A5">
        <w:rPr>
          <w:szCs w:val="20"/>
          <w:lang w:val="en-US"/>
        </w:rPr>
        <w:t xml:space="preserve">, by accepting its international responsibility for </w:t>
      </w:r>
      <w:r w:rsidR="00B74256" w:rsidRPr="001558A5">
        <w:rPr>
          <w:szCs w:val="20"/>
          <w:lang w:val="en-US"/>
        </w:rPr>
        <w:t>the violation of</w:t>
      </w:r>
      <w:r w:rsidR="00AD6ABF" w:rsidRPr="001558A5">
        <w:rPr>
          <w:szCs w:val="20"/>
          <w:lang w:val="en-US"/>
        </w:rPr>
        <w:t xml:space="preserve"> </w:t>
      </w:r>
      <w:r w:rsidR="00CF254B" w:rsidRPr="001558A5">
        <w:rPr>
          <w:szCs w:val="20"/>
          <w:lang w:val="en-US"/>
        </w:rPr>
        <w:t>the rights to</w:t>
      </w:r>
      <w:r w:rsidR="00A63F8D" w:rsidRPr="001558A5">
        <w:rPr>
          <w:szCs w:val="20"/>
          <w:lang w:val="en-US"/>
        </w:rPr>
        <w:t xml:space="preserve"> </w:t>
      </w:r>
      <w:r w:rsidR="00B732DD" w:rsidRPr="001558A5">
        <w:rPr>
          <w:szCs w:val="20"/>
          <w:lang w:val="en-US"/>
        </w:rPr>
        <w:t>judicial guarantees</w:t>
      </w:r>
      <w:r w:rsidR="00CF254B" w:rsidRPr="001558A5">
        <w:rPr>
          <w:szCs w:val="20"/>
          <w:lang w:val="en-US"/>
        </w:rPr>
        <w:t xml:space="preserve"> and protection</w:t>
      </w:r>
      <w:r w:rsidR="00A63F8D" w:rsidRPr="001558A5">
        <w:rPr>
          <w:szCs w:val="20"/>
          <w:lang w:val="en-US"/>
        </w:rPr>
        <w:t xml:space="preserve"> </w:t>
      </w:r>
      <w:r w:rsidR="00CF254B" w:rsidRPr="001558A5">
        <w:rPr>
          <w:szCs w:val="20"/>
          <w:lang w:val="en-US"/>
        </w:rPr>
        <w:t>recognized in</w:t>
      </w:r>
      <w:r w:rsidR="00A63F8D" w:rsidRPr="001558A5">
        <w:rPr>
          <w:szCs w:val="20"/>
          <w:lang w:val="en-US"/>
        </w:rPr>
        <w:t xml:space="preserve"> </w:t>
      </w:r>
      <w:r w:rsidR="00871E19" w:rsidRPr="001558A5">
        <w:rPr>
          <w:szCs w:val="20"/>
          <w:lang w:val="en-US"/>
        </w:rPr>
        <w:t>Articles</w:t>
      </w:r>
      <w:r w:rsidR="00A63F8D" w:rsidRPr="001558A5">
        <w:rPr>
          <w:szCs w:val="20"/>
          <w:lang w:val="en-US"/>
        </w:rPr>
        <w:t xml:space="preserve"> </w:t>
      </w:r>
      <w:r w:rsidR="00B732DD" w:rsidRPr="001558A5">
        <w:rPr>
          <w:szCs w:val="20"/>
          <w:lang w:val="en-US"/>
        </w:rPr>
        <w:t>8(1)</w:t>
      </w:r>
      <w:r w:rsidR="00DD4354" w:rsidRPr="001558A5">
        <w:rPr>
          <w:szCs w:val="20"/>
          <w:lang w:val="en-US"/>
        </w:rPr>
        <w:t xml:space="preserve"> and </w:t>
      </w:r>
      <w:r w:rsidR="00A63F8D" w:rsidRPr="001558A5">
        <w:rPr>
          <w:szCs w:val="20"/>
          <w:lang w:val="en-US"/>
        </w:rPr>
        <w:t>2</w:t>
      </w:r>
      <w:r w:rsidR="00B732DD" w:rsidRPr="001558A5">
        <w:rPr>
          <w:szCs w:val="20"/>
          <w:lang w:val="en-US"/>
        </w:rPr>
        <w:t>5(1)</w:t>
      </w:r>
      <w:r w:rsidR="00DD4354" w:rsidRPr="001558A5">
        <w:rPr>
          <w:szCs w:val="20"/>
          <w:lang w:val="en-US"/>
        </w:rPr>
        <w:t xml:space="preserve"> of the </w:t>
      </w:r>
      <w:r w:rsidR="00871E19" w:rsidRPr="001558A5">
        <w:rPr>
          <w:szCs w:val="20"/>
          <w:lang w:val="en-US"/>
        </w:rPr>
        <w:t>American Convention</w:t>
      </w:r>
      <w:r w:rsidR="00A63F8D" w:rsidRPr="001558A5">
        <w:rPr>
          <w:szCs w:val="20"/>
          <w:lang w:val="en-US"/>
        </w:rPr>
        <w:t xml:space="preserve">, </w:t>
      </w:r>
      <w:r w:rsidR="00DD4354" w:rsidRPr="001558A5">
        <w:rPr>
          <w:szCs w:val="20"/>
          <w:lang w:val="en-US"/>
        </w:rPr>
        <w:t xml:space="preserve">the </w:t>
      </w:r>
      <w:r w:rsidR="00B74256" w:rsidRPr="001558A5">
        <w:rPr>
          <w:szCs w:val="20"/>
          <w:lang w:val="en-US"/>
        </w:rPr>
        <w:t>State of Honduras</w:t>
      </w:r>
      <w:r w:rsidR="00A63F8D" w:rsidRPr="001558A5">
        <w:rPr>
          <w:szCs w:val="20"/>
          <w:lang w:val="en-US"/>
        </w:rPr>
        <w:t xml:space="preserve"> </w:t>
      </w:r>
      <w:r w:rsidR="00CF254B" w:rsidRPr="001558A5">
        <w:rPr>
          <w:szCs w:val="20"/>
          <w:lang w:val="en-US"/>
        </w:rPr>
        <w:t xml:space="preserve">was tacitly admitting that it had failed to investigate adequately the possible participation of state agents in </w:t>
      </w:r>
      <w:r w:rsidR="00A63F8D" w:rsidRPr="001558A5">
        <w:rPr>
          <w:szCs w:val="20"/>
          <w:lang w:val="en-US"/>
        </w:rPr>
        <w:t>Vicky Hernández</w:t>
      </w:r>
      <w:r w:rsidR="0010500E" w:rsidRPr="001558A5">
        <w:rPr>
          <w:szCs w:val="20"/>
          <w:lang w:val="en-US"/>
        </w:rPr>
        <w:t>’s death</w:t>
      </w:r>
      <w:r w:rsidR="00A63F8D" w:rsidRPr="001558A5">
        <w:rPr>
          <w:szCs w:val="20"/>
          <w:lang w:val="en-US"/>
        </w:rPr>
        <w:t>.</w:t>
      </w:r>
      <w:r w:rsidR="00411B4F" w:rsidRPr="001558A5">
        <w:rPr>
          <w:szCs w:val="20"/>
          <w:lang w:val="en-US"/>
        </w:rPr>
        <w:t xml:space="preserve"> </w:t>
      </w:r>
      <w:r w:rsidR="00CF254B" w:rsidRPr="001558A5">
        <w:rPr>
          <w:szCs w:val="20"/>
          <w:lang w:val="en-US"/>
        </w:rPr>
        <w:t>During the public hearing, t</w:t>
      </w:r>
      <w:r w:rsidR="00871E19" w:rsidRPr="001558A5">
        <w:rPr>
          <w:szCs w:val="20"/>
          <w:lang w:val="en-US"/>
        </w:rPr>
        <w:t xml:space="preserve">he </w:t>
      </w:r>
      <w:r w:rsidR="00871E19" w:rsidRPr="001558A5">
        <w:rPr>
          <w:b/>
          <w:bCs/>
          <w:i/>
          <w:iCs/>
          <w:szCs w:val="20"/>
          <w:lang w:val="en-US"/>
        </w:rPr>
        <w:t>Commission</w:t>
      </w:r>
      <w:r w:rsidR="003311E3" w:rsidRPr="001558A5">
        <w:rPr>
          <w:szCs w:val="20"/>
          <w:lang w:val="en-US"/>
        </w:rPr>
        <w:t xml:space="preserve"> men</w:t>
      </w:r>
      <w:r w:rsidR="00CF254B" w:rsidRPr="001558A5">
        <w:rPr>
          <w:szCs w:val="20"/>
          <w:lang w:val="en-US"/>
        </w:rPr>
        <w:t xml:space="preserve">tioned that it “appreciate[d] the State’s partial acquiescence because this ma[de] a positive contribution to obtaining justice for </w:t>
      </w:r>
      <w:r w:rsidR="003311E3" w:rsidRPr="001558A5">
        <w:rPr>
          <w:szCs w:val="20"/>
          <w:lang w:val="en-US"/>
        </w:rPr>
        <w:t>Vicky Hernández”</w:t>
      </w:r>
      <w:r w:rsidR="00CF254B" w:rsidRPr="001558A5">
        <w:rPr>
          <w:szCs w:val="20"/>
          <w:lang w:val="en-US"/>
        </w:rPr>
        <w:t xml:space="preserve">; however, it indicated that, despite this, </w:t>
      </w:r>
      <w:r w:rsidR="003311E3" w:rsidRPr="001558A5">
        <w:rPr>
          <w:szCs w:val="20"/>
          <w:lang w:val="en-US"/>
        </w:rPr>
        <w:t>“</w:t>
      </w:r>
      <w:r w:rsidR="00DD4354" w:rsidRPr="001558A5">
        <w:rPr>
          <w:szCs w:val="20"/>
          <w:lang w:val="en-US"/>
        </w:rPr>
        <w:t>the State</w:t>
      </w:r>
      <w:r w:rsidR="003311E3" w:rsidRPr="001558A5">
        <w:rPr>
          <w:szCs w:val="20"/>
          <w:lang w:val="en-US"/>
        </w:rPr>
        <w:t xml:space="preserve"> </w:t>
      </w:r>
      <w:r w:rsidR="00CF254B" w:rsidRPr="001558A5">
        <w:rPr>
          <w:szCs w:val="20"/>
          <w:lang w:val="en-US"/>
        </w:rPr>
        <w:t xml:space="preserve">ha[d] not addressed other human rights violations that had been described in the </w:t>
      </w:r>
      <w:r w:rsidR="00EB397C" w:rsidRPr="001558A5">
        <w:rPr>
          <w:szCs w:val="20"/>
          <w:lang w:val="en-US"/>
        </w:rPr>
        <w:t>Merits Report</w:t>
      </w:r>
      <w:r w:rsidR="003311E3" w:rsidRPr="001558A5">
        <w:rPr>
          <w:szCs w:val="20"/>
          <w:lang w:val="en-US"/>
        </w:rPr>
        <w:t xml:space="preserve"> […] </w:t>
      </w:r>
      <w:r w:rsidR="00CF254B" w:rsidRPr="001558A5">
        <w:rPr>
          <w:szCs w:val="20"/>
          <w:lang w:val="en-US"/>
        </w:rPr>
        <w:t>such as</w:t>
      </w:r>
      <w:r w:rsidR="003311E3" w:rsidRPr="001558A5">
        <w:rPr>
          <w:szCs w:val="20"/>
          <w:lang w:val="en-US"/>
        </w:rPr>
        <w:t xml:space="preserve"> […]</w:t>
      </w:r>
      <w:r w:rsidR="00CF254B" w:rsidRPr="001558A5">
        <w:rPr>
          <w:szCs w:val="20"/>
          <w:lang w:val="en-US"/>
        </w:rPr>
        <w:t xml:space="preserve"> the lack of </w:t>
      </w:r>
      <w:r w:rsidR="00B3320F" w:rsidRPr="001558A5">
        <w:rPr>
          <w:szCs w:val="20"/>
          <w:lang w:val="en-US"/>
        </w:rPr>
        <w:t>due diligence</w:t>
      </w:r>
      <w:r w:rsidR="00CF254B" w:rsidRPr="001558A5">
        <w:rPr>
          <w:szCs w:val="20"/>
          <w:lang w:val="en-US"/>
        </w:rPr>
        <w:t xml:space="preserve">, and also including the violations </w:t>
      </w:r>
      <w:r w:rsidR="0010500E" w:rsidRPr="001558A5">
        <w:rPr>
          <w:szCs w:val="20"/>
          <w:lang w:val="en-US"/>
        </w:rPr>
        <w:t>under</w:t>
      </w:r>
      <w:r w:rsidR="00CF254B" w:rsidRPr="001558A5">
        <w:rPr>
          <w:szCs w:val="20"/>
          <w:lang w:val="en-US"/>
        </w:rPr>
        <w:t xml:space="preserve"> </w:t>
      </w:r>
      <w:r w:rsidR="00871E19" w:rsidRPr="001558A5">
        <w:rPr>
          <w:szCs w:val="20"/>
          <w:lang w:val="en-US"/>
        </w:rPr>
        <w:t>the Convention</w:t>
      </w:r>
      <w:r w:rsidR="003311E3"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003311E3" w:rsidRPr="001558A5">
        <w:rPr>
          <w:szCs w:val="20"/>
          <w:lang w:val="en-US"/>
        </w:rPr>
        <w:t xml:space="preserve"> do </w:t>
      </w:r>
      <w:proofErr w:type="spellStart"/>
      <w:r w:rsidR="003311E3" w:rsidRPr="001558A5">
        <w:rPr>
          <w:szCs w:val="20"/>
          <w:lang w:val="en-US"/>
        </w:rPr>
        <w:t>Par</w:t>
      </w:r>
      <w:r w:rsidR="00AC07DD" w:rsidRPr="001558A5">
        <w:rPr>
          <w:szCs w:val="20"/>
          <w:lang w:val="en-US"/>
        </w:rPr>
        <w:t>á</w:t>
      </w:r>
      <w:proofErr w:type="spellEnd"/>
      <w:r w:rsidR="00CF254B" w:rsidRPr="001558A5">
        <w:rPr>
          <w:szCs w:val="20"/>
          <w:lang w:val="en-US"/>
        </w:rPr>
        <w:t>.</w:t>
      </w:r>
      <w:r w:rsidR="003311E3" w:rsidRPr="001558A5">
        <w:rPr>
          <w:szCs w:val="20"/>
          <w:lang w:val="en-US"/>
        </w:rPr>
        <w:t>”</w:t>
      </w:r>
    </w:p>
    <w:p w14:paraId="412528B6" w14:textId="0C90A313" w:rsidR="00A63F8D" w:rsidRPr="001558A5" w:rsidRDefault="00871E19" w:rsidP="00945CE2">
      <w:pPr>
        <w:pStyle w:val="Ttulo2"/>
        <w:numPr>
          <w:ilvl w:val="0"/>
          <w:numId w:val="8"/>
        </w:numPr>
        <w:spacing w:before="240" w:after="240"/>
        <w:ind w:left="714" w:hanging="357"/>
        <w:rPr>
          <w:rFonts w:ascii="Verdana" w:hAnsi="Verdana"/>
          <w:bCs w:val="0"/>
          <w:i/>
          <w:color w:val="000000" w:themeColor="text1"/>
          <w:sz w:val="20"/>
          <w:szCs w:val="20"/>
          <w:lang w:val="en-US"/>
        </w:rPr>
      </w:pPr>
      <w:bookmarkStart w:id="61" w:name="_Toc73430037"/>
      <w:r w:rsidRPr="001558A5">
        <w:rPr>
          <w:rFonts w:ascii="Verdana" w:hAnsi="Verdana"/>
          <w:bCs w:val="0"/>
          <w:i/>
          <w:color w:val="000000" w:themeColor="text1"/>
          <w:sz w:val="20"/>
          <w:szCs w:val="20"/>
          <w:lang w:val="en-US"/>
        </w:rPr>
        <w:t>Considerations</w:t>
      </w:r>
      <w:r w:rsidR="00DD4354" w:rsidRPr="001558A5">
        <w:rPr>
          <w:rFonts w:ascii="Verdana" w:hAnsi="Verdana"/>
          <w:bCs w:val="0"/>
          <w:i/>
          <w:color w:val="000000" w:themeColor="text1"/>
          <w:sz w:val="20"/>
          <w:szCs w:val="20"/>
          <w:lang w:val="en-US"/>
        </w:rPr>
        <w:t xml:space="preserve"> of the </w:t>
      </w:r>
      <w:r w:rsidRPr="001558A5">
        <w:rPr>
          <w:rFonts w:ascii="Verdana" w:hAnsi="Verdana"/>
          <w:bCs w:val="0"/>
          <w:i/>
          <w:color w:val="000000" w:themeColor="text1"/>
          <w:sz w:val="20"/>
          <w:szCs w:val="20"/>
          <w:lang w:val="en-US"/>
        </w:rPr>
        <w:t>Court</w:t>
      </w:r>
      <w:bookmarkEnd w:id="61"/>
    </w:p>
    <w:p w14:paraId="4997AD93" w14:textId="6A15452D" w:rsidR="00A63F8D" w:rsidRPr="001558A5" w:rsidRDefault="00CF254B" w:rsidP="00945CE2">
      <w:pPr>
        <w:pStyle w:val="Prrafodelista"/>
        <w:numPr>
          <w:ilvl w:val="0"/>
          <w:numId w:val="2"/>
        </w:numPr>
        <w:spacing w:before="120" w:after="120"/>
        <w:ind w:left="0" w:firstLine="0"/>
        <w:contextualSpacing w:val="0"/>
        <w:rPr>
          <w:szCs w:val="20"/>
          <w:lang w:val="en-US"/>
        </w:rPr>
      </w:pPr>
      <w:r w:rsidRPr="001558A5">
        <w:rPr>
          <w:szCs w:val="20"/>
          <w:lang w:val="en-US"/>
        </w:rPr>
        <w:t>Pursuant to</w:t>
      </w:r>
      <w:r w:rsidR="00A63F8D" w:rsidRPr="001558A5">
        <w:rPr>
          <w:szCs w:val="20"/>
          <w:lang w:val="en-US"/>
        </w:rPr>
        <w:t xml:space="preserve"> </w:t>
      </w:r>
      <w:r w:rsidR="00871E19" w:rsidRPr="001558A5">
        <w:rPr>
          <w:szCs w:val="20"/>
          <w:lang w:val="en-US"/>
        </w:rPr>
        <w:t>Articles</w:t>
      </w:r>
      <w:r w:rsidR="00A63F8D" w:rsidRPr="001558A5">
        <w:rPr>
          <w:szCs w:val="20"/>
          <w:lang w:val="en-US"/>
        </w:rPr>
        <w:t xml:space="preserve"> 62</w:t>
      </w:r>
      <w:r w:rsidR="00DD4354" w:rsidRPr="001558A5">
        <w:rPr>
          <w:szCs w:val="20"/>
          <w:lang w:val="en-US"/>
        </w:rPr>
        <w:t xml:space="preserve"> and </w:t>
      </w:r>
      <w:r w:rsidR="00A63F8D" w:rsidRPr="001558A5">
        <w:rPr>
          <w:szCs w:val="20"/>
          <w:lang w:val="en-US"/>
        </w:rPr>
        <w:t>64</w:t>
      </w:r>
      <w:r w:rsidR="00DD4354" w:rsidRPr="001558A5">
        <w:rPr>
          <w:szCs w:val="20"/>
          <w:lang w:val="en-US"/>
        </w:rPr>
        <w:t xml:space="preserve"> of the </w:t>
      </w:r>
      <w:r w:rsidR="00871E19" w:rsidRPr="001558A5">
        <w:rPr>
          <w:szCs w:val="20"/>
          <w:lang w:val="en-US"/>
        </w:rPr>
        <w:t>Rules of Procedure</w:t>
      </w:r>
      <w:r w:rsidR="00DD4354" w:rsidRPr="001558A5">
        <w:rPr>
          <w:szCs w:val="20"/>
          <w:lang w:val="en-US"/>
        </w:rPr>
        <w:t xml:space="preserve"> and </w:t>
      </w:r>
      <w:r w:rsidRPr="001558A5">
        <w:rPr>
          <w:szCs w:val="20"/>
          <w:lang w:val="en-US"/>
        </w:rPr>
        <w:t xml:space="preserve">in exercise of its authority </w:t>
      </w:r>
      <w:r w:rsidR="0010500E" w:rsidRPr="001558A5">
        <w:rPr>
          <w:szCs w:val="20"/>
          <w:lang w:val="en-US"/>
        </w:rPr>
        <w:t>to provide</w:t>
      </w:r>
      <w:r w:rsidRPr="001558A5">
        <w:rPr>
          <w:szCs w:val="20"/>
          <w:lang w:val="en-US"/>
        </w:rPr>
        <w:t xml:space="preserve"> international judicial protection </w:t>
      </w:r>
      <w:r w:rsidR="0010500E" w:rsidRPr="001558A5">
        <w:rPr>
          <w:szCs w:val="20"/>
          <w:lang w:val="en-US"/>
        </w:rPr>
        <w:t>for</w:t>
      </w:r>
      <w:r w:rsidRPr="001558A5">
        <w:rPr>
          <w:szCs w:val="20"/>
          <w:lang w:val="en-US"/>
        </w:rPr>
        <w:t xml:space="preserve"> human rights, a matter of international public order, it is incumbent</w:t>
      </w:r>
      <w:r w:rsidR="00B43A52" w:rsidRPr="001558A5">
        <w:rPr>
          <w:szCs w:val="20"/>
          <w:lang w:val="en-US"/>
        </w:rPr>
        <w:t xml:space="preserve"> </w:t>
      </w:r>
      <w:r w:rsidRPr="001558A5">
        <w:rPr>
          <w:szCs w:val="20"/>
          <w:lang w:val="en-US"/>
        </w:rPr>
        <w:t>on this Court to ensure that acts of acknowledgement of responsibility are ac</w:t>
      </w:r>
      <w:r w:rsidR="00B43A52" w:rsidRPr="001558A5">
        <w:rPr>
          <w:szCs w:val="20"/>
          <w:lang w:val="en-US"/>
        </w:rPr>
        <w:t>c</w:t>
      </w:r>
      <w:r w:rsidRPr="001558A5">
        <w:rPr>
          <w:szCs w:val="20"/>
          <w:lang w:val="en-US"/>
        </w:rPr>
        <w:t>eptable for the purposes of the inter-American system.</w:t>
      </w:r>
      <w:r w:rsidR="00A63F8D" w:rsidRPr="001558A5">
        <w:rPr>
          <w:rStyle w:val="Refdenotaalpie"/>
          <w:lang w:val="en-US"/>
        </w:rPr>
        <w:footnoteReference w:id="29"/>
      </w:r>
      <w:r w:rsidRPr="001558A5">
        <w:rPr>
          <w:szCs w:val="20"/>
          <w:lang w:val="en-US"/>
        </w:rPr>
        <w:t xml:space="preserve"> The Court will now examine the situation </w:t>
      </w:r>
      <w:r w:rsidR="00B43A52" w:rsidRPr="001558A5">
        <w:rPr>
          <w:szCs w:val="20"/>
          <w:lang w:val="en-US"/>
        </w:rPr>
        <w:t xml:space="preserve">in this specific case. </w:t>
      </w:r>
    </w:p>
    <w:p w14:paraId="5AEAC9FA" w14:textId="790DDDD9" w:rsidR="00A63F8D" w:rsidRPr="001558A5" w:rsidRDefault="00A63F8D" w:rsidP="00945CE2">
      <w:pPr>
        <w:pStyle w:val="Ttulo3"/>
        <w:spacing w:before="240" w:after="240"/>
        <w:ind w:left="357" w:firstLine="709"/>
        <w:rPr>
          <w:b w:val="0"/>
          <w:snapToGrid w:val="0"/>
          <w:spacing w:val="-2"/>
          <w:szCs w:val="20"/>
          <w:lang w:val="en-US" w:eastAsia="es-ES"/>
        </w:rPr>
      </w:pPr>
      <w:bookmarkStart w:id="62" w:name="_Toc73430038"/>
      <w:r w:rsidRPr="001558A5">
        <w:rPr>
          <w:b w:val="0"/>
          <w:snapToGrid w:val="0"/>
          <w:spacing w:val="-2"/>
          <w:szCs w:val="20"/>
          <w:lang w:val="en-US" w:eastAsia="es-ES"/>
        </w:rPr>
        <w:t xml:space="preserve">B.1. </w:t>
      </w:r>
      <w:r w:rsidR="0010500E" w:rsidRPr="001558A5">
        <w:rPr>
          <w:b w:val="0"/>
          <w:snapToGrid w:val="0"/>
          <w:spacing w:val="-2"/>
          <w:szCs w:val="20"/>
          <w:lang w:val="en-US" w:eastAsia="es-ES"/>
        </w:rPr>
        <w:t>The</w:t>
      </w:r>
      <w:r w:rsidR="00B43A52" w:rsidRPr="001558A5">
        <w:rPr>
          <w:b w:val="0"/>
          <w:snapToGrid w:val="0"/>
          <w:spacing w:val="-2"/>
          <w:szCs w:val="20"/>
          <w:lang w:val="en-US" w:eastAsia="es-ES"/>
        </w:rPr>
        <w:t xml:space="preserve"> facts</w:t>
      </w:r>
      <w:bookmarkEnd w:id="62"/>
    </w:p>
    <w:p w14:paraId="7C535309" w14:textId="4B69751E" w:rsidR="00A63F8D" w:rsidRPr="001558A5" w:rsidRDefault="00B43A52" w:rsidP="00945CE2">
      <w:pPr>
        <w:pStyle w:val="Prrafodelista"/>
        <w:numPr>
          <w:ilvl w:val="0"/>
          <w:numId w:val="2"/>
        </w:numPr>
        <w:spacing w:before="120" w:after="120"/>
        <w:ind w:left="0" w:firstLine="0"/>
        <w:contextualSpacing w:val="0"/>
        <w:rPr>
          <w:szCs w:val="20"/>
          <w:lang w:val="en-US"/>
        </w:rPr>
      </w:pPr>
      <w:r w:rsidRPr="001558A5">
        <w:rPr>
          <w:szCs w:val="20"/>
          <w:lang w:val="en-US"/>
        </w:rPr>
        <w:t xml:space="preserve">In light of the State’s partial acknowledgement of responsibility, the Court concludes that the dispute has ceased with regard to the facts relating to the investigation to clarify the death of </w:t>
      </w:r>
      <w:r w:rsidR="00A63F8D" w:rsidRPr="001558A5">
        <w:rPr>
          <w:szCs w:val="20"/>
          <w:lang w:val="en-US"/>
        </w:rPr>
        <w:t>Vicky Hernández.</w:t>
      </w:r>
    </w:p>
    <w:p w14:paraId="23A56A98" w14:textId="47891BB5" w:rsidR="00A63F8D" w:rsidRPr="001558A5" w:rsidRDefault="00B43A52" w:rsidP="00945CE2">
      <w:pPr>
        <w:pStyle w:val="Prrafodelista"/>
        <w:numPr>
          <w:ilvl w:val="0"/>
          <w:numId w:val="2"/>
        </w:numPr>
        <w:spacing w:before="120" w:after="120"/>
        <w:ind w:left="0" w:firstLine="0"/>
        <w:contextualSpacing w:val="0"/>
        <w:rPr>
          <w:szCs w:val="20"/>
          <w:lang w:val="en-US"/>
        </w:rPr>
      </w:pPr>
      <w:r w:rsidRPr="001558A5">
        <w:rPr>
          <w:szCs w:val="20"/>
          <w:lang w:val="en-US"/>
        </w:rPr>
        <w:t>However, the dispute subsists with regard to the events that led to the death of</w:t>
      </w:r>
      <w:r w:rsidR="00676CDB" w:rsidRPr="001558A5">
        <w:rPr>
          <w:szCs w:val="20"/>
          <w:lang w:val="en-US"/>
        </w:rPr>
        <w:t xml:space="preserve"> Vicky Hernández, as</w:t>
      </w:r>
      <w:r w:rsidRPr="001558A5">
        <w:rPr>
          <w:szCs w:val="20"/>
          <w:lang w:val="en-US"/>
        </w:rPr>
        <w:t xml:space="preserve"> well as those that refer to the alleged prejudice-based discrimination against  </w:t>
      </w:r>
      <w:r w:rsidR="00676CDB" w:rsidRPr="001558A5">
        <w:rPr>
          <w:szCs w:val="20"/>
          <w:lang w:val="en-US"/>
        </w:rPr>
        <w:t>LGB</w:t>
      </w:r>
      <w:r w:rsidR="001A6E0E" w:rsidRPr="001558A5">
        <w:rPr>
          <w:szCs w:val="20"/>
          <w:lang w:val="en-US"/>
        </w:rPr>
        <w:t>T</w:t>
      </w:r>
      <w:r w:rsidR="00676CDB" w:rsidRPr="001558A5">
        <w:rPr>
          <w:szCs w:val="20"/>
          <w:lang w:val="en-US"/>
        </w:rPr>
        <w:t>I</w:t>
      </w:r>
      <w:r w:rsidRPr="001558A5">
        <w:rPr>
          <w:szCs w:val="20"/>
          <w:lang w:val="en-US"/>
        </w:rPr>
        <w:t xml:space="preserve"> persons by the Honduran authorities responsible for conducting the investigation</w:t>
      </w:r>
      <w:r w:rsidR="00676CDB" w:rsidRPr="001558A5">
        <w:rPr>
          <w:szCs w:val="20"/>
          <w:lang w:val="en-US"/>
        </w:rPr>
        <w:t>.</w:t>
      </w:r>
    </w:p>
    <w:p w14:paraId="1BF71978" w14:textId="212D8E66" w:rsidR="00A63F8D" w:rsidRPr="001558A5" w:rsidRDefault="00A63F8D" w:rsidP="00945CE2">
      <w:pPr>
        <w:pStyle w:val="Ttulo3"/>
        <w:spacing w:before="240" w:after="240"/>
        <w:ind w:left="357" w:firstLine="709"/>
        <w:rPr>
          <w:b w:val="0"/>
          <w:snapToGrid w:val="0"/>
          <w:spacing w:val="-2"/>
          <w:szCs w:val="20"/>
          <w:lang w:val="en-US" w:eastAsia="es-ES"/>
        </w:rPr>
      </w:pPr>
      <w:bookmarkStart w:id="63" w:name="_Toc73430039"/>
      <w:r w:rsidRPr="001558A5">
        <w:rPr>
          <w:b w:val="0"/>
          <w:snapToGrid w:val="0"/>
          <w:spacing w:val="-2"/>
          <w:szCs w:val="20"/>
          <w:lang w:val="en-US" w:eastAsia="es-ES"/>
        </w:rPr>
        <w:t xml:space="preserve">B.2. </w:t>
      </w:r>
      <w:r w:rsidR="0010500E" w:rsidRPr="001558A5">
        <w:rPr>
          <w:b w:val="0"/>
          <w:snapToGrid w:val="0"/>
          <w:spacing w:val="-2"/>
          <w:szCs w:val="20"/>
          <w:lang w:val="en-US" w:eastAsia="es-ES"/>
        </w:rPr>
        <w:t>The</w:t>
      </w:r>
      <w:r w:rsidR="00B43A52" w:rsidRPr="001558A5">
        <w:rPr>
          <w:b w:val="0"/>
          <w:snapToGrid w:val="0"/>
          <w:spacing w:val="-2"/>
          <w:szCs w:val="20"/>
          <w:lang w:val="en-US" w:eastAsia="es-ES"/>
        </w:rPr>
        <w:t xml:space="preserve"> legal claims</w:t>
      </w:r>
      <w:bookmarkEnd w:id="63"/>
    </w:p>
    <w:p w14:paraId="7198D8AC" w14:textId="3A30BD36" w:rsidR="00A63F8D" w:rsidRPr="001558A5" w:rsidRDefault="00B43A52" w:rsidP="00945CE2">
      <w:pPr>
        <w:pStyle w:val="Prrafodelista"/>
        <w:numPr>
          <w:ilvl w:val="0"/>
          <w:numId w:val="2"/>
        </w:numPr>
        <w:spacing w:before="120" w:after="120"/>
        <w:ind w:left="0" w:firstLine="0"/>
        <w:contextualSpacing w:val="0"/>
        <w:rPr>
          <w:lang w:val="en-US"/>
        </w:rPr>
      </w:pPr>
      <w:r w:rsidRPr="001558A5">
        <w:rPr>
          <w:lang w:val="en-US"/>
        </w:rPr>
        <w:t xml:space="preserve">The Court considers that the State’s acknowledgement constitutes an acquiescence to the legal claims </w:t>
      </w:r>
      <w:r w:rsidR="00DD4354" w:rsidRPr="001558A5">
        <w:rPr>
          <w:lang w:val="en-US"/>
        </w:rPr>
        <w:t xml:space="preserve">of the </w:t>
      </w:r>
      <w:r w:rsidR="00871E19" w:rsidRPr="001558A5">
        <w:rPr>
          <w:lang w:val="en-US"/>
        </w:rPr>
        <w:t>Commission</w:t>
      </w:r>
      <w:r w:rsidR="00DD4354" w:rsidRPr="001558A5">
        <w:rPr>
          <w:lang w:val="en-US"/>
        </w:rPr>
        <w:t xml:space="preserve"> and the representatives</w:t>
      </w:r>
      <w:r w:rsidR="00A63F8D" w:rsidRPr="001558A5">
        <w:rPr>
          <w:lang w:val="en-US"/>
        </w:rPr>
        <w:t xml:space="preserve"> </w:t>
      </w:r>
      <w:r w:rsidRPr="001558A5">
        <w:rPr>
          <w:lang w:val="en-US"/>
        </w:rPr>
        <w:t xml:space="preserve">concerning the violation of the rights to </w:t>
      </w:r>
      <w:r w:rsidR="00B732DD" w:rsidRPr="001558A5">
        <w:rPr>
          <w:lang w:val="en-US"/>
        </w:rPr>
        <w:t>judicial guarantees</w:t>
      </w:r>
      <w:r w:rsidR="00DD4354" w:rsidRPr="001558A5">
        <w:rPr>
          <w:lang w:val="en-US"/>
        </w:rPr>
        <w:t xml:space="preserve"> and </w:t>
      </w:r>
      <w:r w:rsidR="00B732DD" w:rsidRPr="001558A5">
        <w:rPr>
          <w:lang w:val="en-US"/>
        </w:rPr>
        <w:t>judicial protection</w:t>
      </w:r>
      <w:r w:rsidR="00A63F8D" w:rsidRPr="001558A5">
        <w:rPr>
          <w:lang w:val="en-US"/>
        </w:rPr>
        <w:t xml:space="preserve"> </w:t>
      </w:r>
      <w:r w:rsidRPr="001558A5">
        <w:rPr>
          <w:lang w:val="en-US"/>
        </w:rPr>
        <w:t>contained in</w:t>
      </w:r>
      <w:r w:rsidR="00A63F8D" w:rsidRPr="001558A5">
        <w:rPr>
          <w:lang w:val="en-US"/>
        </w:rPr>
        <w:t xml:space="preserve"> </w:t>
      </w:r>
      <w:r w:rsidR="00871E19" w:rsidRPr="001558A5">
        <w:rPr>
          <w:lang w:val="en-US"/>
        </w:rPr>
        <w:t>Articles</w:t>
      </w:r>
      <w:r w:rsidR="00A63F8D" w:rsidRPr="001558A5">
        <w:rPr>
          <w:lang w:val="en-US"/>
        </w:rPr>
        <w:t xml:space="preserve"> 8</w:t>
      </w:r>
      <w:r w:rsidR="00DD4354" w:rsidRPr="001558A5">
        <w:rPr>
          <w:lang w:val="en-US"/>
        </w:rPr>
        <w:t xml:space="preserve"> and </w:t>
      </w:r>
      <w:r w:rsidR="00A63F8D" w:rsidRPr="001558A5">
        <w:rPr>
          <w:lang w:val="en-US"/>
        </w:rPr>
        <w:t>25</w:t>
      </w:r>
      <w:r w:rsidR="00DD4354" w:rsidRPr="001558A5">
        <w:rPr>
          <w:lang w:val="en-US"/>
        </w:rPr>
        <w:t xml:space="preserve"> of the </w:t>
      </w:r>
      <w:r w:rsidR="00871E19" w:rsidRPr="001558A5">
        <w:rPr>
          <w:lang w:val="en-US"/>
        </w:rPr>
        <w:t>Convention</w:t>
      </w:r>
      <w:r w:rsidR="002C6508" w:rsidRPr="001558A5">
        <w:rPr>
          <w:lang w:val="en-US"/>
        </w:rPr>
        <w:t>,</w:t>
      </w:r>
      <w:r w:rsidR="00A63F8D" w:rsidRPr="001558A5">
        <w:rPr>
          <w:lang w:val="en-US"/>
        </w:rPr>
        <w:t xml:space="preserve"> </w:t>
      </w:r>
      <w:r w:rsidRPr="001558A5">
        <w:rPr>
          <w:lang w:val="en-US"/>
        </w:rPr>
        <w:t>in relation to</w:t>
      </w:r>
      <w:r w:rsidR="00A63F8D" w:rsidRPr="001558A5">
        <w:rPr>
          <w:lang w:val="en-US"/>
        </w:rPr>
        <w:t xml:space="preserve"> </w:t>
      </w:r>
      <w:r w:rsidRPr="001558A5">
        <w:rPr>
          <w:lang w:val="en-US"/>
        </w:rPr>
        <w:t>Articles 1(1)</w:t>
      </w:r>
      <w:r w:rsidR="00DD4354" w:rsidRPr="001558A5">
        <w:rPr>
          <w:lang w:val="en-US"/>
        </w:rPr>
        <w:t xml:space="preserve"> and </w:t>
      </w:r>
      <w:r w:rsidR="00A63F8D" w:rsidRPr="001558A5">
        <w:rPr>
          <w:lang w:val="en-US"/>
        </w:rPr>
        <w:t xml:space="preserve">2 </w:t>
      </w:r>
      <w:r w:rsidRPr="001558A5">
        <w:rPr>
          <w:lang w:val="en-US"/>
        </w:rPr>
        <w:t>of this instrument, specifically in relation to the investigation into the death of</w:t>
      </w:r>
      <w:r w:rsidR="00A63F8D" w:rsidRPr="001558A5">
        <w:rPr>
          <w:lang w:val="en-US"/>
        </w:rPr>
        <w:t xml:space="preserve"> Vicky Hernández</w:t>
      </w:r>
      <w:r w:rsidR="00410443" w:rsidRPr="001558A5">
        <w:rPr>
          <w:lang w:val="en-US"/>
        </w:rPr>
        <w:t>,</w:t>
      </w:r>
      <w:r w:rsidR="00A63F8D" w:rsidRPr="001558A5">
        <w:rPr>
          <w:lang w:val="en-US"/>
        </w:rPr>
        <w:t xml:space="preserve"> </w:t>
      </w:r>
      <w:r w:rsidRPr="001558A5">
        <w:rPr>
          <w:lang w:val="en-US"/>
        </w:rPr>
        <w:t>to the detriment of her family.</w:t>
      </w:r>
      <w:r w:rsidR="00A63F8D" w:rsidRPr="001558A5">
        <w:rPr>
          <w:rStyle w:val="Refdenotaalpie"/>
          <w:lang w:val="en-US"/>
        </w:rPr>
        <w:footnoteReference w:id="30"/>
      </w:r>
    </w:p>
    <w:p w14:paraId="0FBD34A6" w14:textId="27375BAA" w:rsidR="00A63F8D" w:rsidRPr="001558A5" w:rsidRDefault="00B43A52" w:rsidP="00945CE2">
      <w:pPr>
        <w:pStyle w:val="Prrafodelista"/>
        <w:numPr>
          <w:ilvl w:val="0"/>
          <w:numId w:val="2"/>
        </w:numPr>
        <w:spacing w:before="120" w:after="120"/>
        <w:ind w:left="0" w:firstLine="0"/>
        <w:contextualSpacing w:val="0"/>
        <w:rPr>
          <w:lang w:val="en-US"/>
        </w:rPr>
      </w:pPr>
      <w:r w:rsidRPr="001558A5">
        <w:rPr>
          <w:lang w:val="en-US"/>
        </w:rPr>
        <w:t xml:space="preserve">Nevertheless, the Court notes that the acknowledgement of responsibility made  by the State does not refer to the alleged violation of </w:t>
      </w:r>
      <w:r w:rsidR="00871E19" w:rsidRPr="001558A5">
        <w:rPr>
          <w:lang w:val="en-US"/>
        </w:rPr>
        <w:t>Article</w:t>
      </w:r>
      <w:r w:rsidR="00A63F8D" w:rsidRPr="001558A5">
        <w:rPr>
          <w:lang w:val="en-US"/>
        </w:rPr>
        <w:t xml:space="preserve"> 7</w:t>
      </w:r>
      <w:r w:rsidRPr="001558A5">
        <w:rPr>
          <w:lang w:val="en-US"/>
        </w:rPr>
        <w:t>(</w:t>
      </w:r>
      <w:r w:rsidR="00A63F8D" w:rsidRPr="001558A5">
        <w:rPr>
          <w:lang w:val="en-US"/>
        </w:rPr>
        <w:t>b)</w:t>
      </w:r>
      <w:r w:rsidR="00DD4354" w:rsidRPr="001558A5">
        <w:rPr>
          <w:lang w:val="en-US"/>
        </w:rPr>
        <w:t xml:space="preserve"> of the </w:t>
      </w:r>
      <w:r w:rsidR="00B732DD" w:rsidRPr="001558A5">
        <w:rPr>
          <w:lang w:val="en-US"/>
        </w:rPr>
        <w:t>Inter-American Convention for the Prevention, Punishment and Eradication of Violence against Women</w:t>
      </w:r>
      <w:r w:rsidR="00B50F03" w:rsidRPr="001558A5">
        <w:rPr>
          <w:lang w:val="en-US"/>
        </w:rPr>
        <w:t xml:space="preserve"> (</w:t>
      </w:r>
      <w:r w:rsidR="00871E19" w:rsidRPr="001558A5">
        <w:rPr>
          <w:lang w:val="en-US"/>
        </w:rPr>
        <w:t>hereinafter</w:t>
      </w:r>
      <w:r w:rsidR="00B50F03" w:rsidRPr="001558A5">
        <w:rPr>
          <w:lang w:val="en-US"/>
        </w:rPr>
        <w:t xml:space="preserve"> </w:t>
      </w:r>
      <w:r w:rsidRPr="001558A5">
        <w:rPr>
          <w:lang w:val="en-US"/>
        </w:rPr>
        <w:t>also</w:t>
      </w:r>
      <w:r w:rsidR="00B50F03" w:rsidRPr="001558A5">
        <w:rPr>
          <w:lang w:val="en-US"/>
        </w:rPr>
        <w:t xml:space="preserve"> “</w:t>
      </w:r>
      <w:r w:rsidRPr="001558A5">
        <w:rPr>
          <w:lang w:val="en-US"/>
        </w:rPr>
        <w:t xml:space="preserve">the Convention </w:t>
      </w:r>
      <w:r w:rsidR="00B74256" w:rsidRPr="001558A5">
        <w:rPr>
          <w:lang w:val="en-US"/>
        </w:rPr>
        <w:t xml:space="preserve">of </w:t>
      </w:r>
      <w:proofErr w:type="spellStart"/>
      <w:r w:rsidR="00B74256" w:rsidRPr="001558A5">
        <w:rPr>
          <w:lang w:val="en-US"/>
        </w:rPr>
        <w:t>Belém</w:t>
      </w:r>
      <w:proofErr w:type="spellEnd"/>
      <w:r w:rsidR="00A63F8D" w:rsidRPr="001558A5">
        <w:rPr>
          <w:lang w:val="en-US"/>
        </w:rPr>
        <w:t xml:space="preserve"> do </w:t>
      </w:r>
      <w:proofErr w:type="spellStart"/>
      <w:r w:rsidR="00A63F8D" w:rsidRPr="001558A5">
        <w:rPr>
          <w:lang w:val="en-US"/>
        </w:rPr>
        <w:t>Pará</w:t>
      </w:r>
      <w:proofErr w:type="spellEnd"/>
      <w:r w:rsidR="00B50F03" w:rsidRPr="001558A5">
        <w:rPr>
          <w:lang w:val="en-US"/>
        </w:rPr>
        <w:t>”)</w:t>
      </w:r>
      <w:r w:rsidRPr="001558A5">
        <w:rPr>
          <w:lang w:val="en-US"/>
        </w:rPr>
        <w:t xml:space="preserve"> to the detriment of </w:t>
      </w:r>
      <w:r w:rsidR="00A63F8D" w:rsidRPr="001558A5">
        <w:rPr>
          <w:lang w:val="en-US"/>
        </w:rPr>
        <w:t>Vicky Hernández</w:t>
      </w:r>
      <w:r w:rsidRPr="001558A5">
        <w:rPr>
          <w:lang w:val="en-US"/>
        </w:rPr>
        <w:t>’s family based on the investigations relating to her death. Consequently, the dispute continues with regard to the alleged violation of that Convention in the context of the investigations into her death.</w:t>
      </w:r>
    </w:p>
    <w:p w14:paraId="68998903" w14:textId="34791E41" w:rsidR="00A63F8D" w:rsidRPr="001558A5" w:rsidRDefault="00B43A52" w:rsidP="00945CE2">
      <w:pPr>
        <w:pStyle w:val="Prrafodelista"/>
        <w:numPr>
          <w:ilvl w:val="0"/>
          <w:numId w:val="2"/>
        </w:numPr>
        <w:spacing w:before="120" w:after="120"/>
        <w:ind w:left="0" w:firstLine="0"/>
        <w:contextualSpacing w:val="0"/>
        <w:rPr>
          <w:lang w:val="en-US"/>
        </w:rPr>
      </w:pPr>
      <w:r w:rsidRPr="001558A5">
        <w:rPr>
          <w:lang w:val="en-US"/>
        </w:rPr>
        <w:t>Likewise, the Court finds that the dispute continues with regard to</w:t>
      </w:r>
      <w:r w:rsidR="00A63F8D" w:rsidRPr="001558A5">
        <w:rPr>
          <w:lang w:val="en-US"/>
        </w:rPr>
        <w:t>:</w:t>
      </w:r>
    </w:p>
    <w:p w14:paraId="652A2795" w14:textId="6C1C7117" w:rsidR="00A63F8D" w:rsidRPr="001558A5" w:rsidRDefault="00B43A52" w:rsidP="00B43A52">
      <w:pPr>
        <w:pStyle w:val="Prrafodelista"/>
        <w:numPr>
          <w:ilvl w:val="1"/>
          <w:numId w:val="2"/>
        </w:numPr>
        <w:spacing w:before="120" w:after="120"/>
        <w:ind w:left="709"/>
        <w:contextualSpacing w:val="0"/>
        <w:rPr>
          <w:lang w:val="en-US"/>
        </w:rPr>
      </w:pPr>
      <w:r w:rsidRPr="001558A5">
        <w:rPr>
          <w:lang w:val="en-US"/>
        </w:rPr>
        <w:t>the alleged violation</w:t>
      </w:r>
      <w:r w:rsidR="00A63F8D" w:rsidRPr="001558A5">
        <w:rPr>
          <w:lang w:val="en-US"/>
        </w:rPr>
        <w:t xml:space="preserve"> </w:t>
      </w:r>
      <w:r w:rsidRPr="001558A5">
        <w:rPr>
          <w:lang w:val="en-US"/>
        </w:rPr>
        <w:t>of the rights to life,</w:t>
      </w:r>
      <w:r w:rsidR="00A63F8D" w:rsidRPr="001558A5">
        <w:rPr>
          <w:lang w:val="en-US"/>
        </w:rPr>
        <w:t xml:space="preserve"> </w:t>
      </w:r>
      <w:r w:rsidR="00B732DD" w:rsidRPr="001558A5">
        <w:rPr>
          <w:lang w:val="en-US"/>
        </w:rPr>
        <w:t>personal integrity</w:t>
      </w:r>
      <w:r w:rsidR="00A63F8D" w:rsidRPr="001558A5">
        <w:rPr>
          <w:lang w:val="en-US"/>
        </w:rPr>
        <w:t xml:space="preserve">, </w:t>
      </w:r>
      <w:r w:rsidRPr="001558A5">
        <w:rPr>
          <w:lang w:val="en-US"/>
        </w:rPr>
        <w:t xml:space="preserve">privacy, </w:t>
      </w:r>
      <w:r w:rsidR="00B732DD" w:rsidRPr="001558A5">
        <w:rPr>
          <w:lang w:val="en-US"/>
        </w:rPr>
        <w:t>freedom of expression</w:t>
      </w:r>
      <w:r w:rsidR="00A63F8D" w:rsidRPr="001558A5">
        <w:rPr>
          <w:lang w:val="en-US"/>
        </w:rPr>
        <w:t xml:space="preserve">, </w:t>
      </w:r>
      <w:r w:rsidR="00B732DD" w:rsidRPr="001558A5">
        <w:rPr>
          <w:lang w:val="en-US"/>
        </w:rPr>
        <w:t>equality and non-discrimination</w:t>
      </w:r>
      <w:r w:rsidR="00A63F8D" w:rsidRPr="001558A5">
        <w:rPr>
          <w:lang w:val="en-US"/>
        </w:rPr>
        <w:t>,</w:t>
      </w:r>
      <w:r w:rsidR="00DD4354" w:rsidRPr="001558A5">
        <w:rPr>
          <w:lang w:val="en-US"/>
        </w:rPr>
        <w:t xml:space="preserve"> and</w:t>
      </w:r>
      <w:r w:rsidRPr="001558A5">
        <w:rPr>
          <w:lang w:val="en-US"/>
        </w:rPr>
        <w:t xml:space="preserve"> a life free of violence</w:t>
      </w:r>
      <w:r w:rsidR="00A63F8D" w:rsidRPr="001558A5">
        <w:rPr>
          <w:lang w:val="en-US"/>
        </w:rPr>
        <w:t xml:space="preserve"> (</w:t>
      </w:r>
      <w:r w:rsidR="00871E19" w:rsidRPr="001558A5">
        <w:rPr>
          <w:lang w:val="en-US"/>
        </w:rPr>
        <w:t>Article</w:t>
      </w:r>
      <w:r w:rsidR="00A63F8D" w:rsidRPr="001558A5">
        <w:rPr>
          <w:lang w:val="en-US"/>
        </w:rPr>
        <w:t xml:space="preserve">s </w:t>
      </w:r>
      <w:r w:rsidR="00B732DD" w:rsidRPr="001558A5">
        <w:rPr>
          <w:lang w:val="en-US"/>
        </w:rPr>
        <w:t>4(1)</w:t>
      </w:r>
      <w:r w:rsidR="00A63F8D" w:rsidRPr="001558A5">
        <w:rPr>
          <w:lang w:val="en-US"/>
        </w:rPr>
        <w:t xml:space="preserve">, </w:t>
      </w:r>
      <w:r w:rsidR="00B732DD" w:rsidRPr="001558A5">
        <w:rPr>
          <w:lang w:val="en-US"/>
        </w:rPr>
        <w:t>5(1)</w:t>
      </w:r>
      <w:r w:rsidR="00A63F8D" w:rsidRPr="001558A5">
        <w:rPr>
          <w:lang w:val="en-US"/>
        </w:rPr>
        <w:t>, 11, 13, 24</w:t>
      </w:r>
      <w:r w:rsidR="00DD4354" w:rsidRPr="001558A5">
        <w:rPr>
          <w:lang w:val="en-US"/>
        </w:rPr>
        <w:t xml:space="preserve"> and </w:t>
      </w:r>
      <w:r w:rsidR="00A63F8D" w:rsidRPr="001558A5">
        <w:rPr>
          <w:lang w:val="en-US"/>
        </w:rPr>
        <w:t>1</w:t>
      </w:r>
      <w:r w:rsidRPr="001558A5">
        <w:rPr>
          <w:lang w:val="en-US"/>
        </w:rPr>
        <w:t>(</w:t>
      </w:r>
      <w:r w:rsidR="00A63F8D" w:rsidRPr="001558A5">
        <w:rPr>
          <w:lang w:val="en-US"/>
        </w:rPr>
        <w:t>1</w:t>
      </w:r>
      <w:r w:rsidRPr="001558A5">
        <w:rPr>
          <w:lang w:val="en-US"/>
        </w:rPr>
        <w:t>)</w:t>
      </w:r>
      <w:r w:rsidR="00DD4354" w:rsidRPr="001558A5">
        <w:rPr>
          <w:lang w:val="en-US"/>
        </w:rPr>
        <w:t xml:space="preserve"> of the </w:t>
      </w:r>
      <w:r w:rsidR="00871E19" w:rsidRPr="001558A5">
        <w:rPr>
          <w:lang w:val="en-US"/>
        </w:rPr>
        <w:t>American Convention</w:t>
      </w:r>
      <w:r w:rsidR="00DD4354" w:rsidRPr="001558A5">
        <w:rPr>
          <w:lang w:val="en-US"/>
        </w:rPr>
        <w:t xml:space="preserve"> and </w:t>
      </w:r>
      <w:r w:rsidR="00A63F8D" w:rsidRPr="001558A5">
        <w:rPr>
          <w:lang w:val="en-US"/>
        </w:rPr>
        <w:t>7</w:t>
      </w:r>
      <w:r w:rsidRPr="001558A5">
        <w:rPr>
          <w:lang w:val="en-US"/>
        </w:rPr>
        <w:t>(</w:t>
      </w:r>
      <w:r w:rsidR="00A63F8D" w:rsidRPr="001558A5">
        <w:rPr>
          <w:lang w:val="en-US"/>
        </w:rPr>
        <w:t>a)</w:t>
      </w:r>
      <w:r w:rsidR="00DD4354" w:rsidRPr="001558A5">
        <w:rPr>
          <w:lang w:val="en-US"/>
        </w:rPr>
        <w:t xml:space="preserve"> and </w:t>
      </w:r>
      <w:r w:rsidR="00C5277E" w:rsidRPr="001558A5">
        <w:rPr>
          <w:lang w:val="en-US"/>
        </w:rPr>
        <w:t>(</w:t>
      </w:r>
      <w:r w:rsidR="00A63F8D" w:rsidRPr="001558A5">
        <w:rPr>
          <w:lang w:val="en-US"/>
        </w:rPr>
        <w:t>b)</w:t>
      </w:r>
      <w:r w:rsidR="00DD4354" w:rsidRPr="001558A5">
        <w:rPr>
          <w:lang w:val="en-US"/>
        </w:rPr>
        <w:t xml:space="preserve"> of the </w:t>
      </w:r>
      <w:r w:rsidR="00871E19" w:rsidRPr="001558A5">
        <w:rPr>
          <w:lang w:val="en-US"/>
        </w:rPr>
        <w:t>Convention</w:t>
      </w:r>
      <w:r w:rsidR="00A63F8D" w:rsidRPr="001558A5">
        <w:rPr>
          <w:lang w:val="en-US"/>
        </w:rPr>
        <w:t xml:space="preserve"> </w:t>
      </w:r>
      <w:r w:rsidR="00B74256" w:rsidRPr="001558A5">
        <w:rPr>
          <w:lang w:val="en-US"/>
        </w:rPr>
        <w:t xml:space="preserve">of </w:t>
      </w:r>
      <w:proofErr w:type="spellStart"/>
      <w:r w:rsidR="00B74256" w:rsidRPr="001558A5">
        <w:rPr>
          <w:lang w:val="en-US"/>
        </w:rPr>
        <w:t>Belém</w:t>
      </w:r>
      <w:proofErr w:type="spellEnd"/>
      <w:r w:rsidR="00A63F8D" w:rsidRPr="001558A5">
        <w:rPr>
          <w:lang w:val="en-US"/>
        </w:rPr>
        <w:t xml:space="preserve"> do </w:t>
      </w:r>
      <w:proofErr w:type="spellStart"/>
      <w:r w:rsidR="00A63F8D" w:rsidRPr="001558A5">
        <w:rPr>
          <w:lang w:val="en-US"/>
        </w:rPr>
        <w:t>Pará</w:t>
      </w:r>
      <w:proofErr w:type="spellEnd"/>
      <w:r w:rsidR="00A63F8D" w:rsidRPr="001558A5">
        <w:rPr>
          <w:lang w:val="en-US"/>
        </w:rPr>
        <w:t xml:space="preserve">) </w:t>
      </w:r>
      <w:r w:rsidRPr="001558A5">
        <w:rPr>
          <w:lang w:val="en-US"/>
        </w:rPr>
        <w:t>to the detriment of</w:t>
      </w:r>
      <w:r w:rsidR="00A63F8D" w:rsidRPr="001558A5">
        <w:rPr>
          <w:lang w:val="en-US"/>
        </w:rPr>
        <w:t xml:space="preserve"> Vicky Hernández</w:t>
      </w:r>
      <w:r w:rsidR="00225C46" w:rsidRPr="001558A5">
        <w:rPr>
          <w:lang w:val="en-US"/>
        </w:rPr>
        <w:t xml:space="preserve">; </w:t>
      </w:r>
    </w:p>
    <w:p w14:paraId="1D3D63C3" w14:textId="66B90448" w:rsidR="00A63F8D" w:rsidRPr="001558A5" w:rsidRDefault="00B43A52" w:rsidP="00945CE2">
      <w:pPr>
        <w:pStyle w:val="Prrafodelista"/>
        <w:numPr>
          <w:ilvl w:val="1"/>
          <w:numId w:val="2"/>
        </w:numPr>
        <w:spacing w:before="120" w:after="120"/>
        <w:ind w:left="709"/>
        <w:contextualSpacing w:val="0"/>
        <w:rPr>
          <w:lang w:val="en-US"/>
        </w:rPr>
      </w:pPr>
      <w:r w:rsidRPr="001558A5">
        <w:rPr>
          <w:lang w:val="en-US"/>
        </w:rPr>
        <w:t>the alleged violation</w:t>
      </w:r>
      <w:r w:rsidR="00A63F8D" w:rsidRPr="001558A5">
        <w:rPr>
          <w:lang w:val="en-US"/>
        </w:rPr>
        <w:t xml:space="preserve"> </w:t>
      </w:r>
      <w:r w:rsidRPr="001558A5">
        <w:rPr>
          <w:lang w:val="en-US"/>
        </w:rPr>
        <w:t>of the rights to</w:t>
      </w:r>
      <w:r w:rsidR="00A63F8D" w:rsidRPr="001558A5">
        <w:rPr>
          <w:lang w:val="en-US"/>
        </w:rPr>
        <w:t xml:space="preserve"> </w:t>
      </w:r>
      <w:r w:rsidR="00DF7573" w:rsidRPr="001558A5">
        <w:rPr>
          <w:lang w:val="en-US"/>
        </w:rPr>
        <w:t>gender identity</w:t>
      </w:r>
      <w:r w:rsidR="00A63F8D" w:rsidRPr="001558A5">
        <w:rPr>
          <w:lang w:val="en-US"/>
        </w:rPr>
        <w:t xml:space="preserve">, </w:t>
      </w:r>
      <w:r w:rsidR="00907FBD" w:rsidRPr="001558A5">
        <w:rPr>
          <w:lang w:val="en-US"/>
        </w:rPr>
        <w:t>recognition of juridical personality</w:t>
      </w:r>
      <w:r w:rsidR="00A63F8D" w:rsidRPr="001558A5">
        <w:rPr>
          <w:lang w:val="en-US"/>
        </w:rPr>
        <w:t>, personal</w:t>
      </w:r>
      <w:r w:rsidRPr="001558A5">
        <w:rPr>
          <w:lang w:val="en-US"/>
        </w:rPr>
        <w:t xml:space="preserve"> liberty</w:t>
      </w:r>
      <w:r w:rsidR="00A63F8D" w:rsidRPr="001558A5">
        <w:rPr>
          <w:lang w:val="en-US"/>
        </w:rPr>
        <w:t xml:space="preserve">, </w:t>
      </w:r>
      <w:r w:rsidRPr="001558A5">
        <w:rPr>
          <w:lang w:val="en-US"/>
        </w:rPr>
        <w:t>privacy</w:t>
      </w:r>
      <w:r w:rsidR="00A63F8D" w:rsidRPr="001558A5">
        <w:rPr>
          <w:lang w:val="en-US"/>
        </w:rPr>
        <w:t xml:space="preserve">, </w:t>
      </w:r>
      <w:r w:rsidR="00B732DD" w:rsidRPr="001558A5">
        <w:rPr>
          <w:lang w:val="en-US"/>
        </w:rPr>
        <w:t>freedom of expression</w:t>
      </w:r>
      <w:r w:rsidR="00A63F8D" w:rsidRPr="001558A5">
        <w:rPr>
          <w:lang w:val="en-US"/>
        </w:rPr>
        <w:t>,</w:t>
      </w:r>
      <w:r w:rsidR="00DD4354" w:rsidRPr="001558A5">
        <w:rPr>
          <w:lang w:val="en-US"/>
        </w:rPr>
        <w:t xml:space="preserve"> and </w:t>
      </w:r>
      <w:r w:rsidRPr="001558A5">
        <w:rPr>
          <w:lang w:val="en-US"/>
        </w:rPr>
        <w:t>a name</w:t>
      </w:r>
      <w:r w:rsidR="00A63F8D" w:rsidRPr="001558A5">
        <w:rPr>
          <w:lang w:val="en-US"/>
        </w:rPr>
        <w:t xml:space="preserve"> (</w:t>
      </w:r>
      <w:r w:rsidR="00871E19" w:rsidRPr="001558A5">
        <w:rPr>
          <w:lang w:val="en-US"/>
        </w:rPr>
        <w:t>Article</w:t>
      </w:r>
      <w:r w:rsidR="00A63F8D" w:rsidRPr="001558A5">
        <w:rPr>
          <w:lang w:val="en-US"/>
        </w:rPr>
        <w:t>s 3, 11, 13, 18, 24</w:t>
      </w:r>
      <w:r w:rsidR="00DD4354" w:rsidRPr="001558A5">
        <w:rPr>
          <w:lang w:val="en-US"/>
        </w:rPr>
        <w:t xml:space="preserve"> and </w:t>
      </w:r>
      <w:r w:rsidR="00973D19" w:rsidRPr="001558A5">
        <w:rPr>
          <w:lang w:val="en-US"/>
        </w:rPr>
        <w:t>1(1)</w:t>
      </w:r>
      <w:r w:rsidR="00DD4354" w:rsidRPr="001558A5">
        <w:rPr>
          <w:lang w:val="en-US"/>
        </w:rPr>
        <w:t xml:space="preserve"> of the </w:t>
      </w:r>
      <w:r w:rsidR="00871E19" w:rsidRPr="001558A5">
        <w:rPr>
          <w:lang w:val="en-US"/>
        </w:rPr>
        <w:t>American Convention</w:t>
      </w:r>
      <w:r w:rsidR="00A63F8D" w:rsidRPr="001558A5">
        <w:rPr>
          <w:lang w:val="en-US"/>
        </w:rPr>
        <w:t xml:space="preserve"> </w:t>
      </w:r>
      <w:r w:rsidR="00973D19" w:rsidRPr="001558A5">
        <w:rPr>
          <w:lang w:val="en-US"/>
        </w:rPr>
        <w:t>in relation to</w:t>
      </w:r>
      <w:r w:rsidR="00A63F8D" w:rsidRPr="001558A5">
        <w:rPr>
          <w:lang w:val="en-US"/>
        </w:rPr>
        <w:t xml:space="preserve"> </w:t>
      </w:r>
      <w:r w:rsidRPr="001558A5">
        <w:rPr>
          <w:lang w:val="en-US"/>
        </w:rPr>
        <w:t>Articles 1(1)</w:t>
      </w:r>
      <w:r w:rsidR="00A63F8D" w:rsidRPr="001558A5">
        <w:rPr>
          <w:lang w:val="en-US"/>
        </w:rPr>
        <w:t>, 2</w:t>
      </w:r>
      <w:r w:rsidR="00DD4354" w:rsidRPr="001558A5">
        <w:rPr>
          <w:lang w:val="en-US"/>
        </w:rPr>
        <w:t xml:space="preserve"> and </w:t>
      </w:r>
      <w:r w:rsidR="00A63F8D" w:rsidRPr="001558A5">
        <w:rPr>
          <w:lang w:val="en-US"/>
        </w:rPr>
        <w:t xml:space="preserve">24 </w:t>
      </w:r>
      <w:r w:rsidR="00973D19" w:rsidRPr="001558A5">
        <w:rPr>
          <w:lang w:val="en-US"/>
        </w:rPr>
        <w:t>of this instrument</w:t>
      </w:r>
      <w:r w:rsidR="00A63F8D" w:rsidRPr="001558A5">
        <w:rPr>
          <w:lang w:val="en-US"/>
        </w:rPr>
        <w:t xml:space="preserve">), </w:t>
      </w:r>
      <w:r w:rsidRPr="001558A5">
        <w:rPr>
          <w:lang w:val="en-US"/>
        </w:rPr>
        <w:t>to the detriment of</w:t>
      </w:r>
      <w:r w:rsidR="00A63F8D" w:rsidRPr="001558A5">
        <w:rPr>
          <w:lang w:val="en-US"/>
        </w:rPr>
        <w:t xml:space="preserve"> Vicky </w:t>
      </w:r>
      <w:proofErr w:type="spellStart"/>
      <w:r w:rsidR="00A63F8D" w:rsidRPr="001558A5">
        <w:rPr>
          <w:lang w:val="en-US"/>
        </w:rPr>
        <w:t>Hernández</w:t>
      </w:r>
      <w:proofErr w:type="spellEnd"/>
      <w:r w:rsidR="00A63F8D" w:rsidRPr="001558A5">
        <w:rPr>
          <w:lang w:val="en-US"/>
        </w:rPr>
        <w:t>,</w:t>
      </w:r>
      <w:r w:rsidR="00DD4354" w:rsidRPr="001558A5">
        <w:rPr>
          <w:lang w:val="en-US"/>
        </w:rPr>
        <w:t xml:space="preserve"> and </w:t>
      </w:r>
    </w:p>
    <w:p w14:paraId="5728E124" w14:textId="6972D1D4" w:rsidR="00A63F8D" w:rsidRPr="001558A5" w:rsidRDefault="00B43A52" w:rsidP="00945CE2">
      <w:pPr>
        <w:pStyle w:val="Prrafodelista"/>
        <w:numPr>
          <w:ilvl w:val="1"/>
          <w:numId w:val="2"/>
        </w:numPr>
        <w:spacing w:before="120" w:after="120"/>
        <w:ind w:left="709"/>
        <w:contextualSpacing w:val="0"/>
        <w:rPr>
          <w:lang w:val="en-US"/>
        </w:rPr>
      </w:pPr>
      <w:r w:rsidRPr="001558A5">
        <w:rPr>
          <w:lang w:val="en-US"/>
        </w:rPr>
        <w:t>the alleged violation</w:t>
      </w:r>
      <w:r w:rsidR="00A63F8D" w:rsidRPr="001558A5">
        <w:rPr>
          <w:lang w:val="en-US"/>
        </w:rPr>
        <w:t xml:space="preserve"> </w:t>
      </w:r>
      <w:r w:rsidR="00973D19" w:rsidRPr="001558A5">
        <w:rPr>
          <w:lang w:val="en-US"/>
        </w:rPr>
        <w:t>of the right to</w:t>
      </w:r>
      <w:r w:rsidR="00A63F8D" w:rsidRPr="001558A5">
        <w:rPr>
          <w:lang w:val="en-US"/>
        </w:rPr>
        <w:t xml:space="preserve"> </w:t>
      </w:r>
      <w:r w:rsidR="00B732DD" w:rsidRPr="001558A5">
        <w:rPr>
          <w:lang w:val="en-US"/>
        </w:rPr>
        <w:t>personal integrity</w:t>
      </w:r>
      <w:r w:rsidR="00A63F8D" w:rsidRPr="001558A5">
        <w:rPr>
          <w:lang w:val="en-US"/>
        </w:rPr>
        <w:t xml:space="preserve"> </w:t>
      </w:r>
      <w:r w:rsidR="00866555" w:rsidRPr="001558A5">
        <w:rPr>
          <w:lang w:val="en-US"/>
        </w:rPr>
        <w:t>(</w:t>
      </w:r>
      <w:r w:rsidR="00871E19" w:rsidRPr="001558A5">
        <w:rPr>
          <w:lang w:val="en-US"/>
        </w:rPr>
        <w:t>Article</w:t>
      </w:r>
      <w:r w:rsidR="00866555" w:rsidRPr="001558A5">
        <w:rPr>
          <w:lang w:val="en-US"/>
        </w:rPr>
        <w:t xml:space="preserve"> </w:t>
      </w:r>
      <w:r w:rsidR="00B732DD" w:rsidRPr="001558A5">
        <w:rPr>
          <w:lang w:val="en-US"/>
        </w:rPr>
        <w:t>5(1)</w:t>
      </w:r>
      <w:r w:rsidR="00DD4354" w:rsidRPr="001558A5">
        <w:rPr>
          <w:lang w:val="en-US"/>
        </w:rPr>
        <w:t xml:space="preserve"> of the </w:t>
      </w:r>
      <w:r w:rsidR="00871E19" w:rsidRPr="001558A5">
        <w:rPr>
          <w:lang w:val="en-US"/>
        </w:rPr>
        <w:t>American Convention</w:t>
      </w:r>
      <w:r w:rsidR="00866555" w:rsidRPr="001558A5">
        <w:rPr>
          <w:lang w:val="en-US"/>
        </w:rPr>
        <w:t xml:space="preserve">) </w:t>
      </w:r>
      <w:r w:rsidRPr="001558A5">
        <w:rPr>
          <w:lang w:val="en-US"/>
        </w:rPr>
        <w:t>to the detriment of</w:t>
      </w:r>
      <w:r w:rsidR="00A63F8D" w:rsidRPr="001558A5">
        <w:rPr>
          <w:lang w:val="en-US"/>
        </w:rPr>
        <w:t xml:space="preserve"> Vicky Hernández</w:t>
      </w:r>
      <w:r w:rsidR="00973D19" w:rsidRPr="001558A5">
        <w:rPr>
          <w:lang w:val="en-US"/>
        </w:rPr>
        <w:t>’s family</w:t>
      </w:r>
      <w:r w:rsidR="00866555" w:rsidRPr="001558A5">
        <w:rPr>
          <w:lang w:val="en-US"/>
        </w:rPr>
        <w:t>.</w:t>
      </w:r>
      <w:r w:rsidR="00A63F8D" w:rsidRPr="001558A5">
        <w:rPr>
          <w:lang w:val="en-US"/>
        </w:rPr>
        <w:tab/>
      </w:r>
    </w:p>
    <w:p w14:paraId="56520FD9" w14:textId="0D41B308" w:rsidR="00A63F8D" w:rsidRPr="001558A5" w:rsidRDefault="00A63F8D" w:rsidP="00945CE2">
      <w:pPr>
        <w:pStyle w:val="Ttulo3"/>
        <w:spacing w:before="240" w:after="240"/>
        <w:ind w:left="357" w:firstLine="709"/>
        <w:rPr>
          <w:b w:val="0"/>
          <w:snapToGrid w:val="0"/>
          <w:spacing w:val="-2"/>
          <w:szCs w:val="20"/>
          <w:lang w:val="en-US" w:eastAsia="es-ES"/>
        </w:rPr>
      </w:pPr>
      <w:bookmarkStart w:id="64" w:name="_Toc73430040"/>
      <w:bookmarkStart w:id="65" w:name="_Toc59089815"/>
      <w:r w:rsidRPr="001558A5">
        <w:rPr>
          <w:b w:val="0"/>
          <w:snapToGrid w:val="0"/>
          <w:spacing w:val="-2"/>
          <w:szCs w:val="20"/>
          <w:lang w:val="en-US" w:eastAsia="es-ES"/>
        </w:rPr>
        <w:t xml:space="preserve">B.3. </w:t>
      </w:r>
      <w:r w:rsidR="00973D19" w:rsidRPr="001558A5">
        <w:rPr>
          <w:b w:val="0"/>
          <w:snapToGrid w:val="0"/>
          <w:spacing w:val="-2"/>
          <w:szCs w:val="20"/>
          <w:lang w:val="en-US" w:eastAsia="es-ES"/>
        </w:rPr>
        <w:t>Reparations</w:t>
      </w:r>
      <w:bookmarkEnd w:id="64"/>
    </w:p>
    <w:p w14:paraId="2536D5A5" w14:textId="10052228" w:rsidR="00A63F8D" w:rsidRPr="001558A5" w:rsidRDefault="00973D19" w:rsidP="00945CE2">
      <w:pPr>
        <w:pStyle w:val="Prrafodelista"/>
        <w:numPr>
          <w:ilvl w:val="0"/>
          <w:numId w:val="2"/>
        </w:numPr>
        <w:spacing w:before="120" w:after="120"/>
        <w:ind w:left="0" w:firstLine="0"/>
        <w:contextualSpacing w:val="0"/>
        <w:rPr>
          <w:lang w:val="en-US"/>
        </w:rPr>
      </w:pPr>
      <w:r w:rsidRPr="001558A5">
        <w:rPr>
          <w:lang w:val="en-US"/>
        </w:rPr>
        <w:t xml:space="preserve">Lastly, regarding reparations, the Court must analyze the reparations requested by </w:t>
      </w:r>
      <w:r w:rsidR="00871E19" w:rsidRPr="001558A5">
        <w:rPr>
          <w:lang w:val="en-US"/>
        </w:rPr>
        <w:t>the Commission</w:t>
      </w:r>
      <w:r w:rsidR="00DD4354" w:rsidRPr="001558A5">
        <w:rPr>
          <w:lang w:val="en-US"/>
        </w:rPr>
        <w:t xml:space="preserve"> and the representatives</w:t>
      </w:r>
      <w:r w:rsidR="00A63F8D" w:rsidRPr="001558A5">
        <w:rPr>
          <w:lang w:val="en-US"/>
        </w:rPr>
        <w:t xml:space="preserve"> </w:t>
      </w:r>
      <w:r w:rsidRPr="001558A5">
        <w:rPr>
          <w:lang w:val="en-US"/>
        </w:rPr>
        <w:t>because the State has not explicitly accepted them</w:t>
      </w:r>
      <w:r w:rsidR="00A63F8D" w:rsidRPr="001558A5">
        <w:rPr>
          <w:lang w:val="en-US"/>
        </w:rPr>
        <w:t>.</w:t>
      </w:r>
    </w:p>
    <w:p w14:paraId="43AEDE4D" w14:textId="6E4BDB1F" w:rsidR="00A63F8D" w:rsidRPr="001558A5" w:rsidRDefault="00A63F8D" w:rsidP="00945CE2">
      <w:pPr>
        <w:pStyle w:val="Ttulo3"/>
        <w:spacing w:before="240" w:after="240"/>
        <w:ind w:left="357" w:firstLine="709"/>
        <w:rPr>
          <w:b w:val="0"/>
          <w:snapToGrid w:val="0"/>
          <w:spacing w:val="-2"/>
          <w:szCs w:val="20"/>
          <w:lang w:val="en-US" w:eastAsia="es-ES"/>
        </w:rPr>
      </w:pPr>
      <w:bookmarkStart w:id="66" w:name="_Toc73430041"/>
      <w:r w:rsidRPr="001558A5">
        <w:rPr>
          <w:b w:val="0"/>
          <w:snapToGrid w:val="0"/>
          <w:spacing w:val="-2"/>
          <w:szCs w:val="20"/>
          <w:lang w:val="en-US" w:eastAsia="es-ES"/>
        </w:rPr>
        <w:t xml:space="preserve">B.4. </w:t>
      </w:r>
      <w:r w:rsidR="00973D19" w:rsidRPr="001558A5">
        <w:rPr>
          <w:b w:val="0"/>
          <w:snapToGrid w:val="0"/>
          <w:spacing w:val="-2"/>
          <w:szCs w:val="20"/>
          <w:lang w:val="en-US" w:eastAsia="es-ES"/>
        </w:rPr>
        <w:t>Assessment of the acknowledgement of responsibility</w:t>
      </w:r>
      <w:bookmarkEnd w:id="65"/>
      <w:bookmarkEnd w:id="66"/>
    </w:p>
    <w:p w14:paraId="26931521" w14:textId="391784A7" w:rsidR="00A63F8D" w:rsidRPr="001558A5" w:rsidRDefault="00973D19" w:rsidP="00973D19">
      <w:pPr>
        <w:pStyle w:val="Prrafodelista"/>
        <w:numPr>
          <w:ilvl w:val="0"/>
          <w:numId w:val="2"/>
        </w:numPr>
        <w:spacing w:before="120" w:after="120"/>
        <w:ind w:left="0" w:firstLine="0"/>
        <w:contextualSpacing w:val="0"/>
        <w:rPr>
          <w:lang w:val="en-US"/>
        </w:rPr>
      </w:pPr>
      <w:r w:rsidRPr="001558A5">
        <w:rPr>
          <w:lang w:val="en-US"/>
        </w:rPr>
        <w:t>The acknowledgement made by the State constitutes a partial acquiescence to the facts and a partial acknowledgement of the alleged violations. The Court considers that it makes a positive contribution to the development of these proceedings and to the observance of the principles that inspire the Convention, as well as to the victims’ need for reparation.</w:t>
      </w:r>
      <w:r w:rsidR="00A63F8D" w:rsidRPr="001558A5">
        <w:rPr>
          <w:vertAlign w:val="superscript"/>
          <w:lang w:val="en-US"/>
        </w:rPr>
        <w:footnoteReference w:id="31"/>
      </w:r>
      <w:r w:rsidRPr="001558A5">
        <w:rPr>
          <w:lang w:val="en-US"/>
        </w:rPr>
        <w:t xml:space="preserve"> The State’s acknowledgement has full legal effects pursuant to</w:t>
      </w:r>
      <w:r w:rsidR="00A63F8D" w:rsidRPr="001558A5">
        <w:rPr>
          <w:lang w:val="en-US"/>
        </w:rPr>
        <w:t xml:space="preserve"> </w:t>
      </w:r>
      <w:r w:rsidRPr="001558A5">
        <w:rPr>
          <w:lang w:val="en-US"/>
        </w:rPr>
        <w:t xml:space="preserve">the said </w:t>
      </w:r>
      <w:r w:rsidR="00871E19" w:rsidRPr="001558A5">
        <w:rPr>
          <w:lang w:val="en-US"/>
        </w:rPr>
        <w:t>Articles</w:t>
      </w:r>
      <w:r w:rsidR="00A63F8D" w:rsidRPr="001558A5">
        <w:rPr>
          <w:lang w:val="en-US"/>
        </w:rPr>
        <w:t xml:space="preserve"> 62</w:t>
      </w:r>
      <w:r w:rsidR="00DD4354" w:rsidRPr="001558A5">
        <w:rPr>
          <w:lang w:val="en-US"/>
        </w:rPr>
        <w:t xml:space="preserve"> and </w:t>
      </w:r>
      <w:r w:rsidR="00A63F8D" w:rsidRPr="001558A5">
        <w:rPr>
          <w:lang w:val="en-US"/>
        </w:rPr>
        <w:t>64</w:t>
      </w:r>
      <w:r w:rsidR="00DD4354" w:rsidRPr="001558A5">
        <w:rPr>
          <w:lang w:val="en-US"/>
        </w:rPr>
        <w:t xml:space="preserve"> of the </w:t>
      </w:r>
      <w:r w:rsidRPr="001558A5">
        <w:rPr>
          <w:lang w:val="en-US"/>
        </w:rPr>
        <w:t xml:space="preserve">Court’s </w:t>
      </w:r>
      <w:r w:rsidR="00871E19" w:rsidRPr="001558A5">
        <w:rPr>
          <w:lang w:val="en-US"/>
        </w:rPr>
        <w:t>Rules of Procedure</w:t>
      </w:r>
      <w:r w:rsidRPr="001558A5">
        <w:rPr>
          <w:lang w:val="en-US"/>
        </w:rPr>
        <w:t xml:space="preserve"> and has </w:t>
      </w:r>
      <w:r w:rsidR="00C5277E" w:rsidRPr="001558A5">
        <w:rPr>
          <w:lang w:val="en-US"/>
        </w:rPr>
        <w:t>significant</w:t>
      </w:r>
      <w:r w:rsidRPr="001558A5">
        <w:rPr>
          <w:lang w:val="en-US"/>
        </w:rPr>
        <w:t xml:space="preserve"> symbolic </w:t>
      </w:r>
      <w:r w:rsidR="009509DE" w:rsidRPr="001558A5">
        <w:rPr>
          <w:lang w:val="en-US"/>
        </w:rPr>
        <w:t>value to ensure that similar facts are not repeated.</w:t>
      </w:r>
      <w:r w:rsidR="00DD4354" w:rsidRPr="001558A5">
        <w:rPr>
          <w:lang w:val="en-US"/>
        </w:rPr>
        <w:t xml:space="preserve"> </w:t>
      </w:r>
      <w:r w:rsidR="009509DE" w:rsidRPr="001558A5">
        <w:rPr>
          <w:lang w:val="en-US"/>
        </w:rPr>
        <w:t xml:space="preserve">In addition, the Court notes that the acknowledgement of certain specific violations may have effects and consequences on </w:t>
      </w:r>
      <w:r w:rsidR="00C5277E" w:rsidRPr="001558A5">
        <w:rPr>
          <w:lang w:val="en-US"/>
        </w:rPr>
        <w:t>its</w:t>
      </w:r>
      <w:r w:rsidR="009509DE" w:rsidRPr="001558A5">
        <w:rPr>
          <w:lang w:val="en-US"/>
        </w:rPr>
        <w:t xml:space="preserve"> analysis </w:t>
      </w:r>
      <w:r w:rsidR="00C5277E" w:rsidRPr="001558A5">
        <w:rPr>
          <w:lang w:val="en-US"/>
        </w:rPr>
        <w:t>of</w:t>
      </w:r>
      <w:r w:rsidR="009509DE" w:rsidRPr="001558A5">
        <w:rPr>
          <w:lang w:val="en-US"/>
        </w:rPr>
        <w:t xml:space="preserve"> the other alleged facts and violations, insofar as they all form part of one and the same set of circumstances.</w:t>
      </w:r>
      <w:r w:rsidR="00A63F8D" w:rsidRPr="001558A5">
        <w:rPr>
          <w:rStyle w:val="Refdenotaalpie"/>
          <w:lang w:val="en-US"/>
        </w:rPr>
        <w:footnoteReference w:id="32"/>
      </w:r>
    </w:p>
    <w:p w14:paraId="739E4EB4" w14:textId="19772126" w:rsidR="00A63F8D" w:rsidRPr="001558A5" w:rsidRDefault="00871E19" w:rsidP="009509DE">
      <w:pPr>
        <w:pStyle w:val="Prrafodelista"/>
        <w:numPr>
          <w:ilvl w:val="0"/>
          <w:numId w:val="2"/>
        </w:numPr>
        <w:spacing w:before="120" w:after="120"/>
        <w:ind w:left="0" w:firstLine="0"/>
        <w:contextualSpacing w:val="0"/>
        <w:rPr>
          <w:lang w:val="en-US"/>
        </w:rPr>
      </w:pPr>
      <w:bookmarkStart w:id="67" w:name="_Ref43209036"/>
      <w:r w:rsidRPr="001558A5">
        <w:rPr>
          <w:lang w:val="en-US"/>
        </w:rPr>
        <w:t>The Court</w:t>
      </w:r>
      <w:r w:rsidR="00A63F8D" w:rsidRPr="001558A5">
        <w:rPr>
          <w:lang w:val="en-US"/>
        </w:rPr>
        <w:t xml:space="preserve"> </w:t>
      </w:r>
      <w:r w:rsidR="009509DE" w:rsidRPr="001558A5">
        <w:rPr>
          <w:lang w:val="en-US"/>
        </w:rPr>
        <w:t xml:space="preserve">will examine the admissibility and scope of the violations cited by the </w:t>
      </w:r>
      <w:r w:rsidRPr="001558A5">
        <w:rPr>
          <w:lang w:val="en-US"/>
        </w:rPr>
        <w:t>Commission</w:t>
      </w:r>
      <w:r w:rsidR="009509DE" w:rsidRPr="001558A5">
        <w:rPr>
          <w:lang w:val="en-US"/>
        </w:rPr>
        <w:t>,</w:t>
      </w:r>
      <w:r w:rsidR="00DD4354" w:rsidRPr="001558A5">
        <w:rPr>
          <w:lang w:val="en-US"/>
        </w:rPr>
        <w:t xml:space="preserve"> and </w:t>
      </w:r>
      <w:r w:rsidR="009509DE" w:rsidRPr="001558A5">
        <w:rPr>
          <w:lang w:val="en-US"/>
        </w:rPr>
        <w:t xml:space="preserve">by </w:t>
      </w:r>
      <w:r w:rsidR="00DD4354" w:rsidRPr="001558A5">
        <w:rPr>
          <w:lang w:val="en-US"/>
        </w:rPr>
        <w:t>the representatives</w:t>
      </w:r>
      <w:r w:rsidR="00A63F8D" w:rsidRPr="001558A5">
        <w:rPr>
          <w:lang w:val="en-US"/>
        </w:rPr>
        <w:t xml:space="preserve"> </w:t>
      </w:r>
      <w:r w:rsidR="009509DE" w:rsidRPr="001558A5">
        <w:rPr>
          <w:lang w:val="en-US"/>
        </w:rPr>
        <w:t xml:space="preserve">autonomously, regarding which the dispute subsists. Lastly, the Court will rule on the dispute that continues concerning the reparations requested by </w:t>
      </w:r>
      <w:r w:rsidRPr="001558A5">
        <w:rPr>
          <w:lang w:val="en-US"/>
        </w:rPr>
        <w:t>the Commission</w:t>
      </w:r>
      <w:r w:rsidR="00DD4354" w:rsidRPr="001558A5">
        <w:rPr>
          <w:lang w:val="en-US"/>
        </w:rPr>
        <w:t xml:space="preserve"> and the representatives</w:t>
      </w:r>
      <w:r w:rsidR="00A63F8D" w:rsidRPr="001558A5">
        <w:rPr>
          <w:lang w:val="en-US"/>
        </w:rPr>
        <w:t>.</w:t>
      </w:r>
      <w:bookmarkEnd w:id="67"/>
      <w:r w:rsidR="00A63F8D" w:rsidRPr="001558A5">
        <w:rPr>
          <w:lang w:val="en-US"/>
        </w:rPr>
        <w:t xml:space="preserve"> </w:t>
      </w:r>
    </w:p>
    <w:p w14:paraId="6E0B5221" w14:textId="02FA9680" w:rsidR="004D44B3" w:rsidRPr="001558A5" w:rsidRDefault="00A7032F" w:rsidP="00945CE2">
      <w:pPr>
        <w:pStyle w:val="Ttulo1"/>
        <w:rPr>
          <w:lang w:val="en-US"/>
        </w:rPr>
      </w:pPr>
      <w:bookmarkStart w:id="68" w:name="_Toc73430042"/>
      <w:r w:rsidRPr="001558A5">
        <w:rPr>
          <w:caps w:val="0"/>
          <w:lang w:val="en-US"/>
        </w:rPr>
        <w:t>V</w:t>
      </w:r>
      <w:r w:rsidR="004D44B3" w:rsidRPr="001558A5">
        <w:rPr>
          <w:color w:val="FFFFFF" w:themeColor="background1"/>
          <w:lang w:val="en-US"/>
        </w:rPr>
        <w:t>.</w:t>
      </w:r>
      <w:r w:rsidR="004D44B3" w:rsidRPr="001558A5">
        <w:rPr>
          <w:lang w:val="en-US"/>
        </w:rPr>
        <w:br/>
      </w:r>
      <w:r w:rsidR="00871E19" w:rsidRPr="001558A5">
        <w:rPr>
          <w:lang w:val="en-US"/>
        </w:rPr>
        <w:t>EVIDENCE</w:t>
      </w:r>
      <w:bookmarkEnd w:id="68"/>
    </w:p>
    <w:p w14:paraId="4636E39F" w14:textId="2D928BA9" w:rsidR="007978F9" w:rsidRPr="001558A5" w:rsidRDefault="00871E19" w:rsidP="00945CE2">
      <w:pPr>
        <w:pStyle w:val="Estilo1"/>
        <w:numPr>
          <w:ilvl w:val="0"/>
          <w:numId w:val="2"/>
        </w:numPr>
        <w:tabs>
          <w:tab w:val="left" w:pos="0"/>
          <w:tab w:val="left" w:pos="567"/>
          <w:tab w:val="left" w:pos="1134"/>
        </w:tabs>
        <w:spacing w:before="120"/>
        <w:ind w:left="0" w:right="-6" w:firstLine="0"/>
        <w:rPr>
          <w:i w:val="0"/>
          <w:szCs w:val="20"/>
          <w:lang w:val="en-US"/>
        </w:rPr>
      </w:pPr>
      <w:r w:rsidRPr="001558A5">
        <w:rPr>
          <w:i w:val="0"/>
          <w:szCs w:val="20"/>
          <w:lang w:val="en-US"/>
        </w:rPr>
        <w:t>The Court</w:t>
      </w:r>
      <w:r w:rsidR="004D44B3" w:rsidRPr="001558A5">
        <w:rPr>
          <w:i w:val="0"/>
          <w:szCs w:val="20"/>
          <w:lang w:val="en-US"/>
        </w:rPr>
        <w:t xml:space="preserve"> admit</w:t>
      </w:r>
      <w:r w:rsidR="006915DC" w:rsidRPr="001558A5">
        <w:rPr>
          <w:i w:val="0"/>
          <w:szCs w:val="20"/>
          <w:lang w:val="en-US"/>
        </w:rPr>
        <w:t xml:space="preserve">s those documents presented at the proper procedural moment by the parties </w:t>
      </w:r>
      <w:r w:rsidR="00DD4354" w:rsidRPr="001558A5">
        <w:rPr>
          <w:i w:val="0"/>
          <w:szCs w:val="20"/>
          <w:lang w:val="en-US"/>
        </w:rPr>
        <w:t xml:space="preserve">and </w:t>
      </w:r>
      <w:r w:rsidRPr="001558A5">
        <w:rPr>
          <w:i w:val="0"/>
          <w:szCs w:val="20"/>
          <w:lang w:val="en-US"/>
        </w:rPr>
        <w:t>the Commission</w:t>
      </w:r>
      <w:r w:rsidR="004D44B3" w:rsidRPr="001558A5">
        <w:rPr>
          <w:i w:val="0"/>
          <w:szCs w:val="20"/>
          <w:lang w:val="en-US"/>
        </w:rPr>
        <w:t xml:space="preserve"> (</w:t>
      </w:r>
      <w:r w:rsidRPr="001558A5">
        <w:rPr>
          <w:i w:val="0"/>
          <w:szCs w:val="20"/>
          <w:lang w:val="en-US"/>
        </w:rPr>
        <w:t>Article</w:t>
      </w:r>
      <w:r w:rsidR="004D44B3" w:rsidRPr="001558A5">
        <w:rPr>
          <w:i w:val="0"/>
          <w:szCs w:val="20"/>
          <w:lang w:val="en-US"/>
        </w:rPr>
        <w:t xml:space="preserve"> 57</w:t>
      </w:r>
      <w:r w:rsidR="00DD4354" w:rsidRPr="001558A5">
        <w:rPr>
          <w:i w:val="0"/>
          <w:szCs w:val="20"/>
          <w:lang w:val="en-US"/>
        </w:rPr>
        <w:t xml:space="preserve"> of the </w:t>
      </w:r>
      <w:r w:rsidRPr="001558A5">
        <w:rPr>
          <w:i w:val="0"/>
          <w:szCs w:val="20"/>
          <w:lang w:val="en-US"/>
        </w:rPr>
        <w:t>Rules of Procedure</w:t>
      </w:r>
      <w:r w:rsidR="004D44B3" w:rsidRPr="001558A5">
        <w:rPr>
          <w:i w:val="0"/>
          <w:szCs w:val="20"/>
          <w:lang w:val="en-US"/>
        </w:rPr>
        <w:t xml:space="preserve">), </w:t>
      </w:r>
      <w:r w:rsidR="00B726FA" w:rsidRPr="001558A5">
        <w:rPr>
          <w:i w:val="0"/>
          <w:szCs w:val="20"/>
          <w:lang w:val="en-US"/>
        </w:rPr>
        <w:t>whose admissibility was not contested or challenged, and whose authenticity was not questioned.</w:t>
      </w:r>
      <w:r w:rsidR="004D44B3" w:rsidRPr="001558A5">
        <w:rPr>
          <w:i w:val="0"/>
          <w:szCs w:val="20"/>
          <w:vertAlign w:val="superscript"/>
          <w:lang w:val="en-US"/>
        </w:rPr>
        <w:footnoteReference w:id="33"/>
      </w:r>
      <w:r w:rsidR="004D44B3" w:rsidRPr="001558A5">
        <w:rPr>
          <w:i w:val="0"/>
          <w:szCs w:val="20"/>
          <w:lang w:val="en-US"/>
        </w:rPr>
        <w:t xml:space="preserve"> </w:t>
      </w:r>
      <w:r w:rsidR="00B726FA" w:rsidRPr="001558A5">
        <w:rPr>
          <w:i w:val="0"/>
          <w:szCs w:val="20"/>
          <w:lang w:val="en-US"/>
        </w:rPr>
        <w:t>The</w:t>
      </w:r>
      <w:r w:rsidRPr="001558A5">
        <w:rPr>
          <w:i w:val="0"/>
          <w:szCs w:val="20"/>
          <w:lang w:val="en-US"/>
        </w:rPr>
        <w:t xml:space="preserve"> Court</w:t>
      </w:r>
      <w:r w:rsidR="009008A1" w:rsidRPr="001558A5">
        <w:rPr>
          <w:i w:val="0"/>
          <w:szCs w:val="20"/>
          <w:lang w:val="en-US"/>
        </w:rPr>
        <w:t xml:space="preserve"> </w:t>
      </w:r>
      <w:r w:rsidR="00B726FA" w:rsidRPr="001558A5">
        <w:rPr>
          <w:i w:val="0"/>
          <w:szCs w:val="20"/>
          <w:lang w:val="en-US"/>
        </w:rPr>
        <w:t xml:space="preserve">also finds it pertinent to admit the statements made during the </w:t>
      </w:r>
      <w:r w:rsidR="00907FBD" w:rsidRPr="001558A5">
        <w:rPr>
          <w:i w:val="0"/>
          <w:szCs w:val="20"/>
          <w:lang w:val="en-US"/>
        </w:rPr>
        <w:t>public hearing</w:t>
      </w:r>
      <w:r w:rsidR="00DD4354" w:rsidRPr="001558A5">
        <w:rPr>
          <w:i w:val="0"/>
          <w:szCs w:val="20"/>
          <w:lang w:val="en-US"/>
        </w:rPr>
        <w:t xml:space="preserve"> and </w:t>
      </w:r>
      <w:r w:rsidR="00B726FA" w:rsidRPr="001558A5">
        <w:rPr>
          <w:i w:val="0"/>
          <w:szCs w:val="20"/>
          <w:lang w:val="en-US"/>
        </w:rPr>
        <w:t>by affidavit,</w:t>
      </w:r>
      <w:r w:rsidR="009008A1" w:rsidRPr="001558A5">
        <w:rPr>
          <w:rStyle w:val="Refdenotaalpie"/>
          <w:i w:val="0"/>
          <w:lang w:val="en-US"/>
        </w:rPr>
        <w:footnoteReference w:id="34"/>
      </w:r>
      <w:r w:rsidR="00B726FA" w:rsidRPr="001558A5">
        <w:rPr>
          <w:i w:val="0"/>
          <w:szCs w:val="20"/>
          <w:lang w:val="en-US"/>
        </w:rPr>
        <w:t xml:space="preserve"> insofar as they are in keeping with the purpose defined in the order requiring them and the purpose of this case.</w:t>
      </w:r>
      <w:r w:rsidR="009008A1" w:rsidRPr="001558A5">
        <w:rPr>
          <w:rStyle w:val="Refdenotaalpie"/>
          <w:i w:val="0"/>
          <w:lang w:val="en-US"/>
        </w:rPr>
        <w:footnoteReference w:id="35"/>
      </w:r>
      <w:r w:rsidR="00B726FA" w:rsidRPr="001558A5">
        <w:rPr>
          <w:i w:val="0"/>
          <w:szCs w:val="20"/>
          <w:lang w:val="en-US"/>
        </w:rPr>
        <w:t xml:space="preserve"> In addition, the Court accepts the documentation presented by </w:t>
      </w:r>
      <w:r w:rsidR="00AD4D41" w:rsidRPr="001558A5">
        <w:rPr>
          <w:i w:val="0"/>
          <w:iCs/>
          <w:lang w:val="en-US"/>
        </w:rPr>
        <w:t xml:space="preserve"> </w:t>
      </w:r>
      <w:r w:rsidR="00DD4354" w:rsidRPr="001558A5">
        <w:rPr>
          <w:i w:val="0"/>
          <w:iCs/>
          <w:lang w:val="en-US"/>
        </w:rPr>
        <w:t>the representatives</w:t>
      </w:r>
      <w:r w:rsidR="00AD4D41" w:rsidRPr="001558A5">
        <w:rPr>
          <w:i w:val="0"/>
          <w:iCs/>
          <w:lang w:val="en-US"/>
        </w:rPr>
        <w:t xml:space="preserve"> </w:t>
      </w:r>
      <w:r w:rsidR="00B726FA" w:rsidRPr="001558A5">
        <w:rPr>
          <w:i w:val="0"/>
          <w:iCs/>
          <w:lang w:val="en-US"/>
        </w:rPr>
        <w:t>together with their final written arguments and the expense vouchers related to the litigation of the case before this Court.</w:t>
      </w:r>
      <w:r w:rsidR="00945CE2" w:rsidRPr="001558A5">
        <w:rPr>
          <w:rStyle w:val="Refdenotaalpie"/>
          <w:i w:val="0"/>
          <w:iCs/>
          <w:lang w:val="en-US"/>
        </w:rPr>
        <w:footnoteReference w:id="36"/>
      </w:r>
    </w:p>
    <w:p w14:paraId="79F873DE" w14:textId="2F5F31C3" w:rsidR="00B67880" w:rsidRPr="001558A5" w:rsidRDefault="00C5277E" w:rsidP="00B726FA">
      <w:pPr>
        <w:pStyle w:val="Estilo1"/>
        <w:numPr>
          <w:ilvl w:val="0"/>
          <w:numId w:val="2"/>
        </w:numPr>
        <w:tabs>
          <w:tab w:val="left" w:pos="0"/>
          <w:tab w:val="left" w:pos="567"/>
          <w:tab w:val="left" w:pos="1134"/>
        </w:tabs>
        <w:spacing w:before="120"/>
        <w:ind w:left="0" w:right="-6" w:firstLine="0"/>
        <w:rPr>
          <w:b/>
          <w:i w:val="0"/>
          <w:iCs/>
          <w:lang w:val="en-US"/>
        </w:rPr>
      </w:pPr>
      <w:r w:rsidRPr="001558A5">
        <w:rPr>
          <w:i w:val="0"/>
          <w:iCs/>
          <w:lang w:val="en-US"/>
        </w:rPr>
        <w:t>The</w:t>
      </w:r>
      <w:r w:rsidR="00DD4354" w:rsidRPr="001558A5">
        <w:rPr>
          <w:i w:val="0"/>
          <w:iCs/>
          <w:lang w:val="en-US"/>
        </w:rPr>
        <w:t xml:space="preserve"> representatives</w:t>
      </w:r>
      <w:r w:rsidRPr="001558A5">
        <w:rPr>
          <w:i w:val="0"/>
          <w:iCs/>
          <w:lang w:val="en-US"/>
        </w:rPr>
        <w:t xml:space="preserve"> also</w:t>
      </w:r>
      <w:r w:rsidR="00945CE2" w:rsidRPr="001558A5">
        <w:rPr>
          <w:i w:val="0"/>
          <w:iCs/>
          <w:lang w:val="en-US"/>
        </w:rPr>
        <w:t xml:space="preserve"> </w:t>
      </w:r>
      <w:r w:rsidR="00B726FA" w:rsidRPr="001558A5">
        <w:rPr>
          <w:i w:val="0"/>
          <w:iCs/>
          <w:lang w:val="en-US"/>
        </w:rPr>
        <w:t xml:space="preserve">forwarded a communication of September 28, 2020, from the </w:t>
      </w:r>
      <w:r w:rsidR="00B726FA" w:rsidRPr="001558A5">
        <w:rPr>
          <w:i w:val="0"/>
          <w:iCs/>
          <w:szCs w:val="16"/>
          <w:lang w:val="en-US"/>
        </w:rPr>
        <w:t xml:space="preserve">General </w:t>
      </w:r>
      <w:proofErr w:type="spellStart"/>
      <w:r w:rsidR="00B726FA" w:rsidRPr="001558A5">
        <w:rPr>
          <w:i w:val="0"/>
          <w:iCs/>
          <w:szCs w:val="16"/>
          <w:lang w:val="en-US"/>
        </w:rPr>
        <w:t>Subdirectorate</w:t>
      </w:r>
      <w:proofErr w:type="spellEnd"/>
      <w:r w:rsidRPr="001558A5">
        <w:rPr>
          <w:i w:val="0"/>
          <w:iCs/>
          <w:szCs w:val="16"/>
          <w:lang w:val="en-US"/>
        </w:rPr>
        <w:t xml:space="preserve"> for Prosecutions</w:t>
      </w:r>
      <w:r w:rsidR="00B726FA" w:rsidRPr="001558A5">
        <w:rPr>
          <w:i w:val="0"/>
          <w:iCs/>
          <w:szCs w:val="16"/>
          <w:lang w:val="en-US"/>
        </w:rPr>
        <w:t xml:space="preserve"> of the Public Prosecution Service</w:t>
      </w:r>
      <w:r w:rsidR="00B726FA" w:rsidRPr="001558A5">
        <w:rPr>
          <w:i w:val="0"/>
          <w:iCs/>
          <w:lang w:val="en-US"/>
        </w:rPr>
        <w:t xml:space="preserve"> concerning the investigations underway.</w:t>
      </w:r>
      <w:r w:rsidR="00945CE2" w:rsidRPr="001558A5">
        <w:rPr>
          <w:rStyle w:val="Refdenotaalpie"/>
          <w:i w:val="0"/>
          <w:iCs/>
          <w:lang w:val="en-US"/>
        </w:rPr>
        <w:footnoteReference w:id="37"/>
      </w:r>
      <w:r w:rsidR="00945CE2" w:rsidRPr="001558A5">
        <w:rPr>
          <w:i w:val="0"/>
          <w:iCs/>
          <w:lang w:val="en-US"/>
        </w:rPr>
        <w:t xml:space="preserve"> A</w:t>
      </w:r>
      <w:r w:rsidR="00B726FA" w:rsidRPr="001558A5">
        <w:rPr>
          <w:i w:val="0"/>
          <w:iCs/>
          <w:lang w:val="en-US"/>
        </w:rPr>
        <w:t>lso</w:t>
      </w:r>
      <w:r w:rsidR="00945CE2" w:rsidRPr="001558A5">
        <w:rPr>
          <w:i w:val="0"/>
          <w:iCs/>
          <w:lang w:val="en-US"/>
        </w:rPr>
        <w:t xml:space="preserve">, </w:t>
      </w:r>
      <w:r w:rsidR="00B726FA" w:rsidRPr="001558A5">
        <w:rPr>
          <w:i w:val="0"/>
          <w:iCs/>
          <w:lang w:val="en-US"/>
        </w:rPr>
        <w:t>on January 23,</w:t>
      </w:r>
      <w:r w:rsidR="00945CE2" w:rsidRPr="001558A5">
        <w:rPr>
          <w:i w:val="0"/>
          <w:iCs/>
          <w:lang w:val="en-US"/>
        </w:rPr>
        <w:t xml:space="preserve"> 2021, </w:t>
      </w:r>
      <w:r w:rsidR="00B726FA" w:rsidRPr="001558A5">
        <w:rPr>
          <w:i w:val="0"/>
          <w:iCs/>
          <w:lang w:val="en-US"/>
        </w:rPr>
        <w:t>they sent information on recent events that would “illustrate the increasingly hostile environment being promoted by different branches of the Honduran State for the full enjoyment of human rights of LGBTI persons,” and attached documentary support.</w:t>
      </w:r>
      <w:r w:rsidR="00945CE2" w:rsidRPr="001558A5">
        <w:rPr>
          <w:rStyle w:val="Refdenotaalpie"/>
          <w:i w:val="0"/>
          <w:iCs/>
          <w:lang w:val="en-US"/>
        </w:rPr>
        <w:footnoteReference w:id="38"/>
      </w:r>
      <w:r w:rsidR="00B726FA" w:rsidRPr="001558A5">
        <w:rPr>
          <w:i w:val="0"/>
          <w:iCs/>
          <w:lang w:val="en-US"/>
        </w:rPr>
        <w:t xml:space="preserve"> The Court admits this documentation because it refers to supervening events</w:t>
      </w:r>
      <w:r w:rsidR="00B67880" w:rsidRPr="001558A5">
        <w:rPr>
          <w:i w:val="0"/>
          <w:iCs/>
          <w:lang w:val="en-US"/>
        </w:rPr>
        <w:t xml:space="preserve">. </w:t>
      </w:r>
    </w:p>
    <w:p w14:paraId="551DAC38" w14:textId="696E545C" w:rsidR="00E73C71" w:rsidRPr="001558A5" w:rsidRDefault="00B726FA" w:rsidP="00B726FA">
      <w:pPr>
        <w:pStyle w:val="Estilo1"/>
        <w:numPr>
          <w:ilvl w:val="0"/>
          <w:numId w:val="2"/>
        </w:numPr>
        <w:tabs>
          <w:tab w:val="left" w:pos="0"/>
          <w:tab w:val="left" w:pos="567"/>
          <w:tab w:val="left" w:pos="1134"/>
        </w:tabs>
        <w:spacing w:before="120"/>
        <w:ind w:left="0" w:right="-6" w:firstLine="0"/>
        <w:rPr>
          <w:b/>
          <w:i w:val="0"/>
          <w:iCs/>
          <w:lang w:val="en-US"/>
        </w:rPr>
      </w:pPr>
      <w:r w:rsidRPr="001558A5">
        <w:rPr>
          <w:i w:val="0"/>
          <w:iCs/>
          <w:lang w:val="en-US"/>
        </w:rPr>
        <w:t>Lastly, the Court admits the evidence r</w:t>
      </w:r>
      <w:r w:rsidR="00443040" w:rsidRPr="001558A5">
        <w:rPr>
          <w:i w:val="0"/>
          <w:iCs/>
          <w:lang w:val="en-US"/>
        </w:rPr>
        <w:t>e</w:t>
      </w:r>
      <w:r w:rsidRPr="001558A5">
        <w:rPr>
          <w:i w:val="0"/>
          <w:iCs/>
          <w:lang w:val="en-US"/>
        </w:rPr>
        <w:t xml:space="preserve">quested </w:t>
      </w:r>
      <w:r w:rsidR="00BC6552" w:rsidRPr="001558A5">
        <w:rPr>
          <w:i w:val="0"/>
          <w:iCs/>
          <w:lang w:val="en-US"/>
        </w:rPr>
        <w:t xml:space="preserve">on January 29, 2021, </w:t>
      </w:r>
      <w:r w:rsidRPr="001558A5">
        <w:rPr>
          <w:i w:val="0"/>
          <w:iCs/>
          <w:lang w:val="en-US"/>
        </w:rPr>
        <w:t xml:space="preserve">under </w:t>
      </w:r>
      <w:r w:rsidR="00871E19" w:rsidRPr="001558A5">
        <w:rPr>
          <w:i w:val="0"/>
          <w:iCs/>
          <w:lang w:val="en-US"/>
        </w:rPr>
        <w:t>Article</w:t>
      </w:r>
      <w:r w:rsidR="00E73C71" w:rsidRPr="001558A5">
        <w:rPr>
          <w:i w:val="0"/>
          <w:iCs/>
          <w:lang w:val="en-US"/>
        </w:rPr>
        <w:t xml:space="preserve"> 58</w:t>
      </w:r>
      <w:r w:rsidR="00DD4354" w:rsidRPr="001558A5">
        <w:rPr>
          <w:i w:val="0"/>
          <w:iCs/>
          <w:lang w:val="en-US"/>
        </w:rPr>
        <w:t xml:space="preserve"> of the </w:t>
      </w:r>
      <w:r w:rsidR="00871E19" w:rsidRPr="001558A5">
        <w:rPr>
          <w:i w:val="0"/>
          <w:iCs/>
          <w:lang w:val="en-US"/>
        </w:rPr>
        <w:t>Rules of Procedure</w:t>
      </w:r>
      <w:r w:rsidRPr="001558A5">
        <w:rPr>
          <w:i w:val="0"/>
          <w:iCs/>
          <w:lang w:val="en-US"/>
        </w:rPr>
        <w:t>.</w:t>
      </w:r>
      <w:r w:rsidR="00E73C71" w:rsidRPr="001558A5">
        <w:rPr>
          <w:rStyle w:val="Refdenotaalpie"/>
          <w:i w:val="0"/>
          <w:iCs/>
          <w:lang w:val="en-US"/>
        </w:rPr>
        <w:footnoteReference w:id="39"/>
      </w:r>
      <w:r w:rsidRPr="001558A5">
        <w:rPr>
          <w:i w:val="0"/>
          <w:iCs/>
          <w:lang w:val="en-US"/>
        </w:rPr>
        <w:t xml:space="preserve"> On that occasion, the State was asked to provide information on all </w:t>
      </w:r>
      <w:r w:rsidR="00F51804" w:rsidRPr="001558A5">
        <w:rPr>
          <w:i w:val="0"/>
          <w:iCs/>
          <w:lang w:val="en-US"/>
        </w:rPr>
        <w:t>cases</w:t>
      </w:r>
      <w:r w:rsidR="00BC6552" w:rsidRPr="001558A5">
        <w:rPr>
          <w:i w:val="0"/>
          <w:iCs/>
          <w:lang w:val="en-US"/>
        </w:rPr>
        <w:t xml:space="preserve"> of violence that</w:t>
      </w:r>
      <w:r w:rsidRPr="001558A5">
        <w:rPr>
          <w:i w:val="0"/>
          <w:iCs/>
          <w:lang w:val="en-US"/>
        </w:rPr>
        <w:t xml:space="preserve"> culminat</w:t>
      </w:r>
      <w:r w:rsidR="00BC6552" w:rsidRPr="001558A5">
        <w:rPr>
          <w:i w:val="0"/>
          <w:iCs/>
          <w:lang w:val="en-US"/>
        </w:rPr>
        <w:t>ed</w:t>
      </w:r>
      <w:r w:rsidRPr="001558A5">
        <w:rPr>
          <w:i w:val="0"/>
          <w:iCs/>
          <w:lang w:val="en-US"/>
        </w:rPr>
        <w:t xml:space="preserve"> in the death of one or more persons </w:t>
      </w:r>
      <w:r w:rsidR="00443040" w:rsidRPr="001558A5">
        <w:rPr>
          <w:i w:val="0"/>
          <w:iCs/>
          <w:lang w:val="en-US"/>
        </w:rPr>
        <w:t xml:space="preserve">in Honduras </w:t>
      </w:r>
      <w:r w:rsidRPr="001558A5">
        <w:rPr>
          <w:i w:val="0"/>
          <w:iCs/>
          <w:lang w:val="en-US"/>
        </w:rPr>
        <w:t xml:space="preserve">between June 25 and September 1, 2009, and, in particular, in </w:t>
      </w:r>
      <w:r w:rsidR="00E73C71" w:rsidRPr="001558A5">
        <w:rPr>
          <w:i w:val="0"/>
          <w:iCs/>
          <w:lang w:val="en-US"/>
        </w:rPr>
        <w:t xml:space="preserve">San Pedro Sula. </w:t>
      </w:r>
    </w:p>
    <w:p w14:paraId="53DAAB67" w14:textId="3E061A61" w:rsidR="0022482D" w:rsidRPr="001558A5" w:rsidRDefault="003A07E3" w:rsidP="00945CE2">
      <w:pPr>
        <w:pStyle w:val="Ttulo1"/>
        <w:rPr>
          <w:b w:val="0"/>
          <w:bCs w:val="0"/>
          <w:caps w:val="0"/>
          <w:lang w:val="en-US"/>
        </w:rPr>
      </w:pPr>
      <w:bookmarkStart w:id="69" w:name="_Toc476251455"/>
      <w:bookmarkStart w:id="70" w:name="_Toc15303996"/>
      <w:bookmarkStart w:id="71" w:name="_Toc73430043"/>
      <w:bookmarkStart w:id="72" w:name="_Toc476251456"/>
      <w:bookmarkStart w:id="73" w:name="_Toc15303999"/>
      <w:r w:rsidRPr="001558A5">
        <w:rPr>
          <w:caps w:val="0"/>
          <w:lang w:val="en-US"/>
        </w:rPr>
        <w:t>VI</w:t>
      </w:r>
      <w:r w:rsidRPr="001558A5">
        <w:rPr>
          <w:caps w:val="0"/>
          <w:color w:val="FFFFFF" w:themeColor="background1"/>
          <w:lang w:val="en-US"/>
        </w:rPr>
        <w:t>.</w:t>
      </w:r>
      <w:r w:rsidRPr="001558A5">
        <w:rPr>
          <w:caps w:val="0"/>
          <w:lang w:val="en-US"/>
        </w:rPr>
        <w:br/>
      </w:r>
      <w:r w:rsidR="00871E19" w:rsidRPr="001558A5">
        <w:rPr>
          <w:caps w:val="0"/>
          <w:lang w:val="en-US"/>
        </w:rPr>
        <w:t>FACTS</w:t>
      </w:r>
      <w:bookmarkEnd w:id="69"/>
      <w:bookmarkEnd w:id="70"/>
      <w:bookmarkEnd w:id="71"/>
    </w:p>
    <w:p w14:paraId="02D7C104" w14:textId="091A2BCD" w:rsidR="0022482D" w:rsidRPr="001558A5" w:rsidRDefault="00443040" w:rsidP="00945CE2">
      <w:pPr>
        <w:pStyle w:val="Prrafodelista"/>
        <w:numPr>
          <w:ilvl w:val="0"/>
          <w:numId w:val="2"/>
        </w:numPr>
        <w:spacing w:before="120" w:after="120"/>
        <w:ind w:left="0" w:firstLine="0"/>
        <w:contextualSpacing w:val="0"/>
        <w:rPr>
          <w:szCs w:val="20"/>
          <w:lang w:val="en-US"/>
        </w:rPr>
      </w:pPr>
      <w:r w:rsidRPr="001558A5">
        <w:rPr>
          <w:szCs w:val="20"/>
          <w:lang w:val="en-US"/>
        </w:rPr>
        <w:t>In this</w:t>
      </w:r>
      <w:r w:rsidR="0022482D" w:rsidRPr="001558A5">
        <w:rPr>
          <w:szCs w:val="20"/>
          <w:lang w:val="en-US"/>
        </w:rPr>
        <w:t xml:space="preserve"> </w:t>
      </w:r>
      <w:r w:rsidRPr="001558A5">
        <w:rPr>
          <w:szCs w:val="20"/>
          <w:lang w:val="en-US"/>
        </w:rPr>
        <w:t>c</w:t>
      </w:r>
      <w:r w:rsidR="00907FBD" w:rsidRPr="001558A5">
        <w:rPr>
          <w:szCs w:val="20"/>
          <w:lang w:val="en-US"/>
        </w:rPr>
        <w:t>hapter</w:t>
      </w:r>
      <w:r w:rsidR="009A438B" w:rsidRPr="001558A5">
        <w:rPr>
          <w:szCs w:val="20"/>
          <w:lang w:val="en-US"/>
        </w:rPr>
        <w:t>,</w:t>
      </w:r>
      <w:r w:rsidR="0022482D" w:rsidRPr="001558A5">
        <w:rPr>
          <w:szCs w:val="20"/>
          <w:lang w:val="en-US"/>
        </w:rPr>
        <w:t xml:space="preserve"> </w:t>
      </w:r>
      <w:r w:rsidR="00871E19" w:rsidRPr="001558A5">
        <w:rPr>
          <w:szCs w:val="20"/>
          <w:lang w:val="en-US"/>
        </w:rPr>
        <w:t>the Court</w:t>
      </w:r>
      <w:r w:rsidR="0022482D" w:rsidRPr="001558A5">
        <w:rPr>
          <w:szCs w:val="20"/>
          <w:lang w:val="en-US"/>
        </w:rPr>
        <w:t xml:space="preserve"> </w:t>
      </w:r>
      <w:r w:rsidR="00215FEF" w:rsidRPr="001558A5">
        <w:rPr>
          <w:szCs w:val="20"/>
          <w:lang w:val="en-US"/>
        </w:rPr>
        <w:t xml:space="preserve">will establish the facts that will be considered proved in this case based on the </w:t>
      </w:r>
      <w:r w:rsidR="00973D19" w:rsidRPr="001558A5">
        <w:rPr>
          <w:szCs w:val="20"/>
          <w:lang w:val="en-US"/>
        </w:rPr>
        <w:t>acknowledgement of responsibility</w:t>
      </w:r>
      <w:r w:rsidR="009A438B" w:rsidRPr="001558A5">
        <w:rPr>
          <w:szCs w:val="20"/>
          <w:lang w:val="en-US"/>
        </w:rPr>
        <w:t xml:space="preserve">, </w:t>
      </w:r>
      <w:r w:rsidR="00215FEF" w:rsidRPr="001558A5">
        <w:rPr>
          <w:szCs w:val="20"/>
          <w:lang w:val="en-US"/>
        </w:rPr>
        <w:t>the body of evidence that has been admitted, and within the factual framework established in the</w:t>
      </w:r>
      <w:r w:rsidR="0022482D" w:rsidRPr="001558A5">
        <w:rPr>
          <w:szCs w:val="20"/>
          <w:lang w:val="en-US"/>
        </w:rPr>
        <w:t xml:space="preserve"> </w:t>
      </w:r>
      <w:r w:rsidR="00EB397C" w:rsidRPr="001558A5">
        <w:rPr>
          <w:szCs w:val="20"/>
          <w:lang w:val="en-US"/>
        </w:rPr>
        <w:t>Merits Report</w:t>
      </w:r>
      <w:r w:rsidR="0022482D" w:rsidRPr="001558A5">
        <w:rPr>
          <w:szCs w:val="20"/>
          <w:lang w:val="en-US"/>
        </w:rPr>
        <w:t xml:space="preserve">. </w:t>
      </w:r>
      <w:r w:rsidR="00215FEF" w:rsidRPr="001558A5">
        <w:rPr>
          <w:szCs w:val="20"/>
          <w:lang w:val="en-US"/>
        </w:rPr>
        <w:t>This will also include the facts described by the parties that explain, clarify or reject that factual framework.</w:t>
      </w:r>
      <w:r w:rsidR="0022482D" w:rsidRPr="001558A5">
        <w:rPr>
          <w:rStyle w:val="Refdenotaalpie"/>
          <w:rFonts w:cs="Verdana"/>
          <w:lang w:val="en-US"/>
        </w:rPr>
        <w:footnoteReference w:id="40"/>
      </w:r>
      <w:r w:rsidR="00215FEF" w:rsidRPr="001558A5">
        <w:rPr>
          <w:szCs w:val="20"/>
          <w:lang w:val="en-US"/>
        </w:rPr>
        <w:t xml:space="preserve"> The facts will be described in the following order: (</w:t>
      </w:r>
      <w:r w:rsidR="0022482D" w:rsidRPr="001558A5">
        <w:rPr>
          <w:rFonts w:cs="Verdana"/>
          <w:szCs w:val="20"/>
          <w:lang w:val="en-US"/>
        </w:rPr>
        <w:t xml:space="preserve">a) </w:t>
      </w:r>
      <w:r w:rsidR="00DD4354" w:rsidRPr="001558A5">
        <w:rPr>
          <w:rFonts w:cs="Verdana"/>
          <w:szCs w:val="20"/>
          <w:lang w:val="en-US"/>
        </w:rPr>
        <w:t>Context</w:t>
      </w:r>
      <w:r w:rsidR="0022482D" w:rsidRPr="001558A5">
        <w:rPr>
          <w:rFonts w:cs="Verdana"/>
          <w:szCs w:val="20"/>
          <w:lang w:val="en-US"/>
        </w:rPr>
        <w:t xml:space="preserve">; </w:t>
      </w:r>
      <w:r w:rsidR="00215FEF" w:rsidRPr="001558A5">
        <w:rPr>
          <w:rFonts w:cs="Verdana"/>
          <w:szCs w:val="20"/>
          <w:lang w:val="en-US"/>
        </w:rPr>
        <w:t>(</w:t>
      </w:r>
      <w:r w:rsidR="0022482D" w:rsidRPr="001558A5">
        <w:rPr>
          <w:rFonts w:cs="Verdana"/>
          <w:szCs w:val="20"/>
          <w:lang w:val="en-US"/>
        </w:rPr>
        <w:t xml:space="preserve">b) </w:t>
      </w:r>
      <w:r w:rsidR="00215FEF" w:rsidRPr="001558A5">
        <w:rPr>
          <w:rFonts w:cs="Verdana"/>
          <w:szCs w:val="20"/>
          <w:lang w:val="en-US"/>
        </w:rPr>
        <w:t>Vicky Hernández and her death</w:t>
      </w:r>
      <w:r w:rsidR="00857E5D" w:rsidRPr="001558A5">
        <w:rPr>
          <w:szCs w:val="20"/>
          <w:lang w:val="en-US"/>
        </w:rPr>
        <w:t>,</w:t>
      </w:r>
      <w:r w:rsidR="00DD4354" w:rsidRPr="001558A5">
        <w:rPr>
          <w:szCs w:val="20"/>
          <w:lang w:val="en-US"/>
        </w:rPr>
        <w:t xml:space="preserve"> and </w:t>
      </w:r>
      <w:r w:rsidR="00891461" w:rsidRPr="001558A5">
        <w:rPr>
          <w:szCs w:val="20"/>
          <w:lang w:val="en-US"/>
        </w:rPr>
        <w:t>(</w:t>
      </w:r>
      <w:r w:rsidR="0022482D" w:rsidRPr="001558A5">
        <w:rPr>
          <w:szCs w:val="20"/>
          <w:lang w:val="en-US"/>
        </w:rPr>
        <w:t xml:space="preserve">c) </w:t>
      </w:r>
      <w:r w:rsidR="00215FEF" w:rsidRPr="001558A5">
        <w:rPr>
          <w:szCs w:val="20"/>
          <w:lang w:val="en-US"/>
        </w:rPr>
        <w:t>Investigations into the death of</w:t>
      </w:r>
      <w:r w:rsidR="0022482D" w:rsidRPr="001558A5">
        <w:rPr>
          <w:szCs w:val="20"/>
          <w:lang w:val="en-US"/>
        </w:rPr>
        <w:t xml:space="preserve"> </w:t>
      </w:r>
      <w:r w:rsidR="00503F25" w:rsidRPr="001558A5">
        <w:rPr>
          <w:szCs w:val="20"/>
          <w:lang w:val="en-US"/>
        </w:rPr>
        <w:t>Vicky Hernández.</w:t>
      </w:r>
    </w:p>
    <w:p w14:paraId="6AEEAF9E" w14:textId="6A50F284" w:rsidR="0022482D" w:rsidRPr="001558A5" w:rsidRDefault="00DD4354" w:rsidP="00945CE2">
      <w:pPr>
        <w:pStyle w:val="Ttulo2"/>
        <w:numPr>
          <w:ilvl w:val="0"/>
          <w:numId w:val="20"/>
        </w:numPr>
        <w:spacing w:before="240" w:after="240"/>
        <w:rPr>
          <w:rFonts w:ascii="Verdana" w:hAnsi="Verdana"/>
          <w:i/>
          <w:color w:val="auto"/>
          <w:sz w:val="20"/>
          <w:szCs w:val="20"/>
          <w:lang w:val="en-US"/>
        </w:rPr>
      </w:pPr>
      <w:r w:rsidRPr="001558A5">
        <w:rPr>
          <w:rFonts w:ascii="Verdana" w:hAnsi="Verdana"/>
          <w:i/>
          <w:color w:val="auto"/>
          <w:sz w:val="20"/>
          <w:szCs w:val="20"/>
          <w:lang w:val="en-US"/>
        </w:rPr>
        <w:t>Context</w:t>
      </w:r>
    </w:p>
    <w:p w14:paraId="7C1B790F" w14:textId="73E91458" w:rsidR="00544882" w:rsidRPr="001558A5" w:rsidRDefault="00215FEF" w:rsidP="00945CE2">
      <w:pPr>
        <w:pStyle w:val="Prrafodelista"/>
        <w:numPr>
          <w:ilvl w:val="0"/>
          <w:numId w:val="2"/>
        </w:numPr>
        <w:spacing w:before="120" w:after="120"/>
        <w:ind w:left="0" w:firstLine="0"/>
        <w:contextualSpacing w:val="0"/>
        <w:rPr>
          <w:szCs w:val="20"/>
          <w:lang w:val="en-US"/>
        </w:rPr>
      </w:pPr>
      <w:r w:rsidRPr="001558A5">
        <w:rPr>
          <w:szCs w:val="20"/>
          <w:lang w:val="en-US"/>
        </w:rPr>
        <w:t>The facts of this case took place in a</w:t>
      </w:r>
      <w:r w:rsidR="00544882" w:rsidRPr="001558A5">
        <w:rPr>
          <w:szCs w:val="20"/>
          <w:lang w:val="en-US"/>
        </w:rPr>
        <w:t xml:space="preserve"> </w:t>
      </w:r>
      <w:r w:rsidR="00DD4354" w:rsidRPr="001558A5">
        <w:rPr>
          <w:szCs w:val="20"/>
          <w:lang w:val="en-US"/>
        </w:rPr>
        <w:t>context</w:t>
      </w:r>
      <w:r w:rsidR="00544882" w:rsidRPr="001558A5">
        <w:rPr>
          <w:szCs w:val="20"/>
          <w:lang w:val="en-US"/>
        </w:rPr>
        <w:t xml:space="preserve"> </w:t>
      </w:r>
      <w:r w:rsidRPr="001558A5">
        <w:rPr>
          <w:szCs w:val="20"/>
          <w:lang w:val="en-US"/>
        </w:rPr>
        <w:t xml:space="preserve">of violence </w:t>
      </w:r>
      <w:r w:rsidR="009460CA" w:rsidRPr="001558A5">
        <w:rPr>
          <w:szCs w:val="20"/>
          <w:lang w:val="en-US"/>
        </w:rPr>
        <w:t>against the LGBTI community</w:t>
      </w:r>
      <w:r w:rsidRPr="001558A5">
        <w:rPr>
          <w:szCs w:val="20"/>
          <w:lang w:val="en-US"/>
        </w:rPr>
        <w:t>, especially against trans women and</w:t>
      </w:r>
      <w:r w:rsidR="00891461" w:rsidRPr="001558A5">
        <w:rPr>
          <w:szCs w:val="20"/>
          <w:lang w:val="en-US"/>
        </w:rPr>
        <w:t xml:space="preserve"> also</w:t>
      </w:r>
      <w:r w:rsidRPr="001558A5">
        <w:rPr>
          <w:szCs w:val="20"/>
          <w:lang w:val="en-US"/>
        </w:rPr>
        <w:t xml:space="preserve"> in the context </w:t>
      </w:r>
      <w:r w:rsidR="00B74256" w:rsidRPr="001558A5">
        <w:rPr>
          <w:szCs w:val="20"/>
          <w:lang w:val="en-US"/>
        </w:rPr>
        <w:t>of the coup d’état</w:t>
      </w:r>
      <w:r w:rsidR="00544882" w:rsidRPr="001558A5">
        <w:rPr>
          <w:szCs w:val="20"/>
          <w:lang w:val="en-US"/>
        </w:rPr>
        <w:t xml:space="preserve"> </w:t>
      </w:r>
      <w:r w:rsidR="00443040" w:rsidRPr="001558A5">
        <w:rPr>
          <w:szCs w:val="20"/>
          <w:lang w:val="en-US"/>
        </w:rPr>
        <w:t>of June 28,</w:t>
      </w:r>
      <w:r w:rsidR="00544882" w:rsidRPr="001558A5">
        <w:rPr>
          <w:szCs w:val="20"/>
          <w:lang w:val="en-US"/>
        </w:rPr>
        <w:t xml:space="preserve"> 2009</w:t>
      </w:r>
      <w:r w:rsidRPr="001558A5">
        <w:rPr>
          <w:szCs w:val="20"/>
          <w:lang w:val="en-US"/>
        </w:rPr>
        <w:t>,</w:t>
      </w:r>
      <w:r w:rsidR="00544882" w:rsidRPr="001558A5">
        <w:rPr>
          <w:szCs w:val="20"/>
          <w:lang w:val="en-US"/>
        </w:rPr>
        <w:t xml:space="preserve"> </w:t>
      </w:r>
      <w:r w:rsidRPr="001558A5">
        <w:rPr>
          <w:szCs w:val="20"/>
          <w:lang w:val="en-US"/>
        </w:rPr>
        <w:t>in Honduras</w:t>
      </w:r>
      <w:r w:rsidR="00EE13E0" w:rsidRPr="001558A5">
        <w:rPr>
          <w:szCs w:val="20"/>
          <w:lang w:val="en-US"/>
        </w:rPr>
        <w:t xml:space="preserve"> </w:t>
      </w:r>
      <w:r w:rsidR="00530811" w:rsidRPr="001558A5">
        <w:rPr>
          <w:szCs w:val="20"/>
          <w:lang w:val="en-US"/>
        </w:rPr>
        <w:t>d</w:t>
      </w:r>
      <w:r w:rsidRPr="001558A5">
        <w:rPr>
          <w:szCs w:val="20"/>
          <w:lang w:val="en-US"/>
        </w:rPr>
        <w:t xml:space="preserve">uring which a curfew was ordered. </w:t>
      </w:r>
    </w:p>
    <w:p w14:paraId="0C41B505" w14:textId="47450EFB" w:rsidR="00544882" w:rsidRPr="001558A5" w:rsidRDefault="00544882" w:rsidP="00945CE2">
      <w:pPr>
        <w:pStyle w:val="Ttulo3"/>
        <w:spacing w:before="240" w:after="240"/>
        <w:ind w:left="357" w:firstLine="709"/>
        <w:rPr>
          <w:b w:val="0"/>
          <w:snapToGrid w:val="0"/>
          <w:spacing w:val="-2"/>
          <w:szCs w:val="20"/>
          <w:lang w:val="en-US" w:eastAsia="es-ES"/>
        </w:rPr>
      </w:pPr>
      <w:bookmarkStart w:id="74" w:name="_Toc73430045"/>
      <w:r w:rsidRPr="001558A5">
        <w:rPr>
          <w:b w:val="0"/>
          <w:snapToGrid w:val="0"/>
          <w:spacing w:val="-2"/>
          <w:szCs w:val="20"/>
          <w:lang w:val="en-US" w:eastAsia="es-ES"/>
        </w:rPr>
        <w:t xml:space="preserve">A.1. </w:t>
      </w:r>
      <w:r w:rsidR="00DD4354" w:rsidRPr="001558A5">
        <w:rPr>
          <w:b w:val="0"/>
          <w:snapToGrid w:val="0"/>
          <w:spacing w:val="-2"/>
          <w:szCs w:val="20"/>
          <w:lang w:val="en-US" w:eastAsia="es-ES"/>
        </w:rPr>
        <w:t>The context</w:t>
      </w:r>
      <w:r w:rsidR="00500209" w:rsidRPr="001558A5">
        <w:rPr>
          <w:b w:val="0"/>
          <w:snapToGrid w:val="0"/>
          <w:spacing w:val="-2"/>
          <w:szCs w:val="20"/>
          <w:lang w:val="en-US" w:eastAsia="es-ES"/>
        </w:rPr>
        <w:t xml:space="preserve"> </w:t>
      </w:r>
      <w:r w:rsidR="00215FEF" w:rsidRPr="001558A5">
        <w:rPr>
          <w:b w:val="0"/>
          <w:snapToGrid w:val="0"/>
          <w:spacing w:val="-2"/>
          <w:szCs w:val="20"/>
          <w:lang w:val="en-US" w:eastAsia="es-ES"/>
        </w:rPr>
        <w:t xml:space="preserve">of violence </w:t>
      </w:r>
      <w:r w:rsidR="009460CA" w:rsidRPr="001558A5">
        <w:rPr>
          <w:b w:val="0"/>
          <w:snapToGrid w:val="0"/>
          <w:spacing w:val="-2"/>
          <w:szCs w:val="20"/>
          <w:lang w:val="en-US" w:eastAsia="es-ES"/>
        </w:rPr>
        <w:t>against the LGBTI community</w:t>
      </w:r>
      <w:bookmarkEnd w:id="74"/>
    </w:p>
    <w:p w14:paraId="66C1505E" w14:textId="5E6E5A6E" w:rsidR="000C18D7" w:rsidRPr="001558A5" w:rsidRDefault="00891461" w:rsidP="009460CA">
      <w:pPr>
        <w:pStyle w:val="Prrafodelista"/>
        <w:numPr>
          <w:ilvl w:val="0"/>
          <w:numId w:val="2"/>
        </w:numPr>
        <w:spacing w:before="120" w:after="120"/>
        <w:ind w:left="0" w:firstLine="0"/>
        <w:contextualSpacing w:val="0"/>
        <w:rPr>
          <w:szCs w:val="20"/>
          <w:lang w:val="en-US"/>
        </w:rPr>
      </w:pPr>
      <w:r w:rsidRPr="001558A5">
        <w:rPr>
          <w:szCs w:val="20"/>
          <w:lang w:val="en-US"/>
        </w:rPr>
        <w:t>When</w:t>
      </w:r>
      <w:r w:rsidR="00215FEF" w:rsidRPr="001558A5">
        <w:rPr>
          <w:szCs w:val="20"/>
          <w:lang w:val="en-US"/>
        </w:rPr>
        <w:t xml:space="preserve"> the death of </w:t>
      </w:r>
      <w:r w:rsidR="000C18D7" w:rsidRPr="001558A5">
        <w:rPr>
          <w:szCs w:val="20"/>
          <w:lang w:val="en-US"/>
        </w:rPr>
        <w:t>Vicky Hernández</w:t>
      </w:r>
      <w:r w:rsidR="00215FEF" w:rsidRPr="001558A5">
        <w:rPr>
          <w:szCs w:val="20"/>
          <w:lang w:val="en-US"/>
        </w:rPr>
        <w:t xml:space="preserve"> occurred</w:t>
      </w:r>
      <w:r w:rsidR="000C18D7" w:rsidRPr="001558A5">
        <w:rPr>
          <w:szCs w:val="20"/>
          <w:lang w:val="en-US"/>
        </w:rPr>
        <w:t>,</w:t>
      </w:r>
      <w:r w:rsidR="00215FEF" w:rsidRPr="001558A5">
        <w:rPr>
          <w:szCs w:val="20"/>
          <w:lang w:val="en-US"/>
        </w:rPr>
        <w:t xml:space="preserve"> a general</w:t>
      </w:r>
      <w:r w:rsidR="000C18D7" w:rsidRPr="001558A5">
        <w:rPr>
          <w:szCs w:val="20"/>
          <w:lang w:val="en-US"/>
        </w:rPr>
        <w:t xml:space="preserve"> </w:t>
      </w:r>
      <w:r w:rsidR="00DD4354" w:rsidRPr="001558A5">
        <w:rPr>
          <w:szCs w:val="20"/>
          <w:lang w:val="en-US"/>
        </w:rPr>
        <w:t>context</w:t>
      </w:r>
      <w:r w:rsidR="000C18D7" w:rsidRPr="001558A5">
        <w:rPr>
          <w:szCs w:val="20"/>
          <w:lang w:val="en-US"/>
        </w:rPr>
        <w:t xml:space="preserve"> </w:t>
      </w:r>
      <w:r w:rsidR="00215FEF" w:rsidRPr="001558A5">
        <w:rPr>
          <w:rFonts w:cs="Times New Roman"/>
          <w:szCs w:val="20"/>
          <w:lang w:val="en-US"/>
        </w:rPr>
        <w:t>of</w:t>
      </w:r>
      <w:r w:rsidR="000C18D7" w:rsidRPr="001558A5">
        <w:rPr>
          <w:szCs w:val="20"/>
          <w:lang w:val="en-US"/>
        </w:rPr>
        <w:t xml:space="preserve"> </w:t>
      </w:r>
      <w:r w:rsidR="00215FEF" w:rsidRPr="001558A5">
        <w:rPr>
          <w:szCs w:val="20"/>
          <w:lang w:val="en-US"/>
        </w:rPr>
        <w:t>discrimination</w:t>
      </w:r>
      <w:r w:rsidR="00DD4354" w:rsidRPr="001558A5">
        <w:rPr>
          <w:szCs w:val="20"/>
          <w:lang w:val="en-US"/>
        </w:rPr>
        <w:t xml:space="preserve"> and </w:t>
      </w:r>
      <w:r w:rsidR="00215FEF" w:rsidRPr="001558A5">
        <w:rPr>
          <w:szCs w:val="20"/>
          <w:lang w:val="en-US"/>
        </w:rPr>
        <w:t xml:space="preserve">violence </w:t>
      </w:r>
      <w:r w:rsidR="009460CA" w:rsidRPr="001558A5">
        <w:rPr>
          <w:szCs w:val="20"/>
          <w:lang w:val="en-US"/>
        </w:rPr>
        <w:t>against the LGBTI community</w:t>
      </w:r>
      <w:r w:rsidRPr="001558A5">
        <w:rPr>
          <w:szCs w:val="20"/>
          <w:lang w:val="en-US"/>
        </w:rPr>
        <w:t xml:space="preserve"> existed in Honduras</w:t>
      </w:r>
      <w:r w:rsidR="00215FEF" w:rsidRPr="001558A5">
        <w:rPr>
          <w:szCs w:val="20"/>
          <w:lang w:val="en-US"/>
        </w:rPr>
        <w:t>.</w:t>
      </w:r>
      <w:r w:rsidR="000C18D7" w:rsidRPr="001558A5">
        <w:rPr>
          <w:rStyle w:val="Refdenotaalpie"/>
          <w:lang w:val="en-US"/>
        </w:rPr>
        <w:footnoteReference w:id="41"/>
      </w:r>
      <w:r w:rsidR="000C18D7" w:rsidRPr="001558A5">
        <w:rPr>
          <w:szCs w:val="20"/>
          <w:lang w:val="en-US"/>
        </w:rPr>
        <w:t xml:space="preserve"> </w:t>
      </w:r>
      <w:r w:rsidR="00215FEF" w:rsidRPr="001558A5">
        <w:rPr>
          <w:szCs w:val="20"/>
          <w:lang w:val="en-US"/>
        </w:rPr>
        <w:t>In this regard</w:t>
      </w:r>
      <w:r w:rsidR="000C18D7" w:rsidRPr="001558A5">
        <w:rPr>
          <w:szCs w:val="20"/>
          <w:lang w:val="en-US"/>
        </w:rPr>
        <w:t xml:space="preserve">, </w:t>
      </w:r>
      <w:r w:rsidR="00215FEF" w:rsidRPr="001558A5">
        <w:rPr>
          <w:rFonts w:cs="Times New Roman"/>
          <w:szCs w:val="20"/>
          <w:lang w:val="en-US"/>
        </w:rPr>
        <w:t>the United Nations</w:t>
      </w:r>
      <w:r w:rsidR="000C18D7" w:rsidRPr="001558A5">
        <w:rPr>
          <w:rFonts w:cs="Times New Roman"/>
          <w:szCs w:val="20"/>
          <w:lang w:val="en-US"/>
        </w:rPr>
        <w:t xml:space="preserve"> </w:t>
      </w:r>
      <w:r w:rsidR="00443040" w:rsidRPr="001558A5">
        <w:rPr>
          <w:rFonts w:cs="Times New Roman"/>
          <w:szCs w:val="20"/>
          <w:lang w:val="en-US"/>
        </w:rPr>
        <w:t>Special Rapporteur on</w:t>
      </w:r>
      <w:r w:rsidR="001A6E0E" w:rsidRPr="001558A5">
        <w:rPr>
          <w:rFonts w:cs="Times New Roman"/>
          <w:szCs w:val="20"/>
          <w:lang w:val="en-US"/>
        </w:rPr>
        <w:t xml:space="preserve"> </w:t>
      </w:r>
      <w:r w:rsidR="009460CA" w:rsidRPr="001558A5">
        <w:rPr>
          <w:rFonts w:cs="Times New Roman"/>
          <w:szCs w:val="20"/>
          <w:lang w:val="en-US"/>
        </w:rPr>
        <w:t xml:space="preserve">the situation of human rights defenders indicated that the </w:t>
      </w:r>
      <w:r w:rsidR="009460CA" w:rsidRPr="001558A5">
        <w:rPr>
          <w:szCs w:val="20"/>
          <w:lang w:val="en-US"/>
        </w:rPr>
        <w:t>“</w:t>
      </w:r>
      <w:r w:rsidR="009460CA" w:rsidRPr="001558A5">
        <w:rPr>
          <w:rStyle w:val="markedcontent"/>
          <w:szCs w:val="20"/>
          <w:lang w:val="en-US"/>
        </w:rPr>
        <w:t xml:space="preserve">persistence of acts of violence and attacks against persons belonging to the </w:t>
      </w:r>
      <w:r w:rsidR="009460CA" w:rsidRPr="001558A5">
        <w:rPr>
          <w:szCs w:val="20"/>
          <w:lang w:val="en-US"/>
        </w:rPr>
        <w:br/>
      </w:r>
      <w:r w:rsidR="009460CA" w:rsidRPr="001558A5">
        <w:rPr>
          <w:rStyle w:val="markedcontent"/>
          <w:szCs w:val="20"/>
          <w:lang w:val="en-US"/>
        </w:rPr>
        <w:t xml:space="preserve">LGBTI community [since </w:t>
      </w:r>
      <w:r w:rsidR="009460CA" w:rsidRPr="001558A5">
        <w:rPr>
          <w:rStyle w:val="markedcontent"/>
          <w:rFonts w:cs="Arial"/>
          <w:szCs w:val="20"/>
          <w:lang w:val="en-US"/>
        </w:rPr>
        <w:t>the coup d’état</w:t>
      </w:r>
      <w:r w:rsidR="009460CA" w:rsidRPr="001558A5">
        <w:rPr>
          <w:rStyle w:val="markedcontent"/>
          <w:szCs w:val="20"/>
          <w:lang w:val="en-US"/>
        </w:rPr>
        <w:t>] could correspond to patterns of hate crimes by public and private agents, including, primarily, the police and private security guards</w:t>
      </w:r>
      <w:r w:rsidR="009460CA" w:rsidRPr="001558A5">
        <w:rPr>
          <w:szCs w:val="20"/>
          <w:lang w:val="en-US"/>
        </w:rPr>
        <w:t>.</w:t>
      </w:r>
      <w:r w:rsidR="002E5062" w:rsidRPr="001558A5">
        <w:rPr>
          <w:szCs w:val="20"/>
          <w:lang w:val="en-US"/>
        </w:rPr>
        <w:t>”</w:t>
      </w:r>
      <w:r w:rsidR="000C18D7" w:rsidRPr="001558A5">
        <w:rPr>
          <w:rStyle w:val="Refdenotaalpie"/>
          <w:lang w:val="en-US"/>
        </w:rPr>
        <w:footnoteReference w:id="42"/>
      </w:r>
      <w:r w:rsidR="009460CA" w:rsidRPr="001558A5">
        <w:rPr>
          <w:rFonts w:cs="Times New Roman"/>
          <w:szCs w:val="20"/>
          <w:lang w:val="en-US"/>
        </w:rPr>
        <w:t xml:space="preserve"> Meanwhile, the</w:t>
      </w:r>
      <w:r w:rsidR="000C18D7" w:rsidRPr="001558A5">
        <w:rPr>
          <w:rFonts w:cs="Times New Roman"/>
          <w:szCs w:val="20"/>
          <w:lang w:val="en-US"/>
        </w:rPr>
        <w:t xml:space="preserve"> </w:t>
      </w:r>
      <w:r w:rsidR="00443040" w:rsidRPr="001558A5">
        <w:rPr>
          <w:rFonts w:cs="Times New Roman"/>
          <w:szCs w:val="20"/>
          <w:lang w:val="en-US"/>
        </w:rPr>
        <w:t>United Nations High Commissioner for Human Rights</w:t>
      </w:r>
      <w:r w:rsidR="000C18D7" w:rsidRPr="001558A5">
        <w:rPr>
          <w:rFonts w:cs="Times New Roman"/>
          <w:szCs w:val="20"/>
          <w:lang w:val="en-US"/>
        </w:rPr>
        <w:t xml:space="preserve"> </w:t>
      </w:r>
      <w:r w:rsidR="009460CA" w:rsidRPr="001558A5">
        <w:rPr>
          <w:rFonts w:cs="Times New Roman"/>
          <w:szCs w:val="20"/>
          <w:lang w:val="en-US"/>
        </w:rPr>
        <w:t>indicated that</w:t>
      </w:r>
      <w:r w:rsidR="000C18D7" w:rsidRPr="001558A5">
        <w:rPr>
          <w:rFonts w:cs="Times New Roman"/>
          <w:szCs w:val="20"/>
          <w:lang w:val="en-US"/>
        </w:rPr>
        <w:t xml:space="preserve"> </w:t>
      </w:r>
      <w:r w:rsidR="009460CA" w:rsidRPr="001558A5">
        <w:rPr>
          <w:rFonts w:cs="Times New Roman"/>
          <w:szCs w:val="20"/>
          <w:lang w:val="en-US"/>
        </w:rPr>
        <w:t>“</w:t>
      </w:r>
      <w:r w:rsidR="00B74256" w:rsidRPr="001558A5">
        <w:rPr>
          <w:rFonts w:cs="Times New Roman"/>
          <w:szCs w:val="20"/>
          <w:lang w:val="en-US"/>
        </w:rPr>
        <w:t>the coup d’état</w:t>
      </w:r>
      <w:r w:rsidR="000C18D7" w:rsidRPr="001558A5">
        <w:rPr>
          <w:rFonts w:cs="Times New Roman"/>
          <w:szCs w:val="20"/>
          <w:lang w:val="en-US"/>
        </w:rPr>
        <w:t xml:space="preserve"> </w:t>
      </w:r>
      <w:r w:rsidRPr="001558A5">
        <w:rPr>
          <w:rFonts w:cs="Times New Roman"/>
          <w:szCs w:val="20"/>
          <w:lang w:val="en-US"/>
        </w:rPr>
        <w:t xml:space="preserve">[in Honduras] </w:t>
      </w:r>
      <w:r w:rsidR="009460CA" w:rsidRPr="001558A5">
        <w:rPr>
          <w:rFonts w:cs="Times New Roman"/>
          <w:szCs w:val="20"/>
          <w:lang w:val="en-US"/>
        </w:rPr>
        <w:t xml:space="preserve">gave rise to a number of human rights violations, most of which remain unpunished,” </w:t>
      </w:r>
      <w:r w:rsidRPr="001558A5">
        <w:rPr>
          <w:rFonts w:cs="Times New Roman"/>
          <w:szCs w:val="20"/>
          <w:lang w:val="en-US"/>
        </w:rPr>
        <w:t>and this</w:t>
      </w:r>
      <w:r w:rsidR="009460CA" w:rsidRPr="001558A5">
        <w:rPr>
          <w:rFonts w:cs="Times New Roman"/>
          <w:szCs w:val="20"/>
          <w:lang w:val="en-US"/>
        </w:rPr>
        <w:t xml:space="preserve"> “increased the vulnerability of victims.</w:t>
      </w:r>
      <w:r w:rsidR="002E5062" w:rsidRPr="001558A5">
        <w:rPr>
          <w:rFonts w:cs="Times New Roman"/>
          <w:szCs w:val="20"/>
          <w:lang w:val="en-US"/>
        </w:rPr>
        <w:t>”</w:t>
      </w:r>
      <w:r w:rsidR="000C18D7" w:rsidRPr="001558A5">
        <w:rPr>
          <w:rStyle w:val="Refdenotaalpie"/>
          <w:lang w:val="en-US"/>
        </w:rPr>
        <w:footnoteReference w:id="43"/>
      </w:r>
      <w:r w:rsidR="000C18D7" w:rsidRPr="001558A5">
        <w:rPr>
          <w:rFonts w:cs="Times New Roman"/>
          <w:szCs w:val="20"/>
          <w:lang w:val="en-US"/>
        </w:rPr>
        <w:t xml:space="preserve"> </w:t>
      </w:r>
    </w:p>
    <w:p w14:paraId="21351D23" w14:textId="49F9F509" w:rsidR="000C18D7" w:rsidRPr="001558A5" w:rsidRDefault="002E5062" w:rsidP="002E5062">
      <w:pPr>
        <w:pStyle w:val="Prrafodelista"/>
        <w:numPr>
          <w:ilvl w:val="0"/>
          <w:numId w:val="2"/>
        </w:numPr>
        <w:spacing w:before="120" w:after="120"/>
        <w:ind w:left="0" w:firstLine="0"/>
        <w:contextualSpacing w:val="0"/>
        <w:rPr>
          <w:szCs w:val="20"/>
          <w:lang w:val="en-US"/>
        </w:rPr>
      </w:pPr>
      <w:r w:rsidRPr="001558A5">
        <w:rPr>
          <w:rFonts w:cs="Times New Roman"/>
          <w:szCs w:val="20"/>
          <w:lang w:val="en-US"/>
        </w:rPr>
        <w:t xml:space="preserve">In this regard, expert witness </w:t>
      </w:r>
      <w:r w:rsidR="000C18D7" w:rsidRPr="001558A5">
        <w:rPr>
          <w:rFonts w:cs="Times New Roman"/>
          <w:szCs w:val="20"/>
          <w:lang w:val="en-US"/>
        </w:rPr>
        <w:t xml:space="preserve">Carlos </w:t>
      </w:r>
      <w:proofErr w:type="spellStart"/>
      <w:r w:rsidR="000C18D7" w:rsidRPr="001558A5">
        <w:rPr>
          <w:rFonts w:cs="Times New Roman"/>
          <w:szCs w:val="20"/>
          <w:lang w:val="en-US"/>
        </w:rPr>
        <w:t>Zelada</w:t>
      </w:r>
      <w:proofErr w:type="spellEnd"/>
      <w:r w:rsidR="000C18D7" w:rsidRPr="001558A5">
        <w:rPr>
          <w:rFonts w:cs="Times New Roman"/>
          <w:szCs w:val="20"/>
          <w:lang w:val="en-US"/>
        </w:rPr>
        <w:t xml:space="preserve"> </w:t>
      </w:r>
      <w:r w:rsidRPr="001558A5">
        <w:rPr>
          <w:rFonts w:cs="Times New Roman"/>
          <w:szCs w:val="20"/>
          <w:lang w:val="en-US"/>
        </w:rPr>
        <w:t xml:space="preserve">informed the Court that a </w:t>
      </w:r>
      <w:r w:rsidR="00DD4354" w:rsidRPr="001558A5">
        <w:rPr>
          <w:rFonts w:cs="Times New Roman"/>
          <w:szCs w:val="20"/>
          <w:lang w:val="en-US"/>
        </w:rPr>
        <w:t>context</w:t>
      </w:r>
      <w:r w:rsidR="000C18D7" w:rsidRPr="001558A5">
        <w:rPr>
          <w:rFonts w:cs="Times New Roman"/>
          <w:szCs w:val="20"/>
          <w:lang w:val="en-US"/>
        </w:rPr>
        <w:t xml:space="preserve"> </w:t>
      </w:r>
      <w:r w:rsidRPr="001558A5">
        <w:rPr>
          <w:rFonts w:cs="Times New Roman"/>
          <w:szCs w:val="20"/>
          <w:lang w:val="en-US"/>
        </w:rPr>
        <w:t xml:space="preserve">of continual violence against </w:t>
      </w:r>
      <w:r w:rsidR="00891461" w:rsidRPr="001558A5">
        <w:rPr>
          <w:rFonts w:cs="Times New Roman"/>
          <w:szCs w:val="20"/>
          <w:lang w:val="en-US"/>
        </w:rPr>
        <w:t xml:space="preserve">the </w:t>
      </w:r>
      <w:r w:rsidRPr="001558A5">
        <w:rPr>
          <w:rFonts w:cs="Times New Roman"/>
          <w:szCs w:val="20"/>
          <w:lang w:val="en-US"/>
        </w:rPr>
        <w:t xml:space="preserve">LGBTI </w:t>
      </w:r>
      <w:r w:rsidR="00891461" w:rsidRPr="001558A5">
        <w:rPr>
          <w:rFonts w:cs="Times New Roman"/>
          <w:szCs w:val="20"/>
          <w:lang w:val="en-US"/>
        </w:rPr>
        <w:t>community</w:t>
      </w:r>
      <w:r w:rsidRPr="001558A5">
        <w:rPr>
          <w:rFonts w:cs="Times New Roman"/>
          <w:szCs w:val="20"/>
          <w:lang w:val="en-US"/>
        </w:rPr>
        <w:t xml:space="preserve"> exist</w:t>
      </w:r>
      <w:r w:rsidR="00891461" w:rsidRPr="001558A5">
        <w:rPr>
          <w:rFonts w:cs="Times New Roman"/>
          <w:szCs w:val="20"/>
          <w:lang w:val="en-US"/>
        </w:rPr>
        <w:t>ed</w:t>
      </w:r>
      <w:r w:rsidR="00D54DC1" w:rsidRPr="001558A5">
        <w:rPr>
          <w:rFonts w:cs="Times New Roman"/>
          <w:szCs w:val="20"/>
          <w:lang w:val="en-US"/>
        </w:rPr>
        <w:t xml:space="preserve"> in Honduras</w:t>
      </w:r>
      <w:r w:rsidRPr="001558A5">
        <w:rPr>
          <w:rFonts w:cs="Times New Roman"/>
          <w:szCs w:val="20"/>
          <w:lang w:val="en-US"/>
        </w:rPr>
        <w:t xml:space="preserve"> that </w:t>
      </w:r>
      <w:r w:rsidR="00891461" w:rsidRPr="001558A5">
        <w:rPr>
          <w:rFonts w:cs="Times New Roman"/>
          <w:szCs w:val="20"/>
          <w:lang w:val="en-US"/>
        </w:rPr>
        <w:t>went</w:t>
      </w:r>
      <w:r w:rsidRPr="001558A5">
        <w:rPr>
          <w:rFonts w:cs="Times New Roman"/>
          <w:szCs w:val="20"/>
          <w:lang w:val="en-US"/>
        </w:rPr>
        <w:t xml:space="preserve"> back to at least </w:t>
      </w:r>
      <w:r w:rsidR="000C18D7" w:rsidRPr="001558A5">
        <w:rPr>
          <w:rFonts w:cs="Times New Roman"/>
          <w:szCs w:val="20"/>
          <w:lang w:val="en-US"/>
        </w:rPr>
        <w:t xml:space="preserve">1994. </w:t>
      </w:r>
      <w:r w:rsidRPr="001558A5">
        <w:rPr>
          <w:rFonts w:cs="Times New Roman"/>
          <w:szCs w:val="20"/>
          <w:lang w:val="en-US"/>
        </w:rPr>
        <w:t xml:space="preserve">He also referred to a </w:t>
      </w:r>
      <w:r w:rsidR="00DD4354" w:rsidRPr="001558A5">
        <w:rPr>
          <w:rFonts w:cs="Times New Roman"/>
          <w:szCs w:val="20"/>
          <w:lang w:val="en-US"/>
        </w:rPr>
        <w:t>context</w:t>
      </w:r>
      <w:r w:rsidR="001D6ED0" w:rsidRPr="001558A5">
        <w:rPr>
          <w:rFonts w:cs="Times New Roman"/>
          <w:szCs w:val="20"/>
          <w:lang w:val="en-US"/>
        </w:rPr>
        <w:t xml:space="preserve"> </w:t>
      </w:r>
      <w:r w:rsidRPr="001558A5">
        <w:rPr>
          <w:rFonts w:cs="Times New Roman"/>
          <w:szCs w:val="20"/>
          <w:lang w:val="en-US"/>
        </w:rPr>
        <w:t xml:space="preserve">of violence and murders of trans women. In particular, he reported that most of the trans women who </w:t>
      </w:r>
      <w:r w:rsidR="00D54DC1" w:rsidRPr="001558A5">
        <w:rPr>
          <w:rFonts w:cs="Times New Roman"/>
          <w:szCs w:val="20"/>
          <w:lang w:val="en-US"/>
        </w:rPr>
        <w:t>we</w:t>
      </w:r>
      <w:r w:rsidRPr="001558A5">
        <w:rPr>
          <w:rFonts w:cs="Times New Roman"/>
          <w:szCs w:val="20"/>
          <w:lang w:val="en-US"/>
        </w:rPr>
        <w:t xml:space="preserve">re murdered </w:t>
      </w:r>
      <w:r w:rsidR="00D54DC1" w:rsidRPr="001558A5">
        <w:rPr>
          <w:rFonts w:cs="Times New Roman"/>
          <w:szCs w:val="20"/>
          <w:lang w:val="en-US"/>
        </w:rPr>
        <w:t>we</w:t>
      </w:r>
      <w:r w:rsidRPr="001558A5">
        <w:rPr>
          <w:rFonts w:cs="Times New Roman"/>
          <w:szCs w:val="20"/>
          <w:lang w:val="en-US"/>
        </w:rPr>
        <w:t xml:space="preserve">re under 35 years of age and </w:t>
      </w:r>
      <w:r w:rsidR="00D54DC1" w:rsidRPr="001558A5">
        <w:rPr>
          <w:rFonts w:cs="Times New Roman"/>
          <w:szCs w:val="20"/>
          <w:lang w:val="en-US"/>
        </w:rPr>
        <w:t xml:space="preserve">that </w:t>
      </w:r>
      <w:r w:rsidRPr="001558A5">
        <w:rPr>
          <w:rFonts w:cs="Times New Roman"/>
          <w:szCs w:val="20"/>
          <w:lang w:val="en-US"/>
        </w:rPr>
        <w:t xml:space="preserve">they </w:t>
      </w:r>
      <w:r w:rsidR="00D54DC1" w:rsidRPr="001558A5">
        <w:rPr>
          <w:rFonts w:cs="Times New Roman"/>
          <w:szCs w:val="20"/>
          <w:lang w:val="en-US"/>
        </w:rPr>
        <w:t>we</w:t>
      </w:r>
      <w:r w:rsidRPr="001558A5">
        <w:rPr>
          <w:rFonts w:cs="Times New Roman"/>
          <w:szCs w:val="20"/>
          <w:lang w:val="en-US"/>
        </w:rPr>
        <w:t xml:space="preserve">re particularly vulnerable to violence by the State’s </w:t>
      </w:r>
      <w:r w:rsidR="00732E2E" w:rsidRPr="001558A5">
        <w:rPr>
          <w:rFonts w:cs="Times New Roman"/>
          <w:szCs w:val="20"/>
          <w:lang w:val="en-US"/>
        </w:rPr>
        <w:t>security forces</w:t>
      </w:r>
      <w:r w:rsidRPr="001558A5">
        <w:rPr>
          <w:rFonts w:cs="Times New Roman"/>
          <w:szCs w:val="20"/>
          <w:lang w:val="en-US"/>
        </w:rPr>
        <w:t xml:space="preserve"> responsible for enforcing law and order. He recalled  that, from 2002 to 2018, several United Nations reports had recorded th</w:t>
      </w:r>
      <w:r w:rsidR="00D54DC1" w:rsidRPr="001558A5">
        <w:rPr>
          <w:rFonts w:cs="Times New Roman"/>
          <w:szCs w:val="20"/>
          <w:lang w:val="en-US"/>
        </w:rPr>
        <w:t>e</w:t>
      </w:r>
      <w:r w:rsidRPr="001558A5">
        <w:rPr>
          <w:rFonts w:cs="Times New Roman"/>
          <w:szCs w:val="20"/>
          <w:lang w:val="en-US"/>
        </w:rPr>
        <w:t xml:space="preserve"> context of violence against the LGBTI community</w:t>
      </w:r>
      <w:r w:rsidRPr="001558A5">
        <w:rPr>
          <w:szCs w:val="20"/>
          <w:lang w:val="en-US"/>
        </w:rPr>
        <w:t xml:space="preserve"> </w:t>
      </w:r>
      <w:r w:rsidR="00215FEF" w:rsidRPr="001558A5">
        <w:rPr>
          <w:rFonts w:cs="Times New Roman"/>
          <w:szCs w:val="20"/>
          <w:lang w:val="en-US"/>
        </w:rPr>
        <w:t>in Honduras</w:t>
      </w:r>
      <w:r w:rsidRPr="001558A5">
        <w:rPr>
          <w:rFonts w:cs="Times New Roman"/>
          <w:szCs w:val="20"/>
          <w:lang w:val="en-US"/>
        </w:rPr>
        <w:t>.</w:t>
      </w:r>
      <w:r w:rsidR="0007704F" w:rsidRPr="001558A5">
        <w:rPr>
          <w:rStyle w:val="Refdenotaalpie"/>
          <w:lang w:val="en-US"/>
        </w:rPr>
        <w:footnoteReference w:id="44"/>
      </w:r>
      <w:r w:rsidRPr="001558A5">
        <w:rPr>
          <w:rFonts w:cs="Times New Roman"/>
          <w:szCs w:val="20"/>
          <w:lang w:val="en-US"/>
        </w:rPr>
        <w:t xml:space="preserve"> He described how this context had three stages or periods that should be seen as parts of a whole. He indicated that it was possible to distinguish a first period from 1994 to May 2009 characterized by the </w:t>
      </w:r>
      <w:r w:rsidR="00D54DC1" w:rsidRPr="001558A5">
        <w:rPr>
          <w:rFonts w:cs="Times New Roman"/>
          <w:szCs w:val="20"/>
          <w:lang w:val="en-US"/>
        </w:rPr>
        <w:t>murder</w:t>
      </w:r>
      <w:r w:rsidRPr="001558A5">
        <w:rPr>
          <w:rFonts w:cs="Times New Roman"/>
          <w:szCs w:val="20"/>
          <w:lang w:val="en-US"/>
        </w:rPr>
        <w:t xml:space="preserve"> of at least 11 gay men and 9 trans persons and that, during that stage, it could be noted that: (i) trans women sex workers were frequently victims of </w:t>
      </w:r>
      <w:r w:rsidR="00D54DC1" w:rsidRPr="001558A5">
        <w:rPr>
          <w:rFonts w:cs="Times New Roman"/>
          <w:szCs w:val="20"/>
          <w:lang w:val="en-US"/>
        </w:rPr>
        <w:t>incidents</w:t>
      </w:r>
      <w:r w:rsidRPr="001558A5">
        <w:rPr>
          <w:rFonts w:cs="Times New Roman"/>
          <w:szCs w:val="20"/>
          <w:lang w:val="en-US"/>
        </w:rPr>
        <w:t xml:space="preserve"> of lethal and non-lethal violence; (ii) the complaints regarding th</w:t>
      </w:r>
      <w:r w:rsidR="00D54DC1" w:rsidRPr="001558A5">
        <w:rPr>
          <w:rFonts w:cs="Times New Roman"/>
          <w:szCs w:val="20"/>
          <w:lang w:val="en-US"/>
        </w:rPr>
        <w:t>o</w:t>
      </w:r>
      <w:r w:rsidRPr="001558A5">
        <w:rPr>
          <w:rFonts w:cs="Times New Roman"/>
          <w:szCs w:val="20"/>
          <w:lang w:val="en-US"/>
        </w:rPr>
        <w:t xml:space="preserve">se </w:t>
      </w:r>
      <w:r w:rsidR="00D54DC1" w:rsidRPr="001558A5">
        <w:rPr>
          <w:rFonts w:cs="Times New Roman"/>
          <w:szCs w:val="20"/>
          <w:lang w:val="en-US"/>
        </w:rPr>
        <w:t xml:space="preserve">incidents </w:t>
      </w:r>
      <w:r w:rsidRPr="001558A5">
        <w:rPr>
          <w:rFonts w:cs="Times New Roman"/>
          <w:szCs w:val="20"/>
          <w:lang w:val="en-US"/>
        </w:rPr>
        <w:t>of violence mainly involved police officers, and (iii) a perception of impunity existed that discouraged filing complain</w:t>
      </w:r>
      <w:r w:rsidR="0030035E" w:rsidRPr="001558A5">
        <w:rPr>
          <w:rFonts w:cs="Times New Roman"/>
          <w:szCs w:val="20"/>
          <w:lang w:val="en-US"/>
        </w:rPr>
        <w:t xml:space="preserve">ts, so that it could be assumed that there was an under-recording of incidents and a lack of visibility of other violent </w:t>
      </w:r>
      <w:r w:rsidR="00D54DC1" w:rsidRPr="001558A5">
        <w:rPr>
          <w:rFonts w:cs="Times New Roman"/>
          <w:szCs w:val="20"/>
          <w:lang w:val="en-US"/>
        </w:rPr>
        <w:t>events</w:t>
      </w:r>
      <w:r w:rsidR="0030035E" w:rsidRPr="001558A5">
        <w:rPr>
          <w:rFonts w:cs="Times New Roman"/>
          <w:szCs w:val="20"/>
          <w:lang w:val="en-US"/>
        </w:rPr>
        <w:t xml:space="preserve"> against the Honduran LGBTI community over the same period. The expert witness referred to a second stage that ran from June 2009 to January 2010, and a third that lasted from February 2010 to date.</w:t>
      </w:r>
      <w:r w:rsidR="000C18D7" w:rsidRPr="001558A5">
        <w:rPr>
          <w:rStyle w:val="Refdenotaalpie"/>
          <w:lang w:val="en-US"/>
        </w:rPr>
        <w:footnoteReference w:id="45"/>
      </w:r>
      <w:r w:rsidR="0030035E" w:rsidRPr="001558A5">
        <w:rPr>
          <w:rFonts w:cs="Times New Roman"/>
          <w:szCs w:val="20"/>
          <w:lang w:val="en-US"/>
        </w:rPr>
        <w:t xml:space="preserve"> The death of</w:t>
      </w:r>
      <w:r w:rsidR="000C18D7" w:rsidRPr="001558A5">
        <w:rPr>
          <w:rFonts w:cs="Times New Roman"/>
          <w:szCs w:val="20"/>
          <w:lang w:val="en-US"/>
        </w:rPr>
        <w:t xml:space="preserve"> Vicky Hernández </w:t>
      </w:r>
      <w:r w:rsidR="0030035E" w:rsidRPr="001558A5">
        <w:rPr>
          <w:rFonts w:cs="Times New Roman"/>
          <w:szCs w:val="20"/>
          <w:lang w:val="en-US"/>
        </w:rPr>
        <w:t xml:space="preserve">occurred at the start of the second stage described by the expert. </w:t>
      </w:r>
    </w:p>
    <w:p w14:paraId="4B4F01D9" w14:textId="07514DE9" w:rsidR="00B23936" w:rsidRPr="001558A5" w:rsidRDefault="0030035E" w:rsidP="00945CE2">
      <w:pPr>
        <w:pStyle w:val="Prrafodelista"/>
        <w:numPr>
          <w:ilvl w:val="0"/>
          <w:numId w:val="2"/>
        </w:numPr>
        <w:spacing w:before="120" w:after="120"/>
        <w:ind w:left="0" w:firstLine="0"/>
        <w:contextualSpacing w:val="0"/>
        <w:rPr>
          <w:szCs w:val="20"/>
          <w:lang w:val="en-US"/>
        </w:rPr>
      </w:pPr>
      <w:r w:rsidRPr="001558A5">
        <w:rPr>
          <w:szCs w:val="20"/>
          <w:lang w:val="en-US"/>
        </w:rPr>
        <w:t xml:space="preserve">The expert explained that the second stage took place against the backdrop of </w:t>
      </w:r>
      <w:r w:rsidR="00B74256" w:rsidRPr="001558A5">
        <w:rPr>
          <w:szCs w:val="20"/>
          <w:lang w:val="en-US"/>
        </w:rPr>
        <w:t>the coup d’état</w:t>
      </w:r>
      <w:r w:rsidR="0007704F" w:rsidRPr="001558A5">
        <w:rPr>
          <w:szCs w:val="20"/>
          <w:lang w:val="en-US"/>
        </w:rPr>
        <w:t xml:space="preserve"> (</w:t>
      </w:r>
      <w:r w:rsidRPr="001558A5">
        <w:rPr>
          <w:szCs w:val="20"/>
          <w:lang w:val="en-US"/>
        </w:rPr>
        <w:t xml:space="preserve">June 28, </w:t>
      </w:r>
      <w:r w:rsidR="0007704F" w:rsidRPr="001558A5">
        <w:rPr>
          <w:szCs w:val="20"/>
          <w:lang w:val="en-US"/>
        </w:rPr>
        <w:t xml:space="preserve">2009 </w:t>
      </w:r>
      <w:r w:rsidRPr="001558A5">
        <w:rPr>
          <w:szCs w:val="20"/>
          <w:lang w:val="en-US"/>
        </w:rPr>
        <w:t>–</w:t>
      </w:r>
      <w:r w:rsidR="0007704F" w:rsidRPr="001558A5">
        <w:rPr>
          <w:szCs w:val="20"/>
          <w:lang w:val="en-US"/>
        </w:rPr>
        <w:t xml:space="preserve"> </w:t>
      </w:r>
      <w:r w:rsidRPr="001558A5">
        <w:rPr>
          <w:szCs w:val="20"/>
          <w:lang w:val="en-US"/>
        </w:rPr>
        <w:t xml:space="preserve">January 17, </w:t>
      </w:r>
      <w:r w:rsidR="0007704F" w:rsidRPr="001558A5">
        <w:rPr>
          <w:szCs w:val="20"/>
          <w:lang w:val="en-US"/>
        </w:rPr>
        <w:t xml:space="preserve">2010). </w:t>
      </w:r>
      <w:r w:rsidRPr="001558A5">
        <w:rPr>
          <w:szCs w:val="20"/>
          <w:lang w:val="en-US"/>
        </w:rPr>
        <w:t xml:space="preserve">In addition, at that time, </w:t>
      </w:r>
      <w:r w:rsidR="009F36EF" w:rsidRPr="001558A5">
        <w:rPr>
          <w:szCs w:val="20"/>
          <w:lang w:val="en-US"/>
        </w:rPr>
        <w:t>there</w:t>
      </w:r>
      <w:r w:rsidRPr="001558A5">
        <w:rPr>
          <w:szCs w:val="20"/>
          <w:lang w:val="en-US"/>
        </w:rPr>
        <w:t xml:space="preserve"> was also an increase </w:t>
      </w:r>
      <w:r w:rsidR="00D54DC1" w:rsidRPr="001558A5">
        <w:rPr>
          <w:szCs w:val="20"/>
          <w:lang w:val="en-US"/>
        </w:rPr>
        <w:t>in</w:t>
      </w:r>
      <w:r w:rsidRPr="001558A5">
        <w:rPr>
          <w:szCs w:val="20"/>
          <w:lang w:val="en-US"/>
        </w:rPr>
        <w:t xml:space="preserve"> acts of lethal violence against the LGBTI community </w:t>
      </w:r>
      <w:r w:rsidR="00215FEF" w:rsidRPr="001558A5">
        <w:rPr>
          <w:rFonts w:cs="Times New Roman"/>
          <w:szCs w:val="20"/>
          <w:lang w:val="en-US"/>
        </w:rPr>
        <w:t>in Honduras</w:t>
      </w:r>
      <w:r w:rsidRPr="001558A5">
        <w:rPr>
          <w:rFonts w:cs="Times New Roman"/>
          <w:szCs w:val="20"/>
          <w:lang w:val="en-US"/>
        </w:rPr>
        <w:t xml:space="preserve"> that confirmed – this time with a more systematic record than during the previous stage – the particular danger that trans women sex workers had been facing over the preceding years. He described that, over those years, in only seven months, at least 15 trans women and 14 gay men died violently. He added that, according to another non-State database, “at the end of </w:t>
      </w:r>
      <w:r w:rsidR="000C18D7" w:rsidRPr="001558A5">
        <w:rPr>
          <w:rFonts w:cs="Times New Roman"/>
          <w:szCs w:val="20"/>
          <w:lang w:val="en-US"/>
        </w:rPr>
        <w:t xml:space="preserve">2009, </w:t>
      </w:r>
      <w:r w:rsidRPr="001558A5">
        <w:rPr>
          <w:rFonts w:cs="Times New Roman"/>
          <w:szCs w:val="20"/>
          <w:lang w:val="en-US"/>
        </w:rPr>
        <w:t xml:space="preserve">the documented figures for this type of </w:t>
      </w:r>
      <w:r w:rsidR="00F8195A" w:rsidRPr="001558A5">
        <w:rPr>
          <w:rFonts w:cs="Times New Roman"/>
          <w:szCs w:val="20"/>
          <w:lang w:val="en-US"/>
        </w:rPr>
        <w:t>event were double those of 2008, and triple those of</w:t>
      </w:r>
      <w:r w:rsidR="000C18D7" w:rsidRPr="001558A5">
        <w:rPr>
          <w:rFonts w:cs="Times New Roman"/>
          <w:szCs w:val="20"/>
          <w:lang w:val="en-US"/>
        </w:rPr>
        <w:t xml:space="preserve"> 2007,</w:t>
      </w:r>
      <w:r w:rsidR="00DD4354" w:rsidRPr="001558A5">
        <w:rPr>
          <w:rFonts w:cs="Times New Roman"/>
          <w:szCs w:val="20"/>
          <w:lang w:val="en-US"/>
        </w:rPr>
        <w:t xml:space="preserve"> and</w:t>
      </w:r>
      <w:r w:rsidR="00F8195A" w:rsidRPr="001558A5">
        <w:rPr>
          <w:rFonts w:cs="Times New Roman"/>
          <w:szCs w:val="20"/>
          <w:lang w:val="en-US"/>
        </w:rPr>
        <w:t xml:space="preserve"> they were exponentially higher than those for previous years, such as </w:t>
      </w:r>
      <w:r w:rsidR="000C18D7" w:rsidRPr="001558A5">
        <w:rPr>
          <w:rFonts w:cs="Times New Roman"/>
          <w:szCs w:val="20"/>
          <w:lang w:val="en-US"/>
        </w:rPr>
        <w:t>2005 o</w:t>
      </w:r>
      <w:r w:rsidR="00F8195A" w:rsidRPr="001558A5">
        <w:rPr>
          <w:rFonts w:cs="Times New Roman"/>
          <w:szCs w:val="20"/>
          <w:lang w:val="en-US"/>
        </w:rPr>
        <w:t>r</w:t>
      </w:r>
      <w:r w:rsidR="000C18D7" w:rsidRPr="001558A5">
        <w:rPr>
          <w:rFonts w:cs="Times New Roman"/>
          <w:szCs w:val="20"/>
          <w:lang w:val="en-US"/>
        </w:rPr>
        <w:t xml:space="preserve"> 2006</w:t>
      </w:r>
      <w:r w:rsidR="00F8195A" w:rsidRPr="001558A5">
        <w:rPr>
          <w:rFonts w:cs="Times New Roman"/>
          <w:szCs w:val="20"/>
          <w:lang w:val="en-US"/>
        </w:rPr>
        <w:t>.</w:t>
      </w:r>
      <w:r w:rsidR="000C18D7" w:rsidRPr="001558A5">
        <w:rPr>
          <w:rFonts w:cs="Times New Roman"/>
          <w:szCs w:val="20"/>
          <w:lang w:val="en-US"/>
        </w:rPr>
        <w:t>”</w:t>
      </w:r>
      <w:r w:rsidR="00F8195A" w:rsidRPr="001558A5">
        <w:rPr>
          <w:rFonts w:cs="Times New Roman"/>
          <w:szCs w:val="20"/>
          <w:lang w:val="en-US"/>
        </w:rPr>
        <w:t xml:space="preserve"> He added that the bodies of the 15 trans women murdered during this stage were found on the street, each one with significant signs of violence; eight with bullet wounds, two with their heads having been beaten, one stoned, one stabbed, one run over, one burned and one dismembered, castrated and beheaded.</w:t>
      </w:r>
      <w:r w:rsidR="005B1711" w:rsidRPr="001558A5">
        <w:rPr>
          <w:rStyle w:val="Refdenotaalpie"/>
          <w:lang w:val="en-US"/>
        </w:rPr>
        <w:footnoteReference w:id="46"/>
      </w:r>
      <w:r w:rsidR="00D26947" w:rsidRPr="001558A5">
        <w:rPr>
          <w:rFonts w:cs="Times New Roman"/>
          <w:szCs w:val="20"/>
          <w:lang w:val="en-US"/>
        </w:rPr>
        <w:t xml:space="preserve"> </w:t>
      </w:r>
    </w:p>
    <w:p w14:paraId="09313AFD" w14:textId="54B8435A" w:rsidR="000C18D7" w:rsidRPr="001558A5" w:rsidRDefault="00F8195A" w:rsidP="00BF1B8C">
      <w:pPr>
        <w:pStyle w:val="Prrafodelista"/>
        <w:numPr>
          <w:ilvl w:val="0"/>
          <w:numId w:val="2"/>
        </w:numPr>
        <w:spacing w:before="120" w:after="120"/>
        <w:ind w:left="0" w:firstLine="0"/>
        <w:contextualSpacing w:val="0"/>
        <w:rPr>
          <w:szCs w:val="20"/>
          <w:lang w:val="en-US"/>
        </w:rPr>
      </w:pPr>
      <w:r w:rsidRPr="001558A5">
        <w:rPr>
          <w:rFonts w:cs="Times New Roman"/>
          <w:szCs w:val="20"/>
          <w:lang w:val="en-US"/>
        </w:rPr>
        <w:t>Furthermore, in his an</w:t>
      </w:r>
      <w:r w:rsidR="007663B6" w:rsidRPr="001558A5">
        <w:rPr>
          <w:rFonts w:cs="Times New Roman"/>
          <w:szCs w:val="20"/>
          <w:lang w:val="en-US"/>
        </w:rPr>
        <w:t>n</w:t>
      </w:r>
      <w:r w:rsidRPr="001558A5">
        <w:rPr>
          <w:rFonts w:cs="Times New Roman"/>
          <w:szCs w:val="20"/>
          <w:lang w:val="en-US"/>
        </w:rPr>
        <w:t xml:space="preserve">ual report to the Human Rights Council on the situation of human rights </w:t>
      </w:r>
      <w:r w:rsidR="00215FEF" w:rsidRPr="001558A5">
        <w:rPr>
          <w:rFonts w:cs="Times New Roman"/>
          <w:szCs w:val="20"/>
          <w:lang w:val="en-US"/>
        </w:rPr>
        <w:t>in Honduras</w:t>
      </w:r>
      <w:r w:rsidR="000C18D7" w:rsidRPr="001558A5">
        <w:rPr>
          <w:rFonts w:cs="Times New Roman"/>
          <w:szCs w:val="20"/>
          <w:lang w:val="en-US"/>
        </w:rPr>
        <w:t xml:space="preserve">, </w:t>
      </w:r>
      <w:r w:rsidR="007663B6" w:rsidRPr="001558A5">
        <w:rPr>
          <w:rFonts w:cs="Times New Roman"/>
          <w:szCs w:val="20"/>
          <w:lang w:val="en-US"/>
        </w:rPr>
        <w:t>the United Nations High Commissioner indicated</w:t>
      </w:r>
      <w:r w:rsidRPr="001558A5">
        <w:rPr>
          <w:rFonts w:cs="Times New Roman"/>
          <w:szCs w:val="20"/>
          <w:lang w:val="en-US"/>
        </w:rPr>
        <w:t xml:space="preserve"> that</w:t>
      </w:r>
      <w:r w:rsidR="00B127F0" w:rsidRPr="001558A5">
        <w:rPr>
          <w:rFonts w:cs="Times New Roman"/>
          <w:szCs w:val="20"/>
          <w:lang w:val="en-US"/>
        </w:rPr>
        <w:t xml:space="preserve"> </w:t>
      </w:r>
      <w:r w:rsidR="000C18D7" w:rsidRPr="001558A5">
        <w:rPr>
          <w:rFonts w:cs="Times New Roman"/>
          <w:szCs w:val="20"/>
          <w:lang w:val="en-US"/>
        </w:rPr>
        <w:t>“</w:t>
      </w:r>
      <w:r w:rsidR="007663B6" w:rsidRPr="001558A5">
        <w:rPr>
          <w:rFonts w:cs="Times New Roman"/>
          <w:szCs w:val="20"/>
          <w:lang w:val="en-US"/>
        </w:rPr>
        <w:t>[t]</w:t>
      </w:r>
      <w:r w:rsidR="007663B6" w:rsidRPr="001558A5">
        <w:rPr>
          <w:rStyle w:val="markedcontent"/>
          <w:rFonts w:cs="Arial"/>
          <w:szCs w:val="20"/>
          <w:lang w:val="en-US"/>
        </w:rPr>
        <w:t>he bodies and processes for the investigation of attacks against lesbian, gay, bisexual, transgender and intersex persons must be strengthened.</w:t>
      </w:r>
      <w:r w:rsidR="000C18D7" w:rsidRPr="001558A5">
        <w:rPr>
          <w:rFonts w:cs="Times New Roman"/>
          <w:szCs w:val="20"/>
          <w:lang w:val="en-US"/>
        </w:rPr>
        <w:t>”</w:t>
      </w:r>
      <w:r w:rsidR="000C18D7" w:rsidRPr="001558A5">
        <w:rPr>
          <w:rStyle w:val="Refdenotaalpie"/>
          <w:lang w:val="en-US"/>
        </w:rPr>
        <w:footnoteReference w:id="47"/>
      </w:r>
    </w:p>
    <w:p w14:paraId="703DD908" w14:textId="74283717" w:rsidR="00EE13E0" w:rsidRPr="001558A5" w:rsidRDefault="00C909B4" w:rsidP="005E74BE">
      <w:pPr>
        <w:pStyle w:val="Prrafodelista"/>
        <w:numPr>
          <w:ilvl w:val="0"/>
          <w:numId w:val="2"/>
        </w:numPr>
        <w:spacing w:before="120" w:after="120"/>
        <w:ind w:left="0" w:firstLine="0"/>
        <w:contextualSpacing w:val="0"/>
        <w:rPr>
          <w:szCs w:val="20"/>
          <w:lang w:val="en-US"/>
        </w:rPr>
      </w:pPr>
      <w:r w:rsidRPr="001558A5">
        <w:rPr>
          <w:szCs w:val="20"/>
          <w:lang w:val="en-US"/>
        </w:rPr>
        <w:t xml:space="preserve">In addition, in its decisions, this Court has mentioned the contexts of violence </w:t>
      </w:r>
      <w:r w:rsidR="009F36EF" w:rsidRPr="001558A5">
        <w:rPr>
          <w:szCs w:val="20"/>
          <w:lang w:val="en-US"/>
        </w:rPr>
        <w:t>against</w:t>
      </w:r>
      <w:r w:rsidRPr="001558A5">
        <w:rPr>
          <w:szCs w:val="20"/>
          <w:lang w:val="en-US"/>
        </w:rPr>
        <w:t xml:space="preserve"> the LGBTI community in the region</w:t>
      </w:r>
      <w:r w:rsidR="00EE13E0" w:rsidRPr="001558A5">
        <w:rPr>
          <w:szCs w:val="20"/>
          <w:lang w:val="en-US"/>
        </w:rPr>
        <w:t xml:space="preserve">. </w:t>
      </w:r>
      <w:r w:rsidRPr="001558A5">
        <w:rPr>
          <w:szCs w:val="20"/>
          <w:lang w:val="en-US"/>
        </w:rPr>
        <w:t xml:space="preserve">For example, in the case of </w:t>
      </w:r>
      <w:r w:rsidR="00EE13E0" w:rsidRPr="001558A5">
        <w:rPr>
          <w:i/>
          <w:iCs/>
          <w:szCs w:val="20"/>
          <w:lang w:val="en-US"/>
        </w:rPr>
        <w:t xml:space="preserve">Azul Rojas </w:t>
      </w:r>
      <w:proofErr w:type="spellStart"/>
      <w:r w:rsidR="00EE13E0" w:rsidRPr="001558A5">
        <w:rPr>
          <w:i/>
          <w:iCs/>
          <w:szCs w:val="20"/>
          <w:lang w:val="en-US"/>
        </w:rPr>
        <w:t>Marín</w:t>
      </w:r>
      <w:proofErr w:type="spellEnd"/>
      <w:r w:rsidR="00DD4354" w:rsidRPr="001558A5">
        <w:rPr>
          <w:i/>
          <w:iCs/>
          <w:szCs w:val="20"/>
          <w:lang w:val="en-US"/>
        </w:rPr>
        <w:t xml:space="preserve"> </w:t>
      </w:r>
      <w:r w:rsidRPr="001558A5">
        <w:rPr>
          <w:i/>
          <w:iCs/>
          <w:szCs w:val="20"/>
          <w:lang w:val="en-US"/>
        </w:rPr>
        <w:t>et al.</w:t>
      </w:r>
      <w:r w:rsidR="00EE13E0" w:rsidRPr="001558A5">
        <w:rPr>
          <w:i/>
          <w:iCs/>
          <w:szCs w:val="20"/>
          <w:lang w:val="en-US"/>
        </w:rPr>
        <w:t xml:space="preserve"> </w:t>
      </w:r>
      <w:r w:rsidR="00871E19" w:rsidRPr="001558A5">
        <w:rPr>
          <w:i/>
          <w:iCs/>
          <w:szCs w:val="20"/>
          <w:lang w:val="en-US"/>
        </w:rPr>
        <w:t>v.</w:t>
      </w:r>
      <w:r w:rsidR="00EE13E0" w:rsidRPr="001558A5">
        <w:rPr>
          <w:i/>
          <w:iCs/>
          <w:szCs w:val="20"/>
          <w:lang w:val="en-US"/>
        </w:rPr>
        <w:t xml:space="preserve"> Per</w:t>
      </w:r>
      <w:r w:rsidRPr="001558A5">
        <w:rPr>
          <w:szCs w:val="20"/>
          <w:lang w:val="en-US"/>
        </w:rPr>
        <w:t xml:space="preserve">u it recalled that, since 2008, the OAS </w:t>
      </w:r>
      <w:r w:rsidR="00443040" w:rsidRPr="001558A5">
        <w:rPr>
          <w:rFonts w:cs="Times New Roman"/>
          <w:szCs w:val="20"/>
          <w:lang w:val="en-US"/>
        </w:rPr>
        <w:t>General Assembly</w:t>
      </w:r>
      <w:r w:rsidR="00EE13E0" w:rsidRPr="001558A5">
        <w:rPr>
          <w:rFonts w:cs="Times New Roman"/>
          <w:szCs w:val="20"/>
          <w:lang w:val="en-US"/>
        </w:rPr>
        <w:t xml:space="preserve"> </w:t>
      </w:r>
      <w:r w:rsidRPr="001558A5">
        <w:rPr>
          <w:rFonts w:cs="Times New Roman"/>
          <w:szCs w:val="20"/>
          <w:lang w:val="en-US"/>
        </w:rPr>
        <w:t>in different resolutions had indicated that</w:t>
      </w:r>
      <w:r w:rsidR="005E74BE" w:rsidRPr="001558A5">
        <w:rPr>
          <w:rFonts w:cs="Times New Roman"/>
          <w:szCs w:val="20"/>
          <w:lang w:val="en-US"/>
        </w:rPr>
        <w:t>, in the region,</w:t>
      </w:r>
      <w:r w:rsidRPr="001558A5">
        <w:rPr>
          <w:rFonts w:cs="Times New Roman"/>
          <w:szCs w:val="20"/>
          <w:lang w:val="en-US"/>
        </w:rPr>
        <w:t xml:space="preserve"> LGBTI person</w:t>
      </w:r>
      <w:r w:rsidR="005E74BE" w:rsidRPr="001558A5">
        <w:rPr>
          <w:rFonts w:cs="Times New Roman"/>
          <w:szCs w:val="20"/>
          <w:lang w:val="en-US"/>
        </w:rPr>
        <w:t xml:space="preserve"> </w:t>
      </w:r>
      <w:r w:rsidR="008C2119" w:rsidRPr="001558A5">
        <w:rPr>
          <w:rFonts w:cs="Times New Roman"/>
          <w:szCs w:val="20"/>
          <w:lang w:val="en-US"/>
        </w:rPr>
        <w:t>continued to be</w:t>
      </w:r>
      <w:r w:rsidR="005E74BE" w:rsidRPr="001558A5">
        <w:rPr>
          <w:rFonts w:cs="Times New Roman"/>
          <w:szCs w:val="20"/>
          <w:lang w:val="en-US"/>
        </w:rPr>
        <w:t xml:space="preserve"> subject</w:t>
      </w:r>
      <w:r w:rsidR="008C2119" w:rsidRPr="001558A5">
        <w:rPr>
          <w:rFonts w:cs="Times New Roman"/>
          <w:szCs w:val="20"/>
          <w:lang w:val="en-US"/>
        </w:rPr>
        <w:t>ed</w:t>
      </w:r>
      <w:r w:rsidR="005E74BE" w:rsidRPr="001558A5">
        <w:rPr>
          <w:rFonts w:cs="Times New Roman"/>
          <w:szCs w:val="20"/>
          <w:lang w:val="en-US"/>
        </w:rPr>
        <w:t xml:space="preserve"> to various forms of violence and discrimination based on</w:t>
      </w:r>
      <w:r w:rsidR="008C2119" w:rsidRPr="001558A5">
        <w:rPr>
          <w:rFonts w:cs="Times New Roman"/>
          <w:szCs w:val="20"/>
          <w:lang w:val="en-US"/>
        </w:rPr>
        <w:t xml:space="preserve"> </w:t>
      </w:r>
      <w:r w:rsidR="005E74BE" w:rsidRPr="001558A5">
        <w:rPr>
          <w:rFonts w:cs="Times New Roman"/>
          <w:szCs w:val="20"/>
          <w:lang w:val="en-US"/>
        </w:rPr>
        <w:t>their</w:t>
      </w:r>
      <w:r w:rsidR="005E74BE" w:rsidRPr="001558A5">
        <w:rPr>
          <w:szCs w:val="20"/>
          <w:lang w:val="en-US"/>
        </w:rPr>
        <w:t xml:space="preserve"> </w:t>
      </w:r>
      <w:r w:rsidR="00675A99" w:rsidRPr="001558A5">
        <w:rPr>
          <w:rFonts w:cs="Times New Roman"/>
          <w:szCs w:val="20"/>
          <w:lang w:val="en-US"/>
        </w:rPr>
        <w:t>sexual orientatio</w:t>
      </w:r>
      <w:r w:rsidR="008C2119" w:rsidRPr="001558A5">
        <w:rPr>
          <w:rFonts w:cs="Times New Roman"/>
          <w:szCs w:val="20"/>
          <w:lang w:val="en-US"/>
        </w:rPr>
        <w:t>n,</w:t>
      </w:r>
      <w:r w:rsidR="005E74BE" w:rsidRPr="001558A5">
        <w:rPr>
          <w:rFonts w:cs="Times New Roman"/>
          <w:szCs w:val="20"/>
          <w:lang w:val="en-US"/>
        </w:rPr>
        <w:t xml:space="preserve"> gender identity or expression, and resolved to condemn the acts of violence, the human rights violations, and all forms of discrimination due to, or on the basis of, </w:t>
      </w:r>
      <w:r w:rsidR="00675A99" w:rsidRPr="001558A5">
        <w:rPr>
          <w:rFonts w:cs="Times New Roman"/>
          <w:szCs w:val="20"/>
          <w:lang w:val="en-US"/>
        </w:rPr>
        <w:t>sexual orientation</w:t>
      </w:r>
      <w:r w:rsidR="00921733" w:rsidRPr="001558A5">
        <w:rPr>
          <w:rFonts w:cs="Times New Roman"/>
          <w:szCs w:val="20"/>
          <w:lang w:val="en-US"/>
        </w:rPr>
        <w:t>,</w:t>
      </w:r>
      <w:r w:rsidR="005E74BE" w:rsidRPr="001558A5">
        <w:rPr>
          <w:rFonts w:cs="Times New Roman"/>
          <w:szCs w:val="20"/>
          <w:lang w:val="en-US"/>
        </w:rPr>
        <w:t xml:space="preserve"> gender identity or expression.</w:t>
      </w:r>
      <w:r w:rsidR="00EE13E0" w:rsidRPr="001558A5">
        <w:rPr>
          <w:rStyle w:val="Refdenotaalpie"/>
          <w:lang w:val="en-US"/>
        </w:rPr>
        <w:footnoteReference w:id="48"/>
      </w:r>
    </w:p>
    <w:p w14:paraId="661D22EE" w14:textId="4F163309" w:rsidR="0097250A" w:rsidRPr="001558A5" w:rsidRDefault="005E74BE" w:rsidP="005E74BE">
      <w:pPr>
        <w:pStyle w:val="Prrafodelista"/>
        <w:numPr>
          <w:ilvl w:val="0"/>
          <w:numId w:val="2"/>
        </w:numPr>
        <w:spacing w:before="120" w:after="120"/>
        <w:ind w:left="0" w:firstLine="0"/>
        <w:contextualSpacing w:val="0"/>
        <w:rPr>
          <w:szCs w:val="20"/>
          <w:lang w:val="en-US"/>
        </w:rPr>
      </w:pPr>
      <w:r w:rsidRPr="001558A5">
        <w:rPr>
          <w:szCs w:val="20"/>
          <w:lang w:val="en-US"/>
        </w:rPr>
        <w:t>Similarly</w:t>
      </w:r>
      <w:r w:rsidR="0097250A" w:rsidRPr="001558A5">
        <w:rPr>
          <w:szCs w:val="20"/>
          <w:lang w:val="en-US"/>
        </w:rPr>
        <w:t xml:space="preserve">, </w:t>
      </w:r>
      <w:r w:rsidRPr="001558A5">
        <w:rPr>
          <w:szCs w:val="20"/>
          <w:lang w:val="en-US"/>
        </w:rPr>
        <w:t xml:space="preserve">it should be recalled that, in her testimony during the public hearing in this case, </w:t>
      </w:r>
      <w:r w:rsidR="0097250A" w:rsidRPr="001558A5">
        <w:rPr>
          <w:szCs w:val="20"/>
          <w:lang w:val="en-US"/>
        </w:rPr>
        <w:t xml:space="preserve">Claudia </w:t>
      </w:r>
      <w:proofErr w:type="spellStart"/>
      <w:r w:rsidR="0097250A" w:rsidRPr="001558A5">
        <w:rPr>
          <w:szCs w:val="20"/>
          <w:lang w:val="en-US"/>
        </w:rPr>
        <w:t>Spellmant</w:t>
      </w:r>
      <w:proofErr w:type="spellEnd"/>
      <w:r w:rsidR="0097250A" w:rsidRPr="001558A5">
        <w:rPr>
          <w:szCs w:val="20"/>
          <w:lang w:val="en-US"/>
        </w:rPr>
        <w:t xml:space="preserve"> Sosa </w:t>
      </w:r>
      <w:r w:rsidRPr="001558A5">
        <w:rPr>
          <w:szCs w:val="20"/>
          <w:lang w:val="en-US"/>
        </w:rPr>
        <w:t xml:space="preserve">referred to the context “of arbitrary and unlawful detentions, inhuman, cruel and degrading treatment by the police, rape, </w:t>
      </w:r>
      <w:proofErr w:type="spellStart"/>
      <w:r w:rsidRPr="001558A5">
        <w:rPr>
          <w:szCs w:val="20"/>
          <w:lang w:val="en-US"/>
        </w:rPr>
        <w:t>extorsion</w:t>
      </w:r>
      <w:proofErr w:type="spellEnd"/>
      <w:r w:rsidRPr="001558A5">
        <w:rPr>
          <w:szCs w:val="20"/>
          <w:lang w:val="en-US"/>
        </w:rPr>
        <w:t xml:space="preserve">, beatings […] by the police, and also murders” suffered by trans women sex workers in </w:t>
      </w:r>
      <w:r w:rsidR="0097250A" w:rsidRPr="001558A5">
        <w:rPr>
          <w:szCs w:val="20"/>
          <w:lang w:val="en-US"/>
        </w:rPr>
        <w:t>San Pedro Sula</w:t>
      </w:r>
      <w:r w:rsidR="00DD4354" w:rsidRPr="001558A5">
        <w:rPr>
          <w:szCs w:val="20"/>
          <w:lang w:val="en-US"/>
        </w:rPr>
        <w:t xml:space="preserve"> and </w:t>
      </w:r>
      <w:r w:rsidR="00215FEF" w:rsidRPr="001558A5">
        <w:rPr>
          <w:szCs w:val="20"/>
          <w:lang w:val="en-US"/>
        </w:rPr>
        <w:t>in Honduras</w:t>
      </w:r>
      <w:r w:rsidR="0097250A" w:rsidRPr="001558A5">
        <w:rPr>
          <w:szCs w:val="20"/>
          <w:lang w:val="en-US"/>
        </w:rPr>
        <w:t xml:space="preserve"> </w:t>
      </w:r>
      <w:r w:rsidRPr="001558A5">
        <w:rPr>
          <w:szCs w:val="20"/>
          <w:lang w:val="en-US"/>
        </w:rPr>
        <w:t>during those years</w:t>
      </w:r>
      <w:r w:rsidR="0097250A" w:rsidRPr="001558A5">
        <w:rPr>
          <w:szCs w:val="20"/>
          <w:lang w:val="en-US"/>
        </w:rPr>
        <w:t>.</w:t>
      </w:r>
      <w:r w:rsidRPr="001558A5">
        <w:rPr>
          <w:szCs w:val="20"/>
          <w:lang w:val="en-US"/>
        </w:rPr>
        <w:t xml:space="preserve"> The witness </w:t>
      </w:r>
      <w:r w:rsidR="00921733" w:rsidRPr="001558A5">
        <w:rPr>
          <w:szCs w:val="20"/>
          <w:lang w:val="en-US"/>
        </w:rPr>
        <w:t>also indicated</w:t>
      </w:r>
      <w:r w:rsidRPr="001558A5">
        <w:rPr>
          <w:szCs w:val="20"/>
          <w:lang w:val="en-US"/>
        </w:rPr>
        <w:t xml:space="preserve"> that, when trans women sex workers were arrested, they were taken away in a patrol car and that, sometimes, the police “took out their guns to frighten them,</w:t>
      </w:r>
      <w:r w:rsidR="0097250A" w:rsidRPr="001558A5">
        <w:rPr>
          <w:szCs w:val="20"/>
          <w:lang w:val="en-US"/>
        </w:rPr>
        <w:t>” “</w:t>
      </w:r>
      <w:r w:rsidRPr="001558A5">
        <w:rPr>
          <w:szCs w:val="20"/>
          <w:lang w:val="en-US"/>
        </w:rPr>
        <w:t>beat them with</w:t>
      </w:r>
      <w:r w:rsidR="0097250A" w:rsidRPr="001558A5">
        <w:rPr>
          <w:szCs w:val="20"/>
          <w:lang w:val="en-US"/>
        </w:rPr>
        <w:t xml:space="preserve"> </w:t>
      </w:r>
      <w:r w:rsidRPr="001558A5">
        <w:rPr>
          <w:szCs w:val="20"/>
          <w:lang w:val="en-US"/>
        </w:rPr>
        <w:t>their batons,” “tore off their wigs,” and “tore their clothes.” She also stated that the police agents told them that they gave “the city a bad image” and that they were men and had no reason to dress as women. She indicated that this was and continue</w:t>
      </w:r>
      <w:r w:rsidR="00921733" w:rsidRPr="001558A5">
        <w:rPr>
          <w:szCs w:val="20"/>
          <w:lang w:val="en-US"/>
        </w:rPr>
        <w:t>d</w:t>
      </w:r>
      <w:r w:rsidRPr="001558A5">
        <w:rPr>
          <w:szCs w:val="20"/>
          <w:lang w:val="en-US"/>
        </w:rPr>
        <w:t xml:space="preserve"> to be a constant reality in Honduras. The witness also narrated that she had witnessed the murder of a trans woman by the police during an arrest. </w:t>
      </w:r>
      <w:r w:rsidR="00921733" w:rsidRPr="001558A5">
        <w:rPr>
          <w:szCs w:val="20"/>
          <w:lang w:val="en-US"/>
        </w:rPr>
        <w:t>In addition, s</w:t>
      </w:r>
      <w:r w:rsidRPr="001558A5">
        <w:rPr>
          <w:szCs w:val="20"/>
          <w:lang w:val="en-US"/>
        </w:rPr>
        <w:t xml:space="preserve">he mentioned a case in which another trans woman was </w:t>
      </w:r>
      <w:r w:rsidR="00921733" w:rsidRPr="001558A5">
        <w:rPr>
          <w:szCs w:val="20"/>
          <w:lang w:val="en-US"/>
        </w:rPr>
        <w:t>murdered</w:t>
      </w:r>
      <w:r w:rsidRPr="001558A5">
        <w:rPr>
          <w:szCs w:val="20"/>
          <w:lang w:val="en-US"/>
        </w:rPr>
        <w:t xml:space="preserve"> in front of two of her companions and that the case </w:t>
      </w:r>
      <w:r w:rsidR="00921733" w:rsidRPr="001558A5">
        <w:rPr>
          <w:szCs w:val="20"/>
          <w:lang w:val="en-US"/>
        </w:rPr>
        <w:t>had been prosecuted</w:t>
      </w:r>
      <w:r w:rsidRPr="001558A5">
        <w:rPr>
          <w:szCs w:val="20"/>
          <w:lang w:val="en-US"/>
        </w:rPr>
        <w:t xml:space="preserve"> and culminated in the </w:t>
      </w:r>
      <w:r w:rsidR="00127786" w:rsidRPr="001558A5">
        <w:rPr>
          <w:szCs w:val="20"/>
          <w:lang w:val="en-US"/>
        </w:rPr>
        <w:t xml:space="preserve">conviction of the perpetrator; </w:t>
      </w:r>
      <w:r w:rsidR="00921733" w:rsidRPr="001558A5">
        <w:rPr>
          <w:szCs w:val="20"/>
          <w:lang w:val="en-US"/>
        </w:rPr>
        <w:t xml:space="preserve">however, </w:t>
      </w:r>
      <w:r w:rsidR="00127786" w:rsidRPr="001558A5">
        <w:rPr>
          <w:szCs w:val="20"/>
          <w:lang w:val="en-US"/>
        </w:rPr>
        <w:t xml:space="preserve">she added that one of the companions had </w:t>
      </w:r>
      <w:r w:rsidR="00921733" w:rsidRPr="001558A5">
        <w:rPr>
          <w:szCs w:val="20"/>
          <w:lang w:val="en-US"/>
        </w:rPr>
        <w:t>subsequently been murdered and</w:t>
      </w:r>
      <w:r w:rsidR="00127786" w:rsidRPr="001558A5">
        <w:rPr>
          <w:szCs w:val="20"/>
          <w:lang w:val="en-US"/>
        </w:rPr>
        <w:t xml:space="preserve"> the other </w:t>
      </w:r>
      <w:r w:rsidR="00921733" w:rsidRPr="001558A5">
        <w:rPr>
          <w:szCs w:val="20"/>
          <w:lang w:val="en-US"/>
        </w:rPr>
        <w:t>was forced</w:t>
      </w:r>
      <w:r w:rsidR="00127786" w:rsidRPr="001558A5">
        <w:rPr>
          <w:szCs w:val="20"/>
          <w:lang w:val="en-US"/>
        </w:rPr>
        <w:t xml:space="preserve"> to go into exile after denouncing the police agent who was the perpetrator.</w:t>
      </w:r>
      <w:r w:rsidR="0097250A" w:rsidRPr="001558A5">
        <w:rPr>
          <w:rStyle w:val="Refdenotaalpie"/>
          <w:lang w:val="en-US"/>
        </w:rPr>
        <w:footnoteReference w:id="49"/>
      </w:r>
    </w:p>
    <w:p w14:paraId="64E188EA" w14:textId="38673D72" w:rsidR="00544882" w:rsidRPr="001558A5" w:rsidRDefault="00544882" w:rsidP="00945CE2">
      <w:pPr>
        <w:pStyle w:val="Ttulo3"/>
        <w:spacing w:before="240" w:after="240"/>
        <w:ind w:left="357" w:firstLine="709"/>
        <w:rPr>
          <w:b w:val="0"/>
          <w:snapToGrid w:val="0"/>
          <w:spacing w:val="-2"/>
          <w:szCs w:val="20"/>
          <w:lang w:val="en-US" w:eastAsia="es-ES"/>
        </w:rPr>
      </w:pPr>
      <w:bookmarkStart w:id="75" w:name="_Toc73430046"/>
      <w:r w:rsidRPr="001558A5">
        <w:rPr>
          <w:b w:val="0"/>
          <w:snapToGrid w:val="0"/>
          <w:spacing w:val="-2"/>
          <w:szCs w:val="20"/>
          <w:lang w:val="en-US" w:eastAsia="es-ES"/>
        </w:rPr>
        <w:t xml:space="preserve">A.2. </w:t>
      </w:r>
      <w:r w:rsidR="00B74256" w:rsidRPr="001558A5">
        <w:rPr>
          <w:b w:val="0"/>
          <w:snapToGrid w:val="0"/>
          <w:spacing w:val="-2"/>
          <w:szCs w:val="20"/>
          <w:lang w:val="en-US" w:eastAsia="es-ES"/>
        </w:rPr>
        <w:t>The coup d’état</w:t>
      </w:r>
      <w:r w:rsidRPr="001558A5">
        <w:rPr>
          <w:b w:val="0"/>
          <w:snapToGrid w:val="0"/>
          <w:spacing w:val="-2"/>
          <w:szCs w:val="20"/>
          <w:lang w:val="en-US" w:eastAsia="es-ES"/>
        </w:rPr>
        <w:t xml:space="preserve"> </w:t>
      </w:r>
      <w:r w:rsidR="00443040" w:rsidRPr="001558A5">
        <w:rPr>
          <w:b w:val="0"/>
          <w:snapToGrid w:val="0"/>
          <w:spacing w:val="-2"/>
          <w:szCs w:val="20"/>
          <w:lang w:val="en-US" w:eastAsia="es-ES"/>
        </w:rPr>
        <w:t>of June 28,</w:t>
      </w:r>
      <w:r w:rsidRPr="001558A5">
        <w:rPr>
          <w:b w:val="0"/>
          <w:snapToGrid w:val="0"/>
          <w:spacing w:val="-2"/>
          <w:szCs w:val="20"/>
          <w:lang w:val="en-US" w:eastAsia="es-ES"/>
        </w:rPr>
        <w:t xml:space="preserve"> 2009</w:t>
      </w:r>
      <w:bookmarkEnd w:id="75"/>
    </w:p>
    <w:p w14:paraId="5BDA23A3" w14:textId="099D003B" w:rsidR="00382402" w:rsidRPr="001558A5" w:rsidRDefault="00A10D0B" w:rsidP="00651316">
      <w:pPr>
        <w:pStyle w:val="Prrafodelista"/>
        <w:numPr>
          <w:ilvl w:val="0"/>
          <w:numId w:val="2"/>
        </w:numPr>
        <w:spacing w:before="120" w:after="120"/>
        <w:ind w:left="0" w:firstLine="0"/>
        <w:contextualSpacing w:val="0"/>
        <w:rPr>
          <w:rFonts w:cs="Times New Roman"/>
          <w:szCs w:val="20"/>
          <w:lang w:val="en-US"/>
        </w:rPr>
      </w:pPr>
      <w:r w:rsidRPr="001558A5">
        <w:rPr>
          <w:szCs w:val="20"/>
          <w:lang w:val="en-US"/>
        </w:rPr>
        <w:t>Added to the</w:t>
      </w:r>
      <w:r w:rsidR="004727CB" w:rsidRPr="001558A5">
        <w:rPr>
          <w:szCs w:val="20"/>
          <w:lang w:val="en-US"/>
        </w:rPr>
        <w:t xml:space="preserve"> </w:t>
      </w:r>
      <w:r w:rsidR="00DD4354" w:rsidRPr="001558A5">
        <w:rPr>
          <w:szCs w:val="20"/>
          <w:lang w:val="en-US"/>
        </w:rPr>
        <w:t>context</w:t>
      </w:r>
      <w:r w:rsidR="004727CB" w:rsidRPr="001558A5">
        <w:rPr>
          <w:szCs w:val="20"/>
          <w:lang w:val="en-US"/>
        </w:rPr>
        <w:t xml:space="preserve"> </w:t>
      </w:r>
      <w:r w:rsidR="00651316" w:rsidRPr="001558A5">
        <w:rPr>
          <w:szCs w:val="20"/>
          <w:lang w:val="en-US"/>
        </w:rPr>
        <w:t>of</w:t>
      </w:r>
      <w:r w:rsidR="004727CB" w:rsidRPr="001558A5">
        <w:rPr>
          <w:szCs w:val="20"/>
          <w:lang w:val="en-US"/>
        </w:rPr>
        <w:t xml:space="preserve"> </w:t>
      </w:r>
      <w:r w:rsidR="00215FEF" w:rsidRPr="001558A5">
        <w:rPr>
          <w:szCs w:val="20"/>
          <w:lang w:val="en-US"/>
        </w:rPr>
        <w:t>discrimination</w:t>
      </w:r>
      <w:r w:rsidR="00DD4354" w:rsidRPr="001558A5">
        <w:rPr>
          <w:szCs w:val="20"/>
          <w:lang w:val="en-US"/>
        </w:rPr>
        <w:t xml:space="preserve"> and</w:t>
      </w:r>
      <w:r w:rsidR="00215FEF" w:rsidRPr="001558A5">
        <w:rPr>
          <w:szCs w:val="20"/>
          <w:lang w:val="en-US"/>
        </w:rPr>
        <w:t xml:space="preserve"> violence </w:t>
      </w:r>
      <w:r w:rsidR="009460CA" w:rsidRPr="001558A5">
        <w:rPr>
          <w:szCs w:val="20"/>
          <w:lang w:val="en-US"/>
        </w:rPr>
        <w:t>against the LGBTI community</w:t>
      </w:r>
      <w:r w:rsidR="00651316" w:rsidRPr="001558A5">
        <w:rPr>
          <w:szCs w:val="20"/>
          <w:lang w:val="en-US"/>
        </w:rPr>
        <w:t xml:space="preserve"> described above, the facts of the case took place in a second context related to the political situation in Honduras characterized by a coup d’état that exacerbated </w:t>
      </w:r>
      <w:r w:rsidR="00921733" w:rsidRPr="001558A5">
        <w:rPr>
          <w:szCs w:val="20"/>
          <w:lang w:val="en-US"/>
        </w:rPr>
        <w:t>cases</w:t>
      </w:r>
      <w:r w:rsidR="00651316" w:rsidRPr="001558A5">
        <w:rPr>
          <w:szCs w:val="20"/>
          <w:lang w:val="en-US"/>
        </w:rPr>
        <w:t xml:space="preserve"> of violence as well as human rights violations in general. And it was on June 28, 2009, precisely the day on which Vicky Hernández met her death that the constitutional President of Honduras was overthrown by a</w:t>
      </w:r>
      <w:r w:rsidR="00651316" w:rsidRPr="001558A5">
        <w:rPr>
          <w:rFonts w:cs="Times New Roman"/>
          <w:szCs w:val="20"/>
          <w:lang w:val="en-US"/>
        </w:rPr>
        <w:t xml:space="preserve"> </w:t>
      </w:r>
      <w:r w:rsidR="00651316" w:rsidRPr="001558A5">
        <w:rPr>
          <w:szCs w:val="20"/>
          <w:lang w:val="en-US"/>
        </w:rPr>
        <w:t>coup d’état</w:t>
      </w:r>
      <w:r w:rsidR="00544882" w:rsidRPr="001558A5">
        <w:rPr>
          <w:szCs w:val="20"/>
          <w:lang w:val="en-US"/>
        </w:rPr>
        <w:t xml:space="preserve">. </w:t>
      </w:r>
    </w:p>
    <w:p w14:paraId="4C83884A" w14:textId="056171C7" w:rsidR="004727CB" w:rsidRPr="001558A5" w:rsidRDefault="00651316" w:rsidP="00651316">
      <w:pPr>
        <w:pStyle w:val="Prrafodelista"/>
        <w:numPr>
          <w:ilvl w:val="0"/>
          <w:numId w:val="2"/>
        </w:numPr>
        <w:spacing w:before="120" w:after="120"/>
        <w:ind w:left="0" w:firstLine="0"/>
        <w:contextualSpacing w:val="0"/>
        <w:rPr>
          <w:rFonts w:cs="Times New Roman"/>
          <w:szCs w:val="20"/>
          <w:lang w:val="en-US"/>
        </w:rPr>
      </w:pPr>
      <w:r w:rsidRPr="001558A5">
        <w:rPr>
          <w:szCs w:val="20"/>
          <w:lang w:val="en-US"/>
        </w:rPr>
        <w:t>Regarding these events, in the case of</w:t>
      </w:r>
      <w:r w:rsidR="00544882" w:rsidRPr="001558A5">
        <w:rPr>
          <w:szCs w:val="20"/>
          <w:lang w:val="en-US"/>
        </w:rPr>
        <w:t xml:space="preserve"> </w:t>
      </w:r>
      <w:proofErr w:type="spellStart"/>
      <w:r w:rsidR="00544882" w:rsidRPr="001558A5">
        <w:rPr>
          <w:i/>
          <w:iCs/>
          <w:szCs w:val="20"/>
          <w:lang w:val="en-US"/>
        </w:rPr>
        <w:t>López</w:t>
      </w:r>
      <w:proofErr w:type="spellEnd"/>
      <w:r w:rsidR="00544882" w:rsidRPr="001558A5">
        <w:rPr>
          <w:i/>
          <w:iCs/>
          <w:szCs w:val="20"/>
          <w:lang w:val="en-US"/>
        </w:rPr>
        <w:t xml:space="preserve"> Lone</w:t>
      </w:r>
      <w:r w:rsidR="00DD4354" w:rsidRPr="001558A5">
        <w:rPr>
          <w:i/>
          <w:iCs/>
          <w:szCs w:val="20"/>
          <w:lang w:val="en-US"/>
        </w:rPr>
        <w:t xml:space="preserve"> </w:t>
      </w:r>
      <w:r w:rsidRPr="001558A5">
        <w:rPr>
          <w:i/>
          <w:iCs/>
          <w:szCs w:val="20"/>
          <w:lang w:val="en-US"/>
        </w:rPr>
        <w:t>et al. v.</w:t>
      </w:r>
      <w:r w:rsidR="00544882" w:rsidRPr="001558A5">
        <w:rPr>
          <w:i/>
          <w:iCs/>
          <w:szCs w:val="20"/>
          <w:lang w:val="en-US"/>
        </w:rPr>
        <w:t xml:space="preserve"> </w:t>
      </w:r>
      <w:r w:rsidR="00544882" w:rsidRPr="001558A5">
        <w:rPr>
          <w:rFonts w:cs="Times New Roman"/>
          <w:szCs w:val="20"/>
          <w:lang w:val="en-US"/>
        </w:rPr>
        <w:t>Honduras</w:t>
      </w:r>
      <w:r w:rsidR="00544882" w:rsidRPr="001558A5">
        <w:rPr>
          <w:szCs w:val="20"/>
          <w:lang w:val="en-US"/>
        </w:rPr>
        <w:t xml:space="preserve">, </w:t>
      </w:r>
      <w:r w:rsidRPr="001558A5">
        <w:rPr>
          <w:szCs w:val="20"/>
          <w:lang w:val="en-US"/>
        </w:rPr>
        <w:t xml:space="preserve">this Court indicated that, “on June 28, the National Congress met and read a ‘supposed letter of resignation [from </w:t>
      </w:r>
      <w:r w:rsidR="00871E19" w:rsidRPr="001558A5">
        <w:rPr>
          <w:szCs w:val="20"/>
          <w:lang w:val="en-US"/>
        </w:rPr>
        <w:t>President</w:t>
      </w:r>
      <w:r w:rsidR="00544882" w:rsidRPr="001558A5">
        <w:rPr>
          <w:szCs w:val="20"/>
          <w:lang w:val="en-US"/>
        </w:rPr>
        <w:t xml:space="preserve"> </w:t>
      </w:r>
      <w:proofErr w:type="spellStart"/>
      <w:r w:rsidR="00544882" w:rsidRPr="001558A5">
        <w:rPr>
          <w:szCs w:val="20"/>
          <w:lang w:val="en-US"/>
        </w:rPr>
        <w:t>Zelay</w:t>
      </w:r>
      <w:r w:rsidR="00B66264" w:rsidRPr="001558A5">
        <w:rPr>
          <w:szCs w:val="20"/>
          <w:lang w:val="en-US"/>
        </w:rPr>
        <w:t>a</w:t>
      </w:r>
      <w:proofErr w:type="spellEnd"/>
      <w:r w:rsidRPr="001558A5">
        <w:rPr>
          <w:szCs w:val="20"/>
          <w:lang w:val="en-US"/>
        </w:rPr>
        <w:t>]</w:t>
      </w:r>
      <w:r w:rsidR="00544882" w:rsidRPr="001558A5">
        <w:rPr>
          <w:szCs w:val="20"/>
          <w:lang w:val="en-US"/>
        </w:rPr>
        <w:t>.</w:t>
      </w:r>
      <w:r w:rsidRPr="001558A5">
        <w:rPr>
          <w:szCs w:val="20"/>
          <w:lang w:val="en-US"/>
        </w:rPr>
        <w:t>’</w:t>
      </w:r>
      <w:r w:rsidR="00544882" w:rsidRPr="001558A5">
        <w:rPr>
          <w:szCs w:val="20"/>
          <w:lang w:val="en-US"/>
        </w:rPr>
        <w:t xml:space="preserve"> </w:t>
      </w:r>
      <w:r w:rsidRPr="001558A5">
        <w:rPr>
          <w:rStyle w:val="markedcontent"/>
          <w:rFonts w:cs="Arial"/>
          <w:szCs w:val="20"/>
          <w:lang w:val="en-US"/>
        </w:rPr>
        <w:t xml:space="preserve">Subsequently, by Legislative Decree 141-09, it ordered: </w:t>
      </w:r>
      <w:r w:rsidR="00032F38" w:rsidRPr="001558A5">
        <w:rPr>
          <w:rStyle w:val="markedcontent"/>
          <w:rFonts w:cs="Arial"/>
          <w:szCs w:val="20"/>
          <w:lang w:val="en-US"/>
        </w:rPr>
        <w:t>‘</w:t>
      </w:r>
      <w:r w:rsidRPr="001558A5">
        <w:rPr>
          <w:rStyle w:val="markedcontent"/>
          <w:rFonts w:cs="Arial"/>
          <w:szCs w:val="20"/>
          <w:lang w:val="en-US"/>
        </w:rPr>
        <w:t xml:space="preserve">[t]he constitutional appointment of the [then President of Congress] Roberto </w:t>
      </w:r>
      <w:proofErr w:type="spellStart"/>
      <w:r w:rsidRPr="001558A5">
        <w:rPr>
          <w:rStyle w:val="markedcontent"/>
          <w:rFonts w:cs="Arial"/>
          <w:szCs w:val="20"/>
          <w:lang w:val="en-US"/>
        </w:rPr>
        <w:t>Micheletti</w:t>
      </w:r>
      <w:proofErr w:type="spellEnd"/>
      <w:r w:rsidRPr="001558A5">
        <w:rPr>
          <w:rStyle w:val="markedcontent"/>
          <w:rFonts w:cs="Arial"/>
          <w:szCs w:val="20"/>
          <w:lang w:val="en-US"/>
        </w:rPr>
        <w:t xml:space="preserve"> Bain [</w:t>
      </w:r>
      <w:r w:rsidR="00032F38" w:rsidRPr="001558A5">
        <w:rPr>
          <w:rFonts w:cs="Calibri"/>
          <w:szCs w:val="20"/>
          <w:lang w:val="en-US"/>
        </w:rPr>
        <w:t>…</w:t>
      </w:r>
      <w:r w:rsidRPr="001558A5">
        <w:rPr>
          <w:rStyle w:val="markedcontent"/>
          <w:rFonts w:cs="Arial"/>
          <w:szCs w:val="20"/>
          <w:lang w:val="en-US"/>
        </w:rPr>
        <w:t>] to the office of Constitutional President of the Republic for the remainder of the current presidential term</w:t>
      </w:r>
      <w:r w:rsidR="00032F38" w:rsidRPr="001558A5">
        <w:rPr>
          <w:rStyle w:val="markedcontent"/>
          <w:rFonts w:cs="Arial"/>
          <w:szCs w:val="20"/>
          <w:lang w:val="en-US"/>
        </w:rPr>
        <w:t xml:space="preserve">.’ After taking office, Mr. </w:t>
      </w:r>
      <w:proofErr w:type="spellStart"/>
      <w:r w:rsidR="00032F38" w:rsidRPr="001558A5">
        <w:rPr>
          <w:rStyle w:val="markedcontent"/>
          <w:rFonts w:cs="Arial"/>
          <w:szCs w:val="20"/>
          <w:lang w:val="en-US"/>
        </w:rPr>
        <w:t>Micheletti</w:t>
      </w:r>
      <w:proofErr w:type="spellEnd"/>
      <w:r w:rsidR="00032F38" w:rsidRPr="001558A5">
        <w:rPr>
          <w:rStyle w:val="markedcontent"/>
          <w:rFonts w:cs="Arial"/>
          <w:szCs w:val="20"/>
          <w:lang w:val="en-US"/>
        </w:rPr>
        <w:t xml:space="preserve"> declared a state of emergency and imposed a curfew.”</w:t>
      </w:r>
      <w:r w:rsidR="00544882" w:rsidRPr="001558A5">
        <w:rPr>
          <w:rStyle w:val="Refdenotaalpie"/>
          <w:rFonts w:cs="Arial"/>
          <w:lang w:val="en-US"/>
        </w:rPr>
        <w:footnoteReference w:id="50"/>
      </w:r>
    </w:p>
    <w:p w14:paraId="1411983F" w14:textId="181B0400" w:rsidR="00382402" w:rsidRPr="001558A5" w:rsidRDefault="00032F38" w:rsidP="00507EE3">
      <w:pPr>
        <w:pStyle w:val="Prrafodelista"/>
        <w:numPr>
          <w:ilvl w:val="0"/>
          <w:numId w:val="2"/>
        </w:numPr>
        <w:spacing w:before="120" w:after="120"/>
        <w:ind w:left="0" w:firstLine="0"/>
        <w:contextualSpacing w:val="0"/>
        <w:rPr>
          <w:szCs w:val="20"/>
          <w:lang w:val="en-US"/>
        </w:rPr>
      </w:pPr>
      <w:bookmarkStart w:id="76" w:name="_Ref431474704"/>
      <w:r w:rsidRPr="001558A5">
        <w:rPr>
          <w:rStyle w:val="markedcontent"/>
          <w:rFonts w:cs="Arial"/>
          <w:szCs w:val="20"/>
          <w:lang w:val="en-US"/>
        </w:rPr>
        <w:t xml:space="preserve">During the following days, numerous public protests were held and were “violently </w:t>
      </w:r>
      <w:r w:rsidRPr="001558A5">
        <w:rPr>
          <w:szCs w:val="20"/>
          <w:lang w:val="en-US"/>
        </w:rPr>
        <w:br/>
      </w:r>
      <w:r w:rsidRPr="001558A5">
        <w:rPr>
          <w:rStyle w:val="markedcontent"/>
          <w:rFonts w:cs="Arial"/>
          <w:szCs w:val="20"/>
          <w:lang w:val="en-US"/>
        </w:rPr>
        <w:t>suppressed.</w:t>
      </w:r>
      <w:r w:rsidR="00382402" w:rsidRPr="001558A5">
        <w:rPr>
          <w:szCs w:val="20"/>
          <w:lang w:val="en-US"/>
        </w:rPr>
        <w:t>”</w:t>
      </w:r>
      <w:r w:rsidR="00382402" w:rsidRPr="001558A5">
        <w:rPr>
          <w:rStyle w:val="Refdenotaalpie"/>
          <w:rFonts w:cs="Arial"/>
          <w:lang w:val="en-US"/>
        </w:rPr>
        <w:footnoteReference w:id="51"/>
      </w:r>
      <w:r w:rsidR="00382402" w:rsidRPr="001558A5">
        <w:rPr>
          <w:szCs w:val="20"/>
          <w:lang w:val="en-US"/>
        </w:rPr>
        <w:t xml:space="preserve"> </w:t>
      </w:r>
      <w:r w:rsidRPr="001558A5">
        <w:rPr>
          <w:szCs w:val="20"/>
          <w:lang w:val="en-US"/>
        </w:rPr>
        <w:t>In addition, thousands of people were arrested, mostly during protests against the coup.</w:t>
      </w:r>
      <w:r w:rsidR="00382402" w:rsidRPr="001558A5">
        <w:rPr>
          <w:rStyle w:val="Refdenotaalpie"/>
          <w:rFonts w:cs="Arial"/>
          <w:lang w:val="en-US"/>
        </w:rPr>
        <w:footnoteReference w:id="52"/>
      </w:r>
      <w:r w:rsidR="00507EE3" w:rsidRPr="001558A5">
        <w:rPr>
          <w:rFonts w:cs="Arial"/>
          <w:szCs w:val="20"/>
          <w:lang w:val="en-US"/>
        </w:rPr>
        <w:t xml:space="preserve"> On this point, the Truth Commission’s report</w:t>
      </w:r>
      <w:r w:rsidR="00382402" w:rsidRPr="001558A5">
        <w:rPr>
          <w:rFonts w:cs="Arial"/>
          <w:szCs w:val="20"/>
          <w:lang w:val="en-US"/>
        </w:rPr>
        <w:t xml:space="preserve"> </w:t>
      </w:r>
      <w:r w:rsidR="00507EE3" w:rsidRPr="001558A5">
        <w:rPr>
          <w:rFonts w:cs="Arial"/>
          <w:szCs w:val="20"/>
          <w:lang w:val="en-US"/>
        </w:rPr>
        <w:t xml:space="preserve">recorded that </w:t>
      </w:r>
      <w:r w:rsidR="00921733" w:rsidRPr="001558A5">
        <w:rPr>
          <w:rFonts w:cs="Arial"/>
          <w:szCs w:val="20"/>
          <w:lang w:val="en-US"/>
        </w:rPr>
        <w:t>demonstrations</w:t>
      </w:r>
      <w:r w:rsidR="00507EE3" w:rsidRPr="001558A5">
        <w:rPr>
          <w:rFonts w:cs="Arial"/>
          <w:szCs w:val="20"/>
          <w:lang w:val="en-US"/>
        </w:rPr>
        <w:t xml:space="preserve"> were repressed with an excessive use of lethal and non-lethal force</w:t>
      </w:r>
      <w:r w:rsidR="00921733" w:rsidRPr="001558A5">
        <w:rPr>
          <w:rFonts w:cs="Arial"/>
          <w:szCs w:val="20"/>
          <w:lang w:val="en-US"/>
        </w:rPr>
        <w:t>,</w:t>
      </w:r>
      <w:r w:rsidR="00507EE3" w:rsidRPr="001558A5">
        <w:rPr>
          <w:rFonts w:cs="Arial"/>
          <w:szCs w:val="20"/>
          <w:lang w:val="en-US"/>
        </w:rPr>
        <w:t xml:space="preserve"> and arbitrary and illegal detentions occurred against people taking part in the political protests in support of </w:t>
      </w:r>
      <w:r w:rsidR="00871E19" w:rsidRPr="001558A5">
        <w:rPr>
          <w:spacing w:val="-4"/>
          <w:szCs w:val="20"/>
          <w:lang w:val="en-US"/>
        </w:rPr>
        <w:t>President</w:t>
      </w:r>
      <w:r w:rsidR="00382402" w:rsidRPr="001558A5">
        <w:rPr>
          <w:spacing w:val="-4"/>
          <w:szCs w:val="20"/>
          <w:lang w:val="en-US"/>
        </w:rPr>
        <w:t xml:space="preserve"> </w:t>
      </w:r>
      <w:proofErr w:type="spellStart"/>
      <w:r w:rsidR="00382402" w:rsidRPr="001558A5">
        <w:rPr>
          <w:spacing w:val="-4"/>
          <w:szCs w:val="20"/>
          <w:lang w:val="en-US"/>
        </w:rPr>
        <w:t>Zelaya</w:t>
      </w:r>
      <w:proofErr w:type="spellEnd"/>
      <w:r w:rsidR="00382402" w:rsidRPr="001558A5">
        <w:rPr>
          <w:spacing w:val="-4"/>
          <w:szCs w:val="20"/>
          <w:lang w:val="en-US"/>
        </w:rPr>
        <w:t xml:space="preserve">. </w:t>
      </w:r>
      <w:r w:rsidR="00871E19" w:rsidRPr="001558A5">
        <w:rPr>
          <w:spacing w:val="-4"/>
          <w:szCs w:val="20"/>
          <w:lang w:val="en-US"/>
        </w:rPr>
        <w:t xml:space="preserve">The </w:t>
      </w:r>
      <w:r w:rsidR="00507EE3" w:rsidRPr="001558A5">
        <w:rPr>
          <w:spacing w:val="-4"/>
          <w:szCs w:val="20"/>
          <w:lang w:val="en-US"/>
        </w:rPr>
        <w:t xml:space="preserve">Truth </w:t>
      </w:r>
      <w:r w:rsidR="00871E19" w:rsidRPr="001558A5">
        <w:rPr>
          <w:spacing w:val="-4"/>
          <w:szCs w:val="20"/>
          <w:lang w:val="en-US"/>
        </w:rPr>
        <w:t>Commission</w:t>
      </w:r>
      <w:r w:rsidR="00382402" w:rsidRPr="001558A5">
        <w:rPr>
          <w:spacing w:val="-4"/>
          <w:szCs w:val="20"/>
          <w:lang w:val="en-US"/>
        </w:rPr>
        <w:t xml:space="preserve"> </w:t>
      </w:r>
      <w:r w:rsidR="00507EE3" w:rsidRPr="001558A5">
        <w:rPr>
          <w:spacing w:val="-4"/>
          <w:szCs w:val="20"/>
          <w:lang w:val="en-US"/>
        </w:rPr>
        <w:t>reported that nine people died during the clashes between police and protesters.</w:t>
      </w:r>
      <w:r w:rsidR="00382402" w:rsidRPr="001558A5">
        <w:rPr>
          <w:rStyle w:val="Refdenotaalpie"/>
          <w:spacing w:val="-4"/>
          <w:lang w:val="en-US"/>
        </w:rPr>
        <w:footnoteReference w:id="53"/>
      </w:r>
      <w:r w:rsidR="00507EE3" w:rsidRPr="001558A5">
        <w:rPr>
          <w:spacing w:val="-4"/>
          <w:szCs w:val="20"/>
          <w:lang w:val="en-US"/>
        </w:rPr>
        <w:t xml:space="preserve"> According to the information provided by the State in response to the Court’s request for helpful evidence, </w:t>
      </w:r>
      <w:r w:rsidR="00507EE3" w:rsidRPr="001558A5">
        <w:rPr>
          <w:szCs w:val="20"/>
          <w:lang w:val="en-US"/>
        </w:rPr>
        <w:t xml:space="preserve">four murders were committed </w:t>
      </w:r>
      <w:r w:rsidR="00507EE3" w:rsidRPr="001558A5">
        <w:rPr>
          <w:spacing w:val="-4"/>
          <w:szCs w:val="20"/>
          <w:lang w:val="en-US"/>
        </w:rPr>
        <w:t xml:space="preserve">on June 29, 2009, the day on which the lifeless body of </w:t>
      </w:r>
      <w:r w:rsidR="00507EE3" w:rsidRPr="001558A5">
        <w:rPr>
          <w:szCs w:val="20"/>
          <w:lang w:val="en-US"/>
        </w:rPr>
        <w:t>Vicky Hernández was found. Furthermore, over the period from June 25 to September 1, 2009, 217 persons were victims of homicide.</w:t>
      </w:r>
      <w:r w:rsidR="005B1711" w:rsidRPr="001558A5">
        <w:rPr>
          <w:rStyle w:val="Refdenotaalpie"/>
          <w:lang w:val="en-US"/>
        </w:rPr>
        <w:footnoteReference w:id="54"/>
      </w:r>
    </w:p>
    <w:p w14:paraId="5C36CE0A" w14:textId="0844EC76" w:rsidR="005601AF" w:rsidRPr="001558A5" w:rsidRDefault="00032F38" w:rsidP="00032F38">
      <w:pPr>
        <w:pStyle w:val="Prrafodelista"/>
        <w:numPr>
          <w:ilvl w:val="0"/>
          <w:numId w:val="2"/>
        </w:numPr>
        <w:spacing w:before="120" w:after="120"/>
        <w:ind w:left="0" w:firstLine="0"/>
        <w:contextualSpacing w:val="0"/>
        <w:rPr>
          <w:szCs w:val="20"/>
          <w:lang w:val="en-US"/>
        </w:rPr>
      </w:pPr>
      <w:r w:rsidRPr="001558A5">
        <w:rPr>
          <w:szCs w:val="20"/>
          <w:lang w:val="en-US"/>
        </w:rPr>
        <w:t>In</w:t>
      </w:r>
      <w:r w:rsidRPr="001558A5">
        <w:rPr>
          <w:spacing w:val="-4"/>
          <w:szCs w:val="20"/>
          <w:lang w:val="en-US"/>
        </w:rPr>
        <w:t xml:space="preserve"> his report on </w:t>
      </w:r>
      <w:r w:rsidR="00C909B4" w:rsidRPr="001558A5">
        <w:rPr>
          <w:szCs w:val="20"/>
          <w:lang w:val="en-US"/>
        </w:rPr>
        <w:t>human rights</w:t>
      </w:r>
      <w:r w:rsidR="00D135E2" w:rsidRPr="001558A5">
        <w:rPr>
          <w:szCs w:val="20"/>
          <w:lang w:val="en-US"/>
        </w:rPr>
        <w:t xml:space="preserve"> violations</w:t>
      </w:r>
      <w:r w:rsidR="005B1711" w:rsidRPr="001558A5">
        <w:rPr>
          <w:szCs w:val="20"/>
          <w:lang w:val="en-US"/>
        </w:rPr>
        <w:t xml:space="preserve"> </w:t>
      </w:r>
      <w:r w:rsidR="00215FEF" w:rsidRPr="001558A5">
        <w:rPr>
          <w:szCs w:val="20"/>
          <w:lang w:val="en-US"/>
        </w:rPr>
        <w:t>in Honduras</w:t>
      </w:r>
      <w:r w:rsidR="005B1711" w:rsidRPr="001558A5">
        <w:rPr>
          <w:szCs w:val="20"/>
          <w:lang w:val="en-US"/>
        </w:rPr>
        <w:t xml:space="preserve"> </w:t>
      </w:r>
      <w:r w:rsidRPr="001558A5">
        <w:rPr>
          <w:szCs w:val="20"/>
          <w:lang w:val="en-US"/>
        </w:rPr>
        <w:t>since</w:t>
      </w:r>
      <w:r w:rsidR="005B1711" w:rsidRPr="001558A5">
        <w:rPr>
          <w:szCs w:val="20"/>
          <w:lang w:val="en-US"/>
        </w:rPr>
        <w:t xml:space="preserve"> </w:t>
      </w:r>
      <w:r w:rsidR="00B74256" w:rsidRPr="001558A5">
        <w:rPr>
          <w:szCs w:val="20"/>
          <w:lang w:val="en-US"/>
        </w:rPr>
        <w:t>the coup d’état</w:t>
      </w:r>
      <w:r w:rsidR="005B1711" w:rsidRPr="001558A5">
        <w:rPr>
          <w:szCs w:val="20"/>
          <w:lang w:val="en-US"/>
        </w:rPr>
        <w:t xml:space="preserve">, </w:t>
      </w:r>
      <w:r w:rsidRPr="001558A5">
        <w:rPr>
          <w:szCs w:val="20"/>
          <w:lang w:val="en-US"/>
        </w:rPr>
        <w:t xml:space="preserve">the </w:t>
      </w:r>
      <w:r w:rsidRPr="001558A5">
        <w:rPr>
          <w:spacing w:val="-4"/>
          <w:szCs w:val="20"/>
          <w:lang w:val="en-US"/>
        </w:rPr>
        <w:t>United Nations High Commissioner for Human Rights indicated that</w:t>
      </w:r>
      <w:r w:rsidR="00507EE3" w:rsidRPr="001558A5">
        <w:rPr>
          <w:szCs w:val="20"/>
          <w:lang w:val="en-US"/>
        </w:rPr>
        <w:t xml:space="preserve"> </w:t>
      </w:r>
      <w:r w:rsidR="005B1711" w:rsidRPr="001558A5">
        <w:rPr>
          <w:szCs w:val="20"/>
          <w:lang w:val="en-US"/>
        </w:rPr>
        <w:t>“</w:t>
      </w:r>
      <w:r w:rsidRPr="001558A5">
        <w:rPr>
          <w:lang w:val="en-US"/>
        </w:rPr>
        <w:t xml:space="preserve">within the framework of the emergency provisions, several measures limiting fundamental rights were adopted, including curfews, repression of demonstrations and closure of media. These provisions were applied in an arbitrary and discriminatory manner, </w:t>
      </w:r>
      <w:r w:rsidRPr="001558A5">
        <w:rPr>
          <w:szCs w:val="20"/>
          <w:lang w:val="en-US"/>
        </w:rPr>
        <w:t>[…]</w:t>
      </w:r>
      <w:r w:rsidRPr="001558A5">
        <w:rPr>
          <w:lang w:val="en-US"/>
        </w:rPr>
        <w:t xml:space="preserve"> and served to cover up or justify excessive use of force, illegal and arbitrary detention, torture, sexual abuse and political persecution. On the basis of these measures, fundamental freedoms, including those of expression, movement and assembly, as well as the principles of proportionality and legality, were violated.</w:t>
      </w:r>
      <w:r w:rsidR="005B1711" w:rsidRPr="001558A5">
        <w:rPr>
          <w:szCs w:val="20"/>
          <w:lang w:val="en-US"/>
        </w:rPr>
        <w:t>”</w:t>
      </w:r>
      <w:r w:rsidR="005B1711" w:rsidRPr="001558A5">
        <w:rPr>
          <w:rStyle w:val="Refdenotaalpie"/>
          <w:lang w:val="en-US"/>
        </w:rPr>
        <w:footnoteReference w:id="55"/>
      </w:r>
    </w:p>
    <w:bookmarkEnd w:id="76"/>
    <w:p w14:paraId="48602AE5" w14:textId="47ECAE5C" w:rsidR="00B87B80" w:rsidRPr="001558A5" w:rsidRDefault="00215FEF" w:rsidP="00945CE2">
      <w:pPr>
        <w:pStyle w:val="Ttulo2"/>
        <w:numPr>
          <w:ilvl w:val="0"/>
          <w:numId w:val="20"/>
        </w:numPr>
        <w:spacing w:before="240" w:after="240"/>
        <w:rPr>
          <w:rFonts w:ascii="Verdana" w:hAnsi="Verdana"/>
          <w:i/>
          <w:color w:val="auto"/>
          <w:sz w:val="20"/>
          <w:szCs w:val="20"/>
          <w:lang w:val="en-US"/>
        </w:rPr>
      </w:pPr>
      <w:r w:rsidRPr="001558A5">
        <w:rPr>
          <w:rFonts w:ascii="Verdana" w:hAnsi="Verdana"/>
          <w:i/>
          <w:color w:val="auto"/>
          <w:sz w:val="20"/>
          <w:szCs w:val="20"/>
          <w:lang w:val="en-US"/>
        </w:rPr>
        <w:t>Vicky Hernández and her death</w:t>
      </w:r>
    </w:p>
    <w:p w14:paraId="495EDCE1" w14:textId="35A84702" w:rsidR="00A30748" w:rsidRPr="001558A5" w:rsidRDefault="00EC0FBD" w:rsidP="005542C0">
      <w:pPr>
        <w:pStyle w:val="Prrafodelista"/>
        <w:numPr>
          <w:ilvl w:val="0"/>
          <w:numId w:val="2"/>
        </w:numPr>
        <w:tabs>
          <w:tab w:val="left" w:pos="630"/>
        </w:tabs>
        <w:spacing w:before="120" w:after="120"/>
        <w:ind w:left="0" w:hanging="28"/>
        <w:contextualSpacing w:val="0"/>
        <w:rPr>
          <w:rFonts w:eastAsia="Arial Unicode MS"/>
          <w:szCs w:val="20"/>
          <w:bdr w:val="nil"/>
          <w:lang w:val="en-US"/>
        </w:rPr>
      </w:pPr>
      <w:r w:rsidRPr="001558A5">
        <w:rPr>
          <w:rFonts w:cs="Batang"/>
          <w:szCs w:val="20"/>
          <w:lang w:val="en-US"/>
        </w:rPr>
        <w:t>Vicky Hernández</w:t>
      </w:r>
      <w:r w:rsidR="009D4D4F" w:rsidRPr="001558A5">
        <w:rPr>
          <w:rFonts w:eastAsia="Arial Unicode MS"/>
          <w:szCs w:val="20"/>
          <w:bdr w:val="nil"/>
          <w:lang w:val="en-US"/>
        </w:rPr>
        <w:t xml:space="preserve"> </w:t>
      </w:r>
      <w:r w:rsidR="00507EE3" w:rsidRPr="001558A5">
        <w:rPr>
          <w:rFonts w:eastAsia="Arial Unicode MS"/>
          <w:szCs w:val="20"/>
          <w:bdr w:val="nil"/>
          <w:lang w:val="en-US"/>
        </w:rPr>
        <w:t>was born on September 21,</w:t>
      </w:r>
      <w:r w:rsidRPr="001558A5">
        <w:rPr>
          <w:rFonts w:eastAsia="Arial Unicode MS"/>
          <w:szCs w:val="20"/>
          <w:bdr w:val="nil"/>
          <w:lang w:val="en-US"/>
        </w:rPr>
        <w:t xml:space="preserve"> 1</w:t>
      </w:r>
      <w:r w:rsidR="00757F99" w:rsidRPr="001558A5">
        <w:rPr>
          <w:rFonts w:eastAsia="Arial Unicode MS"/>
          <w:szCs w:val="20"/>
          <w:bdr w:val="nil"/>
          <w:lang w:val="en-US"/>
        </w:rPr>
        <w:t>983</w:t>
      </w:r>
      <w:r w:rsidR="00507EE3" w:rsidRPr="001558A5">
        <w:rPr>
          <w:rFonts w:eastAsia="Arial Unicode MS"/>
          <w:szCs w:val="20"/>
          <w:bdr w:val="nil"/>
          <w:lang w:val="en-US"/>
        </w:rPr>
        <w:t>,</w:t>
      </w:r>
      <w:r w:rsidR="00757F99" w:rsidRPr="001558A5">
        <w:rPr>
          <w:rFonts w:eastAsia="Arial Unicode MS"/>
          <w:szCs w:val="20"/>
          <w:bdr w:val="nil"/>
          <w:lang w:val="en-US"/>
        </w:rPr>
        <w:t xml:space="preserve"> </w:t>
      </w:r>
      <w:r w:rsidR="005542C0" w:rsidRPr="001558A5">
        <w:rPr>
          <w:rFonts w:eastAsia="Arial Unicode MS"/>
          <w:szCs w:val="20"/>
          <w:bdr w:val="nil"/>
          <w:lang w:val="en-US"/>
        </w:rPr>
        <w:t>i</w:t>
      </w:r>
      <w:r w:rsidR="00757F99" w:rsidRPr="001558A5">
        <w:rPr>
          <w:rFonts w:eastAsia="Arial Unicode MS"/>
          <w:szCs w:val="20"/>
          <w:bdr w:val="nil"/>
          <w:lang w:val="en-US"/>
        </w:rPr>
        <w:t>n San Pedro Sula, Honduras</w:t>
      </w:r>
      <w:r w:rsidR="00B87B80" w:rsidRPr="001558A5">
        <w:rPr>
          <w:rFonts w:eastAsia="Arial Unicode MS"/>
          <w:szCs w:val="20"/>
          <w:bdr w:val="nil"/>
          <w:lang w:val="en-US"/>
        </w:rPr>
        <w:t>.</w:t>
      </w:r>
      <w:r w:rsidRPr="001558A5">
        <w:rPr>
          <w:rFonts w:eastAsia="Arial Unicode MS"/>
          <w:szCs w:val="20"/>
          <w:bdr w:val="nil"/>
          <w:lang w:val="en-US"/>
        </w:rPr>
        <w:t xml:space="preserve"> </w:t>
      </w:r>
      <w:r w:rsidR="005542C0" w:rsidRPr="001558A5">
        <w:rPr>
          <w:rFonts w:eastAsia="Arial Unicode MS"/>
          <w:szCs w:val="20"/>
          <w:bdr w:val="nil"/>
          <w:lang w:val="en-US"/>
        </w:rPr>
        <w:t xml:space="preserve">She attended school up until sixth year of primary education but then had to </w:t>
      </w:r>
      <w:r w:rsidR="0081361E" w:rsidRPr="001558A5">
        <w:rPr>
          <w:rFonts w:eastAsia="Arial Unicode MS"/>
          <w:szCs w:val="20"/>
          <w:bdr w:val="nil"/>
          <w:lang w:val="en-US"/>
        </w:rPr>
        <w:t>drop out</w:t>
      </w:r>
      <w:r w:rsidR="005542C0" w:rsidRPr="001558A5">
        <w:rPr>
          <w:rFonts w:eastAsia="Arial Unicode MS"/>
          <w:szCs w:val="20"/>
          <w:bdr w:val="nil"/>
          <w:lang w:val="en-US"/>
        </w:rPr>
        <w:t xml:space="preserve"> to </w:t>
      </w:r>
      <w:r w:rsidR="0081361E" w:rsidRPr="001558A5">
        <w:rPr>
          <w:rFonts w:eastAsia="Arial Unicode MS"/>
          <w:szCs w:val="20"/>
          <w:bdr w:val="nil"/>
          <w:lang w:val="en-US"/>
        </w:rPr>
        <w:t>get a job</w:t>
      </w:r>
      <w:r w:rsidR="005542C0" w:rsidRPr="001558A5">
        <w:rPr>
          <w:rFonts w:eastAsia="Arial Unicode MS"/>
          <w:szCs w:val="20"/>
          <w:bdr w:val="nil"/>
          <w:lang w:val="en-US"/>
        </w:rPr>
        <w:t xml:space="preserve"> and provide financial support to her mother, as well as contributing to her niece’s educational expenses.</w:t>
      </w:r>
      <w:r w:rsidR="00CE73AB" w:rsidRPr="001558A5">
        <w:rPr>
          <w:rStyle w:val="Refdenotaalpie"/>
          <w:rFonts w:eastAsia="Arial Unicode MS"/>
          <w:bdr w:val="nil"/>
          <w:lang w:val="en-US"/>
        </w:rPr>
        <w:footnoteReference w:id="56"/>
      </w:r>
      <w:r w:rsidR="00CE73AB" w:rsidRPr="001558A5">
        <w:rPr>
          <w:rFonts w:eastAsia="Arial Unicode MS"/>
          <w:szCs w:val="20"/>
          <w:bdr w:val="nil"/>
          <w:lang w:val="en-US"/>
        </w:rPr>
        <w:t xml:space="preserve"> </w:t>
      </w:r>
      <w:r w:rsidR="001F3811" w:rsidRPr="001558A5">
        <w:rPr>
          <w:rFonts w:eastAsia="Arial Unicode MS"/>
          <w:szCs w:val="20"/>
          <w:bdr w:val="nil"/>
          <w:lang w:val="en-US"/>
        </w:rPr>
        <w:t xml:space="preserve">Vicky Hernández </w:t>
      </w:r>
      <w:r w:rsidR="005542C0" w:rsidRPr="001558A5">
        <w:rPr>
          <w:rFonts w:eastAsia="Arial Unicode MS"/>
          <w:szCs w:val="20"/>
          <w:bdr w:val="nil"/>
          <w:lang w:val="en-US"/>
        </w:rPr>
        <w:t>was a trans woman and, as such, formed part of a group that was particularly discriminated against. She was reduced to living on the margin of society owing to the prejudices that existed and the lack of legal recognition of her gender identity. She was also a sex worker and well-known activist within the “</w:t>
      </w:r>
      <w:proofErr w:type="spellStart"/>
      <w:r w:rsidR="005542C0" w:rsidRPr="001558A5">
        <w:rPr>
          <w:rFonts w:eastAsia="Arial Unicode MS"/>
          <w:i/>
          <w:iCs/>
          <w:szCs w:val="20"/>
          <w:bdr w:val="nil"/>
          <w:lang w:val="en-US"/>
        </w:rPr>
        <w:t>Colectivo</w:t>
      </w:r>
      <w:proofErr w:type="spellEnd"/>
      <w:r w:rsidR="005542C0" w:rsidRPr="001558A5">
        <w:rPr>
          <w:rFonts w:eastAsia="Arial Unicode MS"/>
          <w:i/>
          <w:iCs/>
          <w:szCs w:val="20"/>
          <w:bdr w:val="nil"/>
          <w:lang w:val="en-US"/>
        </w:rPr>
        <w:t xml:space="preserve"> </w:t>
      </w:r>
      <w:proofErr w:type="spellStart"/>
      <w:r w:rsidR="005542C0" w:rsidRPr="001558A5">
        <w:rPr>
          <w:rFonts w:eastAsia="Arial Unicode MS"/>
          <w:i/>
          <w:iCs/>
          <w:szCs w:val="20"/>
          <w:bdr w:val="nil"/>
          <w:lang w:val="en-US"/>
        </w:rPr>
        <w:t>Unidad</w:t>
      </w:r>
      <w:proofErr w:type="spellEnd"/>
      <w:r w:rsidR="005542C0" w:rsidRPr="001558A5">
        <w:rPr>
          <w:rFonts w:eastAsia="Arial Unicode MS"/>
          <w:i/>
          <w:iCs/>
          <w:szCs w:val="20"/>
          <w:bdr w:val="nil"/>
          <w:lang w:val="en-US"/>
        </w:rPr>
        <w:t xml:space="preserve"> Color Rosa</w:t>
      </w:r>
      <w:r w:rsidR="0081361E" w:rsidRPr="001558A5">
        <w:rPr>
          <w:rFonts w:eastAsia="Arial Unicode MS"/>
          <w:szCs w:val="20"/>
          <w:bdr w:val="nil"/>
          <w:lang w:val="en-US"/>
        </w:rPr>
        <w:t>,</w:t>
      </w:r>
      <w:r w:rsidR="005542C0" w:rsidRPr="001558A5">
        <w:rPr>
          <w:rFonts w:eastAsia="Arial Unicode MS"/>
          <w:szCs w:val="20"/>
          <w:bdr w:val="nil"/>
          <w:lang w:val="en-US"/>
        </w:rPr>
        <w:t>”</w:t>
      </w:r>
      <w:r w:rsidR="0081361E" w:rsidRPr="001558A5">
        <w:rPr>
          <w:rFonts w:eastAsia="Arial Unicode MS"/>
          <w:szCs w:val="20"/>
          <w:bdr w:val="nil"/>
          <w:lang w:val="en-US"/>
        </w:rPr>
        <w:t xml:space="preserve"> which defends the human rights of trans persons in Honduras. The organization also specializes in cases of HIV/AIDS. According to the representatives, and undisputed by the State, Vicky was extremely active within the </w:t>
      </w:r>
      <w:proofErr w:type="spellStart"/>
      <w:r w:rsidR="0081361E" w:rsidRPr="001558A5">
        <w:rPr>
          <w:rFonts w:eastAsia="Arial Unicode MS"/>
          <w:i/>
          <w:iCs/>
          <w:szCs w:val="20"/>
          <w:bdr w:val="nil"/>
          <w:lang w:val="en-US"/>
        </w:rPr>
        <w:t>Colectivo</w:t>
      </w:r>
      <w:proofErr w:type="spellEnd"/>
      <w:r w:rsidR="0081361E" w:rsidRPr="001558A5">
        <w:rPr>
          <w:rFonts w:eastAsia="Arial Unicode MS"/>
          <w:i/>
          <w:iCs/>
          <w:szCs w:val="20"/>
          <w:bdr w:val="nil"/>
          <w:lang w:val="en-US"/>
        </w:rPr>
        <w:t xml:space="preserve"> </w:t>
      </w:r>
      <w:proofErr w:type="spellStart"/>
      <w:r w:rsidR="0081361E" w:rsidRPr="001558A5">
        <w:rPr>
          <w:rFonts w:eastAsia="Arial Unicode MS"/>
          <w:i/>
          <w:iCs/>
          <w:szCs w:val="20"/>
          <w:bdr w:val="nil"/>
          <w:lang w:val="en-US"/>
        </w:rPr>
        <w:t>Unidad</w:t>
      </w:r>
      <w:proofErr w:type="spellEnd"/>
      <w:r w:rsidR="0081361E" w:rsidRPr="001558A5">
        <w:rPr>
          <w:rFonts w:eastAsia="Arial Unicode MS"/>
          <w:i/>
          <w:iCs/>
          <w:szCs w:val="20"/>
          <w:bdr w:val="nil"/>
          <w:lang w:val="en-US"/>
        </w:rPr>
        <w:t xml:space="preserve"> Color Rosa</w:t>
      </w:r>
      <w:r w:rsidR="0081361E" w:rsidRPr="001558A5">
        <w:rPr>
          <w:rFonts w:eastAsia="Arial Unicode MS"/>
          <w:szCs w:val="20"/>
          <w:bdr w:val="nil"/>
          <w:lang w:val="en-US"/>
        </w:rPr>
        <w:t xml:space="preserve">. In this regard, </w:t>
      </w:r>
      <w:r w:rsidR="00A30748" w:rsidRPr="001558A5">
        <w:rPr>
          <w:rFonts w:eastAsia="Arial Unicode MS"/>
          <w:szCs w:val="20"/>
          <w:bdr w:val="nil"/>
          <w:lang w:val="en-US"/>
        </w:rPr>
        <w:t xml:space="preserve">Claudia </w:t>
      </w:r>
      <w:proofErr w:type="spellStart"/>
      <w:r w:rsidR="00A30748" w:rsidRPr="001558A5">
        <w:rPr>
          <w:rFonts w:eastAsia="Arial Unicode MS"/>
          <w:szCs w:val="20"/>
          <w:bdr w:val="nil"/>
          <w:lang w:val="en-US"/>
        </w:rPr>
        <w:t>Spellman</w:t>
      </w:r>
      <w:r w:rsidR="00743D5F" w:rsidRPr="001558A5">
        <w:rPr>
          <w:rFonts w:eastAsia="Arial Unicode MS"/>
          <w:szCs w:val="20"/>
          <w:bdr w:val="nil"/>
          <w:lang w:val="en-US"/>
        </w:rPr>
        <w:t>t</w:t>
      </w:r>
      <w:proofErr w:type="spellEnd"/>
      <w:r w:rsidR="00A30748" w:rsidRPr="001558A5">
        <w:rPr>
          <w:rFonts w:eastAsia="Arial Unicode MS"/>
          <w:szCs w:val="20"/>
          <w:bdr w:val="nil"/>
          <w:lang w:val="en-US"/>
        </w:rPr>
        <w:t>, director</w:t>
      </w:r>
      <w:r w:rsidR="0081361E" w:rsidRPr="001558A5">
        <w:rPr>
          <w:rFonts w:eastAsia="Arial Unicode MS"/>
          <w:szCs w:val="20"/>
          <w:bdr w:val="nil"/>
          <w:lang w:val="en-US"/>
        </w:rPr>
        <w:t xml:space="preserve"> of the </w:t>
      </w:r>
      <w:proofErr w:type="spellStart"/>
      <w:r w:rsidR="0081361E" w:rsidRPr="001558A5">
        <w:rPr>
          <w:rFonts w:eastAsia="Arial Unicode MS"/>
          <w:szCs w:val="20"/>
          <w:bdr w:val="nil"/>
          <w:lang w:val="en-US"/>
        </w:rPr>
        <w:t>Colectiv</w:t>
      </w:r>
      <w:r w:rsidR="009F36EF" w:rsidRPr="001558A5">
        <w:rPr>
          <w:rFonts w:eastAsia="Arial Unicode MS"/>
          <w:szCs w:val="20"/>
          <w:bdr w:val="nil"/>
          <w:lang w:val="en-US"/>
        </w:rPr>
        <w:t>o</w:t>
      </w:r>
      <w:proofErr w:type="spellEnd"/>
      <w:r w:rsidR="0081361E" w:rsidRPr="001558A5">
        <w:rPr>
          <w:rFonts w:eastAsia="Arial Unicode MS"/>
          <w:szCs w:val="20"/>
          <w:bdr w:val="nil"/>
          <w:lang w:val="en-US"/>
        </w:rPr>
        <w:t xml:space="preserve"> at the time, indicated that Vicky took part in many of the organization’s activities, including the marches and the training workshops.</w:t>
      </w:r>
      <w:r w:rsidR="00516832" w:rsidRPr="001558A5">
        <w:rPr>
          <w:rStyle w:val="Refdenotaalpie"/>
          <w:rFonts w:eastAsia="Arial Unicode MS"/>
          <w:bdr w:val="nil"/>
          <w:lang w:val="en-US"/>
        </w:rPr>
        <w:footnoteReference w:id="57"/>
      </w:r>
    </w:p>
    <w:p w14:paraId="665420DE" w14:textId="7EB25EF5" w:rsidR="00B87B80" w:rsidRPr="001558A5" w:rsidRDefault="00CE73AB" w:rsidP="00CE1AB5">
      <w:pPr>
        <w:pStyle w:val="Prrafodelista"/>
        <w:numPr>
          <w:ilvl w:val="0"/>
          <w:numId w:val="2"/>
        </w:numPr>
        <w:tabs>
          <w:tab w:val="left" w:pos="630"/>
        </w:tabs>
        <w:spacing w:before="120" w:after="120"/>
        <w:ind w:left="0" w:hanging="28"/>
        <w:contextualSpacing w:val="0"/>
        <w:rPr>
          <w:rFonts w:eastAsia="Arial Unicode MS"/>
          <w:szCs w:val="20"/>
          <w:bdr w:val="nil"/>
          <w:lang w:val="en-US"/>
        </w:rPr>
      </w:pPr>
      <w:r w:rsidRPr="001558A5">
        <w:rPr>
          <w:rFonts w:eastAsia="Arial Unicode MS"/>
          <w:szCs w:val="20"/>
          <w:bdr w:val="nil"/>
          <w:lang w:val="en-US"/>
        </w:rPr>
        <w:t>A</w:t>
      </w:r>
      <w:r w:rsidR="009C681F" w:rsidRPr="001558A5">
        <w:rPr>
          <w:rFonts w:eastAsia="Arial Unicode MS"/>
          <w:szCs w:val="20"/>
          <w:bdr w:val="nil"/>
          <w:lang w:val="en-US"/>
        </w:rPr>
        <w:t xml:space="preserve">t the time of the events, </w:t>
      </w:r>
      <w:r w:rsidR="00231F21" w:rsidRPr="001558A5">
        <w:rPr>
          <w:rFonts w:eastAsia="Arial Unicode MS"/>
          <w:szCs w:val="20"/>
          <w:bdr w:val="nil"/>
          <w:lang w:val="en-US"/>
        </w:rPr>
        <w:t>Vicky</w:t>
      </w:r>
      <w:r w:rsidRPr="001558A5">
        <w:rPr>
          <w:rFonts w:eastAsia="Arial Unicode MS"/>
          <w:szCs w:val="20"/>
          <w:bdr w:val="nil"/>
          <w:lang w:val="en-US"/>
        </w:rPr>
        <w:t xml:space="preserve"> </w:t>
      </w:r>
      <w:r w:rsidR="009C681F" w:rsidRPr="001558A5">
        <w:rPr>
          <w:rFonts w:eastAsia="Arial Unicode MS"/>
          <w:szCs w:val="20"/>
          <w:bdr w:val="nil"/>
          <w:lang w:val="en-US"/>
        </w:rPr>
        <w:t xml:space="preserve">was HIV positive and lived with </w:t>
      </w:r>
      <w:r w:rsidR="00EB397C" w:rsidRPr="001558A5">
        <w:rPr>
          <w:rFonts w:eastAsia="Arial Unicode MS"/>
          <w:szCs w:val="20"/>
          <w:bdr w:val="nil"/>
          <w:lang w:val="en-US"/>
        </w:rPr>
        <w:t>her mother</w:t>
      </w:r>
      <w:r w:rsidRPr="001558A5">
        <w:rPr>
          <w:rFonts w:eastAsia="Arial Unicode MS"/>
          <w:szCs w:val="20"/>
          <w:bdr w:val="nil"/>
          <w:lang w:val="en-US"/>
        </w:rPr>
        <w:t>,</w:t>
      </w:r>
      <w:r w:rsidR="0005488A" w:rsidRPr="001558A5">
        <w:rPr>
          <w:rFonts w:eastAsia="Arial Unicode MS"/>
          <w:szCs w:val="20"/>
          <w:bdr w:val="nil"/>
          <w:lang w:val="en-US"/>
        </w:rPr>
        <w:t xml:space="preserve"> Rosa </w:t>
      </w:r>
      <w:proofErr w:type="spellStart"/>
      <w:r w:rsidR="0005488A" w:rsidRPr="001558A5">
        <w:rPr>
          <w:rFonts w:eastAsia="Arial Unicode MS"/>
          <w:szCs w:val="20"/>
          <w:bdr w:val="nil"/>
          <w:lang w:val="en-US"/>
        </w:rPr>
        <w:t>Argelia</w:t>
      </w:r>
      <w:proofErr w:type="spellEnd"/>
      <w:r w:rsidR="0005488A" w:rsidRPr="001558A5">
        <w:rPr>
          <w:rFonts w:eastAsia="Arial Unicode MS"/>
          <w:szCs w:val="20"/>
          <w:bdr w:val="nil"/>
          <w:lang w:val="en-US"/>
        </w:rPr>
        <w:t xml:space="preserve"> Hernández </w:t>
      </w:r>
      <w:proofErr w:type="spellStart"/>
      <w:r w:rsidR="0005488A" w:rsidRPr="001558A5">
        <w:rPr>
          <w:rFonts w:eastAsia="Arial Unicode MS"/>
          <w:szCs w:val="20"/>
          <w:bdr w:val="nil"/>
          <w:lang w:val="en-US"/>
        </w:rPr>
        <w:t>Martínez</w:t>
      </w:r>
      <w:proofErr w:type="spellEnd"/>
      <w:r w:rsidR="009C681F" w:rsidRPr="001558A5">
        <w:rPr>
          <w:rFonts w:eastAsia="Arial Unicode MS"/>
          <w:szCs w:val="20"/>
          <w:bdr w:val="nil"/>
          <w:lang w:val="en-US"/>
        </w:rPr>
        <w:t>,</w:t>
      </w:r>
      <w:r w:rsidRPr="001558A5">
        <w:rPr>
          <w:rFonts w:eastAsia="Arial Unicode MS"/>
          <w:szCs w:val="20"/>
          <w:bdr w:val="nil"/>
          <w:lang w:val="en-US"/>
        </w:rPr>
        <w:t xml:space="preserve"> </w:t>
      </w:r>
      <w:r w:rsidR="009C681F" w:rsidRPr="001558A5">
        <w:rPr>
          <w:rFonts w:eastAsia="Arial Unicode MS"/>
          <w:szCs w:val="20"/>
          <w:bdr w:val="nil"/>
          <w:lang w:val="en-US"/>
        </w:rPr>
        <w:t>her cousin,</w:t>
      </w:r>
      <w:r w:rsidR="0005488A" w:rsidRPr="001558A5">
        <w:rPr>
          <w:rFonts w:eastAsia="Arial Unicode MS"/>
          <w:szCs w:val="20"/>
          <w:bdr w:val="nil"/>
          <w:lang w:val="en-US"/>
        </w:rPr>
        <w:t xml:space="preserve"> Tatiana </w:t>
      </w:r>
      <w:proofErr w:type="spellStart"/>
      <w:r w:rsidR="0005488A" w:rsidRPr="001558A5">
        <w:rPr>
          <w:rFonts w:eastAsia="Arial Unicode MS"/>
          <w:szCs w:val="20"/>
          <w:bdr w:val="nil"/>
          <w:lang w:val="en-US"/>
        </w:rPr>
        <w:t>Rápalo</w:t>
      </w:r>
      <w:proofErr w:type="spellEnd"/>
      <w:r w:rsidR="0005488A" w:rsidRPr="001558A5">
        <w:rPr>
          <w:rFonts w:eastAsia="Arial Unicode MS"/>
          <w:szCs w:val="20"/>
          <w:bdr w:val="nil"/>
          <w:lang w:val="en-US"/>
        </w:rPr>
        <w:t xml:space="preserve"> Hernández</w:t>
      </w:r>
      <w:r w:rsidR="009C681F" w:rsidRPr="001558A5">
        <w:rPr>
          <w:rFonts w:eastAsia="Arial Unicode MS"/>
          <w:szCs w:val="20"/>
          <w:bdr w:val="nil"/>
          <w:lang w:val="en-US"/>
        </w:rPr>
        <w:t>,</w:t>
      </w:r>
      <w:r w:rsidR="00DD4354" w:rsidRPr="001558A5">
        <w:rPr>
          <w:rFonts w:eastAsia="Arial Unicode MS"/>
          <w:szCs w:val="20"/>
          <w:bdr w:val="nil"/>
          <w:lang w:val="en-US"/>
        </w:rPr>
        <w:t xml:space="preserve"> and </w:t>
      </w:r>
      <w:r w:rsidR="00EB397C" w:rsidRPr="001558A5">
        <w:rPr>
          <w:rFonts w:eastAsia="Arial Unicode MS"/>
          <w:szCs w:val="20"/>
          <w:bdr w:val="nil"/>
          <w:lang w:val="en-US"/>
        </w:rPr>
        <w:t>her niece</w:t>
      </w:r>
      <w:r w:rsidR="009C681F" w:rsidRPr="001558A5">
        <w:rPr>
          <w:rFonts w:eastAsia="Arial Unicode MS"/>
          <w:szCs w:val="20"/>
          <w:bdr w:val="nil"/>
          <w:lang w:val="en-US"/>
        </w:rPr>
        <w:t>,</w:t>
      </w:r>
      <w:r w:rsidR="0005488A" w:rsidRPr="001558A5">
        <w:rPr>
          <w:rFonts w:eastAsia="Arial Unicode MS"/>
          <w:szCs w:val="20"/>
          <w:bdr w:val="nil"/>
          <w:lang w:val="en-US"/>
        </w:rPr>
        <w:t xml:space="preserve"> </w:t>
      </w:r>
      <w:proofErr w:type="spellStart"/>
      <w:r w:rsidR="0005488A" w:rsidRPr="001558A5">
        <w:rPr>
          <w:rFonts w:eastAsia="Arial Unicode MS"/>
          <w:szCs w:val="20"/>
          <w:bdr w:val="nil"/>
          <w:lang w:val="en-US"/>
        </w:rPr>
        <w:t>Argelia</w:t>
      </w:r>
      <w:proofErr w:type="spellEnd"/>
      <w:r w:rsidR="0005488A" w:rsidRPr="001558A5">
        <w:rPr>
          <w:rFonts w:eastAsia="Arial Unicode MS"/>
          <w:szCs w:val="20"/>
          <w:bdr w:val="nil"/>
          <w:lang w:val="en-US"/>
        </w:rPr>
        <w:t xml:space="preserve"> Johanna Reyes Ríos</w:t>
      </w:r>
      <w:r w:rsidRPr="001558A5">
        <w:rPr>
          <w:rFonts w:eastAsia="Arial Unicode MS"/>
          <w:szCs w:val="20"/>
          <w:bdr w:val="nil"/>
          <w:lang w:val="en-US"/>
        </w:rPr>
        <w:t xml:space="preserve"> </w:t>
      </w:r>
      <w:r w:rsidR="009C681F" w:rsidRPr="001558A5">
        <w:rPr>
          <w:rFonts w:eastAsia="Arial Unicode MS"/>
          <w:szCs w:val="20"/>
          <w:bdr w:val="nil"/>
          <w:lang w:val="en-US"/>
        </w:rPr>
        <w:t>i</w:t>
      </w:r>
      <w:r w:rsidRPr="001558A5">
        <w:rPr>
          <w:rFonts w:eastAsia="Arial Unicode MS"/>
          <w:szCs w:val="20"/>
          <w:bdr w:val="nil"/>
          <w:lang w:val="en-US"/>
        </w:rPr>
        <w:t>n San Pedro Sula</w:t>
      </w:r>
      <w:r w:rsidR="00231F21" w:rsidRPr="001558A5">
        <w:rPr>
          <w:rFonts w:eastAsia="Arial Unicode MS"/>
          <w:szCs w:val="20"/>
          <w:bdr w:val="nil"/>
          <w:lang w:val="en-US"/>
        </w:rPr>
        <w:t xml:space="preserve">. </w:t>
      </w:r>
      <w:r w:rsidR="00EB397C" w:rsidRPr="001558A5">
        <w:rPr>
          <w:rFonts w:eastAsia="Arial Unicode MS"/>
          <w:szCs w:val="20"/>
          <w:bdr w:val="nil"/>
          <w:lang w:val="en-US"/>
        </w:rPr>
        <w:t>Her mother</w:t>
      </w:r>
      <w:r w:rsidR="00231F21" w:rsidRPr="001558A5">
        <w:rPr>
          <w:rFonts w:eastAsia="Arial Unicode MS"/>
          <w:szCs w:val="20"/>
          <w:bdr w:val="nil"/>
          <w:lang w:val="en-US"/>
        </w:rPr>
        <w:t xml:space="preserve"> </w:t>
      </w:r>
      <w:r w:rsidR="009C681F" w:rsidRPr="001558A5">
        <w:rPr>
          <w:rFonts w:eastAsia="Arial Unicode MS"/>
          <w:szCs w:val="20"/>
          <w:bdr w:val="nil"/>
          <w:lang w:val="en-US"/>
        </w:rPr>
        <w:t xml:space="preserve">stated that, two months before </w:t>
      </w:r>
      <w:r w:rsidR="00CE1AB5" w:rsidRPr="001558A5">
        <w:rPr>
          <w:rFonts w:eastAsia="Arial Unicode MS"/>
          <w:szCs w:val="20"/>
          <w:bdr w:val="nil"/>
          <w:lang w:val="en-US"/>
        </w:rPr>
        <w:t>she was murdered</w:t>
      </w:r>
      <w:r w:rsidR="009C681F" w:rsidRPr="001558A5">
        <w:rPr>
          <w:rFonts w:eastAsia="Arial Unicode MS"/>
          <w:szCs w:val="20"/>
          <w:bdr w:val="nil"/>
          <w:lang w:val="en-US"/>
        </w:rPr>
        <w:t>, she had been attacked by a se</w:t>
      </w:r>
      <w:r w:rsidR="00CE1AB5" w:rsidRPr="001558A5">
        <w:rPr>
          <w:rFonts w:eastAsia="Arial Unicode MS"/>
          <w:szCs w:val="20"/>
          <w:bdr w:val="nil"/>
          <w:lang w:val="en-US"/>
        </w:rPr>
        <w:t>curity guard who dealt her a machete blow to the head and that, when she went to the police, the officers told her that for all they cared, she could die. Therefore, a friend then took her to a hospital</w:t>
      </w:r>
      <w:r w:rsidR="00B44D26" w:rsidRPr="001558A5">
        <w:rPr>
          <w:rFonts w:eastAsia="Arial Unicode MS"/>
          <w:szCs w:val="20"/>
          <w:bdr w:val="nil"/>
          <w:lang w:val="en-US"/>
        </w:rPr>
        <w:t xml:space="preserve">. Vicky Hernández </w:t>
      </w:r>
      <w:r w:rsidR="00CE1AB5" w:rsidRPr="001558A5">
        <w:rPr>
          <w:rFonts w:eastAsia="Arial Unicode MS"/>
          <w:szCs w:val="20"/>
          <w:bdr w:val="nil"/>
          <w:lang w:val="en-US"/>
        </w:rPr>
        <w:t>reported this incident, but the authorities failed to investigate it.</w:t>
      </w:r>
      <w:r w:rsidR="00725E5D" w:rsidRPr="001558A5">
        <w:rPr>
          <w:rStyle w:val="Refdenotaalpie"/>
          <w:rFonts w:eastAsia="Arial Unicode MS"/>
          <w:bdr w:val="nil"/>
          <w:lang w:val="en-US"/>
        </w:rPr>
        <w:footnoteReference w:id="58"/>
      </w:r>
      <w:r w:rsidR="009D4D4F" w:rsidRPr="001558A5">
        <w:rPr>
          <w:rFonts w:eastAsia="Arial Unicode MS"/>
          <w:szCs w:val="20"/>
          <w:bdr w:val="nil"/>
          <w:lang w:val="en-US"/>
        </w:rPr>
        <w:t xml:space="preserve"> </w:t>
      </w:r>
    </w:p>
    <w:p w14:paraId="359A9207" w14:textId="4AA2AFC9" w:rsidR="00A27841" w:rsidRPr="001558A5" w:rsidRDefault="00CE1AB5" w:rsidP="00945CE2">
      <w:pPr>
        <w:pStyle w:val="Prrafodelista"/>
        <w:numPr>
          <w:ilvl w:val="0"/>
          <w:numId w:val="2"/>
        </w:numPr>
        <w:tabs>
          <w:tab w:val="left" w:pos="630"/>
        </w:tabs>
        <w:spacing w:before="120" w:after="120"/>
        <w:ind w:left="0" w:hanging="28"/>
        <w:contextualSpacing w:val="0"/>
        <w:rPr>
          <w:rFonts w:eastAsia="Verdana" w:cs="Verdana"/>
          <w:szCs w:val="20"/>
          <w:lang w:val="en-US"/>
        </w:rPr>
      </w:pPr>
      <w:r w:rsidRPr="001558A5">
        <w:rPr>
          <w:rFonts w:eastAsia="Verdana" w:cs="Verdana"/>
          <w:szCs w:val="20"/>
          <w:lang w:val="en-US"/>
        </w:rPr>
        <w:t xml:space="preserve">On the evening of June 28, </w:t>
      </w:r>
      <w:r w:rsidR="00945CE2" w:rsidRPr="001558A5">
        <w:rPr>
          <w:rFonts w:eastAsia="Verdana" w:cs="Verdana"/>
          <w:szCs w:val="20"/>
          <w:lang w:val="en-US"/>
        </w:rPr>
        <w:t>2009</w:t>
      </w:r>
      <w:r w:rsidR="00845312" w:rsidRPr="001558A5">
        <w:rPr>
          <w:rFonts w:eastAsia="Verdana" w:cs="Verdana"/>
          <w:szCs w:val="20"/>
          <w:lang w:val="en-US"/>
        </w:rPr>
        <w:t>, a curfew from 9 p.m. until 6 a.m. was declared</w:t>
      </w:r>
      <w:r w:rsidR="00945CE2" w:rsidRPr="001558A5">
        <w:rPr>
          <w:rFonts w:eastAsia="Verdana" w:cs="Verdana"/>
          <w:szCs w:val="20"/>
          <w:lang w:val="en-US"/>
        </w:rPr>
        <w:t xml:space="preserve"> </w:t>
      </w:r>
      <w:r w:rsidR="00845312" w:rsidRPr="001558A5">
        <w:rPr>
          <w:rFonts w:eastAsia="Verdana" w:cs="Verdana"/>
          <w:szCs w:val="20"/>
          <w:lang w:val="en-US"/>
        </w:rPr>
        <w:t>in</w:t>
      </w:r>
      <w:r w:rsidR="00945CE2" w:rsidRPr="001558A5">
        <w:rPr>
          <w:rFonts w:eastAsia="Verdana" w:cs="Verdana"/>
          <w:szCs w:val="20"/>
          <w:lang w:val="en-US"/>
        </w:rPr>
        <w:t xml:space="preserve"> </w:t>
      </w:r>
      <w:r w:rsidR="00DD4354" w:rsidRPr="001558A5">
        <w:rPr>
          <w:rFonts w:eastAsia="Verdana" w:cs="Verdana"/>
          <w:szCs w:val="20"/>
          <w:lang w:val="en-US"/>
        </w:rPr>
        <w:t>the context</w:t>
      </w:r>
      <w:r w:rsidR="00B74256" w:rsidRPr="001558A5">
        <w:rPr>
          <w:rFonts w:eastAsia="Verdana" w:cs="Verdana"/>
          <w:szCs w:val="20"/>
          <w:lang w:val="en-US"/>
        </w:rPr>
        <w:t xml:space="preserve"> of the coup d’état</w:t>
      </w:r>
      <w:r w:rsidR="00C00E42" w:rsidRPr="001558A5">
        <w:rPr>
          <w:rFonts w:eastAsia="Verdana" w:cs="Verdana"/>
          <w:szCs w:val="20"/>
          <w:lang w:val="en-US"/>
        </w:rPr>
        <w:t xml:space="preserve"> (</w:t>
      </w:r>
      <w:r w:rsidR="00C00E42" w:rsidRPr="001558A5">
        <w:rPr>
          <w:rFonts w:eastAsia="Verdana" w:cs="Verdana"/>
          <w:i/>
          <w:szCs w:val="20"/>
          <w:lang w:val="en-US"/>
        </w:rPr>
        <w:t>supra</w:t>
      </w:r>
      <w:r w:rsidR="00C00E42" w:rsidRPr="001558A5">
        <w:rPr>
          <w:rFonts w:eastAsia="Verdana" w:cs="Verdana"/>
          <w:szCs w:val="20"/>
          <w:lang w:val="en-US"/>
        </w:rPr>
        <w:t xml:space="preserve"> </w:t>
      </w:r>
      <w:r w:rsidR="00B43A52" w:rsidRPr="001558A5">
        <w:rPr>
          <w:rFonts w:eastAsia="Verdana" w:cs="Verdana"/>
          <w:szCs w:val="20"/>
          <w:lang w:val="en-US"/>
        </w:rPr>
        <w:t>para.</w:t>
      </w:r>
      <w:r w:rsidR="00C00E42" w:rsidRPr="001558A5">
        <w:rPr>
          <w:rFonts w:eastAsia="Verdana" w:cs="Verdana"/>
          <w:szCs w:val="20"/>
          <w:lang w:val="en-US"/>
        </w:rPr>
        <w:t xml:space="preserve"> 37)</w:t>
      </w:r>
      <w:r w:rsidR="00845312" w:rsidRPr="001558A5">
        <w:rPr>
          <w:rFonts w:eastAsia="Verdana" w:cs="Verdana"/>
          <w:szCs w:val="20"/>
          <w:lang w:val="en-US"/>
        </w:rPr>
        <w:t>.</w:t>
      </w:r>
      <w:r w:rsidR="00945CE2" w:rsidRPr="001558A5">
        <w:rPr>
          <w:rFonts w:eastAsia="Verdana" w:cs="Verdana"/>
          <w:szCs w:val="20"/>
          <w:lang w:val="en-US"/>
        </w:rPr>
        <w:t xml:space="preserve"> Rosa </w:t>
      </w:r>
      <w:proofErr w:type="spellStart"/>
      <w:r w:rsidR="00945CE2" w:rsidRPr="001558A5">
        <w:rPr>
          <w:rFonts w:eastAsia="Verdana" w:cs="Verdana"/>
          <w:szCs w:val="20"/>
          <w:lang w:val="en-US"/>
        </w:rPr>
        <w:t>Argelia</w:t>
      </w:r>
      <w:proofErr w:type="spellEnd"/>
      <w:r w:rsidR="00945CE2" w:rsidRPr="001558A5">
        <w:rPr>
          <w:rFonts w:eastAsia="Verdana" w:cs="Verdana"/>
          <w:szCs w:val="20"/>
          <w:lang w:val="en-US"/>
        </w:rPr>
        <w:t xml:space="preserve"> </w:t>
      </w:r>
      <w:r w:rsidR="00845312" w:rsidRPr="001558A5">
        <w:rPr>
          <w:rFonts w:eastAsia="Verdana" w:cs="Verdana"/>
          <w:szCs w:val="20"/>
          <w:lang w:val="en-US"/>
        </w:rPr>
        <w:t xml:space="preserve">stated that the last time she saw Vicky was on June 27, </w:t>
      </w:r>
      <w:r w:rsidR="00945CE2" w:rsidRPr="001558A5">
        <w:rPr>
          <w:rFonts w:eastAsia="Verdana" w:cs="Verdana"/>
          <w:szCs w:val="20"/>
          <w:lang w:val="en-US"/>
        </w:rPr>
        <w:t>2009</w:t>
      </w:r>
      <w:r w:rsidR="00845312" w:rsidRPr="001558A5">
        <w:rPr>
          <w:rFonts w:eastAsia="Verdana" w:cs="Verdana"/>
          <w:szCs w:val="20"/>
          <w:lang w:val="en-US"/>
        </w:rPr>
        <w:t>.</w:t>
      </w:r>
      <w:r w:rsidR="00945CE2" w:rsidRPr="001558A5">
        <w:rPr>
          <w:rStyle w:val="Refdenotaalpie"/>
          <w:rFonts w:eastAsia="Verdana"/>
          <w:lang w:val="en-US"/>
        </w:rPr>
        <w:footnoteReference w:id="59"/>
      </w:r>
      <w:r w:rsidR="00945CE2" w:rsidRPr="001558A5">
        <w:rPr>
          <w:rFonts w:eastAsia="Verdana" w:cs="Verdana"/>
          <w:szCs w:val="20"/>
          <w:lang w:val="en-US"/>
        </w:rPr>
        <w:t xml:space="preserve"> </w:t>
      </w:r>
      <w:r w:rsidR="00845312" w:rsidRPr="001558A5">
        <w:rPr>
          <w:rFonts w:eastAsia="Verdana" w:cs="Verdana"/>
          <w:szCs w:val="20"/>
          <w:lang w:val="en-US"/>
        </w:rPr>
        <w:t>On June 28,</w:t>
      </w:r>
      <w:r w:rsidR="00945CE2" w:rsidRPr="001558A5">
        <w:rPr>
          <w:rFonts w:eastAsia="Verdana" w:cs="Verdana"/>
          <w:szCs w:val="20"/>
          <w:lang w:val="en-US"/>
        </w:rPr>
        <w:t xml:space="preserve"> Vicky </w:t>
      </w:r>
      <w:r w:rsidR="00845312" w:rsidRPr="001558A5">
        <w:rPr>
          <w:rFonts w:eastAsia="Verdana" w:cs="Verdana"/>
          <w:szCs w:val="20"/>
          <w:lang w:val="en-US"/>
        </w:rPr>
        <w:t>went to a friend’s house. On June 29,</w:t>
      </w:r>
      <w:r w:rsidR="00945CE2" w:rsidRPr="001558A5">
        <w:rPr>
          <w:rFonts w:cs="Times New Roman"/>
          <w:szCs w:val="20"/>
          <w:lang w:val="en-US"/>
        </w:rPr>
        <w:t xml:space="preserve"> 2009</w:t>
      </w:r>
      <w:r w:rsidR="00845312" w:rsidRPr="001558A5">
        <w:rPr>
          <w:rFonts w:cs="Times New Roman"/>
          <w:szCs w:val="20"/>
          <w:lang w:val="en-US"/>
        </w:rPr>
        <w:t>,</w:t>
      </w:r>
      <w:r w:rsidR="00945CE2" w:rsidRPr="001558A5">
        <w:rPr>
          <w:rFonts w:cs="Times New Roman"/>
          <w:szCs w:val="20"/>
          <w:lang w:val="en-US"/>
        </w:rPr>
        <w:t xml:space="preserve"> </w:t>
      </w:r>
      <w:r w:rsidR="00845312" w:rsidRPr="001558A5">
        <w:rPr>
          <w:rFonts w:cs="Times New Roman"/>
          <w:szCs w:val="20"/>
          <w:lang w:val="en-US"/>
        </w:rPr>
        <w:t>at</w:t>
      </w:r>
      <w:r w:rsidR="00945CE2" w:rsidRPr="001558A5">
        <w:rPr>
          <w:rFonts w:cs="Times New Roman"/>
          <w:szCs w:val="20"/>
          <w:lang w:val="en-US"/>
        </w:rPr>
        <w:t xml:space="preserve"> 7</w:t>
      </w:r>
      <w:r w:rsidR="00845312" w:rsidRPr="001558A5">
        <w:rPr>
          <w:rFonts w:cs="Times New Roman"/>
          <w:szCs w:val="20"/>
          <w:lang w:val="en-US"/>
        </w:rPr>
        <w:t>.</w:t>
      </w:r>
      <w:r w:rsidR="00945CE2" w:rsidRPr="001558A5">
        <w:rPr>
          <w:rFonts w:cs="Times New Roman"/>
          <w:szCs w:val="20"/>
          <w:lang w:val="en-US"/>
        </w:rPr>
        <w:t>30 a</w:t>
      </w:r>
      <w:r w:rsidR="00845312" w:rsidRPr="001558A5">
        <w:rPr>
          <w:rFonts w:cs="Times New Roman"/>
          <w:szCs w:val="20"/>
          <w:lang w:val="en-US"/>
        </w:rPr>
        <w:t>.</w:t>
      </w:r>
      <w:r w:rsidR="00945CE2" w:rsidRPr="001558A5">
        <w:rPr>
          <w:rFonts w:cs="Times New Roman"/>
          <w:szCs w:val="20"/>
          <w:lang w:val="en-US"/>
        </w:rPr>
        <w:t>m</w:t>
      </w:r>
      <w:r w:rsidR="00845312" w:rsidRPr="001558A5">
        <w:rPr>
          <w:rFonts w:cs="Times New Roman"/>
          <w:szCs w:val="20"/>
          <w:lang w:val="en-US"/>
        </w:rPr>
        <w:t>.</w:t>
      </w:r>
      <w:r w:rsidR="00945CE2" w:rsidRPr="001558A5">
        <w:rPr>
          <w:rFonts w:cs="Times New Roman"/>
          <w:szCs w:val="20"/>
          <w:lang w:val="en-US"/>
        </w:rPr>
        <w:t>, agent</w:t>
      </w:r>
      <w:r w:rsidR="00845312" w:rsidRPr="001558A5">
        <w:rPr>
          <w:rFonts w:cs="Times New Roman"/>
          <w:szCs w:val="20"/>
          <w:lang w:val="en-US"/>
        </w:rPr>
        <w:t>s of the</w:t>
      </w:r>
      <w:r w:rsidR="00945CE2" w:rsidRPr="001558A5">
        <w:rPr>
          <w:rFonts w:cs="Times New Roman"/>
          <w:szCs w:val="20"/>
          <w:lang w:val="en-US"/>
        </w:rPr>
        <w:t xml:space="preserve"> </w:t>
      </w:r>
      <w:r w:rsidR="00845312" w:rsidRPr="001558A5">
        <w:rPr>
          <w:rFonts w:cs="Times New Roman"/>
          <w:szCs w:val="20"/>
          <w:lang w:val="en-US"/>
        </w:rPr>
        <w:t>National Criminal Investigation Directorate</w:t>
      </w:r>
      <w:r w:rsidR="00945CE2" w:rsidRPr="001558A5">
        <w:rPr>
          <w:rFonts w:cs="Times New Roman"/>
          <w:szCs w:val="20"/>
          <w:lang w:val="en-US"/>
        </w:rPr>
        <w:t xml:space="preserve"> (</w:t>
      </w:r>
      <w:r w:rsidR="00871E19" w:rsidRPr="001558A5">
        <w:rPr>
          <w:rFonts w:cs="Times New Roman"/>
          <w:szCs w:val="20"/>
          <w:lang w:val="en-US"/>
        </w:rPr>
        <w:t>hereinafter</w:t>
      </w:r>
      <w:r w:rsidR="00945CE2" w:rsidRPr="001558A5">
        <w:rPr>
          <w:rFonts w:cs="Times New Roman"/>
          <w:szCs w:val="20"/>
          <w:lang w:val="en-US"/>
        </w:rPr>
        <w:t xml:space="preserve"> “</w:t>
      </w:r>
      <w:r w:rsidR="00845312" w:rsidRPr="001558A5">
        <w:rPr>
          <w:rFonts w:cs="Times New Roman"/>
          <w:szCs w:val="20"/>
          <w:lang w:val="en-US"/>
        </w:rPr>
        <w:t xml:space="preserve">the </w:t>
      </w:r>
      <w:r w:rsidR="00945CE2" w:rsidRPr="001558A5">
        <w:rPr>
          <w:rFonts w:cs="Times New Roman"/>
          <w:szCs w:val="20"/>
          <w:lang w:val="en-US"/>
        </w:rPr>
        <w:t xml:space="preserve">DNIC”) </w:t>
      </w:r>
      <w:r w:rsidR="00E865F8" w:rsidRPr="001558A5">
        <w:rPr>
          <w:rFonts w:cs="Times New Roman"/>
          <w:szCs w:val="20"/>
          <w:lang w:val="en-US"/>
        </w:rPr>
        <w:t>were informed</w:t>
      </w:r>
      <w:r w:rsidR="00845312" w:rsidRPr="001558A5">
        <w:rPr>
          <w:rFonts w:cs="Times New Roman"/>
          <w:szCs w:val="20"/>
          <w:lang w:val="en-US"/>
        </w:rPr>
        <w:t xml:space="preserve"> that a body had been found </w:t>
      </w:r>
      <w:r w:rsidR="00DD11BA" w:rsidRPr="001558A5">
        <w:rPr>
          <w:rFonts w:cs="Times New Roman"/>
          <w:szCs w:val="20"/>
          <w:lang w:val="en-US"/>
        </w:rPr>
        <w:t>at No.</w:t>
      </w:r>
      <w:r w:rsidR="00845312" w:rsidRPr="001558A5">
        <w:rPr>
          <w:rFonts w:cs="Times New Roman"/>
          <w:szCs w:val="20"/>
          <w:lang w:val="en-US"/>
        </w:rPr>
        <w:t xml:space="preserve"> 3 between </w:t>
      </w:r>
      <w:r w:rsidR="00DD11BA" w:rsidRPr="001558A5">
        <w:rPr>
          <w:rFonts w:cs="Times New Roman"/>
          <w:szCs w:val="20"/>
          <w:lang w:val="en-US"/>
        </w:rPr>
        <w:t>Streets</w:t>
      </w:r>
      <w:r w:rsidR="00845312" w:rsidRPr="001558A5">
        <w:rPr>
          <w:rFonts w:cs="Times New Roman"/>
          <w:szCs w:val="20"/>
          <w:lang w:val="en-US"/>
        </w:rPr>
        <w:t xml:space="preserve"> 7 and 8, </w:t>
      </w:r>
      <w:proofErr w:type="spellStart"/>
      <w:r w:rsidR="00DD11BA" w:rsidRPr="001558A5">
        <w:rPr>
          <w:rFonts w:cs="Times New Roman"/>
          <w:szCs w:val="20"/>
          <w:lang w:val="en-US"/>
        </w:rPr>
        <w:t>Avenida</w:t>
      </w:r>
      <w:proofErr w:type="spellEnd"/>
      <w:r w:rsidR="00DD11BA" w:rsidRPr="001558A5">
        <w:rPr>
          <w:rFonts w:cs="Times New Roman"/>
          <w:szCs w:val="20"/>
          <w:lang w:val="en-US"/>
        </w:rPr>
        <w:t xml:space="preserve"> </w:t>
      </w:r>
      <w:r w:rsidR="00945CE2" w:rsidRPr="001558A5">
        <w:rPr>
          <w:rFonts w:cs="Times New Roman"/>
          <w:szCs w:val="20"/>
          <w:lang w:val="en-US"/>
        </w:rPr>
        <w:t xml:space="preserve">Colonia Ruiz </w:t>
      </w:r>
      <w:r w:rsidR="00845312" w:rsidRPr="001558A5">
        <w:rPr>
          <w:rFonts w:cs="Times New Roman"/>
          <w:szCs w:val="20"/>
          <w:lang w:val="en-US"/>
        </w:rPr>
        <w:t>i</w:t>
      </w:r>
      <w:r w:rsidR="00945CE2" w:rsidRPr="001558A5">
        <w:rPr>
          <w:rFonts w:cs="Times New Roman"/>
          <w:szCs w:val="20"/>
          <w:lang w:val="en-US"/>
        </w:rPr>
        <w:t xml:space="preserve">n San Pedro Sula. </w:t>
      </w:r>
      <w:r w:rsidR="00845312" w:rsidRPr="001558A5">
        <w:rPr>
          <w:rFonts w:cs="Times New Roman"/>
          <w:szCs w:val="20"/>
          <w:lang w:val="en-US"/>
        </w:rPr>
        <w:t xml:space="preserve">The corpse was removed at </w:t>
      </w:r>
      <w:r w:rsidR="00945CE2" w:rsidRPr="001558A5">
        <w:rPr>
          <w:rFonts w:cs="Times New Roman"/>
          <w:szCs w:val="20"/>
          <w:lang w:val="en-US"/>
        </w:rPr>
        <w:t>9</w:t>
      </w:r>
      <w:r w:rsidR="00845312" w:rsidRPr="001558A5">
        <w:rPr>
          <w:rFonts w:cs="Times New Roman"/>
          <w:szCs w:val="20"/>
          <w:lang w:val="en-US"/>
        </w:rPr>
        <w:t>.</w:t>
      </w:r>
      <w:r w:rsidR="00945CE2" w:rsidRPr="001558A5">
        <w:rPr>
          <w:rFonts w:cs="Times New Roman"/>
          <w:szCs w:val="20"/>
          <w:lang w:val="en-US"/>
        </w:rPr>
        <w:t>15 a</w:t>
      </w:r>
      <w:r w:rsidR="00845312" w:rsidRPr="001558A5">
        <w:rPr>
          <w:rFonts w:cs="Times New Roman"/>
          <w:szCs w:val="20"/>
          <w:lang w:val="en-US"/>
        </w:rPr>
        <w:t>.</w:t>
      </w:r>
      <w:r w:rsidR="00945CE2" w:rsidRPr="001558A5">
        <w:rPr>
          <w:rFonts w:cs="Times New Roman"/>
          <w:szCs w:val="20"/>
          <w:lang w:val="en-US"/>
        </w:rPr>
        <w:t>m</w:t>
      </w:r>
      <w:r w:rsidR="00845312" w:rsidRPr="001558A5">
        <w:rPr>
          <w:rFonts w:cs="Times New Roman"/>
          <w:szCs w:val="20"/>
          <w:lang w:val="en-US"/>
        </w:rPr>
        <w:t>.</w:t>
      </w:r>
      <w:r w:rsidR="00945CE2" w:rsidRPr="001558A5">
        <w:rPr>
          <w:rStyle w:val="Refdenotaalpie"/>
          <w:lang w:val="en-US"/>
        </w:rPr>
        <w:footnoteReference w:id="60"/>
      </w:r>
      <w:r w:rsidR="00725E5D" w:rsidRPr="001558A5">
        <w:rPr>
          <w:rFonts w:eastAsiaTheme="minorHAnsi" w:cs="Times New Roman"/>
          <w:b/>
          <w:color w:val="000000" w:themeColor="text1"/>
          <w:szCs w:val="20"/>
          <w:lang w:val="en-US"/>
        </w:rPr>
        <w:t xml:space="preserve"> </w:t>
      </w:r>
    </w:p>
    <w:p w14:paraId="233B1249" w14:textId="58AC6CD1" w:rsidR="00A83440" w:rsidRPr="001558A5" w:rsidRDefault="00845312" w:rsidP="00845312">
      <w:pPr>
        <w:pStyle w:val="Prrafodelista"/>
        <w:numPr>
          <w:ilvl w:val="0"/>
          <w:numId w:val="2"/>
        </w:numPr>
        <w:tabs>
          <w:tab w:val="left" w:pos="630"/>
        </w:tabs>
        <w:spacing w:before="120" w:after="120"/>
        <w:ind w:left="0" w:hanging="28"/>
        <w:contextualSpacing w:val="0"/>
        <w:rPr>
          <w:rFonts w:eastAsia="Verdana" w:cs="Verdana"/>
          <w:szCs w:val="20"/>
          <w:lang w:val="en-US"/>
        </w:rPr>
      </w:pPr>
      <w:r w:rsidRPr="001558A5">
        <w:rPr>
          <w:rFonts w:eastAsia="Verdana" w:cs="Verdana"/>
          <w:szCs w:val="20"/>
          <w:lang w:val="en-US"/>
        </w:rPr>
        <w:t xml:space="preserve">Regarding the circumstances of the death of </w:t>
      </w:r>
      <w:r w:rsidR="00A83440" w:rsidRPr="001558A5">
        <w:rPr>
          <w:rFonts w:eastAsia="Verdana" w:cs="Verdana"/>
          <w:szCs w:val="20"/>
          <w:lang w:val="en-US"/>
        </w:rPr>
        <w:t xml:space="preserve">Vicky Hernández, </w:t>
      </w:r>
      <w:r w:rsidR="00EB397C" w:rsidRPr="001558A5">
        <w:rPr>
          <w:rFonts w:eastAsia="Verdana" w:cs="Verdana"/>
          <w:szCs w:val="20"/>
          <w:lang w:val="en-US"/>
        </w:rPr>
        <w:t>her mother</w:t>
      </w:r>
      <w:r w:rsidR="00DD4354" w:rsidRPr="001558A5">
        <w:rPr>
          <w:rFonts w:eastAsia="Verdana" w:cs="Verdana"/>
          <w:szCs w:val="20"/>
          <w:lang w:val="en-US"/>
        </w:rPr>
        <w:t xml:space="preserve"> and</w:t>
      </w:r>
      <w:r w:rsidRPr="001558A5">
        <w:rPr>
          <w:rFonts w:eastAsia="Verdana" w:cs="Verdana"/>
          <w:szCs w:val="20"/>
          <w:lang w:val="en-US"/>
        </w:rPr>
        <w:t xml:space="preserve"> the witness,</w:t>
      </w:r>
      <w:r w:rsidR="00A83440" w:rsidRPr="001558A5">
        <w:rPr>
          <w:rFonts w:eastAsia="Verdana" w:cs="Verdana"/>
          <w:szCs w:val="20"/>
          <w:lang w:val="en-US"/>
        </w:rPr>
        <w:t xml:space="preserve"> Claudia </w:t>
      </w:r>
      <w:proofErr w:type="spellStart"/>
      <w:r w:rsidR="00A83440" w:rsidRPr="001558A5">
        <w:rPr>
          <w:rFonts w:eastAsia="Verdana" w:cs="Verdana"/>
          <w:szCs w:val="20"/>
          <w:lang w:val="en-US"/>
        </w:rPr>
        <w:t>Spellmant</w:t>
      </w:r>
      <w:proofErr w:type="spellEnd"/>
      <w:r w:rsidRPr="001558A5">
        <w:rPr>
          <w:rFonts w:eastAsia="Verdana" w:cs="Verdana"/>
          <w:szCs w:val="20"/>
          <w:lang w:val="en-US"/>
        </w:rPr>
        <w:t>, recounted that some of Vicky’s friends had told them that she was with two friends</w:t>
      </w:r>
      <w:r w:rsidR="00DD11BA" w:rsidRPr="001558A5">
        <w:rPr>
          <w:rFonts w:eastAsia="Verdana" w:cs="Verdana"/>
          <w:szCs w:val="20"/>
          <w:lang w:val="en-US"/>
        </w:rPr>
        <w:t xml:space="preserve">; that </w:t>
      </w:r>
      <w:r w:rsidR="00E865F8" w:rsidRPr="001558A5">
        <w:rPr>
          <w:rFonts w:eastAsia="Verdana" w:cs="Verdana"/>
          <w:szCs w:val="20"/>
          <w:lang w:val="en-US"/>
        </w:rPr>
        <w:t>they</w:t>
      </w:r>
      <w:r w:rsidR="00DD11BA" w:rsidRPr="001558A5">
        <w:rPr>
          <w:rFonts w:eastAsia="Verdana" w:cs="Verdana"/>
          <w:szCs w:val="20"/>
          <w:lang w:val="en-US"/>
        </w:rPr>
        <w:t xml:space="preserve"> had gone out and that, when they were walking in the red light </w:t>
      </w:r>
      <w:r w:rsidR="00E865F8" w:rsidRPr="001558A5">
        <w:rPr>
          <w:rFonts w:eastAsia="Verdana" w:cs="Verdana"/>
          <w:szCs w:val="20"/>
          <w:lang w:val="en-US"/>
        </w:rPr>
        <w:t>district</w:t>
      </w:r>
      <w:r w:rsidR="00DD11BA" w:rsidRPr="001558A5">
        <w:rPr>
          <w:rFonts w:eastAsia="Verdana" w:cs="Verdana"/>
          <w:szCs w:val="20"/>
          <w:lang w:val="en-US"/>
        </w:rPr>
        <w:t xml:space="preserve"> where they carried out their sex work, the three women were discovered by a police patrol that tried to arrest them. They fled in different directions so that the police patrol car could not catch them and, therefore, lost contact with Vicky and </w:t>
      </w:r>
      <w:r w:rsidR="00E865F8" w:rsidRPr="001558A5">
        <w:rPr>
          <w:rFonts w:eastAsia="Verdana" w:cs="Verdana"/>
          <w:szCs w:val="20"/>
          <w:lang w:val="en-US"/>
        </w:rPr>
        <w:t>were unaware of what</w:t>
      </w:r>
      <w:r w:rsidR="00DD11BA" w:rsidRPr="001558A5">
        <w:rPr>
          <w:rFonts w:eastAsia="Verdana" w:cs="Verdana"/>
          <w:szCs w:val="20"/>
          <w:lang w:val="en-US"/>
        </w:rPr>
        <w:t xml:space="preserve"> happened</w:t>
      </w:r>
      <w:r w:rsidR="00E865F8" w:rsidRPr="001558A5">
        <w:rPr>
          <w:rFonts w:eastAsia="Verdana" w:cs="Verdana"/>
          <w:szCs w:val="20"/>
          <w:lang w:val="en-US"/>
        </w:rPr>
        <w:t xml:space="preserve"> to her</w:t>
      </w:r>
      <w:r w:rsidR="00DD11BA" w:rsidRPr="001558A5">
        <w:rPr>
          <w:rFonts w:eastAsia="Verdana" w:cs="Verdana"/>
          <w:szCs w:val="20"/>
          <w:lang w:val="en-US"/>
        </w:rPr>
        <w:t xml:space="preserve"> until she appeared dead the following day.</w:t>
      </w:r>
      <w:r w:rsidR="00A83440" w:rsidRPr="001558A5">
        <w:rPr>
          <w:rStyle w:val="Refdenotaalpie"/>
          <w:rFonts w:eastAsia="Verdana"/>
          <w:lang w:val="en-US"/>
        </w:rPr>
        <w:footnoteReference w:id="61"/>
      </w:r>
    </w:p>
    <w:p w14:paraId="54035010" w14:textId="4772D67F" w:rsidR="00B92880" w:rsidRPr="001558A5" w:rsidRDefault="00B92880" w:rsidP="00945CE2">
      <w:pPr>
        <w:pStyle w:val="Prrafodelista"/>
        <w:numPr>
          <w:ilvl w:val="0"/>
          <w:numId w:val="2"/>
        </w:numPr>
        <w:tabs>
          <w:tab w:val="left" w:pos="630"/>
        </w:tabs>
        <w:spacing w:before="120" w:after="120"/>
        <w:ind w:left="0" w:hanging="28"/>
        <w:contextualSpacing w:val="0"/>
        <w:rPr>
          <w:rFonts w:cs="Times New Roman"/>
          <w:szCs w:val="20"/>
          <w:lang w:val="en-US"/>
        </w:rPr>
      </w:pPr>
      <w:r w:rsidRPr="001558A5">
        <w:rPr>
          <w:rFonts w:eastAsiaTheme="minorHAnsi" w:cs="Times New Roman"/>
          <w:color w:val="000000" w:themeColor="text1"/>
          <w:szCs w:val="20"/>
          <w:lang w:val="en-US"/>
        </w:rPr>
        <w:t>Final</w:t>
      </w:r>
      <w:r w:rsidR="00DD11BA" w:rsidRPr="001558A5">
        <w:rPr>
          <w:rFonts w:eastAsiaTheme="minorHAnsi" w:cs="Times New Roman"/>
          <w:color w:val="000000" w:themeColor="text1"/>
          <w:szCs w:val="20"/>
          <w:lang w:val="en-US"/>
        </w:rPr>
        <w:t xml:space="preserve">ly, </w:t>
      </w:r>
      <w:r w:rsidRPr="001558A5">
        <w:rPr>
          <w:rFonts w:eastAsiaTheme="minorHAnsi" w:cs="Times New Roman"/>
          <w:color w:val="000000" w:themeColor="text1"/>
          <w:szCs w:val="20"/>
          <w:lang w:val="en-US"/>
        </w:rPr>
        <w:t xml:space="preserve">Vicky </w:t>
      </w:r>
      <w:r w:rsidR="00332A17" w:rsidRPr="001558A5">
        <w:rPr>
          <w:rFonts w:eastAsiaTheme="minorHAnsi" w:cs="Times New Roman"/>
          <w:color w:val="000000" w:themeColor="text1"/>
          <w:szCs w:val="20"/>
          <w:lang w:val="en-US"/>
        </w:rPr>
        <w:t>Hernández</w:t>
      </w:r>
      <w:r w:rsidR="00DD11BA" w:rsidRPr="001558A5">
        <w:rPr>
          <w:rFonts w:eastAsiaTheme="minorHAnsi" w:cs="Times New Roman"/>
          <w:color w:val="000000" w:themeColor="text1"/>
          <w:szCs w:val="20"/>
          <w:lang w:val="en-US"/>
        </w:rPr>
        <w:t>’s mother stated that she found out that her daughter had died on June 29 from a trans woman called Alicia, who was later murdered</w:t>
      </w:r>
      <w:r w:rsidRPr="001558A5">
        <w:rPr>
          <w:rFonts w:eastAsiaTheme="minorHAnsi" w:cs="Times New Roman"/>
          <w:color w:val="000000" w:themeColor="text1"/>
          <w:szCs w:val="20"/>
          <w:lang w:val="en-US"/>
        </w:rPr>
        <w:t>.</w:t>
      </w:r>
      <w:r w:rsidRPr="001558A5">
        <w:rPr>
          <w:rFonts w:eastAsia="Verdana" w:cs="Verdana"/>
          <w:szCs w:val="20"/>
          <w:lang w:val="en-US"/>
        </w:rPr>
        <w:t xml:space="preserve"> </w:t>
      </w:r>
    </w:p>
    <w:p w14:paraId="49961C0B" w14:textId="06B26A4A" w:rsidR="00725E5D" w:rsidRPr="001558A5" w:rsidRDefault="00DD11BA" w:rsidP="00627598">
      <w:pPr>
        <w:pStyle w:val="Prrafodelista"/>
        <w:numPr>
          <w:ilvl w:val="0"/>
          <w:numId w:val="2"/>
        </w:numPr>
        <w:tabs>
          <w:tab w:val="left" w:pos="630"/>
        </w:tabs>
        <w:spacing w:before="120" w:after="120"/>
        <w:ind w:left="0" w:hanging="28"/>
        <w:contextualSpacing w:val="0"/>
        <w:rPr>
          <w:rFonts w:cs="Times New Roman"/>
          <w:szCs w:val="20"/>
          <w:lang w:val="en-US"/>
        </w:rPr>
      </w:pPr>
      <w:r w:rsidRPr="001558A5">
        <w:rPr>
          <w:rFonts w:cs="Times New Roman"/>
          <w:szCs w:val="20"/>
          <w:lang w:val="en-US"/>
        </w:rPr>
        <w:t xml:space="preserve">The record of the removal of Vicky Hernández’s body indicates that there was a wound with irregular edges </w:t>
      </w:r>
      <w:r w:rsidR="00627598" w:rsidRPr="001558A5">
        <w:rPr>
          <w:rFonts w:cs="Times New Roman"/>
          <w:szCs w:val="20"/>
          <w:lang w:val="en-US"/>
        </w:rPr>
        <w:t>in her left eye; a wound with irregular edges on the left frontal region, and bruising around her eye. It concluded that the apparent cause of death was a brain injury due to perforation with a bullet, and a postmortem interval of 8 to 10 hours prior to</w:t>
      </w:r>
      <w:r w:rsidR="00655F7F" w:rsidRPr="001558A5">
        <w:rPr>
          <w:rFonts w:cs="Times New Roman"/>
          <w:szCs w:val="20"/>
          <w:lang w:val="en-US"/>
        </w:rPr>
        <w:t xml:space="preserve"> the</w:t>
      </w:r>
      <w:r w:rsidR="00627598" w:rsidRPr="001558A5">
        <w:rPr>
          <w:rFonts w:cs="Times New Roman"/>
          <w:szCs w:val="20"/>
          <w:lang w:val="en-US"/>
        </w:rPr>
        <w:t xml:space="preserve"> discovery of the body. She was registered as “John Doe”</w:t>
      </w:r>
      <w:r w:rsidR="009F36EF" w:rsidRPr="001558A5">
        <w:rPr>
          <w:rFonts w:cs="Times New Roman"/>
          <w:szCs w:val="20"/>
          <w:lang w:val="en-US"/>
        </w:rPr>
        <w:t xml:space="preserve">; </w:t>
      </w:r>
      <w:r w:rsidR="00627598" w:rsidRPr="001558A5">
        <w:rPr>
          <w:rFonts w:cs="Times New Roman"/>
          <w:szCs w:val="20"/>
          <w:lang w:val="en-US"/>
        </w:rPr>
        <w:t xml:space="preserve">the record also mentioned the discovery of </w:t>
      </w:r>
      <w:r w:rsidR="00CD5EA5" w:rsidRPr="001558A5">
        <w:rPr>
          <w:rFonts w:cs="Times New Roman"/>
          <w:szCs w:val="20"/>
          <w:lang w:val="en-US"/>
        </w:rPr>
        <w:t xml:space="preserve">a </w:t>
      </w:r>
      <w:r w:rsidR="00CD5EA5" w:rsidRPr="001558A5">
        <w:rPr>
          <w:lang w:val="en-US"/>
        </w:rPr>
        <w:t>condom that had apparently been used</w:t>
      </w:r>
      <w:r w:rsidR="00627598" w:rsidRPr="001558A5">
        <w:rPr>
          <w:rFonts w:cs="Times New Roman"/>
          <w:szCs w:val="20"/>
          <w:lang w:val="en-US"/>
        </w:rPr>
        <w:t xml:space="preserve"> and, seven meters away, a grey bullet cas</w:t>
      </w:r>
      <w:r w:rsidR="00E865F8" w:rsidRPr="001558A5">
        <w:rPr>
          <w:rFonts w:cs="Times New Roman"/>
          <w:szCs w:val="20"/>
          <w:lang w:val="en-US"/>
        </w:rPr>
        <w:t>ing</w:t>
      </w:r>
      <w:r w:rsidR="00627598" w:rsidRPr="001558A5">
        <w:rPr>
          <w:rFonts w:cs="Times New Roman"/>
          <w:szCs w:val="20"/>
          <w:lang w:val="en-US"/>
        </w:rPr>
        <w:t>.</w:t>
      </w:r>
      <w:r w:rsidR="00945CE2" w:rsidRPr="001558A5">
        <w:rPr>
          <w:rStyle w:val="Refdenotaalpie"/>
          <w:lang w:val="en-US"/>
        </w:rPr>
        <w:footnoteReference w:id="62"/>
      </w:r>
    </w:p>
    <w:p w14:paraId="1EBEBEA5" w14:textId="1E9F7CFD" w:rsidR="00725E5D" w:rsidRPr="001558A5" w:rsidRDefault="00627598" w:rsidP="00627598">
      <w:pPr>
        <w:pStyle w:val="Prrafodelista"/>
        <w:numPr>
          <w:ilvl w:val="0"/>
          <w:numId w:val="2"/>
        </w:numPr>
        <w:tabs>
          <w:tab w:val="left" w:pos="630"/>
        </w:tabs>
        <w:spacing w:before="120" w:after="120"/>
        <w:ind w:left="0" w:hanging="28"/>
        <w:contextualSpacing w:val="0"/>
        <w:rPr>
          <w:rFonts w:cs="Times New Roman"/>
          <w:szCs w:val="20"/>
          <w:lang w:val="en-US"/>
        </w:rPr>
      </w:pPr>
      <w:r w:rsidRPr="001558A5">
        <w:rPr>
          <w:rFonts w:cs="Times New Roman"/>
          <w:szCs w:val="20"/>
          <w:lang w:val="en-US"/>
        </w:rPr>
        <w:t xml:space="preserve">According to the Prosecutor General, the investigation case file contains the transcript of the autopsy report, which determined that the cause of death was a brain </w:t>
      </w:r>
      <w:r w:rsidR="0061300D" w:rsidRPr="001558A5">
        <w:rPr>
          <w:rFonts w:cs="Times New Roman"/>
          <w:szCs w:val="20"/>
          <w:lang w:val="en-US"/>
        </w:rPr>
        <w:t>laceration</w:t>
      </w:r>
      <w:r w:rsidRPr="001558A5">
        <w:rPr>
          <w:rFonts w:cs="Times New Roman"/>
          <w:szCs w:val="20"/>
          <w:lang w:val="en-US"/>
        </w:rPr>
        <w:t xml:space="preserve"> and described the </w:t>
      </w:r>
      <w:r w:rsidR="0061300D" w:rsidRPr="001558A5">
        <w:rPr>
          <w:rFonts w:cs="Times New Roman"/>
          <w:szCs w:val="20"/>
          <w:lang w:val="en-US"/>
        </w:rPr>
        <w:t>injuries found that had been caused by a bullet, with entry and exit wounds.</w:t>
      </w:r>
      <w:r w:rsidR="00725E5D" w:rsidRPr="001558A5">
        <w:rPr>
          <w:rStyle w:val="Refdenotaalpie"/>
          <w:lang w:val="en-US"/>
        </w:rPr>
        <w:footnoteReference w:id="63"/>
      </w:r>
      <w:r w:rsidR="0061300D" w:rsidRPr="001558A5">
        <w:rPr>
          <w:rFonts w:cs="Times New Roman"/>
          <w:szCs w:val="20"/>
          <w:lang w:val="en-US"/>
        </w:rPr>
        <w:t xml:space="preserve"> The evidence file before the Court does not contain the autopsy report</w:t>
      </w:r>
      <w:r w:rsidR="00725E5D" w:rsidRPr="001558A5">
        <w:rPr>
          <w:rFonts w:cs="Times New Roman"/>
          <w:szCs w:val="20"/>
          <w:lang w:val="en-US"/>
        </w:rPr>
        <w:t>.</w:t>
      </w:r>
      <w:r w:rsidR="008C0A65" w:rsidRPr="001558A5">
        <w:rPr>
          <w:rFonts w:cs="Times New Roman"/>
          <w:szCs w:val="20"/>
          <w:lang w:val="en-US"/>
        </w:rPr>
        <w:t xml:space="preserve"> </w:t>
      </w:r>
    </w:p>
    <w:p w14:paraId="7662FDA6" w14:textId="296716BF" w:rsidR="000C5C80" w:rsidRPr="001558A5" w:rsidRDefault="0061300D" w:rsidP="00945CE2">
      <w:pPr>
        <w:pStyle w:val="Prrafodelista"/>
        <w:numPr>
          <w:ilvl w:val="0"/>
          <w:numId w:val="2"/>
        </w:numPr>
        <w:tabs>
          <w:tab w:val="left" w:pos="630"/>
        </w:tabs>
        <w:spacing w:before="120" w:after="120"/>
        <w:ind w:left="0" w:hanging="28"/>
        <w:contextualSpacing w:val="0"/>
        <w:rPr>
          <w:rFonts w:eastAsia="Verdana" w:cs="Verdana"/>
          <w:szCs w:val="20"/>
          <w:lang w:val="en-US"/>
        </w:rPr>
      </w:pPr>
      <w:r w:rsidRPr="001558A5">
        <w:rPr>
          <w:rFonts w:eastAsia="Verdana" w:cs="Verdana"/>
          <w:szCs w:val="20"/>
          <w:lang w:val="en-US"/>
        </w:rPr>
        <w:t>Vicky’s death was not registered in the National Civil Registry Office until</w:t>
      </w:r>
      <w:r w:rsidR="000C5C80" w:rsidRPr="001558A5">
        <w:rPr>
          <w:rFonts w:eastAsia="Verdana" w:cs="Verdana"/>
          <w:szCs w:val="20"/>
          <w:lang w:val="en-US"/>
        </w:rPr>
        <w:t xml:space="preserve"> 2013</w:t>
      </w:r>
      <w:r w:rsidRPr="001558A5">
        <w:rPr>
          <w:rFonts w:eastAsia="Verdana" w:cs="Verdana"/>
          <w:szCs w:val="20"/>
          <w:lang w:val="en-US"/>
        </w:rPr>
        <w:t>.</w:t>
      </w:r>
      <w:r w:rsidR="000C5C80" w:rsidRPr="001558A5">
        <w:rPr>
          <w:rStyle w:val="Refdenotaalpie"/>
          <w:rFonts w:eastAsia="Verdana"/>
          <w:lang w:val="en-US"/>
        </w:rPr>
        <w:footnoteReference w:id="64"/>
      </w:r>
      <w:r w:rsidR="000C5C80" w:rsidRPr="001558A5">
        <w:rPr>
          <w:rFonts w:eastAsia="Verdana" w:cs="Verdana"/>
          <w:szCs w:val="20"/>
          <w:lang w:val="en-US"/>
        </w:rPr>
        <w:t xml:space="preserve"> </w:t>
      </w:r>
    </w:p>
    <w:p w14:paraId="10A29117" w14:textId="204BB480" w:rsidR="00B87B80" w:rsidRPr="001558A5" w:rsidRDefault="00215FEF" w:rsidP="00945CE2">
      <w:pPr>
        <w:pStyle w:val="Ttulo2"/>
        <w:numPr>
          <w:ilvl w:val="0"/>
          <w:numId w:val="20"/>
        </w:numPr>
        <w:spacing w:before="240" w:after="240"/>
        <w:rPr>
          <w:rFonts w:ascii="Verdana" w:hAnsi="Verdana"/>
          <w:bCs w:val="0"/>
          <w:i/>
          <w:color w:val="000000" w:themeColor="text1"/>
          <w:sz w:val="20"/>
          <w:szCs w:val="20"/>
          <w:lang w:val="en-US"/>
        </w:rPr>
      </w:pPr>
      <w:bookmarkStart w:id="77" w:name="_Toc73430048"/>
      <w:r w:rsidRPr="001558A5">
        <w:rPr>
          <w:rFonts w:ascii="Verdana" w:hAnsi="Verdana"/>
          <w:bCs w:val="0"/>
          <w:i/>
          <w:color w:val="000000" w:themeColor="text1"/>
          <w:sz w:val="20"/>
          <w:szCs w:val="20"/>
          <w:lang w:val="en-US"/>
        </w:rPr>
        <w:t>Investigations into the death of</w:t>
      </w:r>
      <w:r w:rsidR="00767DD2" w:rsidRPr="001558A5">
        <w:rPr>
          <w:rFonts w:ascii="Verdana" w:hAnsi="Verdana"/>
          <w:bCs w:val="0"/>
          <w:i/>
          <w:color w:val="000000" w:themeColor="text1"/>
          <w:sz w:val="20"/>
          <w:szCs w:val="20"/>
          <w:lang w:val="en-US"/>
        </w:rPr>
        <w:t xml:space="preserve"> Vi</w:t>
      </w:r>
      <w:r w:rsidR="00CE5C39" w:rsidRPr="001558A5">
        <w:rPr>
          <w:rFonts w:ascii="Verdana" w:hAnsi="Verdana"/>
          <w:bCs w:val="0"/>
          <w:i/>
          <w:color w:val="000000" w:themeColor="text1"/>
          <w:sz w:val="20"/>
          <w:szCs w:val="20"/>
          <w:lang w:val="en-US"/>
        </w:rPr>
        <w:t>cky Hernández</w:t>
      </w:r>
      <w:bookmarkEnd w:id="77"/>
    </w:p>
    <w:p w14:paraId="55F09060" w14:textId="121CE6E1" w:rsidR="0063497F" w:rsidRPr="001558A5" w:rsidRDefault="0061300D" w:rsidP="0061300D">
      <w:pPr>
        <w:pStyle w:val="Prrafodelista"/>
        <w:numPr>
          <w:ilvl w:val="0"/>
          <w:numId w:val="2"/>
        </w:numPr>
        <w:spacing w:before="120" w:after="120"/>
        <w:ind w:left="0" w:firstLine="0"/>
        <w:contextualSpacing w:val="0"/>
        <w:rPr>
          <w:rFonts w:cs="Times New Roman"/>
          <w:b/>
          <w:bCs/>
          <w:szCs w:val="20"/>
          <w:lang w:val="en-US"/>
        </w:rPr>
      </w:pPr>
      <w:bookmarkStart w:id="78" w:name="_Toc22212082"/>
      <w:bookmarkEnd w:id="78"/>
      <w:r w:rsidRPr="001558A5">
        <w:rPr>
          <w:rFonts w:cs="Times New Roman"/>
          <w:szCs w:val="20"/>
          <w:lang w:val="en-US"/>
        </w:rPr>
        <w:t>The Public Prosecution Service</w:t>
      </w:r>
      <w:r w:rsidR="00E865F8" w:rsidRPr="001558A5">
        <w:rPr>
          <w:rFonts w:cs="Times New Roman"/>
          <w:szCs w:val="20"/>
          <w:lang w:val="en-US"/>
        </w:rPr>
        <w:t xml:space="preserve"> recorded the investigation into the </w:t>
      </w:r>
      <w:r w:rsidR="00655F7F" w:rsidRPr="001558A5">
        <w:rPr>
          <w:rFonts w:cs="Times New Roman"/>
          <w:szCs w:val="20"/>
          <w:lang w:val="en-US"/>
        </w:rPr>
        <w:t>matter</w:t>
      </w:r>
      <w:r w:rsidR="00E865F8" w:rsidRPr="001558A5">
        <w:rPr>
          <w:rFonts w:cs="Times New Roman"/>
          <w:szCs w:val="20"/>
          <w:lang w:val="en-US"/>
        </w:rPr>
        <w:t xml:space="preserve"> </w:t>
      </w:r>
      <w:r w:rsidRPr="001558A5">
        <w:rPr>
          <w:rFonts w:cs="Times New Roman"/>
          <w:szCs w:val="20"/>
          <w:lang w:val="en-US"/>
        </w:rPr>
        <w:t xml:space="preserve">as a case against unknown persons for the crime of </w:t>
      </w:r>
      <w:r w:rsidR="00655F7F" w:rsidRPr="001558A5">
        <w:rPr>
          <w:rFonts w:cs="Times New Roman"/>
          <w:szCs w:val="20"/>
          <w:lang w:val="en-US"/>
        </w:rPr>
        <w:t>homicide against</w:t>
      </w:r>
      <w:r w:rsidRPr="001558A5">
        <w:rPr>
          <w:rFonts w:cs="Times New Roman"/>
          <w:szCs w:val="20"/>
          <w:lang w:val="en-US"/>
        </w:rPr>
        <w:t xml:space="preserve"> </w:t>
      </w:r>
      <w:r w:rsidR="006C04A5" w:rsidRPr="001558A5">
        <w:rPr>
          <w:rFonts w:cs="Times New Roman"/>
          <w:szCs w:val="20"/>
          <w:lang w:val="en-US"/>
        </w:rPr>
        <w:t>Vicky Hernández</w:t>
      </w:r>
      <w:r w:rsidRPr="001558A5">
        <w:rPr>
          <w:rFonts w:cs="Times New Roman"/>
          <w:szCs w:val="20"/>
          <w:lang w:val="en-US"/>
        </w:rPr>
        <w:t>.</w:t>
      </w:r>
      <w:r w:rsidR="006C04A5" w:rsidRPr="001558A5">
        <w:rPr>
          <w:rStyle w:val="Refdenotaalpie"/>
          <w:lang w:val="en-US"/>
        </w:rPr>
        <w:footnoteReference w:id="65"/>
      </w:r>
      <w:r w:rsidRPr="001558A5">
        <w:rPr>
          <w:rFonts w:cs="Times New Roman"/>
          <w:szCs w:val="20"/>
          <w:lang w:val="en-US"/>
        </w:rPr>
        <w:t xml:space="preserve"> As indicated above, the preliminary inspection and record of removal of the corpse were </w:t>
      </w:r>
      <w:r w:rsidR="00655F7F" w:rsidRPr="001558A5">
        <w:rPr>
          <w:rFonts w:cs="Times New Roman"/>
          <w:szCs w:val="20"/>
          <w:lang w:val="en-US"/>
        </w:rPr>
        <w:t>executed</w:t>
      </w:r>
      <w:r w:rsidRPr="001558A5">
        <w:rPr>
          <w:rFonts w:cs="Times New Roman"/>
          <w:szCs w:val="20"/>
          <w:lang w:val="en-US"/>
        </w:rPr>
        <w:t xml:space="preserve"> on June 29, 2009. According to the representatives, and uncontested by the State, the forensic authorities refused to </w:t>
      </w:r>
      <w:r w:rsidR="00DA321F" w:rsidRPr="001558A5">
        <w:rPr>
          <w:rFonts w:cs="Times New Roman"/>
          <w:szCs w:val="20"/>
          <w:lang w:val="en-US"/>
        </w:rPr>
        <w:t xml:space="preserve">perform </w:t>
      </w:r>
      <w:r w:rsidR="001F3811" w:rsidRPr="001558A5">
        <w:rPr>
          <w:rFonts w:cs="Times New Roman"/>
          <w:szCs w:val="20"/>
          <w:lang w:val="en-US"/>
        </w:rPr>
        <w:t>Vicky Hernández</w:t>
      </w:r>
      <w:r w:rsidR="00DA321F" w:rsidRPr="001558A5">
        <w:rPr>
          <w:rFonts w:cs="Times New Roman"/>
          <w:szCs w:val="20"/>
          <w:lang w:val="en-US"/>
        </w:rPr>
        <w:t>’s autopsy on the pretext of</w:t>
      </w:r>
      <w:r w:rsidR="00655F7F" w:rsidRPr="001558A5">
        <w:rPr>
          <w:rFonts w:cs="Times New Roman"/>
          <w:szCs w:val="20"/>
          <w:lang w:val="en-US"/>
        </w:rPr>
        <w:t xml:space="preserve"> assuming</w:t>
      </w:r>
      <w:r w:rsidR="00DA321F" w:rsidRPr="001558A5">
        <w:rPr>
          <w:rFonts w:cs="Times New Roman"/>
          <w:szCs w:val="20"/>
          <w:lang w:val="en-US"/>
        </w:rPr>
        <w:t xml:space="preserve"> that she </w:t>
      </w:r>
      <w:r w:rsidR="00655F7F" w:rsidRPr="001558A5">
        <w:rPr>
          <w:rFonts w:cs="Times New Roman"/>
          <w:szCs w:val="20"/>
          <w:lang w:val="en-US"/>
        </w:rPr>
        <w:t>w</w:t>
      </w:r>
      <w:r w:rsidR="00DA321F" w:rsidRPr="001558A5">
        <w:rPr>
          <w:rFonts w:cs="Times New Roman"/>
          <w:szCs w:val="20"/>
          <w:lang w:val="en-US"/>
        </w:rPr>
        <w:t>as HIV positive.</w:t>
      </w:r>
      <w:r w:rsidR="001F3811" w:rsidRPr="001558A5">
        <w:rPr>
          <w:rStyle w:val="Refdenotaalpie"/>
          <w:lang w:val="en-US"/>
        </w:rPr>
        <w:footnoteReference w:id="66"/>
      </w:r>
    </w:p>
    <w:p w14:paraId="08DF96FC" w14:textId="385E6470" w:rsidR="0063497F" w:rsidRPr="001558A5" w:rsidRDefault="00DA321F" w:rsidP="00945CE2">
      <w:pPr>
        <w:pStyle w:val="Prrafodelista"/>
        <w:numPr>
          <w:ilvl w:val="0"/>
          <w:numId w:val="2"/>
        </w:numPr>
        <w:spacing w:before="120" w:after="120"/>
        <w:ind w:left="0" w:firstLine="0"/>
        <w:contextualSpacing w:val="0"/>
        <w:rPr>
          <w:rFonts w:cs="Times New Roman"/>
          <w:szCs w:val="20"/>
          <w:lang w:val="en-US"/>
        </w:rPr>
      </w:pPr>
      <w:r w:rsidRPr="001558A5">
        <w:rPr>
          <w:rFonts w:cs="Times New Roman"/>
          <w:szCs w:val="20"/>
          <w:lang w:val="en-US"/>
        </w:rPr>
        <w:t>On March 16,</w:t>
      </w:r>
      <w:r w:rsidR="0063497F" w:rsidRPr="001558A5">
        <w:rPr>
          <w:rFonts w:cs="Times New Roman"/>
          <w:szCs w:val="20"/>
          <w:lang w:val="en-US"/>
        </w:rPr>
        <w:t xml:space="preserve"> 2011</w:t>
      </w:r>
      <w:r w:rsidRPr="001558A5">
        <w:rPr>
          <w:rFonts w:cs="Times New Roman"/>
          <w:szCs w:val="20"/>
          <w:lang w:val="en-US"/>
        </w:rPr>
        <w:t>,</w:t>
      </w:r>
      <w:r w:rsidR="0063497F" w:rsidRPr="001558A5">
        <w:rPr>
          <w:rFonts w:cs="Times New Roman"/>
          <w:szCs w:val="20"/>
          <w:lang w:val="en-US"/>
        </w:rPr>
        <w:t xml:space="preserve"> </w:t>
      </w:r>
      <w:r w:rsidRPr="001558A5">
        <w:rPr>
          <w:rFonts w:cs="Times New Roman"/>
          <w:szCs w:val="20"/>
          <w:lang w:val="en-US"/>
        </w:rPr>
        <w:t>the Prosecution Service’s</w:t>
      </w:r>
      <w:r w:rsidR="0063497F" w:rsidRPr="001558A5">
        <w:rPr>
          <w:rFonts w:cs="Times New Roman"/>
          <w:szCs w:val="20"/>
          <w:lang w:val="en-US"/>
        </w:rPr>
        <w:t xml:space="preserve"> </w:t>
      </w:r>
      <w:r w:rsidRPr="001558A5">
        <w:rPr>
          <w:rFonts w:cs="Times New Roman"/>
          <w:szCs w:val="20"/>
          <w:lang w:val="en-US"/>
        </w:rPr>
        <w:t>Crimes against Life Unit</w:t>
      </w:r>
      <w:r w:rsidR="0063497F" w:rsidRPr="001558A5">
        <w:rPr>
          <w:rFonts w:cs="Times New Roman"/>
          <w:szCs w:val="20"/>
          <w:lang w:val="en-US"/>
        </w:rPr>
        <w:t xml:space="preserve"> </w:t>
      </w:r>
      <w:r w:rsidRPr="001558A5">
        <w:rPr>
          <w:rFonts w:cs="Times New Roman"/>
          <w:szCs w:val="20"/>
          <w:lang w:val="en-US"/>
        </w:rPr>
        <w:t xml:space="preserve">asked the </w:t>
      </w:r>
      <w:r w:rsidR="0063497F" w:rsidRPr="001558A5">
        <w:rPr>
          <w:rFonts w:cs="Times New Roman"/>
          <w:szCs w:val="20"/>
          <w:lang w:val="en-US"/>
        </w:rPr>
        <w:t xml:space="preserve">DNIC </w:t>
      </w:r>
      <w:r w:rsidRPr="001558A5">
        <w:rPr>
          <w:rFonts w:cs="Times New Roman"/>
          <w:szCs w:val="20"/>
          <w:lang w:val="en-US"/>
        </w:rPr>
        <w:t>for the autopsy reports on several cases of the homicide of trans persons, including the case of</w:t>
      </w:r>
      <w:r w:rsidR="0063497F" w:rsidRPr="001558A5">
        <w:rPr>
          <w:rFonts w:cs="Times New Roman"/>
          <w:szCs w:val="20"/>
          <w:lang w:val="en-US"/>
        </w:rPr>
        <w:t xml:space="preserve"> Vicky Hernández</w:t>
      </w:r>
      <w:r w:rsidRPr="001558A5">
        <w:rPr>
          <w:rFonts w:cs="Times New Roman"/>
          <w:szCs w:val="20"/>
          <w:lang w:val="en-US"/>
        </w:rPr>
        <w:t>.</w:t>
      </w:r>
      <w:r w:rsidR="0063497F" w:rsidRPr="001558A5">
        <w:rPr>
          <w:rStyle w:val="Refdenotaalpie"/>
          <w:lang w:val="en-US"/>
        </w:rPr>
        <w:footnoteReference w:id="67"/>
      </w:r>
    </w:p>
    <w:p w14:paraId="04AFE870" w14:textId="28C9F898" w:rsidR="0063497F" w:rsidRPr="001558A5" w:rsidRDefault="00DA321F" w:rsidP="00DA321F">
      <w:pPr>
        <w:pStyle w:val="Prrafodelista"/>
        <w:numPr>
          <w:ilvl w:val="0"/>
          <w:numId w:val="2"/>
        </w:numPr>
        <w:spacing w:before="120" w:after="120"/>
        <w:ind w:left="0" w:firstLine="0"/>
        <w:contextualSpacing w:val="0"/>
        <w:rPr>
          <w:rFonts w:cs="Times New Roman"/>
          <w:szCs w:val="20"/>
          <w:lang w:val="en-US"/>
        </w:rPr>
      </w:pPr>
      <w:r w:rsidRPr="001558A5">
        <w:rPr>
          <w:rFonts w:cs="Times New Roman"/>
          <w:szCs w:val="20"/>
          <w:lang w:val="en-US"/>
        </w:rPr>
        <w:t>On March 30,</w:t>
      </w:r>
      <w:r w:rsidR="0063497F" w:rsidRPr="001558A5">
        <w:rPr>
          <w:rFonts w:cs="Times New Roman"/>
          <w:szCs w:val="20"/>
          <w:lang w:val="en-US"/>
        </w:rPr>
        <w:t xml:space="preserve"> 2011</w:t>
      </w:r>
      <w:r w:rsidRPr="001558A5">
        <w:rPr>
          <w:rFonts w:cs="Times New Roman"/>
          <w:szCs w:val="20"/>
          <w:lang w:val="en-US"/>
        </w:rPr>
        <w:t>,</w:t>
      </w:r>
      <w:r w:rsidR="0063497F" w:rsidRPr="001558A5">
        <w:rPr>
          <w:rFonts w:cs="Times New Roman"/>
          <w:szCs w:val="20"/>
          <w:lang w:val="en-US"/>
        </w:rPr>
        <w:t xml:space="preserve"> </w:t>
      </w:r>
      <w:r w:rsidRPr="001558A5">
        <w:rPr>
          <w:rFonts w:cs="Times New Roman"/>
          <w:szCs w:val="20"/>
          <w:lang w:val="en-US"/>
        </w:rPr>
        <w:t>the prosecutor of the</w:t>
      </w:r>
      <w:r w:rsidR="0063497F" w:rsidRPr="001558A5">
        <w:rPr>
          <w:rFonts w:cs="Times New Roman"/>
          <w:szCs w:val="20"/>
          <w:lang w:val="en-US"/>
        </w:rPr>
        <w:t xml:space="preserve"> </w:t>
      </w:r>
      <w:r w:rsidRPr="001558A5">
        <w:rPr>
          <w:rFonts w:cs="Times New Roman"/>
          <w:szCs w:val="20"/>
          <w:lang w:val="en-US"/>
        </w:rPr>
        <w:t>Crimes against Life Unit</w:t>
      </w:r>
      <w:r w:rsidR="0063497F" w:rsidRPr="001558A5">
        <w:rPr>
          <w:rFonts w:cs="Times New Roman"/>
          <w:szCs w:val="20"/>
          <w:lang w:val="en-US"/>
        </w:rPr>
        <w:t xml:space="preserve"> </w:t>
      </w:r>
      <w:r w:rsidRPr="001558A5">
        <w:rPr>
          <w:rFonts w:cs="Times New Roman"/>
          <w:szCs w:val="20"/>
          <w:lang w:val="en-US"/>
        </w:rPr>
        <w:t>asked the</w:t>
      </w:r>
      <w:r w:rsidR="0063497F" w:rsidRPr="001558A5">
        <w:rPr>
          <w:rFonts w:cs="Times New Roman"/>
          <w:szCs w:val="20"/>
          <w:lang w:val="en-US"/>
        </w:rPr>
        <w:t xml:space="preserve"> DNIC</w:t>
      </w:r>
      <w:r w:rsidRPr="001558A5">
        <w:rPr>
          <w:rFonts w:cs="Times New Roman"/>
          <w:szCs w:val="20"/>
          <w:lang w:val="en-US"/>
        </w:rPr>
        <w:t xml:space="preserve"> to conduct </w:t>
      </w:r>
      <w:r w:rsidR="005F48CF" w:rsidRPr="001558A5">
        <w:rPr>
          <w:rFonts w:cs="Times New Roman"/>
          <w:szCs w:val="20"/>
          <w:lang w:val="en-US"/>
        </w:rPr>
        <w:t>various</w:t>
      </w:r>
      <w:r w:rsidRPr="001558A5">
        <w:rPr>
          <w:rFonts w:cs="Times New Roman"/>
          <w:szCs w:val="20"/>
          <w:lang w:val="en-US"/>
        </w:rPr>
        <w:t xml:space="preserve"> investigation procedures in the case, </w:t>
      </w:r>
      <w:r w:rsidR="00655F7F" w:rsidRPr="001558A5">
        <w:rPr>
          <w:rFonts w:cs="Times New Roman"/>
          <w:szCs w:val="20"/>
          <w:lang w:val="en-US"/>
        </w:rPr>
        <w:t>including:</w:t>
      </w:r>
      <w:r w:rsidRPr="001558A5">
        <w:rPr>
          <w:rFonts w:cs="Times New Roman"/>
          <w:szCs w:val="20"/>
          <w:lang w:val="en-US"/>
        </w:rPr>
        <w:t xml:space="preserve"> identify</w:t>
      </w:r>
      <w:r w:rsidR="00655F7F" w:rsidRPr="001558A5">
        <w:rPr>
          <w:rFonts w:cs="Times New Roman"/>
          <w:szCs w:val="20"/>
          <w:lang w:val="en-US"/>
        </w:rPr>
        <w:t>ing</w:t>
      </w:r>
      <w:r w:rsidRPr="001558A5">
        <w:rPr>
          <w:rFonts w:cs="Times New Roman"/>
          <w:szCs w:val="20"/>
          <w:lang w:val="en-US"/>
        </w:rPr>
        <w:t xml:space="preserve"> the suspects; request</w:t>
      </w:r>
      <w:r w:rsidR="00655F7F" w:rsidRPr="001558A5">
        <w:rPr>
          <w:rFonts w:cs="Times New Roman"/>
          <w:szCs w:val="20"/>
          <w:lang w:val="en-US"/>
        </w:rPr>
        <w:t>ing</w:t>
      </w:r>
      <w:r w:rsidRPr="001558A5">
        <w:rPr>
          <w:rFonts w:cs="Times New Roman"/>
          <w:szCs w:val="20"/>
          <w:lang w:val="en-US"/>
        </w:rPr>
        <w:t xml:space="preserve"> the autopsy report; tak</w:t>
      </w:r>
      <w:r w:rsidR="00655F7F" w:rsidRPr="001558A5">
        <w:rPr>
          <w:rFonts w:cs="Times New Roman"/>
          <w:szCs w:val="20"/>
          <w:lang w:val="en-US"/>
        </w:rPr>
        <w:t>ing</w:t>
      </w:r>
      <w:r w:rsidRPr="001558A5">
        <w:rPr>
          <w:rFonts w:cs="Times New Roman"/>
          <w:szCs w:val="20"/>
          <w:lang w:val="en-US"/>
        </w:rPr>
        <w:t xml:space="preserve"> statements from witnesses of the criminal act and from the members of the victim’s family, and establish</w:t>
      </w:r>
      <w:r w:rsidR="00655F7F" w:rsidRPr="001558A5">
        <w:rPr>
          <w:rFonts w:cs="Times New Roman"/>
          <w:szCs w:val="20"/>
          <w:lang w:val="en-US"/>
        </w:rPr>
        <w:t>ing</w:t>
      </w:r>
      <w:r w:rsidRPr="001558A5">
        <w:rPr>
          <w:rFonts w:cs="Times New Roman"/>
          <w:szCs w:val="20"/>
          <w:lang w:val="en-US"/>
        </w:rPr>
        <w:t xml:space="preserve"> the motive for the death.</w:t>
      </w:r>
      <w:r w:rsidR="0063497F" w:rsidRPr="001558A5">
        <w:rPr>
          <w:rStyle w:val="Refdenotaalpie"/>
          <w:lang w:val="en-US"/>
        </w:rPr>
        <w:footnoteReference w:id="68"/>
      </w:r>
    </w:p>
    <w:p w14:paraId="6B74CE93" w14:textId="00415D8E" w:rsidR="0063497F" w:rsidRPr="001558A5" w:rsidRDefault="00DA321F" w:rsidP="00945CE2">
      <w:pPr>
        <w:pStyle w:val="Prrafodelista"/>
        <w:numPr>
          <w:ilvl w:val="0"/>
          <w:numId w:val="2"/>
        </w:numPr>
        <w:spacing w:before="120" w:after="120"/>
        <w:ind w:left="0" w:firstLine="0"/>
        <w:contextualSpacing w:val="0"/>
        <w:rPr>
          <w:rFonts w:cs="Times New Roman"/>
          <w:szCs w:val="20"/>
          <w:lang w:val="en-US"/>
        </w:rPr>
      </w:pPr>
      <w:r w:rsidRPr="001558A5">
        <w:rPr>
          <w:rFonts w:cs="Times New Roman"/>
          <w:szCs w:val="20"/>
          <w:lang w:val="en-US"/>
        </w:rPr>
        <w:t>On May 3,</w:t>
      </w:r>
      <w:r w:rsidR="0063497F" w:rsidRPr="001558A5">
        <w:rPr>
          <w:rFonts w:cs="Times New Roman"/>
          <w:szCs w:val="20"/>
          <w:lang w:val="en-US"/>
        </w:rPr>
        <w:t xml:space="preserve"> 2011</w:t>
      </w:r>
      <w:r w:rsidRPr="001558A5">
        <w:rPr>
          <w:rFonts w:cs="Times New Roman"/>
          <w:szCs w:val="20"/>
          <w:lang w:val="en-US"/>
        </w:rPr>
        <w:t xml:space="preserve">, the statement </w:t>
      </w:r>
      <w:r w:rsidR="00655F7F" w:rsidRPr="001558A5">
        <w:rPr>
          <w:rFonts w:cs="Times New Roman"/>
          <w:szCs w:val="20"/>
          <w:lang w:val="en-US"/>
        </w:rPr>
        <w:t xml:space="preserve">was taken </w:t>
      </w:r>
      <w:r w:rsidRPr="001558A5">
        <w:rPr>
          <w:rFonts w:cs="Times New Roman"/>
          <w:szCs w:val="20"/>
          <w:lang w:val="en-US"/>
        </w:rPr>
        <w:t xml:space="preserve">of </w:t>
      </w:r>
      <w:r w:rsidR="0063497F" w:rsidRPr="001558A5">
        <w:rPr>
          <w:rFonts w:cs="Times New Roman"/>
          <w:szCs w:val="20"/>
          <w:lang w:val="en-US"/>
        </w:rPr>
        <w:t xml:space="preserve">Rosa </w:t>
      </w:r>
      <w:proofErr w:type="spellStart"/>
      <w:r w:rsidR="0063497F" w:rsidRPr="001558A5">
        <w:rPr>
          <w:rFonts w:cs="Times New Roman"/>
          <w:szCs w:val="20"/>
          <w:lang w:val="en-US"/>
        </w:rPr>
        <w:t>Argelia</w:t>
      </w:r>
      <w:proofErr w:type="spellEnd"/>
      <w:r w:rsidR="0063497F" w:rsidRPr="001558A5">
        <w:rPr>
          <w:rFonts w:cs="Times New Roman"/>
          <w:szCs w:val="20"/>
          <w:lang w:val="en-US"/>
        </w:rPr>
        <w:t xml:space="preserve"> Hernández, </w:t>
      </w:r>
      <w:r w:rsidRPr="001558A5">
        <w:rPr>
          <w:rFonts w:cs="Times New Roman"/>
          <w:szCs w:val="20"/>
          <w:lang w:val="en-US"/>
        </w:rPr>
        <w:t>the victim’s mother</w:t>
      </w:r>
      <w:r w:rsidR="0063497F" w:rsidRPr="001558A5">
        <w:rPr>
          <w:rFonts w:cs="Times New Roman"/>
          <w:szCs w:val="20"/>
          <w:lang w:val="en-US"/>
        </w:rPr>
        <w:t xml:space="preserve">. </w:t>
      </w:r>
      <w:r w:rsidRPr="001558A5">
        <w:rPr>
          <w:rFonts w:cs="Times New Roman"/>
          <w:szCs w:val="20"/>
          <w:lang w:val="en-US"/>
        </w:rPr>
        <w:t xml:space="preserve">According to her statement, on June 29, </w:t>
      </w:r>
      <w:r w:rsidR="0063497F" w:rsidRPr="001558A5">
        <w:rPr>
          <w:rFonts w:cs="Times New Roman"/>
          <w:szCs w:val="20"/>
          <w:lang w:val="en-US"/>
        </w:rPr>
        <w:t xml:space="preserve">2009, </w:t>
      </w:r>
      <w:r w:rsidRPr="001558A5">
        <w:rPr>
          <w:rFonts w:cs="Times New Roman"/>
          <w:szCs w:val="20"/>
          <w:lang w:val="en-US"/>
        </w:rPr>
        <w:t xml:space="preserve">she found out what had happened by a </w:t>
      </w:r>
      <w:r w:rsidR="00655F7F" w:rsidRPr="001558A5">
        <w:rPr>
          <w:rFonts w:cs="Times New Roman"/>
          <w:szCs w:val="20"/>
          <w:lang w:val="en-US"/>
        </w:rPr>
        <w:t>tele</w:t>
      </w:r>
      <w:r w:rsidRPr="001558A5">
        <w:rPr>
          <w:rFonts w:cs="Times New Roman"/>
          <w:szCs w:val="20"/>
          <w:lang w:val="en-US"/>
        </w:rPr>
        <w:t xml:space="preserve">phone call from a friend of </w:t>
      </w:r>
      <w:r w:rsidR="0063497F" w:rsidRPr="001558A5">
        <w:rPr>
          <w:rFonts w:cs="Times New Roman"/>
          <w:szCs w:val="20"/>
          <w:lang w:val="en-US"/>
        </w:rPr>
        <w:t xml:space="preserve">Vicky Hernández, </w:t>
      </w:r>
      <w:r w:rsidRPr="001558A5">
        <w:rPr>
          <w:rFonts w:cs="Times New Roman"/>
          <w:szCs w:val="20"/>
          <w:lang w:val="en-US"/>
        </w:rPr>
        <w:t>a trans woman called Alicia, who told her that the body was at the</w:t>
      </w:r>
      <w:r w:rsidR="0063497F" w:rsidRPr="001558A5">
        <w:rPr>
          <w:rFonts w:cs="Times New Roman"/>
          <w:szCs w:val="20"/>
          <w:lang w:val="en-US"/>
        </w:rPr>
        <w:t xml:space="preserve"> morgue</w:t>
      </w:r>
      <w:r w:rsidRPr="001558A5">
        <w:rPr>
          <w:rFonts w:cs="Times New Roman"/>
          <w:szCs w:val="20"/>
          <w:lang w:val="en-US"/>
        </w:rPr>
        <w:t>.</w:t>
      </w:r>
      <w:r w:rsidR="0063497F" w:rsidRPr="001558A5">
        <w:rPr>
          <w:rStyle w:val="Refdenotaalpie"/>
          <w:lang w:val="en-US"/>
        </w:rPr>
        <w:footnoteReference w:id="69"/>
      </w:r>
    </w:p>
    <w:p w14:paraId="7B25DEF3" w14:textId="5DA94863" w:rsidR="0063497F" w:rsidRPr="001558A5" w:rsidRDefault="00DA321F" w:rsidP="00945CE2">
      <w:pPr>
        <w:pStyle w:val="Prrafodelista"/>
        <w:numPr>
          <w:ilvl w:val="0"/>
          <w:numId w:val="2"/>
        </w:numPr>
        <w:spacing w:before="120" w:after="120"/>
        <w:ind w:left="0" w:firstLine="0"/>
        <w:contextualSpacing w:val="0"/>
        <w:rPr>
          <w:rFonts w:cs="Times New Roman"/>
          <w:szCs w:val="20"/>
          <w:lang w:val="en-US"/>
        </w:rPr>
      </w:pPr>
      <w:r w:rsidRPr="001558A5">
        <w:rPr>
          <w:rFonts w:cs="Times New Roman"/>
          <w:szCs w:val="20"/>
          <w:lang w:val="en-US"/>
        </w:rPr>
        <w:t xml:space="preserve">According to the report of the Special Prosecutor for Crimes against Life, </w:t>
      </w:r>
      <w:r w:rsidR="00FE26F0" w:rsidRPr="001558A5">
        <w:rPr>
          <w:rFonts w:cs="Times New Roman"/>
          <w:szCs w:val="20"/>
          <w:lang w:val="en-US"/>
        </w:rPr>
        <w:t>by</w:t>
      </w:r>
      <w:r w:rsidR="00831777" w:rsidRPr="001558A5">
        <w:rPr>
          <w:rFonts w:cs="Times New Roman"/>
          <w:szCs w:val="20"/>
          <w:lang w:val="en-US"/>
        </w:rPr>
        <w:t xml:space="preserve"> July 23,</w:t>
      </w:r>
      <w:r w:rsidR="0063497F" w:rsidRPr="001558A5">
        <w:rPr>
          <w:rFonts w:cs="Times New Roman"/>
          <w:szCs w:val="20"/>
          <w:lang w:val="en-US"/>
        </w:rPr>
        <w:t xml:space="preserve"> 2013, </w:t>
      </w:r>
      <w:r w:rsidR="00831777" w:rsidRPr="001558A5">
        <w:rPr>
          <w:rFonts w:cs="Times New Roman"/>
          <w:szCs w:val="20"/>
          <w:lang w:val="en-US"/>
        </w:rPr>
        <w:t xml:space="preserve">the following </w:t>
      </w:r>
      <w:r w:rsidR="00FE26F0" w:rsidRPr="001558A5">
        <w:rPr>
          <w:rFonts w:cs="Times New Roman"/>
          <w:szCs w:val="20"/>
          <w:lang w:val="en-US"/>
        </w:rPr>
        <w:t>procedures</w:t>
      </w:r>
      <w:r w:rsidR="00831777" w:rsidRPr="001558A5">
        <w:rPr>
          <w:rFonts w:cs="Times New Roman"/>
          <w:szCs w:val="20"/>
          <w:lang w:val="en-US"/>
        </w:rPr>
        <w:t xml:space="preserve"> had been </w:t>
      </w:r>
      <w:r w:rsidR="00FE26F0" w:rsidRPr="001558A5">
        <w:rPr>
          <w:rFonts w:cs="Times New Roman"/>
          <w:szCs w:val="20"/>
          <w:lang w:val="en-US"/>
        </w:rPr>
        <w:t>conducted</w:t>
      </w:r>
      <w:r w:rsidR="0063497F" w:rsidRPr="001558A5">
        <w:rPr>
          <w:rFonts w:cs="Times New Roman"/>
          <w:szCs w:val="20"/>
          <w:lang w:val="en-US"/>
        </w:rPr>
        <w:t xml:space="preserve">: </w:t>
      </w:r>
    </w:p>
    <w:p w14:paraId="76E712B9" w14:textId="3B79104F" w:rsidR="0063497F" w:rsidRPr="001558A5" w:rsidRDefault="00945CE2" w:rsidP="00655F7F">
      <w:pPr>
        <w:ind w:left="720" w:right="404"/>
        <w:rPr>
          <w:rFonts w:cs="Times New Roman"/>
          <w:sz w:val="18"/>
          <w:szCs w:val="18"/>
          <w:lang w:val="en-US"/>
        </w:rPr>
      </w:pPr>
      <w:r w:rsidRPr="001558A5">
        <w:rPr>
          <w:rFonts w:cs="Times New Roman"/>
          <w:sz w:val="18"/>
          <w:szCs w:val="18"/>
          <w:lang w:val="en-US"/>
        </w:rPr>
        <w:t xml:space="preserve">“1. </w:t>
      </w:r>
      <w:r w:rsidR="00FE26F0" w:rsidRPr="001558A5">
        <w:rPr>
          <w:rFonts w:cs="Times New Roman"/>
          <w:sz w:val="18"/>
          <w:szCs w:val="18"/>
          <w:lang w:val="en-US"/>
        </w:rPr>
        <w:t>Preliminary report on removal of the corpse</w:t>
      </w:r>
      <w:r w:rsidRPr="001558A5">
        <w:rPr>
          <w:rFonts w:cs="Times New Roman"/>
          <w:sz w:val="18"/>
          <w:szCs w:val="18"/>
          <w:lang w:val="en-US"/>
        </w:rPr>
        <w:t xml:space="preserve"> 1138-09. 2. </w:t>
      </w:r>
      <w:r w:rsidR="00FE26F0" w:rsidRPr="001558A5">
        <w:rPr>
          <w:rFonts w:cs="Times New Roman"/>
          <w:sz w:val="18"/>
          <w:szCs w:val="18"/>
          <w:lang w:val="en-US"/>
        </w:rPr>
        <w:t xml:space="preserve">Death certificate obtained from the National Civil Registry Office. </w:t>
      </w:r>
      <w:r w:rsidRPr="001558A5">
        <w:rPr>
          <w:rFonts w:cs="Times New Roman"/>
          <w:sz w:val="18"/>
          <w:szCs w:val="18"/>
          <w:lang w:val="en-US"/>
        </w:rPr>
        <w:t xml:space="preserve">3. </w:t>
      </w:r>
      <w:r w:rsidR="00FE26F0" w:rsidRPr="001558A5">
        <w:rPr>
          <w:rFonts w:cs="Times New Roman"/>
          <w:sz w:val="18"/>
          <w:szCs w:val="18"/>
          <w:lang w:val="en-US"/>
        </w:rPr>
        <w:t xml:space="preserve">Photocopy of identity card in the victim’s name. 4. Site inspection No. </w:t>
      </w:r>
      <w:r w:rsidRPr="001558A5">
        <w:rPr>
          <w:rFonts w:cs="Times New Roman"/>
          <w:sz w:val="18"/>
          <w:szCs w:val="18"/>
          <w:lang w:val="en-US"/>
        </w:rPr>
        <w:t xml:space="preserve">1095-09. 5. </w:t>
      </w:r>
      <w:r w:rsidR="00DB785C" w:rsidRPr="001558A5">
        <w:rPr>
          <w:rFonts w:cs="Times New Roman"/>
          <w:sz w:val="18"/>
          <w:szCs w:val="18"/>
          <w:lang w:val="en-US"/>
        </w:rPr>
        <w:t>Copy of autopsy request</w:t>
      </w:r>
      <w:r w:rsidRPr="001558A5">
        <w:rPr>
          <w:rFonts w:cs="Times New Roman"/>
          <w:sz w:val="18"/>
          <w:szCs w:val="18"/>
          <w:lang w:val="en-US"/>
        </w:rPr>
        <w:t xml:space="preserve"> A1334-09 </w:t>
      </w:r>
      <w:r w:rsidR="00DB785C" w:rsidRPr="001558A5">
        <w:rPr>
          <w:rFonts w:cs="Times New Roman"/>
          <w:sz w:val="18"/>
          <w:szCs w:val="18"/>
          <w:lang w:val="en-US"/>
        </w:rPr>
        <w:t xml:space="preserve">sent on March 16, </w:t>
      </w:r>
      <w:r w:rsidRPr="001558A5">
        <w:rPr>
          <w:rFonts w:cs="Times New Roman"/>
          <w:sz w:val="18"/>
          <w:szCs w:val="18"/>
          <w:lang w:val="en-US"/>
        </w:rPr>
        <w:t xml:space="preserve">2011. 6. </w:t>
      </w:r>
      <w:r w:rsidR="00DB785C" w:rsidRPr="001558A5">
        <w:rPr>
          <w:rFonts w:cs="Times New Roman"/>
          <w:sz w:val="18"/>
          <w:szCs w:val="18"/>
          <w:lang w:val="en-US"/>
        </w:rPr>
        <w:t>Statement of</w:t>
      </w:r>
      <w:r w:rsidRPr="001558A5">
        <w:rPr>
          <w:rFonts w:cs="Times New Roman"/>
          <w:sz w:val="18"/>
          <w:szCs w:val="18"/>
          <w:lang w:val="en-US"/>
        </w:rPr>
        <w:t xml:space="preserve"> Rosa </w:t>
      </w:r>
      <w:proofErr w:type="spellStart"/>
      <w:r w:rsidRPr="001558A5">
        <w:rPr>
          <w:rFonts w:cs="Times New Roman"/>
          <w:sz w:val="18"/>
          <w:szCs w:val="18"/>
          <w:lang w:val="en-US"/>
        </w:rPr>
        <w:t>Argelia</w:t>
      </w:r>
      <w:proofErr w:type="spellEnd"/>
      <w:r w:rsidRPr="001558A5">
        <w:rPr>
          <w:rFonts w:cs="Times New Roman"/>
          <w:sz w:val="18"/>
          <w:szCs w:val="18"/>
          <w:lang w:val="en-US"/>
        </w:rPr>
        <w:t xml:space="preserve"> Hernández </w:t>
      </w:r>
      <w:proofErr w:type="spellStart"/>
      <w:r w:rsidRPr="001558A5">
        <w:rPr>
          <w:rFonts w:cs="Times New Roman"/>
          <w:sz w:val="18"/>
          <w:szCs w:val="18"/>
          <w:lang w:val="en-US"/>
        </w:rPr>
        <w:t>Martínez</w:t>
      </w:r>
      <w:proofErr w:type="spellEnd"/>
      <w:r w:rsidRPr="001558A5">
        <w:rPr>
          <w:rFonts w:cs="Times New Roman"/>
          <w:sz w:val="18"/>
          <w:szCs w:val="18"/>
          <w:lang w:val="en-US"/>
        </w:rPr>
        <w:t xml:space="preserve">, </w:t>
      </w:r>
      <w:r w:rsidR="00DB785C" w:rsidRPr="001558A5">
        <w:rPr>
          <w:rFonts w:cs="Times New Roman"/>
          <w:sz w:val="18"/>
          <w:szCs w:val="18"/>
          <w:lang w:val="en-US"/>
        </w:rPr>
        <w:t>mother of the deceased</w:t>
      </w:r>
      <w:r w:rsidRPr="001558A5">
        <w:rPr>
          <w:rFonts w:cs="Times New Roman"/>
          <w:sz w:val="18"/>
          <w:szCs w:val="18"/>
          <w:lang w:val="en-US"/>
        </w:rPr>
        <w:t xml:space="preserve">. 7. </w:t>
      </w:r>
      <w:r w:rsidR="00DB785C" w:rsidRPr="001558A5">
        <w:rPr>
          <w:rFonts w:cs="Times New Roman"/>
          <w:sz w:val="18"/>
          <w:szCs w:val="18"/>
          <w:lang w:val="en-US"/>
        </w:rPr>
        <w:t xml:space="preserve">Police record in the name [of the victim]. </w:t>
      </w:r>
      <w:r w:rsidRPr="001558A5">
        <w:rPr>
          <w:rFonts w:cs="Times New Roman"/>
          <w:sz w:val="18"/>
          <w:szCs w:val="18"/>
          <w:lang w:val="en-US"/>
        </w:rPr>
        <w:t xml:space="preserve">8. </w:t>
      </w:r>
      <w:r w:rsidR="00DB785C" w:rsidRPr="001558A5">
        <w:rPr>
          <w:rFonts w:cs="Times New Roman"/>
          <w:sz w:val="18"/>
          <w:szCs w:val="18"/>
          <w:lang w:val="en-US"/>
        </w:rPr>
        <w:t xml:space="preserve">Request for inspections of </w:t>
      </w:r>
      <w:r w:rsidR="00655F7F" w:rsidRPr="001558A5">
        <w:rPr>
          <w:rFonts w:cs="Times New Roman"/>
          <w:sz w:val="18"/>
          <w:szCs w:val="18"/>
          <w:lang w:val="en-US"/>
        </w:rPr>
        <w:t xml:space="preserve">the scene and the </w:t>
      </w:r>
      <w:r w:rsidR="00DB785C" w:rsidRPr="001558A5">
        <w:rPr>
          <w:rFonts w:cs="Times New Roman"/>
          <w:sz w:val="18"/>
          <w:szCs w:val="18"/>
          <w:lang w:val="en-US"/>
        </w:rPr>
        <w:t>photograph album. 9. Migratory movements of [the victim].</w:t>
      </w:r>
      <w:r w:rsidRPr="001558A5">
        <w:rPr>
          <w:rFonts w:cs="Times New Roman"/>
          <w:sz w:val="18"/>
          <w:szCs w:val="18"/>
          <w:lang w:val="en-US"/>
        </w:rPr>
        <w:t>”</w:t>
      </w:r>
      <w:r w:rsidRPr="001558A5">
        <w:rPr>
          <w:rStyle w:val="Refdenotaalpie"/>
          <w:sz w:val="18"/>
          <w:szCs w:val="18"/>
          <w:lang w:val="en-US"/>
        </w:rPr>
        <w:footnoteReference w:id="70"/>
      </w:r>
    </w:p>
    <w:p w14:paraId="19C64C8E" w14:textId="4197E317" w:rsidR="0063497F" w:rsidRPr="001558A5" w:rsidRDefault="00DB785C" w:rsidP="00945CE2">
      <w:pPr>
        <w:pStyle w:val="Prrafodelista"/>
        <w:numPr>
          <w:ilvl w:val="0"/>
          <w:numId w:val="2"/>
        </w:numPr>
        <w:spacing w:before="120" w:after="120"/>
        <w:ind w:left="0" w:firstLine="0"/>
        <w:contextualSpacing w:val="0"/>
        <w:rPr>
          <w:rFonts w:cs="Times New Roman"/>
          <w:szCs w:val="20"/>
          <w:lang w:val="en-US"/>
        </w:rPr>
      </w:pPr>
      <w:r w:rsidRPr="001558A5">
        <w:rPr>
          <w:rFonts w:cs="Times New Roman"/>
          <w:szCs w:val="20"/>
          <w:lang w:val="en-US"/>
        </w:rPr>
        <w:t xml:space="preserve">The same report indicated that the autopsy of </w:t>
      </w:r>
      <w:r w:rsidR="0063497F" w:rsidRPr="001558A5">
        <w:rPr>
          <w:rFonts w:cs="Times New Roman"/>
          <w:szCs w:val="20"/>
          <w:lang w:val="en-US"/>
        </w:rPr>
        <w:t xml:space="preserve">Vicky Hernández </w:t>
      </w:r>
      <w:r w:rsidRPr="001558A5">
        <w:rPr>
          <w:rFonts w:cs="Times New Roman"/>
          <w:szCs w:val="20"/>
          <w:lang w:val="en-US"/>
        </w:rPr>
        <w:t>was performed by someone who, at that date, no longer worked for the forensic department, “so that their loca</w:t>
      </w:r>
      <w:r w:rsidR="00655F7F" w:rsidRPr="001558A5">
        <w:rPr>
          <w:rFonts w:cs="Times New Roman"/>
          <w:szCs w:val="20"/>
          <w:lang w:val="en-US"/>
        </w:rPr>
        <w:t>lization</w:t>
      </w:r>
      <w:r w:rsidRPr="001558A5">
        <w:rPr>
          <w:rFonts w:cs="Times New Roman"/>
          <w:szCs w:val="20"/>
          <w:lang w:val="en-US"/>
        </w:rPr>
        <w:t xml:space="preserve"> [was] pending in order to take the respective declaration.</w:t>
      </w:r>
      <w:r w:rsidR="0063497F" w:rsidRPr="001558A5">
        <w:rPr>
          <w:rFonts w:cs="Times New Roman"/>
          <w:szCs w:val="20"/>
          <w:lang w:val="en-US"/>
        </w:rPr>
        <w:t>”</w:t>
      </w:r>
      <w:r w:rsidR="0063497F" w:rsidRPr="001558A5">
        <w:rPr>
          <w:rStyle w:val="Refdenotaalpie"/>
          <w:lang w:val="en-US"/>
        </w:rPr>
        <w:footnoteReference w:id="71"/>
      </w:r>
    </w:p>
    <w:p w14:paraId="6773951D" w14:textId="046C51CE" w:rsidR="0063497F" w:rsidRPr="001558A5" w:rsidRDefault="00DB785C" w:rsidP="00945CE2">
      <w:pPr>
        <w:pStyle w:val="Prrafodelista"/>
        <w:numPr>
          <w:ilvl w:val="0"/>
          <w:numId w:val="2"/>
        </w:numPr>
        <w:spacing w:before="120" w:after="120"/>
        <w:ind w:left="0" w:firstLine="0"/>
        <w:contextualSpacing w:val="0"/>
        <w:rPr>
          <w:rFonts w:cs="Times New Roman"/>
          <w:szCs w:val="20"/>
          <w:lang w:val="en-US"/>
        </w:rPr>
      </w:pPr>
      <w:r w:rsidRPr="001558A5">
        <w:rPr>
          <w:rFonts w:cs="Times New Roman"/>
          <w:szCs w:val="20"/>
          <w:lang w:val="en-US"/>
        </w:rPr>
        <w:t>On October 17,</w:t>
      </w:r>
      <w:r w:rsidR="0063497F" w:rsidRPr="001558A5">
        <w:rPr>
          <w:rFonts w:cs="Times New Roman"/>
          <w:szCs w:val="20"/>
          <w:lang w:val="en-US"/>
        </w:rPr>
        <w:t xml:space="preserve"> 2013</w:t>
      </w:r>
      <w:r w:rsidRPr="001558A5">
        <w:rPr>
          <w:rFonts w:cs="Times New Roman"/>
          <w:szCs w:val="20"/>
          <w:lang w:val="en-US"/>
        </w:rPr>
        <w:t>,</w:t>
      </w:r>
      <w:r w:rsidR="0063497F" w:rsidRPr="001558A5">
        <w:rPr>
          <w:rFonts w:cs="Times New Roman"/>
          <w:szCs w:val="20"/>
          <w:lang w:val="en-US"/>
        </w:rPr>
        <w:t xml:space="preserve"> </w:t>
      </w:r>
      <w:r w:rsidRPr="001558A5">
        <w:rPr>
          <w:rFonts w:cs="Times New Roman"/>
          <w:szCs w:val="20"/>
          <w:lang w:val="en-US"/>
        </w:rPr>
        <w:t xml:space="preserve">the lawyer of </w:t>
      </w:r>
      <w:r w:rsidR="002C44DF" w:rsidRPr="001558A5">
        <w:rPr>
          <w:rFonts w:cs="Times New Roman"/>
          <w:szCs w:val="20"/>
          <w:lang w:val="en-US"/>
        </w:rPr>
        <w:t>Vicky Hernández</w:t>
      </w:r>
      <w:r w:rsidRPr="001558A5">
        <w:rPr>
          <w:rFonts w:cs="Times New Roman"/>
          <w:szCs w:val="20"/>
          <w:lang w:val="en-US"/>
        </w:rPr>
        <w:t>’s family formally requested a photocopy of the case file.</w:t>
      </w:r>
      <w:r w:rsidR="0063497F" w:rsidRPr="001558A5">
        <w:rPr>
          <w:rStyle w:val="Refdenotaalpie"/>
          <w:lang w:val="en-US"/>
        </w:rPr>
        <w:footnoteReference w:id="72"/>
      </w:r>
      <w:r w:rsidR="0063497F" w:rsidRPr="001558A5">
        <w:rPr>
          <w:rFonts w:cs="Times New Roman"/>
          <w:szCs w:val="20"/>
          <w:lang w:val="en-US"/>
        </w:rPr>
        <w:t xml:space="preserve"> </w:t>
      </w:r>
      <w:r w:rsidRPr="001558A5">
        <w:rPr>
          <w:rFonts w:cs="Times New Roman"/>
          <w:szCs w:val="20"/>
          <w:lang w:val="en-US"/>
        </w:rPr>
        <w:t>In addition, on the same date, she submitted a request to the Regional Forensic Medicine Directorate to corroborate the identity of the doctor who prepared the autopsy report, and requested the incorporation of this report into the investigation file.</w:t>
      </w:r>
      <w:r w:rsidR="0063497F" w:rsidRPr="001558A5">
        <w:rPr>
          <w:rStyle w:val="Refdenotaalpie"/>
          <w:lang w:val="en-US"/>
        </w:rPr>
        <w:footnoteReference w:id="73"/>
      </w:r>
    </w:p>
    <w:p w14:paraId="582C55D8" w14:textId="0F4850D2" w:rsidR="0063497F" w:rsidRPr="001558A5" w:rsidRDefault="00DB785C" w:rsidP="00DB785C">
      <w:pPr>
        <w:pStyle w:val="Prrafodelista"/>
        <w:numPr>
          <w:ilvl w:val="0"/>
          <w:numId w:val="2"/>
        </w:numPr>
        <w:spacing w:before="120" w:after="120"/>
        <w:ind w:left="0" w:firstLine="0"/>
        <w:contextualSpacing w:val="0"/>
        <w:rPr>
          <w:rFonts w:cs="Times New Roman"/>
          <w:szCs w:val="20"/>
          <w:lang w:val="en-US"/>
        </w:rPr>
      </w:pPr>
      <w:r w:rsidRPr="001558A5">
        <w:rPr>
          <w:rFonts w:cs="Times New Roman"/>
          <w:szCs w:val="20"/>
          <w:lang w:val="en-US"/>
        </w:rPr>
        <w:t>On October 18,</w:t>
      </w:r>
      <w:r w:rsidR="0063497F" w:rsidRPr="001558A5">
        <w:rPr>
          <w:rFonts w:cs="Times New Roman"/>
          <w:szCs w:val="20"/>
          <w:lang w:val="en-US"/>
        </w:rPr>
        <w:t xml:space="preserve"> 2013</w:t>
      </w:r>
      <w:r w:rsidRPr="001558A5">
        <w:rPr>
          <w:rFonts w:cs="Times New Roman"/>
          <w:szCs w:val="20"/>
          <w:lang w:val="en-US"/>
        </w:rPr>
        <w:t xml:space="preserve">, </w:t>
      </w:r>
      <w:r w:rsidR="00655F7F" w:rsidRPr="001558A5">
        <w:rPr>
          <w:rFonts w:cs="Times New Roman"/>
          <w:szCs w:val="20"/>
          <w:lang w:val="en-US"/>
        </w:rPr>
        <w:t xml:space="preserve">in response to the request, </w:t>
      </w:r>
      <w:r w:rsidRPr="001558A5">
        <w:rPr>
          <w:rFonts w:cs="Times New Roman"/>
          <w:szCs w:val="20"/>
          <w:lang w:val="en-US"/>
        </w:rPr>
        <w:t xml:space="preserve">the </w:t>
      </w:r>
      <w:r w:rsidR="000C6628" w:rsidRPr="001558A5">
        <w:rPr>
          <w:rFonts w:cs="Times New Roman"/>
          <w:szCs w:val="20"/>
          <w:lang w:val="en-US"/>
        </w:rPr>
        <w:t xml:space="preserve">Regional Coordinator </w:t>
      </w:r>
      <w:r w:rsidRPr="001558A5">
        <w:rPr>
          <w:rFonts w:cs="Times New Roman"/>
          <w:szCs w:val="20"/>
          <w:lang w:val="en-US"/>
        </w:rPr>
        <w:t>of Forensic Medicine responded that the autopsy report had been sent to the Prosecution Service on July 13, 2013.</w:t>
      </w:r>
      <w:r w:rsidR="0063497F" w:rsidRPr="001558A5">
        <w:rPr>
          <w:rStyle w:val="Refdenotaalpie"/>
          <w:lang w:val="en-US"/>
        </w:rPr>
        <w:footnoteReference w:id="74"/>
      </w:r>
      <w:r w:rsidR="0063497F" w:rsidRPr="001558A5">
        <w:rPr>
          <w:rFonts w:cs="Times New Roman"/>
          <w:szCs w:val="20"/>
          <w:lang w:val="en-US"/>
        </w:rPr>
        <w:t xml:space="preserve"> </w:t>
      </w:r>
      <w:r w:rsidRPr="001558A5">
        <w:rPr>
          <w:rFonts w:cs="Times New Roman"/>
          <w:szCs w:val="20"/>
          <w:lang w:val="en-US"/>
        </w:rPr>
        <w:t>On October 28,</w:t>
      </w:r>
      <w:r w:rsidR="0063497F" w:rsidRPr="001558A5">
        <w:rPr>
          <w:rFonts w:cs="Times New Roman"/>
          <w:szCs w:val="20"/>
          <w:lang w:val="en-US"/>
        </w:rPr>
        <w:t xml:space="preserve"> 2013</w:t>
      </w:r>
      <w:r w:rsidRPr="001558A5">
        <w:rPr>
          <w:rFonts w:cs="Times New Roman"/>
          <w:szCs w:val="20"/>
          <w:lang w:val="en-US"/>
        </w:rPr>
        <w:t>, the Prosecut</w:t>
      </w:r>
      <w:r w:rsidR="00FD29E3" w:rsidRPr="001558A5">
        <w:rPr>
          <w:rFonts w:cs="Times New Roman"/>
          <w:szCs w:val="20"/>
          <w:lang w:val="en-US"/>
        </w:rPr>
        <w:t>or</w:t>
      </w:r>
      <w:r w:rsidRPr="001558A5">
        <w:rPr>
          <w:rFonts w:cs="Times New Roman"/>
          <w:szCs w:val="20"/>
          <w:lang w:val="en-US"/>
        </w:rPr>
        <w:t xml:space="preserve"> reiterated </w:t>
      </w:r>
      <w:r w:rsidR="00FD29E3" w:rsidRPr="001558A5">
        <w:rPr>
          <w:rFonts w:cs="Times New Roman"/>
          <w:szCs w:val="20"/>
          <w:lang w:val="en-US"/>
        </w:rPr>
        <w:t xml:space="preserve">his </w:t>
      </w:r>
      <w:r w:rsidRPr="001558A5">
        <w:rPr>
          <w:rFonts w:cs="Times New Roman"/>
          <w:szCs w:val="20"/>
          <w:lang w:val="en-US"/>
        </w:rPr>
        <w:t xml:space="preserve">request to the Regional Director of Forensic Medicine </w:t>
      </w:r>
      <w:r w:rsidR="000C6628" w:rsidRPr="001558A5">
        <w:rPr>
          <w:rFonts w:cs="Times New Roman"/>
          <w:szCs w:val="20"/>
          <w:lang w:val="en-US"/>
        </w:rPr>
        <w:t>to forward urgently the report and photographic album of the autopsy of</w:t>
      </w:r>
      <w:r w:rsidR="0063497F" w:rsidRPr="001558A5">
        <w:rPr>
          <w:rFonts w:cs="Times New Roman"/>
          <w:szCs w:val="20"/>
          <w:lang w:val="en-US"/>
        </w:rPr>
        <w:t xml:space="preserve"> Vicky Hernández</w:t>
      </w:r>
      <w:r w:rsidR="000C6628" w:rsidRPr="001558A5">
        <w:rPr>
          <w:rFonts w:cs="Times New Roman"/>
          <w:szCs w:val="20"/>
          <w:lang w:val="en-US"/>
        </w:rPr>
        <w:t>.</w:t>
      </w:r>
      <w:r w:rsidR="0063497F" w:rsidRPr="001558A5">
        <w:rPr>
          <w:rStyle w:val="Refdenotaalpie"/>
          <w:lang w:val="en-US"/>
        </w:rPr>
        <w:footnoteReference w:id="75"/>
      </w:r>
    </w:p>
    <w:p w14:paraId="37E63748" w14:textId="15311231" w:rsidR="0063497F" w:rsidRPr="001558A5" w:rsidRDefault="000C6628" w:rsidP="000C6628">
      <w:pPr>
        <w:pStyle w:val="Prrafodelista"/>
        <w:numPr>
          <w:ilvl w:val="0"/>
          <w:numId w:val="2"/>
        </w:numPr>
        <w:spacing w:before="120" w:after="120"/>
        <w:ind w:left="0" w:firstLine="0"/>
        <w:contextualSpacing w:val="0"/>
        <w:rPr>
          <w:rFonts w:cs="Times New Roman"/>
          <w:szCs w:val="20"/>
          <w:lang w:val="en-US"/>
        </w:rPr>
      </w:pPr>
      <w:r w:rsidRPr="001558A5">
        <w:rPr>
          <w:rFonts w:cs="Times New Roman"/>
          <w:szCs w:val="20"/>
          <w:lang w:val="en-US"/>
        </w:rPr>
        <w:t>On the same October 28,</w:t>
      </w:r>
      <w:r w:rsidR="00945CE2" w:rsidRPr="001558A5">
        <w:rPr>
          <w:rFonts w:cs="Times New Roman"/>
          <w:szCs w:val="20"/>
          <w:lang w:val="en-US"/>
        </w:rPr>
        <w:t xml:space="preserve"> 2013,</w:t>
      </w:r>
      <w:r w:rsidRPr="001558A5">
        <w:rPr>
          <w:rFonts w:cs="Times New Roman"/>
          <w:szCs w:val="20"/>
          <w:lang w:val="en-US"/>
        </w:rPr>
        <w:t xml:space="preserve"> in a reasoned decision,</w:t>
      </w:r>
      <w:r w:rsidR="00945CE2" w:rsidRPr="001558A5">
        <w:rPr>
          <w:rFonts w:cs="Times New Roman"/>
          <w:szCs w:val="20"/>
          <w:lang w:val="en-US"/>
        </w:rPr>
        <w:t xml:space="preserve"> </w:t>
      </w:r>
      <w:r w:rsidRPr="001558A5">
        <w:rPr>
          <w:rFonts w:cs="Times New Roman"/>
          <w:szCs w:val="20"/>
          <w:lang w:val="en-US"/>
        </w:rPr>
        <w:t>the Prosecutor for Crimes against Life rejected the request of the lawyer of Vicky Hernández’s family to obtain a photocopy of the case file</w:t>
      </w:r>
      <w:r w:rsidR="00FD29E3" w:rsidRPr="001558A5">
        <w:rPr>
          <w:rFonts w:cs="Times New Roman"/>
          <w:szCs w:val="20"/>
          <w:lang w:val="en-US"/>
        </w:rPr>
        <w:t xml:space="preserve"> on the grounds </w:t>
      </w:r>
      <w:r w:rsidRPr="001558A5">
        <w:rPr>
          <w:rFonts w:cs="Times New Roman"/>
          <w:szCs w:val="20"/>
          <w:lang w:val="en-US"/>
        </w:rPr>
        <w:t>that it could jeopardize the investigation, and also that it was not the appropriate way to submit a request of this nature.</w:t>
      </w:r>
      <w:r w:rsidR="00945CE2" w:rsidRPr="001558A5">
        <w:rPr>
          <w:rStyle w:val="Refdenotaalpie"/>
          <w:lang w:val="en-US"/>
        </w:rPr>
        <w:footnoteReference w:id="76"/>
      </w:r>
      <w:r w:rsidR="00A36DD6" w:rsidRPr="001558A5">
        <w:rPr>
          <w:rFonts w:cs="Times New Roman"/>
          <w:szCs w:val="20"/>
          <w:lang w:val="en-US"/>
        </w:rPr>
        <w:t xml:space="preserve"> </w:t>
      </w:r>
      <w:r w:rsidRPr="001558A5">
        <w:rPr>
          <w:rFonts w:cs="Times New Roman"/>
          <w:szCs w:val="20"/>
          <w:lang w:val="en-US"/>
        </w:rPr>
        <w:t>On October 30,</w:t>
      </w:r>
      <w:r w:rsidR="00945CE2" w:rsidRPr="001558A5">
        <w:rPr>
          <w:rFonts w:cs="Times New Roman"/>
          <w:szCs w:val="20"/>
          <w:lang w:val="en-US"/>
        </w:rPr>
        <w:t xml:space="preserve"> 2013,</w:t>
      </w:r>
      <w:r w:rsidRPr="001558A5">
        <w:rPr>
          <w:rFonts w:cs="Times New Roman"/>
          <w:szCs w:val="20"/>
          <w:lang w:val="en-US"/>
        </w:rPr>
        <w:t xml:space="preserve"> the lawyer of Vicky Hernández’s family requested copies of the case file from the Special Prosecutor for Crimes against Life, as his superior in rank.</w:t>
      </w:r>
      <w:r w:rsidR="00945CE2" w:rsidRPr="001558A5">
        <w:rPr>
          <w:rStyle w:val="Refdenotaalpie"/>
          <w:lang w:val="en-US"/>
        </w:rPr>
        <w:footnoteReference w:id="77"/>
      </w:r>
    </w:p>
    <w:p w14:paraId="15E389A5" w14:textId="0D2D1965" w:rsidR="0063497F" w:rsidRPr="001558A5" w:rsidRDefault="000C6628" w:rsidP="000C6628">
      <w:pPr>
        <w:pStyle w:val="Prrafodelista"/>
        <w:numPr>
          <w:ilvl w:val="0"/>
          <w:numId w:val="2"/>
        </w:numPr>
        <w:spacing w:before="120" w:after="120"/>
        <w:ind w:left="0" w:firstLine="0"/>
        <w:contextualSpacing w:val="0"/>
        <w:rPr>
          <w:rFonts w:cs="Times New Roman"/>
          <w:szCs w:val="20"/>
          <w:lang w:val="en-US"/>
        </w:rPr>
      </w:pPr>
      <w:r w:rsidRPr="001558A5">
        <w:rPr>
          <w:rFonts w:cs="Times New Roman"/>
          <w:szCs w:val="20"/>
          <w:lang w:val="en-US"/>
        </w:rPr>
        <w:t>On November 4,</w:t>
      </w:r>
      <w:r w:rsidR="0063497F" w:rsidRPr="001558A5">
        <w:rPr>
          <w:rFonts w:cs="Times New Roman"/>
          <w:szCs w:val="20"/>
          <w:lang w:val="en-US"/>
        </w:rPr>
        <w:t xml:space="preserve"> 2013</w:t>
      </w:r>
      <w:r w:rsidRPr="001558A5">
        <w:rPr>
          <w:rFonts w:cs="Times New Roman"/>
          <w:szCs w:val="20"/>
          <w:lang w:val="en-US"/>
        </w:rPr>
        <w:t>,</w:t>
      </w:r>
      <w:r w:rsidR="0063497F" w:rsidRPr="001558A5">
        <w:rPr>
          <w:rFonts w:cs="Times New Roman"/>
          <w:szCs w:val="20"/>
          <w:lang w:val="en-US"/>
        </w:rPr>
        <w:t xml:space="preserve"> </w:t>
      </w:r>
      <w:r w:rsidRPr="001558A5">
        <w:rPr>
          <w:rFonts w:cs="Times New Roman"/>
          <w:szCs w:val="20"/>
          <w:lang w:val="en-US"/>
        </w:rPr>
        <w:t>the Prosecutor for Crimes against Life</w:t>
      </w:r>
      <w:r w:rsidR="0063497F" w:rsidRPr="001558A5">
        <w:rPr>
          <w:rFonts w:cs="Times New Roman"/>
          <w:szCs w:val="20"/>
          <w:lang w:val="en-US"/>
        </w:rPr>
        <w:t xml:space="preserve"> present</w:t>
      </w:r>
      <w:r w:rsidRPr="001558A5">
        <w:rPr>
          <w:rFonts w:cs="Times New Roman"/>
          <w:szCs w:val="20"/>
          <w:lang w:val="en-US"/>
        </w:rPr>
        <w:t xml:space="preserve">ed a report describing the </w:t>
      </w:r>
      <w:r w:rsidR="00FD29E3" w:rsidRPr="001558A5">
        <w:rPr>
          <w:rFonts w:cs="Times New Roman"/>
          <w:szCs w:val="20"/>
          <w:lang w:val="en-US"/>
        </w:rPr>
        <w:t>most recent</w:t>
      </w:r>
      <w:r w:rsidRPr="001558A5">
        <w:rPr>
          <w:rFonts w:cs="Times New Roman"/>
          <w:szCs w:val="20"/>
          <w:lang w:val="en-US"/>
        </w:rPr>
        <w:t xml:space="preserve"> procedures conduct</w:t>
      </w:r>
      <w:r w:rsidR="00FD29E3" w:rsidRPr="001558A5">
        <w:rPr>
          <w:rFonts w:cs="Times New Roman"/>
          <w:szCs w:val="20"/>
          <w:lang w:val="en-US"/>
        </w:rPr>
        <w:t>ed</w:t>
      </w:r>
      <w:r w:rsidRPr="001558A5">
        <w:rPr>
          <w:rFonts w:cs="Times New Roman"/>
          <w:szCs w:val="20"/>
          <w:lang w:val="en-US"/>
        </w:rPr>
        <w:t xml:space="preserve"> in the investigation, including: copy of an investigation request; record of the telephone calls made to contacts in the case, and second request for </w:t>
      </w:r>
      <w:r w:rsidR="00FD29E3" w:rsidRPr="001558A5">
        <w:rPr>
          <w:rFonts w:cs="Times New Roman"/>
          <w:szCs w:val="20"/>
          <w:lang w:val="en-US"/>
        </w:rPr>
        <w:t xml:space="preserve">the </w:t>
      </w:r>
      <w:r w:rsidRPr="001558A5">
        <w:rPr>
          <w:rFonts w:cs="Times New Roman"/>
          <w:szCs w:val="20"/>
          <w:lang w:val="en-US"/>
        </w:rPr>
        <w:t>autopsy report.</w:t>
      </w:r>
      <w:r w:rsidR="0063497F" w:rsidRPr="001558A5">
        <w:rPr>
          <w:rStyle w:val="Refdenotaalpie"/>
          <w:lang w:val="en-US"/>
        </w:rPr>
        <w:footnoteReference w:id="78"/>
      </w:r>
      <w:r w:rsidRPr="001558A5">
        <w:rPr>
          <w:rFonts w:cs="Times New Roman"/>
          <w:szCs w:val="20"/>
          <w:lang w:val="en-US"/>
        </w:rPr>
        <w:t xml:space="preserve"> The same day, according to the respective record, the Prosecutor</w:t>
      </w:r>
      <w:r w:rsidR="0063497F" w:rsidRPr="001558A5">
        <w:rPr>
          <w:rFonts w:cs="Times New Roman"/>
          <w:szCs w:val="20"/>
          <w:lang w:val="en-US"/>
        </w:rPr>
        <w:t xml:space="preserve"> </w:t>
      </w:r>
      <w:r w:rsidRPr="001558A5">
        <w:rPr>
          <w:rFonts w:cs="Times New Roman"/>
          <w:szCs w:val="20"/>
          <w:lang w:val="en-US"/>
        </w:rPr>
        <w:t xml:space="preserve">tried to contact friends and people close to the deceased by telephone in the context of the investigation; however, </w:t>
      </w:r>
      <w:r w:rsidR="00FD29E3" w:rsidRPr="001558A5">
        <w:rPr>
          <w:rFonts w:cs="Times New Roman"/>
          <w:szCs w:val="20"/>
          <w:lang w:val="en-US"/>
        </w:rPr>
        <w:t>the record</w:t>
      </w:r>
      <w:r w:rsidRPr="001558A5">
        <w:rPr>
          <w:rFonts w:cs="Times New Roman"/>
          <w:szCs w:val="20"/>
          <w:lang w:val="en-US"/>
        </w:rPr>
        <w:t xml:space="preserve"> indicate</w:t>
      </w:r>
      <w:r w:rsidR="00FD29E3" w:rsidRPr="001558A5">
        <w:rPr>
          <w:rFonts w:cs="Times New Roman"/>
          <w:szCs w:val="20"/>
          <w:lang w:val="en-US"/>
        </w:rPr>
        <w:t xml:space="preserve">s </w:t>
      </w:r>
      <w:r w:rsidRPr="001558A5">
        <w:rPr>
          <w:rFonts w:cs="Times New Roman"/>
          <w:szCs w:val="20"/>
          <w:lang w:val="en-US"/>
        </w:rPr>
        <w:t>that the numbers appeared to have been disconnected.</w:t>
      </w:r>
      <w:r w:rsidR="0063497F" w:rsidRPr="001558A5">
        <w:rPr>
          <w:rStyle w:val="Refdenotaalpie"/>
          <w:lang w:val="en-US"/>
        </w:rPr>
        <w:footnoteReference w:id="79"/>
      </w:r>
      <w:r w:rsidR="0063497F" w:rsidRPr="001558A5">
        <w:rPr>
          <w:rFonts w:cs="Times New Roman"/>
          <w:szCs w:val="20"/>
          <w:lang w:val="en-US"/>
        </w:rPr>
        <w:t xml:space="preserve"> </w:t>
      </w:r>
    </w:p>
    <w:p w14:paraId="5524332A" w14:textId="47CCC9B0" w:rsidR="0063497F" w:rsidRPr="001558A5" w:rsidRDefault="000C6628" w:rsidP="00945CE2">
      <w:pPr>
        <w:pStyle w:val="Prrafodelista"/>
        <w:numPr>
          <w:ilvl w:val="0"/>
          <w:numId w:val="2"/>
        </w:numPr>
        <w:spacing w:before="120" w:after="120"/>
        <w:ind w:left="0" w:firstLine="0"/>
        <w:contextualSpacing w:val="0"/>
        <w:rPr>
          <w:rFonts w:cs="Times New Roman"/>
          <w:szCs w:val="20"/>
          <w:lang w:val="en-US"/>
        </w:rPr>
      </w:pPr>
      <w:r w:rsidRPr="001558A5">
        <w:rPr>
          <w:rFonts w:cs="Times New Roman"/>
          <w:szCs w:val="20"/>
          <w:lang w:val="en-US"/>
        </w:rPr>
        <w:t>On November 20,</w:t>
      </w:r>
      <w:r w:rsidR="0063497F" w:rsidRPr="001558A5">
        <w:rPr>
          <w:rFonts w:cs="Times New Roman"/>
          <w:szCs w:val="20"/>
          <w:lang w:val="en-US"/>
        </w:rPr>
        <w:t xml:space="preserve"> 2013, </w:t>
      </w:r>
      <w:r w:rsidRPr="001558A5">
        <w:rPr>
          <w:rFonts w:cs="Times New Roman"/>
          <w:szCs w:val="20"/>
          <w:lang w:val="en-US"/>
        </w:rPr>
        <w:t>the Public Prosecution Service</w:t>
      </w:r>
      <w:r w:rsidR="0063497F" w:rsidRPr="001558A5">
        <w:rPr>
          <w:rFonts w:cs="Times New Roman"/>
          <w:szCs w:val="20"/>
          <w:lang w:val="en-US"/>
        </w:rPr>
        <w:t xml:space="preserve"> </w:t>
      </w:r>
      <w:r w:rsidRPr="001558A5">
        <w:rPr>
          <w:rFonts w:cs="Times New Roman"/>
          <w:szCs w:val="20"/>
          <w:lang w:val="en-US"/>
        </w:rPr>
        <w:t xml:space="preserve">decided to admit the request of the lawyer of Vicky Hernández’s family </w:t>
      </w:r>
      <w:r w:rsidR="00DD4354" w:rsidRPr="001558A5">
        <w:rPr>
          <w:rFonts w:cs="Times New Roman"/>
          <w:szCs w:val="20"/>
          <w:lang w:val="en-US"/>
        </w:rPr>
        <w:t>and</w:t>
      </w:r>
      <w:r w:rsidRPr="001558A5">
        <w:rPr>
          <w:rFonts w:cs="Times New Roman"/>
          <w:szCs w:val="20"/>
          <w:lang w:val="en-US"/>
        </w:rPr>
        <w:t xml:space="preserve"> acknowledged the right of</w:t>
      </w:r>
      <w:r w:rsidR="00516B75" w:rsidRPr="001558A5">
        <w:rPr>
          <w:rFonts w:cs="Times New Roman"/>
          <w:szCs w:val="20"/>
          <w:lang w:val="en-US"/>
        </w:rPr>
        <w:t xml:space="preserve"> Vicky Hernández</w:t>
      </w:r>
      <w:r w:rsidRPr="001558A5">
        <w:rPr>
          <w:rFonts w:cs="Times New Roman"/>
          <w:szCs w:val="20"/>
          <w:lang w:val="en-US"/>
        </w:rPr>
        <w:t>’s mother to obtain a copy of the investigation file.</w:t>
      </w:r>
      <w:r w:rsidR="0063497F" w:rsidRPr="001558A5">
        <w:rPr>
          <w:rStyle w:val="Refdenotaalpie"/>
          <w:lang w:val="en-US"/>
        </w:rPr>
        <w:footnoteReference w:id="80"/>
      </w:r>
    </w:p>
    <w:p w14:paraId="68CBC33F" w14:textId="6C187760" w:rsidR="0063497F" w:rsidRPr="001558A5" w:rsidRDefault="000C6628" w:rsidP="004A4A92">
      <w:pPr>
        <w:pStyle w:val="Prrafodelista"/>
        <w:numPr>
          <w:ilvl w:val="0"/>
          <w:numId w:val="2"/>
        </w:numPr>
        <w:spacing w:before="120" w:after="120"/>
        <w:ind w:left="0" w:firstLine="0"/>
        <w:contextualSpacing w:val="0"/>
        <w:rPr>
          <w:rFonts w:cs="Times New Roman"/>
          <w:szCs w:val="20"/>
          <w:lang w:val="en-US"/>
        </w:rPr>
      </w:pPr>
      <w:r w:rsidRPr="001558A5">
        <w:rPr>
          <w:rFonts w:cs="Times New Roman"/>
          <w:szCs w:val="20"/>
          <w:lang w:val="en-US"/>
        </w:rPr>
        <w:t>On</w:t>
      </w:r>
      <w:r w:rsidR="004B7735" w:rsidRPr="001558A5">
        <w:rPr>
          <w:rFonts w:cs="Times New Roman"/>
          <w:szCs w:val="20"/>
          <w:lang w:val="en-US"/>
        </w:rPr>
        <w:t xml:space="preserve"> </w:t>
      </w:r>
      <w:r w:rsidR="00C909B4" w:rsidRPr="001558A5">
        <w:rPr>
          <w:rFonts w:cs="Times New Roman"/>
          <w:szCs w:val="20"/>
          <w:lang w:val="en-US"/>
        </w:rPr>
        <w:t>March 12,</w:t>
      </w:r>
      <w:r w:rsidR="004B7735" w:rsidRPr="001558A5">
        <w:rPr>
          <w:rFonts w:cs="Times New Roman"/>
          <w:szCs w:val="20"/>
          <w:lang w:val="en-US"/>
        </w:rPr>
        <w:t xml:space="preserve"> 2015</w:t>
      </w:r>
      <w:r w:rsidRPr="001558A5">
        <w:rPr>
          <w:rFonts w:cs="Times New Roman"/>
          <w:szCs w:val="20"/>
          <w:lang w:val="en-US"/>
        </w:rPr>
        <w:t>,</w:t>
      </w:r>
      <w:r w:rsidR="004B7735" w:rsidRPr="001558A5">
        <w:rPr>
          <w:rFonts w:cs="Times New Roman"/>
          <w:szCs w:val="20"/>
          <w:lang w:val="en-US"/>
        </w:rPr>
        <w:t xml:space="preserve"> </w:t>
      </w:r>
      <w:r w:rsidRPr="001558A5">
        <w:rPr>
          <w:rFonts w:cs="Times New Roman"/>
          <w:szCs w:val="20"/>
          <w:lang w:val="en-US"/>
        </w:rPr>
        <w:t>the lawyer of Vicky Hernández’s family</w:t>
      </w:r>
      <w:r w:rsidR="002C44DF" w:rsidRPr="001558A5">
        <w:rPr>
          <w:rFonts w:cs="Times New Roman"/>
          <w:szCs w:val="20"/>
          <w:lang w:val="en-US"/>
        </w:rPr>
        <w:t xml:space="preserve"> </w:t>
      </w:r>
      <w:r w:rsidRPr="001558A5">
        <w:rPr>
          <w:rFonts w:cs="Times New Roman"/>
          <w:szCs w:val="20"/>
          <w:lang w:val="en-US"/>
        </w:rPr>
        <w:t>submitted a communication to the Special Prosecutor for Crimes against Life</w:t>
      </w:r>
      <w:r w:rsidR="004B7735" w:rsidRPr="001558A5">
        <w:rPr>
          <w:rFonts w:cs="Times New Roman"/>
          <w:szCs w:val="20"/>
          <w:lang w:val="en-US"/>
        </w:rPr>
        <w:t xml:space="preserve"> </w:t>
      </w:r>
      <w:r w:rsidR="00DE7CAC" w:rsidRPr="001558A5">
        <w:rPr>
          <w:rFonts w:cs="Times New Roman"/>
          <w:szCs w:val="20"/>
          <w:lang w:val="en-US"/>
        </w:rPr>
        <w:t>indicating</w:t>
      </w:r>
      <w:r w:rsidR="004B7735" w:rsidRPr="001558A5">
        <w:rPr>
          <w:rFonts w:cs="Times New Roman"/>
          <w:szCs w:val="20"/>
          <w:lang w:val="en-US"/>
        </w:rPr>
        <w:t>: “</w:t>
      </w:r>
      <w:r w:rsidR="00DE7CAC" w:rsidRPr="001558A5">
        <w:rPr>
          <w:rFonts w:cs="Times New Roman"/>
          <w:szCs w:val="20"/>
          <w:lang w:val="en-US"/>
        </w:rPr>
        <w:t>that the</w:t>
      </w:r>
      <w:r w:rsidR="00FD29E3" w:rsidRPr="001558A5">
        <w:rPr>
          <w:rFonts w:cs="Times New Roman"/>
          <w:szCs w:val="20"/>
          <w:lang w:val="en-US"/>
        </w:rPr>
        <w:t xml:space="preserve"> status of the</w:t>
      </w:r>
      <w:r w:rsidR="00DE7CAC" w:rsidRPr="001558A5">
        <w:rPr>
          <w:rFonts w:cs="Times New Roman"/>
          <w:szCs w:val="20"/>
          <w:lang w:val="en-US"/>
        </w:rPr>
        <w:t xml:space="preserve"> said case file </w:t>
      </w:r>
      <w:r w:rsidR="00FD29E3" w:rsidRPr="001558A5">
        <w:rPr>
          <w:rFonts w:cs="Times New Roman"/>
          <w:szCs w:val="20"/>
          <w:lang w:val="en-US"/>
        </w:rPr>
        <w:t>has not changed since</w:t>
      </w:r>
      <w:r w:rsidR="00DE7CAC" w:rsidRPr="001558A5">
        <w:rPr>
          <w:rFonts w:cs="Times New Roman"/>
          <w:szCs w:val="20"/>
          <w:lang w:val="en-US"/>
        </w:rPr>
        <w:t xml:space="preserve"> October” and that important documents had not been incorporated, including: (i) the autopsy report; (ii) the note of October 18, 2013, sent by Forensic Medicine to </w:t>
      </w:r>
      <w:r w:rsidRPr="001558A5">
        <w:rPr>
          <w:rFonts w:cs="Times New Roman"/>
          <w:szCs w:val="20"/>
          <w:lang w:val="en-US"/>
        </w:rPr>
        <w:t>the Special Prosecutor for Crimes against Life</w:t>
      </w:r>
      <w:r w:rsidR="00DE7CAC" w:rsidRPr="001558A5">
        <w:rPr>
          <w:rFonts w:cs="Times New Roman"/>
          <w:szCs w:val="20"/>
          <w:lang w:val="en-US"/>
        </w:rPr>
        <w:t xml:space="preserve">, reporting that the said autopsy report had been sent to the Homicide Prosecution Unit on July 13, 2103, and (iii) the requests </w:t>
      </w:r>
      <w:r w:rsidR="00FF5813" w:rsidRPr="001558A5">
        <w:rPr>
          <w:rFonts w:cs="Times New Roman"/>
          <w:szCs w:val="20"/>
          <w:lang w:val="en-US"/>
        </w:rPr>
        <w:t>to</w:t>
      </w:r>
      <w:r w:rsidR="00DE7CAC" w:rsidRPr="001558A5">
        <w:rPr>
          <w:rFonts w:cs="Times New Roman"/>
          <w:szCs w:val="20"/>
          <w:lang w:val="en-US"/>
        </w:rPr>
        <w:t xml:space="preserve"> incorporat</w:t>
      </w:r>
      <w:r w:rsidR="00FF5813" w:rsidRPr="001558A5">
        <w:rPr>
          <w:rFonts w:cs="Times New Roman"/>
          <w:szCs w:val="20"/>
          <w:lang w:val="en-US"/>
        </w:rPr>
        <w:t>e documents</w:t>
      </w:r>
      <w:r w:rsidR="00DE7CAC" w:rsidRPr="001558A5">
        <w:rPr>
          <w:rFonts w:cs="Times New Roman"/>
          <w:szCs w:val="20"/>
          <w:lang w:val="en-US"/>
        </w:rPr>
        <w:t xml:space="preserve"> into the file of October 17 and 30, </w:t>
      </w:r>
      <w:r w:rsidR="004B7735" w:rsidRPr="001558A5">
        <w:rPr>
          <w:rFonts w:cs="Times New Roman"/>
          <w:szCs w:val="20"/>
          <w:lang w:val="en-US"/>
        </w:rPr>
        <w:t>2013</w:t>
      </w:r>
      <w:r w:rsidR="00DE7CAC" w:rsidRPr="001558A5">
        <w:rPr>
          <w:rFonts w:cs="Times New Roman"/>
          <w:szCs w:val="20"/>
          <w:lang w:val="en-US"/>
        </w:rPr>
        <w:t>.</w:t>
      </w:r>
      <w:r w:rsidR="004B7735" w:rsidRPr="001558A5">
        <w:rPr>
          <w:rStyle w:val="Refdenotaalpie"/>
          <w:lang w:val="en-US"/>
        </w:rPr>
        <w:footnoteReference w:id="81"/>
      </w:r>
      <w:r w:rsidR="00DE7CAC" w:rsidRPr="001558A5">
        <w:rPr>
          <w:rFonts w:cs="Times New Roman"/>
          <w:szCs w:val="20"/>
          <w:lang w:val="en-US"/>
        </w:rPr>
        <w:t xml:space="preserve"> </w:t>
      </w:r>
      <w:r w:rsidR="004A071C" w:rsidRPr="001558A5">
        <w:rPr>
          <w:rFonts w:cs="Times New Roman"/>
          <w:szCs w:val="20"/>
          <w:lang w:val="en-US"/>
        </w:rPr>
        <w:t>A</w:t>
      </w:r>
      <w:r w:rsidR="00DE7CAC" w:rsidRPr="001558A5">
        <w:rPr>
          <w:rFonts w:cs="Times New Roman"/>
          <w:szCs w:val="20"/>
          <w:lang w:val="en-US"/>
        </w:rPr>
        <w:t xml:space="preserve"> communication </w:t>
      </w:r>
      <w:r w:rsidR="004A071C" w:rsidRPr="001558A5">
        <w:rPr>
          <w:iCs/>
          <w:lang w:val="en-US"/>
        </w:rPr>
        <w:t xml:space="preserve">of September 28, </w:t>
      </w:r>
      <w:r w:rsidR="004A071C" w:rsidRPr="001558A5">
        <w:rPr>
          <w:rFonts w:cs="Times New Roman"/>
          <w:szCs w:val="20"/>
          <w:lang w:val="en-US"/>
        </w:rPr>
        <w:t xml:space="preserve">2020, </w:t>
      </w:r>
      <w:r w:rsidR="00DE7CAC" w:rsidRPr="001558A5">
        <w:rPr>
          <w:rFonts w:cs="Times New Roman"/>
          <w:szCs w:val="20"/>
          <w:lang w:val="en-US"/>
        </w:rPr>
        <w:t>of the</w:t>
      </w:r>
      <w:r w:rsidR="004A071C" w:rsidRPr="001558A5">
        <w:rPr>
          <w:rFonts w:cs="Times New Roman"/>
          <w:szCs w:val="20"/>
          <w:lang w:val="en-US"/>
        </w:rPr>
        <w:t xml:space="preserve"> </w:t>
      </w:r>
      <w:r w:rsidR="004A071C" w:rsidRPr="001558A5">
        <w:rPr>
          <w:iCs/>
          <w:szCs w:val="16"/>
          <w:lang w:val="en-US"/>
        </w:rPr>
        <w:t xml:space="preserve">General </w:t>
      </w:r>
      <w:proofErr w:type="spellStart"/>
      <w:r w:rsidR="004A071C" w:rsidRPr="001558A5">
        <w:rPr>
          <w:iCs/>
          <w:szCs w:val="16"/>
          <w:lang w:val="en-US"/>
        </w:rPr>
        <w:t>Subdirectorate</w:t>
      </w:r>
      <w:proofErr w:type="spellEnd"/>
      <w:r w:rsidR="004A071C" w:rsidRPr="001558A5">
        <w:rPr>
          <w:iCs/>
          <w:szCs w:val="16"/>
          <w:lang w:val="en-US"/>
        </w:rPr>
        <w:t xml:space="preserve"> </w:t>
      </w:r>
      <w:r w:rsidR="00C5277E" w:rsidRPr="001558A5">
        <w:rPr>
          <w:iCs/>
          <w:szCs w:val="16"/>
          <w:lang w:val="en-US"/>
        </w:rPr>
        <w:t xml:space="preserve">for Prosecutions </w:t>
      </w:r>
      <w:r w:rsidR="004A071C" w:rsidRPr="001558A5">
        <w:rPr>
          <w:iCs/>
          <w:szCs w:val="16"/>
          <w:lang w:val="en-US"/>
        </w:rPr>
        <w:t>of the Public Prosecution Service</w:t>
      </w:r>
      <w:r w:rsidR="004A071C" w:rsidRPr="001558A5">
        <w:rPr>
          <w:iCs/>
          <w:lang w:val="en-US"/>
        </w:rPr>
        <w:t xml:space="preserve"> concerning the investigation </w:t>
      </w:r>
      <w:r w:rsidR="004A071C" w:rsidRPr="001558A5">
        <w:rPr>
          <w:rFonts w:cs="Times New Roman"/>
          <w:szCs w:val="20"/>
          <w:lang w:val="en-US"/>
        </w:rPr>
        <w:t xml:space="preserve">mentions the procedure consisting in an order to investigate of October 22, </w:t>
      </w:r>
      <w:r w:rsidR="004B7735" w:rsidRPr="001558A5">
        <w:rPr>
          <w:rFonts w:cs="Times New Roman"/>
          <w:szCs w:val="20"/>
          <w:lang w:val="en-US"/>
        </w:rPr>
        <w:t>2019</w:t>
      </w:r>
      <w:r w:rsidR="004A071C" w:rsidRPr="001558A5">
        <w:rPr>
          <w:rFonts w:cs="Times New Roman"/>
          <w:szCs w:val="20"/>
          <w:lang w:val="en-US"/>
        </w:rPr>
        <w:t xml:space="preserve">, that appears to be “pending the </w:t>
      </w:r>
      <w:r w:rsidR="00FF5813" w:rsidRPr="001558A5">
        <w:rPr>
          <w:rFonts w:cs="Times New Roman"/>
          <w:szCs w:val="20"/>
          <w:lang w:val="en-US"/>
        </w:rPr>
        <w:t>reception</w:t>
      </w:r>
      <w:r w:rsidR="004A071C" w:rsidRPr="001558A5">
        <w:rPr>
          <w:rFonts w:cs="Times New Roman"/>
          <w:szCs w:val="20"/>
          <w:lang w:val="en-US"/>
        </w:rPr>
        <w:t xml:space="preserve"> of investigation procedures assigned [to the Police Investigations Directorate</w:t>
      </w:r>
      <w:r w:rsidR="004B7735" w:rsidRPr="001558A5">
        <w:rPr>
          <w:rFonts w:cs="Times New Roman"/>
          <w:szCs w:val="20"/>
          <w:lang w:val="en-US"/>
        </w:rPr>
        <w:t>]”</w:t>
      </w:r>
      <w:r w:rsidR="004B7735" w:rsidRPr="001558A5">
        <w:rPr>
          <w:rStyle w:val="Refdenotaalpie"/>
          <w:lang w:val="en-US"/>
        </w:rPr>
        <w:footnoteReference w:id="82"/>
      </w:r>
      <w:r w:rsidR="004A4A92" w:rsidRPr="001558A5">
        <w:rPr>
          <w:rFonts w:cs="Times New Roman"/>
          <w:szCs w:val="20"/>
          <w:lang w:val="en-US"/>
        </w:rPr>
        <w:t xml:space="preserve"> although it provided no details of their nature. The Court has no updated information on the status of the investigation</w:t>
      </w:r>
      <w:r w:rsidR="002645B0" w:rsidRPr="001558A5">
        <w:rPr>
          <w:rFonts w:cs="Times New Roman"/>
          <w:szCs w:val="20"/>
          <w:lang w:val="en-US"/>
        </w:rPr>
        <w:t>.</w:t>
      </w:r>
    </w:p>
    <w:p w14:paraId="021CAA59" w14:textId="6F921171" w:rsidR="00A72474" w:rsidRPr="001558A5" w:rsidRDefault="00A72474" w:rsidP="00945CE2">
      <w:pPr>
        <w:pStyle w:val="Ttulo1"/>
        <w:rPr>
          <w:lang w:val="en-US"/>
        </w:rPr>
      </w:pPr>
      <w:bookmarkStart w:id="79" w:name="_Toc73430049"/>
      <w:r w:rsidRPr="001558A5">
        <w:rPr>
          <w:lang w:val="en-US"/>
        </w:rPr>
        <w:t>VII</w:t>
      </w:r>
      <w:r w:rsidR="00437683" w:rsidRPr="001558A5">
        <w:rPr>
          <w:color w:val="FFFFFF" w:themeColor="background1"/>
          <w:lang w:val="en-US"/>
        </w:rPr>
        <w:t>.</w:t>
      </w:r>
      <w:r w:rsidRPr="001558A5">
        <w:rPr>
          <w:lang w:val="en-US"/>
        </w:rPr>
        <w:br/>
      </w:r>
      <w:r w:rsidR="00871E19" w:rsidRPr="001558A5">
        <w:rPr>
          <w:lang w:val="en-US"/>
        </w:rPr>
        <w:t>MERITS</w:t>
      </w:r>
      <w:bookmarkEnd w:id="72"/>
      <w:bookmarkEnd w:id="73"/>
      <w:bookmarkEnd w:id="79"/>
    </w:p>
    <w:p w14:paraId="783FBE47" w14:textId="10371976" w:rsidR="00A72474" w:rsidRPr="001558A5" w:rsidRDefault="004A4A92" w:rsidP="00945CE2">
      <w:pPr>
        <w:pStyle w:val="Prrafodelista"/>
        <w:numPr>
          <w:ilvl w:val="0"/>
          <w:numId w:val="2"/>
        </w:numPr>
        <w:spacing w:before="120" w:after="120"/>
        <w:ind w:left="0" w:firstLine="0"/>
        <w:contextualSpacing w:val="0"/>
        <w:rPr>
          <w:szCs w:val="20"/>
          <w:lang w:val="en-US"/>
        </w:rPr>
      </w:pPr>
      <w:r w:rsidRPr="001558A5">
        <w:rPr>
          <w:szCs w:val="20"/>
          <w:lang w:val="en-US"/>
        </w:rPr>
        <w:t xml:space="preserve">In the instant case, the Court must examine the scope of the State’s international responsibility due to the alleged violation of </w:t>
      </w:r>
      <w:r w:rsidR="005F48CF" w:rsidRPr="001558A5">
        <w:rPr>
          <w:szCs w:val="20"/>
          <w:lang w:val="en-US"/>
        </w:rPr>
        <w:t>various</w:t>
      </w:r>
      <w:r w:rsidRPr="001558A5">
        <w:rPr>
          <w:szCs w:val="20"/>
          <w:lang w:val="en-US"/>
        </w:rPr>
        <w:t xml:space="preserve"> rights recognized by the Convention in </w:t>
      </w:r>
      <w:r w:rsidR="00FF5813" w:rsidRPr="001558A5">
        <w:rPr>
          <w:szCs w:val="20"/>
          <w:lang w:val="en-US"/>
        </w:rPr>
        <w:t>connection with</w:t>
      </w:r>
      <w:r w:rsidRPr="001558A5">
        <w:rPr>
          <w:szCs w:val="20"/>
          <w:lang w:val="en-US"/>
        </w:rPr>
        <w:t xml:space="preserve"> the death of </w:t>
      </w:r>
      <w:r w:rsidR="00C65BD3" w:rsidRPr="001558A5">
        <w:rPr>
          <w:szCs w:val="20"/>
          <w:lang w:val="en-US"/>
        </w:rPr>
        <w:t>Vicky Hernández</w:t>
      </w:r>
      <w:r w:rsidR="007A4F23" w:rsidRPr="001558A5">
        <w:rPr>
          <w:szCs w:val="20"/>
          <w:lang w:val="en-US"/>
        </w:rPr>
        <w:t xml:space="preserve">. </w:t>
      </w:r>
      <w:r w:rsidRPr="001558A5">
        <w:rPr>
          <w:szCs w:val="20"/>
          <w:lang w:val="en-US"/>
        </w:rPr>
        <w:t>According to the a</w:t>
      </w:r>
      <w:r w:rsidR="00FF5813" w:rsidRPr="001558A5">
        <w:rPr>
          <w:szCs w:val="20"/>
          <w:lang w:val="en-US"/>
        </w:rPr>
        <w:t>llegations</w:t>
      </w:r>
      <w:r w:rsidRPr="001558A5">
        <w:rPr>
          <w:szCs w:val="20"/>
          <w:lang w:val="en-US"/>
        </w:rPr>
        <w:t xml:space="preserve">, this death occurred while a curfew was in force and, also, in a </w:t>
      </w:r>
      <w:r w:rsidR="00DD4354" w:rsidRPr="001558A5">
        <w:rPr>
          <w:szCs w:val="20"/>
          <w:lang w:val="en-US"/>
        </w:rPr>
        <w:t>context</w:t>
      </w:r>
      <w:r w:rsidR="006C04A5" w:rsidRPr="001558A5">
        <w:rPr>
          <w:szCs w:val="20"/>
          <w:lang w:val="en-US"/>
        </w:rPr>
        <w:t xml:space="preserve"> </w:t>
      </w:r>
      <w:r w:rsidR="00215FEF" w:rsidRPr="001558A5">
        <w:rPr>
          <w:szCs w:val="20"/>
          <w:lang w:val="en-US"/>
        </w:rPr>
        <w:t xml:space="preserve">of violence </w:t>
      </w:r>
      <w:r w:rsidR="009460CA" w:rsidRPr="001558A5">
        <w:rPr>
          <w:szCs w:val="20"/>
          <w:lang w:val="en-US"/>
        </w:rPr>
        <w:t>against the LGBTI community</w:t>
      </w:r>
      <w:r w:rsidR="00506221" w:rsidRPr="001558A5">
        <w:rPr>
          <w:szCs w:val="20"/>
          <w:lang w:val="en-US"/>
        </w:rPr>
        <w:t>.</w:t>
      </w:r>
      <w:r w:rsidR="007A4F23" w:rsidRPr="001558A5">
        <w:rPr>
          <w:rFonts w:eastAsia="Verdana" w:cs="Verdana"/>
          <w:szCs w:val="20"/>
          <w:lang w:val="en-US"/>
        </w:rPr>
        <w:t xml:space="preserve"> </w:t>
      </w:r>
      <w:r w:rsidRPr="001558A5">
        <w:rPr>
          <w:szCs w:val="20"/>
          <w:lang w:val="en-US"/>
        </w:rPr>
        <w:t>T</w:t>
      </w:r>
      <w:r w:rsidR="00871E19" w:rsidRPr="001558A5">
        <w:rPr>
          <w:szCs w:val="20"/>
          <w:lang w:val="en-US"/>
        </w:rPr>
        <w:t>he Court</w:t>
      </w:r>
      <w:r w:rsidR="00A72474" w:rsidRPr="001558A5">
        <w:rPr>
          <w:szCs w:val="20"/>
          <w:lang w:val="en-US"/>
        </w:rPr>
        <w:t xml:space="preserve"> </w:t>
      </w:r>
      <w:r w:rsidRPr="001558A5">
        <w:rPr>
          <w:szCs w:val="20"/>
          <w:lang w:val="en-US"/>
        </w:rPr>
        <w:t>wil</w:t>
      </w:r>
      <w:r w:rsidR="00FF5813" w:rsidRPr="001558A5">
        <w:rPr>
          <w:szCs w:val="20"/>
          <w:lang w:val="en-US"/>
        </w:rPr>
        <w:t>l</w:t>
      </w:r>
      <w:r w:rsidRPr="001558A5">
        <w:rPr>
          <w:szCs w:val="20"/>
          <w:lang w:val="en-US"/>
        </w:rPr>
        <w:t xml:space="preserve"> examine the arguments on the merits in the following order:</w:t>
      </w:r>
      <w:r w:rsidR="00A72474" w:rsidRPr="001558A5">
        <w:rPr>
          <w:szCs w:val="20"/>
          <w:lang w:val="en-US"/>
        </w:rPr>
        <w:t xml:space="preserve"> </w:t>
      </w:r>
      <w:r w:rsidRPr="001558A5">
        <w:rPr>
          <w:szCs w:val="20"/>
          <w:lang w:val="en-US"/>
        </w:rPr>
        <w:t>(</w:t>
      </w:r>
      <w:r w:rsidR="00E438E2" w:rsidRPr="001558A5">
        <w:rPr>
          <w:szCs w:val="20"/>
          <w:lang w:val="en-US"/>
        </w:rPr>
        <w:t xml:space="preserve">a) </w:t>
      </w:r>
      <w:r w:rsidRPr="001558A5">
        <w:rPr>
          <w:szCs w:val="20"/>
          <w:lang w:val="en-US"/>
        </w:rPr>
        <w:t>general considerations on the right to equality and non-discrimination; (</w:t>
      </w:r>
      <w:r w:rsidR="00E438E2" w:rsidRPr="001558A5">
        <w:rPr>
          <w:szCs w:val="20"/>
          <w:lang w:val="en-US"/>
        </w:rPr>
        <w:t>b</w:t>
      </w:r>
      <w:r w:rsidR="00A72474" w:rsidRPr="001558A5">
        <w:rPr>
          <w:szCs w:val="20"/>
          <w:lang w:val="en-US"/>
        </w:rPr>
        <w:t xml:space="preserve">) </w:t>
      </w:r>
      <w:r w:rsidRPr="001558A5">
        <w:rPr>
          <w:szCs w:val="20"/>
          <w:lang w:val="en-US"/>
        </w:rPr>
        <w:t>rights to</w:t>
      </w:r>
      <w:r w:rsidR="008C0FBB" w:rsidRPr="001558A5">
        <w:rPr>
          <w:szCs w:val="20"/>
          <w:lang w:val="en-US"/>
        </w:rPr>
        <w:t xml:space="preserve"> </w:t>
      </w:r>
      <w:r w:rsidR="00907FBD" w:rsidRPr="001558A5">
        <w:rPr>
          <w:szCs w:val="20"/>
          <w:lang w:val="en-US"/>
        </w:rPr>
        <w:t>recognition of juridical personality</w:t>
      </w:r>
      <w:r w:rsidR="008C0FBB" w:rsidRPr="001558A5">
        <w:rPr>
          <w:szCs w:val="20"/>
          <w:lang w:val="en-US"/>
        </w:rPr>
        <w:t xml:space="preserve">, </w:t>
      </w:r>
      <w:r w:rsidRPr="001558A5">
        <w:rPr>
          <w:szCs w:val="20"/>
          <w:lang w:val="en-US"/>
        </w:rPr>
        <w:t>life</w:t>
      </w:r>
      <w:r w:rsidR="00480289" w:rsidRPr="001558A5">
        <w:rPr>
          <w:szCs w:val="20"/>
          <w:lang w:val="en-US"/>
        </w:rPr>
        <w:t>,</w:t>
      </w:r>
      <w:r w:rsidR="008C0FBB" w:rsidRPr="001558A5">
        <w:rPr>
          <w:szCs w:val="20"/>
          <w:lang w:val="en-US"/>
        </w:rPr>
        <w:t xml:space="preserve"> </w:t>
      </w:r>
      <w:r w:rsidR="00B732DD" w:rsidRPr="001558A5">
        <w:rPr>
          <w:szCs w:val="20"/>
          <w:lang w:val="en-US"/>
        </w:rPr>
        <w:t>personal integrity</w:t>
      </w:r>
      <w:r w:rsidR="00480289" w:rsidRPr="001558A5">
        <w:rPr>
          <w:szCs w:val="20"/>
          <w:lang w:val="en-US"/>
        </w:rPr>
        <w:t xml:space="preserve">, </w:t>
      </w:r>
      <w:r w:rsidRPr="001558A5">
        <w:rPr>
          <w:szCs w:val="20"/>
          <w:lang w:val="en-US"/>
        </w:rPr>
        <w:t>personal liberty</w:t>
      </w:r>
      <w:r w:rsidR="00C579CE" w:rsidRPr="001558A5">
        <w:rPr>
          <w:szCs w:val="20"/>
          <w:lang w:val="en-US"/>
        </w:rPr>
        <w:t xml:space="preserve">, </w:t>
      </w:r>
      <w:r w:rsidR="00B732DD" w:rsidRPr="001558A5">
        <w:rPr>
          <w:szCs w:val="20"/>
          <w:lang w:val="en-US"/>
        </w:rPr>
        <w:t>judicial guarantees</w:t>
      </w:r>
      <w:r w:rsidR="008C0FBB" w:rsidRPr="001558A5">
        <w:rPr>
          <w:szCs w:val="20"/>
          <w:lang w:val="en-US"/>
        </w:rPr>
        <w:t xml:space="preserve">, </w:t>
      </w:r>
      <w:r w:rsidRPr="001558A5">
        <w:rPr>
          <w:szCs w:val="20"/>
          <w:lang w:val="en-US"/>
        </w:rPr>
        <w:t xml:space="preserve">privacy, </w:t>
      </w:r>
      <w:r w:rsidR="00B732DD" w:rsidRPr="001558A5">
        <w:rPr>
          <w:szCs w:val="20"/>
          <w:lang w:val="en-US"/>
        </w:rPr>
        <w:t>freedom of expression</w:t>
      </w:r>
      <w:r w:rsidR="00CA4574" w:rsidRPr="001558A5">
        <w:rPr>
          <w:szCs w:val="20"/>
          <w:lang w:val="en-US"/>
        </w:rPr>
        <w:t>,</w:t>
      </w:r>
      <w:r w:rsidRPr="001558A5">
        <w:rPr>
          <w:szCs w:val="20"/>
          <w:lang w:val="en-US"/>
        </w:rPr>
        <w:t xml:space="preserve"> a name, </w:t>
      </w:r>
      <w:r w:rsidR="00B732DD" w:rsidRPr="001558A5">
        <w:rPr>
          <w:szCs w:val="20"/>
          <w:lang w:val="en-US"/>
        </w:rPr>
        <w:t>equality and non-discrimination</w:t>
      </w:r>
      <w:r w:rsidR="00E4595C" w:rsidRPr="001558A5">
        <w:rPr>
          <w:szCs w:val="20"/>
          <w:lang w:val="en-US"/>
        </w:rPr>
        <w:t xml:space="preserve">, </w:t>
      </w:r>
      <w:r w:rsidR="00B732DD" w:rsidRPr="001558A5">
        <w:rPr>
          <w:szCs w:val="20"/>
          <w:lang w:val="en-US"/>
        </w:rPr>
        <w:t>judicial protection</w:t>
      </w:r>
      <w:r w:rsidR="00DD4354" w:rsidRPr="001558A5">
        <w:rPr>
          <w:szCs w:val="20"/>
          <w:lang w:val="en-US"/>
        </w:rPr>
        <w:t xml:space="preserve"> and </w:t>
      </w:r>
      <w:r w:rsidR="0051714B" w:rsidRPr="001558A5">
        <w:rPr>
          <w:szCs w:val="20"/>
          <w:lang w:val="en-US"/>
        </w:rPr>
        <w:t xml:space="preserve">a </w:t>
      </w:r>
      <w:r w:rsidRPr="001558A5">
        <w:rPr>
          <w:szCs w:val="20"/>
          <w:lang w:val="en-US"/>
        </w:rPr>
        <w:t xml:space="preserve">life free of violence, </w:t>
      </w:r>
      <w:r w:rsidR="00DD4354" w:rsidRPr="001558A5">
        <w:rPr>
          <w:szCs w:val="20"/>
          <w:lang w:val="en-US"/>
        </w:rPr>
        <w:t xml:space="preserve">and </w:t>
      </w:r>
      <w:r w:rsidRPr="001558A5">
        <w:rPr>
          <w:szCs w:val="20"/>
          <w:lang w:val="en-US"/>
        </w:rPr>
        <w:t>(</w:t>
      </w:r>
      <w:r w:rsidR="00CA4574" w:rsidRPr="001558A5">
        <w:rPr>
          <w:szCs w:val="20"/>
          <w:lang w:val="en-US"/>
        </w:rPr>
        <w:t>c</w:t>
      </w:r>
      <w:r w:rsidR="00EF6804" w:rsidRPr="001558A5">
        <w:rPr>
          <w:szCs w:val="20"/>
          <w:lang w:val="en-US"/>
        </w:rPr>
        <w:t xml:space="preserve">) </w:t>
      </w:r>
      <w:r w:rsidRPr="001558A5">
        <w:rPr>
          <w:szCs w:val="20"/>
          <w:lang w:val="en-US"/>
        </w:rPr>
        <w:t>right to</w:t>
      </w:r>
      <w:r w:rsidR="00EF6804" w:rsidRPr="001558A5">
        <w:rPr>
          <w:szCs w:val="20"/>
          <w:lang w:val="en-US"/>
        </w:rPr>
        <w:t xml:space="preserve"> </w:t>
      </w:r>
      <w:r w:rsidR="00B732DD" w:rsidRPr="001558A5">
        <w:rPr>
          <w:szCs w:val="20"/>
          <w:lang w:val="en-US"/>
        </w:rPr>
        <w:t>personal integrity</w:t>
      </w:r>
      <w:r w:rsidR="00EF6804" w:rsidRPr="001558A5">
        <w:rPr>
          <w:szCs w:val="20"/>
          <w:lang w:val="en-US"/>
        </w:rPr>
        <w:t xml:space="preserve"> </w:t>
      </w:r>
      <w:r w:rsidRPr="001558A5">
        <w:rPr>
          <w:szCs w:val="20"/>
          <w:lang w:val="en-US"/>
        </w:rPr>
        <w:t>of</w:t>
      </w:r>
      <w:r w:rsidR="00EF6804" w:rsidRPr="001558A5">
        <w:rPr>
          <w:szCs w:val="20"/>
          <w:lang w:val="en-US"/>
        </w:rPr>
        <w:t xml:space="preserve"> Vicky Hernández</w:t>
      </w:r>
      <w:r w:rsidRPr="001558A5">
        <w:rPr>
          <w:szCs w:val="20"/>
          <w:lang w:val="en-US"/>
        </w:rPr>
        <w:t>’s family</w:t>
      </w:r>
      <w:r w:rsidR="00480289" w:rsidRPr="001558A5">
        <w:rPr>
          <w:szCs w:val="20"/>
          <w:lang w:val="en-US"/>
        </w:rPr>
        <w:t>.</w:t>
      </w:r>
    </w:p>
    <w:p w14:paraId="012D384C" w14:textId="07947ED8" w:rsidR="004243F9" w:rsidRPr="001558A5" w:rsidRDefault="004243F9" w:rsidP="004A4A92">
      <w:pPr>
        <w:pStyle w:val="Ttulo1"/>
        <w:rPr>
          <w:lang w:val="en-US"/>
        </w:rPr>
      </w:pPr>
      <w:bookmarkStart w:id="80" w:name="_Toc36823472"/>
      <w:bookmarkStart w:id="81" w:name="_Toc73430050"/>
      <w:r w:rsidRPr="001558A5">
        <w:rPr>
          <w:lang w:val="en-US"/>
        </w:rPr>
        <w:t>VII</w:t>
      </w:r>
      <w:r w:rsidR="00E438E2" w:rsidRPr="001558A5">
        <w:rPr>
          <w:lang w:val="en-US"/>
        </w:rPr>
        <w:t>.</w:t>
      </w:r>
      <w:r w:rsidRPr="001558A5">
        <w:rPr>
          <w:lang w:val="en-US"/>
        </w:rPr>
        <w:t>1</w:t>
      </w:r>
      <w:r w:rsidR="00E438E2" w:rsidRPr="001558A5">
        <w:rPr>
          <w:color w:val="FFFFFF" w:themeColor="background1"/>
          <w:lang w:val="en-US"/>
        </w:rPr>
        <w:t>.</w:t>
      </w:r>
      <w:r w:rsidRPr="001558A5">
        <w:rPr>
          <w:lang w:val="en-US"/>
        </w:rPr>
        <w:br/>
      </w:r>
      <w:r w:rsidR="004A4A92" w:rsidRPr="001558A5">
        <w:rPr>
          <w:lang w:val="en-US"/>
        </w:rPr>
        <w:t>general considerations on the right to equality</w:t>
      </w:r>
      <w:r w:rsidR="004A4A92" w:rsidRPr="001558A5">
        <w:rPr>
          <w:rStyle w:val="Refdenotaalpie"/>
          <w:lang w:val="en-US"/>
        </w:rPr>
        <w:footnoteReference w:id="83"/>
      </w:r>
      <w:r w:rsidR="004A4A92" w:rsidRPr="001558A5">
        <w:rPr>
          <w:lang w:val="en-US"/>
        </w:rPr>
        <w:t xml:space="preserve"> and non-discrimination</w:t>
      </w:r>
      <w:bookmarkStart w:id="82" w:name="_Toc36823473"/>
      <w:bookmarkEnd w:id="80"/>
      <w:r w:rsidRPr="001558A5">
        <w:rPr>
          <w:rStyle w:val="Refdenotaalpie"/>
          <w:lang w:val="en-US"/>
        </w:rPr>
        <w:footnoteReference w:id="84"/>
      </w:r>
      <w:bookmarkEnd w:id="81"/>
      <w:bookmarkEnd w:id="82"/>
      <w:r w:rsidRPr="001558A5">
        <w:rPr>
          <w:lang w:val="en-US"/>
        </w:rPr>
        <w:t xml:space="preserve"> </w:t>
      </w:r>
    </w:p>
    <w:p w14:paraId="7E598132" w14:textId="50139B38" w:rsidR="00B96431" w:rsidRPr="001558A5" w:rsidRDefault="00DD4354" w:rsidP="00945CE2">
      <w:pPr>
        <w:pStyle w:val="Ttulo2"/>
        <w:numPr>
          <w:ilvl w:val="0"/>
          <w:numId w:val="24"/>
        </w:numPr>
        <w:spacing w:before="240" w:after="240"/>
        <w:rPr>
          <w:rFonts w:ascii="Verdana" w:hAnsi="Verdana"/>
          <w:i/>
          <w:color w:val="auto"/>
          <w:sz w:val="20"/>
          <w:szCs w:val="20"/>
          <w:lang w:val="en-US"/>
        </w:rPr>
      </w:pPr>
      <w:bookmarkStart w:id="83" w:name="_Toc36823474"/>
      <w:bookmarkStart w:id="84" w:name="_Toc73430051"/>
      <w:r w:rsidRPr="001558A5">
        <w:rPr>
          <w:rFonts w:ascii="Verdana" w:hAnsi="Verdana"/>
          <w:i/>
          <w:color w:val="auto"/>
          <w:sz w:val="20"/>
          <w:szCs w:val="20"/>
          <w:lang w:val="en-US"/>
        </w:rPr>
        <w:t>Arguments of the parties and</w:t>
      </w:r>
      <w:r w:rsidR="00B96431" w:rsidRPr="001558A5">
        <w:rPr>
          <w:rFonts w:ascii="Verdana" w:hAnsi="Verdana"/>
          <w:i/>
          <w:color w:val="auto"/>
          <w:sz w:val="20"/>
          <w:szCs w:val="20"/>
          <w:lang w:val="en-US"/>
        </w:rPr>
        <w:t xml:space="preserve"> </w:t>
      </w:r>
      <w:r w:rsidR="00871E19" w:rsidRPr="001558A5">
        <w:rPr>
          <w:rFonts w:ascii="Verdana" w:hAnsi="Verdana"/>
          <w:i/>
          <w:color w:val="auto"/>
          <w:sz w:val="20"/>
          <w:szCs w:val="20"/>
          <w:lang w:val="en-US"/>
        </w:rPr>
        <w:t>the Commission</w:t>
      </w:r>
      <w:bookmarkEnd w:id="83"/>
      <w:bookmarkEnd w:id="84"/>
    </w:p>
    <w:p w14:paraId="1D3C862F" w14:textId="27B80A40" w:rsidR="00C147D4" w:rsidRPr="001558A5" w:rsidRDefault="00871E19" w:rsidP="00334678">
      <w:pPr>
        <w:pStyle w:val="Prrafodelista"/>
        <w:numPr>
          <w:ilvl w:val="0"/>
          <w:numId w:val="2"/>
        </w:numPr>
        <w:spacing w:before="120" w:after="120"/>
        <w:ind w:left="0" w:firstLine="0"/>
        <w:contextualSpacing w:val="0"/>
        <w:rPr>
          <w:bCs/>
          <w:lang w:val="en-US"/>
        </w:rPr>
      </w:pPr>
      <w:r w:rsidRPr="001558A5">
        <w:rPr>
          <w:rFonts w:eastAsia="Calibri" w:cs="Times New Roman"/>
          <w:bCs/>
          <w:lang w:val="en-US"/>
        </w:rPr>
        <w:t xml:space="preserve">The </w:t>
      </w:r>
      <w:r w:rsidRPr="001558A5">
        <w:rPr>
          <w:rFonts w:eastAsia="Calibri" w:cs="Times New Roman"/>
          <w:b/>
          <w:i/>
          <w:iCs/>
          <w:lang w:val="en-US"/>
        </w:rPr>
        <w:t>Commission</w:t>
      </w:r>
      <w:r w:rsidR="00B96431" w:rsidRPr="001558A5">
        <w:rPr>
          <w:rFonts w:eastAsia="Calibri" w:cs="Times New Roman"/>
          <w:bCs/>
          <w:lang w:val="en-US"/>
        </w:rPr>
        <w:t xml:space="preserve"> </w:t>
      </w:r>
      <w:r w:rsidR="00334678" w:rsidRPr="001558A5">
        <w:rPr>
          <w:rFonts w:eastAsia="Calibri" w:cs="Times New Roman"/>
          <w:bCs/>
          <w:lang w:val="en-US"/>
        </w:rPr>
        <w:t>argued</w:t>
      </w:r>
      <w:r w:rsidR="004A4A92" w:rsidRPr="001558A5">
        <w:rPr>
          <w:rFonts w:eastAsia="Calibri" w:cs="Times New Roman"/>
          <w:bCs/>
          <w:lang w:val="en-US"/>
        </w:rPr>
        <w:t xml:space="preserve"> that what happened to </w:t>
      </w:r>
      <w:r w:rsidR="00C147D4" w:rsidRPr="001558A5">
        <w:rPr>
          <w:rFonts w:eastAsia="Calibri" w:cs="Times New Roman"/>
          <w:bCs/>
          <w:lang w:val="en-US"/>
        </w:rPr>
        <w:t>Vicky Hernández</w:t>
      </w:r>
      <w:r w:rsidR="00B96431" w:rsidRPr="001558A5">
        <w:rPr>
          <w:rFonts w:eastAsia="Calibri" w:cs="Times New Roman"/>
          <w:b/>
          <w:bCs/>
          <w:lang w:val="en-US"/>
        </w:rPr>
        <w:t xml:space="preserve"> </w:t>
      </w:r>
      <w:r w:rsidR="00C147D4" w:rsidRPr="001558A5">
        <w:rPr>
          <w:rFonts w:eastAsia="Calibri" w:cs="Times New Roman"/>
          <w:lang w:val="en-US"/>
        </w:rPr>
        <w:t>c</w:t>
      </w:r>
      <w:r w:rsidR="00FF5813" w:rsidRPr="001558A5">
        <w:rPr>
          <w:rFonts w:eastAsia="Calibri" w:cs="Times New Roman"/>
          <w:lang w:val="en-US"/>
        </w:rPr>
        <w:t xml:space="preserve">ould be characterized as a murder based on prejudice </w:t>
      </w:r>
      <w:r w:rsidR="00B8081D" w:rsidRPr="001558A5">
        <w:rPr>
          <w:rFonts w:eastAsia="Calibri" w:cs="Times New Roman"/>
          <w:lang w:val="en-US"/>
        </w:rPr>
        <w:t xml:space="preserve">against </w:t>
      </w:r>
      <w:r w:rsidR="00334678" w:rsidRPr="001558A5">
        <w:rPr>
          <w:rFonts w:eastAsia="Calibri" w:cs="Times New Roman"/>
          <w:lang w:val="en-US"/>
        </w:rPr>
        <w:t>her gender identity and expression</w:t>
      </w:r>
      <w:r w:rsidR="00C147D4" w:rsidRPr="001558A5">
        <w:rPr>
          <w:rFonts w:eastAsia="Calibri" w:cs="Times New Roman"/>
          <w:lang w:val="en-US"/>
        </w:rPr>
        <w:t>. I</w:t>
      </w:r>
      <w:r w:rsidR="00334678" w:rsidRPr="001558A5">
        <w:rPr>
          <w:rFonts w:eastAsia="Calibri" w:cs="Times New Roman"/>
          <w:lang w:val="en-US"/>
        </w:rPr>
        <w:t xml:space="preserve">t indicated that this form of violence </w:t>
      </w:r>
      <w:r w:rsidR="00FF5813" w:rsidRPr="001558A5">
        <w:rPr>
          <w:rFonts w:eastAsia="Calibri" w:cs="Times New Roman"/>
          <w:lang w:val="en-US"/>
        </w:rPr>
        <w:t>was driven by</w:t>
      </w:r>
      <w:r w:rsidR="00B8081D" w:rsidRPr="001558A5">
        <w:rPr>
          <w:rFonts w:eastAsia="Calibri" w:cs="Times New Roman"/>
          <w:lang w:val="en-US"/>
        </w:rPr>
        <w:t xml:space="preserve"> perpetrator’s</w:t>
      </w:r>
      <w:r w:rsidR="00FF5813" w:rsidRPr="001558A5">
        <w:rPr>
          <w:rFonts w:eastAsia="Calibri" w:cs="Times New Roman"/>
          <w:lang w:val="en-US"/>
        </w:rPr>
        <w:t xml:space="preserve"> the</w:t>
      </w:r>
      <w:r w:rsidR="00334678" w:rsidRPr="001558A5">
        <w:rPr>
          <w:rFonts w:eastAsia="Calibri" w:cs="Times New Roman"/>
          <w:lang w:val="en-US"/>
        </w:rPr>
        <w:t xml:space="preserve"> prejudice-based desire “to punish” identities, expressions or bodies that differ</w:t>
      </w:r>
      <w:r w:rsidR="00FF5813" w:rsidRPr="001558A5">
        <w:rPr>
          <w:rFonts w:eastAsia="Calibri" w:cs="Times New Roman"/>
          <w:lang w:val="en-US"/>
        </w:rPr>
        <w:t>ed</w:t>
      </w:r>
      <w:r w:rsidR="00334678" w:rsidRPr="001558A5">
        <w:rPr>
          <w:rFonts w:eastAsia="Calibri" w:cs="Times New Roman"/>
          <w:lang w:val="en-US"/>
        </w:rPr>
        <w:t xml:space="preserve"> from traditional gender models and roles, or </w:t>
      </w:r>
      <w:r w:rsidR="00B8081D" w:rsidRPr="001558A5">
        <w:rPr>
          <w:rFonts w:eastAsia="Calibri" w:cs="Times New Roman"/>
          <w:lang w:val="en-US"/>
        </w:rPr>
        <w:t>were</w:t>
      </w:r>
      <w:r w:rsidR="00334678" w:rsidRPr="001558A5">
        <w:rPr>
          <w:rFonts w:eastAsia="Calibri" w:cs="Times New Roman"/>
          <w:lang w:val="en-US"/>
        </w:rPr>
        <w:t xml:space="preserve"> contrary to a binary system. It added that the murder of</w:t>
      </w:r>
      <w:r w:rsidR="004C6305" w:rsidRPr="001558A5">
        <w:rPr>
          <w:bCs/>
          <w:lang w:val="en-US"/>
        </w:rPr>
        <w:t xml:space="preserve"> Vicky Hernández</w:t>
      </w:r>
      <w:r w:rsidR="00DD4354" w:rsidRPr="001558A5">
        <w:rPr>
          <w:bCs/>
          <w:lang w:val="en-US"/>
        </w:rPr>
        <w:t xml:space="preserve"> and </w:t>
      </w:r>
      <w:r w:rsidR="00334678" w:rsidRPr="001558A5">
        <w:rPr>
          <w:bCs/>
          <w:lang w:val="en-US"/>
        </w:rPr>
        <w:t>the circumstances surrounding it</w:t>
      </w:r>
      <w:r w:rsidR="00B8081D" w:rsidRPr="001558A5">
        <w:rPr>
          <w:bCs/>
          <w:lang w:val="en-US"/>
        </w:rPr>
        <w:t xml:space="preserve"> were characteristic of this type of hate crime</w:t>
      </w:r>
      <w:r w:rsidR="00334678" w:rsidRPr="001558A5">
        <w:rPr>
          <w:bCs/>
          <w:lang w:val="en-US"/>
        </w:rPr>
        <w:t>. T</w:t>
      </w:r>
      <w:r w:rsidRPr="001558A5">
        <w:rPr>
          <w:bCs/>
          <w:lang w:val="en-US"/>
        </w:rPr>
        <w:t>he Commission</w:t>
      </w:r>
      <w:r w:rsidR="00362275" w:rsidRPr="001558A5">
        <w:rPr>
          <w:bCs/>
          <w:lang w:val="en-US"/>
        </w:rPr>
        <w:t xml:space="preserve"> </w:t>
      </w:r>
      <w:r w:rsidR="00334678" w:rsidRPr="001558A5">
        <w:rPr>
          <w:bCs/>
          <w:lang w:val="en-US"/>
        </w:rPr>
        <w:t xml:space="preserve">also referred to the prejudices that existed within the organs and authorities responsible for </w:t>
      </w:r>
      <w:r w:rsidR="00B8081D" w:rsidRPr="001558A5">
        <w:rPr>
          <w:bCs/>
          <w:lang w:val="en-US"/>
        </w:rPr>
        <w:t>investigating</w:t>
      </w:r>
      <w:r w:rsidR="00334678" w:rsidRPr="001558A5">
        <w:rPr>
          <w:bCs/>
          <w:lang w:val="en-US"/>
        </w:rPr>
        <w:t xml:space="preserve"> the death of </w:t>
      </w:r>
      <w:r w:rsidR="00362275" w:rsidRPr="001558A5">
        <w:rPr>
          <w:bCs/>
          <w:lang w:val="en-US"/>
        </w:rPr>
        <w:t>Vicky Hernández.</w:t>
      </w:r>
    </w:p>
    <w:p w14:paraId="3593BEA1" w14:textId="51E340C7" w:rsidR="00486817" w:rsidRPr="001558A5" w:rsidRDefault="00DD4354" w:rsidP="00945CE2">
      <w:pPr>
        <w:pStyle w:val="Prrafodelista"/>
        <w:numPr>
          <w:ilvl w:val="0"/>
          <w:numId w:val="2"/>
        </w:numPr>
        <w:spacing w:before="120" w:after="120"/>
        <w:ind w:left="0" w:firstLine="0"/>
        <w:contextualSpacing w:val="0"/>
        <w:rPr>
          <w:szCs w:val="20"/>
          <w:lang w:val="en-US"/>
        </w:rPr>
      </w:pPr>
      <w:r w:rsidRPr="001558A5">
        <w:rPr>
          <w:lang w:val="en-US"/>
        </w:rPr>
        <w:t xml:space="preserve">The </w:t>
      </w:r>
      <w:r w:rsidRPr="001558A5">
        <w:rPr>
          <w:b/>
          <w:bCs/>
          <w:i/>
          <w:iCs/>
          <w:lang w:val="en-US"/>
        </w:rPr>
        <w:t>representatives</w:t>
      </w:r>
      <w:r w:rsidR="00B96431" w:rsidRPr="001558A5">
        <w:rPr>
          <w:lang w:val="en-US"/>
        </w:rPr>
        <w:t xml:space="preserve"> </w:t>
      </w:r>
      <w:r w:rsidR="00334678" w:rsidRPr="001558A5">
        <w:rPr>
          <w:lang w:val="en-US"/>
        </w:rPr>
        <w:t>argued that, because she had exercised her right to express her</w:t>
      </w:r>
      <w:r w:rsidR="00B96431" w:rsidRPr="001558A5">
        <w:rPr>
          <w:lang w:val="en-US"/>
        </w:rPr>
        <w:t xml:space="preserve"> </w:t>
      </w:r>
      <w:r w:rsidR="00DF7573" w:rsidRPr="001558A5">
        <w:rPr>
          <w:szCs w:val="20"/>
          <w:lang w:val="en-US"/>
        </w:rPr>
        <w:t>gender identity</w:t>
      </w:r>
      <w:r w:rsidR="009E3A41" w:rsidRPr="001558A5">
        <w:rPr>
          <w:szCs w:val="20"/>
          <w:lang w:val="en-US"/>
        </w:rPr>
        <w:t>, Vicky Hernández</w:t>
      </w:r>
      <w:r w:rsidR="00334678" w:rsidRPr="001558A5">
        <w:rPr>
          <w:szCs w:val="20"/>
          <w:lang w:val="en-US"/>
        </w:rPr>
        <w:t xml:space="preserve"> had been arbitrarily deprived of her life. They added that </w:t>
      </w:r>
      <w:r w:rsidR="00486817" w:rsidRPr="001558A5">
        <w:rPr>
          <w:szCs w:val="20"/>
          <w:lang w:val="en-US"/>
        </w:rPr>
        <w:t xml:space="preserve">the actions of the Honduran authorities during the investigation into the case of the </w:t>
      </w:r>
      <w:proofErr w:type="spellStart"/>
      <w:r w:rsidR="004F4F9C" w:rsidRPr="001558A5">
        <w:rPr>
          <w:rFonts w:eastAsia="Calibri" w:cs="Arial"/>
          <w:szCs w:val="20"/>
          <w:lang w:val="en-US" w:eastAsia="es-CR"/>
        </w:rPr>
        <w:t>transfemicide</w:t>
      </w:r>
      <w:proofErr w:type="spellEnd"/>
      <w:r w:rsidR="009E3A41" w:rsidRPr="001558A5">
        <w:rPr>
          <w:rFonts w:eastAsia="Calibri" w:cs="Arial"/>
          <w:szCs w:val="20"/>
          <w:lang w:val="en-US" w:eastAsia="es-CR"/>
        </w:rPr>
        <w:t xml:space="preserve"> </w:t>
      </w:r>
      <w:r w:rsidR="00486817" w:rsidRPr="001558A5">
        <w:rPr>
          <w:rFonts w:eastAsia="Calibri" w:cs="Arial"/>
          <w:szCs w:val="20"/>
          <w:lang w:val="en-US" w:eastAsia="es-CR"/>
        </w:rPr>
        <w:t xml:space="preserve">of </w:t>
      </w:r>
      <w:r w:rsidR="009E3A41" w:rsidRPr="001558A5">
        <w:rPr>
          <w:rFonts w:eastAsia="Calibri" w:cs="Arial"/>
          <w:szCs w:val="20"/>
          <w:lang w:val="en-US" w:eastAsia="es-CR"/>
        </w:rPr>
        <w:t xml:space="preserve">Vicky Hernández </w:t>
      </w:r>
      <w:r w:rsidR="00486817" w:rsidRPr="001558A5">
        <w:rPr>
          <w:rFonts w:eastAsia="Calibri" w:cs="Arial"/>
          <w:szCs w:val="20"/>
          <w:lang w:val="en-US" w:eastAsia="es-CR"/>
        </w:rPr>
        <w:t>plainly reveal</w:t>
      </w:r>
      <w:r w:rsidR="00B8081D" w:rsidRPr="001558A5">
        <w:rPr>
          <w:rFonts w:eastAsia="Calibri" w:cs="Arial"/>
          <w:szCs w:val="20"/>
          <w:lang w:val="en-US" w:eastAsia="es-CR"/>
        </w:rPr>
        <w:t>ed</w:t>
      </w:r>
      <w:r w:rsidR="00486817" w:rsidRPr="001558A5">
        <w:rPr>
          <w:rFonts w:eastAsia="Calibri" w:cs="Arial"/>
          <w:szCs w:val="20"/>
          <w:lang w:val="en-US" w:eastAsia="es-CR"/>
        </w:rPr>
        <w:t xml:space="preserve"> prejudice and </w:t>
      </w:r>
      <w:r w:rsidR="00B8081D" w:rsidRPr="001558A5">
        <w:rPr>
          <w:rFonts w:eastAsia="Calibri" w:cs="Arial"/>
          <w:szCs w:val="20"/>
          <w:lang w:val="en-US" w:eastAsia="es-CR"/>
        </w:rPr>
        <w:t>evident</w:t>
      </w:r>
      <w:r w:rsidR="00486817" w:rsidRPr="001558A5">
        <w:rPr>
          <w:rFonts w:eastAsia="Calibri" w:cs="Arial"/>
          <w:szCs w:val="20"/>
          <w:lang w:val="en-US" w:eastAsia="es-CR"/>
        </w:rPr>
        <w:t xml:space="preserve"> bias against trans people in general, and against </w:t>
      </w:r>
      <w:r w:rsidR="009E3A41" w:rsidRPr="001558A5">
        <w:rPr>
          <w:rFonts w:eastAsia="Calibri" w:cs="Arial"/>
          <w:szCs w:val="20"/>
          <w:lang w:val="en-US" w:eastAsia="es-CR"/>
        </w:rPr>
        <w:t xml:space="preserve">Vicky Hernández </w:t>
      </w:r>
      <w:r w:rsidR="00486817" w:rsidRPr="001558A5">
        <w:rPr>
          <w:rFonts w:eastAsia="Calibri" w:cs="Arial"/>
          <w:szCs w:val="20"/>
          <w:lang w:val="en-US" w:eastAsia="es-CR"/>
        </w:rPr>
        <w:t xml:space="preserve">specifically. They indicated that the authorities based themselves on this prejudice to neglect and abandon the investigation, intentionally using the masculine name that did not reflect her </w:t>
      </w:r>
      <w:r w:rsidR="00DF7573" w:rsidRPr="001558A5">
        <w:rPr>
          <w:rFonts w:eastAsia="Calibri" w:cs="Arial"/>
          <w:szCs w:val="20"/>
          <w:lang w:val="en-US" w:eastAsia="es-CR"/>
        </w:rPr>
        <w:t>gender identity</w:t>
      </w:r>
      <w:r w:rsidRPr="001558A5">
        <w:rPr>
          <w:rFonts w:eastAsia="Calibri" w:cs="Arial"/>
          <w:szCs w:val="20"/>
          <w:lang w:val="en-US" w:eastAsia="es-CR"/>
        </w:rPr>
        <w:t xml:space="preserve"> and </w:t>
      </w:r>
      <w:r w:rsidR="00486817" w:rsidRPr="001558A5">
        <w:rPr>
          <w:rFonts w:eastAsia="Calibri" w:cs="Arial"/>
          <w:szCs w:val="20"/>
          <w:lang w:val="en-US" w:eastAsia="es-CR"/>
        </w:rPr>
        <w:t xml:space="preserve">failed to apply the </w:t>
      </w:r>
      <w:r w:rsidR="00B3320F" w:rsidRPr="001558A5">
        <w:rPr>
          <w:rFonts w:eastAsia="Calibri" w:cs="Arial"/>
          <w:szCs w:val="20"/>
          <w:lang w:val="en-US" w:eastAsia="es-CR"/>
        </w:rPr>
        <w:t>due diligence</w:t>
      </w:r>
      <w:r w:rsidR="00E63AFB" w:rsidRPr="001558A5">
        <w:rPr>
          <w:rFonts w:eastAsia="Calibri" w:cs="Arial"/>
          <w:szCs w:val="20"/>
          <w:lang w:val="en-US" w:eastAsia="es-CR"/>
        </w:rPr>
        <w:t xml:space="preserve"> </w:t>
      </w:r>
      <w:r w:rsidR="00B8081D" w:rsidRPr="001558A5">
        <w:rPr>
          <w:rFonts w:eastAsia="Calibri" w:cs="Arial"/>
          <w:szCs w:val="20"/>
          <w:lang w:val="en-US" w:eastAsia="es-CR"/>
        </w:rPr>
        <w:t xml:space="preserve">required by </w:t>
      </w:r>
      <w:r w:rsidR="00486817" w:rsidRPr="001558A5">
        <w:rPr>
          <w:rFonts w:eastAsia="Calibri" w:cs="Arial"/>
          <w:szCs w:val="20"/>
          <w:lang w:val="en-US" w:eastAsia="es-CR"/>
        </w:rPr>
        <w:t>their own laws. The representatives argued that the fact of applying a distinction between</w:t>
      </w:r>
      <w:r w:rsidR="00E63AFB" w:rsidRPr="001558A5">
        <w:rPr>
          <w:rFonts w:eastAsia="Calibri" w:cs="Arial"/>
          <w:szCs w:val="20"/>
          <w:lang w:val="en-US" w:eastAsia="es-CR"/>
        </w:rPr>
        <w:t xml:space="preserve"> Vicky</w:t>
      </w:r>
      <w:r w:rsidRPr="001558A5">
        <w:rPr>
          <w:rFonts w:eastAsia="Calibri" w:cs="Arial"/>
          <w:szCs w:val="20"/>
          <w:lang w:val="en-US" w:eastAsia="es-CR"/>
        </w:rPr>
        <w:t xml:space="preserve"> and </w:t>
      </w:r>
      <w:r w:rsidR="00486817" w:rsidRPr="001558A5">
        <w:rPr>
          <w:rFonts w:eastAsia="Calibri" w:cs="Arial"/>
          <w:szCs w:val="20"/>
          <w:lang w:val="en-US" w:eastAsia="es-CR"/>
        </w:rPr>
        <w:t>another person in the same situation, based solely on her</w:t>
      </w:r>
      <w:r w:rsidR="00E63AFB" w:rsidRPr="001558A5">
        <w:rPr>
          <w:rFonts w:eastAsia="Calibri" w:cs="Arial"/>
          <w:szCs w:val="20"/>
          <w:lang w:val="en-US" w:eastAsia="es-CR"/>
        </w:rPr>
        <w:t xml:space="preserve"> </w:t>
      </w:r>
      <w:r w:rsidR="00DF7573" w:rsidRPr="001558A5">
        <w:rPr>
          <w:rFonts w:eastAsia="Calibri" w:cs="Arial"/>
          <w:szCs w:val="20"/>
          <w:lang w:val="en-US" w:eastAsia="es-CR"/>
        </w:rPr>
        <w:t>gender identity</w:t>
      </w:r>
      <w:r w:rsidR="00E63AFB" w:rsidRPr="001558A5">
        <w:rPr>
          <w:rFonts w:eastAsia="Calibri" w:cs="Arial"/>
          <w:szCs w:val="20"/>
          <w:lang w:val="en-US" w:eastAsia="es-CR"/>
        </w:rPr>
        <w:t xml:space="preserve">, </w:t>
      </w:r>
      <w:r w:rsidR="00486817" w:rsidRPr="001558A5">
        <w:rPr>
          <w:rFonts w:eastAsia="Calibri" w:cs="Arial"/>
          <w:szCs w:val="20"/>
          <w:lang w:val="en-US" w:eastAsia="es-CR"/>
        </w:rPr>
        <w:t xml:space="preserve">also signified a violation of </w:t>
      </w:r>
      <w:r w:rsidR="00B732DD" w:rsidRPr="001558A5">
        <w:rPr>
          <w:rFonts w:eastAsia="Calibri" w:cs="Arial"/>
          <w:szCs w:val="20"/>
          <w:lang w:val="en-US" w:eastAsia="es-CR"/>
        </w:rPr>
        <w:t>Article 1(1)</w:t>
      </w:r>
      <w:r w:rsidRPr="001558A5">
        <w:rPr>
          <w:rFonts w:eastAsia="Calibri" w:cs="Arial"/>
          <w:szCs w:val="20"/>
          <w:lang w:val="en-US" w:eastAsia="es-CR"/>
        </w:rPr>
        <w:t xml:space="preserve"> of the </w:t>
      </w:r>
      <w:r w:rsidR="00871E19" w:rsidRPr="001558A5">
        <w:rPr>
          <w:rFonts w:eastAsia="Calibri" w:cs="Arial"/>
          <w:szCs w:val="20"/>
          <w:lang w:val="en-US" w:eastAsia="es-CR"/>
        </w:rPr>
        <w:t>American Convention</w:t>
      </w:r>
      <w:r w:rsidR="00E63AFB" w:rsidRPr="001558A5">
        <w:rPr>
          <w:rFonts w:eastAsia="Calibri" w:cs="Arial"/>
          <w:szCs w:val="20"/>
          <w:lang w:val="en-US" w:eastAsia="es-CR"/>
        </w:rPr>
        <w:t xml:space="preserve"> </w:t>
      </w:r>
      <w:r w:rsidR="00486817" w:rsidRPr="001558A5">
        <w:rPr>
          <w:rFonts w:eastAsia="Calibri" w:cs="Arial"/>
          <w:szCs w:val="20"/>
          <w:lang w:val="en-US" w:eastAsia="es-CR"/>
        </w:rPr>
        <w:t>which prohibit</w:t>
      </w:r>
      <w:r w:rsidR="00B8081D" w:rsidRPr="001558A5">
        <w:rPr>
          <w:rFonts w:eastAsia="Calibri" w:cs="Arial"/>
          <w:szCs w:val="20"/>
          <w:lang w:val="en-US" w:eastAsia="es-CR"/>
        </w:rPr>
        <w:t>ed</w:t>
      </w:r>
      <w:r w:rsidR="00486817" w:rsidRPr="001558A5">
        <w:rPr>
          <w:rFonts w:eastAsia="Calibri" w:cs="Arial"/>
          <w:szCs w:val="20"/>
          <w:lang w:val="en-US" w:eastAsia="es-CR"/>
        </w:rPr>
        <w:t xml:space="preserve"> discrimination based on </w:t>
      </w:r>
      <w:r w:rsidR="00DF7573" w:rsidRPr="001558A5">
        <w:rPr>
          <w:rFonts w:eastAsia="Calibri" w:cs="Arial"/>
          <w:szCs w:val="20"/>
          <w:lang w:val="en-US" w:eastAsia="es-CR"/>
        </w:rPr>
        <w:t>gender identity</w:t>
      </w:r>
      <w:r w:rsidR="00486817" w:rsidRPr="001558A5">
        <w:rPr>
          <w:rFonts w:eastAsia="Calibri" w:cs="Arial"/>
          <w:szCs w:val="20"/>
          <w:lang w:val="en-US" w:eastAsia="es-CR"/>
        </w:rPr>
        <w:t xml:space="preserve"> or expression</w:t>
      </w:r>
      <w:r w:rsidR="00BA634C" w:rsidRPr="001558A5">
        <w:rPr>
          <w:rFonts w:eastAsia="Calibri" w:cs="Arial"/>
          <w:szCs w:val="20"/>
          <w:lang w:val="en-US" w:eastAsia="es-CR"/>
        </w:rPr>
        <w:t xml:space="preserve">. </w:t>
      </w:r>
      <w:r w:rsidR="00486817" w:rsidRPr="001558A5">
        <w:rPr>
          <w:rFonts w:eastAsia="Calibri" w:cs="Arial"/>
          <w:szCs w:val="20"/>
          <w:lang w:val="en-US" w:eastAsia="es-CR"/>
        </w:rPr>
        <w:t xml:space="preserve">They also argued that the State had violated the right to equality before the law contained in Article 24 of the American Convention. Furthermore, they argued that, in the case of Vicky Hernández, the fact that she was unable to reflect her gender identity and chosen name on her identity document, and that, more broadly, she was discriminated against and socially excluded for expressing this gender identity to the point where it cost her </w:t>
      </w:r>
      <w:proofErr w:type="spellStart"/>
      <w:r w:rsidR="00486817" w:rsidRPr="001558A5">
        <w:rPr>
          <w:rFonts w:eastAsia="Calibri" w:cs="Arial"/>
          <w:szCs w:val="20"/>
          <w:lang w:val="en-US" w:eastAsia="es-CR"/>
        </w:rPr>
        <w:t>her</w:t>
      </w:r>
      <w:proofErr w:type="spellEnd"/>
      <w:r w:rsidR="00486817" w:rsidRPr="001558A5">
        <w:rPr>
          <w:rFonts w:eastAsia="Calibri" w:cs="Arial"/>
          <w:szCs w:val="20"/>
          <w:lang w:val="en-US" w:eastAsia="es-CR"/>
        </w:rPr>
        <w:t xml:space="preserve"> life reveals the interrelationship between the different rights that were violated owing to the</w:t>
      </w:r>
      <w:r w:rsidR="00B8081D" w:rsidRPr="001558A5">
        <w:rPr>
          <w:rFonts w:eastAsia="Calibri" w:cs="Arial"/>
          <w:szCs w:val="20"/>
          <w:lang w:val="en-US" w:eastAsia="es-CR"/>
        </w:rPr>
        <w:t xml:space="preserve"> State’s</w:t>
      </w:r>
      <w:r w:rsidR="00486817" w:rsidRPr="001558A5">
        <w:rPr>
          <w:rFonts w:eastAsia="Calibri" w:cs="Arial"/>
          <w:szCs w:val="20"/>
          <w:lang w:val="en-US" w:eastAsia="es-CR"/>
        </w:rPr>
        <w:t xml:space="preserve"> acts and omissions.</w:t>
      </w:r>
    </w:p>
    <w:p w14:paraId="39D5CF24" w14:textId="08FDACB4" w:rsidR="00CB6600" w:rsidRPr="001558A5" w:rsidRDefault="00DD4354" w:rsidP="00945CE2">
      <w:pPr>
        <w:pStyle w:val="Prrafodelista"/>
        <w:numPr>
          <w:ilvl w:val="0"/>
          <w:numId w:val="2"/>
        </w:numPr>
        <w:spacing w:before="120" w:after="120"/>
        <w:ind w:left="0" w:firstLine="0"/>
        <w:contextualSpacing w:val="0"/>
        <w:rPr>
          <w:rFonts w:eastAsia="Calibri" w:cs="Arial"/>
          <w:szCs w:val="20"/>
          <w:lang w:val="en-US" w:eastAsia="es-CR"/>
        </w:rPr>
      </w:pPr>
      <w:r w:rsidRPr="001558A5">
        <w:rPr>
          <w:rFonts w:eastAsia="Calibri" w:cs="Arial"/>
          <w:szCs w:val="20"/>
          <w:lang w:val="en-US" w:eastAsia="es-CR"/>
        </w:rPr>
        <w:t xml:space="preserve">The </w:t>
      </w:r>
      <w:r w:rsidRPr="001558A5">
        <w:rPr>
          <w:rFonts w:eastAsia="Calibri" w:cs="Arial"/>
          <w:b/>
          <w:bCs/>
          <w:i/>
          <w:iCs/>
          <w:szCs w:val="20"/>
          <w:lang w:val="en-US" w:eastAsia="es-CR"/>
        </w:rPr>
        <w:t>State</w:t>
      </w:r>
      <w:r w:rsidR="00B96431" w:rsidRPr="001558A5">
        <w:rPr>
          <w:rFonts w:eastAsia="Calibri" w:cs="Arial"/>
          <w:szCs w:val="20"/>
          <w:lang w:val="en-US" w:eastAsia="es-CR"/>
        </w:rPr>
        <w:t xml:space="preserve"> </w:t>
      </w:r>
      <w:r w:rsidR="00486817" w:rsidRPr="001558A5">
        <w:rPr>
          <w:rFonts w:eastAsia="Calibri" w:cs="Arial"/>
          <w:szCs w:val="20"/>
          <w:lang w:val="en-US" w:eastAsia="es-CR"/>
        </w:rPr>
        <w:t>argued that</w:t>
      </w:r>
      <w:r w:rsidR="00DF065C" w:rsidRPr="001558A5">
        <w:rPr>
          <w:rFonts w:eastAsia="Calibri" w:cs="Arial"/>
          <w:szCs w:val="20"/>
          <w:lang w:val="en-US" w:eastAsia="es-CR"/>
        </w:rPr>
        <w:t xml:space="preserve"> </w:t>
      </w:r>
      <w:r w:rsidR="00CB6600" w:rsidRPr="001558A5">
        <w:rPr>
          <w:rFonts w:eastAsia="Calibri" w:cs="Arial"/>
          <w:szCs w:val="20"/>
          <w:lang w:val="en-US" w:eastAsia="es-CR"/>
        </w:rPr>
        <w:t xml:space="preserve">Vicky </w:t>
      </w:r>
      <w:proofErr w:type="spellStart"/>
      <w:r w:rsidR="00CB6600" w:rsidRPr="001558A5">
        <w:rPr>
          <w:rFonts w:eastAsia="Calibri" w:cs="Arial"/>
          <w:szCs w:val="20"/>
          <w:lang w:val="en-US" w:eastAsia="es-CR"/>
        </w:rPr>
        <w:t>Hernández</w:t>
      </w:r>
      <w:proofErr w:type="spellEnd"/>
      <w:r w:rsidR="00CB6600" w:rsidRPr="001558A5">
        <w:rPr>
          <w:rFonts w:eastAsia="Calibri" w:cs="Arial"/>
          <w:szCs w:val="20"/>
          <w:lang w:val="en-US" w:eastAsia="es-CR"/>
        </w:rPr>
        <w:t xml:space="preserve"> </w:t>
      </w:r>
      <w:r w:rsidR="00486817" w:rsidRPr="001558A5">
        <w:rPr>
          <w:rFonts w:eastAsia="Calibri" w:cs="Arial"/>
          <w:szCs w:val="20"/>
          <w:lang w:val="en-US" w:eastAsia="es-CR"/>
        </w:rPr>
        <w:t xml:space="preserve">had developed her transgender personality and identity </w:t>
      </w:r>
      <w:r w:rsidR="00B8081D" w:rsidRPr="001558A5">
        <w:rPr>
          <w:rFonts w:eastAsia="Calibri" w:cs="Arial"/>
          <w:szCs w:val="20"/>
          <w:lang w:val="en-US" w:eastAsia="es-CR"/>
        </w:rPr>
        <w:t xml:space="preserve">fully </w:t>
      </w:r>
      <w:r w:rsidR="00486817" w:rsidRPr="001558A5">
        <w:rPr>
          <w:rFonts w:eastAsia="Calibri" w:cs="Arial"/>
          <w:szCs w:val="20"/>
          <w:lang w:val="en-US" w:eastAsia="es-CR"/>
        </w:rPr>
        <w:t>and that there was no evidence</w:t>
      </w:r>
      <w:r w:rsidR="00B8081D" w:rsidRPr="001558A5">
        <w:rPr>
          <w:rFonts w:eastAsia="Calibri" w:cs="Arial"/>
          <w:szCs w:val="20"/>
          <w:lang w:val="en-US" w:eastAsia="es-CR"/>
        </w:rPr>
        <w:t xml:space="preserve"> to</w:t>
      </w:r>
      <w:r w:rsidR="00486817" w:rsidRPr="001558A5">
        <w:rPr>
          <w:rFonts w:eastAsia="Calibri" w:cs="Arial"/>
          <w:szCs w:val="20"/>
          <w:lang w:val="en-US" w:eastAsia="es-CR"/>
        </w:rPr>
        <w:t xml:space="preserve"> indicat</w:t>
      </w:r>
      <w:r w:rsidR="00B8081D" w:rsidRPr="001558A5">
        <w:rPr>
          <w:rFonts w:eastAsia="Calibri" w:cs="Arial"/>
          <w:szCs w:val="20"/>
          <w:lang w:val="en-US" w:eastAsia="es-CR"/>
        </w:rPr>
        <w:t>e</w:t>
      </w:r>
      <w:r w:rsidR="00486817" w:rsidRPr="001558A5">
        <w:rPr>
          <w:rFonts w:eastAsia="Calibri" w:cs="Arial"/>
          <w:szCs w:val="20"/>
          <w:lang w:val="en-US" w:eastAsia="es-CR"/>
        </w:rPr>
        <w:t xml:space="preserve"> that an act had been committed based on prejudice against trans women.</w:t>
      </w:r>
    </w:p>
    <w:p w14:paraId="57CA224F" w14:textId="0FB779B8" w:rsidR="00B96431" w:rsidRPr="001558A5" w:rsidRDefault="00871E19" w:rsidP="00945CE2">
      <w:pPr>
        <w:pStyle w:val="Ttulo2"/>
        <w:numPr>
          <w:ilvl w:val="0"/>
          <w:numId w:val="24"/>
        </w:numPr>
        <w:spacing w:before="240" w:after="240"/>
        <w:rPr>
          <w:rFonts w:ascii="Verdana" w:hAnsi="Verdana"/>
          <w:i/>
          <w:color w:val="auto"/>
          <w:sz w:val="20"/>
          <w:szCs w:val="20"/>
          <w:lang w:val="en-US"/>
        </w:rPr>
      </w:pPr>
      <w:bookmarkStart w:id="85" w:name="_Toc36823475"/>
      <w:bookmarkStart w:id="86" w:name="_Toc73430052"/>
      <w:r w:rsidRPr="001558A5">
        <w:rPr>
          <w:rFonts w:ascii="Verdana" w:hAnsi="Verdana"/>
          <w:i/>
          <w:color w:val="auto"/>
          <w:sz w:val="20"/>
          <w:szCs w:val="20"/>
          <w:lang w:val="en-US"/>
        </w:rPr>
        <w:t>Considerations</w:t>
      </w:r>
      <w:r w:rsidR="00DD4354" w:rsidRPr="001558A5">
        <w:rPr>
          <w:rFonts w:ascii="Verdana" w:hAnsi="Verdana"/>
          <w:i/>
          <w:color w:val="auto"/>
          <w:sz w:val="20"/>
          <w:szCs w:val="20"/>
          <w:lang w:val="en-US"/>
        </w:rPr>
        <w:t xml:space="preserve"> of the </w:t>
      </w:r>
      <w:r w:rsidRPr="001558A5">
        <w:rPr>
          <w:rFonts w:ascii="Verdana" w:hAnsi="Verdana"/>
          <w:i/>
          <w:color w:val="auto"/>
          <w:sz w:val="20"/>
          <w:szCs w:val="20"/>
          <w:lang w:val="en-US"/>
        </w:rPr>
        <w:t>Court</w:t>
      </w:r>
      <w:bookmarkEnd w:id="85"/>
      <w:bookmarkEnd w:id="86"/>
    </w:p>
    <w:p w14:paraId="03800A33" w14:textId="563488BD" w:rsidR="00CF4B78" w:rsidRPr="001558A5" w:rsidRDefault="00871E19" w:rsidP="00953DF6">
      <w:pPr>
        <w:pStyle w:val="Prrafodelista"/>
        <w:numPr>
          <w:ilvl w:val="0"/>
          <w:numId w:val="2"/>
        </w:numPr>
        <w:spacing w:before="120" w:after="120"/>
        <w:ind w:left="0" w:firstLine="0"/>
        <w:contextualSpacing w:val="0"/>
        <w:rPr>
          <w:rFonts w:eastAsia="Times"/>
          <w:lang w:val="en-US" w:eastAsia="es-ES"/>
        </w:rPr>
      </w:pPr>
      <w:bookmarkStart w:id="87" w:name="_Ref532908704"/>
      <w:r w:rsidRPr="001558A5">
        <w:rPr>
          <w:lang w:val="en-US"/>
        </w:rPr>
        <w:t>The Court</w:t>
      </w:r>
      <w:r w:rsidR="00CF4B78" w:rsidRPr="001558A5">
        <w:rPr>
          <w:lang w:val="en-US" w:eastAsia="es-ES"/>
        </w:rPr>
        <w:t xml:space="preserve"> ha</w:t>
      </w:r>
      <w:r w:rsidR="0063357D" w:rsidRPr="001558A5">
        <w:rPr>
          <w:lang w:val="en-US" w:eastAsia="es-ES"/>
        </w:rPr>
        <w:t>s indicated that States must refrain from implementing actions that</w:t>
      </w:r>
      <w:r w:rsidR="00953DF6" w:rsidRPr="001558A5">
        <w:rPr>
          <w:lang w:val="en-US" w:eastAsia="es-ES"/>
        </w:rPr>
        <w:t xml:space="preserve"> are</w:t>
      </w:r>
      <w:r w:rsidR="0063357D" w:rsidRPr="001558A5">
        <w:rPr>
          <w:lang w:val="en-US" w:eastAsia="es-ES"/>
        </w:rPr>
        <w:t xml:space="preserve"> in any way</w:t>
      </w:r>
      <w:r w:rsidR="00953DF6" w:rsidRPr="001558A5">
        <w:rPr>
          <w:lang w:val="en-US" w:eastAsia="es-ES"/>
        </w:rPr>
        <w:t xml:space="preserve"> directly or indirectly</w:t>
      </w:r>
      <w:r w:rsidR="00B8081D" w:rsidRPr="001558A5">
        <w:rPr>
          <w:lang w:val="en-US" w:eastAsia="es-ES"/>
        </w:rPr>
        <w:t xml:space="preserve"> addressed</w:t>
      </w:r>
      <w:r w:rsidR="00953DF6" w:rsidRPr="001558A5">
        <w:rPr>
          <w:lang w:val="en-US" w:eastAsia="es-ES"/>
        </w:rPr>
        <w:t xml:space="preserve"> at creating situation of </w:t>
      </w:r>
      <w:r w:rsidR="00215FEF" w:rsidRPr="001558A5">
        <w:rPr>
          <w:lang w:val="en-US" w:eastAsia="es-MX"/>
        </w:rPr>
        <w:t>discrimination</w:t>
      </w:r>
      <w:r w:rsidR="00CF4B78" w:rsidRPr="001558A5">
        <w:rPr>
          <w:lang w:val="en-US" w:eastAsia="es-MX"/>
        </w:rPr>
        <w:t xml:space="preserve"> </w:t>
      </w:r>
      <w:r w:rsidR="00CF4B78" w:rsidRPr="001558A5">
        <w:rPr>
          <w:i/>
          <w:lang w:val="en-US" w:eastAsia="es-MX"/>
        </w:rPr>
        <w:t>de jure</w:t>
      </w:r>
      <w:r w:rsidR="00CF4B78" w:rsidRPr="001558A5">
        <w:rPr>
          <w:lang w:val="en-US" w:eastAsia="es-MX"/>
        </w:rPr>
        <w:t xml:space="preserve"> o</w:t>
      </w:r>
      <w:r w:rsidR="00953DF6" w:rsidRPr="001558A5">
        <w:rPr>
          <w:lang w:val="en-US" w:eastAsia="es-MX"/>
        </w:rPr>
        <w:t>r</w:t>
      </w:r>
      <w:r w:rsidR="00CF4B78" w:rsidRPr="001558A5">
        <w:rPr>
          <w:lang w:val="en-US" w:eastAsia="es-MX"/>
        </w:rPr>
        <w:t xml:space="preserve"> </w:t>
      </w:r>
      <w:r w:rsidR="00CF4B78" w:rsidRPr="001558A5">
        <w:rPr>
          <w:i/>
          <w:lang w:val="en-US" w:eastAsia="es-MX"/>
        </w:rPr>
        <w:t>de facto</w:t>
      </w:r>
      <w:r w:rsidR="00953DF6" w:rsidRPr="001558A5">
        <w:rPr>
          <w:i/>
          <w:lang w:val="en-US" w:eastAsia="es-MX"/>
        </w:rPr>
        <w:t>.</w:t>
      </w:r>
      <w:r w:rsidR="00CF4B78" w:rsidRPr="001558A5">
        <w:rPr>
          <w:vertAlign w:val="superscript"/>
          <w:lang w:val="en-US" w:eastAsia="es-MX"/>
        </w:rPr>
        <w:footnoteReference w:id="85"/>
      </w:r>
      <w:r w:rsidR="002C7EF8" w:rsidRPr="001558A5">
        <w:rPr>
          <w:lang w:val="en-US" w:eastAsia="es-MX"/>
        </w:rPr>
        <w:t xml:space="preserve"> </w:t>
      </w:r>
      <w:r w:rsidR="00953DF6" w:rsidRPr="001558A5">
        <w:rPr>
          <w:lang w:val="en-US"/>
        </w:rPr>
        <w:t xml:space="preserve">Thus, it has established that </w:t>
      </w:r>
      <w:r w:rsidR="00B732DD" w:rsidRPr="001558A5">
        <w:rPr>
          <w:lang w:val="en-US"/>
        </w:rPr>
        <w:t>Article 1(1)</w:t>
      </w:r>
      <w:r w:rsidR="00DD4354" w:rsidRPr="001558A5">
        <w:rPr>
          <w:lang w:val="en-US"/>
        </w:rPr>
        <w:t xml:space="preserve"> of the </w:t>
      </w:r>
      <w:r w:rsidRPr="001558A5">
        <w:rPr>
          <w:lang w:val="en-US"/>
        </w:rPr>
        <w:t>Convention</w:t>
      </w:r>
      <w:r w:rsidR="00CF4B78" w:rsidRPr="001558A5">
        <w:rPr>
          <w:lang w:val="en-US"/>
        </w:rPr>
        <w:t xml:space="preserve"> </w:t>
      </w:r>
      <w:r w:rsidR="00953DF6" w:rsidRPr="001558A5">
        <w:rPr>
          <w:lang w:val="en-US"/>
        </w:rPr>
        <w:t xml:space="preserve">is a norm of a general nature the content of which extends to all the provisions of the treaty and establishes the obligation of the States Parties to respect and to ensure the full and free exercise of the rights and freedoms recognized therein “without any discrimination.” In other words, whatever the origin or the form it assumes, any treatment that may be considered discriminatory in relation to the exercise of any of the rights ensure in the Convention is, </w:t>
      </w:r>
      <w:r w:rsidR="00953DF6" w:rsidRPr="001558A5">
        <w:rPr>
          <w:i/>
          <w:lang w:val="en-US"/>
        </w:rPr>
        <w:t>per se</w:t>
      </w:r>
      <w:r w:rsidR="00953DF6" w:rsidRPr="001558A5">
        <w:rPr>
          <w:lang w:val="en-US"/>
        </w:rPr>
        <w:t>, incompatible with this instrument.</w:t>
      </w:r>
      <w:r w:rsidR="00CF4B78" w:rsidRPr="001558A5">
        <w:rPr>
          <w:rStyle w:val="Refdenotaalpie"/>
          <w:lang w:val="en-US"/>
        </w:rPr>
        <w:footnoteReference w:id="86"/>
      </w:r>
      <w:r w:rsidR="00953DF6" w:rsidRPr="001558A5">
        <w:rPr>
          <w:lang w:val="en-US"/>
        </w:rPr>
        <w:t xml:space="preserve"> The State’s failure to comply with the general obligation to respect and to ensure </w:t>
      </w:r>
      <w:r w:rsidR="00C909B4" w:rsidRPr="001558A5">
        <w:rPr>
          <w:rFonts w:cs="Arial"/>
          <w:lang w:val="en-US"/>
        </w:rPr>
        <w:t>human rights</w:t>
      </w:r>
      <w:r w:rsidR="00CF4B78" w:rsidRPr="001558A5">
        <w:rPr>
          <w:rFonts w:cs="Arial"/>
          <w:lang w:val="en-US"/>
        </w:rPr>
        <w:t xml:space="preserve">, </w:t>
      </w:r>
      <w:r w:rsidR="00953DF6" w:rsidRPr="001558A5">
        <w:rPr>
          <w:rFonts w:cs="Arial"/>
          <w:lang w:val="en-US"/>
        </w:rPr>
        <w:t>by any different treatment that may result in discrimination – in other words, that does not seek a legitimate purpose, or is unnecessary and/or disproportionate</w:t>
      </w:r>
      <w:r w:rsidR="000835B9" w:rsidRPr="001558A5">
        <w:rPr>
          <w:rFonts w:cs="Arial"/>
          <w:lang w:val="en-US"/>
        </w:rPr>
        <w:t xml:space="preserve"> – will</w:t>
      </w:r>
      <w:r w:rsidR="00953DF6" w:rsidRPr="001558A5">
        <w:rPr>
          <w:rFonts w:cs="Arial"/>
          <w:lang w:val="en-US"/>
        </w:rPr>
        <w:t xml:space="preserve"> engage its international responsibility. Consequently, there is an indissoluble link between the obligation to respect and to ensure human rights and the principle of </w:t>
      </w:r>
      <w:r w:rsidR="00B732DD" w:rsidRPr="001558A5">
        <w:rPr>
          <w:rFonts w:cs="Arial"/>
          <w:lang w:val="en-US"/>
        </w:rPr>
        <w:t>equality and non-discrimination</w:t>
      </w:r>
      <w:r w:rsidR="00953DF6" w:rsidRPr="001558A5">
        <w:rPr>
          <w:rFonts w:cs="Arial"/>
          <w:lang w:val="en-US"/>
        </w:rPr>
        <w:t>.</w:t>
      </w:r>
      <w:r w:rsidR="00CF4B78" w:rsidRPr="001558A5">
        <w:rPr>
          <w:rFonts w:cs="Arial"/>
          <w:vertAlign w:val="superscript"/>
          <w:lang w:val="en-US"/>
        </w:rPr>
        <w:footnoteReference w:id="87"/>
      </w:r>
      <w:r w:rsidR="00CF4B78" w:rsidRPr="001558A5">
        <w:rPr>
          <w:rFonts w:cs="Arial"/>
          <w:lang w:val="en-US"/>
        </w:rPr>
        <w:t xml:space="preserve"> </w:t>
      </w:r>
    </w:p>
    <w:p w14:paraId="6213F189" w14:textId="1FB23B14" w:rsidR="00CF4B78" w:rsidRPr="001558A5" w:rsidRDefault="00953DF6" w:rsidP="00945CE2">
      <w:pPr>
        <w:pStyle w:val="Prrafodelista"/>
        <w:numPr>
          <w:ilvl w:val="0"/>
          <w:numId w:val="2"/>
        </w:numPr>
        <w:spacing w:before="120" w:after="120"/>
        <w:ind w:left="0" w:firstLine="0"/>
        <w:contextualSpacing w:val="0"/>
        <w:rPr>
          <w:rFonts w:eastAsia="Times"/>
          <w:lang w:val="en-US" w:eastAsia="es-ES"/>
        </w:rPr>
      </w:pPr>
      <w:r w:rsidRPr="001558A5">
        <w:rPr>
          <w:lang w:val="en-US"/>
        </w:rPr>
        <w:t xml:space="preserve">Moreover, while the general obligation </w:t>
      </w:r>
      <w:r w:rsidR="00B74256" w:rsidRPr="001558A5">
        <w:rPr>
          <w:lang w:val="en-US"/>
        </w:rPr>
        <w:t>of Article</w:t>
      </w:r>
      <w:r w:rsidR="00B732DD" w:rsidRPr="001558A5">
        <w:rPr>
          <w:lang w:val="en-US"/>
        </w:rPr>
        <w:t xml:space="preserve"> 1(1)</w:t>
      </w:r>
      <w:r w:rsidR="00CF4B78" w:rsidRPr="001558A5">
        <w:rPr>
          <w:lang w:val="en-US"/>
        </w:rPr>
        <w:t xml:space="preserve"> </w:t>
      </w:r>
      <w:r w:rsidRPr="001558A5">
        <w:rPr>
          <w:lang w:val="en-US"/>
        </w:rPr>
        <w:t>refers to</w:t>
      </w:r>
      <w:r w:rsidR="00DD4354" w:rsidRPr="001558A5">
        <w:rPr>
          <w:lang w:val="en-US"/>
        </w:rPr>
        <w:t xml:space="preserve"> the State</w:t>
      </w:r>
      <w:r w:rsidRPr="001558A5">
        <w:rPr>
          <w:lang w:val="en-US"/>
        </w:rPr>
        <w:t xml:space="preserve">’s obligation to respect and to ensure “without discrimination” the rights contained in </w:t>
      </w:r>
      <w:r w:rsidR="00871E19" w:rsidRPr="001558A5">
        <w:rPr>
          <w:lang w:val="en-US"/>
        </w:rPr>
        <w:t>the American Convention</w:t>
      </w:r>
      <w:r w:rsidR="00CF4B78" w:rsidRPr="001558A5">
        <w:rPr>
          <w:lang w:val="en-US"/>
        </w:rPr>
        <w:t xml:space="preserve">, </w:t>
      </w:r>
      <w:r w:rsidR="00871E19" w:rsidRPr="001558A5">
        <w:rPr>
          <w:lang w:val="en-US"/>
        </w:rPr>
        <w:t>Article</w:t>
      </w:r>
      <w:r w:rsidR="00CF4B78" w:rsidRPr="001558A5">
        <w:rPr>
          <w:lang w:val="en-US"/>
        </w:rPr>
        <w:t xml:space="preserve"> 24 prote</w:t>
      </w:r>
      <w:r w:rsidRPr="001558A5">
        <w:rPr>
          <w:lang w:val="en-US"/>
        </w:rPr>
        <w:t>cts the right to “equal protection of the law.</w:t>
      </w:r>
      <w:r w:rsidR="00CF4B78" w:rsidRPr="001558A5">
        <w:rPr>
          <w:lang w:val="en-US"/>
        </w:rPr>
        <w:t>”</w:t>
      </w:r>
      <w:bookmarkStart w:id="88" w:name="_Ref318127313"/>
      <w:r w:rsidR="00CF4B78" w:rsidRPr="001558A5">
        <w:rPr>
          <w:rStyle w:val="Refdenotaalpie"/>
          <w:lang w:val="en-US"/>
        </w:rPr>
        <w:footnoteReference w:id="88"/>
      </w:r>
      <w:bookmarkEnd w:id="88"/>
      <w:r w:rsidRPr="001558A5">
        <w:rPr>
          <w:lang w:val="en-US"/>
        </w:rPr>
        <w:t xml:space="preserve"> That is, </w:t>
      </w:r>
      <w:r w:rsidR="00871E19" w:rsidRPr="001558A5">
        <w:rPr>
          <w:lang w:val="en-US"/>
        </w:rPr>
        <w:t>Article</w:t>
      </w:r>
      <w:r w:rsidR="00CF4B78" w:rsidRPr="001558A5">
        <w:rPr>
          <w:lang w:val="en-US"/>
        </w:rPr>
        <w:t xml:space="preserve"> 24</w:t>
      </w:r>
      <w:r w:rsidR="00DD4354" w:rsidRPr="001558A5">
        <w:rPr>
          <w:lang w:val="en-US"/>
        </w:rPr>
        <w:t xml:space="preserve"> of the </w:t>
      </w:r>
      <w:r w:rsidR="00871E19" w:rsidRPr="001558A5">
        <w:rPr>
          <w:lang w:val="en-US"/>
        </w:rPr>
        <w:t>American Convention</w:t>
      </w:r>
      <w:r w:rsidR="00CF4B78" w:rsidRPr="001558A5">
        <w:rPr>
          <w:lang w:val="en-US"/>
        </w:rPr>
        <w:t xml:space="preserve"> proh</w:t>
      </w:r>
      <w:r w:rsidRPr="001558A5">
        <w:rPr>
          <w:lang w:val="en-US"/>
        </w:rPr>
        <w:t xml:space="preserve">ibits discrimination </w:t>
      </w:r>
      <w:r w:rsidRPr="001558A5">
        <w:rPr>
          <w:i/>
          <w:iCs/>
          <w:lang w:val="en-US"/>
        </w:rPr>
        <w:t>de jure</w:t>
      </w:r>
      <w:r w:rsidRPr="001558A5">
        <w:rPr>
          <w:lang w:val="en-US"/>
        </w:rPr>
        <w:t xml:space="preserve">, not only with regard to the rights contained in this treaty, but also with regard to all the laws enacted by the State and their </w:t>
      </w:r>
      <w:r w:rsidR="002C5430" w:rsidRPr="001558A5">
        <w:rPr>
          <w:lang w:val="en-US"/>
        </w:rPr>
        <w:t>application</w:t>
      </w:r>
      <w:r w:rsidRPr="001558A5">
        <w:rPr>
          <w:lang w:val="en-US"/>
        </w:rPr>
        <w:t>.</w:t>
      </w:r>
      <w:r w:rsidR="00CF4B78" w:rsidRPr="001558A5">
        <w:rPr>
          <w:rFonts w:eastAsia="Calibri"/>
          <w:spacing w:val="-2"/>
          <w:vertAlign w:val="superscript"/>
          <w:lang w:val="en-US"/>
        </w:rPr>
        <w:footnoteReference w:id="89"/>
      </w:r>
      <w:r w:rsidRPr="001558A5">
        <w:rPr>
          <w:lang w:val="en-US"/>
        </w:rPr>
        <w:t xml:space="preserve"> In other words, if a State discriminates as regards the respect and guarantee of a right protected by the Convention it </w:t>
      </w:r>
      <w:r w:rsidR="00C43A37" w:rsidRPr="001558A5">
        <w:rPr>
          <w:lang w:val="en-US"/>
        </w:rPr>
        <w:t>would</w:t>
      </w:r>
      <w:r w:rsidRPr="001558A5">
        <w:rPr>
          <w:lang w:val="en-US"/>
        </w:rPr>
        <w:t xml:space="preserve"> fail to comply with the obligation established in</w:t>
      </w:r>
      <w:r w:rsidR="00CF4B78" w:rsidRPr="001558A5">
        <w:rPr>
          <w:lang w:val="en-US"/>
        </w:rPr>
        <w:t xml:space="preserve"> </w:t>
      </w:r>
      <w:r w:rsidR="00B732DD" w:rsidRPr="001558A5">
        <w:rPr>
          <w:lang w:val="en-US" w:eastAsia="es-ES"/>
        </w:rPr>
        <w:t>Article 1(1)</w:t>
      </w:r>
      <w:r w:rsidR="00DD4354" w:rsidRPr="001558A5">
        <w:rPr>
          <w:lang w:val="en-US" w:eastAsia="es-ES"/>
        </w:rPr>
        <w:t xml:space="preserve"> and</w:t>
      </w:r>
      <w:r w:rsidR="00C43A37" w:rsidRPr="001558A5">
        <w:rPr>
          <w:lang w:val="en-US" w:eastAsia="es-ES"/>
        </w:rPr>
        <w:t xml:space="preserve"> the substantive right in question. If, to the contrary, the discrimination refers to an unequal protection of domestic law or its </w:t>
      </w:r>
      <w:r w:rsidR="002C5430" w:rsidRPr="001558A5">
        <w:rPr>
          <w:lang w:val="en-US" w:eastAsia="es-ES"/>
        </w:rPr>
        <w:t>application</w:t>
      </w:r>
      <w:r w:rsidR="00C43A37" w:rsidRPr="001558A5">
        <w:rPr>
          <w:lang w:val="en-US" w:eastAsia="es-ES"/>
        </w:rPr>
        <w:t>, the fact must be examined in light</w:t>
      </w:r>
      <w:r w:rsidR="00CF4B78" w:rsidRPr="001558A5">
        <w:rPr>
          <w:lang w:val="en-US" w:eastAsia="es-ES"/>
        </w:rPr>
        <w:t xml:space="preserve"> </w:t>
      </w:r>
      <w:r w:rsidR="00B74256" w:rsidRPr="001558A5">
        <w:rPr>
          <w:lang w:val="en-US" w:eastAsia="es-ES"/>
        </w:rPr>
        <w:t>of Article</w:t>
      </w:r>
      <w:r w:rsidR="00CF4B78" w:rsidRPr="001558A5">
        <w:rPr>
          <w:lang w:val="en-US" w:eastAsia="es-ES"/>
        </w:rPr>
        <w:t xml:space="preserve"> 24</w:t>
      </w:r>
      <w:r w:rsidR="00DD4354" w:rsidRPr="001558A5">
        <w:rPr>
          <w:lang w:val="en-US" w:eastAsia="es-ES"/>
        </w:rPr>
        <w:t xml:space="preserve"> of the </w:t>
      </w:r>
      <w:r w:rsidR="00871E19" w:rsidRPr="001558A5">
        <w:rPr>
          <w:lang w:val="en-US" w:eastAsia="es-ES"/>
        </w:rPr>
        <w:t>American Convention</w:t>
      </w:r>
      <w:r w:rsidR="00265764" w:rsidRPr="001558A5">
        <w:rPr>
          <w:lang w:val="en-US" w:eastAsia="es-ES"/>
        </w:rPr>
        <w:t xml:space="preserve">, </w:t>
      </w:r>
      <w:r w:rsidR="00C43A37" w:rsidRPr="001558A5">
        <w:rPr>
          <w:lang w:val="en-US" w:eastAsia="es-ES"/>
        </w:rPr>
        <w:t xml:space="preserve">in relation to the categories protected by </w:t>
      </w:r>
      <w:r w:rsidR="00B732DD" w:rsidRPr="001558A5">
        <w:rPr>
          <w:lang w:val="en-US" w:eastAsia="es-ES"/>
        </w:rPr>
        <w:t>Article 1(1)</w:t>
      </w:r>
      <w:r w:rsidR="00CF4B78" w:rsidRPr="001558A5">
        <w:rPr>
          <w:lang w:val="en-US" w:eastAsia="es-ES"/>
        </w:rPr>
        <w:t xml:space="preserve"> </w:t>
      </w:r>
      <w:r w:rsidR="00C43A37" w:rsidRPr="001558A5">
        <w:rPr>
          <w:lang w:val="en-US" w:eastAsia="es-ES"/>
        </w:rPr>
        <w:t>of this instrument.</w:t>
      </w:r>
      <w:r w:rsidR="009D23FE" w:rsidRPr="001558A5">
        <w:rPr>
          <w:rStyle w:val="Refdenotaalpie"/>
          <w:lang w:val="en-US"/>
        </w:rPr>
        <w:footnoteReference w:id="90"/>
      </w:r>
      <w:r w:rsidR="00CF4B78" w:rsidRPr="001558A5">
        <w:rPr>
          <w:lang w:val="en-US" w:eastAsia="es-ES"/>
        </w:rPr>
        <w:t xml:space="preserve"> </w:t>
      </w:r>
    </w:p>
    <w:p w14:paraId="2AD36AB7" w14:textId="13A1137A" w:rsidR="00B96431" w:rsidRPr="001558A5" w:rsidRDefault="002C5430" w:rsidP="002C5430">
      <w:pPr>
        <w:pStyle w:val="Prrafodelista"/>
        <w:numPr>
          <w:ilvl w:val="0"/>
          <w:numId w:val="2"/>
        </w:numPr>
        <w:spacing w:before="120" w:after="120"/>
        <w:ind w:left="0" w:firstLine="0"/>
        <w:contextualSpacing w:val="0"/>
        <w:rPr>
          <w:lang w:val="en-US"/>
        </w:rPr>
      </w:pPr>
      <w:r w:rsidRPr="001558A5">
        <w:rPr>
          <w:lang w:val="en-US"/>
        </w:rPr>
        <w:t>Therefore</w:t>
      </w:r>
      <w:r w:rsidR="00B96431" w:rsidRPr="001558A5">
        <w:rPr>
          <w:lang w:val="en-US"/>
        </w:rPr>
        <w:t xml:space="preserve">, </w:t>
      </w:r>
      <w:r w:rsidRPr="001558A5">
        <w:rPr>
          <w:lang w:val="en-US"/>
        </w:rPr>
        <w:t xml:space="preserve">in light of the obligation of non-discrimination, States are also obliged to adopt positive measures to reverse or change </w:t>
      </w:r>
      <w:r w:rsidR="000835B9" w:rsidRPr="001558A5">
        <w:rPr>
          <w:lang w:val="en-US"/>
        </w:rPr>
        <w:t>any</w:t>
      </w:r>
      <w:r w:rsidRPr="001558A5">
        <w:rPr>
          <w:lang w:val="en-US"/>
        </w:rPr>
        <w:t xml:space="preserve"> situations in their societies </w:t>
      </w:r>
      <w:r w:rsidR="00F50024" w:rsidRPr="001558A5">
        <w:rPr>
          <w:lang w:val="en-US"/>
        </w:rPr>
        <w:t>that discriminate against</w:t>
      </w:r>
      <w:r w:rsidRPr="001558A5">
        <w:rPr>
          <w:lang w:val="en-US"/>
        </w:rPr>
        <w:t xml:space="preserve"> certain group of persons. This </w:t>
      </w:r>
      <w:r w:rsidR="00F50024" w:rsidRPr="001558A5">
        <w:rPr>
          <w:lang w:val="en-US"/>
        </w:rPr>
        <w:t xml:space="preserve">relates to </w:t>
      </w:r>
      <w:r w:rsidRPr="001558A5">
        <w:rPr>
          <w:lang w:val="en-US"/>
        </w:rPr>
        <w:t>the</w:t>
      </w:r>
      <w:r w:rsidR="00F50024" w:rsidRPr="001558A5">
        <w:rPr>
          <w:lang w:val="en-US"/>
        </w:rPr>
        <w:t xml:space="preserve"> State’s</w:t>
      </w:r>
      <w:r w:rsidRPr="001558A5">
        <w:rPr>
          <w:lang w:val="en-US"/>
        </w:rPr>
        <w:t xml:space="preserve"> special duty of protection </w:t>
      </w:r>
      <w:r w:rsidR="00F50024" w:rsidRPr="001558A5">
        <w:rPr>
          <w:lang w:val="en-US"/>
        </w:rPr>
        <w:t xml:space="preserve">with regard to </w:t>
      </w:r>
      <w:r w:rsidRPr="001558A5">
        <w:rPr>
          <w:lang w:val="en-US"/>
        </w:rPr>
        <w:t xml:space="preserve">actions and practices of third parties that, with </w:t>
      </w:r>
      <w:r w:rsidR="000835B9" w:rsidRPr="001558A5">
        <w:rPr>
          <w:lang w:val="en-US"/>
        </w:rPr>
        <w:t xml:space="preserve">its </w:t>
      </w:r>
      <w:r w:rsidRPr="001558A5">
        <w:rPr>
          <w:lang w:val="en-US"/>
        </w:rPr>
        <w:t>tolerance or acquiescence, create, maintain or encourage discriminatory situations.</w:t>
      </w:r>
      <w:r w:rsidR="00B96431" w:rsidRPr="001558A5">
        <w:rPr>
          <w:rStyle w:val="Refdenotaalpie"/>
          <w:lang w:val="en-US"/>
        </w:rPr>
        <w:footnoteReference w:id="91"/>
      </w:r>
      <w:r w:rsidRPr="001558A5">
        <w:rPr>
          <w:lang w:val="en-US"/>
        </w:rPr>
        <w:t xml:space="preserve"> Thus, any discrimination based on one of the categories indicated for illustrative purposes in </w:t>
      </w:r>
      <w:r w:rsidR="00B732DD" w:rsidRPr="001558A5">
        <w:rPr>
          <w:lang w:val="en-US"/>
        </w:rPr>
        <w:t>Article 1(1)</w:t>
      </w:r>
      <w:r w:rsidR="00DD4354" w:rsidRPr="001558A5">
        <w:rPr>
          <w:lang w:val="en-US"/>
        </w:rPr>
        <w:t xml:space="preserve"> of the </w:t>
      </w:r>
      <w:r w:rsidR="00871E19" w:rsidRPr="001558A5">
        <w:rPr>
          <w:lang w:val="en-US"/>
        </w:rPr>
        <w:t>Convention</w:t>
      </w:r>
      <w:r w:rsidRPr="001558A5">
        <w:rPr>
          <w:lang w:val="en-US"/>
        </w:rPr>
        <w:t xml:space="preserve"> merits special or particular </w:t>
      </w:r>
      <w:r w:rsidR="00F50024" w:rsidRPr="001558A5">
        <w:rPr>
          <w:lang w:val="en-US"/>
        </w:rPr>
        <w:t>attention</w:t>
      </w:r>
      <w:r w:rsidRPr="001558A5">
        <w:rPr>
          <w:lang w:val="en-US"/>
        </w:rPr>
        <w:t xml:space="preserve"> because the wrongful act that its exercise signifies is committed </w:t>
      </w:r>
      <w:r w:rsidR="00F50024" w:rsidRPr="001558A5">
        <w:rPr>
          <w:lang w:val="en-US"/>
        </w:rPr>
        <w:t>based on</w:t>
      </w:r>
      <w:r w:rsidRPr="001558A5">
        <w:rPr>
          <w:lang w:val="en-US"/>
        </w:rPr>
        <w:t xml:space="preserve"> what the presumed victim specifically represents or appears to be and what distinguishes him or her from other people.</w:t>
      </w:r>
      <w:r w:rsidR="002C7EF8" w:rsidRPr="001558A5">
        <w:rPr>
          <w:rStyle w:val="Refdenotaalpie"/>
          <w:lang w:val="en-US"/>
        </w:rPr>
        <w:footnoteReference w:id="92"/>
      </w:r>
      <w:r w:rsidR="00B96431" w:rsidRPr="001558A5">
        <w:rPr>
          <w:lang w:val="en-US"/>
        </w:rPr>
        <w:t xml:space="preserve"> </w:t>
      </w:r>
    </w:p>
    <w:p w14:paraId="0BB1BA80" w14:textId="0CA3F49A" w:rsidR="00B96431" w:rsidRPr="001558A5" w:rsidRDefault="00871E19" w:rsidP="00945CE2">
      <w:pPr>
        <w:pStyle w:val="Prrafodelista"/>
        <w:numPr>
          <w:ilvl w:val="0"/>
          <w:numId w:val="2"/>
        </w:numPr>
        <w:spacing w:before="120" w:after="120"/>
        <w:ind w:left="0" w:firstLine="0"/>
        <w:contextualSpacing w:val="0"/>
        <w:rPr>
          <w:lang w:val="en-US"/>
        </w:rPr>
      </w:pPr>
      <w:r w:rsidRPr="001558A5">
        <w:rPr>
          <w:lang w:val="en-US"/>
        </w:rPr>
        <w:t>The Inter-American Court</w:t>
      </w:r>
      <w:r w:rsidR="00B96431" w:rsidRPr="001558A5">
        <w:rPr>
          <w:lang w:val="en-US"/>
        </w:rPr>
        <w:t xml:space="preserve"> ha</w:t>
      </w:r>
      <w:r w:rsidR="002C5430" w:rsidRPr="001558A5">
        <w:rPr>
          <w:lang w:val="en-US"/>
        </w:rPr>
        <w:t>s recognized that</w:t>
      </w:r>
      <w:r w:rsidR="00F50024" w:rsidRPr="001558A5">
        <w:rPr>
          <w:lang w:val="en-US"/>
        </w:rPr>
        <w:t xml:space="preserve"> </w:t>
      </w:r>
      <w:r w:rsidR="002C5430" w:rsidRPr="001558A5">
        <w:rPr>
          <w:lang w:val="en-US"/>
        </w:rPr>
        <w:t>the LGBTI community ha</w:t>
      </w:r>
      <w:r w:rsidR="00F50024" w:rsidRPr="001558A5">
        <w:rPr>
          <w:lang w:val="en-US"/>
        </w:rPr>
        <w:t>s</w:t>
      </w:r>
      <w:r w:rsidR="002C5430" w:rsidRPr="001558A5">
        <w:rPr>
          <w:lang w:val="en-US"/>
        </w:rPr>
        <w:t xml:space="preserve"> historically been </w:t>
      </w:r>
      <w:r w:rsidR="00F50024" w:rsidRPr="001558A5">
        <w:rPr>
          <w:lang w:val="en-US"/>
        </w:rPr>
        <w:t xml:space="preserve">a </w:t>
      </w:r>
      <w:r w:rsidR="002C5430" w:rsidRPr="001558A5">
        <w:rPr>
          <w:lang w:val="en-US"/>
        </w:rPr>
        <w:t xml:space="preserve">victim of structural </w:t>
      </w:r>
      <w:r w:rsidR="00215FEF" w:rsidRPr="001558A5">
        <w:rPr>
          <w:lang w:val="en-US"/>
        </w:rPr>
        <w:t>discrimination</w:t>
      </w:r>
      <w:r w:rsidR="002C5430" w:rsidRPr="001558A5">
        <w:rPr>
          <w:lang w:val="en-US"/>
        </w:rPr>
        <w:t xml:space="preserve">, stigmatization, diverse forms of violence, and </w:t>
      </w:r>
      <w:r w:rsidR="00F50024" w:rsidRPr="001558A5">
        <w:rPr>
          <w:lang w:val="en-US"/>
        </w:rPr>
        <w:t xml:space="preserve">the </w:t>
      </w:r>
      <w:r w:rsidR="002C5430" w:rsidRPr="001558A5">
        <w:rPr>
          <w:lang w:val="en-US"/>
        </w:rPr>
        <w:t>violation of fundamental rights.</w:t>
      </w:r>
      <w:r w:rsidR="00B96431" w:rsidRPr="001558A5">
        <w:rPr>
          <w:rStyle w:val="Refdenotaalpie"/>
          <w:lang w:val="en-US"/>
        </w:rPr>
        <w:footnoteReference w:id="93"/>
      </w:r>
      <w:r w:rsidR="002C5430" w:rsidRPr="001558A5">
        <w:rPr>
          <w:lang w:val="en-US"/>
        </w:rPr>
        <w:t xml:space="preserve"> Similarly, the Court has established that a person’s </w:t>
      </w:r>
      <w:r w:rsidR="00DF7573" w:rsidRPr="001558A5">
        <w:rPr>
          <w:lang w:val="en-US"/>
        </w:rPr>
        <w:t>sexual orientation</w:t>
      </w:r>
      <w:r w:rsidR="00B96431" w:rsidRPr="001558A5">
        <w:rPr>
          <w:lang w:val="en-US"/>
        </w:rPr>
        <w:t xml:space="preserve">, </w:t>
      </w:r>
      <w:r w:rsidR="00DF7573" w:rsidRPr="001558A5">
        <w:rPr>
          <w:lang w:val="en-US"/>
        </w:rPr>
        <w:t>gender identity</w:t>
      </w:r>
      <w:r w:rsidR="00B96431" w:rsidRPr="001558A5">
        <w:rPr>
          <w:lang w:val="en-US"/>
        </w:rPr>
        <w:t xml:space="preserve"> </w:t>
      </w:r>
      <w:r w:rsidR="00F50024" w:rsidRPr="001558A5">
        <w:rPr>
          <w:lang w:val="en-US"/>
        </w:rPr>
        <w:t>and</w:t>
      </w:r>
      <w:r w:rsidR="002C5430" w:rsidRPr="001558A5">
        <w:rPr>
          <w:lang w:val="en-US"/>
        </w:rPr>
        <w:t xml:space="preserve"> gender expression</w:t>
      </w:r>
      <w:r w:rsidR="00CB07BD" w:rsidRPr="001558A5">
        <w:rPr>
          <w:rStyle w:val="Refdenotaalpie"/>
          <w:lang w:val="en-US"/>
        </w:rPr>
        <w:footnoteReference w:id="94"/>
      </w:r>
      <w:r w:rsidR="002C5430" w:rsidRPr="001558A5">
        <w:rPr>
          <w:lang w:val="en-US"/>
        </w:rPr>
        <w:t xml:space="preserve"> are categories protected by </w:t>
      </w:r>
      <w:r w:rsidRPr="001558A5">
        <w:rPr>
          <w:lang w:val="en-US"/>
        </w:rPr>
        <w:t>the Convention</w:t>
      </w:r>
      <w:r w:rsidR="002C5430" w:rsidRPr="001558A5">
        <w:rPr>
          <w:lang w:val="en-US"/>
        </w:rPr>
        <w:t>.</w:t>
      </w:r>
      <w:r w:rsidR="00B96431" w:rsidRPr="001558A5">
        <w:rPr>
          <w:rStyle w:val="Refdenotaalpie"/>
          <w:lang w:val="en-US"/>
        </w:rPr>
        <w:footnoteReference w:id="95"/>
      </w:r>
      <w:r w:rsidR="002C5430" w:rsidRPr="001558A5">
        <w:rPr>
          <w:lang w:val="en-US"/>
        </w:rPr>
        <w:t xml:space="preserve"> Consequently, the State may not discriminate against a person based on their </w:t>
      </w:r>
      <w:r w:rsidR="00B96431" w:rsidRPr="001558A5">
        <w:rPr>
          <w:lang w:val="en-US"/>
        </w:rPr>
        <w:t xml:space="preserve"> </w:t>
      </w:r>
      <w:r w:rsidR="00675A99" w:rsidRPr="001558A5">
        <w:rPr>
          <w:lang w:val="en-US"/>
        </w:rPr>
        <w:t>sexual orientation</w:t>
      </w:r>
      <w:r w:rsidR="00B96431" w:rsidRPr="001558A5">
        <w:rPr>
          <w:lang w:val="en-US"/>
        </w:rPr>
        <w:t xml:space="preserve">, </w:t>
      </w:r>
      <w:r w:rsidR="002C5430" w:rsidRPr="001558A5">
        <w:rPr>
          <w:lang w:val="en-US"/>
        </w:rPr>
        <w:t xml:space="preserve">their </w:t>
      </w:r>
      <w:r w:rsidR="00DF7573" w:rsidRPr="001558A5">
        <w:rPr>
          <w:lang w:val="en-US"/>
        </w:rPr>
        <w:t>gender identity</w:t>
      </w:r>
      <w:r w:rsidR="00B96431" w:rsidRPr="001558A5">
        <w:rPr>
          <w:lang w:val="en-US"/>
        </w:rPr>
        <w:t xml:space="preserve"> </w:t>
      </w:r>
      <w:r w:rsidR="002C5430" w:rsidRPr="001558A5">
        <w:rPr>
          <w:lang w:val="en-US"/>
        </w:rPr>
        <w:t>and/or their</w:t>
      </w:r>
      <w:r w:rsidR="00B96431" w:rsidRPr="001558A5">
        <w:rPr>
          <w:lang w:val="en-US"/>
        </w:rPr>
        <w:t xml:space="preserve"> </w:t>
      </w:r>
      <w:r w:rsidR="002C5430" w:rsidRPr="001558A5">
        <w:rPr>
          <w:lang w:val="en-US"/>
        </w:rPr>
        <w:t>gender expression.</w:t>
      </w:r>
      <w:r w:rsidR="00B96431" w:rsidRPr="001558A5">
        <w:rPr>
          <w:rStyle w:val="Refdenotaalpie"/>
          <w:lang w:val="en-US"/>
        </w:rPr>
        <w:footnoteReference w:id="96"/>
      </w:r>
      <w:bookmarkEnd w:id="87"/>
    </w:p>
    <w:p w14:paraId="3C4C6B52" w14:textId="7AFA2861" w:rsidR="00B96431" w:rsidRPr="001558A5" w:rsidRDefault="00F50024" w:rsidP="00945CE2">
      <w:pPr>
        <w:pStyle w:val="Prrafodelista"/>
        <w:numPr>
          <w:ilvl w:val="0"/>
          <w:numId w:val="2"/>
        </w:numPr>
        <w:spacing w:before="120" w:after="120"/>
        <w:ind w:left="0" w:firstLine="0"/>
        <w:contextualSpacing w:val="0"/>
        <w:rPr>
          <w:lang w:val="en-US"/>
        </w:rPr>
      </w:pPr>
      <w:r w:rsidRPr="001558A5">
        <w:rPr>
          <w:lang w:val="en-US"/>
        </w:rPr>
        <w:t>D</w:t>
      </w:r>
      <w:r w:rsidR="00215FEF" w:rsidRPr="001558A5">
        <w:rPr>
          <w:lang w:val="en-US"/>
        </w:rPr>
        <w:t>iscrimination</w:t>
      </w:r>
      <w:r w:rsidR="00B96431" w:rsidRPr="001558A5">
        <w:rPr>
          <w:lang w:val="en-US"/>
        </w:rPr>
        <w:t xml:space="preserve"> </w:t>
      </w:r>
      <w:r w:rsidR="002C5430" w:rsidRPr="001558A5">
        <w:rPr>
          <w:lang w:val="en-US"/>
        </w:rPr>
        <w:t>against</w:t>
      </w:r>
      <w:r w:rsidR="00B96431" w:rsidRPr="001558A5">
        <w:rPr>
          <w:lang w:val="en-US"/>
        </w:rPr>
        <w:t xml:space="preserve"> LGBTI </w:t>
      </w:r>
      <w:r w:rsidRPr="001558A5">
        <w:rPr>
          <w:lang w:val="en-US"/>
        </w:rPr>
        <w:t>persons is</w:t>
      </w:r>
      <w:r w:rsidR="002C5430" w:rsidRPr="001558A5">
        <w:rPr>
          <w:lang w:val="en-US"/>
        </w:rPr>
        <w:t xml:space="preserve"> revealed in numerous aspects of the public and private spheres. In the Court’s opinion, one of the most extreme forms of </w:t>
      </w:r>
      <w:r w:rsidR="00215FEF" w:rsidRPr="001558A5">
        <w:rPr>
          <w:lang w:val="en-US"/>
        </w:rPr>
        <w:t>discrimination</w:t>
      </w:r>
      <w:r w:rsidR="00B96431" w:rsidRPr="001558A5">
        <w:rPr>
          <w:lang w:val="en-US"/>
        </w:rPr>
        <w:t xml:space="preserve"> </w:t>
      </w:r>
      <w:r w:rsidR="002C5430" w:rsidRPr="001558A5">
        <w:rPr>
          <w:lang w:val="en-US"/>
        </w:rPr>
        <w:t>against</w:t>
      </w:r>
      <w:r w:rsidR="00B96431" w:rsidRPr="001558A5">
        <w:rPr>
          <w:lang w:val="en-US"/>
        </w:rPr>
        <w:t xml:space="preserve"> LGBTI </w:t>
      </w:r>
      <w:r w:rsidR="002C5430" w:rsidRPr="001558A5">
        <w:rPr>
          <w:lang w:val="en-US"/>
        </w:rPr>
        <w:t>persons is that which occurs in situations of violence.</w:t>
      </w:r>
      <w:r w:rsidR="00B96431" w:rsidRPr="001558A5">
        <w:rPr>
          <w:rStyle w:val="Refdenotaalpie"/>
          <w:lang w:val="en-US"/>
        </w:rPr>
        <w:footnoteReference w:id="97"/>
      </w:r>
      <w:r w:rsidR="00B96431" w:rsidRPr="001558A5">
        <w:rPr>
          <w:lang w:val="en-US"/>
        </w:rPr>
        <w:t xml:space="preserve"> </w:t>
      </w:r>
      <w:r w:rsidR="002C5430" w:rsidRPr="001558A5">
        <w:rPr>
          <w:lang w:val="en-US"/>
        </w:rPr>
        <w:t>In Advisory Opinion</w:t>
      </w:r>
      <w:r w:rsidR="00B96431" w:rsidRPr="001558A5">
        <w:rPr>
          <w:lang w:val="en-US"/>
        </w:rPr>
        <w:t xml:space="preserve"> OC-24/17 </w:t>
      </w:r>
      <w:r w:rsidR="002C5430" w:rsidRPr="001558A5">
        <w:rPr>
          <w:lang w:val="en-US"/>
        </w:rPr>
        <w:t>this Court stressed that</w:t>
      </w:r>
      <w:r w:rsidR="00B96431" w:rsidRPr="001558A5">
        <w:rPr>
          <w:lang w:val="en-US"/>
        </w:rPr>
        <w:t xml:space="preserve">: </w:t>
      </w:r>
    </w:p>
    <w:p w14:paraId="5ABE0E6E" w14:textId="3179F7A2" w:rsidR="00B96431" w:rsidRPr="001558A5" w:rsidRDefault="00B96431" w:rsidP="00024E42">
      <w:pPr>
        <w:pStyle w:val="Numberedparagraphs"/>
        <w:numPr>
          <w:ilvl w:val="0"/>
          <w:numId w:val="0"/>
        </w:numPr>
        <w:spacing w:before="120" w:after="120"/>
        <w:ind w:left="644" w:right="404"/>
        <w:rPr>
          <w:sz w:val="18"/>
          <w:szCs w:val="18"/>
          <w:lang w:val="en-US"/>
        </w:rPr>
      </w:pPr>
      <w:r w:rsidRPr="001558A5">
        <w:rPr>
          <w:sz w:val="18"/>
          <w:szCs w:val="18"/>
          <w:lang w:val="en-US"/>
        </w:rPr>
        <w:t>[</w:t>
      </w:r>
      <w:r w:rsidR="00024E42" w:rsidRPr="001558A5">
        <w:rPr>
          <w:sz w:val="18"/>
          <w:szCs w:val="18"/>
          <w:lang w:val="en-US"/>
        </w:rPr>
        <w:t>T</w:t>
      </w:r>
      <w:r w:rsidRPr="001558A5">
        <w:rPr>
          <w:sz w:val="18"/>
          <w:szCs w:val="18"/>
          <w:lang w:val="en-US"/>
        </w:rPr>
        <w:t>]</w:t>
      </w:r>
      <w:r w:rsidR="00024E42" w:rsidRPr="001558A5">
        <w:rPr>
          <w:sz w:val="18"/>
          <w:szCs w:val="18"/>
          <w:lang w:val="en-US"/>
        </w:rPr>
        <w:t>he mechanisms for the protection of human rights of the United Nations and of the Inter-American system have documented violent acts committed against LGBTI persons in all regions based on prejudices</w:t>
      </w:r>
      <w:r w:rsidRPr="001558A5">
        <w:rPr>
          <w:sz w:val="18"/>
          <w:szCs w:val="18"/>
          <w:lang w:val="en-US"/>
        </w:rPr>
        <w:t xml:space="preserve">. </w:t>
      </w:r>
      <w:r w:rsidR="00024E42" w:rsidRPr="001558A5">
        <w:rPr>
          <w:sz w:val="18"/>
          <w:szCs w:val="18"/>
          <w:lang w:val="en-US"/>
        </w:rPr>
        <w:t xml:space="preserve">The UNHCHR has noted that “such violence </w:t>
      </w:r>
      <w:r w:rsidR="00024E42" w:rsidRPr="001558A5">
        <w:rPr>
          <w:sz w:val="18"/>
          <w:szCs w:val="18"/>
          <w:lang w:val="en-US" w:eastAsia="zh-CN"/>
        </w:rPr>
        <w:t>may be physical (including murder, beatings, kidnapping and sexual assault) or psychological (including threats, coercion and the arbitrary deprivation of liberty, which includes forced psychiatric incarceration</w:t>
      </w:r>
      <w:r w:rsidRPr="001558A5">
        <w:rPr>
          <w:sz w:val="18"/>
          <w:szCs w:val="18"/>
          <w:lang w:val="en-US"/>
        </w:rPr>
        <w:t>)</w:t>
      </w:r>
      <w:r w:rsidR="00024E42" w:rsidRPr="001558A5">
        <w:rPr>
          <w:sz w:val="18"/>
          <w:szCs w:val="18"/>
          <w:lang w:val="en-US"/>
        </w:rPr>
        <w:t>.</w:t>
      </w:r>
      <w:r w:rsidRPr="001558A5">
        <w:rPr>
          <w:sz w:val="18"/>
          <w:szCs w:val="18"/>
          <w:lang w:val="en-US"/>
        </w:rPr>
        <w:t xml:space="preserve">” </w:t>
      </w:r>
    </w:p>
    <w:p w14:paraId="483C67D4" w14:textId="1DC57B87" w:rsidR="00B96431" w:rsidRPr="001558A5" w:rsidRDefault="00024E42" w:rsidP="00024E42">
      <w:pPr>
        <w:pStyle w:val="Prrafodelista"/>
        <w:numPr>
          <w:ilvl w:val="0"/>
          <w:numId w:val="2"/>
        </w:numPr>
        <w:spacing w:before="120" w:after="120"/>
        <w:ind w:left="0" w:firstLine="0"/>
        <w:contextualSpacing w:val="0"/>
        <w:rPr>
          <w:lang w:val="en-US"/>
        </w:rPr>
      </w:pPr>
      <w:r w:rsidRPr="001558A5">
        <w:rPr>
          <w:lang w:val="en-US"/>
        </w:rPr>
        <w:t xml:space="preserve">Violence against the LGBTI community is based on prejudices, perceptions that are generally negative towards those persons or situations that are </w:t>
      </w:r>
      <w:r w:rsidR="00F50024" w:rsidRPr="001558A5">
        <w:rPr>
          <w:lang w:val="en-US"/>
        </w:rPr>
        <w:t>unfamiliar</w:t>
      </w:r>
      <w:r w:rsidRPr="001558A5">
        <w:rPr>
          <w:lang w:val="en-US"/>
        </w:rPr>
        <w:t xml:space="preserve"> or different. In the case of LGBTI persons, this refers to prejudices based on </w:t>
      </w:r>
      <w:r w:rsidR="00DF7573" w:rsidRPr="001558A5">
        <w:rPr>
          <w:rFonts w:eastAsia="Times New Roman" w:cs="Segoe UI"/>
          <w:lang w:val="en-US"/>
        </w:rPr>
        <w:t>sexual orientation</w:t>
      </w:r>
      <w:r w:rsidR="00B96431" w:rsidRPr="001558A5">
        <w:rPr>
          <w:lang w:val="en-US"/>
        </w:rPr>
        <w:t xml:space="preserve">, </w:t>
      </w:r>
      <w:r w:rsidR="002C4427" w:rsidRPr="001558A5">
        <w:rPr>
          <w:lang w:val="en-US"/>
        </w:rPr>
        <w:t>and</w:t>
      </w:r>
      <w:r w:rsidR="00B96431" w:rsidRPr="001558A5">
        <w:rPr>
          <w:lang w:val="en-US"/>
        </w:rPr>
        <w:t xml:space="preserve"> </w:t>
      </w:r>
      <w:r w:rsidR="002C5430" w:rsidRPr="001558A5">
        <w:rPr>
          <w:lang w:val="en-US"/>
        </w:rPr>
        <w:t xml:space="preserve">gender </w:t>
      </w:r>
      <w:r w:rsidRPr="001558A5">
        <w:rPr>
          <w:lang w:val="en-US"/>
        </w:rPr>
        <w:t xml:space="preserve">identity </w:t>
      </w:r>
      <w:r w:rsidR="00F50024" w:rsidRPr="001558A5">
        <w:rPr>
          <w:lang w:val="en-US"/>
        </w:rPr>
        <w:t>and</w:t>
      </w:r>
      <w:r w:rsidRPr="001558A5">
        <w:rPr>
          <w:lang w:val="en-US"/>
        </w:rPr>
        <w:t xml:space="preserve"> </w:t>
      </w:r>
      <w:r w:rsidR="002C5430" w:rsidRPr="001558A5">
        <w:rPr>
          <w:lang w:val="en-US"/>
        </w:rPr>
        <w:t>expression</w:t>
      </w:r>
      <w:r w:rsidR="00B96431" w:rsidRPr="001558A5">
        <w:rPr>
          <w:rFonts w:eastAsia="Times New Roman" w:cs="Segoe UI"/>
          <w:lang w:val="en-US"/>
        </w:rPr>
        <w:t xml:space="preserve">. </w:t>
      </w:r>
      <w:r w:rsidRPr="001558A5">
        <w:rPr>
          <w:rFonts w:eastAsia="Times New Roman" w:cs="Segoe UI"/>
          <w:lang w:val="en-US"/>
        </w:rPr>
        <w:t xml:space="preserve">This type of violence may be </w:t>
      </w:r>
      <w:r w:rsidR="00AB1D37" w:rsidRPr="001558A5">
        <w:rPr>
          <w:rFonts w:eastAsia="Times New Roman" w:cs="Segoe UI"/>
          <w:lang w:val="en-US"/>
        </w:rPr>
        <w:t>“</w:t>
      </w:r>
      <w:r w:rsidRPr="001558A5">
        <w:rPr>
          <w:rFonts w:eastAsia="Times New Roman" w:cs="Segoe UI"/>
          <w:lang w:val="en-US"/>
        </w:rPr>
        <w:t xml:space="preserve">driven by </w:t>
      </w:r>
      <w:r w:rsidRPr="001558A5">
        <w:rPr>
          <w:lang w:val="en-US"/>
        </w:rPr>
        <w:t xml:space="preserve">the desire to punish those </w:t>
      </w:r>
      <w:r w:rsidR="00AB1D37" w:rsidRPr="001558A5">
        <w:rPr>
          <w:lang w:val="en-US"/>
        </w:rPr>
        <w:t>seen as defying</w:t>
      </w:r>
      <w:r w:rsidRPr="001558A5">
        <w:rPr>
          <w:lang w:val="en-US"/>
        </w:rPr>
        <w:t xml:space="preserve"> gender norms.</w:t>
      </w:r>
      <w:r w:rsidR="00B96431" w:rsidRPr="001558A5">
        <w:rPr>
          <w:lang w:val="en-US"/>
        </w:rPr>
        <w:t>”</w:t>
      </w:r>
      <w:r w:rsidR="00B96431" w:rsidRPr="001558A5">
        <w:rPr>
          <w:rStyle w:val="Refdenotaalpie"/>
          <w:lang w:val="en-US"/>
        </w:rPr>
        <w:footnoteReference w:id="98"/>
      </w:r>
      <w:r w:rsidR="00B96431" w:rsidRPr="001558A5">
        <w:rPr>
          <w:lang w:val="en-US"/>
        </w:rPr>
        <w:t xml:space="preserve"> </w:t>
      </w:r>
      <w:r w:rsidRPr="001558A5">
        <w:rPr>
          <w:lang w:val="en-US"/>
        </w:rPr>
        <w:t xml:space="preserve">The United Nations Independent Expert on protection against violence and discrimination based on </w:t>
      </w:r>
      <w:r w:rsidR="00675A99" w:rsidRPr="001558A5">
        <w:rPr>
          <w:lang w:val="en-US"/>
        </w:rPr>
        <w:t>sexual orientation</w:t>
      </w:r>
      <w:r w:rsidR="00B96431" w:rsidRPr="001558A5">
        <w:rPr>
          <w:lang w:val="en-US"/>
        </w:rPr>
        <w:t xml:space="preserve"> </w:t>
      </w:r>
      <w:r w:rsidRPr="001558A5">
        <w:rPr>
          <w:lang w:val="en-US"/>
        </w:rPr>
        <w:t xml:space="preserve">and </w:t>
      </w:r>
      <w:r w:rsidR="00DF7573" w:rsidRPr="001558A5">
        <w:rPr>
          <w:lang w:val="en-US"/>
        </w:rPr>
        <w:t>gender identity</w:t>
      </w:r>
      <w:r w:rsidR="00B96431" w:rsidRPr="001558A5">
        <w:rPr>
          <w:lang w:val="en-US"/>
        </w:rPr>
        <w:t xml:space="preserve"> ha</w:t>
      </w:r>
      <w:r w:rsidRPr="001558A5">
        <w:rPr>
          <w:lang w:val="en-US"/>
        </w:rPr>
        <w:t>s indicated that:</w:t>
      </w:r>
    </w:p>
    <w:p w14:paraId="50681000" w14:textId="6C68D30F" w:rsidR="00B96431" w:rsidRPr="001558A5" w:rsidRDefault="002C4427" w:rsidP="002C4427">
      <w:pPr>
        <w:pStyle w:val="Numberedparagraphs"/>
        <w:numPr>
          <w:ilvl w:val="0"/>
          <w:numId w:val="0"/>
        </w:numPr>
        <w:spacing w:before="120" w:after="120"/>
        <w:ind w:left="644" w:right="404"/>
        <w:rPr>
          <w:sz w:val="18"/>
          <w:szCs w:val="18"/>
          <w:lang w:val="en-US"/>
        </w:rPr>
      </w:pPr>
      <w:r w:rsidRPr="001558A5">
        <w:rPr>
          <w:sz w:val="18"/>
          <w:szCs w:val="18"/>
          <w:lang w:val="en-US"/>
        </w:rPr>
        <w:t xml:space="preserve">At </w:t>
      </w:r>
      <w:r w:rsidRPr="001558A5">
        <w:rPr>
          <w:rStyle w:val="markedcontent"/>
          <w:rFonts w:cs="Arial"/>
          <w:sz w:val="18"/>
          <w:szCs w:val="18"/>
          <w:lang w:val="en-US"/>
        </w:rPr>
        <w:t xml:space="preserve">the root of the acts of violence and discrimination [based on </w:t>
      </w:r>
      <w:r w:rsidRPr="001558A5">
        <w:rPr>
          <w:sz w:val="18"/>
          <w:szCs w:val="18"/>
          <w:lang w:val="en-US"/>
        </w:rPr>
        <w:t xml:space="preserve">sexual orientation and gender identity] </w:t>
      </w:r>
      <w:r w:rsidRPr="001558A5">
        <w:rPr>
          <w:rStyle w:val="markedcontent"/>
          <w:rFonts w:cs="Arial"/>
          <w:sz w:val="18"/>
          <w:szCs w:val="18"/>
          <w:lang w:val="en-US"/>
        </w:rPr>
        <w:t>lies the intent to punish based on preconceived notions of what the victim’s sexual orientation or gender identity should be, with a binary understanding of what constitutes a male and a female</w:t>
      </w:r>
      <w:r w:rsidR="00B96431" w:rsidRPr="001558A5">
        <w:rPr>
          <w:sz w:val="18"/>
          <w:szCs w:val="18"/>
          <w:lang w:val="en-US"/>
        </w:rPr>
        <w:t xml:space="preserve"> </w:t>
      </w:r>
      <w:r w:rsidRPr="001558A5">
        <w:rPr>
          <w:rStyle w:val="markedcontent"/>
          <w:rFonts w:cs="Arial"/>
          <w:sz w:val="18"/>
          <w:szCs w:val="18"/>
          <w:lang w:val="en-US"/>
        </w:rPr>
        <w:t>or the masculine and the feminine, or with stereotypes of gender sexuality.</w:t>
      </w:r>
      <w:r w:rsidR="00B96431" w:rsidRPr="001558A5">
        <w:rPr>
          <w:sz w:val="18"/>
          <w:szCs w:val="18"/>
          <w:vertAlign w:val="superscript"/>
          <w:lang w:val="en-US"/>
        </w:rPr>
        <w:footnoteReference w:id="99"/>
      </w:r>
    </w:p>
    <w:p w14:paraId="433A9DA0" w14:textId="4759DB99" w:rsidR="00B96431" w:rsidRPr="001558A5" w:rsidRDefault="002C4427" w:rsidP="00044EE8">
      <w:pPr>
        <w:pStyle w:val="Prrafodelista"/>
        <w:numPr>
          <w:ilvl w:val="0"/>
          <w:numId w:val="2"/>
        </w:numPr>
        <w:spacing w:before="120" w:after="120"/>
        <w:ind w:left="0" w:firstLine="0"/>
        <w:contextualSpacing w:val="0"/>
        <w:rPr>
          <w:lang w:val="en-US"/>
        </w:rPr>
      </w:pPr>
      <w:r w:rsidRPr="001558A5">
        <w:rPr>
          <w:rFonts w:eastAsia="Times New Roman"/>
          <w:lang w:val="en-US" w:eastAsia="es-ES"/>
        </w:rPr>
        <w:t xml:space="preserve">Likewise, this Court has indicated that violence against the LGBTI community has a symbolic purpose; the victim is chosen in order to communicate a message of exclusion or subordination. On this point, the Court has indicated that </w:t>
      </w:r>
      <w:r w:rsidR="00044EE8" w:rsidRPr="001558A5">
        <w:rPr>
          <w:rFonts w:eastAsia="Times New Roman"/>
          <w:lang w:val="en-US" w:eastAsia="es-ES"/>
        </w:rPr>
        <w:t>t</w:t>
      </w:r>
      <w:r w:rsidR="00044EE8" w:rsidRPr="001558A5">
        <w:rPr>
          <w:lang w:val="en-US"/>
        </w:rPr>
        <w:t xml:space="preserve">he purpose or effect of </w:t>
      </w:r>
      <w:r w:rsidR="00044EE8" w:rsidRPr="001558A5">
        <w:rPr>
          <w:rFonts w:eastAsia="Times New Roman"/>
          <w:lang w:val="en-US" w:eastAsia="es-ES"/>
        </w:rPr>
        <w:t xml:space="preserve">violence used for discriminatory purposes is </w:t>
      </w:r>
      <w:r w:rsidR="00044EE8" w:rsidRPr="001558A5">
        <w:rPr>
          <w:lang w:val="en-US"/>
        </w:rPr>
        <w:t>to prevent or invalidate the recognition, enjoyment or exercise of the human rights and fundamental freedoms of the person subjected to such discrimination, irrespective of whether that person self-identifies with a specific category</w:t>
      </w:r>
      <w:r w:rsidRPr="001558A5">
        <w:rPr>
          <w:rFonts w:eastAsia="Times New Roman"/>
          <w:lang w:val="en-US" w:eastAsia="es-ES"/>
        </w:rPr>
        <w:t>.</w:t>
      </w:r>
      <w:r w:rsidR="00B96431" w:rsidRPr="001558A5">
        <w:rPr>
          <w:rStyle w:val="Refdenotaalpie"/>
          <w:lang w:val="en-US"/>
        </w:rPr>
        <w:footnoteReference w:id="100"/>
      </w:r>
      <w:r w:rsidRPr="001558A5">
        <w:rPr>
          <w:lang w:val="en-US"/>
        </w:rPr>
        <w:t xml:space="preserve"> This violence, fueled by hate speech may result in hate crimes.</w:t>
      </w:r>
      <w:r w:rsidR="00B96431" w:rsidRPr="001558A5">
        <w:rPr>
          <w:rStyle w:val="Refdenotaalpie"/>
          <w:lang w:val="en-US"/>
        </w:rPr>
        <w:footnoteReference w:id="101"/>
      </w:r>
    </w:p>
    <w:p w14:paraId="3099322B" w14:textId="6B5E4EC9" w:rsidR="004243F9" w:rsidRPr="001558A5" w:rsidRDefault="002C4427" w:rsidP="002C44DF">
      <w:pPr>
        <w:pStyle w:val="Prrafodelista"/>
        <w:numPr>
          <w:ilvl w:val="0"/>
          <w:numId w:val="2"/>
        </w:numPr>
        <w:spacing w:before="120" w:after="120"/>
        <w:ind w:left="0" w:firstLine="0"/>
        <w:contextualSpacing w:val="0"/>
        <w:rPr>
          <w:lang w:val="en-US"/>
        </w:rPr>
      </w:pPr>
      <w:r w:rsidRPr="001558A5">
        <w:rPr>
          <w:lang w:val="en-US"/>
        </w:rPr>
        <w:t xml:space="preserve">In the instant case, the allegations concerning </w:t>
      </w:r>
      <w:r w:rsidR="00215FEF" w:rsidRPr="001558A5">
        <w:rPr>
          <w:lang w:val="en-US"/>
        </w:rPr>
        <w:t>discrimination</w:t>
      </w:r>
      <w:r w:rsidR="00B96431" w:rsidRPr="001558A5">
        <w:rPr>
          <w:lang w:val="en-US"/>
        </w:rPr>
        <w:t xml:space="preserve"> constitu</w:t>
      </w:r>
      <w:r w:rsidRPr="001558A5">
        <w:rPr>
          <w:lang w:val="en-US"/>
        </w:rPr>
        <w:t xml:space="preserve">te a cross-cutting issue to the other alleged violations and, consequently, the Court will take them into account throughout this judgment. </w:t>
      </w:r>
    </w:p>
    <w:p w14:paraId="598E2570" w14:textId="589EB1C5" w:rsidR="00DE03C9" w:rsidRPr="001558A5" w:rsidRDefault="004D3638" w:rsidP="00945CE2">
      <w:pPr>
        <w:pStyle w:val="Ttulo1"/>
        <w:ind w:firstLine="6"/>
        <w:rPr>
          <w:b w:val="0"/>
          <w:bCs w:val="0"/>
          <w:caps w:val="0"/>
          <w:snapToGrid/>
          <w:lang w:val="en-US"/>
        </w:rPr>
      </w:pPr>
      <w:bookmarkStart w:id="89" w:name="_Toc505876993"/>
      <w:bookmarkStart w:id="90" w:name="_Toc73430053"/>
      <w:bookmarkStart w:id="91" w:name="_Toc15304002"/>
      <w:bookmarkStart w:id="92" w:name="_Toc15304001"/>
      <w:r w:rsidRPr="001558A5">
        <w:rPr>
          <w:caps w:val="0"/>
          <w:lang w:val="en-US"/>
        </w:rPr>
        <w:t>VII.2</w:t>
      </w:r>
      <w:r w:rsidRPr="001558A5">
        <w:rPr>
          <w:caps w:val="0"/>
          <w:color w:val="FFFFFF" w:themeColor="background1"/>
          <w:lang w:val="en-US"/>
        </w:rPr>
        <w:t>.</w:t>
      </w:r>
      <w:bookmarkEnd w:id="89"/>
      <w:r w:rsidRPr="001558A5">
        <w:rPr>
          <w:b w:val="0"/>
          <w:caps w:val="0"/>
          <w:lang w:val="en-US"/>
        </w:rPr>
        <w:br/>
      </w:r>
      <w:r w:rsidR="00044EE8" w:rsidRPr="001558A5">
        <w:rPr>
          <w:rStyle w:val="Ttulo1Car"/>
          <w:rFonts w:eastAsia="Batang"/>
          <w:b/>
          <w:noProof w:val="0"/>
          <w:lang w:val="en-US"/>
        </w:rPr>
        <w:t>RIGHTS TO</w:t>
      </w:r>
      <w:r w:rsidR="00810BAA" w:rsidRPr="001558A5">
        <w:rPr>
          <w:rStyle w:val="Ttulo1Car"/>
          <w:rFonts w:eastAsia="Batang"/>
          <w:b/>
          <w:noProof w:val="0"/>
          <w:lang w:val="en-US"/>
        </w:rPr>
        <w:t xml:space="preserve"> </w:t>
      </w:r>
      <w:r w:rsidR="00907FBD" w:rsidRPr="001558A5">
        <w:rPr>
          <w:rStyle w:val="Ttulo1Car"/>
          <w:rFonts w:eastAsia="Batang"/>
          <w:b/>
          <w:noProof w:val="0"/>
          <w:lang w:val="en-US"/>
        </w:rPr>
        <w:t>RECOGNITION OF JURIDICAL PERSONALITY</w:t>
      </w:r>
      <w:r w:rsidR="00044EE8" w:rsidRPr="001558A5">
        <w:rPr>
          <w:rStyle w:val="Ttulo1Car"/>
          <w:rFonts w:eastAsia="Batang"/>
          <w:b/>
          <w:noProof w:val="0"/>
          <w:lang w:val="en-US"/>
        </w:rPr>
        <w:t>,</w:t>
      </w:r>
      <w:r w:rsidR="0075091C" w:rsidRPr="001558A5">
        <w:rPr>
          <w:rStyle w:val="Refdenotaalpie"/>
          <w:rFonts w:eastAsia="Batang"/>
          <w:bCs w:val="0"/>
          <w:caps w:val="0"/>
          <w:snapToGrid/>
          <w:lang w:val="en-US"/>
        </w:rPr>
        <w:footnoteReference w:id="102"/>
      </w:r>
      <w:r w:rsidRPr="001558A5">
        <w:rPr>
          <w:rStyle w:val="Ttulo1Car"/>
          <w:rFonts w:eastAsia="Batang"/>
          <w:b/>
          <w:noProof w:val="0"/>
          <w:lang w:val="en-US"/>
        </w:rPr>
        <w:t xml:space="preserve"> </w:t>
      </w:r>
      <w:r w:rsidR="00044EE8" w:rsidRPr="001558A5">
        <w:rPr>
          <w:rStyle w:val="Ttulo1Car"/>
          <w:rFonts w:eastAsia="Batang"/>
          <w:b/>
          <w:noProof w:val="0"/>
          <w:lang w:val="en-US"/>
        </w:rPr>
        <w:t>LIFE,</w:t>
      </w:r>
      <w:r w:rsidR="00DE23C8" w:rsidRPr="001558A5">
        <w:rPr>
          <w:rStyle w:val="Refdenotaalpie"/>
          <w:rFonts w:eastAsia="Batang"/>
          <w:bCs w:val="0"/>
          <w:caps w:val="0"/>
          <w:snapToGrid/>
          <w:lang w:val="en-US"/>
        </w:rPr>
        <w:footnoteReference w:id="103"/>
      </w:r>
      <w:r w:rsidRPr="001558A5">
        <w:rPr>
          <w:rStyle w:val="Ttulo1Car"/>
          <w:rFonts w:eastAsia="Batang"/>
          <w:b/>
          <w:noProof w:val="0"/>
          <w:lang w:val="en-US"/>
        </w:rPr>
        <w:t xml:space="preserve"> </w:t>
      </w:r>
      <w:r w:rsidR="00B732DD" w:rsidRPr="001558A5">
        <w:rPr>
          <w:rStyle w:val="Ttulo1Car"/>
          <w:rFonts w:eastAsia="Batang"/>
          <w:b/>
          <w:noProof w:val="0"/>
          <w:lang w:val="en-US"/>
        </w:rPr>
        <w:t>PERSONAL INTEGRITY</w:t>
      </w:r>
      <w:r w:rsidR="00044EE8" w:rsidRPr="001558A5">
        <w:rPr>
          <w:rStyle w:val="Ttulo1Car"/>
          <w:rFonts w:eastAsia="Batang"/>
          <w:b/>
          <w:noProof w:val="0"/>
          <w:lang w:val="en-US"/>
        </w:rPr>
        <w:t>,</w:t>
      </w:r>
      <w:r w:rsidR="00DE23C8" w:rsidRPr="001558A5">
        <w:rPr>
          <w:rStyle w:val="Refdenotaalpie"/>
          <w:rFonts w:eastAsia="Batang"/>
          <w:bCs w:val="0"/>
          <w:caps w:val="0"/>
          <w:snapToGrid/>
          <w:lang w:val="en-US"/>
        </w:rPr>
        <w:footnoteReference w:id="104"/>
      </w:r>
      <w:r w:rsidRPr="001558A5">
        <w:rPr>
          <w:rStyle w:val="Ttulo1Car"/>
          <w:rFonts w:eastAsia="Batang"/>
          <w:b/>
          <w:noProof w:val="0"/>
          <w:lang w:val="en-US"/>
        </w:rPr>
        <w:t xml:space="preserve"> </w:t>
      </w:r>
      <w:r w:rsidR="004A4A92" w:rsidRPr="001558A5">
        <w:rPr>
          <w:rStyle w:val="Ttulo1Car"/>
          <w:rFonts w:eastAsia="Batang"/>
          <w:b/>
          <w:noProof w:val="0"/>
          <w:lang w:val="en-US"/>
        </w:rPr>
        <w:t>PERSONAL LIBERTY</w:t>
      </w:r>
      <w:r w:rsidR="00044EE8" w:rsidRPr="001558A5">
        <w:rPr>
          <w:rStyle w:val="Ttulo1Car"/>
          <w:rFonts w:eastAsia="Batang"/>
          <w:b/>
          <w:noProof w:val="0"/>
          <w:lang w:val="en-US"/>
        </w:rPr>
        <w:t>,</w:t>
      </w:r>
      <w:r w:rsidR="00DE23C8" w:rsidRPr="001558A5">
        <w:rPr>
          <w:rStyle w:val="Refdenotaalpie"/>
          <w:rFonts w:eastAsia="Batang"/>
          <w:bCs w:val="0"/>
          <w:caps w:val="0"/>
          <w:snapToGrid/>
          <w:lang w:val="en-US"/>
        </w:rPr>
        <w:footnoteReference w:id="105"/>
      </w:r>
      <w:r w:rsidR="00044EE8" w:rsidRPr="001558A5">
        <w:rPr>
          <w:rStyle w:val="Ttulo1Car"/>
          <w:rFonts w:eastAsia="Batang"/>
          <w:b/>
          <w:noProof w:val="0"/>
          <w:lang w:val="en-US"/>
        </w:rPr>
        <w:t xml:space="preserve"> </w:t>
      </w:r>
      <w:r w:rsidR="00B732DD" w:rsidRPr="001558A5">
        <w:rPr>
          <w:rStyle w:val="Ttulo1Car"/>
          <w:rFonts w:eastAsia="Batang"/>
          <w:b/>
          <w:noProof w:val="0"/>
          <w:lang w:val="en-US"/>
        </w:rPr>
        <w:t>JUDICIAL GUARANTEES</w:t>
      </w:r>
      <w:r w:rsidR="00044EE8" w:rsidRPr="001558A5">
        <w:rPr>
          <w:rStyle w:val="Ttulo1Car"/>
          <w:rFonts w:eastAsia="Batang"/>
          <w:b/>
          <w:noProof w:val="0"/>
          <w:lang w:val="en-US"/>
        </w:rPr>
        <w:t>,</w:t>
      </w:r>
      <w:r w:rsidRPr="001558A5">
        <w:rPr>
          <w:rStyle w:val="Refdenotaalpie"/>
          <w:rFonts w:eastAsia="Batang"/>
          <w:bCs w:val="0"/>
          <w:caps w:val="0"/>
          <w:snapToGrid/>
          <w:lang w:val="en-US"/>
        </w:rPr>
        <w:footnoteReference w:id="106"/>
      </w:r>
      <w:r w:rsidR="00044EE8" w:rsidRPr="001558A5">
        <w:rPr>
          <w:rStyle w:val="Ttulo1Car"/>
          <w:rFonts w:eastAsia="Batang"/>
          <w:b/>
          <w:noProof w:val="0"/>
          <w:lang w:val="en-US"/>
        </w:rPr>
        <w:t xml:space="preserve"> PRIVACY,</w:t>
      </w:r>
      <w:r w:rsidR="00DE23C8" w:rsidRPr="001558A5">
        <w:rPr>
          <w:rStyle w:val="Refdenotaalpie"/>
          <w:rFonts w:eastAsia="Batang"/>
          <w:bCs w:val="0"/>
          <w:caps w:val="0"/>
          <w:snapToGrid/>
          <w:lang w:val="en-US"/>
        </w:rPr>
        <w:footnoteReference w:id="107"/>
      </w:r>
      <w:r w:rsidRPr="001558A5">
        <w:rPr>
          <w:rStyle w:val="Ttulo1Car"/>
          <w:rFonts w:eastAsia="Batang"/>
          <w:b/>
          <w:noProof w:val="0"/>
          <w:lang w:val="en-US"/>
        </w:rPr>
        <w:t xml:space="preserve"> </w:t>
      </w:r>
      <w:r w:rsidR="00B732DD" w:rsidRPr="001558A5">
        <w:rPr>
          <w:rStyle w:val="Ttulo1Car"/>
          <w:rFonts w:eastAsia="Batang"/>
          <w:b/>
          <w:noProof w:val="0"/>
          <w:lang w:val="en-US"/>
        </w:rPr>
        <w:t>FREEDOM OF EXPRESSION</w:t>
      </w:r>
      <w:r w:rsidR="00044EE8" w:rsidRPr="001558A5">
        <w:rPr>
          <w:rStyle w:val="Ttulo1Car"/>
          <w:rFonts w:eastAsia="Batang"/>
          <w:b/>
          <w:noProof w:val="0"/>
          <w:lang w:val="en-US"/>
        </w:rPr>
        <w:t>,</w:t>
      </w:r>
      <w:r w:rsidR="00DE23C8" w:rsidRPr="001558A5">
        <w:rPr>
          <w:rStyle w:val="Refdenotaalpie"/>
          <w:rFonts w:eastAsia="Batang"/>
          <w:bCs w:val="0"/>
          <w:caps w:val="0"/>
          <w:snapToGrid/>
          <w:lang w:val="en-US"/>
        </w:rPr>
        <w:footnoteReference w:id="108"/>
      </w:r>
      <w:r w:rsidRPr="001558A5">
        <w:rPr>
          <w:rStyle w:val="Ttulo1Car"/>
          <w:rFonts w:eastAsia="Batang"/>
          <w:b/>
          <w:noProof w:val="0"/>
          <w:lang w:val="en-US"/>
        </w:rPr>
        <w:t xml:space="preserve"> </w:t>
      </w:r>
      <w:r w:rsidR="00044EE8" w:rsidRPr="001558A5">
        <w:rPr>
          <w:rStyle w:val="Ttulo1Car"/>
          <w:rFonts w:eastAsia="Batang"/>
          <w:b/>
          <w:noProof w:val="0"/>
          <w:lang w:val="en-US"/>
        </w:rPr>
        <w:t>A NAME,</w:t>
      </w:r>
      <w:r w:rsidR="00DE23C8" w:rsidRPr="001558A5">
        <w:rPr>
          <w:rStyle w:val="Refdenotaalpie"/>
          <w:rFonts w:eastAsia="Batang"/>
          <w:bCs w:val="0"/>
          <w:caps w:val="0"/>
          <w:snapToGrid/>
          <w:lang w:val="en-US"/>
        </w:rPr>
        <w:footnoteReference w:id="109"/>
      </w:r>
      <w:r w:rsidRPr="001558A5">
        <w:rPr>
          <w:rStyle w:val="Ttulo1Car"/>
          <w:rFonts w:eastAsia="Batang"/>
          <w:b/>
          <w:noProof w:val="0"/>
          <w:lang w:val="en-US"/>
        </w:rPr>
        <w:t xml:space="preserve"> </w:t>
      </w:r>
      <w:r w:rsidR="00044EE8" w:rsidRPr="001558A5">
        <w:rPr>
          <w:rStyle w:val="Ttulo1Car"/>
          <w:rFonts w:eastAsia="Batang"/>
          <w:b/>
          <w:noProof w:val="0"/>
          <w:lang w:val="en-US"/>
        </w:rPr>
        <w:t>EQUALITY AND NON-DISCRIMINATION,</w:t>
      </w:r>
      <w:r w:rsidR="00190386" w:rsidRPr="001558A5">
        <w:rPr>
          <w:rStyle w:val="Refdenotaalpie"/>
          <w:rFonts w:eastAsia="Batang"/>
          <w:bCs w:val="0"/>
          <w:caps w:val="0"/>
          <w:snapToGrid/>
          <w:lang w:val="en-US"/>
        </w:rPr>
        <w:footnoteReference w:id="110"/>
      </w:r>
      <w:r w:rsidR="0068581F" w:rsidRPr="001558A5">
        <w:rPr>
          <w:rStyle w:val="Ttulo1Car"/>
          <w:rFonts w:eastAsia="Batang"/>
          <w:b/>
          <w:noProof w:val="0"/>
          <w:lang w:val="en-US"/>
        </w:rPr>
        <w:t xml:space="preserve"> </w:t>
      </w:r>
      <w:r w:rsidR="00B732DD" w:rsidRPr="001558A5">
        <w:rPr>
          <w:rStyle w:val="Ttulo1Car"/>
          <w:rFonts w:eastAsia="Batang"/>
          <w:b/>
          <w:noProof w:val="0"/>
          <w:lang w:val="en-US"/>
        </w:rPr>
        <w:t>JUDICIAL PROTECTION</w:t>
      </w:r>
      <w:r w:rsidR="0068581F" w:rsidRPr="001558A5">
        <w:rPr>
          <w:rStyle w:val="Refdenotaalpie"/>
          <w:rFonts w:eastAsia="Batang"/>
          <w:bCs w:val="0"/>
          <w:caps w:val="0"/>
          <w:snapToGrid/>
          <w:lang w:val="en-US"/>
        </w:rPr>
        <w:footnoteReference w:id="111"/>
      </w:r>
      <w:r w:rsidR="00044EE8" w:rsidRPr="001558A5">
        <w:rPr>
          <w:rStyle w:val="Ttulo1Car"/>
          <w:rFonts w:eastAsia="Batang"/>
          <w:b/>
          <w:noProof w:val="0"/>
          <w:lang w:val="en-US"/>
        </w:rPr>
        <w:t xml:space="preserve"> AND</w:t>
      </w:r>
      <w:r w:rsidRPr="001558A5">
        <w:rPr>
          <w:rStyle w:val="Ttulo1Car"/>
          <w:rFonts w:eastAsia="Batang"/>
          <w:b/>
          <w:noProof w:val="0"/>
          <w:lang w:val="en-US"/>
        </w:rPr>
        <w:t xml:space="preserve"> </w:t>
      </w:r>
      <w:r w:rsidR="00044EE8" w:rsidRPr="001558A5">
        <w:rPr>
          <w:rStyle w:val="Ttulo1Car"/>
          <w:rFonts w:eastAsia="Batang"/>
          <w:b/>
          <w:noProof w:val="0"/>
          <w:lang w:val="en-US"/>
        </w:rPr>
        <w:t>A LIFE FREE OF VIOLENCE</w:t>
      </w:r>
      <w:r w:rsidR="0075091C" w:rsidRPr="001558A5">
        <w:rPr>
          <w:rStyle w:val="Refdenotaalpie"/>
          <w:rFonts w:eastAsia="Batang"/>
          <w:bCs w:val="0"/>
          <w:caps w:val="0"/>
          <w:snapToGrid/>
          <w:lang w:val="en-US"/>
        </w:rPr>
        <w:footnoteReference w:id="112"/>
      </w:r>
      <w:bookmarkEnd w:id="90"/>
      <w:r w:rsidRPr="001558A5">
        <w:rPr>
          <w:rStyle w:val="Ttulo1Car"/>
          <w:rFonts w:eastAsia="Batang"/>
          <w:b/>
          <w:noProof w:val="0"/>
          <w:lang w:val="en-US"/>
        </w:rPr>
        <w:t xml:space="preserve"> </w:t>
      </w:r>
      <w:bookmarkEnd w:id="91"/>
    </w:p>
    <w:p w14:paraId="2659B40E" w14:textId="7D4424E9" w:rsidR="007E0501" w:rsidRPr="001558A5" w:rsidRDefault="00CC521A" w:rsidP="00945CE2">
      <w:pPr>
        <w:pStyle w:val="Ttulo2"/>
        <w:numPr>
          <w:ilvl w:val="0"/>
          <w:numId w:val="21"/>
        </w:numPr>
        <w:spacing w:before="240" w:after="240"/>
        <w:rPr>
          <w:rFonts w:ascii="Verdana" w:hAnsi="Verdana"/>
          <w:i/>
          <w:color w:val="auto"/>
          <w:sz w:val="20"/>
          <w:szCs w:val="20"/>
          <w:lang w:val="en-US"/>
        </w:rPr>
      </w:pPr>
      <w:r w:rsidRPr="001558A5">
        <w:rPr>
          <w:rFonts w:ascii="Verdana" w:hAnsi="Verdana"/>
          <w:i/>
          <w:color w:val="auto"/>
          <w:sz w:val="20"/>
          <w:szCs w:val="20"/>
          <w:lang w:val="en-US"/>
        </w:rPr>
        <w:t>Arguments of the parties and the Commission</w:t>
      </w:r>
    </w:p>
    <w:p w14:paraId="4B939652" w14:textId="0E055570" w:rsidR="0029267C" w:rsidRPr="001558A5" w:rsidRDefault="00871E19" w:rsidP="0029267C">
      <w:pPr>
        <w:pStyle w:val="Prrafodelista"/>
        <w:numPr>
          <w:ilvl w:val="0"/>
          <w:numId w:val="2"/>
        </w:numPr>
        <w:spacing w:before="120" w:after="120"/>
        <w:ind w:left="0" w:firstLine="0"/>
        <w:contextualSpacing w:val="0"/>
        <w:rPr>
          <w:szCs w:val="20"/>
          <w:lang w:val="en-US"/>
        </w:rPr>
      </w:pPr>
      <w:r w:rsidRPr="001558A5">
        <w:rPr>
          <w:szCs w:val="20"/>
          <w:lang w:val="en-US"/>
        </w:rPr>
        <w:t xml:space="preserve">The </w:t>
      </w:r>
      <w:r w:rsidRPr="001558A5">
        <w:rPr>
          <w:b/>
          <w:bCs/>
          <w:i/>
          <w:iCs/>
          <w:szCs w:val="20"/>
          <w:lang w:val="en-US"/>
        </w:rPr>
        <w:t>Commission</w:t>
      </w:r>
      <w:r w:rsidR="00F51126" w:rsidRPr="001558A5">
        <w:rPr>
          <w:b/>
          <w:i/>
          <w:szCs w:val="20"/>
          <w:lang w:val="en-US"/>
        </w:rPr>
        <w:t xml:space="preserve"> </w:t>
      </w:r>
      <w:r w:rsidR="00F51126" w:rsidRPr="001558A5">
        <w:rPr>
          <w:szCs w:val="20"/>
          <w:lang w:val="en-US"/>
        </w:rPr>
        <w:t>consider</w:t>
      </w:r>
      <w:r w:rsidR="00CC521A" w:rsidRPr="001558A5">
        <w:rPr>
          <w:szCs w:val="20"/>
          <w:lang w:val="en-US"/>
        </w:rPr>
        <w:t xml:space="preserve">ed that, given the nature of the violence and the manner in which it was inflicted on </w:t>
      </w:r>
      <w:r w:rsidR="00F51126" w:rsidRPr="001558A5">
        <w:rPr>
          <w:szCs w:val="20"/>
          <w:lang w:val="en-US"/>
        </w:rPr>
        <w:t>Vicky Hernández,</w:t>
      </w:r>
      <w:r w:rsidR="00DD4354" w:rsidRPr="001558A5">
        <w:rPr>
          <w:szCs w:val="20"/>
          <w:lang w:val="en-US"/>
        </w:rPr>
        <w:t xml:space="preserve"> and</w:t>
      </w:r>
      <w:r w:rsidR="00CC521A" w:rsidRPr="001558A5">
        <w:rPr>
          <w:szCs w:val="20"/>
          <w:lang w:val="en-US"/>
        </w:rPr>
        <w:t xml:space="preserve"> bearing in mind the additional</w:t>
      </w:r>
      <w:r w:rsidR="0029267C" w:rsidRPr="001558A5">
        <w:rPr>
          <w:szCs w:val="20"/>
          <w:lang w:val="en-US"/>
        </w:rPr>
        <w:t xml:space="preserve"> </w:t>
      </w:r>
      <w:r w:rsidR="00CC521A" w:rsidRPr="001558A5">
        <w:rPr>
          <w:szCs w:val="20"/>
          <w:lang w:val="en-US"/>
        </w:rPr>
        <w:t>indication</w:t>
      </w:r>
      <w:r w:rsidR="0029267C" w:rsidRPr="001558A5">
        <w:rPr>
          <w:szCs w:val="20"/>
          <w:lang w:val="en-US"/>
        </w:rPr>
        <w:t>s</w:t>
      </w:r>
      <w:r w:rsidR="00CC521A" w:rsidRPr="001558A5">
        <w:rPr>
          <w:szCs w:val="20"/>
          <w:lang w:val="en-US"/>
        </w:rPr>
        <w:t xml:space="preserve"> </w:t>
      </w:r>
      <w:r w:rsidR="0029267C" w:rsidRPr="001558A5">
        <w:rPr>
          <w:szCs w:val="20"/>
          <w:lang w:val="en-US"/>
        </w:rPr>
        <w:t>suggested by</w:t>
      </w:r>
      <w:r w:rsidR="00CC521A" w:rsidRPr="001558A5">
        <w:rPr>
          <w:szCs w:val="20"/>
          <w:lang w:val="en-US"/>
        </w:rPr>
        <w:t xml:space="preserve"> the considerations </w:t>
      </w:r>
      <w:r w:rsidR="0029267C" w:rsidRPr="001558A5">
        <w:rPr>
          <w:szCs w:val="20"/>
          <w:lang w:val="en-US"/>
        </w:rPr>
        <w:t>as to</w:t>
      </w:r>
      <w:r w:rsidR="00CC521A" w:rsidRPr="001558A5">
        <w:rPr>
          <w:szCs w:val="20"/>
          <w:lang w:val="en-US"/>
        </w:rPr>
        <w:t xml:space="preserve"> the context in which the </w:t>
      </w:r>
      <w:r w:rsidR="0029267C" w:rsidRPr="001558A5">
        <w:rPr>
          <w:szCs w:val="20"/>
          <w:lang w:val="en-US"/>
        </w:rPr>
        <w:t>events</w:t>
      </w:r>
      <w:r w:rsidR="00CC521A" w:rsidRPr="001558A5">
        <w:rPr>
          <w:szCs w:val="20"/>
          <w:lang w:val="en-US"/>
        </w:rPr>
        <w:t xml:space="preserve"> occurred, what happened to Vicky Hernández</w:t>
      </w:r>
      <w:r w:rsidR="0029267C" w:rsidRPr="001558A5">
        <w:rPr>
          <w:szCs w:val="20"/>
          <w:lang w:val="en-US"/>
        </w:rPr>
        <w:t xml:space="preserve"> could be characterized as murder due to </w:t>
      </w:r>
      <w:r w:rsidR="00CC521A" w:rsidRPr="001558A5">
        <w:rPr>
          <w:szCs w:val="20"/>
          <w:lang w:val="en-US"/>
        </w:rPr>
        <w:t xml:space="preserve">prejudice based on </w:t>
      </w:r>
      <w:r w:rsidR="0029267C" w:rsidRPr="001558A5">
        <w:rPr>
          <w:szCs w:val="20"/>
          <w:lang w:val="en-US"/>
        </w:rPr>
        <w:t xml:space="preserve">her </w:t>
      </w:r>
      <w:r w:rsidR="00334678" w:rsidRPr="001558A5">
        <w:rPr>
          <w:szCs w:val="20"/>
          <w:lang w:val="en-US"/>
        </w:rPr>
        <w:t>gender identity and expression</w:t>
      </w:r>
      <w:r w:rsidR="0029267C" w:rsidRPr="001558A5">
        <w:rPr>
          <w:szCs w:val="20"/>
          <w:lang w:val="en-US"/>
        </w:rPr>
        <w:t xml:space="preserve"> as a trans woman, </w:t>
      </w:r>
      <w:r w:rsidR="00CC521A" w:rsidRPr="001558A5">
        <w:rPr>
          <w:szCs w:val="20"/>
          <w:lang w:val="en-US"/>
        </w:rPr>
        <w:t>and th</w:t>
      </w:r>
      <w:r w:rsidR="0029267C" w:rsidRPr="001558A5">
        <w:rPr>
          <w:szCs w:val="20"/>
          <w:lang w:val="en-US"/>
        </w:rPr>
        <w:t>erefore</w:t>
      </w:r>
      <w:r w:rsidR="00CC521A" w:rsidRPr="001558A5">
        <w:rPr>
          <w:szCs w:val="20"/>
          <w:lang w:val="en-US"/>
        </w:rPr>
        <w:t xml:space="preserve"> </w:t>
      </w:r>
      <w:proofErr w:type="spellStart"/>
      <w:r w:rsidR="004F4F9C" w:rsidRPr="001558A5">
        <w:rPr>
          <w:szCs w:val="20"/>
          <w:lang w:val="en-US"/>
        </w:rPr>
        <w:t>transfemicide</w:t>
      </w:r>
      <w:proofErr w:type="spellEnd"/>
      <w:r w:rsidR="0029267C" w:rsidRPr="001558A5">
        <w:rPr>
          <w:szCs w:val="20"/>
          <w:lang w:val="en-US"/>
        </w:rPr>
        <w:t>.</w:t>
      </w:r>
      <w:r w:rsidR="00F51126" w:rsidRPr="001558A5">
        <w:rPr>
          <w:rStyle w:val="Refdenotaalpie"/>
          <w:lang w:val="en-US"/>
        </w:rPr>
        <w:footnoteReference w:id="113"/>
      </w:r>
      <w:r w:rsidR="0029267C" w:rsidRPr="001558A5">
        <w:rPr>
          <w:szCs w:val="20"/>
          <w:lang w:val="en-US"/>
        </w:rPr>
        <w:t xml:space="preserve"> In addition, it considered that </w:t>
      </w:r>
      <w:r w:rsidR="00DD4354" w:rsidRPr="001558A5">
        <w:rPr>
          <w:szCs w:val="20"/>
          <w:lang w:val="en-US"/>
        </w:rPr>
        <w:t>the context</w:t>
      </w:r>
      <w:r w:rsidR="00F51126" w:rsidRPr="001558A5">
        <w:rPr>
          <w:szCs w:val="20"/>
          <w:lang w:val="en-US"/>
        </w:rPr>
        <w:t xml:space="preserve"> </w:t>
      </w:r>
      <w:r w:rsidR="00215FEF" w:rsidRPr="001558A5">
        <w:rPr>
          <w:szCs w:val="20"/>
          <w:lang w:val="en-US"/>
        </w:rPr>
        <w:t xml:space="preserve">of violence </w:t>
      </w:r>
      <w:r w:rsidR="009460CA" w:rsidRPr="001558A5">
        <w:rPr>
          <w:szCs w:val="20"/>
          <w:lang w:val="en-US"/>
        </w:rPr>
        <w:t>against the LGBTI community</w:t>
      </w:r>
      <w:r w:rsidR="00F51126" w:rsidRPr="001558A5">
        <w:rPr>
          <w:szCs w:val="20"/>
          <w:lang w:val="en-US"/>
        </w:rPr>
        <w:t xml:space="preserve"> </w:t>
      </w:r>
      <w:r w:rsidR="00215FEF" w:rsidRPr="001558A5">
        <w:rPr>
          <w:szCs w:val="20"/>
          <w:lang w:val="en-US"/>
        </w:rPr>
        <w:t>in Honduras</w:t>
      </w:r>
      <w:r w:rsidR="0029267C" w:rsidRPr="001558A5">
        <w:rPr>
          <w:szCs w:val="20"/>
          <w:lang w:val="en-US"/>
        </w:rPr>
        <w:t xml:space="preserve">, along with a high incidence of participation by law enforcement agents in such violence, its upsurge </w:t>
      </w:r>
      <w:r w:rsidR="0029267C" w:rsidRPr="001558A5">
        <w:rPr>
          <w:rFonts w:eastAsia="Calibri"/>
          <w:szCs w:val="20"/>
          <w:lang w:val="en-US"/>
        </w:rPr>
        <w:t xml:space="preserve">as a result of the coup d'état, the general climate of militarization generated in the wake of the coup with the resulting control imposed by the state's security forces, as well as the fact that Vicky Hernández's murder occurred precisely in the context of a curfew during which, at the exact time of her death, the streets were under the control of </w:t>
      </w:r>
      <w:r w:rsidR="00732E2E" w:rsidRPr="001558A5">
        <w:rPr>
          <w:rFonts w:eastAsia="Calibri"/>
          <w:szCs w:val="20"/>
          <w:lang w:val="en-US"/>
        </w:rPr>
        <w:t>the S</w:t>
      </w:r>
      <w:r w:rsidR="0029267C" w:rsidRPr="001558A5">
        <w:rPr>
          <w:rFonts w:eastAsia="Calibri"/>
          <w:szCs w:val="20"/>
          <w:lang w:val="en-US"/>
        </w:rPr>
        <w:t>tate</w:t>
      </w:r>
      <w:r w:rsidR="00732E2E" w:rsidRPr="001558A5">
        <w:rPr>
          <w:rFonts w:eastAsia="Calibri"/>
          <w:szCs w:val="20"/>
          <w:lang w:val="en-US"/>
        </w:rPr>
        <w:t>’s</w:t>
      </w:r>
      <w:r w:rsidR="0029267C" w:rsidRPr="001558A5">
        <w:rPr>
          <w:rFonts w:eastAsia="Calibri"/>
          <w:szCs w:val="20"/>
          <w:lang w:val="en-US"/>
        </w:rPr>
        <w:t xml:space="preserve"> </w:t>
      </w:r>
      <w:r w:rsidR="00732E2E" w:rsidRPr="001558A5">
        <w:rPr>
          <w:rFonts w:eastAsia="Calibri"/>
          <w:szCs w:val="20"/>
          <w:lang w:val="en-US"/>
        </w:rPr>
        <w:t>law enforcement</w:t>
      </w:r>
      <w:r w:rsidR="0029267C" w:rsidRPr="001558A5">
        <w:rPr>
          <w:rFonts w:eastAsia="Calibri"/>
          <w:szCs w:val="20"/>
          <w:lang w:val="en-US"/>
        </w:rPr>
        <w:t xml:space="preserve"> </w:t>
      </w:r>
      <w:r w:rsidR="00841EA9" w:rsidRPr="001558A5">
        <w:rPr>
          <w:rFonts w:eastAsia="Calibri"/>
          <w:szCs w:val="20"/>
          <w:lang w:val="en-US"/>
        </w:rPr>
        <w:t>personnel,</w:t>
      </w:r>
      <w:r w:rsidR="0029267C" w:rsidRPr="001558A5">
        <w:rPr>
          <w:rFonts w:eastAsia="Calibri"/>
          <w:szCs w:val="20"/>
          <w:lang w:val="en-US"/>
        </w:rPr>
        <w:t xml:space="preserve"> amount to strong circumstantial evidence of direct </w:t>
      </w:r>
      <w:r w:rsidR="00732E2E" w:rsidRPr="001558A5">
        <w:rPr>
          <w:rFonts w:eastAsia="Calibri"/>
          <w:szCs w:val="20"/>
          <w:lang w:val="en-US"/>
        </w:rPr>
        <w:t>S</w:t>
      </w:r>
      <w:r w:rsidR="0029267C" w:rsidRPr="001558A5">
        <w:rPr>
          <w:rFonts w:eastAsia="Calibri"/>
          <w:szCs w:val="20"/>
          <w:lang w:val="en-US"/>
        </w:rPr>
        <w:t xml:space="preserve">tate involvement in the events. </w:t>
      </w:r>
    </w:p>
    <w:p w14:paraId="798930DC" w14:textId="61675D19" w:rsidR="00F51126" w:rsidRPr="001558A5" w:rsidRDefault="00732E2E" w:rsidP="00732E2E">
      <w:pPr>
        <w:pStyle w:val="Prrafodelista"/>
        <w:numPr>
          <w:ilvl w:val="0"/>
          <w:numId w:val="2"/>
        </w:numPr>
        <w:spacing w:before="120" w:after="120"/>
        <w:ind w:left="0" w:firstLine="0"/>
        <w:contextualSpacing w:val="0"/>
        <w:rPr>
          <w:szCs w:val="20"/>
          <w:lang w:val="en-US"/>
        </w:rPr>
      </w:pPr>
      <w:r w:rsidRPr="001558A5">
        <w:rPr>
          <w:szCs w:val="20"/>
          <w:lang w:val="en-US"/>
        </w:rPr>
        <w:t>The</w:t>
      </w:r>
      <w:r w:rsidR="00871E19" w:rsidRPr="001558A5">
        <w:rPr>
          <w:szCs w:val="20"/>
          <w:lang w:val="en-US"/>
        </w:rPr>
        <w:t xml:space="preserve"> Commission</w:t>
      </w:r>
      <w:r w:rsidRPr="001558A5">
        <w:rPr>
          <w:szCs w:val="20"/>
          <w:lang w:val="en-US"/>
        </w:rPr>
        <w:t xml:space="preserve"> also argued that the </w:t>
      </w:r>
      <w:r w:rsidRPr="001558A5">
        <w:rPr>
          <w:rFonts w:eastAsia="Calibri"/>
          <w:szCs w:val="20"/>
          <w:lang w:val="en-US"/>
        </w:rPr>
        <w:t>lack of a diligent investigation prevented the State from offering a satisfactory and convincing explanation to disprove the allegations of the responsibility of its agents in the events of this case</w:t>
      </w:r>
      <w:r w:rsidRPr="001558A5">
        <w:rPr>
          <w:szCs w:val="20"/>
          <w:lang w:val="en-US"/>
        </w:rPr>
        <w:t xml:space="preserve">. Therefore, it concluded that the State had failed to comply with its obligation to respect the rights to life and </w:t>
      </w:r>
      <w:r w:rsidR="00B732DD" w:rsidRPr="001558A5">
        <w:rPr>
          <w:szCs w:val="20"/>
          <w:lang w:val="en-US"/>
        </w:rPr>
        <w:t>personal integrity</w:t>
      </w:r>
      <w:r w:rsidR="00F51126" w:rsidRPr="001558A5">
        <w:rPr>
          <w:szCs w:val="20"/>
          <w:lang w:val="en-US"/>
        </w:rPr>
        <w:t xml:space="preserve"> </w:t>
      </w:r>
      <w:r w:rsidRPr="001558A5">
        <w:rPr>
          <w:szCs w:val="20"/>
          <w:lang w:val="en-US"/>
        </w:rPr>
        <w:t>of</w:t>
      </w:r>
      <w:r w:rsidR="00F51126" w:rsidRPr="001558A5">
        <w:rPr>
          <w:szCs w:val="20"/>
          <w:lang w:val="en-US"/>
        </w:rPr>
        <w:t xml:space="preserve"> Vicky Hernández</w:t>
      </w:r>
      <w:r w:rsidR="00591040" w:rsidRPr="001558A5">
        <w:rPr>
          <w:szCs w:val="20"/>
          <w:lang w:val="en-US"/>
        </w:rPr>
        <w:t xml:space="preserve">. </w:t>
      </w:r>
      <w:r w:rsidRPr="001558A5">
        <w:rPr>
          <w:szCs w:val="20"/>
          <w:lang w:val="en-US"/>
        </w:rPr>
        <w:t xml:space="preserve">It added that it had no information </w:t>
      </w:r>
      <w:r w:rsidR="00841EA9" w:rsidRPr="001558A5">
        <w:rPr>
          <w:szCs w:val="20"/>
          <w:lang w:val="en-US"/>
        </w:rPr>
        <w:t>concerning</w:t>
      </w:r>
      <w:r w:rsidRPr="001558A5">
        <w:rPr>
          <w:szCs w:val="20"/>
          <w:lang w:val="en-US"/>
        </w:rPr>
        <w:t xml:space="preserve"> specific preventive measures in the context of the curfew ordered at the time of the coup d’état, despite the State </w:t>
      </w:r>
      <w:r w:rsidR="00841EA9" w:rsidRPr="001558A5">
        <w:rPr>
          <w:szCs w:val="20"/>
          <w:lang w:val="en-US"/>
        </w:rPr>
        <w:t xml:space="preserve">being aware </w:t>
      </w:r>
      <w:r w:rsidR="00B74256" w:rsidRPr="001558A5">
        <w:rPr>
          <w:szCs w:val="20"/>
          <w:lang w:val="en-US"/>
        </w:rPr>
        <w:t xml:space="preserve">of the </w:t>
      </w:r>
      <w:r w:rsidRPr="001558A5">
        <w:rPr>
          <w:szCs w:val="20"/>
          <w:lang w:val="en-US"/>
        </w:rPr>
        <w:t>lack of protection in which LGBTI persons found themselves according to the findings relating to the context</w:t>
      </w:r>
      <w:r w:rsidR="00F51126" w:rsidRPr="001558A5">
        <w:rPr>
          <w:szCs w:val="20"/>
          <w:lang w:val="en-US"/>
        </w:rPr>
        <w:t>.</w:t>
      </w:r>
    </w:p>
    <w:p w14:paraId="00E11128" w14:textId="7AC944D2" w:rsidR="007F1C06" w:rsidRPr="001558A5" w:rsidRDefault="0057759D" w:rsidP="007F1C06">
      <w:pPr>
        <w:pStyle w:val="Prrafodelista"/>
        <w:numPr>
          <w:ilvl w:val="0"/>
          <w:numId w:val="2"/>
        </w:numPr>
        <w:spacing w:before="120" w:after="120"/>
        <w:ind w:left="0" w:firstLine="0"/>
        <w:contextualSpacing w:val="0"/>
        <w:rPr>
          <w:szCs w:val="20"/>
          <w:lang w:val="en-US"/>
        </w:rPr>
      </w:pPr>
      <w:r w:rsidRPr="001558A5">
        <w:rPr>
          <w:szCs w:val="20"/>
          <w:lang w:val="en-US"/>
        </w:rPr>
        <w:t xml:space="preserve">Added to the </w:t>
      </w:r>
      <w:r w:rsidR="007F1C06" w:rsidRPr="001558A5">
        <w:rPr>
          <w:szCs w:val="20"/>
          <w:lang w:val="en-US"/>
        </w:rPr>
        <w:t>foregoing</w:t>
      </w:r>
      <w:r w:rsidR="00F51126" w:rsidRPr="001558A5">
        <w:rPr>
          <w:szCs w:val="20"/>
          <w:lang w:val="en-US"/>
        </w:rPr>
        <w:t xml:space="preserve">, </w:t>
      </w:r>
      <w:r w:rsidR="00871E19" w:rsidRPr="001558A5">
        <w:rPr>
          <w:szCs w:val="20"/>
          <w:lang w:val="en-US"/>
        </w:rPr>
        <w:t>the Commission</w:t>
      </w:r>
      <w:r w:rsidR="00F51126" w:rsidRPr="001558A5">
        <w:rPr>
          <w:szCs w:val="20"/>
          <w:lang w:val="en-US"/>
        </w:rPr>
        <w:t xml:space="preserve"> </w:t>
      </w:r>
      <w:r w:rsidR="007F1C06" w:rsidRPr="001558A5">
        <w:rPr>
          <w:szCs w:val="20"/>
          <w:lang w:val="en-US"/>
        </w:rPr>
        <w:t>underscored</w:t>
      </w:r>
      <w:r w:rsidRPr="001558A5">
        <w:rPr>
          <w:szCs w:val="20"/>
          <w:lang w:val="en-US"/>
        </w:rPr>
        <w:t xml:space="preserve"> that</w:t>
      </w:r>
      <w:r w:rsidR="007F1C06" w:rsidRPr="001558A5">
        <w:rPr>
          <w:szCs w:val="20"/>
          <w:lang w:val="en-US"/>
        </w:rPr>
        <w:t>,</w:t>
      </w:r>
      <w:r w:rsidRPr="001558A5">
        <w:rPr>
          <w:szCs w:val="20"/>
          <w:lang w:val="en-US"/>
        </w:rPr>
        <w:t xml:space="preserve"> </w:t>
      </w:r>
      <w:r w:rsidR="007F1C06" w:rsidRPr="001558A5">
        <w:rPr>
          <w:szCs w:val="20"/>
          <w:lang w:val="en-US"/>
        </w:rPr>
        <w:t xml:space="preserve">two months before she was murdered, </w:t>
      </w:r>
      <w:r w:rsidR="00F51126" w:rsidRPr="001558A5">
        <w:rPr>
          <w:szCs w:val="20"/>
          <w:lang w:val="en-US"/>
        </w:rPr>
        <w:t>Vicky Hernández</w:t>
      </w:r>
      <w:r w:rsidR="007F1C06" w:rsidRPr="001558A5">
        <w:rPr>
          <w:szCs w:val="20"/>
          <w:lang w:val="en-US"/>
        </w:rPr>
        <w:t xml:space="preserve"> went to a police station to report that she had been assaulted by a security guard. Based on these elements, the Commission considered that the death of </w:t>
      </w:r>
      <w:r w:rsidR="00F51126" w:rsidRPr="001558A5">
        <w:rPr>
          <w:szCs w:val="20"/>
          <w:lang w:val="en-US"/>
        </w:rPr>
        <w:t xml:space="preserve">Vicky Hernández </w:t>
      </w:r>
      <w:r w:rsidR="007F1C06" w:rsidRPr="001558A5">
        <w:rPr>
          <w:szCs w:val="20"/>
          <w:lang w:val="en-US"/>
        </w:rPr>
        <w:t xml:space="preserve">occurred in circumstances where she was clearly defenseless and unprotected against threats of violence </w:t>
      </w:r>
      <w:r w:rsidR="00841EA9" w:rsidRPr="001558A5">
        <w:rPr>
          <w:szCs w:val="20"/>
          <w:lang w:val="en-US"/>
        </w:rPr>
        <w:t>against</w:t>
      </w:r>
      <w:r w:rsidR="007F1C06" w:rsidRPr="001558A5">
        <w:rPr>
          <w:szCs w:val="20"/>
          <w:lang w:val="en-US"/>
        </w:rPr>
        <w:t xml:space="preserve"> her as a trans woman and sex worker in the context analyzed above, which also resulted in a breach of the duty to ensure</w:t>
      </w:r>
      <w:r w:rsidR="00841EA9" w:rsidRPr="001558A5">
        <w:rPr>
          <w:szCs w:val="20"/>
          <w:lang w:val="en-US"/>
        </w:rPr>
        <w:t xml:space="preserve"> her</w:t>
      </w:r>
      <w:r w:rsidR="007F1C06" w:rsidRPr="001558A5">
        <w:rPr>
          <w:szCs w:val="20"/>
          <w:lang w:val="en-US"/>
        </w:rPr>
        <w:t xml:space="preserve"> rights.</w:t>
      </w:r>
    </w:p>
    <w:p w14:paraId="51F7EE2A" w14:textId="5A0E56B1" w:rsidR="00F51126" w:rsidRPr="001558A5" w:rsidRDefault="007F1C06" w:rsidP="00945CE2">
      <w:pPr>
        <w:pStyle w:val="Prrafodelista"/>
        <w:numPr>
          <w:ilvl w:val="0"/>
          <w:numId w:val="2"/>
        </w:numPr>
        <w:spacing w:before="120" w:after="120"/>
        <w:ind w:left="0" w:firstLine="0"/>
        <w:contextualSpacing w:val="0"/>
        <w:rPr>
          <w:szCs w:val="20"/>
          <w:lang w:val="en-US"/>
        </w:rPr>
      </w:pPr>
      <w:r w:rsidRPr="001558A5">
        <w:rPr>
          <w:szCs w:val="20"/>
          <w:lang w:val="en-US"/>
        </w:rPr>
        <w:t xml:space="preserve">In light of the foregoing considerations, the Commission concluded that </w:t>
      </w:r>
      <w:r w:rsidR="00DD4354" w:rsidRPr="001558A5">
        <w:rPr>
          <w:szCs w:val="20"/>
          <w:lang w:val="en-US"/>
        </w:rPr>
        <w:t xml:space="preserve">the </w:t>
      </w:r>
      <w:r w:rsidR="00DE0C4B" w:rsidRPr="001558A5">
        <w:rPr>
          <w:szCs w:val="20"/>
          <w:lang w:val="en-US"/>
        </w:rPr>
        <w:t>Honduran State</w:t>
      </w:r>
      <w:r w:rsidR="00F51126" w:rsidRPr="001558A5">
        <w:rPr>
          <w:szCs w:val="20"/>
          <w:lang w:val="en-US"/>
        </w:rPr>
        <w:t xml:space="preserve"> </w:t>
      </w:r>
      <w:r w:rsidRPr="001558A5">
        <w:rPr>
          <w:szCs w:val="20"/>
          <w:lang w:val="en-US"/>
        </w:rPr>
        <w:t xml:space="preserve">was responsible for violating </w:t>
      </w:r>
      <w:r w:rsidR="00B732DD" w:rsidRPr="001558A5">
        <w:rPr>
          <w:szCs w:val="20"/>
          <w:lang w:val="en-US"/>
        </w:rPr>
        <w:t>the rights to life</w:t>
      </w:r>
      <w:r w:rsidR="00F51126" w:rsidRPr="001558A5">
        <w:rPr>
          <w:szCs w:val="20"/>
          <w:lang w:val="en-US"/>
        </w:rPr>
        <w:t xml:space="preserve">, </w:t>
      </w:r>
      <w:r w:rsidR="00B732DD" w:rsidRPr="001558A5">
        <w:rPr>
          <w:szCs w:val="20"/>
          <w:lang w:val="en-US"/>
        </w:rPr>
        <w:t>personal integrity</w:t>
      </w:r>
      <w:r w:rsidR="00F51126" w:rsidRPr="001558A5">
        <w:rPr>
          <w:szCs w:val="20"/>
          <w:lang w:val="en-US"/>
        </w:rPr>
        <w:t xml:space="preserve">, </w:t>
      </w:r>
      <w:r w:rsidRPr="001558A5">
        <w:rPr>
          <w:szCs w:val="20"/>
          <w:lang w:val="en-US"/>
        </w:rPr>
        <w:t xml:space="preserve">privacy, </w:t>
      </w:r>
      <w:r w:rsidR="00B732DD" w:rsidRPr="001558A5">
        <w:rPr>
          <w:szCs w:val="20"/>
          <w:lang w:val="en-US"/>
        </w:rPr>
        <w:t>freedom of expression</w:t>
      </w:r>
      <w:r w:rsidR="00F51126" w:rsidRPr="001558A5">
        <w:rPr>
          <w:szCs w:val="20"/>
          <w:lang w:val="en-US"/>
        </w:rPr>
        <w:t xml:space="preserve">, </w:t>
      </w:r>
      <w:r w:rsidR="00B732DD" w:rsidRPr="001558A5">
        <w:rPr>
          <w:szCs w:val="20"/>
          <w:lang w:val="en-US"/>
        </w:rPr>
        <w:t>equality and non-discrimination</w:t>
      </w:r>
      <w:r w:rsidR="00DD4354" w:rsidRPr="001558A5">
        <w:rPr>
          <w:szCs w:val="20"/>
          <w:lang w:val="en-US"/>
        </w:rPr>
        <w:t xml:space="preserve"> and </w:t>
      </w:r>
      <w:r w:rsidRPr="001558A5">
        <w:rPr>
          <w:szCs w:val="20"/>
          <w:lang w:val="en-US"/>
        </w:rPr>
        <w:t xml:space="preserve">to live free of violence </w:t>
      </w:r>
      <w:r w:rsidR="00B732DD" w:rsidRPr="001558A5">
        <w:rPr>
          <w:szCs w:val="20"/>
          <w:lang w:val="en-US"/>
        </w:rPr>
        <w:t>established in</w:t>
      </w:r>
      <w:r w:rsidR="00F51126" w:rsidRPr="001558A5">
        <w:rPr>
          <w:szCs w:val="20"/>
          <w:lang w:val="en-US"/>
        </w:rPr>
        <w:t xml:space="preserve"> </w:t>
      </w:r>
      <w:r w:rsidR="00871E19" w:rsidRPr="001558A5">
        <w:rPr>
          <w:szCs w:val="20"/>
          <w:lang w:val="en-US"/>
        </w:rPr>
        <w:t>Articles</w:t>
      </w:r>
      <w:r w:rsidR="00F51126" w:rsidRPr="001558A5">
        <w:rPr>
          <w:szCs w:val="20"/>
          <w:lang w:val="en-US"/>
        </w:rPr>
        <w:t xml:space="preserve"> </w:t>
      </w:r>
      <w:r w:rsidR="00B732DD" w:rsidRPr="001558A5">
        <w:rPr>
          <w:szCs w:val="20"/>
          <w:lang w:val="en-US"/>
        </w:rPr>
        <w:t>4(1)</w:t>
      </w:r>
      <w:r w:rsidR="00F51126" w:rsidRPr="001558A5">
        <w:rPr>
          <w:szCs w:val="20"/>
          <w:lang w:val="en-US"/>
        </w:rPr>
        <w:t xml:space="preserve">, </w:t>
      </w:r>
      <w:r w:rsidR="00B732DD" w:rsidRPr="001558A5">
        <w:rPr>
          <w:szCs w:val="20"/>
          <w:lang w:val="en-US"/>
        </w:rPr>
        <w:t>5(1)</w:t>
      </w:r>
      <w:r w:rsidR="00F51126" w:rsidRPr="001558A5">
        <w:rPr>
          <w:szCs w:val="20"/>
          <w:lang w:val="en-US"/>
        </w:rPr>
        <w:t>, 11, 13</w:t>
      </w:r>
      <w:r w:rsidR="00DD4354" w:rsidRPr="001558A5">
        <w:rPr>
          <w:szCs w:val="20"/>
          <w:lang w:val="en-US"/>
        </w:rPr>
        <w:t xml:space="preserve"> and </w:t>
      </w:r>
      <w:r w:rsidR="00F51126" w:rsidRPr="001558A5">
        <w:rPr>
          <w:szCs w:val="20"/>
          <w:lang w:val="en-US"/>
        </w:rPr>
        <w:t>24</w:t>
      </w:r>
      <w:r w:rsidR="00DD4354" w:rsidRPr="001558A5">
        <w:rPr>
          <w:szCs w:val="20"/>
          <w:lang w:val="en-US"/>
        </w:rPr>
        <w:t xml:space="preserve"> of the </w:t>
      </w:r>
      <w:r w:rsidR="00871E19" w:rsidRPr="001558A5">
        <w:rPr>
          <w:szCs w:val="20"/>
          <w:lang w:val="en-US"/>
        </w:rPr>
        <w:t>American Convention</w:t>
      </w:r>
      <w:r w:rsidR="003356E6" w:rsidRPr="001558A5">
        <w:rPr>
          <w:szCs w:val="20"/>
          <w:lang w:val="en-US"/>
        </w:rPr>
        <w:t>,</w:t>
      </w:r>
      <w:r w:rsidR="00F51126" w:rsidRPr="001558A5">
        <w:rPr>
          <w:szCs w:val="20"/>
          <w:lang w:val="en-US"/>
        </w:rPr>
        <w:t xml:space="preserve"> </w:t>
      </w:r>
      <w:r w:rsidRPr="001558A5">
        <w:rPr>
          <w:szCs w:val="20"/>
          <w:lang w:val="en-US"/>
        </w:rPr>
        <w:t xml:space="preserve">in relation to the obligations to respect and to ensure rights </w:t>
      </w:r>
      <w:r w:rsidR="00B732DD" w:rsidRPr="001558A5">
        <w:rPr>
          <w:szCs w:val="20"/>
          <w:lang w:val="en-US"/>
        </w:rPr>
        <w:t>established in</w:t>
      </w:r>
      <w:r w:rsidR="00F51126" w:rsidRPr="001558A5">
        <w:rPr>
          <w:szCs w:val="20"/>
          <w:lang w:val="en-US"/>
        </w:rPr>
        <w:t xml:space="preserve"> </w:t>
      </w:r>
      <w:r w:rsidR="00B732DD" w:rsidRPr="001558A5">
        <w:rPr>
          <w:szCs w:val="20"/>
          <w:lang w:val="en-US"/>
        </w:rPr>
        <w:t>Article 1(1)</w:t>
      </w:r>
      <w:r w:rsidR="00F51126" w:rsidRPr="001558A5">
        <w:rPr>
          <w:szCs w:val="20"/>
          <w:lang w:val="en-US"/>
        </w:rPr>
        <w:t xml:space="preserve"> </w:t>
      </w:r>
      <w:r w:rsidR="00C43A37" w:rsidRPr="001558A5">
        <w:rPr>
          <w:szCs w:val="20"/>
          <w:lang w:val="en-US"/>
        </w:rPr>
        <w:t>of this instrument</w:t>
      </w:r>
      <w:r w:rsidR="00F51126" w:rsidRPr="001558A5">
        <w:rPr>
          <w:szCs w:val="20"/>
          <w:lang w:val="en-US"/>
        </w:rPr>
        <w:t xml:space="preserve"> </w:t>
      </w:r>
      <w:r w:rsidRPr="001558A5">
        <w:rPr>
          <w:szCs w:val="20"/>
          <w:lang w:val="en-US"/>
        </w:rPr>
        <w:t>and</w:t>
      </w:r>
      <w:r w:rsidR="00F51126" w:rsidRPr="001558A5">
        <w:rPr>
          <w:szCs w:val="20"/>
          <w:lang w:val="en-US"/>
        </w:rPr>
        <w:t xml:space="preserve"> </w:t>
      </w:r>
      <w:r w:rsidR="00871E19" w:rsidRPr="001558A5">
        <w:rPr>
          <w:szCs w:val="20"/>
          <w:lang w:val="en-US"/>
        </w:rPr>
        <w:t>Article</w:t>
      </w:r>
      <w:r w:rsidR="00F51126" w:rsidRPr="001558A5">
        <w:rPr>
          <w:szCs w:val="20"/>
          <w:lang w:val="en-US"/>
        </w:rPr>
        <w:t xml:space="preserve"> 7</w:t>
      </w:r>
      <w:r w:rsidR="00DD4354" w:rsidRPr="001558A5">
        <w:rPr>
          <w:szCs w:val="20"/>
          <w:lang w:val="en-US"/>
        </w:rPr>
        <w:t xml:space="preserve"> of the </w:t>
      </w:r>
      <w:r w:rsidR="00871E19" w:rsidRPr="001558A5">
        <w:rPr>
          <w:szCs w:val="20"/>
          <w:lang w:val="en-US"/>
        </w:rPr>
        <w:t>Convention</w:t>
      </w:r>
      <w:r w:rsidR="00F51126"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00F51126" w:rsidRPr="001558A5">
        <w:rPr>
          <w:szCs w:val="20"/>
          <w:lang w:val="en-US"/>
        </w:rPr>
        <w:t xml:space="preserve"> do </w:t>
      </w:r>
      <w:proofErr w:type="spellStart"/>
      <w:r w:rsidR="00F51126" w:rsidRPr="001558A5">
        <w:rPr>
          <w:szCs w:val="20"/>
          <w:lang w:val="en-US"/>
        </w:rPr>
        <w:t>Pará</w:t>
      </w:r>
      <w:proofErr w:type="spellEnd"/>
      <w:r w:rsidR="00F51126" w:rsidRPr="001558A5">
        <w:rPr>
          <w:szCs w:val="20"/>
          <w:lang w:val="en-US"/>
        </w:rPr>
        <w:t xml:space="preserve"> </w:t>
      </w:r>
      <w:r w:rsidR="00B43A52" w:rsidRPr="001558A5">
        <w:rPr>
          <w:szCs w:val="20"/>
          <w:lang w:val="en-US"/>
        </w:rPr>
        <w:t>to the detriment of</w:t>
      </w:r>
      <w:r w:rsidR="00F51126" w:rsidRPr="001558A5">
        <w:rPr>
          <w:szCs w:val="20"/>
          <w:lang w:val="en-US"/>
        </w:rPr>
        <w:t xml:space="preserve"> Vicky Hernández.</w:t>
      </w:r>
    </w:p>
    <w:p w14:paraId="3C7F8958" w14:textId="3E38860F" w:rsidR="00800C51" w:rsidRPr="001558A5" w:rsidRDefault="007F1C06" w:rsidP="00C249B6">
      <w:pPr>
        <w:pStyle w:val="Prrafodelista"/>
        <w:numPr>
          <w:ilvl w:val="0"/>
          <w:numId w:val="2"/>
        </w:numPr>
        <w:spacing w:before="120" w:after="120"/>
        <w:ind w:left="0" w:firstLine="0"/>
        <w:contextualSpacing w:val="0"/>
        <w:rPr>
          <w:rFonts w:eastAsia="Calibri" w:cs="Arial"/>
          <w:szCs w:val="20"/>
          <w:lang w:val="en-US" w:eastAsia="es-CR"/>
        </w:rPr>
      </w:pPr>
      <w:r w:rsidRPr="001558A5">
        <w:rPr>
          <w:rFonts w:eastAsia="Calibri" w:cs="Arial"/>
          <w:szCs w:val="20"/>
          <w:lang w:val="en-US" w:eastAsia="es-CR"/>
        </w:rPr>
        <w:t>Regarding the investigations</w:t>
      </w:r>
      <w:r w:rsidR="00800C51" w:rsidRPr="001558A5">
        <w:rPr>
          <w:rFonts w:eastAsia="Calibri" w:cs="Arial"/>
          <w:szCs w:val="20"/>
          <w:lang w:val="en-US" w:eastAsia="es-CR"/>
        </w:rPr>
        <w:t xml:space="preserve">, </w:t>
      </w:r>
      <w:r w:rsidR="00871E19" w:rsidRPr="001558A5">
        <w:rPr>
          <w:rFonts w:eastAsia="Calibri" w:cs="Arial"/>
          <w:szCs w:val="20"/>
          <w:lang w:val="en-US" w:eastAsia="es-CR"/>
        </w:rPr>
        <w:t>the Commission</w:t>
      </w:r>
      <w:r w:rsidR="00800C51" w:rsidRPr="001558A5">
        <w:rPr>
          <w:rFonts w:eastAsia="Calibri" w:cs="Arial"/>
          <w:b/>
          <w:szCs w:val="20"/>
          <w:lang w:val="en-US" w:eastAsia="es-CR"/>
        </w:rPr>
        <w:t xml:space="preserve"> </w:t>
      </w:r>
      <w:r w:rsidR="006E541D" w:rsidRPr="001558A5">
        <w:rPr>
          <w:rFonts w:eastAsia="Calibri" w:cs="Arial"/>
          <w:szCs w:val="20"/>
          <w:lang w:val="en-US" w:eastAsia="es-CR"/>
        </w:rPr>
        <w:t>argued that</w:t>
      </w:r>
      <w:r w:rsidR="00800C51" w:rsidRPr="001558A5">
        <w:rPr>
          <w:rFonts w:eastAsia="Calibri" w:cs="Arial"/>
          <w:szCs w:val="20"/>
          <w:lang w:val="en-US" w:eastAsia="es-CR"/>
        </w:rPr>
        <w:t xml:space="preserve"> </w:t>
      </w:r>
      <w:r w:rsidR="00DD4354" w:rsidRPr="001558A5">
        <w:rPr>
          <w:rFonts w:eastAsia="Calibri" w:cs="Arial"/>
          <w:szCs w:val="20"/>
          <w:lang w:val="en-US" w:eastAsia="es-CR"/>
        </w:rPr>
        <w:t>the State</w:t>
      </w:r>
      <w:r w:rsidR="00800C51" w:rsidRPr="001558A5">
        <w:rPr>
          <w:rFonts w:eastAsia="Calibri" w:cs="Arial"/>
          <w:szCs w:val="20"/>
          <w:lang w:val="en-US" w:eastAsia="es-CR"/>
        </w:rPr>
        <w:t xml:space="preserve"> </w:t>
      </w:r>
      <w:r w:rsidR="00C249B6" w:rsidRPr="001558A5">
        <w:rPr>
          <w:rFonts w:eastAsia="Calibri" w:cs="Arial"/>
          <w:szCs w:val="20"/>
          <w:lang w:val="en-US" w:eastAsia="es-CR"/>
        </w:rPr>
        <w:t>failed to e</w:t>
      </w:r>
      <w:r w:rsidR="00C249B6" w:rsidRPr="001558A5">
        <w:rPr>
          <w:rFonts w:eastAsia="Calibri"/>
          <w:szCs w:val="20"/>
          <w:lang w:val="en-US"/>
        </w:rPr>
        <w:t>laborate or implement logical lines of inquiry based on the evidence and context surround</w:t>
      </w:r>
      <w:r w:rsidR="00DD464E" w:rsidRPr="001558A5">
        <w:rPr>
          <w:rFonts w:eastAsia="Calibri"/>
          <w:szCs w:val="20"/>
          <w:lang w:val="en-US"/>
        </w:rPr>
        <w:t>ing</w:t>
      </w:r>
      <w:r w:rsidR="00C249B6" w:rsidRPr="001558A5">
        <w:rPr>
          <w:rFonts w:eastAsia="Calibri"/>
          <w:szCs w:val="20"/>
          <w:lang w:val="en-US"/>
        </w:rPr>
        <w:t xml:space="preserve"> the events </w:t>
      </w:r>
      <w:r w:rsidR="00DD464E" w:rsidRPr="001558A5">
        <w:rPr>
          <w:rFonts w:eastAsia="Calibri"/>
          <w:szCs w:val="20"/>
          <w:lang w:val="en-US"/>
        </w:rPr>
        <w:t>of</w:t>
      </w:r>
      <w:r w:rsidR="00C249B6" w:rsidRPr="001558A5">
        <w:rPr>
          <w:rFonts w:eastAsia="Calibri"/>
          <w:szCs w:val="20"/>
          <w:lang w:val="en-US"/>
        </w:rPr>
        <w:t xml:space="preserve"> this case. </w:t>
      </w:r>
      <w:r w:rsidR="00C249B6" w:rsidRPr="001558A5">
        <w:rPr>
          <w:rFonts w:eastAsia="Calibri" w:cs="Arial"/>
          <w:szCs w:val="20"/>
          <w:lang w:val="en-US" w:eastAsia="es-CR"/>
        </w:rPr>
        <w:t>The Commission also indicated that the internal investigation process</w:t>
      </w:r>
      <w:r w:rsidR="00C249B6" w:rsidRPr="001558A5">
        <w:rPr>
          <w:rFonts w:eastAsia="Calibri"/>
          <w:szCs w:val="20"/>
          <w:lang w:val="en-US"/>
        </w:rPr>
        <w:t xml:space="preserve"> had been flawed and the evidence-seeking actions had been minimal, unjustifiably sporadic and uncoordinated</w:t>
      </w:r>
      <w:r w:rsidR="0084664C" w:rsidRPr="001558A5">
        <w:rPr>
          <w:rFonts w:eastAsia="Calibri"/>
          <w:szCs w:val="20"/>
          <w:lang w:val="en-US"/>
        </w:rPr>
        <w:t xml:space="preserve">. Furthermore, the classification of the incident as a crime of passion implied a justification of violence against a trans woman. Regarding the reasonable time, </w:t>
      </w:r>
      <w:r w:rsidR="00DD464E" w:rsidRPr="001558A5">
        <w:rPr>
          <w:rFonts w:eastAsia="Calibri"/>
          <w:szCs w:val="20"/>
          <w:lang w:val="en-US"/>
        </w:rPr>
        <w:t>it</w:t>
      </w:r>
      <w:r w:rsidR="0084664C" w:rsidRPr="001558A5">
        <w:rPr>
          <w:rFonts w:eastAsia="Calibri"/>
          <w:szCs w:val="20"/>
          <w:lang w:val="en-US"/>
        </w:rPr>
        <w:t xml:space="preserve"> observed that, nine years after the events, the authorities had not yet identified those responsible or made any significant progress in terms of determining the circumstances in which the murder of </w:t>
      </w:r>
      <w:r w:rsidR="0084664C" w:rsidRPr="001558A5">
        <w:rPr>
          <w:rFonts w:eastAsia="Calibri" w:cs="Arial"/>
          <w:szCs w:val="20"/>
          <w:lang w:val="en-US" w:eastAsia="es-CR"/>
        </w:rPr>
        <w:t xml:space="preserve">Vicky Hernández occurred. Therefore, the Commission concluded that, in the instant case, the State had violated the rights to </w:t>
      </w:r>
      <w:r w:rsidR="00B732DD" w:rsidRPr="001558A5">
        <w:rPr>
          <w:rFonts w:eastAsia="Calibri" w:cs="Arial"/>
          <w:szCs w:val="20"/>
          <w:lang w:val="en-US" w:eastAsia="es-CR"/>
        </w:rPr>
        <w:t>judicial guarantees</w:t>
      </w:r>
      <w:r w:rsidR="00800C51" w:rsidRPr="001558A5">
        <w:rPr>
          <w:rFonts w:eastAsia="Calibri" w:cs="Arial"/>
          <w:szCs w:val="20"/>
          <w:lang w:val="en-US" w:eastAsia="es-CR"/>
        </w:rPr>
        <w:t xml:space="preserve">, </w:t>
      </w:r>
      <w:r w:rsidR="00B732DD" w:rsidRPr="001558A5">
        <w:rPr>
          <w:rFonts w:eastAsia="Calibri" w:cs="Arial"/>
          <w:szCs w:val="20"/>
          <w:lang w:val="en-US" w:eastAsia="es-CR"/>
        </w:rPr>
        <w:t>equality and non-discrimination</w:t>
      </w:r>
      <w:r w:rsidR="00DD464E" w:rsidRPr="001558A5">
        <w:rPr>
          <w:rFonts w:eastAsia="Calibri" w:cs="Arial"/>
          <w:szCs w:val="20"/>
          <w:lang w:val="en-US" w:eastAsia="es-CR"/>
        </w:rPr>
        <w:t>,</w:t>
      </w:r>
      <w:r w:rsidR="00DD4354" w:rsidRPr="001558A5">
        <w:rPr>
          <w:rFonts w:eastAsia="Calibri" w:cs="Arial"/>
          <w:szCs w:val="20"/>
          <w:lang w:val="en-US" w:eastAsia="es-CR"/>
        </w:rPr>
        <w:t xml:space="preserve"> and </w:t>
      </w:r>
      <w:r w:rsidR="00B732DD" w:rsidRPr="001558A5">
        <w:rPr>
          <w:rFonts w:eastAsia="Calibri" w:cs="Arial"/>
          <w:szCs w:val="20"/>
          <w:lang w:val="en-US" w:eastAsia="es-CR"/>
        </w:rPr>
        <w:t>judicial protection</w:t>
      </w:r>
      <w:r w:rsidR="00800C51" w:rsidRPr="001558A5">
        <w:rPr>
          <w:rFonts w:eastAsia="Calibri" w:cs="Arial"/>
          <w:szCs w:val="20"/>
          <w:lang w:val="en-US" w:eastAsia="es-CR"/>
        </w:rPr>
        <w:t xml:space="preserve"> </w:t>
      </w:r>
      <w:r w:rsidR="0084664C" w:rsidRPr="001558A5">
        <w:rPr>
          <w:rFonts w:eastAsia="Calibri" w:cs="Arial"/>
          <w:szCs w:val="20"/>
          <w:lang w:val="en-US" w:eastAsia="es-CR"/>
        </w:rPr>
        <w:t>established in</w:t>
      </w:r>
      <w:r w:rsidR="00800C51" w:rsidRPr="001558A5">
        <w:rPr>
          <w:rFonts w:eastAsia="Calibri" w:cs="Arial"/>
          <w:szCs w:val="20"/>
          <w:lang w:val="en-US" w:eastAsia="es-CR"/>
        </w:rPr>
        <w:t xml:space="preserve"> </w:t>
      </w:r>
      <w:r w:rsidR="00871E19" w:rsidRPr="001558A5">
        <w:rPr>
          <w:rFonts w:eastAsia="Calibri" w:cs="Arial"/>
          <w:szCs w:val="20"/>
          <w:lang w:val="en-US" w:eastAsia="es-CR"/>
        </w:rPr>
        <w:t>Articles</w:t>
      </w:r>
      <w:r w:rsidR="00800C51" w:rsidRPr="001558A5">
        <w:rPr>
          <w:rFonts w:eastAsia="Calibri" w:cs="Arial"/>
          <w:szCs w:val="20"/>
          <w:lang w:val="en-US" w:eastAsia="es-CR"/>
        </w:rPr>
        <w:t xml:space="preserve"> </w:t>
      </w:r>
      <w:r w:rsidR="00B732DD" w:rsidRPr="001558A5">
        <w:rPr>
          <w:rFonts w:eastAsia="Calibri" w:cs="Arial"/>
          <w:szCs w:val="20"/>
          <w:lang w:val="en-US" w:eastAsia="es-CR"/>
        </w:rPr>
        <w:t>8(1)</w:t>
      </w:r>
      <w:r w:rsidR="00800C51" w:rsidRPr="001558A5">
        <w:rPr>
          <w:rFonts w:eastAsia="Calibri" w:cs="Arial"/>
          <w:szCs w:val="20"/>
          <w:lang w:val="en-US" w:eastAsia="es-CR"/>
        </w:rPr>
        <w:t>, 24</w:t>
      </w:r>
      <w:r w:rsidR="00DD4354" w:rsidRPr="001558A5">
        <w:rPr>
          <w:rFonts w:eastAsia="Calibri" w:cs="Arial"/>
          <w:szCs w:val="20"/>
          <w:lang w:val="en-US" w:eastAsia="es-CR"/>
        </w:rPr>
        <w:t xml:space="preserve"> and </w:t>
      </w:r>
      <w:r w:rsidR="00800C51" w:rsidRPr="001558A5">
        <w:rPr>
          <w:rFonts w:eastAsia="Calibri" w:cs="Arial"/>
          <w:szCs w:val="20"/>
          <w:lang w:val="en-US" w:eastAsia="es-CR"/>
        </w:rPr>
        <w:t>2</w:t>
      </w:r>
      <w:r w:rsidR="00B732DD" w:rsidRPr="001558A5">
        <w:rPr>
          <w:rFonts w:eastAsia="Calibri" w:cs="Arial"/>
          <w:szCs w:val="20"/>
          <w:lang w:val="en-US" w:eastAsia="es-CR"/>
        </w:rPr>
        <w:t>5(1)</w:t>
      </w:r>
      <w:r w:rsidR="00DD4354" w:rsidRPr="001558A5">
        <w:rPr>
          <w:rFonts w:eastAsia="Calibri" w:cs="Arial"/>
          <w:szCs w:val="20"/>
          <w:lang w:val="en-US" w:eastAsia="es-CR"/>
        </w:rPr>
        <w:t xml:space="preserve"> of the </w:t>
      </w:r>
      <w:r w:rsidR="00871E19" w:rsidRPr="001558A5">
        <w:rPr>
          <w:rFonts w:eastAsia="Calibri" w:cs="Arial"/>
          <w:szCs w:val="20"/>
          <w:lang w:val="en-US" w:eastAsia="es-CR"/>
        </w:rPr>
        <w:t>American Convention</w:t>
      </w:r>
      <w:r w:rsidR="00516DC6" w:rsidRPr="001558A5">
        <w:rPr>
          <w:rFonts w:eastAsia="Calibri" w:cs="Arial"/>
          <w:szCs w:val="20"/>
          <w:lang w:val="en-US" w:eastAsia="es-CR"/>
        </w:rPr>
        <w:t>,</w:t>
      </w:r>
      <w:r w:rsidR="00800C51" w:rsidRPr="001558A5">
        <w:rPr>
          <w:rFonts w:eastAsia="Calibri" w:cs="Arial"/>
          <w:szCs w:val="20"/>
          <w:lang w:val="en-US" w:eastAsia="es-CR"/>
        </w:rPr>
        <w:t xml:space="preserve"> </w:t>
      </w:r>
      <w:r w:rsidR="0084664C" w:rsidRPr="001558A5">
        <w:rPr>
          <w:rFonts w:eastAsia="Calibri" w:cs="Arial"/>
          <w:szCs w:val="20"/>
          <w:lang w:val="en-US" w:eastAsia="es-CR"/>
        </w:rPr>
        <w:t xml:space="preserve">in relation to the obligations </w:t>
      </w:r>
      <w:r w:rsidR="00B732DD" w:rsidRPr="001558A5">
        <w:rPr>
          <w:rFonts w:eastAsia="Calibri" w:cs="Arial"/>
          <w:szCs w:val="20"/>
          <w:lang w:val="en-US" w:eastAsia="es-CR"/>
        </w:rPr>
        <w:t>established in</w:t>
      </w:r>
      <w:r w:rsidR="00800C51" w:rsidRPr="001558A5">
        <w:rPr>
          <w:rFonts w:eastAsia="Calibri" w:cs="Arial"/>
          <w:szCs w:val="20"/>
          <w:lang w:val="en-US" w:eastAsia="es-CR"/>
        </w:rPr>
        <w:t xml:space="preserve"> </w:t>
      </w:r>
      <w:r w:rsidR="00B732DD" w:rsidRPr="001558A5">
        <w:rPr>
          <w:rFonts w:eastAsia="Calibri" w:cs="Arial"/>
          <w:szCs w:val="20"/>
          <w:lang w:val="en-US" w:eastAsia="es-CR"/>
        </w:rPr>
        <w:t>Article 1(1)</w:t>
      </w:r>
      <w:r w:rsidR="00800C51" w:rsidRPr="001558A5">
        <w:rPr>
          <w:rFonts w:eastAsia="Calibri" w:cs="Arial"/>
          <w:szCs w:val="20"/>
          <w:lang w:val="en-US" w:eastAsia="es-CR"/>
        </w:rPr>
        <w:t xml:space="preserve"> </w:t>
      </w:r>
      <w:r w:rsidR="00C43A37" w:rsidRPr="001558A5">
        <w:rPr>
          <w:rFonts w:eastAsia="Calibri" w:cs="Arial"/>
          <w:szCs w:val="20"/>
          <w:lang w:val="en-US" w:eastAsia="es-CR"/>
        </w:rPr>
        <w:t>of this instrument</w:t>
      </w:r>
      <w:r w:rsidR="00800C51" w:rsidRPr="001558A5">
        <w:rPr>
          <w:rFonts w:eastAsia="Calibri" w:cs="Arial"/>
          <w:szCs w:val="20"/>
          <w:lang w:val="en-US" w:eastAsia="es-CR"/>
        </w:rPr>
        <w:t xml:space="preserve">, </w:t>
      </w:r>
      <w:r w:rsidR="0084664C" w:rsidRPr="001558A5">
        <w:rPr>
          <w:rFonts w:eastAsia="Calibri" w:cs="Arial"/>
          <w:szCs w:val="20"/>
          <w:lang w:val="en-US" w:eastAsia="es-CR"/>
        </w:rPr>
        <w:t xml:space="preserve">as well as </w:t>
      </w:r>
      <w:r w:rsidR="00871E19" w:rsidRPr="001558A5">
        <w:rPr>
          <w:rFonts w:eastAsia="Calibri" w:cs="Arial"/>
          <w:szCs w:val="20"/>
          <w:lang w:val="en-US" w:eastAsia="es-CR"/>
        </w:rPr>
        <w:t>Article</w:t>
      </w:r>
      <w:r w:rsidR="00800C51" w:rsidRPr="001558A5">
        <w:rPr>
          <w:rFonts w:eastAsia="Calibri" w:cs="Arial"/>
          <w:szCs w:val="20"/>
          <w:lang w:val="en-US" w:eastAsia="es-CR"/>
        </w:rPr>
        <w:t xml:space="preserve"> 7</w:t>
      </w:r>
      <w:r w:rsidR="00DD4354" w:rsidRPr="001558A5">
        <w:rPr>
          <w:rFonts w:eastAsia="Calibri" w:cs="Arial"/>
          <w:szCs w:val="20"/>
          <w:lang w:val="en-US" w:eastAsia="es-CR"/>
        </w:rPr>
        <w:t xml:space="preserve"> of the </w:t>
      </w:r>
      <w:r w:rsidR="00871E19" w:rsidRPr="001558A5">
        <w:rPr>
          <w:rFonts w:eastAsia="Calibri" w:cs="Arial"/>
          <w:szCs w:val="20"/>
          <w:lang w:val="en-US" w:eastAsia="es-CR"/>
        </w:rPr>
        <w:t>Convention</w:t>
      </w:r>
      <w:r w:rsidR="00800C51" w:rsidRPr="001558A5">
        <w:rPr>
          <w:rFonts w:eastAsia="Calibri" w:cs="Arial"/>
          <w:szCs w:val="20"/>
          <w:lang w:val="en-US" w:eastAsia="es-CR"/>
        </w:rPr>
        <w:t xml:space="preserve"> </w:t>
      </w:r>
      <w:r w:rsidR="00B74256" w:rsidRPr="001558A5">
        <w:rPr>
          <w:rFonts w:eastAsia="Calibri" w:cs="Arial"/>
          <w:szCs w:val="20"/>
          <w:lang w:val="en-US" w:eastAsia="es-CR"/>
        </w:rPr>
        <w:t xml:space="preserve">of </w:t>
      </w:r>
      <w:proofErr w:type="spellStart"/>
      <w:r w:rsidR="00B74256" w:rsidRPr="001558A5">
        <w:rPr>
          <w:rFonts w:eastAsia="Calibri" w:cs="Arial"/>
          <w:szCs w:val="20"/>
          <w:lang w:val="en-US" w:eastAsia="es-CR"/>
        </w:rPr>
        <w:t>Belém</w:t>
      </w:r>
      <w:proofErr w:type="spellEnd"/>
      <w:r w:rsidR="00800C51" w:rsidRPr="001558A5">
        <w:rPr>
          <w:rFonts w:eastAsia="Calibri" w:cs="Arial"/>
          <w:szCs w:val="20"/>
          <w:lang w:val="en-US" w:eastAsia="es-CR"/>
        </w:rPr>
        <w:t xml:space="preserve"> do </w:t>
      </w:r>
      <w:proofErr w:type="spellStart"/>
      <w:r w:rsidR="00800C51" w:rsidRPr="001558A5">
        <w:rPr>
          <w:rFonts w:eastAsia="Calibri" w:cs="Arial"/>
          <w:szCs w:val="20"/>
          <w:lang w:val="en-US" w:eastAsia="es-CR"/>
        </w:rPr>
        <w:t>Pará</w:t>
      </w:r>
      <w:proofErr w:type="spellEnd"/>
      <w:r w:rsidR="00800C51" w:rsidRPr="001558A5">
        <w:rPr>
          <w:rFonts w:eastAsia="Calibri" w:cs="Arial"/>
          <w:szCs w:val="20"/>
          <w:lang w:val="en-US" w:eastAsia="es-CR"/>
        </w:rPr>
        <w:t xml:space="preserve">, </w:t>
      </w:r>
      <w:r w:rsidR="00B43A52" w:rsidRPr="001558A5">
        <w:rPr>
          <w:rFonts w:eastAsia="Calibri" w:cs="Arial"/>
          <w:szCs w:val="20"/>
          <w:lang w:val="en-US" w:eastAsia="es-CR"/>
        </w:rPr>
        <w:t>to the detriment of</w:t>
      </w:r>
      <w:r w:rsidR="00800C51" w:rsidRPr="001558A5">
        <w:rPr>
          <w:rFonts w:eastAsia="Calibri" w:cs="Arial"/>
          <w:szCs w:val="20"/>
          <w:lang w:val="en-US" w:eastAsia="es-CR"/>
        </w:rPr>
        <w:t xml:space="preserve"> Vicky Hernández</w:t>
      </w:r>
      <w:r w:rsidR="0084664C" w:rsidRPr="001558A5">
        <w:rPr>
          <w:rFonts w:eastAsia="Calibri" w:cs="Arial"/>
          <w:szCs w:val="20"/>
          <w:lang w:val="en-US" w:eastAsia="es-CR"/>
        </w:rPr>
        <w:t>’s family</w:t>
      </w:r>
      <w:r w:rsidR="00800C51" w:rsidRPr="001558A5">
        <w:rPr>
          <w:rFonts w:eastAsia="Calibri" w:cs="Arial"/>
          <w:szCs w:val="20"/>
          <w:lang w:val="en-US" w:eastAsia="es-CR"/>
        </w:rPr>
        <w:t>.</w:t>
      </w:r>
    </w:p>
    <w:p w14:paraId="500949A4" w14:textId="2884AB0E" w:rsidR="00E20FC7" w:rsidRPr="001558A5" w:rsidRDefault="00DD4354" w:rsidP="0084664C">
      <w:pPr>
        <w:pStyle w:val="Prrafodelista"/>
        <w:numPr>
          <w:ilvl w:val="0"/>
          <w:numId w:val="2"/>
        </w:numPr>
        <w:spacing w:before="120" w:after="120"/>
        <w:ind w:left="0" w:firstLine="0"/>
        <w:contextualSpacing w:val="0"/>
        <w:rPr>
          <w:rFonts w:eastAsia="Calibri" w:cs="Arial"/>
          <w:szCs w:val="20"/>
          <w:lang w:val="en-US" w:eastAsia="es-CR"/>
        </w:rPr>
      </w:pPr>
      <w:r w:rsidRPr="001558A5">
        <w:rPr>
          <w:szCs w:val="20"/>
          <w:lang w:val="en-US"/>
        </w:rPr>
        <w:t xml:space="preserve">The </w:t>
      </w:r>
      <w:r w:rsidRPr="001558A5">
        <w:rPr>
          <w:b/>
          <w:bCs/>
          <w:i/>
          <w:iCs/>
          <w:szCs w:val="20"/>
          <w:lang w:val="en-US"/>
        </w:rPr>
        <w:t>representatives</w:t>
      </w:r>
      <w:r w:rsidR="00F51126" w:rsidRPr="001558A5">
        <w:rPr>
          <w:b/>
          <w:i/>
          <w:szCs w:val="20"/>
          <w:lang w:val="en-US"/>
        </w:rPr>
        <w:t xml:space="preserve"> </w:t>
      </w:r>
      <w:r w:rsidR="00F51126" w:rsidRPr="001558A5">
        <w:rPr>
          <w:szCs w:val="20"/>
          <w:lang w:val="en-US"/>
        </w:rPr>
        <w:t>a</w:t>
      </w:r>
      <w:r w:rsidR="0084664C" w:rsidRPr="001558A5">
        <w:rPr>
          <w:szCs w:val="20"/>
          <w:lang w:val="en-US"/>
        </w:rPr>
        <w:t xml:space="preserve">dded to the </w:t>
      </w:r>
      <w:r w:rsidR="00EA679D" w:rsidRPr="001558A5">
        <w:rPr>
          <w:szCs w:val="20"/>
          <w:lang w:val="en-US"/>
        </w:rPr>
        <w:t>above</w:t>
      </w:r>
      <w:r w:rsidR="0084664C" w:rsidRPr="001558A5">
        <w:rPr>
          <w:szCs w:val="20"/>
          <w:lang w:val="en-US"/>
        </w:rPr>
        <w:t xml:space="preserve"> that the death of </w:t>
      </w:r>
      <w:r w:rsidR="00F51126" w:rsidRPr="001558A5">
        <w:rPr>
          <w:szCs w:val="20"/>
          <w:lang w:val="en-US"/>
        </w:rPr>
        <w:t>Vicky Hernández</w:t>
      </w:r>
      <w:r w:rsidR="0084664C" w:rsidRPr="001558A5">
        <w:rPr>
          <w:szCs w:val="20"/>
          <w:lang w:val="en-US"/>
        </w:rPr>
        <w:t xml:space="preserve"> was an </w:t>
      </w:r>
      <w:r w:rsidR="00F51126" w:rsidRPr="001558A5">
        <w:rPr>
          <w:szCs w:val="20"/>
          <w:lang w:val="en-US"/>
        </w:rPr>
        <w:t>extrajudicial</w:t>
      </w:r>
      <w:r w:rsidR="0084664C" w:rsidRPr="001558A5">
        <w:rPr>
          <w:szCs w:val="20"/>
          <w:lang w:val="en-US"/>
        </w:rPr>
        <w:t xml:space="preserve"> execution</w:t>
      </w:r>
      <w:r w:rsidR="00F51126" w:rsidRPr="001558A5">
        <w:rPr>
          <w:szCs w:val="20"/>
          <w:lang w:val="en-US"/>
        </w:rPr>
        <w:t xml:space="preserve">. </w:t>
      </w:r>
      <w:r w:rsidR="0084664C" w:rsidRPr="001558A5">
        <w:rPr>
          <w:szCs w:val="20"/>
          <w:lang w:val="en-US"/>
        </w:rPr>
        <w:t xml:space="preserve">Specifically, they argued that, given the nature of extrajudicial executions and that the facts of this case took place in a more general context of violations committed by state agents, </w:t>
      </w:r>
      <w:r w:rsidR="00EA679D" w:rsidRPr="001558A5">
        <w:rPr>
          <w:szCs w:val="20"/>
          <w:lang w:val="en-US"/>
        </w:rPr>
        <w:t xml:space="preserve">if there was compelling evidence that her death truly corresponded to an extrajudicial execution </w:t>
      </w:r>
      <w:r w:rsidR="0084664C" w:rsidRPr="001558A5">
        <w:rPr>
          <w:szCs w:val="20"/>
          <w:lang w:val="en-US"/>
        </w:rPr>
        <w:t>the burden of proof should not fall on private individual</w:t>
      </w:r>
      <w:r w:rsidR="00EA679D" w:rsidRPr="001558A5">
        <w:rPr>
          <w:szCs w:val="20"/>
          <w:lang w:val="en-US"/>
        </w:rPr>
        <w:t>s</w:t>
      </w:r>
      <w:r w:rsidR="0084664C" w:rsidRPr="001558A5">
        <w:rPr>
          <w:szCs w:val="20"/>
          <w:lang w:val="en-US"/>
        </w:rPr>
        <w:t xml:space="preserve">. They argued that, in such cases, it corresponded to the State to prove that this was not so. They indicated that the </w:t>
      </w:r>
      <w:r w:rsidR="0084664C" w:rsidRPr="001558A5">
        <w:rPr>
          <w:i/>
          <w:szCs w:val="20"/>
          <w:lang w:val="en-US"/>
        </w:rPr>
        <w:t>modus operandi</w:t>
      </w:r>
      <w:r w:rsidR="0084664C" w:rsidRPr="001558A5">
        <w:rPr>
          <w:szCs w:val="20"/>
          <w:lang w:val="en-US"/>
        </w:rPr>
        <w:t xml:space="preserve"> of the </w:t>
      </w:r>
      <w:r w:rsidR="00EA679D" w:rsidRPr="001558A5">
        <w:rPr>
          <w:szCs w:val="20"/>
          <w:lang w:val="en-US"/>
        </w:rPr>
        <w:t>hate</w:t>
      </w:r>
      <w:r w:rsidR="0084664C" w:rsidRPr="001558A5">
        <w:rPr>
          <w:szCs w:val="20"/>
          <w:lang w:val="en-US"/>
        </w:rPr>
        <w:t xml:space="preserve"> crime demonstrated that the murder of Vicky Hernández occurred “as part of a pattern of human rights violations against trans women in Honduras, and of </w:t>
      </w:r>
      <w:r w:rsidR="0084664C" w:rsidRPr="001558A5">
        <w:rPr>
          <w:i/>
          <w:iCs/>
          <w:szCs w:val="20"/>
          <w:lang w:val="en-US"/>
        </w:rPr>
        <w:t>social cleansing</w:t>
      </w:r>
      <w:r w:rsidR="0084664C" w:rsidRPr="001558A5">
        <w:rPr>
          <w:szCs w:val="20"/>
          <w:lang w:val="en-US"/>
        </w:rPr>
        <w:t xml:space="preserve"> tolerated by the State</w:t>
      </w:r>
      <w:r w:rsidR="00204FE9" w:rsidRPr="001558A5">
        <w:rPr>
          <w:szCs w:val="20"/>
          <w:lang w:val="en-US"/>
        </w:rPr>
        <w:t>.” They added that the facts also occurred within a context of the intersectionality of the vulnerabilities and discriminations that affect trans women, and that the State was responsible for failing to create the appropriate conditions to prevent the violation of the right to life. Furthermore, they argued that, in this case, the State had violated the right of individual</w:t>
      </w:r>
      <w:r w:rsidR="00EA679D" w:rsidRPr="001558A5">
        <w:rPr>
          <w:szCs w:val="20"/>
          <w:lang w:val="en-US"/>
        </w:rPr>
        <w:t>s</w:t>
      </w:r>
      <w:r w:rsidR="00204FE9" w:rsidRPr="001558A5">
        <w:rPr>
          <w:szCs w:val="20"/>
          <w:lang w:val="en-US"/>
        </w:rPr>
        <w:t xml:space="preserve"> to develop and express their own gender identity recognized in</w:t>
      </w:r>
      <w:r w:rsidR="00204FE9" w:rsidRPr="001558A5">
        <w:rPr>
          <w:rFonts w:eastAsia="Calibri" w:cs="Arial"/>
          <w:szCs w:val="20"/>
          <w:lang w:val="en-US" w:eastAsia="es-CR"/>
        </w:rPr>
        <w:t xml:space="preserve"> </w:t>
      </w:r>
      <w:r w:rsidR="00871E19" w:rsidRPr="001558A5">
        <w:rPr>
          <w:rFonts w:eastAsia="Calibri" w:cs="Arial"/>
          <w:szCs w:val="20"/>
          <w:lang w:val="en-US" w:eastAsia="es-CR"/>
        </w:rPr>
        <w:t>Articles</w:t>
      </w:r>
      <w:r w:rsidR="00406C23" w:rsidRPr="001558A5">
        <w:rPr>
          <w:rFonts w:eastAsia="Calibri" w:cs="Arial"/>
          <w:szCs w:val="20"/>
          <w:lang w:val="en-US" w:eastAsia="es-CR"/>
        </w:rPr>
        <w:t xml:space="preserve"> 3, 7, 11</w:t>
      </w:r>
      <w:r w:rsidR="00204FE9" w:rsidRPr="001558A5">
        <w:rPr>
          <w:rFonts w:eastAsia="Calibri" w:cs="Arial"/>
          <w:szCs w:val="20"/>
          <w:lang w:val="en-US" w:eastAsia="es-CR"/>
        </w:rPr>
        <w:t>(</w:t>
      </w:r>
      <w:r w:rsidR="00406C23" w:rsidRPr="001558A5">
        <w:rPr>
          <w:rFonts w:eastAsia="Calibri" w:cs="Arial"/>
          <w:szCs w:val="20"/>
          <w:lang w:val="en-US" w:eastAsia="es-CR"/>
        </w:rPr>
        <w:t>2</w:t>
      </w:r>
      <w:r w:rsidR="00204FE9" w:rsidRPr="001558A5">
        <w:rPr>
          <w:rFonts w:eastAsia="Calibri" w:cs="Arial"/>
          <w:szCs w:val="20"/>
          <w:lang w:val="en-US" w:eastAsia="es-CR"/>
        </w:rPr>
        <w:t>)</w:t>
      </w:r>
      <w:r w:rsidR="00406C23" w:rsidRPr="001558A5">
        <w:rPr>
          <w:rFonts w:eastAsia="Calibri" w:cs="Arial"/>
          <w:szCs w:val="20"/>
          <w:lang w:val="en-US" w:eastAsia="es-CR"/>
        </w:rPr>
        <w:t>, 13</w:t>
      </w:r>
      <w:r w:rsidRPr="001558A5">
        <w:rPr>
          <w:rFonts w:eastAsia="Calibri" w:cs="Arial"/>
          <w:szCs w:val="20"/>
          <w:lang w:val="en-US" w:eastAsia="es-CR"/>
        </w:rPr>
        <w:t xml:space="preserve"> and </w:t>
      </w:r>
      <w:r w:rsidR="00406C23" w:rsidRPr="001558A5">
        <w:rPr>
          <w:rFonts w:eastAsia="Calibri" w:cs="Arial"/>
          <w:szCs w:val="20"/>
          <w:lang w:val="en-US" w:eastAsia="es-CR"/>
        </w:rPr>
        <w:t>18</w:t>
      </w:r>
      <w:r w:rsidRPr="001558A5">
        <w:rPr>
          <w:rFonts w:eastAsia="Calibri" w:cs="Arial"/>
          <w:szCs w:val="20"/>
          <w:lang w:val="en-US" w:eastAsia="es-CR"/>
        </w:rPr>
        <w:t xml:space="preserve"> of the </w:t>
      </w:r>
      <w:r w:rsidR="00871E19" w:rsidRPr="001558A5">
        <w:rPr>
          <w:rFonts w:eastAsia="Calibri" w:cs="Arial"/>
          <w:szCs w:val="20"/>
          <w:lang w:val="en-US" w:eastAsia="es-CR"/>
        </w:rPr>
        <w:t>Convention</w:t>
      </w:r>
      <w:r w:rsidR="00406C23" w:rsidRPr="001558A5">
        <w:rPr>
          <w:rFonts w:eastAsia="Calibri" w:cs="Arial"/>
          <w:szCs w:val="20"/>
          <w:lang w:val="en-US" w:eastAsia="es-CR"/>
        </w:rPr>
        <w:t xml:space="preserve">, </w:t>
      </w:r>
      <w:r w:rsidR="00204FE9" w:rsidRPr="001558A5">
        <w:rPr>
          <w:rFonts w:eastAsia="Calibri" w:cs="Arial"/>
          <w:szCs w:val="20"/>
          <w:lang w:val="en-US" w:eastAsia="es-CR"/>
        </w:rPr>
        <w:t>in relation to</w:t>
      </w:r>
      <w:r w:rsidR="00406C23" w:rsidRPr="001558A5">
        <w:rPr>
          <w:rFonts w:eastAsia="Calibri" w:cs="Arial"/>
          <w:szCs w:val="20"/>
          <w:lang w:val="en-US" w:eastAsia="es-CR"/>
        </w:rPr>
        <w:t xml:space="preserve"> </w:t>
      </w:r>
      <w:r w:rsidR="00B43A52" w:rsidRPr="001558A5">
        <w:rPr>
          <w:rFonts w:eastAsia="Calibri" w:cs="Arial"/>
          <w:szCs w:val="20"/>
          <w:lang w:val="en-US" w:eastAsia="es-CR"/>
        </w:rPr>
        <w:t>Articles 1(1)</w:t>
      </w:r>
      <w:r w:rsidR="00406C23" w:rsidRPr="001558A5">
        <w:rPr>
          <w:rFonts w:eastAsia="Calibri" w:cs="Arial"/>
          <w:szCs w:val="20"/>
          <w:lang w:val="en-US" w:eastAsia="es-CR"/>
        </w:rPr>
        <w:t>, 2</w:t>
      </w:r>
      <w:r w:rsidRPr="001558A5">
        <w:rPr>
          <w:rFonts w:eastAsia="Calibri" w:cs="Arial"/>
          <w:szCs w:val="20"/>
          <w:lang w:val="en-US" w:eastAsia="es-CR"/>
        </w:rPr>
        <w:t xml:space="preserve"> and </w:t>
      </w:r>
      <w:r w:rsidR="00406C23" w:rsidRPr="001558A5">
        <w:rPr>
          <w:rFonts w:eastAsia="Calibri" w:cs="Arial"/>
          <w:szCs w:val="20"/>
          <w:lang w:val="en-US" w:eastAsia="es-CR"/>
        </w:rPr>
        <w:t xml:space="preserve">24 </w:t>
      </w:r>
      <w:r w:rsidR="00204FE9" w:rsidRPr="001558A5">
        <w:rPr>
          <w:rFonts w:eastAsia="Calibri" w:cs="Arial"/>
          <w:szCs w:val="20"/>
          <w:lang w:val="en-US" w:eastAsia="es-CR"/>
        </w:rPr>
        <w:t xml:space="preserve">of this instrument </w:t>
      </w:r>
      <w:r w:rsidR="00B43A52" w:rsidRPr="001558A5">
        <w:rPr>
          <w:rFonts w:eastAsia="Calibri" w:cs="Arial"/>
          <w:szCs w:val="20"/>
          <w:lang w:val="en-US" w:eastAsia="es-CR"/>
        </w:rPr>
        <w:t>to the detriment of</w:t>
      </w:r>
      <w:r w:rsidR="00406C23" w:rsidRPr="001558A5">
        <w:rPr>
          <w:rFonts w:eastAsia="Calibri" w:cs="Arial"/>
          <w:szCs w:val="20"/>
          <w:lang w:val="en-US" w:eastAsia="es-CR"/>
        </w:rPr>
        <w:t xml:space="preserve"> Vicky Hernández.</w:t>
      </w:r>
    </w:p>
    <w:p w14:paraId="783851CE" w14:textId="2708A328" w:rsidR="00204FE9" w:rsidRPr="001558A5" w:rsidRDefault="00204FE9" w:rsidP="00945CE2">
      <w:pPr>
        <w:pStyle w:val="Prrafodelista"/>
        <w:numPr>
          <w:ilvl w:val="0"/>
          <w:numId w:val="2"/>
        </w:numPr>
        <w:spacing w:before="120" w:after="120"/>
        <w:ind w:left="0" w:firstLine="0"/>
        <w:contextualSpacing w:val="0"/>
        <w:rPr>
          <w:rFonts w:eastAsia="Calibri" w:cs="Arial"/>
          <w:szCs w:val="20"/>
          <w:lang w:val="en-US" w:eastAsia="es-CR"/>
        </w:rPr>
      </w:pPr>
      <w:r w:rsidRPr="001558A5">
        <w:rPr>
          <w:rFonts w:eastAsia="Calibri" w:cs="Arial"/>
          <w:szCs w:val="20"/>
          <w:lang w:val="en-US" w:eastAsia="es-CR"/>
        </w:rPr>
        <w:t xml:space="preserve">Regarding the investigations, </w:t>
      </w:r>
      <w:r w:rsidR="00DD4354" w:rsidRPr="001558A5">
        <w:rPr>
          <w:rFonts w:eastAsia="Calibri" w:cs="Arial"/>
          <w:szCs w:val="20"/>
          <w:lang w:val="en-US" w:eastAsia="es-CR"/>
        </w:rPr>
        <w:t>the representatives</w:t>
      </w:r>
      <w:r w:rsidR="00800C51" w:rsidRPr="001558A5">
        <w:rPr>
          <w:rFonts w:eastAsia="Calibri" w:cs="Arial"/>
          <w:szCs w:val="20"/>
          <w:lang w:val="en-US" w:eastAsia="es-CR"/>
        </w:rPr>
        <w:t xml:space="preserve"> </w:t>
      </w:r>
      <w:r w:rsidRPr="001558A5">
        <w:rPr>
          <w:rFonts w:eastAsia="Calibri" w:cs="Arial"/>
          <w:szCs w:val="20"/>
          <w:lang w:val="en-US" w:eastAsia="es-CR"/>
        </w:rPr>
        <w:t xml:space="preserve">agreed with the </w:t>
      </w:r>
      <w:r w:rsidR="00EA679D" w:rsidRPr="001558A5">
        <w:rPr>
          <w:rFonts w:eastAsia="Calibri" w:cs="Arial"/>
          <w:szCs w:val="20"/>
          <w:lang w:val="en-US" w:eastAsia="es-CR"/>
        </w:rPr>
        <w:t xml:space="preserve">Commission’s </w:t>
      </w:r>
      <w:r w:rsidRPr="001558A5">
        <w:rPr>
          <w:rFonts w:eastAsia="Calibri" w:cs="Arial"/>
          <w:szCs w:val="20"/>
          <w:lang w:val="en-US" w:eastAsia="es-CR"/>
        </w:rPr>
        <w:t xml:space="preserve">arguments and recalled that the facts took place in a context of lack of due diligence and effectiveness in the investigation of the facts; particularly, as regards the possible involvement of State agents. They argued that this flawed investigation had allowed the facts to continue in impunity and that this formed part of the more general context of impunity. In addition, they referred to the specific obligations in the investigation of cases of violence against women – including trans women – that were not met in this case. Moreover, they indicated that there had been discrimination due to the application of stereotypes and an investigation that lacked a gender perspective and </w:t>
      </w:r>
      <w:r w:rsidRPr="001558A5">
        <w:rPr>
          <w:rFonts w:eastAsia="Cambria" w:cs="Cambria"/>
          <w:szCs w:val="20"/>
          <w:lang w:val="en-US"/>
        </w:rPr>
        <w:t>gender expression. They also argued that, in the instant case, the authorities had refused to give Vicky Hernández’s family an opportunity to be heard. Lastly, they argued that the fact that amnesty decree No. 2-2010 was in force</w:t>
      </w:r>
      <w:r w:rsidR="00EA679D" w:rsidRPr="001558A5">
        <w:rPr>
          <w:rFonts w:eastAsia="Cambria" w:cs="Cambria"/>
          <w:szCs w:val="20"/>
          <w:lang w:val="en-US"/>
        </w:rPr>
        <w:t xml:space="preserve"> represented a significant obstacle during investigations because it</w:t>
      </w:r>
      <w:r w:rsidRPr="001558A5">
        <w:rPr>
          <w:rFonts w:eastAsia="Cambria" w:cs="Cambria"/>
          <w:szCs w:val="20"/>
          <w:lang w:val="en-US"/>
        </w:rPr>
        <w:t xml:space="preserve"> granted a general amnesty to those who had committed a series of crimes between January 1, 2008, and January 27, 2010.</w:t>
      </w:r>
    </w:p>
    <w:p w14:paraId="628EADD1" w14:textId="5F288F1A" w:rsidR="00EA1508" w:rsidRPr="001558A5" w:rsidRDefault="00DD4354" w:rsidP="00204FE9">
      <w:pPr>
        <w:pStyle w:val="Prrafodelista"/>
        <w:numPr>
          <w:ilvl w:val="0"/>
          <w:numId w:val="2"/>
        </w:numPr>
        <w:spacing w:before="120" w:after="120"/>
        <w:ind w:left="0" w:firstLine="0"/>
        <w:contextualSpacing w:val="0"/>
        <w:rPr>
          <w:szCs w:val="20"/>
          <w:lang w:val="en-US"/>
        </w:rPr>
      </w:pPr>
      <w:r w:rsidRPr="001558A5">
        <w:rPr>
          <w:szCs w:val="20"/>
          <w:lang w:val="en-US"/>
        </w:rPr>
        <w:t xml:space="preserve">The </w:t>
      </w:r>
      <w:r w:rsidRPr="001558A5">
        <w:rPr>
          <w:b/>
          <w:bCs/>
          <w:i/>
          <w:iCs/>
          <w:szCs w:val="20"/>
          <w:lang w:val="en-US"/>
        </w:rPr>
        <w:t>State</w:t>
      </w:r>
      <w:r w:rsidR="00F51126" w:rsidRPr="001558A5">
        <w:rPr>
          <w:b/>
          <w:i/>
          <w:szCs w:val="20"/>
          <w:lang w:val="en-US"/>
        </w:rPr>
        <w:t xml:space="preserve"> </w:t>
      </w:r>
      <w:r w:rsidR="00F51126" w:rsidRPr="001558A5">
        <w:rPr>
          <w:szCs w:val="20"/>
          <w:lang w:val="en-US"/>
        </w:rPr>
        <w:t>a</w:t>
      </w:r>
      <w:r w:rsidR="00204FE9" w:rsidRPr="001558A5">
        <w:rPr>
          <w:szCs w:val="20"/>
          <w:lang w:val="en-US"/>
        </w:rPr>
        <w:t xml:space="preserve">rgued that, in </w:t>
      </w:r>
      <w:r w:rsidRPr="001558A5">
        <w:rPr>
          <w:szCs w:val="20"/>
          <w:lang w:val="en-US"/>
        </w:rPr>
        <w:t>the context</w:t>
      </w:r>
      <w:r w:rsidR="00B74256" w:rsidRPr="001558A5">
        <w:rPr>
          <w:szCs w:val="20"/>
          <w:lang w:val="en-US"/>
        </w:rPr>
        <w:t xml:space="preserve"> of the </w:t>
      </w:r>
      <w:r w:rsidR="00204FE9" w:rsidRPr="001558A5">
        <w:rPr>
          <w:szCs w:val="20"/>
          <w:lang w:val="en-US"/>
        </w:rPr>
        <w:t xml:space="preserve">2009 </w:t>
      </w:r>
      <w:r w:rsidR="00B74256" w:rsidRPr="001558A5">
        <w:rPr>
          <w:szCs w:val="20"/>
          <w:lang w:val="en-US"/>
        </w:rPr>
        <w:t>coup d’état</w:t>
      </w:r>
      <w:r w:rsidR="00204FE9" w:rsidRPr="001558A5">
        <w:rPr>
          <w:szCs w:val="20"/>
          <w:lang w:val="en-US"/>
        </w:rPr>
        <w:t xml:space="preserve">, it had adopted a decree </w:t>
      </w:r>
      <w:r w:rsidR="00EA1508" w:rsidRPr="001558A5">
        <w:rPr>
          <w:szCs w:val="20"/>
          <w:lang w:val="en-US"/>
        </w:rPr>
        <w:t xml:space="preserve">by which, in June 2009, it proceeded to restrict constitutional guarantees and that this restriction was based on the serious situation resulting from </w:t>
      </w:r>
      <w:r w:rsidR="00C31DC2" w:rsidRPr="001558A5">
        <w:rPr>
          <w:szCs w:val="20"/>
          <w:lang w:val="en-US"/>
        </w:rPr>
        <w:t>that</w:t>
      </w:r>
      <w:r w:rsidR="00EA1508" w:rsidRPr="001558A5">
        <w:rPr>
          <w:szCs w:val="20"/>
          <w:lang w:val="en-US"/>
        </w:rPr>
        <w:t xml:space="preserve"> political event, because various violent demonstrations of social protest had occurred and</w:t>
      </w:r>
      <w:r w:rsidR="00C31DC2" w:rsidRPr="001558A5">
        <w:rPr>
          <w:szCs w:val="20"/>
          <w:lang w:val="en-US"/>
        </w:rPr>
        <w:t>, therefore,</w:t>
      </w:r>
      <w:r w:rsidR="00EA1508" w:rsidRPr="001558A5">
        <w:rPr>
          <w:szCs w:val="20"/>
          <w:lang w:val="en-US"/>
        </w:rPr>
        <w:t xml:space="preserve"> it was urgent and necessary to proceed in a proportionate manner to protect the rights to life, </w:t>
      </w:r>
      <w:r w:rsidR="00B732DD" w:rsidRPr="001558A5">
        <w:rPr>
          <w:szCs w:val="20"/>
          <w:lang w:val="en-US"/>
        </w:rPr>
        <w:t>personal integrity</w:t>
      </w:r>
      <w:r w:rsidRPr="001558A5">
        <w:rPr>
          <w:szCs w:val="20"/>
          <w:lang w:val="en-US"/>
        </w:rPr>
        <w:t xml:space="preserve"> and </w:t>
      </w:r>
      <w:r w:rsidR="00EA1508" w:rsidRPr="001558A5">
        <w:rPr>
          <w:szCs w:val="20"/>
          <w:lang w:val="en-US"/>
        </w:rPr>
        <w:t>property. It added that the purpose of the measures</w:t>
      </w:r>
      <w:r w:rsidR="00C31DC2" w:rsidRPr="001558A5">
        <w:rPr>
          <w:szCs w:val="20"/>
          <w:lang w:val="en-US"/>
        </w:rPr>
        <w:t xml:space="preserve"> taken</w:t>
      </w:r>
      <w:r w:rsidR="00EA1508" w:rsidRPr="001558A5">
        <w:rPr>
          <w:szCs w:val="20"/>
          <w:lang w:val="en-US"/>
        </w:rPr>
        <w:t xml:space="preserve"> was to </w:t>
      </w:r>
      <w:r w:rsidR="00C31DC2" w:rsidRPr="001558A5">
        <w:rPr>
          <w:szCs w:val="20"/>
          <w:lang w:val="en-US"/>
        </w:rPr>
        <w:t xml:space="preserve">safeguard and to </w:t>
      </w:r>
      <w:r w:rsidR="00EA1508" w:rsidRPr="001558A5">
        <w:rPr>
          <w:szCs w:val="20"/>
          <w:lang w:val="en-US"/>
        </w:rPr>
        <w:t>prevent harm to</w:t>
      </w:r>
      <w:r w:rsidR="00C31DC2" w:rsidRPr="001558A5">
        <w:rPr>
          <w:szCs w:val="20"/>
          <w:lang w:val="en-US"/>
        </w:rPr>
        <w:t xml:space="preserve"> </w:t>
      </w:r>
      <w:r w:rsidR="00EA1508" w:rsidRPr="001558A5">
        <w:rPr>
          <w:szCs w:val="20"/>
          <w:lang w:val="en-US"/>
        </w:rPr>
        <w:t xml:space="preserve">human life, preventing possible </w:t>
      </w:r>
      <w:r w:rsidR="00C31DC2" w:rsidRPr="001558A5">
        <w:rPr>
          <w:szCs w:val="20"/>
          <w:lang w:val="en-US"/>
        </w:rPr>
        <w:t>danger</w:t>
      </w:r>
      <w:r w:rsidR="00EA1508" w:rsidRPr="001558A5">
        <w:rPr>
          <w:szCs w:val="20"/>
          <w:lang w:val="en-US"/>
        </w:rPr>
        <w:t xml:space="preserve"> for many people due to the demonstrations that continued as a political protest. Consequently,</w:t>
      </w:r>
      <w:r w:rsidR="00C31DC2" w:rsidRPr="001558A5">
        <w:rPr>
          <w:szCs w:val="20"/>
          <w:lang w:val="en-US"/>
        </w:rPr>
        <w:t xml:space="preserve"> this restriction was issued</w:t>
      </w:r>
      <w:r w:rsidR="00EA1508" w:rsidRPr="001558A5">
        <w:rPr>
          <w:szCs w:val="20"/>
          <w:lang w:val="en-US"/>
        </w:rPr>
        <w:t xml:space="preserve"> in the</w:t>
      </w:r>
      <w:r w:rsidR="00C31DC2" w:rsidRPr="001558A5">
        <w:rPr>
          <w:szCs w:val="20"/>
          <w:lang w:val="en-US"/>
        </w:rPr>
        <w:t xml:space="preserve"> above</w:t>
      </w:r>
      <w:r w:rsidR="00EA1508" w:rsidRPr="001558A5">
        <w:rPr>
          <w:szCs w:val="20"/>
          <w:lang w:val="en-US"/>
        </w:rPr>
        <w:t xml:space="preserve"> socio-political context, abiding by the constitutional provisions.</w:t>
      </w:r>
    </w:p>
    <w:p w14:paraId="45E48E49" w14:textId="3E7B5B62" w:rsidR="00EA1508" w:rsidRPr="001558A5" w:rsidRDefault="00EA1508" w:rsidP="00945CE2">
      <w:pPr>
        <w:numPr>
          <w:ilvl w:val="0"/>
          <w:numId w:val="2"/>
        </w:numPr>
        <w:pBdr>
          <w:top w:val="nil"/>
        </w:pBdr>
        <w:spacing w:before="120" w:after="120"/>
        <w:ind w:left="0" w:firstLine="0"/>
        <w:rPr>
          <w:szCs w:val="20"/>
          <w:lang w:val="en-US"/>
        </w:rPr>
      </w:pPr>
      <w:r w:rsidRPr="001558A5">
        <w:rPr>
          <w:szCs w:val="20"/>
          <w:lang w:val="en-US"/>
        </w:rPr>
        <w:t xml:space="preserve">The State also indicated that, in the said </w:t>
      </w:r>
      <w:r w:rsidR="00DD4354" w:rsidRPr="001558A5">
        <w:rPr>
          <w:szCs w:val="20"/>
          <w:lang w:val="en-US"/>
        </w:rPr>
        <w:t>context</w:t>
      </w:r>
      <w:r w:rsidR="00C31DC2" w:rsidRPr="001558A5">
        <w:rPr>
          <w:szCs w:val="20"/>
          <w:lang w:val="en-US"/>
        </w:rPr>
        <w:t>,</w:t>
      </w:r>
      <w:r w:rsidR="00F51126" w:rsidRPr="001558A5">
        <w:rPr>
          <w:szCs w:val="20"/>
          <w:lang w:val="en-US"/>
        </w:rPr>
        <w:t xml:space="preserve"> </w:t>
      </w:r>
      <w:r w:rsidRPr="001558A5">
        <w:rPr>
          <w:szCs w:val="20"/>
          <w:lang w:val="en-US"/>
        </w:rPr>
        <w:t xml:space="preserve">there was no evidence </w:t>
      </w:r>
      <w:r w:rsidR="00C31DC2" w:rsidRPr="001558A5">
        <w:rPr>
          <w:szCs w:val="20"/>
          <w:lang w:val="en-US"/>
        </w:rPr>
        <w:t xml:space="preserve">and it could not </w:t>
      </w:r>
      <w:r w:rsidRPr="001558A5">
        <w:rPr>
          <w:szCs w:val="20"/>
          <w:lang w:val="en-US"/>
        </w:rPr>
        <w:t>be inferred that those responsible for the death of</w:t>
      </w:r>
      <w:r w:rsidR="00F51126" w:rsidRPr="001558A5">
        <w:rPr>
          <w:szCs w:val="20"/>
          <w:lang w:val="en-US"/>
        </w:rPr>
        <w:t xml:space="preserve"> Vicky Hernández </w:t>
      </w:r>
      <w:r w:rsidRPr="001558A5">
        <w:rPr>
          <w:szCs w:val="20"/>
          <w:lang w:val="en-US"/>
        </w:rPr>
        <w:t xml:space="preserve">were members of law enforcement personnel </w:t>
      </w:r>
      <w:r w:rsidR="00C31DC2" w:rsidRPr="001558A5">
        <w:rPr>
          <w:szCs w:val="20"/>
          <w:lang w:val="en-US"/>
        </w:rPr>
        <w:t>because</w:t>
      </w:r>
      <w:r w:rsidRPr="001558A5">
        <w:rPr>
          <w:szCs w:val="20"/>
          <w:lang w:val="en-US"/>
        </w:rPr>
        <w:t xml:space="preserve"> they were conducting constant patrols to avoid the occurrence of “unrest and regrettable tragedies.” It added that, </w:t>
      </w:r>
      <w:r w:rsidR="00C27732" w:rsidRPr="001558A5">
        <w:rPr>
          <w:szCs w:val="20"/>
          <w:lang w:val="en-US"/>
        </w:rPr>
        <w:t>evidentl</w:t>
      </w:r>
      <w:r w:rsidRPr="001558A5">
        <w:rPr>
          <w:szCs w:val="20"/>
          <w:lang w:val="en-US"/>
        </w:rPr>
        <w:t>y, the decree did not</w:t>
      </w:r>
      <w:r w:rsidR="00C27732" w:rsidRPr="001558A5">
        <w:rPr>
          <w:szCs w:val="20"/>
          <w:lang w:val="en-US"/>
        </w:rPr>
        <w:t xml:space="preserve"> </w:t>
      </w:r>
      <w:r w:rsidRPr="001558A5">
        <w:rPr>
          <w:szCs w:val="20"/>
          <w:lang w:val="en-US"/>
        </w:rPr>
        <w:t xml:space="preserve">and could not guarantee the presence of law enforcement personnel in all the streets and avenues of the country’s cities because, in principle, the preventive effect was based on the understanding that the threat </w:t>
      </w:r>
      <w:r w:rsidR="00C27732" w:rsidRPr="001558A5">
        <w:rPr>
          <w:szCs w:val="20"/>
          <w:lang w:val="en-US"/>
        </w:rPr>
        <w:t>represented by</w:t>
      </w:r>
      <w:r w:rsidRPr="001558A5">
        <w:rPr>
          <w:szCs w:val="20"/>
          <w:lang w:val="en-US"/>
        </w:rPr>
        <w:t xml:space="preserve"> the measure </w:t>
      </w:r>
      <w:r w:rsidR="00C31DC2" w:rsidRPr="001558A5">
        <w:rPr>
          <w:szCs w:val="20"/>
          <w:lang w:val="en-US"/>
        </w:rPr>
        <w:t>ordered</w:t>
      </w:r>
      <w:r w:rsidRPr="001558A5">
        <w:rPr>
          <w:szCs w:val="20"/>
          <w:lang w:val="en-US"/>
        </w:rPr>
        <w:t xml:space="preserve"> would</w:t>
      </w:r>
      <w:r w:rsidR="00C27732" w:rsidRPr="001558A5">
        <w:rPr>
          <w:szCs w:val="20"/>
          <w:lang w:val="en-US"/>
        </w:rPr>
        <w:t xml:space="preserve"> (and did)</w:t>
      </w:r>
      <w:r w:rsidRPr="001558A5">
        <w:rPr>
          <w:szCs w:val="20"/>
          <w:lang w:val="en-US"/>
        </w:rPr>
        <w:t xml:space="preserve"> result in </w:t>
      </w:r>
      <w:r w:rsidR="00C27732" w:rsidRPr="001558A5">
        <w:rPr>
          <w:szCs w:val="20"/>
          <w:lang w:val="en-US"/>
        </w:rPr>
        <w:t>fewer people on the street when the constitutional restrictions were in force</w:t>
      </w:r>
      <w:r w:rsidR="00C31DC2" w:rsidRPr="001558A5">
        <w:rPr>
          <w:szCs w:val="20"/>
          <w:lang w:val="en-US"/>
        </w:rPr>
        <w:t>,</w:t>
      </w:r>
      <w:r w:rsidR="00C27732" w:rsidRPr="001558A5">
        <w:rPr>
          <w:szCs w:val="20"/>
          <w:lang w:val="en-US"/>
        </w:rPr>
        <w:t xml:space="preserve"> thus avoid</w:t>
      </w:r>
      <w:r w:rsidR="00C31DC2" w:rsidRPr="001558A5">
        <w:rPr>
          <w:szCs w:val="20"/>
          <w:lang w:val="en-US"/>
        </w:rPr>
        <w:t>ing</w:t>
      </w:r>
      <w:r w:rsidR="00C27732" w:rsidRPr="001558A5">
        <w:rPr>
          <w:szCs w:val="20"/>
          <w:lang w:val="en-US"/>
        </w:rPr>
        <w:t xml:space="preserve"> the disturbances and violent acts that occur when large crowds gather.</w:t>
      </w:r>
    </w:p>
    <w:p w14:paraId="20816FAB" w14:textId="5017A7F1" w:rsidR="005237DB" w:rsidRPr="001558A5" w:rsidRDefault="00C27732" w:rsidP="00C27732">
      <w:pPr>
        <w:numPr>
          <w:ilvl w:val="0"/>
          <w:numId w:val="2"/>
        </w:numPr>
        <w:pBdr>
          <w:top w:val="nil"/>
        </w:pBdr>
        <w:spacing w:before="120" w:after="120"/>
        <w:ind w:left="0" w:firstLine="0"/>
        <w:rPr>
          <w:rFonts w:eastAsia="Verdana" w:cs="Verdana"/>
          <w:b/>
          <w:szCs w:val="20"/>
          <w:lang w:val="en-US"/>
        </w:rPr>
      </w:pPr>
      <w:r w:rsidRPr="001558A5">
        <w:rPr>
          <w:szCs w:val="20"/>
          <w:lang w:val="en-US"/>
        </w:rPr>
        <w:t>The</w:t>
      </w:r>
      <w:r w:rsidR="00DD4354" w:rsidRPr="001558A5">
        <w:rPr>
          <w:szCs w:val="20"/>
          <w:lang w:val="en-US"/>
        </w:rPr>
        <w:t xml:space="preserve"> State</w:t>
      </w:r>
      <w:r w:rsidRPr="001558A5">
        <w:rPr>
          <w:szCs w:val="20"/>
          <w:lang w:val="en-US"/>
        </w:rPr>
        <w:t xml:space="preserve"> also argued that it was inadmissible to try and make it responsible for </w:t>
      </w:r>
      <w:r w:rsidR="00C31DC2" w:rsidRPr="001558A5">
        <w:rPr>
          <w:szCs w:val="20"/>
          <w:lang w:val="en-US"/>
        </w:rPr>
        <w:t xml:space="preserve">failing to </w:t>
      </w:r>
      <w:r w:rsidRPr="001558A5">
        <w:rPr>
          <w:szCs w:val="20"/>
          <w:lang w:val="en-US"/>
        </w:rPr>
        <w:t xml:space="preserve">prevent the death of Vicky Hernández because, in the instant case, there was no evidence that the state authorities were aware of any risk to Vicky Hernández’s life, since there had been no reports indicating this. Regarding the State’s positive obligation of prevention, it argued that supposing its responsibility owing to </w:t>
      </w:r>
      <w:r w:rsidR="00C31DC2" w:rsidRPr="001558A5">
        <w:rPr>
          <w:szCs w:val="20"/>
          <w:lang w:val="en-US"/>
        </w:rPr>
        <w:t xml:space="preserve">the </w:t>
      </w:r>
      <w:r w:rsidRPr="001558A5">
        <w:rPr>
          <w:szCs w:val="20"/>
          <w:lang w:val="en-US"/>
        </w:rPr>
        <w:t>omission of that obligation implied imposing on the authorities an impossible and disproportionate burden, considering “the unpredictability of human conduct.</w:t>
      </w:r>
      <w:r w:rsidR="00B50F03" w:rsidRPr="001558A5">
        <w:rPr>
          <w:szCs w:val="20"/>
          <w:lang w:val="en-US"/>
        </w:rPr>
        <w:t>”</w:t>
      </w:r>
      <w:r w:rsidR="00F51126" w:rsidRPr="001558A5">
        <w:rPr>
          <w:szCs w:val="20"/>
          <w:lang w:val="en-US"/>
        </w:rPr>
        <w:t xml:space="preserve"> </w:t>
      </w:r>
    </w:p>
    <w:p w14:paraId="7C9D1E78" w14:textId="11DA43B7" w:rsidR="00C27732" w:rsidRPr="001558A5" w:rsidRDefault="00C27732" w:rsidP="00945CE2">
      <w:pPr>
        <w:numPr>
          <w:ilvl w:val="0"/>
          <w:numId w:val="2"/>
        </w:numPr>
        <w:pBdr>
          <w:top w:val="nil"/>
        </w:pBdr>
        <w:spacing w:before="120" w:after="120"/>
        <w:ind w:left="0" w:firstLine="0"/>
        <w:rPr>
          <w:szCs w:val="20"/>
          <w:lang w:val="en-US"/>
        </w:rPr>
      </w:pPr>
      <w:r w:rsidRPr="001558A5">
        <w:rPr>
          <w:szCs w:val="20"/>
          <w:lang w:val="en-US"/>
        </w:rPr>
        <w:t xml:space="preserve">Lastly, it considered that, based on the factual framework of the case, it was not possible to substantiate a violation of the right to personal liberty because there was no evidence that the presumed victim’s freedom of movement had been limited in any </w:t>
      </w:r>
      <w:r w:rsidR="00791E93" w:rsidRPr="001558A5">
        <w:rPr>
          <w:szCs w:val="20"/>
          <w:lang w:val="en-US"/>
        </w:rPr>
        <w:t>w</w:t>
      </w:r>
      <w:r w:rsidRPr="001558A5">
        <w:rPr>
          <w:szCs w:val="20"/>
          <w:lang w:val="en-US"/>
        </w:rPr>
        <w:t>ay</w:t>
      </w:r>
      <w:r w:rsidR="00791E93" w:rsidRPr="001558A5">
        <w:rPr>
          <w:szCs w:val="20"/>
          <w:lang w:val="en-US"/>
        </w:rPr>
        <w:t>. Regarding the right to a name, the State recognized that the domestic laws did not allow a change of name</w:t>
      </w:r>
      <w:r w:rsidR="006B45FC" w:rsidRPr="001558A5">
        <w:rPr>
          <w:szCs w:val="20"/>
          <w:lang w:val="en-US"/>
        </w:rPr>
        <w:t>; however,</w:t>
      </w:r>
      <w:r w:rsidR="00791E93" w:rsidRPr="001558A5">
        <w:rPr>
          <w:szCs w:val="20"/>
          <w:lang w:val="en-US"/>
        </w:rPr>
        <w:t xml:space="preserve"> it </w:t>
      </w:r>
      <w:r w:rsidR="006B45FC" w:rsidRPr="001558A5">
        <w:rPr>
          <w:szCs w:val="20"/>
          <w:lang w:val="en-US"/>
        </w:rPr>
        <w:t>noted</w:t>
      </w:r>
      <w:r w:rsidR="00791E93" w:rsidRPr="001558A5">
        <w:rPr>
          <w:szCs w:val="20"/>
          <w:lang w:val="en-US"/>
        </w:rPr>
        <w:t xml:space="preserve"> that the petitioners had not proved that the presumed victim had made a requests or taken any steps with the National Civil Registry, or explained how this right directly affected the presumed victim, or how this right was linked to the purpose of the claim.</w:t>
      </w:r>
    </w:p>
    <w:p w14:paraId="3D891FB5" w14:textId="0BDBDE85" w:rsidR="004161BE" w:rsidRPr="001558A5" w:rsidRDefault="00791E93" w:rsidP="00945CE2">
      <w:pPr>
        <w:numPr>
          <w:ilvl w:val="0"/>
          <w:numId w:val="2"/>
        </w:numPr>
        <w:pBdr>
          <w:top w:val="nil"/>
        </w:pBdr>
        <w:spacing w:before="120" w:after="120"/>
        <w:ind w:left="0" w:firstLine="0"/>
        <w:rPr>
          <w:szCs w:val="20"/>
          <w:lang w:val="en-US"/>
        </w:rPr>
      </w:pPr>
      <w:r w:rsidRPr="001558A5">
        <w:rPr>
          <w:szCs w:val="20"/>
          <w:lang w:val="en-US"/>
        </w:rPr>
        <w:t xml:space="preserve">Lastly, </w:t>
      </w:r>
      <w:r w:rsidR="00DD4354" w:rsidRPr="001558A5">
        <w:rPr>
          <w:szCs w:val="20"/>
          <w:lang w:val="en-US"/>
        </w:rPr>
        <w:t>the State</w:t>
      </w:r>
      <w:r w:rsidR="00887845" w:rsidRPr="001558A5">
        <w:rPr>
          <w:szCs w:val="20"/>
          <w:lang w:val="en-US"/>
        </w:rPr>
        <w:t xml:space="preserve"> r</w:t>
      </w:r>
      <w:r w:rsidRPr="001558A5">
        <w:rPr>
          <w:szCs w:val="20"/>
          <w:lang w:val="en-US"/>
        </w:rPr>
        <w:t xml:space="preserve">ecognized, in general, its failure to comply with the obligation to investigate and the violation of </w:t>
      </w:r>
      <w:r w:rsidR="00871E19" w:rsidRPr="001558A5">
        <w:rPr>
          <w:szCs w:val="20"/>
          <w:lang w:val="en-US"/>
        </w:rPr>
        <w:t>Articles</w:t>
      </w:r>
      <w:r w:rsidR="00887845" w:rsidRPr="001558A5">
        <w:rPr>
          <w:szCs w:val="20"/>
          <w:lang w:val="en-US"/>
        </w:rPr>
        <w:t xml:space="preserve"> 8</w:t>
      </w:r>
      <w:r w:rsidR="00DD4354" w:rsidRPr="001558A5">
        <w:rPr>
          <w:szCs w:val="20"/>
          <w:lang w:val="en-US"/>
        </w:rPr>
        <w:t xml:space="preserve"> and </w:t>
      </w:r>
      <w:r w:rsidR="00887845" w:rsidRPr="001558A5">
        <w:rPr>
          <w:szCs w:val="20"/>
          <w:lang w:val="en-US"/>
        </w:rPr>
        <w:t>25</w:t>
      </w:r>
      <w:r w:rsidR="00DD4354" w:rsidRPr="001558A5">
        <w:rPr>
          <w:szCs w:val="20"/>
          <w:lang w:val="en-US"/>
        </w:rPr>
        <w:t xml:space="preserve"> of the </w:t>
      </w:r>
      <w:r w:rsidR="00871E19" w:rsidRPr="001558A5">
        <w:rPr>
          <w:szCs w:val="20"/>
          <w:lang w:val="en-US"/>
        </w:rPr>
        <w:t>American Convention</w:t>
      </w:r>
      <w:r w:rsidR="00887845" w:rsidRPr="001558A5">
        <w:rPr>
          <w:szCs w:val="20"/>
          <w:lang w:val="en-US"/>
        </w:rPr>
        <w:t xml:space="preserve"> </w:t>
      </w:r>
      <w:r w:rsidRPr="001558A5">
        <w:rPr>
          <w:szCs w:val="20"/>
          <w:lang w:val="en-US"/>
        </w:rPr>
        <w:t xml:space="preserve">for the reasons </w:t>
      </w:r>
      <w:r w:rsidR="006B45FC" w:rsidRPr="001558A5">
        <w:rPr>
          <w:szCs w:val="20"/>
          <w:lang w:val="en-US"/>
        </w:rPr>
        <w:t xml:space="preserve">previously mentioned </w:t>
      </w:r>
      <w:r w:rsidR="00D354FF" w:rsidRPr="001558A5">
        <w:rPr>
          <w:szCs w:val="20"/>
          <w:lang w:val="en-US"/>
        </w:rPr>
        <w:t xml:space="preserve"> </w:t>
      </w:r>
      <w:r w:rsidR="00887845" w:rsidRPr="001558A5">
        <w:rPr>
          <w:szCs w:val="20"/>
          <w:lang w:val="en-US"/>
        </w:rPr>
        <w:t>(</w:t>
      </w:r>
      <w:r w:rsidR="00887845" w:rsidRPr="001558A5">
        <w:rPr>
          <w:i/>
          <w:szCs w:val="20"/>
          <w:lang w:val="en-US"/>
        </w:rPr>
        <w:t xml:space="preserve">supra </w:t>
      </w:r>
      <w:r w:rsidR="00B43A52" w:rsidRPr="001558A5">
        <w:rPr>
          <w:iCs/>
          <w:szCs w:val="20"/>
          <w:lang w:val="en-US"/>
        </w:rPr>
        <w:t>para.</w:t>
      </w:r>
      <w:r w:rsidR="004576FA" w:rsidRPr="001558A5">
        <w:rPr>
          <w:szCs w:val="20"/>
          <w:lang w:val="en-US"/>
        </w:rPr>
        <w:t xml:space="preserve"> 14)</w:t>
      </w:r>
      <w:r w:rsidR="004161BE" w:rsidRPr="001558A5">
        <w:rPr>
          <w:szCs w:val="20"/>
          <w:lang w:val="en-US"/>
        </w:rPr>
        <w:t>.</w:t>
      </w:r>
      <w:r w:rsidR="00D320D6" w:rsidRPr="001558A5">
        <w:rPr>
          <w:szCs w:val="20"/>
          <w:lang w:val="en-US"/>
        </w:rPr>
        <w:t xml:space="preserve"> </w:t>
      </w:r>
    </w:p>
    <w:p w14:paraId="50503E68" w14:textId="3D8C7613" w:rsidR="00DE03C9" w:rsidRPr="001558A5" w:rsidRDefault="00871E19" w:rsidP="00945CE2">
      <w:pPr>
        <w:pStyle w:val="Ttulo2"/>
        <w:numPr>
          <w:ilvl w:val="0"/>
          <w:numId w:val="21"/>
        </w:numPr>
        <w:spacing w:before="240" w:after="240"/>
        <w:rPr>
          <w:rFonts w:ascii="Verdana" w:hAnsi="Verdana"/>
          <w:i/>
          <w:color w:val="auto"/>
          <w:sz w:val="20"/>
          <w:szCs w:val="20"/>
          <w:lang w:val="en-US"/>
        </w:rPr>
      </w:pPr>
      <w:bookmarkStart w:id="93" w:name="_Toc73430055"/>
      <w:r w:rsidRPr="001558A5">
        <w:rPr>
          <w:rFonts w:ascii="Verdana" w:hAnsi="Verdana"/>
          <w:i/>
          <w:color w:val="auto"/>
          <w:sz w:val="20"/>
          <w:szCs w:val="20"/>
          <w:lang w:val="en-US"/>
        </w:rPr>
        <w:t>Considerations</w:t>
      </w:r>
      <w:r w:rsidR="00DD4354" w:rsidRPr="001558A5">
        <w:rPr>
          <w:rFonts w:ascii="Verdana" w:hAnsi="Verdana"/>
          <w:i/>
          <w:color w:val="auto"/>
          <w:sz w:val="20"/>
          <w:szCs w:val="20"/>
          <w:lang w:val="en-US"/>
        </w:rPr>
        <w:t xml:space="preserve"> of the </w:t>
      </w:r>
      <w:r w:rsidRPr="001558A5">
        <w:rPr>
          <w:rFonts w:ascii="Verdana" w:hAnsi="Verdana"/>
          <w:i/>
          <w:color w:val="auto"/>
          <w:sz w:val="20"/>
          <w:szCs w:val="20"/>
          <w:lang w:val="en-US"/>
        </w:rPr>
        <w:t>Court</w:t>
      </w:r>
      <w:bookmarkEnd w:id="93"/>
    </w:p>
    <w:p w14:paraId="73620E1E" w14:textId="26BE4B8B" w:rsidR="00F316FF" w:rsidRPr="001558A5" w:rsidRDefault="00871E19" w:rsidP="00945CE2">
      <w:pPr>
        <w:numPr>
          <w:ilvl w:val="0"/>
          <w:numId w:val="2"/>
        </w:numPr>
        <w:pBdr>
          <w:top w:val="nil"/>
        </w:pBdr>
        <w:spacing w:before="120" w:after="120"/>
        <w:ind w:left="0" w:firstLine="0"/>
        <w:rPr>
          <w:szCs w:val="20"/>
          <w:lang w:val="en-US"/>
        </w:rPr>
      </w:pPr>
      <w:r w:rsidRPr="001558A5">
        <w:rPr>
          <w:szCs w:val="20"/>
          <w:lang w:val="en-US"/>
        </w:rPr>
        <w:t>The Court</w:t>
      </w:r>
      <w:r w:rsidR="00F316FF" w:rsidRPr="001558A5">
        <w:rPr>
          <w:szCs w:val="20"/>
          <w:lang w:val="en-US"/>
        </w:rPr>
        <w:t xml:space="preserve"> </w:t>
      </w:r>
      <w:r w:rsidR="008D5CC5" w:rsidRPr="001558A5">
        <w:rPr>
          <w:szCs w:val="20"/>
          <w:lang w:val="en-US"/>
        </w:rPr>
        <w:t xml:space="preserve">will </w:t>
      </w:r>
      <w:r w:rsidR="00D354FF" w:rsidRPr="001558A5">
        <w:rPr>
          <w:szCs w:val="20"/>
          <w:lang w:val="en-US"/>
        </w:rPr>
        <w:t>now</w:t>
      </w:r>
      <w:r w:rsidR="008D5CC5" w:rsidRPr="001558A5">
        <w:rPr>
          <w:szCs w:val="20"/>
          <w:lang w:val="en-US"/>
        </w:rPr>
        <w:t xml:space="preserve"> examine the issue of the Stat</w:t>
      </w:r>
      <w:r w:rsidR="009F36EF" w:rsidRPr="001558A5">
        <w:rPr>
          <w:szCs w:val="20"/>
          <w:lang w:val="en-US"/>
        </w:rPr>
        <w:t>e’s</w:t>
      </w:r>
      <w:r w:rsidR="008D5CC5" w:rsidRPr="001558A5">
        <w:rPr>
          <w:szCs w:val="20"/>
          <w:lang w:val="en-US"/>
        </w:rPr>
        <w:t xml:space="preserve"> international responsibility for </w:t>
      </w:r>
      <w:r w:rsidR="00B74256" w:rsidRPr="001558A5">
        <w:rPr>
          <w:szCs w:val="20"/>
          <w:lang w:val="en-US"/>
        </w:rPr>
        <w:t>the violation of</w:t>
      </w:r>
      <w:r w:rsidR="00F316FF" w:rsidRPr="001558A5">
        <w:rPr>
          <w:szCs w:val="20"/>
          <w:lang w:val="en-US"/>
        </w:rPr>
        <w:t xml:space="preserve"> </w:t>
      </w:r>
      <w:r w:rsidRPr="001558A5">
        <w:rPr>
          <w:szCs w:val="20"/>
          <w:lang w:val="en-US"/>
        </w:rPr>
        <w:t>Articles</w:t>
      </w:r>
      <w:r w:rsidR="00F316FF" w:rsidRPr="001558A5">
        <w:rPr>
          <w:szCs w:val="20"/>
          <w:lang w:val="en-US"/>
        </w:rPr>
        <w:t xml:space="preserve"> </w:t>
      </w:r>
      <w:r w:rsidR="0087269F" w:rsidRPr="001558A5">
        <w:rPr>
          <w:szCs w:val="20"/>
          <w:lang w:val="en-US"/>
        </w:rPr>
        <w:t xml:space="preserve">3, </w:t>
      </w:r>
      <w:r w:rsidR="00F316FF" w:rsidRPr="001558A5">
        <w:rPr>
          <w:szCs w:val="20"/>
          <w:lang w:val="en-US"/>
        </w:rPr>
        <w:t>4, 5, 11, 13</w:t>
      </w:r>
      <w:r w:rsidR="00DD4354" w:rsidRPr="001558A5">
        <w:rPr>
          <w:szCs w:val="20"/>
          <w:lang w:val="en-US"/>
        </w:rPr>
        <w:t xml:space="preserve"> and </w:t>
      </w:r>
      <w:r w:rsidR="00F316FF" w:rsidRPr="001558A5">
        <w:rPr>
          <w:szCs w:val="20"/>
          <w:lang w:val="en-US"/>
        </w:rPr>
        <w:t>24</w:t>
      </w:r>
      <w:r w:rsidR="00DD4354" w:rsidRPr="001558A5">
        <w:rPr>
          <w:szCs w:val="20"/>
          <w:lang w:val="en-US"/>
        </w:rPr>
        <w:t xml:space="preserve"> of the </w:t>
      </w:r>
      <w:r w:rsidRPr="001558A5">
        <w:rPr>
          <w:szCs w:val="20"/>
          <w:lang w:val="en-US"/>
        </w:rPr>
        <w:t>American Convention</w:t>
      </w:r>
      <w:r w:rsidR="00DD4354" w:rsidRPr="001558A5">
        <w:rPr>
          <w:szCs w:val="20"/>
          <w:lang w:val="en-US"/>
        </w:rPr>
        <w:t xml:space="preserve"> and </w:t>
      </w:r>
      <w:r w:rsidR="00F316FF" w:rsidRPr="001558A5">
        <w:rPr>
          <w:szCs w:val="20"/>
          <w:lang w:val="en-US"/>
        </w:rPr>
        <w:t>7</w:t>
      </w:r>
      <w:r w:rsidR="00DD4354" w:rsidRPr="001558A5">
        <w:rPr>
          <w:szCs w:val="20"/>
          <w:lang w:val="en-US"/>
        </w:rPr>
        <w:t xml:space="preserve"> of the </w:t>
      </w:r>
      <w:r w:rsidRPr="001558A5">
        <w:rPr>
          <w:szCs w:val="20"/>
          <w:lang w:val="en-US"/>
        </w:rPr>
        <w:t>Convention</w:t>
      </w:r>
      <w:r w:rsidR="00F316FF"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00F316FF" w:rsidRPr="001558A5">
        <w:rPr>
          <w:szCs w:val="20"/>
          <w:lang w:val="en-US"/>
        </w:rPr>
        <w:t xml:space="preserve"> do </w:t>
      </w:r>
      <w:proofErr w:type="spellStart"/>
      <w:r w:rsidR="00F316FF" w:rsidRPr="001558A5">
        <w:rPr>
          <w:szCs w:val="20"/>
          <w:lang w:val="en-US"/>
        </w:rPr>
        <w:t>Pará</w:t>
      </w:r>
      <w:proofErr w:type="spellEnd"/>
      <w:r w:rsidR="00F316FF" w:rsidRPr="001558A5">
        <w:rPr>
          <w:szCs w:val="20"/>
          <w:lang w:val="en-US"/>
        </w:rPr>
        <w:t xml:space="preserve"> </w:t>
      </w:r>
      <w:r w:rsidR="00B43A52" w:rsidRPr="001558A5">
        <w:rPr>
          <w:szCs w:val="20"/>
          <w:lang w:val="en-US"/>
        </w:rPr>
        <w:t>to the detriment of</w:t>
      </w:r>
      <w:r w:rsidR="00F316FF" w:rsidRPr="001558A5">
        <w:rPr>
          <w:szCs w:val="20"/>
          <w:lang w:val="en-US"/>
        </w:rPr>
        <w:t xml:space="preserve"> Vicky Hernández.</w:t>
      </w:r>
    </w:p>
    <w:p w14:paraId="0F6A2D4D" w14:textId="3374A531" w:rsidR="00F316FF" w:rsidRPr="001558A5" w:rsidRDefault="00F316FF" w:rsidP="00C824B4">
      <w:pPr>
        <w:pStyle w:val="Ttulo3"/>
        <w:spacing w:before="240" w:after="240"/>
        <w:ind w:left="357" w:firstLine="633"/>
        <w:rPr>
          <w:b w:val="0"/>
          <w:snapToGrid w:val="0"/>
          <w:spacing w:val="-2"/>
          <w:szCs w:val="20"/>
          <w:lang w:val="en-US" w:eastAsia="es-ES"/>
        </w:rPr>
      </w:pPr>
      <w:bookmarkStart w:id="94" w:name="_Toc73430056"/>
      <w:r w:rsidRPr="001558A5">
        <w:rPr>
          <w:b w:val="0"/>
          <w:snapToGrid w:val="0"/>
          <w:spacing w:val="-2"/>
          <w:szCs w:val="20"/>
          <w:lang w:val="en-US" w:eastAsia="es-ES"/>
        </w:rPr>
        <w:t xml:space="preserve">B.1. </w:t>
      </w:r>
      <w:r w:rsidR="00C824B4" w:rsidRPr="001558A5">
        <w:rPr>
          <w:b w:val="0"/>
          <w:snapToGrid w:val="0"/>
          <w:spacing w:val="-2"/>
          <w:szCs w:val="20"/>
          <w:lang w:val="en-US" w:eastAsia="es-ES"/>
        </w:rPr>
        <w:t>T</w:t>
      </w:r>
      <w:r w:rsidR="00B27C31" w:rsidRPr="001558A5">
        <w:rPr>
          <w:b w:val="0"/>
          <w:snapToGrid w:val="0"/>
          <w:spacing w:val="-2"/>
          <w:szCs w:val="20"/>
          <w:lang w:val="en-US" w:eastAsia="es-ES"/>
        </w:rPr>
        <w:t>he alleged violation of the rights to life and</w:t>
      </w:r>
      <w:r w:rsidR="00BD3462" w:rsidRPr="001558A5">
        <w:rPr>
          <w:b w:val="0"/>
          <w:snapToGrid w:val="0"/>
          <w:spacing w:val="-2"/>
          <w:szCs w:val="20"/>
          <w:lang w:val="en-US" w:eastAsia="es-ES"/>
        </w:rPr>
        <w:t xml:space="preserve"> </w:t>
      </w:r>
      <w:r w:rsidR="00B732DD" w:rsidRPr="001558A5">
        <w:rPr>
          <w:b w:val="0"/>
          <w:snapToGrid w:val="0"/>
          <w:spacing w:val="-2"/>
          <w:szCs w:val="20"/>
          <w:lang w:val="en-US" w:eastAsia="es-ES"/>
        </w:rPr>
        <w:t>personal integrity</w:t>
      </w:r>
      <w:r w:rsidR="00BD3462" w:rsidRPr="001558A5">
        <w:rPr>
          <w:b w:val="0"/>
          <w:snapToGrid w:val="0"/>
          <w:spacing w:val="-2"/>
          <w:szCs w:val="20"/>
          <w:lang w:val="en-US" w:eastAsia="es-ES"/>
        </w:rPr>
        <w:t xml:space="preserve"> </w:t>
      </w:r>
      <w:r w:rsidR="00B43A52" w:rsidRPr="001558A5">
        <w:rPr>
          <w:b w:val="0"/>
          <w:snapToGrid w:val="0"/>
          <w:spacing w:val="-2"/>
          <w:szCs w:val="20"/>
          <w:lang w:val="en-US" w:eastAsia="es-ES"/>
        </w:rPr>
        <w:t>of</w:t>
      </w:r>
      <w:r w:rsidRPr="001558A5">
        <w:rPr>
          <w:b w:val="0"/>
          <w:snapToGrid w:val="0"/>
          <w:spacing w:val="-2"/>
          <w:szCs w:val="20"/>
          <w:lang w:val="en-US" w:eastAsia="es-ES"/>
        </w:rPr>
        <w:t xml:space="preserve"> Vicky Hernández</w:t>
      </w:r>
      <w:bookmarkEnd w:id="94"/>
    </w:p>
    <w:p w14:paraId="730B0544" w14:textId="5E90991F" w:rsidR="00F316FF" w:rsidRPr="001558A5" w:rsidRDefault="00037882" w:rsidP="000F28D4">
      <w:pPr>
        <w:numPr>
          <w:ilvl w:val="0"/>
          <w:numId w:val="2"/>
        </w:numPr>
        <w:pBdr>
          <w:top w:val="nil"/>
        </w:pBdr>
        <w:spacing w:before="120" w:after="120"/>
        <w:ind w:left="0" w:firstLine="0"/>
        <w:rPr>
          <w:szCs w:val="20"/>
          <w:lang w:val="en-US"/>
        </w:rPr>
      </w:pPr>
      <w:r w:rsidRPr="001558A5">
        <w:rPr>
          <w:szCs w:val="20"/>
          <w:lang w:val="en-US"/>
        </w:rPr>
        <w:t xml:space="preserve">This Court </w:t>
      </w:r>
      <w:r w:rsidR="00F316FF" w:rsidRPr="001558A5">
        <w:rPr>
          <w:szCs w:val="20"/>
          <w:lang w:val="en-US"/>
        </w:rPr>
        <w:t>ha</w:t>
      </w:r>
      <w:r w:rsidR="00B27C31" w:rsidRPr="001558A5">
        <w:rPr>
          <w:szCs w:val="20"/>
          <w:lang w:val="en-US"/>
        </w:rPr>
        <w:t>s</w:t>
      </w:r>
      <w:r w:rsidR="00F316FF" w:rsidRPr="001558A5">
        <w:rPr>
          <w:szCs w:val="20"/>
          <w:lang w:val="en-US"/>
        </w:rPr>
        <w:t xml:space="preserve"> est</w:t>
      </w:r>
      <w:r w:rsidR="004D2888" w:rsidRPr="001558A5">
        <w:rPr>
          <w:szCs w:val="20"/>
          <w:lang w:val="en-US"/>
        </w:rPr>
        <w:t>ablished</w:t>
      </w:r>
      <w:r w:rsidR="00F316FF" w:rsidRPr="001558A5">
        <w:rPr>
          <w:szCs w:val="20"/>
          <w:lang w:val="en-US"/>
        </w:rPr>
        <w:t xml:space="preserve"> </w:t>
      </w:r>
      <w:r w:rsidR="00B27C31" w:rsidRPr="001558A5">
        <w:rPr>
          <w:szCs w:val="20"/>
          <w:lang w:val="en-US"/>
        </w:rPr>
        <w:t>that the right to life plays a fundamental role in</w:t>
      </w:r>
      <w:r w:rsidR="00F316FF" w:rsidRPr="001558A5">
        <w:rPr>
          <w:szCs w:val="20"/>
          <w:lang w:val="en-US"/>
        </w:rPr>
        <w:t xml:space="preserve"> </w:t>
      </w:r>
      <w:r w:rsidR="00871E19" w:rsidRPr="001558A5">
        <w:rPr>
          <w:szCs w:val="20"/>
          <w:lang w:val="en-US"/>
        </w:rPr>
        <w:t>the American Convention</w:t>
      </w:r>
      <w:r w:rsidR="00B27C31" w:rsidRPr="001558A5">
        <w:rPr>
          <w:szCs w:val="20"/>
          <w:lang w:val="en-US"/>
        </w:rPr>
        <w:t xml:space="preserve"> because it is the essential presumption for the exercise of the other rights. Respect for</w:t>
      </w:r>
      <w:r w:rsidR="00B74256" w:rsidRPr="001558A5">
        <w:rPr>
          <w:szCs w:val="20"/>
          <w:lang w:val="en-US"/>
        </w:rPr>
        <w:t xml:space="preserve"> Article</w:t>
      </w:r>
      <w:r w:rsidR="00F316FF" w:rsidRPr="001558A5">
        <w:rPr>
          <w:szCs w:val="20"/>
          <w:lang w:val="en-US"/>
        </w:rPr>
        <w:t xml:space="preserve"> 4, </w:t>
      </w:r>
      <w:r w:rsidR="00B27C31" w:rsidRPr="001558A5">
        <w:rPr>
          <w:szCs w:val="20"/>
          <w:lang w:val="en-US"/>
        </w:rPr>
        <w:t>related to</w:t>
      </w:r>
      <w:r w:rsidR="00F316FF" w:rsidRPr="001558A5">
        <w:rPr>
          <w:szCs w:val="20"/>
          <w:lang w:val="en-US"/>
        </w:rPr>
        <w:t xml:space="preserve"> </w:t>
      </w:r>
      <w:r w:rsidR="00B732DD" w:rsidRPr="001558A5">
        <w:rPr>
          <w:szCs w:val="20"/>
          <w:lang w:val="en-US"/>
        </w:rPr>
        <w:t>Article 1(1)</w:t>
      </w:r>
      <w:r w:rsidR="00DD4354" w:rsidRPr="001558A5">
        <w:rPr>
          <w:szCs w:val="20"/>
          <w:lang w:val="en-US"/>
        </w:rPr>
        <w:t xml:space="preserve"> of the </w:t>
      </w:r>
      <w:r w:rsidR="00871E19" w:rsidRPr="001558A5">
        <w:rPr>
          <w:szCs w:val="20"/>
          <w:lang w:val="en-US"/>
        </w:rPr>
        <w:t>American Convention</w:t>
      </w:r>
      <w:r w:rsidR="00F316FF" w:rsidRPr="001558A5">
        <w:rPr>
          <w:szCs w:val="20"/>
          <w:lang w:val="en-US"/>
        </w:rPr>
        <w:t xml:space="preserve">, </w:t>
      </w:r>
      <w:r w:rsidR="00B27C31" w:rsidRPr="001558A5">
        <w:rPr>
          <w:szCs w:val="20"/>
          <w:lang w:val="en-US"/>
        </w:rPr>
        <w:t>not only presupposes that no one may be deprived of their life arbitrarily (negative obligation), but also requires States to take all appropriate measures to protect and preserve the right to life (positive obligation</w:t>
      </w:r>
      <w:r w:rsidR="00F316FF" w:rsidRPr="001558A5">
        <w:rPr>
          <w:szCs w:val="20"/>
          <w:lang w:val="en-US"/>
        </w:rPr>
        <w:t>)</w:t>
      </w:r>
      <w:r w:rsidR="00F316FF" w:rsidRPr="001558A5">
        <w:rPr>
          <w:rStyle w:val="Refdenotaalpie"/>
          <w:lang w:val="en-US"/>
        </w:rPr>
        <w:footnoteReference w:id="114"/>
      </w:r>
      <w:r w:rsidR="00F316FF" w:rsidRPr="001558A5">
        <w:rPr>
          <w:szCs w:val="20"/>
          <w:lang w:val="en-US"/>
        </w:rPr>
        <w:t xml:space="preserve"> </w:t>
      </w:r>
      <w:bookmarkStart w:id="95" w:name="_Hlk79413306"/>
      <w:r w:rsidR="00B27C31" w:rsidRPr="001558A5">
        <w:rPr>
          <w:szCs w:val="20"/>
          <w:lang w:val="en-US"/>
        </w:rPr>
        <w:t xml:space="preserve">in accordance with </w:t>
      </w:r>
      <w:bookmarkStart w:id="96" w:name="_Hlk79412771"/>
      <w:r w:rsidR="00B27C31" w:rsidRPr="001558A5">
        <w:rPr>
          <w:szCs w:val="20"/>
          <w:lang w:val="en-US"/>
        </w:rPr>
        <w:t>the obligation to ensure</w:t>
      </w:r>
      <w:r w:rsidR="000F28D4" w:rsidRPr="001558A5">
        <w:rPr>
          <w:szCs w:val="20"/>
          <w:lang w:val="en-US"/>
        </w:rPr>
        <w:t xml:space="preserve"> to all persons subject to their jurisdiction</w:t>
      </w:r>
      <w:r w:rsidR="00B27C31" w:rsidRPr="001558A5">
        <w:rPr>
          <w:szCs w:val="20"/>
          <w:lang w:val="en-US"/>
        </w:rPr>
        <w:t xml:space="preserve"> the f</w:t>
      </w:r>
      <w:r w:rsidR="000F28D4" w:rsidRPr="001558A5">
        <w:rPr>
          <w:szCs w:val="20"/>
          <w:lang w:val="en-US"/>
        </w:rPr>
        <w:t>ree and f</w:t>
      </w:r>
      <w:r w:rsidR="00B27C31" w:rsidRPr="001558A5">
        <w:rPr>
          <w:szCs w:val="20"/>
          <w:lang w:val="en-US"/>
        </w:rPr>
        <w:t>ull</w:t>
      </w:r>
      <w:r w:rsidR="000F28D4" w:rsidRPr="001558A5">
        <w:rPr>
          <w:szCs w:val="20"/>
          <w:lang w:val="en-US"/>
        </w:rPr>
        <w:t xml:space="preserve"> </w:t>
      </w:r>
      <w:r w:rsidR="00B27C31" w:rsidRPr="001558A5">
        <w:rPr>
          <w:szCs w:val="20"/>
          <w:lang w:val="en-US"/>
        </w:rPr>
        <w:t>exercise of the</w:t>
      </w:r>
      <w:r w:rsidR="000F28D4" w:rsidRPr="001558A5">
        <w:rPr>
          <w:szCs w:val="20"/>
          <w:lang w:val="en-US"/>
        </w:rPr>
        <w:t>ir</w:t>
      </w:r>
      <w:r w:rsidR="00B27C31" w:rsidRPr="001558A5">
        <w:rPr>
          <w:szCs w:val="20"/>
          <w:lang w:val="en-US"/>
        </w:rPr>
        <w:t xml:space="preserve"> rights</w:t>
      </w:r>
      <w:bookmarkEnd w:id="95"/>
      <w:bookmarkEnd w:id="96"/>
      <w:r w:rsidR="00B27C31" w:rsidRPr="001558A5">
        <w:rPr>
          <w:szCs w:val="20"/>
          <w:lang w:val="en-US"/>
        </w:rPr>
        <w:t>.</w:t>
      </w:r>
      <w:r w:rsidR="00F316FF" w:rsidRPr="001558A5">
        <w:rPr>
          <w:rStyle w:val="Refdenotaalpie"/>
          <w:lang w:val="en-US"/>
        </w:rPr>
        <w:footnoteReference w:id="115"/>
      </w:r>
      <w:r w:rsidR="00223989" w:rsidRPr="001558A5">
        <w:rPr>
          <w:szCs w:val="20"/>
          <w:lang w:val="en-US"/>
        </w:rPr>
        <w:t xml:space="preserve"> </w:t>
      </w:r>
    </w:p>
    <w:p w14:paraId="6ACC5F2D" w14:textId="12DDB724" w:rsidR="00223989" w:rsidRPr="001558A5" w:rsidRDefault="00B27C31" w:rsidP="00B27C31">
      <w:pPr>
        <w:numPr>
          <w:ilvl w:val="0"/>
          <w:numId w:val="2"/>
        </w:numPr>
        <w:pBdr>
          <w:top w:val="nil"/>
        </w:pBdr>
        <w:spacing w:before="120" w:after="120"/>
        <w:ind w:left="0" w:firstLine="0"/>
        <w:rPr>
          <w:szCs w:val="20"/>
          <w:lang w:val="en-US"/>
        </w:rPr>
      </w:pPr>
      <w:r w:rsidRPr="001558A5">
        <w:rPr>
          <w:szCs w:val="20"/>
          <w:lang w:val="en-US"/>
        </w:rPr>
        <w:t xml:space="preserve">With regard to the right to </w:t>
      </w:r>
      <w:r w:rsidR="00B732DD" w:rsidRPr="001558A5">
        <w:rPr>
          <w:szCs w:val="20"/>
          <w:lang w:val="en-US"/>
        </w:rPr>
        <w:t>personal integrity</w:t>
      </w:r>
      <w:r w:rsidR="00223989" w:rsidRPr="001558A5">
        <w:rPr>
          <w:szCs w:val="20"/>
          <w:lang w:val="en-US"/>
        </w:rPr>
        <w:t xml:space="preserve">, </w:t>
      </w:r>
      <w:r w:rsidRPr="001558A5">
        <w:rPr>
          <w:szCs w:val="20"/>
          <w:lang w:val="en-US"/>
        </w:rPr>
        <w:t>the Court recalls that</w:t>
      </w:r>
      <w:r w:rsidR="00223989" w:rsidRPr="001558A5">
        <w:rPr>
          <w:rFonts w:eastAsia="Arial Unicode MS"/>
          <w:szCs w:val="20"/>
          <w:bdr w:val="nil"/>
          <w:lang w:val="en-US"/>
        </w:rPr>
        <w:t xml:space="preserve"> </w:t>
      </w:r>
      <w:r w:rsidRPr="001558A5">
        <w:rPr>
          <w:rFonts w:eastAsia="Arial Unicode MS"/>
          <w:szCs w:val="20"/>
          <w:bdr w:val="nil"/>
          <w:lang w:val="en-US"/>
        </w:rPr>
        <w:t xml:space="preserve">Article 5 of </w:t>
      </w:r>
      <w:r w:rsidR="00871E19" w:rsidRPr="001558A5">
        <w:rPr>
          <w:rFonts w:eastAsia="Arial Unicode MS"/>
          <w:szCs w:val="20"/>
          <w:bdr w:val="nil"/>
          <w:lang w:val="en-US"/>
        </w:rPr>
        <w:t>the Convention</w:t>
      </w:r>
      <w:r w:rsidR="00223989" w:rsidRPr="001558A5">
        <w:rPr>
          <w:rFonts w:eastAsia="Arial Unicode MS"/>
          <w:szCs w:val="20"/>
          <w:bdr w:val="nil"/>
          <w:lang w:val="en-US"/>
        </w:rPr>
        <w:t xml:space="preserve"> </w:t>
      </w:r>
      <w:r w:rsidRPr="001558A5">
        <w:rPr>
          <w:rFonts w:eastAsia="Arial Unicode MS"/>
          <w:szCs w:val="20"/>
          <w:bdr w:val="nil"/>
          <w:lang w:val="en-US"/>
        </w:rPr>
        <w:t>expressly recognizes that “every person has the right to have his physical, mental and moral integrity respected,</w:t>
      </w:r>
      <w:r w:rsidR="000F28D4" w:rsidRPr="001558A5">
        <w:rPr>
          <w:rFonts w:eastAsia="Arial Unicode MS"/>
          <w:szCs w:val="20"/>
          <w:bdr w:val="nil"/>
          <w:lang w:val="en-US"/>
        </w:rPr>
        <w:t>”</w:t>
      </w:r>
      <w:r w:rsidRPr="001558A5">
        <w:rPr>
          <w:rFonts w:eastAsia="Arial Unicode MS"/>
          <w:szCs w:val="20"/>
          <w:bdr w:val="nil"/>
          <w:lang w:val="en-US"/>
        </w:rPr>
        <w:t xml:space="preserve"> and stipulates that “no one shall be subjected to torture or to cruel, inhuman or degrading punishment or treatment.”</w:t>
      </w:r>
      <w:r w:rsidR="00223989" w:rsidRPr="001558A5">
        <w:rPr>
          <w:rStyle w:val="Refdenotaalpie"/>
          <w:rFonts w:eastAsia="Arial Unicode MS"/>
          <w:bdr w:val="nil"/>
          <w:lang w:val="en-US"/>
        </w:rPr>
        <w:footnoteReference w:id="116"/>
      </w:r>
      <w:r w:rsidR="00223989" w:rsidRPr="001558A5">
        <w:rPr>
          <w:rFonts w:eastAsia="Arial Unicode MS"/>
          <w:szCs w:val="20"/>
          <w:bdr w:val="nil"/>
          <w:lang w:val="en-US"/>
        </w:rPr>
        <w:t xml:space="preserve"> </w:t>
      </w:r>
      <w:r w:rsidR="00871E19" w:rsidRPr="001558A5">
        <w:rPr>
          <w:rFonts w:cs="Arial"/>
          <w:szCs w:val="20"/>
          <w:lang w:val="en-US"/>
        </w:rPr>
        <w:t>The Court</w:t>
      </w:r>
      <w:r w:rsidR="00D82351" w:rsidRPr="001558A5">
        <w:rPr>
          <w:rFonts w:cs="Arial"/>
          <w:szCs w:val="20"/>
          <w:lang w:val="en-US"/>
        </w:rPr>
        <w:t xml:space="preserve"> ha</w:t>
      </w:r>
      <w:r w:rsidRPr="001558A5">
        <w:rPr>
          <w:rFonts w:cs="Arial"/>
          <w:szCs w:val="20"/>
          <w:lang w:val="en-US"/>
        </w:rPr>
        <w:t xml:space="preserve">s established that the violation of </w:t>
      </w:r>
      <w:r w:rsidR="00B732DD" w:rsidRPr="001558A5">
        <w:rPr>
          <w:rFonts w:cs="Arial"/>
          <w:szCs w:val="20"/>
          <w:lang w:val="en-US"/>
        </w:rPr>
        <w:t>personal integrity</w:t>
      </w:r>
      <w:r w:rsidR="00D82351" w:rsidRPr="001558A5">
        <w:rPr>
          <w:rFonts w:cs="Arial"/>
          <w:szCs w:val="20"/>
          <w:lang w:val="en-US"/>
        </w:rPr>
        <w:t xml:space="preserve"> </w:t>
      </w:r>
      <w:r w:rsidRPr="001558A5">
        <w:rPr>
          <w:rFonts w:cs="Arial"/>
          <w:szCs w:val="20"/>
          <w:lang w:val="en-US"/>
        </w:rPr>
        <w:t>is a type of violation with diverse connotations of degree</w:t>
      </w:r>
      <w:r w:rsidR="000F28D4" w:rsidRPr="001558A5">
        <w:rPr>
          <w:rFonts w:cs="Arial"/>
          <w:szCs w:val="20"/>
          <w:lang w:val="en-US"/>
        </w:rPr>
        <w:t>,</w:t>
      </w:r>
      <w:r w:rsidRPr="001558A5">
        <w:rPr>
          <w:rFonts w:cs="Arial"/>
          <w:szCs w:val="20"/>
          <w:lang w:val="en-US"/>
        </w:rPr>
        <w:t xml:space="preserve"> the physical and mental effects of which vary in intensity based on endogenous and exogenous factors that must be proved in each specific situation.</w:t>
      </w:r>
      <w:r w:rsidR="00223989" w:rsidRPr="001558A5">
        <w:rPr>
          <w:vertAlign w:val="superscript"/>
          <w:lang w:val="en-US"/>
        </w:rPr>
        <w:footnoteReference w:id="117"/>
      </w:r>
    </w:p>
    <w:p w14:paraId="3466D266" w14:textId="3B8E2393" w:rsidR="00A205C4" w:rsidRPr="001558A5" w:rsidRDefault="00B27C31" w:rsidP="00A205C4">
      <w:pPr>
        <w:numPr>
          <w:ilvl w:val="0"/>
          <w:numId w:val="2"/>
        </w:numPr>
        <w:pBdr>
          <w:top w:val="nil"/>
        </w:pBdr>
        <w:spacing w:before="120" w:after="120"/>
        <w:ind w:left="0" w:firstLine="0"/>
        <w:rPr>
          <w:b/>
          <w:bCs/>
          <w:szCs w:val="20"/>
          <w:lang w:val="en-US"/>
        </w:rPr>
      </w:pPr>
      <w:r w:rsidRPr="001558A5">
        <w:rPr>
          <w:szCs w:val="20"/>
          <w:lang w:val="en-US"/>
        </w:rPr>
        <w:t xml:space="preserve">In relation to the death of </w:t>
      </w:r>
      <w:r w:rsidR="00633E30" w:rsidRPr="001558A5">
        <w:rPr>
          <w:szCs w:val="20"/>
          <w:lang w:val="en-US"/>
        </w:rPr>
        <w:t xml:space="preserve">Vicky Hernández, </w:t>
      </w:r>
      <w:r w:rsidRPr="001558A5">
        <w:rPr>
          <w:szCs w:val="20"/>
          <w:lang w:val="en-US"/>
        </w:rPr>
        <w:t xml:space="preserve">the Court notes, </w:t>
      </w:r>
      <w:r w:rsidR="00A205C4" w:rsidRPr="001558A5">
        <w:rPr>
          <w:szCs w:val="20"/>
          <w:lang w:val="en-US"/>
        </w:rPr>
        <w:t xml:space="preserve">first, that this </w:t>
      </w:r>
      <w:r w:rsidR="000F28D4" w:rsidRPr="001558A5">
        <w:rPr>
          <w:szCs w:val="20"/>
          <w:lang w:val="en-US"/>
        </w:rPr>
        <w:t>occurred</w:t>
      </w:r>
      <w:r w:rsidR="00A205C4" w:rsidRPr="001558A5">
        <w:rPr>
          <w:szCs w:val="20"/>
          <w:lang w:val="en-US"/>
        </w:rPr>
        <w:t xml:space="preserve"> while a curfew was in force</w:t>
      </w:r>
      <w:r w:rsidR="00474012" w:rsidRPr="001558A5">
        <w:rPr>
          <w:szCs w:val="20"/>
          <w:lang w:val="en-US"/>
        </w:rPr>
        <w:t xml:space="preserve"> which </w:t>
      </w:r>
      <w:r w:rsidR="00A205C4" w:rsidRPr="001558A5">
        <w:rPr>
          <w:szCs w:val="20"/>
          <w:lang w:val="en-US"/>
        </w:rPr>
        <w:t xml:space="preserve">had been declared that same day following </w:t>
      </w:r>
      <w:r w:rsidR="00B74256" w:rsidRPr="001558A5">
        <w:rPr>
          <w:szCs w:val="20"/>
          <w:lang w:val="en-US"/>
        </w:rPr>
        <w:t>the coup d’état</w:t>
      </w:r>
      <w:r w:rsidR="00633E30" w:rsidRPr="001558A5">
        <w:rPr>
          <w:szCs w:val="20"/>
          <w:lang w:val="en-US"/>
        </w:rPr>
        <w:t xml:space="preserve"> </w:t>
      </w:r>
      <w:r w:rsidR="00A205C4" w:rsidRPr="001558A5">
        <w:rPr>
          <w:szCs w:val="20"/>
          <w:lang w:val="en-US"/>
        </w:rPr>
        <w:t xml:space="preserve">on June 28, </w:t>
      </w:r>
      <w:r w:rsidR="00633E30" w:rsidRPr="001558A5">
        <w:rPr>
          <w:szCs w:val="20"/>
          <w:lang w:val="en-US"/>
        </w:rPr>
        <w:t>2009 (</w:t>
      </w:r>
      <w:r w:rsidR="00633E30" w:rsidRPr="001558A5">
        <w:rPr>
          <w:i/>
          <w:iCs/>
          <w:szCs w:val="20"/>
          <w:lang w:val="en-US"/>
        </w:rPr>
        <w:t>supra</w:t>
      </w:r>
      <w:r w:rsidR="00633E30" w:rsidRPr="001558A5">
        <w:rPr>
          <w:szCs w:val="20"/>
          <w:lang w:val="en-US"/>
        </w:rPr>
        <w:t xml:space="preserve"> </w:t>
      </w:r>
      <w:r w:rsidR="00B43A52" w:rsidRPr="001558A5">
        <w:rPr>
          <w:szCs w:val="20"/>
          <w:lang w:val="en-US"/>
        </w:rPr>
        <w:t>para.</w:t>
      </w:r>
      <w:r w:rsidR="00633E30" w:rsidRPr="001558A5">
        <w:rPr>
          <w:szCs w:val="20"/>
          <w:lang w:val="en-US"/>
        </w:rPr>
        <w:t xml:space="preserve"> </w:t>
      </w:r>
      <w:r w:rsidR="00C25218" w:rsidRPr="001558A5">
        <w:rPr>
          <w:szCs w:val="20"/>
          <w:lang w:val="en-US"/>
        </w:rPr>
        <w:t xml:space="preserve">36). </w:t>
      </w:r>
      <w:r w:rsidR="00A205C4" w:rsidRPr="001558A5">
        <w:rPr>
          <w:szCs w:val="20"/>
          <w:lang w:val="en-US"/>
        </w:rPr>
        <w:t>Th</w:t>
      </w:r>
      <w:r w:rsidR="00474012" w:rsidRPr="001558A5">
        <w:rPr>
          <w:szCs w:val="20"/>
          <w:lang w:val="en-US"/>
        </w:rPr>
        <w:t>e</w:t>
      </w:r>
      <w:r w:rsidR="00A205C4" w:rsidRPr="001558A5">
        <w:rPr>
          <w:szCs w:val="20"/>
          <w:lang w:val="en-US"/>
        </w:rPr>
        <w:t xml:space="preserve"> curfew decreed on the day </w:t>
      </w:r>
      <w:r w:rsidR="00B74256" w:rsidRPr="001558A5">
        <w:rPr>
          <w:szCs w:val="20"/>
          <w:lang w:val="en-US"/>
        </w:rPr>
        <w:t>of the coup d’état</w:t>
      </w:r>
      <w:r w:rsidR="006F2462" w:rsidRPr="001558A5">
        <w:rPr>
          <w:szCs w:val="20"/>
          <w:lang w:val="en-US"/>
        </w:rPr>
        <w:t xml:space="preserve"> </w:t>
      </w:r>
      <w:r w:rsidR="00474012" w:rsidRPr="001558A5">
        <w:rPr>
          <w:szCs w:val="20"/>
          <w:lang w:val="en-US"/>
        </w:rPr>
        <w:t>was in force</w:t>
      </w:r>
      <w:r w:rsidR="00A205C4" w:rsidRPr="001558A5">
        <w:rPr>
          <w:szCs w:val="20"/>
          <w:lang w:val="en-US"/>
        </w:rPr>
        <w:t xml:space="preserve"> from 9 p.m. to 6 a.m., </w:t>
      </w:r>
      <w:r w:rsidR="00446F29" w:rsidRPr="001558A5">
        <w:rPr>
          <w:szCs w:val="20"/>
          <w:lang w:val="en-US"/>
        </w:rPr>
        <w:t>a time</w:t>
      </w:r>
      <w:r w:rsidR="00A205C4" w:rsidRPr="001558A5">
        <w:rPr>
          <w:szCs w:val="20"/>
          <w:lang w:val="en-US"/>
        </w:rPr>
        <w:t xml:space="preserve"> during which, in principle, everyone should </w:t>
      </w:r>
      <w:r w:rsidR="00446F29" w:rsidRPr="001558A5">
        <w:rPr>
          <w:szCs w:val="20"/>
          <w:lang w:val="en-US"/>
        </w:rPr>
        <w:t xml:space="preserve">have </w:t>
      </w:r>
      <w:r w:rsidR="00A205C4" w:rsidRPr="001558A5">
        <w:rPr>
          <w:szCs w:val="20"/>
          <w:lang w:val="en-US"/>
        </w:rPr>
        <w:t>remain</w:t>
      </w:r>
      <w:r w:rsidR="00446F29" w:rsidRPr="001558A5">
        <w:rPr>
          <w:szCs w:val="20"/>
          <w:lang w:val="en-US"/>
        </w:rPr>
        <w:t>ed</w:t>
      </w:r>
      <w:r w:rsidR="00A205C4" w:rsidRPr="001558A5">
        <w:rPr>
          <w:szCs w:val="20"/>
          <w:lang w:val="en-US"/>
        </w:rPr>
        <w:t xml:space="preserve"> in their homes and only the police patrols and armed forces were present on the streets. Consequently, at the time of Vicky Hernández’s death, the State exercised absolute control of the public spaces and the movements of everyone in them.</w:t>
      </w:r>
    </w:p>
    <w:p w14:paraId="6B1F5B79" w14:textId="6571BAD8" w:rsidR="00CB711D" w:rsidRPr="001558A5" w:rsidRDefault="00446F29" w:rsidP="00A205C4">
      <w:pPr>
        <w:numPr>
          <w:ilvl w:val="0"/>
          <w:numId w:val="2"/>
        </w:numPr>
        <w:pBdr>
          <w:top w:val="nil"/>
        </w:pBdr>
        <w:spacing w:before="120" w:after="120"/>
        <w:ind w:left="0" w:firstLine="0"/>
        <w:rPr>
          <w:szCs w:val="20"/>
          <w:lang w:val="en-US"/>
        </w:rPr>
      </w:pPr>
      <w:r w:rsidRPr="001558A5">
        <w:rPr>
          <w:szCs w:val="20"/>
          <w:lang w:val="en-US"/>
        </w:rPr>
        <w:t>I</w:t>
      </w:r>
      <w:r w:rsidR="00A205C4" w:rsidRPr="001558A5">
        <w:rPr>
          <w:szCs w:val="20"/>
          <w:lang w:val="en-US"/>
        </w:rPr>
        <w:t>t should be recalled that this Court has establishes that</w:t>
      </w:r>
      <w:r w:rsidRPr="001558A5">
        <w:rPr>
          <w:szCs w:val="20"/>
          <w:lang w:val="en-US"/>
        </w:rPr>
        <w:t xml:space="preserve"> curfews and the suspension of guarantees in general</w:t>
      </w:r>
      <w:r w:rsidR="00A205C4" w:rsidRPr="001558A5">
        <w:rPr>
          <w:szCs w:val="20"/>
          <w:lang w:val="en-US"/>
        </w:rPr>
        <w:t xml:space="preserve"> constitute exceptional situations and that, while they are in force, it is </w:t>
      </w:r>
      <w:r w:rsidR="001D5582" w:rsidRPr="001558A5">
        <w:rPr>
          <w:szCs w:val="20"/>
          <w:lang w:val="en-US"/>
        </w:rPr>
        <w:t>lawful</w:t>
      </w:r>
      <w:r w:rsidR="00A205C4" w:rsidRPr="001558A5">
        <w:rPr>
          <w:szCs w:val="20"/>
          <w:lang w:val="en-US"/>
        </w:rPr>
        <w:t xml:space="preserve"> for the State to apply certain measures that restrict rights and freedoms which, under normal conditions, are prohibited or subject to more rigorous requirements. Nevertheless, this does not mean that the suspension of guarantees entails the temporary suspension of the rule of law or that it authorizes the authorities to deviate from the legality by which it must always abide. When guarantees are suspended, some of the legal limits </w:t>
      </w:r>
      <w:r w:rsidR="001D5582" w:rsidRPr="001558A5">
        <w:rPr>
          <w:szCs w:val="20"/>
          <w:lang w:val="en-US"/>
        </w:rPr>
        <w:t>t</w:t>
      </w:r>
      <w:r w:rsidR="000F28D4" w:rsidRPr="001558A5">
        <w:rPr>
          <w:szCs w:val="20"/>
          <w:lang w:val="en-US"/>
        </w:rPr>
        <w:t xml:space="preserve">he </w:t>
      </w:r>
      <w:r w:rsidR="00A205C4" w:rsidRPr="001558A5">
        <w:rPr>
          <w:szCs w:val="20"/>
          <w:lang w:val="en-US"/>
        </w:rPr>
        <w:t xml:space="preserve">actions of the public authorities may differ from those </w:t>
      </w:r>
      <w:r w:rsidR="00C74A05" w:rsidRPr="001558A5">
        <w:rPr>
          <w:szCs w:val="20"/>
          <w:lang w:val="en-US"/>
        </w:rPr>
        <w:t>in force under normal conditions, but the</w:t>
      </w:r>
      <w:r w:rsidR="001D5582" w:rsidRPr="001558A5">
        <w:rPr>
          <w:szCs w:val="20"/>
          <w:lang w:val="en-US"/>
        </w:rPr>
        <w:t>se</w:t>
      </w:r>
      <w:r w:rsidR="00C74A05" w:rsidRPr="001558A5">
        <w:rPr>
          <w:szCs w:val="20"/>
          <w:lang w:val="en-US"/>
        </w:rPr>
        <w:t xml:space="preserve"> should not be considered inexistent and, consequently, it should not be understood that the Government is invested with absolute powers over and above the conditions in which th</w:t>
      </w:r>
      <w:r w:rsidR="001D5582" w:rsidRPr="001558A5">
        <w:rPr>
          <w:szCs w:val="20"/>
          <w:lang w:val="en-US"/>
        </w:rPr>
        <w:t>e</w:t>
      </w:r>
      <w:r w:rsidR="00C74A05" w:rsidRPr="001558A5">
        <w:rPr>
          <w:szCs w:val="20"/>
          <w:lang w:val="en-US"/>
        </w:rPr>
        <w:t xml:space="preserve"> exceptional legality </w:t>
      </w:r>
      <w:r w:rsidR="001D5582" w:rsidRPr="001558A5">
        <w:rPr>
          <w:szCs w:val="20"/>
          <w:lang w:val="en-US"/>
        </w:rPr>
        <w:t xml:space="preserve">of this measure </w:t>
      </w:r>
      <w:r w:rsidR="00C74A05" w:rsidRPr="001558A5">
        <w:rPr>
          <w:szCs w:val="20"/>
          <w:lang w:val="en-US"/>
        </w:rPr>
        <w:t>is authorized.</w:t>
      </w:r>
      <w:r w:rsidR="005601AF" w:rsidRPr="001558A5">
        <w:rPr>
          <w:rStyle w:val="Refdenotaalpie"/>
          <w:lang w:val="en-US"/>
        </w:rPr>
        <w:footnoteReference w:id="118"/>
      </w:r>
      <w:r w:rsidR="005601AF" w:rsidRPr="001558A5">
        <w:rPr>
          <w:szCs w:val="20"/>
          <w:lang w:val="en-US"/>
        </w:rPr>
        <w:t xml:space="preserve"> </w:t>
      </w:r>
    </w:p>
    <w:p w14:paraId="2E4C8F67" w14:textId="3DEBBEE6" w:rsidR="0063401F" w:rsidRPr="001558A5" w:rsidRDefault="00C74A05" w:rsidP="00C74A05">
      <w:pPr>
        <w:numPr>
          <w:ilvl w:val="0"/>
          <w:numId w:val="2"/>
        </w:numPr>
        <w:pBdr>
          <w:top w:val="nil"/>
        </w:pBdr>
        <w:spacing w:before="120" w:after="120"/>
        <w:ind w:left="0" w:firstLine="0"/>
        <w:rPr>
          <w:szCs w:val="20"/>
          <w:lang w:val="en-US"/>
        </w:rPr>
      </w:pPr>
      <w:r w:rsidRPr="001558A5">
        <w:rPr>
          <w:szCs w:val="20"/>
          <w:lang w:val="en-US"/>
        </w:rPr>
        <w:t>Second, as indicated in the chapter on the facts, at the time, a context of violence, arbitrary detentions, homicides and discrimination agains</w:t>
      </w:r>
      <w:r w:rsidR="00BD57C1" w:rsidRPr="001558A5">
        <w:rPr>
          <w:szCs w:val="20"/>
          <w:lang w:val="en-US"/>
        </w:rPr>
        <w:t>t</w:t>
      </w:r>
      <w:r w:rsidRPr="001558A5">
        <w:rPr>
          <w:szCs w:val="20"/>
          <w:lang w:val="en-US"/>
        </w:rPr>
        <w:t xml:space="preserve"> the LGBTI community and, in particular</w:t>
      </w:r>
      <w:r w:rsidR="00332209" w:rsidRPr="001558A5">
        <w:rPr>
          <w:szCs w:val="20"/>
          <w:lang w:val="en-US"/>
        </w:rPr>
        <w:t>,</w:t>
      </w:r>
      <w:r w:rsidRPr="001558A5">
        <w:rPr>
          <w:szCs w:val="20"/>
          <w:lang w:val="en-US"/>
        </w:rPr>
        <w:t xml:space="preserve"> against trans women sex worker</w:t>
      </w:r>
      <w:r w:rsidR="00332209" w:rsidRPr="001558A5">
        <w:rPr>
          <w:szCs w:val="20"/>
          <w:lang w:val="en-US"/>
        </w:rPr>
        <w:t>s existed in Honduras</w:t>
      </w:r>
      <w:r w:rsidRPr="001558A5">
        <w:rPr>
          <w:szCs w:val="20"/>
          <w:lang w:val="en-US"/>
        </w:rPr>
        <w:t xml:space="preserve">. Additionally, in many cases, that violence was </w:t>
      </w:r>
      <w:r w:rsidR="00332209" w:rsidRPr="001558A5">
        <w:rPr>
          <w:szCs w:val="20"/>
          <w:lang w:val="en-US"/>
        </w:rPr>
        <w:t>committed</w:t>
      </w:r>
      <w:r w:rsidRPr="001558A5">
        <w:rPr>
          <w:szCs w:val="20"/>
          <w:lang w:val="en-US"/>
        </w:rPr>
        <w:t xml:space="preserve"> by law enforcement </w:t>
      </w:r>
      <w:r w:rsidR="00332209" w:rsidRPr="001558A5">
        <w:rPr>
          <w:szCs w:val="20"/>
          <w:lang w:val="en-US"/>
        </w:rPr>
        <w:t xml:space="preserve">agents </w:t>
      </w:r>
      <w:r w:rsidR="0097250A" w:rsidRPr="001558A5">
        <w:rPr>
          <w:szCs w:val="20"/>
          <w:lang w:val="en-US"/>
        </w:rPr>
        <w:t>(</w:t>
      </w:r>
      <w:r w:rsidR="0097250A" w:rsidRPr="001558A5">
        <w:rPr>
          <w:i/>
          <w:iCs/>
          <w:szCs w:val="20"/>
          <w:lang w:val="en-US"/>
        </w:rPr>
        <w:t>supra</w:t>
      </w:r>
      <w:r w:rsidR="0097250A" w:rsidRPr="001558A5">
        <w:rPr>
          <w:szCs w:val="20"/>
          <w:lang w:val="en-US"/>
        </w:rPr>
        <w:t xml:space="preserve"> </w:t>
      </w:r>
      <w:r w:rsidR="00B43A52" w:rsidRPr="001558A5">
        <w:rPr>
          <w:szCs w:val="20"/>
          <w:lang w:val="en-US"/>
        </w:rPr>
        <w:t>para.</w:t>
      </w:r>
      <w:r w:rsidR="0097250A" w:rsidRPr="001558A5">
        <w:rPr>
          <w:szCs w:val="20"/>
          <w:lang w:val="en-US"/>
        </w:rPr>
        <w:t xml:space="preserve"> </w:t>
      </w:r>
      <w:r w:rsidR="00C25218" w:rsidRPr="001558A5">
        <w:rPr>
          <w:szCs w:val="20"/>
          <w:lang w:val="en-US"/>
        </w:rPr>
        <w:t xml:space="preserve">31). </w:t>
      </w:r>
      <w:r w:rsidRPr="001558A5">
        <w:rPr>
          <w:szCs w:val="20"/>
          <w:lang w:val="en-US"/>
        </w:rPr>
        <w:t>On this point, in her testimony during the public hearing in this case</w:t>
      </w:r>
      <w:r w:rsidR="009F2EB7" w:rsidRPr="001558A5">
        <w:rPr>
          <w:szCs w:val="20"/>
          <w:lang w:val="en-US"/>
        </w:rPr>
        <w:t xml:space="preserve"> (</w:t>
      </w:r>
      <w:r w:rsidR="009F2EB7" w:rsidRPr="001558A5">
        <w:rPr>
          <w:i/>
          <w:iCs/>
          <w:szCs w:val="20"/>
          <w:lang w:val="en-US"/>
        </w:rPr>
        <w:t>supra</w:t>
      </w:r>
      <w:r w:rsidR="009F2EB7" w:rsidRPr="001558A5">
        <w:rPr>
          <w:szCs w:val="20"/>
          <w:lang w:val="en-US"/>
        </w:rPr>
        <w:t xml:space="preserve"> </w:t>
      </w:r>
      <w:r w:rsidR="00B43A52" w:rsidRPr="001558A5">
        <w:rPr>
          <w:szCs w:val="20"/>
          <w:lang w:val="en-US"/>
        </w:rPr>
        <w:t>para.</w:t>
      </w:r>
      <w:r w:rsidR="009F2EB7" w:rsidRPr="001558A5">
        <w:rPr>
          <w:szCs w:val="20"/>
          <w:lang w:val="en-US"/>
        </w:rPr>
        <w:t xml:space="preserve"> </w:t>
      </w:r>
      <w:r w:rsidR="00C25218" w:rsidRPr="001558A5">
        <w:rPr>
          <w:szCs w:val="20"/>
          <w:lang w:val="en-US"/>
        </w:rPr>
        <w:t xml:space="preserve">35), </w:t>
      </w:r>
      <w:r w:rsidRPr="001558A5">
        <w:rPr>
          <w:szCs w:val="20"/>
          <w:lang w:val="en-US"/>
        </w:rPr>
        <w:t xml:space="preserve">Claudia </w:t>
      </w:r>
      <w:proofErr w:type="spellStart"/>
      <w:r w:rsidRPr="001558A5">
        <w:rPr>
          <w:szCs w:val="20"/>
          <w:lang w:val="en-US"/>
        </w:rPr>
        <w:t>Spellmant</w:t>
      </w:r>
      <w:proofErr w:type="spellEnd"/>
      <w:r w:rsidRPr="001558A5">
        <w:rPr>
          <w:szCs w:val="20"/>
          <w:lang w:val="en-US"/>
        </w:rPr>
        <w:t xml:space="preserve"> Sosa referred to the context of arbitrary detentions, ill-treatment, rape, </w:t>
      </w:r>
      <w:r w:rsidR="009F36EF" w:rsidRPr="001558A5">
        <w:rPr>
          <w:szCs w:val="20"/>
          <w:lang w:val="en-US"/>
        </w:rPr>
        <w:t>extortion</w:t>
      </w:r>
      <w:r w:rsidRPr="001558A5">
        <w:rPr>
          <w:szCs w:val="20"/>
          <w:lang w:val="en-US"/>
        </w:rPr>
        <w:t xml:space="preserve"> and also killings by the </w:t>
      </w:r>
      <w:r w:rsidR="00332209" w:rsidRPr="001558A5">
        <w:rPr>
          <w:szCs w:val="20"/>
          <w:lang w:val="en-US"/>
        </w:rPr>
        <w:t>p</w:t>
      </w:r>
      <w:r w:rsidRPr="001558A5">
        <w:rPr>
          <w:szCs w:val="20"/>
          <w:lang w:val="en-US"/>
        </w:rPr>
        <w:t xml:space="preserve">olice, suffered by trans women sex workers in San Pedro Sula and in Honduras over those years. This witness recounted that she had witnessed the murder of a trans woman by the police during an arrest and referred to the murder of a trans woman by a police officer who was </w:t>
      </w:r>
      <w:r w:rsidR="00332209" w:rsidRPr="001558A5">
        <w:rPr>
          <w:szCs w:val="20"/>
          <w:lang w:val="en-US"/>
        </w:rPr>
        <w:t xml:space="preserve">subsequently </w:t>
      </w:r>
      <w:r w:rsidRPr="001558A5">
        <w:rPr>
          <w:szCs w:val="20"/>
          <w:lang w:val="en-US"/>
        </w:rPr>
        <w:t>prosecuted and convicted for this act</w:t>
      </w:r>
      <w:r w:rsidR="00332209" w:rsidRPr="001558A5">
        <w:rPr>
          <w:szCs w:val="20"/>
          <w:lang w:val="en-US"/>
        </w:rPr>
        <w:t xml:space="preserve">; however, </w:t>
      </w:r>
      <w:r w:rsidRPr="001558A5">
        <w:rPr>
          <w:szCs w:val="20"/>
          <w:lang w:val="en-US"/>
        </w:rPr>
        <w:t xml:space="preserve">she also mentioned that one of the </w:t>
      </w:r>
      <w:r w:rsidR="00332209" w:rsidRPr="001558A5">
        <w:rPr>
          <w:szCs w:val="20"/>
          <w:lang w:val="en-US"/>
        </w:rPr>
        <w:t>women</w:t>
      </w:r>
      <w:r w:rsidRPr="001558A5">
        <w:rPr>
          <w:szCs w:val="20"/>
          <w:lang w:val="en-US"/>
        </w:rPr>
        <w:t xml:space="preserve"> who had denounced the act had been killed and the other </w:t>
      </w:r>
      <w:r w:rsidR="00332209" w:rsidRPr="001558A5">
        <w:rPr>
          <w:szCs w:val="20"/>
          <w:lang w:val="en-US"/>
        </w:rPr>
        <w:t>had been forced to</w:t>
      </w:r>
      <w:r w:rsidRPr="001558A5">
        <w:rPr>
          <w:szCs w:val="20"/>
          <w:lang w:val="en-US"/>
        </w:rPr>
        <w:t xml:space="preserve"> go into exile</w:t>
      </w:r>
      <w:r w:rsidR="00094EE7" w:rsidRPr="001558A5">
        <w:rPr>
          <w:szCs w:val="20"/>
          <w:lang w:val="en-US"/>
        </w:rPr>
        <w:t xml:space="preserve"> (</w:t>
      </w:r>
      <w:r w:rsidR="00094EE7" w:rsidRPr="001558A5">
        <w:rPr>
          <w:i/>
          <w:iCs/>
          <w:szCs w:val="20"/>
          <w:lang w:val="en-US"/>
        </w:rPr>
        <w:t>supra</w:t>
      </w:r>
      <w:r w:rsidR="00094EE7" w:rsidRPr="001558A5">
        <w:rPr>
          <w:szCs w:val="20"/>
          <w:lang w:val="en-US"/>
        </w:rPr>
        <w:t xml:space="preserve"> </w:t>
      </w:r>
      <w:r w:rsidR="00B43A52" w:rsidRPr="001558A5">
        <w:rPr>
          <w:szCs w:val="20"/>
          <w:lang w:val="en-US"/>
        </w:rPr>
        <w:t>para.</w:t>
      </w:r>
      <w:r w:rsidR="00094EE7" w:rsidRPr="001558A5">
        <w:rPr>
          <w:szCs w:val="20"/>
          <w:lang w:val="en-US"/>
        </w:rPr>
        <w:t xml:space="preserve"> </w:t>
      </w:r>
      <w:r w:rsidR="00306751" w:rsidRPr="001558A5">
        <w:rPr>
          <w:szCs w:val="20"/>
          <w:lang w:val="en-US"/>
        </w:rPr>
        <w:t>35</w:t>
      </w:r>
      <w:r w:rsidR="00094EE7" w:rsidRPr="001558A5">
        <w:rPr>
          <w:szCs w:val="20"/>
          <w:lang w:val="en-US"/>
        </w:rPr>
        <w:t>)</w:t>
      </w:r>
      <w:r w:rsidR="00657250" w:rsidRPr="001558A5">
        <w:rPr>
          <w:szCs w:val="20"/>
          <w:lang w:val="en-US"/>
        </w:rPr>
        <w:t xml:space="preserve">. </w:t>
      </w:r>
    </w:p>
    <w:p w14:paraId="30F9B5C8" w14:textId="622D6CE9" w:rsidR="004871ED" w:rsidRPr="001558A5" w:rsidRDefault="00C74A05" w:rsidP="00C74A05">
      <w:pPr>
        <w:numPr>
          <w:ilvl w:val="0"/>
          <w:numId w:val="2"/>
        </w:numPr>
        <w:pBdr>
          <w:top w:val="nil"/>
        </w:pBdr>
        <w:spacing w:before="120" w:after="120"/>
        <w:ind w:left="0" w:firstLine="0"/>
        <w:rPr>
          <w:szCs w:val="20"/>
          <w:lang w:val="en-US"/>
        </w:rPr>
      </w:pPr>
      <w:r w:rsidRPr="001558A5">
        <w:rPr>
          <w:szCs w:val="20"/>
          <w:lang w:val="en-US"/>
        </w:rPr>
        <w:t>Witness</w:t>
      </w:r>
      <w:r w:rsidR="00942A69" w:rsidRPr="001558A5">
        <w:rPr>
          <w:szCs w:val="20"/>
          <w:lang w:val="en-US"/>
        </w:rPr>
        <w:t xml:space="preserve"> </w:t>
      </w:r>
      <w:r w:rsidR="00657250" w:rsidRPr="001558A5">
        <w:rPr>
          <w:szCs w:val="20"/>
          <w:lang w:val="en-US"/>
        </w:rPr>
        <w:t xml:space="preserve">Claudia </w:t>
      </w:r>
      <w:proofErr w:type="spellStart"/>
      <w:r w:rsidR="00657250" w:rsidRPr="001558A5">
        <w:rPr>
          <w:szCs w:val="20"/>
          <w:lang w:val="en-US"/>
        </w:rPr>
        <w:t>Spellmant</w:t>
      </w:r>
      <w:proofErr w:type="spellEnd"/>
      <w:r w:rsidR="00657250" w:rsidRPr="001558A5">
        <w:rPr>
          <w:szCs w:val="20"/>
          <w:lang w:val="en-US"/>
        </w:rPr>
        <w:t xml:space="preserve"> Sosa </w:t>
      </w:r>
      <w:r w:rsidRPr="001558A5">
        <w:rPr>
          <w:szCs w:val="20"/>
          <w:lang w:val="en-US"/>
        </w:rPr>
        <w:t>also indicated in her testimony that, “on many occasions,” she and</w:t>
      </w:r>
      <w:r w:rsidR="00657250" w:rsidRPr="001558A5">
        <w:rPr>
          <w:szCs w:val="20"/>
          <w:lang w:val="en-US"/>
        </w:rPr>
        <w:t xml:space="preserve"> Vicky Hernández</w:t>
      </w:r>
      <w:r w:rsidR="00DD4354" w:rsidRPr="001558A5">
        <w:rPr>
          <w:szCs w:val="20"/>
          <w:lang w:val="en-US"/>
        </w:rPr>
        <w:t xml:space="preserve"> </w:t>
      </w:r>
      <w:r w:rsidRPr="001558A5">
        <w:rPr>
          <w:szCs w:val="20"/>
          <w:lang w:val="en-US"/>
        </w:rPr>
        <w:t xml:space="preserve">had been victims of violent attacks by the </w:t>
      </w:r>
      <w:r w:rsidR="00332209" w:rsidRPr="001558A5">
        <w:rPr>
          <w:szCs w:val="20"/>
          <w:lang w:val="en-US"/>
        </w:rPr>
        <w:t>p</w:t>
      </w:r>
      <w:r w:rsidRPr="001558A5">
        <w:rPr>
          <w:szCs w:val="20"/>
          <w:lang w:val="en-US"/>
        </w:rPr>
        <w:t xml:space="preserve">olice during arrests. In particular, she stated that the </w:t>
      </w:r>
      <w:r w:rsidR="00332209" w:rsidRPr="001558A5">
        <w:rPr>
          <w:szCs w:val="20"/>
          <w:lang w:val="en-US"/>
        </w:rPr>
        <w:t>p</w:t>
      </w:r>
      <w:r w:rsidRPr="001558A5">
        <w:rPr>
          <w:szCs w:val="20"/>
          <w:lang w:val="en-US"/>
        </w:rPr>
        <w:t>olice did not “</w:t>
      </w:r>
      <w:r w:rsidR="00B71A96" w:rsidRPr="001558A5">
        <w:rPr>
          <w:szCs w:val="20"/>
          <w:lang w:val="en-US"/>
        </w:rPr>
        <w:t>ask</w:t>
      </w:r>
      <w:r w:rsidRPr="001558A5">
        <w:rPr>
          <w:szCs w:val="20"/>
          <w:lang w:val="en-US"/>
        </w:rPr>
        <w:t xml:space="preserve">” them to </w:t>
      </w:r>
      <w:r w:rsidR="00BD57C1" w:rsidRPr="001558A5">
        <w:rPr>
          <w:szCs w:val="20"/>
          <w:lang w:val="en-US"/>
        </w:rPr>
        <w:t>accompany the police</w:t>
      </w:r>
      <w:r w:rsidR="00B71A96" w:rsidRPr="001558A5">
        <w:rPr>
          <w:szCs w:val="20"/>
          <w:lang w:val="en-US"/>
        </w:rPr>
        <w:t xml:space="preserve"> agents</w:t>
      </w:r>
      <w:r w:rsidR="00BD57C1" w:rsidRPr="001558A5">
        <w:rPr>
          <w:szCs w:val="20"/>
          <w:lang w:val="en-US"/>
        </w:rPr>
        <w:t xml:space="preserve"> “voluntarily</w:t>
      </w:r>
      <w:r w:rsidR="00B71A96" w:rsidRPr="001558A5">
        <w:rPr>
          <w:szCs w:val="20"/>
          <w:lang w:val="en-US"/>
        </w:rPr>
        <w:t>;</w:t>
      </w:r>
      <w:r w:rsidR="00BD57C1" w:rsidRPr="001558A5">
        <w:rPr>
          <w:szCs w:val="20"/>
          <w:lang w:val="en-US"/>
        </w:rPr>
        <w:t xml:space="preserve"> rather they took [them] away by beating them,” and that “there [were] </w:t>
      </w:r>
      <w:r w:rsidR="00B71A96" w:rsidRPr="001558A5">
        <w:rPr>
          <w:szCs w:val="20"/>
          <w:lang w:val="en-US"/>
        </w:rPr>
        <w:t>frequent</w:t>
      </w:r>
      <w:r w:rsidR="00BD57C1" w:rsidRPr="001558A5">
        <w:rPr>
          <w:szCs w:val="20"/>
          <w:lang w:val="en-US"/>
        </w:rPr>
        <w:t xml:space="preserve"> raids in the sex work</w:t>
      </w:r>
      <w:r w:rsidR="00B71A96" w:rsidRPr="001558A5">
        <w:rPr>
          <w:szCs w:val="20"/>
          <w:lang w:val="en-US"/>
        </w:rPr>
        <w:t xml:space="preserve"> districts</w:t>
      </w:r>
      <w:r w:rsidR="00BD57C1" w:rsidRPr="001558A5">
        <w:rPr>
          <w:szCs w:val="20"/>
          <w:lang w:val="en-US"/>
        </w:rPr>
        <w:t xml:space="preserve"> </w:t>
      </w:r>
      <w:r w:rsidR="00B71A96" w:rsidRPr="001558A5">
        <w:rPr>
          <w:szCs w:val="20"/>
          <w:lang w:val="en-US"/>
        </w:rPr>
        <w:t>of</w:t>
      </w:r>
      <w:r w:rsidR="00BD57C1" w:rsidRPr="001558A5">
        <w:rPr>
          <w:szCs w:val="20"/>
          <w:lang w:val="en-US"/>
        </w:rPr>
        <w:t xml:space="preserve"> </w:t>
      </w:r>
      <w:r w:rsidR="004871ED" w:rsidRPr="001558A5">
        <w:rPr>
          <w:szCs w:val="20"/>
          <w:lang w:val="en-US"/>
        </w:rPr>
        <w:t>San Pedro</w:t>
      </w:r>
      <w:r w:rsidR="00900CF5" w:rsidRPr="001558A5">
        <w:rPr>
          <w:szCs w:val="20"/>
          <w:lang w:val="en-US"/>
        </w:rPr>
        <w:t xml:space="preserve"> </w:t>
      </w:r>
      <w:r w:rsidR="004871ED" w:rsidRPr="001558A5">
        <w:rPr>
          <w:szCs w:val="20"/>
          <w:lang w:val="en-US"/>
        </w:rPr>
        <w:t>Sula</w:t>
      </w:r>
      <w:r w:rsidR="00BD57C1" w:rsidRPr="001558A5">
        <w:rPr>
          <w:szCs w:val="20"/>
          <w:lang w:val="en-US"/>
        </w:rPr>
        <w:t>.</w:t>
      </w:r>
      <w:r w:rsidR="004871ED" w:rsidRPr="001558A5">
        <w:rPr>
          <w:szCs w:val="20"/>
          <w:lang w:val="en-US"/>
        </w:rPr>
        <w:t xml:space="preserve">” </w:t>
      </w:r>
      <w:r w:rsidR="00BD57C1" w:rsidRPr="001558A5">
        <w:rPr>
          <w:szCs w:val="20"/>
          <w:lang w:val="en-US"/>
        </w:rPr>
        <w:t>She indicated that</w:t>
      </w:r>
      <w:r w:rsidR="004B5127" w:rsidRPr="001558A5">
        <w:rPr>
          <w:szCs w:val="20"/>
          <w:lang w:val="en-US"/>
        </w:rPr>
        <w:t xml:space="preserve"> </w:t>
      </w:r>
      <w:r w:rsidR="004871ED" w:rsidRPr="001558A5">
        <w:rPr>
          <w:szCs w:val="20"/>
          <w:lang w:val="en-US"/>
        </w:rPr>
        <w:t>Vicky Hernández “</w:t>
      </w:r>
      <w:r w:rsidR="00BD57C1" w:rsidRPr="001558A5">
        <w:rPr>
          <w:szCs w:val="20"/>
          <w:lang w:val="en-US"/>
        </w:rPr>
        <w:t xml:space="preserve">went to the organization </w:t>
      </w:r>
      <w:r w:rsidR="004871ED" w:rsidRPr="001558A5">
        <w:rPr>
          <w:szCs w:val="20"/>
          <w:lang w:val="en-US"/>
        </w:rPr>
        <w:t>[</w:t>
      </w:r>
      <w:proofErr w:type="spellStart"/>
      <w:r w:rsidR="00B4415F" w:rsidRPr="001558A5">
        <w:rPr>
          <w:i/>
          <w:iCs/>
          <w:szCs w:val="20"/>
          <w:lang w:val="en-US"/>
        </w:rPr>
        <w:t>Colectivo</w:t>
      </w:r>
      <w:proofErr w:type="spellEnd"/>
      <w:r w:rsidR="00B4415F" w:rsidRPr="001558A5">
        <w:rPr>
          <w:i/>
          <w:iCs/>
          <w:szCs w:val="20"/>
          <w:lang w:val="en-US"/>
        </w:rPr>
        <w:t xml:space="preserve"> </w:t>
      </w:r>
      <w:proofErr w:type="spellStart"/>
      <w:r w:rsidR="00B4415F" w:rsidRPr="001558A5">
        <w:rPr>
          <w:i/>
          <w:iCs/>
          <w:szCs w:val="20"/>
          <w:lang w:val="en-US"/>
        </w:rPr>
        <w:t>Unidad</w:t>
      </w:r>
      <w:proofErr w:type="spellEnd"/>
      <w:r w:rsidR="00B4415F" w:rsidRPr="001558A5">
        <w:rPr>
          <w:i/>
          <w:iCs/>
          <w:szCs w:val="20"/>
          <w:lang w:val="en-US"/>
        </w:rPr>
        <w:t xml:space="preserve"> Color Rosa</w:t>
      </w:r>
      <w:r w:rsidR="004871ED" w:rsidRPr="001558A5">
        <w:rPr>
          <w:szCs w:val="20"/>
          <w:lang w:val="en-US"/>
        </w:rPr>
        <w:t xml:space="preserve">] </w:t>
      </w:r>
      <w:r w:rsidR="00BD57C1" w:rsidRPr="001558A5">
        <w:rPr>
          <w:szCs w:val="20"/>
          <w:lang w:val="en-US"/>
        </w:rPr>
        <w:t>to report that she had been arrested and beaten.</w:t>
      </w:r>
      <w:r w:rsidR="004871ED" w:rsidRPr="001558A5">
        <w:rPr>
          <w:szCs w:val="20"/>
          <w:lang w:val="en-US"/>
        </w:rPr>
        <w:t>”</w:t>
      </w:r>
      <w:r w:rsidR="006838DD" w:rsidRPr="001558A5">
        <w:rPr>
          <w:rStyle w:val="Refdenotaalpie"/>
          <w:lang w:val="en-US"/>
        </w:rPr>
        <w:footnoteReference w:id="119"/>
      </w:r>
    </w:p>
    <w:p w14:paraId="58563463" w14:textId="4F45C0AF" w:rsidR="00657250" w:rsidRPr="001558A5" w:rsidRDefault="00B71A96" w:rsidP="00BD57C1">
      <w:pPr>
        <w:numPr>
          <w:ilvl w:val="0"/>
          <w:numId w:val="2"/>
        </w:numPr>
        <w:pBdr>
          <w:top w:val="nil"/>
        </w:pBdr>
        <w:spacing w:before="120" w:after="120"/>
        <w:ind w:left="0" w:firstLine="0"/>
        <w:rPr>
          <w:szCs w:val="20"/>
          <w:lang w:val="en-US"/>
        </w:rPr>
      </w:pPr>
      <w:r w:rsidRPr="001558A5">
        <w:rPr>
          <w:szCs w:val="20"/>
          <w:lang w:val="en-US"/>
        </w:rPr>
        <w:t>Regarding</w:t>
      </w:r>
      <w:r w:rsidR="00BD57C1" w:rsidRPr="001558A5">
        <w:rPr>
          <w:szCs w:val="20"/>
          <w:lang w:val="en-US"/>
        </w:rPr>
        <w:t xml:space="preserve"> the circumstances of Vicky’s death, witness </w:t>
      </w:r>
      <w:r w:rsidR="006838DD" w:rsidRPr="001558A5">
        <w:rPr>
          <w:szCs w:val="20"/>
          <w:lang w:val="en-US"/>
        </w:rPr>
        <w:t xml:space="preserve">Claudia </w:t>
      </w:r>
      <w:proofErr w:type="spellStart"/>
      <w:r w:rsidR="006838DD" w:rsidRPr="001558A5">
        <w:rPr>
          <w:szCs w:val="20"/>
          <w:lang w:val="en-US"/>
        </w:rPr>
        <w:t>Spellmant</w:t>
      </w:r>
      <w:proofErr w:type="spellEnd"/>
      <w:r w:rsidR="006838DD" w:rsidRPr="001558A5">
        <w:rPr>
          <w:szCs w:val="20"/>
          <w:lang w:val="en-US"/>
        </w:rPr>
        <w:t xml:space="preserve"> Sosa </w:t>
      </w:r>
      <w:r w:rsidR="00BD57C1" w:rsidRPr="001558A5">
        <w:rPr>
          <w:szCs w:val="20"/>
          <w:lang w:val="en-US"/>
        </w:rPr>
        <w:t xml:space="preserve">recounted that, in a conversation with two friends who were at Vicky’s wake, she found out that the events had occurred in this way: Vicky Hernández and two friends went out onto the street to work during the curfew on the night of June 28, 2009. When they were walking through the red light </w:t>
      </w:r>
      <w:r w:rsidRPr="001558A5">
        <w:rPr>
          <w:szCs w:val="20"/>
          <w:lang w:val="en-US"/>
        </w:rPr>
        <w:t>district</w:t>
      </w:r>
      <w:r w:rsidR="00BD57C1" w:rsidRPr="001558A5">
        <w:rPr>
          <w:szCs w:val="20"/>
          <w:lang w:val="en-US"/>
        </w:rPr>
        <w:t xml:space="preserve"> where they carried out their sex work, the three women were discovered by a police patrol that tried to arrest them. </w:t>
      </w:r>
      <w:r w:rsidRPr="001558A5">
        <w:rPr>
          <w:szCs w:val="20"/>
          <w:lang w:val="en-US"/>
        </w:rPr>
        <w:t>The</w:t>
      </w:r>
      <w:r w:rsidR="00BD57C1" w:rsidRPr="001558A5">
        <w:rPr>
          <w:szCs w:val="20"/>
          <w:lang w:val="en-US"/>
        </w:rPr>
        <w:t xml:space="preserve"> women fled in different directions so that the police patrol </w:t>
      </w:r>
      <w:r w:rsidRPr="001558A5">
        <w:rPr>
          <w:szCs w:val="20"/>
          <w:lang w:val="en-US"/>
        </w:rPr>
        <w:t>w</w:t>
      </w:r>
      <w:r w:rsidR="00BD57C1" w:rsidRPr="001558A5">
        <w:rPr>
          <w:szCs w:val="20"/>
          <w:lang w:val="en-US"/>
        </w:rPr>
        <w:t xml:space="preserve">ould not catch up with them and </w:t>
      </w:r>
      <w:r w:rsidRPr="001558A5">
        <w:rPr>
          <w:szCs w:val="20"/>
          <w:lang w:val="en-US"/>
        </w:rPr>
        <w:t>they therefore</w:t>
      </w:r>
      <w:r w:rsidR="00BD57C1" w:rsidRPr="001558A5">
        <w:rPr>
          <w:szCs w:val="20"/>
          <w:lang w:val="en-US"/>
        </w:rPr>
        <w:t xml:space="preserve"> lost contact with Vicky and </w:t>
      </w:r>
      <w:r w:rsidRPr="001558A5">
        <w:rPr>
          <w:szCs w:val="20"/>
          <w:lang w:val="en-US"/>
        </w:rPr>
        <w:t>were unaware of</w:t>
      </w:r>
      <w:r w:rsidR="00BD57C1" w:rsidRPr="001558A5">
        <w:rPr>
          <w:szCs w:val="20"/>
          <w:lang w:val="en-US"/>
        </w:rPr>
        <w:t xml:space="preserve"> what had happened to her until she appeared dea</w:t>
      </w:r>
      <w:r w:rsidRPr="001558A5">
        <w:rPr>
          <w:szCs w:val="20"/>
          <w:lang w:val="en-US"/>
        </w:rPr>
        <w:t>d</w:t>
      </w:r>
      <w:r w:rsidR="00BD57C1" w:rsidRPr="001558A5">
        <w:rPr>
          <w:szCs w:val="20"/>
          <w:lang w:val="en-US"/>
        </w:rPr>
        <w:t xml:space="preserve"> the next day</w:t>
      </w:r>
      <w:r w:rsidR="00BC25C8" w:rsidRPr="001558A5">
        <w:rPr>
          <w:szCs w:val="20"/>
          <w:lang w:val="en-US"/>
        </w:rPr>
        <w:t xml:space="preserve"> (</w:t>
      </w:r>
      <w:r w:rsidR="00BC25C8" w:rsidRPr="001558A5">
        <w:rPr>
          <w:i/>
          <w:iCs/>
          <w:szCs w:val="20"/>
          <w:lang w:val="en-US"/>
        </w:rPr>
        <w:t>supra</w:t>
      </w:r>
      <w:r w:rsidR="00BC25C8" w:rsidRPr="001558A5">
        <w:rPr>
          <w:szCs w:val="20"/>
          <w:lang w:val="en-US"/>
        </w:rPr>
        <w:t xml:space="preserve"> </w:t>
      </w:r>
      <w:r w:rsidR="00B43A52" w:rsidRPr="001558A5">
        <w:rPr>
          <w:szCs w:val="20"/>
          <w:lang w:val="en-US"/>
        </w:rPr>
        <w:t>para.</w:t>
      </w:r>
      <w:r w:rsidR="00BC25C8" w:rsidRPr="001558A5">
        <w:rPr>
          <w:szCs w:val="20"/>
          <w:lang w:val="en-US"/>
        </w:rPr>
        <w:t xml:space="preserve"> </w:t>
      </w:r>
      <w:r w:rsidR="00C25218" w:rsidRPr="001558A5">
        <w:rPr>
          <w:szCs w:val="20"/>
          <w:lang w:val="en-US"/>
        </w:rPr>
        <w:t>43)</w:t>
      </w:r>
      <w:r w:rsidR="00BD57C1" w:rsidRPr="001558A5">
        <w:rPr>
          <w:szCs w:val="20"/>
          <w:lang w:val="en-US"/>
        </w:rPr>
        <w:t>.</w:t>
      </w:r>
      <w:r w:rsidR="00C25218" w:rsidRPr="001558A5">
        <w:rPr>
          <w:rStyle w:val="Refdenotaalpie"/>
          <w:lang w:val="en-US"/>
        </w:rPr>
        <w:footnoteReference w:id="120"/>
      </w:r>
      <w:r w:rsidR="00C25218" w:rsidRPr="001558A5">
        <w:rPr>
          <w:szCs w:val="20"/>
          <w:lang w:val="en-US"/>
        </w:rPr>
        <w:t xml:space="preserve"> </w:t>
      </w:r>
    </w:p>
    <w:p w14:paraId="64EAD59B" w14:textId="09B66C89" w:rsidR="00BC25C8" w:rsidRPr="001558A5" w:rsidRDefault="00BD57C1" w:rsidP="00945CE2">
      <w:pPr>
        <w:numPr>
          <w:ilvl w:val="0"/>
          <w:numId w:val="2"/>
        </w:numPr>
        <w:pBdr>
          <w:top w:val="nil"/>
        </w:pBdr>
        <w:spacing w:before="120" w:after="120"/>
        <w:ind w:left="0" w:firstLine="0"/>
        <w:rPr>
          <w:szCs w:val="20"/>
          <w:lang w:val="en-US"/>
        </w:rPr>
      </w:pPr>
      <w:r w:rsidRPr="001558A5">
        <w:rPr>
          <w:szCs w:val="20"/>
          <w:lang w:val="en-US"/>
        </w:rPr>
        <w:t xml:space="preserve">This version is consistent with the report on the conversations that </w:t>
      </w:r>
      <w:r w:rsidR="00B54BB6" w:rsidRPr="001558A5">
        <w:rPr>
          <w:szCs w:val="20"/>
          <w:lang w:val="en-US"/>
        </w:rPr>
        <w:t xml:space="preserve">Rosa </w:t>
      </w:r>
      <w:proofErr w:type="spellStart"/>
      <w:r w:rsidR="00B54BB6" w:rsidRPr="001558A5">
        <w:rPr>
          <w:szCs w:val="20"/>
          <w:lang w:val="en-US"/>
        </w:rPr>
        <w:t>Argelia</w:t>
      </w:r>
      <w:proofErr w:type="spellEnd"/>
      <w:r w:rsidR="00B54BB6" w:rsidRPr="001558A5">
        <w:rPr>
          <w:szCs w:val="20"/>
          <w:lang w:val="en-US"/>
        </w:rPr>
        <w:t xml:space="preserve"> Hernández, Vicky Hernández</w:t>
      </w:r>
      <w:r w:rsidRPr="001558A5">
        <w:rPr>
          <w:szCs w:val="20"/>
          <w:lang w:val="en-US"/>
        </w:rPr>
        <w:t xml:space="preserve">’s mother, had with her daughter’s friends. She stated before the Court that her daughter’s friends had told her that the police were following them and they fled and did not know where Vicky had gone </w:t>
      </w:r>
      <w:r w:rsidR="00BC25C8" w:rsidRPr="001558A5">
        <w:rPr>
          <w:szCs w:val="20"/>
          <w:lang w:val="en-US"/>
        </w:rPr>
        <w:t>(</w:t>
      </w:r>
      <w:r w:rsidR="00BC25C8" w:rsidRPr="001558A5">
        <w:rPr>
          <w:i/>
          <w:iCs/>
          <w:szCs w:val="20"/>
          <w:lang w:val="en-US"/>
        </w:rPr>
        <w:t>supra</w:t>
      </w:r>
      <w:r w:rsidR="00BC25C8" w:rsidRPr="001558A5">
        <w:rPr>
          <w:szCs w:val="20"/>
          <w:lang w:val="en-US"/>
        </w:rPr>
        <w:t xml:space="preserve"> </w:t>
      </w:r>
      <w:r w:rsidR="00B43A52" w:rsidRPr="001558A5">
        <w:rPr>
          <w:szCs w:val="20"/>
          <w:lang w:val="en-US"/>
        </w:rPr>
        <w:t>para.</w:t>
      </w:r>
      <w:r w:rsidRPr="001558A5">
        <w:rPr>
          <w:szCs w:val="20"/>
          <w:lang w:val="en-US"/>
        </w:rPr>
        <w:t xml:space="preserve"> </w:t>
      </w:r>
      <w:r w:rsidR="00C25218" w:rsidRPr="001558A5">
        <w:rPr>
          <w:szCs w:val="20"/>
          <w:lang w:val="en-US"/>
        </w:rPr>
        <w:t>43)</w:t>
      </w:r>
      <w:r w:rsidRPr="001558A5">
        <w:rPr>
          <w:szCs w:val="20"/>
          <w:lang w:val="en-US"/>
        </w:rPr>
        <w:t>.</w:t>
      </w:r>
      <w:r w:rsidR="00C25218" w:rsidRPr="001558A5">
        <w:rPr>
          <w:rStyle w:val="Refdenotaalpie"/>
          <w:lang w:val="en-US"/>
        </w:rPr>
        <w:footnoteReference w:id="121"/>
      </w:r>
    </w:p>
    <w:p w14:paraId="1BCA896C" w14:textId="0F5139EC" w:rsidR="00657871" w:rsidRPr="001558A5" w:rsidRDefault="000D72AA" w:rsidP="000D72AA">
      <w:pPr>
        <w:widowControl w:val="0"/>
        <w:numPr>
          <w:ilvl w:val="0"/>
          <w:numId w:val="2"/>
        </w:numPr>
        <w:pBdr>
          <w:top w:val="nil"/>
        </w:pBdr>
        <w:autoSpaceDE w:val="0"/>
        <w:autoSpaceDN w:val="0"/>
        <w:adjustRightInd w:val="0"/>
        <w:spacing w:before="120" w:after="120"/>
        <w:ind w:left="0" w:firstLine="0"/>
        <w:rPr>
          <w:lang w:val="en-US"/>
        </w:rPr>
      </w:pPr>
      <w:r w:rsidRPr="001558A5">
        <w:rPr>
          <w:szCs w:val="20"/>
          <w:lang w:val="en-US"/>
        </w:rPr>
        <w:t xml:space="preserve">In addition, as indicated in the chapter on </w:t>
      </w:r>
      <w:r w:rsidR="00973D19" w:rsidRPr="001558A5">
        <w:rPr>
          <w:szCs w:val="20"/>
          <w:lang w:val="en-US"/>
        </w:rPr>
        <w:t>acknowledgement of responsibility</w:t>
      </w:r>
      <w:r w:rsidR="0044698E" w:rsidRPr="001558A5">
        <w:rPr>
          <w:szCs w:val="20"/>
          <w:lang w:val="en-US"/>
        </w:rPr>
        <w:t xml:space="preserve"> (</w:t>
      </w:r>
      <w:r w:rsidR="0044698E" w:rsidRPr="001558A5">
        <w:rPr>
          <w:i/>
          <w:iCs/>
          <w:szCs w:val="20"/>
          <w:lang w:val="en-US"/>
        </w:rPr>
        <w:t>supra</w:t>
      </w:r>
      <w:r w:rsidR="0044698E" w:rsidRPr="001558A5">
        <w:rPr>
          <w:szCs w:val="20"/>
          <w:lang w:val="en-US"/>
        </w:rPr>
        <w:t xml:space="preserve"> </w:t>
      </w:r>
      <w:r w:rsidR="00907FBD" w:rsidRPr="001558A5">
        <w:rPr>
          <w:szCs w:val="20"/>
          <w:lang w:val="en-US"/>
        </w:rPr>
        <w:t>Chapter</w:t>
      </w:r>
      <w:r w:rsidR="0044698E" w:rsidRPr="001558A5">
        <w:rPr>
          <w:szCs w:val="20"/>
          <w:lang w:val="en-US"/>
        </w:rPr>
        <w:t xml:space="preserve"> IV), </w:t>
      </w:r>
      <w:r w:rsidRPr="001558A5">
        <w:rPr>
          <w:szCs w:val="20"/>
          <w:lang w:val="en-US"/>
        </w:rPr>
        <w:t xml:space="preserve">in this case the Honduran authorities failed to comply with their obligation to conduct a diligent and adequate investigation into the death of </w:t>
      </w:r>
      <w:r w:rsidR="0044698E" w:rsidRPr="001558A5">
        <w:rPr>
          <w:szCs w:val="20"/>
          <w:lang w:val="en-US"/>
        </w:rPr>
        <w:t xml:space="preserve">Vicky Hernández. </w:t>
      </w:r>
      <w:r w:rsidRPr="001558A5">
        <w:rPr>
          <w:szCs w:val="20"/>
          <w:lang w:val="en-US"/>
        </w:rPr>
        <w:t xml:space="preserve">This omission of the obligation to investigate is consistent with a general </w:t>
      </w:r>
      <w:r w:rsidR="00DD4354" w:rsidRPr="001558A5">
        <w:rPr>
          <w:szCs w:val="20"/>
          <w:lang w:val="en-US"/>
        </w:rPr>
        <w:t>context</w:t>
      </w:r>
      <w:r w:rsidR="0044698E" w:rsidRPr="001558A5">
        <w:rPr>
          <w:szCs w:val="20"/>
          <w:lang w:val="en-US"/>
        </w:rPr>
        <w:t xml:space="preserve"> </w:t>
      </w:r>
      <w:r w:rsidRPr="001558A5">
        <w:rPr>
          <w:szCs w:val="20"/>
          <w:lang w:val="en-US"/>
        </w:rPr>
        <w:t>of impunity for acts of violence against LGBTI persons and against trans women sex workers</w:t>
      </w:r>
      <w:r w:rsidR="0044698E" w:rsidRPr="001558A5">
        <w:rPr>
          <w:szCs w:val="20"/>
          <w:lang w:val="en-US"/>
        </w:rPr>
        <w:t xml:space="preserve"> </w:t>
      </w:r>
      <w:r w:rsidR="00215FEF" w:rsidRPr="001558A5">
        <w:rPr>
          <w:szCs w:val="20"/>
          <w:lang w:val="en-US"/>
        </w:rPr>
        <w:t>in Honduras</w:t>
      </w:r>
      <w:r w:rsidR="00E03D9A" w:rsidRPr="001558A5">
        <w:rPr>
          <w:szCs w:val="20"/>
          <w:lang w:val="en-US"/>
        </w:rPr>
        <w:t xml:space="preserve">. </w:t>
      </w:r>
      <w:r w:rsidRPr="001558A5">
        <w:rPr>
          <w:szCs w:val="20"/>
          <w:lang w:val="en-US"/>
        </w:rPr>
        <w:t>Likewise, in that chapter, it was possible to verify that the said</w:t>
      </w:r>
      <w:r w:rsidR="00657871" w:rsidRPr="001558A5">
        <w:rPr>
          <w:lang w:val="en-US"/>
        </w:rPr>
        <w:t xml:space="preserve"> </w:t>
      </w:r>
      <w:r w:rsidR="00DD4354" w:rsidRPr="001558A5">
        <w:rPr>
          <w:lang w:val="en-US"/>
        </w:rPr>
        <w:t>context</w:t>
      </w:r>
      <w:r w:rsidR="00657871" w:rsidRPr="001558A5">
        <w:rPr>
          <w:lang w:val="en-US"/>
        </w:rPr>
        <w:t xml:space="preserve"> </w:t>
      </w:r>
      <w:r w:rsidRPr="001558A5">
        <w:rPr>
          <w:lang w:val="en-US"/>
        </w:rPr>
        <w:t xml:space="preserve">of </w:t>
      </w:r>
      <w:r w:rsidR="00B71A96" w:rsidRPr="001558A5">
        <w:rPr>
          <w:lang w:val="en-US"/>
        </w:rPr>
        <w:t>murders</w:t>
      </w:r>
      <w:r w:rsidRPr="001558A5">
        <w:rPr>
          <w:lang w:val="en-US"/>
        </w:rPr>
        <w:t xml:space="preserve"> of members of the LGBTI community was accompanied by a high incidence of impunity and investigations that failed to result in the determination and prosecution of those responsible and that, consequently, continued unpunished </w:t>
      </w:r>
      <w:r w:rsidR="00657871" w:rsidRPr="001558A5">
        <w:rPr>
          <w:szCs w:val="20"/>
          <w:lang w:val="en-US"/>
        </w:rPr>
        <w:t>(</w:t>
      </w:r>
      <w:r w:rsidR="00657871" w:rsidRPr="001558A5">
        <w:rPr>
          <w:i/>
          <w:iCs/>
          <w:szCs w:val="20"/>
          <w:lang w:val="en-US"/>
        </w:rPr>
        <w:t>supra</w:t>
      </w:r>
      <w:r w:rsidR="00657871" w:rsidRPr="001558A5">
        <w:rPr>
          <w:szCs w:val="20"/>
          <w:lang w:val="en-US"/>
        </w:rPr>
        <w:t xml:space="preserve"> </w:t>
      </w:r>
      <w:r w:rsidR="00B43A52" w:rsidRPr="001558A5">
        <w:rPr>
          <w:szCs w:val="20"/>
          <w:lang w:val="en-US"/>
        </w:rPr>
        <w:t>para.</w:t>
      </w:r>
      <w:r w:rsidR="00657871" w:rsidRPr="001558A5">
        <w:rPr>
          <w:szCs w:val="20"/>
          <w:lang w:val="en-US"/>
        </w:rPr>
        <w:t xml:space="preserve"> </w:t>
      </w:r>
      <w:r w:rsidR="00E03D9A" w:rsidRPr="001558A5">
        <w:rPr>
          <w:szCs w:val="20"/>
          <w:lang w:val="en-US"/>
        </w:rPr>
        <w:t>31)</w:t>
      </w:r>
      <w:r w:rsidR="00E03D9A" w:rsidRPr="001558A5">
        <w:rPr>
          <w:lang w:val="en-US"/>
        </w:rPr>
        <w:t xml:space="preserve">. </w:t>
      </w:r>
    </w:p>
    <w:p w14:paraId="4D994B95" w14:textId="2A8CD6C4" w:rsidR="00657871" w:rsidRPr="001558A5" w:rsidRDefault="000D72AA" w:rsidP="00945CE2">
      <w:pPr>
        <w:pStyle w:val="Prrafodelista"/>
        <w:numPr>
          <w:ilvl w:val="0"/>
          <w:numId w:val="2"/>
        </w:numPr>
        <w:spacing w:before="120" w:after="120"/>
        <w:ind w:left="0" w:firstLine="0"/>
        <w:contextualSpacing w:val="0"/>
        <w:rPr>
          <w:szCs w:val="20"/>
          <w:lang w:val="en-US"/>
        </w:rPr>
      </w:pPr>
      <w:r w:rsidRPr="001558A5">
        <w:rPr>
          <w:rFonts w:cs="Times New Roman"/>
          <w:szCs w:val="20"/>
          <w:lang w:val="en-US"/>
        </w:rPr>
        <w:t xml:space="preserve">On this point, it is relevant to recall that expert witness </w:t>
      </w:r>
      <w:r w:rsidR="00657871" w:rsidRPr="001558A5">
        <w:rPr>
          <w:rFonts w:cs="Times New Roman"/>
          <w:szCs w:val="20"/>
          <w:lang w:val="en-US"/>
        </w:rPr>
        <w:t xml:space="preserve">Carlos </w:t>
      </w:r>
      <w:proofErr w:type="spellStart"/>
      <w:r w:rsidR="00657871" w:rsidRPr="001558A5">
        <w:rPr>
          <w:rFonts w:cs="Times New Roman"/>
          <w:szCs w:val="20"/>
          <w:lang w:val="en-US"/>
        </w:rPr>
        <w:t>Zelada</w:t>
      </w:r>
      <w:proofErr w:type="spellEnd"/>
      <w:r w:rsidR="00657871" w:rsidRPr="001558A5">
        <w:rPr>
          <w:rFonts w:cs="Times New Roman"/>
          <w:szCs w:val="20"/>
          <w:lang w:val="en-US"/>
        </w:rPr>
        <w:t xml:space="preserve"> indic</w:t>
      </w:r>
      <w:r w:rsidRPr="001558A5">
        <w:rPr>
          <w:rFonts w:cs="Times New Roman"/>
          <w:szCs w:val="20"/>
          <w:lang w:val="en-US"/>
        </w:rPr>
        <w:t>ated, in relation to the time at which the facts of this case occurred, that there had been an exacerbation of the acts of lethal violence against LGBTI persons in Honduras that confirmed the particular danger faced by trans women sex workers</w:t>
      </w:r>
      <w:r w:rsidR="00824E1F" w:rsidRPr="001558A5">
        <w:rPr>
          <w:rFonts w:cs="Times New Roman"/>
          <w:szCs w:val="20"/>
          <w:lang w:val="en-US"/>
        </w:rPr>
        <w:t xml:space="preserve">. </w:t>
      </w:r>
      <w:r w:rsidRPr="001558A5">
        <w:rPr>
          <w:rFonts w:cs="Times New Roman"/>
          <w:szCs w:val="20"/>
          <w:lang w:val="en-US"/>
        </w:rPr>
        <w:t xml:space="preserve">He also explained that, </w:t>
      </w:r>
      <w:r w:rsidR="00B71A96" w:rsidRPr="001558A5">
        <w:rPr>
          <w:rFonts w:cs="Times New Roman"/>
          <w:szCs w:val="20"/>
          <w:lang w:val="en-US"/>
        </w:rPr>
        <w:t>at</w:t>
      </w:r>
      <w:r w:rsidRPr="001558A5">
        <w:rPr>
          <w:rFonts w:cs="Times New Roman"/>
          <w:szCs w:val="20"/>
          <w:lang w:val="en-US"/>
        </w:rPr>
        <w:t xml:space="preserve"> the end of 2009, the documented figures for this type of act were twice those of</w:t>
      </w:r>
      <w:r w:rsidR="00657871" w:rsidRPr="001558A5">
        <w:rPr>
          <w:rFonts w:cs="Times New Roman"/>
          <w:szCs w:val="20"/>
          <w:lang w:val="en-US"/>
        </w:rPr>
        <w:t xml:space="preserve"> 2008, </w:t>
      </w:r>
      <w:r w:rsidRPr="001558A5">
        <w:rPr>
          <w:rFonts w:cs="Times New Roman"/>
          <w:szCs w:val="20"/>
          <w:lang w:val="en-US"/>
        </w:rPr>
        <w:t>and three times those of</w:t>
      </w:r>
      <w:r w:rsidR="00657871" w:rsidRPr="001558A5">
        <w:rPr>
          <w:rFonts w:cs="Times New Roman"/>
          <w:szCs w:val="20"/>
          <w:lang w:val="en-US"/>
        </w:rPr>
        <w:t xml:space="preserve"> 2007,</w:t>
      </w:r>
      <w:r w:rsidR="00DD4354" w:rsidRPr="001558A5">
        <w:rPr>
          <w:rFonts w:cs="Times New Roman"/>
          <w:szCs w:val="20"/>
          <w:lang w:val="en-US"/>
        </w:rPr>
        <w:t xml:space="preserve"> and </w:t>
      </w:r>
      <w:r w:rsidRPr="001558A5">
        <w:rPr>
          <w:rFonts w:cs="Times New Roman"/>
          <w:szCs w:val="20"/>
          <w:lang w:val="en-US"/>
        </w:rPr>
        <w:t>were</w:t>
      </w:r>
      <w:r w:rsidR="00657871" w:rsidRPr="001558A5">
        <w:rPr>
          <w:rFonts w:cs="Times New Roman"/>
          <w:szCs w:val="20"/>
          <w:lang w:val="en-US"/>
        </w:rPr>
        <w:t xml:space="preserve"> </w:t>
      </w:r>
      <w:r w:rsidR="003B12A3" w:rsidRPr="001558A5">
        <w:rPr>
          <w:rFonts w:cs="Times New Roman"/>
          <w:szCs w:val="20"/>
          <w:lang w:val="en-US"/>
        </w:rPr>
        <w:t>“</w:t>
      </w:r>
      <w:r w:rsidR="00657871" w:rsidRPr="001558A5">
        <w:rPr>
          <w:rFonts w:cs="Times New Roman"/>
          <w:szCs w:val="20"/>
          <w:lang w:val="en-US"/>
        </w:rPr>
        <w:t>exponen</w:t>
      </w:r>
      <w:r w:rsidRPr="001558A5">
        <w:rPr>
          <w:rFonts w:cs="Times New Roman"/>
          <w:szCs w:val="20"/>
          <w:lang w:val="en-US"/>
        </w:rPr>
        <w:t xml:space="preserve">tially higher” than in previous years such as </w:t>
      </w:r>
      <w:r w:rsidR="00657871" w:rsidRPr="001558A5">
        <w:rPr>
          <w:rFonts w:cs="Times New Roman"/>
          <w:szCs w:val="20"/>
          <w:lang w:val="en-US"/>
        </w:rPr>
        <w:t>2005 o</w:t>
      </w:r>
      <w:r w:rsidRPr="001558A5">
        <w:rPr>
          <w:rFonts w:cs="Times New Roman"/>
          <w:szCs w:val="20"/>
          <w:lang w:val="en-US"/>
        </w:rPr>
        <w:t>r</w:t>
      </w:r>
      <w:r w:rsidR="00657871" w:rsidRPr="001558A5">
        <w:rPr>
          <w:rFonts w:cs="Times New Roman"/>
          <w:szCs w:val="20"/>
          <w:lang w:val="en-US"/>
        </w:rPr>
        <w:t xml:space="preserve"> 2006 (</w:t>
      </w:r>
      <w:r w:rsidR="00657871" w:rsidRPr="001558A5">
        <w:rPr>
          <w:rFonts w:cs="Times New Roman"/>
          <w:i/>
          <w:iCs/>
          <w:szCs w:val="20"/>
          <w:lang w:val="en-US"/>
        </w:rPr>
        <w:t>supra</w:t>
      </w:r>
      <w:r w:rsidR="00657871" w:rsidRPr="001558A5">
        <w:rPr>
          <w:rFonts w:cs="Times New Roman"/>
          <w:szCs w:val="20"/>
          <w:lang w:val="en-US"/>
        </w:rPr>
        <w:t xml:space="preserve"> </w:t>
      </w:r>
      <w:r w:rsidR="00B43A52" w:rsidRPr="001558A5">
        <w:rPr>
          <w:rFonts w:cs="Times New Roman"/>
          <w:szCs w:val="20"/>
          <w:lang w:val="en-US"/>
        </w:rPr>
        <w:t>para.</w:t>
      </w:r>
      <w:r w:rsidR="00657871" w:rsidRPr="001558A5">
        <w:rPr>
          <w:rFonts w:cs="Times New Roman"/>
          <w:szCs w:val="20"/>
          <w:lang w:val="en-US"/>
        </w:rPr>
        <w:t xml:space="preserve"> </w:t>
      </w:r>
      <w:r w:rsidR="00E03D9A" w:rsidRPr="001558A5">
        <w:rPr>
          <w:rFonts w:cs="Times New Roman"/>
          <w:szCs w:val="20"/>
          <w:lang w:val="en-US"/>
        </w:rPr>
        <w:t>32).</w:t>
      </w:r>
    </w:p>
    <w:p w14:paraId="71313F11" w14:textId="450F61F1" w:rsidR="006838DD" w:rsidRPr="001558A5" w:rsidRDefault="00686F75" w:rsidP="00686F75">
      <w:pPr>
        <w:numPr>
          <w:ilvl w:val="0"/>
          <w:numId w:val="2"/>
        </w:numPr>
        <w:pBdr>
          <w:top w:val="nil"/>
        </w:pBdr>
        <w:spacing w:before="120" w:after="120"/>
        <w:ind w:left="0" w:firstLine="0"/>
        <w:rPr>
          <w:szCs w:val="20"/>
          <w:lang w:val="en-US"/>
        </w:rPr>
      </w:pPr>
      <w:r w:rsidRPr="001558A5">
        <w:rPr>
          <w:szCs w:val="20"/>
          <w:lang w:val="en-US"/>
        </w:rPr>
        <w:t>Furthermore, it is illustrative to reiterate that the Police failed to investigate the acts of violence reported by</w:t>
      </w:r>
      <w:r w:rsidR="00E30BDF" w:rsidRPr="001558A5">
        <w:rPr>
          <w:szCs w:val="20"/>
          <w:lang w:val="en-US"/>
        </w:rPr>
        <w:t xml:space="preserve"> Vicky Hernández </w:t>
      </w:r>
      <w:r w:rsidRPr="001558A5">
        <w:rPr>
          <w:szCs w:val="20"/>
          <w:lang w:val="en-US"/>
        </w:rPr>
        <w:t>and by the</w:t>
      </w:r>
      <w:r w:rsidR="00E30BDF" w:rsidRPr="001558A5">
        <w:rPr>
          <w:szCs w:val="20"/>
          <w:lang w:val="en-US"/>
        </w:rPr>
        <w:t xml:space="preserve"> </w:t>
      </w:r>
      <w:proofErr w:type="spellStart"/>
      <w:r w:rsidR="00E30BDF" w:rsidRPr="001558A5">
        <w:rPr>
          <w:i/>
          <w:iCs/>
          <w:szCs w:val="20"/>
          <w:lang w:val="en-US"/>
        </w:rPr>
        <w:t>Colectivo</w:t>
      </w:r>
      <w:proofErr w:type="spellEnd"/>
      <w:r w:rsidR="00E30BDF" w:rsidRPr="001558A5">
        <w:rPr>
          <w:i/>
          <w:iCs/>
          <w:szCs w:val="20"/>
          <w:lang w:val="en-US"/>
        </w:rPr>
        <w:t xml:space="preserve"> </w:t>
      </w:r>
      <w:proofErr w:type="spellStart"/>
      <w:r w:rsidR="00E30BDF" w:rsidRPr="001558A5">
        <w:rPr>
          <w:i/>
          <w:iCs/>
          <w:szCs w:val="20"/>
          <w:lang w:val="en-US"/>
        </w:rPr>
        <w:t>Unidad</w:t>
      </w:r>
      <w:proofErr w:type="spellEnd"/>
      <w:r w:rsidR="00E30BDF" w:rsidRPr="001558A5">
        <w:rPr>
          <w:i/>
          <w:iCs/>
          <w:szCs w:val="20"/>
          <w:lang w:val="en-US"/>
        </w:rPr>
        <w:t xml:space="preserve"> Color Rosa</w:t>
      </w:r>
      <w:r w:rsidRPr="001558A5">
        <w:rPr>
          <w:szCs w:val="20"/>
          <w:lang w:val="en-US"/>
        </w:rPr>
        <w:t xml:space="preserve">. For example, </w:t>
      </w:r>
      <w:r w:rsidR="00B71A96" w:rsidRPr="001558A5">
        <w:rPr>
          <w:szCs w:val="20"/>
          <w:lang w:val="en-US"/>
        </w:rPr>
        <w:t xml:space="preserve">there is no record that </w:t>
      </w:r>
      <w:r w:rsidRPr="001558A5">
        <w:rPr>
          <w:szCs w:val="20"/>
          <w:lang w:val="en-US"/>
        </w:rPr>
        <w:t xml:space="preserve">the complaint filed </w:t>
      </w:r>
      <w:r w:rsidR="00B71A96" w:rsidRPr="001558A5">
        <w:rPr>
          <w:szCs w:val="20"/>
          <w:lang w:val="en-US"/>
        </w:rPr>
        <w:t xml:space="preserve">by </w:t>
      </w:r>
      <w:r w:rsidRPr="001558A5">
        <w:rPr>
          <w:szCs w:val="20"/>
          <w:lang w:val="en-US"/>
        </w:rPr>
        <w:t xml:space="preserve">Vicky Hernández </w:t>
      </w:r>
      <w:r w:rsidR="00B71A96" w:rsidRPr="001558A5">
        <w:rPr>
          <w:szCs w:val="20"/>
          <w:lang w:val="en-US"/>
        </w:rPr>
        <w:t>after she had been</w:t>
      </w:r>
      <w:r w:rsidRPr="001558A5">
        <w:rPr>
          <w:szCs w:val="20"/>
          <w:lang w:val="en-US"/>
        </w:rPr>
        <w:t xml:space="preserve"> assaulted by a security guard</w:t>
      </w:r>
      <w:r w:rsidR="00B71A96" w:rsidRPr="001558A5">
        <w:rPr>
          <w:szCs w:val="20"/>
          <w:lang w:val="en-US"/>
        </w:rPr>
        <w:t xml:space="preserve"> </w:t>
      </w:r>
      <w:r w:rsidRPr="001558A5">
        <w:rPr>
          <w:szCs w:val="20"/>
          <w:lang w:val="en-US"/>
        </w:rPr>
        <w:t>was investigated (</w:t>
      </w:r>
      <w:r w:rsidRPr="001558A5">
        <w:rPr>
          <w:i/>
          <w:iCs/>
          <w:szCs w:val="20"/>
          <w:lang w:val="en-US"/>
        </w:rPr>
        <w:t>supra</w:t>
      </w:r>
      <w:r w:rsidRPr="001558A5">
        <w:rPr>
          <w:szCs w:val="20"/>
          <w:lang w:val="en-US"/>
        </w:rPr>
        <w:t xml:space="preserve"> para. 41). </w:t>
      </w:r>
      <w:r w:rsidR="00BA7C6E" w:rsidRPr="001558A5">
        <w:rPr>
          <w:szCs w:val="20"/>
          <w:lang w:val="en-US"/>
        </w:rPr>
        <w:t>W</w:t>
      </w:r>
      <w:r w:rsidRPr="001558A5">
        <w:rPr>
          <w:szCs w:val="20"/>
          <w:lang w:val="en-US"/>
        </w:rPr>
        <w:t xml:space="preserve">itness </w:t>
      </w:r>
      <w:r w:rsidR="00E30BDF" w:rsidRPr="001558A5">
        <w:rPr>
          <w:szCs w:val="20"/>
          <w:lang w:val="en-US"/>
        </w:rPr>
        <w:t xml:space="preserve">Claudia </w:t>
      </w:r>
      <w:proofErr w:type="spellStart"/>
      <w:r w:rsidR="00E30BDF" w:rsidRPr="001558A5">
        <w:rPr>
          <w:szCs w:val="20"/>
          <w:lang w:val="en-US"/>
        </w:rPr>
        <w:t>Spellmant</w:t>
      </w:r>
      <w:proofErr w:type="spellEnd"/>
      <w:r w:rsidR="00E30BDF" w:rsidRPr="001558A5">
        <w:rPr>
          <w:szCs w:val="20"/>
          <w:lang w:val="en-US"/>
        </w:rPr>
        <w:t xml:space="preserve"> Sosa indic</w:t>
      </w:r>
      <w:r w:rsidRPr="001558A5">
        <w:rPr>
          <w:szCs w:val="20"/>
          <w:lang w:val="en-US"/>
        </w:rPr>
        <w:t xml:space="preserve">ated that one of the aims of the </w:t>
      </w:r>
      <w:proofErr w:type="spellStart"/>
      <w:r w:rsidR="00E30BDF" w:rsidRPr="001558A5">
        <w:rPr>
          <w:i/>
          <w:iCs/>
          <w:szCs w:val="20"/>
          <w:lang w:val="en-US"/>
        </w:rPr>
        <w:t>Colectivo</w:t>
      </w:r>
      <w:proofErr w:type="spellEnd"/>
      <w:r w:rsidR="00E30BDF" w:rsidRPr="001558A5">
        <w:rPr>
          <w:i/>
          <w:iCs/>
          <w:szCs w:val="20"/>
          <w:lang w:val="en-US"/>
        </w:rPr>
        <w:t xml:space="preserve"> </w:t>
      </w:r>
      <w:proofErr w:type="spellStart"/>
      <w:r w:rsidR="00E30BDF" w:rsidRPr="001558A5">
        <w:rPr>
          <w:i/>
          <w:iCs/>
          <w:szCs w:val="20"/>
          <w:lang w:val="en-US"/>
        </w:rPr>
        <w:t>Unidad</w:t>
      </w:r>
      <w:proofErr w:type="spellEnd"/>
      <w:r w:rsidR="00E30BDF" w:rsidRPr="001558A5">
        <w:rPr>
          <w:i/>
          <w:iCs/>
          <w:szCs w:val="20"/>
          <w:lang w:val="en-US"/>
        </w:rPr>
        <w:t xml:space="preserve"> Color Rosa</w:t>
      </w:r>
      <w:r w:rsidR="00E30BDF" w:rsidRPr="001558A5">
        <w:rPr>
          <w:szCs w:val="20"/>
          <w:lang w:val="en-US"/>
        </w:rPr>
        <w:t xml:space="preserve"> </w:t>
      </w:r>
      <w:r w:rsidRPr="001558A5">
        <w:rPr>
          <w:szCs w:val="20"/>
          <w:lang w:val="en-US"/>
        </w:rPr>
        <w:t xml:space="preserve">was to file and </w:t>
      </w:r>
      <w:r w:rsidR="00BA7C6E" w:rsidRPr="001558A5">
        <w:rPr>
          <w:szCs w:val="20"/>
          <w:lang w:val="en-US"/>
        </w:rPr>
        <w:t>monitor</w:t>
      </w:r>
      <w:r w:rsidRPr="001558A5">
        <w:rPr>
          <w:szCs w:val="20"/>
          <w:lang w:val="en-US"/>
        </w:rPr>
        <w:t xml:space="preserve"> complaints because the Police did not want to receive the</w:t>
      </w:r>
      <w:r w:rsidR="00B71A96" w:rsidRPr="001558A5">
        <w:rPr>
          <w:szCs w:val="20"/>
          <w:lang w:val="en-US"/>
        </w:rPr>
        <w:t>m</w:t>
      </w:r>
      <w:r w:rsidRPr="001558A5">
        <w:rPr>
          <w:szCs w:val="20"/>
          <w:lang w:val="en-US"/>
        </w:rPr>
        <w:t xml:space="preserve"> because they considered that sex work was unlawful</w:t>
      </w:r>
      <w:r w:rsidR="00B71A96" w:rsidRPr="001558A5">
        <w:rPr>
          <w:szCs w:val="20"/>
          <w:lang w:val="en-US"/>
        </w:rPr>
        <w:t>;</w:t>
      </w:r>
      <w:r w:rsidR="00BA7C6E" w:rsidRPr="001558A5">
        <w:rPr>
          <w:szCs w:val="20"/>
          <w:lang w:val="en-US"/>
        </w:rPr>
        <w:t xml:space="preserve"> therefore, such complaints were never followed up on.</w:t>
      </w:r>
      <w:r w:rsidR="006838DD" w:rsidRPr="001558A5">
        <w:rPr>
          <w:rStyle w:val="Refdenotaalpie"/>
          <w:lang w:val="en-US"/>
        </w:rPr>
        <w:footnoteReference w:id="122"/>
      </w:r>
    </w:p>
    <w:p w14:paraId="0CDEC69D" w14:textId="0B8AF83C" w:rsidR="000F0785" w:rsidRPr="001558A5" w:rsidRDefault="00BA7C6E" w:rsidP="00BA7C6E">
      <w:pPr>
        <w:numPr>
          <w:ilvl w:val="0"/>
          <w:numId w:val="2"/>
        </w:numPr>
        <w:pBdr>
          <w:top w:val="nil"/>
        </w:pBdr>
        <w:spacing w:before="120" w:after="120"/>
        <w:ind w:left="0" w:firstLine="0"/>
        <w:rPr>
          <w:szCs w:val="20"/>
          <w:lang w:val="en-US"/>
        </w:rPr>
      </w:pPr>
      <w:r w:rsidRPr="001558A5">
        <w:rPr>
          <w:szCs w:val="20"/>
          <w:lang w:val="en-US"/>
        </w:rPr>
        <w:t>In this regard, the Court has repeatedly indicated that the State has the legal obligation “to take reasonable steps to prevent human rights violations and to use the means at its disposal to conduct a serious investigation of the violations committed within its jurisdiction in order to identify those responsible, impose the appropriate punishments and make adequate reparation to the victim.</w:t>
      </w:r>
      <w:r w:rsidR="000F0785" w:rsidRPr="001558A5">
        <w:rPr>
          <w:spacing w:val="-2"/>
          <w:szCs w:val="20"/>
          <w:lang w:val="en-US"/>
        </w:rPr>
        <w:t>”</w:t>
      </w:r>
      <w:r w:rsidR="000F0785" w:rsidRPr="001558A5">
        <w:rPr>
          <w:rStyle w:val="Refdenotaalpie"/>
          <w:spacing w:val="-2"/>
          <w:lang w:val="en-US"/>
        </w:rPr>
        <w:footnoteReference w:id="123"/>
      </w:r>
      <w:r w:rsidRPr="001558A5">
        <w:rPr>
          <w:spacing w:val="-2"/>
          <w:szCs w:val="20"/>
          <w:lang w:val="en-US"/>
        </w:rPr>
        <w:t xml:space="preserve"> Among other measures, this includes “establish[</w:t>
      </w:r>
      <w:proofErr w:type="spellStart"/>
      <w:r w:rsidRPr="001558A5">
        <w:rPr>
          <w:spacing w:val="-2"/>
          <w:szCs w:val="20"/>
          <w:lang w:val="en-US"/>
        </w:rPr>
        <w:t>ing</w:t>
      </w:r>
      <w:proofErr w:type="spellEnd"/>
      <w:r w:rsidRPr="001558A5">
        <w:rPr>
          <w:spacing w:val="-2"/>
          <w:szCs w:val="20"/>
          <w:lang w:val="en-US"/>
        </w:rPr>
        <w:t>] an effective system of justice capable of investigating, punish</w:t>
      </w:r>
      <w:r w:rsidR="006B446B" w:rsidRPr="001558A5">
        <w:rPr>
          <w:spacing w:val="-2"/>
          <w:szCs w:val="20"/>
          <w:lang w:val="en-US"/>
        </w:rPr>
        <w:t>ing,</w:t>
      </w:r>
      <w:r w:rsidRPr="001558A5">
        <w:rPr>
          <w:spacing w:val="-2"/>
          <w:szCs w:val="20"/>
          <w:lang w:val="en-US"/>
        </w:rPr>
        <w:t xml:space="preserve"> and providing reparation for the deprivation of life by state agents or private individuals.</w:t>
      </w:r>
      <w:r w:rsidR="00805988" w:rsidRPr="001558A5">
        <w:rPr>
          <w:rFonts w:cs="Verdana"/>
          <w:szCs w:val="20"/>
          <w:lang w:val="en-US"/>
        </w:rPr>
        <w:t>”</w:t>
      </w:r>
      <w:r w:rsidR="000F0785" w:rsidRPr="001558A5">
        <w:rPr>
          <w:rStyle w:val="Refdenotaalpie"/>
          <w:lang w:val="en-US"/>
        </w:rPr>
        <w:footnoteReference w:id="124"/>
      </w:r>
    </w:p>
    <w:p w14:paraId="248439AE" w14:textId="4A0469B0" w:rsidR="0097609E" w:rsidRPr="001558A5" w:rsidRDefault="0048174C" w:rsidP="0048174C">
      <w:pPr>
        <w:widowControl w:val="0"/>
        <w:numPr>
          <w:ilvl w:val="0"/>
          <w:numId w:val="2"/>
        </w:numPr>
        <w:tabs>
          <w:tab w:val="left" w:pos="720"/>
        </w:tabs>
        <w:spacing w:before="120" w:after="120"/>
        <w:ind w:left="0" w:firstLine="0"/>
        <w:rPr>
          <w:rFonts w:cs="Arial"/>
          <w:szCs w:val="20"/>
          <w:lang w:val="en-US"/>
        </w:rPr>
      </w:pPr>
      <w:r w:rsidRPr="001558A5">
        <w:rPr>
          <w:rFonts w:cs="Verdana"/>
          <w:szCs w:val="20"/>
          <w:lang w:val="en-US"/>
        </w:rPr>
        <w:t xml:space="preserve">The Court has also underscored that the investigation of cases of violation of the right to life is </w:t>
      </w:r>
      <w:r w:rsidR="006B446B" w:rsidRPr="001558A5">
        <w:rPr>
          <w:rFonts w:cs="Verdana"/>
          <w:szCs w:val="20"/>
          <w:lang w:val="en-US"/>
        </w:rPr>
        <w:t xml:space="preserve">an </w:t>
      </w:r>
      <w:r w:rsidRPr="001558A5">
        <w:rPr>
          <w:rFonts w:cs="Verdana"/>
          <w:szCs w:val="20"/>
          <w:lang w:val="en-US"/>
        </w:rPr>
        <w:t>essential element when determining the</w:t>
      </w:r>
      <w:r w:rsidR="006B446B" w:rsidRPr="001558A5">
        <w:rPr>
          <w:rFonts w:cs="Verdana"/>
          <w:szCs w:val="20"/>
          <w:lang w:val="en-US"/>
        </w:rPr>
        <w:t xml:space="preserve"> State’s</w:t>
      </w:r>
      <w:r w:rsidRPr="001558A5">
        <w:rPr>
          <w:rFonts w:cs="Verdana"/>
          <w:szCs w:val="20"/>
          <w:lang w:val="en-US"/>
        </w:rPr>
        <w:t xml:space="preserve"> international responsibility and that this obligation results from the guarantee under Article 1(1) of the Convention; moreover, if it is proved that there has been a shortcoming or flaw in the investigation that has </w:t>
      </w:r>
      <w:r w:rsidR="006B446B" w:rsidRPr="001558A5">
        <w:rPr>
          <w:rFonts w:cs="Verdana"/>
          <w:szCs w:val="20"/>
          <w:lang w:val="en-US"/>
        </w:rPr>
        <w:t>reduced</w:t>
      </w:r>
      <w:r w:rsidRPr="001558A5">
        <w:rPr>
          <w:rFonts w:cs="Verdana"/>
          <w:szCs w:val="20"/>
          <w:lang w:val="en-US"/>
        </w:rPr>
        <w:t xml:space="preserve"> the possibility of establishing the cause of death or identifying those responsible, this will mean that the obligation to protect the right to life has not been met.</w:t>
      </w:r>
      <w:r w:rsidR="000F0785" w:rsidRPr="001558A5">
        <w:rPr>
          <w:rStyle w:val="Refdenotaalpie"/>
          <w:lang w:val="en-US"/>
        </w:rPr>
        <w:footnoteReference w:id="125"/>
      </w:r>
      <w:r w:rsidR="000F0785" w:rsidRPr="001558A5">
        <w:rPr>
          <w:rFonts w:cs="Verdana"/>
          <w:szCs w:val="20"/>
          <w:lang w:val="en-US"/>
        </w:rPr>
        <w:t xml:space="preserve"> </w:t>
      </w:r>
      <w:r w:rsidRPr="001558A5">
        <w:rPr>
          <w:rFonts w:cs="Verdana"/>
          <w:szCs w:val="20"/>
          <w:lang w:val="en-US"/>
        </w:rPr>
        <w:t xml:space="preserve">Similarly, the Court has indicated that the absence of </w:t>
      </w:r>
      <w:r w:rsidR="00A93FA7" w:rsidRPr="001558A5">
        <w:rPr>
          <w:rFonts w:cs="Verdana"/>
          <w:szCs w:val="20"/>
          <w:lang w:val="en-US"/>
        </w:rPr>
        <w:t>effective mechanisms to investigate violation</w:t>
      </w:r>
      <w:r w:rsidR="00AB368C" w:rsidRPr="001558A5">
        <w:rPr>
          <w:rFonts w:cs="Verdana"/>
          <w:szCs w:val="20"/>
          <w:lang w:val="en-US"/>
        </w:rPr>
        <w:t>s</w:t>
      </w:r>
      <w:r w:rsidR="00A93FA7" w:rsidRPr="001558A5">
        <w:rPr>
          <w:rFonts w:cs="Verdana"/>
          <w:szCs w:val="20"/>
          <w:lang w:val="en-US"/>
        </w:rPr>
        <w:t xml:space="preserve"> of the right to life and the incapacity of </w:t>
      </w:r>
      <w:r w:rsidR="006B446B" w:rsidRPr="001558A5">
        <w:rPr>
          <w:rFonts w:cs="Verdana"/>
          <w:szCs w:val="20"/>
          <w:lang w:val="en-US"/>
        </w:rPr>
        <w:t xml:space="preserve">the </w:t>
      </w:r>
      <w:r w:rsidR="00A93FA7" w:rsidRPr="001558A5">
        <w:rPr>
          <w:rFonts w:cs="Verdana"/>
          <w:szCs w:val="20"/>
          <w:lang w:val="en-US"/>
        </w:rPr>
        <w:t xml:space="preserve">system of justice to address such violations may </w:t>
      </w:r>
      <w:r w:rsidR="00AB368C" w:rsidRPr="001558A5">
        <w:rPr>
          <w:rFonts w:cs="Verdana"/>
          <w:szCs w:val="20"/>
          <w:lang w:val="en-US"/>
        </w:rPr>
        <w:t xml:space="preserve">foster </w:t>
      </w:r>
      <w:r w:rsidR="00A93FA7" w:rsidRPr="001558A5">
        <w:rPr>
          <w:rFonts w:cs="Verdana"/>
          <w:szCs w:val="20"/>
          <w:lang w:val="en-US"/>
        </w:rPr>
        <w:t xml:space="preserve">a climate of impunity in the States </w:t>
      </w:r>
      <w:r w:rsidR="00AB368C" w:rsidRPr="001558A5">
        <w:rPr>
          <w:rFonts w:cs="Verdana"/>
          <w:szCs w:val="20"/>
          <w:lang w:val="en-US"/>
        </w:rPr>
        <w:t xml:space="preserve">in this regard </w:t>
      </w:r>
      <w:r w:rsidR="00A93FA7" w:rsidRPr="001558A5">
        <w:rPr>
          <w:rFonts w:cs="Verdana"/>
          <w:szCs w:val="20"/>
          <w:lang w:val="en-US"/>
        </w:rPr>
        <w:t>and, in certain contexts and circumstances, may result in general situations or significant patterns of impunity</w:t>
      </w:r>
      <w:r w:rsidR="006B446B" w:rsidRPr="001558A5">
        <w:rPr>
          <w:rFonts w:cs="Verdana"/>
          <w:szCs w:val="20"/>
          <w:lang w:val="en-US"/>
        </w:rPr>
        <w:t>,</w:t>
      </w:r>
      <w:r w:rsidR="00AB368C" w:rsidRPr="001558A5">
        <w:rPr>
          <w:rFonts w:cs="Verdana"/>
          <w:szCs w:val="20"/>
          <w:lang w:val="en-US"/>
        </w:rPr>
        <w:t xml:space="preserve"> thereby encouraging and perpetuating the repetition of such violations.</w:t>
      </w:r>
      <w:r w:rsidR="000F0785" w:rsidRPr="001558A5">
        <w:rPr>
          <w:rStyle w:val="Refdenotaalpie"/>
          <w:lang w:val="en-US"/>
        </w:rPr>
        <w:footnoteReference w:id="126"/>
      </w:r>
      <w:r w:rsidR="0097609E" w:rsidRPr="001558A5">
        <w:rPr>
          <w:rFonts w:cs="Verdana"/>
          <w:szCs w:val="20"/>
          <w:lang w:val="en-US"/>
        </w:rPr>
        <w:t xml:space="preserve"> </w:t>
      </w:r>
    </w:p>
    <w:p w14:paraId="46A13439" w14:textId="6BE2DF77" w:rsidR="000F0785" w:rsidRPr="001558A5" w:rsidRDefault="006B446B" w:rsidP="00AB368C">
      <w:pPr>
        <w:widowControl w:val="0"/>
        <w:numPr>
          <w:ilvl w:val="0"/>
          <w:numId w:val="2"/>
        </w:numPr>
        <w:tabs>
          <w:tab w:val="left" w:pos="720"/>
        </w:tabs>
        <w:spacing w:before="120" w:after="120"/>
        <w:ind w:left="0" w:firstLine="0"/>
        <w:rPr>
          <w:rFonts w:cs="Arial"/>
          <w:szCs w:val="20"/>
          <w:lang w:val="en-US"/>
        </w:rPr>
      </w:pPr>
      <w:r w:rsidRPr="001558A5">
        <w:rPr>
          <w:rFonts w:cs="Verdana"/>
          <w:szCs w:val="20"/>
          <w:lang w:val="en-US"/>
        </w:rPr>
        <w:t>Furthermore</w:t>
      </w:r>
      <w:r w:rsidR="00AB368C" w:rsidRPr="001558A5">
        <w:rPr>
          <w:rFonts w:cs="Verdana"/>
          <w:szCs w:val="20"/>
          <w:lang w:val="en-US"/>
        </w:rPr>
        <w:t xml:space="preserve">, States have the enhanced obligation to investigate violations of the rights of human rights defenders, such as groups that defend the rights of LGBTI persons and trans women, especially when such violations take place in the context of a curfew when law enforcement </w:t>
      </w:r>
      <w:r w:rsidRPr="001558A5">
        <w:rPr>
          <w:rFonts w:cs="Verdana"/>
          <w:szCs w:val="20"/>
          <w:lang w:val="en-US"/>
        </w:rPr>
        <w:t>agents</w:t>
      </w:r>
      <w:r w:rsidR="00AB368C" w:rsidRPr="001558A5">
        <w:rPr>
          <w:rFonts w:cs="Verdana"/>
          <w:szCs w:val="20"/>
          <w:lang w:val="en-US"/>
        </w:rPr>
        <w:t xml:space="preserve"> are the only persons authorized to circulate on the streets.</w:t>
      </w:r>
      <w:r w:rsidR="0097609E" w:rsidRPr="001558A5">
        <w:rPr>
          <w:vertAlign w:val="superscript"/>
          <w:lang w:val="en-US"/>
        </w:rPr>
        <w:footnoteReference w:id="127"/>
      </w:r>
      <w:r w:rsidR="0097609E" w:rsidRPr="001558A5">
        <w:rPr>
          <w:szCs w:val="20"/>
          <w:lang w:val="en-US"/>
        </w:rPr>
        <w:t xml:space="preserve"> </w:t>
      </w:r>
    </w:p>
    <w:p w14:paraId="7DED50AC" w14:textId="20C23729" w:rsidR="009A4331" w:rsidRPr="001558A5" w:rsidRDefault="00AB368C" w:rsidP="00E41BBC">
      <w:pPr>
        <w:numPr>
          <w:ilvl w:val="0"/>
          <w:numId w:val="2"/>
        </w:numPr>
        <w:pBdr>
          <w:top w:val="nil"/>
        </w:pBdr>
        <w:spacing w:before="120" w:after="120"/>
        <w:ind w:left="0" w:firstLine="0"/>
        <w:rPr>
          <w:szCs w:val="20"/>
          <w:lang w:val="en-US"/>
        </w:rPr>
      </w:pPr>
      <w:r w:rsidRPr="001558A5">
        <w:rPr>
          <w:lang w:val="en-US"/>
        </w:rPr>
        <w:t>The Court recalls that the</w:t>
      </w:r>
      <w:r w:rsidR="006B446B" w:rsidRPr="001558A5">
        <w:rPr>
          <w:lang w:val="en-US"/>
        </w:rPr>
        <w:t xml:space="preserve"> State’s</w:t>
      </w:r>
      <w:r w:rsidRPr="001558A5">
        <w:rPr>
          <w:lang w:val="en-US"/>
        </w:rPr>
        <w:t xml:space="preserve"> responsibility for </w:t>
      </w:r>
      <w:r w:rsidR="006B446B" w:rsidRPr="001558A5">
        <w:rPr>
          <w:lang w:val="en-US"/>
        </w:rPr>
        <w:t xml:space="preserve">the </w:t>
      </w:r>
      <w:r w:rsidRPr="001558A5">
        <w:rPr>
          <w:lang w:val="en-US"/>
        </w:rPr>
        <w:t xml:space="preserve">acts of state agents or private individuals </w:t>
      </w:r>
      <w:r w:rsidR="006B446B" w:rsidRPr="001558A5">
        <w:rPr>
          <w:lang w:val="en-US"/>
        </w:rPr>
        <w:t>must</w:t>
      </w:r>
      <w:r w:rsidRPr="001558A5">
        <w:rPr>
          <w:lang w:val="en-US"/>
        </w:rPr>
        <w:t xml:space="preserve"> be determined based on the particularities and circumstances of each case.</w:t>
      </w:r>
      <w:r w:rsidR="009A4331" w:rsidRPr="001558A5">
        <w:rPr>
          <w:rStyle w:val="Refdenotaalpie"/>
          <w:lang w:val="en-US"/>
        </w:rPr>
        <w:footnoteReference w:id="128"/>
      </w:r>
      <w:r w:rsidRPr="001558A5">
        <w:rPr>
          <w:lang w:val="en-US"/>
        </w:rPr>
        <w:t xml:space="preserve"> Also, as regard</w:t>
      </w:r>
      <w:r w:rsidR="00E41BBC" w:rsidRPr="001558A5">
        <w:rPr>
          <w:lang w:val="en-US"/>
        </w:rPr>
        <w:t>s</w:t>
      </w:r>
      <w:r w:rsidRPr="001558A5">
        <w:rPr>
          <w:lang w:val="en-US"/>
        </w:rPr>
        <w:t xml:space="preserve"> the circumstantial evidence, indic</w:t>
      </w:r>
      <w:r w:rsidR="00E41BBC" w:rsidRPr="001558A5">
        <w:rPr>
          <w:lang w:val="en-US"/>
        </w:rPr>
        <w:t>ia</w:t>
      </w:r>
      <w:r w:rsidRPr="001558A5">
        <w:rPr>
          <w:lang w:val="en-US"/>
        </w:rPr>
        <w:t xml:space="preserve"> and presumptions</w:t>
      </w:r>
      <w:r w:rsidR="00E41BBC" w:rsidRPr="001558A5">
        <w:rPr>
          <w:lang w:val="en-US"/>
        </w:rPr>
        <w:t xml:space="preserve"> that may point to contexts of human rights violations similar to those that occurred in the instant case, these may be used provided they lead to conclusions consistent with the facts.</w:t>
      </w:r>
      <w:r w:rsidR="009A4331" w:rsidRPr="001558A5">
        <w:rPr>
          <w:vertAlign w:val="superscript"/>
          <w:lang w:val="en-US"/>
        </w:rPr>
        <w:footnoteReference w:id="129"/>
      </w:r>
      <w:r w:rsidR="009A4331" w:rsidRPr="001558A5">
        <w:rPr>
          <w:lang w:val="en-US"/>
        </w:rPr>
        <w:t xml:space="preserve"> </w:t>
      </w:r>
    </w:p>
    <w:p w14:paraId="1E0BAC16" w14:textId="56D49BC4" w:rsidR="000F0785" w:rsidRPr="001558A5" w:rsidRDefault="00E41BBC" w:rsidP="00560831">
      <w:pPr>
        <w:numPr>
          <w:ilvl w:val="0"/>
          <w:numId w:val="2"/>
        </w:numPr>
        <w:pBdr>
          <w:top w:val="nil"/>
        </w:pBdr>
        <w:spacing w:before="120" w:after="120"/>
        <w:ind w:left="0" w:firstLine="0"/>
        <w:rPr>
          <w:szCs w:val="20"/>
          <w:lang w:val="en-US"/>
        </w:rPr>
      </w:pPr>
      <w:r w:rsidRPr="001558A5">
        <w:rPr>
          <w:szCs w:val="20"/>
          <w:lang w:val="en-US"/>
        </w:rPr>
        <w:t>In the instant case</w:t>
      </w:r>
      <w:r w:rsidR="000F0785" w:rsidRPr="001558A5">
        <w:rPr>
          <w:szCs w:val="20"/>
          <w:lang w:val="en-US"/>
        </w:rPr>
        <w:t xml:space="preserve">, </w:t>
      </w:r>
      <w:r w:rsidR="00871E19" w:rsidRPr="001558A5">
        <w:rPr>
          <w:szCs w:val="20"/>
          <w:lang w:val="en-US"/>
        </w:rPr>
        <w:t>the Court</w:t>
      </w:r>
      <w:r w:rsidR="00BD678F" w:rsidRPr="001558A5">
        <w:rPr>
          <w:szCs w:val="20"/>
          <w:lang w:val="en-US"/>
        </w:rPr>
        <w:t xml:space="preserve"> </w:t>
      </w:r>
      <w:r w:rsidRPr="001558A5">
        <w:rPr>
          <w:szCs w:val="20"/>
          <w:lang w:val="en-US"/>
        </w:rPr>
        <w:t>notes that, although it is not possible to determine</w:t>
      </w:r>
      <w:r w:rsidR="00560831" w:rsidRPr="001558A5">
        <w:rPr>
          <w:szCs w:val="20"/>
          <w:lang w:val="en-US"/>
        </w:rPr>
        <w:t xml:space="preserve"> </w:t>
      </w:r>
      <w:r w:rsidRPr="001558A5">
        <w:rPr>
          <w:szCs w:val="20"/>
          <w:lang w:val="en-US"/>
        </w:rPr>
        <w:t xml:space="preserve">with complete certainty that police officers were implicated in the facts of the case, there are various indicia of the participation of state agents in those facts that, added to the context of violence against the LGBTI community and, in particular, against trans women sex workers, points to the State’s responsibility for </w:t>
      </w:r>
      <w:r w:rsidR="006B446B" w:rsidRPr="001558A5">
        <w:rPr>
          <w:szCs w:val="20"/>
          <w:lang w:val="en-US"/>
        </w:rPr>
        <w:t>the</w:t>
      </w:r>
      <w:r w:rsidRPr="001558A5">
        <w:rPr>
          <w:szCs w:val="20"/>
          <w:lang w:val="en-US"/>
        </w:rPr>
        <w:t xml:space="preserve"> violation of the right</w:t>
      </w:r>
      <w:r w:rsidR="006B446B" w:rsidRPr="001558A5">
        <w:rPr>
          <w:szCs w:val="20"/>
          <w:lang w:val="en-US"/>
        </w:rPr>
        <w:t>s</w:t>
      </w:r>
      <w:r w:rsidRPr="001558A5">
        <w:rPr>
          <w:szCs w:val="20"/>
          <w:lang w:val="en-US"/>
        </w:rPr>
        <w:t xml:space="preserve"> to life and integrity of Vicky Hernández.</w:t>
      </w:r>
      <w:r w:rsidR="00560831" w:rsidRPr="001558A5">
        <w:rPr>
          <w:szCs w:val="20"/>
          <w:lang w:val="en-US"/>
        </w:rPr>
        <w:t xml:space="preserve"> As noted in this chapter, these indicia are as follows: (</w:t>
      </w:r>
      <w:r w:rsidR="006B309F" w:rsidRPr="001558A5">
        <w:rPr>
          <w:szCs w:val="20"/>
          <w:lang w:val="en-US"/>
        </w:rPr>
        <w:t xml:space="preserve">a) </w:t>
      </w:r>
      <w:r w:rsidR="00C30793" w:rsidRPr="001558A5">
        <w:rPr>
          <w:szCs w:val="20"/>
          <w:lang w:val="en-US"/>
        </w:rPr>
        <w:t xml:space="preserve">Vicky Hernández </w:t>
      </w:r>
      <w:r w:rsidR="00560831" w:rsidRPr="001558A5">
        <w:rPr>
          <w:szCs w:val="20"/>
          <w:lang w:val="en-US"/>
        </w:rPr>
        <w:t xml:space="preserve">was murdered when there was a curfew with </w:t>
      </w:r>
      <w:r w:rsidR="006B446B" w:rsidRPr="001558A5">
        <w:rPr>
          <w:szCs w:val="20"/>
          <w:lang w:val="en-US"/>
        </w:rPr>
        <w:t xml:space="preserve">a </w:t>
      </w:r>
      <w:r w:rsidR="00560831" w:rsidRPr="001558A5">
        <w:rPr>
          <w:szCs w:val="20"/>
          <w:lang w:val="en-US"/>
        </w:rPr>
        <w:t>heavy and exclusive military and police presence and control o</w:t>
      </w:r>
      <w:r w:rsidR="006B446B" w:rsidRPr="001558A5">
        <w:rPr>
          <w:szCs w:val="20"/>
          <w:lang w:val="en-US"/>
        </w:rPr>
        <w:t>f</w:t>
      </w:r>
      <w:r w:rsidR="00560831" w:rsidRPr="001558A5">
        <w:rPr>
          <w:szCs w:val="20"/>
          <w:lang w:val="en-US"/>
        </w:rPr>
        <w:t xml:space="preserve"> the streets</w:t>
      </w:r>
      <w:r w:rsidR="00C30793" w:rsidRPr="001558A5">
        <w:rPr>
          <w:szCs w:val="20"/>
          <w:lang w:val="en-US"/>
        </w:rPr>
        <w:t xml:space="preserve"> (</w:t>
      </w:r>
      <w:r w:rsidR="00C30793" w:rsidRPr="001558A5">
        <w:rPr>
          <w:i/>
          <w:iCs/>
          <w:szCs w:val="20"/>
          <w:lang w:val="en-US"/>
        </w:rPr>
        <w:t>supra</w:t>
      </w:r>
      <w:r w:rsidR="00C30793" w:rsidRPr="001558A5">
        <w:rPr>
          <w:szCs w:val="20"/>
          <w:lang w:val="en-US"/>
        </w:rPr>
        <w:t xml:space="preserve"> </w:t>
      </w:r>
      <w:r w:rsidR="00B43A52" w:rsidRPr="001558A5">
        <w:rPr>
          <w:szCs w:val="20"/>
          <w:lang w:val="en-US"/>
        </w:rPr>
        <w:t>para.</w:t>
      </w:r>
      <w:r w:rsidR="00C30793" w:rsidRPr="001558A5">
        <w:rPr>
          <w:szCs w:val="20"/>
          <w:lang w:val="en-US"/>
        </w:rPr>
        <w:t xml:space="preserve"> </w:t>
      </w:r>
      <w:r w:rsidR="00E03D9A" w:rsidRPr="001558A5">
        <w:rPr>
          <w:szCs w:val="20"/>
          <w:lang w:val="en-US"/>
        </w:rPr>
        <w:t xml:space="preserve">37); </w:t>
      </w:r>
      <w:r w:rsidR="00560831" w:rsidRPr="001558A5">
        <w:rPr>
          <w:szCs w:val="20"/>
          <w:lang w:val="en-US"/>
        </w:rPr>
        <w:t>(</w:t>
      </w:r>
      <w:r w:rsidR="00C30793" w:rsidRPr="001558A5">
        <w:rPr>
          <w:szCs w:val="20"/>
          <w:lang w:val="en-US"/>
        </w:rPr>
        <w:t xml:space="preserve">b) </w:t>
      </w:r>
      <w:r w:rsidR="00560831" w:rsidRPr="001558A5">
        <w:rPr>
          <w:szCs w:val="20"/>
          <w:lang w:val="en-US"/>
        </w:rPr>
        <w:t>there is a general</w:t>
      </w:r>
      <w:r w:rsidR="00C30793" w:rsidRPr="001558A5">
        <w:rPr>
          <w:szCs w:val="20"/>
          <w:lang w:val="en-US"/>
        </w:rPr>
        <w:t xml:space="preserve"> </w:t>
      </w:r>
      <w:r w:rsidR="00DD4354" w:rsidRPr="001558A5">
        <w:rPr>
          <w:szCs w:val="20"/>
          <w:lang w:val="en-US"/>
        </w:rPr>
        <w:t>context</w:t>
      </w:r>
      <w:r w:rsidR="00C30793" w:rsidRPr="001558A5">
        <w:rPr>
          <w:szCs w:val="20"/>
          <w:lang w:val="en-US"/>
        </w:rPr>
        <w:t xml:space="preserve"> </w:t>
      </w:r>
      <w:r w:rsidR="00560831" w:rsidRPr="001558A5">
        <w:rPr>
          <w:szCs w:val="20"/>
          <w:lang w:val="en-US"/>
        </w:rPr>
        <w:t xml:space="preserve">of violence against the </w:t>
      </w:r>
      <w:r w:rsidR="001A6E0E" w:rsidRPr="001558A5">
        <w:rPr>
          <w:szCs w:val="20"/>
          <w:lang w:val="en-US"/>
        </w:rPr>
        <w:t>LGBTI</w:t>
      </w:r>
      <w:r w:rsidR="00560831" w:rsidRPr="001558A5">
        <w:rPr>
          <w:szCs w:val="20"/>
          <w:lang w:val="en-US"/>
        </w:rPr>
        <w:t xml:space="preserve"> community</w:t>
      </w:r>
      <w:r w:rsidR="001A6E0E" w:rsidRPr="001558A5">
        <w:rPr>
          <w:szCs w:val="20"/>
          <w:lang w:val="en-US"/>
        </w:rPr>
        <w:t xml:space="preserve"> </w:t>
      </w:r>
      <w:r w:rsidR="00215FEF" w:rsidRPr="001558A5">
        <w:rPr>
          <w:szCs w:val="20"/>
          <w:lang w:val="en-US"/>
        </w:rPr>
        <w:t>in Honduras</w:t>
      </w:r>
      <w:r w:rsidR="00DD4354" w:rsidRPr="001558A5">
        <w:rPr>
          <w:szCs w:val="20"/>
          <w:lang w:val="en-US"/>
        </w:rPr>
        <w:t xml:space="preserve"> and</w:t>
      </w:r>
      <w:r w:rsidR="00560831" w:rsidRPr="001558A5">
        <w:rPr>
          <w:szCs w:val="20"/>
          <w:lang w:val="en-US"/>
        </w:rPr>
        <w:t>,</w:t>
      </w:r>
      <w:r w:rsidR="00DD4354" w:rsidRPr="001558A5">
        <w:rPr>
          <w:szCs w:val="20"/>
          <w:lang w:val="en-US"/>
        </w:rPr>
        <w:t xml:space="preserve"> </w:t>
      </w:r>
      <w:r w:rsidR="00560831" w:rsidRPr="001558A5">
        <w:rPr>
          <w:szCs w:val="20"/>
          <w:lang w:val="en-US"/>
        </w:rPr>
        <w:t>i</w:t>
      </w:r>
      <w:r w:rsidR="00C30793" w:rsidRPr="001558A5">
        <w:rPr>
          <w:szCs w:val="20"/>
          <w:lang w:val="en-US"/>
        </w:rPr>
        <w:t>n particular</w:t>
      </w:r>
      <w:r w:rsidR="00560831" w:rsidRPr="001558A5">
        <w:rPr>
          <w:szCs w:val="20"/>
          <w:lang w:val="en-US"/>
        </w:rPr>
        <w:t xml:space="preserve">, against trans women who are also sex workers </w:t>
      </w:r>
      <w:r w:rsidR="00C30793" w:rsidRPr="001558A5">
        <w:rPr>
          <w:szCs w:val="20"/>
          <w:lang w:val="en-US"/>
        </w:rPr>
        <w:t>(</w:t>
      </w:r>
      <w:r w:rsidR="00C30793" w:rsidRPr="001558A5">
        <w:rPr>
          <w:i/>
          <w:iCs/>
          <w:szCs w:val="20"/>
          <w:lang w:val="en-US"/>
        </w:rPr>
        <w:t>supra</w:t>
      </w:r>
      <w:r w:rsidR="00C30793" w:rsidRPr="001558A5">
        <w:rPr>
          <w:szCs w:val="20"/>
          <w:lang w:val="en-US"/>
        </w:rPr>
        <w:t xml:space="preserve"> </w:t>
      </w:r>
      <w:r w:rsidR="00B43A52" w:rsidRPr="001558A5">
        <w:rPr>
          <w:szCs w:val="20"/>
          <w:lang w:val="en-US"/>
        </w:rPr>
        <w:t>para.</w:t>
      </w:r>
      <w:r w:rsidR="00C30793" w:rsidRPr="001558A5">
        <w:rPr>
          <w:szCs w:val="20"/>
          <w:lang w:val="en-US"/>
        </w:rPr>
        <w:t xml:space="preserve"> </w:t>
      </w:r>
      <w:r w:rsidR="00E03D9A" w:rsidRPr="001558A5">
        <w:rPr>
          <w:szCs w:val="20"/>
          <w:lang w:val="en-US"/>
        </w:rPr>
        <w:t>31)</w:t>
      </w:r>
      <w:r w:rsidR="00D7359A" w:rsidRPr="001558A5">
        <w:rPr>
          <w:szCs w:val="20"/>
          <w:lang w:val="en-US"/>
        </w:rPr>
        <w:t>;</w:t>
      </w:r>
      <w:r w:rsidR="00E03D9A" w:rsidRPr="001558A5">
        <w:rPr>
          <w:szCs w:val="20"/>
          <w:lang w:val="en-US"/>
        </w:rPr>
        <w:t xml:space="preserve"> </w:t>
      </w:r>
      <w:r w:rsidR="00560831" w:rsidRPr="001558A5">
        <w:rPr>
          <w:szCs w:val="20"/>
          <w:lang w:val="en-US"/>
        </w:rPr>
        <w:t>(</w:t>
      </w:r>
      <w:r w:rsidR="00C30793" w:rsidRPr="001558A5">
        <w:rPr>
          <w:szCs w:val="20"/>
          <w:lang w:val="en-US"/>
        </w:rPr>
        <w:t>c</w:t>
      </w:r>
      <w:r w:rsidR="006B309F" w:rsidRPr="001558A5">
        <w:rPr>
          <w:szCs w:val="20"/>
          <w:lang w:val="en-US"/>
        </w:rPr>
        <w:t xml:space="preserve">) </w:t>
      </w:r>
      <w:r w:rsidR="00560831" w:rsidRPr="001558A5">
        <w:rPr>
          <w:szCs w:val="20"/>
          <w:lang w:val="en-US"/>
        </w:rPr>
        <w:t>within this</w:t>
      </w:r>
      <w:r w:rsidR="006B309F" w:rsidRPr="001558A5">
        <w:rPr>
          <w:szCs w:val="20"/>
          <w:lang w:val="en-US"/>
        </w:rPr>
        <w:t xml:space="preserve"> </w:t>
      </w:r>
      <w:r w:rsidR="00DD4354" w:rsidRPr="001558A5">
        <w:rPr>
          <w:szCs w:val="20"/>
          <w:lang w:val="en-US"/>
        </w:rPr>
        <w:t>context</w:t>
      </w:r>
      <w:r w:rsidR="00560831" w:rsidRPr="001558A5">
        <w:rPr>
          <w:szCs w:val="20"/>
          <w:lang w:val="en-US"/>
        </w:rPr>
        <w:t xml:space="preserve"> the Police have been associated with acts of violence against LGBTI persons and against trans women sex workers</w:t>
      </w:r>
      <w:r w:rsidR="006B309F" w:rsidRPr="001558A5">
        <w:rPr>
          <w:szCs w:val="20"/>
          <w:lang w:val="en-US"/>
        </w:rPr>
        <w:t xml:space="preserve"> </w:t>
      </w:r>
      <w:r w:rsidR="00C30793" w:rsidRPr="001558A5">
        <w:rPr>
          <w:szCs w:val="20"/>
          <w:lang w:val="en-US"/>
        </w:rPr>
        <w:t>(</w:t>
      </w:r>
      <w:r w:rsidR="00C30793" w:rsidRPr="001558A5">
        <w:rPr>
          <w:i/>
          <w:iCs/>
          <w:szCs w:val="20"/>
          <w:lang w:val="en-US"/>
        </w:rPr>
        <w:t>supra</w:t>
      </w:r>
      <w:r w:rsidR="00C30793" w:rsidRPr="001558A5">
        <w:rPr>
          <w:szCs w:val="20"/>
          <w:lang w:val="en-US"/>
        </w:rPr>
        <w:t xml:space="preserve"> </w:t>
      </w:r>
      <w:r w:rsidR="00B43A52" w:rsidRPr="001558A5">
        <w:rPr>
          <w:szCs w:val="20"/>
          <w:lang w:val="en-US"/>
        </w:rPr>
        <w:t>para.</w:t>
      </w:r>
      <w:r w:rsidR="00C30793" w:rsidRPr="001558A5">
        <w:rPr>
          <w:szCs w:val="20"/>
          <w:lang w:val="en-US"/>
        </w:rPr>
        <w:t xml:space="preserve"> </w:t>
      </w:r>
      <w:r w:rsidR="00E03D9A" w:rsidRPr="001558A5">
        <w:rPr>
          <w:szCs w:val="20"/>
          <w:lang w:val="en-US"/>
        </w:rPr>
        <w:t>31)</w:t>
      </w:r>
      <w:r w:rsidR="00D7359A" w:rsidRPr="001558A5">
        <w:rPr>
          <w:szCs w:val="20"/>
          <w:lang w:val="en-US"/>
        </w:rPr>
        <w:t>;</w:t>
      </w:r>
      <w:r w:rsidR="00E03D9A" w:rsidRPr="001558A5">
        <w:rPr>
          <w:szCs w:val="20"/>
          <w:lang w:val="en-US"/>
        </w:rPr>
        <w:t xml:space="preserve"> </w:t>
      </w:r>
      <w:r w:rsidR="00560831" w:rsidRPr="001558A5">
        <w:rPr>
          <w:szCs w:val="20"/>
          <w:lang w:val="en-US"/>
        </w:rPr>
        <w:t>(</w:t>
      </w:r>
      <w:r w:rsidR="006B309F" w:rsidRPr="001558A5">
        <w:rPr>
          <w:szCs w:val="20"/>
          <w:lang w:val="en-US"/>
        </w:rPr>
        <w:t xml:space="preserve">d) </w:t>
      </w:r>
      <w:r w:rsidR="00560831" w:rsidRPr="001558A5">
        <w:rPr>
          <w:szCs w:val="20"/>
          <w:lang w:val="en-US"/>
        </w:rPr>
        <w:t>as indicated in the chapter on the facts, at the time of Vicky’s death and the coup d’état, an alarming increase in deaths associated with the gender identity and expression of the victims began to be recorded (</w:t>
      </w:r>
      <w:r w:rsidR="00560831" w:rsidRPr="001558A5">
        <w:rPr>
          <w:i/>
          <w:iCs/>
          <w:szCs w:val="20"/>
          <w:lang w:val="en-US"/>
        </w:rPr>
        <w:t>supra</w:t>
      </w:r>
      <w:r w:rsidR="00560831" w:rsidRPr="001558A5">
        <w:rPr>
          <w:szCs w:val="20"/>
          <w:lang w:val="en-US"/>
        </w:rPr>
        <w:t xml:space="preserve"> para. 32); (</w:t>
      </w:r>
      <w:r w:rsidR="00C30793" w:rsidRPr="001558A5">
        <w:rPr>
          <w:szCs w:val="20"/>
          <w:lang w:val="en-US"/>
        </w:rPr>
        <w:t>e</w:t>
      </w:r>
      <w:r w:rsidR="0004473F" w:rsidRPr="001558A5">
        <w:rPr>
          <w:szCs w:val="20"/>
          <w:lang w:val="en-US"/>
        </w:rPr>
        <w:t xml:space="preserve">) </w:t>
      </w:r>
      <w:r w:rsidR="00560831" w:rsidRPr="001558A5">
        <w:rPr>
          <w:szCs w:val="20"/>
          <w:lang w:val="en-US"/>
        </w:rPr>
        <w:t>on numerous occasions</w:t>
      </w:r>
      <w:r w:rsidR="0024161D" w:rsidRPr="001558A5">
        <w:rPr>
          <w:szCs w:val="20"/>
          <w:lang w:val="en-US"/>
        </w:rPr>
        <w:t xml:space="preserve">, Vicky Hernández had been assaulted </w:t>
      </w:r>
      <w:r w:rsidR="00560831" w:rsidRPr="001558A5">
        <w:rPr>
          <w:szCs w:val="20"/>
          <w:lang w:val="en-US"/>
        </w:rPr>
        <w:t>by police agents while she was working (</w:t>
      </w:r>
      <w:r w:rsidR="00560831" w:rsidRPr="001558A5">
        <w:rPr>
          <w:i/>
          <w:iCs/>
          <w:szCs w:val="20"/>
          <w:lang w:val="en-US"/>
        </w:rPr>
        <w:t>supra</w:t>
      </w:r>
      <w:r w:rsidR="00560831" w:rsidRPr="001558A5">
        <w:rPr>
          <w:szCs w:val="20"/>
          <w:lang w:val="en-US"/>
        </w:rPr>
        <w:t xml:space="preserve"> para. 90); (f) there is indirect testimony that, on the night before Vicky Hernández’s lifeless body was found, a police patrol had tried to arrest her together with two </w:t>
      </w:r>
      <w:r w:rsidR="00851ADD" w:rsidRPr="001558A5">
        <w:rPr>
          <w:szCs w:val="20"/>
          <w:lang w:val="en-US"/>
        </w:rPr>
        <w:t xml:space="preserve">friends who lost </w:t>
      </w:r>
      <w:r w:rsidR="00E26321" w:rsidRPr="001558A5">
        <w:rPr>
          <w:szCs w:val="20"/>
          <w:lang w:val="en-US"/>
        </w:rPr>
        <w:t xml:space="preserve">contact with </w:t>
      </w:r>
      <w:r w:rsidR="00851ADD" w:rsidRPr="001558A5">
        <w:rPr>
          <w:szCs w:val="20"/>
          <w:lang w:val="en-US"/>
        </w:rPr>
        <w:t>her while they were fleeing</w:t>
      </w:r>
      <w:r w:rsidR="001F7992" w:rsidRPr="001558A5">
        <w:rPr>
          <w:szCs w:val="20"/>
          <w:lang w:val="en-US"/>
        </w:rPr>
        <w:t xml:space="preserve"> (</w:t>
      </w:r>
      <w:r w:rsidR="001F7992" w:rsidRPr="001558A5">
        <w:rPr>
          <w:i/>
          <w:iCs/>
          <w:szCs w:val="20"/>
          <w:lang w:val="en-US"/>
        </w:rPr>
        <w:t>supra</w:t>
      </w:r>
      <w:r w:rsidR="001F7992" w:rsidRPr="001558A5">
        <w:rPr>
          <w:szCs w:val="20"/>
          <w:lang w:val="en-US"/>
        </w:rPr>
        <w:t xml:space="preserve"> </w:t>
      </w:r>
      <w:r w:rsidR="00B43A52" w:rsidRPr="001558A5">
        <w:rPr>
          <w:szCs w:val="20"/>
          <w:lang w:val="en-US"/>
        </w:rPr>
        <w:t>para.</w:t>
      </w:r>
      <w:r w:rsidR="001F7992" w:rsidRPr="001558A5">
        <w:rPr>
          <w:szCs w:val="20"/>
          <w:lang w:val="en-US"/>
        </w:rPr>
        <w:t xml:space="preserve"> 43)</w:t>
      </w:r>
      <w:r w:rsidR="00D7359A" w:rsidRPr="001558A5">
        <w:rPr>
          <w:szCs w:val="20"/>
          <w:lang w:val="en-US"/>
        </w:rPr>
        <w:t>;</w:t>
      </w:r>
      <w:r w:rsidR="009A4331" w:rsidRPr="001558A5">
        <w:rPr>
          <w:szCs w:val="20"/>
          <w:lang w:val="en-US"/>
        </w:rPr>
        <w:t xml:space="preserve"> </w:t>
      </w:r>
      <w:r w:rsidR="00851ADD" w:rsidRPr="001558A5">
        <w:rPr>
          <w:szCs w:val="20"/>
          <w:lang w:val="en-US"/>
        </w:rPr>
        <w:t>(</w:t>
      </w:r>
      <w:r w:rsidR="009A4331" w:rsidRPr="001558A5">
        <w:rPr>
          <w:szCs w:val="20"/>
          <w:lang w:val="en-US"/>
        </w:rPr>
        <w:t xml:space="preserve">g) </w:t>
      </w:r>
      <w:r w:rsidR="00851ADD" w:rsidRPr="001558A5">
        <w:rPr>
          <w:szCs w:val="20"/>
          <w:lang w:val="en-US"/>
        </w:rPr>
        <w:t>there is a</w:t>
      </w:r>
      <w:r w:rsidR="009A4331" w:rsidRPr="001558A5">
        <w:rPr>
          <w:szCs w:val="20"/>
          <w:lang w:val="en-US"/>
        </w:rPr>
        <w:t xml:space="preserve"> </w:t>
      </w:r>
      <w:r w:rsidR="00DD4354" w:rsidRPr="001558A5">
        <w:rPr>
          <w:szCs w:val="20"/>
          <w:lang w:val="en-US"/>
        </w:rPr>
        <w:t>context</w:t>
      </w:r>
      <w:r w:rsidR="009A4331" w:rsidRPr="001558A5">
        <w:rPr>
          <w:szCs w:val="20"/>
          <w:lang w:val="en-US"/>
        </w:rPr>
        <w:t xml:space="preserve"> </w:t>
      </w:r>
      <w:r w:rsidR="00851ADD" w:rsidRPr="001558A5">
        <w:rPr>
          <w:szCs w:val="20"/>
          <w:lang w:val="en-US"/>
        </w:rPr>
        <w:t xml:space="preserve">of impunity in cases of acts of violence against trans women </w:t>
      </w:r>
      <w:r w:rsidR="001F7992" w:rsidRPr="001558A5">
        <w:rPr>
          <w:szCs w:val="20"/>
          <w:lang w:val="en-US"/>
        </w:rPr>
        <w:t>(</w:t>
      </w:r>
      <w:r w:rsidR="001F7992" w:rsidRPr="001558A5">
        <w:rPr>
          <w:i/>
          <w:iCs/>
          <w:szCs w:val="20"/>
          <w:lang w:val="en-US"/>
        </w:rPr>
        <w:t>supra</w:t>
      </w:r>
      <w:r w:rsidR="001F7992" w:rsidRPr="001558A5">
        <w:rPr>
          <w:szCs w:val="20"/>
          <w:lang w:val="en-US"/>
        </w:rPr>
        <w:t xml:space="preserve"> </w:t>
      </w:r>
      <w:r w:rsidR="00B43A52" w:rsidRPr="001558A5">
        <w:rPr>
          <w:szCs w:val="20"/>
          <w:lang w:val="en-US"/>
        </w:rPr>
        <w:t>para.</w:t>
      </w:r>
      <w:r w:rsidR="001F7992" w:rsidRPr="001558A5">
        <w:rPr>
          <w:szCs w:val="20"/>
          <w:lang w:val="en-US"/>
        </w:rPr>
        <w:t xml:space="preserve"> 31)</w:t>
      </w:r>
      <w:r w:rsidR="009A4331" w:rsidRPr="001558A5">
        <w:rPr>
          <w:szCs w:val="20"/>
          <w:lang w:val="en-US"/>
        </w:rPr>
        <w:t>,</w:t>
      </w:r>
      <w:r w:rsidR="00DD4354" w:rsidRPr="001558A5">
        <w:rPr>
          <w:szCs w:val="20"/>
          <w:lang w:val="en-US"/>
        </w:rPr>
        <w:t xml:space="preserve"> and </w:t>
      </w:r>
      <w:r w:rsidR="00851ADD" w:rsidRPr="001558A5">
        <w:rPr>
          <w:szCs w:val="20"/>
          <w:lang w:val="en-US"/>
        </w:rPr>
        <w:t>(</w:t>
      </w:r>
      <w:r w:rsidR="009A4331" w:rsidRPr="001558A5">
        <w:rPr>
          <w:szCs w:val="20"/>
          <w:lang w:val="en-US"/>
        </w:rPr>
        <w:t>h</w:t>
      </w:r>
      <w:r w:rsidR="00634092" w:rsidRPr="001558A5">
        <w:rPr>
          <w:szCs w:val="20"/>
          <w:lang w:val="en-US"/>
        </w:rPr>
        <w:t xml:space="preserve">) </w:t>
      </w:r>
      <w:r w:rsidR="00851ADD" w:rsidRPr="001558A5">
        <w:rPr>
          <w:szCs w:val="20"/>
          <w:lang w:val="en-US"/>
        </w:rPr>
        <w:t xml:space="preserve">the investigations into the events of this case have been inadequate to determine what happened and the corresponding responsibilities </w:t>
      </w:r>
      <w:r w:rsidR="00935D2A" w:rsidRPr="001558A5">
        <w:rPr>
          <w:szCs w:val="20"/>
          <w:lang w:val="en-US"/>
        </w:rPr>
        <w:t>(</w:t>
      </w:r>
      <w:r w:rsidR="00935D2A" w:rsidRPr="001558A5">
        <w:rPr>
          <w:i/>
          <w:iCs/>
          <w:szCs w:val="20"/>
          <w:lang w:val="en-US"/>
        </w:rPr>
        <w:t>supra</w:t>
      </w:r>
      <w:r w:rsidR="00935D2A" w:rsidRPr="001558A5">
        <w:rPr>
          <w:szCs w:val="20"/>
          <w:lang w:val="en-US"/>
        </w:rPr>
        <w:t xml:space="preserve"> </w:t>
      </w:r>
      <w:r w:rsidR="00907FBD" w:rsidRPr="001558A5">
        <w:rPr>
          <w:szCs w:val="20"/>
          <w:lang w:val="en-US"/>
        </w:rPr>
        <w:t>Chapter</w:t>
      </w:r>
      <w:r w:rsidR="00935D2A" w:rsidRPr="001558A5">
        <w:rPr>
          <w:szCs w:val="20"/>
          <w:lang w:val="en-US"/>
        </w:rPr>
        <w:t xml:space="preserve"> IV)</w:t>
      </w:r>
      <w:r w:rsidR="00634092" w:rsidRPr="001558A5">
        <w:rPr>
          <w:szCs w:val="20"/>
          <w:lang w:val="en-US"/>
        </w:rPr>
        <w:t xml:space="preserve">. </w:t>
      </w:r>
    </w:p>
    <w:p w14:paraId="13DECD31" w14:textId="0A9CE37A" w:rsidR="00657871" w:rsidRPr="001558A5" w:rsidRDefault="00851ADD" w:rsidP="00851ADD">
      <w:pPr>
        <w:widowControl w:val="0"/>
        <w:numPr>
          <w:ilvl w:val="0"/>
          <w:numId w:val="2"/>
        </w:numPr>
        <w:tabs>
          <w:tab w:val="left" w:pos="567"/>
        </w:tabs>
        <w:autoSpaceDE w:val="0"/>
        <w:autoSpaceDN w:val="0"/>
        <w:adjustRightInd w:val="0"/>
        <w:spacing w:before="120" w:after="120"/>
        <w:ind w:left="0" w:firstLine="0"/>
        <w:rPr>
          <w:lang w:val="en-US"/>
        </w:rPr>
      </w:pPr>
      <w:r w:rsidRPr="001558A5">
        <w:rPr>
          <w:lang w:val="en-US"/>
        </w:rPr>
        <w:t>In sum</w:t>
      </w:r>
      <w:r w:rsidR="000F0785" w:rsidRPr="001558A5">
        <w:rPr>
          <w:lang w:val="en-US"/>
        </w:rPr>
        <w:t>,</w:t>
      </w:r>
      <w:r w:rsidR="00DD4354" w:rsidRPr="001558A5">
        <w:rPr>
          <w:lang w:val="en-US"/>
        </w:rPr>
        <w:t xml:space="preserve"> and </w:t>
      </w:r>
      <w:r w:rsidRPr="001558A5">
        <w:rPr>
          <w:lang w:val="en-US"/>
        </w:rPr>
        <w:t xml:space="preserve">based on the foregoing, the Court concludes that there are sufficient indications to affirm that </w:t>
      </w:r>
      <w:r w:rsidR="00DD4354" w:rsidRPr="001558A5">
        <w:rPr>
          <w:lang w:val="en-US"/>
        </w:rPr>
        <w:t xml:space="preserve">the </w:t>
      </w:r>
      <w:r w:rsidR="00DE0C4B" w:rsidRPr="001558A5">
        <w:rPr>
          <w:lang w:val="en-US"/>
        </w:rPr>
        <w:t>Honduran State</w:t>
      </w:r>
      <w:r w:rsidR="00657871" w:rsidRPr="001558A5">
        <w:rPr>
          <w:lang w:val="en-US"/>
        </w:rPr>
        <w:t xml:space="preserve"> </w:t>
      </w:r>
      <w:r w:rsidRPr="001558A5">
        <w:rPr>
          <w:lang w:val="en-US"/>
        </w:rPr>
        <w:t xml:space="preserve">is responsible for violating the right to life contained in </w:t>
      </w:r>
      <w:r w:rsidR="00871E19" w:rsidRPr="001558A5">
        <w:rPr>
          <w:lang w:val="en-US"/>
        </w:rPr>
        <w:t>Article</w:t>
      </w:r>
      <w:r w:rsidR="000F0785" w:rsidRPr="001558A5">
        <w:rPr>
          <w:lang w:val="en-US"/>
        </w:rPr>
        <w:t xml:space="preserve"> </w:t>
      </w:r>
      <w:r w:rsidR="00B732DD" w:rsidRPr="001558A5">
        <w:rPr>
          <w:lang w:val="en-US"/>
        </w:rPr>
        <w:t>4(1)</w:t>
      </w:r>
      <w:r w:rsidR="00DD4354" w:rsidRPr="001558A5">
        <w:rPr>
          <w:lang w:val="en-US"/>
        </w:rPr>
        <w:t xml:space="preserve"> of the </w:t>
      </w:r>
      <w:r w:rsidR="00871E19" w:rsidRPr="001558A5">
        <w:rPr>
          <w:lang w:val="en-US"/>
        </w:rPr>
        <w:t>American Convention</w:t>
      </w:r>
      <w:r w:rsidR="00657871" w:rsidRPr="001558A5">
        <w:rPr>
          <w:lang w:val="en-US"/>
        </w:rPr>
        <w:t xml:space="preserve">, </w:t>
      </w:r>
      <w:r w:rsidRPr="001558A5">
        <w:rPr>
          <w:lang w:val="en-US"/>
        </w:rPr>
        <w:t>in relation to</w:t>
      </w:r>
      <w:r w:rsidR="00657871" w:rsidRPr="001558A5">
        <w:rPr>
          <w:lang w:val="en-US"/>
        </w:rPr>
        <w:t xml:space="preserve"> </w:t>
      </w:r>
      <w:r w:rsidR="00B43A52" w:rsidRPr="001558A5">
        <w:rPr>
          <w:lang w:val="en-US"/>
        </w:rPr>
        <w:t>Articles 1(1)</w:t>
      </w:r>
      <w:r w:rsidR="00657871" w:rsidRPr="001558A5">
        <w:rPr>
          <w:lang w:val="en-US"/>
        </w:rPr>
        <w:t>, 8</w:t>
      </w:r>
      <w:r w:rsidR="00DD4354" w:rsidRPr="001558A5">
        <w:rPr>
          <w:lang w:val="en-US"/>
        </w:rPr>
        <w:t xml:space="preserve"> and </w:t>
      </w:r>
      <w:r w:rsidR="00657871" w:rsidRPr="001558A5">
        <w:rPr>
          <w:lang w:val="en-US"/>
        </w:rPr>
        <w:t xml:space="preserve">25 </w:t>
      </w:r>
      <w:r w:rsidR="00C43A37" w:rsidRPr="001558A5">
        <w:rPr>
          <w:lang w:val="en-US"/>
        </w:rPr>
        <w:t>of this instrument</w:t>
      </w:r>
      <w:r w:rsidR="00657871" w:rsidRPr="001558A5">
        <w:rPr>
          <w:lang w:val="en-US"/>
        </w:rPr>
        <w:t xml:space="preserve">, </w:t>
      </w:r>
      <w:r w:rsidRPr="001558A5">
        <w:rPr>
          <w:lang w:val="en-US"/>
        </w:rPr>
        <w:t xml:space="preserve">to the detriment </w:t>
      </w:r>
      <w:r w:rsidR="00B43A52" w:rsidRPr="001558A5">
        <w:rPr>
          <w:lang w:val="en-US"/>
        </w:rPr>
        <w:t>of</w:t>
      </w:r>
      <w:r w:rsidR="00657871" w:rsidRPr="001558A5">
        <w:rPr>
          <w:lang w:val="en-US"/>
        </w:rPr>
        <w:t xml:space="preserve"> Vicky Hernández.</w:t>
      </w:r>
    </w:p>
    <w:p w14:paraId="28FDD188" w14:textId="36744CAE" w:rsidR="00657871" w:rsidRPr="001558A5" w:rsidRDefault="00851ADD" w:rsidP="00063480">
      <w:pPr>
        <w:widowControl w:val="0"/>
        <w:numPr>
          <w:ilvl w:val="0"/>
          <w:numId w:val="2"/>
        </w:numPr>
        <w:tabs>
          <w:tab w:val="left" w:pos="567"/>
        </w:tabs>
        <w:autoSpaceDE w:val="0"/>
        <w:autoSpaceDN w:val="0"/>
        <w:adjustRightInd w:val="0"/>
        <w:spacing w:before="120" w:after="120"/>
        <w:ind w:left="0" w:firstLine="0"/>
        <w:rPr>
          <w:szCs w:val="20"/>
          <w:lang w:val="en-US"/>
        </w:rPr>
      </w:pPr>
      <w:r w:rsidRPr="001558A5">
        <w:rPr>
          <w:rFonts w:cs="Times New Roman"/>
          <w:szCs w:val="20"/>
          <w:lang w:val="en-US"/>
        </w:rPr>
        <w:t xml:space="preserve">Furthermore, regarding the right to </w:t>
      </w:r>
      <w:r w:rsidR="00B732DD" w:rsidRPr="001558A5">
        <w:rPr>
          <w:rFonts w:cs="Times New Roman"/>
          <w:szCs w:val="20"/>
          <w:lang w:val="en-US"/>
        </w:rPr>
        <w:t>personal integrity</w:t>
      </w:r>
      <w:r w:rsidR="00657871" w:rsidRPr="001558A5">
        <w:rPr>
          <w:rFonts w:cs="Times New Roman"/>
          <w:szCs w:val="20"/>
          <w:lang w:val="en-US"/>
        </w:rPr>
        <w:t xml:space="preserve"> </w:t>
      </w:r>
      <w:r w:rsidRPr="001558A5">
        <w:rPr>
          <w:rFonts w:cs="Times New Roman"/>
          <w:szCs w:val="20"/>
          <w:lang w:val="en-US"/>
        </w:rPr>
        <w:t>of</w:t>
      </w:r>
      <w:r w:rsidR="00657871" w:rsidRPr="001558A5">
        <w:rPr>
          <w:rFonts w:cs="Times New Roman"/>
          <w:szCs w:val="20"/>
          <w:lang w:val="en-US"/>
        </w:rPr>
        <w:t xml:space="preserve"> Vicky Hernández, </w:t>
      </w:r>
      <w:r w:rsidRPr="001558A5">
        <w:rPr>
          <w:rFonts w:cs="Times New Roman"/>
          <w:szCs w:val="20"/>
          <w:lang w:val="en-US"/>
        </w:rPr>
        <w:t>the Court notes that neither the Commission nor the representatives presented autonomous arguments with regard to this right. Nevertheless, it was recorded that Vicky Hernández’s body had irregular wounds in her left eye and left frontal region, and bruising around her</w:t>
      </w:r>
      <w:r w:rsidR="00063480" w:rsidRPr="001558A5">
        <w:rPr>
          <w:rFonts w:cs="Times New Roman"/>
          <w:szCs w:val="20"/>
          <w:lang w:val="en-US"/>
        </w:rPr>
        <w:t xml:space="preserve"> eye. Also, evidence was found that could lead to the conclusion that she might have been the victim of sexual violence in the moments prior to her death.</w:t>
      </w:r>
      <w:r w:rsidR="00805988" w:rsidRPr="001558A5">
        <w:rPr>
          <w:rStyle w:val="Refdenotaalpie"/>
          <w:lang w:val="en-US"/>
        </w:rPr>
        <w:footnoteReference w:id="130"/>
      </w:r>
      <w:r w:rsidR="00063480" w:rsidRPr="001558A5">
        <w:rPr>
          <w:rFonts w:cs="Times New Roman"/>
          <w:szCs w:val="20"/>
          <w:lang w:val="en-US"/>
        </w:rPr>
        <w:t xml:space="preserve"> The Court understands that, owing to the circumstances in which the facts occurred that culminated in </w:t>
      </w:r>
      <w:r w:rsidR="00657871" w:rsidRPr="001558A5">
        <w:rPr>
          <w:rFonts w:cs="Times New Roman"/>
          <w:szCs w:val="20"/>
          <w:lang w:val="en-US"/>
        </w:rPr>
        <w:t>Vicky Hernández</w:t>
      </w:r>
      <w:r w:rsidR="00E26321" w:rsidRPr="001558A5">
        <w:rPr>
          <w:rFonts w:cs="Times New Roman"/>
          <w:szCs w:val="20"/>
          <w:lang w:val="en-US"/>
        </w:rPr>
        <w:t>’s death</w:t>
      </w:r>
      <w:r w:rsidR="00657871" w:rsidRPr="001558A5">
        <w:rPr>
          <w:rFonts w:cs="Times New Roman"/>
          <w:szCs w:val="20"/>
          <w:lang w:val="en-US"/>
        </w:rPr>
        <w:t xml:space="preserve">, </w:t>
      </w:r>
      <w:r w:rsidR="00063480" w:rsidRPr="001558A5">
        <w:rPr>
          <w:rFonts w:cs="Times New Roman"/>
          <w:szCs w:val="20"/>
          <w:lang w:val="en-US"/>
        </w:rPr>
        <w:t>she must have experienced pain and anguish in the moment</w:t>
      </w:r>
      <w:r w:rsidR="00E26321" w:rsidRPr="001558A5">
        <w:rPr>
          <w:rFonts w:cs="Times New Roman"/>
          <w:szCs w:val="20"/>
          <w:lang w:val="en-US"/>
        </w:rPr>
        <w:t>s</w:t>
      </w:r>
      <w:r w:rsidR="00063480" w:rsidRPr="001558A5">
        <w:rPr>
          <w:rFonts w:cs="Times New Roman"/>
          <w:szCs w:val="20"/>
          <w:lang w:val="en-US"/>
        </w:rPr>
        <w:t xml:space="preserve"> before her murder</w:t>
      </w:r>
      <w:r w:rsidR="00E26321" w:rsidRPr="001558A5">
        <w:rPr>
          <w:rFonts w:cs="Times New Roman"/>
          <w:szCs w:val="20"/>
          <w:lang w:val="en-US"/>
        </w:rPr>
        <w:t>,</w:t>
      </w:r>
      <w:r w:rsidR="00063480" w:rsidRPr="001558A5">
        <w:rPr>
          <w:rFonts w:cs="Times New Roman"/>
          <w:szCs w:val="20"/>
          <w:lang w:val="en-US"/>
        </w:rPr>
        <w:t xml:space="preserve"> </w:t>
      </w:r>
      <w:r w:rsidR="00E26321" w:rsidRPr="001558A5">
        <w:rPr>
          <w:rFonts w:cs="Times New Roman"/>
          <w:szCs w:val="20"/>
          <w:lang w:val="en-US"/>
        </w:rPr>
        <w:t>and this leads</w:t>
      </w:r>
      <w:r w:rsidR="00063480" w:rsidRPr="001558A5">
        <w:rPr>
          <w:rFonts w:cs="Times New Roman"/>
          <w:szCs w:val="20"/>
          <w:lang w:val="en-US"/>
        </w:rPr>
        <w:t xml:space="preserve"> to the reasonable conclusion that her physical and moral integrity</w:t>
      </w:r>
      <w:r w:rsidR="00E26321" w:rsidRPr="001558A5">
        <w:rPr>
          <w:rFonts w:cs="Times New Roman"/>
          <w:szCs w:val="20"/>
          <w:lang w:val="en-US"/>
        </w:rPr>
        <w:t xml:space="preserve"> were violated</w:t>
      </w:r>
      <w:r w:rsidR="00063480" w:rsidRPr="001558A5">
        <w:rPr>
          <w:rFonts w:cs="Times New Roman"/>
          <w:szCs w:val="20"/>
          <w:lang w:val="en-US"/>
        </w:rPr>
        <w:t xml:space="preserve"> in the terms of </w:t>
      </w:r>
      <w:r w:rsidR="00B74256" w:rsidRPr="001558A5">
        <w:rPr>
          <w:rFonts w:cs="Times New Roman"/>
          <w:szCs w:val="20"/>
          <w:lang w:val="en-US"/>
        </w:rPr>
        <w:t>Article</w:t>
      </w:r>
      <w:r w:rsidR="00657871" w:rsidRPr="001558A5">
        <w:rPr>
          <w:rFonts w:cs="Times New Roman"/>
          <w:szCs w:val="20"/>
          <w:lang w:val="en-US"/>
        </w:rPr>
        <w:t xml:space="preserve"> </w:t>
      </w:r>
      <w:r w:rsidR="00B732DD" w:rsidRPr="001558A5">
        <w:rPr>
          <w:rFonts w:cs="Times New Roman"/>
          <w:szCs w:val="20"/>
          <w:lang w:val="en-US"/>
        </w:rPr>
        <w:t>5(1)</w:t>
      </w:r>
      <w:r w:rsidR="00DD4354" w:rsidRPr="001558A5">
        <w:rPr>
          <w:rFonts w:cs="Times New Roman"/>
          <w:szCs w:val="20"/>
          <w:lang w:val="en-US"/>
        </w:rPr>
        <w:t xml:space="preserve"> of the </w:t>
      </w:r>
      <w:r w:rsidR="00871E19" w:rsidRPr="001558A5">
        <w:rPr>
          <w:rFonts w:cs="Times New Roman"/>
          <w:szCs w:val="20"/>
          <w:lang w:val="en-US"/>
        </w:rPr>
        <w:t>American Convention</w:t>
      </w:r>
      <w:r w:rsidR="00657871" w:rsidRPr="001558A5">
        <w:rPr>
          <w:rFonts w:cs="Times New Roman"/>
          <w:szCs w:val="20"/>
          <w:lang w:val="en-US"/>
        </w:rPr>
        <w:t>.</w:t>
      </w:r>
    </w:p>
    <w:p w14:paraId="779C9B8D" w14:textId="2492B7BB" w:rsidR="00190386" w:rsidRPr="001558A5" w:rsidRDefault="00190386" w:rsidP="00945CE2">
      <w:pPr>
        <w:pStyle w:val="Ttulo3"/>
        <w:spacing w:before="240" w:after="240"/>
        <w:ind w:left="357" w:firstLine="709"/>
        <w:rPr>
          <w:b w:val="0"/>
          <w:snapToGrid w:val="0"/>
          <w:spacing w:val="-2"/>
          <w:szCs w:val="20"/>
          <w:lang w:val="en-US" w:eastAsia="es-ES"/>
        </w:rPr>
      </w:pPr>
      <w:bookmarkStart w:id="97" w:name="_Toc73430057"/>
      <w:r w:rsidRPr="001558A5">
        <w:rPr>
          <w:b w:val="0"/>
          <w:snapToGrid w:val="0"/>
          <w:spacing w:val="-2"/>
          <w:szCs w:val="20"/>
          <w:lang w:val="en-US" w:eastAsia="es-ES"/>
        </w:rPr>
        <w:t xml:space="preserve">B.2. </w:t>
      </w:r>
      <w:r w:rsidR="00BC7772" w:rsidRPr="001558A5">
        <w:rPr>
          <w:b w:val="0"/>
          <w:snapToGrid w:val="0"/>
          <w:spacing w:val="-2"/>
          <w:szCs w:val="20"/>
          <w:lang w:val="en-US" w:eastAsia="es-ES"/>
        </w:rPr>
        <w:t>The</w:t>
      </w:r>
      <w:r w:rsidR="0062184D" w:rsidRPr="001558A5">
        <w:rPr>
          <w:b w:val="0"/>
          <w:snapToGrid w:val="0"/>
          <w:spacing w:val="-2"/>
          <w:szCs w:val="20"/>
          <w:lang w:val="en-US" w:eastAsia="es-ES"/>
        </w:rPr>
        <w:t xml:space="preserve"> violation of the rights to</w:t>
      </w:r>
      <w:r w:rsidRPr="001558A5">
        <w:rPr>
          <w:b w:val="0"/>
          <w:snapToGrid w:val="0"/>
          <w:spacing w:val="-2"/>
          <w:szCs w:val="20"/>
          <w:lang w:val="en-US" w:eastAsia="es-ES"/>
        </w:rPr>
        <w:t xml:space="preserve"> </w:t>
      </w:r>
      <w:r w:rsidR="00B732DD" w:rsidRPr="001558A5">
        <w:rPr>
          <w:b w:val="0"/>
          <w:snapToGrid w:val="0"/>
          <w:spacing w:val="-2"/>
          <w:szCs w:val="20"/>
          <w:lang w:val="en-US" w:eastAsia="es-ES"/>
        </w:rPr>
        <w:t>judicial guarantees</w:t>
      </w:r>
      <w:r w:rsidR="00DD4354" w:rsidRPr="001558A5">
        <w:rPr>
          <w:b w:val="0"/>
          <w:snapToGrid w:val="0"/>
          <w:spacing w:val="-2"/>
          <w:szCs w:val="20"/>
          <w:lang w:val="en-US" w:eastAsia="es-ES"/>
        </w:rPr>
        <w:t xml:space="preserve"> and </w:t>
      </w:r>
      <w:r w:rsidR="0062184D" w:rsidRPr="001558A5">
        <w:rPr>
          <w:b w:val="0"/>
          <w:snapToGrid w:val="0"/>
          <w:spacing w:val="-2"/>
          <w:szCs w:val="20"/>
          <w:lang w:val="en-US" w:eastAsia="es-ES"/>
        </w:rPr>
        <w:t>judicial protection of Vicky Hernández’s family</w:t>
      </w:r>
      <w:bookmarkEnd w:id="97"/>
    </w:p>
    <w:p w14:paraId="3FB9C305" w14:textId="73E2AE3F" w:rsidR="0069043B" w:rsidRPr="001558A5" w:rsidRDefault="0062184D" w:rsidP="00C35081">
      <w:pPr>
        <w:widowControl w:val="0"/>
        <w:numPr>
          <w:ilvl w:val="0"/>
          <w:numId w:val="2"/>
        </w:numPr>
        <w:spacing w:before="120" w:after="120"/>
        <w:ind w:left="0" w:firstLine="0"/>
        <w:rPr>
          <w:szCs w:val="20"/>
          <w:lang w:val="en-US"/>
        </w:rPr>
      </w:pPr>
      <w:r w:rsidRPr="001558A5">
        <w:rPr>
          <w:szCs w:val="20"/>
          <w:lang w:val="en-US"/>
        </w:rPr>
        <w:t>In light of</w:t>
      </w:r>
      <w:r w:rsidR="0069043B" w:rsidRPr="001558A5">
        <w:rPr>
          <w:szCs w:val="20"/>
          <w:lang w:val="en-US"/>
        </w:rPr>
        <w:t xml:space="preserve"> </w:t>
      </w:r>
      <w:r w:rsidR="00871E19" w:rsidRPr="001558A5">
        <w:rPr>
          <w:szCs w:val="20"/>
          <w:lang w:val="en-US"/>
        </w:rPr>
        <w:t>the American Convention</w:t>
      </w:r>
      <w:r w:rsidR="0069043B" w:rsidRPr="001558A5">
        <w:rPr>
          <w:szCs w:val="20"/>
          <w:lang w:val="en-US"/>
        </w:rPr>
        <w:t xml:space="preserve">, </w:t>
      </w:r>
      <w:r w:rsidRPr="001558A5">
        <w:rPr>
          <w:szCs w:val="20"/>
          <w:lang w:val="en-US"/>
        </w:rPr>
        <w:t xml:space="preserve">the States Parties are obliged to provide effective judicial remedies </w:t>
      </w:r>
      <w:r w:rsidR="009C0B29" w:rsidRPr="001558A5">
        <w:rPr>
          <w:szCs w:val="20"/>
          <w:lang w:val="en-US"/>
        </w:rPr>
        <w:t xml:space="preserve">to the victims of </w:t>
      </w:r>
      <w:r w:rsidR="00C909B4" w:rsidRPr="001558A5">
        <w:rPr>
          <w:szCs w:val="20"/>
          <w:lang w:val="en-US"/>
        </w:rPr>
        <w:t>human rights</w:t>
      </w:r>
      <w:r w:rsidR="0069043B" w:rsidRPr="001558A5">
        <w:rPr>
          <w:szCs w:val="20"/>
          <w:lang w:val="en-US"/>
        </w:rPr>
        <w:t xml:space="preserve"> </w:t>
      </w:r>
      <w:r w:rsidR="009C0B29" w:rsidRPr="001558A5">
        <w:rPr>
          <w:szCs w:val="20"/>
          <w:lang w:val="en-US"/>
        </w:rPr>
        <w:t xml:space="preserve">violations </w:t>
      </w:r>
      <w:r w:rsidR="0069043B" w:rsidRPr="001558A5">
        <w:rPr>
          <w:szCs w:val="20"/>
          <w:lang w:val="en-US"/>
        </w:rPr>
        <w:t>(</w:t>
      </w:r>
      <w:r w:rsidR="00871E19" w:rsidRPr="001558A5">
        <w:rPr>
          <w:szCs w:val="20"/>
          <w:lang w:val="en-US"/>
        </w:rPr>
        <w:t>Article</w:t>
      </w:r>
      <w:r w:rsidR="0069043B" w:rsidRPr="001558A5">
        <w:rPr>
          <w:szCs w:val="20"/>
          <w:lang w:val="en-US"/>
        </w:rPr>
        <w:t xml:space="preserve"> 25)</w:t>
      </w:r>
      <w:r w:rsidR="009C0B29" w:rsidRPr="001558A5">
        <w:rPr>
          <w:szCs w:val="20"/>
          <w:lang w:val="en-US"/>
        </w:rPr>
        <w:t xml:space="preserve"> that must be substantiated pursuant to the rules of due process of law</w:t>
      </w:r>
      <w:bookmarkStart w:id="98" w:name="_Hlk78716944"/>
      <w:r w:rsidR="0069043B" w:rsidRPr="001558A5">
        <w:rPr>
          <w:szCs w:val="20"/>
          <w:lang w:val="en-US"/>
        </w:rPr>
        <w:t xml:space="preserve"> </w:t>
      </w:r>
      <w:bookmarkEnd w:id="98"/>
      <w:r w:rsidR="0069043B" w:rsidRPr="001558A5">
        <w:rPr>
          <w:szCs w:val="20"/>
          <w:lang w:val="en-US"/>
        </w:rPr>
        <w:t>(</w:t>
      </w:r>
      <w:r w:rsidR="00871E19" w:rsidRPr="001558A5">
        <w:rPr>
          <w:szCs w:val="20"/>
          <w:lang w:val="en-US"/>
        </w:rPr>
        <w:t>Article</w:t>
      </w:r>
      <w:r w:rsidR="0069043B" w:rsidRPr="001558A5">
        <w:rPr>
          <w:szCs w:val="20"/>
          <w:lang w:val="en-US"/>
        </w:rPr>
        <w:t xml:space="preserve"> </w:t>
      </w:r>
      <w:r w:rsidR="00B732DD" w:rsidRPr="001558A5">
        <w:rPr>
          <w:szCs w:val="20"/>
          <w:lang w:val="en-US"/>
        </w:rPr>
        <w:t>8(1)</w:t>
      </w:r>
      <w:r w:rsidR="0069043B" w:rsidRPr="001558A5">
        <w:rPr>
          <w:szCs w:val="20"/>
          <w:lang w:val="en-US"/>
        </w:rPr>
        <w:t>),</w:t>
      </w:r>
      <w:r w:rsidR="00C35081" w:rsidRPr="001558A5">
        <w:rPr>
          <w:szCs w:val="20"/>
          <w:lang w:val="en-US"/>
        </w:rPr>
        <w:t xml:space="preserve"> all within the general obligation of th</w:t>
      </w:r>
      <w:r w:rsidR="00BC7772" w:rsidRPr="001558A5">
        <w:rPr>
          <w:szCs w:val="20"/>
          <w:lang w:val="en-US"/>
        </w:rPr>
        <w:t>os</w:t>
      </w:r>
      <w:r w:rsidR="00C35081" w:rsidRPr="001558A5">
        <w:rPr>
          <w:szCs w:val="20"/>
          <w:lang w:val="en-US"/>
        </w:rPr>
        <w:t>e States to ensure the free and full exercise of the rights recognized in the Convention to every</w:t>
      </w:r>
      <w:r w:rsidR="00BC7772" w:rsidRPr="001558A5">
        <w:rPr>
          <w:szCs w:val="20"/>
          <w:lang w:val="en-US"/>
        </w:rPr>
        <w:t xml:space="preserve"> person</w:t>
      </w:r>
      <w:r w:rsidR="00C35081" w:rsidRPr="001558A5">
        <w:rPr>
          <w:szCs w:val="20"/>
          <w:lang w:val="en-US"/>
        </w:rPr>
        <w:t xml:space="preserve"> subject to their jurisdiction </w:t>
      </w:r>
      <w:r w:rsidR="0069043B" w:rsidRPr="001558A5">
        <w:rPr>
          <w:szCs w:val="20"/>
          <w:lang w:val="en-US"/>
        </w:rPr>
        <w:t>(</w:t>
      </w:r>
      <w:r w:rsidR="00B732DD" w:rsidRPr="001558A5">
        <w:rPr>
          <w:szCs w:val="20"/>
          <w:lang w:val="en-US"/>
        </w:rPr>
        <w:t>Article 1(1)</w:t>
      </w:r>
      <w:r w:rsidR="0069043B" w:rsidRPr="001558A5">
        <w:rPr>
          <w:szCs w:val="20"/>
          <w:lang w:val="en-US"/>
        </w:rPr>
        <w:t xml:space="preserve">). </w:t>
      </w:r>
      <w:r w:rsidR="00C35081" w:rsidRPr="001558A5">
        <w:rPr>
          <w:szCs w:val="20"/>
          <w:lang w:val="en-US"/>
        </w:rPr>
        <w:t xml:space="preserve">The right of access to justice, within a reasonable time, must ensure the right of the </w:t>
      </w:r>
      <w:r w:rsidR="00EB397C" w:rsidRPr="001558A5">
        <w:rPr>
          <w:szCs w:val="20"/>
          <w:lang w:val="en-US"/>
        </w:rPr>
        <w:t>presumed victims</w:t>
      </w:r>
      <w:r w:rsidR="0069043B" w:rsidRPr="001558A5">
        <w:rPr>
          <w:szCs w:val="20"/>
          <w:lang w:val="en-US"/>
        </w:rPr>
        <w:t xml:space="preserve"> o</w:t>
      </w:r>
      <w:r w:rsidR="00C35081" w:rsidRPr="001558A5">
        <w:rPr>
          <w:szCs w:val="20"/>
          <w:lang w:val="en-US"/>
        </w:rPr>
        <w:t>r their next of kin that everything necessary is done to know the truth of what happened and to investigate, prosecute and, punish, as appropriate, those eventually found responsible.</w:t>
      </w:r>
      <w:r w:rsidR="0069043B" w:rsidRPr="001558A5">
        <w:rPr>
          <w:rStyle w:val="Refdenotaalpie"/>
          <w:lang w:val="en-US"/>
        </w:rPr>
        <w:footnoteReference w:id="131"/>
      </w:r>
      <w:r w:rsidR="00E532A9" w:rsidRPr="001558A5">
        <w:rPr>
          <w:szCs w:val="20"/>
          <w:lang w:val="en-US"/>
        </w:rPr>
        <w:t xml:space="preserve"> </w:t>
      </w:r>
      <w:r w:rsidR="00871E19" w:rsidRPr="001558A5">
        <w:rPr>
          <w:rFonts w:cs="Arial"/>
          <w:szCs w:val="20"/>
          <w:lang w:val="en-US"/>
        </w:rPr>
        <w:t>The Court</w:t>
      </w:r>
      <w:r w:rsidR="0069043B" w:rsidRPr="001558A5">
        <w:rPr>
          <w:rFonts w:cs="Arial"/>
          <w:szCs w:val="20"/>
          <w:lang w:val="en-US"/>
        </w:rPr>
        <w:t xml:space="preserve"> ha</w:t>
      </w:r>
      <w:r w:rsidR="00C35081" w:rsidRPr="001558A5">
        <w:rPr>
          <w:rFonts w:cs="Arial"/>
          <w:szCs w:val="20"/>
          <w:lang w:val="en-US"/>
        </w:rPr>
        <w:t xml:space="preserve">s also indicated that the duty to investigate is an obligation of means and not of results; however, it requires the investigating body to </w:t>
      </w:r>
      <w:r w:rsidR="004D2888" w:rsidRPr="001558A5">
        <w:rPr>
          <w:rFonts w:cs="Arial"/>
          <w:szCs w:val="20"/>
          <w:lang w:val="en-US"/>
        </w:rPr>
        <w:t xml:space="preserve">try and obtain the result sought; in other words, it must take all </w:t>
      </w:r>
      <w:r w:rsidR="00BC7772" w:rsidRPr="001558A5">
        <w:rPr>
          <w:rFonts w:cs="Arial"/>
          <w:szCs w:val="20"/>
          <w:lang w:val="en-US"/>
        </w:rPr>
        <w:t>the necessary</w:t>
      </w:r>
      <w:r w:rsidR="004D2888" w:rsidRPr="001558A5">
        <w:rPr>
          <w:rFonts w:cs="Arial"/>
          <w:szCs w:val="20"/>
          <w:lang w:val="en-US"/>
        </w:rPr>
        <w:t xml:space="preserve"> steps and make all th</w:t>
      </w:r>
      <w:r w:rsidR="00BC7772" w:rsidRPr="001558A5">
        <w:rPr>
          <w:rFonts w:cs="Arial"/>
          <w:szCs w:val="20"/>
          <w:lang w:val="en-US"/>
        </w:rPr>
        <w:t>e required</w:t>
      </w:r>
      <w:r w:rsidR="004D2888" w:rsidRPr="001558A5">
        <w:rPr>
          <w:rFonts w:cs="Arial"/>
          <w:szCs w:val="20"/>
          <w:lang w:val="en-US"/>
        </w:rPr>
        <w:t xml:space="preserve"> inquiries</w:t>
      </w:r>
      <w:r w:rsidR="00BC7772" w:rsidRPr="001558A5">
        <w:rPr>
          <w:rFonts w:cs="Arial"/>
          <w:szCs w:val="20"/>
          <w:lang w:val="en-US"/>
        </w:rPr>
        <w:t xml:space="preserve"> to determine the truth</w:t>
      </w:r>
      <w:r w:rsidR="004D2888" w:rsidRPr="001558A5">
        <w:rPr>
          <w:rFonts w:cs="Arial"/>
          <w:szCs w:val="20"/>
          <w:lang w:val="en-US"/>
        </w:rPr>
        <w:t>, using all available legal means.</w:t>
      </w:r>
      <w:r w:rsidR="0069043B" w:rsidRPr="001558A5">
        <w:rPr>
          <w:rStyle w:val="Refdenotaalpie"/>
          <w:rFonts w:cs="Arial"/>
          <w:lang w:val="en-US"/>
        </w:rPr>
        <w:footnoteReference w:id="132"/>
      </w:r>
    </w:p>
    <w:p w14:paraId="5B9FC676" w14:textId="2D3A5B18" w:rsidR="00190386" w:rsidRPr="001558A5" w:rsidRDefault="004D2888" w:rsidP="009217B7">
      <w:pPr>
        <w:widowControl w:val="0"/>
        <w:numPr>
          <w:ilvl w:val="0"/>
          <w:numId w:val="2"/>
        </w:numPr>
        <w:spacing w:before="120" w:after="120"/>
        <w:ind w:left="0" w:firstLine="0"/>
        <w:rPr>
          <w:szCs w:val="20"/>
          <w:lang w:val="en-US"/>
        </w:rPr>
      </w:pPr>
      <w:r w:rsidRPr="001558A5">
        <w:rPr>
          <w:szCs w:val="20"/>
          <w:lang w:val="en-US"/>
        </w:rPr>
        <w:t>In the instant case</w:t>
      </w:r>
      <w:r w:rsidR="00190386" w:rsidRPr="001558A5">
        <w:rPr>
          <w:szCs w:val="20"/>
          <w:lang w:val="en-US"/>
        </w:rPr>
        <w:t xml:space="preserve">, </w:t>
      </w:r>
      <w:r w:rsidR="00871E19" w:rsidRPr="001558A5">
        <w:rPr>
          <w:szCs w:val="20"/>
          <w:lang w:val="en-US"/>
        </w:rPr>
        <w:t>the Commission</w:t>
      </w:r>
      <w:r w:rsidR="00DD4354" w:rsidRPr="001558A5">
        <w:rPr>
          <w:szCs w:val="20"/>
          <w:lang w:val="en-US"/>
        </w:rPr>
        <w:t xml:space="preserve"> and the representatives</w:t>
      </w:r>
      <w:r w:rsidR="00190386" w:rsidRPr="001558A5">
        <w:rPr>
          <w:szCs w:val="20"/>
          <w:lang w:val="en-US"/>
        </w:rPr>
        <w:t xml:space="preserve"> </w:t>
      </w:r>
      <w:r w:rsidR="009217B7" w:rsidRPr="001558A5">
        <w:rPr>
          <w:szCs w:val="20"/>
          <w:lang w:val="en-US"/>
        </w:rPr>
        <w:t>argued that</w:t>
      </w:r>
      <w:r w:rsidR="00190386" w:rsidRPr="001558A5">
        <w:rPr>
          <w:szCs w:val="20"/>
          <w:lang w:val="en-US"/>
        </w:rPr>
        <w:t xml:space="preserve"> </w:t>
      </w:r>
      <w:r w:rsidR="00DD4354" w:rsidRPr="001558A5">
        <w:rPr>
          <w:szCs w:val="20"/>
          <w:lang w:val="en-US"/>
        </w:rPr>
        <w:t>the State</w:t>
      </w:r>
      <w:r w:rsidR="00190386" w:rsidRPr="001558A5">
        <w:rPr>
          <w:szCs w:val="20"/>
          <w:lang w:val="en-US"/>
        </w:rPr>
        <w:t xml:space="preserve"> ha</w:t>
      </w:r>
      <w:r w:rsidR="009217B7" w:rsidRPr="001558A5">
        <w:rPr>
          <w:szCs w:val="20"/>
          <w:lang w:val="en-US"/>
        </w:rPr>
        <w:t xml:space="preserve">d violated </w:t>
      </w:r>
      <w:r w:rsidR="00871E19" w:rsidRPr="001558A5">
        <w:rPr>
          <w:szCs w:val="20"/>
          <w:lang w:val="en-US"/>
        </w:rPr>
        <w:t>Articles</w:t>
      </w:r>
      <w:r w:rsidR="00190386" w:rsidRPr="001558A5">
        <w:rPr>
          <w:szCs w:val="20"/>
          <w:lang w:val="en-US"/>
        </w:rPr>
        <w:t xml:space="preserve"> </w:t>
      </w:r>
      <w:r w:rsidR="00B732DD" w:rsidRPr="001558A5">
        <w:rPr>
          <w:szCs w:val="20"/>
          <w:lang w:val="en-US"/>
        </w:rPr>
        <w:t>8(1)</w:t>
      </w:r>
      <w:r w:rsidR="00DD4354" w:rsidRPr="001558A5">
        <w:rPr>
          <w:szCs w:val="20"/>
          <w:lang w:val="en-US"/>
        </w:rPr>
        <w:t xml:space="preserve"> and </w:t>
      </w:r>
      <w:r w:rsidR="00190386" w:rsidRPr="001558A5">
        <w:rPr>
          <w:szCs w:val="20"/>
          <w:lang w:val="en-US"/>
        </w:rPr>
        <w:t>25</w:t>
      </w:r>
      <w:r w:rsidR="00DD4354" w:rsidRPr="001558A5">
        <w:rPr>
          <w:szCs w:val="20"/>
          <w:lang w:val="en-US"/>
        </w:rPr>
        <w:t xml:space="preserve"> of the </w:t>
      </w:r>
      <w:r w:rsidR="00871E19" w:rsidRPr="001558A5">
        <w:rPr>
          <w:szCs w:val="20"/>
          <w:lang w:val="en-US"/>
        </w:rPr>
        <w:t>Convention</w:t>
      </w:r>
      <w:r w:rsidR="00190386" w:rsidRPr="001558A5">
        <w:rPr>
          <w:szCs w:val="20"/>
          <w:lang w:val="en-US"/>
        </w:rPr>
        <w:t xml:space="preserve">, </w:t>
      </w:r>
      <w:r w:rsidR="009217B7" w:rsidRPr="001558A5">
        <w:rPr>
          <w:szCs w:val="20"/>
          <w:lang w:val="en-US"/>
        </w:rPr>
        <w:t>essentially referring to: (a) the lack of due diligence in the investigations; (b) the failure to comply with the principle of a reasonable time in the investigation into the death of Vicky Hernández; (c) the failure to follow up on logical lines of investigation; (d) the fact that Vicky Hernández’s family did not take part in the investigation</w:t>
      </w:r>
      <w:r w:rsidR="00BC7772" w:rsidRPr="001558A5">
        <w:rPr>
          <w:szCs w:val="20"/>
          <w:lang w:val="en-US"/>
        </w:rPr>
        <w:t>s</w:t>
      </w:r>
      <w:r w:rsidR="009217B7" w:rsidRPr="001558A5">
        <w:rPr>
          <w:szCs w:val="20"/>
          <w:lang w:val="en-US"/>
        </w:rPr>
        <w:t xml:space="preserve">; (e) the existence of legal obstacles to the investigations; (f) the specific obligations in the investigation of cases of violence against women – including trans women – that were not complied with in this case, and (g) </w:t>
      </w:r>
      <w:r w:rsidR="009217B7" w:rsidRPr="001558A5">
        <w:rPr>
          <w:rFonts w:eastAsia="Cambria" w:cs="Cambria"/>
          <w:szCs w:val="20"/>
          <w:lang w:val="en-US"/>
        </w:rPr>
        <w:t>the</w:t>
      </w:r>
      <w:r w:rsidR="0069043B" w:rsidRPr="001558A5">
        <w:rPr>
          <w:rFonts w:eastAsia="Cambria" w:cs="Cambria"/>
          <w:szCs w:val="20"/>
          <w:lang w:val="en-US"/>
        </w:rPr>
        <w:t xml:space="preserve"> </w:t>
      </w:r>
      <w:r w:rsidR="00215FEF" w:rsidRPr="001558A5">
        <w:rPr>
          <w:rFonts w:eastAsia="Cambria" w:cs="Cambria"/>
          <w:szCs w:val="20"/>
          <w:lang w:val="en-US"/>
        </w:rPr>
        <w:t>discrimination</w:t>
      </w:r>
      <w:r w:rsidR="0069043B" w:rsidRPr="001558A5">
        <w:rPr>
          <w:rFonts w:eastAsia="Cambria" w:cs="Cambria"/>
          <w:szCs w:val="20"/>
          <w:lang w:val="en-US"/>
        </w:rPr>
        <w:t xml:space="preserve"> </w:t>
      </w:r>
      <w:r w:rsidR="009217B7" w:rsidRPr="001558A5">
        <w:rPr>
          <w:rFonts w:eastAsia="Cambria" w:cs="Cambria"/>
          <w:szCs w:val="20"/>
          <w:lang w:val="en-US"/>
        </w:rPr>
        <w:t xml:space="preserve">owing to the application of stereotypes and </w:t>
      </w:r>
      <w:r w:rsidR="00BC7772" w:rsidRPr="001558A5">
        <w:rPr>
          <w:rFonts w:eastAsia="Cambria" w:cs="Cambria"/>
          <w:szCs w:val="20"/>
          <w:lang w:val="en-US"/>
        </w:rPr>
        <w:t xml:space="preserve">the </w:t>
      </w:r>
      <w:r w:rsidR="009217B7" w:rsidRPr="001558A5">
        <w:rPr>
          <w:rFonts w:eastAsia="Cambria" w:cs="Cambria"/>
          <w:szCs w:val="20"/>
          <w:lang w:val="en-US"/>
        </w:rPr>
        <w:t>fail</w:t>
      </w:r>
      <w:r w:rsidR="00BC7772" w:rsidRPr="001558A5">
        <w:rPr>
          <w:rFonts w:eastAsia="Cambria" w:cs="Cambria"/>
          <w:szCs w:val="20"/>
          <w:lang w:val="en-US"/>
        </w:rPr>
        <w:t>ure</w:t>
      </w:r>
      <w:r w:rsidR="009217B7" w:rsidRPr="001558A5">
        <w:rPr>
          <w:rFonts w:eastAsia="Cambria" w:cs="Cambria"/>
          <w:szCs w:val="20"/>
          <w:lang w:val="en-US"/>
        </w:rPr>
        <w:t xml:space="preserve"> to </w:t>
      </w:r>
      <w:r w:rsidR="00433B75" w:rsidRPr="001558A5">
        <w:rPr>
          <w:rFonts w:eastAsia="Cambria" w:cs="Cambria"/>
          <w:szCs w:val="20"/>
          <w:lang w:val="en-US"/>
        </w:rPr>
        <w:t>adopt</w:t>
      </w:r>
      <w:r w:rsidR="009217B7" w:rsidRPr="001558A5">
        <w:rPr>
          <w:rFonts w:eastAsia="Cambria" w:cs="Cambria"/>
          <w:szCs w:val="20"/>
          <w:lang w:val="en-US"/>
        </w:rPr>
        <w:t xml:space="preserve"> a gender-based approach </w:t>
      </w:r>
      <w:r w:rsidR="00433B75" w:rsidRPr="001558A5">
        <w:rPr>
          <w:rFonts w:eastAsia="Cambria" w:cs="Cambria"/>
          <w:szCs w:val="20"/>
          <w:lang w:val="en-US"/>
        </w:rPr>
        <w:t>in</w:t>
      </w:r>
      <w:r w:rsidR="009217B7" w:rsidRPr="001558A5">
        <w:rPr>
          <w:rFonts w:eastAsia="Cambria" w:cs="Cambria"/>
          <w:szCs w:val="20"/>
          <w:lang w:val="en-US"/>
        </w:rPr>
        <w:t xml:space="preserve"> the investigation</w:t>
      </w:r>
      <w:r w:rsidR="00BC7772" w:rsidRPr="001558A5">
        <w:rPr>
          <w:rFonts w:eastAsia="Cambria" w:cs="Cambria"/>
          <w:szCs w:val="20"/>
          <w:lang w:val="en-US"/>
        </w:rPr>
        <w:t>s</w:t>
      </w:r>
      <w:r w:rsidR="009217B7" w:rsidRPr="001558A5">
        <w:rPr>
          <w:rFonts w:eastAsia="Cambria" w:cs="Cambria"/>
          <w:szCs w:val="20"/>
          <w:lang w:val="en-US"/>
        </w:rPr>
        <w:t>.</w:t>
      </w:r>
    </w:p>
    <w:p w14:paraId="646C3A6B" w14:textId="7588AC93" w:rsidR="00190386" w:rsidRPr="001558A5" w:rsidRDefault="009217B7" w:rsidP="00945CE2">
      <w:pPr>
        <w:widowControl w:val="0"/>
        <w:numPr>
          <w:ilvl w:val="0"/>
          <w:numId w:val="2"/>
        </w:numPr>
        <w:spacing w:before="120" w:after="120"/>
        <w:ind w:left="0" w:firstLine="0"/>
        <w:rPr>
          <w:szCs w:val="20"/>
          <w:lang w:val="en-US"/>
        </w:rPr>
      </w:pPr>
      <w:r w:rsidRPr="001558A5">
        <w:rPr>
          <w:szCs w:val="20"/>
          <w:lang w:val="en-US"/>
        </w:rPr>
        <w:t xml:space="preserve">As it has </w:t>
      </w:r>
      <w:r w:rsidR="00BC7772" w:rsidRPr="001558A5">
        <w:rPr>
          <w:szCs w:val="20"/>
          <w:lang w:val="en-US"/>
        </w:rPr>
        <w:t>found</w:t>
      </w:r>
      <w:r w:rsidRPr="001558A5">
        <w:rPr>
          <w:szCs w:val="20"/>
          <w:lang w:val="en-US"/>
        </w:rPr>
        <w:t xml:space="preserve"> in this judgment, the Court recalls that the State made a partial acknowledgement of its responsibility in relation to </w:t>
      </w:r>
      <w:r w:rsidR="00B74256" w:rsidRPr="001558A5">
        <w:rPr>
          <w:szCs w:val="20"/>
          <w:lang w:val="en-US"/>
        </w:rPr>
        <w:t>the violation of</w:t>
      </w:r>
      <w:r w:rsidR="006D708A" w:rsidRPr="001558A5">
        <w:rPr>
          <w:szCs w:val="20"/>
          <w:lang w:val="en-US"/>
        </w:rPr>
        <w:t xml:space="preserve"> </w:t>
      </w:r>
      <w:r w:rsidR="00871E19" w:rsidRPr="001558A5">
        <w:rPr>
          <w:szCs w:val="20"/>
          <w:lang w:val="en-US"/>
        </w:rPr>
        <w:t>Articles</w:t>
      </w:r>
      <w:r w:rsidR="00190386" w:rsidRPr="001558A5">
        <w:rPr>
          <w:szCs w:val="20"/>
          <w:lang w:val="en-US"/>
        </w:rPr>
        <w:t xml:space="preserve"> </w:t>
      </w:r>
      <w:r w:rsidR="00B732DD" w:rsidRPr="001558A5">
        <w:rPr>
          <w:szCs w:val="20"/>
          <w:lang w:val="en-US"/>
        </w:rPr>
        <w:t>8(1)</w:t>
      </w:r>
      <w:r w:rsidR="00DD4354" w:rsidRPr="001558A5">
        <w:rPr>
          <w:szCs w:val="20"/>
          <w:lang w:val="en-US"/>
        </w:rPr>
        <w:t xml:space="preserve"> and </w:t>
      </w:r>
      <w:r w:rsidR="00190386" w:rsidRPr="001558A5">
        <w:rPr>
          <w:szCs w:val="20"/>
          <w:lang w:val="en-US"/>
        </w:rPr>
        <w:t>25</w:t>
      </w:r>
      <w:r w:rsidR="00DD4354" w:rsidRPr="001558A5">
        <w:rPr>
          <w:szCs w:val="20"/>
          <w:lang w:val="en-US"/>
        </w:rPr>
        <w:t xml:space="preserve"> of the </w:t>
      </w:r>
      <w:r w:rsidR="00871E19" w:rsidRPr="001558A5">
        <w:rPr>
          <w:szCs w:val="20"/>
          <w:lang w:val="en-US"/>
        </w:rPr>
        <w:t>Convention</w:t>
      </w:r>
      <w:r w:rsidR="00190386" w:rsidRPr="001558A5">
        <w:rPr>
          <w:szCs w:val="20"/>
          <w:lang w:val="en-US"/>
        </w:rPr>
        <w:t xml:space="preserve"> </w:t>
      </w:r>
      <w:r w:rsidR="00B43A52" w:rsidRPr="001558A5">
        <w:rPr>
          <w:szCs w:val="20"/>
          <w:lang w:val="en-US"/>
        </w:rPr>
        <w:t>to the detriment of</w:t>
      </w:r>
      <w:r w:rsidR="00B54970" w:rsidRPr="001558A5">
        <w:rPr>
          <w:szCs w:val="20"/>
          <w:lang w:val="en-US"/>
        </w:rPr>
        <w:t xml:space="preserve"> Vicky Hernández</w:t>
      </w:r>
      <w:r w:rsidRPr="001558A5">
        <w:rPr>
          <w:szCs w:val="20"/>
          <w:lang w:val="en-US"/>
        </w:rPr>
        <w:t>’s family</w:t>
      </w:r>
      <w:r w:rsidR="00B54970" w:rsidRPr="001558A5">
        <w:rPr>
          <w:szCs w:val="20"/>
          <w:lang w:val="en-US"/>
        </w:rPr>
        <w:t xml:space="preserve"> </w:t>
      </w:r>
      <w:r w:rsidR="00190386" w:rsidRPr="001558A5">
        <w:rPr>
          <w:szCs w:val="20"/>
          <w:lang w:val="en-US"/>
        </w:rPr>
        <w:t>(</w:t>
      </w:r>
      <w:r w:rsidR="00190386" w:rsidRPr="001558A5">
        <w:rPr>
          <w:i/>
          <w:iCs/>
          <w:szCs w:val="20"/>
          <w:lang w:val="en-US"/>
        </w:rPr>
        <w:t>supra</w:t>
      </w:r>
      <w:r w:rsidR="00190386" w:rsidRPr="001558A5">
        <w:rPr>
          <w:szCs w:val="20"/>
          <w:lang w:val="en-US"/>
        </w:rPr>
        <w:t xml:space="preserve"> </w:t>
      </w:r>
      <w:r w:rsidR="00907FBD" w:rsidRPr="001558A5">
        <w:rPr>
          <w:szCs w:val="20"/>
          <w:lang w:val="en-US"/>
        </w:rPr>
        <w:t>Chapter</w:t>
      </w:r>
      <w:r w:rsidR="00190386" w:rsidRPr="001558A5">
        <w:rPr>
          <w:szCs w:val="20"/>
          <w:lang w:val="en-US"/>
        </w:rPr>
        <w:t xml:space="preserve"> IV.A). </w:t>
      </w:r>
      <w:r w:rsidRPr="001558A5">
        <w:rPr>
          <w:szCs w:val="20"/>
          <w:lang w:val="en-US"/>
        </w:rPr>
        <w:t>Therefore, the Court understand</w:t>
      </w:r>
      <w:r w:rsidR="00BC7772" w:rsidRPr="001558A5">
        <w:rPr>
          <w:szCs w:val="20"/>
          <w:lang w:val="en-US"/>
        </w:rPr>
        <w:t>s</w:t>
      </w:r>
      <w:r w:rsidRPr="001558A5">
        <w:rPr>
          <w:szCs w:val="20"/>
          <w:lang w:val="en-US"/>
        </w:rPr>
        <w:t xml:space="preserve"> that the dispute has ceased with regard to the alleged violations of </w:t>
      </w:r>
      <w:r w:rsidR="00871E19" w:rsidRPr="001558A5">
        <w:rPr>
          <w:szCs w:val="20"/>
          <w:lang w:val="en-US"/>
        </w:rPr>
        <w:t>Articles</w:t>
      </w:r>
      <w:r w:rsidR="0069043B" w:rsidRPr="001558A5">
        <w:rPr>
          <w:szCs w:val="20"/>
          <w:lang w:val="en-US"/>
        </w:rPr>
        <w:t xml:space="preserve"> 8</w:t>
      </w:r>
      <w:r w:rsidR="00DD4354" w:rsidRPr="001558A5">
        <w:rPr>
          <w:szCs w:val="20"/>
          <w:lang w:val="en-US"/>
        </w:rPr>
        <w:t xml:space="preserve"> and </w:t>
      </w:r>
      <w:r w:rsidR="0069043B" w:rsidRPr="001558A5">
        <w:rPr>
          <w:szCs w:val="20"/>
          <w:lang w:val="en-US"/>
        </w:rPr>
        <w:t xml:space="preserve">25. </w:t>
      </w:r>
      <w:r w:rsidRPr="001558A5">
        <w:rPr>
          <w:szCs w:val="20"/>
          <w:lang w:val="en-US"/>
        </w:rPr>
        <w:t xml:space="preserve">Nevertheless, bearing in mind the nature of the case, the Court finds it necessary to mention some </w:t>
      </w:r>
      <w:r w:rsidR="00BC7772" w:rsidRPr="001558A5">
        <w:rPr>
          <w:szCs w:val="20"/>
          <w:lang w:val="en-US"/>
        </w:rPr>
        <w:t>aspects of</w:t>
      </w:r>
      <w:r w:rsidRPr="001558A5">
        <w:rPr>
          <w:szCs w:val="20"/>
          <w:lang w:val="en-US"/>
        </w:rPr>
        <w:t xml:space="preserve"> the obligation to investigate</w:t>
      </w:r>
      <w:r w:rsidR="00E532A9" w:rsidRPr="001558A5">
        <w:rPr>
          <w:szCs w:val="20"/>
          <w:lang w:val="en-US"/>
        </w:rPr>
        <w:t>.</w:t>
      </w:r>
    </w:p>
    <w:p w14:paraId="57A5D802" w14:textId="24ED97F0" w:rsidR="00FF7183" w:rsidRPr="001558A5" w:rsidRDefault="009217B7" w:rsidP="00E16761">
      <w:pPr>
        <w:widowControl w:val="0"/>
        <w:numPr>
          <w:ilvl w:val="0"/>
          <w:numId w:val="2"/>
        </w:numPr>
        <w:spacing w:before="120" w:after="120"/>
        <w:ind w:left="0" w:firstLine="0"/>
        <w:rPr>
          <w:lang w:val="en-US"/>
        </w:rPr>
      </w:pPr>
      <w:r w:rsidRPr="001558A5">
        <w:rPr>
          <w:szCs w:val="20"/>
          <w:lang w:val="en-US"/>
        </w:rPr>
        <w:t>With regard to logical lines of investigation, the Court recalls that, to ensure the effectiveness of the investigation of human rights violations, it is necessary to avoid omissions in obtaining evidence and in following up on logical lines of investigation.</w:t>
      </w:r>
      <w:r w:rsidR="00FF7183" w:rsidRPr="001558A5">
        <w:rPr>
          <w:rStyle w:val="Refdenotaalpie"/>
          <w:lang w:val="en-US"/>
        </w:rPr>
        <w:footnoteReference w:id="133"/>
      </w:r>
      <w:r w:rsidR="00FF7183" w:rsidRPr="001558A5">
        <w:rPr>
          <w:lang w:val="en-US"/>
        </w:rPr>
        <w:t xml:space="preserve"> </w:t>
      </w:r>
      <w:r w:rsidR="00871E19" w:rsidRPr="001558A5">
        <w:rPr>
          <w:szCs w:val="20"/>
          <w:lang w:val="en-US"/>
        </w:rPr>
        <w:t>The Court</w:t>
      </w:r>
      <w:r w:rsidR="00671E51" w:rsidRPr="001558A5">
        <w:rPr>
          <w:szCs w:val="20"/>
          <w:lang w:val="en-US"/>
        </w:rPr>
        <w:t xml:space="preserve"> </w:t>
      </w:r>
      <w:r w:rsidR="00FF7183" w:rsidRPr="001558A5">
        <w:rPr>
          <w:rFonts w:eastAsiaTheme="minorHAnsi"/>
          <w:szCs w:val="20"/>
          <w:lang w:val="en-US"/>
        </w:rPr>
        <w:t>ha</w:t>
      </w:r>
      <w:r w:rsidRPr="001558A5">
        <w:rPr>
          <w:rFonts w:eastAsiaTheme="minorHAnsi"/>
          <w:szCs w:val="20"/>
          <w:lang w:val="en-US"/>
        </w:rPr>
        <w:t>s specified the principal guidelines that must be observed in criminal investigations into human rights violations</w:t>
      </w:r>
      <w:r w:rsidR="00E16761" w:rsidRPr="001558A5">
        <w:rPr>
          <w:rFonts w:eastAsiaTheme="minorHAnsi"/>
          <w:szCs w:val="20"/>
          <w:lang w:val="en-US"/>
        </w:rPr>
        <w:t>, which may include</w:t>
      </w:r>
      <w:r w:rsidR="00FF7183" w:rsidRPr="001558A5">
        <w:rPr>
          <w:rFonts w:eastAsiaTheme="minorHAnsi"/>
          <w:szCs w:val="20"/>
          <w:lang w:val="en-US"/>
        </w:rPr>
        <w:t xml:space="preserve">, </w:t>
      </w:r>
      <w:r w:rsidR="00FF7183" w:rsidRPr="001558A5">
        <w:rPr>
          <w:rFonts w:eastAsiaTheme="minorHAnsi"/>
          <w:i/>
          <w:szCs w:val="20"/>
          <w:lang w:val="en-US"/>
        </w:rPr>
        <w:t>inter alia</w:t>
      </w:r>
      <w:r w:rsidR="00FF7183" w:rsidRPr="001558A5">
        <w:rPr>
          <w:rFonts w:eastAsiaTheme="minorHAnsi"/>
          <w:szCs w:val="20"/>
          <w:lang w:val="en-US"/>
        </w:rPr>
        <w:t xml:space="preserve">: </w:t>
      </w:r>
      <w:r w:rsidR="00E16761" w:rsidRPr="001558A5">
        <w:rPr>
          <w:rFonts w:eastAsiaTheme="minorHAnsi"/>
          <w:szCs w:val="20"/>
          <w:lang w:val="en-US"/>
        </w:rPr>
        <w:t xml:space="preserve">the recovery and preservation of evidence in order to contribute to any potential criminal investigation of those responsible; the identification of possible witnesses and obtaining their statements, and </w:t>
      </w:r>
      <w:r w:rsidR="0035601C" w:rsidRPr="001558A5">
        <w:rPr>
          <w:rFonts w:eastAsiaTheme="minorHAnsi"/>
          <w:szCs w:val="20"/>
          <w:lang w:val="en-US"/>
        </w:rPr>
        <w:t xml:space="preserve">the </w:t>
      </w:r>
      <w:r w:rsidR="00E16761" w:rsidRPr="001558A5">
        <w:rPr>
          <w:rFonts w:eastAsiaTheme="minorHAnsi"/>
          <w:szCs w:val="20"/>
          <w:lang w:val="en-US"/>
        </w:rPr>
        <w:t>determin</w:t>
      </w:r>
      <w:r w:rsidR="0035601C" w:rsidRPr="001558A5">
        <w:rPr>
          <w:rFonts w:eastAsiaTheme="minorHAnsi"/>
          <w:szCs w:val="20"/>
          <w:lang w:val="en-US"/>
        </w:rPr>
        <w:t xml:space="preserve">ation of </w:t>
      </w:r>
      <w:r w:rsidR="00E16761" w:rsidRPr="001558A5">
        <w:rPr>
          <w:rFonts w:eastAsiaTheme="minorHAnsi"/>
          <w:szCs w:val="20"/>
          <w:lang w:val="en-US"/>
        </w:rPr>
        <w:t>the cause, manner, place and time of the fact investigated. It is also necessary to conduct a thorough examination of the scene of the crime, and ensure that rigorous tests are performed by qualified professionals using the most appropriate procedures,</w:t>
      </w:r>
      <w:r w:rsidR="00FF7183" w:rsidRPr="001558A5">
        <w:rPr>
          <w:rStyle w:val="Refdenotaalpie"/>
          <w:rFonts w:eastAsiaTheme="minorHAnsi"/>
          <w:lang w:val="en-US"/>
        </w:rPr>
        <w:footnoteReference w:id="134"/>
      </w:r>
      <w:r w:rsidR="00E16761" w:rsidRPr="001558A5">
        <w:rPr>
          <w:rFonts w:eastAsiaTheme="minorHAnsi"/>
          <w:szCs w:val="20"/>
          <w:lang w:val="en-US"/>
        </w:rPr>
        <w:t xml:space="preserve"> </w:t>
      </w:r>
      <w:r w:rsidR="0035601C" w:rsidRPr="001558A5">
        <w:rPr>
          <w:rFonts w:eastAsiaTheme="minorHAnsi"/>
          <w:szCs w:val="20"/>
          <w:lang w:val="en-US"/>
        </w:rPr>
        <w:t>and this</w:t>
      </w:r>
      <w:r w:rsidR="00E16761" w:rsidRPr="001558A5">
        <w:rPr>
          <w:rFonts w:eastAsiaTheme="minorHAnsi"/>
          <w:szCs w:val="20"/>
          <w:lang w:val="en-US"/>
        </w:rPr>
        <w:t xml:space="preserve"> entails guaranteeing the proper chain of custody.</w:t>
      </w:r>
    </w:p>
    <w:p w14:paraId="56F3EB04" w14:textId="61539039" w:rsidR="00FF7183" w:rsidRPr="001558A5" w:rsidRDefault="00E16761" w:rsidP="00E16761">
      <w:pPr>
        <w:widowControl w:val="0"/>
        <w:numPr>
          <w:ilvl w:val="0"/>
          <w:numId w:val="2"/>
        </w:numPr>
        <w:spacing w:before="120" w:after="120"/>
        <w:ind w:left="0" w:firstLine="0"/>
        <w:rPr>
          <w:lang w:val="en-US"/>
        </w:rPr>
      </w:pPr>
      <w:r w:rsidRPr="001558A5">
        <w:rPr>
          <w:lang w:val="en-US"/>
        </w:rPr>
        <w:t>In addition, the Court has indicated that when violent acts such as homicides are investigated, the state authorities have the duty to take all reasonable measures to discover whether possible discriminat</w:t>
      </w:r>
      <w:r w:rsidR="006C6CCE" w:rsidRPr="001558A5">
        <w:rPr>
          <w:lang w:val="en-US"/>
        </w:rPr>
        <w:t xml:space="preserve">ion is </w:t>
      </w:r>
      <w:r w:rsidRPr="001558A5">
        <w:rPr>
          <w:lang w:val="en-US"/>
        </w:rPr>
        <w:t>involved. This obligation signifies that when there are indications or concrete suspicions of discrimination-based violence, the State must take all reasonable steps</w:t>
      </w:r>
      <w:r w:rsidR="00106161" w:rsidRPr="001558A5">
        <w:rPr>
          <w:lang w:val="en-US"/>
        </w:rPr>
        <w:t>,</w:t>
      </w:r>
      <w:r w:rsidRPr="001558A5">
        <w:rPr>
          <w:lang w:val="en-US"/>
        </w:rPr>
        <w:t xml:space="preserve"> </w:t>
      </w:r>
      <w:r w:rsidR="00106161" w:rsidRPr="001558A5">
        <w:rPr>
          <w:lang w:val="en-US"/>
        </w:rPr>
        <w:t>based on</w:t>
      </w:r>
      <w:r w:rsidRPr="001558A5">
        <w:rPr>
          <w:lang w:val="en-US"/>
        </w:rPr>
        <w:t xml:space="preserve"> the circumstance</w:t>
      </w:r>
      <w:r w:rsidR="00106161" w:rsidRPr="001558A5">
        <w:rPr>
          <w:lang w:val="en-US"/>
        </w:rPr>
        <w:t>s,</w:t>
      </w:r>
      <w:r w:rsidRPr="001558A5">
        <w:rPr>
          <w:lang w:val="en-US"/>
        </w:rPr>
        <w:t xml:space="preserve"> to gather and </w:t>
      </w:r>
      <w:r w:rsidR="006C6CCE" w:rsidRPr="001558A5">
        <w:rPr>
          <w:lang w:val="en-US"/>
        </w:rPr>
        <w:t>safeguard</w:t>
      </w:r>
      <w:r w:rsidRPr="001558A5">
        <w:rPr>
          <w:lang w:val="en-US"/>
        </w:rPr>
        <w:t xml:space="preserve"> the evidence, explore all practical means to discover the truth, and issue fully reasoned</w:t>
      </w:r>
      <w:r w:rsidR="007112C1" w:rsidRPr="001558A5">
        <w:rPr>
          <w:lang w:val="en-US"/>
        </w:rPr>
        <w:t>, impartial and objective</w:t>
      </w:r>
      <w:r w:rsidRPr="001558A5">
        <w:rPr>
          <w:lang w:val="en-US"/>
        </w:rPr>
        <w:t xml:space="preserve"> decisions, </w:t>
      </w:r>
      <w:r w:rsidR="007112C1" w:rsidRPr="001558A5">
        <w:rPr>
          <w:lang w:val="en-US"/>
        </w:rPr>
        <w:t>without omitting suspicious facts that may indicate discrimination-based violence.</w:t>
      </w:r>
      <w:r w:rsidR="00FF7183" w:rsidRPr="001558A5">
        <w:rPr>
          <w:rStyle w:val="Refdenotaalpie"/>
          <w:lang w:val="en-US"/>
        </w:rPr>
        <w:footnoteReference w:id="135"/>
      </w:r>
      <w:r w:rsidR="007112C1" w:rsidRPr="001558A5">
        <w:rPr>
          <w:lang w:val="en-US"/>
        </w:rPr>
        <w:t xml:space="preserve"> The failure by the authorities to investigate possible discriminatory motives may, </w:t>
      </w:r>
      <w:r w:rsidR="007112C1" w:rsidRPr="001558A5">
        <w:rPr>
          <w:i/>
          <w:iCs/>
          <w:lang w:val="en-US"/>
        </w:rPr>
        <w:t>per se</w:t>
      </w:r>
      <w:r w:rsidR="007112C1" w:rsidRPr="001558A5">
        <w:rPr>
          <w:lang w:val="en-US"/>
        </w:rPr>
        <w:t xml:space="preserve">, constitute a form of </w:t>
      </w:r>
      <w:r w:rsidR="00215FEF" w:rsidRPr="001558A5">
        <w:rPr>
          <w:rFonts w:eastAsia="Times New Roman"/>
          <w:szCs w:val="20"/>
          <w:lang w:val="en-US"/>
        </w:rPr>
        <w:t>discrimination</w:t>
      </w:r>
      <w:r w:rsidR="00FF7183" w:rsidRPr="001558A5">
        <w:rPr>
          <w:lang w:val="en-US"/>
        </w:rPr>
        <w:t>, contrar</w:t>
      </w:r>
      <w:r w:rsidR="007112C1" w:rsidRPr="001558A5">
        <w:rPr>
          <w:lang w:val="en-US"/>
        </w:rPr>
        <w:t xml:space="preserve">y to the prohibition established in </w:t>
      </w:r>
      <w:r w:rsidR="00B732DD" w:rsidRPr="001558A5">
        <w:rPr>
          <w:lang w:val="en-US"/>
        </w:rPr>
        <w:t>Article 1(1)</w:t>
      </w:r>
      <w:r w:rsidR="00DD4354" w:rsidRPr="001558A5">
        <w:rPr>
          <w:lang w:val="en-US"/>
        </w:rPr>
        <w:t xml:space="preserve"> of the </w:t>
      </w:r>
      <w:r w:rsidR="00871E19" w:rsidRPr="001558A5">
        <w:rPr>
          <w:lang w:val="en-US"/>
        </w:rPr>
        <w:t>Convention</w:t>
      </w:r>
      <w:r w:rsidR="00FF7183" w:rsidRPr="001558A5">
        <w:rPr>
          <w:rStyle w:val="Refdenotaalpie"/>
          <w:lang w:val="en-US"/>
        </w:rPr>
        <w:footnoteReference w:id="136"/>
      </w:r>
      <w:r w:rsidR="00FF7183" w:rsidRPr="001558A5">
        <w:rPr>
          <w:lang w:val="en-US"/>
        </w:rPr>
        <w:t>.</w:t>
      </w:r>
    </w:p>
    <w:p w14:paraId="17386316" w14:textId="544AB178" w:rsidR="00D7462C" w:rsidRPr="001558A5" w:rsidRDefault="007112C1" w:rsidP="007112C1">
      <w:pPr>
        <w:widowControl w:val="0"/>
        <w:numPr>
          <w:ilvl w:val="0"/>
          <w:numId w:val="2"/>
        </w:numPr>
        <w:spacing w:before="120" w:after="120"/>
        <w:ind w:left="0" w:firstLine="0"/>
        <w:rPr>
          <w:szCs w:val="20"/>
          <w:lang w:val="en-US"/>
        </w:rPr>
      </w:pPr>
      <w:r w:rsidRPr="001558A5">
        <w:rPr>
          <w:szCs w:val="20"/>
          <w:lang w:val="en-US"/>
        </w:rPr>
        <w:t xml:space="preserve">In the instant case, the Court notes that the only line of investigation adopted by </w:t>
      </w:r>
      <w:r w:rsidR="00BE4D12" w:rsidRPr="001558A5">
        <w:rPr>
          <w:szCs w:val="20"/>
          <w:lang w:val="en-US"/>
        </w:rPr>
        <w:t xml:space="preserve">Honduras </w:t>
      </w:r>
      <w:r w:rsidRPr="001558A5">
        <w:rPr>
          <w:szCs w:val="20"/>
          <w:lang w:val="en-US"/>
        </w:rPr>
        <w:t>was the one to identify the person related to the supposed assault that Vicky Hernández had suffered and the only evidence in this regard is revealed by a statement taken from the victim’s mother two years after the facts occurred (</w:t>
      </w:r>
      <w:r w:rsidRPr="001558A5">
        <w:rPr>
          <w:i/>
          <w:iCs/>
          <w:szCs w:val="20"/>
          <w:lang w:val="en-US"/>
        </w:rPr>
        <w:t>supra</w:t>
      </w:r>
      <w:r w:rsidRPr="001558A5">
        <w:rPr>
          <w:szCs w:val="20"/>
          <w:lang w:val="en-US"/>
        </w:rPr>
        <w:t xml:space="preserve"> para. 41). In the investigation, the authorities did not take into account the elements that indicated that the act could be linked to the victim’s gender identity, due to the fact that she was a trans woman sex worker. Nor did they take into account her activities in defense of trans women or the possible participation of state agents. In addition, the authorities did not take into consideration the indications that pointed to a possible sexual attack or violence that Vicky Hernández might have suffered</w:t>
      </w:r>
      <w:r w:rsidR="00BE4D12" w:rsidRPr="001558A5">
        <w:rPr>
          <w:szCs w:val="20"/>
          <w:lang w:val="en-US"/>
        </w:rPr>
        <w:t xml:space="preserve"> (</w:t>
      </w:r>
      <w:r w:rsidR="00805988" w:rsidRPr="001558A5">
        <w:rPr>
          <w:i/>
          <w:iCs/>
          <w:szCs w:val="20"/>
          <w:lang w:val="en-US"/>
        </w:rPr>
        <w:t>supra</w:t>
      </w:r>
      <w:r w:rsidR="00805988" w:rsidRPr="001558A5">
        <w:rPr>
          <w:szCs w:val="20"/>
          <w:lang w:val="en-US"/>
        </w:rPr>
        <w:t xml:space="preserve"> </w:t>
      </w:r>
      <w:r w:rsidR="00B43A52" w:rsidRPr="001558A5">
        <w:rPr>
          <w:szCs w:val="20"/>
          <w:lang w:val="en-US"/>
        </w:rPr>
        <w:t>para.</w:t>
      </w:r>
      <w:r w:rsidR="00805988" w:rsidRPr="001558A5">
        <w:rPr>
          <w:szCs w:val="20"/>
          <w:lang w:val="en-US"/>
        </w:rPr>
        <w:t xml:space="preserve"> 45</w:t>
      </w:r>
      <w:r w:rsidR="00BE4D12" w:rsidRPr="001558A5">
        <w:rPr>
          <w:szCs w:val="20"/>
          <w:lang w:val="en-US"/>
        </w:rPr>
        <w:t xml:space="preserve">), </w:t>
      </w:r>
      <w:r w:rsidR="00433B75" w:rsidRPr="001558A5">
        <w:rPr>
          <w:szCs w:val="20"/>
          <w:lang w:val="en-US"/>
        </w:rPr>
        <w:t xml:space="preserve">or </w:t>
      </w:r>
      <w:r w:rsidR="00DD4354" w:rsidRPr="001558A5">
        <w:rPr>
          <w:szCs w:val="20"/>
          <w:lang w:val="en-US"/>
        </w:rPr>
        <w:t>the context</w:t>
      </w:r>
      <w:r w:rsidR="00BE4D12" w:rsidRPr="001558A5">
        <w:rPr>
          <w:szCs w:val="20"/>
          <w:lang w:val="en-US"/>
        </w:rPr>
        <w:t xml:space="preserve"> </w:t>
      </w:r>
      <w:r w:rsidR="00433B75" w:rsidRPr="001558A5">
        <w:rPr>
          <w:szCs w:val="20"/>
          <w:lang w:val="en-US"/>
        </w:rPr>
        <w:t>of</w:t>
      </w:r>
      <w:r w:rsidR="00BE4D12" w:rsidRPr="001558A5">
        <w:rPr>
          <w:szCs w:val="20"/>
          <w:lang w:val="en-US"/>
        </w:rPr>
        <w:t xml:space="preserve"> </w:t>
      </w:r>
      <w:r w:rsidR="00215FEF" w:rsidRPr="001558A5">
        <w:rPr>
          <w:szCs w:val="20"/>
          <w:lang w:val="en-US"/>
        </w:rPr>
        <w:t>discrimination</w:t>
      </w:r>
      <w:r w:rsidR="00DD4354" w:rsidRPr="001558A5">
        <w:rPr>
          <w:szCs w:val="20"/>
          <w:lang w:val="en-US"/>
        </w:rPr>
        <w:t xml:space="preserve"> and </w:t>
      </w:r>
      <w:r w:rsidR="00215FEF" w:rsidRPr="001558A5">
        <w:rPr>
          <w:szCs w:val="20"/>
          <w:lang w:val="en-US"/>
        </w:rPr>
        <w:t xml:space="preserve">violence </w:t>
      </w:r>
      <w:r w:rsidR="009460CA" w:rsidRPr="001558A5">
        <w:rPr>
          <w:szCs w:val="20"/>
          <w:lang w:val="en-US"/>
        </w:rPr>
        <w:t>against the LGBTI community</w:t>
      </w:r>
      <w:r w:rsidR="00BE4D12" w:rsidRPr="001558A5">
        <w:rPr>
          <w:szCs w:val="20"/>
          <w:lang w:val="en-US"/>
        </w:rPr>
        <w:t xml:space="preserve"> o</w:t>
      </w:r>
      <w:r w:rsidR="00433B75" w:rsidRPr="001558A5">
        <w:rPr>
          <w:szCs w:val="20"/>
          <w:lang w:val="en-US"/>
        </w:rPr>
        <w:t>r</w:t>
      </w:r>
      <w:r w:rsidR="00BE4D12" w:rsidRPr="001558A5">
        <w:rPr>
          <w:szCs w:val="20"/>
          <w:lang w:val="en-US"/>
        </w:rPr>
        <w:t xml:space="preserve"> </w:t>
      </w:r>
      <w:r w:rsidR="00DD4354" w:rsidRPr="001558A5">
        <w:rPr>
          <w:szCs w:val="20"/>
          <w:lang w:val="en-US"/>
        </w:rPr>
        <w:t>the context</w:t>
      </w:r>
      <w:r w:rsidR="00FB5872" w:rsidRPr="001558A5">
        <w:rPr>
          <w:szCs w:val="20"/>
          <w:lang w:val="en-US"/>
        </w:rPr>
        <w:t xml:space="preserve"> </w:t>
      </w:r>
      <w:r w:rsidR="00433B75" w:rsidRPr="001558A5">
        <w:rPr>
          <w:szCs w:val="20"/>
          <w:lang w:val="en-US"/>
        </w:rPr>
        <w:t>of police violence against the LGBTI community, particularly trans women sex workers.</w:t>
      </w:r>
    </w:p>
    <w:p w14:paraId="0DA15D0E" w14:textId="6E06B7CC" w:rsidR="00D7462C" w:rsidRPr="001558A5" w:rsidRDefault="00433B75" w:rsidP="00945CE2">
      <w:pPr>
        <w:widowControl w:val="0"/>
        <w:numPr>
          <w:ilvl w:val="0"/>
          <w:numId w:val="2"/>
        </w:numPr>
        <w:spacing w:before="120" w:after="120"/>
        <w:ind w:left="0" w:firstLine="0"/>
        <w:rPr>
          <w:szCs w:val="20"/>
          <w:lang w:val="en-US"/>
        </w:rPr>
      </w:pPr>
      <w:r w:rsidRPr="001558A5">
        <w:rPr>
          <w:szCs w:val="20"/>
          <w:lang w:val="en-US"/>
        </w:rPr>
        <w:t>The arguments concerning discrimination due to stereotyp</w:t>
      </w:r>
      <w:r w:rsidR="006C6CCE" w:rsidRPr="001558A5">
        <w:rPr>
          <w:szCs w:val="20"/>
          <w:lang w:val="en-US"/>
        </w:rPr>
        <w:t>ing</w:t>
      </w:r>
      <w:r w:rsidRPr="001558A5">
        <w:rPr>
          <w:szCs w:val="20"/>
          <w:lang w:val="en-US"/>
        </w:rPr>
        <w:t xml:space="preserve"> and the failure to adopt a gender-based approach in the investigation will be analyzed in the following section.</w:t>
      </w:r>
    </w:p>
    <w:p w14:paraId="59D0BB29" w14:textId="51D9240D" w:rsidR="0069043B" w:rsidRPr="001558A5" w:rsidRDefault="00433B75" w:rsidP="00945CE2">
      <w:pPr>
        <w:widowControl w:val="0"/>
        <w:numPr>
          <w:ilvl w:val="0"/>
          <w:numId w:val="2"/>
        </w:numPr>
        <w:spacing w:before="120" w:after="120"/>
        <w:ind w:left="0" w:firstLine="0"/>
        <w:rPr>
          <w:szCs w:val="20"/>
          <w:lang w:val="en-US"/>
        </w:rPr>
      </w:pPr>
      <w:r w:rsidRPr="001558A5">
        <w:rPr>
          <w:szCs w:val="20"/>
          <w:lang w:val="en-US"/>
        </w:rPr>
        <w:t xml:space="preserve">Lastly, regarding the alleged legal obstacles arising from the adoption of amnesty decree </w:t>
      </w:r>
      <w:r w:rsidR="00D7462C" w:rsidRPr="001558A5">
        <w:rPr>
          <w:rFonts w:eastAsia="Cambria" w:cs="Cambria"/>
          <w:szCs w:val="20"/>
          <w:lang w:val="en-US"/>
        </w:rPr>
        <w:t>No 2-2010</w:t>
      </w:r>
      <w:r w:rsidR="00E532A9" w:rsidRPr="001558A5">
        <w:rPr>
          <w:szCs w:val="20"/>
          <w:lang w:val="en-US"/>
        </w:rPr>
        <w:t>,</w:t>
      </w:r>
      <w:r w:rsidRPr="001558A5">
        <w:rPr>
          <w:szCs w:val="20"/>
          <w:lang w:val="en-US"/>
        </w:rPr>
        <w:t xml:space="preserve"> the Court notes that the said decree was not applied to the facts of this case and, therefore, will not issue a ruling in this regard</w:t>
      </w:r>
      <w:r w:rsidR="00D7462C" w:rsidRPr="001558A5">
        <w:rPr>
          <w:szCs w:val="20"/>
          <w:lang w:val="en-US"/>
        </w:rPr>
        <w:t>.</w:t>
      </w:r>
    </w:p>
    <w:p w14:paraId="4A71B35C" w14:textId="6ECAE3AF" w:rsidR="00591040" w:rsidRPr="001558A5" w:rsidRDefault="0087269F" w:rsidP="00B42396">
      <w:pPr>
        <w:pStyle w:val="Ttulo3"/>
        <w:spacing w:before="240" w:after="240"/>
        <w:ind w:left="357" w:firstLine="69"/>
        <w:rPr>
          <w:b w:val="0"/>
          <w:snapToGrid w:val="0"/>
          <w:spacing w:val="-2"/>
          <w:szCs w:val="20"/>
          <w:lang w:val="en-US" w:eastAsia="es-ES"/>
        </w:rPr>
      </w:pPr>
      <w:bookmarkStart w:id="99" w:name="_Toc73430058"/>
      <w:r w:rsidRPr="001558A5">
        <w:rPr>
          <w:b w:val="0"/>
          <w:snapToGrid w:val="0"/>
          <w:spacing w:val="-2"/>
          <w:szCs w:val="20"/>
          <w:lang w:val="en-US" w:eastAsia="es-ES"/>
        </w:rPr>
        <w:t>B.</w:t>
      </w:r>
      <w:r w:rsidR="00190386" w:rsidRPr="001558A5">
        <w:rPr>
          <w:b w:val="0"/>
          <w:snapToGrid w:val="0"/>
          <w:spacing w:val="-2"/>
          <w:szCs w:val="20"/>
          <w:lang w:val="en-US" w:eastAsia="es-ES"/>
        </w:rPr>
        <w:t>3</w:t>
      </w:r>
      <w:r w:rsidRPr="001558A5">
        <w:rPr>
          <w:b w:val="0"/>
          <w:snapToGrid w:val="0"/>
          <w:spacing w:val="-2"/>
          <w:szCs w:val="20"/>
          <w:lang w:val="en-US" w:eastAsia="es-ES"/>
        </w:rPr>
        <w:t xml:space="preserve">. </w:t>
      </w:r>
      <w:bookmarkEnd w:id="99"/>
      <w:r w:rsidR="006C6CCE" w:rsidRPr="001558A5">
        <w:rPr>
          <w:b w:val="0"/>
          <w:snapToGrid w:val="0"/>
          <w:spacing w:val="-2"/>
          <w:szCs w:val="20"/>
          <w:lang w:val="en-US" w:eastAsia="es-ES"/>
        </w:rPr>
        <w:t>T</w:t>
      </w:r>
      <w:r w:rsidR="00433B75" w:rsidRPr="001558A5">
        <w:rPr>
          <w:b w:val="0"/>
          <w:snapToGrid w:val="0"/>
          <w:spacing w:val="-2"/>
          <w:szCs w:val="20"/>
          <w:lang w:val="en-US" w:eastAsia="es-ES"/>
        </w:rPr>
        <w:t>he alleged violation of the rights to</w:t>
      </w:r>
      <w:r w:rsidR="001B3E02" w:rsidRPr="001558A5">
        <w:rPr>
          <w:b w:val="0"/>
          <w:snapToGrid w:val="0"/>
          <w:spacing w:val="-2"/>
          <w:szCs w:val="20"/>
          <w:lang w:val="en-US" w:eastAsia="es-ES"/>
        </w:rPr>
        <w:t xml:space="preserve"> </w:t>
      </w:r>
      <w:r w:rsidR="00907FBD" w:rsidRPr="001558A5">
        <w:rPr>
          <w:b w:val="0"/>
          <w:snapToGrid w:val="0"/>
          <w:spacing w:val="-2"/>
          <w:szCs w:val="20"/>
          <w:lang w:val="en-US" w:eastAsia="es-ES"/>
        </w:rPr>
        <w:t>recognition of juridical personality</w:t>
      </w:r>
      <w:r w:rsidR="001B3E02" w:rsidRPr="001558A5">
        <w:rPr>
          <w:b w:val="0"/>
          <w:snapToGrid w:val="0"/>
          <w:spacing w:val="-2"/>
          <w:szCs w:val="20"/>
          <w:lang w:val="en-US" w:eastAsia="es-ES"/>
        </w:rPr>
        <w:t xml:space="preserve">, </w:t>
      </w:r>
      <w:r w:rsidR="004A4A92" w:rsidRPr="001558A5">
        <w:rPr>
          <w:b w:val="0"/>
          <w:snapToGrid w:val="0"/>
          <w:spacing w:val="-2"/>
          <w:szCs w:val="20"/>
          <w:lang w:val="en-US" w:eastAsia="es-ES"/>
        </w:rPr>
        <w:t>personal liberty</w:t>
      </w:r>
      <w:r w:rsidR="001B3E02" w:rsidRPr="001558A5">
        <w:rPr>
          <w:b w:val="0"/>
          <w:snapToGrid w:val="0"/>
          <w:spacing w:val="-2"/>
          <w:szCs w:val="20"/>
          <w:lang w:val="en-US" w:eastAsia="es-ES"/>
        </w:rPr>
        <w:t xml:space="preserve">, </w:t>
      </w:r>
      <w:r w:rsidR="00433B75" w:rsidRPr="001558A5">
        <w:rPr>
          <w:b w:val="0"/>
          <w:snapToGrid w:val="0"/>
          <w:spacing w:val="-2"/>
          <w:szCs w:val="20"/>
          <w:lang w:val="en-US" w:eastAsia="es-ES"/>
        </w:rPr>
        <w:t>privacy</w:t>
      </w:r>
      <w:r w:rsidR="001B3E02" w:rsidRPr="001558A5">
        <w:rPr>
          <w:b w:val="0"/>
          <w:snapToGrid w:val="0"/>
          <w:spacing w:val="-2"/>
          <w:szCs w:val="20"/>
          <w:lang w:val="en-US" w:eastAsia="es-ES"/>
        </w:rPr>
        <w:t xml:space="preserve">, </w:t>
      </w:r>
      <w:r w:rsidR="00B732DD" w:rsidRPr="001558A5">
        <w:rPr>
          <w:b w:val="0"/>
          <w:snapToGrid w:val="0"/>
          <w:spacing w:val="-2"/>
          <w:szCs w:val="20"/>
          <w:lang w:val="en-US" w:eastAsia="es-ES"/>
        </w:rPr>
        <w:t>freedom of expression</w:t>
      </w:r>
      <w:r w:rsidR="001B3E02" w:rsidRPr="001558A5">
        <w:rPr>
          <w:b w:val="0"/>
          <w:snapToGrid w:val="0"/>
          <w:spacing w:val="-2"/>
          <w:szCs w:val="20"/>
          <w:lang w:val="en-US" w:eastAsia="es-ES"/>
        </w:rPr>
        <w:t>, a</w:t>
      </w:r>
      <w:r w:rsidR="00433B75" w:rsidRPr="001558A5">
        <w:rPr>
          <w:b w:val="0"/>
          <w:snapToGrid w:val="0"/>
          <w:spacing w:val="-2"/>
          <w:szCs w:val="20"/>
          <w:lang w:val="en-US" w:eastAsia="es-ES"/>
        </w:rPr>
        <w:t xml:space="preserve"> name,</w:t>
      </w:r>
      <w:r w:rsidR="00DD4354" w:rsidRPr="001558A5">
        <w:rPr>
          <w:b w:val="0"/>
          <w:snapToGrid w:val="0"/>
          <w:spacing w:val="-2"/>
          <w:szCs w:val="20"/>
          <w:lang w:val="en-US" w:eastAsia="es-ES"/>
        </w:rPr>
        <w:t xml:space="preserve"> and</w:t>
      </w:r>
      <w:r w:rsidR="001B3E02" w:rsidRPr="001558A5">
        <w:rPr>
          <w:b w:val="0"/>
          <w:snapToGrid w:val="0"/>
          <w:spacing w:val="-2"/>
          <w:szCs w:val="20"/>
          <w:lang w:val="en-US" w:eastAsia="es-ES"/>
        </w:rPr>
        <w:t xml:space="preserve"> </w:t>
      </w:r>
      <w:r w:rsidR="00B732DD" w:rsidRPr="001558A5">
        <w:rPr>
          <w:b w:val="0"/>
          <w:snapToGrid w:val="0"/>
          <w:spacing w:val="-2"/>
          <w:szCs w:val="20"/>
          <w:lang w:val="en-US" w:eastAsia="es-ES"/>
        </w:rPr>
        <w:t>equality and non-discrimination</w:t>
      </w:r>
      <w:r w:rsidR="001B3E02" w:rsidRPr="001558A5">
        <w:rPr>
          <w:b w:val="0"/>
          <w:snapToGrid w:val="0"/>
          <w:spacing w:val="-2"/>
          <w:szCs w:val="20"/>
          <w:lang w:val="en-US" w:eastAsia="es-ES"/>
        </w:rPr>
        <w:t xml:space="preserve"> </w:t>
      </w:r>
      <w:r w:rsidR="00433B75" w:rsidRPr="001558A5">
        <w:rPr>
          <w:b w:val="0"/>
          <w:snapToGrid w:val="0"/>
          <w:spacing w:val="-2"/>
          <w:szCs w:val="20"/>
          <w:lang w:val="en-US" w:eastAsia="es-ES"/>
        </w:rPr>
        <w:t xml:space="preserve">to the detriment </w:t>
      </w:r>
      <w:r w:rsidR="00B43A52" w:rsidRPr="001558A5">
        <w:rPr>
          <w:b w:val="0"/>
          <w:snapToGrid w:val="0"/>
          <w:spacing w:val="-2"/>
          <w:szCs w:val="20"/>
          <w:lang w:val="en-US" w:eastAsia="es-ES"/>
        </w:rPr>
        <w:t>of</w:t>
      </w:r>
      <w:r w:rsidR="001B3E02" w:rsidRPr="001558A5">
        <w:rPr>
          <w:b w:val="0"/>
          <w:snapToGrid w:val="0"/>
          <w:spacing w:val="-2"/>
          <w:szCs w:val="20"/>
          <w:lang w:val="en-US" w:eastAsia="es-ES"/>
        </w:rPr>
        <w:t xml:space="preserve"> Vicky Hernández</w:t>
      </w:r>
    </w:p>
    <w:p w14:paraId="2DEA7950" w14:textId="6E500032" w:rsidR="00CD7A26" w:rsidRPr="001558A5" w:rsidRDefault="009C1D76" w:rsidP="009C1D76">
      <w:pPr>
        <w:widowControl w:val="0"/>
        <w:numPr>
          <w:ilvl w:val="0"/>
          <w:numId w:val="2"/>
        </w:numPr>
        <w:spacing w:before="120" w:after="120"/>
        <w:ind w:left="0" w:firstLine="0"/>
        <w:rPr>
          <w:rFonts w:eastAsia="Verdana" w:cs="Verdana"/>
          <w:szCs w:val="20"/>
          <w:lang w:val="en-US"/>
        </w:rPr>
      </w:pPr>
      <w:r w:rsidRPr="001558A5">
        <w:rPr>
          <w:rFonts w:eastAsia="Verdana" w:cs="Verdana"/>
          <w:szCs w:val="20"/>
          <w:lang w:val="en-US"/>
        </w:rPr>
        <w:t>With regard to the arguments relating to the rights to</w:t>
      </w:r>
      <w:r w:rsidR="00A57B8C" w:rsidRPr="001558A5">
        <w:rPr>
          <w:rFonts w:eastAsia="Verdana" w:cs="Verdana"/>
          <w:szCs w:val="20"/>
          <w:lang w:val="en-US"/>
        </w:rPr>
        <w:t xml:space="preserve"> </w:t>
      </w:r>
      <w:r w:rsidR="00907FBD" w:rsidRPr="001558A5">
        <w:rPr>
          <w:rFonts w:eastAsia="Verdana" w:cs="Verdana"/>
          <w:szCs w:val="20"/>
          <w:lang w:val="en-US"/>
        </w:rPr>
        <w:t>recognition of juridical personality</w:t>
      </w:r>
      <w:r w:rsidR="00F74C6B" w:rsidRPr="001558A5">
        <w:rPr>
          <w:rFonts w:eastAsia="Verdana" w:cs="Verdana"/>
          <w:szCs w:val="20"/>
          <w:lang w:val="en-US"/>
        </w:rPr>
        <w:t>,</w:t>
      </w:r>
      <w:r w:rsidRPr="001558A5">
        <w:rPr>
          <w:rFonts w:eastAsia="Verdana" w:cs="Verdana"/>
          <w:szCs w:val="20"/>
          <w:lang w:val="en-US"/>
        </w:rPr>
        <w:t xml:space="preserve"> personal liberty, privacy, </w:t>
      </w:r>
      <w:r w:rsidR="00B732DD" w:rsidRPr="001558A5">
        <w:rPr>
          <w:rFonts w:eastAsia="Verdana" w:cs="Verdana"/>
          <w:szCs w:val="20"/>
          <w:lang w:val="en-US"/>
        </w:rPr>
        <w:t>freedom of expression</w:t>
      </w:r>
      <w:r w:rsidR="00F74C6B" w:rsidRPr="001558A5">
        <w:rPr>
          <w:rFonts w:eastAsia="Verdana" w:cs="Verdana"/>
          <w:szCs w:val="20"/>
          <w:lang w:val="en-US"/>
        </w:rPr>
        <w:t xml:space="preserve">, </w:t>
      </w:r>
      <w:r w:rsidRPr="001558A5">
        <w:rPr>
          <w:rFonts w:eastAsia="Verdana" w:cs="Verdana"/>
          <w:szCs w:val="20"/>
          <w:lang w:val="en-US"/>
        </w:rPr>
        <w:t>a name,</w:t>
      </w:r>
      <w:r w:rsidR="00F74C6B" w:rsidRPr="001558A5">
        <w:rPr>
          <w:rFonts w:eastAsia="Verdana" w:cs="Verdana"/>
          <w:szCs w:val="20"/>
          <w:lang w:val="en-US"/>
        </w:rPr>
        <w:t xml:space="preserve"> </w:t>
      </w:r>
      <w:r w:rsidR="00B732DD" w:rsidRPr="001558A5">
        <w:rPr>
          <w:rFonts w:eastAsia="Verdana" w:cs="Verdana"/>
          <w:szCs w:val="20"/>
          <w:lang w:val="en-US"/>
        </w:rPr>
        <w:t>equality and non-discrimination</w:t>
      </w:r>
      <w:r w:rsidR="00DD4354" w:rsidRPr="001558A5">
        <w:rPr>
          <w:rFonts w:eastAsia="Verdana" w:cs="Verdana"/>
          <w:szCs w:val="20"/>
          <w:lang w:val="en-US"/>
        </w:rPr>
        <w:t xml:space="preserve"> and</w:t>
      </w:r>
      <w:r w:rsidRPr="001558A5">
        <w:rPr>
          <w:rFonts w:eastAsia="Verdana" w:cs="Verdana"/>
          <w:szCs w:val="20"/>
          <w:lang w:val="en-US"/>
        </w:rPr>
        <w:t xml:space="preserve">, more generally, the right to </w:t>
      </w:r>
      <w:r w:rsidR="00DF7573" w:rsidRPr="001558A5">
        <w:rPr>
          <w:rFonts w:eastAsia="Verdana" w:cs="Verdana"/>
          <w:szCs w:val="20"/>
          <w:lang w:val="en-US"/>
        </w:rPr>
        <w:t>gender identity</w:t>
      </w:r>
      <w:r w:rsidR="00DC2B8D" w:rsidRPr="001558A5">
        <w:rPr>
          <w:rFonts w:eastAsia="Verdana" w:cs="Verdana"/>
          <w:szCs w:val="20"/>
          <w:lang w:val="en-US"/>
        </w:rPr>
        <w:t xml:space="preserve">, </w:t>
      </w:r>
      <w:r w:rsidRPr="001558A5">
        <w:rPr>
          <w:rFonts w:eastAsia="Verdana" w:cs="Verdana"/>
          <w:szCs w:val="20"/>
          <w:lang w:val="en-US"/>
        </w:rPr>
        <w:t>the Court notes that the</w:t>
      </w:r>
      <w:r w:rsidR="00D7388E" w:rsidRPr="001558A5">
        <w:rPr>
          <w:rFonts w:eastAsia="Verdana" w:cs="Verdana"/>
          <w:szCs w:val="20"/>
          <w:lang w:val="en-US"/>
        </w:rPr>
        <w:t>se</w:t>
      </w:r>
      <w:r w:rsidRPr="001558A5">
        <w:rPr>
          <w:rFonts w:eastAsia="Verdana" w:cs="Verdana"/>
          <w:szCs w:val="20"/>
          <w:lang w:val="en-US"/>
        </w:rPr>
        <w:t xml:space="preserve"> re</w:t>
      </w:r>
      <w:r w:rsidR="00D7388E" w:rsidRPr="001558A5">
        <w:rPr>
          <w:rFonts w:eastAsia="Verdana" w:cs="Verdana"/>
          <w:szCs w:val="20"/>
          <w:lang w:val="en-US"/>
        </w:rPr>
        <w:t>fer</w:t>
      </w:r>
      <w:r w:rsidRPr="001558A5">
        <w:rPr>
          <w:rFonts w:eastAsia="Verdana" w:cs="Verdana"/>
          <w:szCs w:val="20"/>
          <w:lang w:val="en-US"/>
        </w:rPr>
        <w:t xml:space="preserve"> to violations </w:t>
      </w:r>
      <w:r w:rsidR="00D7388E" w:rsidRPr="001558A5">
        <w:rPr>
          <w:rFonts w:eastAsia="Verdana" w:cs="Verdana"/>
          <w:szCs w:val="20"/>
          <w:lang w:val="en-US"/>
        </w:rPr>
        <w:t>relating to</w:t>
      </w:r>
      <w:r w:rsidRPr="001558A5">
        <w:rPr>
          <w:rFonts w:eastAsia="Verdana" w:cs="Verdana"/>
          <w:szCs w:val="20"/>
          <w:lang w:val="en-US"/>
        </w:rPr>
        <w:t xml:space="preserve"> three different </w:t>
      </w:r>
      <w:r w:rsidR="00D7388E" w:rsidRPr="001558A5">
        <w:rPr>
          <w:rFonts w:eastAsia="Verdana" w:cs="Verdana"/>
          <w:szCs w:val="20"/>
          <w:lang w:val="en-US"/>
        </w:rPr>
        <w:t>aspects</w:t>
      </w:r>
      <w:r w:rsidRPr="001558A5">
        <w:rPr>
          <w:rFonts w:eastAsia="Verdana" w:cs="Verdana"/>
          <w:szCs w:val="20"/>
          <w:lang w:val="en-US"/>
        </w:rPr>
        <w:t xml:space="preserve">: (a) </w:t>
      </w:r>
      <w:r w:rsidR="00D7388E" w:rsidRPr="001558A5">
        <w:rPr>
          <w:rFonts w:eastAsia="Verdana" w:cs="Verdana"/>
          <w:szCs w:val="20"/>
          <w:lang w:val="en-US"/>
        </w:rPr>
        <w:t>as a</w:t>
      </w:r>
      <w:r w:rsidRPr="001558A5">
        <w:rPr>
          <w:rFonts w:eastAsia="Verdana" w:cs="Verdana"/>
          <w:szCs w:val="20"/>
          <w:lang w:val="en-US"/>
        </w:rPr>
        <w:t xml:space="preserve"> result of the murder of Vicky Hernández; (b) in the context of the investigations into this murder, and (c) in the general legal framework of the State of Honduras that did not recognize </w:t>
      </w:r>
      <w:r w:rsidR="00D06A55" w:rsidRPr="001558A5">
        <w:rPr>
          <w:rFonts w:eastAsia="Verdana" w:cs="Verdana"/>
          <w:szCs w:val="20"/>
          <w:lang w:val="en-US"/>
        </w:rPr>
        <w:t>Vicky Hernández</w:t>
      </w:r>
      <w:r w:rsidR="00D7388E" w:rsidRPr="001558A5">
        <w:rPr>
          <w:rFonts w:eastAsia="Verdana" w:cs="Verdana"/>
          <w:szCs w:val="20"/>
          <w:lang w:val="en-US"/>
        </w:rPr>
        <w:t>’s gender identity</w:t>
      </w:r>
      <w:r w:rsidR="00D06A55" w:rsidRPr="001558A5">
        <w:rPr>
          <w:rFonts w:eastAsia="Verdana" w:cs="Verdana"/>
          <w:szCs w:val="20"/>
          <w:lang w:val="en-US"/>
        </w:rPr>
        <w:t>.</w:t>
      </w:r>
    </w:p>
    <w:p w14:paraId="228717B2" w14:textId="28E344A5" w:rsidR="006428E3" w:rsidRPr="001558A5" w:rsidRDefault="009C1D76" w:rsidP="006B1B6A">
      <w:pPr>
        <w:widowControl w:val="0"/>
        <w:numPr>
          <w:ilvl w:val="0"/>
          <w:numId w:val="2"/>
        </w:numPr>
        <w:autoSpaceDE w:val="0"/>
        <w:autoSpaceDN w:val="0"/>
        <w:adjustRightInd w:val="0"/>
        <w:spacing w:before="120" w:after="120"/>
        <w:ind w:left="0" w:firstLine="0"/>
        <w:rPr>
          <w:rFonts w:eastAsia="Verdana" w:cs="Verdana"/>
          <w:szCs w:val="20"/>
          <w:lang w:val="en-US"/>
        </w:rPr>
      </w:pPr>
      <w:r w:rsidRPr="001558A5">
        <w:rPr>
          <w:szCs w:val="20"/>
          <w:lang w:val="en-US"/>
        </w:rPr>
        <w:t xml:space="preserve">First, it should be noted that </w:t>
      </w:r>
      <w:r w:rsidR="00D7388E" w:rsidRPr="001558A5">
        <w:rPr>
          <w:szCs w:val="20"/>
          <w:lang w:val="en-US"/>
        </w:rPr>
        <w:t>there are indications that</w:t>
      </w:r>
      <w:r w:rsidRPr="001558A5">
        <w:rPr>
          <w:szCs w:val="20"/>
          <w:lang w:val="en-US"/>
        </w:rPr>
        <w:t xml:space="preserve"> lead to a reasonable assumption that the violence against </w:t>
      </w:r>
      <w:r w:rsidR="00B2344C" w:rsidRPr="001558A5">
        <w:rPr>
          <w:szCs w:val="20"/>
          <w:lang w:val="en-US"/>
        </w:rPr>
        <w:t>Vicky Hernández</w:t>
      </w:r>
      <w:r w:rsidRPr="001558A5">
        <w:rPr>
          <w:szCs w:val="20"/>
          <w:lang w:val="en-US"/>
        </w:rPr>
        <w:t xml:space="preserve"> culmina</w:t>
      </w:r>
      <w:r w:rsidR="00D7388E" w:rsidRPr="001558A5">
        <w:rPr>
          <w:szCs w:val="20"/>
          <w:lang w:val="en-US"/>
        </w:rPr>
        <w:t>ting</w:t>
      </w:r>
      <w:r w:rsidRPr="001558A5">
        <w:rPr>
          <w:szCs w:val="20"/>
          <w:lang w:val="en-US"/>
        </w:rPr>
        <w:t xml:space="preserve"> in her death was very probably committed for gender-based reasons and/or due to her </w:t>
      </w:r>
      <w:r w:rsidR="002C5430" w:rsidRPr="001558A5">
        <w:rPr>
          <w:szCs w:val="20"/>
          <w:lang w:val="en-US"/>
        </w:rPr>
        <w:t>gender expression</w:t>
      </w:r>
      <w:r w:rsidR="00B2344C" w:rsidRPr="001558A5">
        <w:rPr>
          <w:szCs w:val="20"/>
          <w:lang w:val="en-US"/>
        </w:rPr>
        <w:t xml:space="preserve"> o</w:t>
      </w:r>
      <w:r w:rsidRPr="001558A5">
        <w:rPr>
          <w:szCs w:val="20"/>
          <w:lang w:val="en-US"/>
        </w:rPr>
        <w:t>r</w:t>
      </w:r>
      <w:r w:rsidR="00B2344C" w:rsidRPr="001558A5">
        <w:rPr>
          <w:szCs w:val="20"/>
          <w:lang w:val="en-US"/>
        </w:rPr>
        <w:t xml:space="preserve"> </w:t>
      </w:r>
      <w:r w:rsidRPr="001558A5">
        <w:rPr>
          <w:szCs w:val="20"/>
          <w:lang w:val="en-US"/>
        </w:rPr>
        <w:t>her</w:t>
      </w:r>
      <w:r w:rsidR="00B2344C" w:rsidRPr="001558A5">
        <w:rPr>
          <w:szCs w:val="20"/>
          <w:lang w:val="en-US"/>
        </w:rPr>
        <w:t xml:space="preserve"> </w:t>
      </w:r>
      <w:r w:rsidR="00DF7573" w:rsidRPr="001558A5">
        <w:rPr>
          <w:szCs w:val="20"/>
          <w:lang w:val="en-US"/>
        </w:rPr>
        <w:t>gender identity</w:t>
      </w:r>
      <w:r w:rsidR="00B2344C" w:rsidRPr="001558A5">
        <w:rPr>
          <w:szCs w:val="20"/>
          <w:lang w:val="en-US"/>
        </w:rPr>
        <w:t xml:space="preserve">. </w:t>
      </w:r>
      <w:r w:rsidRPr="001558A5">
        <w:rPr>
          <w:szCs w:val="20"/>
          <w:lang w:val="en-US"/>
        </w:rPr>
        <w:t xml:space="preserve">In addition, evidence exists that permits </w:t>
      </w:r>
      <w:r w:rsidR="00D7388E" w:rsidRPr="001558A5">
        <w:rPr>
          <w:szCs w:val="20"/>
          <w:lang w:val="en-US"/>
        </w:rPr>
        <w:t>presuming</w:t>
      </w:r>
      <w:r w:rsidRPr="001558A5">
        <w:rPr>
          <w:szCs w:val="20"/>
          <w:lang w:val="en-US"/>
        </w:rPr>
        <w:t xml:space="preserve"> that </w:t>
      </w:r>
      <w:r w:rsidR="00B2344C" w:rsidRPr="001558A5">
        <w:rPr>
          <w:szCs w:val="20"/>
          <w:lang w:val="en-US"/>
        </w:rPr>
        <w:t xml:space="preserve">Vicky Hernández </w:t>
      </w:r>
      <w:r w:rsidRPr="001558A5">
        <w:rPr>
          <w:szCs w:val="20"/>
          <w:lang w:val="en-US"/>
        </w:rPr>
        <w:t>could have been a victim of sexual violence. Some of the specific elements that point towards these conclusions are: (a)</w:t>
      </w:r>
      <w:r w:rsidR="00B2344C" w:rsidRPr="001558A5">
        <w:rPr>
          <w:szCs w:val="20"/>
          <w:lang w:val="en-US"/>
        </w:rPr>
        <w:t xml:space="preserve"> </w:t>
      </w:r>
      <w:r w:rsidR="00DD4354" w:rsidRPr="001558A5">
        <w:rPr>
          <w:szCs w:val="20"/>
          <w:lang w:val="en-US"/>
        </w:rPr>
        <w:t>the context</w:t>
      </w:r>
      <w:r w:rsidR="00B2344C" w:rsidRPr="001558A5">
        <w:rPr>
          <w:szCs w:val="20"/>
          <w:lang w:val="en-US"/>
        </w:rPr>
        <w:t xml:space="preserve"> </w:t>
      </w:r>
      <w:r w:rsidRPr="001558A5">
        <w:rPr>
          <w:szCs w:val="20"/>
          <w:lang w:val="en-US"/>
        </w:rPr>
        <w:t>of</w:t>
      </w:r>
      <w:r w:rsidR="00B2344C" w:rsidRPr="001558A5">
        <w:rPr>
          <w:szCs w:val="20"/>
          <w:lang w:val="en-US"/>
        </w:rPr>
        <w:t xml:space="preserve"> </w:t>
      </w:r>
      <w:r w:rsidR="00215FEF" w:rsidRPr="001558A5">
        <w:rPr>
          <w:szCs w:val="20"/>
          <w:lang w:val="en-US"/>
        </w:rPr>
        <w:t>discrimination</w:t>
      </w:r>
      <w:r w:rsidR="00DD4354" w:rsidRPr="001558A5">
        <w:rPr>
          <w:szCs w:val="20"/>
          <w:lang w:val="en-US"/>
        </w:rPr>
        <w:t xml:space="preserve"> and</w:t>
      </w:r>
      <w:r w:rsidR="00215FEF" w:rsidRPr="001558A5">
        <w:rPr>
          <w:szCs w:val="20"/>
          <w:lang w:val="en-US"/>
        </w:rPr>
        <w:t xml:space="preserve"> violence </w:t>
      </w:r>
      <w:r w:rsidR="009460CA" w:rsidRPr="001558A5">
        <w:rPr>
          <w:szCs w:val="20"/>
          <w:lang w:val="en-US"/>
        </w:rPr>
        <w:t>against the LGBTI community</w:t>
      </w:r>
      <w:r w:rsidR="001A6E0E" w:rsidRPr="001558A5">
        <w:rPr>
          <w:szCs w:val="20"/>
          <w:lang w:val="en-US"/>
        </w:rPr>
        <w:t xml:space="preserve"> </w:t>
      </w:r>
      <w:r w:rsidR="00215FEF" w:rsidRPr="001558A5">
        <w:rPr>
          <w:szCs w:val="20"/>
          <w:lang w:val="en-US"/>
        </w:rPr>
        <w:t>in Honduras</w:t>
      </w:r>
      <w:r w:rsidR="00B2344C" w:rsidRPr="001558A5">
        <w:rPr>
          <w:szCs w:val="20"/>
          <w:lang w:val="en-US"/>
        </w:rPr>
        <w:t>, particular</w:t>
      </w:r>
      <w:r w:rsidRPr="001558A5">
        <w:rPr>
          <w:szCs w:val="20"/>
          <w:lang w:val="en-US"/>
        </w:rPr>
        <w:t xml:space="preserve">ly </w:t>
      </w:r>
      <w:r w:rsidR="006B1B6A" w:rsidRPr="001558A5">
        <w:rPr>
          <w:szCs w:val="20"/>
          <w:lang w:val="en-US"/>
        </w:rPr>
        <w:t xml:space="preserve">at the time </w:t>
      </w:r>
      <w:r w:rsidR="00D7388E" w:rsidRPr="001558A5">
        <w:rPr>
          <w:szCs w:val="20"/>
          <w:lang w:val="en-US"/>
        </w:rPr>
        <w:t>when</w:t>
      </w:r>
      <w:r w:rsidR="006B1B6A" w:rsidRPr="001558A5">
        <w:rPr>
          <w:szCs w:val="20"/>
          <w:lang w:val="en-US"/>
        </w:rPr>
        <w:t xml:space="preserve"> the death of </w:t>
      </w:r>
      <w:r w:rsidR="00B2344C" w:rsidRPr="001558A5">
        <w:rPr>
          <w:szCs w:val="20"/>
          <w:lang w:val="en-US"/>
        </w:rPr>
        <w:t>Vicky Hernández</w:t>
      </w:r>
      <w:r w:rsidR="006B1B6A" w:rsidRPr="001558A5">
        <w:rPr>
          <w:szCs w:val="20"/>
          <w:lang w:val="en-US"/>
        </w:rPr>
        <w:t xml:space="preserve"> occurred</w:t>
      </w:r>
      <w:r w:rsidR="00106BB1" w:rsidRPr="001558A5">
        <w:rPr>
          <w:szCs w:val="20"/>
          <w:lang w:val="en-US"/>
        </w:rPr>
        <w:t>;</w:t>
      </w:r>
      <w:r w:rsidR="00B2344C" w:rsidRPr="001558A5">
        <w:rPr>
          <w:szCs w:val="20"/>
          <w:lang w:val="en-US"/>
        </w:rPr>
        <w:t xml:space="preserve"> </w:t>
      </w:r>
      <w:r w:rsidR="006B1B6A" w:rsidRPr="001558A5">
        <w:rPr>
          <w:szCs w:val="20"/>
          <w:lang w:val="en-US"/>
        </w:rPr>
        <w:t>(</w:t>
      </w:r>
      <w:r w:rsidR="00B2344C" w:rsidRPr="001558A5">
        <w:rPr>
          <w:szCs w:val="20"/>
          <w:lang w:val="en-US"/>
        </w:rPr>
        <w:t>b)</w:t>
      </w:r>
      <w:r w:rsidR="006B1B6A" w:rsidRPr="001558A5">
        <w:rPr>
          <w:szCs w:val="20"/>
          <w:lang w:val="en-US"/>
        </w:rPr>
        <w:t xml:space="preserve"> the existence of a condom that had apparently been </w:t>
      </w:r>
      <w:r w:rsidR="00D7388E" w:rsidRPr="001558A5">
        <w:rPr>
          <w:szCs w:val="20"/>
          <w:lang w:val="en-US"/>
        </w:rPr>
        <w:t>us</w:t>
      </w:r>
      <w:r w:rsidR="006B1B6A" w:rsidRPr="001558A5">
        <w:rPr>
          <w:szCs w:val="20"/>
          <w:lang w:val="en-US"/>
        </w:rPr>
        <w:t xml:space="preserve">ed beside Vicky’s body; (c) the exposure of </w:t>
      </w:r>
      <w:r w:rsidR="006428E3" w:rsidRPr="001558A5">
        <w:rPr>
          <w:szCs w:val="20"/>
          <w:lang w:val="en-US"/>
        </w:rPr>
        <w:t>Vicky Hernández</w:t>
      </w:r>
      <w:r w:rsidR="006B1B6A" w:rsidRPr="001558A5">
        <w:rPr>
          <w:szCs w:val="20"/>
          <w:lang w:val="en-US"/>
        </w:rPr>
        <w:t xml:space="preserve">’s lifeless body </w:t>
      </w:r>
      <w:r w:rsidR="00D7388E" w:rsidRPr="001558A5">
        <w:rPr>
          <w:szCs w:val="20"/>
          <w:lang w:val="en-US"/>
        </w:rPr>
        <w:t>to</w:t>
      </w:r>
      <w:r w:rsidR="006B1B6A" w:rsidRPr="001558A5">
        <w:rPr>
          <w:szCs w:val="20"/>
          <w:lang w:val="en-US"/>
        </w:rPr>
        <w:t xml:space="preserve"> public view, dressed in her clothing as a sex worker; (d) her status as a defender of LGBTI persons and their rights, and (e) the nature of the injuries to her face (she had irregular wounds in her left eye and the left frontal region and </w:t>
      </w:r>
      <w:r w:rsidR="009F36EF" w:rsidRPr="001558A5">
        <w:rPr>
          <w:szCs w:val="20"/>
          <w:lang w:val="en-US"/>
        </w:rPr>
        <w:t>bruising</w:t>
      </w:r>
      <w:r w:rsidR="006B1B6A" w:rsidRPr="001558A5">
        <w:rPr>
          <w:szCs w:val="20"/>
          <w:lang w:val="en-US"/>
        </w:rPr>
        <w:t xml:space="preserve"> around her eye)</w:t>
      </w:r>
      <w:r w:rsidR="00D34C91" w:rsidRPr="001558A5">
        <w:rPr>
          <w:szCs w:val="20"/>
          <w:lang w:val="en-US"/>
        </w:rPr>
        <w:t xml:space="preserve"> (</w:t>
      </w:r>
      <w:r w:rsidR="00D34C91" w:rsidRPr="001558A5">
        <w:rPr>
          <w:i/>
          <w:iCs/>
          <w:szCs w:val="20"/>
          <w:lang w:val="en-US"/>
        </w:rPr>
        <w:t>supra</w:t>
      </w:r>
      <w:r w:rsidR="00D34C91" w:rsidRPr="001558A5">
        <w:rPr>
          <w:szCs w:val="20"/>
          <w:lang w:val="en-US"/>
        </w:rPr>
        <w:t xml:space="preserve"> </w:t>
      </w:r>
      <w:r w:rsidR="00B43A52" w:rsidRPr="001558A5">
        <w:rPr>
          <w:szCs w:val="20"/>
          <w:lang w:val="en-US"/>
        </w:rPr>
        <w:t>para.</w:t>
      </w:r>
      <w:r w:rsidR="00D34C91" w:rsidRPr="001558A5">
        <w:rPr>
          <w:szCs w:val="20"/>
          <w:lang w:val="en-US"/>
        </w:rPr>
        <w:t xml:space="preserve"> </w:t>
      </w:r>
      <w:r w:rsidR="00FB5872" w:rsidRPr="001558A5">
        <w:rPr>
          <w:szCs w:val="20"/>
          <w:lang w:val="en-US"/>
        </w:rPr>
        <w:t>45</w:t>
      </w:r>
      <w:r w:rsidR="00D34C91" w:rsidRPr="001558A5">
        <w:rPr>
          <w:szCs w:val="20"/>
          <w:lang w:val="en-US"/>
        </w:rPr>
        <w:t>).</w:t>
      </w:r>
    </w:p>
    <w:p w14:paraId="58BFBA09" w14:textId="3A08BED3" w:rsidR="00DF0E09" w:rsidRPr="001558A5" w:rsidRDefault="006B1B6A" w:rsidP="00C461FC">
      <w:pPr>
        <w:widowControl w:val="0"/>
        <w:numPr>
          <w:ilvl w:val="0"/>
          <w:numId w:val="2"/>
        </w:numPr>
        <w:spacing w:before="120" w:after="120"/>
        <w:ind w:left="0" w:firstLine="0"/>
        <w:rPr>
          <w:rFonts w:eastAsia="Verdana" w:cs="Verdana"/>
          <w:szCs w:val="20"/>
          <w:lang w:val="en-US"/>
        </w:rPr>
      </w:pPr>
      <w:r w:rsidRPr="001558A5">
        <w:rPr>
          <w:rFonts w:eastAsia="Verdana" w:cs="Verdana"/>
          <w:szCs w:val="20"/>
          <w:lang w:val="en-US"/>
        </w:rPr>
        <w:t>In addition</w:t>
      </w:r>
      <w:r w:rsidR="007D3AE6" w:rsidRPr="001558A5">
        <w:rPr>
          <w:rFonts w:eastAsia="Verdana" w:cs="Verdana"/>
          <w:szCs w:val="20"/>
          <w:lang w:val="en-US"/>
        </w:rPr>
        <w:t xml:space="preserve">, </w:t>
      </w:r>
      <w:r w:rsidR="00DD4354" w:rsidRPr="001558A5">
        <w:rPr>
          <w:rFonts w:eastAsia="Verdana" w:cs="Verdana"/>
          <w:szCs w:val="20"/>
          <w:lang w:val="en-US"/>
        </w:rPr>
        <w:t>the State</w:t>
      </w:r>
      <w:r w:rsidR="007D3AE6" w:rsidRPr="001558A5">
        <w:rPr>
          <w:rFonts w:eastAsia="Verdana" w:cs="Verdana"/>
          <w:szCs w:val="20"/>
          <w:lang w:val="en-US"/>
        </w:rPr>
        <w:t xml:space="preserve"> </w:t>
      </w:r>
      <w:r w:rsidR="00C461FC" w:rsidRPr="001558A5">
        <w:rPr>
          <w:rFonts w:eastAsia="Verdana" w:cs="Verdana"/>
          <w:szCs w:val="20"/>
          <w:lang w:val="en-US"/>
        </w:rPr>
        <w:t xml:space="preserve">recognized that the authorities had not conducted the investigations satisfactorily and, therefore, acknowledged its responsibility for a violation of the rights to </w:t>
      </w:r>
      <w:r w:rsidR="00B732DD" w:rsidRPr="001558A5">
        <w:rPr>
          <w:rFonts w:eastAsia="Verdana" w:cs="Verdana"/>
          <w:szCs w:val="20"/>
          <w:lang w:val="en-US"/>
        </w:rPr>
        <w:t>judicial guarantees</w:t>
      </w:r>
      <w:r w:rsidR="00DD4354" w:rsidRPr="001558A5">
        <w:rPr>
          <w:rFonts w:eastAsia="Verdana" w:cs="Verdana"/>
          <w:szCs w:val="20"/>
          <w:lang w:val="en-US"/>
        </w:rPr>
        <w:t xml:space="preserve"> and</w:t>
      </w:r>
      <w:r w:rsidR="007D3AE6" w:rsidRPr="001558A5">
        <w:rPr>
          <w:rFonts w:eastAsia="Verdana" w:cs="Verdana"/>
          <w:szCs w:val="20"/>
          <w:lang w:val="en-US"/>
        </w:rPr>
        <w:t xml:space="preserve"> </w:t>
      </w:r>
      <w:r w:rsidR="00B732DD" w:rsidRPr="001558A5">
        <w:rPr>
          <w:rFonts w:eastAsia="Verdana" w:cs="Verdana"/>
          <w:szCs w:val="20"/>
          <w:lang w:val="en-US"/>
        </w:rPr>
        <w:t>judicial protection</w:t>
      </w:r>
      <w:r w:rsidR="007D3AE6" w:rsidRPr="001558A5">
        <w:rPr>
          <w:rFonts w:eastAsia="Verdana" w:cs="Verdana"/>
          <w:szCs w:val="20"/>
          <w:lang w:val="en-US"/>
        </w:rPr>
        <w:t xml:space="preserve"> </w:t>
      </w:r>
      <w:r w:rsidR="00C461FC" w:rsidRPr="001558A5">
        <w:rPr>
          <w:rFonts w:eastAsia="Verdana" w:cs="Verdana"/>
          <w:szCs w:val="20"/>
          <w:lang w:val="en-US"/>
        </w:rPr>
        <w:t>contained in</w:t>
      </w:r>
      <w:r w:rsidR="007D3AE6" w:rsidRPr="001558A5">
        <w:rPr>
          <w:rFonts w:eastAsia="Verdana" w:cs="Verdana"/>
          <w:szCs w:val="20"/>
          <w:lang w:val="en-US"/>
        </w:rPr>
        <w:t xml:space="preserve"> </w:t>
      </w:r>
      <w:r w:rsidR="00871E19" w:rsidRPr="001558A5">
        <w:rPr>
          <w:rFonts w:eastAsia="Verdana" w:cs="Verdana"/>
          <w:szCs w:val="20"/>
          <w:lang w:val="en-US"/>
        </w:rPr>
        <w:t>Articles</w:t>
      </w:r>
      <w:r w:rsidR="007D3AE6" w:rsidRPr="001558A5">
        <w:rPr>
          <w:rFonts w:eastAsia="Verdana" w:cs="Verdana"/>
          <w:szCs w:val="20"/>
          <w:lang w:val="en-US"/>
        </w:rPr>
        <w:t xml:space="preserve"> </w:t>
      </w:r>
      <w:r w:rsidR="00B732DD" w:rsidRPr="001558A5">
        <w:rPr>
          <w:rFonts w:eastAsia="Verdana" w:cs="Verdana"/>
          <w:szCs w:val="20"/>
          <w:lang w:val="en-US"/>
        </w:rPr>
        <w:t>8(1)</w:t>
      </w:r>
      <w:r w:rsidR="00DD4354" w:rsidRPr="001558A5">
        <w:rPr>
          <w:rFonts w:eastAsia="Verdana" w:cs="Verdana"/>
          <w:szCs w:val="20"/>
          <w:lang w:val="en-US"/>
        </w:rPr>
        <w:t xml:space="preserve"> and </w:t>
      </w:r>
      <w:r w:rsidR="007D3AE6" w:rsidRPr="001558A5">
        <w:rPr>
          <w:rFonts w:eastAsia="Verdana" w:cs="Verdana"/>
          <w:szCs w:val="20"/>
          <w:lang w:val="en-US"/>
        </w:rPr>
        <w:t>25</w:t>
      </w:r>
      <w:r w:rsidR="00DD4354" w:rsidRPr="001558A5">
        <w:rPr>
          <w:rFonts w:eastAsia="Verdana" w:cs="Verdana"/>
          <w:szCs w:val="20"/>
          <w:lang w:val="en-US"/>
        </w:rPr>
        <w:t xml:space="preserve"> of the </w:t>
      </w:r>
      <w:r w:rsidR="00871E19" w:rsidRPr="001558A5">
        <w:rPr>
          <w:rFonts w:eastAsia="Verdana" w:cs="Verdana"/>
          <w:szCs w:val="20"/>
          <w:lang w:val="en-US"/>
        </w:rPr>
        <w:t>American Convention</w:t>
      </w:r>
      <w:r w:rsidR="007D3AE6" w:rsidRPr="001558A5">
        <w:rPr>
          <w:rFonts w:eastAsia="Verdana" w:cs="Verdana"/>
          <w:szCs w:val="20"/>
          <w:lang w:val="en-US"/>
        </w:rPr>
        <w:t xml:space="preserve"> (</w:t>
      </w:r>
      <w:r w:rsidR="007D3AE6" w:rsidRPr="001558A5">
        <w:rPr>
          <w:rFonts w:eastAsia="Verdana" w:cs="Verdana"/>
          <w:i/>
          <w:iCs/>
          <w:szCs w:val="20"/>
          <w:lang w:val="en-US"/>
        </w:rPr>
        <w:t>supra</w:t>
      </w:r>
      <w:r w:rsidR="007D3AE6" w:rsidRPr="001558A5">
        <w:rPr>
          <w:rFonts w:eastAsia="Verdana" w:cs="Verdana"/>
          <w:szCs w:val="20"/>
          <w:lang w:val="en-US"/>
        </w:rPr>
        <w:t xml:space="preserve"> </w:t>
      </w:r>
      <w:r w:rsidR="00907FBD" w:rsidRPr="001558A5">
        <w:rPr>
          <w:rFonts w:eastAsia="Verdana" w:cs="Verdana"/>
          <w:szCs w:val="20"/>
          <w:lang w:val="en-US"/>
        </w:rPr>
        <w:t>Chapter</w:t>
      </w:r>
      <w:r w:rsidR="00FB5872" w:rsidRPr="001558A5">
        <w:rPr>
          <w:rFonts w:eastAsia="Verdana" w:cs="Verdana"/>
          <w:szCs w:val="20"/>
          <w:lang w:val="en-US"/>
        </w:rPr>
        <w:t xml:space="preserve"> IV.A</w:t>
      </w:r>
      <w:r w:rsidR="007D3AE6" w:rsidRPr="001558A5">
        <w:rPr>
          <w:rFonts w:eastAsia="Verdana" w:cs="Verdana"/>
          <w:szCs w:val="20"/>
          <w:lang w:val="en-US"/>
        </w:rPr>
        <w:t xml:space="preserve">). </w:t>
      </w:r>
      <w:r w:rsidR="00C461FC" w:rsidRPr="001558A5">
        <w:rPr>
          <w:rFonts w:eastAsia="Verdana" w:cs="Verdana"/>
          <w:szCs w:val="20"/>
          <w:lang w:val="en-US"/>
        </w:rPr>
        <w:t xml:space="preserve">In addition, during those investigations, the Honduran authorities: (a) failed to follow a line of investigation related to Vicky Hernández’s work as an activist within the trans organization, </w:t>
      </w:r>
      <w:proofErr w:type="spellStart"/>
      <w:r w:rsidR="00C461FC" w:rsidRPr="001558A5">
        <w:rPr>
          <w:i/>
          <w:iCs/>
          <w:szCs w:val="20"/>
          <w:lang w:val="en-US"/>
        </w:rPr>
        <w:t>Colectivo</w:t>
      </w:r>
      <w:proofErr w:type="spellEnd"/>
      <w:r w:rsidR="00C461FC" w:rsidRPr="001558A5">
        <w:rPr>
          <w:i/>
          <w:iCs/>
          <w:szCs w:val="20"/>
          <w:lang w:val="en-US"/>
        </w:rPr>
        <w:t xml:space="preserve"> </w:t>
      </w:r>
      <w:proofErr w:type="spellStart"/>
      <w:r w:rsidR="00C461FC" w:rsidRPr="001558A5">
        <w:rPr>
          <w:i/>
          <w:iCs/>
          <w:szCs w:val="20"/>
          <w:lang w:val="en-US"/>
        </w:rPr>
        <w:t>Unidad</w:t>
      </w:r>
      <w:proofErr w:type="spellEnd"/>
      <w:r w:rsidR="00C461FC" w:rsidRPr="001558A5">
        <w:rPr>
          <w:i/>
          <w:iCs/>
          <w:szCs w:val="20"/>
          <w:lang w:val="en-US"/>
        </w:rPr>
        <w:t xml:space="preserve"> Color Rosa</w:t>
      </w:r>
      <w:r w:rsidR="00C461FC" w:rsidRPr="001558A5">
        <w:rPr>
          <w:rFonts w:eastAsia="Verdana" w:cs="Verdana"/>
          <w:szCs w:val="20"/>
          <w:lang w:val="en-US"/>
        </w:rPr>
        <w:t>; (b) failed to look into facts such as a possible hate crime based on gender identity</w:t>
      </w:r>
      <w:r w:rsidR="00D7388E" w:rsidRPr="001558A5">
        <w:rPr>
          <w:rFonts w:eastAsia="Verdana" w:cs="Verdana"/>
          <w:szCs w:val="20"/>
          <w:lang w:val="en-US"/>
        </w:rPr>
        <w:t>,</w:t>
      </w:r>
      <w:r w:rsidR="00BD556B" w:rsidRPr="001558A5">
        <w:rPr>
          <w:rFonts w:eastAsia="Verdana" w:cs="Verdana"/>
          <w:szCs w:val="20"/>
          <w:lang w:val="en-US"/>
        </w:rPr>
        <w:t xml:space="preserve"> despite the existence of a context of such crimes; (c) according to the case file, classified the murder as a possible crime of passion; (d) failed to perform the corresponding tests to determine whether Vicky Hernández was a victim of sexual violence, and (e) recorded Vicky Hernández’s sex/gender as masculine and, in general, identified her as a man</w:t>
      </w:r>
      <w:r w:rsidR="0032022A" w:rsidRPr="001558A5">
        <w:rPr>
          <w:rFonts w:eastAsia="Verdana" w:cs="Verdana"/>
          <w:szCs w:val="20"/>
          <w:lang w:val="en-US"/>
        </w:rPr>
        <w:t xml:space="preserve"> </w:t>
      </w:r>
      <w:r w:rsidR="005E46F2" w:rsidRPr="001558A5">
        <w:rPr>
          <w:szCs w:val="20"/>
          <w:lang w:val="en-US"/>
        </w:rPr>
        <w:t>(</w:t>
      </w:r>
      <w:r w:rsidR="005E46F2" w:rsidRPr="001558A5">
        <w:rPr>
          <w:i/>
          <w:iCs/>
          <w:szCs w:val="20"/>
          <w:lang w:val="en-US"/>
        </w:rPr>
        <w:t>supra</w:t>
      </w:r>
      <w:r w:rsidR="005E46F2" w:rsidRPr="001558A5">
        <w:rPr>
          <w:szCs w:val="20"/>
          <w:lang w:val="en-US"/>
        </w:rPr>
        <w:t xml:space="preserve"> </w:t>
      </w:r>
      <w:r w:rsidR="00B43A52" w:rsidRPr="001558A5">
        <w:rPr>
          <w:szCs w:val="20"/>
          <w:lang w:val="en-US"/>
        </w:rPr>
        <w:t>para.</w:t>
      </w:r>
      <w:r w:rsidR="005E46F2" w:rsidRPr="001558A5">
        <w:rPr>
          <w:szCs w:val="20"/>
          <w:lang w:val="en-US"/>
        </w:rPr>
        <w:t xml:space="preserve"> </w:t>
      </w:r>
      <w:r w:rsidR="00FB5872" w:rsidRPr="001558A5">
        <w:rPr>
          <w:szCs w:val="20"/>
          <w:lang w:val="en-US"/>
        </w:rPr>
        <w:t>48).</w:t>
      </w:r>
    </w:p>
    <w:p w14:paraId="41D7BEB7" w14:textId="5EEBA58C" w:rsidR="00FF7183" w:rsidRPr="001558A5" w:rsidRDefault="00BD556B" w:rsidP="00BD556B">
      <w:pPr>
        <w:widowControl w:val="0"/>
        <w:numPr>
          <w:ilvl w:val="0"/>
          <w:numId w:val="2"/>
        </w:numPr>
        <w:spacing w:before="120" w:after="120"/>
        <w:ind w:left="0" w:firstLine="0"/>
        <w:rPr>
          <w:rFonts w:eastAsia="Calibri"/>
          <w:szCs w:val="20"/>
          <w:lang w:val="en-US" w:eastAsia="es-MX"/>
        </w:rPr>
      </w:pPr>
      <w:bookmarkStart w:id="100" w:name="_Ref35856538"/>
      <w:r w:rsidRPr="001558A5">
        <w:rPr>
          <w:szCs w:val="20"/>
          <w:lang w:val="en-US" w:eastAsia="es-MX"/>
        </w:rPr>
        <w:t xml:space="preserve">In this regard, the Court recalls that it has recognized that personal prejudices and gender stereotypes </w:t>
      </w:r>
      <w:r w:rsidR="00D7388E" w:rsidRPr="001558A5">
        <w:rPr>
          <w:szCs w:val="20"/>
          <w:lang w:val="en-US" w:eastAsia="es-MX"/>
        </w:rPr>
        <w:t xml:space="preserve">may </w:t>
      </w:r>
      <w:r w:rsidRPr="001558A5">
        <w:rPr>
          <w:szCs w:val="20"/>
          <w:lang w:val="en-US" w:eastAsia="es-MX"/>
        </w:rPr>
        <w:t>affect the objectivity of state officials responsible for investigating complaints and influence their perceptions when determining whether or not an act of violence has occurred, and</w:t>
      </w:r>
      <w:r w:rsidR="00D7388E" w:rsidRPr="001558A5">
        <w:rPr>
          <w:szCs w:val="20"/>
          <w:lang w:val="en-US" w:eastAsia="es-MX"/>
        </w:rPr>
        <w:t xml:space="preserve"> also</w:t>
      </w:r>
      <w:r w:rsidRPr="001558A5">
        <w:rPr>
          <w:szCs w:val="20"/>
          <w:lang w:val="en-US" w:eastAsia="es-MX"/>
        </w:rPr>
        <w:t xml:space="preserve"> their evaluation of </w:t>
      </w:r>
      <w:r w:rsidR="00D7388E" w:rsidRPr="001558A5">
        <w:rPr>
          <w:szCs w:val="20"/>
          <w:lang w:val="en-US" w:eastAsia="es-MX"/>
        </w:rPr>
        <w:t xml:space="preserve">the </w:t>
      </w:r>
      <w:r w:rsidRPr="001558A5">
        <w:rPr>
          <w:szCs w:val="20"/>
          <w:lang w:val="en-US" w:eastAsia="es-MX"/>
        </w:rPr>
        <w:t>credibility of the witnesses and even the victim. Stereotyp</w:t>
      </w:r>
      <w:r w:rsidR="00D7388E" w:rsidRPr="001558A5">
        <w:rPr>
          <w:szCs w:val="20"/>
          <w:lang w:val="en-US" w:eastAsia="es-MX"/>
        </w:rPr>
        <w:t>ing</w:t>
      </w:r>
      <w:r w:rsidRPr="001558A5">
        <w:rPr>
          <w:szCs w:val="20"/>
          <w:lang w:val="en-US" w:eastAsia="es-MX"/>
        </w:rPr>
        <w:t xml:space="preserve"> “distort</w:t>
      </w:r>
      <w:r w:rsidR="00D7388E" w:rsidRPr="001558A5">
        <w:rPr>
          <w:szCs w:val="20"/>
          <w:lang w:val="en-US" w:eastAsia="es-MX"/>
        </w:rPr>
        <w:t>s</w:t>
      </w:r>
      <w:r w:rsidRPr="001558A5">
        <w:rPr>
          <w:szCs w:val="20"/>
          <w:lang w:val="en-US" w:eastAsia="es-MX"/>
        </w:rPr>
        <w:t xml:space="preserve"> perceptions and result in decisions based on preconceived beliefs and misconceptions </w:t>
      </w:r>
      <w:r w:rsidR="00737392" w:rsidRPr="001558A5">
        <w:rPr>
          <w:szCs w:val="20"/>
          <w:lang w:val="en-US" w:eastAsia="es-MX"/>
        </w:rPr>
        <w:t>instead of facts” and this, in turn, can result in the denial of justice, including the re-victimization of those filing complaints. The Court considers that this may occur in cases of stereotyping based on</w:t>
      </w:r>
      <w:bookmarkEnd w:id="100"/>
      <w:r w:rsidR="00737392" w:rsidRPr="001558A5">
        <w:rPr>
          <w:rFonts w:eastAsia="Calibri"/>
          <w:szCs w:val="20"/>
          <w:lang w:val="en-US" w:eastAsia="es-MX"/>
        </w:rPr>
        <w:t xml:space="preserve"> </w:t>
      </w:r>
      <w:r w:rsidR="002C5430" w:rsidRPr="001558A5">
        <w:rPr>
          <w:rFonts w:eastAsia="Calibri"/>
          <w:szCs w:val="20"/>
          <w:lang w:val="en-US"/>
        </w:rPr>
        <w:t>gender expression</w:t>
      </w:r>
      <w:r w:rsidR="00C909B4" w:rsidRPr="001558A5">
        <w:rPr>
          <w:rFonts w:eastAsia="Calibri"/>
          <w:szCs w:val="20"/>
          <w:lang w:val="en-US"/>
        </w:rPr>
        <w:t xml:space="preserve"> and gender</w:t>
      </w:r>
      <w:r w:rsidR="00DF7573" w:rsidRPr="001558A5">
        <w:rPr>
          <w:rFonts w:eastAsia="Calibri"/>
          <w:szCs w:val="20"/>
          <w:lang w:val="en-US"/>
        </w:rPr>
        <w:t xml:space="preserve"> identity</w:t>
      </w:r>
      <w:r w:rsidR="00737392" w:rsidRPr="001558A5">
        <w:rPr>
          <w:rFonts w:eastAsia="Calibri"/>
          <w:szCs w:val="20"/>
          <w:lang w:val="en-US"/>
        </w:rPr>
        <w:t>.</w:t>
      </w:r>
      <w:r w:rsidR="00FF7183" w:rsidRPr="001558A5">
        <w:rPr>
          <w:rStyle w:val="Refdenotaalpie"/>
          <w:rFonts w:eastAsia="Calibri"/>
          <w:lang w:val="en-US"/>
        </w:rPr>
        <w:footnoteReference w:id="137"/>
      </w:r>
      <w:r w:rsidR="00FF7183" w:rsidRPr="001558A5">
        <w:rPr>
          <w:rFonts w:eastAsia="Calibri"/>
          <w:szCs w:val="20"/>
          <w:lang w:val="en-US"/>
        </w:rPr>
        <w:t xml:space="preserve"> </w:t>
      </w:r>
    </w:p>
    <w:p w14:paraId="65D04CA4" w14:textId="12A3863B" w:rsidR="007405EF" w:rsidRPr="001558A5" w:rsidRDefault="00737392" w:rsidP="00737392">
      <w:pPr>
        <w:widowControl w:val="0"/>
        <w:numPr>
          <w:ilvl w:val="0"/>
          <w:numId w:val="2"/>
        </w:numPr>
        <w:spacing w:before="120" w:after="120"/>
        <w:ind w:left="0" w:firstLine="0"/>
        <w:rPr>
          <w:rFonts w:eastAsia="Verdana" w:cs="Verdana"/>
          <w:szCs w:val="20"/>
          <w:lang w:val="en-US"/>
        </w:rPr>
      </w:pPr>
      <w:r w:rsidRPr="001558A5">
        <w:rPr>
          <w:rFonts w:eastAsia="Verdana" w:cs="Verdana"/>
          <w:szCs w:val="20"/>
          <w:lang w:val="en-US"/>
        </w:rPr>
        <w:t xml:space="preserve">Regarding the right to </w:t>
      </w:r>
      <w:r w:rsidR="00DF7573" w:rsidRPr="001558A5">
        <w:rPr>
          <w:rFonts w:eastAsia="Verdana" w:cs="Verdana"/>
          <w:szCs w:val="20"/>
          <w:lang w:val="en-US"/>
        </w:rPr>
        <w:t>gender identity</w:t>
      </w:r>
      <w:r w:rsidR="007405EF" w:rsidRPr="001558A5">
        <w:rPr>
          <w:rFonts w:eastAsia="Verdana" w:cs="Verdana"/>
          <w:szCs w:val="20"/>
          <w:lang w:val="en-US"/>
        </w:rPr>
        <w:t xml:space="preserve">, </w:t>
      </w:r>
      <w:r w:rsidRPr="001558A5">
        <w:rPr>
          <w:rFonts w:eastAsia="Verdana" w:cs="Verdana"/>
          <w:szCs w:val="20"/>
          <w:lang w:val="en-US"/>
        </w:rPr>
        <w:t>th</w:t>
      </w:r>
      <w:r w:rsidR="00366177" w:rsidRPr="001558A5">
        <w:rPr>
          <w:rFonts w:eastAsia="Verdana" w:cs="Verdana"/>
          <w:szCs w:val="20"/>
          <w:lang w:val="en-US"/>
        </w:rPr>
        <w:t>e</w:t>
      </w:r>
      <w:r w:rsidRPr="001558A5">
        <w:rPr>
          <w:rFonts w:eastAsia="Verdana" w:cs="Verdana"/>
          <w:szCs w:val="20"/>
          <w:lang w:val="en-US"/>
        </w:rPr>
        <w:t xml:space="preserve"> Court has indicated that the right of each person to define </w:t>
      </w:r>
      <w:r w:rsidR="00D7388E" w:rsidRPr="001558A5">
        <w:rPr>
          <w:rFonts w:eastAsia="Verdana" w:cs="Verdana"/>
          <w:szCs w:val="20"/>
          <w:lang w:val="en-US"/>
        </w:rPr>
        <w:t>his or her</w:t>
      </w:r>
      <w:r w:rsidRPr="001558A5">
        <w:rPr>
          <w:rFonts w:eastAsia="Verdana" w:cs="Verdana"/>
          <w:szCs w:val="20"/>
          <w:lang w:val="en-US"/>
        </w:rPr>
        <w:t xml:space="preserve"> sexual and gender identity is protected by </w:t>
      </w:r>
      <w:r w:rsidR="00871E19" w:rsidRPr="001558A5">
        <w:rPr>
          <w:rFonts w:eastAsia="Verdana" w:cs="Verdana"/>
          <w:szCs w:val="20"/>
          <w:lang w:val="en-US"/>
        </w:rPr>
        <w:t>the American Convention</w:t>
      </w:r>
      <w:r w:rsidR="007405EF" w:rsidRPr="001558A5">
        <w:rPr>
          <w:rFonts w:eastAsia="Verdana" w:cs="Verdana"/>
          <w:szCs w:val="20"/>
          <w:lang w:val="en-US"/>
        </w:rPr>
        <w:t xml:space="preserve"> </w:t>
      </w:r>
      <w:r w:rsidR="00D7388E" w:rsidRPr="001558A5">
        <w:rPr>
          <w:rFonts w:eastAsia="Verdana" w:cs="Verdana"/>
          <w:szCs w:val="20"/>
          <w:lang w:val="en-US"/>
        </w:rPr>
        <w:t>under</w:t>
      </w:r>
      <w:r w:rsidRPr="001558A5">
        <w:rPr>
          <w:rFonts w:eastAsia="Verdana" w:cs="Verdana"/>
          <w:szCs w:val="20"/>
          <w:lang w:val="en-US"/>
        </w:rPr>
        <w:t xml:space="preserve"> the provisions that guarantee the free development of the personality</w:t>
      </w:r>
      <w:r w:rsidR="007405EF" w:rsidRPr="001558A5">
        <w:rPr>
          <w:rFonts w:eastAsia="Verdana" w:cs="Verdana"/>
          <w:szCs w:val="20"/>
          <w:lang w:val="en-US"/>
        </w:rPr>
        <w:t xml:space="preserve"> (</w:t>
      </w:r>
      <w:r w:rsidR="00871E19" w:rsidRPr="001558A5">
        <w:rPr>
          <w:rFonts w:eastAsia="Verdana" w:cs="Verdana"/>
          <w:szCs w:val="20"/>
          <w:lang w:val="en-US"/>
        </w:rPr>
        <w:t>Article</w:t>
      </w:r>
      <w:r w:rsidR="007405EF" w:rsidRPr="001558A5">
        <w:rPr>
          <w:rFonts w:eastAsia="Verdana" w:cs="Verdana"/>
          <w:szCs w:val="20"/>
          <w:lang w:val="en-US"/>
        </w:rPr>
        <w:t>s 7</w:t>
      </w:r>
      <w:r w:rsidR="00DD4354" w:rsidRPr="001558A5">
        <w:rPr>
          <w:rFonts w:eastAsia="Verdana" w:cs="Verdana"/>
          <w:szCs w:val="20"/>
          <w:lang w:val="en-US"/>
        </w:rPr>
        <w:t xml:space="preserve"> and </w:t>
      </w:r>
      <w:r w:rsidR="007405EF" w:rsidRPr="001558A5">
        <w:rPr>
          <w:rFonts w:eastAsia="Verdana" w:cs="Verdana"/>
          <w:szCs w:val="20"/>
          <w:lang w:val="en-US"/>
        </w:rPr>
        <w:t>11</w:t>
      </w:r>
      <w:r w:rsidRPr="001558A5">
        <w:rPr>
          <w:rFonts w:eastAsia="Verdana" w:cs="Verdana"/>
          <w:szCs w:val="20"/>
          <w:lang w:val="en-US"/>
        </w:rPr>
        <w:t>(</w:t>
      </w:r>
      <w:r w:rsidR="007405EF" w:rsidRPr="001558A5">
        <w:rPr>
          <w:rFonts w:eastAsia="Verdana" w:cs="Verdana"/>
          <w:szCs w:val="20"/>
          <w:lang w:val="en-US"/>
        </w:rPr>
        <w:t>2</w:t>
      </w:r>
      <w:r w:rsidRPr="001558A5">
        <w:rPr>
          <w:rFonts w:eastAsia="Verdana" w:cs="Verdana"/>
          <w:szCs w:val="20"/>
          <w:lang w:val="en-US"/>
        </w:rPr>
        <w:t>)</w:t>
      </w:r>
      <w:r w:rsidR="007405EF" w:rsidRPr="001558A5">
        <w:rPr>
          <w:rFonts w:eastAsia="Verdana" w:cs="Verdana"/>
          <w:szCs w:val="20"/>
          <w:lang w:val="en-US"/>
        </w:rPr>
        <w:t xml:space="preserve">), </w:t>
      </w:r>
      <w:r w:rsidR="00D7388E" w:rsidRPr="001558A5">
        <w:rPr>
          <w:rFonts w:eastAsia="Verdana" w:cs="Verdana"/>
          <w:szCs w:val="20"/>
          <w:lang w:val="en-US"/>
        </w:rPr>
        <w:t xml:space="preserve">and </w:t>
      </w:r>
      <w:r w:rsidRPr="001558A5">
        <w:rPr>
          <w:rFonts w:eastAsia="Verdana" w:cs="Verdana"/>
          <w:szCs w:val="20"/>
          <w:lang w:val="en-US"/>
        </w:rPr>
        <w:t>the right</w:t>
      </w:r>
      <w:r w:rsidR="00366177" w:rsidRPr="001558A5">
        <w:rPr>
          <w:rFonts w:eastAsia="Verdana" w:cs="Verdana"/>
          <w:szCs w:val="20"/>
          <w:lang w:val="en-US"/>
        </w:rPr>
        <w:t>s</w:t>
      </w:r>
      <w:r w:rsidRPr="001558A5">
        <w:rPr>
          <w:rFonts w:eastAsia="Verdana" w:cs="Verdana"/>
          <w:szCs w:val="20"/>
          <w:lang w:val="en-US"/>
        </w:rPr>
        <w:t xml:space="preserve"> to privacy</w:t>
      </w:r>
      <w:r w:rsidR="00CA0426" w:rsidRPr="001558A5">
        <w:rPr>
          <w:rFonts w:eastAsia="Verdana" w:cs="Verdana"/>
          <w:szCs w:val="20"/>
          <w:lang w:val="en-US"/>
        </w:rPr>
        <w:t xml:space="preserve"> </w:t>
      </w:r>
      <w:r w:rsidR="007405EF" w:rsidRPr="001558A5">
        <w:rPr>
          <w:rFonts w:eastAsia="Verdana" w:cs="Verdana"/>
          <w:szCs w:val="20"/>
          <w:lang w:val="en-US"/>
        </w:rPr>
        <w:t>(</w:t>
      </w:r>
      <w:r w:rsidR="00871E19" w:rsidRPr="001558A5">
        <w:rPr>
          <w:rFonts w:eastAsia="Verdana" w:cs="Verdana"/>
          <w:szCs w:val="20"/>
          <w:lang w:val="en-US"/>
        </w:rPr>
        <w:t>Article</w:t>
      </w:r>
      <w:r w:rsidR="007405EF" w:rsidRPr="001558A5">
        <w:rPr>
          <w:rFonts w:eastAsia="Verdana" w:cs="Verdana"/>
          <w:szCs w:val="20"/>
          <w:lang w:val="en-US"/>
        </w:rPr>
        <w:t xml:space="preserve"> 11</w:t>
      </w:r>
      <w:r w:rsidRPr="001558A5">
        <w:rPr>
          <w:rFonts w:eastAsia="Verdana" w:cs="Verdana"/>
          <w:szCs w:val="20"/>
          <w:lang w:val="en-US"/>
        </w:rPr>
        <w:t>(</w:t>
      </w:r>
      <w:r w:rsidR="007405EF" w:rsidRPr="001558A5">
        <w:rPr>
          <w:rFonts w:eastAsia="Verdana" w:cs="Verdana"/>
          <w:szCs w:val="20"/>
          <w:lang w:val="en-US"/>
        </w:rPr>
        <w:t>2</w:t>
      </w:r>
      <w:r w:rsidRPr="001558A5">
        <w:rPr>
          <w:rFonts w:eastAsia="Verdana" w:cs="Verdana"/>
          <w:szCs w:val="20"/>
          <w:lang w:val="en-US"/>
        </w:rPr>
        <w:t>)</w:t>
      </w:r>
      <w:r w:rsidR="007405EF" w:rsidRPr="001558A5">
        <w:rPr>
          <w:rFonts w:eastAsia="Verdana" w:cs="Verdana"/>
          <w:szCs w:val="20"/>
          <w:lang w:val="en-US"/>
        </w:rPr>
        <w:t xml:space="preserve">), </w:t>
      </w:r>
      <w:r w:rsidR="00907FBD" w:rsidRPr="001558A5">
        <w:rPr>
          <w:rFonts w:eastAsia="Verdana" w:cs="Verdana"/>
          <w:szCs w:val="20"/>
          <w:lang w:val="en-US"/>
        </w:rPr>
        <w:t>recognition of juridical personality</w:t>
      </w:r>
      <w:r w:rsidR="007405EF" w:rsidRPr="001558A5">
        <w:rPr>
          <w:rFonts w:eastAsia="Verdana" w:cs="Verdana"/>
          <w:szCs w:val="20"/>
          <w:lang w:val="en-US"/>
        </w:rPr>
        <w:t xml:space="preserve"> (</w:t>
      </w:r>
      <w:r w:rsidR="00871E19" w:rsidRPr="001558A5">
        <w:rPr>
          <w:rFonts w:eastAsia="Verdana" w:cs="Verdana"/>
          <w:szCs w:val="20"/>
          <w:lang w:val="en-US"/>
        </w:rPr>
        <w:t>Article</w:t>
      </w:r>
      <w:r w:rsidR="007405EF" w:rsidRPr="001558A5">
        <w:rPr>
          <w:rFonts w:eastAsia="Verdana" w:cs="Verdana"/>
          <w:szCs w:val="20"/>
          <w:lang w:val="en-US"/>
        </w:rPr>
        <w:t xml:space="preserve"> 3),</w:t>
      </w:r>
      <w:r w:rsidR="00DD4354" w:rsidRPr="001558A5">
        <w:rPr>
          <w:rFonts w:eastAsia="Verdana" w:cs="Verdana"/>
          <w:szCs w:val="20"/>
          <w:lang w:val="en-US"/>
        </w:rPr>
        <w:t xml:space="preserve"> and </w:t>
      </w:r>
      <w:r w:rsidR="00366177" w:rsidRPr="001558A5">
        <w:rPr>
          <w:rFonts w:eastAsia="Verdana" w:cs="Verdana"/>
          <w:szCs w:val="20"/>
          <w:lang w:val="en-US"/>
        </w:rPr>
        <w:t>a name</w:t>
      </w:r>
      <w:r w:rsidR="007405EF" w:rsidRPr="001558A5">
        <w:rPr>
          <w:rFonts w:eastAsia="Verdana" w:cs="Verdana"/>
          <w:szCs w:val="20"/>
          <w:lang w:val="en-US"/>
        </w:rPr>
        <w:t xml:space="preserve"> (</w:t>
      </w:r>
      <w:r w:rsidR="00871E19" w:rsidRPr="001558A5">
        <w:rPr>
          <w:rFonts w:eastAsia="Verdana" w:cs="Verdana"/>
          <w:szCs w:val="20"/>
          <w:lang w:val="en-US"/>
        </w:rPr>
        <w:t>Article</w:t>
      </w:r>
      <w:r w:rsidR="007405EF" w:rsidRPr="001558A5">
        <w:rPr>
          <w:rFonts w:eastAsia="Verdana" w:cs="Verdana"/>
          <w:szCs w:val="20"/>
          <w:lang w:val="en-US"/>
        </w:rPr>
        <w:t xml:space="preserve"> 18)</w:t>
      </w:r>
      <w:r w:rsidR="00366177" w:rsidRPr="001558A5">
        <w:rPr>
          <w:rFonts w:eastAsia="Verdana" w:cs="Verdana"/>
          <w:szCs w:val="20"/>
          <w:lang w:val="en-US"/>
        </w:rPr>
        <w:t>.</w:t>
      </w:r>
      <w:r w:rsidR="007405EF" w:rsidRPr="001558A5">
        <w:rPr>
          <w:rStyle w:val="Refdenotaalpie"/>
          <w:rFonts w:eastAsia="Verdana"/>
          <w:lang w:val="en-US"/>
        </w:rPr>
        <w:footnoteReference w:id="138"/>
      </w:r>
      <w:r w:rsidR="007405EF" w:rsidRPr="001558A5">
        <w:rPr>
          <w:rFonts w:eastAsia="Verdana" w:cs="Verdana"/>
          <w:szCs w:val="20"/>
          <w:lang w:val="en-US"/>
        </w:rPr>
        <w:t xml:space="preserve"> </w:t>
      </w:r>
    </w:p>
    <w:p w14:paraId="6BCC0362" w14:textId="22609B37" w:rsidR="007405EF" w:rsidRPr="001558A5" w:rsidRDefault="00366177" w:rsidP="00366177">
      <w:pPr>
        <w:widowControl w:val="0"/>
        <w:numPr>
          <w:ilvl w:val="0"/>
          <w:numId w:val="2"/>
        </w:numPr>
        <w:spacing w:before="120" w:after="120"/>
        <w:ind w:left="0" w:firstLine="0"/>
        <w:rPr>
          <w:rFonts w:eastAsia="Verdana" w:cs="Verdana"/>
          <w:szCs w:val="20"/>
          <w:lang w:val="en-US"/>
        </w:rPr>
      </w:pPr>
      <w:r w:rsidRPr="001558A5">
        <w:rPr>
          <w:rFonts w:eastAsia="Verdana" w:cs="Verdana"/>
          <w:szCs w:val="20"/>
          <w:lang w:val="en-US"/>
        </w:rPr>
        <w:t>Regarding the relationship between the rights to liberty in the broadest sense,</w:t>
      </w:r>
      <w:r w:rsidR="007405EF" w:rsidRPr="001558A5">
        <w:rPr>
          <w:rFonts w:eastAsia="Verdana" w:cs="Verdana"/>
          <w:szCs w:val="20"/>
          <w:lang w:val="en-US"/>
        </w:rPr>
        <w:t xml:space="preserve"> </w:t>
      </w:r>
      <w:r w:rsidR="002C5430" w:rsidRPr="001558A5">
        <w:rPr>
          <w:rFonts w:eastAsia="Verdana" w:cs="Verdana"/>
          <w:szCs w:val="20"/>
          <w:lang w:val="en-US"/>
        </w:rPr>
        <w:t>gender expression</w:t>
      </w:r>
      <w:r w:rsidR="007405EF" w:rsidRPr="001558A5">
        <w:rPr>
          <w:rFonts w:eastAsia="Verdana" w:cs="Verdana"/>
          <w:szCs w:val="20"/>
          <w:lang w:val="en-US"/>
        </w:rPr>
        <w:t xml:space="preserve">, </w:t>
      </w:r>
      <w:r w:rsidR="00DF7573" w:rsidRPr="001558A5">
        <w:rPr>
          <w:rFonts w:eastAsia="Verdana" w:cs="Verdana"/>
          <w:szCs w:val="20"/>
          <w:lang w:val="en-US"/>
        </w:rPr>
        <w:t>gender identity</w:t>
      </w:r>
      <w:r w:rsidR="007405EF" w:rsidRPr="001558A5">
        <w:rPr>
          <w:rFonts w:eastAsia="Verdana" w:cs="Verdana"/>
          <w:szCs w:val="20"/>
          <w:lang w:val="en-US"/>
        </w:rPr>
        <w:t>,</w:t>
      </w:r>
      <w:r w:rsidR="00DD4354" w:rsidRPr="001558A5">
        <w:rPr>
          <w:rFonts w:eastAsia="Verdana" w:cs="Verdana"/>
          <w:szCs w:val="20"/>
          <w:lang w:val="en-US"/>
        </w:rPr>
        <w:t xml:space="preserve"> and </w:t>
      </w:r>
      <w:r w:rsidRPr="001558A5">
        <w:rPr>
          <w:rFonts w:eastAsia="Verdana" w:cs="Verdana"/>
          <w:szCs w:val="20"/>
          <w:lang w:val="en-US"/>
        </w:rPr>
        <w:t>privacy,</w:t>
      </w:r>
      <w:r w:rsidR="007405EF" w:rsidRPr="001558A5">
        <w:rPr>
          <w:rFonts w:eastAsia="Verdana" w:cs="Verdana"/>
          <w:szCs w:val="20"/>
          <w:lang w:val="en-US"/>
        </w:rPr>
        <w:t xml:space="preserve"> </w:t>
      </w:r>
      <w:r w:rsidRPr="001558A5">
        <w:rPr>
          <w:rFonts w:eastAsia="Verdana" w:cs="Verdana"/>
          <w:szCs w:val="20"/>
          <w:lang w:val="en-US"/>
        </w:rPr>
        <w:t xml:space="preserve">the Court has indicated in other cases that recognition of the </w:t>
      </w:r>
      <w:r w:rsidR="00D7388E" w:rsidRPr="001558A5">
        <w:rPr>
          <w:rFonts w:eastAsia="Verdana" w:cs="Verdana"/>
          <w:szCs w:val="20"/>
          <w:lang w:val="en-US"/>
        </w:rPr>
        <w:t>affirmation</w:t>
      </w:r>
      <w:r w:rsidRPr="001558A5">
        <w:rPr>
          <w:rFonts w:eastAsia="Verdana" w:cs="Verdana"/>
          <w:szCs w:val="20"/>
          <w:lang w:val="en-US"/>
        </w:rPr>
        <w:t xml:space="preserve"> of a person’s sexual and gender identity is protected by </w:t>
      </w:r>
      <w:r w:rsidRPr="001558A5">
        <w:rPr>
          <w:lang w:val="en-US" w:eastAsia="es-ES"/>
        </w:rPr>
        <w:t xml:space="preserve">the American Convention </w:t>
      </w:r>
      <w:r w:rsidR="00D7388E" w:rsidRPr="001558A5">
        <w:rPr>
          <w:lang w:val="en-US" w:eastAsia="es-ES"/>
        </w:rPr>
        <w:t>under</w:t>
      </w:r>
      <w:r w:rsidRPr="001558A5">
        <w:rPr>
          <w:lang w:val="en-US" w:eastAsia="es-ES"/>
        </w:rPr>
        <w:t xml:space="preserve"> Articles 7 and 11(2). Accordingly, gender and sexual identity are linked to the concept of liberty, the right to privacy and the possibility of self-determination of </w:t>
      </w:r>
      <w:r w:rsidR="00BE6FF4" w:rsidRPr="001558A5">
        <w:rPr>
          <w:lang w:val="en-US" w:eastAsia="es-ES"/>
        </w:rPr>
        <w:t xml:space="preserve">all </w:t>
      </w:r>
      <w:r w:rsidRPr="001558A5">
        <w:rPr>
          <w:lang w:val="en-US" w:eastAsia="es-ES"/>
        </w:rPr>
        <w:t>human being</w:t>
      </w:r>
      <w:r w:rsidR="00BE6FF4" w:rsidRPr="001558A5">
        <w:rPr>
          <w:lang w:val="en-US" w:eastAsia="es-ES"/>
        </w:rPr>
        <w:t>s</w:t>
      </w:r>
      <w:r w:rsidRPr="001558A5">
        <w:rPr>
          <w:lang w:val="en-US" w:eastAsia="es-ES"/>
        </w:rPr>
        <w:t xml:space="preserve"> and to freely choose the options and circumstances that give a meaning to their existence in keeping with their </w:t>
      </w:r>
      <w:r w:rsidR="00BE6FF4" w:rsidRPr="001558A5">
        <w:rPr>
          <w:lang w:val="en-US" w:eastAsia="es-ES"/>
        </w:rPr>
        <w:t>personal</w:t>
      </w:r>
      <w:r w:rsidRPr="001558A5">
        <w:rPr>
          <w:lang w:val="en-US" w:eastAsia="es-ES"/>
        </w:rPr>
        <w:t xml:space="preserve"> convictions. Th</w:t>
      </w:r>
      <w:r w:rsidR="00BE6FF4" w:rsidRPr="001558A5">
        <w:rPr>
          <w:lang w:val="en-US" w:eastAsia="es-ES"/>
        </w:rPr>
        <w:t>erefore</w:t>
      </w:r>
      <w:r w:rsidRPr="001558A5">
        <w:rPr>
          <w:lang w:val="en-US" w:eastAsia="es-ES"/>
        </w:rPr>
        <w:t>, the State’s recognition of gender identity is of crucial importance to ensure that trans persons may fully enjoy their human rights, including protection against violence, torture and ill-treatment.</w:t>
      </w:r>
      <w:r w:rsidR="009471E0" w:rsidRPr="001558A5">
        <w:rPr>
          <w:rStyle w:val="Refdenotaalpie"/>
          <w:lang w:val="en-US"/>
        </w:rPr>
        <w:footnoteReference w:id="139"/>
      </w:r>
      <w:r w:rsidR="007405EF" w:rsidRPr="001558A5">
        <w:rPr>
          <w:lang w:val="en-US"/>
        </w:rPr>
        <w:t xml:space="preserve"> </w:t>
      </w:r>
    </w:p>
    <w:p w14:paraId="009296E9" w14:textId="2A6E7753" w:rsidR="007405EF" w:rsidRPr="001558A5" w:rsidRDefault="00BE6FF4" w:rsidP="00805AB3">
      <w:pPr>
        <w:widowControl w:val="0"/>
        <w:numPr>
          <w:ilvl w:val="0"/>
          <w:numId w:val="2"/>
        </w:numPr>
        <w:spacing w:before="120" w:after="120"/>
        <w:ind w:left="0" w:firstLine="0"/>
        <w:rPr>
          <w:rFonts w:eastAsia="Verdana" w:cs="Verdana"/>
          <w:szCs w:val="20"/>
          <w:lang w:val="en-US"/>
        </w:rPr>
      </w:pPr>
      <w:r w:rsidRPr="001558A5">
        <w:rPr>
          <w:lang w:val="en-US"/>
        </w:rPr>
        <w:t>The</w:t>
      </w:r>
      <w:r w:rsidR="00366177" w:rsidRPr="001558A5">
        <w:rPr>
          <w:lang w:val="en-US"/>
        </w:rPr>
        <w:t xml:space="preserve"> Court has </w:t>
      </w:r>
      <w:r w:rsidRPr="001558A5">
        <w:rPr>
          <w:lang w:val="en-US"/>
        </w:rPr>
        <w:t xml:space="preserve">also </w:t>
      </w:r>
      <w:r w:rsidR="00366177" w:rsidRPr="001558A5">
        <w:rPr>
          <w:lang w:val="en-US"/>
        </w:rPr>
        <w:t>considered that the right to identi</w:t>
      </w:r>
      <w:r w:rsidRPr="001558A5">
        <w:rPr>
          <w:lang w:val="en-US"/>
        </w:rPr>
        <w:t>t</w:t>
      </w:r>
      <w:r w:rsidR="00366177" w:rsidRPr="001558A5">
        <w:rPr>
          <w:lang w:val="en-US"/>
        </w:rPr>
        <w:t>y and, in particular, the expression of identi</w:t>
      </w:r>
      <w:r w:rsidRPr="001558A5">
        <w:rPr>
          <w:lang w:val="en-US"/>
        </w:rPr>
        <w:t>t</w:t>
      </w:r>
      <w:r w:rsidR="00366177" w:rsidRPr="001558A5">
        <w:rPr>
          <w:lang w:val="en-US"/>
        </w:rPr>
        <w:t>y is also protected by</w:t>
      </w:r>
      <w:r w:rsidR="007405EF" w:rsidRPr="001558A5">
        <w:rPr>
          <w:lang w:val="en-US"/>
        </w:rPr>
        <w:t xml:space="preserve"> </w:t>
      </w:r>
      <w:r w:rsidR="00871E19" w:rsidRPr="001558A5">
        <w:rPr>
          <w:lang w:val="en-US"/>
        </w:rPr>
        <w:t>Article</w:t>
      </w:r>
      <w:r w:rsidR="007405EF" w:rsidRPr="001558A5">
        <w:rPr>
          <w:lang w:val="en-US"/>
        </w:rPr>
        <w:t xml:space="preserve"> 13 </w:t>
      </w:r>
      <w:r w:rsidR="00366177" w:rsidRPr="001558A5">
        <w:rPr>
          <w:lang w:val="en-US"/>
        </w:rPr>
        <w:t xml:space="preserve">which recognizes the right to </w:t>
      </w:r>
      <w:r w:rsidR="00B732DD" w:rsidRPr="001558A5">
        <w:rPr>
          <w:lang w:val="en-US"/>
        </w:rPr>
        <w:t>freedom of expression</w:t>
      </w:r>
      <w:r w:rsidR="007405EF" w:rsidRPr="001558A5">
        <w:rPr>
          <w:lang w:val="en-US"/>
        </w:rPr>
        <w:t xml:space="preserve">. </w:t>
      </w:r>
      <w:r w:rsidR="00366177" w:rsidRPr="001558A5">
        <w:rPr>
          <w:lang w:val="en-US"/>
        </w:rPr>
        <w:t>From this perspective, arbitrary interference in the expression of the different attributes of identity may signify a violation of that right. Consequently, to ensure this right, the State and society</w:t>
      </w:r>
      <w:r w:rsidR="00805AB3" w:rsidRPr="001558A5">
        <w:rPr>
          <w:lang w:val="en-US"/>
        </w:rPr>
        <w:t xml:space="preserve"> must</w:t>
      </w:r>
      <w:r w:rsidR="00366177" w:rsidRPr="001558A5">
        <w:rPr>
          <w:lang w:val="en-US"/>
        </w:rPr>
        <w:t xml:space="preserve"> respect and </w:t>
      </w:r>
      <w:r w:rsidR="00805AB3" w:rsidRPr="001558A5">
        <w:rPr>
          <w:lang w:val="en-US"/>
        </w:rPr>
        <w:t>ensure</w:t>
      </w:r>
      <w:r w:rsidR="00366177" w:rsidRPr="001558A5">
        <w:rPr>
          <w:lang w:val="en-US"/>
        </w:rPr>
        <w:t xml:space="preserve"> </w:t>
      </w:r>
      <w:r w:rsidR="00805AB3" w:rsidRPr="001558A5">
        <w:rPr>
          <w:lang w:val="en-US"/>
        </w:rPr>
        <w:t>the</w:t>
      </w:r>
      <w:r w:rsidR="00366177" w:rsidRPr="001558A5">
        <w:rPr>
          <w:lang w:val="en-US"/>
        </w:rPr>
        <w:t xml:space="preserve"> individuality</w:t>
      </w:r>
      <w:r w:rsidR="00805AB3" w:rsidRPr="001558A5">
        <w:rPr>
          <w:lang w:val="en-US"/>
        </w:rPr>
        <w:t xml:space="preserve"> of each person</w:t>
      </w:r>
      <w:r w:rsidR="00366177" w:rsidRPr="001558A5">
        <w:rPr>
          <w:lang w:val="en-US"/>
        </w:rPr>
        <w:t xml:space="preserve">, as well as the right to be treated in keeping with the essential aspects of their personality, as well as the legitimate ability to establish the exteriorization of their </w:t>
      </w:r>
      <w:r w:rsidR="00805AB3" w:rsidRPr="001558A5">
        <w:rPr>
          <w:lang w:val="en-US"/>
        </w:rPr>
        <w:t>persona according to their innermost convictions.</w:t>
      </w:r>
      <w:r w:rsidR="007405EF" w:rsidRPr="001558A5">
        <w:rPr>
          <w:rStyle w:val="Refdenotaalpie"/>
          <w:lang w:val="en-US"/>
        </w:rPr>
        <w:footnoteReference w:id="140"/>
      </w:r>
      <w:r w:rsidR="007405EF" w:rsidRPr="001558A5">
        <w:rPr>
          <w:lang w:val="en-US"/>
        </w:rPr>
        <w:t xml:space="preserve"> </w:t>
      </w:r>
      <w:r w:rsidR="00805AB3" w:rsidRPr="001558A5">
        <w:rPr>
          <w:lang w:val="en-US"/>
        </w:rPr>
        <w:t xml:space="preserve">Similarly, this Court has understood that a close relationship exists between, on the one hand, the </w:t>
      </w:r>
      <w:r w:rsidR="00907FBD" w:rsidRPr="001558A5">
        <w:rPr>
          <w:lang w:val="en-US"/>
        </w:rPr>
        <w:t>recognition of juridical personality</w:t>
      </w:r>
      <w:r w:rsidR="007405EF" w:rsidRPr="001558A5">
        <w:rPr>
          <w:lang w:val="en-US"/>
        </w:rPr>
        <w:t xml:space="preserve"> </w:t>
      </w:r>
      <w:r w:rsidR="00805AB3" w:rsidRPr="001558A5">
        <w:rPr>
          <w:lang w:val="en-US"/>
        </w:rPr>
        <w:t xml:space="preserve">and, on the other, the legal attributes inherent in </w:t>
      </w:r>
      <w:r w:rsidR="007F24E3" w:rsidRPr="001558A5">
        <w:rPr>
          <w:lang w:val="en-US"/>
        </w:rPr>
        <w:t>all</w:t>
      </w:r>
      <w:r w:rsidR="00805AB3" w:rsidRPr="001558A5">
        <w:rPr>
          <w:lang w:val="en-US"/>
        </w:rPr>
        <w:t xml:space="preserve"> human being</w:t>
      </w:r>
      <w:r w:rsidR="007F24E3" w:rsidRPr="001558A5">
        <w:rPr>
          <w:lang w:val="en-US"/>
        </w:rPr>
        <w:t>s</w:t>
      </w:r>
      <w:r w:rsidR="00805AB3" w:rsidRPr="001558A5">
        <w:rPr>
          <w:lang w:val="en-US"/>
        </w:rPr>
        <w:t xml:space="preserve"> that distinguish, identify and </w:t>
      </w:r>
      <w:r w:rsidR="007F24E3" w:rsidRPr="001558A5">
        <w:rPr>
          <w:lang w:val="en-US"/>
        </w:rPr>
        <w:t>individualize them</w:t>
      </w:r>
      <w:r w:rsidR="00805AB3" w:rsidRPr="001558A5">
        <w:rPr>
          <w:lang w:val="en-US"/>
        </w:rPr>
        <w:t>.</w:t>
      </w:r>
      <w:r w:rsidR="007405EF" w:rsidRPr="001558A5">
        <w:rPr>
          <w:rStyle w:val="Refdenotaalpie"/>
          <w:lang w:val="en-US"/>
        </w:rPr>
        <w:footnoteReference w:id="141"/>
      </w:r>
      <w:r w:rsidR="007405EF" w:rsidRPr="001558A5">
        <w:rPr>
          <w:lang w:val="en-US"/>
        </w:rPr>
        <w:t xml:space="preserve"> </w:t>
      </w:r>
    </w:p>
    <w:p w14:paraId="43DED9A0" w14:textId="17DE3244" w:rsidR="007405EF" w:rsidRPr="001558A5" w:rsidRDefault="007F24E3" w:rsidP="007F24E3">
      <w:pPr>
        <w:widowControl w:val="0"/>
        <w:numPr>
          <w:ilvl w:val="0"/>
          <w:numId w:val="2"/>
        </w:numPr>
        <w:spacing w:before="120" w:after="120"/>
        <w:ind w:left="0" w:firstLine="0"/>
        <w:rPr>
          <w:lang w:val="en-US"/>
        </w:rPr>
      </w:pPr>
      <w:r w:rsidRPr="001558A5">
        <w:rPr>
          <w:lang w:val="en-US"/>
        </w:rPr>
        <w:t>Furthermore, in light of the obligation of non-discrimination, States are also obliged to adopt positive measures to reverse or change any discriminatory situations existing within their societies that prejudice a specific group of persons. This entails the special obligation of protection that the State must exercise with regard to the actions and practices of third parties who, with its acquiescence or tolerance, create, maintain or facilitate discriminatory situations.</w:t>
      </w:r>
      <w:r w:rsidR="007405EF" w:rsidRPr="001558A5">
        <w:rPr>
          <w:rStyle w:val="Refdenotaalpie"/>
          <w:lang w:val="en-US"/>
        </w:rPr>
        <w:footnoteReference w:id="142"/>
      </w:r>
    </w:p>
    <w:p w14:paraId="2AD8FE1F" w14:textId="6AE46D3D" w:rsidR="007405EF" w:rsidRPr="001558A5" w:rsidRDefault="00D95E79" w:rsidP="00C00A5A">
      <w:pPr>
        <w:widowControl w:val="0"/>
        <w:numPr>
          <w:ilvl w:val="0"/>
          <w:numId w:val="2"/>
        </w:numPr>
        <w:spacing w:before="120" w:after="120"/>
        <w:ind w:left="0" w:firstLine="0"/>
        <w:rPr>
          <w:rFonts w:eastAsia="Verdana" w:cs="Verdana"/>
          <w:szCs w:val="20"/>
          <w:lang w:val="en-US"/>
        </w:rPr>
      </w:pPr>
      <w:r w:rsidRPr="001558A5">
        <w:rPr>
          <w:szCs w:val="20"/>
          <w:lang w:val="en-US"/>
        </w:rPr>
        <w:t>In its case law, this Court has recognized</w:t>
      </w:r>
      <w:r w:rsidR="00C00A5A" w:rsidRPr="001558A5">
        <w:rPr>
          <w:szCs w:val="20"/>
          <w:lang w:val="en-US"/>
        </w:rPr>
        <w:t xml:space="preserve"> that LGBTI persons have historically been victims of structural discrimination, stigmatization, diverse types of violence, and violations of their fundamental rights</w:t>
      </w:r>
      <w:r w:rsidR="00E25DAE" w:rsidRPr="001558A5">
        <w:rPr>
          <w:lang w:val="en-US"/>
        </w:rPr>
        <w:t xml:space="preserve"> (</w:t>
      </w:r>
      <w:r w:rsidR="00E25DAE" w:rsidRPr="001558A5">
        <w:rPr>
          <w:i/>
          <w:iCs/>
          <w:lang w:val="en-US"/>
        </w:rPr>
        <w:t>supra</w:t>
      </w:r>
      <w:r w:rsidR="00E25DAE" w:rsidRPr="001558A5">
        <w:rPr>
          <w:lang w:val="en-US"/>
        </w:rPr>
        <w:t xml:space="preserve"> </w:t>
      </w:r>
      <w:r w:rsidR="00B43A52" w:rsidRPr="001558A5">
        <w:rPr>
          <w:lang w:val="en-US"/>
        </w:rPr>
        <w:t>para.</w:t>
      </w:r>
      <w:r w:rsidR="00E25DAE" w:rsidRPr="001558A5">
        <w:rPr>
          <w:lang w:val="en-US"/>
        </w:rPr>
        <w:t xml:space="preserve"> 67)</w:t>
      </w:r>
      <w:r w:rsidR="007405EF" w:rsidRPr="001558A5">
        <w:rPr>
          <w:lang w:val="en-US"/>
        </w:rPr>
        <w:t>.</w:t>
      </w:r>
      <w:r w:rsidR="007405EF" w:rsidRPr="001558A5">
        <w:rPr>
          <w:szCs w:val="20"/>
          <w:lang w:val="en-US"/>
        </w:rPr>
        <w:t xml:space="preserve"> </w:t>
      </w:r>
      <w:r w:rsidR="00C00A5A" w:rsidRPr="001558A5">
        <w:rPr>
          <w:szCs w:val="20"/>
          <w:lang w:val="en-US"/>
        </w:rPr>
        <w:t xml:space="preserve">In addition, as indicated, such conduct violates not only the right to life and personal integrity, but also the right to </w:t>
      </w:r>
      <w:r w:rsidR="00DF7573" w:rsidRPr="001558A5">
        <w:rPr>
          <w:szCs w:val="20"/>
          <w:lang w:val="en-US"/>
        </w:rPr>
        <w:t>gender identity</w:t>
      </w:r>
      <w:r w:rsidR="003C0DF9" w:rsidRPr="001558A5">
        <w:rPr>
          <w:szCs w:val="20"/>
          <w:lang w:val="en-US"/>
        </w:rPr>
        <w:t xml:space="preserve"> </w:t>
      </w:r>
      <w:r w:rsidR="00C00A5A" w:rsidRPr="001558A5">
        <w:rPr>
          <w:szCs w:val="20"/>
          <w:lang w:val="en-US"/>
        </w:rPr>
        <w:t>and/or</w:t>
      </w:r>
      <w:r w:rsidR="003C0DF9" w:rsidRPr="001558A5">
        <w:rPr>
          <w:szCs w:val="20"/>
          <w:lang w:val="en-US"/>
        </w:rPr>
        <w:t xml:space="preserve"> </w:t>
      </w:r>
      <w:r w:rsidR="002C5430" w:rsidRPr="001558A5">
        <w:rPr>
          <w:szCs w:val="20"/>
          <w:lang w:val="en-US"/>
        </w:rPr>
        <w:t>gender expression</w:t>
      </w:r>
      <w:r w:rsidR="00C00A5A" w:rsidRPr="001558A5">
        <w:rPr>
          <w:szCs w:val="20"/>
          <w:lang w:val="en-US"/>
        </w:rPr>
        <w:t>, as well as all the rights related to this.</w:t>
      </w:r>
      <w:r w:rsidR="00D96293" w:rsidRPr="001558A5">
        <w:rPr>
          <w:rStyle w:val="Refdenotaalpie"/>
          <w:lang w:val="en-US"/>
        </w:rPr>
        <w:footnoteReference w:id="143"/>
      </w:r>
    </w:p>
    <w:p w14:paraId="547EF6E6" w14:textId="4FBC5E34" w:rsidR="0069389B" w:rsidRPr="001558A5" w:rsidRDefault="00C00A5A" w:rsidP="00827357">
      <w:pPr>
        <w:widowControl w:val="0"/>
        <w:numPr>
          <w:ilvl w:val="0"/>
          <w:numId w:val="2"/>
        </w:numPr>
        <w:spacing w:before="120" w:after="120"/>
        <w:ind w:left="0" w:firstLine="0"/>
        <w:rPr>
          <w:rFonts w:eastAsia="Verdana" w:cs="Verdana"/>
          <w:szCs w:val="20"/>
          <w:lang w:val="en-US"/>
        </w:rPr>
      </w:pPr>
      <w:r w:rsidRPr="001558A5">
        <w:rPr>
          <w:rFonts w:cs="Arial"/>
          <w:szCs w:val="20"/>
          <w:lang w:val="en-US"/>
        </w:rPr>
        <w:t xml:space="preserve">In this regard, the Court considers that </w:t>
      </w:r>
      <w:r w:rsidR="00827357" w:rsidRPr="001558A5">
        <w:rPr>
          <w:rFonts w:cs="Arial"/>
          <w:szCs w:val="20"/>
          <w:lang w:val="en-US"/>
        </w:rPr>
        <w:t>the respect and guarantee of</w:t>
      </w:r>
      <w:r w:rsidRPr="001558A5">
        <w:rPr>
          <w:rFonts w:cs="Arial"/>
          <w:szCs w:val="20"/>
          <w:lang w:val="en-US"/>
        </w:rPr>
        <w:t xml:space="preserve"> the rights to life, personal integrity and gender identity of trans persons </w:t>
      </w:r>
      <w:r w:rsidR="00827357" w:rsidRPr="001558A5">
        <w:rPr>
          <w:rFonts w:cs="Arial"/>
          <w:szCs w:val="20"/>
          <w:lang w:val="en-US"/>
        </w:rPr>
        <w:t>are</w:t>
      </w:r>
      <w:r w:rsidRPr="001558A5">
        <w:rPr>
          <w:rFonts w:cs="Arial"/>
          <w:szCs w:val="20"/>
          <w:lang w:val="en-US"/>
        </w:rPr>
        <w:t xml:space="preserve"> closely related.</w:t>
      </w:r>
      <w:r w:rsidR="00827357" w:rsidRPr="001558A5">
        <w:rPr>
          <w:rFonts w:cs="Arial"/>
          <w:szCs w:val="20"/>
          <w:lang w:val="en-US"/>
        </w:rPr>
        <w:t xml:space="preserve"> In the instant case, the Court has noted that there were </w:t>
      </w:r>
      <w:r w:rsidR="004209B6" w:rsidRPr="001558A5">
        <w:rPr>
          <w:rFonts w:cs="Arial"/>
          <w:szCs w:val="20"/>
          <w:lang w:val="en-US"/>
        </w:rPr>
        <w:t xml:space="preserve">compelling </w:t>
      </w:r>
      <w:r w:rsidR="00827357" w:rsidRPr="001558A5">
        <w:rPr>
          <w:rFonts w:cs="Arial"/>
          <w:szCs w:val="20"/>
          <w:lang w:val="en-US"/>
        </w:rPr>
        <w:t xml:space="preserve">indications that the death and the acts of violence against </w:t>
      </w:r>
      <w:r w:rsidR="00827357" w:rsidRPr="001558A5">
        <w:rPr>
          <w:lang w:val="en-US"/>
        </w:rPr>
        <w:t xml:space="preserve">Vicky Hernández occurred for motives of gender and/or owing to her </w:t>
      </w:r>
      <w:r w:rsidR="002C5430" w:rsidRPr="001558A5">
        <w:rPr>
          <w:lang w:val="en-US"/>
        </w:rPr>
        <w:t>gender expression</w:t>
      </w:r>
      <w:r w:rsidR="0069389B" w:rsidRPr="001558A5">
        <w:rPr>
          <w:lang w:val="en-US"/>
        </w:rPr>
        <w:t xml:space="preserve"> </w:t>
      </w:r>
      <w:r w:rsidR="00827357" w:rsidRPr="001558A5">
        <w:rPr>
          <w:lang w:val="en-US"/>
        </w:rPr>
        <w:t>or her</w:t>
      </w:r>
      <w:r w:rsidR="0069389B" w:rsidRPr="001558A5">
        <w:rPr>
          <w:lang w:val="en-US"/>
        </w:rPr>
        <w:t xml:space="preserve"> </w:t>
      </w:r>
      <w:r w:rsidR="00DF7573" w:rsidRPr="001558A5">
        <w:rPr>
          <w:lang w:val="en-US"/>
        </w:rPr>
        <w:t>gender identity</w:t>
      </w:r>
      <w:r w:rsidR="0069389B" w:rsidRPr="001558A5">
        <w:rPr>
          <w:lang w:val="en-US"/>
        </w:rPr>
        <w:t xml:space="preserve">. </w:t>
      </w:r>
      <w:r w:rsidR="00827357" w:rsidRPr="001558A5">
        <w:rPr>
          <w:lang w:val="en-US"/>
        </w:rPr>
        <w:t xml:space="preserve">Therefore, in the particular circumstances of this case, the determination of the State’s responsibility for an alleged violation of the right to gender identity must necessarily be derived, among other considerations, from the State’s responsibility for a violation of </w:t>
      </w:r>
      <w:r w:rsidR="0069389B" w:rsidRPr="001558A5">
        <w:rPr>
          <w:lang w:val="en-US"/>
        </w:rPr>
        <w:t>Vicky Hernández</w:t>
      </w:r>
      <w:r w:rsidR="004209B6" w:rsidRPr="001558A5">
        <w:rPr>
          <w:lang w:val="en-US"/>
        </w:rPr>
        <w:t>’s right to life</w:t>
      </w:r>
      <w:r w:rsidR="0069389B" w:rsidRPr="001558A5">
        <w:rPr>
          <w:lang w:val="en-US"/>
        </w:rPr>
        <w:t xml:space="preserve"> </w:t>
      </w:r>
      <w:r w:rsidR="004209B6" w:rsidRPr="001558A5">
        <w:rPr>
          <w:lang w:val="en-US"/>
        </w:rPr>
        <w:t>since</w:t>
      </w:r>
      <w:r w:rsidR="00827357" w:rsidRPr="001558A5">
        <w:rPr>
          <w:lang w:val="en-US"/>
        </w:rPr>
        <w:t xml:space="preserve"> her death occurred precisely because of the way in which she expressed her </w:t>
      </w:r>
      <w:r w:rsidR="00DF7573" w:rsidRPr="001558A5">
        <w:rPr>
          <w:lang w:val="en-US"/>
        </w:rPr>
        <w:t>gender identity</w:t>
      </w:r>
      <w:r w:rsidR="0069389B" w:rsidRPr="001558A5">
        <w:rPr>
          <w:lang w:val="en-US"/>
        </w:rPr>
        <w:t>.</w:t>
      </w:r>
    </w:p>
    <w:p w14:paraId="4D3A68D1" w14:textId="1E451B53" w:rsidR="00827357" w:rsidRPr="001558A5" w:rsidRDefault="00827357" w:rsidP="00827357">
      <w:pPr>
        <w:widowControl w:val="0"/>
        <w:numPr>
          <w:ilvl w:val="0"/>
          <w:numId w:val="2"/>
        </w:numPr>
        <w:spacing w:before="120" w:after="120"/>
        <w:ind w:left="0" w:firstLine="0"/>
        <w:rPr>
          <w:rFonts w:eastAsia="Verdana" w:cs="Verdana"/>
          <w:szCs w:val="20"/>
          <w:lang w:val="en-US"/>
        </w:rPr>
      </w:pPr>
      <w:r w:rsidRPr="001558A5">
        <w:rPr>
          <w:lang w:val="en-US"/>
        </w:rPr>
        <w:t>Added to the above is the fact that, during the investigation into Vicky Hernández’s murder, the Honduran authorities systematically employed stereotyp</w:t>
      </w:r>
      <w:r w:rsidR="004209B6" w:rsidRPr="001558A5">
        <w:rPr>
          <w:lang w:val="en-US"/>
        </w:rPr>
        <w:t>ing</w:t>
      </w:r>
      <w:r w:rsidRPr="001558A5">
        <w:rPr>
          <w:lang w:val="en-US"/>
        </w:rPr>
        <w:t xml:space="preserve"> and gender-based prejudices</w:t>
      </w:r>
      <w:r w:rsidR="006A02F6" w:rsidRPr="001558A5">
        <w:rPr>
          <w:lang w:val="en-US"/>
        </w:rPr>
        <w:t xml:space="preserve"> (</w:t>
      </w:r>
      <w:r w:rsidR="006A02F6" w:rsidRPr="001558A5">
        <w:rPr>
          <w:i/>
          <w:iCs/>
          <w:lang w:val="en-US"/>
        </w:rPr>
        <w:t>supra</w:t>
      </w:r>
      <w:r w:rsidR="006A02F6" w:rsidRPr="001558A5">
        <w:rPr>
          <w:lang w:val="en-US"/>
        </w:rPr>
        <w:t xml:space="preserve"> </w:t>
      </w:r>
      <w:r w:rsidR="00B43A52" w:rsidRPr="001558A5">
        <w:rPr>
          <w:lang w:val="en-US"/>
        </w:rPr>
        <w:t>para.</w:t>
      </w:r>
      <w:r w:rsidR="00796841" w:rsidRPr="001558A5">
        <w:rPr>
          <w:lang w:val="en-US"/>
        </w:rPr>
        <w:t xml:space="preserve"> 113). </w:t>
      </w:r>
      <w:r w:rsidRPr="001558A5">
        <w:rPr>
          <w:lang w:val="en-US"/>
        </w:rPr>
        <w:t xml:space="preserve">Indeed, it has already been mentioned that, during the investigation procedures, her self-perceived gender identity was ignored and logical lines of investigation were not followed up on which could have examined her death as a possible manifestation of gender-based violence and discrimination owing to her </w:t>
      </w:r>
      <w:r w:rsidR="00CC655B" w:rsidRPr="001558A5">
        <w:rPr>
          <w:lang w:val="en-US"/>
        </w:rPr>
        <w:t>trans feminine identity.</w:t>
      </w:r>
    </w:p>
    <w:p w14:paraId="0B88B3C1" w14:textId="6D735284" w:rsidR="0060215F" w:rsidRPr="001558A5" w:rsidRDefault="00C21C0F" w:rsidP="00CC655B">
      <w:pPr>
        <w:widowControl w:val="0"/>
        <w:numPr>
          <w:ilvl w:val="0"/>
          <w:numId w:val="2"/>
        </w:numPr>
        <w:spacing w:before="120" w:after="120"/>
        <w:ind w:left="0" w:firstLine="0"/>
        <w:rPr>
          <w:rFonts w:cs="Arial"/>
          <w:szCs w:val="20"/>
          <w:lang w:val="en-US"/>
        </w:rPr>
      </w:pPr>
      <w:r w:rsidRPr="001558A5">
        <w:rPr>
          <w:rFonts w:cs="Arial"/>
          <w:szCs w:val="20"/>
          <w:lang w:val="en-US"/>
        </w:rPr>
        <w:t>A</w:t>
      </w:r>
      <w:r w:rsidR="00CC655B" w:rsidRPr="001558A5">
        <w:rPr>
          <w:rFonts w:cs="Arial"/>
          <w:szCs w:val="20"/>
          <w:lang w:val="en-US"/>
        </w:rPr>
        <w:t xml:space="preserve">dditionally, the fact that </w:t>
      </w:r>
      <w:r w:rsidRPr="001558A5">
        <w:rPr>
          <w:rFonts w:cs="Arial"/>
          <w:szCs w:val="20"/>
          <w:lang w:val="en-US"/>
        </w:rPr>
        <w:t xml:space="preserve">Vicky Hernández </w:t>
      </w:r>
      <w:r w:rsidR="00CC655B" w:rsidRPr="001558A5">
        <w:rPr>
          <w:rFonts w:cs="Arial"/>
          <w:szCs w:val="20"/>
          <w:lang w:val="en-US"/>
        </w:rPr>
        <w:t xml:space="preserve">was unable to have her </w:t>
      </w:r>
      <w:r w:rsidR="00DF7573" w:rsidRPr="001558A5">
        <w:rPr>
          <w:rFonts w:cs="Arial"/>
          <w:szCs w:val="20"/>
          <w:lang w:val="en-US"/>
        </w:rPr>
        <w:t>gender identity</w:t>
      </w:r>
      <w:r w:rsidR="00DD4354" w:rsidRPr="001558A5">
        <w:rPr>
          <w:rFonts w:cs="Arial"/>
          <w:szCs w:val="20"/>
          <w:lang w:val="en-US"/>
        </w:rPr>
        <w:t xml:space="preserve"> and </w:t>
      </w:r>
      <w:r w:rsidR="00CC655B" w:rsidRPr="001558A5">
        <w:rPr>
          <w:rFonts w:cs="Arial"/>
          <w:szCs w:val="20"/>
          <w:lang w:val="en-US"/>
        </w:rPr>
        <w:t xml:space="preserve">her chosen name reflected on her identity document, in keeping with her self-perceived gender, probably had a significant impact in the context of the investigations that, as indicated, were characterized by ignoring and omitting lines of investigation related to her </w:t>
      </w:r>
      <w:r w:rsidR="00DF7573" w:rsidRPr="001558A5">
        <w:rPr>
          <w:rFonts w:cs="Arial"/>
          <w:szCs w:val="20"/>
          <w:lang w:val="en-US"/>
        </w:rPr>
        <w:t>gender identity</w:t>
      </w:r>
      <w:r w:rsidR="0060215F" w:rsidRPr="001558A5">
        <w:rPr>
          <w:rFonts w:cs="Arial"/>
          <w:szCs w:val="20"/>
          <w:lang w:val="en-US"/>
        </w:rPr>
        <w:t xml:space="preserve"> (</w:t>
      </w:r>
      <w:r w:rsidR="0060215F" w:rsidRPr="001558A5">
        <w:rPr>
          <w:rFonts w:cs="Arial"/>
          <w:i/>
          <w:iCs/>
          <w:szCs w:val="20"/>
          <w:lang w:val="en-US"/>
        </w:rPr>
        <w:t>supra</w:t>
      </w:r>
      <w:r w:rsidR="0060215F" w:rsidRPr="001558A5">
        <w:rPr>
          <w:rFonts w:cs="Arial"/>
          <w:szCs w:val="20"/>
          <w:lang w:val="en-US"/>
        </w:rPr>
        <w:t xml:space="preserve"> </w:t>
      </w:r>
      <w:r w:rsidR="00B43A52" w:rsidRPr="001558A5">
        <w:rPr>
          <w:rFonts w:cs="Arial"/>
          <w:szCs w:val="20"/>
          <w:lang w:val="en-US"/>
        </w:rPr>
        <w:t>para.</w:t>
      </w:r>
      <w:r w:rsidR="0060215F" w:rsidRPr="001558A5">
        <w:rPr>
          <w:rFonts w:cs="Arial"/>
          <w:szCs w:val="20"/>
          <w:lang w:val="en-US"/>
        </w:rPr>
        <w:t xml:space="preserve"> </w:t>
      </w:r>
      <w:r w:rsidR="00796841" w:rsidRPr="001558A5">
        <w:rPr>
          <w:rFonts w:cs="Arial"/>
          <w:szCs w:val="20"/>
          <w:lang w:val="en-US"/>
        </w:rPr>
        <w:t>113)</w:t>
      </w:r>
      <w:r w:rsidR="004A1234" w:rsidRPr="001558A5">
        <w:rPr>
          <w:rFonts w:cs="Arial"/>
          <w:szCs w:val="20"/>
          <w:lang w:val="en-US"/>
        </w:rPr>
        <w:t xml:space="preserve">. </w:t>
      </w:r>
      <w:r w:rsidR="00CC655B" w:rsidRPr="001558A5">
        <w:rPr>
          <w:rFonts w:cs="Arial"/>
          <w:szCs w:val="20"/>
          <w:lang w:val="en-US"/>
        </w:rPr>
        <w:t xml:space="preserve">Moreover, this lack of recognition of her self-perceived </w:t>
      </w:r>
      <w:r w:rsidR="00DF7573" w:rsidRPr="001558A5">
        <w:rPr>
          <w:rFonts w:cs="Arial"/>
          <w:szCs w:val="20"/>
          <w:lang w:val="en-US"/>
        </w:rPr>
        <w:t>gender identity</w:t>
      </w:r>
      <w:r w:rsidR="004A1234" w:rsidRPr="001558A5">
        <w:rPr>
          <w:rFonts w:cs="Arial"/>
          <w:szCs w:val="20"/>
          <w:lang w:val="en-US"/>
        </w:rPr>
        <w:t xml:space="preserve"> </w:t>
      </w:r>
      <w:r w:rsidR="00CC655B" w:rsidRPr="001558A5">
        <w:rPr>
          <w:rFonts w:cs="Arial"/>
          <w:szCs w:val="20"/>
          <w:lang w:val="en-US"/>
        </w:rPr>
        <w:t xml:space="preserve">could, more broadly, have fostered a form of discrimination and social exclusion because she </w:t>
      </w:r>
      <w:r w:rsidR="00AB1D37" w:rsidRPr="001558A5">
        <w:rPr>
          <w:rFonts w:cs="Arial"/>
          <w:szCs w:val="20"/>
          <w:lang w:val="en-US"/>
        </w:rPr>
        <w:t xml:space="preserve">had </w:t>
      </w:r>
      <w:r w:rsidR="00CC655B" w:rsidRPr="001558A5">
        <w:rPr>
          <w:rFonts w:cs="Arial"/>
          <w:szCs w:val="20"/>
          <w:lang w:val="en-US"/>
        </w:rPr>
        <w:t>expressed that identity.</w:t>
      </w:r>
    </w:p>
    <w:p w14:paraId="32B5324B" w14:textId="67D5EC9E" w:rsidR="0060215F" w:rsidRPr="001558A5" w:rsidRDefault="007E7E0D" w:rsidP="00945CE2">
      <w:pPr>
        <w:widowControl w:val="0"/>
        <w:numPr>
          <w:ilvl w:val="0"/>
          <w:numId w:val="2"/>
        </w:numPr>
        <w:spacing w:before="120" w:after="120"/>
        <w:ind w:left="0" w:firstLine="0"/>
        <w:rPr>
          <w:rFonts w:cs="Arial"/>
          <w:szCs w:val="20"/>
          <w:lang w:val="en-US"/>
        </w:rPr>
      </w:pPr>
      <w:r w:rsidRPr="001558A5">
        <w:rPr>
          <w:rFonts w:cs="Arial"/>
          <w:szCs w:val="20"/>
          <w:lang w:val="en-US"/>
        </w:rPr>
        <w:t>A</w:t>
      </w:r>
      <w:r w:rsidR="0091515E" w:rsidRPr="001558A5">
        <w:rPr>
          <w:rFonts w:cs="Arial"/>
          <w:szCs w:val="20"/>
          <w:lang w:val="en-US"/>
        </w:rPr>
        <w:t xml:space="preserve">s already indicated, </w:t>
      </w:r>
      <w:r w:rsidR="00DF7573" w:rsidRPr="001558A5">
        <w:rPr>
          <w:lang w:val="en-US" w:eastAsia="es-ES"/>
        </w:rPr>
        <w:t>sexual orientation</w:t>
      </w:r>
      <w:r w:rsidR="00DD4354" w:rsidRPr="001558A5">
        <w:rPr>
          <w:lang w:val="en-US" w:eastAsia="es-ES"/>
        </w:rPr>
        <w:t xml:space="preserve"> and </w:t>
      </w:r>
      <w:r w:rsidR="00DF7573" w:rsidRPr="001558A5">
        <w:rPr>
          <w:lang w:val="en-US" w:eastAsia="es-ES"/>
        </w:rPr>
        <w:t>gender identity</w:t>
      </w:r>
      <w:r w:rsidR="0060215F" w:rsidRPr="001558A5">
        <w:rPr>
          <w:lang w:val="en-US" w:eastAsia="es-ES"/>
        </w:rPr>
        <w:t xml:space="preserve">, </w:t>
      </w:r>
      <w:r w:rsidR="0091515E" w:rsidRPr="001558A5">
        <w:rPr>
          <w:lang w:val="en-US" w:eastAsia="es-ES"/>
        </w:rPr>
        <w:t>together with</w:t>
      </w:r>
      <w:r w:rsidR="0060215F" w:rsidRPr="001558A5">
        <w:rPr>
          <w:lang w:val="en-US" w:eastAsia="es-ES"/>
        </w:rPr>
        <w:t xml:space="preserve"> </w:t>
      </w:r>
      <w:r w:rsidR="002C5430" w:rsidRPr="001558A5">
        <w:rPr>
          <w:lang w:val="en-US" w:eastAsia="es-ES"/>
        </w:rPr>
        <w:t xml:space="preserve">gender </w:t>
      </w:r>
      <w:r w:rsidR="0091515E" w:rsidRPr="001558A5">
        <w:rPr>
          <w:lang w:val="en-US" w:eastAsia="es-ES"/>
        </w:rPr>
        <w:t>expres</w:t>
      </w:r>
      <w:r w:rsidRPr="001558A5">
        <w:rPr>
          <w:lang w:val="en-US" w:eastAsia="es-ES"/>
        </w:rPr>
        <w:t>sio</w:t>
      </w:r>
      <w:r w:rsidR="0091515E" w:rsidRPr="001558A5">
        <w:rPr>
          <w:lang w:val="en-US" w:eastAsia="es-ES"/>
        </w:rPr>
        <w:t>n, are cate</w:t>
      </w:r>
      <w:r w:rsidRPr="001558A5">
        <w:rPr>
          <w:lang w:val="en-US" w:eastAsia="es-ES"/>
        </w:rPr>
        <w:t>g</w:t>
      </w:r>
      <w:r w:rsidR="0091515E" w:rsidRPr="001558A5">
        <w:rPr>
          <w:lang w:val="en-US" w:eastAsia="es-ES"/>
        </w:rPr>
        <w:t>ories protected by</w:t>
      </w:r>
      <w:r w:rsidR="0060215F" w:rsidRPr="001558A5">
        <w:rPr>
          <w:lang w:val="en-US" w:eastAsia="es-ES"/>
        </w:rPr>
        <w:t xml:space="preserve"> </w:t>
      </w:r>
      <w:r w:rsidR="00871E19" w:rsidRPr="001558A5">
        <w:rPr>
          <w:lang w:val="en-US" w:eastAsia="es-ES"/>
        </w:rPr>
        <w:t>the Convention</w:t>
      </w:r>
      <w:r w:rsidR="00DD4354" w:rsidRPr="001558A5">
        <w:rPr>
          <w:lang w:val="en-US" w:eastAsia="es-ES"/>
        </w:rPr>
        <w:t xml:space="preserve"> and</w:t>
      </w:r>
      <w:r w:rsidRPr="001558A5">
        <w:rPr>
          <w:lang w:val="en-US" w:eastAsia="es-ES"/>
        </w:rPr>
        <w:t xml:space="preserve">, therefore, any discriminatory law, act or practice based on a person’s </w:t>
      </w:r>
      <w:r w:rsidR="00DF7573" w:rsidRPr="001558A5">
        <w:rPr>
          <w:lang w:val="en-US" w:eastAsia="es-ES"/>
        </w:rPr>
        <w:t>sexual orientation</w:t>
      </w:r>
      <w:r w:rsidR="0060215F" w:rsidRPr="001558A5">
        <w:rPr>
          <w:lang w:val="en-US" w:eastAsia="es-ES"/>
        </w:rPr>
        <w:t xml:space="preserve">, </w:t>
      </w:r>
      <w:r w:rsidR="00DF7573" w:rsidRPr="001558A5">
        <w:rPr>
          <w:lang w:val="en-US" w:eastAsia="es-ES"/>
        </w:rPr>
        <w:t>gender identity</w:t>
      </w:r>
      <w:r w:rsidR="0060215F" w:rsidRPr="001558A5">
        <w:rPr>
          <w:lang w:val="en-US" w:eastAsia="es-ES"/>
        </w:rPr>
        <w:t xml:space="preserve"> o</w:t>
      </w:r>
      <w:r w:rsidRPr="001558A5">
        <w:rPr>
          <w:lang w:val="en-US" w:eastAsia="es-ES"/>
        </w:rPr>
        <w:t>r</w:t>
      </w:r>
      <w:r w:rsidR="0060215F" w:rsidRPr="001558A5">
        <w:rPr>
          <w:lang w:val="en-US" w:eastAsia="es-ES"/>
        </w:rPr>
        <w:t xml:space="preserve"> </w:t>
      </w:r>
      <w:r w:rsidR="002C5430" w:rsidRPr="001558A5">
        <w:rPr>
          <w:lang w:val="en-US" w:eastAsia="es-ES"/>
        </w:rPr>
        <w:t>gender expression</w:t>
      </w:r>
      <w:r w:rsidR="0060215F" w:rsidRPr="001558A5">
        <w:rPr>
          <w:lang w:val="en-US" w:eastAsia="es-ES"/>
        </w:rPr>
        <w:t xml:space="preserve"> </w:t>
      </w:r>
      <w:r w:rsidRPr="001558A5">
        <w:rPr>
          <w:lang w:val="en-US" w:eastAsia="es-ES"/>
        </w:rPr>
        <w:t>are prohibited by the Convention</w:t>
      </w:r>
      <w:r w:rsidR="0060215F" w:rsidRPr="001558A5">
        <w:rPr>
          <w:lang w:val="en-US" w:eastAsia="es-ES"/>
        </w:rPr>
        <w:t xml:space="preserve">. </w:t>
      </w:r>
      <w:r w:rsidRPr="001558A5">
        <w:rPr>
          <w:lang w:val="en-US" w:eastAsia="es-ES"/>
        </w:rPr>
        <w:t>Consequently, this Court indicated</w:t>
      </w:r>
      <w:r w:rsidR="00575EB6" w:rsidRPr="001558A5">
        <w:rPr>
          <w:lang w:val="en-US" w:eastAsia="es-ES"/>
        </w:rPr>
        <w:t xml:space="preserve"> </w:t>
      </w:r>
      <w:r w:rsidR="00575EB6" w:rsidRPr="001558A5">
        <w:rPr>
          <w:i/>
          <w:iCs/>
          <w:lang w:val="en-US" w:eastAsia="es-ES"/>
        </w:rPr>
        <w:t xml:space="preserve">supra </w:t>
      </w:r>
      <w:r w:rsidRPr="001558A5">
        <w:rPr>
          <w:lang w:val="en-US" w:eastAsia="es-ES"/>
        </w:rPr>
        <w:t xml:space="preserve">that no domestic legal provision, decision or practice, either by state authorities or by private individuals, may in any way reduce or restrict someone’s rights based on their  </w:t>
      </w:r>
      <w:r w:rsidR="00675A99" w:rsidRPr="001558A5">
        <w:rPr>
          <w:lang w:val="en-US" w:eastAsia="es-ES"/>
        </w:rPr>
        <w:t>sexual orientation</w:t>
      </w:r>
      <w:r w:rsidR="0060215F" w:rsidRPr="001558A5">
        <w:rPr>
          <w:lang w:val="en-US" w:eastAsia="es-ES"/>
        </w:rPr>
        <w:t xml:space="preserve">, </w:t>
      </w:r>
      <w:r w:rsidR="00DF7573" w:rsidRPr="001558A5">
        <w:rPr>
          <w:lang w:val="en-US" w:eastAsia="es-ES"/>
        </w:rPr>
        <w:t>gender identity</w:t>
      </w:r>
      <w:r w:rsidR="0060215F" w:rsidRPr="001558A5">
        <w:rPr>
          <w:lang w:val="en-US" w:eastAsia="es-ES"/>
        </w:rPr>
        <w:t xml:space="preserve"> </w:t>
      </w:r>
      <w:r w:rsidRPr="001558A5">
        <w:rPr>
          <w:lang w:val="en-US" w:eastAsia="es-ES"/>
        </w:rPr>
        <w:t>and/or</w:t>
      </w:r>
      <w:r w:rsidR="0060215F" w:rsidRPr="001558A5">
        <w:rPr>
          <w:lang w:val="en-US" w:eastAsia="es-ES"/>
        </w:rPr>
        <w:t xml:space="preserve"> </w:t>
      </w:r>
      <w:r w:rsidR="002C5430" w:rsidRPr="001558A5">
        <w:rPr>
          <w:lang w:val="en-US" w:eastAsia="es-ES"/>
        </w:rPr>
        <w:t>gender expression</w:t>
      </w:r>
      <w:r w:rsidR="00575EB6" w:rsidRPr="001558A5">
        <w:rPr>
          <w:lang w:val="en-US" w:eastAsia="es-ES"/>
        </w:rPr>
        <w:t xml:space="preserve"> (</w:t>
      </w:r>
      <w:r w:rsidR="00575EB6" w:rsidRPr="001558A5">
        <w:rPr>
          <w:i/>
          <w:iCs/>
          <w:lang w:val="en-US" w:eastAsia="es-ES"/>
        </w:rPr>
        <w:t>supra</w:t>
      </w:r>
      <w:r w:rsidR="00575EB6" w:rsidRPr="001558A5">
        <w:rPr>
          <w:lang w:val="en-US" w:eastAsia="es-ES"/>
        </w:rPr>
        <w:t xml:space="preserve"> </w:t>
      </w:r>
      <w:r w:rsidR="00B43A52" w:rsidRPr="001558A5">
        <w:rPr>
          <w:lang w:val="en-US" w:eastAsia="es-ES"/>
        </w:rPr>
        <w:t>para.</w:t>
      </w:r>
      <w:r w:rsidR="00575EB6" w:rsidRPr="001558A5">
        <w:rPr>
          <w:lang w:val="en-US" w:eastAsia="es-ES"/>
        </w:rPr>
        <w:t xml:space="preserve"> </w:t>
      </w:r>
      <w:r w:rsidR="00796841" w:rsidRPr="001558A5">
        <w:rPr>
          <w:lang w:val="en-US" w:eastAsia="es-ES"/>
        </w:rPr>
        <w:t>67).</w:t>
      </w:r>
    </w:p>
    <w:p w14:paraId="4E7E8AAE" w14:textId="7E9E92A3" w:rsidR="0060215F" w:rsidRPr="001558A5" w:rsidRDefault="007E7E0D" w:rsidP="007E7E0D">
      <w:pPr>
        <w:widowControl w:val="0"/>
        <w:numPr>
          <w:ilvl w:val="0"/>
          <w:numId w:val="2"/>
        </w:numPr>
        <w:spacing w:before="120" w:after="120"/>
        <w:ind w:left="0" w:firstLine="0"/>
        <w:rPr>
          <w:lang w:val="en-US"/>
        </w:rPr>
      </w:pPr>
      <w:r w:rsidRPr="001558A5">
        <w:rPr>
          <w:lang w:val="en-US"/>
        </w:rPr>
        <w:t xml:space="preserve">Accordingly, the Court has indicated that the right of </w:t>
      </w:r>
      <w:r w:rsidR="003E49F4" w:rsidRPr="001558A5">
        <w:rPr>
          <w:lang w:val="en-US"/>
        </w:rPr>
        <w:t>each person</w:t>
      </w:r>
      <w:r w:rsidRPr="001558A5">
        <w:rPr>
          <w:lang w:val="en-US"/>
        </w:rPr>
        <w:t xml:space="preserve"> to define </w:t>
      </w:r>
      <w:r w:rsidR="003E49F4" w:rsidRPr="001558A5">
        <w:rPr>
          <w:lang w:val="en-US"/>
        </w:rPr>
        <w:t xml:space="preserve">his or her </w:t>
      </w:r>
      <w:r w:rsidRPr="001558A5">
        <w:rPr>
          <w:lang w:val="en-US"/>
        </w:rPr>
        <w:t xml:space="preserve">sexual and gender identity autonomously and that the information in records, </w:t>
      </w:r>
      <w:r w:rsidR="003E49F4" w:rsidRPr="001558A5">
        <w:rPr>
          <w:lang w:val="en-US"/>
        </w:rPr>
        <w:t>and on</w:t>
      </w:r>
      <w:r w:rsidRPr="001558A5">
        <w:rPr>
          <w:lang w:val="en-US"/>
        </w:rPr>
        <w:t xml:space="preserve"> identity documents, should correspond to</w:t>
      </w:r>
      <w:r w:rsidR="003E49F4" w:rsidRPr="001558A5">
        <w:rPr>
          <w:lang w:val="en-US"/>
        </w:rPr>
        <w:t xml:space="preserve"> and coincide with</w:t>
      </w:r>
      <w:r w:rsidRPr="001558A5">
        <w:rPr>
          <w:lang w:val="en-US"/>
        </w:rPr>
        <w:t xml:space="preserve"> </w:t>
      </w:r>
      <w:r w:rsidR="003E49F4" w:rsidRPr="001558A5">
        <w:rPr>
          <w:lang w:val="en-US"/>
        </w:rPr>
        <w:t>their self-defined identity</w:t>
      </w:r>
      <w:r w:rsidRPr="001558A5">
        <w:rPr>
          <w:lang w:val="en-US"/>
        </w:rPr>
        <w:t xml:space="preserve"> is protected by </w:t>
      </w:r>
      <w:r w:rsidR="00871E19" w:rsidRPr="001558A5">
        <w:rPr>
          <w:lang w:val="en-US"/>
        </w:rPr>
        <w:t>the American Convention</w:t>
      </w:r>
      <w:r w:rsidR="0060215F" w:rsidRPr="001558A5">
        <w:rPr>
          <w:lang w:val="en-US"/>
        </w:rPr>
        <w:t xml:space="preserve"> </w:t>
      </w:r>
      <w:r w:rsidR="003E49F4" w:rsidRPr="001558A5">
        <w:rPr>
          <w:lang w:val="en-US"/>
        </w:rPr>
        <w:t>under</w:t>
      </w:r>
      <w:r w:rsidRPr="001558A5">
        <w:rPr>
          <w:lang w:val="en-US"/>
        </w:rPr>
        <w:t xml:space="preserve"> the provisions that </w:t>
      </w:r>
      <w:r w:rsidR="003E49F4" w:rsidRPr="001558A5">
        <w:rPr>
          <w:lang w:val="en-US"/>
        </w:rPr>
        <w:t xml:space="preserve">ensure </w:t>
      </w:r>
      <w:r w:rsidRPr="001558A5">
        <w:rPr>
          <w:lang w:val="en-US"/>
        </w:rPr>
        <w:t xml:space="preserve">the free development of the personality </w:t>
      </w:r>
      <w:r w:rsidR="0060215F" w:rsidRPr="001558A5">
        <w:rPr>
          <w:lang w:val="en-US"/>
        </w:rPr>
        <w:t>(</w:t>
      </w:r>
      <w:r w:rsidR="00871E19" w:rsidRPr="001558A5">
        <w:rPr>
          <w:lang w:val="en-US"/>
        </w:rPr>
        <w:t>Article</w:t>
      </w:r>
      <w:r w:rsidR="0060215F" w:rsidRPr="001558A5">
        <w:rPr>
          <w:lang w:val="en-US"/>
        </w:rPr>
        <w:t>s 7</w:t>
      </w:r>
      <w:r w:rsidR="00DD4354" w:rsidRPr="001558A5">
        <w:rPr>
          <w:lang w:val="en-US"/>
        </w:rPr>
        <w:t xml:space="preserve"> and </w:t>
      </w:r>
      <w:r w:rsidR="00366177" w:rsidRPr="001558A5">
        <w:rPr>
          <w:lang w:val="en-US"/>
        </w:rPr>
        <w:t>11(2)</w:t>
      </w:r>
      <w:r w:rsidR="0060215F" w:rsidRPr="001558A5">
        <w:rPr>
          <w:lang w:val="en-US"/>
        </w:rPr>
        <w:t>),</w:t>
      </w:r>
      <w:r w:rsidRPr="001558A5">
        <w:rPr>
          <w:lang w:val="en-US"/>
        </w:rPr>
        <w:t xml:space="preserve"> the right to privacy </w:t>
      </w:r>
      <w:r w:rsidR="0060215F" w:rsidRPr="001558A5">
        <w:rPr>
          <w:lang w:val="en-US"/>
        </w:rPr>
        <w:t xml:space="preserve"> (</w:t>
      </w:r>
      <w:r w:rsidR="00871E19" w:rsidRPr="001558A5">
        <w:rPr>
          <w:lang w:val="en-US"/>
        </w:rPr>
        <w:t>Article</w:t>
      </w:r>
      <w:r w:rsidR="0060215F" w:rsidRPr="001558A5">
        <w:rPr>
          <w:lang w:val="en-US"/>
        </w:rPr>
        <w:t xml:space="preserve"> </w:t>
      </w:r>
      <w:r w:rsidR="00366177" w:rsidRPr="001558A5">
        <w:rPr>
          <w:lang w:val="en-US"/>
        </w:rPr>
        <w:t>11(2)</w:t>
      </w:r>
      <w:r w:rsidR="0060215F" w:rsidRPr="001558A5">
        <w:rPr>
          <w:lang w:val="en-US"/>
        </w:rPr>
        <w:t xml:space="preserve">), </w:t>
      </w:r>
      <w:r w:rsidR="003E49F4" w:rsidRPr="001558A5">
        <w:rPr>
          <w:lang w:val="en-US"/>
        </w:rPr>
        <w:t xml:space="preserve">the </w:t>
      </w:r>
      <w:r w:rsidR="00907FBD" w:rsidRPr="001558A5">
        <w:rPr>
          <w:lang w:val="en-US"/>
        </w:rPr>
        <w:t>recognition of juridical personality</w:t>
      </w:r>
      <w:r w:rsidR="0060215F" w:rsidRPr="001558A5">
        <w:rPr>
          <w:lang w:val="en-US"/>
        </w:rPr>
        <w:t xml:space="preserve"> (</w:t>
      </w:r>
      <w:r w:rsidR="00871E19" w:rsidRPr="001558A5">
        <w:rPr>
          <w:lang w:val="en-US"/>
        </w:rPr>
        <w:t>Article</w:t>
      </w:r>
      <w:r w:rsidR="0060215F" w:rsidRPr="001558A5">
        <w:rPr>
          <w:lang w:val="en-US"/>
        </w:rPr>
        <w:t xml:space="preserve"> 3),</w:t>
      </w:r>
      <w:r w:rsidR="00DD4354" w:rsidRPr="001558A5">
        <w:rPr>
          <w:lang w:val="en-US"/>
        </w:rPr>
        <w:t xml:space="preserve"> and </w:t>
      </w:r>
      <w:r w:rsidRPr="001558A5">
        <w:rPr>
          <w:lang w:val="en-US"/>
        </w:rPr>
        <w:t xml:space="preserve">the right to a name </w:t>
      </w:r>
      <w:r w:rsidR="0060215F" w:rsidRPr="001558A5">
        <w:rPr>
          <w:lang w:val="en-US"/>
        </w:rPr>
        <w:t>(</w:t>
      </w:r>
      <w:r w:rsidR="00871E19" w:rsidRPr="001558A5">
        <w:rPr>
          <w:lang w:val="en-US"/>
        </w:rPr>
        <w:t>Article</w:t>
      </w:r>
      <w:r w:rsidR="0060215F" w:rsidRPr="001558A5">
        <w:rPr>
          <w:lang w:val="en-US"/>
        </w:rPr>
        <w:t xml:space="preserve"> 18). </w:t>
      </w:r>
      <w:r w:rsidR="003E49F4" w:rsidRPr="001558A5">
        <w:rPr>
          <w:lang w:val="en-US"/>
        </w:rPr>
        <w:t>Thus,</w:t>
      </w:r>
      <w:r w:rsidRPr="001558A5">
        <w:rPr>
          <w:lang w:val="en-US"/>
        </w:rPr>
        <w:t xml:space="preserve"> States must respect and ensure to everyone the possibility of registering and/or changing, rectifying or a</w:t>
      </w:r>
      <w:r w:rsidR="003E49F4" w:rsidRPr="001558A5">
        <w:rPr>
          <w:lang w:val="en-US"/>
        </w:rPr>
        <w:t xml:space="preserve">mending </w:t>
      </w:r>
      <w:r w:rsidRPr="001558A5">
        <w:rPr>
          <w:lang w:val="en-US"/>
        </w:rPr>
        <w:t xml:space="preserve">their name and </w:t>
      </w:r>
      <w:r w:rsidR="003E49F4" w:rsidRPr="001558A5">
        <w:rPr>
          <w:lang w:val="en-US"/>
        </w:rPr>
        <w:t xml:space="preserve">the </w:t>
      </w:r>
      <w:r w:rsidRPr="001558A5">
        <w:rPr>
          <w:lang w:val="en-US"/>
        </w:rPr>
        <w:t xml:space="preserve">other essential components of their identity such as their photograph, or the reference to sex or gender, without interference by the public authorities or by third parties. </w:t>
      </w:r>
      <w:r w:rsidR="003E49F4" w:rsidRPr="001558A5">
        <w:rPr>
          <w:lang w:val="en-US"/>
        </w:rPr>
        <w:t>This necessarily means that those who identify themselves with diverse gender identities must be recognized as such. Moreover, the State must ensure that they can exercise their rights and assume obligations based on that same identity, without being obliged to retain another identity that does not represent their individuality, especially when this involves a continu</w:t>
      </w:r>
      <w:r w:rsidR="001164FE" w:rsidRPr="001558A5">
        <w:rPr>
          <w:lang w:val="en-US"/>
        </w:rPr>
        <w:t>ous</w:t>
      </w:r>
      <w:r w:rsidR="003E49F4" w:rsidRPr="001558A5">
        <w:rPr>
          <w:lang w:val="en-US"/>
        </w:rPr>
        <w:t xml:space="preserve"> exposure to </w:t>
      </w:r>
      <w:r w:rsidR="001164FE" w:rsidRPr="001558A5">
        <w:rPr>
          <w:lang w:val="en-US"/>
        </w:rPr>
        <w:t xml:space="preserve">the </w:t>
      </w:r>
      <w:r w:rsidR="003E49F4" w:rsidRPr="001558A5">
        <w:rPr>
          <w:lang w:val="en-US"/>
        </w:rPr>
        <w:t>social questioning of that same identity, thus</w:t>
      </w:r>
      <w:r w:rsidR="001164FE" w:rsidRPr="001558A5">
        <w:rPr>
          <w:lang w:val="en-US"/>
        </w:rPr>
        <w:t xml:space="preserve"> affecting</w:t>
      </w:r>
      <w:r w:rsidR="003E49F4" w:rsidRPr="001558A5">
        <w:rPr>
          <w:lang w:val="en-US"/>
        </w:rPr>
        <w:t xml:space="preserve"> the exercise and enjoyment of the rights recognized by both domestic and international law.</w:t>
      </w:r>
      <w:r w:rsidR="0060215F" w:rsidRPr="001558A5">
        <w:rPr>
          <w:rStyle w:val="Refdenotaalpie"/>
          <w:lang w:val="en-US"/>
        </w:rPr>
        <w:footnoteReference w:id="144"/>
      </w:r>
    </w:p>
    <w:p w14:paraId="2A758183" w14:textId="28C4A96E" w:rsidR="00875F81" w:rsidRPr="001558A5" w:rsidRDefault="001164FE" w:rsidP="001164FE">
      <w:pPr>
        <w:widowControl w:val="0"/>
        <w:numPr>
          <w:ilvl w:val="0"/>
          <w:numId w:val="2"/>
        </w:numPr>
        <w:spacing w:before="120" w:after="120"/>
        <w:ind w:left="0" w:firstLine="0"/>
        <w:rPr>
          <w:rFonts w:cs="Arial"/>
          <w:szCs w:val="20"/>
          <w:lang w:val="en-US"/>
        </w:rPr>
      </w:pPr>
      <w:r w:rsidRPr="001558A5">
        <w:rPr>
          <w:rFonts w:cs="Arial"/>
          <w:szCs w:val="20"/>
          <w:lang w:val="en-US"/>
        </w:rPr>
        <w:t xml:space="preserve">Based on the foregoing considerations and in light of the close relationship in this case between, on the one hand, the rights to judicial guarantees and judicial protection and, on the other, the right to gender identity and gender expression, the Court finds that the State is also responsible for </w:t>
      </w:r>
      <w:r w:rsidR="00B74256" w:rsidRPr="001558A5">
        <w:rPr>
          <w:rFonts w:cs="Arial"/>
          <w:szCs w:val="20"/>
          <w:lang w:val="en-US"/>
        </w:rPr>
        <w:t>the violation of</w:t>
      </w:r>
      <w:r w:rsidRPr="001558A5">
        <w:rPr>
          <w:rFonts w:cs="Arial"/>
          <w:szCs w:val="20"/>
          <w:lang w:val="en-US"/>
        </w:rPr>
        <w:t xml:space="preserve"> the obligation to ensure the rights to </w:t>
      </w:r>
      <w:r w:rsidR="00907FBD" w:rsidRPr="001558A5">
        <w:rPr>
          <w:rFonts w:cs="Arial"/>
          <w:szCs w:val="20"/>
          <w:lang w:val="en-US"/>
        </w:rPr>
        <w:t>recognition of juridical personality</w:t>
      </w:r>
      <w:r w:rsidR="006A02F6" w:rsidRPr="001558A5">
        <w:rPr>
          <w:rFonts w:cs="Arial"/>
          <w:szCs w:val="20"/>
          <w:lang w:val="en-US"/>
        </w:rPr>
        <w:t xml:space="preserve">, </w:t>
      </w:r>
      <w:r w:rsidR="004A4A92" w:rsidRPr="001558A5">
        <w:rPr>
          <w:rFonts w:cs="Arial"/>
          <w:szCs w:val="20"/>
          <w:lang w:val="en-US"/>
        </w:rPr>
        <w:t>personal liberty</w:t>
      </w:r>
      <w:r w:rsidR="006A02F6" w:rsidRPr="001558A5">
        <w:rPr>
          <w:rFonts w:cs="Arial"/>
          <w:szCs w:val="20"/>
          <w:lang w:val="en-US"/>
        </w:rPr>
        <w:t xml:space="preserve">, </w:t>
      </w:r>
      <w:r w:rsidRPr="001558A5">
        <w:rPr>
          <w:rFonts w:cs="Arial"/>
          <w:szCs w:val="20"/>
          <w:lang w:val="en-US"/>
        </w:rPr>
        <w:t>privacy</w:t>
      </w:r>
      <w:r w:rsidR="006A02F6" w:rsidRPr="001558A5">
        <w:rPr>
          <w:rFonts w:cs="Arial"/>
          <w:szCs w:val="20"/>
          <w:lang w:val="en-US"/>
        </w:rPr>
        <w:t>,</w:t>
      </w:r>
      <w:r w:rsidRPr="001558A5">
        <w:rPr>
          <w:rFonts w:cs="Arial"/>
          <w:szCs w:val="20"/>
          <w:lang w:val="en-US"/>
        </w:rPr>
        <w:t xml:space="preserve"> </w:t>
      </w:r>
      <w:r w:rsidR="00B732DD" w:rsidRPr="001558A5">
        <w:rPr>
          <w:rFonts w:cs="Arial"/>
          <w:szCs w:val="20"/>
          <w:lang w:val="en-US"/>
        </w:rPr>
        <w:t>freedom of expression</w:t>
      </w:r>
      <w:r w:rsidR="006A02F6" w:rsidRPr="001558A5">
        <w:rPr>
          <w:rFonts w:cs="Arial"/>
          <w:szCs w:val="20"/>
          <w:lang w:val="en-US"/>
        </w:rPr>
        <w:t>,</w:t>
      </w:r>
      <w:r w:rsidR="00DD4354" w:rsidRPr="001558A5">
        <w:rPr>
          <w:rFonts w:cs="Arial"/>
          <w:szCs w:val="20"/>
          <w:lang w:val="en-US"/>
        </w:rPr>
        <w:t xml:space="preserve"> and </w:t>
      </w:r>
      <w:r w:rsidRPr="001558A5">
        <w:rPr>
          <w:rFonts w:cs="Arial"/>
          <w:szCs w:val="20"/>
          <w:lang w:val="en-US"/>
        </w:rPr>
        <w:t xml:space="preserve">a name contained in </w:t>
      </w:r>
      <w:r w:rsidR="00871E19" w:rsidRPr="001558A5">
        <w:rPr>
          <w:rFonts w:cs="Arial"/>
          <w:szCs w:val="20"/>
          <w:lang w:val="en-US"/>
        </w:rPr>
        <w:t>Articles</w:t>
      </w:r>
      <w:r w:rsidR="006A02F6" w:rsidRPr="001558A5">
        <w:rPr>
          <w:rFonts w:cs="Arial"/>
          <w:szCs w:val="20"/>
          <w:lang w:val="en-US"/>
        </w:rPr>
        <w:t xml:space="preserve"> 3, 7, 11, 13</w:t>
      </w:r>
      <w:r w:rsidR="00DD4354" w:rsidRPr="001558A5">
        <w:rPr>
          <w:rFonts w:cs="Arial"/>
          <w:szCs w:val="20"/>
          <w:lang w:val="en-US"/>
        </w:rPr>
        <w:t xml:space="preserve"> and </w:t>
      </w:r>
      <w:r w:rsidR="006A02F6" w:rsidRPr="001558A5">
        <w:rPr>
          <w:rFonts w:cs="Arial"/>
          <w:szCs w:val="20"/>
          <w:lang w:val="en-US"/>
        </w:rPr>
        <w:t>18</w:t>
      </w:r>
      <w:r w:rsidR="00DD4354" w:rsidRPr="001558A5">
        <w:rPr>
          <w:rFonts w:cs="Arial"/>
          <w:szCs w:val="20"/>
          <w:lang w:val="en-US"/>
        </w:rPr>
        <w:t xml:space="preserve"> of the </w:t>
      </w:r>
      <w:r w:rsidR="00871E19" w:rsidRPr="001558A5">
        <w:rPr>
          <w:rFonts w:cs="Arial"/>
          <w:szCs w:val="20"/>
          <w:lang w:val="en-US"/>
        </w:rPr>
        <w:t>American Convention</w:t>
      </w:r>
      <w:r w:rsidR="00875F81" w:rsidRPr="001558A5">
        <w:rPr>
          <w:rFonts w:cs="Arial"/>
          <w:szCs w:val="20"/>
          <w:lang w:val="en-US"/>
        </w:rPr>
        <w:t xml:space="preserve">, </w:t>
      </w:r>
      <w:r w:rsidRPr="001558A5">
        <w:rPr>
          <w:rFonts w:cs="Arial"/>
          <w:szCs w:val="20"/>
          <w:lang w:val="en-US"/>
        </w:rPr>
        <w:t>in relation to</w:t>
      </w:r>
      <w:r w:rsidR="00875F81" w:rsidRPr="001558A5">
        <w:rPr>
          <w:rFonts w:cs="Arial"/>
          <w:szCs w:val="20"/>
          <w:lang w:val="en-US"/>
        </w:rPr>
        <w:t xml:space="preserve"> </w:t>
      </w:r>
      <w:r w:rsidR="00B43A52" w:rsidRPr="001558A5">
        <w:rPr>
          <w:rFonts w:cs="Arial"/>
          <w:szCs w:val="20"/>
          <w:lang w:val="en-US"/>
        </w:rPr>
        <w:t>Articles 1(1)</w:t>
      </w:r>
      <w:r w:rsidR="00875F81" w:rsidRPr="001558A5">
        <w:rPr>
          <w:rFonts w:cs="Arial"/>
          <w:szCs w:val="20"/>
          <w:lang w:val="en-US"/>
        </w:rPr>
        <w:t xml:space="preserve">, </w:t>
      </w:r>
      <w:r w:rsidR="0055713D" w:rsidRPr="001558A5">
        <w:rPr>
          <w:rFonts w:cs="Arial"/>
          <w:szCs w:val="20"/>
          <w:lang w:val="en-US"/>
        </w:rPr>
        <w:t xml:space="preserve">24, </w:t>
      </w:r>
      <w:r w:rsidR="00875F81" w:rsidRPr="001558A5">
        <w:rPr>
          <w:rFonts w:cs="Arial"/>
          <w:szCs w:val="20"/>
          <w:lang w:val="en-US"/>
        </w:rPr>
        <w:t>8</w:t>
      </w:r>
      <w:r w:rsidR="00DD4354" w:rsidRPr="001558A5">
        <w:rPr>
          <w:rFonts w:cs="Arial"/>
          <w:szCs w:val="20"/>
          <w:lang w:val="en-US"/>
        </w:rPr>
        <w:t xml:space="preserve"> and </w:t>
      </w:r>
      <w:r w:rsidR="00875F81" w:rsidRPr="001558A5">
        <w:rPr>
          <w:rFonts w:cs="Arial"/>
          <w:szCs w:val="20"/>
          <w:lang w:val="en-US"/>
        </w:rPr>
        <w:t xml:space="preserve">25 </w:t>
      </w:r>
      <w:r w:rsidR="00C43A37" w:rsidRPr="001558A5">
        <w:rPr>
          <w:rFonts w:cs="Arial"/>
          <w:szCs w:val="20"/>
          <w:lang w:val="en-US"/>
        </w:rPr>
        <w:t>of this instrument</w:t>
      </w:r>
      <w:r w:rsidR="00875F81" w:rsidRPr="001558A5">
        <w:rPr>
          <w:rFonts w:cs="Arial"/>
          <w:szCs w:val="20"/>
          <w:lang w:val="en-US"/>
        </w:rPr>
        <w:t xml:space="preserve">, </w:t>
      </w:r>
      <w:r w:rsidR="00B43A52" w:rsidRPr="001558A5">
        <w:rPr>
          <w:rFonts w:cs="Arial"/>
          <w:szCs w:val="20"/>
          <w:lang w:val="en-US"/>
        </w:rPr>
        <w:t>to the detriment of</w:t>
      </w:r>
      <w:r w:rsidR="00875F81" w:rsidRPr="001558A5">
        <w:rPr>
          <w:rFonts w:cs="Arial"/>
          <w:szCs w:val="20"/>
          <w:lang w:val="en-US"/>
        </w:rPr>
        <w:t xml:space="preserve"> </w:t>
      </w:r>
      <w:r w:rsidR="00F709C9" w:rsidRPr="001558A5">
        <w:rPr>
          <w:rFonts w:cs="Arial"/>
          <w:szCs w:val="20"/>
          <w:lang w:val="en-US"/>
        </w:rPr>
        <w:t>Vicky Hernández</w:t>
      </w:r>
      <w:r w:rsidR="00875F81" w:rsidRPr="001558A5">
        <w:rPr>
          <w:rFonts w:cs="Arial"/>
          <w:szCs w:val="20"/>
          <w:lang w:val="en-US"/>
        </w:rPr>
        <w:t>.</w:t>
      </w:r>
    </w:p>
    <w:p w14:paraId="4BFEF46C" w14:textId="7F23EFA5" w:rsidR="0087269F" w:rsidRPr="001558A5" w:rsidRDefault="0087269F" w:rsidP="007850C3">
      <w:pPr>
        <w:pStyle w:val="Ttulo3"/>
        <w:spacing w:before="240" w:after="240"/>
        <w:ind w:left="567"/>
        <w:rPr>
          <w:b w:val="0"/>
          <w:snapToGrid w:val="0"/>
          <w:spacing w:val="-2"/>
          <w:szCs w:val="20"/>
          <w:lang w:val="en-US" w:eastAsia="es-ES"/>
        </w:rPr>
      </w:pPr>
      <w:bookmarkStart w:id="101" w:name="_Toc73430059"/>
      <w:r w:rsidRPr="001558A5">
        <w:rPr>
          <w:b w:val="0"/>
          <w:snapToGrid w:val="0"/>
          <w:spacing w:val="-2"/>
          <w:szCs w:val="20"/>
          <w:lang w:val="en-US" w:eastAsia="es-ES"/>
        </w:rPr>
        <w:t>B.</w:t>
      </w:r>
      <w:r w:rsidR="00190386" w:rsidRPr="001558A5">
        <w:rPr>
          <w:b w:val="0"/>
          <w:snapToGrid w:val="0"/>
          <w:spacing w:val="-2"/>
          <w:szCs w:val="20"/>
          <w:lang w:val="en-US" w:eastAsia="es-ES"/>
        </w:rPr>
        <w:t>4</w:t>
      </w:r>
      <w:r w:rsidRPr="001558A5">
        <w:rPr>
          <w:b w:val="0"/>
          <w:snapToGrid w:val="0"/>
          <w:spacing w:val="-2"/>
          <w:szCs w:val="20"/>
          <w:lang w:val="en-US" w:eastAsia="es-ES"/>
        </w:rPr>
        <w:t xml:space="preserve">. </w:t>
      </w:r>
      <w:r w:rsidR="00AB1D37" w:rsidRPr="001558A5">
        <w:rPr>
          <w:b w:val="0"/>
          <w:snapToGrid w:val="0"/>
          <w:spacing w:val="-2"/>
          <w:szCs w:val="20"/>
          <w:lang w:val="en-US" w:eastAsia="es-ES"/>
        </w:rPr>
        <w:t>The</w:t>
      </w:r>
      <w:r w:rsidR="00433B75" w:rsidRPr="001558A5">
        <w:rPr>
          <w:b w:val="0"/>
          <w:snapToGrid w:val="0"/>
          <w:spacing w:val="-2"/>
          <w:szCs w:val="20"/>
          <w:lang w:val="en-US" w:eastAsia="es-ES"/>
        </w:rPr>
        <w:t xml:space="preserve"> alleged violation of</w:t>
      </w:r>
      <w:r w:rsidRPr="001558A5">
        <w:rPr>
          <w:b w:val="0"/>
          <w:snapToGrid w:val="0"/>
          <w:spacing w:val="-2"/>
          <w:szCs w:val="20"/>
          <w:lang w:val="en-US" w:eastAsia="es-ES"/>
        </w:rPr>
        <w:t xml:space="preserve"> </w:t>
      </w:r>
      <w:r w:rsidR="00871E19" w:rsidRPr="001558A5">
        <w:rPr>
          <w:b w:val="0"/>
          <w:snapToGrid w:val="0"/>
          <w:spacing w:val="-2"/>
          <w:szCs w:val="20"/>
          <w:lang w:val="en-US" w:eastAsia="es-ES"/>
        </w:rPr>
        <w:t xml:space="preserve">the </w:t>
      </w:r>
      <w:r w:rsidR="00B732DD" w:rsidRPr="001558A5">
        <w:rPr>
          <w:b w:val="0"/>
          <w:snapToGrid w:val="0"/>
          <w:spacing w:val="-2"/>
          <w:szCs w:val="20"/>
          <w:lang w:val="en-US" w:eastAsia="es-ES"/>
        </w:rPr>
        <w:t>Inter-American Convention for the Prevention, Punishment and Eradication of Violence against Women</w:t>
      </w:r>
      <w:r w:rsidR="007850C3" w:rsidRPr="001558A5">
        <w:rPr>
          <w:b w:val="0"/>
          <w:snapToGrid w:val="0"/>
          <w:spacing w:val="-2"/>
          <w:szCs w:val="20"/>
          <w:lang w:val="en-US" w:eastAsia="es-ES"/>
        </w:rPr>
        <w:t xml:space="preserve"> (</w:t>
      </w:r>
      <w:r w:rsidR="001164FE" w:rsidRPr="001558A5">
        <w:rPr>
          <w:b w:val="0"/>
          <w:snapToGrid w:val="0"/>
          <w:spacing w:val="-2"/>
          <w:szCs w:val="20"/>
          <w:lang w:val="en-US" w:eastAsia="es-ES"/>
        </w:rPr>
        <w:t>Convention</w:t>
      </w:r>
      <w:r w:rsidRPr="001558A5">
        <w:rPr>
          <w:b w:val="0"/>
          <w:snapToGrid w:val="0"/>
          <w:spacing w:val="-2"/>
          <w:szCs w:val="20"/>
          <w:lang w:val="en-US" w:eastAsia="es-ES"/>
        </w:rPr>
        <w:t xml:space="preserve"> </w:t>
      </w:r>
      <w:r w:rsidR="00B74256" w:rsidRPr="001558A5">
        <w:rPr>
          <w:b w:val="0"/>
          <w:snapToGrid w:val="0"/>
          <w:spacing w:val="-2"/>
          <w:szCs w:val="20"/>
          <w:lang w:val="en-US" w:eastAsia="es-ES"/>
        </w:rPr>
        <w:t xml:space="preserve">of </w:t>
      </w:r>
      <w:proofErr w:type="spellStart"/>
      <w:r w:rsidR="00B74256" w:rsidRPr="001558A5">
        <w:rPr>
          <w:b w:val="0"/>
          <w:snapToGrid w:val="0"/>
          <w:spacing w:val="-2"/>
          <w:szCs w:val="20"/>
          <w:lang w:val="en-US" w:eastAsia="es-ES"/>
        </w:rPr>
        <w:t>Belém</w:t>
      </w:r>
      <w:proofErr w:type="spellEnd"/>
      <w:r w:rsidRPr="001558A5">
        <w:rPr>
          <w:b w:val="0"/>
          <w:snapToGrid w:val="0"/>
          <w:spacing w:val="-2"/>
          <w:szCs w:val="20"/>
          <w:lang w:val="en-US" w:eastAsia="es-ES"/>
        </w:rPr>
        <w:t xml:space="preserve"> do </w:t>
      </w:r>
      <w:proofErr w:type="spellStart"/>
      <w:r w:rsidRPr="001558A5">
        <w:rPr>
          <w:b w:val="0"/>
          <w:snapToGrid w:val="0"/>
          <w:spacing w:val="-2"/>
          <w:szCs w:val="20"/>
          <w:lang w:val="en-US" w:eastAsia="es-ES"/>
        </w:rPr>
        <w:t>Pará</w:t>
      </w:r>
      <w:proofErr w:type="spellEnd"/>
      <w:r w:rsidR="007850C3" w:rsidRPr="001558A5">
        <w:rPr>
          <w:b w:val="0"/>
          <w:snapToGrid w:val="0"/>
          <w:spacing w:val="-2"/>
          <w:szCs w:val="20"/>
          <w:lang w:val="en-US" w:eastAsia="es-ES"/>
        </w:rPr>
        <w:t>)</w:t>
      </w:r>
      <w:bookmarkEnd w:id="101"/>
      <w:r w:rsidRPr="001558A5">
        <w:rPr>
          <w:b w:val="0"/>
          <w:snapToGrid w:val="0"/>
          <w:spacing w:val="-2"/>
          <w:szCs w:val="20"/>
          <w:lang w:val="en-US" w:eastAsia="es-ES"/>
        </w:rPr>
        <w:t xml:space="preserve"> </w:t>
      </w:r>
    </w:p>
    <w:p w14:paraId="7DED11ED" w14:textId="545B8DE6" w:rsidR="00FC4C13" w:rsidRPr="001558A5" w:rsidRDefault="00871E19" w:rsidP="00BF1B8C">
      <w:pPr>
        <w:widowControl w:val="0"/>
        <w:numPr>
          <w:ilvl w:val="0"/>
          <w:numId w:val="2"/>
        </w:numPr>
        <w:spacing w:before="120" w:after="120"/>
        <w:ind w:left="0" w:firstLine="0"/>
        <w:rPr>
          <w:szCs w:val="20"/>
          <w:lang w:val="en-US"/>
        </w:rPr>
      </w:pPr>
      <w:r w:rsidRPr="001558A5">
        <w:rPr>
          <w:szCs w:val="20"/>
          <w:lang w:val="en-US"/>
        </w:rPr>
        <w:t>The Commission</w:t>
      </w:r>
      <w:r w:rsidR="00DD4354" w:rsidRPr="001558A5">
        <w:rPr>
          <w:szCs w:val="20"/>
          <w:lang w:val="en-US"/>
        </w:rPr>
        <w:t xml:space="preserve"> and the representatives</w:t>
      </w:r>
      <w:r w:rsidR="00FC4C13" w:rsidRPr="001558A5">
        <w:rPr>
          <w:szCs w:val="20"/>
          <w:lang w:val="en-US"/>
        </w:rPr>
        <w:t xml:space="preserve"> a</w:t>
      </w:r>
      <w:r w:rsidR="001164FE" w:rsidRPr="001558A5">
        <w:rPr>
          <w:szCs w:val="20"/>
          <w:lang w:val="en-US"/>
        </w:rPr>
        <w:t xml:space="preserve">rgued that, in this case, the State had violated the obligations contained in </w:t>
      </w:r>
      <w:r w:rsidRPr="001558A5">
        <w:rPr>
          <w:szCs w:val="20"/>
          <w:lang w:val="en-US"/>
        </w:rPr>
        <w:t>Article</w:t>
      </w:r>
      <w:r w:rsidR="00FC4C13" w:rsidRPr="001558A5">
        <w:rPr>
          <w:szCs w:val="20"/>
          <w:lang w:val="en-US"/>
        </w:rPr>
        <w:t xml:space="preserve"> 7</w:t>
      </w:r>
      <w:r w:rsidR="001164FE" w:rsidRPr="001558A5">
        <w:rPr>
          <w:szCs w:val="20"/>
          <w:lang w:val="en-US"/>
        </w:rPr>
        <w:t>(</w:t>
      </w:r>
      <w:r w:rsidR="00FC4C13" w:rsidRPr="001558A5">
        <w:rPr>
          <w:szCs w:val="20"/>
          <w:lang w:val="en-US"/>
        </w:rPr>
        <w:t>a</w:t>
      </w:r>
      <w:r w:rsidR="001164FE" w:rsidRPr="001558A5">
        <w:rPr>
          <w:szCs w:val="20"/>
          <w:lang w:val="en-US"/>
        </w:rPr>
        <w:t>)</w:t>
      </w:r>
      <w:r w:rsidR="00DD4354" w:rsidRPr="001558A5">
        <w:rPr>
          <w:szCs w:val="20"/>
          <w:lang w:val="en-US"/>
        </w:rPr>
        <w:t xml:space="preserve"> and </w:t>
      </w:r>
      <w:r w:rsidR="00FC4C13" w:rsidRPr="001558A5">
        <w:rPr>
          <w:szCs w:val="20"/>
          <w:lang w:val="en-US"/>
        </w:rPr>
        <w:t>7</w:t>
      </w:r>
      <w:r w:rsidR="001164FE" w:rsidRPr="001558A5">
        <w:rPr>
          <w:szCs w:val="20"/>
          <w:lang w:val="en-US"/>
        </w:rPr>
        <w:t>(</w:t>
      </w:r>
      <w:r w:rsidR="00FC4C13" w:rsidRPr="001558A5">
        <w:rPr>
          <w:szCs w:val="20"/>
          <w:lang w:val="en-US"/>
        </w:rPr>
        <w:t>b</w:t>
      </w:r>
      <w:r w:rsidR="001164FE" w:rsidRPr="001558A5">
        <w:rPr>
          <w:szCs w:val="20"/>
          <w:lang w:val="en-US"/>
        </w:rPr>
        <w:t>)</w:t>
      </w:r>
      <w:r w:rsidR="00FC4C13" w:rsidRPr="001558A5">
        <w:rPr>
          <w:szCs w:val="20"/>
          <w:lang w:val="en-US"/>
        </w:rPr>
        <w:t xml:space="preserve"> </w:t>
      </w:r>
      <w:r w:rsidR="00DF25EB" w:rsidRPr="001558A5">
        <w:rPr>
          <w:szCs w:val="20"/>
          <w:lang w:val="en-US"/>
        </w:rPr>
        <w:t>of</w:t>
      </w:r>
      <w:r w:rsidR="00FC4C13" w:rsidRPr="001558A5">
        <w:rPr>
          <w:szCs w:val="20"/>
          <w:lang w:val="en-US"/>
        </w:rPr>
        <w:t xml:space="preserve"> </w:t>
      </w:r>
      <w:r w:rsidR="001164FE" w:rsidRPr="001558A5">
        <w:rPr>
          <w:szCs w:val="20"/>
          <w:lang w:val="en-US"/>
        </w:rPr>
        <w:t>Inter-American Convention for the Prevention, Punishment and Eradication of Violence against Women</w:t>
      </w:r>
      <w:r w:rsidR="00352FB8" w:rsidRPr="001558A5">
        <w:rPr>
          <w:szCs w:val="20"/>
          <w:lang w:val="en-US"/>
        </w:rPr>
        <w:t xml:space="preserve"> </w:t>
      </w:r>
      <w:r w:rsidR="001164FE" w:rsidRPr="001558A5">
        <w:rPr>
          <w:szCs w:val="20"/>
          <w:lang w:val="en-US"/>
        </w:rPr>
        <w:t>owing to the events relat</w:t>
      </w:r>
      <w:r w:rsidR="00AB1D37" w:rsidRPr="001558A5">
        <w:rPr>
          <w:szCs w:val="20"/>
          <w:lang w:val="en-US"/>
        </w:rPr>
        <w:t>ing</w:t>
      </w:r>
      <w:r w:rsidR="001164FE" w:rsidRPr="001558A5">
        <w:rPr>
          <w:szCs w:val="20"/>
          <w:lang w:val="en-US"/>
        </w:rPr>
        <w:t xml:space="preserve"> to the murder of </w:t>
      </w:r>
      <w:r w:rsidR="00FC4C13" w:rsidRPr="001558A5">
        <w:rPr>
          <w:szCs w:val="20"/>
          <w:lang w:val="en-US"/>
        </w:rPr>
        <w:t>Vicky Hernández, as</w:t>
      </w:r>
      <w:r w:rsidR="001164FE" w:rsidRPr="001558A5">
        <w:rPr>
          <w:szCs w:val="20"/>
          <w:lang w:val="en-US"/>
        </w:rPr>
        <w:t xml:space="preserve"> well as for failing to act with due diligence in the investigation into her death.</w:t>
      </w:r>
    </w:p>
    <w:p w14:paraId="0AD5BA5F" w14:textId="09505187" w:rsidR="00FC4C13" w:rsidRPr="001558A5" w:rsidRDefault="00871E19" w:rsidP="001164FE">
      <w:pPr>
        <w:widowControl w:val="0"/>
        <w:numPr>
          <w:ilvl w:val="0"/>
          <w:numId w:val="2"/>
        </w:numPr>
        <w:spacing w:before="120" w:after="120"/>
        <w:ind w:left="0" w:firstLine="0"/>
        <w:rPr>
          <w:rFonts w:cs="Verdana"/>
          <w:bCs/>
          <w:szCs w:val="20"/>
          <w:lang w:val="en-US"/>
        </w:rPr>
      </w:pPr>
      <w:r w:rsidRPr="001558A5">
        <w:rPr>
          <w:rFonts w:cs="Verdana"/>
          <w:bCs/>
          <w:szCs w:val="20"/>
          <w:lang w:val="en-US"/>
        </w:rPr>
        <w:t>The Court</w:t>
      </w:r>
      <w:r w:rsidR="00FC4C13" w:rsidRPr="001558A5">
        <w:rPr>
          <w:rFonts w:cs="Verdana"/>
          <w:bCs/>
          <w:szCs w:val="20"/>
          <w:lang w:val="en-US"/>
        </w:rPr>
        <w:t xml:space="preserve"> </w:t>
      </w:r>
      <w:r w:rsidR="001164FE" w:rsidRPr="001558A5">
        <w:rPr>
          <w:rFonts w:cs="Verdana"/>
          <w:bCs/>
          <w:szCs w:val="20"/>
          <w:lang w:val="en-US"/>
        </w:rPr>
        <w:t>recalls that</w:t>
      </w:r>
      <w:r w:rsidR="00FC4C13" w:rsidRPr="001558A5">
        <w:rPr>
          <w:rFonts w:cs="Verdana"/>
          <w:bCs/>
          <w:szCs w:val="20"/>
          <w:lang w:val="en-US"/>
        </w:rPr>
        <w:t xml:space="preserve"> </w:t>
      </w:r>
      <w:r w:rsidRPr="001558A5">
        <w:rPr>
          <w:rFonts w:cs="Verdana"/>
          <w:bCs/>
          <w:szCs w:val="20"/>
          <w:lang w:val="en-US"/>
        </w:rPr>
        <w:t>the Convention</w:t>
      </w:r>
      <w:r w:rsidR="007850C3" w:rsidRPr="001558A5">
        <w:rPr>
          <w:rFonts w:cs="Verdana"/>
          <w:bCs/>
          <w:szCs w:val="20"/>
          <w:lang w:val="en-US"/>
        </w:rPr>
        <w:t xml:space="preserve"> </w:t>
      </w:r>
      <w:r w:rsidR="00B74256" w:rsidRPr="001558A5">
        <w:rPr>
          <w:rFonts w:cs="Verdana"/>
          <w:bCs/>
          <w:szCs w:val="20"/>
          <w:lang w:val="en-US"/>
        </w:rPr>
        <w:t xml:space="preserve">of </w:t>
      </w:r>
      <w:proofErr w:type="spellStart"/>
      <w:r w:rsidR="00B74256" w:rsidRPr="001558A5">
        <w:rPr>
          <w:rFonts w:cs="Verdana"/>
          <w:bCs/>
          <w:szCs w:val="20"/>
          <w:lang w:val="en-US"/>
        </w:rPr>
        <w:t>Belém</w:t>
      </w:r>
      <w:proofErr w:type="spellEnd"/>
      <w:r w:rsidR="007850C3" w:rsidRPr="001558A5">
        <w:rPr>
          <w:rFonts w:cs="Verdana"/>
          <w:bCs/>
          <w:szCs w:val="20"/>
          <w:lang w:val="en-US"/>
        </w:rPr>
        <w:t xml:space="preserve"> do </w:t>
      </w:r>
      <w:proofErr w:type="spellStart"/>
      <w:r w:rsidR="007850C3" w:rsidRPr="001558A5">
        <w:rPr>
          <w:rFonts w:cs="Verdana"/>
          <w:bCs/>
          <w:szCs w:val="20"/>
          <w:lang w:val="en-US"/>
        </w:rPr>
        <w:t>Pará</w:t>
      </w:r>
      <w:proofErr w:type="spellEnd"/>
      <w:r w:rsidR="007850C3" w:rsidRPr="001558A5" w:rsidDel="007850C3">
        <w:rPr>
          <w:rFonts w:cs="Verdana"/>
          <w:bCs/>
          <w:szCs w:val="20"/>
          <w:lang w:val="en-US"/>
        </w:rPr>
        <w:t xml:space="preserve"> </w:t>
      </w:r>
      <w:r w:rsidR="001164FE" w:rsidRPr="001558A5">
        <w:rPr>
          <w:rFonts w:cs="Verdana"/>
          <w:bCs/>
          <w:szCs w:val="20"/>
          <w:lang w:val="en-US"/>
        </w:rPr>
        <w:t xml:space="preserve">was adopted owing to the need to provide enhanced protection to the right of women to a life free of violence and to eliminate all situations of violence that could affect them in both the public and the private sphere. Also, as indicated in the Preamble to that Convention, violence against women constitutes a violation of their human rights and an offense against human dignity. Consequently, the </w:t>
      </w:r>
      <w:r w:rsidR="00A75BCF" w:rsidRPr="001558A5">
        <w:rPr>
          <w:rFonts w:cs="Verdana"/>
          <w:bCs/>
          <w:szCs w:val="20"/>
          <w:lang w:val="en-US"/>
        </w:rPr>
        <w:t>“States Parties condemn[</w:t>
      </w:r>
      <w:proofErr w:type="spellStart"/>
      <w:r w:rsidR="00A75BCF" w:rsidRPr="001558A5">
        <w:rPr>
          <w:rFonts w:cs="Verdana"/>
          <w:bCs/>
          <w:szCs w:val="20"/>
          <w:lang w:val="en-US"/>
        </w:rPr>
        <w:t>ed</w:t>
      </w:r>
      <w:proofErr w:type="spellEnd"/>
      <w:r w:rsidR="00A75BCF" w:rsidRPr="001558A5">
        <w:rPr>
          <w:rFonts w:cs="Verdana"/>
          <w:bCs/>
          <w:szCs w:val="20"/>
          <w:lang w:val="en-US"/>
        </w:rPr>
        <w:t>] all forms of violence against women and agree[d] to pursue, by all appropriate means and without delay, policies to prevent, punish and eradicate such violence.</w:t>
      </w:r>
      <w:r w:rsidR="00FC4C13" w:rsidRPr="001558A5">
        <w:rPr>
          <w:rFonts w:cs="Verdana"/>
          <w:bCs/>
          <w:szCs w:val="20"/>
          <w:lang w:val="en-US"/>
        </w:rPr>
        <w:t>”</w:t>
      </w:r>
    </w:p>
    <w:p w14:paraId="445B78FF" w14:textId="63C843E3" w:rsidR="00FC4C13" w:rsidRPr="001558A5" w:rsidRDefault="00A75BCF" w:rsidP="00726169">
      <w:pPr>
        <w:widowControl w:val="0"/>
        <w:numPr>
          <w:ilvl w:val="0"/>
          <w:numId w:val="2"/>
        </w:numPr>
        <w:spacing w:before="120" w:after="120"/>
        <w:ind w:left="0" w:firstLine="0"/>
        <w:rPr>
          <w:rFonts w:cs="Verdana"/>
          <w:bCs/>
          <w:szCs w:val="20"/>
          <w:lang w:val="en-US"/>
        </w:rPr>
      </w:pPr>
      <w:r w:rsidRPr="001558A5">
        <w:rPr>
          <w:rFonts w:cs="Verdana"/>
          <w:bCs/>
          <w:szCs w:val="20"/>
          <w:lang w:val="en-US"/>
        </w:rPr>
        <w:t>Article 1 of t</w:t>
      </w:r>
      <w:r w:rsidR="00871E19" w:rsidRPr="001558A5">
        <w:rPr>
          <w:rFonts w:cs="Verdana"/>
          <w:bCs/>
          <w:szCs w:val="20"/>
          <w:lang w:val="en-US"/>
        </w:rPr>
        <w:t>he Convention</w:t>
      </w:r>
      <w:r w:rsidR="00FC4C13" w:rsidRPr="001558A5">
        <w:rPr>
          <w:rFonts w:cs="Verdana"/>
          <w:bCs/>
          <w:szCs w:val="20"/>
          <w:lang w:val="en-US"/>
        </w:rPr>
        <w:t xml:space="preserve"> </w:t>
      </w:r>
      <w:r w:rsidR="00B74256" w:rsidRPr="001558A5">
        <w:rPr>
          <w:rFonts w:cs="Verdana"/>
          <w:bCs/>
          <w:szCs w:val="20"/>
          <w:lang w:val="en-US"/>
        </w:rPr>
        <w:t xml:space="preserve">of </w:t>
      </w:r>
      <w:proofErr w:type="spellStart"/>
      <w:r w:rsidR="00B74256" w:rsidRPr="001558A5">
        <w:rPr>
          <w:rFonts w:cs="Verdana"/>
          <w:bCs/>
          <w:szCs w:val="20"/>
          <w:lang w:val="en-US"/>
        </w:rPr>
        <w:t>Belém</w:t>
      </w:r>
      <w:proofErr w:type="spellEnd"/>
      <w:r w:rsidR="00FC4C13" w:rsidRPr="001558A5">
        <w:rPr>
          <w:rFonts w:cs="Verdana"/>
          <w:bCs/>
          <w:szCs w:val="20"/>
          <w:lang w:val="en-US"/>
        </w:rPr>
        <w:t xml:space="preserve"> do </w:t>
      </w:r>
      <w:proofErr w:type="spellStart"/>
      <w:r w:rsidR="00FC4C13" w:rsidRPr="001558A5">
        <w:rPr>
          <w:rFonts w:cs="Verdana"/>
          <w:bCs/>
          <w:szCs w:val="20"/>
          <w:lang w:val="en-US"/>
        </w:rPr>
        <w:t>Pará</w:t>
      </w:r>
      <w:proofErr w:type="spellEnd"/>
      <w:r w:rsidRPr="001558A5">
        <w:rPr>
          <w:rFonts w:cs="Verdana"/>
          <w:bCs/>
          <w:szCs w:val="20"/>
          <w:lang w:val="en-US"/>
        </w:rPr>
        <w:t xml:space="preserve"> refers to violence against women based on their gender</w:t>
      </w:r>
      <w:r w:rsidR="00FC4C13" w:rsidRPr="001558A5">
        <w:rPr>
          <w:rFonts w:cs="Verdana"/>
          <w:bCs/>
          <w:szCs w:val="20"/>
          <w:lang w:val="en-US"/>
        </w:rPr>
        <w:t xml:space="preserve">. </w:t>
      </w:r>
      <w:r w:rsidRPr="001558A5">
        <w:rPr>
          <w:rFonts w:cs="Verdana"/>
          <w:bCs/>
          <w:szCs w:val="20"/>
          <w:lang w:val="en-US"/>
        </w:rPr>
        <w:t>This violence is based on a system of patria</w:t>
      </w:r>
      <w:r w:rsidR="0086098E" w:rsidRPr="001558A5">
        <w:rPr>
          <w:rFonts w:cs="Verdana"/>
          <w:bCs/>
          <w:szCs w:val="20"/>
          <w:lang w:val="en-US"/>
        </w:rPr>
        <w:t>r</w:t>
      </w:r>
      <w:r w:rsidRPr="001558A5">
        <w:rPr>
          <w:rFonts w:cs="Verdana"/>
          <w:bCs/>
          <w:szCs w:val="20"/>
          <w:lang w:val="en-US"/>
        </w:rPr>
        <w:t>chal domination deeply-rooted in gender stereotypes and constitutes a “</w:t>
      </w:r>
      <w:r w:rsidR="008465FC" w:rsidRPr="001558A5">
        <w:rPr>
          <w:rFonts w:cs="Verdana"/>
          <w:bCs/>
          <w:szCs w:val="20"/>
          <w:lang w:val="en-US"/>
        </w:rPr>
        <w:t>manifestation</w:t>
      </w:r>
      <w:r w:rsidRPr="001558A5">
        <w:rPr>
          <w:rFonts w:cs="Verdana"/>
          <w:bCs/>
          <w:szCs w:val="20"/>
          <w:lang w:val="en-US"/>
        </w:rPr>
        <w:t xml:space="preserve"> of the historically unequal power </w:t>
      </w:r>
      <w:r w:rsidR="008465FC" w:rsidRPr="001558A5">
        <w:rPr>
          <w:rFonts w:cs="Verdana"/>
          <w:bCs/>
          <w:szCs w:val="20"/>
          <w:lang w:val="en-US"/>
        </w:rPr>
        <w:t xml:space="preserve">relations </w:t>
      </w:r>
      <w:r w:rsidRPr="001558A5">
        <w:rPr>
          <w:rFonts w:cs="Verdana"/>
          <w:bCs/>
          <w:szCs w:val="20"/>
          <w:lang w:val="en-US"/>
        </w:rPr>
        <w:t>between women and men.</w:t>
      </w:r>
      <w:r w:rsidR="00FC4C13" w:rsidRPr="001558A5">
        <w:rPr>
          <w:rFonts w:cs="Verdana"/>
          <w:bCs/>
          <w:szCs w:val="20"/>
          <w:lang w:val="en-US"/>
        </w:rPr>
        <w:t>”</w:t>
      </w:r>
      <w:r w:rsidR="00FC4C13" w:rsidRPr="001558A5">
        <w:rPr>
          <w:rFonts w:cs="Verdana"/>
          <w:bCs/>
          <w:szCs w:val="20"/>
          <w:vertAlign w:val="superscript"/>
          <w:lang w:val="en-US"/>
        </w:rPr>
        <w:footnoteReference w:id="145"/>
      </w:r>
      <w:r w:rsidR="00FC4C13" w:rsidRPr="001558A5">
        <w:rPr>
          <w:rFonts w:cs="Verdana"/>
          <w:bCs/>
          <w:szCs w:val="20"/>
          <w:lang w:val="en-US"/>
        </w:rPr>
        <w:t xml:space="preserve"> </w:t>
      </w:r>
      <w:r w:rsidR="0086098E" w:rsidRPr="001558A5">
        <w:rPr>
          <w:rFonts w:cs="Verdana"/>
          <w:bCs/>
          <w:szCs w:val="20"/>
          <w:lang w:val="en-US"/>
        </w:rPr>
        <w:t xml:space="preserve">Violence </w:t>
      </w:r>
      <w:r w:rsidR="009F36EF" w:rsidRPr="001558A5">
        <w:rPr>
          <w:rFonts w:cs="Verdana"/>
          <w:bCs/>
          <w:szCs w:val="20"/>
          <w:lang w:val="en-US"/>
        </w:rPr>
        <w:t>against</w:t>
      </w:r>
      <w:r w:rsidR="0086098E" w:rsidRPr="001558A5">
        <w:rPr>
          <w:rFonts w:cs="Verdana"/>
          <w:bCs/>
          <w:szCs w:val="20"/>
          <w:lang w:val="en-US"/>
        </w:rPr>
        <w:t xml:space="preserve"> persons based on gender identity or expression, and specifically against trans women, is also based on gender, as a social construct of the identities, attributes  and roles that society assigns to women and men.</w:t>
      </w:r>
      <w:r w:rsidR="00FC4C13" w:rsidRPr="001558A5">
        <w:rPr>
          <w:rStyle w:val="Refdenotaalpie"/>
          <w:lang w:val="en-US"/>
        </w:rPr>
        <w:footnoteReference w:id="146"/>
      </w:r>
      <w:r w:rsidR="0086098E" w:rsidRPr="001558A5">
        <w:rPr>
          <w:rFonts w:cs="Verdana"/>
          <w:bCs/>
          <w:szCs w:val="20"/>
          <w:lang w:val="en-US"/>
        </w:rPr>
        <w:t xml:space="preserve"> However, its expression responds to a specific pattern of violence</w:t>
      </w:r>
      <w:r w:rsidR="00DD4354" w:rsidRPr="001558A5">
        <w:rPr>
          <w:rFonts w:cs="Verdana"/>
          <w:bCs/>
          <w:szCs w:val="20"/>
          <w:lang w:val="en-US"/>
        </w:rPr>
        <w:t xml:space="preserve"> and </w:t>
      </w:r>
      <w:r w:rsidR="00215FEF" w:rsidRPr="001558A5">
        <w:rPr>
          <w:rFonts w:cs="Verdana"/>
          <w:bCs/>
          <w:szCs w:val="20"/>
          <w:lang w:val="en-US"/>
        </w:rPr>
        <w:t>discrimination</w:t>
      </w:r>
      <w:r w:rsidR="00FC4C13" w:rsidRPr="001558A5">
        <w:rPr>
          <w:rFonts w:cs="Verdana"/>
          <w:bCs/>
          <w:szCs w:val="20"/>
          <w:lang w:val="en-US"/>
        </w:rPr>
        <w:t xml:space="preserve"> </w:t>
      </w:r>
      <w:r w:rsidR="0086098E" w:rsidRPr="001558A5">
        <w:rPr>
          <w:rFonts w:cs="Verdana"/>
          <w:bCs/>
          <w:szCs w:val="20"/>
          <w:lang w:val="en-US"/>
        </w:rPr>
        <w:t xml:space="preserve">so that it should be addressed taking into account its particularities in order to respond adequately and effectively. The </w:t>
      </w:r>
      <w:r w:rsidR="00443040" w:rsidRPr="001558A5">
        <w:rPr>
          <w:rFonts w:cs="Verdana"/>
          <w:bCs/>
          <w:szCs w:val="20"/>
          <w:lang w:val="en-US"/>
        </w:rPr>
        <w:t>United Nations High Commissioner for Human Rights</w:t>
      </w:r>
      <w:r w:rsidR="00FC4C13" w:rsidRPr="001558A5">
        <w:rPr>
          <w:rFonts w:cs="Verdana"/>
          <w:bCs/>
          <w:szCs w:val="20"/>
          <w:lang w:val="en-US"/>
        </w:rPr>
        <w:t xml:space="preserve"> ha</w:t>
      </w:r>
      <w:r w:rsidR="0086098E" w:rsidRPr="001558A5">
        <w:rPr>
          <w:rFonts w:cs="Verdana"/>
          <w:bCs/>
          <w:szCs w:val="20"/>
          <w:lang w:val="en-US"/>
        </w:rPr>
        <w:t>s indicated that transphobic violence “constitute[s] a form of gender-based violence, driven b</w:t>
      </w:r>
      <w:r w:rsidR="00AB1D37" w:rsidRPr="001558A5">
        <w:rPr>
          <w:rFonts w:cs="Verdana"/>
          <w:bCs/>
          <w:szCs w:val="20"/>
          <w:lang w:val="en-US"/>
        </w:rPr>
        <w:t>y</w:t>
      </w:r>
      <w:r w:rsidR="0086098E" w:rsidRPr="001558A5">
        <w:rPr>
          <w:rFonts w:cs="Verdana"/>
          <w:bCs/>
          <w:szCs w:val="20"/>
          <w:lang w:val="en-US"/>
        </w:rPr>
        <w:t xml:space="preserve"> a desire to punish</w:t>
      </w:r>
      <w:r w:rsidR="00726169" w:rsidRPr="001558A5">
        <w:rPr>
          <w:rFonts w:cs="Verdana"/>
          <w:bCs/>
          <w:szCs w:val="20"/>
          <w:lang w:val="en-US"/>
        </w:rPr>
        <w:t xml:space="preserve"> those seen as defying gender norms” and also that “violence </w:t>
      </w:r>
      <w:r w:rsidR="00726169" w:rsidRPr="001558A5">
        <w:rPr>
          <w:lang w:val="en-US"/>
        </w:rPr>
        <w:t>against LGBT persons tends to be especially vicious compared to other bias-motivated crimes</w:t>
      </w:r>
      <w:r w:rsidR="00726169" w:rsidRPr="001558A5">
        <w:rPr>
          <w:rFonts w:cs="Verdana"/>
          <w:bCs/>
          <w:szCs w:val="20"/>
          <w:lang w:val="en-US"/>
        </w:rPr>
        <w:t>.</w:t>
      </w:r>
      <w:r w:rsidR="00FC4C13" w:rsidRPr="001558A5">
        <w:rPr>
          <w:rFonts w:cs="Verdana"/>
          <w:bCs/>
          <w:szCs w:val="20"/>
          <w:lang w:val="en-US"/>
        </w:rPr>
        <w:t>”</w:t>
      </w:r>
      <w:r w:rsidR="00FC4C13" w:rsidRPr="001558A5">
        <w:rPr>
          <w:rStyle w:val="Refdenotaalpie"/>
          <w:bCs/>
          <w:lang w:val="en-US"/>
        </w:rPr>
        <w:footnoteReference w:id="147"/>
      </w:r>
    </w:p>
    <w:p w14:paraId="043DA81B" w14:textId="36CDD70E" w:rsidR="00FC4C13" w:rsidRPr="001558A5" w:rsidRDefault="002F152E" w:rsidP="00CD1B05">
      <w:pPr>
        <w:widowControl w:val="0"/>
        <w:numPr>
          <w:ilvl w:val="0"/>
          <w:numId w:val="2"/>
        </w:numPr>
        <w:spacing w:before="120" w:after="120"/>
        <w:ind w:left="0" w:firstLine="0"/>
        <w:rPr>
          <w:rFonts w:cs="Verdana"/>
          <w:bCs/>
          <w:szCs w:val="20"/>
          <w:lang w:val="en-US"/>
        </w:rPr>
      </w:pPr>
      <w:r w:rsidRPr="001558A5">
        <w:rPr>
          <w:szCs w:val="20"/>
          <w:lang w:val="en-US"/>
        </w:rPr>
        <w:t>In addition</w:t>
      </w:r>
      <w:r w:rsidR="004A1234" w:rsidRPr="001558A5">
        <w:rPr>
          <w:szCs w:val="20"/>
          <w:lang w:val="en-US"/>
        </w:rPr>
        <w:t xml:space="preserve">, </w:t>
      </w:r>
      <w:r w:rsidR="00871E19" w:rsidRPr="001558A5">
        <w:rPr>
          <w:szCs w:val="20"/>
          <w:lang w:val="en-US"/>
        </w:rPr>
        <w:t>Article</w:t>
      </w:r>
      <w:r w:rsidR="00FC4C13" w:rsidRPr="001558A5">
        <w:rPr>
          <w:rFonts w:cs="Verdana"/>
          <w:bCs/>
          <w:szCs w:val="20"/>
          <w:lang w:val="en-US"/>
        </w:rPr>
        <w:t xml:space="preserve"> 9</w:t>
      </w:r>
      <w:r w:rsidR="00DD4354" w:rsidRPr="001558A5">
        <w:rPr>
          <w:rFonts w:cs="Verdana"/>
          <w:bCs/>
          <w:szCs w:val="20"/>
          <w:lang w:val="en-US"/>
        </w:rPr>
        <w:t xml:space="preserve"> of the </w:t>
      </w:r>
      <w:r w:rsidR="00871E19" w:rsidRPr="001558A5">
        <w:rPr>
          <w:rFonts w:cs="Verdana"/>
          <w:bCs/>
          <w:szCs w:val="20"/>
          <w:lang w:val="en-US"/>
        </w:rPr>
        <w:t>Convention</w:t>
      </w:r>
      <w:r w:rsidR="00FC4C13" w:rsidRPr="001558A5">
        <w:rPr>
          <w:rFonts w:cs="Verdana"/>
          <w:bCs/>
          <w:szCs w:val="20"/>
          <w:lang w:val="en-US"/>
        </w:rPr>
        <w:t xml:space="preserve"> </w:t>
      </w:r>
      <w:r w:rsidR="00B74256" w:rsidRPr="001558A5">
        <w:rPr>
          <w:rFonts w:cs="Verdana"/>
          <w:bCs/>
          <w:szCs w:val="20"/>
          <w:lang w:val="en-US"/>
        </w:rPr>
        <w:t xml:space="preserve">of </w:t>
      </w:r>
      <w:proofErr w:type="spellStart"/>
      <w:r w:rsidR="00B74256" w:rsidRPr="001558A5">
        <w:rPr>
          <w:rFonts w:cs="Verdana"/>
          <w:bCs/>
          <w:szCs w:val="20"/>
          <w:lang w:val="en-US"/>
        </w:rPr>
        <w:t>Belém</w:t>
      </w:r>
      <w:proofErr w:type="spellEnd"/>
      <w:r w:rsidR="00FC4C13" w:rsidRPr="001558A5">
        <w:rPr>
          <w:rFonts w:cs="Verdana"/>
          <w:bCs/>
          <w:szCs w:val="20"/>
          <w:lang w:val="en-US"/>
        </w:rPr>
        <w:t xml:space="preserve"> do </w:t>
      </w:r>
      <w:proofErr w:type="spellStart"/>
      <w:r w:rsidR="00FC4C13" w:rsidRPr="001558A5">
        <w:rPr>
          <w:rFonts w:cs="Verdana"/>
          <w:bCs/>
          <w:szCs w:val="20"/>
          <w:lang w:val="en-US"/>
        </w:rPr>
        <w:t>Pará</w:t>
      </w:r>
      <w:proofErr w:type="spellEnd"/>
      <w:r w:rsidR="00FC4C13" w:rsidRPr="001558A5">
        <w:rPr>
          <w:rFonts w:cs="Verdana"/>
          <w:bCs/>
          <w:szCs w:val="20"/>
          <w:lang w:val="en-US"/>
        </w:rPr>
        <w:t xml:space="preserve"> </w:t>
      </w:r>
      <w:r w:rsidR="00756DF5" w:rsidRPr="001558A5">
        <w:rPr>
          <w:rFonts w:cs="Verdana"/>
          <w:bCs/>
          <w:szCs w:val="20"/>
          <w:lang w:val="en-US"/>
        </w:rPr>
        <w:t xml:space="preserve">urges States, when adopting measures to prevent, punish and eradicate violence against women, to take into account “the vulnerability of women to violence by reason of, among others, their race or ethnic background, or their status as migrants, refugees or displaced persons.” This list of factors is not </w:t>
      </w:r>
      <w:r w:rsidR="00756DF5" w:rsidRPr="001558A5">
        <w:rPr>
          <w:rFonts w:cs="Verdana"/>
          <w:bCs/>
          <w:i/>
          <w:szCs w:val="20"/>
          <w:lang w:val="en-US"/>
        </w:rPr>
        <w:t xml:space="preserve">numerus </w:t>
      </w:r>
      <w:proofErr w:type="spellStart"/>
      <w:r w:rsidR="00756DF5" w:rsidRPr="001558A5">
        <w:rPr>
          <w:rFonts w:cs="Verdana"/>
          <w:bCs/>
          <w:i/>
          <w:szCs w:val="20"/>
          <w:lang w:val="en-US"/>
        </w:rPr>
        <w:t>clausus</w:t>
      </w:r>
      <w:proofErr w:type="spellEnd"/>
      <w:r w:rsidR="00756DF5" w:rsidRPr="001558A5">
        <w:rPr>
          <w:rFonts w:cs="Verdana"/>
          <w:bCs/>
          <w:szCs w:val="20"/>
          <w:lang w:val="en-US"/>
        </w:rPr>
        <w:t xml:space="preserve">, as indicated by the use of the expression “among others.” Thus, it may be considered that, in certain circumstances such as those of this case which relates to a trans woman, gender identity constitutes a factor that may contribute, </w:t>
      </w:r>
      <w:proofErr w:type="spellStart"/>
      <w:r w:rsidR="00756DF5" w:rsidRPr="001558A5">
        <w:rPr>
          <w:rFonts w:cs="Verdana"/>
          <w:bCs/>
          <w:szCs w:val="20"/>
          <w:lang w:val="en-US"/>
        </w:rPr>
        <w:t>intersectionally</w:t>
      </w:r>
      <w:proofErr w:type="spellEnd"/>
      <w:r w:rsidR="00756DF5" w:rsidRPr="001558A5">
        <w:rPr>
          <w:rFonts w:cs="Verdana"/>
          <w:bCs/>
          <w:szCs w:val="20"/>
          <w:lang w:val="en-US"/>
        </w:rPr>
        <w:t xml:space="preserve">, to the vulnerability of women to gender-based violence. Indeed, the Court has determined that </w:t>
      </w:r>
      <w:r w:rsidR="00DF7573" w:rsidRPr="001558A5">
        <w:rPr>
          <w:rFonts w:cs="Verdana"/>
          <w:bCs/>
          <w:szCs w:val="20"/>
          <w:lang w:val="en-US"/>
        </w:rPr>
        <w:t>sexual orientation</w:t>
      </w:r>
      <w:r w:rsidR="00DD4354" w:rsidRPr="001558A5">
        <w:rPr>
          <w:rFonts w:cs="Verdana"/>
          <w:bCs/>
          <w:szCs w:val="20"/>
          <w:lang w:val="en-US"/>
        </w:rPr>
        <w:t xml:space="preserve"> and </w:t>
      </w:r>
      <w:r w:rsidR="00DF7573" w:rsidRPr="001558A5">
        <w:rPr>
          <w:rFonts w:cs="Verdana"/>
          <w:bCs/>
          <w:szCs w:val="20"/>
          <w:lang w:val="en-US"/>
        </w:rPr>
        <w:t>gender identity</w:t>
      </w:r>
      <w:r w:rsidR="00FC4C13" w:rsidRPr="001558A5">
        <w:rPr>
          <w:rFonts w:cs="Verdana"/>
          <w:bCs/>
          <w:szCs w:val="20"/>
          <w:lang w:val="en-US"/>
        </w:rPr>
        <w:t xml:space="preserve"> </w:t>
      </w:r>
      <w:r w:rsidR="00756DF5" w:rsidRPr="001558A5">
        <w:rPr>
          <w:rFonts w:cs="Verdana"/>
          <w:bCs/>
          <w:szCs w:val="20"/>
          <w:lang w:val="en-US"/>
        </w:rPr>
        <w:t>are categories protected by</w:t>
      </w:r>
      <w:r w:rsidR="00FC4C13" w:rsidRPr="001558A5">
        <w:rPr>
          <w:rFonts w:cs="Verdana"/>
          <w:bCs/>
          <w:szCs w:val="20"/>
          <w:lang w:val="en-US"/>
        </w:rPr>
        <w:t xml:space="preserve"> </w:t>
      </w:r>
      <w:r w:rsidR="00871E19" w:rsidRPr="001558A5">
        <w:rPr>
          <w:rFonts w:cs="Verdana"/>
          <w:bCs/>
          <w:szCs w:val="20"/>
          <w:lang w:val="en-US"/>
        </w:rPr>
        <w:t>the American Convention</w:t>
      </w:r>
      <w:r w:rsidR="00DD4354" w:rsidRPr="001558A5">
        <w:rPr>
          <w:rFonts w:cs="Verdana"/>
          <w:bCs/>
          <w:szCs w:val="20"/>
          <w:lang w:val="en-US"/>
        </w:rPr>
        <w:t xml:space="preserve"> and </w:t>
      </w:r>
      <w:r w:rsidR="00756DF5" w:rsidRPr="001558A5">
        <w:rPr>
          <w:rFonts w:cs="Verdana"/>
          <w:bCs/>
          <w:szCs w:val="20"/>
          <w:lang w:val="en-US"/>
        </w:rPr>
        <w:t xml:space="preserve">that any discriminatory law, act or practice based on a person’s sexual </w:t>
      </w:r>
      <w:r w:rsidR="00DF7573" w:rsidRPr="001558A5">
        <w:rPr>
          <w:rFonts w:cs="Verdana"/>
          <w:bCs/>
          <w:szCs w:val="20"/>
          <w:lang w:val="en-US"/>
        </w:rPr>
        <w:t>orientation</w:t>
      </w:r>
      <w:r w:rsidR="00FC4C13" w:rsidRPr="001558A5">
        <w:rPr>
          <w:rFonts w:cs="Verdana"/>
          <w:bCs/>
          <w:szCs w:val="20"/>
          <w:lang w:val="en-US"/>
        </w:rPr>
        <w:t xml:space="preserve"> </w:t>
      </w:r>
      <w:r w:rsidR="00756DF5" w:rsidRPr="001558A5">
        <w:rPr>
          <w:rFonts w:cs="Verdana"/>
          <w:bCs/>
          <w:szCs w:val="20"/>
          <w:lang w:val="en-US"/>
        </w:rPr>
        <w:t>or</w:t>
      </w:r>
      <w:r w:rsidR="00FC4C13" w:rsidRPr="001558A5">
        <w:rPr>
          <w:rFonts w:cs="Verdana"/>
          <w:bCs/>
          <w:szCs w:val="20"/>
          <w:lang w:val="en-US"/>
        </w:rPr>
        <w:t xml:space="preserve"> </w:t>
      </w:r>
      <w:r w:rsidR="00DF7573" w:rsidRPr="001558A5">
        <w:rPr>
          <w:rFonts w:cs="Verdana"/>
          <w:bCs/>
          <w:szCs w:val="20"/>
          <w:lang w:val="en-US"/>
        </w:rPr>
        <w:t>gender identity</w:t>
      </w:r>
      <w:r w:rsidR="00756DF5" w:rsidRPr="001558A5">
        <w:rPr>
          <w:rFonts w:cs="Verdana"/>
          <w:bCs/>
          <w:szCs w:val="20"/>
          <w:lang w:val="en-US"/>
        </w:rPr>
        <w:t xml:space="preserve"> is prohibited.</w:t>
      </w:r>
      <w:r w:rsidR="00FC4C13" w:rsidRPr="001558A5">
        <w:rPr>
          <w:rStyle w:val="Refdenotaalpie"/>
          <w:bCs/>
          <w:lang w:val="en-US"/>
        </w:rPr>
        <w:footnoteReference w:id="148"/>
      </w:r>
      <w:r w:rsidR="00FC4C13" w:rsidRPr="001558A5">
        <w:rPr>
          <w:rFonts w:cs="Verdana"/>
          <w:bCs/>
          <w:szCs w:val="20"/>
          <w:lang w:val="en-US"/>
        </w:rPr>
        <w:t xml:space="preserve"> </w:t>
      </w:r>
      <w:r w:rsidR="00CD1B05" w:rsidRPr="001558A5">
        <w:rPr>
          <w:rFonts w:cs="Verdana"/>
          <w:bCs/>
          <w:szCs w:val="20"/>
          <w:lang w:val="en-US"/>
        </w:rPr>
        <w:t>In addition, the Court has indicated that gender identity is “the internal and individual experience of gender as each person feels it, which may or may not correspond to the sex assigned at birth,</w:t>
      </w:r>
      <w:r w:rsidR="00FC4C13" w:rsidRPr="001558A5">
        <w:rPr>
          <w:szCs w:val="20"/>
          <w:lang w:val="en-US"/>
        </w:rPr>
        <w:t>”</w:t>
      </w:r>
      <w:r w:rsidR="00CD1B05" w:rsidRPr="001558A5">
        <w:rPr>
          <w:szCs w:val="20"/>
          <w:lang w:val="en-US"/>
        </w:rPr>
        <w:t xml:space="preserve"> so that “recognition of </w:t>
      </w:r>
      <w:r w:rsidR="00DF7573" w:rsidRPr="001558A5">
        <w:rPr>
          <w:szCs w:val="20"/>
          <w:lang w:val="en-US" w:eastAsia="es-ES"/>
        </w:rPr>
        <w:t>gender identity</w:t>
      </w:r>
      <w:r w:rsidR="00FC4C13" w:rsidRPr="001558A5">
        <w:rPr>
          <w:szCs w:val="20"/>
          <w:lang w:val="en-US" w:eastAsia="es-ES"/>
        </w:rPr>
        <w:t xml:space="preserve"> </w:t>
      </w:r>
      <w:r w:rsidR="00CD1B05" w:rsidRPr="001558A5">
        <w:rPr>
          <w:szCs w:val="20"/>
          <w:lang w:val="en-US" w:eastAsia="es-ES"/>
        </w:rPr>
        <w:t>is necessarily linked to the idea that sex and gender should be perceived as being part of the constructed identity that is the result of the free and autonomous decision of each person and without this having to be subject to their genitalia.</w:t>
      </w:r>
      <w:r w:rsidR="00FC4C13" w:rsidRPr="001558A5">
        <w:rPr>
          <w:szCs w:val="20"/>
          <w:lang w:val="en-US" w:eastAsia="es-ES"/>
        </w:rPr>
        <w:t>”</w:t>
      </w:r>
      <w:r w:rsidR="00FC4C13" w:rsidRPr="001558A5">
        <w:rPr>
          <w:rStyle w:val="Refdenotaalpie"/>
          <w:lang w:val="en-US" w:eastAsia="es-ES"/>
        </w:rPr>
        <w:footnoteReference w:id="149"/>
      </w:r>
      <w:r w:rsidR="00FC4C13" w:rsidRPr="001558A5">
        <w:rPr>
          <w:szCs w:val="20"/>
          <w:lang w:val="en-US" w:eastAsia="es-ES"/>
        </w:rPr>
        <w:t xml:space="preserve">. </w:t>
      </w:r>
    </w:p>
    <w:p w14:paraId="4C66C2A3" w14:textId="3B3302E4" w:rsidR="00FC4C13" w:rsidRPr="001558A5" w:rsidRDefault="00CD1B05" w:rsidP="00970D4B">
      <w:pPr>
        <w:widowControl w:val="0"/>
        <w:numPr>
          <w:ilvl w:val="0"/>
          <w:numId w:val="2"/>
        </w:numPr>
        <w:spacing w:before="120" w:after="120"/>
        <w:ind w:left="0" w:firstLine="0"/>
        <w:rPr>
          <w:rFonts w:cs="Verdana"/>
          <w:bCs/>
          <w:szCs w:val="20"/>
          <w:lang w:val="en-US"/>
        </w:rPr>
      </w:pPr>
      <w:r w:rsidRPr="001558A5">
        <w:rPr>
          <w:rFonts w:cs="Verdana"/>
          <w:bCs/>
          <w:szCs w:val="20"/>
          <w:lang w:val="en-US"/>
        </w:rPr>
        <w:t xml:space="preserve">Similarly, in its Report on </w:t>
      </w:r>
      <w:r w:rsidRPr="001558A5">
        <w:rPr>
          <w:iCs/>
          <w:lang w:val="en-US"/>
        </w:rPr>
        <w:t>Violence against Lesbians, Gay, Bisexual, Trans and Intersex Persons in the Americas</w:t>
      </w:r>
      <w:r w:rsidR="00FC4C13" w:rsidRPr="001558A5">
        <w:rPr>
          <w:rFonts w:cs="Verdana"/>
          <w:bCs/>
          <w:szCs w:val="20"/>
          <w:lang w:val="en-US"/>
        </w:rPr>
        <w:t xml:space="preserve">, </w:t>
      </w:r>
      <w:r w:rsidRPr="001558A5">
        <w:rPr>
          <w:rFonts w:cs="Verdana"/>
          <w:bCs/>
          <w:szCs w:val="20"/>
          <w:lang w:val="en-US"/>
        </w:rPr>
        <w:t>the Inter-American Commission noted that:</w:t>
      </w:r>
    </w:p>
    <w:p w14:paraId="1D45D536" w14:textId="7F686939" w:rsidR="00FC4C13" w:rsidRPr="001558A5" w:rsidRDefault="00AB1D37" w:rsidP="00B44D36">
      <w:pPr>
        <w:pStyle w:val="Prrafodelista"/>
        <w:spacing w:before="120" w:after="120"/>
        <w:ind w:left="270" w:right="314"/>
        <w:contextualSpacing w:val="0"/>
        <w:rPr>
          <w:rFonts w:eastAsia="MS Mincho" w:cs="Times New Roman"/>
          <w:color w:val="000000"/>
          <w:sz w:val="18"/>
          <w:szCs w:val="18"/>
          <w:lang w:val="en-US"/>
        </w:rPr>
      </w:pPr>
      <w:r w:rsidRPr="001558A5">
        <w:rPr>
          <w:rStyle w:val="markedcontent"/>
          <w:sz w:val="18"/>
          <w:szCs w:val="18"/>
          <w:lang w:val="en-US"/>
        </w:rPr>
        <w:t>S</w:t>
      </w:r>
      <w:r w:rsidR="00CD1B05" w:rsidRPr="001558A5">
        <w:rPr>
          <w:rStyle w:val="markedcontent"/>
          <w:sz w:val="18"/>
          <w:szCs w:val="18"/>
          <w:lang w:val="en-US"/>
        </w:rPr>
        <w:t xml:space="preserve">exual orientation and gender identity are not </w:t>
      </w:r>
      <w:r w:rsidR="00B44D36" w:rsidRPr="001558A5">
        <w:rPr>
          <w:sz w:val="18"/>
          <w:szCs w:val="18"/>
          <w:lang w:val="en-US"/>
        </w:rPr>
        <w:t xml:space="preserve"> </w:t>
      </w:r>
      <w:r w:rsidR="00CD1B05" w:rsidRPr="001558A5">
        <w:rPr>
          <w:rStyle w:val="markedcontent"/>
          <w:sz w:val="18"/>
          <w:szCs w:val="18"/>
          <w:lang w:val="en-US"/>
        </w:rPr>
        <w:t xml:space="preserve">expressly included in the Convention of </w:t>
      </w:r>
      <w:proofErr w:type="spellStart"/>
      <w:r w:rsidR="00CD1B05" w:rsidRPr="001558A5">
        <w:rPr>
          <w:rStyle w:val="markedcontent"/>
          <w:sz w:val="18"/>
          <w:szCs w:val="18"/>
          <w:lang w:val="en-US"/>
        </w:rPr>
        <w:t>Belém</w:t>
      </w:r>
      <w:proofErr w:type="spellEnd"/>
      <w:r w:rsidR="00CD1B05" w:rsidRPr="001558A5">
        <w:rPr>
          <w:rStyle w:val="markedcontent"/>
          <w:sz w:val="18"/>
          <w:szCs w:val="18"/>
          <w:lang w:val="en-US"/>
        </w:rPr>
        <w:t xml:space="preserve"> do </w:t>
      </w:r>
      <w:proofErr w:type="spellStart"/>
      <w:r w:rsidR="00CD1B05" w:rsidRPr="001558A5">
        <w:rPr>
          <w:rStyle w:val="markedcontent"/>
          <w:sz w:val="18"/>
          <w:szCs w:val="18"/>
          <w:lang w:val="en-US"/>
        </w:rPr>
        <w:t>Pará</w:t>
      </w:r>
      <w:proofErr w:type="spellEnd"/>
      <w:r w:rsidR="00CD1B05" w:rsidRPr="001558A5">
        <w:rPr>
          <w:rStyle w:val="markedcontent"/>
          <w:sz w:val="18"/>
          <w:szCs w:val="18"/>
          <w:lang w:val="en-US"/>
        </w:rPr>
        <w:t xml:space="preserve">. However, the IACHR is of the view that the Convention of </w:t>
      </w:r>
      <w:proofErr w:type="spellStart"/>
      <w:r w:rsidR="00CD1B05" w:rsidRPr="001558A5">
        <w:rPr>
          <w:rStyle w:val="markedcontent"/>
          <w:sz w:val="18"/>
          <w:szCs w:val="18"/>
          <w:lang w:val="en-US"/>
        </w:rPr>
        <w:t>Belém</w:t>
      </w:r>
      <w:proofErr w:type="spellEnd"/>
      <w:r w:rsidR="00CD1B05" w:rsidRPr="001558A5">
        <w:rPr>
          <w:rStyle w:val="markedcontent"/>
          <w:sz w:val="18"/>
          <w:szCs w:val="18"/>
          <w:lang w:val="en-US"/>
        </w:rPr>
        <w:t xml:space="preserve"> do </w:t>
      </w:r>
      <w:proofErr w:type="spellStart"/>
      <w:r w:rsidR="00CD1B05" w:rsidRPr="001558A5">
        <w:rPr>
          <w:rStyle w:val="markedcontent"/>
          <w:sz w:val="18"/>
          <w:szCs w:val="18"/>
          <w:lang w:val="en-US"/>
        </w:rPr>
        <w:t>Pará</w:t>
      </w:r>
      <w:proofErr w:type="spellEnd"/>
      <w:r w:rsidR="00CD1B05" w:rsidRPr="001558A5">
        <w:rPr>
          <w:rStyle w:val="markedcontent"/>
          <w:sz w:val="18"/>
          <w:szCs w:val="18"/>
          <w:lang w:val="en-US"/>
        </w:rPr>
        <w:t xml:space="preserve"> is a “living instrument.” Thus, the </w:t>
      </w:r>
      <w:r w:rsidR="00B44D36" w:rsidRPr="001558A5">
        <w:rPr>
          <w:sz w:val="18"/>
          <w:szCs w:val="18"/>
          <w:lang w:val="en-US"/>
        </w:rPr>
        <w:t xml:space="preserve"> </w:t>
      </w:r>
      <w:r w:rsidR="00CD1B05" w:rsidRPr="001558A5">
        <w:rPr>
          <w:rStyle w:val="markedcontent"/>
          <w:sz w:val="18"/>
          <w:szCs w:val="18"/>
          <w:lang w:val="en-US"/>
        </w:rPr>
        <w:t xml:space="preserve">Commission considers that when Article 9 of the Convention of </w:t>
      </w:r>
      <w:proofErr w:type="spellStart"/>
      <w:r w:rsidR="00CD1B05" w:rsidRPr="001558A5">
        <w:rPr>
          <w:rStyle w:val="markedcontent"/>
          <w:sz w:val="18"/>
          <w:szCs w:val="18"/>
          <w:lang w:val="en-US"/>
        </w:rPr>
        <w:t>Belém</w:t>
      </w:r>
      <w:proofErr w:type="spellEnd"/>
      <w:r w:rsidR="00CD1B05" w:rsidRPr="001558A5">
        <w:rPr>
          <w:rStyle w:val="markedcontent"/>
          <w:sz w:val="18"/>
          <w:szCs w:val="18"/>
          <w:lang w:val="en-US"/>
        </w:rPr>
        <w:t xml:space="preserve"> do </w:t>
      </w:r>
      <w:proofErr w:type="spellStart"/>
      <w:r w:rsidR="00CD1B05" w:rsidRPr="001558A5">
        <w:rPr>
          <w:rStyle w:val="markedcontent"/>
          <w:sz w:val="18"/>
          <w:szCs w:val="18"/>
          <w:lang w:val="en-US"/>
        </w:rPr>
        <w:t>Pará</w:t>
      </w:r>
      <w:proofErr w:type="spellEnd"/>
      <w:r w:rsidR="00B44D36" w:rsidRPr="001558A5">
        <w:rPr>
          <w:rStyle w:val="markedcontent"/>
          <w:sz w:val="18"/>
          <w:szCs w:val="18"/>
          <w:lang w:val="en-US"/>
        </w:rPr>
        <w:t xml:space="preserve"> </w:t>
      </w:r>
      <w:r w:rsidR="00CD1B05" w:rsidRPr="001558A5">
        <w:rPr>
          <w:rStyle w:val="markedcontent"/>
          <w:sz w:val="18"/>
          <w:szCs w:val="18"/>
          <w:lang w:val="en-US"/>
        </w:rPr>
        <w:t>speaks of the State obligation to take special account of factors of special vulnerability to violence, listing certain examples “among others,” these other factors would necessarily include sexual orientation and gender identity.</w:t>
      </w:r>
      <w:r w:rsidR="00FC4C13" w:rsidRPr="001558A5">
        <w:rPr>
          <w:sz w:val="18"/>
          <w:szCs w:val="18"/>
          <w:vertAlign w:val="superscript"/>
          <w:lang w:val="en-US"/>
        </w:rPr>
        <w:footnoteReference w:id="150"/>
      </w:r>
    </w:p>
    <w:p w14:paraId="1B1144F9" w14:textId="2A842005" w:rsidR="00FC4C13" w:rsidRPr="001558A5" w:rsidRDefault="00B44D36" w:rsidP="006B3101">
      <w:pPr>
        <w:widowControl w:val="0"/>
        <w:numPr>
          <w:ilvl w:val="0"/>
          <w:numId w:val="2"/>
        </w:numPr>
        <w:spacing w:before="120" w:after="120"/>
        <w:ind w:left="0" w:firstLine="0"/>
        <w:rPr>
          <w:rFonts w:cstheme="minorHAnsi"/>
          <w:szCs w:val="20"/>
          <w:lang w:val="en-US"/>
        </w:rPr>
      </w:pPr>
      <w:r w:rsidRPr="001558A5">
        <w:rPr>
          <w:rFonts w:cstheme="minorHAnsi"/>
          <w:szCs w:val="20"/>
          <w:lang w:val="en-US"/>
        </w:rPr>
        <w:t xml:space="preserve">Consistent with this, the United Nations Committee </w:t>
      </w:r>
      <w:r w:rsidR="00264F2F" w:rsidRPr="001558A5">
        <w:rPr>
          <w:rFonts w:cstheme="minorHAnsi"/>
          <w:szCs w:val="20"/>
          <w:lang w:val="en-US"/>
        </w:rPr>
        <w:t>on</w:t>
      </w:r>
      <w:r w:rsidRPr="001558A5">
        <w:rPr>
          <w:rFonts w:cstheme="minorHAnsi"/>
          <w:szCs w:val="20"/>
          <w:lang w:val="en-US"/>
        </w:rPr>
        <w:t xml:space="preserve"> the Elimination of </w:t>
      </w:r>
      <w:r w:rsidR="00215FEF" w:rsidRPr="001558A5">
        <w:rPr>
          <w:rFonts w:cstheme="minorHAnsi"/>
          <w:szCs w:val="20"/>
          <w:lang w:val="en-US"/>
        </w:rPr>
        <w:t>Discrimination</w:t>
      </w:r>
      <w:r w:rsidR="00FC4C13" w:rsidRPr="001558A5">
        <w:rPr>
          <w:rFonts w:cstheme="minorHAnsi"/>
          <w:szCs w:val="20"/>
          <w:lang w:val="en-US"/>
        </w:rPr>
        <w:t xml:space="preserve"> </w:t>
      </w:r>
      <w:r w:rsidRPr="001558A5">
        <w:rPr>
          <w:rFonts w:cstheme="minorHAnsi"/>
          <w:szCs w:val="20"/>
          <w:lang w:val="en-US"/>
        </w:rPr>
        <w:t>against Women</w:t>
      </w:r>
      <w:r w:rsidR="00FC4C13" w:rsidRPr="001558A5">
        <w:rPr>
          <w:rFonts w:cstheme="minorHAnsi"/>
          <w:szCs w:val="20"/>
          <w:lang w:val="en-US"/>
        </w:rPr>
        <w:t xml:space="preserve"> (CEDAW) indic</w:t>
      </w:r>
      <w:r w:rsidRPr="001558A5">
        <w:rPr>
          <w:rFonts w:cstheme="minorHAnsi"/>
          <w:szCs w:val="20"/>
          <w:lang w:val="en-US"/>
        </w:rPr>
        <w:t>ated in its General Recommendation</w:t>
      </w:r>
      <w:r w:rsidR="00FC4C13" w:rsidRPr="001558A5">
        <w:rPr>
          <w:rFonts w:cstheme="minorHAnsi"/>
          <w:szCs w:val="20"/>
          <w:lang w:val="en-US"/>
        </w:rPr>
        <w:t xml:space="preserve"> No. 28 </w:t>
      </w:r>
      <w:r w:rsidRPr="001558A5">
        <w:rPr>
          <w:rFonts w:cstheme="minorHAnsi"/>
          <w:szCs w:val="20"/>
          <w:lang w:val="en-US"/>
        </w:rPr>
        <w:t>of</w:t>
      </w:r>
      <w:r w:rsidR="00FC4C13" w:rsidRPr="001558A5">
        <w:rPr>
          <w:rFonts w:cstheme="minorHAnsi"/>
          <w:szCs w:val="20"/>
          <w:lang w:val="en-US"/>
        </w:rPr>
        <w:t xml:space="preserve"> 2010 </w:t>
      </w:r>
      <w:r w:rsidRPr="001558A5">
        <w:rPr>
          <w:rFonts w:cstheme="minorHAnsi"/>
          <w:szCs w:val="20"/>
          <w:lang w:val="en-US"/>
        </w:rPr>
        <w:t>that,</w:t>
      </w:r>
      <w:r w:rsidR="00FC4C13" w:rsidRPr="001558A5">
        <w:rPr>
          <w:rFonts w:cstheme="minorHAnsi"/>
          <w:szCs w:val="20"/>
          <w:lang w:val="en-US"/>
        </w:rPr>
        <w:t xml:space="preserve"> “</w:t>
      </w:r>
      <w:r w:rsidR="003D2C5D" w:rsidRPr="001558A5">
        <w:rPr>
          <w:lang w:val="en-US"/>
        </w:rPr>
        <w:t>[a]</w:t>
      </w:r>
      <w:proofErr w:type="spellStart"/>
      <w:r w:rsidR="003D2C5D" w:rsidRPr="001558A5">
        <w:rPr>
          <w:lang w:val="en-US"/>
        </w:rPr>
        <w:t>lthough</w:t>
      </w:r>
      <w:proofErr w:type="spellEnd"/>
      <w:r w:rsidR="003D2C5D" w:rsidRPr="001558A5">
        <w:rPr>
          <w:lang w:val="en-US"/>
        </w:rPr>
        <w:t xml:space="preserve"> the Convention [CEDAW] only refers to sex-based discrimination, interpreting article 1 together with articles 2(f) and 5(a) indicates that the Convention covers gender-based discrimination against women.</w:t>
      </w:r>
      <w:r w:rsidR="00FC4C13" w:rsidRPr="001558A5">
        <w:rPr>
          <w:rFonts w:cstheme="minorHAnsi"/>
          <w:szCs w:val="20"/>
          <w:lang w:val="en-US"/>
        </w:rPr>
        <w:t>”</w:t>
      </w:r>
      <w:r w:rsidR="00FC4C13" w:rsidRPr="001558A5">
        <w:rPr>
          <w:rStyle w:val="Refdenotaalpie"/>
          <w:rFonts w:cstheme="minorHAnsi"/>
          <w:lang w:val="en-US"/>
        </w:rPr>
        <w:footnoteReference w:id="151"/>
      </w:r>
      <w:r w:rsidR="00FC4C13" w:rsidRPr="001558A5">
        <w:rPr>
          <w:rFonts w:cstheme="minorHAnsi"/>
          <w:szCs w:val="20"/>
          <w:lang w:val="en-US"/>
        </w:rPr>
        <w:t xml:space="preserve"> </w:t>
      </w:r>
      <w:r w:rsidR="004C7BBE" w:rsidRPr="001558A5">
        <w:rPr>
          <w:rFonts w:cstheme="minorHAnsi"/>
          <w:szCs w:val="20"/>
          <w:lang w:val="en-US"/>
        </w:rPr>
        <w:t xml:space="preserve">In its </w:t>
      </w:r>
      <w:r w:rsidR="006B3101" w:rsidRPr="001558A5">
        <w:rPr>
          <w:rFonts w:cstheme="minorHAnsi"/>
          <w:szCs w:val="20"/>
          <w:lang w:val="en-US"/>
        </w:rPr>
        <w:t xml:space="preserve">General </w:t>
      </w:r>
      <w:r w:rsidR="004C7BBE" w:rsidRPr="001558A5">
        <w:rPr>
          <w:rFonts w:cstheme="minorHAnsi"/>
          <w:szCs w:val="20"/>
          <w:lang w:val="en-US"/>
        </w:rPr>
        <w:t>Recommendation</w:t>
      </w:r>
      <w:r w:rsidR="00FC4C13" w:rsidRPr="001558A5">
        <w:rPr>
          <w:rFonts w:cstheme="minorHAnsi"/>
          <w:szCs w:val="20"/>
          <w:lang w:val="en-US"/>
        </w:rPr>
        <w:t xml:space="preserve"> No. 35 </w:t>
      </w:r>
      <w:r w:rsidR="004C7BBE" w:rsidRPr="001558A5">
        <w:rPr>
          <w:rFonts w:cstheme="minorHAnsi"/>
          <w:szCs w:val="20"/>
          <w:lang w:val="en-US"/>
        </w:rPr>
        <w:t>of</w:t>
      </w:r>
      <w:r w:rsidR="00FC4C13" w:rsidRPr="001558A5">
        <w:rPr>
          <w:rFonts w:cstheme="minorHAnsi"/>
          <w:szCs w:val="20"/>
          <w:lang w:val="en-US"/>
        </w:rPr>
        <w:t xml:space="preserve"> 2017 </w:t>
      </w:r>
      <w:r w:rsidR="004C7BBE" w:rsidRPr="001558A5">
        <w:rPr>
          <w:rFonts w:cstheme="minorHAnsi"/>
          <w:szCs w:val="20"/>
          <w:lang w:val="en-US"/>
        </w:rPr>
        <w:t xml:space="preserve">on gender-based violence, </w:t>
      </w:r>
      <w:r w:rsidR="00FC4C13" w:rsidRPr="001558A5">
        <w:rPr>
          <w:rFonts w:cstheme="minorHAnsi"/>
          <w:szCs w:val="20"/>
          <w:lang w:val="en-US"/>
        </w:rPr>
        <w:t xml:space="preserve">CEDAW </w:t>
      </w:r>
      <w:r w:rsidR="004C7BBE" w:rsidRPr="001558A5">
        <w:rPr>
          <w:rFonts w:cstheme="minorHAnsi"/>
          <w:szCs w:val="20"/>
          <w:lang w:val="en-US"/>
        </w:rPr>
        <w:t>considered that the expression “gender-based violence against women” was</w:t>
      </w:r>
      <w:r w:rsidR="00AB1D37" w:rsidRPr="001558A5">
        <w:rPr>
          <w:rFonts w:cstheme="minorHAnsi"/>
          <w:szCs w:val="20"/>
          <w:lang w:val="en-US"/>
        </w:rPr>
        <w:t xml:space="preserve"> a</w:t>
      </w:r>
      <w:r w:rsidR="004C7BBE" w:rsidRPr="001558A5">
        <w:rPr>
          <w:rFonts w:cstheme="minorHAnsi"/>
          <w:szCs w:val="20"/>
          <w:lang w:val="en-US"/>
        </w:rPr>
        <w:t xml:space="preserve"> “</w:t>
      </w:r>
      <w:r w:rsidR="004C7BBE" w:rsidRPr="001558A5">
        <w:rPr>
          <w:rStyle w:val="markedcontent"/>
          <w:rFonts w:cs="Arial"/>
          <w:szCs w:val="20"/>
          <w:lang w:val="en-US"/>
        </w:rPr>
        <w:t>more precise term that makes explicit the gendered causes and impacts of the violence.</w:t>
      </w:r>
      <w:r w:rsidR="00FC4C13" w:rsidRPr="001558A5">
        <w:rPr>
          <w:rFonts w:cstheme="minorHAnsi"/>
          <w:szCs w:val="20"/>
          <w:lang w:val="en-US"/>
        </w:rPr>
        <w:t xml:space="preserve">” </w:t>
      </w:r>
      <w:r w:rsidR="006B3101" w:rsidRPr="001558A5">
        <w:rPr>
          <w:rFonts w:cstheme="minorHAnsi"/>
          <w:szCs w:val="20"/>
          <w:lang w:val="en-US"/>
        </w:rPr>
        <w:t xml:space="preserve">Furthermore, in this recommendation it examined the different factors that may have an impact on discrimination against women, among them “being </w:t>
      </w:r>
      <w:r w:rsidR="006B3101" w:rsidRPr="001558A5">
        <w:rPr>
          <w:rStyle w:val="markedcontent"/>
          <w:rFonts w:cs="Arial"/>
          <w:szCs w:val="20"/>
          <w:lang w:val="en-US"/>
        </w:rPr>
        <w:t>lesbian, bisexual, transgender or intersex.</w:t>
      </w:r>
      <w:r w:rsidR="00FC4C13" w:rsidRPr="001558A5">
        <w:rPr>
          <w:rFonts w:cstheme="minorHAnsi"/>
          <w:szCs w:val="20"/>
          <w:lang w:val="en-US"/>
        </w:rPr>
        <w:t>”</w:t>
      </w:r>
      <w:r w:rsidR="00FC4C13" w:rsidRPr="001558A5">
        <w:rPr>
          <w:rStyle w:val="Refdenotaalpie"/>
          <w:rFonts w:cstheme="minorHAnsi"/>
          <w:lang w:val="en-US"/>
        </w:rPr>
        <w:footnoteReference w:id="152"/>
      </w:r>
    </w:p>
    <w:p w14:paraId="008FBB75" w14:textId="6C767F3E" w:rsidR="00FC4C13" w:rsidRPr="001558A5" w:rsidRDefault="006B3101" w:rsidP="002258F5">
      <w:pPr>
        <w:widowControl w:val="0"/>
        <w:numPr>
          <w:ilvl w:val="0"/>
          <w:numId w:val="2"/>
        </w:numPr>
        <w:spacing w:before="120" w:after="120"/>
        <w:ind w:left="0" w:firstLine="0"/>
        <w:rPr>
          <w:rFonts w:cstheme="minorHAnsi"/>
          <w:szCs w:val="20"/>
          <w:lang w:val="en-US"/>
        </w:rPr>
      </w:pPr>
      <w:r w:rsidRPr="001558A5">
        <w:rPr>
          <w:rFonts w:cstheme="minorHAnsi"/>
          <w:szCs w:val="20"/>
          <w:lang w:val="en-US"/>
        </w:rPr>
        <w:t>Similarly</w:t>
      </w:r>
      <w:r w:rsidR="00FC4C13" w:rsidRPr="001558A5">
        <w:rPr>
          <w:rFonts w:cstheme="minorHAnsi"/>
          <w:szCs w:val="20"/>
          <w:lang w:val="en-US"/>
        </w:rPr>
        <w:t xml:space="preserve">, </w:t>
      </w:r>
      <w:r w:rsidR="002258F5" w:rsidRPr="001558A5">
        <w:rPr>
          <w:rFonts w:cstheme="minorHAnsi"/>
          <w:szCs w:val="20"/>
          <w:lang w:val="en-US"/>
        </w:rPr>
        <w:t xml:space="preserve">the </w:t>
      </w:r>
      <w:r w:rsidR="009F36EF" w:rsidRPr="001558A5">
        <w:rPr>
          <w:rFonts w:cstheme="minorHAnsi"/>
          <w:szCs w:val="20"/>
          <w:lang w:val="en-US"/>
        </w:rPr>
        <w:t>Follow</w:t>
      </w:r>
      <w:r w:rsidR="002258F5" w:rsidRPr="001558A5">
        <w:rPr>
          <w:rFonts w:cstheme="minorHAnsi"/>
          <w:szCs w:val="20"/>
          <w:lang w:val="en-US"/>
        </w:rPr>
        <w:t xml:space="preserve">-up Mechanism to </w:t>
      </w:r>
      <w:r w:rsidR="00DD4354" w:rsidRPr="001558A5">
        <w:rPr>
          <w:rFonts w:cstheme="minorHAnsi"/>
          <w:szCs w:val="20"/>
          <w:lang w:val="en-US"/>
        </w:rPr>
        <w:t xml:space="preserve">the </w:t>
      </w:r>
      <w:r w:rsidR="00871E19" w:rsidRPr="001558A5">
        <w:rPr>
          <w:rFonts w:cstheme="minorHAnsi"/>
          <w:szCs w:val="20"/>
          <w:lang w:val="en-US"/>
        </w:rPr>
        <w:t>Convention</w:t>
      </w:r>
      <w:r w:rsidR="00E05F1D" w:rsidRPr="001558A5">
        <w:rPr>
          <w:rFonts w:cstheme="minorHAnsi"/>
          <w:szCs w:val="20"/>
          <w:lang w:val="en-US"/>
        </w:rPr>
        <w:t xml:space="preserve"> </w:t>
      </w:r>
      <w:r w:rsidR="00B74256" w:rsidRPr="001558A5">
        <w:rPr>
          <w:rFonts w:cstheme="minorHAnsi"/>
          <w:szCs w:val="20"/>
          <w:lang w:val="en-US"/>
        </w:rPr>
        <w:t xml:space="preserve">of </w:t>
      </w:r>
      <w:proofErr w:type="spellStart"/>
      <w:r w:rsidR="00B74256" w:rsidRPr="001558A5">
        <w:rPr>
          <w:rFonts w:cstheme="minorHAnsi"/>
          <w:szCs w:val="20"/>
          <w:lang w:val="en-US"/>
        </w:rPr>
        <w:t>Belém</w:t>
      </w:r>
      <w:proofErr w:type="spellEnd"/>
      <w:r w:rsidR="00E05F1D" w:rsidRPr="001558A5">
        <w:rPr>
          <w:rFonts w:cstheme="minorHAnsi"/>
          <w:szCs w:val="20"/>
          <w:lang w:val="en-US"/>
        </w:rPr>
        <w:t xml:space="preserve"> do </w:t>
      </w:r>
      <w:proofErr w:type="spellStart"/>
      <w:r w:rsidR="00E05F1D" w:rsidRPr="001558A5">
        <w:rPr>
          <w:rFonts w:cstheme="minorHAnsi"/>
          <w:szCs w:val="20"/>
          <w:lang w:val="en-US"/>
        </w:rPr>
        <w:t>Pará</w:t>
      </w:r>
      <w:proofErr w:type="spellEnd"/>
      <w:r w:rsidR="00FC4C13" w:rsidRPr="001558A5">
        <w:rPr>
          <w:rFonts w:cstheme="minorHAnsi"/>
          <w:szCs w:val="20"/>
          <w:lang w:val="en-US"/>
        </w:rPr>
        <w:t xml:space="preserve"> (</w:t>
      </w:r>
      <w:r w:rsidR="00602550" w:rsidRPr="001558A5">
        <w:rPr>
          <w:rFonts w:cstheme="minorHAnsi"/>
          <w:szCs w:val="20"/>
          <w:lang w:val="en-US"/>
        </w:rPr>
        <w:t>“</w:t>
      </w:r>
      <w:r w:rsidR="00E05F1D" w:rsidRPr="001558A5">
        <w:rPr>
          <w:rFonts w:cstheme="minorHAnsi"/>
          <w:szCs w:val="20"/>
          <w:lang w:val="en-US"/>
        </w:rPr>
        <w:t>MESECVI</w:t>
      </w:r>
      <w:r w:rsidR="00602550" w:rsidRPr="001558A5">
        <w:rPr>
          <w:rFonts w:cstheme="minorHAnsi"/>
          <w:szCs w:val="20"/>
          <w:lang w:val="en-US"/>
        </w:rPr>
        <w:t>”</w:t>
      </w:r>
      <w:r w:rsidR="00FC4C13" w:rsidRPr="001558A5">
        <w:rPr>
          <w:rFonts w:cstheme="minorHAnsi"/>
          <w:szCs w:val="20"/>
          <w:lang w:val="en-US"/>
        </w:rPr>
        <w:t>) inclu</w:t>
      </w:r>
      <w:r w:rsidR="002258F5" w:rsidRPr="001558A5">
        <w:rPr>
          <w:rFonts w:cstheme="minorHAnsi"/>
          <w:szCs w:val="20"/>
          <w:lang w:val="en-US"/>
        </w:rPr>
        <w:t xml:space="preserve">des in its Practical Guide to the System of Progress Indicators for Measuring the Implementation of the </w:t>
      </w:r>
      <w:r w:rsidR="00871E19" w:rsidRPr="001558A5">
        <w:rPr>
          <w:rFonts w:cstheme="minorHAnsi"/>
          <w:szCs w:val="20"/>
          <w:lang w:val="en-US"/>
        </w:rPr>
        <w:t>Convention</w:t>
      </w:r>
      <w:r w:rsidR="00FC4C13" w:rsidRPr="001558A5">
        <w:rPr>
          <w:rFonts w:cstheme="minorHAnsi"/>
          <w:szCs w:val="20"/>
          <w:lang w:val="en-US"/>
        </w:rPr>
        <w:t xml:space="preserve"> </w:t>
      </w:r>
      <w:r w:rsidR="002258F5" w:rsidRPr="001558A5">
        <w:rPr>
          <w:rFonts w:cstheme="minorHAnsi"/>
          <w:szCs w:val="20"/>
          <w:lang w:val="en-US"/>
        </w:rPr>
        <w:t xml:space="preserve">the need to include rates of violence and hate </w:t>
      </w:r>
      <w:r w:rsidR="002258F5" w:rsidRPr="001558A5">
        <w:rPr>
          <w:rStyle w:val="highlight"/>
          <w:rFonts w:cs="Arial"/>
          <w:lang w:val="en-US"/>
        </w:rPr>
        <w:t>crimes</w:t>
      </w:r>
      <w:r w:rsidR="002258F5" w:rsidRPr="001558A5">
        <w:rPr>
          <w:rFonts w:cs="Arial"/>
          <w:szCs w:val="20"/>
          <w:lang w:val="en-US"/>
        </w:rPr>
        <w:t xml:space="preserve"> </w:t>
      </w:r>
      <w:r w:rsidR="0026673C" w:rsidRPr="001558A5">
        <w:rPr>
          <w:rFonts w:cs="Arial"/>
          <w:szCs w:val="20"/>
          <w:lang w:val="en-US"/>
        </w:rPr>
        <w:t>against</w:t>
      </w:r>
      <w:r w:rsidR="002258F5" w:rsidRPr="001558A5">
        <w:rPr>
          <w:rFonts w:cs="Arial"/>
          <w:szCs w:val="20"/>
          <w:lang w:val="en-US"/>
        </w:rPr>
        <w:t xml:space="preserve"> girls, adolescents, and adult and older women who are lesbians and/or against persons with diverse gender identities</w:t>
      </w:r>
      <w:r w:rsidR="0080681B" w:rsidRPr="001558A5">
        <w:rPr>
          <w:rFonts w:cstheme="minorHAnsi"/>
          <w:szCs w:val="20"/>
          <w:lang w:val="en-US"/>
        </w:rPr>
        <w:t>.</w:t>
      </w:r>
      <w:r w:rsidR="00FC4C13" w:rsidRPr="001558A5">
        <w:rPr>
          <w:rStyle w:val="Refdenotaalpie"/>
          <w:rFonts w:cstheme="minorHAnsi"/>
          <w:lang w:val="en-US"/>
        </w:rPr>
        <w:footnoteReference w:id="153"/>
      </w:r>
    </w:p>
    <w:p w14:paraId="2517376B" w14:textId="037963E5" w:rsidR="00FC4C13" w:rsidRPr="001558A5" w:rsidRDefault="0080681B" w:rsidP="00970D4B">
      <w:pPr>
        <w:widowControl w:val="0"/>
        <w:numPr>
          <w:ilvl w:val="0"/>
          <w:numId w:val="2"/>
        </w:numPr>
        <w:spacing w:before="120" w:after="120"/>
        <w:ind w:left="0" w:firstLine="0"/>
        <w:rPr>
          <w:rFonts w:cstheme="minorHAnsi"/>
          <w:szCs w:val="20"/>
          <w:lang w:val="en-US"/>
        </w:rPr>
      </w:pPr>
      <w:r w:rsidRPr="001558A5">
        <w:rPr>
          <w:rFonts w:cstheme="minorHAnsi"/>
          <w:szCs w:val="20"/>
          <w:lang w:val="en-US"/>
        </w:rPr>
        <w:t xml:space="preserve">Based on the above and on an </w:t>
      </w:r>
      <w:proofErr w:type="spellStart"/>
      <w:r w:rsidRPr="001558A5">
        <w:rPr>
          <w:rFonts w:cstheme="minorHAnsi"/>
          <w:szCs w:val="20"/>
          <w:lang w:val="en-US"/>
        </w:rPr>
        <w:t>evolutive</w:t>
      </w:r>
      <w:proofErr w:type="spellEnd"/>
      <w:r w:rsidRPr="001558A5">
        <w:rPr>
          <w:rFonts w:cstheme="minorHAnsi"/>
          <w:szCs w:val="20"/>
          <w:lang w:val="en-US"/>
        </w:rPr>
        <w:t xml:space="preserve"> interpretation,</w:t>
      </w:r>
      <w:r w:rsidR="00FC4C13" w:rsidRPr="001558A5">
        <w:rPr>
          <w:rStyle w:val="Refdenotaalpie"/>
          <w:rFonts w:cstheme="minorHAnsi"/>
          <w:lang w:val="en-US"/>
        </w:rPr>
        <w:footnoteReference w:id="154"/>
      </w:r>
      <w:r w:rsidR="00FC4C13" w:rsidRPr="001558A5">
        <w:rPr>
          <w:rFonts w:cstheme="minorHAnsi"/>
          <w:szCs w:val="20"/>
          <w:lang w:val="en-US"/>
        </w:rPr>
        <w:t xml:space="preserve"> </w:t>
      </w:r>
      <w:r w:rsidR="00871E19" w:rsidRPr="001558A5">
        <w:rPr>
          <w:rFonts w:cstheme="minorHAnsi"/>
          <w:szCs w:val="20"/>
          <w:lang w:val="en-US"/>
        </w:rPr>
        <w:t>the Court</w:t>
      </w:r>
      <w:r w:rsidR="00FC4C13" w:rsidRPr="001558A5">
        <w:rPr>
          <w:rFonts w:cstheme="minorHAnsi"/>
          <w:szCs w:val="20"/>
          <w:lang w:val="en-US"/>
        </w:rPr>
        <w:t xml:space="preserve"> </w:t>
      </w:r>
      <w:r w:rsidRPr="001558A5">
        <w:rPr>
          <w:rFonts w:cstheme="minorHAnsi"/>
          <w:szCs w:val="20"/>
          <w:lang w:val="en-US"/>
        </w:rPr>
        <w:t xml:space="preserve">considers that, in the sphere of application </w:t>
      </w:r>
      <w:r w:rsidR="00DD4354" w:rsidRPr="001558A5">
        <w:rPr>
          <w:rFonts w:cstheme="minorHAnsi"/>
          <w:szCs w:val="20"/>
          <w:lang w:val="en-US"/>
        </w:rPr>
        <w:t xml:space="preserve">of the </w:t>
      </w:r>
      <w:r w:rsidR="00B732DD" w:rsidRPr="001558A5">
        <w:rPr>
          <w:rFonts w:cstheme="minorHAnsi"/>
          <w:szCs w:val="20"/>
          <w:lang w:val="en-US"/>
        </w:rPr>
        <w:t>Inter-American Convention for the Prevention, Punishment and Eradication of Violence against Women</w:t>
      </w:r>
      <w:r w:rsidRPr="001558A5">
        <w:rPr>
          <w:rFonts w:cstheme="minorHAnsi"/>
          <w:szCs w:val="20"/>
          <w:lang w:val="en-US"/>
        </w:rPr>
        <w:t>, there is also a reference to situation</w:t>
      </w:r>
      <w:r w:rsidR="0032283E" w:rsidRPr="001558A5">
        <w:rPr>
          <w:rFonts w:cstheme="minorHAnsi"/>
          <w:szCs w:val="20"/>
          <w:lang w:val="en-US"/>
        </w:rPr>
        <w:t>s</w:t>
      </w:r>
      <w:r w:rsidRPr="001558A5">
        <w:rPr>
          <w:rFonts w:cstheme="minorHAnsi"/>
          <w:szCs w:val="20"/>
          <w:lang w:val="en-US"/>
        </w:rPr>
        <w:t xml:space="preserve"> of gender-based violence against trans women, as in this case</w:t>
      </w:r>
      <w:r w:rsidR="00FC4C13" w:rsidRPr="001558A5">
        <w:rPr>
          <w:rFonts w:cstheme="minorHAnsi"/>
          <w:szCs w:val="20"/>
          <w:lang w:val="en-US"/>
        </w:rPr>
        <w:t xml:space="preserve">. </w:t>
      </w:r>
    </w:p>
    <w:p w14:paraId="622BF6DC" w14:textId="7386370A" w:rsidR="0032283E" w:rsidRPr="001558A5" w:rsidRDefault="0032283E" w:rsidP="00970D4B">
      <w:pPr>
        <w:widowControl w:val="0"/>
        <w:numPr>
          <w:ilvl w:val="0"/>
          <w:numId w:val="2"/>
        </w:numPr>
        <w:spacing w:before="120" w:after="120"/>
        <w:ind w:left="0" w:firstLine="0"/>
        <w:rPr>
          <w:rFonts w:cstheme="minorHAnsi"/>
          <w:szCs w:val="20"/>
          <w:lang w:val="en-US"/>
        </w:rPr>
      </w:pPr>
      <w:r w:rsidRPr="001558A5">
        <w:rPr>
          <w:rFonts w:cstheme="minorHAnsi"/>
          <w:szCs w:val="20"/>
          <w:lang w:val="en-US"/>
        </w:rPr>
        <w:t xml:space="preserve">In addition, the Court recalls </w:t>
      </w:r>
      <w:r w:rsidR="00871E19" w:rsidRPr="001558A5">
        <w:rPr>
          <w:rFonts w:cstheme="minorHAnsi"/>
          <w:szCs w:val="20"/>
          <w:lang w:val="en-US"/>
        </w:rPr>
        <w:t>th</w:t>
      </w:r>
      <w:r w:rsidRPr="001558A5">
        <w:rPr>
          <w:rFonts w:cstheme="minorHAnsi"/>
          <w:szCs w:val="20"/>
          <w:lang w:val="en-US"/>
        </w:rPr>
        <w:t>at, when applying th</w:t>
      </w:r>
      <w:r w:rsidR="0026673C" w:rsidRPr="001558A5">
        <w:rPr>
          <w:rFonts w:cstheme="minorHAnsi"/>
          <w:szCs w:val="20"/>
          <w:lang w:val="en-US"/>
        </w:rPr>
        <w:t>e said</w:t>
      </w:r>
      <w:r w:rsidRPr="001558A5">
        <w:rPr>
          <w:rFonts w:cstheme="minorHAnsi"/>
          <w:szCs w:val="20"/>
          <w:lang w:val="en-US"/>
        </w:rPr>
        <w:t xml:space="preserve"> treaty, it has developed the notion of enhanced due diligence.</w:t>
      </w:r>
      <w:r w:rsidR="00FC4C13" w:rsidRPr="001558A5">
        <w:rPr>
          <w:rStyle w:val="Refdenotaalpie"/>
          <w:bCs/>
          <w:lang w:val="en-US"/>
        </w:rPr>
        <w:footnoteReference w:id="155"/>
      </w:r>
      <w:r w:rsidRPr="001558A5">
        <w:rPr>
          <w:rFonts w:cs="Verdana"/>
          <w:bCs/>
          <w:szCs w:val="20"/>
          <w:lang w:val="en-US"/>
        </w:rPr>
        <w:t xml:space="preserve"> This signifies applying a gender perspective in the investigation and prosecution of cases of violence against women, including violence against trans women, as well as avoiding chronic impunity that sends a message of tolerance and permits a repetition of the facts. The purpose of the treaty is to achieve the eradication of this phenomenon </w:t>
      </w:r>
      <w:r w:rsidR="0026673C" w:rsidRPr="001558A5">
        <w:rPr>
          <w:rFonts w:cs="Verdana"/>
          <w:bCs/>
          <w:szCs w:val="20"/>
          <w:lang w:val="en-US"/>
        </w:rPr>
        <w:t xml:space="preserve">which </w:t>
      </w:r>
      <w:r w:rsidRPr="001558A5">
        <w:rPr>
          <w:rFonts w:cs="Verdana"/>
          <w:bCs/>
          <w:szCs w:val="20"/>
          <w:lang w:val="en-US"/>
        </w:rPr>
        <w:t>is structurally rooted in our societies.</w:t>
      </w:r>
    </w:p>
    <w:p w14:paraId="42D36A3F" w14:textId="5A5ABB30" w:rsidR="00A57594" w:rsidRPr="001558A5" w:rsidRDefault="00441782" w:rsidP="00970D4B">
      <w:pPr>
        <w:widowControl w:val="0"/>
        <w:numPr>
          <w:ilvl w:val="0"/>
          <w:numId w:val="2"/>
        </w:numPr>
        <w:spacing w:before="120" w:after="120"/>
        <w:ind w:left="0" w:firstLine="0"/>
        <w:rPr>
          <w:rFonts w:cs="Verdana"/>
          <w:bCs/>
          <w:szCs w:val="20"/>
          <w:lang w:val="en-US"/>
        </w:rPr>
      </w:pPr>
      <w:r w:rsidRPr="001558A5">
        <w:rPr>
          <w:rFonts w:cs="Verdana"/>
          <w:bCs/>
          <w:szCs w:val="20"/>
          <w:lang w:val="en-US"/>
        </w:rPr>
        <w:t xml:space="preserve">In the preceding sections, the Court has examined the acts of violence </w:t>
      </w:r>
      <w:r w:rsidR="0026673C" w:rsidRPr="001558A5">
        <w:rPr>
          <w:rFonts w:cs="Verdana"/>
          <w:bCs/>
          <w:szCs w:val="20"/>
          <w:lang w:val="en-US"/>
        </w:rPr>
        <w:t xml:space="preserve">against Vicky Hernández </w:t>
      </w:r>
      <w:r w:rsidRPr="001558A5">
        <w:rPr>
          <w:rFonts w:cs="Verdana"/>
          <w:bCs/>
          <w:szCs w:val="20"/>
          <w:lang w:val="en-US"/>
        </w:rPr>
        <w:t xml:space="preserve">and </w:t>
      </w:r>
      <w:r w:rsidR="0026673C" w:rsidRPr="001558A5">
        <w:rPr>
          <w:rFonts w:cs="Verdana"/>
          <w:bCs/>
          <w:szCs w:val="20"/>
          <w:lang w:val="en-US"/>
        </w:rPr>
        <w:t>her</w:t>
      </w:r>
      <w:r w:rsidRPr="001558A5">
        <w:rPr>
          <w:rFonts w:cs="Verdana"/>
          <w:bCs/>
          <w:szCs w:val="20"/>
          <w:lang w:val="en-US"/>
        </w:rPr>
        <w:t xml:space="preserve"> murder </w:t>
      </w:r>
      <w:r w:rsidR="00DD4354" w:rsidRPr="001558A5">
        <w:rPr>
          <w:rFonts w:cs="Verdana"/>
          <w:bCs/>
          <w:szCs w:val="20"/>
          <w:lang w:val="en-US"/>
        </w:rPr>
        <w:t xml:space="preserve">and </w:t>
      </w:r>
      <w:r w:rsidRPr="001558A5">
        <w:rPr>
          <w:rFonts w:cs="Verdana"/>
          <w:bCs/>
          <w:szCs w:val="20"/>
          <w:lang w:val="en-US"/>
        </w:rPr>
        <w:t>concluded that the</w:t>
      </w:r>
      <w:r w:rsidR="00DD4354" w:rsidRPr="001558A5">
        <w:rPr>
          <w:rFonts w:cs="Verdana"/>
          <w:bCs/>
          <w:szCs w:val="20"/>
          <w:lang w:val="en-US"/>
        </w:rPr>
        <w:t xml:space="preserve"> State</w:t>
      </w:r>
      <w:r w:rsidR="00FC4C13" w:rsidRPr="001558A5">
        <w:rPr>
          <w:rFonts w:cs="Verdana"/>
          <w:bCs/>
          <w:szCs w:val="20"/>
          <w:lang w:val="en-US"/>
        </w:rPr>
        <w:t xml:space="preserve"> </w:t>
      </w:r>
      <w:r w:rsidRPr="001558A5">
        <w:rPr>
          <w:rFonts w:cs="Verdana"/>
          <w:bCs/>
          <w:szCs w:val="20"/>
          <w:lang w:val="en-US"/>
        </w:rPr>
        <w:t xml:space="preserve">was responsible for the violation of her rights to life and </w:t>
      </w:r>
      <w:r w:rsidR="00B732DD" w:rsidRPr="001558A5">
        <w:rPr>
          <w:rFonts w:cs="Verdana"/>
          <w:bCs/>
          <w:szCs w:val="20"/>
          <w:lang w:val="en-US"/>
        </w:rPr>
        <w:t>personal integrity</w:t>
      </w:r>
      <w:r w:rsidR="00FC4C13" w:rsidRPr="001558A5">
        <w:rPr>
          <w:rFonts w:cs="Verdana"/>
          <w:bCs/>
          <w:szCs w:val="20"/>
          <w:lang w:val="en-US"/>
        </w:rPr>
        <w:t xml:space="preserve"> (</w:t>
      </w:r>
      <w:r w:rsidR="00FC4C13" w:rsidRPr="001558A5">
        <w:rPr>
          <w:rFonts w:cs="Verdana"/>
          <w:bCs/>
          <w:i/>
          <w:iCs/>
          <w:szCs w:val="20"/>
          <w:lang w:val="en-US"/>
        </w:rPr>
        <w:t>supra</w:t>
      </w:r>
      <w:r w:rsidR="00FC4C13" w:rsidRPr="001558A5">
        <w:rPr>
          <w:rFonts w:cs="Verdana"/>
          <w:bCs/>
          <w:szCs w:val="20"/>
          <w:lang w:val="en-US"/>
        </w:rPr>
        <w:t xml:space="preserve"> </w:t>
      </w:r>
      <w:r w:rsidR="00907FBD" w:rsidRPr="001558A5">
        <w:rPr>
          <w:rFonts w:cs="Verdana"/>
          <w:bCs/>
          <w:szCs w:val="20"/>
          <w:lang w:val="en-US"/>
        </w:rPr>
        <w:t>Chapter</w:t>
      </w:r>
      <w:r w:rsidR="005F09D5" w:rsidRPr="001558A5">
        <w:rPr>
          <w:rFonts w:cs="Verdana"/>
          <w:bCs/>
          <w:szCs w:val="20"/>
          <w:lang w:val="en-US"/>
        </w:rPr>
        <w:t xml:space="preserve"> VII.2.B.B1</w:t>
      </w:r>
      <w:r w:rsidR="00FC4C13" w:rsidRPr="001558A5">
        <w:rPr>
          <w:rFonts w:cs="Verdana"/>
          <w:bCs/>
          <w:szCs w:val="20"/>
          <w:lang w:val="en-US"/>
        </w:rPr>
        <w:t xml:space="preserve">). </w:t>
      </w:r>
      <w:r w:rsidR="00A57594" w:rsidRPr="001558A5">
        <w:rPr>
          <w:rFonts w:cs="Verdana"/>
          <w:bCs/>
          <w:szCs w:val="20"/>
          <w:lang w:val="en-US"/>
        </w:rPr>
        <w:t>It has also considered that there is sufficient evidence to conclude that these facts occurred owing to her gender identity as a trans woman (</w:t>
      </w:r>
      <w:r w:rsidR="00A57594" w:rsidRPr="001558A5">
        <w:rPr>
          <w:rFonts w:cs="Verdana"/>
          <w:bCs/>
          <w:i/>
          <w:iCs/>
          <w:szCs w:val="20"/>
          <w:lang w:val="en-US"/>
        </w:rPr>
        <w:t>supra</w:t>
      </w:r>
      <w:r w:rsidR="00A57594" w:rsidRPr="001558A5">
        <w:rPr>
          <w:rFonts w:cs="Verdana"/>
          <w:bCs/>
          <w:szCs w:val="20"/>
          <w:lang w:val="en-US"/>
        </w:rPr>
        <w:t xml:space="preserve"> para. 112). Furthermore, the Court </w:t>
      </w:r>
      <w:r w:rsidR="0026673C" w:rsidRPr="001558A5">
        <w:rPr>
          <w:rFonts w:cs="Verdana"/>
          <w:bCs/>
          <w:szCs w:val="20"/>
          <w:lang w:val="en-US"/>
        </w:rPr>
        <w:t>underscored</w:t>
      </w:r>
      <w:r w:rsidR="00A57594" w:rsidRPr="001558A5">
        <w:rPr>
          <w:rFonts w:cs="Verdana"/>
          <w:bCs/>
          <w:szCs w:val="20"/>
          <w:lang w:val="en-US"/>
        </w:rPr>
        <w:t xml:space="preserve"> the State’s enhanced obligation to investigate such facts, and also the omissions that occurred owing to the failure to consider the particularities involved in </w:t>
      </w:r>
      <w:r w:rsidR="0026673C" w:rsidRPr="001558A5">
        <w:rPr>
          <w:rFonts w:cs="Verdana"/>
          <w:bCs/>
          <w:szCs w:val="20"/>
          <w:lang w:val="en-US"/>
        </w:rPr>
        <w:t>the</w:t>
      </w:r>
      <w:r w:rsidR="00A57594" w:rsidRPr="001558A5">
        <w:rPr>
          <w:rFonts w:cs="Verdana"/>
          <w:bCs/>
          <w:szCs w:val="20"/>
          <w:lang w:val="en-US"/>
        </w:rPr>
        <w:t xml:space="preserve"> investigation of a crime related to the victim’s gender identity. Moreover, in this case, it was very relevant that Vicky Hernández was a trans woman sex worker living with HIV, and that she carried out activities in defense of the rights of trans women. These characteristics </w:t>
      </w:r>
      <w:r w:rsidR="0026673C" w:rsidRPr="001558A5">
        <w:rPr>
          <w:rFonts w:cs="Verdana"/>
          <w:bCs/>
          <w:szCs w:val="20"/>
          <w:lang w:val="en-US"/>
        </w:rPr>
        <w:t>placed</w:t>
      </w:r>
      <w:r w:rsidR="00A57594" w:rsidRPr="001558A5">
        <w:rPr>
          <w:rFonts w:cs="Verdana"/>
          <w:bCs/>
          <w:szCs w:val="20"/>
          <w:lang w:val="en-US"/>
        </w:rPr>
        <w:t xml:space="preserve"> Vicky Hernández </w:t>
      </w:r>
      <w:r w:rsidR="0026673C" w:rsidRPr="001558A5">
        <w:rPr>
          <w:rFonts w:cs="Verdana"/>
          <w:bCs/>
          <w:szCs w:val="20"/>
          <w:lang w:val="en-US"/>
        </w:rPr>
        <w:t xml:space="preserve">in a </w:t>
      </w:r>
      <w:r w:rsidR="00A57594" w:rsidRPr="001558A5">
        <w:rPr>
          <w:rFonts w:cs="Verdana"/>
          <w:bCs/>
          <w:szCs w:val="20"/>
          <w:lang w:val="en-US"/>
        </w:rPr>
        <w:t xml:space="preserve">particularly vulnerable </w:t>
      </w:r>
      <w:r w:rsidR="0026673C" w:rsidRPr="001558A5">
        <w:rPr>
          <w:rFonts w:cs="Verdana"/>
          <w:bCs/>
          <w:szCs w:val="20"/>
          <w:lang w:val="en-US"/>
        </w:rPr>
        <w:t xml:space="preserve">situation </w:t>
      </w:r>
      <w:r w:rsidR="00A57594" w:rsidRPr="001558A5">
        <w:rPr>
          <w:rFonts w:cs="Verdana"/>
          <w:bCs/>
          <w:szCs w:val="20"/>
          <w:lang w:val="en-US"/>
        </w:rPr>
        <w:t xml:space="preserve">where numerous factors of discrimination converged </w:t>
      </w:r>
      <w:proofErr w:type="spellStart"/>
      <w:r w:rsidR="00A57594" w:rsidRPr="001558A5">
        <w:rPr>
          <w:rFonts w:cs="Verdana"/>
          <w:bCs/>
          <w:szCs w:val="20"/>
          <w:lang w:val="en-US"/>
        </w:rPr>
        <w:t>intersectionally</w:t>
      </w:r>
      <w:proofErr w:type="spellEnd"/>
      <w:r w:rsidR="00A57594" w:rsidRPr="001558A5">
        <w:rPr>
          <w:rFonts w:cs="Verdana"/>
          <w:bCs/>
          <w:szCs w:val="20"/>
          <w:lang w:val="en-US"/>
        </w:rPr>
        <w:t>.</w:t>
      </w:r>
    </w:p>
    <w:p w14:paraId="776D4EFE" w14:textId="74FA43FA" w:rsidR="0039497C" w:rsidRPr="001558A5" w:rsidRDefault="00A57594" w:rsidP="00945CE2">
      <w:pPr>
        <w:widowControl w:val="0"/>
        <w:numPr>
          <w:ilvl w:val="0"/>
          <w:numId w:val="2"/>
        </w:numPr>
        <w:spacing w:before="120" w:after="120"/>
        <w:ind w:left="0" w:firstLine="0"/>
        <w:rPr>
          <w:rFonts w:cs="Verdana"/>
          <w:bCs/>
          <w:szCs w:val="20"/>
          <w:lang w:val="en-US"/>
        </w:rPr>
      </w:pPr>
      <w:r w:rsidRPr="001558A5">
        <w:rPr>
          <w:rFonts w:cs="Verdana"/>
          <w:bCs/>
          <w:szCs w:val="20"/>
          <w:lang w:val="en-US"/>
        </w:rPr>
        <w:t xml:space="preserve">On this basis, interpreting </w:t>
      </w:r>
      <w:r w:rsidR="00871E19" w:rsidRPr="001558A5">
        <w:rPr>
          <w:rFonts w:cstheme="minorHAnsi"/>
          <w:szCs w:val="20"/>
          <w:lang w:val="en-US"/>
        </w:rPr>
        <w:t>Article</w:t>
      </w:r>
      <w:r w:rsidR="00FC4C13" w:rsidRPr="001558A5">
        <w:rPr>
          <w:rFonts w:cstheme="minorHAnsi"/>
          <w:szCs w:val="20"/>
          <w:lang w:val="en-US"/>
        </w:rPr>
        <w:t xml:space="preserve"> 7</w:t>
      </w:r>
      <w:r w:rsidRPr="001558A5">
        <w:rPr>
          <w:rFonts w:cstheme="minorHAnsi"/>
          <w:szCs w:val="20"/>
          <w:lang w:val="en-US"/>
        </w:rPr>
        <w:t xml:space="preserve"> of the</w:t>
      </w:r>
      <w:r w:rsidR="00FC4C13" w:rsidRPr="001558A5">
        <w:rPr>
          <w:rFonts w:cstheme="minorHAnsi"/>
          <w:szCs w:val="20"/>
          <w:lang w:val="en-US"/>
        </w:rPr>
        <w:t xml:space="preserve"> </w:t>
      </w:r>
      <w:r w:rsidR="001164FE" w:rsidRPr="001558A5">
        <w:rPr>
          <w:rFonts w:cstheme="minorHAnsi"/>
          <w:szCs w:val="20"/>
          <w:lang w:val="en-US"/>
        </w:rPr>
        <w:t>Inter-American Convention for the Prevention, Punishment and Eradication of Violence against Women</w:t>
      </w:r>
      <w:r w:rsidRPr="001558A5">
        <w:rPr>
          <w:rFonts w:cstheme="minorHAnsi"/>
          <w:szCs w:val="20"/>
          <w:lang w:val="en-US"/>
        </w:rPr>
        <w:t xml:space="preserve">, together with its </w:t>
      </w:r>
      <w:r w:rsidR="00871E19" w:rsidRPr="001558A5">
        <w:rPr>
          <w:rFonts w:cstheme="minorHAnsi"/>
          <w:szCs w:val="20"/>
          <w:lang w:val="en-US"/>
        </w:rPr>
        <w:t>Article</w:t>
      </w:r>
      <w:r w:rsidR="00FC4C13" w:rsidRPr="001558A5">
        <w:rPr>
          <w:rFonts w:cstheme="minorHAnsi"/>
          <w:szCs w:val="20"/>
          <w:lang w:val="en-US"/>
        </w:rPr>
        <w:t>s 1</w:t>
      </w:r>
      <w:r w:rsidR="00DD4354" w:rsidRPr="001558A5">
        <w:rPr>
          <w:rFonts w:cstheme="minorHAnsi"/>
          <w:szCs w:val="20"/>
          <w:lang w:val="en-US"/>
        </w:rPr>
        <w:t xml:space="preserve"> and </w:t>
      </w:r>
      <w:r w:rsidR="00FC4C13" w:rsidRPr="001558A5">
        <w:rPr>
          <w:rFonts w:cstheme="minorHAnsi"/>
          <w:szCs w:val="20"/>
          <w:lang w:val="en-US"/>
        </w:rPr>
        <w:t xml:space="preserve">9, </w:t>
      </w:r>
      <w:r w:rsidRPr="001558A5">
        <w:rPr>
          <w:rFonts w:cstheme="minorHAnsi"/>
          <w:szCs w:val="20"/>
          <w:lang w:val="en-US"/>
        </w:rPr>
        <w:t xml:space="preserve">the Court finds that the State is also responsible for failing to comply with the obligations </w:t>
      </w:r>
      <w:r w:rsidR="00B732DD" w:rsidRPr="001558A5">
        <w:rPr>
          <w:rFonts w:cstheme="minorHAnsi"/>
          <w:szCs w:val="20"/>
          <w:lang w:val="en-US"/>
        </w:rPr>
        <w:t>established in</w:t>
      </w:r>
      <w:r w:rsidR="00FC4C13" w:rsidRPr="001558A5">
        <w:rPr>
          <w:rFonts w:cstheme="minorHAnsi"/>
          <w:szCs w:val="20"/>
          <w:lang w:val="en-US"/>
        </w:rPr>
        <w:t xml:space="preserve"> </w:t>
      </w:r>
      <w:r w:rsidR="00871E19" w:rsidRPr="001558A5">
        <w:rPr>
          <w:rFonts w:cstheme="minorHAnsi"/>
          <w:szCs w:val="20"/>
          <w:lang w:val="en-US"/>
        </w:rPr>
        <w:t>Article</w:t>
      </w:r>
      <w:r w:rsidR="00FC4C13" w:rsidRPr="001558A5">
        <w:rPr>
          <w:rFonts w:cstheme="minorHAnsi"/>
          <w:szCs w:val="20"/>
          <w:lang w:val="en-US"/>
        </w:rPr>
        <w:t xml:space="preserve"> 7</w:t>
      </w:r>
      <w:r w:rsidRPr="001558A5">
        <w:rPr>
          <w:rFonts w:cstheme="minorHAnsi"/>
          <w:szCs w:val="20"/>
          <w:lang w:val="en-US"/>
        </w:rPr>
        <w:t>(</w:t>
      </w:r>
      <w:r w:rsidR="00FC4C13" w:rsidRPr="001558A5">
        <w:rPr>
          <w:rFonts w:cstheme="minorHAnsi"/>
          <w:szCs w:val="20"/>
          <w:lang w:val="en-US"/>
        </w:rPr>
        <w:t>a</w:t>
      </w:r>
      <w:r w:rsidRPr="001558A5">
        <w:rPr>
          <w:rFonts w:cstheme="minorHAnsi"/>
          <w:szCs w:val="20"/>
          <w:lang w:val="en-US"/>
        </w:rPr>
        <w:t xml:space="preserve">) of this instrument </w:t>
      </w:r>
      <w:r w:rsidR="00B43A52" w:rsidRPr="001558A5">
        <w:rPr>
          <w:rFonts w:cstheme="minorHAnsi"/>
          <w:szCs w:val="20"/>
          <w:lang w:val="en-US"/>
        </w:rPr>
        <w:t>to the detriment of</w:t>
      </w:r>
      <w:r w:rsidR="00FC4C13" w:rsidRPr="001558A5">
        <w:rPr>
          <w:rFonts w:cstheme="minorHAnsi"/>
          <w:szCs w:val="20"/>
          <w:lang w:val="en-US"/>
        </w:rPr>
        <w:t xml:space="preserve"> Vicky Hernández, </w:t>
      </w:r>
      <w:r w:rsidRPr="001558A5">
        <w:rPr>
          <w:rFonts w:cstheme="minorHAnsi"/>
          <w:szCs w:val="20"/>
          <w:lang w:val="en-US"/>
        </w:rPr>
        <w:t xml:space="preserve">as described above in relation to the scope of </w:t>
      </w:r>
      <w:r w:rsidR="009F36EF" w:rsidRPr="001558A5">
        <w:rPr>
          <w:rFonts w:cstheme="minorHAnsi"/>
          <w:szCs w:val="20"/>
          <w:lang w:val="en-US"/>
        </w:rPr>
        <w:t>State</w:t>
      </w:r>
      <w:r w:rsidRPr="001558A5">
        <w:rPr>
          <w:rFonts w:cstheme="minorHAnsi"/>
          <w:szCs w:val="20"/>
          <w:lang w:val="en-US"/>
        </w:rPr>
        <w:t xml:space="preserve"> responsibility for</w:t>
      </w:r>
      <w:r w:rsidR="00FC4C13" w:rsidRPr="001558A5">
        <w:rPr>
          <w:rFonts w:cstheme="minorHAnsi"/>
          <w:szCs w:val="20"/>
          <w:lang w:val="en-US"/>
        </w:rPr>
        <w:t xml:space="preserve"> </w:t>
      </w:r>
      <w:r w:rsidR="00B74256" w:rsidRPr="001558A5">
        <w:rPr>
          <w:rFonts w:cstheme="minorHAnsi"/>
          <w:szCs w:val="20"/>
          <w:lang w:val="en-US"/>
        </w:rPr>
        <w:t>the violation of</w:t>
      </w:r>
      <w:r w:rsidRPr="001558A5">
        <w:rPr>
          <w:rFonts w:cstheme="minorHAnsi"/>
          <w:szCs w:val="20"/>
          <w:lang w:val="en-US"/>
        </w:rPr>
        <w:t xml:space="preserve"> the right to life </w:t>
      </w:r>
      <w:r w:rsidR="00FC4C13" w:rsidRPr="001558A5">
        <w:rPr>
          <w:rFonts w:cstheme="minorHAnsi"/>
          <w:szCs w:val="20"/>
          <w:lang w:val="en-US"/>
        </w:rPr>
        <w:t>(</w:t>
      </w:r>
      <w:r w:rsidR="00FC4C13" w:rsidRPr="001558A5">
        <w:rPr>
          <w:rFonts w:cstheme="minorHAnsi"/>
          <w:i/>
          <w:szCs w:val="20"/>
          <w:lang w:val="en-US"/>
        </w:rPr>
        <w:t>supra</w:t>
      </w:r>
      <w:r w:rsidR="00FC4C13" w:rsidRPr="001558A5">
        <w:rPr>
          <w:rFonts w:cstheme="minorHAnsi"/>
          <w:szCs w:val="20"/>
          <w:lang w:val="en-US"/>
        </w:rPr>
        <w:t xml:space="preserve"> </w:t>
      </w:r>
      <w:r w:rsidR="00675A99" w:rsidRPr="001558A5">
        <w:rPr>
          <w:rFonts w:cstheme="minorHAnsi"/>
          <w:szCs w:val="20"/>
          <w:lang w:val="en-US"/>
        </w:rPr>
        <w:t>paras.</w:t>
      </w:r>
      <w:r w:rsidR="00FC4C13" w:rsidRPr="001558A5">
        <w:rPr>
          <w:rFonts w:cstheme="minorHAnsi"/>
          <w:szCs w:val="20"/>
          <w:lang w:val="en-US"/>
        </w:rPr>
        <w:t xml:space="preserve"> 101</w:t>
      </w:r>
      <w:r w:rsidR="00DD4354" w:rsidRPr="001558A5">
        <w:rPr>
          <w:rFonts w:cstheme="minorHAnsi"/>
          <w:szCs w:val="20"/>
          <w:lang w:val="en-US"/>
        </w:rPr>
        <w:t xml:space="preserve"> and </w:t>
      </w:r>
      <w:r w:rsidR="00FC4C13" w:rsidRPr="001558A5">
        <w:rPr>
          <w:rFonts w:cstheme="minorHAnsi"/>
          <w:szCs w:val="20"/>
          <w:lang w:val="en-US"/>
        </w:rPr>
        <w:t>102),</w:t>
      </w:r>
      <w:r w:rsidR="00DD4354" w:rsidRPr="001558A5">
        <w:rPr>
          <w:rFonts w:cstheme="minorHAnsi"/>
          <w:szCs w:val="20"/>
          <w:lang w:val="en-US"/>
        </w:rPr>
        <w:t xml:space="preserve"> and </w:t>
      </w:r>
      <w:r w:rsidRPr="001558A5">
        <w:rPr>
          <w:rFonts w:cstheme="minorHAnsi"/>
          <w:szCs w:val="20"/>
          <w:lang w:val="en-US"/>
        </w:rPr>
        <w:t>in</w:t>
      </w:r>
      <w:r w:rsidR="009D1197" w:rsidRPr="001558A5">
        <w:rPr>
          <w:rFonts w:cstheme="minorHAnsi"/>
          <w:szCs w:val="20"/>
          <w:lang w:val="en-US"/>
        </w:rPr>
        <w:t xml:space="preserve"> </w:t>
      </w:r>
      <w:r w:rsidR="00871E19" w:rsidRPr="001558A5">
        <w:rPr>
          <w:rFonts w:cstheme="minorHAnsi"/>
          <w:szCs w:val="20"/>
          <w:lang w:val="en-US"/>
        </w:rPr>
        <w:t>Article</w:t>
      </w:r>
      <w:r w:rsidR="00FC4C13" w:rsidRPr="001558A5">
        <w:rPr>
          <w:rFonts w:cstheme="minorHAnsi"/>
          <w:szCs w:val="20"/>
          <w:lang w:val="en-US"/>
        </w:rPr>
        <w:t xml:space="preserve"> 7</w:t>
      </w:r>
      <w:r w:rsidRPr="001558A5">
        <w:rPr>
          <w:rFonts w:cstheme="minorHAnsi"/>
          <w:szCs w:val="20"/>
          <w:lang w:val="en-US"/>
        </w:rPr>
        <w:t>(</w:t>
      </w:r>
      <w:r w:rsidR="00FC4C13" w:rsidRPr="001558A5">
        <w:rPr>
          <w:rFonts w:cstheme="minorHAnsi"/>
          <w:szCs w:val="20"/>
          <w:lang w:val="en-US"/>
        </w:rPr>
        <w:t>b</w:t>
      </w:r>
      <w:r w:rsidRPr="001558A5">
        <w:rPr>
          <w:rFonts w:cstheme="minorHAnsi"/>
          <w:szCs w:val="20"/>
          <w:lang w:val="en-US"/>
        </w:rPr>
        <w:t>)</w:t>
      </w:r>
      <w:r w:rsidR="00FC4C13" w:rsidRPr="001558A5">
        <w:rPr>
          <w:rFonts w:cstheme="minorHAnsi"/>
          <w:szCs w:val="20"/>
          <w:lang w:val="en-US"/>
        </w:rPr>
        <w:t xml:space="preserve"> </w:t>
      </w:r>
      <w:r w:rsidR="00C43A37" w:rsidRPr="001558A5">
        <w:rPr>
          <w:rFonts w:cstheme="minorHAnsi"/>
          <w:szCs w:val="20"/>
          <w:lang w:val="en-US"/>
        </w:rPr>
        <w:t>of this instrument</w:t>
      </w:r>
      <w:r w:rsidR="00FC4C13" w:rsidRPr="001558A5">
        <w:rPr>
          <w:rFonts w:cstheme="minorHAnsi"/>
          <w:szCs w:val="20"/>
          <w:lang w:val="en-US"/>
        </w:rPr>
        <w:t xml:space="preserve">, </w:t>
      </w:r>
      <w:r w:rsidR="00B43A52" w:rsidRPr="001558A5">
        <w:rPr>
          <w:rFonts w:cstheme="minorHAnsi"/>
          <w:szCs w:val="20"/>
          <w:lang w:val="en-US"/>
        </w:rPr>
        <w:t>to the detriment of</w:t>
      </w:r>
      <w:r w:rsidR="00FC4C13" w:rsidRPr="001558A5">
        <w:rPr>
          <w:rFonts w:cstheme="minorHAnsi"/>
          <w:szCs w:val="20"/>
          <w:lang w:val="en-US"/>
        </w:rPr>
        <w:t xml:space="preserve"> Vicky Hernández</w:t>
      </w:r>
      <w:r w:rsidRPr="001558A5">
        <w:rPr>
          <w:rFonts w:cstheme="minorHAnsi"/>
          <w:szCs w:val="20"/>
          <w:lang w:val="en-US"/>
        </w:rPr>
        <w:t>’s family, for failing to investigate adequate</w:t>
      </w:r>
      <w:r w:rsidR="0026673C" w:rsidRPr="001558A5">
        <w:rPr>
          <w:rFonts w:cstheme="minorHAnsi"/>
          <w:szCs w:val="20"/>
          <w:lang w:val="en-US"/>
        </w:rPr>
        <w:t>ly,</w:t>
      </w:r>
      <w:r w:rsidRPr="001558A5">
        <w:rPr>
          <w:rFonts w:cstheme="minorHAnsi"/>
          <w:szCs w:val="20"/>
          <w:lang w:val="en-US"/>
        </w:rPr>
        <w:t xml:space="preserve"> with the required strict </w:t>
      </w:r>
      <w:r w:rsidR="00B3320F" w:rsidRPr="001558A5">
        <w:rPr>
          <w:rFonts w:cstheme="minorHAnsi"/>
          <w:szCs w:val="20"/>
          <w:lang w:val="en-US"/>
        </w:rPr>
        <w:t>due diligence</w:t>
      </w:r>
      <w:r w:rsidR="00FC4C13" w:rsidRPr="001558A5">
        <w:rPr>
          <w:rFonts w:cstheme="minorHAnsi"/>
          <w:szCs w:val="20"/>
          <w:lang w:val="en-US"/>
        </w:rPr>
        <w:t xml:space="preserve"> </w:t>
      </w:r>
      <w:r w:rsidRPr="001558A5">
        <w:rPr>
          <w:rFonts w:cstheme="minorHAnsi"/>
          <w:szCs w:val="20"/>
          <w:lang w:val="en-US"/>
        </w:rPr>
        <w:t>and free of gender stereotyp</w:t>
      </w:r>
      <w:r w:rsidR="0026673C" w:rsidRPr="001558A5">
        <w:rPr>
          <w:rFonts w:cstheme="minorHAnsi"/>
          <w:szCs w:val="20"/>
          <w:lang w:val="en-US"/>
        </w:rPr>
        <w:t>ing</w:t>
      </w:r>
      <w:r w:rsidRPr="001558A5">
        <w:rPr>
          <w:rFonts w:cstheme="minorHAnsi"/>
          <w:szCs w:val="20"/>
          <w:lang w:val="en-US"/>
        </w:rPr>
        <w:t>, the events that led to her death.</w:t>
      </w:r>
    </w:p>
    <w:p w14:paraId="14158110" w14:textId="2F980601" w:rsidR="00957115" w:rsidRPr="001558A5" w:rsidRDefault="00957115" w:rsidP="00945CE2">
      <w:pPr>
        <w:pStyle w:val="Ttulo1"/>
        <w:ind w:firstLine="6"/>
        <w:rPr>
          <w:rFonts w:eastAsia="Batang"/>
          <w:bCs w:val="0"/>
          <w:caps w:val="0"/>
          <w:snapToGrid/>
          <w:lang w:val="en-US"/>
        </w:rPr>
      </w:pPr>
      <w:bookmarkStart w:id="103" w:name="_Toc73430060"/>
      <w:bookmarkEnd w:id="92"/>
      <w:r w:rsidRPr="001558A5">
        <w:rPr>
          <w:caps w:val="0"/>
          <w:lang w:val="en-US"/>
        </w:rPr>
        <w:t>VII.</w:t>
      </w:r>
      <w:r w:rsidR="004D3638" w:rsidRPr="001558A5">
        <w:rPr>
          <w:caps w:val="0"/>
          <w:lang w:val="en-US"/>
        </w:rPr>
        <w:t>3</w:t>
      </w:r>
      <w:r w:rsidRPr="001558A5">
        <w:rPr>
          <w:caps w:val="0"/>
          <w:color w:val="FFFFFF" w:themeColor="background1"/>
          <w:lang w:val="en-US"/>
        </w:rPr>
        <w:t>.</w:t>
      </w:r>
      <w:r w:rsidRPr="001558A5">
        <w:rPr>
          <w:b w:val="0"/>
          <w:caps w:val="0"/>
          <w:lang w:val="en-US"/>
        </w:rPr>
        <w:br/>
      </w:r>
      <w:r w:rsidR="00A57594" w:rsidRPr="001558A5">
        <w:rPr>
          <w:rStyle w:val="Ttulo1Car"/>
          <w:rFonts w:eastAsia="Batang"/>
          <w:b/>
          <w:noProof w:val="0"/>
          <w:lang w:val="en-US"/>
        </w:rPr>
        <w:t>RIGHT TO</w:t>
      </w:r>
      <w:r w:rsidRPr="001558A5">
        <w:rPr>
          <w:rStyle w:val="Ttulo1Car"/>
          <w:rFonts w:eastAsia="Batang"/>
          <w:b/>
          <w:noProof w:val="0"/>
          <w:lang w:val="en-US"/>
        </w:rPr>
        <w:t xml:space="preserve"> </w:t>
      </w:r>
      <w:r w:rsidR="00B732DD" w:rsidRPr="001558A5">
        <w:rPr>
          <w:rStyle w:val="Ttulo1Car"/>
          <w:rFonts w:eastAsia="Batang"/>
          <w:b/>
          <w:noProof w:val="0"/>
          <w:lang w:val="en-US"/>
        </w:rPr>
        <w:t>PERSONAL INTEGRITY</w:t>
      </w:r>
      <w:r w:rsidR="00DE23C8" w:rsidRPr="001558A5">
        <w:rPr>
          <w:rStyle w:val="Refdenotaalpie"/>
          <w:rFonts w:eastAsia="Batang"/>
          <w:bCs w:val="0"/>
          <w:caps w:val="0"/>
          <w:snapToGrid/>
          <w:lang w:val="en-US"/>
        </w:rPr>
        <w:footnoteReference w:id="156"/>
      </w:r>
      <w:r w:rsidRPr="001558A5">
        <w:rPr>
          <w:rStyle w:val="Ttulo1Car"/>
          <w:rFonts w:eastAsia="Batang"/>
          <w:b/>
          <w:noProof w:val="0"/>
          <w:lang w:val="en-US"/>
        </w:rPr>
        <w:t xml:space="preserve"> </w:t>
      </w:r>
      <w:r w:rsidR="00433B75" w:rsidRPr="001558A5">
        <w:rPr>
          <w:rStyle w:val="Ttulo1Car"/>
          <w:rFonts w:eastAsia="Batang"/>
          <w:b/>
          <w:noProof w:val="0"/>
          <w:lang w:val="en-US"/>
        </w:rPr>
        <w:t>OF VICKY HERNÁNDEZ’S FAMILY</w:t>
      </w:r>
      <w:bookmarkEnd w:id="103"/>
      <w:r w:rsidRPr="001558A5">
        <w:rPr>
          <w:rStyle w:val="Ttulo1Car"/>
          <w:rFonts w:eastAsia="Batang"/>
          <w:b/>
          <w:noProof w:val="0"/>
          <w:lang w:val="en-US"/>
        </w:rPr>
        <w:t xml:space="preserve"> </w:t>
      </w:r>
    </w:p>
    <w:p w14:paraId="18050175" w14:textId="5588496D" w:rsidR="00957115" w:rsidRPr="001558A5" w:rsidRDefault="00CC521A" w:rsidP="00945CE2">
      <w:pPr>
        <w:pStyle w:val="Ttulo2"/>
        <w:numPr>
          <w:ilvl w:val="0"/>
          <w:numId w:val="28"/>
        </w:numPr>
        <w:spacing w:before="240" w:after="240"/>
        <w:rPr>
          <w:rFonts w:ascii="Verdana" w:hAnsi="Verdana"/>
          <w:i/>
          <w:color w:val="auto"/>
          <w:sz w:val="20"/>
          <w:szCs w:val="20"/>
          <w:lang w:val="en-US"/>
        </w:rPr>
      </w:pPr>
      <w:r w:rsidRPr="001558A5">
        <w:rPr>
          <w:rFonts w:ascii="Verdana" w:hAnsi="Verdana"/>
          <w:i/>
          <w:color w:val="auto"/>
          <w:sz w:val="20"/>
          <w:szCs w:val="20"/>
          <w:lang w:val="en-US"/>
        </w:rPr>
        <w:t>Arguments of the parties and the Commission</w:t>
      </w:r>
    </w:p>
    <w:p w14:paraId="4375D34C" w14:textId="46BCBC6F" w:rsidR="00957115" w:rsidRPr="001558A5" w:rsidRDefault="00871E19" w:rsidP="00B35DE5">
      <w:pPr>
        <w:widowControl w:val="0"/>
        <w:numPr>
          <w:ilvl w:val="0"/>
          <w:numId w:val="2"/>
        </w:numPr>
        <w:spacing w:before="120" w:after="120"/>
        <w:ind w:left="0" w:firstLine="0"/>
        <w:rPr>
          <w:rFonts w:eastAsia="Calibri" w:cs="Arial"/>
          <w:szCs w:val="20"/>
          <w:lang w:val="en-US" w:eastAsia="es-CR"/>
        </w:rPr>
      </w:pPr>
      <w:r w:rsidRPr="001558A5">
        <w:rPr>
          <w:rFonts w:eastAsia="Calibri" w:cs="Arial"/>
          <w:szCs w:val="20"/>
          <w:lang w:val="en-US" w:eastAsia="es-CR"/>
        </w:rPr>
        <w:t xml:space="preserve">The </w:t>
      </w:r>
      <w:r w:rsidRPr="001558A5">
        <w:rPr>
          <w:rFonts w:eastAsia="Calibri" w:cs="Arial"/>
          <w:b/>
          <w:bCs/>
          <w:i/>
          <w:iCs/>
          <w:szCs w:val="20"/>
          <w:lang w:val="en-US" w:eastAsia="es-CR"/>
        </w:rPr>
        <w:t>Commission</w:t>
      </w:r>
      <w:r w:rsidR="00957115" w:rsidRPr="001558A5">
        <w:rPr>
          <w:rFonts w:eastAsia="Calibri" w:cs="Arial"/>
          <w:b/>
          <w:i/>
          <w:szCs w:val="20"/>
          <w:lang w:val="en-US" w:eastAsia="es-CR"/>
        </w:rPr>
        <w:t xml:space="preserve"> </w:t>
      </w:r>
      <w:r w:rsidR="00B35DE5" w:rsidRPr="001558A5">
        <w:rPr>
          <w:rFonts w:eastAsia="Calibri" w:cs="Arial"/>
          <w:szCs w:val="20"/>
          <w:lang w:val="en-US" w:eastAsia="es-CR"/>
        </w:rPr>
        <w:t xml:space="preserve">argued that both the loss of a loved one and the gravity of the </w:t>
      </w:r>
      <w:r w:rsidR="0026673C" w:rsidRPr="001558A5">
        <w:rPr>
          <w:rFonts w:eastAsia="Calibri" w:cs="Arial"/>
          <w:szCs w:val="20"/>
          <w:lang w:val="en-US" w:eastAsia="es-CR"/>
        </w:rPr>
        <w:t xml:space="preserve">events </w:t>
      </w:r>
      <w:r w:rsidR="00617420" w:rsidRPr="001558A5">
        <w:rPr>
          <w:rFonts w:eastAsia="Calibri" w:cs="Arial"/>
          <w:szCs w:val="20"/>
          <w:lang w:val="en-US" w:eastAsia="es-CR"/>
        </w:rPr>
        <w:t>that occurred, added to the failure to clarify the facts and the absence of an adequate and prompt judicial response, gave rise to effects that exceed</w:t>
      </w:r>
      <w:r w:rsidR="0026673C" w:rsidRPr="001558A5">
        <w:rPr>
          <w:rFonts w:eastAsia="Calibri" w:cs="Arial"/>
          <w:szCs w:val="20"/>
          <w:lang w:val="en-US" w:eastAsia="es-CR"/>
        </w:rPr>
        <w:t>ed</w:t>
      </w:r>
      <w:r w:rsidR="00617420" w:rsidRPr="001558A5">
        <w:rPr>
          <w:rFonts w:eastAsia="Calibri" w:cs="Arial"/>
          <w:szCs w:val="20"/>
          <w:lang w:val="en-US" w:eastAsia="es-CR"/>
        </w:rPr>
        <w:t xml:space="preserve"> the direct victim, and extended to the members of her family. Consequently, it considered that the State had violated the right to mental and moral integrity established in </w:t>
      </w:r>
      <w:r w:rsidRPr="001558A5">
        <w:rPr>
          <w:rFonts w:eastAsia="Calibri" w:cs="Arial"/>
          <w:szCs w:val="20"/>
          <w:lang w:val="en-US" w:eastAsia="es-CR"/>
        </w:rPr>
        <w:t>Article</w:t>
      </w:r>
      <w:r w:rsidR="00957115" w:rsidRPr="001558A5">
        <w:rPr>
          <w:rFonts w:eastAsia="Calibri" w:cs="Arial"/>
          <w:szCs w:val="20"/>
          <w:lang w:val="en-US" w:eastAsia="es-CR"/>
        </w:rPr>
        <w:t xml:space="preserve"> </w:t>
      </w:r>
      <w:r w:rsidR="00B732DD" w:rsidRPr="001558A5">
        <w:rPr>
          <w:rFonts w:eastAsia="Calibri" w:cs="Arial"/>
          <w:szCs w:val="20"/>
          <w:lang w:val="en-US" w:eastAsia="es-CR"/>
        </w:rPr>
        <w:t>5(1)</w:t>
      </w:r>
      <w:r w:rsidR="00DD4354" w:rsidRPr="001558A5">
        <w:rPr>
          <w:rFonts w:eastAsia="Calibri" w:cs="Arial"/>
          <w:szCs w:val="20"/>
          <w:lang w:val="en-US" w:eastAsia="es-CR"/>
        </w:rPr>
        <w:t xml:space="preserve"> of the </w:t>
      </w:r>
      <w:r w:rsidRPr="001558A5">
        <w:rPr>
          <w:rFonts w:eastAsia="Calibri" w:cs="Arial"/>
          <w:szCs w:val="20"/>
          <w:lang w:val="en-US" w:eastAsia="es-CR"/>
        </w:rPr>
        <w:t>Convention</w:t>
      </w:r>
      <w:r w:rsidR="00957115" w:rsidRPr="001558A5">
        <w:rPr>
          <w:rFonts w:eastAsia="Calibri" w:cs="Arial"/>
          <w:szCs w:val="20"/>
          <w:lang w:val="en-US" w:eastAsia="es-CR"/>
        </w:rPr>
        <w:t xml:space="preserve">, </w:t>
      </w:r>
      <w:r w:rsidR="00B43A52" w:rsidRPr="001558A5">
        <w:rPr>
          <w:rFonts w:eastAsia="Calibri" w:cs="Arial"/>
          <w:szCs w:val="20"/>
          <w:lang w:val="en-US" w:eastAsia="es-CR"/>
        </w:rPr>
        <w:t>to the detriment of</w:t>
      </w:r>
      <w:r w:rsidR="0026673C" w:rsidRPr="001558A5">
        <w:rPr>
          <w:rFonts w:eastAsia="Calibri" w:cs="Arial"/>
          <w:szCs w:val="20"/>
          <w:lang w:val="en-US" w:eastAsia="es-CR"/>
        </w:rPr>
        <w:t xml:space="preserve"> the members of</w:t>
      </w:r>
      <w:r w:rsidR="00957115" w:rsidRPr="001558A5">
        <w:rPr>
          <w:rFonts w:eastAsia="Calibri" w:cs="Arial"/>
          <w:szCs w:val="20"/>
          <w:lang w:val="en-US" w:eastAsia="es-CR"/>
        </w:rPr>
        <w:t xml:space="preserve"> Vicky Hernández</w:t>
      </w:r>
      <w:r w:rsidR="00617420" w:rsidRPr="001558A5">
        <w:rPr>
          <w:rFonts w:eastAsia="Calibri" w:cs="Arial"/>
          <w:szCs w:val="20"/>
          <w:lang w:val="en-US" w:eastAsia="es-CR"/>
        </w:rPr>
        <w:t>’s family</w:t>
      </w:r>
      <w:r w:rsidR="00957115" w:rsidRPr="001558A5">
        <w:rPr>
          <w:rFonts w:eastAsia="Calibri" w:cs="Arial"/>
          <w:szCs w:val="20"/>
          <w:lang w:val="en-US" w:eastAsia="es-CR"/>
        </w:rPr>
        <w:t xml:space="preserve">. </w:t>
      </w:r>
      <w:r w:rsidR="00957115" w:rsidRPr="001558A5">
        <w:rPr>
          <w:rFonts w:eastAsia="Calibri" w:cs="Arial"/>
          <w:szCs w:val="20"/>
          <w:lang w:val="en-US" w:eastAsia="es-CR"/>
        </w:rPr>
        <w:tab/>
      </w:r>
    </w:p>
    <w:p w14:paraId="1A37F4C9" w14:textId="73867967" w:rsidR="00957115" w:rsidRPr="001558A5" w:rsidRDefault="00DD4354" w:rsidP="00945CE2">
      <w:pPr>
        <w:widowControl w:val="0"/>
        <w:numPr>
          <w:ilvl w:val="0"/>
          <w:numId w:val="2"/>
        </w:numPr>
        <w:spacing w:before="120" w:after="120"/>
        <w:ind w:left="0" w:firstLine="0"/>
        <w:rPr>
          <w:rFonts w:eastAsia="Calibri" w:cs="Arial"/>
          <w:szCs w:val="20"/>
          <w:lang w:val="en-US" w:eastAsia="es-CR"/>
        </w:rPr>
      </w:pPr>
      <w:r w:rsidRPr="001558A5">
        <w:rPr>
          <w:rFonts w:eastAsia="Calibri" w:cs="Arial"/>
          <w:szCs w:val="20"/>
          <w:lang w:val="en-US" w:eastAsia="es-CR"/>
        </w:rPr>
        <w:t xml:space="preserve">The </w:t>
      </w:r>
      <w:r w:rsidRPr="001558A5">
        <w:rPr>
          <w:rFonts w:eastAsia="Calibri" w:cs="Arial"/>
          <w:b/>
          <w:bCs/>
          <w:i/>
          <w:iCs/>
          <w:szCs w:val="20"/>
          <w:lang w:val="en-US" w:eastAsia="es-CR"/>
        </w:rPr>
        <w:t>representatives</w:t>
      </w:r>
      <w:r w:rsidR="00957115" w:rsidRPr="001558A5">
        <w:rPr>
          <w:rFonts w:eastAsia="Calibri" w:cs="Arial"/>
          <w:szCs w:val="20"/>
          <w:lang w:val="en-US" w:eastAsia="es-CR"/>
        </w:rPr>
        <w:t xml:space="preserve"> a</w:t>
      </w:r>
      <w:r w:rsidR="00617420" w:rsidRPr="001558A5">
        <w:rPr>
          <w:rFonts w:eastAsia="Calibri" w:cs="Arial"/>
          <w:szCs w:val="20"/>
          <w:lang w:val="en-US" w:eastAsia="es-CR"/>
        </w:rPr>
        <w:t>dded to this that, in the instant case, the family of</w:t>
      </w:r>
      <w:r w:rsidR="00957115" w:rsidRPr="001558A5">
        <w:rPr>
          <w:rFonts w:eastAsia="Calibri" w:cs="Arial"/>
          <w:szCs w:val="20"/>
          <w:lang w:val="en-US" w:eastAsia="es-CR"/>
        </w:rPr>
        <w:t xml:space="preserve"> Vicky Hernández ha</w:t>
      </w:r>
      <w:r w:rsidR="00617420" w:rsidRPr="001558A5">
        <w:rPr>
          <w:rFonts w:eastAsia="Calibri" w:cs="Arial"/>
          <w:szCs w:val="20"/>
          <w:lang w:val="en-US" w:eastAsia="es-CR"/>
        </w:rPr>
        <w:t>d experienced profound suffering owing to the death of their loved one, as well as to the impunity in which the facts remain</w:t>
      </w:r>
      <w:r w:rsidR="0026673C" w:rsidRPr="001558A5">
        <w:rPr>
          <w:rFonts w:eastAsia="Calibri" w:cs="Arial"/>
          <w:szCs w:val="20"/>
          <w:lang w:val="en-US" w:eastAsia="es-CR"/>
        </w:rPr>
        <w:t>ed</w:t>
      </w:r>
      <w:r w:rsidR="00617420" w:rsidRPr="001558A5">
        <w:rPr>
          <w:rFonts w:eastAsia="Calibri" w:cs="Arial"/>
          <w:szCs w:val="20"/>
          <w:lang w:val="en-US" w:eastAsia="es-CR"/>
        </w:rPr>
        <w:t xml:space="preserve">. In addition, they indicated that the death of </w:t>
      </w:r>
      <w:r w:rsidR="00957115" w:rsidRPr="001558A5">
        <w:rPr>
          <w:rFonts w:eastAsia="Calibri" w:cs="Arial"/>
          <w:szCs w:val="20"/>
          <w:lang w:val="en-US" w:eastAsia="es-CR"/>
        </w:rPr>
        <w:t xml:space="preserve"> Vicky </w:t>
      </w:r>
      <w:r w:rsidR="002666DF" w:rsidRPr="001558A5">
        <w:rPr>
          <w:rFonts w:eastAsia="Calibri" w:cs="Arial"/>
          <w:szCs w:val="20"/>
          <w:lang w:val="en-US" w:eastAsia="es-CR"/>
        </w:rPr>
        <w:t xml:space="preserve">Hernández </w:t>
      </w:r>
      <w:r w:rsidR="00617420" w:rsidRPr="001558A5">
        <w:rPr>
          <w:rFonts w:eastAsia="Calibri" w:cs="Arial"/>
          <w:szCs w:val="20"/>
          <w:lang w:val="en-US" w:eastAsia="es-CR"/>
        </w:rPr>
        <w:t xml:space="preserve">aggravated the already difficult financial situation of the family. Lastly, they also mentioned that the family’s </w:t>
      </w:r>
      <w:r w:rsidR="00B732DD" w:rsidRPr="001558A5">
        <w:rPr>
          <w:rFonts w:eastAsia="Calibri" w:cs="Arial"/>
          <w:szCs w:val="20"/>
          <w:lang w:val="en-US" w:eastAsia="es-CR"/>
        </w:rPr>
        <w:t>personal integrity</w:t>
      </w:r>
      <w:r w:rsidR="00957115" w:rsidRPr="001558A5">
        <w:rPr>
          <w:rFonts w:eastAsia="Calibri" w:cs="Arial"/>
          <w:szCs w:val="20"/>
          <w:lang w:val="en-US" w:eastAsia="es-CR"/>
        </w:rPr>
        <w:t xml:space="preserve"> </w:t>
      </w:r>
      <w:r w:rsidR="00617420" w:rsidRPr="001558A5">
        <w:rPr>
          <w:rFonts w:eastAsia="Calibri" w:cs="Arial"/>
          <w:szCs w:val="20"/>
          <w:lang w:val="en-US" w:eastAsia="es-CR"/>
        </w:rPr>
        <w:t xml:space="preserve">had been </w:t>
      </w:r>
      <w:r w:rsidR="0026673C" w:rsidRPr="001558A5">
        <w:rPr>
          <w:rFonts w:eastAsia="Calibri" w:cs="Arial"/>
          <w:szCs w:val="20"/>
          <w:lang w:val="en-US" w:eastAsia="es-CR"/>
        </w:rPr>
        <w:t>violated</w:t>
      </w:r>
      <w:r w:rsidR="00617420" w:rsidRPr="001558A5">
        <w:rPr>
          <w:rFonts w:eastAsia="Calibri" w:cs="Arial"/>
          <w:szCs w:val="20"/>
          <w:lang w:val="en-US" w:eastAsia="es-CR"/>
        </w:rPr>
        <w:t xml:space="preserve"> by the authorities’ lack of respect </w:t>
      </w:r>
      <w:r w:rsidR="0026673C" w:rsidRPr="001558A5">
        <w:rPr>
          <w:rFonts w:eastAsia="Calibri" w:cs="Arial"/>
          <w:szCs w:val="20"/>
          <w:lang w:val="en-US" w:eastAsia="es-CR"/>
        </w:rPr>
        <w:t>with regard to</w:t>
      </w:r>
      <w:r w:rsidR="00617420" w:rsidRPr="001558A5">
        <w:rPr>
          <w:rFonts w:eastAsia="Calibri" w:cs="Arial"/>
          <w:szCs w:val="20"/>
          <w:lang w:val="en-US" w:eastAsia="es-CR"/>
        </w:rPr>
        <w:t xml:space="preserve"> everything related to Vicky’s case.</w:t>
      </w:r>
    </w:p>
    <w:p w14:paraId="4688A1F7" w14:textId="73B6AC64" w:rsidR="00957115" w:rsidRPr="001558A5" w:rsidRDefault="00DD4354" w:rsidP="00617420">
      <w:pPr>
        <w:widowControl w:val="0"/>
        <w:numPr>
          <w:ilvl w:val="0"/>
          <w:numId w:val="2"/>
        </w:numPr>
        <w:spacing w:before="120" w:after="120"/>
        <w:ind w:left="0" w:firstLine="0"/>
        <w:rPr>
          <w:spacing w:val="1"/>
          <w:lang w:val="en-US"/>
        </w:rPr>
      </w:pPr>
      <w:r w:rsidRPr="001558A5">
        <w:rPr>
          <w:rFonts w:eastAsia="Calibri" w:cs="Arial"/>
          <w:szCs w:val="20"/>
          <w:lang w:val="en-US" w:eastAsia="es-CR"/>
        </w:rPr>
        <w:t xml:space="preserve">The </w:t>
      </w:r>
      <w:r w:rsidRPr="001558A5">
        <w:rPr>
          <w:rFonts w:eastAsia="Calibri" w:cs="Arial"/>
          <w:b/>
          <w:bCs/>
          <w:i/>
          <w:iCs/>
          <w:szCs w:val="20"/>
          <w:lang w:val="en-US" w:eastAsia="es-CR"/>
        </w:rPr>
        <w:t>State</w:t>
      </w:r>
      <w:r w:rsidR="00957115" w:rsidRPr="001558A5">
        <w:rPr>
          <w:rFonts w:eastAsia="Calibri" w:cs="Arial"/>
          <w:b/>
          <w:i/>
          <w:szCs w:val="20"/>
          <w:lang w:val="en-US" w:eastAsia="es-CR"/>
        </w:rPr>
        <w:t xml:space="preserve"> </w:t>
      </w:r>
      <w:r w:rsidR="00617420" w:rsidRPr="001558A5">
        <w:rPr>
          <w:rFonts w:eastAsia="Calibri" w:cs="Arial"/>
          <w:szCs w:val="20"/>
          <w:lang w:val="en-US" w:eastAsia="es-CR"/>
        </w:rPr>
        <w:t>argued that it was</w:t>
      </w:r>
      <w:r w:rsidR="00311437" w:rsidRPr="001558A5">
        <w:rPr>
          <w:rFonts w:eastAsia="Calibri" w:cs="Arial"/>
          <w:szCs w:val="20"/>
          <w:lang w:val="en-US" w:eastAsia="es-CR"/>
        </w:rPr>
        <w:t xml:space="preserve"> “</w:t>
      </w:r>
      <w:r w:rsidR="00617420" w:rsidRPr="001558A5">
        <w:rPr>
          <w:rFonts w:eastAsia="Calibri" w:cs="Arial"/>
          <w:szCs w:val="20"/>
          <w:lang w:val="en-US" w:eastAsia="es-CR"/>
        </w:rPr>
        <w:t xml:space="preserve">evident that the incident in which Vicky Hernández lost her life could not have had a direct </w:t>
      </w:r>
      <w:r w:rsidR="00F053EE" w:rsidRPr="001558A5">
        <w:rPr>
          <w:rFonts w:eastAsia="Calibri" w:cs="Arial"/>
          <w:szCs w:val="20"/>
          <w:lang w:val="en-US" w:eastAsia="es-CR"/>
        </w:rPr>
        <w:t>effect</w:t>
      </w:r>
      <w:r w:rsidR="00617420" w:rsidRPr="001558A5">
        <w:rPr>
          <w:rFonts w:eastAsia="Calibri" w:cs="Arial"/>
          <w:szCs w:val="20"/>
          <w:lang w:val="en-US" w:eastAsia="es-CR"/>
        </w:rPr>
        <w:t xml:space="preserve"> on her family and the arguments regarding the personal integrity of the family members was not logical.” Therefore, it indicated that it was not admissible for the Court to recognize the alleged effects on</w:t>
      </w:r>
      <w:r w:rsidR="00A57594" w:rsidRPr="001558A5">
        <w:rPr>
          <w:rFonts w:eastAsia="Calibri" w:cs="Arial"/>
          <w:szCs w:val="20"/>
          <w:lang w:val="en-US" w:eastAsia="es-CR"/>
        </w:rPr>
        <w:t xml:space="preserve"> Vicky Hernández’s family. </w:t>
      </w:r>
    </w:p>
    <w:p w14:paraId="64865898" w14:textId="29E9A6B4" w:rsidR="00957115" w:rsidRPr="001558A5" w:rsidRDefault="00871E19" w:rsidP="00945CE2">
      <w:pPr>
        <w:pStyle w:val="Ttulo2"/>
        <w:numPr>
          <w:ilvl w:val="0"/>
          <w:numId w:val="28"/>
        </w:numPr>
        <w:spacing w:before="240" w:after="240"/>
        <w:rPr>
          <w:rFonts w:ascii="Verdana" w:hAnsi="Verdana"/>
          <w:i/>
          <w:color w:val="auto"/>
          <w:sz w:val="20"/>
          <w:szCs w:val="20"/>
          <w:lang w:val="en-US"/>
        </w:rPr>
      </w:pPr>
      <w:bookmarkStart w:id="104" w:name="_Toc73430062"/>
      <w:r w:rsidRPr="001558A5">
        <w:rPr>
          <w:rFonts w:ascii="Verdana" w:hAnsi="Verdana"/>
          <w:i/>
          <w:color w:val="auto"/>
          <w:sz w:val="20"/>
          <w:szCs w:val="20"/>
          <w:lang w:val="en-US"/>
        </w:rPr>
        <w:t>Considerations</w:t>
      </w:r>
      <w:r w:rsidR="00DD4354" w:rsidRPr="001558A5">
        <w:rPr>
          <w:rFonts w:ascii="Verdana" w:hAnsi="Verdana"/>
          <w:i/>
          <w:color w:val="auto"/>
          <w:sz w:val="20"/>
          <w:szCs w:val="20"/>
          <w:lang w:val="en-US"/>
        </w:rPr>
        <w:t xml:space="preserve"> of the </w:t>
      </w:r>
      <w:r w:rsidRPr="001558A5">
        <w:rPr>
          <w:rFonts w:ascii="Verdana" w:hAnsi="Verdana"/>
          <w:i/>
          <w:color w:val="auto"/>
          <w:sz w:val="20"/>
          <w:szCs w:val="20"/>
          <w:lang w:val="en-US"/>
        </w:rPr>
        <w:t>Court</w:t>
      </w:r>
      <w:bookmarkEnd w:id="104"/>
    </w:p>
    <w:p w14:paraId="1383829D" w14:textId="29809F91" w:rsidR="00EA076B" w:rsidRPr="001558A5" w:rsidRDefault="00871E19" w:rsidP="00945CE2">
      <w:pPr>
        <w:widowControl w:val="0"/>
        <w:numPr>
          <w:ilvl w:val="0"/>
          <w:numId w:val="2"/>
        </w:numPr>
        <w:spacing w:before="120" w:after="120"/>
        <w:ind w:left="0" w:firstLine="0"/>
        <w:rPr>
          <w:rFonts w:eastAsia="Calibri" w:cs="Arial"/>
          <w:szCs w:val="20"/>
          <w:lang w:val="en-US" w:eastAsia="es-CR"/>
        </w:rPr>
      </w:pPr>
      <w:r w:rsidRPr="001558A5">
        <w:rPr>
          <w:rFonts w:eastAsia="Calibri" w:cs="Arial"/>
          <w:szCs w:val="20"/>
          <w:lang w:val="en-US" w:eastAsia="es-CR"/>
        </w:rPr>
        <w:t>The Court</w:t>
      </w:r>
      <w:r w:rsidR="008F36FA" w:rsidRPr="001558A5">
        <w:rPr>
          <w:rFonts w:eastAsia="Calibri" w:cs="Arial"/>
          <w:szCs w:val="20"/>
          <w:lang w:val="en-US" w:eastAsia="es-CR"/>
        </w:rPr>
        <w:t xml:space="preserve"> not</w:t>
      </w:r>
      <w:r w:rsidR="00EA076B" w:rsidRPr="001558A5">
        <w:rPr>
          <w:rFonts w:eastAsia="Calibri" w:cs="Arial"/>
          <w:szCs w:val="20"/>
          <w:lang w:val="en-US" w:eastAsia="es-CR"/>
        </w:rPr>
        <w:t>es that</w:t>
      </w:r>
      <w:r w:rsidR="008F36FA" w:rsidRPr="001558A5">
        <w:rPr>
          <w:rFonts w:eastAsia="Calibri" w:cs="Arial"/>
          <w:szCs w:val="20"/>
          <w:lang w:val="en-US" w:eastAsia="es-CR"/>
        </w:rPr>
        <w:t xml:space="preserve"> </w:t>
      </w:r>
      <w:r w:rsidRPr="001558A5">
        <w:rPr>
          <w:rFonts w:eastAsia="Calibri" w:cs="Arial"/>
          <w:szCs w:val="20"/>
          <w:lang w:val="en-US" w:eastAsia="es-CR"/>
        </w:rPr>
        <w:t>the Commission</w:t>
      </w:r>
      <w:r w:rsidR="00DD4354" w:rsidRPr="001558A5">
        <w:rPr>
          <w:rFonts w:eastAsia="Calibri" w:cs="Arial"/>
          <w:szCs w:val="20"/>
          <w:lang w:val="en-US" w:eastAsia="es-CR"/>
        </w:rPr>
        <w:t xml:space="preserve"> and the representatives</w:t>
      </w:r>
      <w:r w:rsidR="008F36FA" w:rsidRPr="001558A5">
        <w:rPr>
          <w:rFonts w:eastAsia="Calibri" w:cs="Arial"/>
          <w:szCs w:val="20"/>
          <w:lang w:val="en-US" w:eastAsia="es-CR"/>
        </w:rPr>
        <w:t xml:space="preserve"> </w:t>
      </w:r>
      <w:r w:rsidR="00EA076B" w:rsidRPr="001558A5">
        <w:rPr>
          <w:rFonts w:eastAsia="Calibri" w:cs="Arial"/>
          <w:szCs w:val="20"/>
          <w:lang w:val="en-US" w:eastAsia="es-CR"/>
        </w:rPr>
        <w:t>have argued that</w:t>
      </w:r>
      <w:r w:rsidR="008F36FA" w:rsidRPr="001558A5">
        <w:rPr>
          <w:rFonts w:eastAsia="Calibri" w:cs="Arial"/>
          <w:szCs w:val="20"/>
          <w:lang w:val="en-US" w:eastAsia="es-CR"/>
        </w:rPr>
        <w:t xml:space="preserve"> </w:t>
      </w:r>
      <w:r w:rsidR="00DD4354" w:rsidRPr="001558A5">
        <w:rPr>
          <w:rFonts w:eastAsia="Calibri" w:cs="Arial"/>
          <w:szCs w:val="20"/>
          <w:lang w:val="en-US" w:eastAsia="es-CR"/>
        </w:rPr>
        <w:t>the State</w:t>
      </w:r>
      <w:r w:rsidR="008F36FA" w:rsidRPr="001558A5">
        <w:rPr>
          <w:rFonts w:eastAsia="Calibri" w:cs="Arial"/>
          <w:szCs w:val="20"/>
          <w:lang w:val="en-US" w:eastAsia="es-CR"/>
        </w:rPr>
        <w:t xml:space="preserve"> </w:t>
      </w:r>
      <w:r w:rsidR="00EA076B" w:rsidRPr="001558A5">
        <w:rPr>
          <w:rFonts w:eastAsia="Calibri" w:cs="Arial"/>
          <w:szCs w:val="20"/>
          <w:lang w:val="en-US" w:eastAsia="es-CR"/>
        </w:rPr>
        <w:t>was responsible for violating the right</w:t>
      </w:r>
      <w:r w:rsidR="0026673C" w:rsidRPr="001558A5">
        <w:rPr>
          <w:rFonts w:eastAsia="Calibri" w:cs="Arial"/>
          <w:szCs w:val="20"/>
          <w:lang w:val="en-US" w:eastAsia="es-CR"/>
        </w:rPr>
        <w:t xml:space="preserve"> to</w:t>
      </w:r>
      <w:r w:rsidR="00EA076B" w:rsidRPr="001558A5">
        <w:rPr>
          <w:rFonts w:eastAsia="Calibri" w:cs="Arial"/>
          <w:szCs w:val="20"/>
          <w:lang w:val="en-US" w:eastAsia="es-CR"/>
        </w:rPr>
        <w:t xml:space="preserve"> integrity</w:t>
      </w:r>
      <w:r w:rsidR="008F36FA" w:rsidRPr="001558A5">
        <w:rPr>
          <w:rFonts w:eastAsia="Calibri" w:cs="Arial"/>
          <w:szCs w:val="20"/>
          <w:lang w:val="en-US" w:eastAsia="es-CR"/>
        </w:rPr>
        <w:t xml:space="preserve"> </w:t>
      </w:r>
      <w:r w:rsidR="00A57594" w:rsidRPr="001558A5">
        <w:rPr>
          <w:rFonts w:eastAsia="Calibri" w:cs="Arial"/>
          <w:szCs w:val="20"/>
          <w:lang w:val="en-US" w:eastAsia="es-CR"/>
        </w:rPr>
        <w:t xml:space="preserve">of Vicky Hernández’s family </w:t>
      </w:r>
      <w:r w:rsidR="00EA076B" w:rsidRPr="001558A5">
        <w:rPr>
          <w:rFonts w:eastAsia="Calibri" w:cs="Arial"/>
          <w:szCs w:val="20"/>
          <w:lang w:val="en-US" w:eastAsia="es-CR"/>
        </w:rPr>
        <w:t>owing to</w:t>
      </w:r>
      <w:r w:rsidR="008F36FA" w:rsidRPr="001558A5">
        <w:rPr>
          <w:rFonts w:eastAsia="Calibri" w:cs="Arial"/>
          <w:szCs w:val="20"/>
          <w:lang w:val="en-US" w:eastAsia="es-CR"/>
        </w:rPr>
        <w:t xml:space="preserve">: </w:t>
      </w:r>
      <w:r w:rsidR="00EA076B" w:rsidRPr="001558A5">
        <w:rPr>
          <w:rFonts w:eastAsia="Calibri" w:cs="Arial"/>
          <w:szCs w:val="20"/>
          <w:lang w:val="en-US" w:eastAsia="es-CR"/>
        </w:rPr>
        <w:t>(</w:t>
      </w:r>
      <w:r w:rsidR="008F36FA" w:rsidRPr="001558A5">
        <w:rPr>
          <w:rFonts w:eastAsia="Calibri" w:cs="Arial"/>
          <w:szCs w:val="20"/>
          <w:lang w:val="en-US" w:eastAsia="es-CR"/>
        </w:rPr>
        <w:t xml:space="preserve">a) </w:t>
      </w:r>
      <w:r w:rsidR="00EA076B" w:rsidRPr="001558A5">
        <w:rPr>
          <w:rFonts w:eastAsia="Calibri" w:cs="Arial"/>
          <w:szCs w:val="20"/>
          <w:lang w:val="en-US" w:eastAsia="es-CR"/>
        </w:rPr>
        <w:t>the loss of their loved one; (b) the failure to clarify the incident</w:t>
      </w:r>
      <w:r w:rsidR="0026673C" w:rsidRPr="001558A5">
        <w:rPr>
          <w:rFonts w:eastAsia="Calibri" w:cs="Arial"/>
          <w:szCs w:val="20"/>
          <w:lang w:val="en-US" w:eastAsia="es-CR"/>
        </w:rPr>
        <w:t>,</w:t>
      </w:r>
      <w:r w:rsidR="00EA076B" w:rsidRPr="001558A5">
        <w:rPr>
          <w:rFonts w:eastAsia="Calibri" w:cs="Arial"/>
          <w:szCs w:val="20"/>
          <w:lang w:val="en-US" w:eastAsia="es-CR"/>
        </w:rPr>
        <w:t xml:space="preserve"> the absence of an adequate and prompt judicial response, and the State’s failure to acknowledge their rights as victims under Honduran law, and (c) the impact of Vicky Hernández’s death on the financial situation of her family.</w:t>
      </w:r>
    </w:p>
    <w:p w14:paraId="1B3E0E82" w14:textId="72F8C225" w:rsidR="00754040" w:rsidRPr="001558A5" w:rsidRDefault="00DD4354" w:rsidP="00B85E6D">
      <w:pPr>
        <w:widowControl w:val="0"/>
        <w:numPr>
          <w:ilvl w:val="0"/>
          <w:numId w:val="2"/>
        </w:numPr>
        <w:spacing w:before="120" w:after="120"/>
        <w:ind w:left="0" w:firstLine="0"/>
        <w:rPr>
          <w:b/>
          <w:snapToGrid w:val="0"/>
          <w:spacing w:val="-2"/>
          <w:szCs w:val="20"/>
          <w:lang w:val="en-US" w:eastAsia="es-ES"/>
        </w:rPr>
      </w:pPr>
      <w:r w:rsidRPr="001558A5">
        <w:rPr>
          <w:bCs/>
          <w:snapToGrid w:val="0"/>
          <w:spacing w:val="-2"/>
          <w:szCs w:val="20"/>
          <w:lang w:val="en-US" w:eastAsia="es-ES"/>
        </w:rPr>
        <w:t>The representatives</w:t>
      </w:r>
      <w:r w:rsidR="008A6A52" w:rsidRPr="001558A5">
        <w:rPr>
          <w:bCs/>
          <w:snapToGrid w:val="0"/>
          <w:spacing w:val="-2"/>
          <w:szCs w:val="20"/>
          <w:lang w:val="en-US" w:eastAsia="es-ES"/>
        </w:rPr>
        <w:t xml:space="preserve"> </w:t>
      </w:r>
      <w:r w:rsidR="00B85E6D" w:rsidRPr="001558A5">
        <w:rPr>
          <w:bCs/>
          <w:snapToGrid w:val="0"/>
          <w:spacing w:val="-2"/>
          <w:szCs w:val="20"/>
          <w:lang w:val="en-US" w:eastAsia="es-ES"/>
        </w:rPr>
        <w:t xml:space="preserve">substantiated these violations </w:t>
      </w:r>
      <w:r w:rsidR="0026673C" w:rsidRPr="001558A5">
        <w:rPr>
          <w:bCs/>
          <w:snapToGrid w:val="0"/>
          <w:spacing w:val="-2"/>
          <w:szCs w:val="20"/>
          <w:lang w:val="en-US" w:eastAsia="es-ES"/>
        </w:rPr>
        <w:t>by</w:t>
      </w:r>
      <w:r w:rsidR="00B85E6D" w:rsidRPr="001558A5">
        <w:rPr>
          <w:bCs/>
          <w:snapToGrid w:val="0"/>
          <w:spacing w:val="-2"/>
          <w:szCs w:val="20"/>
          <w:lang w:val="en-US" w:eastAsia="es-ES"/>
        </w:rPr>
        <w:t xml:space="preserve"> the statements made by </w:t>
      </w:r>
      <w:r w:rsidR="00A57594" w:rsidRPr="001558A5">
        <w:rPr>
          <w:rFonts w:eastAsia="Calibri" w:cs="Arial"/>
          <w:szCs w:val="20"/>
          <w:lang w:val="en-US" w:eastAsia="es-CR"/>
        </w:rPr>
        <w:t>Vicky Hernández’s family</w:t>
      </w:r>
      <w:r w:rsidR="003D238C" w:rsidRPr="001558A5">
        <w:rPr>
          <w:rStyle w:val="Refdenotaalpie"/>
          <w:bCs/>
          <w:snapToGrid w:val="0"/>
          <w:spacing w:val="-2"/>
          <w:lang w:val="en-US" w:eastAsia="es-ES"/>
        </w:rPr>
        <w:footnoteReference w:id="157"/>
      </w:r>
      <w:r w:rsidRPr="001558A5">
        <w:rPr>
          <w:bCs/>
          <w:snapToGrid w:val="0"/>
          <w:spacing w:val="-2"/>
          <w:szCs w:val="20"/>
          <w:lang w:val="en-US" w:eastAsia="es-ES"/>
        </w:rPr>
        <w:t xml:space="preserve"> and </w:t>
      </w:r>
      <w:r w:rsidR="00B85E6D" w:rsidRPr="001558A5">
        <w:rPr>
          <w:bCs/>
          <w:snapToGrid w:val="0"/>
          <w:spacing w:val="-2"/>
          <w:szCs w:val="20"/>
          <w:lang w:val="en-US" w:eastAsia="es-ES"/>
        </w:rPr>
        <w:t xml:space="preserve">by a socio-economic report prepared by </w:t>
      </w:r>
      <w:proofErr w:type="spellStart"/>
      <w:r w:rsidR="00762275" w:rsidRPr="001558A5">
        <w:rPr>
          <w:bCs/>
          <w:snapToGrid w:val="0"/>
          <w:spacing w:val="-2"/>
          <w:szCs w:val="20"/>
          <w:lang w:val="en-US" w:eastAsia="es-ES"/>
        </w:rPr>
        <w:t>Cattrachas</w:t>
      </w:r>
      <w:proofErr w:type="spellEnd"/>
      <w:r w:rsidR="003D238C" w:rsidRPr="001558A5">
        <w:rPr>
          <w:bCs/>
          <w:snapToGrid w:val="0"/>
          <w:spacing w:val="-2"/>
          <w:szCs w:val="20"/>
          <w:lang w:val="en-US" w:eastAsia="es-ES"/>
        </w:rPr>
        <w:t xml:space="preserve"> </w:t>
      </w:r>
      <w:r w:rsidR="00B85E6D" w:rsidRPr="001558A5">
        <w:rPr>
          <w:bCs/>
          <w:snapToGrid w:val="0"/>
          <w:spacing w:val="-2"/>
          <w:szCs w:val="20"/>
          <w:lang w:val="en-US" w:eastAsia="es-ES"/>
        </w:rPr>
        <w:t>on March 2,</w:t>
      </w:r>
      <w:r w:rsidR="003D238C" w:rsidRPr="001558A5">
        <w:rPr>
          <w:bCs/>
          <w:snapToGrid w:val="0"/>
          <w:spacing w:val="-2"/>
          <w:szCs w:val="20"/>
          <w:lang w:val="en-US" w:eastAsia="es-ES"/>
        </w:rPr>
        <w:t xml:space="preserve"> 2017</w:t>
      </w:r>
      <w:r w:rsidR="00B85E6D" w:rsidRPr="001558A5">
        <w:rPr>
          <w:bCs/>
          <w:snapToGrid w:val="0"/>
          <w:spacing w:val="-2"/>
          <w:szCs w:val="20"/>
          <w:lang w:val="en-US" w:eastAsia="es-ES"/>
        </w:rPr>
        <w:t>.</w:t>
      </w:r>
      <w:r w:rsidR="003D238C" w:rsidRPr="001558A5">
        <w:rPr>
          <w:rStyle w:val="Refdenotaalpie"/>
          <w:bCs/>
          <w:snapToGrid w:val="0"/>
          <w:spacing w:val="-2"/>
          <w:lang w:val="en-US" w:eastAsia="es-ES"/>
        </w:rPr>
        <w:footnoteReference w:id="158"/>
      </w:r>
      <w:r w:rsidR="00931833" w:rsidRPr="001558A5">
        <w:rPr>
          <w:bCs/>
          <w:snapToGrid w:val="0"/>
          <w:spacing w:val="-2"/>
          <w:szCs w:val="20"/>
          <w:lang w:val="en-US" w:eastAsia="es-ES"/>
        </w:rPr>
        <w:t xml:space="preserve"> </w:t>
      </w:r>
      <w:r w:rsidR="006F3EB1" w:rsidRPr="001558A5">
        <w:rPr>
          <w:lang w:val="en-US"/>
        </w:rPr>
        <w:t xml:space="preserve">Rosa </w:t>
      </w:r>
      <w:proofErr w:type="spellStart"/>
      <w:r w:rsidR="006F3EB1" w:rsidRPr="001558A5">
        <w:rPr>
          <w:lang w:val="en-US"/>
        </w:rPr>
        <w:t>Argelia</w:t>
      </w:r>
      <w:proofErr w:type="spellEnd"/>
      <w:r w:rsidR="006F3EB1" w:rsidRPr="001558A5">
        <w:rPr>
          <w:lang w:val="en-US"/>
        </w:rPr>
        <w:t xml:space="preserve"> Hernández </w:t>
      </w:r>
      <w:proofErr w:type="spellStart"/>
      <w:r w:rsidR="006F3EB1" w:rsidRPr="001558A5">
        <w:rPr>
          <w:lang w:val="en-US"/>
        </w:rPr>
        <w:t>Martínez</w:t>
      </w:r>
      <w:proofErr w:type="spellEnd"/>
      <w:r w:rsidR="006F3EB1" w:rsidRPr="001558A5">
        <w:rPr>
          <w:bCs/>
          <w:snapToGrid w:val="0"/>
          <w:spacing w:val="-2"/>
          <w:szCs w:val="20"/>
          <w:lang w:val="en-US" w:eastAsia="es-ES"/>
        </w:rPr>
        <w:t>, Vicky Hernández</w:t>
      </w:r>
      <w:r w:rsidR="00B85E6D" w:rsidRPr="001558A5">
        <w:rPr>
          <w:bCs/>
          <w:snapToGrid w:val="0"/>
          <w:spacing w:val="-2"/>
          <w:szCs w:val="20"/>
          <w:lang w:val="en-US" w:eastAsia="es-ES"/>
        </w:rPr>
        <w:t>’s mother</w:t>
      </w:r>
      <w:r w:rsidR="005D1D2B" w:rsidRPr="001558A5">
        <w:rPr>
          <w:bCs/>
          <w:snapToGrid w:val="0"/>
          <w:spacing w:val="-2"/>
          <w:szCs w:val="20"/>
          <w:lang w:val="en-US" w:eastAsia="es-ES"/>
        </w:rPr>
        <w:t>,</w:t>
      </w:r>
      <w:r w:rsidR="006F3EB1" w:rsidRPr="001558A5">
        <w:rPr>
          <w:bCs/>
          <w:snapToGrid w:val="0"/>
          <w:spacing w:val="-2"/>
          <w:szCs w:val="20"/>
          <w:lang w:val="en-US" w:eastAsia="es-ES"/>
        </w:rPr>
        <w:t xml:space="preserve"> </w:t>
      </w:r>
      <w:r w:rsidR="00B85E6D" w:rsidRPr="001558A5">
        <w:rPr>
          <w:bCs/>
          <w:snapToGrid w:val="0"/>
          <w:spacing w:val="-2"/>
          <w:szCs w:val="20"/>
          <w:lang w:val="en-US" w:eastAsia="es-ES"/>
        </w:rPr>
        <w:t>stated, in particular, that her daughter’s murder had affected her considerably and that she felt “a profound sadness” because “a mother is not prepared to lose” her daughter and “especially when she is aware that they killed her in that way because she was trans.” She indicated that, at times, she has “feelings of despair” and would like to die. She stated that, at times, she “starts cry</w:t>
      </w:r>
      <w:r w:rsidR="0026673C" w:rsidRPr="001558A5">
        <w:rPr>
          <w:bCs/>
          <w:snapToGrid w:val="0"/>
          <w:spacing w:val="-2"/>
          <w:szCs w:val="20"/>
          <w:lang w:val="en-US" w:eastAsia="es-ES"/>
        </w:rPr>
        <w:t>ing</w:t>
      </w:r>
      <w:r w:rsidR="00B85E6D" w:rsidRPr="001558A5">
        <w:rPr>
          <w:bCs/>
          <w:snapToGrid w:val="0"/>
          <w:spacing w:val="-2"/>
          <w:szCs w:val="20"/>
          <w:lang w:val="en-US" w:eastAsia="es-ES"/>
        </w:rPr>
        <w:t xml:space="preserve"> out of the blue.” She also stated that, sometimes, she is unable to sleep thinking </w:t>
      </w:r>
      <w:r w:rsidR="0026673C" w:rsidRPr="001558A5">
        <w:rPr>
          <w:bCs/>
          <w:snapToGrid w:val="0"/>
          <w:spacing w:val="-2"/>
          <w:szCs w:val="20"/>
          <w:lang w:val="en-US" w:eastAsia="es-ES"/>
        </w:rPr>
        <w:t>about</w:t>
      </w:r>
      <w:r w:rsidR="00B85E6D" w:rsidRPr="001558A5">
        <w:rPr>
          <w:bCs/>
          <w:snapToGrid w:val="0"/>
          <w:spacing w:val="-2"/>
          <w:szCs w:val="20"/>
          <w:lang w:val="en-US" w:eastAsia="es-ES"/>
        </w:rPr>
        <w:t xml:space="preserve"> her daughter who was killed and the way in which her death occurred.</w:t>
      </w:r>
      <w:r w:rsidR="00F65D2C" w:rsidRPr="001558A5">
        <w:rPr>
          <w:rStyle w:val="Refdenotaalpie"/>
          <w:lang w:val="en-US"/>
        </w:rPr>
        <w:footnoteReference w:id="159"/>
      </w:r>
      <w:r w:rsidR="004678B5" w:rsidRPr="001558A5">
        <w:rPr>
          <w:lang w:val="en-US"/>
        </w:rPr>
        <w:t xml:space="preserve"> </w:t>
      </w:r>
      <w:r w:rsidR="00B85E6D" w:rsidRPr="001558A5">
        <w:rPr>
          <w:lang w:val="en-US"/>
        </w:rPr>
        <w:t>Similarly</w:t>
      </w:r>
      <w:r w:rsidR="004678B5" w:rsidRPr="001558A5">
        <w:rPr>
          <w:lang w:val="en-US"/>
        </w:rPr>
        <w:t xml:space="preserve">, </w:t>
      </w:r>
      <w:proofErr w:type="spellStart"/>
      <w:r w:rsidR="004678B5" w:rsidRPr="001558A5">
        <w:rPr>
          <w:lang w:val="en-US"/>
        </w:rPr>
        <w:t>Merelin</w:t>
      </w:r>
      <w:proofErr w:type="spellEnd"/>
      <w:r w:rsidR="004678B5" w:rsidRPr="001558A5">
        <w:rPr>
          <w:lang w:val="en-US"/>
        </w:rPr>
        <w:t xml:space="preserve"> Tatiana </w:t>
      </w:r>
      <w:proofErr w:type="spellStart"/>
      <w:r w:rsidR="004678B5" w:rsidRPr="001558A5">
        <w:rPr>
          <w:lang w:val="en-US"/>
        </w:rPr>
        <w:t>Rápalo</w:t>
      </w:r>
      <w:proofErr w:type="spellEnd"/>
      <w:r w:rsidR="004678B5" w:rsidRPr="001558A5">
        <w:rPr>
          <w:lang w:val="en-US"/>
        </w:rPr>
        <w:t xml:space="preserve"> Hernández, Vicky Hernández</w:t>
      </w:r>
      <w:r w:rsidR="00B85E6D" w:rsidRPr="001558A5">
        <w:rPr>
          <w:lang w:val="en-US"/>
        </w:rPr>
        <w:t>’s sister</w:t>
      </w:r>
      <w:r w:rsidR="004678B5" w:rsidRPr="001558A5">
        <w:rPr>
          <w:lang w:val="en-US"/>
        </w:rPr>
        <w:t>,</w:t>
      </w:r>
      <w:r w:rsidR="00B85E6D" w:rsidRPr="001558A5">
        <w:rPr>
          <w:lang w:val="en-US"/>
        </w:rPr>
        <w:t xml:space="preserve"> declared that Vicky’s death affected her greatly and that, when she thinks of her and everything that happened, her death, and how she suffered all her life because she had no support, she is “unable to sleep.”</w:t>
      </w:r>
      <w:r w:rsidR="004678B5" w:rsidRPr="001558A5">
        <w:rPr>
          <w:lang w:val="en-US"/>
        </w:rPr>
        <w:t xml:space="preserve"> </w:t>
      </w:r>
      <w:r w:rsidR="00B85E6D" w:rsidRPr="001558A5">
        <w:rPr>
          <w:lang w:val="en-US"/>
        </w:rPr>
        <w:t>She added that, even though many years ha</w:t>
      </w:r>
      <w:r w:rsidR="00D217F1" w:rsidRPr="001558A5">
        <w:rPr>
          <w:lang w:val="en-US"/>
        </w:rPr>
        <w:t>d</w:t>
      </w:r>
      <w:r w:rsidR="00B85E6D" w:rsidRPr="001558A5">
        <w:rPr>
          <w:lang w:val="en-US"/>
        </w:rPr>
        <w:t xml:space="preserve"> passed since her death, it </w:t>
      </w:r>
      <w:r w:rsidR="00D217F1" w:rsidRPr="001558A5">
        <w:rPr>
          <w:lang w:val="en-US"/>
        </w:rPr>
        <w:t>was</w:t>
      </w:r>
      <w:r w:rsidR="00B85E6D" w:rsidRPr="001558A5">
        <w:rPr>
          <w:lang w:val="en-US"/>
        </w:rPr>
        <w:t xml:space="preserve"> still difficult to get over it.</w:t>
      </w:r>
      <w:r w:rsidR="004678B5" w:rsidRPr="001558A5">
        <w:rPr>
          <w:rStyle w:val="Refdenotaalpie"/>
          <w:lang w:val="en-US"/>
        </w:rPr>
        <w:footnoteReference w:id="160"/>
      </w:r>
      <w:r w:rsidR="00F65D2C" w:rsidRPr="001558A5">
        <w:rPr>
          <w:lang w:val="en-US"/>
        </w:rPr>
        <w:t xml:space="preserve"> </w:t>
      </w:r>
    </w:p>
    <w:p w14:paraId="0AA8399D" w14:textId="3E45DE81" w:rsidR="00F26C1B" w:rsidRPr="001558A5" w:rsidRDefault="005D5143" w:rsidP="006C757A">
      <w:pPr>
        <w:widowControl w:val="0"/>
        <w:numPr>
          <w:ilvl w:val="0"/>
          <w:numId w:val="2"/>
        </w:numPr>
        <w:spacing w:before="120" w:after="120"/>
        <w:ind w:left="0" w:firstLine="0"/>
        <w:rPr>
          <w:lang w:val="en-US"/>
        </w:rPr>
      </w:pPr>
      <w:r w:rsidRPr="001558A5">
        <w:rPr>
          <w:lang w:val="en-US"/>
        </w:rPr>
        <w:t>Similarly</w:t>
      </w:r>
      <w:r w:rsidR="00754040" w:rsidRPr="001558A5">
        <w:rPr>
          <w:lang w:val="en-US"/>
        </w:rPr>
        <w:t xml:space="preserve">, Rosa </w:t>
      </w:r>
      <w:proofErr w:type="spellStart"/>
      <w:r w:rsidR="00754040" w:rsidRPr="001558A5">
        <w:rPr>
          <w:lang w:val="en-US"/>
        </w:rPr>
        <w:t>Argelia</w:t>
      </w:r>
      <w:proofErr w:type="spellEnd"/>
      <w:r w:rsidR="00754040" w:rsidRPr="001558A5">
        <w:rPr>
          <w:lang w:val="en-US"/>
        </w:rPr>
        <w:t xml:space="preserve"> Hernández </w:t>
      </w:r>
      <w:proofErr w:type="spellStart"/>
      <w:r w:rsidR="00754040" w:rsidRPr="001558A5">
        <w:rPr>
          <w:lang w:val="en-US"/>
        </w:rPr>
        <w:t>Martínez</w:t>
      </w:r>
      <w:proofErr w:type="spellEnd"/>
      <w:r w:rsidR="00754040" w:rsidRPr="001558A5">
        <w:rPr>
          <w:lang w:val="en-US"/>
        </w:rPr>
        <w:t xml:space="preserve"> </w:t>
      </w:r>
      <w:r w:rsidRPr="001558A5">
        <w:rPr>
          <w:lang w:val="en-US"/>
        </w:rPr>
        <w:t xml:space="preserve">recounted how her daughter, Vicky, was assaulted, </w:t>
      </w:r>
      <w:r w:rsidR="00D217F1" w:rsidRPr="001558A5">
        <w:rPr>
          <w:lang w:val="en-US"/>
        </w:rPr>
        <w:t>mis</w:t>
      </w:r>
      <w:r w:rsidRPr="001558A5">
        <w:rPr>
          <w:lang w:val="en-US"/>
        </w:rPr>
        <w:t xml:space="preserve">treated and discriminated against because she was a trans woman sex worker. She described: (a) </w:t>
      </w:r>
      <w:r w:rsidR="00D217F1" w:rsidRPr="001558A5">
        <w:rPr>
          <w:lang w:val="en-US"/>
        </w:rPr>
        <w:t>how</w:t>
      </w:r>
      <w:r w:rsidRPr="001558A5">
        <w:rPr>
          <w:lang w:val="en-US"/>
        </w:rPr>
        <w:t xml:space="preserve"> she was wounded in the head and in the arm by a blow from a machete </w:t>
      </w:r>
      <w:r w:rsidR="006C757A" w:rsidRPr="001558A5">
        <w:rPr>
          <w:lang w:val="en-US"/>
        </w:rPr>
        <w:t xml:space="preserve">inflicted by a security guard who told her “I hate prostitutes, they should not exist”; (b) how she was mistreated by the police when she went to file the complaint; on that occasion, the police allegedly told her “as far as we’re concerned you can die, prostitute, gay; as far as we’re concerned you don’t exist and are not worth anything”; (c) </w:t>
      </w:r>
      <w:r w:rsidR="00D217F1" w:rsidRPr="001558A5">
        <w:rPr>
          <w:lang w:val="en-US"/>
        </w:rPr>
        <w:t>how</w:t>
      </w:r>
      <w:r w:rsidR="006C757A" w:rsidRPr="001558A5">
        <w:rPr>
          <w:lang w:val="en-US"/>
        </w:rPr>
        <w:t xml:space="preserve"> her daughter, Vicky, </w:t>
      </w:r>
      <w:r w:rsidR="00D217F1" w:rsidRPr="001558A5">
        <w:rPr>
          <w:lang w:val="en-US"/>
        </w:rPr>
        <w:t xml:space="preserve">had </w:t>
      </w:r>
      <w:r w:rsidR="006C757A" w:rsidRPr="001558A5">
        <w:rPr>
          <w:lang w:val="en-US"/>
        </w:rPr>
        <w:t xml:space="preserve">told her </w:t>
      </w:r>
      <w:r w:rsidR="00D217F1" w:rsidRPr="001558A5">
        <w:rPr>
          <w:lang w:val="en-US"/>
        </w:rPr>
        <w:t xml:space="preserve">that </w:t>
      </w:r>
      <w:r w:rsidR="006C757A" w:rsidRPr="001558A5">
        <w:rPr>
          <w:lang w:val="en-US"/>
        </w:rPr>
        <w:t xml:space="preserve">“other people” took advantage of her, “treated [her] badly” and thought that they “could do whatever they wanted” against her, and (d) </w:t>
      </w:r>
      <w:r w:rsidR="00D217F1" w:rsidRPr="001558A5">
        <w:rPr>
          <w:lang w:val="en-US"/>
        </w:rPr>
        <w:t>how</w:t>
      </w:r>
      <w:r w:rsidR="006C757A" w:rsidRPr="001558A5">
        <w:rPr>
          <w:lang w:val="en-US"/>
        </w:rPr>
        <w:t xml:space="preserve"> her daughter told her that she had been the victim of rape.</w:t>
      </w:r>
      <w:r w:rsidR="008D13FC" w:rsidRPr="001558A5">
        <w:rPr>
          <w:rStyle w:val="Refdenotaalpie"/>
          <w:lang w:val="en-US"/>
        </w:rPr>
        <w:footnoteReference w:id="161"/>
      </w:r>
      <w:r w:rsidR="008D13FC" w:rsidRPr="001558A5">
        <w:rPr>
          <w:lang w:val="en-US"/>
        </w:rPr>
        <w:t xml:space="preserve"> </w:t>
      </w:r>
      <w:r w:rsidR="006C757A" w:rsidRPr="001558A5">
        <w:rPr>
          <w:lang w:val="en-US"/>
        </w:rPr>
        <w:t xml:space="preserve">Meanwhile, </w:t>
      </w:r>
      <w:proofErr w:type="spellStart"/>
      <w:r w:rsidR="008D13FC" w:rsidRPr="001558A5">
        <w:rPr>
          <w:lang w:val="en-US"/>
        </w:rPr>
        <w:t>Merelin</w:t>
      </w:r>
      <w:proofErr w:type="spellEnd"/>
      <w:r w:rsidR="008D13FC" w:rsidRPr="001558A5">
        <w:rPr>
          <w:lang w:val="en-US"/>
        </w:rPr>
        <w:t xml:space="preserve"> Tatiana </w:t>
      </w:r>
      <w:proofErr w:type="spellStart"/>
      <w:r w:rsidR="008D13FC" w:rsidRPr="001558A5">
        <w:rPr>
          <w:lang w:val="en-US"/>
        </w:rPr>
        <w:t>Rápalo</w:t>
      </w:r>
      <w:proofErr w:type="spellEnd"/>
      <w:r w:rsidR="008D13FC" w:rsidRPr="001558A5">
        <w:rPr>
          <w:lang w:val="en-US"/>
        </w:rPr>
        <w:t xml:space="preserve"> Hernández </w:t>
      </w:r>
      <w:r w:rsidR="006C757A" w:rsidRPr="001558A5">
        <w:rPr>
          <w:lang w:val="en-US"/>
        </w:rPr>
        <w:t>recounted that</w:t>
      </w:r>
      <w:r w:rsidR="00F26C1B" w:rsidRPr="001558A5">
        <w:rPr>
          <w:lang w:val="en-US"/>
        </w:rPr>
        <w:t xml:space="preserve"> Vicky </w:t>
      </w:r>
      <w:r w:rsidR="006C757A" w:rsidRPr="001558A5">
        <w:rPr>
          <w:lang w:val="en-US"/>
        </w:rPr>
        <w:t>had told h</w:t>
      </w:r>
      <w:r w:rsidR="00D217F1" w:rsidRPr="001558A5">
        <w:rPr>
          <w:lang w:val="en-US"/>
        </w:rPr>
        <w:t>er h</w:t>
      </w:r>
      <w:r w:rsidR="006C757A" w:rsidRPr="001558A5">
        <w:rPr>
          <w:lang w:val="en-US"/>
        </w:rPr>
        <w:t xml:space="preserve">ow “difficult it was to live with the daily discrimination and mistreatment.” She indicated that even when she accompanied Vicky on an errand, she “saw how people stared at her, insulted her and, in the worst case, threw things at her,” and how, on many occasions, they even threw things at </w:t>
      </w:r>
      <w:proofErr w:type="spellStart"/>
      <w:r w:rsidR="00D217F1" w:rsidRPr="001558A5">
        <w:rPr>
          <w:lang w:val="en-US"/>
        </w:rPr>
        <w:t>Merelin</w:t>
      </w:r>
      <w:proofErr w:type="spellEnd"/>
      <w:r w:rsidR="00D217F1" w:rsidRPr="001558A5">
        <w:rPr>
          <w:lang w:val="en-US"/>
        </w:rPr>
        <w:t xml:space="preserve"> herself</w:t>
      </w:r>
      <w:r w:rsidR="006C757A" w:rsidRPr="001558A5">
        <w:rPr>
          <w:lang w:val="en-US"/>
        </w:rPr>
        <w:t>.</w:t>
      </w:r>
      <w:r w:rsidR="00F26C1B" w:rsidRPr="001558A5">
        <w:rPr>
          <w:rStyle w:val="Refdenotaalpie"/>
          <w:lang w:val="en-US"/>
        </w:rPr>
        <w:footnoteReference w:id="162"/>
      </w:r>
      <w:r w:rsidR="006C757A" w:rsidRPr="001558A5">
        <w:rPr>
          <w:lang w:val="en-US"/>
        </w:rPr>
        <w:t xml:space="preserve"> These statements described the suffering experienced by Vicky’s family members who had to witness the constant and systematic discrimination against their loved one.</w:t>
      </w:r>
    </w:p>
    <w:p w14:paraId="524F6A1E" w14:textId="1975E20B" w:rsidR="00957115" w:rsidRPr="001558A5" w:rsidRDefault="006C757A" w:rsidP="00945CE2">
      <w:pPr>
        <w:widowControl w:val="0"/>
        <w:numPr>
          <w:ilvl w:val="0"/>
          <w:numId w:val="2"/>
        </w:numPr>
        <w:spacing w:before="120" w:after="120"/>
        <w:ind w:left="0" w:firstLine="0"/>
        <w:rPr>
          <w:snapToGrid w:val="0"/>
          <w:spacing w:val="-2"/>
          <w:szCs w:val="20"/>
          <w:lang w:val="en-US" w:eastAsia="es-ES"/>
        </w:rPr>
      </w:pPr>
      <w:r w:rsidRPr="001558A5">
        <w:rPr>
          <w:rFonts w:cs="Arial"/>
          <w:szCs w:val="20"/>
          <w:lang w:val="en-US"/>
        </w:rPr>
        <w:t xml:space="preserve">Furthermore, in the chapter on </w:t>
      </w:r>
      <w:r w:rsidR="00973D19" w:rsidRPr="001558A5">
        <w:rPr>
          <w:rFonts w:cs="Arial"/>
          <w:szCs w:val="20"/>
          <w:lang w:val="en-US"/>
        </w:rPr>
        <w:t>acknowledgement of responsibility</w:t>
      </w:r>
      <w:r w:rsidR="00DD4354" w:rsidRPr="001558A5">
        <w:rPr>
          <w:rFonts w:cs="Arial"/>
          <w:szCs w:val="20"/>
          <w:lang w:val="en-US"/>
        </w:rPr>
        <w:t xml:space="preserve"> and </w:t>
      </w:r>
      <w:r w:rsidRPr="001558A5">
        <w:rPr>
          <w:rFonts w:cs="Arial"/>
          <w:szCs w:val="20"/>
          <w:lang w:val="en-US"/>
        </w:rPr>
        <w:t>in the</w:t>
      </w:r>
      <w:r w:rsidR="00AD3A71" w:rsidRPr="001558A5">
        <w:rPr>
          <w:rFonts w:cs="Arial"/>
          <w:szCs w:val="20"/>
          <w:lang w:val="en-US"/>
        </w:rPr>
        <w:t xml:space="preserve"> </w:t>
      </w:r>
      <w:r w:rsidRPr="001558A5">
        <w:rPr>
          <w:rFonts w:cs="Arial"/>
          <w:szCs w:val="20"/>
          <w:lang w:val="en-US"/>
        </w:rPr>
        <w:t>c</w:t>
      </w:r>
      <w:r w:rsidR="00907FBD" w:rsidRPr="001558A5">
        <w:rPr>
          <w:rFonts w:cs="Arial"/>
          <w:szCs w:val="20"/>
          <w:lang w:val="en-US"/>
        </w:rPr>
        <w:t>hapter</w:t>
      </w:r>
      <w:r w:rsidR="00AD3A71" w:rsidRPr="001558A5">
        <w:rPr>
          <w:rFonts w:cs="Arial"/>
          <w:szCs w:val="20"/>
          <w:lang w:val="en-US"/>
        </w:rPr>
        <w:t xml:space="preserve"> </w:t>
      </w:r>
      <w:r w:rsidRPr="001558A5">
        <w:rPr>
          <w:rFonts w:cs="Arial"/>
          <w:szCs w:val="20"/>
          <w:lang w:val="en-US"/>
        </w:rPr>
        <w:t>on</w:t>
      </w:r>
      <w:r w:rsidR="00AD3A71" w:rsidRPr="001558A5">
        <w:rPr>
          <w:rFonts w:cs="Arial"/>
          <w:szCs w:val="20"/>
          <w:lang w:val="en-US"/>
        </w:rPr>
        <w:t xml:space="preserve"> </w:t>
      </w:r>
      <w:r w:rsidR="00B732DD" w:rsidRPr="001558A5">
        <w:rPr>
          <w:rFonts w:cs="Arial"/>
          <w:szCs w:val="20"/>
          <w:lang w:val="en-US"/>
        </w:rPr>
        <w:t>judicial guarantees</w:t>
      </w:r>
      <w:r w:rsidR="00DD4354" w:rsidRPr="001558A5">
        <w:rPr>
          <w:rFonts w:cs="Arial"/>
          <w:szCs w:val="20"/>
          <w:lang w:val="en-US"/>
        </w:rPr>
        <w:t xml:space="preserve"> and </w:t>
      </w:r>
      <w:r w:rsidR="00B732DD" w:rsidRPr="001558A5">
        <w:rPr>
          <w:rFonts w:cs="Arial"/>
          <w:szCs w:val="20"/>
          <w:lang w:val="en-US"/>
        </w:rPr>
        <w:t>judicial protection</w:t>
      </w:r>
      <w:r w:rsidR="004E71AC" w:rsidRPr="001558A5">
        <w:rPr>
          <w:rFonts w:cs="Arial"/>
          <w:szCs w:val="20"/>
          <w:lang w:val="en-US"/>
        </w:rPr>
        <w:t xml:space="preserve"> (</w:t>
      </w:r>
      <w:r w:rsidR="004E71AC" w:rsidRPr="001558A5">
        <w:rPr>
          <w:rFonts w:cs="Arial"/>
          <w:i/>
          <w:iCs/>
          <w:szCs w:val="20"/>
          <w:lang w:val="en-US"/>
        </w:rPr>
        <w:t>supra</w:t>
      </w:r>
      <w:r w:rsidR="004E71AC" w:rsidRPr="001558A5">
        <w:rPr>
          <w:rFonts w:cs="Arial"/>
          <w:szCs w:val="20"/>
          <w:lang w:val="en-US"/>
        </w:rPr>
        <w:t xml:space="preserve"> </w:t>
      </w:r>
      <w:r w:rsidR="00907FBD" w:rsidRPr="001558A5">
        <w:rPr>
          <w:rFonts w:cs="Arial"/>
          <w:szCs w:val="20"/>
          <w:lang w:val="en-US"/>
        </w:rPr>
        <w:t>Chapter</w:t>
      </w:r>
      <w:r w:rsidR="00FE7F60" w:rsidRPr="001558A5">
        <w:rPr>
          <w:rFonts w:cs="Arial"/>
          <w:szCs w:val="20"/>
          <w:lang w:val="en-US"/>
        </w:rPr>
        <w:t xml:space="preserve"> </w:t>
      </w:r>
      <w:r w:rsidR="005F09D5" w:rsidRPr="001558A5">
        <w:rPr>
          <w:rFonts w:cs="Verdana"/>
          <w:bCs/>
          <w:szCs w:val="20"/>
          <w:lang w:val="en-US"/>
        </w:rPr>
        <w:t>VII.2.B.B2</w:t>
      </w:r>
      <w:r w:rsidR="004E71AC" w:rsidRPr="001558A5">
        <w:rPr>
          <w:rFonts w:cs="Arial"/>
          <w:szCs w:val="20"/>
          <w:lang w:val="en-US"/>
        </w:rPr>
        <w:t>)</w:t>
      </w:r>
      <w:r w:rsidR="005D1D2B" w:rsidRPr="001558A5">
        <w:rPr>
          <w:rFonts w:cs="Arial"/>
          <w:szCs w:val="20"/>
          <w:lang w:val="en-US"/>
        </w:rPr>
        <w:t xml:space="preserve">, </w:t>
      </w:r>
      <w:r w:rsidR="00871E19" w:rsidRPr="001558A5">
        <w:rPr>
          <w:rFonts w:cs="Arial"/>
          <w:szCs w:val="20"/>
          <w:lang w:val="en-US"/>
        </w:rPr>
        <w:t>the Court</w:t>
      </w:r>
      <w:r w:rsidR="005D1D2B" w:rsidRPr="001558A5">
        <w:rPr>
          <w:rFonts w:cs="Arial"/>
          <w:szCs w:val="20"/>
          <w:lang w:val="en-US"/>
        </w:rPr>
        <w:t xml:space="preserve"> </w:t>
      </w:r>
      <w:r w:rsidRPr="001558A5">
        <w:rPr>
          <w:rFonts w:cs="Arial"/>
          <w:szCs w:val="20"/>
          <w:lang w:val="en-US"/>
        </w:rPr>
        <w:t>reached the conclusion that the State was responsible for a violation of those rights</w:t>
      </w:r>
      <w:r w:rsidR="00311437" w:rsidRPr="001558A5">
        <w:rPr>
          <w:rFonts w:cs="Arial"/>
          <w:szCs w:val="20"/>
          <w:lang w:val="en-US"/>
        </w:rPr>
        <w:t xml:space="preserve"> </w:t>
      </w:r>
      <w:r w:rsidR="00B43A52" w:rsidRPr="001558A5">
        <w:rPr>
          <w:rFonts w:cs="Arial"/>
          <w:szCs w:val="20"/>
          <w:lang w:val="en-US"/>
        </w:rPr>
        <w:t>to the detriment of</w:t>
      </w:r>
      <w:r w:rsidR="0085094F" w:rsidRPr="001558A5">
        <w:rPr>
          <w:rFonts w:cs="Arial"/>
          <w:szCs w:val="20"/>
          <w:lang w:val="en-US"/>
        </w:rPr>
        <w:t xml:space="preserve"> </w:t>
      </w:r>
      <w:r w:rsidR="004E71AC" w:rsidRPr="001558A5">
        <w:rPr>
          <w:rFonts w:cs="Arial"/>
          <w:szCs w:val="20"/>
          <w:lang w:val="en-US"/>
        </w:rPr>
        <w:t>Vicky Hernández</w:t>
      </w:r>
      <w:r w:rsidRPr="001558A5">
        <w:rPr>
          <w:rFonts w:cs="Arial"/>
          <w:szCs w:val="20"/>
          <w:lang w:val="en-US"/>
        </w:rPr>
        <w:t>’s family</w:t>
      </w:r>
      <w:r w:rsidR="0085094F" w:rsidRPr="001558A5">
        <w:rPr>
          <w:rFonts w:cs="Arial"/>
          <w:szCs w:val="20"/>
          <w:lang w:val="en-US"/>
        </w:rPr>
        <w:t xml:space="preserve">. </w:t>
      </w:r>
      <w:r w:rsidRPr="001558A5">
        <w:rPr>
          <w:rFonts w:cs="Arial"/>
          <w:szCs w:val="20"/>
          <w:lang w:val="en-US"/>
        </w:rPr>
        <w:t>The</w:t>
      </w:r>
      <w:r w:rsidR="00871E19" w:rsidRPr="001558A5">
        <w:rPr>
          <w:rFonts w:cs="Arial"/>
          <w:szCs w:val="20"/>
          <w:lang w:val="en-US"/>
        </w:rPr>
        <w:t xml:space="preserve"> Court</w:t>
      </w:r>
      <w:r w:rsidR="0085094F" w:rsidRPr="001558A5">
        <w:rPr>
          <w:rFonts w:cs="Arial"/>
          <w:szCs w:val="20"/>
          <w:lang w:val="en-US"/>
        </w:rPr>
        <w:t xml:space="preserve"> </w:t>
      </w:r>
      <w:r w:rsidRPr="001558A5">
        <w:rPr>
          <w:rFonts w:cs="Arial"/>
          <w:szCs w:val="20"/>
          <w:lang w:val="en-US"/>
        </w:rPr>
        <w:t xml:space="preserve">also determined that the State was responsible for a violation of the right to life of </w:t>
      </w:r>
      <w:r w:rsidR="00762275" w:rsidRPr="001558A5">
        <w:rPr>
          <w:rFonts w:cs="Arial"/>
          <w:szCs w:val="20"/>
          <w:lang w:val="en-US"/>
        </w:rPr>
        <w:t xml:space="preserve">Vicky Hernández </w:t>
      </w:r>
      <w:r w:rsidR="0085094F" w:rsidRPr="001558A5">
        <w:rPr>
          <w:rFonts w:cs="Arial"/>
          <w:szCs w:val="20"/>
          <w:lang w:val="en-US"/>
        </w:rPr>
        <w:t>(</w:t>
      </w:r>
      <w:r w:rsidR="0085094F" w:rsidRPr="001558A5">
        <w:rPr>
          <w:rFonts w:cs="Arial"/>
          <w:i/>
          <w:szCs w:val="20"/>
          <w:lang w:val="en-US"/>
        </w:rPr>
        <w:t>supra</w:t>
      </w:r>
      <w:r w:rsidR="0085094F" w:rsidRPr="001558A5">
        <w:rPr>
          <w:rFonts w:cs="Arial"/>
          <w:szCs w:val="20"/>
          <w:lang w:val="en-US"/>
        </w:rPr>
        <w:t xml:space="preserve"> </w:t>
      </w:r>
      <w:r w:rsidR="00907FBD" w:rsidRPr="001558A5">
        <w:rPr>
          <w:rFonts w:cs="Arial"/>
          <w:szCs w:val="20"/>
          <w:lang w:val="en-US"/>
        </w:rPr>
        <w:t>Chapter</w:t>
      </w:r>
      <w:r w:rsidR="0085094F" w:rsidRPr="001558A5">
        <w:rPr>
          <w:rFonts w:cs="Arial"/>
          <w:szCs w:val="20"/>
          <w:lang w:val="en-US"/>
        </w:rPr>
        <w:t xml:space="preserve"> VII.</w:t>
      </w:r>
      <w:r w:rsidR="00762275" w:rsidRPr="001558A5">
        <w:rPr>
          <w:rFonts w:cs="Arial"/>
          <w:szCs w:val="20"/>
          <w:lang w:val="en-US"/>
        </w:rPr>
        <w:t>1</w:t>
      </w:r>
      <w:r w:rsidR="0085094F" w:rsidRPr="001558A5">
        <w:rPr>
          <w:rFonts w:cs="Arial"/>
          <w:szCs w:val="20"/>
          <w:lang w:val="en-US"/>
        </w:rPr>
        <w:t xml:space="preserve">). </w:t>
      </w:r>
      <w:r w:rsidRPr="001558A5">
        <w:rPr>
          <w:rFonts w:cs="Arial"/>
          <w:szCs w:val="20"/>
          <w:lang w:val="en-US"/>
        </w:rPr>
        <w:t xml:space="preserve">Consequently, owing to the different statements made by Vicky Hernández’s family </w:t>
      </w:r>
      <w:r w:rsidR="00DD4354" w:rsidRPr="001558A5">
        <w:rPr>
          <w:rFonts w:cs="Arial"/>
          <w:szCs w:val="20"/>
          <w:lang w:val="en-US"/>
        </w:rPr>
        <w:t>and</w:t>
      </w:r>
      <w:r w:rsidR="006705C0" w:rsidRPr="001558A5">
        <w:rPr>
          <w:rFonts w:cs="Arial"/>
          <w:szCs w:val="20"/>
          <w:lang w:val="en-US"/>
        </w:rPr>
        <w:t xml:space="preserve"> taking into account the foregoing, the Court finds that the State is responsible for the violation of the right to</w:t>
      </w:r>
      <w:r w:rsidR="00DD4354" w:rsidRPr="001558A5">
        <w:rPr>
          <w:rFonts w:cs="Arial"/>
          <w:szCs w:val="20"/>
          <w:lang w:val="en-US"/>
        </w:rPr>
        <w:t xml:space="preserve"> </w:t>
      </w:r>
      <w:r w:rsidR="00B732DD" w:rsidRPr="001558A5">
        <w:rPr>
          <w:rFonts w:cs="Arial"/>
          <w:szCs w:val="20"/>
          <w:lang w:val="en-US"/>
        </w:rPr>
        <w:t>personal integrity</w:t>
      </w:r>
      <w:r w:rsidR="006705C0" w:rsidRPr="001558A5">
        <w:rPr>
          <w:rFonts w:cs="Arial"/>
          <w:szCs w:val="20"/>
          <w:lang w:val="en-US"/>
        </w:rPr>
        <w:t xml:space="preserve"> recognized in </w:t>
      </w:r>
      <w:r w:rsidR="00871E19" w:rsidRPr="001558A5">
        <w:rPr>
          <w:rFonts w:cs="Arial"/>
          <w:szCs w:val="20"/>
          <w:lang w:val="en-US"/>
        </w:rPr>
        <w:t>Article</w:t>
      </w:r>
      <w:r w:rsidR="0085094F" w:rsidRPr="001558A5">
        <w:rPr>
          <w:rFonts w:cs="Arial"/>
          <w:szCs w:val="20"/>
          <w:lang w:val="en-US"/>
        </w:rPr>
        <w:t xml:space="preserve"> </w:t>
      </w:r>
      <w:r w:rsidR="00B732DD" w:rsidRPr="001558A5">
        <w:rPr>
          <w:rFonts w:cs="Arial"/>
          <w:szCs w:val="20"/>
          <w:lang w:val="en-US"/>
        </w:rPr>
        <w:t>5(1)</w:t>
      </w:r>
      <w:r w:rsidR="00DD4354" w:rsidRPr="001558A5">
        <w:rPr>
          <w:rFonts w:cs="Arial"/>
          <w:szCs w:val="20"/>
          <w:lang w:val="en-US"/>
        </w:rPr>
        <w:t xml:space="preserve"> of the </w:t>
      </w:r>
      <w:r w:rsidR="00871E19" w:rsidRPr="001558A5">
        <w:rPr>
          <w:rFonts w:cs="Arial"/>
          <w:szCs w:val="20"/>
          <w:lang w:val="en-US"/>
        </w:rPr>
        <w:t>Convention</w:t>
      </w:r>
      <w:r w:rsidR="0085094F" w:rsidRPr="001558A5">
        <w:rPr>
          <w:rFonts w:cs="Arial"/>
          <w:szCs w:val="20"/>
          <w:lang w:val="en-US"/>
        </w:rPr>
        <w:t xml:space="preserve">, </w:t>
      </w:r>
      <w:r w:rsidR="00B43A52" w:rsidRPr="001558A5">
        <w:rPr>
          <w:rFonts w:cs="Arial"/>
          <w:szCs w:val="20"/>
          <w:lang w:val="en-US"/>
        </w:rPr>
        <w:t>to the detriment of</w:t>
      </w:r>
      <w:r w:rsidR="0085094F" w:rsidRPr="001558A5">
        <w:rPr>
          <w:rFonts w:cs="Arial"/>
          <w:szCs w:val="20"/>
          <w:lang w:val="en-US"/>
        </w:rPr>
        <w:t xml:space="preserve"> </w:t>
      </w:r>
      <w:r w:rsidR="00C93052" w:rsidRPr="001558A5">
        <w:rPr>
          <w:rFonts w:cs="Arial"/>
          <w:szCs w:val="20"/>
          <w:lang w:val="en-US"/>
        </w:rPr>
        <w:t>Vicky Hernández</w:t>
      </w:r>
      <w:r w:rsidR="006705C0" w:rsidRPr="001558A5">
        <w:rPr>
          <w:rFonts w:cs="Arial"/>
          <w:szCs w:val="20"/>
          <w:lang w:val="en-US"/>
        </w:rPr>
        <w:t>’s family</w:t>
      </w:r>
      <w:r w:rsidR="0085094F" w:rsidRPr="001558A5">
        <w:rPr>
          <w:rStyle w:val="Refdenotaalpie"/>
          <w:lang w:val="en-US"/>
        </w:rPr>
        <w:footnoteReference w:id="163"/>
      </w:r>
      <w:r w:rsidR="006705C0" w:rsidRPr="001558A5">
        <w:rPr>
          <w:rFonts w:cs="Arial"/>
          <w:szCs w:val="20"/>
          <w:lang w:val="en-US"/>
        </w:rPr>
        <w:t xml:space="preserve"> owing to the suffering that her death caused them, the permanent discrimination she was subjected to, and the situation of impunity of her murder. Regarding the impact that the death of </w:t>
      </w:r>
      <w:r w:rsidR="00C93052" w:rsidRPr="001558A5">
        <w:rPr>
          <w:rFonts w:cs="Arial"/>
          <w:szCs w:val="20"/>
          <w:lang w:val="en-US"/>
        </w:rPr>
        <w:t xml:space="preserve">Vicky Hernández </w:t>
      </w:r>
      <w:r w:rsidR="006705C0" w:rsidRPr="001558A5">
        <w:rPr>
          <w:rFonts w:cs="Arial"/>
          <w:szCs w:val="20"/>
          <w:lang w:val="en-US"/>
        </w:rPr>
        <w:t xml:space="preserve">may have had on the financial situation of her family, this will be examined in the chapter on reparations in the part corresponding to pecuniary damage </w:t>
      </w:r>
      <w:r w:rsidR="00C93052" w:rsidRPr="001558A5">
        <w:rPr>
          <w:rFonts w:cs="Arial"/>
          <w:szCs w:val="20"/>
          <w:lang w:val="en-US"/>
        </w:rPr>
        <w:t>(</w:t>
      </w:r>
      <w:r w:rsidR="00C93052" w:rsidRPr="001558A5">
        <w:rPr>
          <w:rFonts w:cs="Arial"/>
          <w:i/>
          <w:iCs/>
          <w:szCs w:val="20"/>
          <w:lang w:val="en-US"/>
        </w:rPr>
        <w:t>infra</w:t>
      </w:r>
      <w:r w:rsidR="00C93052" w:rsidRPr="001558A5">
        <w:rPr>
          <w:rFonts w:cs="Arial"/>
          <w:szCs w:val="20"/>
          <w:lang w:val="en-US"/>
        </w:rPr>
        <w:t xml:space="preserve"> </w:t>
      </w:r>
      <w:r w:rsidR="00907FBD" w:rsidRPr="001558A5">
        <w:rPr>
          <w:rFonts w:cs="Arial"/>
          <w:szCs w:val="20"/>
          <w:lang w:val="en-US"/>
        </w:rPr>
        <w:t>Chapter</w:t>
      </w:r>
      <w:r w:rsidR="00C93052" w:rsidRPr="001558A5">
        <w:rPr>
          <w:rFonts w:cs="Arial"/>
          <w:szCs w:val="20"/>
          <w:lang w:val="en-US"/>
        </w:rPr>
        <w:t xml:space="preserve"> VIII).</w:t>
      </w:r>
    </w:p>
    <w:p w14:paraId="0DB61DA5" w14:textId="193B001B" w:rsidR="00A3327D" w:rsidRPr="001558A5" w:rsidRDefault="002E7320" w:rsidP="00945CE2">
      <w:pPr>
        <w:pStyle w:val="Ttulo1"/>
        <w:rPr>
          <w:b w:val="0"/>
          <w:lang w:val="en-US"/>
        </w:rPr>
      </w:pPr>
      <w:bookmarkStart w:id="105" w:name="_ftnref258"/>
      <w:bookmarkStart w:id="106" w:name="_Toc73430063"/>
      <w:bookmarkEnd w:id="105"/>
      <w:r w:rsidRPr="001558A5">
        <w:rPr>
          <w:lang w:val="en-US"/>
        </w:rPr>
        <w:t>VIII</w:t>
      </w:r>
      <w:r w:rsidR="00457174" w:rsidRPr="001558A5">
        <w:rPr>
          <w:color w:val="FFFFFF" w:themeColor="background1"/>
          <w:lang w:val="en-US"/>
        </w:rPr>
        <w:t>.</w:t>
      </w:r>
      <w:r w:rsidR="00B16F66" w:rsidRPr="001558A5">
        <w:rPr>
          <w:lang w:val="en-US"/>
        </w:rPr>
        <w:br/>
      </w:r>
      <w:r w:rsidR="00871E19" w:rsidRPr="001558A5">
        <w:rPr>
          <w:lang w:val="en-US"/>
        </w:rPr>
        <w:t>REPARATIONS</w:t>
      </w:r>
      <w:r w:rsidR="00DE23C8" w:rsidRPr="001558A5">
        <w:rPr>
          <w:rStyle w:val="Refdenotaalpie"/>
          <w:lang w:val="en-US"/>
        </w:rPr>
        <w:footnoteReference w:id="164"/>
      </w:r>
      <w:bookmarkEnd w:id="106"/>
    </w:p>
    <w:p w14:paraId="553A626E" w14:textId="6F12C735" w:rsidR="002F19D8" w:rsidRPr="001558A5" w:rsidRDefault="00CA43BD" w:rsidP="00945CE2">
      <w:pPr>
        <w:widowControl w:val="0"/>
        <w:numPr>
          <w:ilvl w:val="0"/>
          <w:numId w:val="2"/>
        </w:numPr>
        <w:spacing w:before="120" w:after="120"/>
        <w:ind w:left="0" w:firstLine="0"/>
        <w:rPr>
          <w:lang w:val="en-US"/>
        </w:rPr>
      </w:pPr>
      <w:r w:rsidRPr="001558A5">
        <w:rPr>
          <w:lang w:val="en-US"/>
        </w:rPr>
        <w:t>Based</w:t>
      </w:r>
      <w:r w:rsidR="00640F05" w:rsidRPr="001558A5">
        <w:rPr>
          <w:lang w:val="en-US"/>
        </w:rPr>
        <w:t xml:space="preserve"> </w:t>
      </w:r>
      <w:r w:rsidRPr="001558A5">
        <w:rPr>
          <w:lang w:val="en-US"/>
        </w:rPr>
        <w:t>on the provisions of</w:t>
      </w:r>
      <w:r w:rsidR="006E0975" w:rsidRPr="001558A5">
        <w:rPr>
          <w:lang w:val="en-US"/>
        </w:rPr>
        <w:t xml:space="preserve"> </w:t>
      </w:r>
      <w:r w:rsidR="00871E19" w:rsidRPr="001558A5">
        <w:rPr>
          <w:lang w:val="en-US"/>
        </w:rPr>
        <w:t>Article</w:t>
      </w:r>
      <w:r w:rsidR="006E0975" w:rsidRPr="001558A5">
        <w:rPr>
          <w:lang w:val="en-US"/>
        </w:rPr>
        <w:t xml:space="preserve"> 63</w:t>
      </w:r>
      <w:r w:rsidRPr="001558A5">
        <w:rPr>
          <w:lang w:val="en-US"/>
        </w:rPr>
        <w:t>(</w:t>
      </w:r>
      <w:r w:rsidR="006E0975" w:rsidRPr="001558A5">
        <w:rPr>
          <w:lang w:val="en-US"/>
        </w:rPr>
        <w:t>1</w:t>
      </w:r>
      <w:r w:rsidRPr="001558A5">
        <w:rPr>
          <w:lang w:val="en-US"/>
        </w:rPr>
        <w:t>)</w:t>
      </w:r>
      <w:r w:rsidR="00DD4354" w:rsidRPr="001558A5">
        <w:rPr>
          <w:lang w:val="en-US"/>
        </w:rPr>
        <w:t xml:space="preserve"> of the </w:t>
      </w:r>
      <w:r w:rsidR="00871E19" w:rsidRPr="001558A5">
        <w:rPr>
          <w:lang w:val="en-US"/>
        </w:rPr>
        <w:t>American Convention</w:t>
      </w:r>
      <w:r w:rsidR="006E0975" w:rsidRPr="001558A5">
        <w:rPr>
          <w:lang w:val="en-US"/>
        </w:rPr>
        <w:t xml:space="preserve">, </w:t>
      </w:r>
      <w:r w:rsidR="00871E19" w:rsidRPr="001558A5">
        <w:rPr>
          <w:lang w:val="en-US"/>
        </w:rPr>
        <w:t>the Court</w:t>
      </w:r>
      <w:r w:rsidR="006E0975" w:rsidRPr="001558A5">
        <w:rPr>
          <w:lang w:val="en-US"/>
        </w:rPr>
        <w:t xml:space="preserve"> ha</w:t>
      </w:r>
      <w:r w:rsidR="00640F05" w:rsidRPr="001558A5">
        <w:rPr>
          <w:lang w:val="en-US"/>
        </w:rPr>
        <w:t>s indicated that any violation of an international obligation that has caused harm entails the obligation to make adequate reparation and that this provision reflects a customary norm that constitutes one of the fundamental principles of contemporary international law on State responsibility.</w:t>
      </w:r>
      <w:r w:rsidR="006E0975" w:rsidRPr="001558A5">
        <w:rPr>
          <w:rStyle w:val="Refdenotaalpie"/>
          <w:lang w:val="en-US"/>
        </w:rPr>
        <w:footnoteReference w:id="165"/>
      </w:r>
      <w:r w:rsidR="006E0975" w:rsidRPr="001558A5">
        <w:rPr>
          <w:lang w:val="en-US"/>
        </w:rPr>
        <w:t xml:space="preserve"> </w:t>
      </w:r>
    </w:p>
    <w:p w14:paraId="5F7D4A39" w14:textId="40C9BB14" w:rsidR="002F19D8" w:rsidRPr="001558A5" w:rsidRDefault="00640F05" w:rsidP="00134F57">
      <w:pPr>
        <w:widowControl w:val="0"/>
        <w:numPr>
          <w:ilvl w:val="0"/>
          <w:numId w:val="2"/>
        </w:numPr>
        <w:spacing w:before="120" w:after="120"/>
        <w:ind w:left="0" w:firstLine="0"/>
        <w:rPr>
          <w:szCs w:val="20"/>
          <w:lang w:val="en-US"/>
        </w:rPr>
      </w:pPr>
      <w:r w:rsidRPr="001558A5">
        <w:rPr>
          <w:lang w:val="en-US"/>
        </w:rPr>
        <w:t xml:space="preserve">Reparation of the harm caused by the violation of an international obligation requires, whenever possible, full restitution </w:t>
      </w:r>
      <w:r w:rsidR="002F19D8" w:rsidRPr="001558A5">
        <w:rPr>
          <w:i/>
          <w:lang w:val="en-US"/>
        </w:rPr>
        <w:t>(</w:t>
      </w:r>
      <w:proofErr w:type="spellStart"/>
      <w:r w:rsidR="002F19D8" w:rsidRPr="001558A5">
        <w:rPr>
          <w:i/>
          <w:lang w:val="en-US"/>
        </w:rPr>
        <w:t>restitutio</w:t>
      </w:r>
      <w:proofErr w:type="spellEnd"/>
      <w:r w:rsidR="002F19D8" w:rsidRPr="001558A5">
        <w:rPr>
          <w:i/>
          <w:lang w:val="en-US"/>
        </w:rPr>
        <w:t xml:space="preserve"> in </w:t>
      </w:r>
      <w:proofErr w:type="spellStart"/>
      <w:r w:rsidR="002F19D8" w:rsidRPr="001558A5">
        <w:rPr>
          <w:i/>
          <w:lang w:val="en-US"/>
        </w:rPr>
        <w:t>integrum</w:t>
      </w:r>
      <w:proofErr w:type="spellEnd"/>
      <w:r w:rsidR="002F19D8" w:rsidRPr="001558A5">
        <w:rPr>
          <w:i/>
          <w:lang w:val="en-US"/>
        </w:rPr>
        <w:t>)</w:t>
      </w:r>
      <w:r w:rsidR="002F19D8" w:rsidRPr="001558A5">
        <w:rPr>
          <w:lang w:val="en-US"/>
        </w:rPr>
        <w:t xml:space="preserve">, </w:t>
      </w:r>
      <w:r w:rsidRPr="001558A5">
        <w:rPr>
          <w:lang w:val="en-US"/>
        </w:rPr>
        <w:t>which consists in the re</w:t>
      </w:r>
      <w:r w:rsidR="00D217F1" w:rsidRPr="001558A5">
        <w:rPr>
          <w:lang w:val="en-US"/>
        </w:rPr>
        <w:t>-establishment</w:t>
      </w:r>
      <w:r w:rsidRPr="001558A5">
        <w:rPr>
          <w:lang w:val="en-US"/>
        </w:rPr>
        <w:t xml:space="preserve"> of the previous situation. If this is not feasible, as in most cases of human rights violations, the Court will determine measures to ensure the rights that have been violated and to redress the consequences of the violations.</w:t>
      </w:r>
      <w:r w:rsidR="002F19D8" w:rsidRPr="001558A5">
        <w:rPr>
          <w:rStyle w:val="Refdenotaalpie"/>
          <w:lang w:val="en-US"/>
        </w:rPr>
        <w:footnoteReference w:id="166"/>
      </w:r>
      <w:r w:rsidRPr="001558A5">
        <w:rPr>
          <w:lang w:val="en-US"/>
        </w:rPr>
        <w:t xml:space="preserve"> Therefore, the Court has found it necessary to grant diverse measures of reparation in order to redress the harm integrall</w:t>
      </w:r>
      <w:r w:rsidR="004405BE" w:rsidRPr="001558A5">
        <w:rPr>
          <w:lang w:val="en-US"/>
        </w:rPr>
        <w:t>y and</w:t>
      </w:r>
      <w:r w:rsidR="00134F57" w:rsidRPr="001558A5">
        <w:rPr>
          <w:lang w:val="en-US"/>
        </w:rPr>
        <w:t>,</w:t>
      </w:r>
      <w:r w:rsidRPr="001558A5">
        <w:rPr>
          <w:lang w:val="en-US"/>
        </w:rPr>
        <w:t xml:space="preserve"> in addition to pecuniary compensation, measures of restitution, rehabilitation and satisfaction</w:t>
      </w:r>
      <w:r w:rsidR="00134F57" w:rsidRPr="001558A5">
        <w:rPr>
          <w:lang w:val="en-US"/>
        </w:rPr>
        <w:t>, and guarantees of non-repetition have special relevance for the harm caused.</w:t>
      </w:r>
      <w:r w:rsidR="002F19D8" w:rsidRPr="001558A5">
        <w:rPr>
          <w:rStyle w:val="Refdenotaalpie"/>
          <w:lang w:val="en-US"/>
        </w:rPr>
        <w:footnoteReference w:id="167"/>
      </w:r>
    </w:p>
    <w:p w14:paraId="5BD0DAEC" w14:textId="04450090" w:rsidR="006E0975" w:rsidRPr="001558A5" w:rsidRDefault="00134F57" w:rsidP="00945CE2">
      <w:pPr>
        <w:widowControl w:val="0"/>
        <w:numPr>
          <w:ilvl w:val="0"/>
          <w:numId w:val="2"/>
        </w:numPr>
        <w:spacing w:before="120" w:after="120"/>
        <w:ind w:left="0" w:firstLine="0"/>
        <w:rPr>
          <w:lang w:val="en-US"/>
        </w:rPr>
      </w:pPr>
      <w:r w:rsidRPr="001558A5">
        <w:rPr>
          <w:lang w:val="en-US"/>
        </w:rPr>
        <w:t xml:space="preserve">In addition, the Court has established that the reparations should have a causal nexus with the facts of the case, the violations declared, the harm proved, and the measures requested to redress the respective harm. Accordingly, the Court must analyze this concurrence in order to rule </w:t>
      </w:r>
      <w:r w:rsidR="004405BE" w:rsidRPr="001558A5">
        <w:rPr>
          <w:lang w:val="en-US"/>
        </w:rPr>
        <w:t>appropriately</w:t>
      </w:r>
      <w:r w:rsidRPr="001558A5">
        <w:rPr>
          <w:lang w:val="en-US"/>
        </w:rPr>
        <w:t xml:space="preserve"> and according to law.</w:t>
      </w:r>
      <w:r w:rsidR="006E0975" w:rsidRPr="001558A5">
        <w:rPr>
          <w:vertAlign w:val="superscript"/>
          <w:lang w:val="en-US"/>
        </w:rPr>
        <w:footnoteReference w:id="168"/>
      </w:r>
    </w:p>
    <w:p w14:paraId="766B7269" w14:textId="51F65CC3" w:rsidR="006E0975" w:rsidRPr="001558A5" w:rsidRDefault="00134F57" w:rsidP="00945CE2">
      <w:pPr>
        <w:widowControl w:val="0"/>
        <w:numPr>
          <w:ilvl w:val="0"/>
          <w:numId w:val="2"/>
        </w:numPr>
        <w:spacing w:before="120" w:after="120"/>
        <w:ind w:left="0" w:firstLine="0"/>
        <w:rPr>
          <w:szCs w:val="20"/>
          <w:lang w:val="en-US"/>
        </w:rPr>
      </w:pPr>
      <w:r w:rsidRPr="001558A5">
        <w:rPr>
          <w:lang w:val="en-US"/>
        </w:rPr>
        <w:t xml:space="preserve">Consequently, based on the considerations on the merits and the violations of the Convention declared in this judgment, the Court will proceed to examine the claims presented by </w:t>
      </w:r>
      <w:r w:rsidR="00871E19" w:rsidRPr="001558A5">
        <w:rPr>
          <w:lang w:val="en-US"/>
        </w:rPr>
        <w:t>the Commission</w:t>
      </w:r>
      <w:r w:rsidR="00DD4354" w:rsidRPr="001558A5">
        <w:rPr>
          <w:lang w:val="en-US"/>
        </w:rPr>
        <w:t xml:space="preserve"> and the </w:t>
      </w:r>
      <w:r w:rsidRPr="001558A5">
        <w:rPr>
          <w:lang w:val="en-US"/>
        </w:rPr>
        <w:t xml:space="preserve">victims’ </w:t>
      </w:r>
      <w:r w:rsidR="00DD4354" w:rsidRPr="001558A5">
        <w:rPr>
          <w:lang w:val="en-US"/>
        </w:rPr>
        <w:t>representatives</w:t>
      </w:r>
      <w:r w:rsidRPr="001558A5">
        <w:rPr>
          <w:lang w:val="en-US"/>
        </w:rPr>
        <w:t xml:space="preserve">, as well as the State’s observations on these, in light of the criteria established in its case law on the nature and scope of the obligation to make reparation, in order to establish measures </w:t>
      </w:r>
      <w:r w:rsidR="004405BE" w:rsidRPr="001558A5">
        <w:rPr>
          <w:lang w:val="en-US"/>
        </w:rPr>
        <w:t>to</w:t>
      </w:r>
      <w:r w:rsidRPr="001558A5">
        <w:rPr>
          <w:lang w:val="en-US"/>
        </w:rPr>
        <w:t xml:space="preserve"> redress the harm caused.</w:t>
      </w:r>
      <w:r w:rsidR="006E0975" w:rsidRPr="001558A5">
        <w:rPr>
          <w:rStyle w:val="Refdenotaalpie"/>
          <w:lang w:val="en-US"/>
        </w:rPr>
        <w:footnoteReference w:id="169"/>
      </w:r>
    </w:p>
    <w:p w14:paraId="2EBEBC4B" w14:textId="6F1CA075" w:rsidR="007A666F" w:rsidRPr="001558A5" w:rsidRDefault="00134F57" w:rsidP="00945CE2">
      <w:pPr>
        <w:pStyle w:val="Ttulo2"/>
        <w:numPr>
          <w:ilvl w:val="0"/>
          <w:numId w:val="25"/>
        </w:numPr>
        <w:spacing w:before="240" w:after="240"/>
        <w:rPr>
          <w:rFonts w:ascii="Verdana" w:hAnsi="Verdana"/>
          <w:i/>
          <w:color w:val="auto"/>
          <w:sz w:val="20"/>
          <w:szCs w:val="20"/>
          <w:lang w:val="en-US"/>
        </w:rPr>
      </w:pPr>
      <w:r w:rsidRPr="001558A5">
        <w:rPr>
          <w:rFonts w:ascii="Verdana" w:hAnsi="Verdana"/>
          <w:i/>
          <w:color w:val="auto"/>
          <w:sz w:val="20"/>
          <w:szCs w:val="20"/>
          <w:lang w:val="en-US"/>
        </w:rPr>
        <w:t>Injured party</w:t>
      </w:r>
    </w:p>
    <w:p w14:paraId="75F162CB" w14:textId="779B22AA" w:rsidR="00134F57" w:rsidRPr="001558A5" w:rsidRDefault="00134F57" w:rsidP="00945CE2">
      <w:pPr>
        <w:widowControl w:val="0"/>
        <w:numPr>
          <w:ilvl w:val="0"/>
          <w:numId w:val="2"/>
        </w:numPr>
        <w:spacing w:before="120" w:after="120"/>
        <w:ind w:left="0" w:firstLine="0"/>
        <w:rPr>
          <w:szCs w:val="20"/>
          <w:lang w:val="en-US"/>
        </w:rPr>
      </w:pPr>
      <w:r w:rsidRPr="001558A5">
        <w:rPr>
          <w:szCs w:val="20"/>
          <w:lang w:val="en-US"/>
        </w:rPr>
        <w:t xml:space="preserve">The Court considers that, pursuant to Article 63(1) of the Convention, anyone who has been declared a victim of the violation of any rights recognized therein is the injured party. Therefore, the Court considers that Vicky Hernández, her mother Rosa </w:t>
      </w:r>
      <w:proofErr w:type="spellStart"/>
      <w:r w:rsidRPr="001558A5">
        <w:rPr>
          <w:szCs w:val="20"/>
          <w:lang w:val="en-US"/>
        </w:rPr>
        <w:t>Argelia</w:t>
      </w:r>
      <w:proofErr w:type="spellEnd"/>
      <w:r w:rsidRPr="001558A5">
        <w:rPr>
          <w:szCs w:val="20"/>
          <w:lang w:val="en-US"/>
        </w:rPr>
        <w:t xml:space="preserve"> Hernández </w:t>
      </w:r>
      <w:proofErr w:type="spellStart"/>
      <w:r w:rsidRPr="001558A5">
        <w:rPr>
          <w:szCs w:val="20"/>
          <w:lang w:val="en-US"/>
        </w:rPr>
        <w:t>Martínez</w:t>
      </w:r>
      <w:proofErr w:type="spellEnd"/>
      <w:r w:rsidRPr="001558A5">
        <w:rPr>
          <w:szCs w:val="20"/>
          <w:lang w:val="en-US"/>
        </w:rPr>
        <w:t xml:space="preserve">, her sister </w:t>
      </w:r>
      <w:proofErr w:type="spellStart"/>
      <w:r w:rsidRPr="001558A5">
        <w:rPr>
          <w:szCs w:val="20"/>
          <w:lang w:val="en-US"/>
        </w:rPr>
        <w:t>Merelin</w:t>
      </w:r>
      <w:proofErr w:type="spellEnd"/>
      <w:r w:rsidRPr="001558A5">
        <w:rPr>
          <w:szCs w:val="20"/>
          <w:lang w:val="en-US"/>
        </w:rPr>
        <w:t xml:space="preserve"> Tatiana </w:t>
      </w:r>
      <w:proofErr w:type="spellStart"/>
      <w:r w:rsidRPr="001558A5">
        <w:rPr>
          <w:szCs w:val="20"/>
          <w:lang w:val="en-US"/>
        </w:rPr>
        <w:t>Rápalo</w:t>
      </w:r>
      <w:proofErr w:type="spellEnd"/>
      <w:r w:rsidRPr="001558A5">
        <w:rPr>
          <w:szCs w:val="20"/>
          <w:lang w:val="en-US"/>
        </w:rPr>
        <w:t xml:space="preserve"> Hernández, and her niece </w:t>
      </w:r>
      <w:proofErr w:type="spellStart"/>
      <w:r w:rsidRPr="001558A5">
        <w:rPr>
          <w:szCs w:val="20"/>
          <w:lang w:val="en-US"/>
        </w:rPr>
        <w:t>Argelia</w:t>
      </w:r>
      <w:proofErr w:type="spellEnd"/>
      <w:r w:rsidRPr="001558A5">
        <w:rPr>
          <w:szCs w:val="20"/>
          <w:lang w:val="en-US"/>
        </w:rPr>
        <w:t xml:space="preserve"> Johana Reyes Ríos are the “injured party” and, as victims of the violations declared in Chapter VII, they will be considered beneficiaries of the reparations ordered by the Court.</w:t>
      </w:r>
    </w:p>
    <w:p w14:paraId="41A8F41C" w14:textId="3DDA5D9A" w:rsidR="002F19D8" w:rsidRPr="001558A5" w:rsidRDefault="00134F57" w:rsidP="00945CE2">
      <w:pPr>
        <w:pStyle w:val="Ttulo2"/>
        <w:numPr>
          <w:ilvl w:val="0"/>
          <w:numId w:val="25"/>
        </w:numPr>
        <w:spacing w:before="240" w:after="240"/>
        <w:rPr>
          <w:rFonts w:ascii="Verdana" w:hAnsi="Verdana"/>
          <w:i/>
          <w:color w:val="auto"/>
          <w:sz w:val="20"/>
          <w:szCs w:val="20"/>
          <w:lang w:val="en-US"/>
        </w:rPr>
      </w:pPr>
      <w:bookmarkStart w:id="107" w:name="_Toc192588"/>
      <w:r w:rsidRPr="001558A5">
        <w:rPr>
          <w:rFonts w:ascii="Verdana" w:hAnsi="Verdana"/>
          <w:i/>
          <w:color w:val="auto"/>
          <w:sz w:val="20"/>
          <w:szCs w:val="20"/>
          <w:lang w:val="en-US"/>
        </w:rPr>
        <w:t>Obligation to investigate</w:t>
      </w:r>
    </w:p>
    <w:p w14:paraId="7862458B" w14:textId="0838BD37" w:rsidR="007111B6" w:rsidRPr="001558A5" w:rsidRDefault="00871E19" w:rsidP="00945CE2">
      <w:pPr>
        <w:widowControl w:val="0"/>
        <w:numPr>
          <w:ilvl w:val="0"/>
          <w:numId w:val="2"/>
        </w:numPr>
        <w:spacing w:before="120" w:after="120"/>
        <w:ind w:left="0" w:firstLine="0"/>
        <w:rPr>
          <w:lang w:val="en-US"/>
        </w:rPr>
      </w:pPr>
      <w:r w:rsidRPr="001558A5">
        <w:rPr>
          <w:lang w:val="en-US"/>
        </w:rPr>
        <w:t xml:space="preserve">The </w:t>
      </w:r>
      <w:r w:rsidRPr="001558A5">
        <w:rPr>
          <w:b/>
          <w:bCs/>
          <w:i/>
          <w:iCs/>
          <w:lang w:val="en-US"/>
        </w:rPr>
        <w:t>Commission</w:t>
      </w:r>
      <w:r w:rsidR="002F19D8" w:rsidRPr="001558A5">
        <w:rPr>
          <w:lang w:val="en-US"/>
        </w:rPr>
        <w:t xml:space="preserve"> </w:t>
      </w:r>
      <w:r w:rsidR="007111B6" w:rsidRPr="001558A5">
        <w:rPr>
          <w:lang w:val="en-US"/>
        </w:rPr>
        <w:t xml:space="preserve">asked that the Court order the State to continue </w:t>
      </w:r>
      <w:r w:rsidR="007111B6" w:rsidRPr="001558A5">
        <w:rPr>
          <w:rFonts w:eastAsia="Times New Roman" w:cs="Tahoma"/>
          <w:szCs w:val="20"/>
          <w:lang w:val="en-US"/>
        </w:rPr>
        <w:t>the criminal investigation in a diligent and effective manner</w:t>
      </w:r>
      <w:r w:rsidR="00755FEB" w:rsidRPr="001558A5">
        <w:rPr>
          <w:rFonts w:eastAsia="Times New Roman" w:cs="Tahoma"/>
          <w:szCs w:val="20"/>
          <w:lang w:val="en-US"/>
        </w:rPr>
        <w:t>,</w:t>
      </w:r>
      <w:r w:rsidR="007111B6" w:rsidRPr="001558A5">
        <w:rPr>
          <w:rFonts w:eastAsia="Times New Roman" w:cs="Tahoma"/>
          <w:szCs w:val="20"/>
          <w:lang w:val="en-US"/>
        </w:rPr>
        <w:t xml:space="preserve"> within a reasonable time</w:t>
      </w:r>
      <w:r w:rsidR="00755FEB" w:rsidRPr="001558A5">
        <w:rPr>
          <w:rFonts w:eastAsia="Times New Roman" w:cs="Tahoma"/>
          <w:szCs w:val="20"/>
          <w:lang w:val="en-US"/>
        </w:rPr>
        <w:t>,</w:t>
      </w:r>
      <w:r w:rsidR="007111B6" w:rsidRPr="001558A5">
        <w:rPr>
          <w:rFonts w:eastAsia="Times New Roman" w:cs="Tahoma"/>
          <w:szCs w:val="20"/>
          <w:lang w:val="en-US"/>
        </w:rPr>
        <w:t xml:space="preserve"> in order to fully clarify the </w:t>
      </w:r>
      <w:r w:rsidR="00755FEB" w:rsidRPr="001558A5">
        <w:rPr>
          <w:rFonts w:eastAsia="Times New Roman" w:cs="Tahoma"/>
          <w:szCs w:val="20"/>
          <w:lang w:val="en-US"/>
        </w:rPr>
        <w:t>facts</w:t>
      </w:r>
      <w:r w:rsidR="007111B6" w:rsidRPr="001558A5">
        <w:rPr>
          <w:rFonts w:eastAsia="Times New Roman" w:cs="Tahoma"/>
          <w:szCs w:val="20"/>
          <w:lang w:val="en-US"/>
        </w:rPr>
        <w:t>, identify all those who bear possible responsibility, and impose the appropriate p</w:t>
      </w:r>
      <w:r w:rsidR="00105739" w:rsidRPr="001558A5">
        <w:rPr>
          <w:rFonts w:eastAsia="Times New Roman" w:cs="Tahoma"/>
          <w:szCs w:val="20"/>
          <w:lang w:val="en-US"/>
        </w:rPr>
        <w:t>unishments</w:t>
      </w:r>
      <w:r w:rsidR="007111B6" w:rsidRPr="001558A5">
        <w:rPr>
          <w:rFonts w:eastAsia="Times New Roman" w:cs="Tahoma"/>
          <w:szCs w:val="20"/>
          <w:lang w:val="en-US"/>
        </w:rPr>
        <w:t xml:space="preserve"> for the human rights violations declared in the report. </w:t>
      </w:r>
    </w:p>
    <w:p w14:paraId="37B71011" w14:textId="432D076B" w:rsidR="00105739" w:rsidRPr="001558A5" w:rsidRDefault="00DD4354" w:rsidP="00945CE2">
      <w:pPr>
        <w:widowControl w:val="0"/>
        <w:numPr>
          <w:ilvl w:val="0"/>
          <w:numId w:val="2"/>
        </w:numPr>
        <w:spacing w:before="120" w:after="120"/>
        <w:ind w:left="0" w:firstLine="0"/>
        <w:rPr>
          <w:lang w:val="en-US"/>
        </w:rPr>
      </w:pPr>
      <w:r w:rsidRPr="001558A5">
        <w:rPr>
          <w:lang w:val="en-US"/>
        </w:rPr>
        <w:t xml:space="preserve">The </w:t>
      </w:r>
      <w:r w:rsidRPr="001558A5">
        <w:rPr>
          <w:b/>
          <w:bCs/>
          <w:i/>
          <w:iCs/>
          <w:lang w:val="en-US"/>
        </w:rPr>
        <w:t>representatives</w:t>
      </w:r>
      <w:r w:rsidR="002F19D8" w:rsidRPr="001558A5">
        <w:rPr>
          <w:b/>
          <w:i/>
          <w:lang w:val="en-US"/>
        </w:rPr>
        <w:t xml:space="preserve"> </w:t>
      </w:r>
      <w:r w:rsidR="00105739" w:rsidRPr="001558A5">
        <w:rPr>
          <w:lang w:val="en-US"/>
        </w:rPr>
        <w:t>agreed with</w:t>
      </w:r>
      <w:r w:rsidR="002F19D8" w:rsidRPr="001558A5">
        <w:rPr>
          <w:lang w:val="en-US"/>
        </w:rPr>
        <w:t xml:space="preserve"> </w:t>
      </w:r>
      <w:r w:rsidR="00871E19" w:rsidRPr="001558A5">
        <w:rPr>
          <w:lang w:val="en-US"/>
        </w:rPr>
        <w:t>the Commission</w:t>
      </w:r>
      <w:r w:rsidRPr="001558A5">
        <w:rPr>
          <w:lang w:val="en-US"/>
        </w:rPr>
        <w:t xml:space="preserve"> and </w:t>
      </w:r>
      <w:r w:rsidR="00105739" w:rsidRPr="001558A5">
        <w:rPr>
          <w:lang w:val="en-US"/>
        </w:rPr>
        <w:t xml:space="preserve">asked that the Court order the State of Honduras to investigate the </w:t>
      </w:r>
      <w:r w:rsidR="00755FEB" w:rsidRPr="001558A5">
        <w:rPr>
          <w:lang w:val="en-US"/>
        </w:rPr>
        <w:t>facts</w:t>
      </w:r>
      <w:r w:rsidR="00105739" w:rsidRPr="001558A5">
        <w:rPr>
          <w:lang w:val="en-US"/>
        </w:rPr>
        <w:t xml:space="preserve"> through the competent organs of justice and that, to this end, the State must provide the authorities in charge of the investigation with all necessary means to conduct it. They added that the investigation should be aimed at clarifying the facts fully, identifying all the possible masterminds and perpetrators, and imposing the corresponding punishments. They also indicated that it was crucial that the main lines of investigation included the direct participation of state agents in Vicky’s execution</w:t>
      </w:r>
      <w:r w:rsidR="00755FEB" w:rsidRPr="001558A5">
        <w:rPr>
          <w:lang w:val="en-US"/>
        </w:rPr>
        <w:t>,</w:t>
      </w:r>
      <w:r w:rsidR="00105739" w:rsidRPr="001558A5">
        <w:rPr>
          <w:lang w:val="en-US"/>
        </w:rPr>
        <w:t xml:space="preserve"> the perpetration of a hate crime, and the possible presence of sexual violence. Lastly, they </w:t>
      </w:r>
      <w:r w:rsidR="00755FEB" w:rsidRPr="001558A5">
        <w:rPr>
          <w:lang w:val="en-US"/>
        </w:rPr>
        <w:t>asked</w:t>
      </w:r>
      <w:r w:rsidR="00105739" w:rsidRPr="001558A5">
        <w:rPr>
          <w:lang w:val="en-US"/>
        </w:rPr>
        <w:t xml:space="preserve"> the Court </w:t>
      </w:r>
      <w:r w:rsidR="00755FEB" w:rsidRPr="001558A5">
        <w:rPr>
          <w:lang w:val="en-US"/>
        </w:rPr>
        <w:t xml:space="preserve">to </w:t>
      </w:r>
      <w:r w:rsidR="00105739" w:rsidRPr="001558A5">
        <w:rPr>
          <w:lang w:val="en-US"/>
        </w:rPr>
        <w:t xml:space="preserve">order the State to determine the disciplinary responsibility of the public servants and agents </w:t>
      </w:r>
      <w:r w:rsidR="006252B7" w:rsidRPr="001558A5">
        <w:rPr>
          <w:lang w:val="en-US"/>
        </w:rPr>
        <w:t>culpable of</w:t>
      </w:r>
      <w:r w:rsidR="00105739" w:rsidRPr="001558A5">
        <w:rPr>
          <w:lang w:val="en-US"/>
        </w:rPr>
        <w:t xml:space="preserve"> </w:t>
      </w:r>
      <w:r w:rsidR="006252B7" w:rsidRPr="001558A5">
        <w:rPr>
          <w:lang w:val="en-US"/>
        </w:rPr>
        <w:t xml:space="preserve">the </w:t>
      </w:r>
      <w:r w:rsidR="00105739" w:rsidRPr="001558A5">
        <w:rPr>
          <w:lang w:val="en-US"/>
        </w:rPr>
        <w:t>negligence and errors committed in the investigation of the case.</w:t>
      </w:r>
    </w:p>
    <w:p w14:paraId="5B37AA36" w14:textId="09EF350F" w:rsidR="00D56C19" w:rsidRPr="001558A5" w:rsidRDefault="00DD4354" w:rsidP="00945CE2">
      <w:pPr>
        <w:widowControl w:val="0"/>
        <w:numPr>
          <w:ilvl w:val="0"/>
          <w:numId w:val="2"/>
        </w:numPr>
        <w:spacing w:before="120" w:after="120"/>
        <w:ind w:left="0" w:firstLine="0"/>
        <w:rPr>
          <w:lang w:val="en-US"/>
        </w:rPr>
      </w:pPr>
      <w:r w:rsidRPr="001558A5">
        <w:rPr>
          <w:szCs w:val="20"/>
          <w:lang w:val="en-US"/>
        </w:rPr>
        <w:t xml:space="preserve">The </w:t>
      </w:r>
      <w:r w:rsidRPr="001558A5">
        <w:rPr>
          <w:b/>
          <w:bCs/>
          <w:i/>
          <w:iCs/>
          <w:szCs w:val="20"/>
          <w:lang w:val="en-US"/>
        </w:rPr>
        <w:t>State</w:t>
      </w:r>
      <w:r w:rsidR="002F19D8" w:rsidRPr="001558A5">
        <w:rPr>
          <w:b/>
          <w:bCs/>
          <w:i/>
          <w:iCs/>
          <w:szCs w:val="20"/>
          <w:lang w:val="en-US"/>
        </w:rPr>
        <w:t xml:space="preserve"> </w:t>
      </w:r>
      <w:bookmarkEnd w:id="107"/>
      <w:r w:rsidR="00604EBA" w:rsidRPr="001558A5">
        <w:rPr>
          <w:szCs w:val="20"/>
          <w:lang w:val="en-US"/>
        </w:rPr>
        <w:t>reiter</w:t>
      </w:r>
      <w:r w:rsidR="00D56C19" w:rsidRPr="001558A5">
        <w:rPr>
          <w:szCs w:val="20"/>
          <w:lang w:val="en-US"/>
        </w:rPr>
        <w:t xml:space="preserve">ated that it denied that the </w:t>
      </w:r>
      <w:r w:rsidR="006252B7" w:rsidRPr="001558A5">
        <w:rPr>
          <w:szCs w:val="20"/>
          <w:lang w:val="en-US"/>
        </w:rPr>
        <w:t>facts</w:t>
      </w:r>
      <w:r w:rsidR="00D56C19" w:rsidRPr="001558A5">
        <w:rPr>
          <w:szCs w:val="20"/>
          <w:lang w:val="en-US"/>
        </w:rPr>
        <w:t xml:space="preserve"> could be classified as an extrajudicial execution or a hate crime because the participation of state agents had not been proved</w:t>
      </w:r>
      <w:r w:rsidR="003E1222" w:rsidRPr="001558A5">
        <w:rPr>
          <w:szCs w:val="20"/>
          <w:lang w:val="en-US"/>
        </w:rPr>
        <w:t>. Therefore, it dis</w:t>
      </w:r>
      <w:r w:rsidR="006252B7" w:rsidRPr="001558A5">
        <w:rPr>
          <w:szCs w:val="20"/>
          <w:lang w:val="en-US"/>
        </w:rPr>
        <w:t>agreed</w:t>
      </w:r>
      <w:r w:rsidR="003E1222" w:rsidRPr="001558A5">
        <w:rPr>
          <w:szCs w:val="20"/>
          <w:lang w:val="en-US"/>
        </w:rPr>
        <w:t xml:space="preserve"> that the main lines of investigation </w:t>
      </w:r>
      <w:r w:rsidR="006252B7" w:rsidRPr="001558A5">
        <w:rPr>
          <w:szCs w:val="20"/>
          <w:lang w:val="en-US"/>
        </w:rPr>
        <w:t xml:space="preserve">should seek to </w:t>
      </w:r>
      <w:r w:rsidR="003E1222" w:rsidRPr="001558A5">
        <w:rPr>
          <w:szCs w:val="20"/>
          <w:lang w:val="en-US"/>
        </w:rPr>
        <w:t xml:space="preserve">establish the direct participation of state agents. </w:t>
      </w:r>
    </w:p>
    <w:p w14:paraId="12FBDA0D" w14:textId="3BDF776D" w:rsidR="003E1222" w:rsidRPr="001558A5" w:rsidRDefault="003E1222" w:rsidP="003E1222">
      <w:pPr>
        <w:widowControl w:val="0"/>
        <w:numPr>
          <w:ilvl w:val="0"/>
          <w:numId w:val="2"/>
        </w:numPr>
        <w:spacing w:before="120" w:after="120"/>
        <w:ind w:left="0" w:firstLine="0"/>
        <w:rPr>
          <w:lang w:val="en-US"/>
        </w:rPr>
      </w:pPr>
      <w:bookmarkStart w:id="108" w:name="_Ref33109385"/>
      <w:r w:rsidRPr="001558A5">
        <w:rPr>
          <w:lang w:val="en-US"/>
        </w:rPr>
        <w:t xml:space="preserve">In light of the conclusions in </w:t>
      </w:r>
      <w:r w:rsidR="004E4879" w:rsidRPr="001558A5">
        <w:rPr>
          <w:lang w:val="en-US"/>
        </w:rPr>
        <w:t>this judgment</w:t>
      </w:r>
      <w:r w:rsidR="00DD4354" w:rsidRPr="001558A5">
        <w:rPr>
          <w:lang w:val="en-US"/>
        </w:rPr>
        <w:t xml:space="preserve"> and </w:t>
      </w:r>
      <w:r w:rsidRPr="001558A5">
        <w:rPr>
          <w:lang w:val="en-US"/>
        </w:rPr>
        <w:t>the</w:t>
      </w:r>
      <w:r w:rsidR="00BC7E5B" w:rsidRPr="001558A5">
        <w:rPr>
          <w:lang w:val="en-US"/>
        </w:rPr>
        <w:t xml:space="preserve"> </w:t>
      </w:r>
      <w:r w:rsidR="00973D19" w:rsidRPr="001558A5">
        <w:rPr>
          <w:lang w:val="en-US"/>
        </w:rPr>
        <w:t>acknowledgement of responsibility</w:t>
      </w:r>
      <w:r w:rsidR="00BC7E5B" w:rsidRPr="001558A5">
        <w:rPr>
          <w:lang w:val="en-US"/>
        </w:rPr>
        <w:t xml:space="preserve"> </w:t>
      </w:r>
      <w:r w:rsidRPr="001558A5">
        <w:rPr>
          <w:lang w:val="en-US"/>
        </w:rPr>
        <w:t>made by</w:t>
      </w:r>
      <w:r w:rsidR="00BC7E5B" w:rsidRPr="001558A5">
        <w:rPr>
          <w:lang w:val="en-US"/>
        </w:rPr>
        <w:t xml:space="preserve"> </w:t>
      </w:r>
      <w:r w:rsidR="00DD4354" w:rsidRPr="001558A5">
        <w:rPr>
          <w:lang w:val="en-US"/>
        </w:rPr>
        <w:t>the State</w:t>
      </w:r>
      <w:r w:rsidR="00BC7E5B" w:rsidRPr="001558A5">
        <w:rPr>
          <w:lang w:val="en-US"/>
        </w:rPr>
        <w:t xml:space="preserve"> </w:t>
      </w:r>
      <w:r w:rsidRPr="001558A5">
        <w:rPr>
          <w:lang w:val="en-US"/>
        </w:rPr>
        <w:t xml:space="preserve">concerning the </w:t>
      </w:r>
      <w:r w:rsidR="006252B7" w:rsidRPr="001558A5">
        <w:rPr>
          <w:lang w:val="en-US"/>
        </w:rPr>
        <w:t>violation</w:t>
      </w:r>
      <w:r w:rsidRPr="001558A5">
        <w:rPr>
          <w:lang w:val="en-US"/>
        </w:rPr>
        <w:t xml:space="preserve"> of the duty to investigate, the Court establishes that the State, within a reasonable time and through official</w:t>
      </w:r>
      <w:r w:rsidR="006252B7" w:rsidRPr="001558A5">
        <w:rPr>
          <w:lang w:val="en-US"/>
        </w:rPr>
        <w:t>s</w:t>
      </w:r>
      <w:r w:rsidRPr="001558A5">
        <w:rPr>
          <w:lang w:val="en-US"/>
        </w:rPr>
        <w:t xml:space="preserve"> training in </w:t>
      </w:r>
      <w:r w:rsidR="006252B7" w:rsidRPr="001558A5">
        <w:rPr>
          <w:lang w:val="en-US"/>
        </w:rPr>
        <w:t>responding</w:t>
      </w:r>
      <w:r w:rsidRPr="001558A5">
        <w:rPr>
          <w:lang w:val="en-US"/>
        </w:rPr>
        <w:t xml:space="preserve"> to victims of discrimination and violence against trans persons, must promote and continue the necessary extensive, systematic and thorough investigations to determine, prosecute and punish, as appropriate, those responsible for the murder of Vicky Hernández, avoiding the application of discriminatory stereotyp</w:t>
      </w:r>
      <w:r w:rsidR="006252B7" w:rsidRPr="001558A5">
        <w:rPr>
          <w:lang w:val="en-US"/>
        </w:rPr>
        <w:t>ing</w:t>
      </w:r>
      <w:r w:rsidRPr="001558A5">
        <w:rPr>
          <w:lang w:val="en-US"/>
        </w:rPr>
        <w:t xml:space="preserve"> and any action that could </w:t>
      </w:r>
      <w:proofErr w:type="spellStart"/>
      <w:r w:rsidRPr="001558A5">
        <w:rPr>
          <w:lang w:val="en-US"/>
        </w:rPr>
        <w:t>revictimize</w:t>
      </w:r>
      <w:proofErr w:type="spellEnd"/>
      <w:r w:rsidRPr="001558A5">
        <w:rPr>
          <w:lang w:val="en-US"/>
        </w:rPr>
        <w:t xml:space="preserve"> her family members.</w:t>
      </w:r>
      <w:r w:rsidR="002F19D8" w:rsidRPr="001558A5">
        <w:rPr>
          <w:vertAlign w:val="superscript"/>
          <w:lang w:val="en-US"/>
        </w:rPr>
        <w:footnoteReference w:id="170"/>
      </w:r>
      <w:bookmarkEnd w:id="108"/>
      <w:r w:rsidRPr="001558A5">
        <w:rPr>
          <w:lang w:val="en-US"/>
        </w:rPr>
        <w:t xml:space="preserve"> This investigation must follow specific lines of investigation </w:t>
      </w:r>
      <w:r w:rsidR="006252B7" w:rsidRPr="001558A5">
        <w:rPr>
          <w:lang w:val="en-US"/>
        </w:rPr>
        <w:t>that take into account</w:t>
      </w:r>
      <w:r w:rsidRPr="001558A5">
        <w:rPr>
          <w:lang w:val="en-US"/>
        </w:rPr>
        <w:t xml:space="preserve"> the victim’s</w:t>
      </w:r>
      <w:r w:rsidR="00092583" w:rsidRPr="001558A5">
        <w:rPr>
          <w:lang w:val="en-US"/>
        </w:rPr>
        <w:t xml:space="preserve"> </w:t>
      </w:r>
      <w:r w:rsidR="00DF7573" w:rsidRPr="001558A5">
        <w:rPr>
          <w:lang w:val="en-US"/>
        </w:rPr>
        <w:t>gender identity</w:t>
      </w:r>
      <w:r w:rsidR="00092583" w:rsidRPr="001558A5">
        <w:rPr>
          <w:lang w:val="en-US"/>
        </w:rPr>
        <w:t xml:space="preserve"> </w:t>
      </w:r>
      <w:r w:rsidRPr="001558A5">
        <w:rPr>
          <w:lang w:val="en-US"/>
        </w:rPr>
        <w:t xml:space="preserve">and the possibility that her murder was related to this identity and/or her </w:t>
      </w:r>
      <w:r w:rsidR="006252B7" w:rsidRPr="001558A5">
        <w:rPr>
          <w:lang w:val="en-US"/>
        </w:rPr>
        <w:t xml:space="preserve">activities </w:t>
      </w:r>
      <w:r w:rsidRPr="001558A5">
        <w:rPr>
          <w:lang w:val="en-US"/>
        </w:rPr>
        <w:t>as a defender of the rights of LGBTI persons and a</w:t>
      </w:r>
      <w:r w:rsidR="006252B7" w:rsidRPr="001558A5">
        <w:rPr>
          <w:lang w:val="en-US"/>
        </w:rPr>
        <w:t>s a</w:t>
      </w:r>
      <w:r w:rsidRPr="001558A5">
        <w:rPr>
          <w:lang w:val="en-US"/>
        </w:rPr>
        <w:t xml:space="preserve"> sex worker, as well as the possibility that acts of sexual violence had been committed against her. Also, the investigation must be conducted objectively, </w:t>
      </w:r>
      <w:r w:rsidR="006252B7" w:rsidRPr="001558A5">
        <w:rPr>
          <w:lang w:val="en-US"/>
        </w:rPr>
        <w:t>rather than</w:t>
      </w:r>
      <w:r w:rsidRPr="001558A5">
        <w:rPr>
          <w:lang w:val="en-US"/>
        </w:rPr>
        <w:t xml:space="preserve"> starting out with a preconceived notion that state agents were not involved. The investigation must also be conducted based on the special investigation protocols that the State must adopt </w:t>
      </w:r>
      <w:r w:rsidR="006252B7" w:rsidRPr="001558A5">
        <w:rPr>
          <w:lang w:val="en-US"/>
        </w:rPr>
        <w:t>and that are</w:t>
      </w:r>
      <w:r w:rsidRPr="001558A5">
        <w:rPr>
          <w:lang w:val="en-US"/>
        </w:rPr>
        <w:t xml:space="preserve"> established below</w:t>
      </w:r>
      <w:r w:rsidR="00092583" w:rsidRPr="001558A5">
        <w:rPr>
          <w:i/>
          <w:lang w:val="en-US"/>
        </w:rPr>
        <w:t xml:space="preserve"> </w:t>
      </w:r>
      <w:r w:rsidR="00092583" w:rsidRPr="001558A5">
        <w:rPr>
          <w:lang w:val="en-US"/>
        </w:rPr>
        <w:t>(</w:t>
      </w:r>
      <w:r w:rsidR="00B43A52" w:rsidRPr="001558A5">
        <w:rPr>
          <w:lang w:val="en-US"/>
        </w:rPr>
        <w:t>para.</w:t>
      </w:r>
      <w:r w:rsidR="00092583" w:rsidRPr="001558A5">
        <w:rPr>
          <w:lang w:val="en-US"/>
        </w:rPr>
        <w:t xml:space="preserve"> </w:t>
      </w:r>
      <w:r w:rsidR="005F09D5" w:rsidRPr="001558A5">
        <w:rPr>
          <w:lang w:val="en-US"/>
        </w:rPr>
        <w:t>176</w:t>
      </w:r>
      <w:r w:rsidR="00092583" w:rsidRPr="001558A5">
        <w:rPr>
          <w:lang w:val="en-US"/>
        </w:rPr>
        <w:t>).</w:t>
      </w:r>
      <w:r w:rsidR="00BA7155" w:rsidRPr="001558A5">
        <w:rPr>
          <w:lang w:val="en-US"/>
        </w:rPr>
        <w:t xml:space="preserve"> </w:t>
      </w:r>
      <w:r w:rsidRPr="001558A5">
        <w:rPr>
          <w:lang w:val="en-US"/>
        </w:rPr>
        <w:t xml:space="preserve">Likewise, the State must determine the administrative, disciplinary </w:t>
      </w:r>
      <w:r w:rsidR="006252B7" w:rsidRPr="001558A5">
        <w:rPr>
          <w:lang w:val="en-US"/>
        </w:rPr>
        <w:t>and</w:t>
      </w:r>
      <w:r w:rsidRPr="001558A5">
        <w:rPr>
          <w:lang w:val="en-US"/>
        </w:rPr>
        <w:t xml:space="preserve"> criminal responsibilities of the public servants and agents </w:t>
      </w:r>
      <w:r w:rsidR="006252B7" w:rsidRPr="001558A5">
        <w:rPr>
          <w:lang w:val="en-US"/>
        </w:rPr>
        <w:t xml:space="preserve">culpable of the negligence and errors committed </w:t>
      </w:r>
      <w:r w:rsidRPr="001558A5">
        <w:rPr>
          <w:lang w:val="en-US"/>
        </w:rPr>
        <w:t>in the investigation of the case pursuant to the applicable law.</w:t>
      </w:r>
    </w:p>
    <w:p w14:paraId="160C0B17" w14:textId="53999713" w:rsidR="00BA7155" w:rsidRPr="001558A5" w:rsidRDefault="007B4D4B" w:rsidP="007B4D4B">
      <w:pPr>
        <w:widowControl w:val="0"/>
        <w:numPr>
          <w:ilvl w:val="0"/>
          <w:numId w:val="2"/>
        </w:numPr>
        <w:spacing w:before="120" w:after="120"/>
        <w:ind w:left="0" w:firstLine="0"/>
        <w:rPr>
          <w:lang w:val="en-US"/>
        </w:rPr>
      </w:pPr>
      <w:r w:rsidRPr="001558A5">
        <w:rPr>
          <w:lang w:val="en-US"/>
        </w:rPr>
        <w:t>Regarding the above, the Court finds it necessary to recall that the protection system instituted by the American Convention does not substitute for the national jurisdictions, but rather complements them.</w:t>
      </w:r>
      <w:r w:rsidR="00BA7155" w:rsidRPr="001558A5">
        <w:rPr>
          <w:rStyle w:val="Refdenotaalpie"/>
          <w:lang w:val="en-US"/>
        </w:rPr>
        <w:footnoteReference w:id="171"/>
      </w:r>
      <w:r w:rsidRPr="001558A5">
        <w:rPr>
          <w:lang w:val="en-US"/>
        </w:rPr>
        <w:t xml:space="preserve"> This means that the State is the principal guarantor of human rights</w:t>
      </w:r>
      <w:r w:rsidR="00C30609" w:rsidRPr="001558A5">
        <w:rPr>
          <w:lang w:val="en-US"/>
        </w:rPr>
        <w:t>; therefore</w:t>
      </w:r>
      <w:r w:rsidRPr="001558A5">
        <w:rPr>
          <w:lang w:val="en-US"/>
        </w:rPr>
        <w:t>, if an act occurs that violates those rights, it is the State that should resolve the matter at the domestic level and, if necessary, make reparation before having to respond before an international instance.</w:t>
      </w:r>
      <w:r w:rsidR="00BA7155" w:rsidRPr="001558A5">
        <w:rPr>
          <w:rStyle w:val="Refdenotaalpie"/>
          <w:lang w:val="en-US"/>
        </w:rPr>
        <w:footnoteReference w:id="172"/>
      </w:r>
      <w:r w:rsidRPr="001558A5">
        <w:rPr>
          <w:lang w:val="en-US"/>
        </w:rPr>
        <w:t xml:space="preserve"> It is only if a specific case is not </w:t>
      </w:r>
      <w:r w:rsidR="00C30609" w:rsidRPr="001558A5">
        <w:rPr>
          <w:lang w:val="en-US"/>
        </w:rPr>
        <w:t>settled</w:t>
      </w:r>
      <w:r w:rsidRPr="001558A5">
        <w:rPr>
          <w:lang w:val="en-US"/>
        </w:rPr>
        <w:t xml:space="preserve"> at the domestic or national level </w:t>
      </w:r>
      <w:r w:rsidR="00C30609" w:rsidRPr="001558A5">
        <w:rPr>
          <w:lang w:val="en-US"/>
        </w:rPr>
        <w:t>that</w:t>
      </w:r>
      <w:r w:rsidRPr="001558A5">
        <w:rPr>
          <w:lang w:val="en-US"/>
        </w:rPr>
        <w:t xml:space="preserve"> the Convention establish</w:t>
      </w:r>
      <w:r w:rsidR="00C30609" w:rsidRPr="001558A5">
        <w:rPr>
          <w:lang w:val="en-US"/>
        </w:rPr>
        <w:t>es</w:t>
      </w:r>
      <w:r w:rsidRPr="001558A5">
        <w:rPr>
          <w:lang w:val="en-US"/>
        </w:rPr>
        <w:t xml:space="preserve"> an international level </w:t>
      </w:r>
      <w:r w:rsidR="00C30609" w:rsidRPr="001558A5">
        <w:rPr>
          <w:lang w:val="en-US"/>
        </w:rPr>
        <w:t>at</w:t>
      </w:r>
      <w:r w:rsidRPr="001558A5">
        <w:rPr>
          <w:lang w:val="en-US"/>
        </w:rPr>
        <w:t xml:space="preserve"> which the main organs are the Commission </w:t>
      </w:r>
      <w:r w:rsidR="00DD4354" w:rsidRPr="001558A5">
        <w:rPr>
          <w:lang w:val="en-US"/>
        </w:rPr>
        <w:t xml:space="preserve">and </w:t>
      </w:r>
      <w:r w:rsidR="00871E19" w:rsidRPr="001558A5">
        <w:rPr>
          <w:lang w:val="en-US"/>
        </w:rPr>
        <w:t>the Court</w:t>
      </w:r>
      <w:r w:rsidRPr="001558A5">
        <w:rPr>
          <w:lang w:val="en-US"/>
        </w:rPr>
        <w:t>.</w:t>
      </w:r>
      <w:r w:rsidR="00BA7155" w:rsidRPr="001558A5">
        <w:rPr>
          <w:rStyle w:val="Refdenotaalpie"/>
          <w:lang w:val="en-US"/>
        </w:rPr>
        <w:footnoteReference w:id="173"/>
      </w:r>
      <w:r w:rsidRPr="001558A5">
        <w:rPr>
          <w:lang w:val="en-US"/>
        </w:rPr>
        <w:t xml:space="preserve"> </w:t>
      </w:r>
      <w:r w:rsidR="00C30609" w:rsidRPr="001558A5">
        <w:rPr>
          <w:lang w:val="en-US"/>
        </w:rPr>
        <w:t>Therefore,</w:t>
      </w:r>
      <w:r w:rsidRPr="001558A5">
        <w:rPr>
          <w:lang w:val="en-US"/>
        </w:rPr>
        <w:t xml:space="preserve"> owing to the very nature of the inter-American system for the protection of</w:t>
      </w:r>
      <w:r w:rsidR="00BA7155" w:rsidRPr="001558A5">
        <w:rPr>
          <w:lang w:val="en-US"/>
        </w:rPr>
        <w:t xml:space="preserve"> </w:t>
      </w:r>
      <w:r w:rsidR="00C909B4" w:rsidRPr="001558A5">
        <w:rPr>
          <w:lang w:val="en-US"/>
        </w:rPr>
        <w:t>human rights</w:t>
      </w:r>
      <w:r w:rsidR="00BA7155" w:rsidRPr="001558A5">
        <w:rPr>
          <w:lang w:val="en-US"/>
        </w:rPr>
        <w:t xml:space="preserve">, </w:t>
      </w:r>
      <w:r w:rsidRPr="001558A5">
        <w:rPr>
          <w:lang w:val="en-US"/>
        </w:rPr>
        <w:t>when the Court issues a judgment</w:t>
      </w:r>
      <w:r w:rsidR="00C30609" w:rsidRPr="001558A5">
        <w:rPr>
          <w:lang w:val="en-US"/>
        </w:rPr>
        <w:t xml:space="preserve">, it is usual that </w:t>
      </w:r>
      <w:r w:rsidRPr="001558A5">
        <w:rPr>
          <w:lang w:val="en-US"/>
        </w:rPr>
        <w:t xml:space="preserve">a prolonged period of time has passed without the victims receiving reparation. </w:t>
      </w:r>
      <w:r w:rsidR="00C30609" w:rsidRPr="001558A5">
        <w:rPr>
          <w:lang w:val="en-US"/>
        </w:rPr>
        <w:t>Consequently</w:t>
      </w:r>
      <w:r w:rsidRPr="001558A5">
        <w:rPr>
          <w:lang w:val="en-US"/>
        </w:rPr>
        <w:t>, when th</w:t>
      </w:r>
      <w:r w:rsidR="00C30609" w:rsidRPr="001558A5">
        <w:rPr>
          <w:lang w:val="en-US"/>
        </w:rPr>
        <w:t>e</w:t>
      </w:r>
      <w:r w:rsidRPr="001558A5">
        <w:rPr>
          <w:lang w:val="en-US"/>
        </w:rPr>
        <w:t xml:space="preserve"> Court orders a criminal investigation into the facts of the case so that they do not remain unpunished and the victims may obtain the justice that, until then, has been denied to them, the State </w:t>
      </w:r>
      <w:r w:rsidR="00C30609" w:rsidRPr="001558A5">
        <w:rPr>
          <w:lang w:val="en-US"/>
        </w:rPr>
        <w:t xml:space="preserve">must immediately </w:t>
      </w:r>
      <w:r w:rsidRPr="001558A5">
        <w:rPr>
          <w:lang w:val="en-US"/>
        </w:rPr>
        <w:t>adopt the necessary measures to ensure that the said reparation does not turn out to be illusory. The State may not treat the said criminal investigation in the same way as any other investigation; rather it must give it priority attention and take special measures to ensure that the case is expedited as much as possible, because it seeks to make reparation to the victims in the case.</w:t>
      </w:r>
      <w:r w:rsidR="00BA7155" w:rsidRPr="001558A5">
        <w:rPr>
          <w:rStyle w:val="Refdenotaalpie"/>
          <w:lang w:val="en-US"/>
        </w:rPr>
        <w:footnoteReference w:id="174"/>
      </w:r>
    </w:p>
    <w:p w14:paraId="7818A67A" w14:textId="54E2E37B" w:rsidR="002F19D8" w:rsidRPr="001558A5" w:rsidRDefault="007B4D4B" w:rsidP="00945CE2">
      <w:pPr>
        <w:pStyle w:val="Ttulo2"/>
        <w:numPr>
          <w:ilvl w:val="0"/>
          <w:numId w:val="25"/>
        </w:numPr>
        <w:spacing w:before="240" w:after="240"/>
        <w:rPr>
          <w:rFonts w:ascii="Verdana" w:hAnsi="Verdana"/>
          <w:i/>
          <w:color w:val="auto"/>
          <w:sz w:val="20"/>
          <w:szCs w:val="20"/>
          <w:lang w:val="en-US"/>
        </w:rPr>
      </w:pPr>
      <w:r w:rsidRPr="001558A5">
        <w:rPr>
          <w:rFonts w:ascii="Verdana" w:hAnsi="Verdana"/>
          <w:i/>
          <w:color w:val="auto"/>
          <w:sz w:val="20"/>
          <w:szCs w:val="20"/>
          <w:lang w:val="en-US"/>
        </w:rPr>
        <w:t>Measures of satisfaction and rehabilitation</w:t>
      </w:r>
    </w:p>
    <w:p w14:paraId="64B78729" w14:textId="72E94148" w:rsidR="002F19D8" w:rsidRPr="001558A5" w:rsidRDefault="002F19D8" w:rsidP="00945CE2">
      <w:pPr>
        <w:pStyle w:val="Ttulo3"/>
        <w:ind w:firstLine="708"/>
        <w:rPr>
          <w:b w:val="0"/>
          <w:bCs w:val="0"/>
          <w:lang w:val="en-US"/>
        </w:rPr>
      </w:pPr>
      <w:bookmarkStart w:id="109" w:name="_Toc32394187"/>
      <w:bookmarkStart w:id="110" w:name="_Toc36823506"/>
      <w:bookmarkStart w:id="111" w:name="_Toc73430067"/>
      <w:r w:rsidRPr="001558A5">
        <w:rPr>
          <w:b w:val="0"/>
          <w:bCs w:val="0"/>
          <w:lang w:val="en-US"/>
        </w:rPr>
        <w:t>C.1</w:t>
      </w:r>
      <w:r w:rsidR="000C6BBA" w:rsidRPr="001558A5">
        <w:rPr>
          <w:b w:val="0"/>
          <w:bCs w:val="0"/>
          <w:lang w:val="en-US"/>
        </w:rPr>
        <w:t>.</w:t>
      </w:r>
      <w:r w:rsidRPr="001558A5">
        <w:rPr>
          <w:b w:val="0"/>
          <w:bCs w:val="0"/>
          <w:lang w:val="en-US"/>
        </w:rPr>
        <w:t xml:space="preserve"> </w:t>
      </w:r>
      <w:r w:rsidR="007B4D4B" w:rsidRPr="001558A5">
        <w:rPr>
          <w:b w:val="0"/>
          <w:bCs w:val="0"/>
          <w:lang w:val="en-US"/>
        </w:rPr>
        <w:t>Measures of satisfaction</w:t>
      </w:r>
      <w:bookmarkEnd w:id="109"/>
      <w:bookmarkEnd w:id="110"/>
      <w:bookmarkEnd w:id="111"/>
    </w:p>
    <w:p w14:paraId="6FC91F03" w14:textId="38A0E8E5" w:rsidR="002F19D8" w:rsidRPr="001558A5" w:rsidRDefault="003B52E4" w:rsidP="00BF1B8C">
      <w:pPr>
        <w:pStyle w:val="PrrafodeSentencia"/>
        <w:rPr>
          <w:lang w:val="en-US"/>
        </w:rPr>
      </w:pPr>
      <w:r w:rsidRPr="001558A5">
        <w:rPr>
          <w:lang w:val="en-US"/>
        </w:rPr>
        <w:tab/>
      </w:r>
      <w:r w:rsidR="002F19D8" w:rsidRPr="001558A5">
        <w:rPr>
          <w:lang w:val="en-US"/>
        </w:rPr>
        <w:t xml:space="preserve">C.1.a </w:t>
      </w:r>
      <w:r w:rsidR="007B4D4B" w:rsidRPr="001558A5">
        <w:rPr>
          <w:lang w:val="en-US"/>
        </w:rPr>
        <w:t>Publication of the judgment</w:t>
      </w:r>
    </w:p>
    <w:p w14:paraId="4A57D2DC" w14:textId="6168AA00" w:rsidR="00173497" w:rsidRPr="001558A5" w:rsidRDefault="00DD4354" w:rsidP="00173497">
      <w:pPr>
        <w:widowControl w:val="0"/>
        <w:numPr>
          <w:ilvl w:val="0"/>
          <w:numId w:val="2"/>
        </w:numPr>
        <w:spacing w:before="120" w:after="120"/>
        <w:ind w:left="0" w:firstLine="0"/>
        <w:rPr>
          <w:b/>
          <w:lang w:val="en-US"/>
        </w:rPr>
      </w:pPr>
      <w:r w:rsidRPr="001558A5">
        <w:rPr>
          <w:lang w:val="en-US"/>
        </w:rPr>
        <w:t xml:space="preserve">The </w:t>
      </w:r>
      <w:r w:rsidRPr="001558A5">
        <w:rPr>
          <w:b/>
          <w:bCs/>
          <w:i/>
          <w:iCs/>
          <w:lang w:val="en-US"/>
        </w:rPr>
        <w:t>representatives</w:t>
      </w:r>
      <w:r w:rsidR="002F19D8" w:rsidRPr="001558A5">
        <w:rPr>
          <w:lang w:val="en-US"/>
        </w:rPr>
        <w:t xml:space="preserve"> </w:t>
      </w:r>
      <w:r w:rsidR="00173497" w:rsidRPr="001558A5">
        <w:rPr>
          <w:lang w:val="en-US"/>
        </w:rPr>
        <w:t>asked that, as a measure of satisfaction, the Court order the publication of the judgment in this case in the Official Gazette and the summary of the judgment in “the national newspapers with the highest circulation.”  In addition, the asked that the Court order the publication of the full text of the judgment for at least one year on an “appropriate” official website of the State.</w:t>
      </w:r>
      <w:r w:rsidR="00173497" w:rsidRPr="001558A5">
        <w:rPr>
          <w:b/>
          <w:lang w:val="en-US"/>
        </w:rPr>
        <w:t xml:space="preserve"> </w:t>
      </w:r>
      <w:r w:rsidRPr="001558A5">
        <w:rPr>
          <w:lang w:val="en-US"/>
        </w:rPr>
        <w:t xml:space="preserve">The </w:t>
      </w:r>
      <w:r w:rsidRPr="001558A5">
        <w:rPr>
          <w:b/>
          <w:bCs/>
          <w:i/>
          <w:iCs/>
          <w:lang w:val="en-US"/>
        </w:rPr>
        <w:t>State</w:t>
      </w:r>
      <w:r w:rsidR="002F19D8" w:rsidRPr="001558A5">
        <w:rPr>
          <w:lang w:val="en-US"/>
        </w:rPr>
        <w:t xml:space="preserve"> </w:t>
      </w:r>
      <w:r w:rsidR="00FD06F3" w:rsidRPr="001558A5">
        <w:rPr>
          <w:lang w:val="en-US"/>
        </w:rPr>
        <w:t>indic</w:t>
      </w:r>
      <w:r w:rsidR="00173497" w:rsidRPr="001558A5">
        <w:rPr>
          <w:lang w:val="en-US"/>
        </w:rPr>
        <w:t>ated that, if this measure was accepted, the judgment should be published as ordered in other cases, establishing “the time frames and the details of th</w:t>
      </w:r>
      <w:r w:rsidR="00DF25EB" w:rsidRPr="001558A5">
        <w:rPr>
          <w:lang w:val="en-US"/>
        </w:rPr>
        <w:t>e</w:t>
      </w:r>
      <w:r w:rsidR="00173497" w:rsidRPr="001558A5">
        <w:rPr>
          <w:lang w:val="en-US"/>
        </w:rPr>
        <w:t xml:space="preserve"> publication” in order to ensure compliance with this measure.</w:t>
      </w:r>
    </w:p>
    <w:p w14:paraId="4C3E7695" w14:textId="7201BEA2" w:rsidR="002F19D8" w:rsidRPr="001558A5" w:rsidRDefault="00871E19" w:rsidP="00173497">
      <w:pPr>
        <w:widowControl w:val="0"/>
        <w:numPr>
          <w:ilvl w:val="0"/>
          <w:numId w:val="2"/>
        </w:numPr>
        <w:spacing w:before="120" w:after="120"/>
        <w:ind w:left="0" w:firstLine="0"/>
        <w:rPr>
          <w:rFonts w:cs="Georgia"/>
          <w:lang w:val="en-US"/>
        </w:rPr>
      </w:pPr>
      <w:bookmarkStart w:id="112" w:name="_Ref33109567"/>
      <w:bookmarkStart w:id="113" w:name="_Ref532899431"/>
      <w:r w:rsidRPr="001558A5">
        <w:rPr>
          <w:lang w:val="en-US"/>
        </w:rPr>
        <w:t>The Court</w:t>
      </w:r>
      <w:r w:rsidR="002F19D8" w:rsidRPr="001558A5">
        <w:rPr>
          <w:lang w:val="en-US"/>
        </w:rPr>
        <w:t xml:space="preserve"> </w:t>
      </w:r>
      <w:r w:rsidR="00173497" w:rsidRPr="001558A5">
        <w:rPr>
          <w:lang w:val="en-US"/>
        </w:rPr>
        <w:t>establishes, as it has in other cases,</w:t>
      </w:r>
      <w:r w:rsidR="002F19D8" w:rsidRPr="001558A5">
        <w:rPr>
          <w:vertAlign w:val="superscript"/>
          <w:lang w:val="en-US"/>
        </w:rPr>
        <w:footnoteReference w:id="175"/>
      </w:r>
      <w:r w:rsidR="00173497" w:rsidRPr="001558A5">
        <w:rPr>
          <w:lang w:val="en-US"/>
        </w:rPr>
        <w:t xml:space="preserve"> that, within six months of notification of this judgment, the State must publish in a legible and appropriate </w:t>
      </w:r>
      <w:r w:rsidR="00DF25EB" w:rsidRPr="001558A5">
        <w:rPr>
          <w:lang w:val="en-US"/>
        </w:rPr>
        <w:t>f</w:t>
      </w:r>
      <w:r w:rsidR="00173497" w:rsidRPr="001558A5">
        <w:rPr>
          <w:lang w:val="en-US"/>
        </w:rPr>
        <w:t xml:space="preserve">ont: (a) the official summary </w:t>
      </w:r>
      <w:r w:rsidR="004E4879" w:rsidRPr="001558A5">
        <w:rPr>
          <w:rFonts w:cs="Verdana"/>
          <w:lang w:val="en-US"/>
        </w:rPr>
        <w:t>of this judgment</w:t>
      </w:r>
      <w:r w:rsidR="002F19D8" w:rsidRPr="001558A5">
        <w:rPr>
          <w:rFonts w:cs="Verdana"/>
          <w:lang w:val="en-US"/>
        </w:rPr>
        <w:t xml:space="preserve"> </w:t>
      </w:r>
      <w:r w:rsidR="00173497" w:rsidRPr="001558A5">
        <w:rPr>
          <w:rFonts w:cs="Verdana"/>
          <w:lang w:val="en-US"/>
        </w:rPr>
        <w:t>prepared by</w:t>
      </w:r>
      <w:r w:rsidR="002F19D8" w:rsidRPr="001558A5">
        <w:rPr>
          <w:rFonts w:cs="Verdana"/>
          <w:lang w:val="en-US"/>
        </w:rPr>
        <w:t xml:space="preserve"> </w:t>
      </w:r>
      <w:r w:rsidRPr="001558A5">
        <w:rPr>
          <w:rFonts w:cs="Verdana"/>
          <w:lang w:val="en-US"/>
        </w:rPr>
        <w:t>the Court</w:t>
      </w:r>
      <w:r w:rsidR="002F19D8" w:rsidRPr="001558A5">
        <w:rPr>
          <w:rFonts w:cs="Verdana"/>
          <w:lang w:val="en-US"/>
        </w:rPr>
        <w:t xml:space="preserve">, </w:t>
      </w:r>
      <w:r w:rsidR="00173497" w:rsidRPr="001558A5">
        <w:rPr>
          <w:rFonts w:cs="Verdana"/>
          <w:lang w:val="en-US"/>
        </w:rPr>
        <w:t xml:space="preserve">once, in the Official Gazette; (b) </w:t>
      </w:r>
      <w:r w:rsidR="00173497" w:rsidRPr="001558A5">
        <w:rPr>
          <w:lang w:val="en-US"/>
        </w:rPr>
        <w:t xml:space="preserve">the official summary </w:t>
      </w:r>
      <w:r w:rsidR="00173497" w:rsidRPr="001558A5">
        <w:rPr>
          <w:rFonts w:cs="Verdana"/>
          <w:lang w:val="en-US"/>
        </w:rPr>
        <w:t xml:space="preserve">of this judgment prepared by the Court, once, in a national newspaper with widespread circulation, and (c) this judgment, in full, available for one year on an official website of the State. The State must advise the Court immediately when it has made each of the publications ordered, regardless of the one-year time frame for presenting its first report established in the twentieth operative paragraph </w:t>
      </w:r>
      <w:bookmarkStart w:id="114" w:name="_Ref866296"/>
      <w:bookmarkEnd w:id="112"/>
      <w:r w:rsidR="004E4879" w:rsidRPr="001558A5">
        <w:rPr>
          <w:lang w:val="en-US"/>
        </w:rPr>
        <w:t>of this judgment</w:t>
      </w:r>
      <w:r w:rsidR="002F19D8" w:rsidRPr="001558A5">
        <w:rPr>
          <w:lang w:val="en-US"/>
        </w:rPr>
        <w:t>.</w:t>
      </w:r>
      <w:bookmarkEnd w:id="113"/>
      <w:bookmarkEnd w:id="114"/>
      <w:r w:rsidR="002F19D8" w:rsidRPr="001558A5">
        <w:rPr>
          <w:lang w:val="en-US"/>
        </w:rPr>
        <w:t xml:space="preserve"> </w:t>
      </w:r>
    </w:p>
    <w:p w14:paraId="1358059A" w14:textId="329E0B67" w:rsidR="002F19D8" w:rsidRPr="001558A5" w:rsidRDefault="003B52E4">
      <w:pPr>
        <w:pStyle w:val="PrrafodeSentencia"/>
        <w:rPr>
          <w:lang w:val="en-US"/>
        </w:rPr>
      </w:pPr>
      <w:r w:rsidRPr="001558A5">
        <w:rPr>
          <w:lang w:val="en-US"/>
        </w:rPr>
        <w:tab/>
      </w:r>
      <w:r w:rsidR="002F19D8" w:rsidRPr="001558A5">
        <w:rPr>
          <w:lang w:val="en-US"/>
        </w:rPr>
        <w:t xml:space="preserve">C.1.b </w:t>
      </w:r>
      <w:r w:rsidR="00173497" w:rsidRPr="001558A5">
        <w:rPr>
          <w:lang w:val="en-US"/>
        </w:rPr>
        <w:t>Public act to</w:t>
      </w:r>
      <w:r w:rsidR="002F19D8" w:rsidRPr="001558A5">
        <w:rPr>
          <w:lang w:val="en-US"/>
        </w:rPr>
        <w:t xml:space="preserve"> </w:t>
      </w:r>
      <w:r w:rsidR="00973D19" w:rsidRPr="001558A5">
        <w:rPr>
          <w:lang w:val="en-US"/>
        </w:rPr>
        <w:t>acknowledge</w:t>
      </w:r>
      <w:r w:rsidR="00173497" w:rsidRPr="001558A5">
        <w:rPr>
          <w:lang w:val="en-US"/>
        </w:rPr>
        <w:t xml:space="preserve"> international</w:t>
      </w:r>
      <w:r w:rsidR="00973D19" w:rsidRPr="001558A5">
        <w:rPr>
          <w:lang w:val="en-US"/>
        </w:rPr>
        <w:t xml:space="preserve"> responsibilit</w:t>
      </w:r>
      <w:r w:rsidR="00173497" w:rsidRPr="001558A5">
        <w:rPr>
          <w:lang w:val="en-US"/>
        </w:rPr>
        <w:t>y</w:t>
      </w:r>
      <w:r w:rsidR="002F19D8" w:rsidRPr="001558A5">
        <w:rPr>
          <w:lang w:val="en-US"/>
        </w:rPr>
        <w:t xml:space="preserve"> </w:t>
      </w:r>
    </w:p>
    <w:p w14:paraId="417E85C1" w14:textId="4963B5C7" w:rsidR="00B404B1" w:rsidRPr="001558A5" w:rsidRDefault="00DD4354" w:rsidP="00173497">
      <w:pPr>
        <w:widowControl w:val="0"/>
        <w:numPr>
          <w:ilvl w:val="0"/>
          <w:numId w:val="2"/>
        </w:numPr>
        <w:spacing w:before="120" w:after="120"/>
        <w:ind w:left="0" w:firstLine="0"/>
        <w:rPr>
          <w:lang w:val="en-US"/>
        </w:rPr>
      </w:pPr>
      <w:r w:rsidRPr="001558A5">
        <w:rPr>
          <w:lang w:val="en-US"/>
        </w:rPr>
        <w:t xml:space="preserve">The </w:t>
      </w:r>
      <w:r w:rsidRPr="001558A5">
        <w:rPr>
          <w:b/>
          <w:bCs/>
          <w:i/>
          <w:iCs/>
          <w:lang w:val="en-US"/>
        </w:rPr>
        <w:t>representatives</w:t>
      </w:r>
      <w:r w:rsidR="002F19D8" w:rsidRPr="001558A5">
        <w:rPr>
          <w:b/>
          <w:bCs/>
          <w:i/>
          <w:iCs/>
          <w:lang w:val="en-US"/>
        </w:rPr>
        <w:t xml:space="preserve"> </w:t>
      </w:r>
      <w:r w:rsidR="00173497" w:rsidRPr="001558A5">
        <w:rPr>
          <w:lang w:val="en-US"/>
        </w:rPr>
        <w:t>asked</w:t>
      </w:r>
      <w:r w:rsidR="004B6127" w:rsidRPr="001558A5">
        <w:rPr>
          <w:lang w:val="en-US"/>
        </w:rPr>
        <w:t xml:space="preserve"> </w:t>
      </w:r>
      <w:r w:rsidR="00871E19" w:rsidRPr="001558A5">
        <w:rPr>
          <w:lang w:val="en-US"/>
        </w:rPr>
        <w:t>the Court</w:t>
      </w:r>
      <w:r w:rsidR="004B6127" w:rsidRPr="001558A5">
        <w:rPr>
          <w:lang w:val="en-US"/>
        </w:rPr>
        <w:t xml:space="preserve"> </w:t>
      </w:r>
      <w:r w:rsidR="00173497" w:rsidRPr="001558A5">
        <w:rPr>
          <w:lang w:val="en-US"/>
        </w:rPr>
        <w:t>to order the State to hold a public act to acknowledge and accept responsibility for the facts of this case.</w:t>
      </w:r>
      <w:r w:rsidR="00B404B1" w:rsidRPr="001558A5">
        <w:rPr>
          <w:lang w:val="en-US"/>
        </w:rPr>
        <w:t xml:space="preserve"> They asked that senior representatives of the Honduran Government take part in the act and that the organization and other details of the public ceremony be previously and duly consulted with the members of Vicky Hernández’s family; also, the expenditure required for them to attend the ceremony should be covered by the State. </w:t>
      </w:r>
      <w:r w:rsidRPr="001558A5">
        <w:rPr>
          <w:lang w:val="en-US"/>
        </w:rPr>
        <w:t xml:space="preserve">The </w:t>
      </w:r>
      <w:r w:rsidRPr="001558A5">
        <w:rPr>
          <w:b/>
          <w:bCs/>
          <w:i/>
          <w:iCs/>
          <w:lang w:val="en-US"/>
        </w:rPr>
        <w:t>State</w:t>
      </w:r>
      <w:r w:rsidR="002F19D8" w:rsidRPr="001558A5">
        <w:rPr>
          <w:lang w:val="en-US"/>
        </w:rPr>
        <w:t xml:space="preserve"> </w:t>
      </w:r>
      <w:r w:rsidR="009928FE" w:rsidRPr="001558A5">
        <w:rPr>
          <w:lang w:val="en-US"/>
        </w:rPr>
        <w:t>indic</w:t>
      </w:r>
      <w:r w:rsidR="00B404B1" w:rsidRPr="001558A5">
        <w:rPr>
          <w:lang w:val="en-US"/>
        </w:rPr>
        <w:t xml:space="preserve">ated that, if this measure was granted, the Court should establish the time frame and the details, </w:t>
      </w:r>
      <w:r w:rsidR="00DF25EB" w:rsidRPr="001558A5">
        <w:rPr>
          <w:lang w:val="en-US"/>
        </w:rPr>
        <w:t xml:space="preserve">and </w:t>
      </w:r>
      <w:r w:rsidR="00B404B1" w:rsidRPr="001558A5">
        <w:rPr>
          <w:lang w:val="en-US"/>
        </w:rPr>
        <w:t>the public institutions that should be represented either by the head or the person designated, provided the latter had “decision-making powers.”</w:t>
      </w:r>
    </w:p>
    <w:p w14:paraId="2F72E1E3" w14:textId="3D8A1BE6" w:rsidR="002F19D8" w:rsidRPr="001558A5" w:rsidRDefault="00B404B1" w:rsidP="00B404B1">
      <w:pPr>
        <w:widowControl w:val="0"/>
        <w:numPr>
          <w:ilvl w:val="0"/>
          <w:numId w:val="2"/>
        </w:numPr>
        <w:spacing w:before="120" w:after="120"/>
        <w:ind w:left="0" w:firstLine="0"/>
        <w:rPr>
          <w:lang w:val="en-US"/>
        </w:rPr>
      </w:pPr>
      <w:bookmarkStart w:id="115" w:name="_Ref446682213"/>
      <w:r w:rsidRPr="001558A5">
        <w:rPr>
          <w:lang w:val="en-US"/>
        </w:rPr>
        <w:t xml:space="preserve">The Court appreciates the partial acknowledgement of international responsibility made by </w:t>
      </w:r>
      <w:r w:rsidR="00DD4354" w:rsidRPr="001558A5">
        <w:rPr>
          <w:lang w:val="en-US"/>
        </w:rPr>
        <w:t>the State</w:t>
      </w:r>
      <w:r w:rsidR="00F51A7A" w:rsidRPr="001558A5">
        <w:rPr>
          <w:lang w:val="en-US"/>
        </w:rPr>
        <w:t xml:space="preserve"> </w:t>
      </w:r>
      <w:r w:rsidRPr="001558A5">
        <w:rPr>
          <w:lang w:val="en-US"/>
        </w:rPr>
        <w:t>during the</w:t>
      </w:r>
      <w:r w:rsidR="00F51A7A" w:rsidRPr="001558A5">
        <w:rPr>
          <w:lang w:val="en-US"/>
        </w:rPr>
        <w:t xml:space="preserve"> </w:t>
      </w:r>
      <w:r w:rsidR="00907FBD" w:rsidRPr="001558A5">
        <w:rPr>
          <w:lang w:val="en-US"/>
        </w:rPr>
        <w:t>public hearing</w:t>
      </w:r>
      <w:r w:rsidR="00F51A7A" w:rsidRPr="001558A5">
        <w:rPr>
          <w:lang w:val="en-US"/>
        </w:rPr>
        <w:t xml:space="preserve"> </w:t>
      </w:r>
      <w:r w:rsidRPr="001558A5">
        <w:rPr>
          <w:lang w:val="en-US"/>
        </w:rPr>
        <w:t>before</w:t>
      </w:r>
      <w:r w:rsidR="00F51A7A" w:rsidRPr="001558A5">
        <w:rPr>
          <w:lang w:val="en-US"/>
        </w:rPr>
        <w:t xml:space="preserve"> </w:t>
      </w:r>
      <w:r w:rsidR="00871E19" w:rsidRPr="001558A5">
        <w:rPr>
          <w:lang w:val="en-US"/>
        </w:rPr>
        <w:t>the Court</w:t>
      </w:r>
      <w:r w:rsidR="00F51A7A" w:rsidRPr="001558A5">
        <w:rPr>
          <w:lang w:val="en-US"/>
        </w:rPr>
        <w:t xml:space="preserve">, </w:t>
      </w:r>
      <w:r w:rsidRPr="001558A5">
        <w:rPr>
          <w:lang w:val="en-US"/>
        </w:rPr>
        <w:t xml:space="preserve">which could represent partial satisfaction for the victims based on the violations declared in this judgment. Nevertheless, it finds it necessary to establish, in order to redress the harm caused to the victims and to avoid facts such as those of this case being repeated, that the State organize a public act to </w:t>
      </w:r>
      <w:r w:rsidR="00973D19" w:rsidRPr="001558A5">
        <w:rPr>
          <w:lang w:val="en-US"/>
        </w:rPr>
        <w:t>acknowledge</w:t>
      </w:r>
      <w:r w:rsidRPr="001558A5">
        <w:rPr>
          <w:lang w:val="en-US"/>
        </w:rPr>
        <w:t xml:space="preserve"> international</w:t>
      </w:r>
      <w:r w:rsidR="00973D19" w:rsidRPr="001558A5">
        <w:rPr>
          <w:lang w:val="en-US"/>
        </w:rPr>
        <w:t xml:space="preserve"> responsibility</w:t>
      </w:r>
      <w:r w:rsidR="002F19D8" w:rsidRPr="001558A5">
        <w:rPr>
          <w:lang w:val="en-US"/>
        </w:rPr>
        <w:t xml:space="preserve"> </w:t>
      </w:r>
      <w:r w:rsidRPr="001558A5">
        <w:rPr>
          <w:lang w:val="en-US"/>
        </w:rPr>
        <w:t>for the facts of the instant case. During this act, reference must be made to the human rights violations declared in this judgment. Also, it must be carried o</w:t>
      </w:r>
      <w:r w:rsidR="005A265B" w:rsidRPr="001558A5">
        <w:rPr>
          <w:lang w:val="en-US"/>
        </w:rPr>
        <w:t>ut by means of</w:t>
      </w:r>
      <w:r w:rsidRPr="001558A5">
        <w:rPr>
          <w:lang w:val="en-US"/>
        </w:rPr>
        <w:t xml:space="preserve"> a public ceremony in the presence of senior State officials and those who have been declared victims in this judgment</w:t>
      </w:r>
      <w:r w:rsidR="005A265B" w:rsidRPr="001558A5">
        <w:rPr>
          <w:lang w:val="en-US"/>
        </w:rPr>
        <w:t>,</w:t>
      </w:r>
      <w:r w:rsidRPr="001558A5">
        <w:rPr>
          <w:lang w:val="en-US"/>
        </w:rPr>
        <w:t xml:space="preserve"> if they so wish, and their representatives.</w:t>
      </w:r>
      <w:r w:rsidR="002F19D8" w:rsidRPr="001558A5">
        <w:rPr>
          <w:rStyle w:val="Refdenotaalpie"/>
          <w:lang w:val="en-US"/>
        </w:rPr>
        <w:footnoteReference w:id="176"/>
      </w:r>
      <w:bookmarkEnd w:id="115"/>
    </w:p>
    <w:p w14:paraId="65509635" w14:textId="28A65424" w:rsidR="002F19D8" w:rsidRPr="001558A5" w:rsidRDefault="00DD4354" w:rsidP="00DB4EC3">
      <w:pPr>
        <w:widowControl w:val="0"/>
        <w:numPr>
          <w:ilvl w:val="0"/>
          <w:numId w:val="2"/>
        </w:numPr>
        <w:spacing w:before="120" w:after="120"/>
        <w:ind w:left="0" w:firstLine="0"/>
        <w:rPr>
          <w:lang w:val="en-US"/>
        </w:rPr>
      </w:pPr>
      <w:bookmarkStart w:id="116" w:name="_Ref33109786"/>
      <w:r w:rsidRPr="001558A5">
        <w:rPr>
          <w:lang w:val="en-US"/>
        </w:rPr>
        <w:t>The State</w:t>
      </w:r>
      <w:r w:rsidR="001E44D6" w:rsidRPr="001558A5">
        <w:rPr>
          <w:lang w:val="en-US"/>
        </w:rPr>
        <w:t>,</w:t>
      </w:r>
      <w:r w:rsidR="002F19D8" w:rsidRPr="001558A5">
        <w:rPr>
          <w:lang w:val="en-US"/>
        </w:rPr>
        <w:t xml:space="preserve"> </w:t>
      </w:r>
      <w:r w:rsidR="00B404B1" w:rsidRPr="001558A5">
        <w:rPr>
          <w:lang w:val="en-US"/>
        </w:rPr>
        <w:t>the victims and/or their representatives must reach agreement on the way in which the public act is organized, as well as</w:t>
      </w:r>
      <w:r w:rsidR="005A265B" w:rsidRPr="001558A5">
        <w:rPr>
          <w:lang w:val="en-US"/>
        </w:rPr>
        <w:t xml:space="preserve"> on</w:t>
      </w:r>
      <w:r w:rsidR="00B404B1" w:rsidRPr="001558A5">
        <w:rPr>
          <w:lang w:val="en-US"/>
        </w:rPr>
        <w:t xml:space="preserve"> its details, such as the place and date.</w:t>
      </w:r>
      <w:r w:rsidR="002F19D8" w:rsidRPr="001558A5">
        <w:rPr>
          <w:rStyle w:val="Refdenotaalpie"/>
          <w:lang w:val="en-US"/>
        </w:rPr>
        <w:footnoteReference w:id="177"/>
      </w:r>
      <w:r w:rsidR="00B404B1" w:rsidRPr="001558A5">
        <w:rPr>
          <w:lang w:val="en-US"/>
        </w:rPr>
        <w:t xml:space="preserve"> If</w:t>
      </w:r>
      <w:r w:rsidR="004C3668" w:rsidRPr="001558A5">
        <w:rPr>
          <w:lang w:val="en-US"/>
        </w:rPr>
        <w:t xml:space="preserve"> Vicky Hernández</w:t>
      </w:r>
      <w:r w:rsidR="00B404B1" w:rsidRPr="001558A5">
        <w:rPr>
          <w:lang w:val="en-US"/>
        </w:rPr>
        <w:t xml:space="preserve">’s family agree, this act must be held at the </w:t>
      </w:r>
      <w:r w:rsidR="00C404BA" w:rsidRPr="001558A5">
        <w:rPr>
          <w:lang w:val="en-US"/>
        </w:rPr>
        <w:t>“</w:t>
      </w:r>
      <w:proofErr w:type="spellStart"/>
      <w:r w:rsidR="00C404BA" w:rsidRPr="001558A5">
        <w:rPr>
          <w:i/>
          <w:iCs/>
          <w:lang w:val="en-US"/>
        </w:rPr>
        <w:t>Colectivo</w:t>
      </w:r>
      <w:proofErr w:type="spellEnd"/>
      <w:r w:rsidR="00C404BA" w:rsidRPr="001558A5">
        <w:rPr>
          <w:i/>
          <w:iCs/>
          <w:lang w:val="en-US"/>
        </w:rPr>
        <w:t xml:space="preserve"> </w:t>
      </w:r>
      <w:proofErr w:type="spellStart"/>
      <w:r w:rsidR="00C404BA" w:rsidRPr="001558A5">
        <w:rPr>
          <w:i/>
          <w:iCs/>
          <w:lang w:val="en-US"/>
        </w:rPr>
        <w:t>Unidad</w:t>
      </w:r>
      <w:proofErr w:type="spellEnd"/>
      <w:r w:rsidR="00C404BA" w:rsidRPr="001558A5">
        <w:rPr>
          <w:i/>
          <w:iCs/>
          <w:lang w:val="en-US"/>
        </w:rPr>
        <w:t xml:space="preserve"> Color Rosa</w:t>
      </w:r>
      <w:r w:rsidR="00B404B1" w:rsidRPr="001558A5">
        <w:rPr>
          <w:i/>
          <w:iCs/>
          <w:lang w:val="en-US"/>
        </w:rPr>
        <w:t>,</w:t>
      </w:r>
      <w:r w:rsidR="00C404BA" w:rsidRPr="001558A5">
        <w:rPr>
          <w:lang w:val="en-US"/>
        </w:rPr>
        <w:t>”</w:t>
      </w:r>
      <w:r w:rsidR="00DB4EC3" w:rsidRPr="001558A5">
        <w:rPr>
          <w:lang w:val="en-US"/>
        </w:rPr>
        <w:t xml:space="preserve"> provided the </w:t>
      </w:r>
      <w:proofErr w:type="spellStart"/>
      <w:r w:rsidR="00DB4EC3" w:rsidRPr="001558A5">
        <w:rPr>
          <w:lang w:val="en-US"/>
        </w:rPr>
        <w:t>Colectiv</w:t>
      </w:r>
      <w:r w:rsidR="00120416" w:rsidRPr="001558A5">
        <w:rPr>
          <w:lang w:val="en-US"/>
        </w:rPr>
        <w:t>o</w:t>
      </w:r>
      <w:proofErr w:type="spellEnd"/>
      <w:r w:rsidR="00DB4EC3" w:rsidRPr="001558A5">
        <w:rPr>
          <w:lang w:val="en-US"/>
        </w:rPr>
        <w:t xml:space="preserve"> also agrees. In addition, it must be ensured that the victims who are able to attend do so and</w:t>
      </w:r>
      <w:r w:rsidR="005A265B" w:rsidRPr="001558A5">
        <w:rPr>
          <w:lang w:val="en-US"/>
        </w:rPr>
        <w:t>,</w:t>
      </w:r>
      <w:r w:rsidR="00DB4EC3" w:rsidRPr="001558A5">
        <w:rPr>
          <w:lang w:val="en-US"/>
        </w:rPr>
        <w:t xml:space="preserve"> to this end</w:t>
      </w:r>
      <w:r w:rsidR="005A265B" w:rsidRPr="001558A5">
        <w:rPr>
          <w:lang w:val="en-US"/>
        </w:rPr>
        <w:t>,</w:t>
      </w:r>
      <w:r w:rsidR="00DB4EC3" w:rsidRPr="001558A5">
        <w:rPr>
          <w:lang w:val="en-US"/>
        </w:rPr>
        <w:t xml:space="preserve"> the State must cover the costs corresponding to their transportation. Also, as it has in other cases,</w:t>
      </w:r>
      <w:r w:rsidR="002F19D8" w:rsidRPr="001558A5">
        <w:rPr>
          <w:rStyle w:val="Refdenotaalpie"/>
          <w:lang w:val="en-US"/>
        </w:rPr>
        <w:footnoteReference w:id="178"/>
      </w:r>
      <w:r w:rsidR="002F19D8" w:rsidRPr="001558A5">
        <w:rPr>
          <w:lang w:val="en-US"/>
        </w:rPr>
        <w:t xml:space="preserve"> </w:t>
      </w:r>
      <w:r w:rsidR="00871E19" w:rsidRPr="001558A5">
        <w:rPr>
          <w:lang w:val="en-US"/>
        </w:rPr>
        <w:t>the Court</w:t>
      </w:r>
      <w:r w:rsidR="002F19D8" w:rsidRPr="001558A5">
        <w:rPr>
          <w:lang w:val="en-US"/>
        </w:rPr>
        <w:t xml:space="preserve"> orde</w:t>
      </w:r>
      <w:r w:rsidR="00DB4EC3" w:rsidRPr="001558A5">
        <w:rPr>
          <w:lang w:val="en-US"/>
        </w:rPr>
        <w:t>rs the State to publicize this act</w:t>
      </w:r>
      <w:r w:rsidR="005F48CF" w:rsidRPr="001558A5">
        <w:rPr>
          <w:lang w:val="en-US"/>
        </w:rPr>
        <w:t xml:space="preserve"> </w:t>
      </w:r>
      <w:r w:rsidR="00DB4EC3" w:rsidRPr="001558A5">
        <w:rPr>
          <w:lang w:val="en-US"/>
        </w:rPr>
        <w:t xml:space="preserve">as widely as possible by the media, including disseminating it by radio, television and social networks. The state authorities </w:t>
      </w:r>
      <w:r w:rsidR="005A265B" w:rsidRPr="001558A5">
        <w:rPr>
          <w:lang w:val="en-US"/>
        </w:rPr>
        <w:t>designated to</w:t>
      </w:r>
      <w:r w:rsidR="00DB4EC3" w:rsidRPr="001558A5">
        <w:rPr>
          <w:lang w:val="en-US"/>
        </w:rPr>
        <w:t xml:space="preserve"> attend or participate in the act must be senior state authorities, including the highest authorities of the Police. The State has one year from notification of this judgment to comply with the obligation </w:t>
      </w:r>
      <w:r w:rsidR="005A265B" w:rsidRPr="001558A5">
        <w:rPr>
          <w:lang w:val="en-US"/>
        </w:rPr>
        <w:t>to</w:t>
      </w:r>
      <w:r w:rsidR="00DB4EC3" w:rsidRPr="001558A5">
        <w:rPr>
          <w:lang w:val="en-US"/>
        </w:rPr>
        <w:t xml:space="preserve"> </w:t>
      </w:r>
      <w:r w:rsidR="005A265B" w:rsidRPr="001558A5">
        <w:rPr>
          <w:lang w:val="en-US"/>
        </w:rPr>
        <w:t>hold</w:t>
      </w:r>
      <w:r w:rsidR="00DB4EC3" w:rsidRPr="001558A5">
        <w:rPr>
          <w:lang w:val="en-US"/>
        </w:rPr>
        <w:t xml:space="preserve"> the act to </w:t>
      </w:r>
      <w:bookmarkEnd w:id="116"/>
      <w:r w:rsidR="00973D19" w:rsidRPr="001558A5">
        <w:rPr>
          <w:lang w:val="en-US"/>
        </w:rPr>
        <w:t>acknowledge</w:t>
      </w:r>
      <w:r w:rsidR="00DB4EC3" w:rsidRPr="001558A5">
        <w:rPr>
          <w:lang w:val="en-US"/>
        </w:rPr>
        <w:t xml:space="preserve"> international</w:t>
      </w:r>
      <w:r w:rsidR="00973D19" w:rsidRPr="001558A5">
        <w:rPr>
          <w:lang w:val="en-US"/>
        </w:rPr>
        <w:t xml:space="preserve"> responsibility</w:t>
      </w:r>
      <w:r w:rsidR="00DB4EC3" w:rsidRPr="001558A5">
        <w:rPr>
          <w:lang w:val="en-US"/>
        </w:rPr>
        <w:t>.</w:t>
      </w:r>
    </w:p>
    <w:p w14:paraId="43E0085F" w14:textId="480D580E" w:rsidR="004B6127" w:rsidRPr="001558A5" w:rsidRDefault="00AD12A6">
      <w:pPr>
        <w:pStyle w:val="PrrafodeSentencia"/>
        <w:rPr>
          <w:lang w:val="en-US"/>
        </w:rPr>
      </w:pPr>
      <w:r w:rsidRPr="001558A5">
        <w:rPr>
          <w:lang w:val="en-US"/>
        </w:rPr>
        <w:tab/>
      </w:r>
      <w:r w:rsidR="004B6127" w:rsidRPr="001558A5">
        <w:rPr>
          <w:lang w:val="en-US"/>
        </w:rPr>
        <w:t xml:space="preserve">C.1.c </w:t>
      </w:r>
      <w:r w:rsidR="00F2226C" w:rsidRPr="001558A5">
        <w:rPr>
          <w:lang w:val="en-US"/>
        </w:rPr>
        <w:t>Scholarship</w:t>
      </w:r>
      <w:r w:rsidR="00864175" w:rsidRPr="001558A5">
        <w:rPr>
          <w:lang w:val="en-US"/>
        </w:rPr>
        <w:t xml:space="preserve"> </w:t>
      </w:r>
      <w:r w:rsidR="00DB4EC3" w:rsidRPr="001558A5">
        <w:rPr>
          <w:lang w:val="en-US"/>
        </w:rPr>
        <w:t>for</w:t>
      </w:r>
      <w:r w:rsidR="004B6127" w:rsidRPr="001558A5">
        <w:rPr>
          <w:lang w:val="en-US"/>
        </w:rPr>
        <w:t xml:space="preserve"> </w:t>
      </w:r>
      <w:proofErr w:type="spellStart"/>
      <w:r w:rsidR="004B6127" w:rsidRPr="001558A5">
        <w:rPr>
          <w:lang w:val="en-US"/>
        </w:rPr>
        <w:t>Argelia</w:t>
      </w:r>
      <w:proofErr w:type="spellEnd"/>
      <w:r w:rsidR="004B6127" w:rsidRPr="001558A5">
        <w:rPr>
          <w:lang w:val="en-US"/>
        </w:rPr>
        <w:t xml:space="preserve"> Johana Reyes Ríos </w:t>
      </w:r>
    </w:p>
    <w:p w14:paraId="4180D5AC" w14:textId="61E3B5F8" w:rsidR="00114AA9" w:rsidRPr="001558A5" w:rsidRDefault="00DD4354" w:rsidP="00864175">
      <w:pPr>
        <w:widowControl w:val="0"/>
        <w:numPr>
          <w:ilvl w:val="0"/>
          <w:numId w:val="2"/>
        </w:numPr>
        <w:spacing w:before="120" w:after="120"/>
        <w:ind w:left="0" w:firstLine="0"/>
        <w:rPr>
          <w:lang w:val="en-US"/>
        </w:rPr>
      </w:pPr>
      <w:r w:rsidRPr="001558A5">
        <w:rPr>
          <w:lang w:val="en-US"/>
        </w:rPr>
        <w:t xml:space="preserve">The </w:t>
      </w:r>
      <w:r w:rsidRPr="001558A5">
        <w:rPr>
          <w:b/>
          <w:bCs/>
          <w:i/>
          <w:iCs/>
          <w:lang w:val="en-US"/>
        </w:rPr>
        <w:t>representatives</w:t>
      </w:r>
      <w:r w:rsidR="00114AA9" w:rsidRPr="001558A5">
        <w:rPr>
          <w:lang w:val="en-US"/>
        </w:rPr>
        <w:t xml:space="preserve"> </w:t>
      </w:r>
      <w:r w:rsidR="00864175" w:rsidRPr="001558A5">
        <w:rPr>
          <w:lang w:val="en-US"/>
        </w:rPr>
        <w:t xml:space="preserve">asked </w:t>
      </w:r>
      <w:r w:rsidR="00871E19" w:rsidRPr="001558A5">
        <w:rPr>
          <w:lang w:val="en-US"/>
        </w:rPr>
        <w:t>the Court</w:t>
      </w:r>
      <w:r w:rsidR="004B6127" w:rsidRPr="001558A5">
        <w:rPr>
          <w:lang w:val="en-US"/>
        </w:rPr>
        <w:t xml:space="preserve"> </w:t>
      </w:r>
      <w:r w:rsidR="00864175" w:rsidRPr="001558A5">
        <w:rPr>
          <w:lang w:val="en-US"/>
        </w:rPr>
        <w:t xml:space="preserve">to order the Honduran State to guarantee a </w:t>
      </w:r>
      <w:r w:rsidR="00F2226C" w:rsidRPr="001558A5">
        <w:rPr>
          <w:lang w:val="en-US"/>
        </w:rPr>
        <w:t>scholarship</w:t>
      </w:r>
      <w:r w:rsidR="00864175" w:rsidRPr="001558A5">
        <w:rPr>
          <w:lang w:val="en-US"/>
        </w:rPr>
        <w:t xml:space="preserve"> for </w:t>
      </w:r>
      <w:proofErr w:type="spellStart"/>
      <w:r w:rsidR="00864175" w:rsidRPr="001558A5">
        <w:rPr>
          <w:lang w:val="en-US"/>
        </w:rPr>
        <w:t>Argelia</w:t>
      </w:r>
      <w:proofErr w:type="spellEnd"/>
      <w:r w:rsidR="00864175" w:rsidRPr="001558A5">
        <w:rPr>
          <w:lang w:val="en-US"/>
        </w:rPr>
        <w:t xml:space="preserve"> Johana Reyes Ríos consisting of a monthly stipend that fully covered the expenses </w:t>
      </w:r>
      <w:r w:rsidR="005A265B" w:rsidRPr="001558A5">
        <w:rPr>
          <w:lang w:val="en-US"/>
        </w:rPr>
        <w:t>of</w:t>
      </w:r>
      <w:r w:rsidR="00864175" w:rsidRPr="001558A5">
        <w:rPr>
          <w:lang w:val="en-US"/>
        </w:rPr>
        <w:t xml:space="preserve"> her studies in a secondary education establishment and in the university that she, together with her grandmother, decide, until she has terminated her “advanced studies for a professional career.” They indicated that the </w:t>
      </w:r>
      <w:r w:rsidR="00F2226C" w:rsidRPr="001558A5">
        <w:rPr>
          <w:lang w:val="en-US"/>
        </w:rPr>
        <w:t>scholarship</w:t>
      </w:r>
      <w:r w:rsidR="00864175" w:rsidRPr="001558A5">
        <w:rPr>
          <w:lang w:val="en-US"/>
        </w:rPr>
        <w:t xml:space="preserve"> should be subject to </w:t>
      </w:r>
      <w:r w:rsidR="005A265B" w:rsidRPr="001558A5">
        <w:rPr>
          <w:lang w:val="en-US"/>
        </w:rPr>
        <w:t xml:space="preserve">the </w:t>
      </w:r>
      <w:r w:rsidR="00864175" w:rsidRPr="001558A5">
        <w:rPr>
          <w:lang w:val="en-US"/>
        </w:rPr>
        <w:t xml:space="preserve">condition that she did not abandon her studies and be administered by her grandmother, </w:t>
      </w:r>
      <w:r w:rsidR="004B6127" w:rsidRPr="001558A5">
        <w:rPr>
          <w:lang w:val="en-US"/>
        </w:rPr>
        <w:t xml:space="preserve">Rosa </w:t>
      </w:r>
      <w:proofErr w:type="spellStart"/>
      <w:r w:rsidR="004B6127" w:rsidRPr="001558A5">
        <w:rPr>
          <w:lang w:val="en-US"/>
        </w:rPr>
        <w:t>Argelia</w:t>
      </w:r>
      <w:proofErr w:type="spellEnd"/>
      <w:r w:rsidR="004B6127" w:rsidRPr="001558A5">
        <w:rPr>
          <w:lang w:val="en-US"/>
        </w:rPr>
        <w:t xml:space="preserve"> Hernández </w:t>
      </w:r>
      <w:proofErr w:type="spellStart"/>
      <w:r w:rsidR="004B6127" w:rsidRPr="001558A5">
        <w:rPr>
          <w:lang w:val="en-US"/>
        </w:rPr>
        <w:t>Martínez</w:t>
      </w:r>
      <w:proofErr w:type="spellEnd"/>
      <w:r w:rsidR="004B6127" w:rsidRPr="001558A5">
        <w:rPr>
          <w:lang w:val="en-US"/>
        </w:rPr>
        <w:t xml:space="preserve">, </w:t>
      </w:r>
      <w:r w:rsidR="00864175" w:rsidRPr="001558A5">
        <w:rPr>
          <w:lang w:val="en-US"/>
        </w:rPr>
        <w:t>until</w:t>
      </w:r>
      <w:r w:rsidR="004B6127" w:rsidRPr="001558A5">
        <w:rPr>
          <w:lang w:val="en-US"/>
        </w:rPr>
        <w:t xml:space="preserve"> </w:t>
      </w:r>
      <w:proofErr w:type="spellStart"/>
      <w:r w:rsidR="004B6127" w:rsidRPr="001558A5">
        <w:rPr>
          <w:lang w:val="en-US"/>
        </w:rPr>
        <w:t>Argelia</w:t>
      </w:r>
      <w:proofErr w:type="spellEnd"/>
      <w:r w:rsidR="004B6127" w:rsidRPr="001558A5">
        <w:rPr>
          <w:lang w:val="en-US"/>
        </w:rPr>
        <w:t xml:space="preserve"> Johana Reyes Ríos </w:t>
      </w:r>
      <w:r w:rsidR="00864175" w:rsidRPr="001558A5">
        <w:rPr>
          <w:lang w:val="en-US"/>
        </w:rPr>
        <w:t>came of age, when she herself should administer it.</w:t>
      </w:r>
    </w:p>
    <w:p w14:paraId="7E788E9B" w14:textId="5AE892BB" w:rsidR="00864175" w:rsidRPr="001558A5" w:rsidRDefault="00DD4354" w:rsidP="00945CE2">
      <w:pPr>
        <w:widowControl w:val="0"/>
        <w:numPr>
          <w:ilvl w:val="0"/>
          <w:numId w:val="2"/>
        </w:numPr>
        <w:spacing w:before="120" w:after="120"/>
        <w:ind w:left="0" w:firstLine="0"/>
        <w:rPr>
          <w:lang w:val="en-US"/>
        </w:rPr>
      </w:pPr>
      <w:r w:rsidRPr="001558A5">
        <w:rPr>
          <w:lang w:val="en-US"/>
        </w:rPr>
        <w:t xml:space="preserve">The </w:t>
      </w:r>
      <w:r w:rsidRPr="001558A5">
        <w:rPr>
          <w:b/>
          <w:bCs/>
          <w:i/>
          <w:iCs/>
          <w:lang w:val="en-US"/>
        </w:rPr>
        <w:t>State</w:t>
      </w:r>
      <w:r w:rsidR="00114AA9" w:rsidRPr="001558A5">
        <w:rPr>
          <w:b/>
          <w:bCs/>
          <w:i/>
          <w:iCs/>
          <w:lang w:val="en-US"/>
        </w:rPr>
        <w:t xml:space="preserve"> </w:t>
      </w:r>
      <w:r w:rsidR="00114AA9" w:rsidRPr="001558A5">
        <w:rPr>
          <w:lang w:val="en-US"/>
        </w:rPr>
        <w:t>indic</w:t>
      </w:r>
      <w:r w:rsidR="00864175" w:rsidRPr="001558A5">
        <w:rPr>
          <w:lang w:val="en-US"/>
        </w:rPr>
        <w:t xml:space="preserve">ated that, if this measure </w:t>
      </w:r>
      <w:r w:rsidR="005F48CF" w:rsidRPr="001558A5">
        <w:rPr>
          <w:lang w:val="en-US"/>
        </w:rPr>
        <w:t>were</w:t>
      </w:r>
      <w:r w:rsidR="00864175" w:rsidRPr="001558A5">
        <w:rPr>
          <w:lang w:val="en-US"/>
        </w:rPr>
        <w:t xml:space="preserve"> granted, the Court should establish an amount and the period that it would cover, and authorize the Honduran State to set up a trust </w:t>
      </w:r>
      <w:r w:rsidR="005A265B" w:rsidRPr="001558A5">
        <w:rPr>
          <w:lang w:val="en-US"/>
        </w:rPr>
        <w:t xml:space="preserve">fund </w:t>
      </w:r>
      <w:r w:rsidR="00864175" w:rsidRPr="001558A5">
        <w:rPr>
          <w:lang w:val="en-US"/>
        </w:rPr>
        <w:t>through a national banking institution to administer and disburse the funds on a monthly basis so that she could attended college and, if appropriate, continue with university studies under the national system, establishing a cancellation clause if she abandoned her studies and subject to her academic performance</w:t>
      </w:r>
      <w:r w:rsidR="00F2226C" w:rsidRPr="001558A5">
        <w:rPr>
          <w:lang w:val="en-US"/>
        </w:rPr>
        <w:t>.</w:t>
      </w:r>
    </w:p>
    <w:p w14:paraId="2FBCB8EC" w14:textId="2C7AF2E4" w:rsidR="001E0093" w:rsidRPr="001558A5" w:rsidRDefault="00871E19" w:rsidP="00F2226C">
      <w:pPr>
        <w:widowControl w:val="0"/>
        <w:numPr>
          <w:ilvl w:val="0"/>
          <w:numId w:val="2"/>
        </w:numPr>
        <w:spacing w:before="120" w:after="120"/>
        <w:ind w:left="0" w:firstLine="0"/>
        <w:rPr>
          <w:spacing w:val="-2"/>
          <w:lang w:val="en-US"/>
        </w:rPr>
      </w:pPr>
      <w:r w:rsidRPr="001558A5">
        <w:rPr>
          <w:lang w:val="en-US"/>
        </w:rPr>
        <w:t>The Court</w:t>
      </w:r>
      <w:r w:rsidR="00114AA9" w:rsidRPr="001558A5">
        <w:rPr>
          <w:lang w:val="en-US"/>
        </w:rPr>
        <w:t xml:space="preserve"> </w:t>
      </w:r>
      <w:r w:rsidR="00D14EEB" w:rsidRPr="001558A5">
        <w:rPr>
          <w:lang w:val="en-US"/>
        </w:rPr>
        <w:t>not</w:t>
      </w:r>
      <w:r w:rsidR="00F2226C" w:rsidRPr="001558A5">
        <w:rPr>
          <w:lang w:val="en-US"/>
        </w:rPr>
        <w:t>es that, according to the affidavits of</w:t>
      </w:r>
      <w:r w:rsidR="00D14EEB" w:rsidRPr="001558A5">
        <w:rPr>
          <w:lang w:val="en-US"/>
        </w:rPr>
        <w:t xml:space="preserve"> </w:t>
      </w:r>
      <w:r w:rsidR="00CC46CB" w:rsidRPr="001558A5">
        <w:rPr>
          <w:lang w:val="en-US"/>
        </w:rPr>
        <w:t xml:space="preserve">Rosa </w:t>
      </w:r>
      <w:proofErr w:type="spellStart"/>
      <w:r w:rsidR="00CC46CB" w:rsidRPr="001558A5">
        <w:rPr>
          <w:lang w:val="en-US"/>
        </w:rPr>
        <w:t>Argelia</w:t>
      </w:r>
      <w:proofErr w:type="spellEnd"/>
      <w:r w:rsidR="00CC46CB" w:rsidRPr="001558A5">
        <w:rPr>
          <w:lang w:val="en-US"/>
        </w:rPr>
        <w:t xml:space="preserve"> Hernández </w:t>
      </w:r>
      <w:proofErr w:type="spellStart"/>
      <w:r w:rsidR="00CC46CB" w:rsidRPr="001558A5">
        <w:rPr>
          <w:lang w:val="en-US"/>
        </w:rPr>
        <w:t>Martínez</w:t>
      </w:r>
      <w:proofErr w:type="spellEnd"/>
      <w:r w:rsidR="00DD4354" w:rsidRPr="001558A5">
        <w:rPr>
          <w:lang w:val="en-US"/>
        </w:rPr>
        <w:t xml:space="preserve"> and </w:t>
      </w:r>
      <w:proofErr w:type="spellStart"/>
      <w:r w:rsidR="00CC46CB" w:rsidRPr="001558A5">
        <w:rPr>
          <w:lang w:val="en-US"/>
        </w:rPr>
        <w:t>Merelin</w:t>
      </w:r>
      <w:proofErr w:type="spellEnd"/>
      <w:r w:rsidR="00CC46CB" w:rsidRPr="001558A5">
        <w:rPr>
          <w:lang w:val="en-US"/>
        </w:rPr>
        <w:t xml:space="preserve"> Tatiana </w:t>
      </w:r>
      <w:proofErr w:type="spellStart"/>
      <w:r w:rsidR="00CC46CB" w:rsidRPr="001558A5">
        <w:rPr>
          <w:lang w:val="en-US"/>
        </w:rPr>
        <w:t>Rápalo</w:t>
      </w:r>
      <w:proofErr w:type="spellEnd"/>
      <w:r w:rsidR="00CC46CB" w:rsidRPr="001558A5">
        <w:rPr>
          <w:lang w:val="en-US"/>
        </w:rPr>
        <w:t xml:space="preserve"> Hernández</w:t>
      </w:r>
      <w:r w:rsidR="00D14EEB" w:rsidRPr="001558A5">
        <w:rPr>
          <w:lang w:val="en-US"/>
        </w:rPr>
        <w:t xml:space="preserve">, Vicky Hernández </w:t>
      </w:r>
      <w:r w:rsidR="00F2226C" w:rsidRPr="001558A5">
        <w:rPr>
          <w:lang w:val="en-US"/>
        </w:rPr>
        <w:t>provided important financial support to her family and contributed to the</w:t>
      </w:r>
      <w:r w:rsidR="005A265B" w:rsidRPr="001558A5">
        <w:rPr>
          <w:lang w:val="en-US"/>
        </w:rPr>
        <w:t xml:space="preserve"> expenses of</w:t>
      </w:r>
      <w:r w:rsidR="00F2226C" w:rsidRPr="001558A5">
        <w:rPr>
          <w:lang w:val="en-US"/>
        </w:rPr>
        <w:t xml:space="preserve"> food, electricity, water and rent; therefore, after her death, the</w:t>
      </w:r>
      <w:r w:rsidR="005A265B" w:rsidRPr="001558A5">
        <w:rPr>
          <w:lang w:val="en-US"/>
        </w:rPr>
        <w:t>ir</w:t>
      </w:r>
      <w:r w:rsidR="00F2226C" w:rsidRPr="001558A5">
        <w:rPr>
          <w:lang w:val="en-US"/>
        </w:rPr>
        <w:t xml:space="preserve"> financial situation had deteriorated substantially.</w:t>
      </w:r>
      <w:r w:rsidR="00CC46CB" w:rsidRPr="001558A5">
        <w:rPr>
          <w:rStyle w:val="Refdenotaalpie"/>
          <w:lang w:val="en-US"/>
        </w:rPr>
        <w:footnoteReference w:id="179"/>
      </w:r>
      <w:r w:rsidR="00F2226C" w:rsidRPr="001558A5">
        <w:rPr>
          <w:lang w:val="en-US"/>
        </w:rPr>
        <w:t xml:space="preserve"> Taking this into account, as well as the fact that</w:t>
      </w:r>
      <w:r w:rsidR="005A265B" w:rsidRPr="001558A5">
        <w:rPr>
          <w:lang w:val="en-US"/>
        </w:rPr>
        <w:t>,</w:t>
      </w:r>
      <w:r w:rsidR="00F2226C" w:rsidRPr="001558A5">
        <w:rPr>
          <w:lang w:val="en-US"/>
        </w:rPr>
        <w:t xml:space="preserve"> in this case</w:t>
      </w:r>
      <w:r w:rsidR="005A265B" w:rsidRPr="001558A5">
        <w:rPr>
          <w:lang w:val="en-US"/>
        </w:rPr>
        <w:t>,</w:t>
      </w:r>
      <w:r w:rsidR="00F2226C" w:rsidRPr="001558A5">
        <w:rPr>
          <w:lang w:val="en-US"/>
        </w:rPr>
        <w:t xml:space="preserve"> it has concluded that the State was responsible for the death of</w:t>
      </w:r>
      <w:r w:rsidR="00F2226C" w:rsidRPr="001558A5">
        <w:rPr>
          <w:spacing w:val="-2"/>
          <w:lang w:val="en-US"/>
        </w:rPr>
        <w:t xml:space="preserve"> </w:t>
      </w:r>
      <w:r w:rsidR="00CC46CB" w:rsidRPr="001558A5">
        <w:rPr>
          <w:lang w:val="en-US"/>
        </w:rPr>
        <w:t>Vicky Hernández</w:t>
      </w:r>
      <w:r w:rsidR="00ED374E" w:rsidRPr="001558A5">
        <w:rPr>
          <w:lang w:val="en-US"/>
        </w:rPr>
        <w:t xml:space="preserve"> (</w:t>
      </w:r>
      <w:r w:rsidR="00ED374E" w:rsidRPr="001558A5">
        <w:rPr>
          <w:i/>
          <w:iCs/>
          <w:lang w:val="en-US"/>
        </w:rPr>
        <w:t>supra</w:t>
      </w:r>
      <w:r w:rsidR="00ED374E" w:rsidRPr="001558A5">
        <w:rPr>
          <w:lang w:val="en-US"/>
        </w:rPr>
        <w:t xml:space="preserve"> </w:t>
      </w:r>
      <w:r w:rsidR="007E2633" w:rsidRPr="001558A5">
        <w:rPr>
          <w:rFonts w:cs="Verdana"/>
          <w:bCs/>
          <w:szCs w:val="20"/>
          <w:lang w:val="en-US"/>
        </w:rPr>
        <w:t>VII.2.B.B1</w:t>
      </w:r>
      <w:r w:rsidR="00ED374E" w:rsidRPr="001558A5">
        <w:rPr>
          <w:lang w:val="en-US"/>
        </w:rPr>
        <w:t>)</w:t>
      </w:r>
      <w:r w:rsidR="00CC46CB" w:rsidRPr="001558A5">
        <w:rPr>
          <w:lang w:val="en-US"/>
        </w:rPr>
        <w:t xml:space="preserve">, </w:t>
      </w:r>
      <w:r w:rsidRPr="001558A5">
        <w:rPr>
          <w:lang w:val="en-US"/>
        </w:rPr>
        <w:t>the Court</w:t>
      </w:r>
      <w:r w:rsidR="00ED374E" w:rsidRPr="001558A5">
        <w:rPr>
          <w:lang w:val="en-US"/>
        </w:rPr>
        <w:t xml:space="preserve"> </w:t>
      </w:r>
      <w:r w:rsidR="00F2226C" w:rsidRPr="001558A5">
        <w:rPr>
          <w:lang w:val="en-US"/>
        </w:rPr>
        <w:t xml:space="preserve">finds it necessary to order the State to </w:t>
      </w:r>
      <w:r w:rsidR="005A265B" w:rsidRPr="001558A5">
        <w:rPr>
          <w:lang w:val="en-US"/>
        </w:rPr>
        <w:t>grant</w:t>
      </w:r>
      <w:r w:rsidR="00F2226C" w:rsidRPr="001558A5">
        <w:rPr>
          <w:lang w:val="en-US"/>
        </w:rPr>
        <w:t xml:space="preserve"> the requested </w:t>
      </w:r>
      <w:r w:rsidR="0026713C" w:rsidRPr="001558A5">
        <w:rPr>
          <w:lang w:val="en-US"/>
        </w:rPr>
        <w:t>scholarship</w:t>
      </w:r>
      <w:r w:rsidR="00F2226C" w:rsidRPr="001558A5">
        <w:rPr>
          <w:lang w:val="en-US"/>
        </w:rPr>
        <w:t xml:space="preserve"> in favor of </w:t>
      </w:r>
      <w:proofErr w:type="spellStart"/>
      <w:r w:rsidR="00114AA9" w:rsidRPr="001558A5">
        <w:rPr>
          <w:lang w:val="en-US"/>
        </w:rPr>
        <w:t>Argelia</w:t>
      </w:r>
      <w:proofErr w:type="spellEnd"/>
      <w:r w:rsidR="00114AA9" w:rsidRPr="001558A5">
        <w:rPr>
          <w:lang w:val="en-US"/>
        </w:rPr>
        <w:t xml:space="preserve"> </w:t>
      </w:r>
      <w:r w:rsidR="00114AA9" w:rsidRPr="001558A5">
        <w:rPr>
          <w:rFonts w:cs="Verdana-Italic"/>
          <w:spacing w:val="-2"/>
          <w:szCs w:val="20"/>
          <w:lang w:val="en-US" w:bidi="en-US"/>
        </w:rPr>
        <w:t>Johana</w:t>
      </w:r>
      <w:r w:rsidR="00114AA9" w:rsidRPr="001558A5">
        <w:rPr>
          <w:lang w:val="en-US"/>
        </w:rPr>
        <w:t xml:space="preserve"> Reyes Ríos </w:t>
      </w:r>
      <w:r w:rsidR="00F2226C" w:rsidRPr="001558A5">
        <w:rPr>
          <w:lang w:val="en-US"/>
        </w:rPr>
        <w:t xml:space="preserve">consisting </w:t>
      </w:r>
      <w:r w:rsidR="0026713C" w:rsidRPr="001558A5">
        <w:rPr>
          <w:lang w:val="en-US"/>
        </w:rPr>
        <w:t>of</w:t>
      </w:r>
      <w:r w:rsidR="00F2226C" w:rsidRPr="001558A5">
        <w:rPr>
          <w:lang w:val="en-US"/>
        </w:rPr>
        <w:t xml:space="preserve"> a monthly stipend that fully covers the expenses </w:t>
      </w:r>
      <w:r w:rsidR="005A265B" w:rsidRPr="001558A5">
        <w:rPr>
          <w:lang w:val="en-US"/>
        </w:rPr>
        <w:t>relating to</w:t>
      </w:r>
      <w:r w:rsidR="00F2226C" w:rsidRPr="001558A5">
        <w:rPr>
          <w:lang w:val="en-US"/>
        </w:rPr>
        <w:t xml:space="preserve"> her studies in a public secondary education establishment together with technical or university education</w:t>
      </w:r>
      <w:r w:rsidR="00114AA9" w:rsidRPr="001558A5">
        <w:rPr>
          <w:lang w:val="en-US"/>
        </w:rPr>
        <w:t xml:space="preserve"> </w:t>
      </w:r>
      <w:r w:rsidR="00215FEF" w:rsidRPr="001558A5">
        <w:rPr>
          <w:lang w:val="en-US"/>
        </w:rPr>
        <w:t>in Honduras</w:t>
      </w:r>
      <w:r w:rsidR="00A83A31" w:rsidRPr="001558A5">
        <w:rPr>
          <w:lang w:val="en-US"/>
        </w:rPr>
        <w:t xml:space="preserve">. </w:t>
      </w:r>
    </w:p>
    <w:p w14:paraId="5008C3A6" w14:textId="60E87C90" w:rsidR="0026713C" w:rsidRPr="001558A5" w:rsidRDefault="005A265B" w:rsidP="00945CE2">
      <w:pPr>
        <w:widowControl w:val="0"/>
        <w:numPr>
          <w:ilvl w:val="0"/>
          <w:numId w:val="2"/>
        </w:numPr>
        <w:spacing w:before="120" w:after="120"/>
        <w:ind w:left="0" w:firstLine="0"/>
        <w:rPr>
          <w:spacing w:val="-2"/>
          <w:szCs w:val="20"/>
          <w:lang w:val="en-US"/>
        </w:rPr>
      </w:pPr>
      <w:r w:rsidRPr="001558A5">
        <w:rPr>
          <w:lang w:val="en-US"/>
        </w:rPr>
        <w:t>Moreover,</w:t>
      </w:r>
      <w:r w:rsidR="00F2226C" w:rsidRPr="001558A5">
        <w:rPr>
          <w:lang w:val="en-US"/>
        </w:rPr>
        <w:t xml:space="preserve"> this</w:t>
      </w:r>
      <w:r w:rsidR="0026713C" w:rsidRPr="001558A5">
        <w:rPr>
          <w:lang w:val="en-US"/>
        </w:rPr>
        <w:t xml:space="preserve"> scholarship</w:t>
      </w:r>
      <w:r w:rsidR="00F2226C" w:rsidRPr="001558A5">
        <w:rPr>
          <w:lang w:val="en-US"/>
        </w:rPr>
        <w:t xml:space="preserve"> must not be conditioned to her obtaining notes that would earn her a merit scholarship, or depend</w:t>
      </w:r>
      <w:r w:rsidR="0026713C" w:rsidRPr="001558A5">
        <w:rPr>
          <w:lang w:val="en-US"/>
        </w:rPr>
        <w:t xml:space="preserve"> </w:t>
      </w:r>
      <w:r w:rsidR="00F2226C" w:rsidRPr="001558A5">
        <w:rPr>
          <w:lang w:val="en-US"/>
        </w:rPr>
        <w:t>on her academic performance</w:t>
      </w:r>
      <w:r w:rsidR="0026713C" w:rsidRPr="001558A5">
        <w:rPr>
          <w:lang w:val="en-US"/>
        </w:rPr>
        <w:t xml:space="preserve">; rather, it must be granted based on her condition </w:t>
      </w:r>
      <w:r w:rsidRPr="001558A5">
        <w:rPr>
          <w:lang w:val="en-US"/>
        </w:rPr>
        <w:t>as</w:t>
      </w:r>
      <w:r w:rsidR="0026713C" w:rsidRPr="001558A5">
        <w:rPr>
          <w:lang w:val="en-US"/>
        </w:rPr>
        <w:t xml:space="preserve"> a victim </w:t>
      </w:r>
      <w:r w:rsidRPr="001558A5">
        <w:rPr>
          <w:lang w:val="en-US"/>
        </w:rPr>
        <w:t>owing to</w:t>
      </w:r>
      <w:r w:rsidR="0026713C" w:rsidRPr="001558A5">
        <w:rPr>
          <w:lang w:val="en-US"/>
        </w:rPr>
        <w:t xml:space="preserve"> the violations declared in this judgment. Th</w:t>
      </w:r>
      <w:r w:rsidRPr="001558A5">
        <w:rPr>
          <w:lang w:val="en-US"/>
        </w:rPr>
        <w:t>e</w:t>
      </w:r>
      <w:r w:rsidR="0026713C" w:rsidRPr="001558A5">
        <w:rPr>
          <w:lang w:val="en-US"/>
        </w:rPr>
        <w:t xml:space="preserve"> scholarship must be granted as soon as the beneficiary makes the request to the State  and until the conclusion of her advanced technical or university studies and must cover all the expenses until she has completely terminated such studies, including all educational or academic materials, as well as maintenance costs. The victim or her legal representatives have six months from notification of this judgment to inform the State of her intention to receive this scholarship, and 24 month following the completion of her secondary studies to advise the State of her intention to continue to receive this scholarship and the career she has decided to follow at the technical or university level.</w:t>
      </w:r>
    </w:p>
    <w:p w14:paraId="1C742894" w14:textId="7F71CE20" w:rsidR="00C404BA" w:rsidRPr="001558A5" w:rsidRDefault="00AD12A6" w:rsidP="00BF1B8C">
      <w:pPr>
        <w:pStyle w:val="PrrafodeSentencia"/>
        <w:ind w:left="709"/>
        <w:rPr>
          <w:lang w:val="en-US"/>
        </w:rPr>
      </w:pPr>
      <w:r w:rsidRPr="001558A5">
        <w:rPr>
          <w:lang w:val="en-US"/>
        </w:rPr>
        <w:tab/>
      </w:r>
      <w:r w:rsidR="00C404BA" w:rsidRPr="001558A5">
        <w:rPr>
          <w:lang w:val="en-US"/>
        </w:rPr>
        <w:t xml:space="preserve">C.1.d </w:t>
      </w:r>
      <w:r w:rsidR="00F73C8B" w:rsidRPr="001558A5">
        <w:rPr>
          <w:lang w:val="en-US"/>
        </w:rPr>
        <w:t>Audiovisual documenta</w:t>
      </w:r>
      <w:r w:rsidR="0026713C" w:rsidRPr="001558A5">
        <w:rPr>
          <w:lang w:val="en-US"/>
        </w:rPr>
        <w:t xml:space="preserve">ry on the situation of </w:t>
      </w:r>
      <w:r w:rsidR="00215FEF" w:rsidRPr="001558A5">
        <w:rPr>
          <w:lang w:val="en-US"/>
        </w:rPr>
        <w:t>discrimination</w:t>
      </w:r>
      <w:r w:rsidR="00DD4354" w:rsidRPr="001558A5">
        <w:rPr>
          <w:lang w:val="en-US"/>
        </w:rPr>
        <w:t xml:space="preserve"> and </w:t>
      </w:r>
      <w:r w:rsidR="00E25B6E" w:rsidRPr="001558A5">
        <w:rPr>
          <w:lang w:val="en-US"/>
        </w:rPr>
        <w:t>violenc</w:t>
      </w:r>
      <w:r w:rsidR="0026713C" w:rsidRPr="001558A5">
        <w:rPr>
          <w:lang w:val="en-US"/>
        </w:rPr>
        <w:t>e</w:t>
      </w:r>
      <w:r w:rsidR="00E25B6E" w:rsidRPr="001558A5">
        <w:rPr>
          <w:lang w:val="en-US"/>
        </w:rPr>
        <w:t xml:space="preserve"> </w:t>
      </w:r>
      <w:r w:rsidR="0026713C" w:rsidRPr="001558A5">
        <w:rPr>
          <w:lang w:val="en-US"/>
        </w:rPr>
        <w:t xml:space="preserve">experienced by trans women </w:t>
      </w:r>
      <w:r w:rsidR="00215FEF" w:rsidRPr="001558A5">
        <w:rPr>
          <w:lang w:val="en-US"/>
        </w:rPr>
        <w:t>in Honduras</w:t>
      </w:r>
      <w:r w:rsidR="00C404BA" w:rsidRPr="001558A5">
        <w:rPr>
          <w:lang w:val="en-US"/>
        </w:rPr>
        <w:t xml:space="preserve"> </w:t>
      </w:r>
    </w:p>
    <w:p w14:paraId="07F35A30" w14:textId="546404AA" w:rsidR="0023267B" w:rsidRPr="001558A5" w:rsidRDefault="0026713C" w:rsidP="00F30DB9">
      <w:pPr>
        <w:widowControl w:val="0"/>
        <w:numPr>
          <w:ilvl w:val="0"/>
          <w:numId w:val="2"/>
        </w:numPr>
        <w:spacing w:before="120" w:after="120"/>
        <w:ind w:left="0" w:firstLine="0"/>
        <w:rPr>
          <w:rFonts w:eastAsia="MS Mincho" w:cs="Times New Roman"/>
          <w:szCs w:val="20"/>
          <w:lang w:val="en-US"/>
        </w:rPr>
      </w:pPr>
      <w:r w:rsidRPr="001558A5">
        <w:rPr>
          <w:rFonts w:eastAsia="MS Mincho" w:cs="Times New Roman"/>
          <w:szCs w:val="20"/>
          <w:lang w:val="en-US"/>
        </w:rPr>
        <w:t>In view of the circumstances of this case, which constitutes a manifestation of the context of violence against trans women in Honduras, the Court establishes, as it has in other cases,</w:t>
      </w:r>
      <w:r w:rsidR="00F73C8B" w:rsidRPr="001558A5">
        <w:rPr>
          <w:rStyle w:val="Refdenotaalpie"/>
          <w:rFonts w:eastAsia="MS Mincho"/>
          <w:lang w:val="en-US" w:eastAsia="es-MX"/>
        </w:rPr>
        <w:footnoteReference w:id="180"/>
      </w:r>
      <w:r w:rsidRPr="001558A5">
        <w:rPr>
          <w:rFonts w:eastAsia="MS Mincho" w:cs="Times New Roman"/>
          <w:szCs w:val="20"/>
          <w:lang w:val="en-US"/>
        </w:rPr>
        <w:t xml:space="preserve"> that an audiovisual documentary be made on the situation of discrimination and violence experienced by trans women in Honduras. This documentary must refer to the facts of the instant case and its content; also, the victims must play an active role </w:t>
      </w:r>
      <w:r w:rsidR="007F10D0" w:rsidRPr="001558A5">
        <w:rPr>
          <w:rFonts w:eastAsia="MS Mincho" w:cs="Times New Roman"/>
          <w:szCs w:val="20"/>
          <w:lang w:val="en-US"/>
        </w:rPr>
        <w:t>at</w:t>
      </w:r>
      <w:r w:rsidRPr="001558A5">
        <w:rPr>
          <w:rFonts w:eastAsia="MS Mincho" w:cs="Times New Roman"/>
          <w:szCs w:val="20"/>
          <w:lang w:val="en-US"/>
        </w:rPr>
        <w:t xml:space="preserve"> all stages of its production. The State must cover all the expenses arising from the production and distribution of this video. The Court considers that the video should be distributed as widely as possible among the victims, their representatives, police and military training centers, and the country’s schools and universities for its promotion and subsequent screening with the end purpose of informing Honduran society about these facts and about the situation experienced by trans women in Honduras. The video must be transmitted, at least once, at prime time, by a national television channel, and placed on the website of the National Police of Honduras. The State has one year from notification of this judgment to produce and distribute this audiovisual documentary. Furthermore, the State must present a report to the Court on the progress made in compliance with this measure of reparation within six months of notification </w:t>
      </w:r>
      <w:r w:rsidR="004E4879" w:rsidRPr="001558A5">
        <w:rPr>
          <w:rFonts w:eastAsia="MS Mincho" w:cs="Times New Roman"/>
          <w:szCs w:val="20"/>
          <w:lang w:val="en-US"/>
        </w:rPr>
        <w:t>of th</w:t>
      </w:r>
      <w:r w:rsidR="007F10D0" w:rsidRPr="001558A5">
        <w:rPr>
          <w:rFonts w:eastAsia="MS Mincho" w:cs="Times New Roman"/>
          <w:szCs w:val="20"/>
          <w:lang w:val="en-US"/>
        </w:rPr>
        <w:t>is</w:t>
      </w:r>
      <w:r w:rsidR="004E4879" w:rsidRPr="001558A5">
        <w:rPr>
          <w:rFonts w:eastAsia="MS Mincho" w:cs="Times New Roman"/>
          <w:szCs w:val="20"/>
          <w:lang w:val="en-US"/>
        </w:rPr>
        <w:t xml:space="preserve"> judgment</w:t>
      </w:r>
      <w:r w:rsidR="0023267B" w:rsidRPr="001558A5">
        <w:rPr>
          <w:rFonts w:eastAsia="MS Mincho" w:cs="Times New Roman"/>
          <w:szCs w:val="20"/>
          <w:lang w:val="en-US"/>
        </w:rPr>
        <w:t xml:space="preserve">. </w:t>
      </w:r>
      <w:r w:rsidR="00DD4354" w:rsidRPr="001558A5">
        <w:rPr>
          <w:rFonts w:eastAsia="MS Mincho" w:cs="Times New Roman"/>
          <w:szCs w:val="20"/>
          <w:lang w:val="en-US"/>
        </w:rPr>
        <w:t>The State</w:t>
      </w:r>
      <w:r w:rsidR="0023267B" w:rsidRPr="001558A5">
        <w:rPr>
          <w:rFonts w:eastAsia="MS Mincho" w:cs="Times New Roman"/>
          <w:szCs w:val="20"/>
          <w:lang w:val="en-US"/>
        </w:rPr>
        <w:t xml:space="preserve"> </w:t>
      </w:r>
      <w:r w:rsidRPr="001558A5">
        <w:rPr>
          <w:rFonts w:eastAsia="MS Mincho" w:cs="Times New Roman"/>
          <w:szCs w:val="20"/>
          <w:lang w:val="en-US"/>
        </w:rPr>
        <w:t xml:space="preserve">must appoint a </w:t>
      </w:r>
      <w:r w:rsidR="00F30DB9" w:rsidRPr="001558A5">
        <w:rPr>
          <w:rFonts w:eastAsia="MS Mincho" w:cs="Times New Roman"/>
          <w:szCs w:val="20"/>
          <w:lang w:val="en-US"/>
        </w:rPr>
        <w:t xml:space="preserve">contact person to coordinate with the victims or their representatives in the compliance with the measures within four months of notification </w:t>
      </w:r>
      <w:r w:rsidR="004E4879" w:rsidRPr="001558A5">
        <w:rPr>
          <w:rFonts w:eastAsia="MS Mincho" w:cs="Times New Roman"/>
          <w:szCs w:val="20"/>
          <w:lang w:val="en-US"/>
        </w:rPr>
        <w:t>of this judgment</w:t>
      </w:r>
      <w:r w:rsidR="0023267B" w:rsidRPr="001558A5">
        <w:rPr>
          <w:rFonts w:eastAsia="MS Mincho" w:cs="Times New Roman"/>
          <w:szCs w:val="20"/>
          <w:lang w:val="en-US"/>
        </w:rPr>
        <w:t xml:space="preserve">. </w:t>
      </w:r>
    </w:p>
    <w:p w14:paraId="25A95477" w14:textId="4398796F" w:rsidR="0021562A" w:rsidRPr="001558A5" w:rsidRDefault="0021562A">
      <w:pPr>
        <w:pStyle w:val="PrrafodeSentencia"/>
        <w:rPr>
          <w:lang w:val="en-US"/>
        </w:rPr>
      </w:pPr>
      <w:r w:rsidRPr="001558A5">
        <w:rPr>
          <w:lang w:val="en-US"/>
        </w:rPr>
        <w:t>C.1.e Crea</w:t>
      </w:r>
      <w:r w:rsidR="00F30DB9" w:rsidRPr="001558A5">
        <w:rPr>
          <w:lang w:val="en-US"/>
        </w:rPr>
        <w:t xml:space="preserve">tion of the </w:t>
      </w:r>
      <w:r w:rsidRPr="001558A5">
        <w:rPr>
          <w:lang w:val="en-US"/>
        </w:rPr>
        <w:t xml:space="preserve">“Vicky Hernández” </w:t>
      </w:r>
      <w:r w:rsidR="00F30DB9" w:rsidRPr="001558A5">
        <w:rPr>
          <w:lang w:val="en-US"/>
        </w:rPr>
        <w:t>study grant for trans women</w:t>
      </w:r>
    </w:p>
    <w:p w14:paraId="4FEC65A1" w14:textId="0E8EF68F" w:rsidR="0021562A" w:rsidRPr="001558A5" w:rsidRDefault="0021562A" w:rsidP="00F30DB9">
      <w:pPr>
        <w:widowControl w:val="0"/>
        <w:numPr>
          <w:ilvl w:val="0"/>
          <w:numId w:val="2"/>
        </w:numPr>
        <w:spacing w:before="120" w:after="120"/>
        <w:ind w:left="0" w:firstLine="0"/>
        <w:rPr>
          <w:rFonts w:eastAsia="MS Mincho" w:cs="Times New Roman"/>
          <w:b/>
          <w:bCs/>
          <w:i/>
          <w:szCs w:val="20"/>
          <w:lang w:val="en-US"/>
        </w:rPr>
      </w:pPr>
      <w:r w:rsidRPr="001558A5">
        <w:rPr>
          <w:rFonts w:eastAsia="MS Mincho" w:cs="Times New Roman"/>
          <w:szCs w:val="20"/>
          <w:lang w:val="en-US"/>
        </w:rPr>
        <w:t>T</w:t>
      </w:r>
      <w:r w:rsidR="00F30DB9" w:rsidRPr="001558A5">
        <w:rPr>
          <w:rFonts w:eastAsia="MS Mincho" w:cs="Times New Roman"/>
          <w:szCs w:val="20"/>
          <w:lang w:val="en-US"/>
        </w:rPr>
        <w:t xml:space="preserve">aking into account </w:t>
      </w:r>
      <w:r w:rsidR="00DD4354" w:rsidRPr="001558A5">
        <w:rPr>
          <w:rFonts w:eastAsia="MS Mincho" w:cs="Times New Roman"/>
          <w:szCs w:val="20"/>
          <w:lang w:val="en-US"/>
        </w:rPr>
        <w:t>the context</w:t>
      </w:r>
      <w:r w:rsidRPr="001558A5">
        <w:rPr>
          <w:rFonts w:eastAsia="MS Mincho" w:cs="Times New Roman"/>
          <w:szCs w:val="20"/>
          <w:lang w:val="en-US"/>
        </w:rPr>
        <w:t xml:space="preserve"> </w:t>
      </w:r>
      <w:r w:rsidR="00F30DB9" w:rsidRPr="001558A5">
        <w:rPr>
          <w:rFonts w:eastAsia="MS Mincho" w:cs="Times New Roman"/>
          <w:szCs w:val="20"/>
          <w:lang w:val="en-US"/>
        </w:rPr>
        <w:t xml:space="preserve">of </w:t>
      </w:r>
      <w:r w:rsidR="00215FEF" w:rsidRPr="001558A5">
        <w:rPr>
          <w:rFonts w:eastAsia="MS Mincho" w:cs="Times New Roman"/>
          <w:szCs w:val="20"/>
          <w:lang w:val="en-US"/>
        </w:rPr>
        <w:t>discrimination</w:t>
      </w:r>
      <w:r w:rsidRPr="001558A5">
        <w:rPr>
          <w:rFonts w:eastAsia="MS Mincho" w:cs="Times New Roman"/>
          <w:szCs w:val="20"/>
          <w:lang w:val="en-US"/>
        </w:rPr>
        <w:t xml:space="preserve"> </w:t>
      </w:r>
      <w:r w:rsidR="00F30DB9" w:rsidRPr="001558A5">
        <w:rPr>
          <w:rFonts w:eastAsia="MS Mincho" w:cs="Times New Roman"/>
          <w:szCs w:val="20"/>
          <w:lang w:val="en-US" w:eastAsia="es-MX"/>
        </w:rPr>
        <w:t>against trans women</w:t>
      </w:r>
      <w:r w:rsidRPr="001558A5">
        <w:rPr>
          <w:rFonts w:eastAsia="MS Mincho" w:cs="Times New Roman"/>
          <w:i/>
          <w:iCs/>
          <w:szCs w:val="20"/>
          <w:lang w:val="en-US" w:eastAsia="es-MX"/>
        </w:rPr>
        <w:t xml:space="preserve"> </w:t>
      </w:r>
      <w:r w:rsidR="00215FEF" w:rsidRPr="001558A5">
        <w:rPr>
          <w:rFonts w:eastAsia="MS Mincho" w:cs="Times New Roman"/>
          <w:szCs w:val="20"/>
          <w:lang w:val="en-US" w:eastAsia="es-MX"/>
        </w:rPr>
        <w:t>in Honduras</w:t>
      </w:r>
      <w:r w:rsidR="00F30DB9" w:rsidRPr="001558A5">
        <w:rPr>
          <w:rFonts w:eastAsia="MS Mincho" w:cs="Times New Roman"/>
          <w:szCs w:val="20"/>
          <w:lang w:val="en-US" w:eastAsia="es-MX"/>
        </w:rPr>
        <w:t xml:space="preserve">, which also constitutes an obstacle for </w:t>
      </w:r>
      <w:r w:rsidR="007F10D0" w:rsidRPr="001558A5">
        <w:rPr>
          <w:rFonts w:eastAsia="MS Mincho" w:cs="Times New Roman"/>
          <w:szCs w:val="20"/>
          <w:lang w:val="en-US" w:eastAsia="es-MX"/>
        </w:rPr>
        <w:t>a</w:t>
      </w:r>
      <w:r w:rsidR="00F30DB9" w:rsidRPr="001558A5">
        <w:rPr>
          <w:rFonts w:eastAsia="MS Mincho" w:cs="Times New Roman"/>
          <w:szCs w:val="20"/>
          <w:lang w:val="en-US" w:eastAsia="es-MX"/>
        </w:rPr>
        <w:t>ccess to the education system, the Court establishes, as it has in other cases,</w:t>
      </w:r>
      <w:r w:rsidRPr="001558A5">
        <w:rPr>
          <w:vertAlign w:val="superscript"/>
          <w:lang w:val="en-US"/>
        </w:rPr>
        <w:footnoteReference w:id="181"/>
      </w:r>
      <w:r w:rsidR="00F30DB9" w:rsidRPr="001558A5">
        <w:rPr>
          <w:rFonts w:eastAsia="MS Mincho" w:cs="Times New Roman"/>
          <w:szCs w:val="20"/>
          <w:lang w:val="en-US" w:eastAsia="es-MX"/>
        </w:rPr>
        <w:t xml:space="preserve"> that the State must create a program of study grants name</w:t>
      </w:r>
      <w:r w:rsidR="007F10D0" w:rsidRPr="001558A5">
        <w:rPr>
          <w:rFonts w:eastAsia="MS Mincho" w:cs="Times New Roman"/>
          <w:szCs w:val="20"/>
          <w:lang w:val="en-US" w:eastAsia="es-MX"/>
        </w:rPr>
        <w:t>d after</w:t>
      </w:r>
      <w:r w:rsidR="00F30DB9" w:rsidRPr="001558A5">
        <w:rPr>
          <w:rFonts w:eastAsia="MS Mincho" w:cs="Times New Roman"/>
          <w:szCs w:val="20"/>
          <w:lang w:val="en-US" w:eastAsia="es-MX"/>
        </w:rPr>
        <w:t xml:space="preserve"> Vicky Hernández for trans women so that they may conclude their secondary or technical studies. This program must cover the expenses, including maintenance, for one person to study in a Honduran public institution and must be renewed each year on a permanent basis. The study grant will be coordinated by a group or organization designated by the victims or their representatives that helps and supports trans women. It will be the said group or organization that determines the conditions for applying for this grant by a merits-based competition, in a procedure </w:t>
      </w:r>
      <w:r w:rsidR="007F10D0" w:rsidRPr="001558A5">
        <w:rPr>
          <w:rFonts w:eastAsia="MS Mincho" w:cs="Times New Roman"/>
          <w:szCs w:val="20"/>
          <w:lang w:val="en-US" w:eastAsia="es-MX"/>
        </w:rPr>
        <w:t>that</w:t>
      </w:r>
      <w:r w:rsidR="00F30DB9" w:rsidRPr="001558A5">
        <w:rPr>
          <w:rFonts w:eastAsia="MS Mincho" w:cs="Times New Roman"/>
          <w:szCs w:val="20"/>
          <w:lang w:val="en-US" w:eastAsia="es-MX"/>
        </w:rPr>
        <w:t xml:space="preserve"> the organization</w:t>
      </w:r>
      <w:r w:rsidR="007F10D0" w:rsidRPr="001558A5">
        <w:rPr>
          <w:rFonts w:eastAsia="MS Mincho" w:cs="Times New Roman"/>
          <w:szCs w:val="20"/>
          <w:lang w:val="en-US" w:eastAsia="es-MX"/>
        </w:rPr>
        <w:t xml:space="preserve"> establishes</w:t>
      </w:r>
      <w:r w:rsidR="00F30DB9" w:rsidRPr="001558A5">
        <w:rPr>
          <w:rFonts w:eastAsia="MS Mincho" w:cs="Times New Roman"/>
          <w:szCs w:val="20"/>
          <w:lang w:val="en-US" w:eastAsia="es-MX"/>
        </w:rPr>
        <w:t xml:space="preserve"> respect</w:t>
      </w:r>
      <w:r w:rsidR="007F10D0" w:rsidRPr="001558A5">
        <w:rPr>
          <w:rFonts w:eastAsia="MS Mincho" w:cs="Times New Roman"/>
          <w:szCs w:val="20"/>
          <w:lang w:val="en-US" w:eastAsia="es-MX"/>
        </w:rPr>
        <w:t>ing</w:t>
      </w:r>
      <w:r w:rsidR="00F30DB9" w:rsidRPr="001558A5">
        <w:rPr>
          <w:rFonts w:eastAsia="MS Mincho" w:cs="Times New Roman"/>
          <w:szCs w:val="20"/>
          <w:lang w:val="en-US" w:eastAsia="es-MX"/>
        </w:rPr>
        <w:t xml:space="preserve"> objective criteria. The State has two years from notification of this judgment to comply with this measure. Meanwhile, the victims or their representatives must designate the organization responsible for coordinating the</w:t>
      </w:r>
      <w:r w:rsidR="00F30DB9" w:rsidRPr="001558A5">
        <w:rPr>
          <w:rFonts w:eastAsia="MS Mincho" w:cs="Times New Roman"/>
          <w:b/>
          <w:bCs/>
          <w:i/>
          <w:szCs w:val="20"/>
          <w:lang w:val="en-US"/>
        </w:rPr>
        <w:t xml:space="preserve"> </w:t>
      </w:r>
      <w:r w:rsidR="00D21BEF" w:rsidRPr="001558A5">
        <w:rPr>
          <w:rFonts w:eastAsia="MS Mincho" w:cs="Times New Roman"/>
          <w:szCs w:val="20"/>
          <w:lang w:val="en-US"/>
        </w:rPr>
        <w:t>Vicky Hernández</w:t>
      </w:r>
      <w:r w:rsidR="00F30DB9" w:rsidRPr="001558A5">
        <w:rPr>
          <w:rFonts w:eastAsia="MS Mincho" w:cs="Times New Roman"/>
          <w:szCs w:val="20"/>
          <w:lang w:val="en-US"/>
        </w:rPr>
        <w:t xml:space="preserve"> study grant within six months of notification </w:t>
      </w:r>
      <w:r w:rsidR="004E4879" w:rsidRPr="001558A5">
        <w:rPr>
          <w:rFonts w:eastAsia="MS Mincho" w:cs="Times New Roman"/>
          <w:szCs w:val="20"/>
          <w:lang w:val="en-US"/>
        </w:rPr>
        <w:t>of this judgment</w:t>
      </w:r>
      <w:r w:rsidR="00B36295" w:rsidRPr="001558A5">
        <w:rPr>
          <w:rFonts w:eastAsia="MS Mincho" w:cs="Times New Roman"/>
          <w:szCs w:val="20"/>
          <w:lang w:val="en-US"/>
        </w:rPr>
        <w:t>.</w:t>
      </w:r>
      <w:r w:rsidR="0023267B" w:rsidRPr="001558A5">
        <w:rPr>
          <w:rFonts w:eastAsia="MS Mincho" w:cs="Times New Roman"/>
          <w:szCs w:val="20"/>
          <w:lang w:val="en-US"/>
        </w:rPr>
        <w:t xml:space="preserve"> </w:t>
      </w:r>
      <w:r w:rsidR="001A343B" w:rsidRPr="001558A5">
        <w:rPr>
          <w:rFonts w:eastAsia="MS Mincho" w:cs="Times New Roman"/>
          <w:szCs w:val="20"/>
          <w:lang w:val="en-US"/>
        </w:rPr>
        <w:t>A</w:t>
      </w:r>
      <w:r w:rsidR="00F30DB9" w:rsidRPr="001558A5">
        <w:rPr>
          <w:rFonts w:eastAsia="MS Mincho" w:cs="Times New Roman"/>
          <w:szCs w:val="20"/>
          <w:lang w:val="en-US"/>
        </w:rPr>
        <w:t>nd the State must designate a contact person to coordinate with the victims or their representatives in the compliance with the measures within four months of notification of this judgment</w:t>
      </w:r>
      <w:r w:rsidR="0023267B" w:rsidRPr="001558A5">
        <w:rPr>
          <w:rFonts w:eastAsia="MS Mincho" w:cs="Times New Roman"/>
          <w:szCs w:val="20"/>
          <w:lang w:val="en-US"/>
        </w:rPr>
        <w:t xml:space="preserve">. </w:t>
      </w:r>
    </w:p>
    <w:p w14:paraId="5F9F59CD" w14:textId="116B7C4F" w:rsidR="002F19D8" w:rsidRPr="001558A5" w:rsidRDefault="002F19D8" w:rsidP="00945CE2">
      <w:pPr>
        <w:pStyle w:val="Ttulo3"/>
        <w:ind w:firstLine="709"/>
        <w:rPr>
          <w:b w:val="0"/>
          <w:bCs w:val="0"/>
          <w:lang w:val="en-US"/>
        </w:rPr>
      </w:pPr>
      <w:bookmarkStart w:id="117" w:name="_Toc32394188"/>
      <w:bookmarkStart w:id="118" w:name="_Toc36823507"/>
      <w:bookmarkStart w:id="119" w:name="_Toc73430068"/>
      <w:r w:rsidRPr="001558A5">
        <w:rPr>
          <w:b w:val="0"/>
          <w:bCs w:val="0"/>
          <w:lang w:val="en-US"/>
        </w:rPr>
        <w:t xml:space="preserve">C.2. </w:t>
      </w:r>
      <w:r w:rsidR="007B4D4B" w:rsidRPr="001558A5">
        <w:rPr>
          <w:b w:val="0"/>
          <w:bCs w:val="0"/>
          <w:lang w:val="en-US"/>
        </w:rPr>
        <w:t>Measures of rehabilitation</w:t>
      </w:r>
      <w:bookmarkEnd w:id="117"/>
      <w:bookmarkEnd w:id="118"/>
      <w:bookmarkEnd w:id="119"/>
    </w:p>
    <w:p w14:paraId="2219591A" w14:textId="18C5A60A" w:rsidR="00E8309F" w:rsidRPr="001558A5" w:rsidRDefault="00871E19" w:rsidP="00E8309F">
      <w:pPr>
        <w:widowControl w:val="0"/>
        <w:numPr>
          <w:ilvl w:val="0"/>
          <w:numId w:val="2"/>
        </w:numPr>
        <w:spacing w:before="120" w:after="120"/>
        <w:ind w:left="0" w:firstLine="0"/>
        <w:rPr>
          <w:b/>
          <w:lang w:val="en-US"/>
        </w:rPr>
      </w:pPr>
      <w:bookmarkStart w:id="120" w:name="_Ref33109788"/>
      <w:r w:rsidRPr="001558A5">
        <w:rPr>
          <w:lang w:val="en-US"/>
        </w:rPr>
        <w:t xml:space="preserve">The </w:t>
      </w:r>
      <w:r w:rsidRPr="001558A5">
        <w:rPr>
          <w:b/>
          <w:bCs/>
          <w:i/>
          <w:iCs/>
          <w:lang w:val="en-US"/>
        </w:rPr>
        <w:t>Commission</w:t>
      </w:r>
      <w:r w:rsidR="002F19D8" w:rsidRPr="001558A5">
        <w:rPr>
          <w:lang w:val="en-US"/>
        </w:rPr>
        <w:t xml:space="preserve"> </w:t>
      </w:r>
      <w:r w:rsidR="00E8309F" w:rsidRPr="001558A5">
        <w:rPr>
          <w:lang w:val="en-US"/>
        </w:rPr>
        <w:t xml:space="preserve">asked that the Court establish the physical and mental health care measures  necessary for the rehabilitation </w:t>
      </w:r>
      <w:r w:rsidR="00230985" w:rsidRPr="001558A5">
        <w:rPr>
          <w:lang w:val="en-US"/>
        </w:rPr>
        <w:t xml:space="preserve">of Vicky Hernández’s family, </w:t>
      </w:r>
      <w:r w:rsidR="00E8309F" w:rsidRPr="001558A5">
        <w:rPr>
          <w:lang w:val="en-US"/>
        </w:rPr>
        <w:t xml:space="preserve">if they so wish and in a manner that meets their agreement. </w:t>
      </w:r>
      <w:r w:rsidR="00DD4354" w:rsidRPr="001558A5">
        <w:rPr>
          <w:lang w:val="en-US"/>
        </w:rPr>
        <w:t xml:space="preserve">The </w:t>
      </w:r>
      <w:r w:rsidR="00DD4354" w:rsidRPr="001558A5">
        <w:rPr>
          <w:b/>
          <w:bCs/>
          <w:i/>
          <w:iCs/>
          <w:lang w:val="en-US"/>
        </w:rPr>
        <w:t>representatives</w:t>
      </w:r>
      <w:r w:rsidR="005D6894" w:rsidRPr="001558A5">
        <w:rPr>
          <w:b/>
          <w:bCs/>
          <w:i/>
          <w:iCs/>
          <w:lang w:val="en-US"/>
        </w:rPr>
        <w:t xml:space="preserve"> </w:t>
      </w:r>
      <w:r w:rsidR="00E8309F" w:rsidRPr="001558A5">
        <w:rPr>
          <w:lang w:val="en-US"/>
        </w:rPr>
        <w:t>asked that Vicky Hernández’s family be provided with medical and psychosocial care for as long as necessary</w:t>
      </w:r>
      <w:r w:rsidR="00C95B06" w:rsidRPr="001558A5">
        <w:rPr>
          <w:lang w:val="en-US"/>
        </w:rPr>
        <w:t>,</w:t>
      </w:r>
      <w:r w:rsidR="00E8309F" w:rsidRPr="001558A5">
        <w:rPr>
          <w:lang w:val="en-US"/>
        </w:rPr>
        <w:t xml:space="preserve"> including the cost of any medication that is part of the treatment. They also asked that the medical center that provides this physical and psychosocial care be chosen by mutual agreement with the beneficiaries and take into account the specific circumstances and needs of each one. The </w:t>
      </w:r>
      <w:r w:rsidR="00E8309F" w:rsidRPr="001558A5">
        <w:rPr>
          <w:b/>
          <w:bCs/>
          <w:i/>
          <w:iCs/>
          <w:lang w:val="en-US"/>
        </w:rPr>
        <w:t>State</w:t>
      </w:r>
      <w:r w:rsidR="00E8309F" w:rsidRPr="001558A5">
        <w:rPr>
          <w:lang w:val="en-US"/>
        </w:rPr>
        <w:t xml:space="preserve"> asked that, should this measure be ordered, the Court establish that it be provided by the State’s nearest health center that had the special services required to treat them.</w:t>
      </w:r>
    </w:p>
    <w:p w14:paraId="4367B06B" w14:textId="41C1717A" w:rsidR="00BB11E6" w:rsidRPr="001558A5" w:rsidRDefault="00871E19" w:rsidP="00306C73">
      <w:pPr>
        <w:widowControl w:val="0"/>
        <w:numPr>
          <w:ilvl w:val="0"/>
          <w:numId w:val="2"/>
        </w:numPr>
        <w:spacing w:before="120" w:after="120"/>
        <w:ind w:left="0" w:firstLine="0"/>
        <w:rPr>
          <w:iCs/>
          <w:lang w:val="en-US"/>
        </w:rPr>
      </w:pPr>
      <w:bookmarkStart w:id="121" w:name="_Ref33110014"/>
      <w:bookmarkEnd w:id="120"/>
      <w:r w:rsidRPr="001558A5">
        <w:rPr>
          <w:lang w:val="en-US"/>
        </w:rPr>
        <w:t>The Court</w:t>
      </w:r>
      <w:r w:rsidR="004947E5" w:rsidRPr="001558A5">
        <w:rPr>
          <w:lang w:val="en-US"/>
        </w:rPr>
        <w:t xml:space="preserve"> ha</w:t>
      </w:r>
      <w:r w:rsidR="00E8309F" w:rsidRPr="001558A5">
        <w:rPr>
          <w:lang w:val="en-US"/>
        </w:rPr>
        <w:t>s noted the violations of</w:t>
      </w:r>
      <w:r w:rsidR="00C95B06" w:rsidRPr="001558A5">
        <w:rPr>
          <w:lang w:val="en-US"/>
        </w:rPr>
        <w:t xml:space="preserve"> </w:t>
      </w:r>
      <w:r w:rsidR="00B732DD" w:rsidRPr="001558A5">
        <w:rPr>
          <w:lang w:val="en-US"/>
        </w:rPr>
        <w:t>personal integrity</w:t>
      </w:r>
      <w:r w:rsidR="004947E5" w:rsidRPr="001558A5">
        <w:rPr>
          <w:lang w:val="en-US"/>
        </w:rPr>
        <w:t xml:space="preserve"> suf</w:t>
      </w:r>
      <w:r w:rsidR="00E8309F" w:rsidRPr="001558A5">
        <w:rPr>
          <w:lang w:val="en-US"/>
        </w:rPr>
        <w:t xml:space="preserve">fered by the members of </w:t>
      </w:r>
      <w:r w:rsidR="004947E5" w:rsidRPr="001558A5">
        <w:rPr>
          <w:lang w:val="en-US"/>
        </w:rPr>
        <w:t>Vicky Hernández</w:t>
      </w:r>
      <w:r w:rsidR="00E8309F" w:rsidRPr="001558A5">
        <w:rPr>
          <w:lang w:val="en-US"/>
        </w:rPr>
        <w:t xml:space="preserve">’s family as a result of the facts of this case </w:t>
      </w:r>
      <w:r w:rsidR="004947E5" w:rsidRPr="001558A5">
        <w:rPr>
          <w:lang w:val="en-US"/>
        </w:rPr>
        <w:t>(</w:t>
      </w:r>
      <w:r w:rsidR="004947E5" w:rsidRPr="001558A5">
        <w:rPr>
          <w:i/>
          <w:lang w:val="en-US"/>
        </w:rPr>
        <w:t xml:space="preserve">supra </w:t>
      </w:r>
      <w:r w:rsidR="00675A99" w:rsidRPr="001558A5">
        <w:rPr>
          <w:lang w:val="en-US"/>
        </w:rPr>
        <w:t>paras.</w:t>
      </w:r>
      <w:r w:rsidR="004947E5" w:rsidRPr="001558A5">
        <w:rPr>
          <w:lang w:val="en-US"/>
        </w:rPr>
        <w:t xml:space="preserve"> </w:t>
      </w:r>
      <w:r w:rsidR="007E2633" w:rsidRPr="001558A5">
        <w:rPr>
          <w:lang w:val="en-US"/>
        </w:rPr>
        <w:t xml:space="preserve">140 </w:t>
      </w:r>
      <w:r w:rsidR="00E8309F" w:rsidRPr="001558A5">
        <w:rPr>
          <w:lang w:val="en-US"/>
        </w:rPr>
        <w:t>to</w:t>
      </w:r>
      <w:r w:rsidR="004947E5" w:rsidRPr="001558A5">
        <w:rPr>
          <w:lang w:val="en-US"/>
        </w:rPr>
        <w:t xml:space="preserve"> </w:t>
      </w:r>
      <w:r w:rsidR="007E2633" w:rsidRPr="001558A5">
        <w:rPr>
          <w:rFonts w:eastAsiaTheme="minorHAnsi"/>
          <w:lang w:val="en-US"/>
        </w:rPr>
        <w:t xml:space="preserve">143). </w:t>
      </w:r>
      <w:r w:rsidR="00306C73" w:rsidRPr="001558A5">
        <w:rPr>
          <w:rFonts w:eastAsiaTheme="minorHAnsi"/>
          <w:lang w:val="en-US"/>
        </w:rPr>
        <w:t xml:space="preserve">Therefore, the Court considers a measure of reparation </w:t>
      </w:r>
      <w:r w:rsidR="00C95B06" w:rsidRPr="001558A5">
        <w:rPr>
          <w:rFonts w:eastAsiaTheme="minorHAnsi"/>
          <w:lang w:val="en-US"/>
        </w:rPr>
        <w:t xml:space="preserve">must be established </w:t>
      </w:r>
      <w:r w:rsidR="00306C73" w:rsidRPr="001558A5">
        <w:rPr>
          <w:rFonts w:eastAsiaTheme="minorHAnsi"/>
          <w:lang w:val="en-US"/>
        </w:rPr>
        <w:t xml:space="preserve">that provides adequate treatment for the psychological or psychiatric problems suffered by the victim’s family </w:t>
      </w:r>
      <w:r w:rsidR="00C95B06" w:rsidRPr="001558A5">
        <w:rPr>
          <w:rFonts w:eastAsiaTheme="minorHAnsi"/>
          <w:lang w:val="en-US"/>
        </w:rPr>
        <w:t xml:space="preserve">and </w:t>
      </w:r>
      <w:r w:rsidR="00306C73" w:rsidRPr="001558A5">
        <w:rPr>
          <w:rFonts w:eastAsiaTheme="minorHAnsi"/>
          <w:lang w:val="en-US"/>
        </w:rPr>
        <w:t>that responds to their specific needs and background.</w:t>
      </w:r>
      <w:r w:rsidR="002F19D8" w:rsidRPr="001558A5">
        <w:rPr>
          <w:rStyle w:val="Refdenotaalpie"/>
          <w:lang w:val="en-US"/>
        </w:rPr>
        <w:footnoteReference w:id="182"/>
      </w:r>
      <w:r w:rsidR="00306C73" w:rsidRPr="001558A5">
        <w:rPr>
          <w:lang w:val="en-US"/>
        </w:rPr>
        <w:t xml:space="preserve"> Consequently, the Court orders the State to pay a sum of money so that the members of</w:t>
      </w:r>
      <w:r w:rsidR="002F19D8" w:rsidRPr="001558A5">
        <w:rPr>
          <w:lang w:val="en-US"/>
        </w:rPr>
        <w:t xml:space="preserve"> </w:t>
      </w:r>
      <w:r w:rsidR="00BB11E6" w:rsidRPr="001558A5">
        <w:rPr>
          <w:rFonts w:cs="Verdana"/>
          <w:lang w:val="en-US"/>
        </w:rPr>
        <w:t>Vicky Hernández</w:t>
      </w:r>
      <w:r w:rsidR="00306C73" w:rsidRPr="001558A5">
        <w:rPr>
          <w:rFonts w:cs="Verdana"/>
          <w:lang w:val="en-US"/>
        </w:rPr>
        <w:t>’s family are able to cover the costs of the necessary psychological care. The corresponding amount  will be defined in the section on non-pecuniary damage</w:t>
      </w:r>
      <w:r w:rsidR="00BB11E6" w:rsidRPr="001558A5">
        <w:rPr>
          <w:rFonts w:cs="Verdana"/>
          <w:lang w:val="en-US"/>
        </w:rPr>
        <w:t xml:space="preserve"> (</w:t>
      </w:r>
      <w:r w:rsidR="00BB11E6" w:rsidRPr="001558A5">
        <w:rPr>
          <w:rFonts w:cs="Verdana"/>
          <w:i/>
          <w:iCs/>
          <w:lang w:val="en-US"/>
        </w:rPr>
        <w:t>supra</w:t>
      </w:r>
      <w:r w:rsidR="00BB11E6" w:rsidRPr="001558A5">
        <w:rPr>
          <w:rFonts w:cs="Verdana"/>
          <w:lang w:val="en-US"/>
        </w:rPr>
        <w:t xml:space="preserve"> </w:t>
      </w:r>
      <w:r w:rsidR="00B43A52" w:rsidRPr="001558A5">
        <w:rPr>
          <w:rFonts w:cs="Verdana"/>
          <w:lang w:val="en-US"/>
        </w:rPr>
        <w:t>para.</w:t>
      </w:r>
      <w:r w:rsidR="00BB11E6" w:rsidRPr="001558A5">
        <w:rPr>
          <w:rFonts w:cs="Verdana"/>
          <w:lang w:val="en-US"/>
        </w:rPr>
        <w:t xml:space="preserve"> </w:t>
      </w:r>
      <w:r w:rsidR="00D267B5" w:rsidRPr="001558A5">
        <w:rPr>
          <w:rFonts w:cs="Verdana"/>
          <w:lang w:val="en-US"/>
        </w:rPr>
        <w:t>192).</w:t>
      </w:r>
    </w:p>
    <w:bookmarkEnd w:id="121"/>
    <w:p w14:paraId="34E4885C" w14:textId="3642824F" w:rsidR="002F19D8" w:rsidRPr="001558A5" w:rsidRDefault="00306C73" w:rsidP="00945CE2">
      <w:pPr>
        <w:pStyle w:val="Ttulo2"/>
        <w:numPr>
          <w:ilvl w:val="0"/>
          <w:numId w:val="25"/>
        </w:numPr>
        <w:spacing w:before="240" w:after="240"/>
        <w:rPr>
          <w:rFonts w:ascii="Verdana" w:hAnsi="Verdana"/>
          <w:i/>
          <w:color w:val="auto"/>
          <w:sz w:val="20"/>
          <w:szCs w:val="20"/>
          <w:lang w:val="en-US"/>
        </w:rPr>
      </w:pPr>
      <w:r w:rsidRPr="001558A5">
        <w:rPr>
          <w:rFonts w:ascii="Verdana" w:hAnsi="Verdana"/>
          <w:i/>
          <w:color w:val="auto"/>
          <w:sz w:val="20"/>
          <w:szCs w:val="20"/>
          <w:lang w:val="en-US"/>
        </w:rPr>
        <w:t>Guarantees of non-repetition</w:t>
      </w:r>
    </w:p>
    <w:p w14:paraId="3718E7AE" w14:textId="664AA343" w:rsidR="00373544" w:rsidRPr="001558A5" w:rsidRDefault="00373544" w:rsidP="00945CE2">
      <w:pPr>
        <w:pStyle w:val="Ttulo3"/>
        <w:spacing w:before="240" w:after="240"/>
        <w:ind w:left="709"/>
        <w:rPr>
          <w:b w:val="0"/>
          <w:bCs w:val="0"/>
          <w:lang w:val="en-US"/>
        </w:rPr>
      </w:pPr>
      <w:bookmarkStart w:id="122" w:name="_Toc73430070"/>
      <w:r w:rsidRPr="001558A5">
        <w:rPr>
          <w:b w:val="0"/>
          <w:bCs w:val="0"/>
          <w:lang w:val="en-US"/>
        </w:rPr>
        <w:t xml:space="preserve">D.1. </w:t>
      </w:r>
      <w:r w:rsidR="00306C73" w:rsidRPr="001558A5">
        <w:rPr>
          <w:b w:val="0"/>
          <w:bCs w:val="0"/>
          <w:lang w:val="en-US"/>
        </w:rPr>
        <w:t>Education, awareness-raising and training for law enforcement personnel</w:t>
      </w:r>
      <w:bookmarkEnd w:id="122"/>
      <w:r w:rsidRPr="001558A5">
        <w:rPr>
          <w:b w:val="0"/>
          <w:bCs w:val="0"/>
          <w:lang w:val="en-US"/>
        </w:rPr>
        <w:t xml:space="preserve"> </w:t>
      </w:r>
    </w:p>
    <w:p w14:paraId="6F6E9352" w14:textId="36C278F2" w:rsidR="002F19D8" w:rsidRPr="001558A5" w:rsidRDefault="00871E19" w:rsidP="00E6119F">
      <w:pPr>
        <w:widowControl w:val="0"/>
        <w:numPr>
          <w:ilvl w:val="0"/>
          <w:numId w:val="2"/>
        </w:numPr>
        <w:spacing w:before="120" w:after="120"/>
        <w:ind w:left="0" w:firstLine="0"/>
        <w:rPr>
          <w:lang w:val="en-US"/>
        </w:rPr>
      </w:pPr>
      <w:r w:rsidRPr="001558A5">
        <w:rPr>
          <w:lang w:val="en-US"/>
        </w:rPr>
        <w:t xml:space="preserve">The </w:t>
      </w:r>
      <w:r w:rsidRPr="001558A5">
        <w:rPr>
          <w:b/>
          <w:bCs/>
          <w:i/>
          <w:iCs/>
          <w:lang w:val="en-US"/>
        </w:rPr>
        <w:t>Commission</w:t>
      </w:r>
      <w:r w:rsidR="002F19D8" w:rsidRPr="001558A5">
        <w:rPr>
          <w:lang w:val="en-US"/>
        </w:rPr>
        <w:t xml:space="preserve"> </w:t>
      </w:r>
      <w:r w:rsidR="00306C73" w:rsidRPr="001558A5">
        <w:rPr>
          <w:lang w:val="en-US"/>
        </w:rPr>
        <w:t>asked that the Court order the State to design education, awareness-raising and training programs on</w:t>
      </w:r>
      <w:r w:rsidR="00A546F4" w:rsidRPr="001558A5">
        <w:rPr>
          <w:lang w:val="en-US"/>
        </w:rPr>
        <w:t xml:space="preserve"> </w:t>
      </w:r>
      <w:r w:rsidR="00334678" w:rsidRPr="001558A5">
        <w:rPr>
          <w:lang w:val="en-US"/>
        </w:rPr>
        <w:t>hate crime</w:t>
      </w:r>
      <w:r w:rsidR="00306C73" w:rsidRPr="001558A5">
        <w:rPr>
          <w:lang w:val="en-US"/>
        </w:rPr>
        <w:t>s</w:t>
      </w:r>
      <w:r w:rsidR="00A546F4" w:rsidRPr="001558A5">
        <w:rPr>
          <w:lang w:val="en-US"/>
        </w:rPr>
        <w:t xml:space="preserve"> </w:t>
      </w:r>
      <w:r w:rsidR="00306C73" w:rsidRPr="001558A5">
        <w:rPr>
          <w:lang w:val="en-US"/>
        </w:rPr>
        <w:t>against</w:t>
      </w:r>
      <w:r w:rsidR="00DD4354" w:rsidRPr="001558A5">
        <w:rPr>
          <w:lang w:val="en-US"/>
        </w:rPr>
        <w:t xml:space="preserve"> </w:t>
      </w:r>
      <w:r w:rsidR="006C4FD7" w:rsidRPr="001558A5">
        <w:rPr>
          <w:lang w:val="en-US"/>
        </w:rPr>
        <w:t xml:space="preserve">the </w:t>
      </w:r>
      <w:r w:rsidR="00373544" w:rsidRPr="001558A5">
        <w:rPr>
          <w:lang w:val="en-US"/>
        </w:rPr>
        <w:t>LGBTI</w:t>
      </w:r>
      <w:r w:rsidR="00DD4354" w:rsidRPr="001558A5">
        <w:rPr>
          <w:lang w:val="en-US"/>
        </w:rPr>
        <w:t xml:space="preserve"> </w:t>
      </w:r>
      <w:r w:rsidR="006C4FD7" w:rsidRPr="001558A5">
        <w:rPr>
          <w:lang w:val="en-US"/>
        </w:rPr>
        <w:t>community for its law enforcement personnel</w:t>
      </w:r>
      <w:r w:rsidR="00E6119F" w:rsidRPr="001558A5">
        <w:rPr>
          <w:lang w:val="en-US"/>
        </w:rPr>
        <w:t xml:space="preserve">. The </w:t>
      </w:r>
      <w:r w:rsidR="00E6119F" w:rsidRPr="001558A5">
        <w:rPr>
          <w:b/>
          <w:bCs/>
          <w:i/>
          <w:iCs/>
          <w:lang w:val="en-US"/>
        </w:rPr>
        <w:t>representatives</w:t>
      </w:r>
      <w:r w:rsidR="00E6119F" w:rsidRPr="001558A5">
        <w:rPr>
          <w:lang w:val="en-US"/>
        </w:rPr>
        <w:t xml:space="preserve"> asked that the Court order</w:t>
      </w:r>
      <w:r w:rsidR="00306C73" w:rsidRPr="001558A5">
        <w:rPr>
          <w:lang w:val="en-US"/>
        </w:rPr>
        <w:t xml:space="preserve"> </w:t>
      </w:r>
      <w:r w:rsidR="00E6119F" w:rsidRPr="001558A5">
        <w:rPr>
          <w:lang w:val="en-US"/>
        </w:rPr>
        <w:t xml:space="preserve">training and awareness-raising activities for law enforcement agents on LGBTI </w:t>
      </w:r>
      <w:r w:rsidR="006C4FD7" w:rsidRPr="001558A5">
        <w:rPr>
          <w:lang w:val="en-US"/>
        </w:rPr>
        <w:t>persons</w:t>
      </w:r>
      <w:r w:rsidR="00E6119F" w:rsidRPr="001558A5">
        <w:rPr>
          <w:lang w:val="en-US"/>
        </w:rPr>
        <w:t xml:space="preserve"> </w:t>
      </w:r>
      <w:r w:rsidR="00DD4354" w:rsidRPr="001558A5">
        <w:rPr>
          <w:lang w:val="en-US"/>
        </w:rPr>
        <w:t xml:space="preserve">and </w:t>
      </w:r>
      <w:r w:rsidR="00E6119F" w:rsidRPr="001558A5">
        <w:rPr>
          <w:lang w:val="en-US"/>
        </w:rPr>
        <w:t xml:space="preserve">the risks they face, with differentiated approaches based on sexual orientation, gender identity and expression, and sexual characteristics or those related to the fact of being intersex, </w:t>
      </w:r>
      <w:r w:rsidR="006C4FD7" w:rsidRPr="001558A5">
        <w:rPr>
          <w:lang w:val="en-US"/>
        </w:rPr>
        <w:t>in order to prevent the repetition of</w:t>
      </w:r>
      <w:r w:rsidR="00E6119F" w:rsidRPr="001558A5">
        <w:rPr>
          <w:lang w:val="en-US"/>
        </w:rPr>
        <w:t xml:space="preserve"> </w:t>
      </w:r>
      <w:r w:rsidR="006C4FD7" w:rsidRPr="001558A5">
        <w:rPr>
          <w:lang w:val="en-US"/>
        </w:rPr>
        <w:t xml:space="preserve">the </w:t>
      </w:r>
      <w:r w:rsidR="00E6119F" w:rsidRPr="001558A5">
        <w:rPr>
          <w:lang w:val="en-US"/>
        </w:rPr>
        <w:t xml:space="preserve">extrajudicial execution </w:t>
      </w:r>
      <w:r w:rsidR="006C4FD7" w:rsidRPr="001558A5">
        <w:rPr>
          <w:lang w:val="en-US"/>
        </w:rPr>
        <w:t>of</w:t>
      </w:r>
      <w:r w:rsidR="00E6119F" w:rsidRPr="001558A5">
        <w:rPr>
          <w:lang w:val="en-US"/>
        </w:rPr>
        <w:t xml:space="preserve"> LGBTI persons. They indicated that these programs should also include awareness-raising on sex work, HIV positive status, and the work of </w:t>
      </w:r>
      <w:r w:rsidR="00A23935" w:rsidRPr="001558A5">
        <w:rPr>
          <w:lang w:val="en-US"/>
        </w:rPr>
        <w:t>defending</w:t>
      </w:r>
      <w:r w:rsidR="00E6119F" w:rsidRPr="001558A5">
        <w:rPr>
          <w:lang w:val="en-US"/>
        </w:rPr>
        <w:t xml:space="preserve"> the human rights of the LGBTI community. </w:t>
      </w:r>
      <w:r w:rsidR="00DD4354" w:rsidRPr="001558A5">
        <w:rPr>
          <w:lang w:val="en-US"/>
        </w:rPr>
        <w:t xml:space="preserve">The </w:t>
      </w:r>
      <w:r w:rsidR="00DD4354" w:rsidRPr="001558A5">
        <w:rPr>
          <w:b/>
          <w:bCs/>
          <w:i/>
          <w:iCs/>
          <w:lang w:val="en-US"/>
        </w:rPr>
        <w:t>State</w:t>
      </w:r>
      <w:r w:rsidR="002F19D8" w:rsidRPr="001558A5">
        <w:rPr>
          <w:b/>
          <w:bCs/>
          <w:i/>
          <w:iCs/>
          <w:lang w:val="en-US"/>
        </w:rPr>
        <w:t xml:space="preserve"> </w:t>
      </w:r>
      <w:r w:rsidR="001C7324" w:rsidRPr="001558A5">
        <w:rPr>
          <w:lang w:val="en-US"/>
        </w:rPr>
        <w:t>indic</w:t>
      </w:r>
      <w:r w:rsidR="00E6119F" w:rsidRPr="001558A5">
        <w:rPr>
          <w:lang w:val="en-US"/>
        </w:rPr>
        <w:t xml:space="preserve">ated that, </w:t>
      </w:r>
      <w:r w:rsidR="00306C73" w:rsidRPr="001558A5">
        <w:rPr>
          <w:lang w:val="en-US"/>
        </w:rPr>
        <w:t>if this measure of reparation were granted</w:t>
      </w:r>
      <w:r w:rsidR="00373544" w:rsidRPr="001558A5">
        <w:rPr>
          <w:lang w:val="en-US"/>
        </w:rPr>
        <w:t xml:space="preserve">, </w:t>
      </w:r>
      <w:r w:rsidR="00E6119F" w:rsidRPr="001558A5">
        <w:rPr>
          <w:lang w:val="en-US"/>
        </w:rPr>
        <w:t>the Court should determine its scope and duration.</w:t>
      </w:r>
    </w:p>
    <w:p w14:paraId="7DED23A6" w14:textId="498D87EA" w:rsidR="002503FB" w:rsidRPr="001558A5" w:rsidRDefault="00E6119F" w:rsidP="00F65BB5">
      <w:pPr>
        <w:widowControl w:val="0"/>
        <w:numPr>
          <w:ilvl w:val="0"/>
          <w:numId w:val="2"/>
        </w:numPr>
        <w:spacing w:before="120" w:after="120"/>
        <w:ind w:left="0" w:firstLine="0"/>
        <w:rPr>
          <w:lang w:val="en-US"/>
        </w:rPr>
      </w:pPr>
      <w:bookmarkStart w:id="123" w:name="_Ref446682288"/>
      <w:r w:rsidRPr="001558A5">
        <w:rPr>
          <w:lang w:val="en-US"/>
        </w:rPr>
        <w:t>Regarding e</w:t>
      </w:r>
      <w:r w:rsidR="00306C73" w:rsidRPr="001558A5">
        <w:rPr>
          <w:lang w:val="en-US"/>
        </w:rPr>
        <w:t>ducation, awareness-raising and training</w:t>
      </w:r>
      <w:r w:rsidRPr="001558A5">
        <w:rPr>
          <w:lang w:val="en-US"/>
        </w:rPr>
        <w:t xml:space="preserve"> programs</w:t>
      </w:r>
      <w:r w:rsidR="00306C73" w:rsidRPr="001558A5">
        <w:rPr>
          <w:lang w:val="en-US"/>
        </w:rPr>
        <w:t xml:space="preserve"> </w:t>
      </w:r>
      <w:r w:rsidRPr="001558A5">
        <w:rPr>
          <w:lang w:val="en-US"/>
        </w:rPr>
        <w:t>on</w:t>
      </w:r>
      <w:r w:rsidR="00130D70" w:rsidRPr="001558A5">
        <w:rPr>
          <w:lang w:val="en-US"/>
        </w:rPr>
        <w:t xml:space="preserve"> </w:t>
      </w:r>
      <w:r w:rsidR="00334678" w:rsidRPr="001558A5">
        <w:rPr>
          <w:lang w:val="en-US"/>
        </w:rPr>
        <w:t>hate crime</w:t>
      </w:r>
      <w:r w:rsidRPr="001558A5">
        <w:rPr>
          <w:lang w:val="en-US"/>
        </w:rPr>
        <w:t>s</w:t>
      </w:r>
      <w:r w:rsidR="00130D70" w:rsidRPr="001558A5">
        <w:rPr>
          <w:lang w:val="en-US"/>
        </w:rPr>
        <w:t xml:space="preserve"> </w:t>
      </w:r>
      <w:r w:rsidRPr="001558A5">
        <w:rPr>
          <w:lang w:val="en-US"/>
        </w:rPr>
        <w:t>against</w:t>
      </w:r>
      <w:r w:rsidR="00130D70" w:rsidRPr="001558A5">
        <w:rPr>
          <w:lang w:val="en-US"/>
        </w:rPr>
        <w:t xml:space="preserve"> LGBTI</w:t>
      </w:r>
      <w:r w:rsidRPr="001558A5">
        <w:rPr>
          <w:lang w:val="en-US"/>
        </w:rPr>
        <w:t xml:space="preserve"> persons</w:t>
      </w:r>
      <w:r w:rsidR="006C4FD7" w:rsidRPr="001558A5">
        <w:rPr>
          <w:lang w:val="en-US"/>
        </w:rPr>
        <w:t xml:space="preserve"> for the State’s law enforcement personnel</w:t>
      </w:r>
      <w:r w:rsidRPr="001558A5">
        <w:rPr>
          <w:lang w:val="en-US"/>
        </w:rPr>
        <w:t xml:space="preserve">, the Court finds it pertinent to order the State to create and implement, within two years, a permanent training program for law enforcement personnel to: (a) raise the awareness of members of the State’s law enforcement bodies as regards respect for </w:t>
      </w:r>
      <w:r w:rsidR="00DF7573" w:rsidRPr="001558A5">
        <w:rPr>
          <w:lang w:val="en-US"/>
        </w:rPr>
        <w:t>sexual orientation</w:t>
      </w:r>
      <w:r w:rsidR="00DD4354" w:rsidRPr="001558A5">
        <w:rPr>
          <w:lang w:val="en-US"/>
        </w:rPr>
        <w:t xml:space="preserve"> and </w:t>
      </w:r>
      <w:r w:rsidR="002C5430" w:rsidRPr="001558A5">
        <w:rPr>
          <w:lang w:val="en-US"/>
        </w:rPr>
        <w:t>gender expression</w:t>
      </w:r>
      <w:r w:rsidR="007F4FD7" w:rsidRPr="001558A5">
        <w:rPr>
          <w:lang w:val="en-US"/>
        </w:rPr>
        <w:t xml:space="preserve"> </w:t>
      </w:r>
      <w:r w:rsidRPr="001558A5">
        <w:rPr>
          <w:lang w:val="en-US"/>
        </w:rPr>
        <w:t xml:space="preserve">in their interventions with the civilian population; (b) </w:t>
      </w:r>
      <w:r w:rsidR="00F65BB5" w:rsidRPr="001558A5">
        <w:rPr>
          <w:lang w:val="en-US"/>
        </w:rPr>
        <w:t xml:space="preserve">train them on standards of due diligence when conducting investigations related to acts of </w:t>
      </w:r>
      <w:r w:rsidR="00215FEF" w:rsidRPr="001558A5">
        <w:rPr>
          <w:lang w:val="en-US"/>
        </w:rPr>
        <w:t xml:space="preserve">violence </w:t>
      </w:r>
      <w:r w:rsidR="009460CA" w:rsidRPr="001558A5">
        <w:rPr>
          <w:lang w:val="en-US"/>
        </w:rPr>
        <w:t>against the LGBTI community</w:t>
      </w:r>
      <w:r w:rsidR="00D70BCC" w:rsidRPr="001558A5">
        <w:rPr>
          <w:lang w:val="en-US"/>
        </w:rPr>
        <w:t>;</w:t>
      </w:r>
      <w:r w:rsidR="00130D70" w:rsidRPr="001558A5">
        <w:rPr>
          <w:lang w:val="en-US"/>
        </w:rPr>
        <w:t xml:space="preserve"> </w:t>
      </w:r>
      <w:r w:rsidR="00F65BB5" w:rsidRPr="001558A5">
        <w:rPr>
          <w:lang w:val="en-US"/>
        </w:rPr>
        <w:t>(</w:t>
      </w:r>
      <w:r w:rsidR="00D70BCC" w:rsidRPr="001558A5">
        <w:rPr>
          <w:lang w:val="en-US"/>
        </w:rPr>
        <w:t>c</w:t>
      </w:r>
      <w:r w:rsidR="00130D70" w:rsidRPr="001558A5">
        <w:rPr>
          <w:lang w:val="en-US"/>
        </w:rPr>
        <w:t xml:space="preserve">) </w:t>
      </w:r>
      <w:r w:rsidR="0035660B" w:rsidRPr="001558A5">
        <w:rPr>
          <w:lang w:val="en-US"/>
        </w:rPr>
        <w:t>insist</w:t>
      </w:r>
      <w:r w:rsidR="00F65BB5" w:rsidRPr="001558A5">
        <w:rPr>
          <w:lang w:val="en-US"/>
        </w:rPr>
        <w:t xml:space="preserve"> on the discriminatory nature of stereotypes </w:t>
      </w:r>
      <w:r w:rsidR="00A23935" w:rsidRPr="001558A5">
        <w:rPr>
          <w:lang w:val="en-US"/>
        </w:rPr>
        <w:t>relating to</w:t>
      </w:r>
      <w:r w:rsidR="00F65BB5" w:rsidRPr="001558A5">
        <w:rPr>
          <w:lang w:val="en-US"/>
        </w:rPr>
        <w:t xml:space="preserve"> </w:t>
      </w:r>
      <w:r w:rsidR="00675A99" w:rsidRPr="001558A5">
        <w:rPr>
          <w:lang w:val="en-US"/>
        </w:rPr>
        <w:t>sexual orientation</w:t>
      </w:r>
      <w:r w:rsidR="00DD4354" w:rsidRPr="001558A5">
        <w:rPr>
          <w:lang w:val="en-US"/>
        </w:rPr>
        <w:t xml:space="preserve"> and </w:t>
      </w:r>
      <w:r w:rsidR="002C5430" w:rsidRPr="001558A5">
        <w:rPr>
          <w:lang w:val="en-US"/>
        </w:rPr>
        <w:t>gender expression</w:t>
      </w:r>
      <w:r w:rsidR="00DD4354" w:rsidRPr="001558A5">
        <w:rPr>
          <w:lang w:val="en-US"/>
        </w:rPr>
        <w:t xml:space="preserve"> and </w:t>
      </w:r>
      <w:r w:rsidR="00F65BB5" w:rsidRPr="001558A5">
        <w:rPr>
          <w:lang w:val="en-US"/>
        </w:rPr>
        <w:t>the negative impact that their use has on LGBTI persons, and (d) educat</w:t>
      </w:r>
      <w:r w:rsidR="00A23935" w:rsidRPr="001558A5">
        <w:rPr>
          <w:lang w:val="en-US"/>
        </w:rPr>
        <w:t>e</w:t>
      </w:r>
      <w:r w:rsidR="00F65BB5" w:rsidRPr="001558A5">
        <w:rPr>
          <w:lang w:val="en-US"/>
        </w:rPr>
        <w:t xml:space="preserve"> them on the rights of those who carry out activities linked to sex wor</w:t>
      </w:r>
      <w:r w:rsidR="00A23935" w:rsidRPr="001558A5">
        <w:rPr>
          <w:lang w:val="en-US"/>
        </w:rPr>
        <w:t>k and to</w:t>
      </w:r>
      <w:r w:rsidR="00F65BB5" w:rsidRPr="001558A5">
        <w:rPr>
          <w:lang w:val="en-US"/>
        </w:rPr>
        <w:t xml:space="preserve"> the work of </w:t>
      </w:r>
      <w:r w:rsidR="00A23935" w:rsidRPr="001558A5">
        <w:rPr>
          <w:lang w:val="en-US"/>
        </w:rPr>
        <w:t>defending</w:t>
      </w:r>
      <w:r w:rsidR="00F65BB5" w:rsidRPr="001558A5">
        <w:rPr>
          <w:lang w:val="en-US"/>
        </w:rPr>
        <w:t xml:space="preserve"> the </w:t>
      </w:r>
      <w:r w:rsidR="00C909B4" w:rsidRPr="001558A5">
        <w:rPr>
          <w:lang w:val="en-US"/>
        </w:rPr>
        <w:t>human rights</w:t>
      </w:r>
      <w:r w:rsidR="0035660B" w:rsidRPr="001558A5">
        <w:rPr>
          <w:lang w:val="en-US"/>
        </w:rPr>
        <w:t xml:space="preserve"> </w:t>
      </w:r>
      <w:r w:rsidR="00F65BB5" w:rsidRPr="001558A5">
        <w:rPr>
          <w:lang w:val="en-US"/>
        </w:rPr>
        <w:t>of the</w:t>
      </w:r>
      <w:r w:rsidR="0035660B" w:rsidRPr="001558A5">
        <w:rPr>
          <w:lang w:val="en-US"/>
        </w:rPr>
        <w:t xml:space="preserve"> LGBTI</w:t>
      </w:r>
      <w:r w:rsidR="00F65BB5" w:rsidRPr="001558A5">
        <w:rPr>
          <w:lang w:val="en-US"/>
        </w:rPr>
        <w:t xml:space="preserve"> community</w:t>
      </w:r>
      <w:r w:rsidR="00DD4354" w:rsidRPr="001558A5">
        <w:rPr>
          <w:lang w:val="en-US"/>
        </w:rPr>
        <w:t xml:space="preserve"> and </w:t>
      </w:r>
      <w:r w:rsidR="00F65BB5" w:rsidRPr="001558A5">
        <w:rPr>
          <w:lang w:val="en-US"/>
        </w:rPr>
        <w:t xml:space="preserve">persons who are HIV positive, </w:t>
      </w:r>
      <w:r w:rsidR="00A23935" w:rsidRPr="001558A5">
        <w:rPr>
          <w:lang w:val="en-US"/>
        </w:rPr>
        <w:t>and</w:t>
      </w:r>
      <w:r w:rsidR="00F65BB5" w:rsidRPr="001558A5">
        <w:rPr>
          <w:lang w:val="en-US"/>
        </w:rPr>
        <w:t xml:space="preserve"> on the way they should perform their functions in relation to such persons. This training program should be incorporated into the regular training course of the police forces.</w:t>
      </w:r>
      <w:bookmarkStart w:id="124" w:name="_Ref446682320"/>
    </w:p>
    <w:p w14:paraId="0D9C8EFF" w14:textId="4E0F0AA0" w:rsidR="007F4FD7" w:rsidRPr="001558A5" w:rsidRDefault="006E77AD" w:rsidP="00970D4B">
      <w:pPr>
        <w:widowControl w:val="0"/>
        <w:numPr>
          <w:ilvl w:val="0"/>
          <w:numId w:val="2"/>
        </w:numPr>
        <w:spacing w:before="120" w:after="120"/>
        <w:ind w:left="0" w:firstLine="0"/>
        <w:rPr>
          <w:lang w:val="en-US"/>
        </w:rPr>
      </w:pPr>
      <w:r w:rsidRPr="001558A5">
        <w:rPr>
          <w:lang w:val="en-US"/>
        </w:rPr>
        <w:t>Also</w:t>
      </w:r>
      <w:r w:rsidR="00F65BB5" w:rsidRPr="001558A5">
        <w:rPr>
          <w:lang w:val="en-US"/>
        </w:rPr>
        <w:t xml:space="preserve">, groups and </w:t>
      </w:r>
      <w:proofErr w:type="spellStart"/>
      <w:r w:rsidR="00F65BB5" w:rsidRPr="001558A5">
        <w:rPr>
          <w:lang w:val="en-US"/>
        </w:rPr>
        <w:t>organisations</w:t>
      </w:r>
      <w:proofErr w:type="spellEnd"/>
      <w:r w:rsidR="00F65BB5" w:rsidRPr="001558A5">
        <w:rPr>
          <w:lang w:val="en-US"/>
        </w:rPr>
        <w:t xml:space="preserve"> dedicated to the protection of the rights of trans persons must take part in the planning and execution of these education and training courses. </w:t>
      </w:r>
      <w:bookmarkEnd w:id="124"/>
    </w:p>
    <w:p w14:paraId="06A0466B" w14:textId="55253D54" w:rsidR="00076871" w:rsidRPr="001558A5" w:rsidRDefault="00076871" w:rsidP="00945CE2">
      <w:pPr>
        <w:pStyle w:val="Ttulo3"/>
        <w:spacing w:before="240" w:after="240"/>
        <w:ind w:left="709"/>
        <w:rPr>
          <w:b w:val="0"/>
          <w:bCs w:val="0"/>
          <w:lang w:val="en-US"/>
        </w:rPr>
      </w:pPr>
      <w:bookmarkStart w:id="125" w:name="_Toc73430071"/>
      <w:r w:rsidRPr="001558A5">
        <w:rPr>
          <w:b w:val="0"/>
          <w:bCs w:val="0"/>
          <w:lang w:val="en-US"/>
        </w:rPr>
        <w:t xml:space="preserve">D.2. </w:t>
      </w:r>
      <w:r w:rsidR="00F65BB5" w:rsidRPr="001558A5">
        <w:rPr>
          <w:b w:val="0"/>
          <w:bCs w:val="0"/>
          <w:lang w:val="en-US"/>
        </w:rPr>
        <w:t>Procedure for the recognition of</w:t>
      </w:r>
      <w:r w:rsidRPr="001558A5">
        <w:rPr>
          <w:b w:val="0"/>
          <w:bCs w:val="0"/>
          <w:lang w:val="en-US"/>
        </w:rPr>
        <w:t xml:space="preserve"> </w:t>
      </w:r>
      <w:r w:rsidR="00DF7573" w:rsidRPr="001558A5">
        <w:rPr>
          <w:b w:val="0"/>
          <w:bCs w:val="0"/>
          <w:lang w:val="en-US"/>
        </w:rPr>
        <w:t>gender identity</w:t>
      </w:r>
      <w:bookmarkEnd w:id="125"/>
    </w:p>
    <w:p w14:paraId="16DF0F9F" w14:textId="0589B1C7" w:rsidR="00076871" w:rsidRPr="001558A5" w:rsidRDefault="00871E19" w:rsidP="00F65BB5">
      <w:pPr>
        <w:widowControl w:val="0"/>
        <w:numPr>
          <w:ilvl w:val="0"/>
          <w:numId w:val="2"/>
        </w:numPr>
        <w:spacing w:before="120" w:after="120"/>
        <w:ind w:left="0" w:firstLine="0"/>
        <w:rPr>
          <w:lang w:val="en-US"/>
        </w:rPr>
      </w:pPr>
      <w:r w:rsidRPr="001558A5">
        <w:rPr>
          <w:lang w:val="en-US"/>
        </w:rPr>
        <w:t xml:space="preserve">The </w:t>
      </w:r>
      <w:r w:rsidRPr="001558A5">
        <w:rPr>
          <w:b/>
          <w:bCs/>
          <w:i/>
          <w:iCs/>
          <w:lang w:val="en-US"/>
        </w:rPr>
        <w:t>Commission</w:t>
      </w:r>
      <w:r w:rsidR="00CD1486" w:rsidRPr="001558A5">
        <w:rPr>
          <w:lang w:val="en-US"/>
        </w:rPr>
        <w:t xml:space="preserve"> </w:t>
      </w:r>
      <w:r w:rsidR="00F65BB5" w:rsidRPr="001558A5">
        <w:rPr>
          <w:lang w:val="en-US"/>
        </w:rPr>
        <w:t xml:space="preserve">asked that the State adopt legislative, administrative or other measures to achieve recognition of the self-perceived gender identity of trans persons taking into account inter-American standards in such matters. </w:t>
      </w:r>
      <w:r w:rsidR="00DD4354" w:rsidRPr="001558A5">
        <w:rPr>
          <w:lang w:val="en-US"/>
        </w:rPr>
        <w:t xml:space="preserve">The </w:t>
      </w:r>
      <w:r w:rsidR="00DD4354" w:rsidRPr="001558A5">
        <w:rPr>
          <w:b/>
          <w:bCs/>
          <w:i/>
          <w:iCs/>
          <w:lang w:val="en-US"/>
        </w:rPr>
        <w:t>representatives</w:t>
      </w:r>
      <w:r w:rsidR="00E10485" w:rsidRPr="001558A5">
        <w:rPr>
          <w:b/>
          <w:bCs/>
          <w:i/>
          <w:iCs/>
          <w:lang w:val="en-US"/>
        </w:rPr>
        <w:t xml:space="preserve"> </w:t>
      </w:r>
      <w:r w:rsidR="00F65BB5" w:rsidRPr="001558A5">
        <w:rPr>
          <w:lang w:val="en-US"/>
        </w:rPr>
        <w:t xml:space="preserve">asked that the Court order the adoption of reforms that permit a change of name and gender of trans persons “based on the self-perceived gender identity, including the creation of </w:t>
      </w:r>
      <w:r w:rsidR="00F07B1C" w:rsidRPr="001558A5">
        <w:rPr>
          <w:lang w:val="en-US"/>
        </w:rPr>
        <w:t xml:space="preserve">a </w:t>
      </w:r>
      <w:r w:rsidR="00F65BB5" w:rsidRPr="001558A5">
        <w:rPr>
          <w:lang w:val="en-US"/>
        </w:rPr>
        <w:t xml:space="preserve">gender identity law and the amendment of article 38 of the Regulations to the National Registry of Persons </w:t>
      </w:r>
      <w:r w:rsidR="009C1695" w:rsidRPr="001558A5">
        <w:rPr>
          <w:lang w:val="en-US"/>
        </w:rPr>
        <w:t xml:space="preserve">Act </w:t>
      </w:r>
      <w:r w:rsidR="00F65BB5" w:rsidRPr="001558A5">
        <w:rPr>
          <w:lang w:val="en-US"/>
        </w:rPr>
        <w:t>which contains the prohibition</w:t>
      </w:r>
      <w:r w:rsidR="009C1695" w:rsidRPr="001558A5">
        <w:rPr>
          <w:lang w:val="en-US"/>
        </w:rPr>
        <w:t xml:space="preserve"> to change a person’s name or sex, </w:t>
      </w:r>
      <w:r w:rsidR="00F07B1C" w:rsidRPr="001558A5">
        <w:rPr>
          <w:lang w:val="en-US"/>
        </w:rPr>
        <w:t xml:space="preserve">all </w:t>
      </w:r>
      <w:r w:rsidR="009C1695" w:rsidRPr="001558A5">
        <w:rPr>
          <w:lang w:val="en-US"/>
        </w:rPr>
        <w:t xml:space="preserve">in accordance with the interpretation </w:t>
      </w:r>
      <w:r w:rsidR="00DD4354" w:rsidRPr="001558A5">
        <w:rPr>
          <w:lang w:val="en-US"/>
        </w:rPr>
        <w:t xml:space="preserve">of the </w:t>
      </w:r>
      <w:r w:rsidRPr="001558A5">
        <w:rPr>
          <w:lang w:val="en-US"/>
        </w:rPr>
        <w:t>American Convention</w:t>
      </w:r>
      <w:r w:rsidR="00733938" w:rsidRPr="001558A5">
        <w:rPr>
          <w:lang w:val="en-US"/>
        </w:rPr>
        <w:t xml:space="preserve"> </w:t>
      </w:r>
      <w:r w:rsidR="009C1695" w:rsidRPr="001558A5">
        <w:rPr>
          <w:lang w:val="en-US"/>
        </w:rPr>
        <w:t>made by</w:t>
      </w:r>
      <w:r w:rsidR="00733938" w:rsidRPr="001558A5">
        <w:rPr>
          <w:lang w:val="en-US"/>
        </w:rPr>
        <w:t xml:space="preserve"> </w:t>
      </w:r>
      <w:r w:rsidRPr="001558A5">
        <w:rPr>
          <w:lang w:val="en-US"/>
        </w:rPr>
        <w:t>the Court</w:t>
      </w:r>
      <w:r w:rsidR="00733938" w:rsidRPr="001558A5">
        <w:rPr>
          <w:lang w:val="en-US"/>
        </w:rPr>
        <w:t xml:space="preserve"> </w:t>
      </w:r>
      <w:r w:rsidR="009C1695" w:rsidRPr="001558A5">
        <w:rPr>
          <w:lang w:val="en-US"/>
        </w:rPr>
        <w:t>in its Advisory Opinion</w:t>
      </w:r>
      <w:r w:rsidR="00733938" w:rsidRPr="001558A5">
        <w:rPr>
          <w:lang w:val="en-US"/>
        </w:rPr>
        <w:t xml:space="preserve"> 24/17</w:t>
      </w:r>
      <w:r w:rsidR="009C1695" w:rsidRPr="001558A5">
        <w:rPr>
          <w:lang w:val="en-US"/>
        </w:rPr>
        <w:t>.</w:t>
      </w:r>
      <w:r w:rsidR="00733938" w:rsidRPr="001558A5">
        <w:rPr>
          <w:lang w:val="en-US"/>
        </w:rPr>
        <w:t>”</w:t>
      </w:r>
    </w:p>
    <w:p w14:paraId="63F66ED7" w14:textId="62C7771A" w:rsidR="009C1695" w:rsidRPr="001558A5" w:rsidRDefault="00DD4354" w:rsidP="00945CE2">
      <w:pPr>
        <w:widowControl w:val="0"/>
        <w:numPr>
          <w:ilvl w:val="0"/>
          <w:numId w:val="2"/>
        </w:numPr>
        <w:spacing w:before="120" w:after="120"/>
        <w:ind w:left="0" w:firstLine="0"/>
        <w:rPr>
          <w:lang w:val="en-US"/>
        </w:rPr>
      </w:pPr>
      <w:r w:rsidRPr="001558A5">
        <w:rPr>
          <w:lang w:val="en-US"/>
        </w:rPr>
        <w:t xml:space="preserve">The </w:t>
      </w:r>
      <w:r w:rsidRPr="001558A5">
        <w:rPr>
          <w:b/>
          <w:bCs/>
          <w:i/>
          <w:iCs/>
          <w:lang w:val="en-US"/>
        </w:rPr>
        <w:t>State</w:t>
      </w:r>
      <w:r w:rsidR="00733938" w:rsidRPr="001558A5">
        <w:rPr>
          <w:lang w:val="en-US"/>
        </w:rPr>
        <w:t xml:space="preserve"> </w:t>
      </w:r>
      <w:r w:rsidR="009C1695" w:rsidRPr="001558A5">
        <w:rPr>
          <w:lang w:val="en-US"/>
        </w:rPr>
        <w:t xml:space="preserve">argued that it had not been proved that the victim had been prejudiced by a denial by the National Registry of Persons. It added that the causal nexus with the disputed facts had not been </w:t>
      </w:r>
      <w:r w:rsidR="00F07B1C" w:rsidRPr="001558A5">
        <w:rPr>
          <w:lang w:val="en-US"/>
        </w:rPr>
        <w:t>established</w:t>
      </w:r>
      <w:r w:rsidR="009C1695" w:rsidRPr="001558A5">
        <w:rPr>
          <w:lang w:val="en-US"/>
        </w:rPr>
        <w:t xml:space="preserve"> and, therefore, asked the Court not to consider this measure.</w:t>
      </w:r>
    </w:p>
    <w:p w14:paraId="4464F58C" w14:textId="16EA55FD" w:rsidR="004003A0" w:rsidRPr="001558A5" w:rsidRDefault="00871E19" w:rsidP="009C1695">
      <w:pPr>
        <w:widowControl w:val="0"/>
        <w:numPr>
          <w:ilvl w:val="0"/>
          <w:numId w:val="2"/>
        </w:numPr>
        <w:spacing w:before="120" w:after="120"/>
        <w:ind w:left="0" w:firstLine="0"/>
        <w:rPr>
          <w:lang w:val="en-US"/>
        </w:rPr>
      </w:pPr>
      <w:r w:rsidRPr="001558A5">
        <w:rPr>
          <w:lang w:val="en-US"/>
        </w:rPr>
        <w:t>The Court</w:t>
      </w:r>
      <w:r w:rsidR="007722EF" w:rsidRPr="001558A5">
        <w:rPr>
          <w:b/>
          <w:bCs/>
          <w:lang w:val="en-US"/>
        </w:rPr>
        <w:t xml:space="preserve"> </w:t>
      </w:r>
      <w:r w:rsidR="009C1695" w:rsidRPr="001558A5">
        <w:rPr>
          <w:lang w:val="en-US"/>
        </w:rPr>
        <w:t>notes that in</w:t>
      </w:r>
      <w:r w:rsidR="007722EF" w:rsidRPr="001558A5">
        <w:rPr>
          <w:lang w:val="en-US"/>
        </w:rPr>
        <w:t xml:space="preserve"> </w:t>
      </w:r>
      <w:r w:rsidR="00907FBD" w:rsidRPr="001558A5">
        <w:rPr>
          <w:lang w:val="en-US"/>
        </w:rPr>
        <w:t>Chapter</w:t>
      </w:r>
      <w:r w:rsidR="007722EF" w:rsidRPr="001558A5">
        <w:rPr>
          <w:lang w:val="en-US"/>
        </w:rPr>
        <w:t xml:space="preserve"> VII.</w:t>
      </w:r>
      <w:r w:rsidR="000F6EDA" w:rsidRPr="001558A5">
        <w:rPr>
          <w:lang w:val="en-US"/>
        </w:rPr>
        <w:t>2</w:t>
      </w:r>
      <w:r w:rsidR="00DD4354" w:rsidRPr="001558A5">
        <w:rPr>
          <w:lang w:val="en-US"/>
        </w:rPr>
        <w:t xml:space="preserve"> and </w:t>
      </w:r>
      <w:r w:rsidR="000F6EDA" w:rsidRPr="001558A5">
        <w:rPr>
          <w:lang w:val="en-US"/>
        </w:rPr>
        <w:t>VII.3</w:t>
      </w:r>
      <w:r w:rsidR="007722EF" w:rsidRPr="001558A5">
        <w:rPr>
          <w:lang w:val="en-US"/>
        </w:rPr>
        <w:t xml:space="preserve"> </w:t>
      </w:r>
      <w:r w:rsidR="004E4879" w:rsidRPr="001558A5">
        <w:rPr>
          <w:lang w:val="en-US"/>
        </w:rPr>
        <w:t>of this judgment</w:t>
      </w:r>
      <w:r w:rsidR="00D70BCC" w:rsidRPr="001558A5">
        <w:rPr>
          <w:lang w:val="en-US"/>
        </w:rPr>
        <w:t>,</w:t>
      </w:r>
      <w:r w:rsidR="007722EF" w:rsidRPr="001558A5">
        <w:rPr>
          <w:lang w:val="en-US"/>
        </w:rPr>
        <w:t xml:space="preserve"> </w:t>
      </w:r>
      <w:r w:rsidR="009C1695" w:rsidRPr="001558A5">
        <w:rPr>
          <w:lang w:val="en-US"/>
        </w:rPr>
        <w:t xml:space="preserve">it determined that the State was responsible for </w:t>
      </w:r>
      <w:r w:rsidR="00F07B1C" w:rsidRPr="001558A5">
        <w:rPr>
          <w:lang w:val="en-US"/>
        </w:rPr>
        <w:t>a violation of</w:t>
      </w:r>
      <w:r w:rsidR="009C1695" w:rsidRPr="001558A5">
        <w:rPr>
          <w:lang w:val="en-US"/>
        </w:rPr>
        <w:t xml:space="preserve"> </w:t>
      </w:r>
      <w:r w:rsidR="00F07B1C" w:rsidRPr="001558A5">
        <w:rPr>
          <w:lang w:val="en-US"/>
        </w:rPr>
        <w:t>Vicky Hernández’s</w:t>
      </w:r>
      <w:r w:rsidR="009C1695" w:rsidRPr="001558A5">
        <w:rPr>
          <w:lang w:val="en-US"/>
        </w:rPr>
        <w:t xml:space="preserve"> right to </w:t>
      </w:r>
      <w:r w:rsidR="00DF7573" w:rsidRPr="001558A5">
        <w:rPr>
          <w:lang w:val="en-US"/>
        </w:rPr>
        <w:t>gender identity</w:t>
      </w:r>
      <w:r w:rsidR="00F07B1C" w:rsidRPr="001558A5">
        <w:rPr>
          <w:lang w:val="en-US"/>
        </w:rPr>
        <w:t>,</w:t>
      </w:r>
      <w:r w:rsidR="007722EF" w:rsidRPr="001558A5">
        <w:rPr>
          <w:lang w:val="en-US"/>
        </w:rPr>
        <w:t xml:space="preserve"> </w:t>
      </w:r>
      <w:r w:rsidR="009C1695" w:rsidRPr="001558A5">
        <w:rPr>
          <w:lang w:val="en-US"/>
        </w:rPr>
        <w:t>among others, because it had not investigated the facts of this case taking into account her self-perceived gender identity and ha</w:t>
      </w:r>
      <w:r w:rsidR="00F07B1C" w:rsidRPr="001558A5">
        <w:rPr>
          <w:lang w:val="en-US"/>
        </w:rPr>
        <w:t>d</w:t>
      </w:r>
      <w:r w:rsidR="009C1695" w:rsidRPr="001558A5">
        <w:rPr>
          <w:lang w:val="en-US"/>
        </w:rPr>
        <w:t xml:space="preserve"> conduct the investigation in a discriminatory manner due to prejudices based on gender identity and/or expression. In addition, as indicated, several of the obstacles that cropped up in those investigations </w:t>
      </w:r>
      <w:r w:rsidR="00F07B1C" w:rsidRPr="001558A5">
        <w:rPr>
          <w:lang w:val="en-US"/>
        </w:rPr>
        <w:t>were based,</w:t>
      </w:r>
      <w:r w:rsidR="009C1695" w:rsidRPr="001558A5">
        <w:rPr>
          <w:lang w:val="en-US"/>
        </w:rPr>
        <w:t xml:space="preserve"> in part</w:t>
      </w:r>
      <w:r w:rsidR="00F07B1C" w:rsidRPr="001558A5">
        <w:rPr>
          <w:lang w:val="en-US"/>
        </w:rPr>
        <w:t>,</w:t>
      </w:r>
      <w:r w:rsidR="009C1695" w:rsidRPr="001558A5">
        <w:rPr>
          <w:lang w:val="en-US"/>
        </w:rPr>
        <w:t xml:space="preserve"> </w:t>
      </w:r>
      <w:r w:rsidR="00F07B1C" w:rsidRPr="001558A5">
        <w:rPr>
          <w:lang w:val="en-US"/>
        </w:rPr>
        <w:t>on</w:t>
      </w:r>
      <w:r w:rsidR="009C1695" w:rsidRPr="001558A5">
        <w:rPr>
          <w:lang w:val="en-US"/>
        </w:rPr>
        <w:t xml:space="preserve"> the inexistence of a mechanism or </w:t>
      </w:r>
      <w:r w:rsidR="00F65BB5" w:rsidRPr="001558A5">
        <w:rPr>
          <w:lang w:val="en-US"/>
        </w:rPr>
        <w:t>procedure for the recognition of</w:t>
      </w:r>
      <w:r w:rsidR="00F631E4" w:rsidRPr="001558A5">
        <w:rPr>
          <w:lang w:val="en-US"/>
        </w:rPr>
        <w:t xml:space="preserve"> </w:t>
      </w:r>
      <w:r w:rsidR="00DF7573" w:rsidRPr="001558A5">
        <w:rPr>
          <w:lang w:val="en-US"/>
        </w:rPr>
        <w:t>gender identity</w:t>
      </w:r>
      <w:r w:rsidR="00F631E4" w:rsidRPr="001558A5">
        <w:rPr>
          <w:lang w:val="en-US"/>
        </w:rPr>
        <w:t xml:space="preserve"> </w:t>
      </w:r>
      <w:r w:rsidR="009C1695" w:rsidRPr="001558A5">
        <w:rPr>
          <w:lang w:val="en-US"/>
        </w:rPr>
        <w:t xml:space="preserve">that </w:t>
      </w:r>
      <w:r w:rsidR="00F07B1C" w:rsidRPr="001558A5">
        <w:rPr>
          <w:lang w:val="en-US"/>
        </w:rPr>
        <w:t xml:space="preserve">allowed </w:t>
      </w:r>
      <w:r w:rsidR="009C1695" w:rsidRPr="001558A5">
        <w:rPr>
          <w:lang w:val="en-US"/>
        </w:rPr>
        <w:t>people to adapt the dat</w:t>
      </w:r>
      <w:r w:rsidR="00F07B1C" w:rsidRPr="001558A5">
        <w:rPr>
          <w:lang w:val="en-US"/>
        </w:rPr>
        <w:t>a</w:t>
      </w:r>
      <w:r w:rsidR="009C1695" w:rsidRPr="001558A5">
        <w:rPr>
          <w:lang w:val="en-US"/>
        </w:rPr>
        <w:t xml:space="preserve"> on their identity documents to their self-perceived gender. Consequently, the Court finds it necessary to order the State</w:t>
      </w:r>
      <w:r w:rsidR="00F60210" w:rsidRPr="001558A5">
        <w:rPr>
          <w:lang w:val="en-US"/>
        </w:rPr>
        <w:t xml:space="preserve">, within two years of notification of this judgment, to adopt a </w:t>
      </w:r>
      <w:r w:rsidR="00F65BB5" w:rsidRPr="001558A5">
        <w:rPr>
          <w:lang w:val="en-US"/>
        </w:rPr>
        <w:t>procedure for the recognition of</w:t>
      </w:r>
      <w:r w:rsidR="004003A0" w:rsidRPr="001558A5">
        <w:rPr>
          <w:lang w:val="en-US"/>
        </w:rPr>
        <w:t xml:space="preserve"> </w:t>
      </w:r>
      <w:r w:rsidR="00DF7573" w:rsidRPr="001558A5">
        <w:rPr>
          <w:lang w:val="en-US"/>
        </w:rPr>
        <w:t>gender identity</w:t>
      </w:r>
      <w:r w:rsidR="004003A0" w:rsidRPr="001558A5">
        <w:rPr>
          <w:lang w:val="en-US"/>
        </w:rPr>
        <w:t xml:space="preserve">. </w:t>
      </w:r>
      <w:r w:rsidR="00F60210" w:rsidRPr="001558A5">
        <w:rPr>
          <w:lang w:val="en-US"/>
        </w:rPr>
        <w:t xml:space="preserve">This procedure must </w:t>
      </w:r>
      <w:r w:rsidR="00F07B1C" w:rsidRPr="001558A5">
        <w:rPr>
          <w:lang w:val="en-US"/>
        </w:rPr>
        <w:t>allow</w:t>
      </w:r>
      <w:r w:rsidR="00F60210" w:rsidRPr="001558A5">
        <w:rPr>
          <w:lang w:val="en-US"/>
        </w:rPr>
        <w:t xml:space="preserve"> anyone to amend their identity data on their identity documents and in the public records so that these conform to their self-perceived gender identity.</w:t>
      </w:r>
    </w:p>
    <w:p w14:paraId="4E8113F6" w14:textId="3098EBD2" w:rsidR="004003A0" w:rsidRPr="001558A5" w:rsidRDefault="00B61324" w:rsidP="00C84E97">
      <w:pPr>
        <w:widowControl w:val="0"/>
        <w:numPr>
          <w:ilvl w:val="0"/>
          <w:numId w:val="2"/>
        </w:numPr>
        <w:spacing w:before="120" w:after="120"/>
        <w:ind w:left="0" w:firstLine="0"/>
        <w:rPr>
          <w:b/>
          <w:bCs/>
          <w:szCs w:val="20"/>
          <w:lang w:val="en-US"/>
        </w:rPr>
      </w:pPr>
      <w:r w:rsidRPr="001558A5">
        <w:rPr>
          <w:lang w:val="en-US"/>
        </w:rPr>
        <w:t>The adoption of this</w:t>
      </w:r>
      <w:r w:rsidR="004003A0" w:rsidRPr="001558A5">
        <w:rPr>
          <w:lang w:val="en-US"/>
        </w:rPr>
        <w:t xml:space="preserve"> </w:t>
      </w:r>
      <w:r w:rsidR="00F65BB5" w:rsidRPr="001558A5">
        <w:rPr>
          <w:lang w:val="en-US"/>
        </w:rPr>
        <w:t>procedure for the recognition of</w:t>
      </w:r>
      <w:r w:rsidR="004003A0" w:rsidRPr="001558A5">
        <w:rPr>
          <w:lang w:val="en-US"/>
        </w:rPr>
        <w:t xml:space="preserve"> </w:t>
      </w:r>
      <w:r w:rsidR="00DF7573" w:rsidRPr="001558A5">
        <w:rPr>
          <w:lang w:val="en-US"/>
        </w:rPr>
        <w:t>gender identity</w:t>
      </w:r>
      <w:r w:rsidR="004003A0" w:rsidRPr="001558A5">
        <w:rPr>
          <w:lang w:val="en-US"/>
        </w:rPr>
        <w:t xml:space="preserve"> </w:t>
      </w:r>
      <w:r w:rsidRPr="001558A5">
        <w:rPr>
          <w:lang w:val="en-US"/>
        </w:rPr>
        <w:t xml:space="preserve">must conform to the provisions of Advisory Opinion </w:t>
      </w:r>
      <w:r w:rsidR="004003A0" w:rsidRPr="001558A5">
        <w:rPr>
          <w:lang w:val="en-US"/>
        </w:rPr>
        <w:t xml:space="preserve">OC-24/17 </w:t>
      </w:r>
      <w:r w:rsidRPr="001558A5">
        <w:rPr>
          <w:lang w:val="en-US"/>
        </w:rPr>
        <w:t>of November 24,</w:t>
      </w:r>
      <w:r w:rsidR="004003A0" w:rsidRPr="001558A5">
        <w:rPr>
          <w:lang w:val="en-US"/>
        </w:rPr>
        <w:t xml:space="preserve"> 2017. </w:t>
      </w:r>
      <w:r w:rsidRPr="001558A5">
        <w:rPr>
          <w:lang w:val="en-US"/>
        </w:rPr>
        <w:t>I</w:t>
      </w:r>
      <w:r w:rsidR="004003A0" w:rsidRPr="001558A5">
        <w:rPr>
          <w:lang w:val="en-US"/>
        </w:rPr>
        <w:t xml:space="preserve">n particular, </w:t>
      </w:r>
      <w:r w:rsidRPr="001558A5">
        <w:rPr>
          <w:lang w:val="en-US"/>
        </w:rPr>
        <w:t>it must ensure that anyone interested in rectifying the annotation of gender or, if applicable, the mention of sex or</w:t>
      </w:r>
      <w:r w:rsidR="00F07B1C" w:rsidRPr="001558A5">
        <w:rPr>
          <w:lang w:val="en-US"/>
        </w:rPr>
        <w:t xml:space="preserve"> </w:t>
      </w:r>
      <w:r w:rsidRPr="001558A5">
        <w:rPr>
          <w:lang w:val="en-US"/>
        </w:rPr>
        <w:t>change of name,</w:t>
      </w:r>
      <w:r w:rsidR="00F07B1C" w:rsidRPr="001558A5">
        <w:rPr>
          <w:lang w:val="en-US"/>
        </w:rPr>
        <w:t xml:space="preserve"> and</w:t>
      </w:r>
      <w:r w:rsidRPr="001558A5">
        <w:rPr>
          <w:lang w:val="en-US"/>
        </w:rPr>
        <w:t xml:space="preserve"> </w:t>
      </w:r>
      <w:r w:rsidR="00F07B1C" w:rsidRPr="001558A5">
        <w:rPr>
          <w:lang w:val="en-US"/>
        </w:rPr>
        <w:t>substituting</w:t>
      </w:r>
      <w:r w:rsidRPr="001558A5">
        <w:rPr>
          <w:lang w:val="en-US"/>
        </w:rPr>
        <w:t xml:space="preserve"> their photograph in the records and/or on their identity document to conform to their self-perceive gender identity</w:t>
      </w:r>
      <w:r w:rsidR="00AF39AC" w:rsidRPr="001558A5">
        <w:rPr>
          <w:lang w:val="en-US"/>
        </w:rPr>
        <w:t xml:space="preserve">, </w:t>
      </w:r>
      <w:r w:rsidRPr="001558A5">
        <w:rPr>
          <w:lang w:val="en-US"/>
        </w:rPr>
        <w:t xml:space="preserve">may have access to a procedure: </w:t>
      </w:r>
      <w:r w:rsidRPr="001558A5">
        <w:rPr>
          <w:rStyle w:val="markedcontent"/>
          <w:rFonts w:cs="Arial"/>
          <w:szCs w:val="20"/>
          <w:lang w:val="en-US"/>
        </w:rPr>
        <w:t xml:space="preserve">(a) </w:t>
      </w:r>
      <w:r w:rsidR="00C84E97" w:rsidRPr="001558A5">
        <w:rPr>
          <w:rStyle w:val="markedcontent"/>
          <w:rFonts w:cs="Arial"/>
          <w:szCs w:val="20"/>
          <w:lang w:val="en-US"/>
        </w:rPr>
        <w:t>addressed at</w:t>
      </w:r>
      <w:r w:rsidRPr="001558A5">
        <w:rPr>
          <w:rStyle w:val="markedcontent"/>
          <w:rFonts w:cs="Arial"/>
          <w:szCs w:val="20"/>
          <w:lang w:val="en-US"/>
        </w:rPr>
        <w:t xml:space="preserve"> the complete rectification of the self-perceived gender identity; (b) based solely on the free and informed consent of the applicant without involving requirements such as medical and/or psychological or other certifications that could be unreasonable or </w:t>
      </w:r>
      <w:proofErr w:type="spellStart"/>
      <w:r w:rsidRPr="001558A5">
        <w:rPr>
          <w:rStyle w:val="markedcontent"/>
          <w:rFonts w:cs="Arial"/>
          <w:szCs w:val="20"/>
          <w:lang w:val="en-US"/>
        </w:rPr>
        <w:t>pathologizing</w:t>
      </w:r>
      <w:proofErr w:type="spellEnd"/>
      <w:r w:rsidRPr="001558A5">
        <w:rPr>
          <w:rStyle w:val="markedcontent"/>
          <w:rFonts w:cs="Arial"/>
          <w:szCs w:val="20"/>
          <w:lang w:val="en-US"/>
        </w:rPr>
        <w:t xml:space="preserve">; (c) </w:t>
      </w:r>
      <w:r w:rsidR="00C84E97" w:rsidRPr="001558A5">
        <w:rPr>
          <w:rStyle w:val="markedcontent"/>
          <w:rFonts w:cs="Arial"/>
          <w:szCs w:val="20"/>
          <w:lang w:val="en-US"/>
        </w:rPr>
        <w:t>that should</w:t>
      </w:r>
      <w:r w:rsidRPr="001558A5">
        <w:rPr>
          <w:rStyle w:val="markedcontent"/>
          <w:rFonts w:cs="Arial"/>
          <w:szCs w:val="20"/>
          <w:lang w:val="en-US"/>
        </w:rPr>
        <w:t xml:space="preserve"> be confidential, and the changes, corrections or amendments to the records and on the identity documents should not reflect the changes made based on the gender identity; (d) th</w:t>
      </w:r>
      <w:r w:rsidR="00C84E97" w:rsidRPr="001558A5">
        <w:rPr>
          <w:rStyle w:val="markedcontent"/>
          <w:rFonts w:cs="Arial"/>
          <w:szCs w:val="20"/>
          <w:lang w:val="en-US"/>
        </w:rPr>
        <w:t xml:space="preserve">at </w:t>
      </w:r>
      <w:r w:rsidRPr="001558A5">
        <w:rPr>
          <w:rStyle w:val="markedcontent"/>
          <w:rFonts w:cs="Arial"/>
          <w:szCs w:val="20"/>
          <w:lang w:val="en-US"/>
        </w:rPr>
        <w:t xml:space="preserve">should be </w:t>
      </w:r>
      <w:r w:rsidR="00BC7545" w:rsidRPr="001558A5">
        <w:rPr>
          <w:rStyle w:val="markedcontent"/>
          <w:rFonts w:cs="Arial"/>
          <w:szCs w:val="20"/>
          <w:lang w:val="en-US"/>
        </w:rPr>
        <w:t>rapid</w:t>
      </w:r>
      <w:r w:rsidRPr="001558A5">
        <w:rPr>
          <w:rStyle w:val="markedcontent"/>
          <w:rFonts w:cs="Arial"/>
          <w:szCs w:val="20"/>
          <w:lang w:val="en-US"/>
        </w:rPr>
        <w:t xml:space="preserve"> and, insofar as possible, cost-free</w:t>
      </w:r>
      <w:r w:rsidR="00C84E97" w:rsidRPr="001558A5">
        <w:rPr>
          <w:rStyle w:val="markedcontent"/>
          <w:rFonts w:cs="Arial"/>
          <w:szCs w:val="20"/>
          <w:lang w:val="en-US"/>
        </w:rPr>
        <w:t xml:space="preserve">; </w:t>
      </w:r>
      <w:r w:rsidRPr="001558A5">
        <w:rPr>
          <w:rStyle w:val="markedcontent"/>
          <w:rFonts w:cs="Arial"/>
          <w:szCs w:val="20"/>
          <w:lang w:val="en-US"/>
        </w:rPr>
        <w:t>(e) th</w:t>
      </w:r>
      <w:r w:rsidR="00C84E97" w:rsidRPr="001558A5">
        <w:rPr>
          <w:rStyle w:val="markedcontent"/>
          <w:rFonts w:cs="Arial"/>
          <w:szCs w:val="20"/>
          <w:lang w:val="en-US"/>
        </w:rPr>
        <w:t>at</w:t>
      </w:r>
      <w:r w:rsidRPr="001558A5">
        <w:rPr>
          <w:rStyle w:val="markedcontent"/>
          <w:rFonts w:cs="Arial"/>
          <w:szCs w:val="20"/>
          <w:lang w:val="en-US"/>
        </w:rPr>
        <w:t xml:space="preserve"> should not require evidence of surgery and/or hormonal therapy</w:t>
      </w:r>
      <w:r w:rsidR="00C84E97" w:rsidRPr="001558A5">
        <w:rPr>
          <w:rStyle w:val="markedcontent"/>
          <w:rFonts w:cs="Arial"/>
          <w:szCs w:val="20"/>
          <w:lang w:val="en-US"/>
        </w:rPr>
        <w:t>, and (f) that should not necessarily be regulated by a law.</w:t>
      </w:r>
      <w:r w:rsidR="00AF39AC" w:rsidRPr="001558A5">
        <w:rPr>
          <w:rStyle w:val="Refdenotaalpie"/>
          <w:lang w:val="en-US"/>
        </w:rPr>
        <w:footnoteReference w:id="183"/>
      </w:r>
      <w:r w:rsidR="00C84E97" w:rsidRPr="001558A5">
        <w:rPr>
          <w:lang w:val="en-US"/>
        </w:rPr>
        <w:t xml:space="preserve"> Lastly, the State must present a report every six months from notification</w:t>
      </w:r>
      <w:r w:rsidR="00AF39AC" w:rsidRPr="001558A5">
        <w:rPr>
          <w:lang w:val="en-US"/>
        </w:rPr>
        <w:t xml:space="preserve"> </w:t>
      </w:r>
      <w:r w:rsidR="004E4879" w:rsidRPr="001558A5">
        <w:rPr>
          <w:lang w:val="en-US"/>
        </w:rPr>
        <w:t>of this judgment</w:t>
      </w:r>
      <w:r w:rsidR="00ED5A6B" w:rsidRPr="001558A5">
        <w:rPr>
          <w:lang w:val="en-US"/>
        </w:rPr>
        <w:t>,</w:t>
      </w:r>
      <w:r w:rsidR="00AF39AC" w:rsidRPr="001558A5">
        <w:rPr>
          <w:lang w:val="en-US"/>
        </w:rPr>
        <w:t xml:space="preserve"> </w:t>
      </w:r>
      <w:r w:rsidR="00F610A4" w:rsidRPr="001558A5">
        <w:rPr>
          <w:lang w:val="en-US"/>
        </w:rPr>
        <w:t>indica</w:t>
      </w:r>
      <w:r w:rsidR="00C84E97" w:rsidRPr="001558A5">
        <w:rPr>
          <w:lang w:val="en-US"/>
        </w:rPr>
        <w:t xml:space="preserve">ting in detail the steps taken to comply with this measure. If it considers this helpful, the State may approach </w:t>
      </w:r>
      <w:proofErr w:type="spellStart"/>
      <w:r w:rsidR="00C84E97" w:rsidRPr="001558A5">
        <w:rPr>
          <w:lang w:val="en-US"/>
        </w:rPr>
        <w:t>organisations</w:t>
      </w:r>
      <w:proofErr w:type="spellEnd"/>
      <w:r w:rsidR="00C84E97" w:rsidRPr="001558A5">
        <w:rPr>
          <w:lang w:val="en-US"/>
        </w:rPr>
        <w:t xml:space="preserve"> such as the OAS </w:t>
      </w:r>
      <w:r w:rsidR="00C84E97" w:rsidRPr="001558A5">
        <w:rPr>
          <w:rFonts w:cs="Tahoma"/>
          <w:color w:val="333333"/>
          <w:szCs w:val="20"/>
          <w:shd w:val="clear" w:color="auto" w:fill="FFFFFF"/>
          <w:lang w:val="en-US"/>
        </w:rPr>
        <w:t>Universal Civil Identity Program in the Americas</w:t>
      </w:r>
      <w:r w:rsidR="007E2364" w:rsidRPr="001558A5">
        <w:rPr>
          <w:lang w:val="en-US"/>
        </w:rPr>
        <w:t xml:space="preserve"> (PUICA)</w:t>
      </w:r>
      <w:r w:rsidR="00C84E97" w:rsidRPr="001558A5">
        <w:rPr>
          <w:lang w:val="en-US"/>
        </w:rPr>
        <w:t xml:space="preserve"> for </w:t>
      </w:r>
      <w:r w:rsidR="00BC7545" w:rsidRPr="001558A5">
        <w:rPr>
          <w:lang w:val="en-US"/>
        </w:rPr>
        <w:t xml:space="preserve">any </w:t>
      </w:r>
      <w:r w:rsidR="00C84E97" w:rsidRPr="001558A5">
        <w:rPr>
          <w:lang w:val="en-US"/>
        </w:rPr>
        <w:t>advice or assistance that may be useful to comply with the measure ordered</w:t>
      </w:r>
      <w:r w:rsidR="007E2364" w:rsidRPr="001558A5">
        <w:rPr>
          <w:lang w:val="en-US"/>
        </w:rPr>
        <w:t xml:space="preserve">. </w:t>
      </w:r>
    </w:p>
    <w:p w14:paraId="47B9435A" w14:textId="706CC2F1" w:rsidR="00373544" w:rsidRPr="001558A5" w:rsidRDefault="00373544" w:rsidP="00945CE2">
      <w:pPr>
        <w:pStyle w:val="Ttulo3"/>
        <w:spacing w:before="240" w:after="240"/>
        <w:ind w:left="709"/>
        <w:rPr>
          <w:b w:val="0"/>
          <w:bCs w:val="0"/>
          <w:lang w:val="en-US"/>
        </w:rPr>
      </w:pPr>
      <w:bookmarkStart w:id="126" w:name="_Toc73430072"/>
      <w:r w:rsidRPr="001558A5">
        <w:rPr>
          <w:b w:val="0"/>
          <w:bCs w:val="0"/>
          <w:lang w:val="en-US"/>
        </w:rPr>
        <w:t>D.</w:t>
      </w:r>
      <w:r w:rsidR="00076871" w:rsidRPr="001558A5">
        <w:rPr>
          <w:b w:val="0"/>
          <w:bCs w:val="0"/>
          <w:lang w:val="en-US"/>
        </w:rPr>
        <w:t>3</w:t>
      </w:r>
      <w:r w:rsidRPr="001558A5">
        <w:rPr>
          <w:b w:val="0"/>
          <w:bCs w:val="0"/>
          <w:lang w:val="en-US"/>
        </w:rPr>
        <w:t xml:space="preserve">. </w:t>
      </w:r>
      <w:r w:rsidR="00C84E97" w:rsidRPr="001558A5">
        <w:rPr>
          <w:b w:val="0"/>
          <w:bCs w:val="0"/>
          <w:lang w:val="en-US"/>
        </w:rPr>
        <w:t>Adoption of special investigation protocols</w:t>
      </w:r>
      <w:bookmarkEnd w:id="126"/>
      <w:r w:rsidR="00251BB8" w:rsidRPr="001558A5">
        <w:rPr>
          <w:b w:val="0"/>
          <w:bCs w:val="0"/>
          <w:lang w:val="en-US"/>
        </w:rPr>
        <w:t xml:space="preserve"> </w:t>
      </w:r>
    </w:p>
    <w:p w14:paraId="7FC55AF4" w14:textId="0A27E888" w:rsidR="00F256AD" w:rsidRPr="001558A5" w:rsidRDefault="00DD4354" w:rsidP="00945CE2">
      <w:pPr>
        <w:widowControl w:val="0"/>
        <w:numPr>
          <w:ilvl w:val="0"/>
          <w:numId w:val="2"/>
        </w:numPr>
        <w:spacing w:before="120" w:after="120"/>
        <w:ind w:left="0" w:firstLine="0"/>
        <w:rPr>
          <w:b/>
          <w:lang w:val="en-US"/>
        </w:rPr>
      </w:pPr>
      <w:r w:rsidRPr="001558A5">
        <w:rPr>
          <w:lang w:val="en-US"/>
        </w:rPr>
        <w:t xml:space="preserve">The </w:t>
      </w:r>
      <w:r w:rsidRPr="001558A5">
        <w:rPr>
          <w:b/>
          <w:bCs/>
          <w:i/>
          <w:iCs/>
          <w:lang w:val="en-US"/>
        </w:rPr>
        <w:t>representatives</w:t>
      </w:r>
      <w:r w:rsidR="00A80D02" w:rsidRPr="001558A5">
        <w:rPr>
          <w:lang w:val="en-US"/>
        </w:rPr>
        <w:t xml:space="preserve"> </w:t>
      </w:r>
      <w:r w:rsidR="00F256AD" w:rsidRPr="001558A5">
        <w:rPr>
          <w:lang w:val="en-US"/>
        </w:rPr>
        <w:t xml:space="preserve">asked that the Court order the State to adopt </w:t>
      </w:r>
      <w:r w:rsidR="00C84E97" w:rsidRPr="001558A5">
        <w:rPr>
          <w:lang w:val="en-US"/>
        </w:rPr>
        <w:t>special investigation protocols</w:t>
      </w:r>
      <w:r w:rsidR="00A80D02" w:rsidRPr="001558A5">
        <w:rPr>
          <w:lang w:val="en-US"/>
        </w:rPr>
        <w:t xml:space="preserve"> </w:t>
      </w:r>
      <w:r w:rsidR="00F256AD" w:rsidRPr="001558A5">
        <w:rPr>
          <w:lang w:val="en-US"/>
        </w:rPr>
        <w:t xml:space="preserve">with a differentiated </w:t>
      </w:r>
      <w:r w:rsidR="00BC7545" w:rsidRPr="001558A5">
        <w:rPr>
          <w:lang w:val="en-US"/>
        </w:rPr>
        <w:t xml:space="preserve">LGBTI </w:t>
      </w:r>
      <w:r w:rsidR="00F256AD" w:rsidRPr="001558A5">
        <w:rPr>
          <w:lang w:val="en-US"/>
        </w:rPr>
        <w:t xml:space="preserve">approach. They added that it was important that the State guarantee that all complaints of hate crimes based on sexual orientation and the real or perceived gender identity or expression of the victim </w:t>
      </w:r>
      <w:r w:rsidR="00BC7545" w:rsidRPr="001558A5">
        <w:rPr>
          <w:lang w:val="en-US"/>
        </w:rPr>
        <w:t>be</w:t>
      </w:r>
      <w:r w:rsidR="00F256AD" w:rsidRPr="001558A5">
        <w:rPr>
          <w:lang w:val="en-US"/>
        </w:rPr>
        <w:t xml:space="preserve"> investigated promptly and thoroughly and that, in those cases in which there was appropriate evidence, formal charges </w:t>
      </w:r>
      <w:r w:rsidR="00BC7545" w:rsidRPr="001558A5">
        <w:rPr>
          <w:lang w:val="en-US"/>
        </w:rPr>
        <w:t>be</w:t>
      </w:r>
      <w:r w:rsidR="00F256AD" w:rsidRPr="001558A5">
        <w:rPr>
          <w:lang w:val="en-US"/>
        </w:rPr>
        <w:t xml:space="preserve"> brought against the perpetrators, who </w:t>
      </w:r>
      <w:r w:rsidR="00BC7545" w:rsidRPr="001558A5">
        <w:rPr>
          <w:lang w:val="en-US"/>
        </w:rPr>
        <w:t>should be</w:t>
      </w:r>
      <w:r w:rsidR="00F256AD" w:rsidRPr="001558A5">
        <w:rPr>
          <w:lang w:val="en-US"/>
        </w:rPr>
        <w:t xml:space="preserve"> prosecuted and duly punished. These action protocols must refer to the existence of prejudices and define homophobia, lesbophobia, misogyny, biphobia and transphobia as possible motives for the perpetration of crime</w:t>
      </w:r>
      <w:r w:rsidR="00BC7545" w:rsidRPr="001558A5">
        <w:rPr>
          <w:lang w:val="en-US"/>
        </w:rPr>
        <w:t>s</w:t>
      </w:r>
      <w:r w:rsidR="00F256AD" w:rsidRPr="001558A5">
        <w:rPr>
          <w:lang w:val="en-US"/>
        </w:rPr>
        <w:t xml:space="preserve"> against persons with non-normative sexual orientation or gender identity or expression or characteristics related to being intersex. They added that these protocols should be implemented as part of the State’s criminal policies at all stages of the investigation, including the protocols for forensic medicine and for the public defense service.</w:t>
      </w:r>
    </w:p>
    <w:p w14:paraId="0957A799" w14:textId="7A19F7EE" w:rsidR="00B07BC0" w:rsidRPr="001558A5" w:rsidRDefault="00DD4354" w:rsidP="00B07BC0">
      <w:pPr>
        <w:widowControl w:val="0"/>
        <w:numPr>
          <w:ilvl w:val="0"/>
          <w:numId w:val="2"/>
        </w:numPr>
        <w:spacing w:before="120" w:after="120"/>
        <w:ind w:left="0" w:firstLine="0"/>
        <w:rPr>
          <w:b/>
          <w:lang w:val="en-US"/>
        </w:rPr>
      </w:pPr>
      <w:r w:rsidRPr="001558A5">
        <w:rPr>
          <w:lang w:val="en-US"/>
        </w:rPr>
        <w:t xml:space="preserve">The </w:t>
      </w:r>
      <w:r w:rsidRPr="001558A5">
        <w:rPr>
          <w:b/>
          <w:bCs/>
          <w:i/>
          <w:iCs/>
          <w:lang w:val="en-US"/>
        </w:rPr>
        <w:t>State</w:t>
      </w:r>
      <w:r w:rsidR="00A80D02" w:rsidRPr="001558A5">
        <w:rPr>
          <w:lang w:val="en-US"/>
        </w:rPr>
        <w:t xml:space="preserve"> indic</w:t>
      </w:r>
      <w:r w:rsidR="00F256AD" w:rsidRPr="001558A5">
        <w:rPr>
          <w:lang w:val="en-US"/>
        </w:rPr>
        <w:t xml:space="preserve">ated that the investigating body </w:t>
      </w:r>
      <w:r w:rsidR="00BC7545" w:rsidRPr="001558A5">
        <w:rPr>
          <w:lang w:val="en-US"/>
        </w:rPr>
        <w:t xml:space="preserve">already </w:t>
      </w:r>
      <w:r w:rsidR="00F256AD" w:rsidRPr="001558A5">
        <w:rPr>
          <w:lang w:val="en-US"/>
        </w:rPr>
        <w:t>had investigation protocols</w:t>
      </w:r>
      <w:r w:rsidR="00B07BC0" w:rsidRPr="001558A5">
        <w:rPr>
          <w:lang w:val="en-US"/>
        </w:rPr>
        <w:t>. Moreover,</w:t>
      </w:r>
      <w:r w:rsidR="00B07BC0" w:rsidRPr="001558A5">
        <w:rPr>
          <w:b/>
          <w:lang w:val="en-US"/>
        </w:rPr>
        <w:t xml:space="preserve"> </w:t>
      </w:r>
      <w:r w:rsidR="00B07BC0" w:rsidRPr="001558A5">
        <w:rPr>
          <w:lang w:val="en-US"/>
        </w:rPr>
        <w:t xml:space="preserve">Vicky Hernández was a human rights defender and, in compliance with the Court’s rulings in the cases of </w:t>
      </w:r>
      <w:r w:rsidR="00B07BC0" w:rsidRPr="001558A5">
        <w:rPr>
          <w:i/>
          <w:iCs/>
          <w:lang w:val="en-US"/>
        </w:rPr>
        <w:t>Pacheco León</w:t>
      </w:r>
      <w:r w:rsidR="00B07BC0" w:rsidRPr="001558A5">
        <w:rPr>
          <w:lang w:val="en-US"/>
        </w:rPr>
        <w:t xml:space="preserve"> and </w:t>
      </w:r>
      <w:proofErr w:type="spellStart"/>
      <w:r w:rsidR="00B07BC0" w:rsidRPr="001558A5">
        <w:rPr>
          <w:i/>
          <w:iCs/>
          <w:lang w:val="en-US"/>
        </w:rPr>
        <w:t>Escaleras</w:t>
      </w:r>
      <w:proofErr w:type="spellEnd"/>
      <w:r w:rsidR="00B07BC0" w:rsidRPr="001558A5">
        <w:rPr>
          <w:i/>
          <w:iCs/>
          <w:lang w:val="en-US"/>
        </w:rPr>
        <w:t xml:space="preserve"> </w:t>
      </w:r>
      <w:proofErr w:type="spellStart"/>
      <w:r w:rsidR="00B07BC0" w:rsidRPr="001558A5">
        <w:rPr>
          <w:i/>
          <w:iCs/>
          <w:lang w:val="en-US"/>
        </w:rPr>
        <w:t>Mejía</w:t>
      </w:r>
      <w:proofErr w:type="spellEnd"/>
      <w:r w:rsidR="00B07BC0" w:rsidRPr="001558A5">
        <w:rPr>
          <w:lang w:val="en-US"/>
        </w:rPr>
        <w:t xml:space="preserve"> against Honduras, in which the State had been ordered to create an investigation protocol for defenders, the representatives and the State </w:t>
      </w:r>
      <w:r w:rsidR="00BC7545" w:rsidRPr="001558A5">
        <w:rPr>
          <w:lang w:val="en-US"/>
        </w:rPr>
        <w:t>we</w:t>
      </w:r>
      <w:r w:rsidR="00B07BC0" w:rsidRPr="001558A5">
        <w:rPr>
          <w:lang w:val="en-US"/>
        </w:rPr>
        <w:t xml:space="preserve">re working on this together. Consequently, it asked the Court not </w:t>
      </w:r>
      <w:r w:rsidR="00BC7545" w:rsidRPr="001558A5">
        <w:rPr>
          <w:lang w:val="en-US"/>
        </w:rPr>
        <w:t xml:space="preserve">to </w:t>
      </w:r>
      <w:r w:rsidR="00B07BC0" w:rsidRPr="001558A5">
        <w:rPr>
          <w:lang w:val="en-US"/>
        </w:rPr>
        <w:t>order this measure.</w:t>
      </w:r>
    </w:p>
    <w:p w14:paraId="7A838D24" w14:textId="051CF248" w:rsidR="002942B0" w:rsidRPr="001558A5" w:rsidRDefault="00871E19" w:rsidP="00B07BC0">
      <w:pPr>
        <w:widowControl w:val="0"/>
        <w:numPr>
          <w:ilvl w:val="0"/>
          <w:numId w:val="2"/>
        </w:numPr>
        <w:spacing w:before="120" w:after="120"/>
        <w:ind w:left="0" w:firstLine="0"/>
        <w:rPr>
          <w:b/>
          <w:bCs/>
          <w:lang w:val="en-US"/>
        </w:rPr>
      </w:pPr>
      <w:r w:rsidRPr="001558A5">
        <w:rPr>
          <w:lang w:val="en-US"/>
        </w:rPr>
        <w:t>The Court</w:t>
      </w:r>
      <w:r w:rsidR="00220B04" w:rsidRPr="001558A5">
        <w:rPr>
          <w:lang w:val="en-US"/>
        </w:rPr>
        <w:t xml:space="preserve"> </w:t>
      </w:r>
      <w:r w:rsidR="00B07BC0" w:rsidRPr="001558A5">
        <w:rPr>
          <w:lang w:val="en-US"/>
        </w:rPr>
        <w:t>notes that</w:t>
      </w:r>
      <w:r w:rsidR="00BC7545" w:rsidRPr="001558A5">
        <w:rPr>
          <w:lang w:val="en-US"/>
        </w:rPr>
        <w:t>,</w:t>
      </w:r>
      <w:r w:rsidR="00B07BC0" w:rsidRPr="001558A5">
        <w:rPr>
          <w:lang w:val="en-US"/>
        </w:rPr>
        <w:t xml:space="preserve"> when investigating prejudice-based acts of violence owing to the sexual orientation</w:t>
      </w:r>
      <w:r w:rsidR="002F6438" w:rsidRPr="001558A5">
        <w:rPr>
          <w:lang w:val="en-US"/>
        </w:rPr>
        <w:t xml:space="preserve"> </w:t>
      </w:r>
      <w:r w:rsidR="00B07BC0" w:rsidRPr="001558A5">
        <w:rPr>
          <w:lang w:val="en-US"/>
        </w:rPr>
        <w:t>and real or perceived gender identity or expression of the victim</w:t>
      </w:r>
      <w:r w:rsidR="00BC7545" w:rsidRPr="001558A5">
        <w:rPr>
          <w:lang w:val="en-US"/>
        </w:rPr>
        <w:t>, it is necessary to have specific rules that include the criteria established in this judgment and in other international instruments</w:t>
      </w:r>
      <w:r w:rsidR="00B07BC0" w:rsidRPr="001558A5">
        <w:rPr>
          <w:lang w:val="en-US"/>
        </w:rPr>
        <w:t xml:space="preserve">. Consequently, the Court finds it appropriate to order the State to adopt, within two years of the notification of this judgment, a protocol on investigation and administration of justice during criminal proceedings in cases of LGBTI persons victims of violence. The protocol should be binding under domestic law. It should be addressed at all public officials who intervene in the investigation and processing of criminal proceedings in cases of LGBTI persons victims of violence, as well as public and private health personnel who take part in such investigations. This protocol should include the obligation of state agents to refrain from using discriminatory stereotyping and presumptions when receiving, processing and investigating complaints. When </w:t>
      </w:r>
      <w:r w:rsidR="002F6438" w:rsidRPr="001558A5">
        <w:rPr>
          <w:lang w:val="en-US"/>
        </w:rPr>
        <w:t>drawing up</w:t>
      </w:r>
      <w:r w:rsidR="00B07BC0" w:rsidRPr="001558A5">
        <w:rPr>
          <w:lang w:val="en-US"/>
        </w:rPr>
        <w:t xml:space="preserve"> the protocol, the State must take into account the criteria developed in this judgment and in the Court’s case law. </w:t>
      </w:r>
      <w:r w:rsidR="00180499" w:rsidRPr="001558A5">
        <w:rPr>
          <w:lang w:val="en-US"/>
        </w:rPr>
        <w:t xml:space="preserve">It must conform to the standards described in </w:t>
      </w:r>
      <w:r w:rsidR="004E4879" w:rsidRPr="001558A5">
        <w:rPr>
          <w:lang w:val="en-US"/>
        </w:rPr>
        <w:t>paragraphs</w:t>
      </w:r>
      <w:r w:rsidR="00414BEB" w:rsidRPr="001558A5">
        <w:rPr>
          <w:lang w:val="en-US"/>
        </w:rPr>
        <w:t xml:space="preserve"> </w:t>
      </w:r>
      <w:r w:rsidR="00466531" w:rsidRPr="001558A5">
        <w:rPr>
          <w:lang w:val="en-US"/>
        </w:rPr>
        <w:t xml:space="preserve">106 </w:t>
      </w:r>
      <w:r w:rsidR="00180499" w:rsidRPr="001558A5">
        <w:rPr>
          <w:lang w:val="en-US"/>
        </w:rPr>
        <w:t>to</w:t>
      </w:r>
      <w:r w:rsidR="00414BEB" w:rsidRPr="001558A5">
        <w:rPr>
          <w:lang w:val="en-US"/>
        </w:rPr>
        <w:t xml:space="preserve"> </w:t>
      </w:r>
      <w:r w:rsidR="00466531" w:rsidRPr="001558A5">
        <w:rPr>
          <w:lang w:val="en-US"/>
        </w:rPr>
        <w:t xml:space="preserve">109 </w:t>
      </w:r>
      <w:r w:rsidR="004E4879" w:rsidRPr="001558A5">
        <w:rPr>
          <w:lang w:val="en-US"/>
        </w:rPr>
        <w:t>of this judgment</w:t>
      </w:r>
      <w:r w:rsidR="00964D8B" w:rsidRPr="001558A5">
        <w:rPr>
          <w:lang w:val="en-US"/>
        </w:rPr>
        <w:t>.</w:t>
      </w:r>
    </w:p>
    <w:p w14:paraId="27AA5B0F" w14:textId="67066E1D" w:rsidR="00EF4FF6" w:rsidRPr="001558A5" w:rsidRDefault="00EF4FF6" w:rsidP="00945CE2">
      <w:pPr>
        <w:pStyle w:val="Ttulo3"/>
        <w:spacing w:before="240" w:after="240"/>
        <w:ind w:left="709"/>
        <w:rPr>
          <w:b w:val="0"/>
          <w:bCs w:val="0"/>
          <w:lang w:val="en-US"/>
        </w:rPr>
      </w:pPr>
      <w:bookmarkStart w:id="127" w:name="_Toc73430073"/>
      <w:r w:rsidRPr="001558A5">
        <w:rPr>
          <w:b w:val="0"/>
          <w:bCs w:val="0"/>
          <w:lang w:val="en-US"/>
        </w:rPr>
        <w:t>D.</w:t>
      </w:r>
      <w:r w:rsidR="00076871" w:rsidRPr="001558A5">
        <w:rPr>
          <w:b w:val="0"/>
          <w:bCs w:val="0"/>
          <w:lang w:val="en-US"/>
        </w:rPr>
        <w:t>4</w:t>
      </w:r>
      <w:r w:rsidRPr="001558A5">
        <w:rPr>
          <w:b w:val="0"/>
          <w:bCs w:val="0"/>
          <w:lang w:val="en-US"/>
        </w:rPr>
        <w:t xml:space="preserve">. </w:t>
      </w:r>
      <w:r w:rsidR="00180499" w:rsidRPr="001558A5">
        <w:rPr>
          <w:b w:val="0"/>
          <w:bCs w:val="0"/>
          <w:lang w:val="en-US"/>
        </w:rPr>
        <w:t>Diagnosis, compilation of data and elaboration of statistics</w:t>
      </w:r>
      <w:bookmarkEnd w:id="127"/>
      <w:r w:rsidRPr="001558A5">
        <w:rPr>
          <w:b w:val="0"/>
          <w:bCs w:val="0"/>
          <w:lang w:val="en-US"/>
        </w:rPr>
        <w:t xml:space="preserve"> </w:t>
      </w:r>
    </w:p>
    <w:p w14:paraId="41E46FAF" w14:textId="49F55FD7" w:rsidR="00180499" w:rsidRPr="001558A5" w:rsidRDefault="00871E19" w:rsidP="00180499">
      <w:pPr>
        <w:widowControl w:val="0"/>
        <w:numPr>
          <w:ilvl w:val="0"/>
          <w:numId w:val="2"/>
        </w:numPr>
        <w:spacing w:before="120" w:after="120"/>
        <w:ind w:left="0" w:firstLine="0"/>
        <w:rPr>
          <w:lang w:val="en-US"/>
        </w:rPr>
      </w:pPr>
      <w:r w:rsidRPr="001558A5">
        <w:rPr>
          <w:lang w:val="en-US"/>
        </w:rPr>
        <w:t xml:space="preserve">The </w:t>
      </w:r>
      <w:r w:rsidRPr="001558A5">
        <w:rPr>
          <w:b/>
          <w:bCs/>
          <w:i/>
          <w:iCs/>
          <w:lang w:val="en-US"/>
        </w:rPr>
        <w:t>Commission</w:t>
      </w:r>
      <w:r w:rsidR="00BE7044" w:rsidRPr="001558A5">
        <w:rPr>
          <w:b/>
          <w:bCs/>
          <w:i/>
          <w:iCs/>
          <w:lang w:val="en-US"/>
        </w:rPr>
        <w:t xml:space="preserve"> </w:t>
      </w:r>
      <w:r w:rsidR="00180499" w:rsidRPr="001558A5">
        <w:rPr>
          <w:lang w:val="en-US"/>
        </w:rPr>
        <w:t xml:space="preserve">asked that the State be ordered to </w:t>
      </w:r>
      <w:r w:rsidR="00120416" w:rsidRPr="001558A5">
        <w:rPr>
          <w:lang w:val="en-US"/>
        </w:rPr>
        <w:t>adopt</w:t>
      </w:r>
      <w:r w:rsidR="00180499" w:rsidRPr="001558A5">
        <w:rPr>
          <w:lang w:val="en-US"/>
        </w:rPr>
        <w:t xml:space="preserve"> legislative, administrative or other measures to make an adequate diagnosis of the context of violence faced by LGBTI persons in Honduras and</w:t>
      </w:r>
      <w:r w:rsidR="002F6438" w:rsidRPr="001558A5">
        <w:rPr>
          <w:lang w:val="en-US"/>
        </w:rPr>
        <w:t xml:space="preserve"> to</w:t>
      </w:r>
      <w:r w:rsidR="00180499" w:rsidRPr="001558A5">
        <w:rPr>
          <w:lang w:val="en-US"/>
        </w:rPr>
        <w:t xml:space="preserve"> introduce a comprehensive policy for its prevention and eradication that addresse</w:t>
      </w:r>
      <w:r w:rsidR="002F6438" w:rsidRPr="001558A5">
        <w:rPr>
          <w:lang w:val="en-US"/>
        </w:rPr>
        <w:t>d</w:t>
      </w:r>
      <w:r w:rsidR="00180499" w:rsidRPr="001558A5">
        <w:rPr>
          <w:lang w:val="en-US"/>
        </w:rPr>
        <w:t xml:space="preserve"> its structural causes. </w:t>
      </w:r>
      <w:r w:rsidR="00DD4354" w:rsidRPr="001558A5">
        <w:rPr>
          <w:lang w:val="en-US"/>
        </w:rPr>
        <w:t xml:space="preserve">The </w:t>
      </w:r>
      <w:r w:rsidR="00DD4354" w:rsidRPr="001558A5">
        <w:rPr>
          <w:b/>
          <w:bCs/>
          <w:i/>
          <w:iCs/>
          <w:lang w:val="en-US"/>
        </w:rPr>
        <w:t>representatives</w:t>
      </w:r>
      <w:r w:rsidR="00220B04" w:rsidRPr="001558A5">
        <w:rPr>
          <w:lang w:val="en-US"/>
        </w:rPr>
        <w:t xml:space="preserve"> </w:t>
      </w:r>
      <w:r w:rsidR="00180499" w:rsidRPr="001558A5">
        <w:rPr>
          <w:lang w:val="en-US"/>
        </w:rPr>
        <w:t xml:space="preserve">asked that the Court </w:t>
      </w:r>
      <w:r w:rsidR="00120416" w:rsidRPr="001558A5">
        <w:rPr>
          <w:lang w:val="en-US"/>
        </w:rPr>
        <w:t>order</w:t>
      </w:r>
      <w:r w:rsidR="00180499" w:rsidRPr="001558A5">
        <w:rPr>
          <w:lang w:val="en-US"/>
        </w:rPr>
        <w:t xml:space="preserve"> the State to compile data and prepare statistics on violence against</w:t>
      </w:r>
      <w:r w:rsidR="002F6438" w:rsidRPr="001558A5">
        <w:rPr>
          <w:lang w:val="en-US"/>
        </w:rPr>
        <w:t xml:space="preserve"> the</w:t>
      </w:r>
      <w:r w:rsidR="00180499" w:rsidRPr="001558A5">
        <w:rPr>
          <w:lang w:val="en-US"/>
        </w:rPr>
        <w:t xml:space="preserve"> LGBTI </w:t>
      </w:r>
      <w:r w:rsidR="002F6438" w:rsidRPr="001558A5">
        <w:rPr>
          <w:lang w:val="en-US"/>
        </w:rPr>
        <w:t>community</w:t>
      </w:r>
      <w:r w:rsidR="00180499" w:rsidRPr="001558A5">
        <w:rPr>
          <w:lang w:val="en-US"/>
        </w:rPr>
        <w:t xml:space="preserve">. They added that the severity of the human rights violations and their systematic nature justified the need for the State to document and systematize them. They also indicated that the State should recognize gender identity as a category </w:t>
      </w:r>
      <w:r w:rsidR="002F6438" w:rsidRPr="001558A5">
        <w:rPr>
          <w:lang w:val="en-US"/>
        </w:rPr>
        <w:t>when preparing</w:t>
      </w:r>
      <w:r w:rsidR="00180499" w:rsidRPr="001558A5">
        <w:rPr>
          <w:lang w:val="en-US"/>
        </w:rPr>
        <w:t xml:space="preserve"> demographic, epidemiological, social and political reports. In this regard, it was necessary that the Police</w:t>
      </w:r>
      <w:r w:rsidR="00A960C0" w:rsidRPr="001558A5">
        <w:rPr>
          <w:lang w:val="en-US"/>
        </w:rPr>
        <w:t xml:space="preserve">, </w:t>
      </w:r>
      <w:r w:rsidR="000C6628" w:rsidRPr="001558A5">
        <w:rPr>
          <w:lang w:val="en-US"/>
        </w:rPr>
        <w:t>the Public Prosecution Service</w:t>
      </w:r>
      <w:r w:rsidR="00A960C0" w:rsidRPr="001558A5">
        <w:rPr>
          <w:lang w:val="en-US"/>
        </w:rPr>
        <w:t xml:space="preserve">, </w:t>
      </w:r>
      <w:r w:rsidR="00180499" w:rsidRPr="001558A5">
        <w:rPr>
          <w:lang w:val="en-US"/>
        </w:rPr>
        <w:t xml:space="preserve">the courts and the prison system recognize the category of transgender when compiling statistics on violence. They indicated that, without this, it was almost impossible </w:t>
      </w:r>
      <w:r w:rsidR="002F6438" w:rsidRPr="001558A5">
        <w:rPr>
          <w:lang w:val="en-US"/>
        </w:rPr>
        <w:t>for</w:t>
      </w:r>
      <w:r w:rsidR="00180499" w:rsidRPr="001558A5">
        <w:rPr>
          <w:lang w:val="en-US"/>
        </w:rPr>
        <w:t xml:space="preserve"> the system </w:t>
      </w:r>
      <w:r w:rsidR="002F6438" w:rsidRPr="001558A5">
        <w:rPr>
          <w:lang w:val="en-US"/>
        </w:rPr>
        <w:t>to</w:t>
      </w:r>
      <w:r w:rsidR="00180499" w:rsidRPr="001558A5">
        <w:rPr>
          <w:lang w:val="en-US"/>
        </w:rPr>
        <w:t xml:space="preserve"> identify patterns of hate crime</w:t>
      </w:r>
      <w:r w:rsidR="002F6438" w:rsidRPr="001558A5">
        <w:rPr>
          <w:lang w:val="en-US"/>
        </w:rPr>
        <w:t>s</w:t>
      </w:r>
      <w:r w:rsidR="00180499" w:rsidRPr="001558A5">
        <w:rPr>
          <w:lang w:val="en-US"/>
        </w:rPr>
        <w:t xml:space="preserve"> committed </w:t>
      </w:r>
      <w:r w:rsidR="002F6438" w:rsidRPr="001558A5">
        <w:rPr>
          <w:lang w:val="en-US"/>
        </w:rPr>
        <w:t>due to</w:t>
      </w:r>
      <w:r w:rsidR="00180499" w:rsidRPr="001558A5">
        <w:rPr>
          <w:lang w:val="en-US"/>
        </w:rPr>
        <w:t xml:space="preserve"> transphobia, or human rights violations against trans defenders, and </w:t>
      </w:r>
      <w:r w:rsidR="002F6438" w:rsidRPr="001558A5">
        <w:rPr>
          <w:lang w:val="en-US"/>
        </w:rPr>
        <w:t xml:space="preserve">to </w:t>
      </w:r>
      <w:r w:rsidR="00180499" w:rsidRPr="001558A5">
        <w:rPr>
          <w:lang w:val="en-US"/>
        </w:rPr>
        <w:t>adopt the respective measures. Lastly, they underlined that this was particularly necessary because, to date, it was national civil society organizations that ha</w:t>
      </w:r>
      <w:r w:rsidR="002F6438" w:rsidRPr="001558A5">
        <w:rPr>
          <w:lang w:val="en-US"/>
        </w:rPr>
        <w:t>d</w:t>
      </w:r>
      <w:r w:rsidR="00180499" w:rsidRPr="001558A5">
        <w:rPr>
          <w:lang w:val="en-US"/>
        </w:rPr>
        <w:t xml:space="preserve"> had to fill this information void</w:t>
      </w:r>
      <w:r w:rsidR="00235FB5" w:rsidRPr="001558A5">
        <w:rPr>
          <w:lang w:val="en-US"/>
        </w:rPr>
        <w:t>.</w:t>
      </w:r>
    </w:p>
    <w:p w14:paraId="0D09775D" w14:textId="439C9F63" w:rsidR="00220B04" w:rsidRPr="001558A5" w:rsidRDefault="00DD4354" w:rsidP="00235FB5">
      <w:pPr>
        <w:widowControl w:val="0"/>
        <w:numPr>
          <w:ilvl w:val="0"/>
          <w:numId w:val="2"/>
        </w:numPr>
        <w:spacing w:before="120" w:after="120"/>
        <w:ind w:left="0" w:firstLine="0"/>
        <w:rPr>
          <w:lang w:val="en-US"/>
        </w:rPr>
      </w:pPr>
      <w:r w:rsidRPr="001558A5">
        <w:rPr>
          <w:lang w:val="en-US"/>
        </w:rPr>
        <w:t xml:space="preserve">The </w:t>
      </w:r>
      <w:r w:rsidRPr="001558A5">
        <w:rPr>
          <w:b/>
          <w:bCs/>
          <w:i/>
          <w:iCs/>
          <w:lang w:val="en-US"/>
        </w:rPr>
        <w:t>State</w:t>
      </w:r>
      <w:r w:rsidR="00A960C0" w:rsidRPr="001558A5">
        <w:rPr>
          <w:lang w:val="en-US"/>
        </w:rPr>
        <w:t xml:space="preserve"> a</w:t>
      </w:r>
      <w:r w:rsidR="00235FB5" w:rsidRPr="001558A5">
        <w:rPr>
          <w:lang w:val="en-US"/>
        </w:rPr>
        <w:t xml:space="preserve">rgued that, currently, it </w:t>
      </w:r>
      <w:r w:rsidR="002F6438" w:rsidRPr="001558A5">
        <w:rPr>
          <w:lang w:val="en-US"/>
        </w:rPr>
        <w:t>wa</w:t>
      </w:r>
      <w:r w:rsidR="00235FB5" w:rsidRPr="001558A5">
        <w:rPr>
          <w:lang w:val="en-US"/>
        </w:rPr>
        <w:t xml:space="preserve">s working with the Honduran System to Monitor International Recommendations </w:t>
      </w:r>
      <w:r w:rsidR="00F57F63" w:rsidRPr="001558A5">
        <w:rPr>
          <w:lang w:val="en-US"/>
        </w:rPr>
        <w:t xml:space="preserve">(SIMOREH), </w:t>
      </w:r>
      <w:r w:rsidR="00235FB5" w:rsidRPr="001558A5">
        <w:rPr>
          <w:lang w:val="en-US"/>
        </w:rPr>
        <w:t>which include</w:t>
      </w:r>
      <w:r w:rsidR="002F6438" w:rsidRPr="001558A5">
        <w:rPr>
          <w:lang w:val="en-US"/>
        </w:rPr>
        <w:t>d</w:t>
      </w:r>
      <w:r w:rsidR="00235FB5" w:rsidRPr="001558A5">
        <w:rPr>
          <w:lang w:val="en-US"/>
        </w:rPr>
        <w:t xml:space="preserve"> the </w:t>
      </w:r>
      <w:r w:rsidR="00F77529" w:rsidRPr="001558A5">
        <w:rPr>
          <w:lang w:val="en-US"/>
        </w:rPr>
        <w:t>working group</w:t>
      </w:r>
      <w:r w:rsidR="00235FB5" w:rsidRPr="001558A5">
        <w:rPr>
          <w:lang w:val="en-US"/>
        </w:rPr>
        <w:t xml:space="preserve"> on the LGBTI community</w:t>
      </w:r>
      <w:r w:rsidR="002F6438" w:rsidRPr="001558A5">
        <w:rPr>
          <w:lang w:val="en-US"/>
        </w:rPr>
        <w:t xml:space="preserve"> composed</w:t>
      </w:r>
      <w:r w:rsidR="00235FB5" w:rsidRPr="001558A5">
        <w:rPr>
          <w:lang w:val="en-US"/>
        </w:rPr>
        <w:t xml:space="preserve"> of state institutions and civil society organizations that follow</w:t>
      </w:r>
      <w:r w:rsidR="002F6438" w:rsidRPr="001558A5">
        <w:rPr>
          <w:lang w:val="en-US"/>
        </w:rPr>
        <w:t>ed</w:t>
      </w:r>
      <w:r w:rsidR="00235FB5" w:rsidRPr="001558A5">
        <w:rPr>
          <w:lang w:val="en-US"/>
        </w:rPr>
        <w:t xml:space="preserve"> up on the international recommendations made to the State by treaty bodies and facilitate</w:t>
      </w:r>
      <w:r w:rsidR="002F6438" w:rsidRPr="001558A5">
        <w:rPr>
          <w:lang w:val="en-US"/>
        </w:rPr>
        <w:t>d</w:t>
      </w:r>
      <w:r w:rsidR="00235FB5" w:rsidRPr="001558A5">
        <w:rPr>
          <w:lang w:val="en-US"/>
        </w:rPr>
        <w:t xml:space="preserve"> their implementation. In addition, as a member of the OAS, it recalled that it provide</w:t>
      </w:r>
      <w:r w:rsidR="002F6438" w:rsidRPr="001558A5">
        <w:rPr>
          <w:lang w:val="en-US"/>
        </w:rPr>
        <w:t>d</w:t>
      </w:r>
      <w:r w:rsidR="00235FB5" w:rsidRPr="001558A5">
        <w:rPr>
          <w:lang w:val="en-US"/>
        </w:rPr>
        <w:t xml:space="preserve"> reports to the </w:t>
      </w:r>
      <w:r w:rsidR="002F6438" w:rsidRPr="001558A5">
        <w:rPr>
          <w:lang w:val="en-US"/>
        </w:rPr>
        <w:t xml:space="preserve">system’s </w:t>
      </w:r>
      <w:r w:rsidR="00235FB5" w:rsidRPr="001558A5">
        <w:rPr>
          <w:lang w:val="en-US"/>
        </w:rPr>
        <w:t xml:space="preserve">organs that </w:t>
      </w:r>
      <w:r w:rsidR="002F6438" w:rsidRPr="001558A5">
        <w:rPr>
          <w:lang w:val="en-US"/>
        </w:rPr>
        <w:t>we</w:t>
      </w:r>
      <w:r w:rsidR="00235FB5" w:rsidRPr="001558A5">
        <w:rPr>
          <w:lang w:val="en-US"/>
        </w:rPr>
        <w:t xml:space="preserve">re </w:t>
      </w:r>
      <w:r w:rsidR="002F6438" w:rsidRPr="001558A5">
        <w:rPr>
          <w:lang w:val="en-US"/>
        </w:rPr>
        <w:t>subsequently</w:t>
      </w:r>
      <w:r w:rsidR="00235FB5" w:rsidRPr="001558A5">
        <w:rPr>
          <w:lang w:val="en-US"/>
        </w:rPr>
        <w:t xml:space="preserve"> published. It concluded that the measure requested would overlap </w:t>
      </w:r>
      <w:r w:rsidR="002F6438" w:rsidRPr="001558A5">
        <w:rPr>
          <w:lang w:val="en-US"/>
        </w:rPr>
        <w:t xml:space="preserve">with </w:t>
      </w:r>
      <w:r w:rsidR="00235FB5" w:rsidRPr="001558A5">
        <w:rPr>
          <w:lang w:val="en-US"/>
        </w:rPr>
        <w:t xml:space="preserve">what it </w:t>
      </w:r>
      <w:r w:rsidR="002F6438" w:rsidRPr="001558A5">
        <w:rPr>
          <w:lang w:val="en-US"/>
        </w:rPr>
        <w:t xml:space="preserve">was </w:t>
      </w:r>
      <w:r w:rsidR="00235FB5" w:rsidRPr="001558A5">
        <w:rPr>
          <w:lang w:val="en-US"/>
        </w:rPr>
        <w:t xml:space="preserve">already working on together with the Inter-American </w:t>
      </w:r>
      <w:r w:rsidR="00871E19" w:rsidRPr="001558A5">
        <w:rPr>
          <w:lang w:val="en-US"/>
        </w:rPr>
        <w:t>Commission</w:t>
      </w:r>
      <w:r w:rsidRPr="001558A5">
        <w:rPr>
          <w:lang w:val="en-US"/>
        </w:rPr>
        <w:t xml:space="preserve"> and</w:t>
      </w:r>
      <w:r w:rsidR="00871E19" w:rsidRPr="001558A5">
        <w:rPr>
          <w:lang w:val="en-US"/>
        </w:rPr>
        <w:t xml:space="preserve"> Court</w:t>
      </w:r>
      <w:r w:rsidR="00F57F63" w:rsidRPr="001558A5">
        <w:rPr>
          <w:lang w:val="en-US"/>
        </w:rPr>
        <w:t xml:space="preserve">. </w:t>
      </w:r>
    </w:p>
    <w:bookmarkEnd w:id="123"/>
    <w:p w14:paraId="6D7066F9" w14:textId="1DB058C0" w:rsidR="009C74A3" w:rsidRPr="001558A5" w:rsidRDefault="00871E19" w:rsidP="009C74A3">
      <w:pPr>
        <w:widowControl w:val="0"/>
        <w:numPr>
          <w:ilvl w:val="0"/>
          <w:numId w:val="2"/>
        </w:numPr>
        <w:spacing w:before="120" w:after="120"/>
        <w:ind w:left="0" w:firstLine="0"/>
        <w:rPr>
          <w:lang w:val="en-US"/>
        </w:rPr>
      </w:pPr>
      <w:r w:rsidRPr="001558A5">
        <w:rPr>
          <w:lang w:val="en-US"/>
        </w:rPr>
        <w:t>The Court</w:t>
      </w:r>
      <w:r w:rsidR="00021F80" w:rsidRPr="001558A5">
        <w:rPr>
          <w:lang w:val="en-US"/>
        </w:rPr>
        <w:t xml:space="preserve"> </w:t>
      </w:r>
      <w:r w:rsidR="00D4706D" w:rsidRPr="001558A5">
        <w:rPr>
          <w:lang w:val="en-US"/>
        </w:rPr>
        <w:t>t</w:t>
      </w:r>
      <w:r w:rsidR="009C74A3" w:rsidRPr="001558A5">
        <w:rPr>
          <w:lang w:val="en-US"/>
        </w:rPr>
        <w:t xml:space="preserve">akes note of the information provided by the State concerning the Honduran System to Monitor International Recommendations. Nevertheless, </w:t>
      </w:r>
      <w:r w:rsidR="002F6438" w:rsidRPr="001558A5">
        <w:rPr>
          <w:lang w:val="en-US"/>
        </w:rPr>
        <w:t>the Court</w:t>
      </w:r>
      <w:r w:rsidR="009C74A3" w:rsidRPr="001558A5">
        <w:rPr>
          <w:lang w:val="en-US"/>
        </w:rPr>
        <w:t xml:space="preserve"> understands that it is necessary to compile comprehensive information on the violence experienced by the LGBTI community in order to assess the true scale of this phenomenon and, on this basis, design strategies to prevent new acts of violence and discrimination and eradicate the problem. Therefore, as it has in other cases,</w:t>
      </w:r>
      <w:r w:rsidR="00021F80" w:rsidRPr="001558A5">
        <w:rPr>
          <w:rStyle w:val="Refdenotaalpie"/>
          <w:lang w:val="en-US"/>
        </w:rPr>
        <w:footnoteReference w:id="184"/>
      </w:r>
      <w:r w:rsidR="00021F80" w:rsidRPr="001558A5">
        <w:rPr>
          <w:lang w:val="en-US"/>
        </w:rPr>
        <w:t xml:space="preserve"> </w:t>
      </w:r>
      <w:r w:rsidRPr="001558A5">
        <w:rPr>
          <w:lang w:val="en-US"/>
        </w:rPr>
        <w:t>the Court</w:t>
      </w:r>
      <w:r w:rsidR="0078200C" w:rsidRPr="001558A5">
        <w:rPr>
          <w:lang w:val="en-US"/>
        </w:rPr>
        <w:t xml:space="preserve"> orde</w:t>
      </w:r>
      <w:r w:rsidR="009C74A3" w:rsidRPr="001558A5">
        <w:rPr>
          <w:lang w:val="en-US"/>
        </w:rPr>
        <w:t>rs the State to design immediately and to implement within one year, through the corresponding state entity, a system to compile data and figures relating to cases of violence against LGBTI persons in order to assess precisely and uniformly the prevalence, tendencies and patterns of the violence and discrimination against</w:t>
      </w:r>
      <w:r w:rsidR="00366333" w:rsidRPr="001558A5">
        <w:rPr>
          <w:lang w:val="en-US"/>
        </w:rPr>
        <w:t xml:space="preserve"> the</w:t>
      </w:r>
      <w:r w:rsidR="009C74A3" w:rsidRPr="001558A5">
        <w:rPr>
          <w:lang w:val="en-US"/>
        </w:rPr>
        <w:t xml:space="preserve"> LGBTI </w:t>
      </w:r>
      <w:r w:rsidR="00366333" w:rsidRPr="001558A5">
        <w:rPr>
          <w:lang w:val="en-US"/>
        </w:rPr>
        <w:t>community</w:t>
      </w:r>
      <w:r w:rsidR="009C74A3" w:rsidRPr="001558A5">
        <w:rPr>
          <w:lang w:val="en-US"/>
        </w:rPr>
        <w:t>, disaggregating the dat</w:t>
      </w:r>
      <w:r w:rsidR="002F6438" w:rsidRPr="001558A5">
        <w:rPr>
          <w:lang w:val="en-US"/>
        </w:rPr>
        <w:t>a</w:t>
      </w:r>
      <w:r w:rsidR="009C74A3" w:rsidRPr="001558A5">
        <w:rPr>
          <w:lang w:val="en-US"/>
        </w:rPr>
        <w:t xml:space="preserve"> by communities, ethnic origin, religion or beliefs, health, age,</w:t>
      </w:r>
      <w:r w:rsidR="00BA2139" w:rsidRPr="001558A5">
        <w:rPr>
          <w:lang w:val="en-US"/>
        </w:rPr>
        <w:t xml:space="preserve"> </w:t>
      </w:r>
      <w:r w:rsidR="00F77529" w:rsidRPr="001558A5">
        <w:rPr>
          <w:lang w:val="en-US"/>
        </w:rPr>
        <w:t>class</w:t>
      </w:r>
      <w:r w:rsidR="00BA2139" w:rsidRPr="001558A5">
        <w:rPr>
          <w:lang w:val="en-US"/>
        </w:rPr>
        <w:t>,</w:t>
      </w:r>
      <w:r w:rsidR="009C74A3" w:rsidRPr="001558A5">
        <w:rPr>
          <w:lang w:val="en-US"/>
        </w:rPr>
        <w:t xml:space="preserve"> migratory status and economic situation</w:t>
      </w:r>
      <w:r w:rsidR="006C6EBD" w:rsidRPr="001558A5">
        <w:rPr>
          <w:lang w:val="en-US"/>
        </w:rPr>
        <w:t xml:space="preserve">. In addition, the number of cases prosecuted must be specified, identifying the number of indictments, convictions and acquittals. The State must disseminate this information every year in the corresponding report, ensuring </w:t>
      </w:r>
      <w:r w:rsidR="00366333" w:rsidRPr="001558A5">
        <w:rPr>
          <w:lang w:val="en-US"/>
        </w:rPr>
        <w:t>that</w:t>
      </w:r>
      <w:r w:rsidR="006C6EBD" w:rsidRPr="001558A5">
        <w:rPr>
          <w:lang w:val="en-US"/>
        </w:rPr>
        <w:t xml:space="preserve"> the general p</w:t>
      </w:r>
      <w:r w:rsidR="00366333" w:rsidRPr="001558A5">
        <w:rPr>
          <w:lang w:val="en-US"/>
        </w:rPr>
        <w:t>ublic has access to it</w:t>
      </w:r>
      <w:r w:rsidR="006C6EBD" w:rsidRPr="001558A5">
        <w:rPr>
          <w:lang w:val="en-US"/>
        </w:rPr>
        <w:t>, and ensure the confidentiality of the victims’ identity. In this regard, the State must present a yearly report to the Court for three years following the implementation of the data compilation system indicating the actions taken to achieve this.</w:t>
      </w:r>
    </w:p>
    <w:p w14:paraId="60DFAB0B" w14:textId="2E67305B" w:rsidR="001C7324" w:rsidRPr="001558A5" w:rsidRDefault="006C6EBD" w:rsidP="00945CE2">
      <w:pPr>
        <w:pStyle w:val="Ttulo2"/>
        <w:numPr>
          <w:ilvl w:val="0"/>
          <w:numId w:val="25"/>
        </w:numPr>
        <w:spacing w:before="240" w:after="240"/>
        <w:rPr>
          <w:rFonts w:ascii="Verdana" w:hAnsi="Verdana"/>
          <w:i/>
          <w:color w:val="auto"/>
          <w:sz w:val="20"/>
          <w:szCs w:val="20"/>
          <w:lang w:val="en-US"/>
        </w:rPr>
      </w:pPr>
      <w:bookmarkStart w:id="128" w:name="_Toc192591"/>
      <w:bookmarkStart w:id="129" w:name="_Toc32394190"/>
      <w:bookmarkStart w:id="130" w:name="_Toc36823513"/>
      <w:r w:rsidRPr="001558A5">
        <w:rPr>
          <w:rFonts w:ascii="Verdana" w:hAnsi="Verdana"/>
          <w:i/>
          <w:color w:val="auto"/>
          <w:sz w:val="20"/>
          <w:szCs w:val="20"/>
          <w:lang w:val="en-US"/>
        </w:rPr>
        <w:t>Other measures requested</w:t>
      </w:r>
    </w:p>
    <w:p w14:paraId="4E039E1E" w14:textId="2AEED44E" w:rsidR="006C6EBD" w:rsidRPr="001558A5" w:rsidRDefault="00871E19" w:rsidP="006C6EBD">
      <w:pPr>
        <w:widowControl w:val="0"/>
        <w:numPr>
          <w:ilvl w:val="0"/>
          <w:numId w:val="2"/>
        </w:numPr>
        <w:spacing w:before="120" w:after="120"/>
        <w:ind w:left="0" w:firstLine="0"/>
        <w:rPr>
          <w:b/>
          <w:lang w:val="en-US"/>
        </w:rPr>
      </w:pPr>
      <w:r w:rsidRPr="001558A5">
        <w:rPr>
          <w:lang w:val="en-US"/>
        </w:rPr>
        <w:t xml:space="preserve">The </w:t>
      </w:r>
      <w:r w:rsidRPr="001558A5">
        <w:rPr>
          <w:b/>
          <w:bCs/>
          <w:i/>
          <w:iCs/>
          <w:lang w:val="en-US"/>
        </w:rPr>
        <w:t>Commission</w:t>
      </w:r>
      <w:r w:rsidR="00FF0370" w:rsidRPr="001558A5">
        <w:rPr>
          <w:lang w:val="en-US"/>
        </w:rPr>
        <w:t xml:space="preserve"> </w:t>
      </w:r>
      <w:r w:rsidR="006C6EBD" w:rsidRPr="001558A5">
        <w:rPr>
          <w:lang w:val="en-US"/>
        </w:rPr>
        <w:t>asked that the Court order the State: (</w:t>
      </w:r>
      <w:r w:rsidR="00FF0370" w:rsidRPr="001558A5">
        <w:rPr>
          <w:lang w:val="en-US"/>
        </w:rPr>
        <w:t xml:space="preserve">i) </w:t>
      </w:r>
      <w:r w:rsidR="006C6EBD" w:rsidRPr="001558A5">
        <w:rPr>
          <w:bCs/>
          <w:lang w:val="en-US"/>
        </w:rPr>
        <w:t xml:space="preserve">to </w:t>
      </w:r>
      <w:r w:rsidR="006C6EBD" w:rsidRPr="001558A5">
        <w:rPr>
          <w:rFonts w:eastAsia="Times New Roman"/>
          <w:szCs w:val="20"/>
          <w:lang w:val="en-US"/>
        </w:rPr>
        <w:t xml:space="preserve">adopt all necessary measures to ensure access to justice in cases of violence against LGBTI persons based on the standards described in the Merits Report, and (ii) </w:t>
      </w:r>
      <w:r w:rsidR="006C6EBD" w:rsidRPr="001558A5">
        <w:rPr>
          <w:bCs/>
          <w:lang w:val="en-US"/>
        </w:rPr>
        <w:t xml:space="preserve">to </w:t>
      </w:r>
      <w:r w:rsidR="006C6EBD" w:rsidRPr="001558A5">
        <w:rPr>
          <w:rFonts w:eastAsia="Times New Roman"/>
          <w:szCs w:val="20"/>
          <w:lang w:val="en-US"/>
        </w:rPr>
        <w:t xml:space="preserve">establish adequate accountability mechanisms for the State’s law enforcement agencies in cases of presumed hate crimes against </w:t>
      </w:r>
      <w:r w:rsidR="009A506F" w:rsidRPr="001558A5">
        <w:rPr>
          <w:rFonts w:eastAsia="Times New Roman"/>
          <w:szCs w:val="20"/>
          <w:lang w:val="en-US"/>
        </w:rPr>
        <w:t xml:space="preserve">the </w:t>
      </w:r>
      <w:r w:rsidR="006C6EBD" w:rsidRPr="001558A5">
        <w:rPr>
          <w:rFonts w:eastAsia="Times New Roman"/>
          <w:szCs w:val="20"/>
          <w:lang w:val="en-US"/>
        </w:rPr>
        <w:t xml:space="preserve">LGBTI </w:t>
      </w:r>
      <w:r w:rsidR="009A506F" w:rsidRPr="001558A5">
        <w:rPr>
          <w:rFonts w:eastAsia="Times New Roman"/>
          <w:szCs w:val="20"/>
          <w:lang w:val="en-US"/>
        </w:rPr>
        <w:t>community.</w:t>
      </w:r>
    </w:p>
    <w:p w14:paraId="2C7F649B" w14:textId="4F210290" w:rsidR="00FF0370" w:rsidRPr="001558A5" w:rsidRDefault="00DD4354" w:rsidP="00651B7F">
      <w:pPr>
        <w:widowControl w:val="0"/>
        <w:numPr>
          <w:ilvl w:val="0"/>
          <w:numId w:val="2"/>
        </w:numPr>
        <w:spacing w:before="120" w:after="120"/>
        <w:ind w:left="0" w:firstLine="0"/>
        <w:rPr>
          <w:b/>
          <w:lang w:val="en-US"/>
        </w:rPr>
      </w:pPr>
      <w:r w:rsidRPr="001558A5">
        <w:rPr>
          <w:lang w:val="en-US"/>
        </w:rPr>
        <w:t xml:space="preserve">The </w:t>
      </w:r>
      <w:r w:rsidRPr="001558A5">
        <w:rPr>
          <w:b/>
          <w:bCs/>
          <w:i/>
          <w:iCs/>
          <w:lang w:val="en-US"/>
        </w:rPr>
        <w:t>representatives</w:t>
      </w:r>
      <w:r w:rsidR="00FF0370" w:rsidRPr="001558A5">
        <w:rPr>
          <w:lang w:val="en-US"/>
        </w:rPr>
        <w:t xml:space="preserve"> a</w:t>
      </w:r>
      <w:r w:rsidR="006C6EBD" w:rsidRPr="001558A5">
        <w:rPr>
          <w:lang w:val="en-US"/>
        </w:rPr>
        <w:t xml:space="preserve">dded to </w:t>
      </w:r>
      <w:r w:rsidR="002E2F18" w:rsidRPr="001558A5">
        <w:rPr>
          <w:lang w:val="en-US"/>
        </w:rPr>
        <w:t>Commission’s requests, that the Court should order the State to: (a) implement a national education and employment inclusion p</w:t>
      </w:r>
      <w:r w:rsidR="009A506F" w:rsidRPr="001558A5">
        <w:rPr>
          <w:lang w:val="en-US"/>
        </w:rPr>
        <w:t>rogram</w:t>
      </w:r>
      <w:r w:rsidR="002E2F18" w:rsidRPr="001558A5">
        <w:rPr>
          <w:lang w:val="en-US"/>
        </w:rPr>
        <w:t xml:space="preserve"> and organize campaigns; (b) provide “training to judicial </w:t>
      </w:r>
      <w:r w:rsidR="00651B7F" w:rsidRPr="001558A5">
        <w:rPr>
          <w:lang w:val="en-US"/>
        </w:rPr>
        <w:t>authoritie</w:t>
      </w:r>
      <w:r w:rsidR="002E2F18" w:rsidRPr="001558A5">
        <w:rPr>
          <w:lang w:val="en-US"/>
        </w:rPr>
        <w:t xml:space="preserve">s and prosecutors on the </w:t>
      </w:r>
      <w:r w:rsidR="009A506F" w:rsidRPr="001558A5">
        <w:rPr>
          <w:lang w:val="en-US"/>
        </w:rPr>
        <w:t>content of</w:t>
      </w:r>
      <w:r w:rsidR="002E2F18" w:rsidRPr="001558A5">
        <w:rPr>
          <w:lang w:val="en-US"/>
        </w:rPr>
        <w:t xml:space="preserve"> crimes </w:t>
      </w:r>
      <w:r w:rsidR="00651B7F" w:rsidRPr="001558A5">
        <w:rPr>
          <w:lang w:val="en-US"/>
        </w:rPr>
        <w:t>included in the</w:t>
      </w:r>
      <w:r w:rsidR="002E2F18" w:rsidRPr="001558A5">
        <w:rPr>
          <w:lang w:val="en-US"/>
        </w:rPr>
        <w:t xml:space="preserve"> law”;</w:t>
      </w:r>
      <w:r w:rsidR="00E10485" w:rsidRPr="001558A5">
        <w:rPr>
          <w:rStyle w:val="Refdenotaalpie"/>
          <w:lang w:val="en-US"/>
        </w:rPr>
        <w:footnoteReference w:id="185"/>
      </w:r>
      <w:r w:rsidR="00FF0370" w:rsidRPr="001558A5">
        <w:rPr>
          <w:lang w:val="en-US"/>
        </w:rPr>
        <w:t xml:space="preserve"> </w:t>
      </w:r>
      <w:r w:rsidR="002E2F18" w:rsidRPr="001558A5">
        <w:rPr>
          <w:lang w:val="en-US"/>
        </w:rPr>
        <w:t>(</w:t>
      </w:r>
      <w:r w:rsidR="008D4DF5" w:rsidRPr="001558A5">
        <w:rPr>
          <w:lang w:val="en-US"/>
        </w:rPr>
        <w:t xml:space="preserve">c) </w:t>
      </w:r>
      <w:r w:rsidR="002E2F18" w:rsidRPr="001558A5">
        <w:rPr>
          <w:lang w:val="en-US"/>
        </w:rPr>
        <w:t xml:space="preserve">prepare and publish a special report on factors that have contributed to impunity in this case; (d) implement a periodic accountability system and establish an independent observatory on </w:t>
      </w:r>
      <w:r w:rsidR="00215FEF" w:rsidRPr="001558A5">
        <w:rPr>
          <w:lang w:val="en-US"/>
        </w:rPr>
        <w:t xml:space="preserve">violence </w:t>
      </w:r>
      <w:r w:rsidR="009460CA" w:rsidRPr="001558A5">
        <w:rPr>
          <w:lang w:val="en-US"/>
        </w:rPr>
        <w:t>against the LGBTI community</w:t>
      </w:r>
      <w:r w:rsidR="00F4249C" w:rsidRPr="001558A5">
        <w:rPr>
          <w:lang w:val="en-US"/>
        </w:rPr>
        <w:t>;</w:t>
      </w:r>
      <w:r w:rsidR="00FF0370" w:rsidRPr="001558A5">
        <w:rPr>
          <w:lang w:val="en-US"/>
        </w:rPr>
        <w:t xml:space="preserve"> </w:t>
      </w:r>
      <w:r w:rsidR="002E2F18" w:rsidRPr="001558A5">
        <w:rPr>
          <w:lang w:val="en-US"/>
        </w:rPr>
        <w:t>(</w:t>
      </w:r>
      <w:r w:rsidR="009A41EF" w:rsidRPr="001558A5">
        <w:rPr>
          <w:lang w:val="en-US"/>
        </w:rPr>
        <w:t xml:space="preserve">e) </w:t>
      </w:r>
      <w:r w:rsidR="002E2F18" w:rsidRPr="001558A5">
        <w:rPr>
          <w:lang w:val="en-US"/>
        </w:rPr>
        <w:t xml:space="preserve">establish a center </w:t>
      </w:r>
      <w:r w:rsidR="009A506F" w:rsidRPr="001558A5">
        <w:rPr>
          <w:lang w:val="en-US"/>
        </w:rPr>
        <w:t xml:space="preserve">to </w:t>
      </w:r>
      <w:r w:rsidR="002E2F18" w:rsidRPr="001558A5">
        <w:rPr>
          <w:lang w:val="en-US"/>
        </w:rPr>
        <w:t>provid</w:t>
      </w:r>
      <w:r w:rsidR="009A506F" w:rsidRPr="001558A5">
        <w:rPr>
          <w:lang w:val="en-US"/>
        </w:rPr>
        <w:t>e</w:t>
      </w:r>
      <w:r w:rsidR="002E2F18" w:rsidRPr="001558A5">
        <w:rPr>
          <w:lang w:val="en-US"/>
        </w:rPr>
        <w:t xml:space="preserve"> comprehensive care to trans women in San Pedro Sula; (f) introduce reforms t</w:t>
      </w:r>
      <w:r w:rsidR="009A506F" w:rsidRPr="001558A5">
        <w:rPr>
          <w:lang w:val="en-US"/>
        </w:rPr>
        <w:t>o</w:t>
      </w:r>
      <w:r w:rsidR="002E2F18" w:rsidRPr="001558A5">
        <w:rPr>
          <w:lang w:val="en-US"/>
        </w:rPr>
        <w:t xml:space="preserve"> derogate the laws that currently prohibit equal marriage and the recognition of common-law unions between persons of the same sex pursuant to the interpretation </w:t>
      </w:r>
      <w:r w:rsidRPr="001558A5">
        <w:rPr>
          <w:lang w:val="en-US"/>
        </w:rPr>
        <w:t xml:space="preserve">of the </w:t>
      </w:r>
      <w:r w:rsidR="00871E19" w:rsidRPr="001558A5">
        <w:rPr>
          <w:lang w:val="en-US"/>
        </w:rPr>
        <w:t>American Convention</w:t>
      </w:r>
      <w:r w:rsidR="00733938" w:rsidRPr="001558A5">
        <w:rPr>
          <w:lang w:val="en-US"/>
        </w:rPr>
        <w:t xml:space="preserve"> </w:t>
      </w:r>
      <w:r w:rsidR="002E2F18" w:rsidRPr="001558A5">
        <w:rPr>
          <w:lang w:val="en-US"/>
        </w:rPr>
        <w:t>made in Advisory Opinion</w:t>
      </w:r>
      <w:r w:rsidR="00733938" w:rsidRPr="001558A5">
        <w:rPr>
          <w:lang w:val="en-US"/>
        </w:rPr>
        <w:t xml:space="preserve"> 24/17</w:t>
      </w:r>
      <w:r w:rsidR="00F4249C" w:rsidRPr="001558A5">
        <w:rPr>
          <w:lang w:val="en-US"/>
        </w:rPr>
        <w:t>;</w:t>
      </w:r>
      <w:r w:rsidR="00733938" w:rsidRPr="001558A5">
        <w:rPr>
          <w:lang w:val="en-US"/>
        </w:rPr>
        <w:t xml:space="preserve"> </w:t>
      </w:r>
      <w:r w:rsidR="002E2F18" w:rsidRPr="001558A5">
        <w:rPr>
          <w:lang w:val="en-US"/>
        </w:rPr>
        <w:t>(</w:t>
      </w:r>
      <w:r w:rsidR="00733938" w:rsidRPr="001558A5">
        <w:rPr>
          <w:lang w:val="en-US"/>
        </w:rPr>
        <w:t xml:space="preserve">g) </w:t>
      </w:r>
      <w:r w:rsidR="00651B7F" w:rsidRPr="001558A5">
        <w:rPr>
          <w:lang w:val="en-US"/>
        </w:rPr>
        <w:t xml:space="preserve">introduce reforms that ensure the right to conjugal visits between persons of the same sex in the country’s prisons under the same conditions as for </w:t>
      </w:r>
      <w:proofErr w:type="spellStart"/>
      <w:r w:rsidR="00651B7F" w:rsidRPr="001558A5">
        <w:rPr>
          <w:lang w:val="en-US"/>
        </w:rPr>
        <w:t>cisnormative</w:t>
      </w:r>
      <w:proofErr w:type="spellEnd"/>
      <w:r w:rsidR="00651B7F" w:rsidRPr="001558A5">
        <w:rPr>
          <w:lang w:val="en-US"/>
        </w:rPr>
        <w:t xml:space="preserve"> couples, pursuant to the interpretation</w:t>
      </w:r>
      <w:r w:rsidRPr="001558A5">
        <w:rPr>
          <w:lang w:val="en-US"/>
        </w:rPr>
        <w:t xml:space="preserve"> of the </w:t>
      </w:r>
      <w:r w:rsidR="00871E19" w:rsidRPr="001558A5">
        <w:rPr>
          <w:lang w:val="en-US"/>
        </w:rPr>
        <w:t>American Convention</w:t>
      </w:r>
      <w:r w:rsidR="00733938" w:rsidRPr="001558A5">
        <w:rPr>
          <w:lang w:val="en-US"/>
        </w:rPr>
        <w:t xml:space="preserve"> </w:t>
      </w:r>
      <w:r w:rsidR="00651B7F" w:rsidRPr="001558A5">
        <w:rPr>
          <w:lang w:val="en-US"/>
        </w:rPr>
        <w:t>made in Advisory Opinion</w:t>
      </w:r>
      <w:r w:rsidR="00733938" w:rsidRPr="001558A5">
        <w:rPr>
          <w:lang w:val="en-US"/>
        </w:rPr>
        <w:t xml:space="preserve"> 24/17</w:t>
      </w:r>
      <w:r w:rsidR="00F4249C" w:rsidRPr="001558A5">
        <w:rPr>
          <w:lang w:val="en-US"/>
        </w:rPr>
        <w:t>;</w:t>
      </w:r>
      <w:r w:rsidR="00733938" w:rsidRPr="001558A5">
        <w:rPr>
          <w:lang w:val="en-US"/>
        </w:rPr>
        <w:t xml:space="preserve"> </w:t>
      </w:r>
      <w:r w:rsidR="00651B7F" w:rsidRPr="001558A5">
        <w:rPr>
          <w:lang w:val="en-US"/>
        </w:rPr>
        <w:t>(</w:t>
      </w:r>
      <w:r w:rsidR="00733938" w:rsidRPr="001558A5">
        <w:rPr>
          <w:lang w:val="en-US"/>
        </w:rPr>
        <w:t xml:space="preserve">h) </w:t>
      </w:r>
      <w:r w:rsidR="00651B7F" w:rsidRPr="001558A5">
        <w:rPr>
          <w:lang w:val="en-US"/>
        </w:rPr>
        <w:t>amend the new Criminal Code so that it expressly includes as an aggravating factor the perpetration of a hate crime based on</w:t>
      </w:r>
      <w:r w:rsidR="00733938" w:rsidRPr="001558A5">
        <w:rPr>
          <w:lang w:val="en-US"/>
        </w:rPr>
        <w:t xml:space="preserve"> </w:t>
      </w:r>
      <w:r w:rsidR="00DF7573" w:rsidRPr="001558A5">
        <w:rPr>
          <w:lang w:val="en-US"/>
        </w:rPr>
        <w:t>gender identity</w:t>
      </w:r>
      <w:r w:rsidR="00733938" w:rsidRPr="001558A5">
        <w:rPr>
          <w:lang w:val="en-US"/>
        </w:rPr>
        <w:t xml:space="preserve">, </w:t>
      </w:r>
      <w:r w:rsidR="00675A99" w:rsidRPr="001558A5">
        <w:rPr>
          <w:lang w:val="en-US"/>
        </w:rPr>
        <w:t>sexual orientation</w:t>
      </w:r>
      <w:r w:rsidR="00733938" w:rsidRPr="001558A5">
        <w:rPr>
          <w:lang w:val="en-US"/>
        </w:rPr>
        <w:t xml:space="preserve">, </w:t>
      </w:r>
      <w:r w:rsidR="002C5430" w:rsidRPr="001558A5">
        <w:rPr>
          <w:lang w:val="en-US"/>
        </w:rPr>
        <w:t>gender expression</w:t>
      </w:r>
      <w:r w:rsidR="00733938" w:rsidRPr="001558A5">
        <w:rPr>
          <w:lang w:val="en-US"/>
        </w:rPr>
        <w:t xml:space="preserve"> o</w:t>
      </w:r>
      <w:r w:rsidR="00651B7F" w:rsidRPr="001558A5">
        <w:rPr>
          <w:lang w:val="en-US"/>
        </w:rPr>
        <w:t xml:space="preserve">r sexual characteristics, and amend other offenses that discriminate against LGBTI persons as regards the exercise of rights; (i) amend the Police and Social Coexistence Act in order to derogate the articles that authorize temporary detention to protect public morals and that, in reality, have </w:t>
      </w:r>
      <w:r w:rsidR="009A506F" w:rsidRPr="001558A5">
        <w:rPr>
          <w:lang w:val="en-US"/>
        </w:rPr>
        <w:t>made</w:t>
      </w:r>
      <w:r w:rsidR="00651B7F" w:rsidRPr="001558A5">
        <w:rPr>
          <w:lang w:val="en-US"/>
        </w:rPr>
        <w:t xml:space="preserve"> the LGBTI community vulnerab</w:t>
      </w:r>
      <w:r w:rsidR="009A506F" w:rsidRPr="001558A5">
        <w:rPr>
          <w:lang w:val="en-US"/>
        </w:rPr>
        <w:t>le</w:t>
      </w:r>
      <w:r w:rsidR="00651B7F" w:rsidRPr="001558A5">
        <w:rPr>
          <w:lang w:val="en-US"/>
        </w:rPr>
        <w:t xml:space="preserve"> to discrimination by the police; (j) </w:t>
      </w:r>
      <w:r w:rsidR="009A506F" w:rsidRPr="001558A5">
        <w:rPr>
          <w:lang w:val="en-US"/>
        </w:rPr>
        <w:t>introduce</w:t>
      </w:r>
      <w:r w:rsidR="00651B7F" w:rsidRPr="001558A5">
        <w:rPr>
          <w:lang w:val="en-US"/>
        </w:rPr>
        <w:t xml:space="preserve"> the crime of </w:t>
      </w:r>
      <w:proofErr w:type="spellStart"/>
      <w:r w:rsidR="00651B7F" w:rsidRPr="001558A5">
        <w:rPr>
          <w:lang w:val="en-US"/>
        </w:rPr>
        <w:t>transfemicide</w:t>
      </w:r>
      <w:proofErr w:type="spellEnd"/>
      <w:r w:rsidR="00651B7F" w:rsidRPr="001558A5">
        <w:rPr>
          <w:lang w:val="en-US"/>
        </w:rPr>
        <w:t xml:space="preserve"> </w:t>
      </w:r>
      <w:r w:rsidR="009A506F" w:rsidRPr="001558A5">
        <w:rPr>
          <w:lang w:val="en-US"/>
        </w:rPr>
        <w:t xml:space="preserve">into the country’s laws </w:t>
      </w:r>
      <w:r w:rsidR="00651B7F" w:rsidRPr="001558A5">
        <w:rPr>
          <w:lang w:val="en-US"/>
        </w:rPr>
        <w:t xml:space="preserve">as a new crime that includes among its subjective elements the very special crime of gender violence based on prejudice, </w:t>
      </w:r>
      <w:r w:rsidR="009A506F" w:rsidRPr="001558A5">
        <w:rPr>
          <w:lang w:val="en-US"/>
        </w:rPr>
        <w:t>vilification</w:t>
      </w:r>
      <w:r w:rsidR="00651B7F" w:rsidRPr="001558A5">
        <w:rPr>
          <w:lang w:val="en-US"/>
        </w:rPr>
        <w:t xml:space="preserve"> and discrimination against the gender and identity assumed by victims and the fact of being trans women, and (k) adopt legislative and other measures to suspend, definitively and in all instances, the effects of Legislative Decree No. 2-2010 </w:t>
      </w:r>
      <w:r w:rsidR="009A506F" w:rsidRPr="001558A5">
        <w:rPr>
          <w:lang w:val="en-US"/>
        </w:rPr>
        <w:t xml:space="preserve">on amnesty </w:t>
      </w:r>
      <w:r w:rsidR="00651B7F" w:rsidRPr="001558A5">
        <w:rPr>
          <w:lang w:val="en-US"/>
        </w:rPr>
        <w:t>and re</w:t>
      </w:r>
      <w:r w:rsidR="009A506F" w:rsidRPr="001558A5">
        <w:rPr>
          <w:lang w:val="en-US"/>
        </w:rPr>
        <w:t>turn to their previous status</w:t>
      </w:r>
      <w:r w:rsidR="00651B7F" w:rsidRPr="001558A5">
        <w:rPr>
          <w:lang w:val="en-US"/>
        </w:rPr>
        <w:t xml:space="preserve"> all</w:t>
      </w:r>
      <w:r w:rsidR="009A506F" w:rsidRPr="001558A5">
        <w:rPr>
          <w:lang w:val="en-US"/>
        </w:rPr>
        <w:t xml:space="preserve"> the</w:t>
      </w:r>
      <w:r w:rsidR="00651B7F" w:rsidRPr="001558A5">
        <w:rPr>
          <w:lang w:val="en-US"/>
        </w:rPr>
        <w:t xml:space="preserve"> judicial proceedings on human violations to which this legislative decree has been applied.</w:t>
      </w:r>
      <w:r w:rsidR="00E10485" w:rsidRPr="001558A5">
        <w:rPr>
          <w:rStyle w:val="Refdenotaalpie"/>
          <w:lang w:val="en-US"/>
        </w:rPr>
        <w:footnoteReference w:id="186"/>
      </w:r>
      <w:r w:rsidR="00FF0370" w:rsidRPr="001558A5">
        <w:rPr>
          <w:lang w:val="en-US"/>
        </w:rPr>
        <w:t xml:space="preserve"> </w:t>
      </w:r>
    </w:p>
    <w:p w14:paraId="5A668EEA" w14:textId="65BE2B46" w:rsidR="00490D1B" w:rsidRPr="001558A5" w:rsidRDefault="00DD4354" w:rsidP="00490D1B">
      <w:pPr>
        <w:widowControl w:val="0"/>
        <w:numPr>
          <w:ilvl w:val="0"/>
          <w:numId w:val="2"/>
        </w:numPr>
        <w:spacing w:before="120" w:after="120"/>
        <w:ind w:left="0" w:firstLine="0"/>
        <w:rPr>
          <w:lang w:val="en-US"/>
        </w:rPr>
      </w:pPr>
      <w:r w:rsidRPr="001558A5">
        <w:rPr>
          <w:lang w:val="en-US"/>
        </w:rPr>
        <w:t xml:space="preserve">The </w:t>
      </w:r>
      <w:r w:rsidRPr="001558A5">
        <w:rPr>
          <w:b/>
          <w:bCs/>
          <w:i/>
          <w:iCs/>
          <w:lang w:val="en-US"/>
        </w:rPr>
        <w:t>State</w:t>
      </w:r>
      <w:r w:rsidR="00447720" w:rsidRPr="001558A5">
        <w:rPr>
          <w:lang w:val="en-US"/>
        </w:rPr>
        <w:t xml:space="preserve"> indic</w:t>
      </w:r>
      <w:r w:rsidR="00297E2F" w:rsidRPr="001558A5">
        <w:rPr>
          <w:lang w:val="en-US"/>
        </w:rPr>
        <w:t xml:space="preserve">ated that, if certain measures were granted, these must be </w:t>
      </w:r>
      <w:r w:rsidR="00490D1B" w:rsidRPr="001558A5">
        <w:rPr>
          <w:lang w:val="en-US"/>
        </w:rPr>
        <w:t xml:space="preserve">ordered precisely. It also considered that measures such as the preparation of a special report on </w:t>
      </w:r>
      <w:r w:rsidR="0006179B" w:rsidRPr="001558A5">
        <w:rPr>
          <w:lang w:val="en-US"/>
        </w:rPr>
        <w:t xml:space="preserve">the </w:t>
      </w:r>
      <w:r w:rsidR="00490D1B" w:rsidRPr="001558A5">
        <w:rPr>
          <w:lang w:val="en-US"/>
        </w:rPr>
        <w:t xml:space="preserve">factors that contributed to impunity in the case was inadmissible because publication of the judgment would be ordered. In addition, it asked that the Court reject measures relating to legislative and administrative reforms, such as modifications </w:t>
      </w:r>
      <w:r w:rsidR="0006179B" w:rsidRPr="001558A5">
        <w:rPr>
          <w:lang w:val="en-US"/>
        </w:rPr>
        <w:t>in</w:t>
      </w:r>
      <w:r w:rsidR="00490D1B" w:rsidRPr="001558A5">
        <w:rPr>
          <w:lang w:val="en-US"/>
        </w:rPr>
        <w:t xml:space="preserve"> the civil registries, amendments concerning equal marriage, and conjugal visits to persons of the same sex in prison, because the</w:t>
      </w:r>
      <w:r w:rsidR="0006179B" w:rsidRPr="001558A5">
        <w:rPr>
          <w:lang w:val="en-US"/>
        </w:rPr>
        <w:t>se</w:t>
      </w:r>
      <w:r w:rsidR="00490D1B" w:rsidRPr="001558A5">
        <w:rPr>
          <w:lang w:val="en-US"/>
        </w:rPr>
        <w:t xml:space="preserve"> had no causal nexus with the facts of the case. As for the amnesty decree, it indicated that it had no causal nexus with the alleged violations in this case.</w:t>
      </w:r>
    </w:p>
    <w:p w14:paraId="570BADBD" w14:textId="78453B5C" w:rsidR="00490D1B" w:rsidRPr="001558A5" w:rsidRDefault="00490D1B" w:rsidP="00945CE2">
      <w:pPr>
        <w:widowControl w:val="0"/>
        <w:numPr>
          <w:ilvl w:val="0"/>
          <w:numId w:val="2"/>
        </w:numPr>
        <w:spacing w:before="120" w:after="120"/>
        <w:ind w:left="0" w:firstLine="0"/>
        <w:rPr>
          <w:lang w:val="en-US"/>
        </w:rPr>
      </w:pPr>
      <w:r w:rsidRPr="001558A5">
        <w:rPr>
          <w:lang w:val="en-US"/>
        </w:rPr>
        <w:t>Regarding the request</w:t>
      </w:r>
      <w:r w:rsidR="002A7F80" w:rsidRPr="001558A5">
        <w:rPr>
          <w:lang w:val="en-US"/>
        </w:rPr>
        <w:t>s</w:t>
      </w:r>
      <w:r w:rsidRPr="001558A5">
        <w:rPr>
          <w:lang w:val="en-US"/>
        </w:rPr>
        <w:t xml:space="preserve"> to amend the law in relation to equal marriage and conjugal visits to persons of the same sex in the country’s prisons, the Court considers that they have no causal nexus with the violations declared in this case; therefore, it does not find it necessary order measures in this regard. In the case of the other measures requested by the Commission and the representatives, the Court considers that the delivery of this judgment and the reparations ordered in this chapter are sufficient and adequate to redress the violations suffered by the victims. Therefore, it does not find it necessary to order additional measures, without prejudice to the State deciding to adopt them and grant them at the domestic level.</w:t>
      </w:r>
    </w:p>
    <w:p w14:paraId="3D5462D4" w14:textId="7C1C27B6" w:rsidR="002F19D8" w:rsidRPr="001558A5" w:rsidRDefault="00490D1B" w:rsidP="00945CE2">
      <w:pPr>
        <w:pStyle w:val="Ttulo2"/>
        <w:numPr>
          <w:ilvl w:val="0"/>
          <w:numId w:val="25"/>
        </w:numPr>
        <w:spacing w:before="240" w:after="240"/>
        <w:rPr>
          <w:rFonts w:ascii="Verdana" w:hAnsi="Verdana"/>
          <w:i/>
          <w:color w:val="auto"/>
          <w:sz w:val="20"/>
          <w:szCs w:val="20"/>
          <w:lang w:val="en-US"/>
        </w:rPr>
      </w:pPr>
      <w:r w:rsidRPr="001558A5">
        <w:rPr>
          <w:rFonts w:ascii="Verdana" w:hAnsi="Verdana"/>
          <w:i/>
          <w:color w:val="auto"/>
          <w:sz w:val="20"/>
          <w:szCs w:val="20"/>
          <w:lang w:val="en-US"/>
        </w:rPr>
        <w:t>Compensation</w:t>
      </w:r>
      <w:bookmarkEnd w:id="128"/>
      <w:bookmarkEnd w:id="129"/>
      <w:bookmarkEnd w:id="130"/>
    </w:p>
    <w:p w14:paraId="69602DC3" w14:textId="67FB1C52" w:rsidR="002F19D8" w:rsidRPr="001558A5" w:rsidRDefault="00871DAF" w:rsidP="00945CE2">
      <w:pPr>
        <w:pStyle w:val="Ttulo3"/>
        <w:spacing w:before="240" w:after="240"/>
        <w:ind w:left="357" w:firstLine="709"/>
        <w:rPr>
          <w:b w:val="0"/>
          <w:snapToGrid w:val="0"/>
          <w:spacing w:val="-2"/>
          <w:szCs w:val="20"/>
          <w:lang w:val="en-US" w:eastAsia="es-ES"/>
        </w:rPr>
      </w:pPr>
      <w:bookmarkStart w:id="131" w:name="_Toc192592"/>
      <w:bookmarkStart w:id="132" w:name="_Toc32394191"/>
      <w:bookmarkStart w:id="133" w:name="_Toc36823514"/>
      <w:bookmarkStart w:id="134" w:name="_Toc73430076"/>
      <w:r w:rsidRPr="001558A5">
        <w:rPr>
          <w:b w:val="0"/>
          <w:snapToGrid w:val="0"/>
          <w:spacing w:val="-2"/>
          <w:szCs w:val="20"/>
          <w:lang w:val="en-US" w:eastAsia="es-ES"/>
        </w:rPr>
        <w:t>F</w:t>
      </w:r>
      <w:r w:rsidR="002F19D8" w:rsidRPr="001558A5">
        <w:rPr>
          <w:b w:val="0"/>
          <w:snapToGrid w:val="0"/>
          <w:spacing w:val="-2"/>
          <w:szCs w:val="20"/>
          <w:lang w:val="en-US" w:eastAsia="es-ES"/>
        </w:rPr>
        <w:t xml:space="preserve">.1 </w:t>
      </w:r>
      <w:r w:rsidR="00490D1B" w:rsidRPr="001558A5">
        <w:rPr>
          <w:b w:val="0"/>
          <w:snapToGrid w:val="0"/>
          <w:spacing w:val="-2"/>
          <w:szCs w:val="20"/>
          <w:lang w:val="en-US" w:eastAsia="es-ES"/>
        </w:rPr>
        <w:t>Pecuniary damage</w:t>
      </w:r>
      <w:bookmarkEnd w:id="131"/>
      <w:bookmarkEnd w:id="132"/>
      <w:bookmarkEnd w:id="133"/>
      <w:bookmarkEnd w:id="134"/>
    </w:p>
    <w:p w14:paraId="47170CFE" w14:textId="6D23EC65" w:rsidR="00BB15A2" w:rsidRPr="001558A5" w:rsidRDefault="00871E19" w:rsidP="00BB15A2">
      <w:pPr>
        <w:widowControl w:val="0"/>
        <w:numPr>
          <w:ilvl w:val="0"/>
          <w:numId w:val="2"/>
        </w:numPr>
        <w:spacing w:before="120" w:after="120"/>
        <w:ind w:left="0" w:firstLine="0"/>
        <w:rPr>
          <w:lang w:val="en-US"/>
        </w:rPr>
      </w:pPr>
      <w:r w:rsidRPr="001558A5">
        <w:rPr>
          <w:lang w:val="en-US"/>
        </w:rPr>
        <w:t xml:space="preserve">The </w:t>
      </w:r>
      <w:r w:rsidRPr="001558A5">
        <w:rPr>
          <w:b/>
          <w:bCs/>
          <w:i/>
          <w:iCs/>
          <w:lang w:val="en-US"/>
        </w:rPr>
        <w:t>Commission</w:t>
      </w:r>
      <w:r w:rsidR="002F19D8" w:rsidRPr="001558A5">
        <w:rPr>
          <w:b/>
          <w:i/>
          <w:lang w:val="en-US"/>
        </w:rPr>
        <w:t xml:space="preserve"> </w:t>
      </w:r>
      <w:r w:rsidR="00BB15A2" w:rsidRPr="001558A5">
        <w:rPr>
          <w:lang w:val="en-US"/>
        </w:rPr>
        <w:t>required that</w:t>
      </w:r>
      <w:r w:rsidR="00490D1B" w:rsidRPr="001558A5">
        <w:rPr>
          <w:lang w:val="en-US"/>
        </w:rPr>
        <w:t xml:space="preserve"> the State provide full reparation for </w:t>
      </w:r>
      <w:r w:rsidR="00BB15A2" w:rsidRPr="001558A5">
        <w:rPr>
          <w:lang w:val="en-US"/>
        </w:rPr>
        <w:t xml:space="preserve">the pecuniary aspect of </w:t>
      </w:r>
      <w:r w:rsidR="00490D1B" w:rsidRPr="001558A5">
        <w:rPr>
          <w:lang w:val="en-US"/>
        </w:rPr>
        <w:t>the human rights violations dec</w:t>
      </w:r>
      <w:r w:rsidR="00BB15A2" w:rsidRPr="001558A5">
        <w:rPr>
          <w:lang w:val="en-US"/>
        </w:rPr>
        <w:t xml:space="preserve">lared in its report. </w:t>
      </w:r>
      <w:r w:rsidR="00DD4354" w:rsidRPr="001558A5">
        <w:rPr>
          <w:lang w:val="en-US"/>
        </w:rPr>
        <w:t xml:space="preserve">The </w:t>
      </w:r>
      <w:r w:rsidR="00DD4354" w:rsidRPr="001558A5">
        <w:rPr>
          <w:b/>
          <w:bCs/>
          <w:i/>
          <w:iCs/>
          <w:lang w:val="en-US"/>
        </w:rPr>
        <w:t>representatives</w:t>
      </w:r>
      <w:r w:rsidR="002F19D8" w:rsidRPr="001558A5">
        <w:rPr>
          <w:b/>
          <w:bCs/>
          <w:i/>
          <w:iCs/>
          <w:lang w:val="en-US"/>
        </w:rPr>
        <w:t xml:space="preserve"> </w:t>
      </w:r>
      <w:r w:rsidR="00BB15A2" w:rsidRPr="001558A5">
        <w:rPr>
          <w:lang w:val="en-US"/>
        </w:rPr>
        <w:t>asked</w:t>
      </w:r>
      <w:r w:rsidR="002F19D8" w:rsidRPr="001558A5">
        <w:rPr>
          <w:lang w:val="en-US"/>
        </w:rPr>
        <w:t xml:space="preserve"> </w:t>
      </w:r>
      <w:r w:rsidRPr="001558A5">
        <w:rPr>
          <w:lang w:val="en-US"/>
        </w:rPr>
        <w:t>the Court</w:t>
      </w:r>
      <w:r w:rsidR="002F19D8" w:rsidRPr="001558A5">
        <w:rPr>
          <w:lang w:val="en-US"/>
        </w:rPr>
        <w:t xml:space="preserve"> </w:t>
      </w:r>
      <w:r w:rsidR="00BB15A2" w:rsidRPr="001558A5">
        <w:rPr>
          <w:lang w:val="en-US"/>
        </w:rPr>
        <w:t xml:space="preserve">to establish, in equity, the amount that the State must pay for consequential damage owing to “the difficulty to </w:t>
      </w:r>
      <w:r w:rsidR="002A7F80" w:rsidRPr="001558A5">
        <w:rPr>
          <w:lang w:val="en-US"/>
        </w:rPr>
        <w:t>specify</w:t>
      </w:r>
      <w:r w:rsidR="00BB15A2" w:rsidRPr="001558A5">
        <w:rPr>
          <w:lang w:val="en-US"/>
        </w:rPr>
        <w:t xml:space="preserve"> the exact amount of the expenses that the family of Vicky Hernández have incurred” for this concept. Regarding loss of earnings, they indicated that, at the time of her death, Vicky Hernández was paying for her own expenses and those of her family by her sex work. In particular, with her income, Vicky covered the rental expenses of the family home, the water and electricity services, and the infant formula, nappies, medicines and, in general, all the expenses for her niece, </w:t>
      </w:r>
      <w:proofErr w:type="spellStart"/>
      <w:r w:rsidR="00BB15A2" w:rsidRPr="001558A5">
        <w:rPr>
          <w:lang w:val="en-US"/>
        </w:rPr>
        <w:t>Argelia</w:t>
      </w:r>
      <w:proofErr w:type="spellEnd"/>
      <w:r w:rsidR="00BB15A2" w:rsidRPr="001558A5">
        <w:rPr>
          <w:lang w:val="en-US"/>
        </w:rPr>
        <w:t>, who was only a baby at the time. On this bas</w:t>
      </w:r>
      <w:r w:rsidR="002A7F80" w:rsidRPr="001558A5">
        <w:rPr>
          <w:lang w:val="en-US"/>
        </w:rPr>
        <w:t>i</w:t>
      </w:r>
      <w:r w:rsidR="00BB15A2" w:rsidRPr="001558A5">
        <w:rPr>
          <w:lang w:val="en-US"/>
        </w:rPr>
        <w:t xml:space="preserve">s, they asked the Court to establish, in equity, the amount that the State </w:t>
      </w:r>
      <w:r w:rsidR="002A7F80" w:rsidRPr="001558A5">
        <w:rPr>
          <w:lang w:val="en-US"/>
        </w:rPr>
        <w:t>should</w:t>
      </w:r>
      <w:r w:rsidR="00BB15A2" w:rsidRPr="001558A5">
        <w:rPr>
          <w:lang w:val="en-US"/>
        </w:rPr>
        <w:t xml:space="preserve"> pay for loss of earnings.</w:t>
      </w:r>
    </w:p>
    <w:p w14:paraId="12326E6A" w14:textId="01C1CC71" w:rsidR="00437874" w:rsidRPr="001558A5" w:rsidRDefault="00DD4354" w:rsidP="00437874">
      <w:pPr>
        <w:widowControl w:val="0"/>
        <w:numPr>
          <w:ilvl w:val="0"/>
          <w:numId w:val="2"/>
        </w:numPr>
        <w:spacing w:before="120" w:after="120"/>
        <w:ind w:left="0" w:firstLine="0"/>
        <w:rPr>
          <w:b/>
          <w:lang w:val="en-US"/>
        </w:rPr>
      </w:pPr>
      <w:bookmarkStart w:id="135" w:name="_Ref33110614"/>
      <w:r w:rsidRPr="001558A5">
        <w:rPr>
          <w:lang w:val="en-US"/>
        </w:rPr>
        <w:t xml:space="preserve">The </w:t>
      </w:r>
      <w:r w:rsidRPr="001558A5">
        <w:rPr>
          <w:b/>
          <w:bCs/>
          <w:i/>
          <w:iCs/>
          <w:lang w:val="en-US"/>
        </w:rPr>
        <w:t>State</w:t>
      </w:r>
      <w:r w:rsidR="000C6BBA" w:rsidRPr="001558A5">
        <w:rPr>
          <w:b/>
          <w:i/>
          <w:lang w:val="en-US"/>
        </w:rPr>
        <w:t xml:space="preserve"> </w:t>
      </w:r>
      <w:r w:rsidR="00BB15A2" w:rsidRPr="001558A5">
        <w:rPr>
          <w:lang w:val="en-US"/>
        </w:rPr>
        <w:t xml:space="preserve">asked that the Court take into consideration that, based on the facts of the case, it had not been possible </w:t>
      </w:r>
      <w:r w:rsidR="002A7F80" w:rsidRPr="001558A5">
        <w:rPr>
          <w:lang w:val="en-US"/>
        </w:rPr>
        <w:t xml:space="preserve">to </w:t>
      </w:r>
      <w:r w:rsidR="00BB15A2" w:rsidRPr="001558A5">
        <w:rPr>
          <w:lang w:val="en-US"/>
        </w:rPr>
        <w:t xml:space="preserve">prove that Vicky Hernández had been </w:t>
      </w:r>
      <w:proofErr w:type="spellStart"/>
      <w:r w:rsidR="00BB15A2" w:rsidRPr="001558A5">
        <w:rPr>
          <w:lang w:val="en-US"/>
        </w:rPr>
        <w:t>extrajudicially</w:t>
      </w:r>
      <w:proofErr w:type="spellEnd"/>
      <w:r w:rsidR="00BB15A2" w:rsidRPr="001558A5">
        <w:rPr>
          <w:lang w:val="en-US"/>
        </w:rPr>
        <w:t xml:space="preserve"> executed or </w:t>
      </w:r>
      <w:r w:rsidR="00437874" w:rsidRPr="001558A5">
        <w:rPr>
          <w:lang w:val="en-US"/>
        </w:rPr>
        <w:t>deprived of liberty by state agents and, therefore, the Court should establish the amount corresponding to</w:t>
      </w:r>
      <w:r w:rsidR="000B7D75" w:rsidRPr="001558A5">
        <w:rPr>
          <w:lang w:val="en-US"/>
        </w:rPr>
        <w:t xml:space="preserve"> </w:t>
      </w:r>
      <w:r w:rsidR="00490D1B" w:rsidRPr="001558A5">
        <w:rPr>
          <w:lang w:val="en-US"/>
        </w:rPr>
        <w:t>pecuniary damage</w:t>
      </w:r>
      <w:r w:rsidR="000C6BBA" w:rsidRPr="001558A5">
        <w:rPr>
          <w:lang w:val="en-US"/>
        </w:rPr>
        <w:t xml:space="preserve"> </w:t>
      </w:r>
      <w:r w:rsidR="00437874" w:rsidRPr="001558A5">
        <w:rPr>
          <w:lang w:val="en-US"/>
        </w:rPr>
        <w:t>in conformity with the facts of the case and is case law.</w:t>
      </w:r>
    </w:p>
    <w:p w14:paraId="244B5427" w14:textId="035A16DC" w:rsidR="00F047B0" w:rsidRPr="001558A5" w:rsidRDefault="00437874" w:rsidP="00945CE2">
      <w:pPr>
        <w:widowControl w:val="0"/>
        <w:numPr>
          <w:ilvl w:val="0"/>
          <w:numId w:val="2"/>
        </w:numPr>
        <w:spacing w:before="120" w:after="120"/>
        <w:ind w:left="0" w:firstLine="0"/>
        <w:rPr>
          <w:rFonts w:eastAsiaTheme="minorHAnsi"/>
          <w:lang w:val="en-US"/>
        </w:rPr>
      </w:pPr>
      <w:r w:rsidRPr="001558A5">
        <w:rPr>
          <w:lang w:val="en-US"/>
        </w:rPr>
        <w:t>In its case law, this Court has established that</w:t>
      </w:r>
      <w:r w:rsidR="00F047B0" w:rsidRPr="001558A5">
        <w:rPr>
          <w:lang w:val="en-US"/>
        </w:rPr>
        <w:t xml:space="preserve"> </w:t>
      </w:r>
      <w:r w:rsidR="00490D1B" w:rsidRPr="001558A5">
        <w:rPr>
          <w:lang w:val="en-US"/>
        </w:rPr>
        <w:t>pecuniary damage</w:t>
      </w:r>
      <w:r w:rsidR="00F047B0" w:rsidRPr="001558A5">
        <w:rPr>
          <w:lang w:val="en-US"/>
        </w:rPr>
        <w:t xml:space="preserve"> sup</w:t>
      </w:r>
      <w:r w:rsidRPr="001558A5">
        <w:rPr>
          <w:lang w:val="en-US"/>
        </w:rPr>
        <w:t>poses the loss of</w:t>
      </w:r>
      <w:r w:rsidR="002A7F80" w:rsidRPr="001558A5">
        <w:rPr>
          <w:lang w:val="en-US"/>
        </w:rPr>
        <w:t>,</w:t>
      </w:r>
      <w:r w:rsidRPr="001558A5">
        <w:rPr>
          <w:lang w:val="en-US"/>
        </w:rPr>
        <w:t xml:space="preserve"> or detriment to</w:t>
      </w:r>
      <w:r w:rsidR="002A7F80" w:rsidRPr="001558A5">
        <w:rPr>
          <w:lang w:val="en-US"/>
        </w:rPr>
        <w:t>,</w:t>
      </w:r>
      <w:r w:rsidRPr="001558A5">
        <w:rPr>
          <w:lang w:val="en-US"/>
        </w:rPr>
        <w:t xml:space="preserve"> the income of the victims, the expenses incurred as a result of the facts, and the consequences of a pecuniary nature that have a causal nexus with the facts of the case.</w:t>
      </w:r>
      <w:r w:rsidR="00F047B0" w:rsidRPr="001558A5">
        <w:rPr>
          <w:rStyle w:val="Refdenotaalpie"/>
          <w:lang w:val="en-US"/>
        </w:rPr>
        <w:footnoteReference w:id="187"/>
      </w:r>
    </w:p>
    <w:p w14:paraId="151E1F94" w14:textId="733F421A" w:rsidR="000C6BBA" w:rsidRPr="001558A5" w:rsidRDefault="00437874" w:rsidP="00945CE2">
      <w:pPr>
        <w:widowControl w:val="0"/>
        <w:numPr>
          <w:ilvl w:val="0"/>
          <w:numId w:val="2"/>
        </w:numPr>
        <w:spacing w:before="120" w:after="120"/>
        <w:ind w:left="0" w:firstLine="0"/>
        <w:rPr>
          <w:bCs/>
          <w:iCs/>
          <w:lang w:val="en-US"/>
        </w:rPr>
      </w:pPr>
      <w:bookmarkStart w:id="136" w:name="_Ref36825047"/>
      <w:r w:rsidRPr="001558A5">
        <w:rPr>
          <w:lang w:val="en-US"/>
        </w:rPr>
        <w:t xml:space="preserve">Based on the circumstances of this case, the Court finds its reasonable to order the State to pay compensation for </w:t>
      </w:r>
      <w:r w:rsidR="00490D1B" w:rsidRPr="001558A5">
        <w:rPr>
          <w:lang w:val="en-US"/>
        </w:rPr>
        <w:t>pecuniary damage</w:t>
      </w:r>
      <w:r w:rsidR="002F19D8" w:rsidRPr="001558A5">
        <w:rPr>
          <w:lang w:val="en-US"/>
        </w:rPr>
        <w:t xml:space="preserve"> </w:t>
      </w:r>
      <w:r w:rsidRPr="001558A5">
        <w:rPr>
          <w:lang w:val="en-US"/>
        </w:rPr>
        <w:t xml:space="preserve">owing to loss of earnings and consequential damage in </w:t>
      </w:r>
      <w:r w:rsidR="000C6BBA" w:rsidRPr="001558A5">
        <w:rPr>
          <w:lang w:val="en-US"/>
        </w:rPr>
        <w:t xml:space="preserve">favor </w:t>
      </w:r>
      <w:r w:rsidRPr="001558A5">
        <w:rPr>
          <w:lang w:val="en-US"/>
        </w:rPr>
        <w:t>of Vicky Hernández’s family</w:t>
      </w:r>
      <w:r w:rsidR="002F19D8" w:rsidRPr="001558A5">
        <w:rPr>
          <w:lang w:val="en-US"/>
        </w:rPr>
        <w:t xml:space="preserve">. </w:t>
      </w:r>
      <w:r w:rsidRPr="001558A5">
        <w:rPr>
          <w:lang w:val="en-US"/>
        </w:rPr>
        <w:t xml:space="preserve">Bearing in mind that the information provided by </w:t>
      </w:r>
      <w:r w:rsidR="00DD4354" w:rsidRPr="001558A5">
        <w:rPr>
          <w:lang w:val="en-US"/>
        </w:rPr>
        <w:t>the representatives</w:t>
      </w:r>
      <w:r w:rsidR="002F19D8" w:rsidRPr="001558A5">
        <w:rPr>
          <w:lang w:val="en-US"/>
        </w:rPr>
        <w:t xml:space="preserve"> </w:t>
      </w:r>
      <w:r w:rsidRPr="001558A5">
        <w:rPr>
          <w:lang w:val="en-US"/>
        </w:rPr>
        <w:t xml:space="preserve">does not allow the Court to establish with certainty the amount of the </w:t>
      </w:r>
      <w:r w:rsidR="00490D1B" w:rsidRPr="001558A5">
        <w:rPr>
          <w:lang w:val="en-US"/>
        </w:rPr>
        <w:t>damage</w:t>
      </w:r>
      <w:r w:rsidR="002F19D8" w:rsidRPr="001558A5">
        <w:rPr>
          <w:lang w:val="en-US"/>
        </w:rPr>
        <w:t xml:space="preserve"> caus</w:t>
      </w:r>
      <w:r w:rsidRPr="001558A5">
        <w:rPr>
          <w:lang w:val="en-US"/>
        </w:rPr>
        <w:t>ed by the facts examined in this case, the Court establishes, in equity, the amounts of US</w:t>
      </w:r>
      <w:r w:rsidR="002F19D8" w:rsidRPr="001558A5">
        <w:rPr>
          <w:lang w:val="en-US"/>
        </w:rPr>
        <w:t>$</w:t>
      </w:r>
      <w:r w:rsidR="000C6BBA" w:rsidRPr="001558A5">
        <w:rPr>
          <w:lang w:val="en-US"/>
        </w:rPr>
        <w:t>20</w:t>
      </w:r>
      <w:r w:rsidRPr="001558A5">
        <w:rPr>
          <w:lang w:val="en-US"/>
        </w:rPr>
        <w:t>,</w:t>
      </w:r>
      <w:r w:rsidR="002F19D8" w:rsidRPr="001558A5">
        <w:rPr>
          <w:lang w:val="en-US"/>
        </w:rPr>
        <w:t>000</w:t>
      </w:r>
      <w:r w:rsidR="002A7F80" w:rsidRPr="001558A5">
        <w:rPr>
          <w:lang w:val="en-US"/>
        </w:rPr>
        <w:t>.00</w:t>
      </w:r>
      <w:r w:rsidR="002F19D8" w:rsidRPr="001558A5">
        <w:rPr>
          <w:lang w:val="en-US"/>
        </w:rPr>
        <w:t xml:space="preserve"> (</w:t>
      </w:r>
      <w:r w:rsidRPr="001558A5">
        <w:rPr>
          <w:lang w:val="en-US"/>
        </w:rPr>
        <w:t>twenty</w:t>
      </w:r>
      <w:r w:rsidR="000C6BBA" w:rsidRPr="001558A5">
        <w:rPr>
          <w:lang w:val="en-US"/>
        </w:rPr>
        <w:t xml:space="preserve"> </w:t>
      </w:r>
      <w:r w:rsidRPr="001558A5">
        <w:rPr>
          <w:lang w:val="en-US"/>
        </w:rPr>
        <w:t>thousand United States dollars</w:t>
      </w:r>
      <w:r w:rsidR="002F19D8" w:rsidRPr="001558A5">
        <w:rPr>
          <w:lang w:val="en-US"/>
        </w:rPr>
        <w:t xml:space="preserve">) </w:t>
      </w:r>
      <w:r w:rsidRPr="001558A5">
        <w:rPr>
          <w:lang w:val="en-US"/>
        </w:rPr>
        <w:t>in favor of</w:t>
      </w:r>
      <w:r w:rsidR="002F19D8" w:rsidRPr="001558A5">
        <w:rPr>
          <w:lang w:val="en-US"/>
        </w:rPr>
        <w:t xml:space="preserve"> </w:t>
      </w:r>
      <w:r w:rsidR="000C6BBA" w:rsidRPr="001558A5">
        <w:rPr>
          <w:bCs/>
          <w:iCs/>
          <w:lang w:val="en-US"/>
        </w:rPr>
        <w:t xml:space="preserve">Rosa </w:t>
      </w:r>
      <w:proofErr w:type="spellStart"/>
      <w:r w:rsidR="000C6BBA" w:rsidRPr="001558A5">
        <w:rPr>
          <w:bCs/>
          <w:iCs/>
          <w:lang w:val="en-US"/>
        </w:rPr>
        <w:t>Argelia</w:t>
      </w:r>
      <w:proofErr w:type="spellEnd"/>
      <w:r w:rsidR="000C6BBA" w:rsidRPr="001558A5">
        <w:rPr>
          <w:bCs/>
          <w:iCs/>
          <w:lang w:val="en-US"/>
        </w:rPr>
        <w:t xml:space="preserve"> Hernández </w:t>
      </w:r>
      <w:proofErr w:type="spellStart"/>
      <w:r w:rsidR="000C6BBA" w:rsidRPr="001558A5">
        <w:rPr>
          <w:bCs/>
          <w:iCs/>
          <w:lang w:val="en-US"/>
        </w:rPr>
        <w:t>Martínez</w:t>
      </w:r>
      <w:proofErr w:type="spellEnd"/>
      <w:r w:rsidR="000C6BBA" w:rsidRPr="001558A5">
        <w:rPr>
          <w:bCs/>
          <w:iCs/>
          <w:lang w:val="en-US"/>
        </w:rPr>
        <w:t>,</w:t>
      </w:r>
      <w:r w:rsidR="00DD4354" w:rsidRPr="001558A5">
        <w:rPr>
          <w:lang w:val="en-US"/>
        </w:rPr>
        <w:t xml:space="preserve"> and </w:t>
      </w:r>
      <w:r w:rsidR="002F19D8" w:rsidRPr="001558A5">
        <w:rPr>
          <w:lang w:val="en-US"/>
        </w:rPr>
        <w:t>US$</w:t>
      </w:r>
      <w:r w:rsidR="000C6BBA" w:rsidRPr="001558A5">
        <w:rPr>
          <w:lang w:val="en-US"/>
        </w:rPr>
        <w:t>1</w:t>
      </w:r>
      <w:r w:rsidR="005B28C9" w:rsidRPr="001558A5">
        <w:rPr>
          <w:lang w:val="en-US"/>
        </w:rPr>
        <w:t>0,000</w:t>
      </w:r>
      <w:r w:rsidR="002A7F80" w:rsidRPr="001558A5">
        <w:rPr>
          <w:lang w:val="en-US"/>
        </w:rPr>
        <w:t>.00</w:t>
      </w:r>
      <w:r w:rsidR="002F19D8" w:rsidRPr="001558A5">
        <w:rPr>
          <w:lang w:val="en-US"/>
        </w:rPr>
        <w:t xml:space="preserve"> (</w:t>
      </w:r>
      <w:r w:rsidRPr="001558A5">
        <w:rPr>
          <w:lang w:val="en-US"/>
        </w:rPr>
        <w:t>ten</w:t>
      </w:r>
      <w:r w:rsidR="002F19D8" w:rsidRPr="001558A5">
        <w:rPr>
          <w:lang w:val="en-US"/>
        </w:rPr>
        <w:t xml:space="preserve"> </w:t>
      </w:r>
      <w:r w:rsidRPr="001558A5">
        <w:rPr>
          <w:lang w:val="en-US"/>
        </w:rPr>
        <w:t>thousand United States dollars</w:t>
      </w:r>
      <w:r w:rsidR="002F19D8" w:rsidRPr="001558A5">
        <w:rPr>
          <w:lang w:val="en-US"/>
        </w:rPr>
        <w:t xml:space="preserve">) </w:t>
      </w:r>
      <w:r w:rsidRPr="001558A5">
        <w:rPr>
          <w:lang w:val="en-US"/>
        </w:rPr>
        <w:t>in favor of</w:t>
      </w:r>
      <w:r w:rsidR="002F19D8" w:rsidRPr="001558A5">
        <w:rPr>
          <w:lang w:val="en-US"/>
        </w:rPr>
        <w:t xml:space="preserve"> </w:t>
      </w:r>
      <w:r w:rsidR="000C6BBA" w:rsidRPr="001558A5">
        <w:rPr>
          <w:lang w:val="en-US"/>
        </w:rPr>
        <w:t xml:space="preserve">Tatiana </w:t>
      </w:r>
      <w:proofErr w:type="spellStart"/>
      <w:r w:rsidR="000C6BBA" w:rsidRPr="001558A5">
        <w:rPr>
          <w:lang w:val="en-US"/>
        </w:rPr>
        <w:t>Rápalo</w:t>
      </w:r>
      <w:proofErr w:type="spellEnd"/>
      <w:r w:rsidR="000C6BBA" w:rsidRPr="001558A5">
        <w:rPr>
          <w:lang w:val="en-US"/>
        </w:rPr>
        <w:t xml:space="preserve"> Hernández</w:t>
      </w:r>
      <w:r w:rsidR="002F19D8" w:rsidRPr="001558A5">
        <w:rPr>
          <w:lang w:val="en-US"/>
        </w:rPr>
        <w:t>.</w:t>
      </w:r>
      <w:bookmarkEnd w:id="135"/>
      <w:bookmarkEnd w:id="136"/>
    </w:p>
    <w:p w14:paraId="0A326EC7" w14:textId="21DFA349" w:rsidR="002F19D8" w:rsidRPr="001558A5" w:rsidRDefault="00871DAF" w:rsidP="00945CE2">
      <w:pPr>
        <w:pStyle w:val="Ttulo3"/>
        <w:spacing w:before="240" w:after="240"/>
        <w:ind w:left="357" w:firstLine="709"/>
        <w:rPr>
          <w:b w:val="0"/>
          <w:snapToGrid w:val="0"/>
          <w:spacing w:val="-2"/>
          <w:szCs w:val="20"/>
          <w:lang w:val="en-US" w:eastAsia="es-ES"/>
        </w:rPr>
      </w:pPr>
      <w:bookmarkStart w:id="137" w:name="_Toc192593"/>
      <w:bookmarkStart w:id="138" w:name="_Toc32394192"/>
      <w:bookmarkStart w:id="139" w:name="_Toc36823515"/>
      <w:bookmarkStart w:id="140" w:name="_Toc73430077"/>
      <w:r w:rsidRPr="001558A5">
        <w:rPr>
          <w:b w:val="0"/>
          <w:snapToGrid w:val="0"/>
          <w:spacing w:val="-2"/>
          <w:szCs w:val="20"/>
          <w:lang w:val="en-US" w:eastAsia="es-ES"/>
        </w:rPr>
        <w:t>F</w:t>
      </w:r>
      <w:r w:rsidR="002F19D8" w:rsidRPr="001558A5">
        <w:rPr>
          <w:b w:val="0"/>
          <w:snapToGrid w:val="0"/>
          <w:spacing w:val="-2"/>
          <w:szCs w:val="20"/>
          <w:lang w:val="en-US" w:eastAsia="es-ES"/>
        </w:rPr>
        <w:t>.2</w:t>
      </w:r>
      <w:r w:rsidR="000C6BBA" w:rsidRPr="001558A5">
        <w:rPr>
          <w:b w:val="0"/>
          <w:snapToGrid w:val="0"/>
          <w:spacing w:val="-2"/>
          <w:szCs w:val="20"/>
          <w:lang w:val="en-US" w:eastAsia="es-ES"/>
        </w:rPr>
        <w:t>.</w:t>
      </w:r>
      <w:r w:rsidR="002F19D8" w:rsidRPr="001558A5">
        <w:rPr>
          <w:b w:val="0"/>
          <w:snapToGrid w:val="0"/>
          <w:spacing w:val="-2"/>
          <w:szCs w:val="20"/>
          <w:lang w:val="en-US" w:eastAsia="es-ES"/>
        </w:rPr>
        <w:t xml:space="preserve"> </w:t>
      </w:r>
      <w:r w:rsidR="00490D1B" w:rsidRPr="001558A5">
        <w:rPr>
          <w:b w:val="0"/>
          <w:snapToGrid w:val="0"/>
          <w:spacing w:val="-2"/>
          <w:szCs w:val="20"/>
          <w:lang w:val="en-US" w:eastAsia="es-ES"/>
        </w:rPr>
        <w:t>Non-pecuniary damage</w:t>
      </w:r>
      <w:bookmarkEnd w:id="137"/>
      <w:bookmarkEnd w:id="138"/>
      <w:bookmarkEnd w:id="139"/>
      <w:bookmarkEnd w:id="140"/>
    </w:p>
    <w:p w14:paraId="16F853F3" w14:textId="5EB3BD37" w:rsidR="002F19D8" w:rsidRPr="001558A5" w:rsidRDefault="00871E19" w:rsidP="00945CE2">
      <w:pPr>
        <w:widowControl w:val="0"/>
        <w:numPr>
          <w:ilvl w:val="0"/>
          <w:numId w:val="2"/>
        </w:numPr>
        <w:spacing w:before="120" w:after="120"/>
        <w:ind w:left="0" w:firstLine="0"/>
        <w:rPr>
          <w:rFonts w:eastAsiaTheme="minorHAnsi"/>
          <w:b/>
          <w:lang w:val="en-US"/>
        </w:rPr>
      </w:pPr>
      <w:r w:rsidRPr="001558A5">
        <w:rPr>
          <w:lang w:val="en-US"/>
        </w:rPr>
        <w:t xml:space="preserve">The </w:t>
      </w:r>
      <w:r w:rsidRPr="001558A5">
        <w:rPr>
          <w:b/>
          <w:bCs/>
          <w:i/>
          <w:iCs/>
          <w:lang w:val="en-US"/>
        </w:rPr>
        <w:t>Commission</w:t>
      </w:r>
      <w:r w:rsidR="002F19D8" w:rsidRPr="001558A5">
        <w:rPr>
          <w:b/>
          <w:i/>
          <w:lang w:val="en-US"/>
        </w:rPr>
        <w:t xml:space="preserve"> </w:t>
      </w:r>
      <w:r w:rsidR="00437874" w:rsidRPr="001558A5">
        <w:rPr>
          <w:lang w:val="en-US"/>
        </w:rPr>
        <w:t>required that the State provide full reparation for the non-pecuniary aspect of the human rights violations declared in its report</w:t>
      </w:r>
      <w:r w:rsidR="00830837" w:rsidRPr="001558A5">
        <w:rPr>
          <w:rFonts w:eastAsia="Times New Roman" w:cs="Tahoma"/>
          <w:szCs w:val="20"/>
          <w:lang w:val="en-US"/>
        </w:rPr>
        <w:t>.</w:t>
      </w:r>
      <w:r w:rsidR="00830837" w:rsidRPr="001558A5">
        <w:rPr>
          <w:lang w:val="en-US"/>
        </w:rPr>
        <w:t xml:space="preserve"> </w:t>
      </w:r>
    </w:p>
    <w:p w14:paraId="174340D2" w14:textId="42FA7B2D" w:rsidR="00F14F4E" w:rsidRPr="001558A5" w:rsidRDefault="00DD4354" w:rsidP="00945CE2">
      <w:pPr>
        <w:widowControl w:val="0"/>
        <w:numPr>
          <w:ilvl w:val="0"/>
          <w:numId w:val="2"/>
        </w:numPr>
        <w:spacing w:before="120" w:after="120"/>
        <w:ind w:left="0" w:firstLine="0"/>
        <w:rPr>
          <w:lang w:val="en-US"/>
        </w:rPr>
      </w:pPr>
      <w:r w:rsidRPr="001558A5">
        <w:rPr>
          <w:lang w:val="en-US"/>
        </w:rPr>
        <w:t xml:space="preserve">The </w:t>
      </w:r>
      <w:r w:rsidRPr="001558A5">
        <w:rPr>
          <w:b/>
          <w:bCs/>
          <w:i/>
          <w:iCs/>
          <w:lang w:val="en-US"/>
        </w:rPr>
        <w:t>representatives</w:t>
      </w:r>
      <w:r w:rsidR="001C7324" w:rsidRPr="001558A5">
        <w:rPr>
          <w:bCs/>
          <w:iCs/>
          <w:lang w:val="en-US"/>
        </w:rPr>
        <w:t xml:space="preserve"> </w:t>
      </w:r>
      <w:r w:rsidR="005B28C9" w:rsidRPr="001558A5">
        <w:rPr>
          <w:bCs/>
          <w:iCs/>
          <w:lang w:val="en-US"/>
        </w:rPr>
        <w:t xml:space="preserve">asked the Court to order the State of </w:t>
      </w:r>
      <w:r w:rsidR="001C7324" w:rsidRPr="001558A5">
        <w:rPr>
          <w:bCs/>
          <w:iCs/>
          <w:lang w:val="en-US"/>
        </w:rPr>
        <w:t>Honduras</w:t>
      </w:r>
      <w:r w:rsidR="005B28C9" w:rsidRPr="001558A5">
        <w:rPr>
          <w:bCs/>
          <w:iCs/>
          <w:lang w:val="en-US"/>
        </w:rPr>
        <w:t>, in order to make full reparation, to make the following compensation payments: (</w:t>
      </w:r>
      <w:r w:rsidR="00D166A0" w:rsidRPr="001558A5">
        <w:rPr>
          <w:bCs/>
          <w:iCs/>
          <w:lang w:val="en-US"/>
        </w:rPr>
        <w:t>a) US$200</w:t>
      </w:r>
      <w:r w:rsidR="005B28C9" w:rsidRPr="001558A5">
        <w:rPr>
          <w:bCs/>
          <w:iCs/>
          <w:lang w:val="en-US"/>
        </w:rPr>
        <w:t>,</w:t>
      </w:r>
      <w:r w:rsidR="00D166A0" w:rsidRPr="001558A5">
        <w:rPr>
          <w:bCs/>
          <w:iCs/>
          <w:lang w:val="en-US"/>
        </w:rPr>
        <w:t>000 (</w:t>
      </w:r>
      <w:r w:rsidR="005B28C9" w:rsidRPr="001558A5">
        <w:rPr>
          <w:bCs/>
          <w:iCs/>
          <w:lang w:val="en-US"/>
        </w:rPr>
        <w:t xml:space="preserve">two hundred </w:t>
      </w:r>
      <w:r w:rsidR="00437874" w:rsidRPr="001558A5">
        <w:rPr>
          <w:bCs/>
          <w:iCs/>
          <w:lang w:val="en-US"/>
        </w:rPr>
        <w:t>thousand United States dollars</w:t>
      </w:r>
      <w:r w:rsidR="00D166A0" w:rsidRPr="001558A5">
        <w:rPr>
          <w:bCs/>
          <w:iCs/>
          <w:lang w:val="en-US"/>
        </w:rPr>
        <w:t xml:space="preserve">) </w:t>
      </w:r>
      <w:r w:rsidR="005B28C9" w:rsidRPr="001558A5">
        <w:rPr>
          <w:bCs/>
          <w:iCs/>
          <w:lang w:val="en-US"/>
        </w:rPr>
        <w:t>in favor of</w:t>
      </w:r>
      <w:r w:rsidR="00D166A0" w:rsidRPr="001558A5">
        <w:rPr>
          <w:bCs/>
          <w:iCs/>
          <w:lang w:val="en-US"/>
        </w:rPr>
        <w:t xml:space="preserve"> Vicky Hernández, </w:t>
      </w:r>
      <w:r w:rsidR="005B28C9" w:rsidRPr="001558A5">
        <w:rPr>
          <w:bCs/>
          <w:iCs/>
          <w:lang w:val="en-US"/>
        </w:rPr>
        <w:t>to be delivered to her heirs in accordance with the inheritance laws in force</w:t>
      </w:r>
      <w:r w:rsidR="00D166A0" w:rsidRPr="001558A5">
        <w:rPr>
          <w:bCs/>
          <w:iCs/>
          <w:lang w:val="en-US"/>
        </w:rPr>
        <w:t xml:space="preserve"> </w:t>
      </w:r>
      <w:r w:rsidR="00215FEF" w:rsidRPr="001558A5">
        <w:rPr>
          <w:bCs/>
          <w:iCs/>
          <w:lang w:val="en-US"/>
        </w:rPr>
        <w:t>in Honduras</w:t>
      </w:r>
      <w:r w:rsidR="005B28C9" w:rsidRPr="001558A5">
        <w:rPr>
          <w:bCs/>
          <w:iCs/>
          <w:lang w:val="en-US"/>
        </w:rPr>
        <w:t>;</w:t>
      </w:r>
      <w:r w:rsidR="00D166A0" w:rsidRPr="001558A5">
        <w:rPr>
          <w:bCs/>
          <w:iCs/>
          <w:lang w:val="en-US"/>
        </w:rPr>
        <w:t xml:space="preserve"> </w:t>
      </w:r>
      <w:r w:rsidR="005B28C9" w:rsidRPr="001558A5">
        <w:rPr>
          <w:bCs/>
          <w:iCs/>
          <w:lang w:val="en-US"/>
        </w:rPr>
        <w:t>(</w:t>
      </w:r>
      <w:r w:rsidR="00D166A0" w:rsidRPr="001558A5">
        <w:rPr>
          <w:bCs/>
          <w:iCs/>
          <w:lang w:val="en-US"/>
        </w:rPr>
        <w:t xml:space="preserve">b) </w:t>
      </w:r>
      <w:r w:rsidR="005B28C9" w:rsidRPr="001558A5">
        <w:rPr>
          <w:bCs/>
          <w:iCs/>
          <w:lang w:val="en-US"/>
        </w:rPr>
        <w:t>US$</w:t>
      </w:r>
      <w:r w:rsidR="00D166A0" w:rsidRPr="001558A5">
        <w:rPr>
          <w:bCs/>
          <w:iCs/>
          <w:lang w:val="en-US"/>
        </w:rPr>
        <w:t>75</w:t>
      </w:r>
      <w:r w:rsidR="005B28C9" w:rsidRPr="001558A5">
        <w:rPr>
          <w:bCs/>
          <w:iCs/>
          <w:lang w:val="en-US"/>
        </w:rPr>
        <w:t>,</w:t>
      </w:r>
      <w:r w:rsidR="00D166A0" w:rsidRPr="001558A5">
        <w:rPr>
          <w:bCs/>
          <w:iCs/>
          <w:lang w:val="en-US"/>
        </w:rPr>
        <w:t>000 (</w:t>
      </w:r>
      <w:r w:rsidR="005B28C9" w:rsidRPr="001558A5">
        <w:rPr>
          <w:bCs/>
          <w:iCs/>
          <w:lang w:val="en-US"/>
        </w:rPr>
        <w:t xml:space="preserve">seventy-five </w:t>
      </w:r>
      <w:r w:rsidR="00437874" w:rsidRPr="001558A5">
        <w:rPr>
          <w:bCs/>
          <w:iCs/>
          <w:lang w:val="en-US"/>
        </w:rPr>
        <w:t>thousand United States dollars</w:t>
      </w:r>
      <w:r w:rsidR="00D166A0" w:rsidRPr="001558A5">
        <w:rPr>
          <w:bCs/>
          <w:iCs/>
          <w:lang w:val="en-US"/>
        </w:rPr>
        <w:t xml:space="preserve">) </w:t>
      </w:r>
      <w:r w:rsidR="005B28C9" w:rsidRPr="001558A5">
        <w:rPr>
          <w:bCs/>
          <w:iCs/>
          <w:lang w:val="en-US"/>
        </w:rPr>
        <w:t>in favor of</w:t>
      </w:r>
      <w:r w:rsidR="00D166A0" w:rsidRPr="001558A5">
        <w:rPr>
          <w:bCs/>
          <w:iCs/>
          <w:lang w:val="en-US"/>
        </w:rPr>
        <w:t xml:space="preserve"> Rosa </w:t>
      </w:r>
      <w:proofErr w:type="spellStart"/>
      <w:r w:rsidR="00D166A0" w:rsidRPr="001558A5">
        <w:rPr>
          <w:bCs/>
          <w:iCs/>
          <w:lang w:val="en-US"/>
        </w:rPr>
        <w:t>Argelia</w:t>
      </w:r>
      <w:proofErr w:type="spellEnd"/>
      <w:r w:rsidR="00D166A0" w:rsidRPr="001558A5">
        <w:rPr>
          <w:bCs/>
          <w:iCs/>
          <w:lang w:val="en-US"/>
        </w:rPr>
        <w:t xml:space="preserve"> Hernández </w:t>
      </w:r>
      <w:proofErr w:type="spellStart"/>
      <w:r w:rsidR="00D166A0" w:rsidRPr="001558A5">
        <w:rPr>
          <w:bCs/>
          <w:iCs/>
          <w:lang w:val="en-US"/>
        </w:rPr>
        <w:t>Martínez</w:t>
      </w:r>
      <w:proofErr w:type="spellEnd"/>
      <w:r w:rsidR="00D166A0" w:rsidRPr="001558A5">
        <w:rPr>
          <w:bCs/>
          <w:iCs/>
          <w:lang w:val="en-US"/>
        </w:rPr>
        <w:t>, Vicky Hernández</w:t>
      </w:r>
      <w:r w:rsidR="005B28C9" w:rsidRPr="001558A5">
        <w:rPr>
          <w:bCs/>
          <w:iCs/>
          <w:lang w:val="en-US"/>
        </w:rPr>
        <w:t>’s mother;</w:t>
      </w:r>
      <w:r w:rsidR="00D166A0" w:rsidRPr="001558A5">
        <w:rPr>
          <w:bCs/>
          <w:iCs/>
          <w:lang w:val="en-US"/>
        </w:rPr>
        <w:t xml:space="preserve"> </w:t>
      </w:r>
      <w:r w:rsidR="005B28C9" w:rsidRPr="001558A5">
        <w:rPr>
          <w:bCs/>
          <w:iCs/>
          <w:lang w:val="en-US"/>
        </w:rPr>
        <w:t>(</w:t>
      </w:r>
      <w:r w:rsidR="00D166A0" w:rsidRPr="001558A5">
        <w:rPr>
          <w:bCs/>
          <w:iCs/>
          <w:lang w:val="en-US"/>
        </w:rPr>
        <w:t xml:space="preserve">c) </w:t>
      </w:r>
      <w:r w:rsidR="005B28C9" w:rsidRPr="001558A5">
        <w:rPr>
          <w:bCs/>
          <w:iCs/>
          <w:lang w:val="en-US"/>
        </w:rPr>
        <w:t>US$</w:t>
      </w:r>
      <w:r w:rsidR="00D166A0" w:rsidRPr="001558A5">
        <w:rPr>
          <w:bCs/>
          <w:iCs/>
          <w:lang w:val="en-US"/>
        </w:rPr>
        <w:t>5</w:t>
      </w:r>
      <w:r w:rsidR="005B28C9" w:rsidRPr="001558A5">
        <w:rPr>
          <w:bCs/>
          <w:iCs/>
          <w:lang w:val="en-US"/>
        </w:rPr>
        <w:t>0,000</w:t>
      </w:r>
      <w:r w:rsidR="00D166A0" w:rsidRPr="001558A5">
        <w:rPr>
          <w:bCs/>
          <w:iCs/>
          <w:lang w:val="en-US"/>
        </w:rPr>
        <w:t xml:space="preserve"> (</w:t>
      </w:r>
      <w:r w:rsidR="005B28C9" w:rsidRPr="001558A5">
        <w:rPr>
          <w:bCs/>
          <w:iCs/>
          <w:lang w:val="en-US"/>
        </w:rPr>
        <w:t>fifty</w:t>
      </w:r>
      <w:r w:rsidR="00D166A0" w:rsidRPr="001558A5">
        <w:rPr>
          <w:bCs/>
          <w:iCs/>
          <w:lang w:val="en-US"/>
        </w:rPr>
        <w:t xml:space="preserve"> </w:t>
      </w:r>
      <w:r w:rsidR="00437874" w:rsidRPr="001558A5">
        <w:rPr>
          <w:bCs/>
          <w:iCs/>
          <w:lang w:val="en-US"/>
        </w:rPr>
        <w:t>thousand United States dollars</w:t>
      </w:r>
      <w:r w:rsidR="00D166A0" w:rsidRPr="001558A5">
        <w:rPr>
          <w:bCs/>
          <w:iCs/>
          <w:lang w:val="en-US"/>
        </w:rPr>
        <w:t xml:space="preserve">) </w:t>
      </w:r>
      <w:r w:rsidR="005B28C9" w:rsidRPr="001558A5">
        <w:rPr>
          <w:bCs/>
          <w:iCs/>
          <w:lang w:val="en-US"/>
        </w:rPr>
        <w:t>in favor of</w:t>
      </w:r>
      <w:r w:rsidR="00D166A0" w:rsidRPr="001558A5">
        <w:rPr>
          <w:bCs/>
          <w:iCs/>
          <w:lang w:val="en-US"/>
        </w:rPr>
        <w:t xml:space="preserve"> Tatiana </w:t>
      </w:r>
      <w:proofErr w:type="spellStart"/>
      <w:r w:rsidR="00D166A0" w:rsidRPr="001558A5">
        <w:rPr>
          <w:bCs/>
          <w:iCs/>
          <w:lang w:val="en-US"/>
        </w:rPr>
        <w:t>Rápalo</w:t>
      </w:r>
      <w:proofErr w:type="spellEnd"/>
      <w:r w:rsidR="00D166A0" w:rsidRPr="001558A5">
        <w:rPr>
          <w:bCs/>
          <w:iCs/>
          <w:lang w:val="en-US"/>
        </w:rPr>
        <w:t xml:space="preserve"> Hernández, Vicky Hernández</w:t>
      </w:r>
      <w:r w:rsidR="005B28C9" w:rsidRPr="001558A5">
        <w:rPr>
          <w:bCs/>
          <w:iCs/>
          <w:lang w:val="en-US"/>
        </w:rPr>
        <w:t>’s sister</w:t>
      </w:r>
      <w:r w:rsidR="00D166A0" w:rsidRPr="001558A5">
        <w:rPr>
          <w:bCs/>
          <w:iCs/>
          <w:lang w:val="en-US"/>
        </w:rPr>
        <w:t>,</w:t>
      </w:r>
      <w:r w:rsidRPr="001558A5">
        <w:rPr>
          <w:bCs/>
          <w:iCs/>
          <w:lang w:val="en-US"/>
        </w:rPr>
        <w:t xml:space="preserve"> and </w:t>
      </w:r>
      <w:r w:rsidR="005B28C9" w:rsidRPr="001558A5">
        <w:rPr>
          <w:bCs/>
          <w:iCs/>
          <w:lang w:val="en-US"/>
        </w:rPr>
        <w:t>(</w:t>
      </w:r>
      <w:r w:rsidR="00D166A0" w:rsidRPr="001558A5">
        <w:rPr>
          <w:bCs/>
          <w:iCs/>
          <w:lang w:val="en-US"/>
        </w:rPr>
        <w:t xml:space="preserve">d) </w:t>
      </w:r>
      <w:r w:rsidR="005B28C9" w:rsidRPr="001558A5">
        <w:rPr>
          <w:bCs/>
          <w:iCs/>
          <w:lang w:val="en-US"/>
        </w:rPr>
        <w:t>US$</w:t>
      </w:r>
      <w:r w:rsidR="00E65A38" w:rsidRPr="001558A5">
        <w:rPr>
          <w:bCs/>
          <w:iCs/>
          <w:lang w:val="en-US"/>
        </w:rPr>
        <w:t>5</w:t>
      </w:r>
      <w:r w:rsidR="005B28C9" w:rsidRPr="001558A5">
        <w:rPr>
          <w:bCs/>
          <w:iCs/>
          <w:lang w:val="en-US"/>
        </w:rPr>
        <w:t>0,000</w:t>
      </w:r>
      <w:r w:rsidR="00E65A38" w:rsidRPr="001558A5">
        <w:rPr>
          <w:bCs/>
          <w:iCs/>
          <w:lang w:val="en-US"/>
        </w:rPr>
        <w:t xml:space="preserve"> (</w:t>
      </w:r>
      <w:r w:rsidR="005B28C9" w:rsidRPr="001558A5">
        <w:rPr>
          <w:bCs/>
          <w:iCs/>
          <w:lang w:val="en-US"/>
        </w:rPr>
        <w:t>fifty</w:t>
      </w:r>
      <w:r w:rsidR="00E65A38" w:rsidRPr="001558A5">
        <w:rPr>
          <w:bCs/>
          <w:iCs/>
          <w:lang w:val="en-US"/>
        </w:rPr>
        <w:t xml:space="preserve"> </w:t>
      </w:r>
      <w:r w:rsidR="00437874" w:rsidRPr="001558A5">
        <w:rPr>
          <w:bCs/>
          <w:iCs/>
          <w:lang w:val="en-US"/>
        </w:rPr>
        <w:t>thousand United States dollars</w:t>
      </w:r>
      <w:r w:rsidR="00E65A38" w:rsidRPr="001558A5">
        <w:rPr>
          <w:bCs/>
          <w:iCs/>
          <w:lang w:val="en-US"/>
        </w:rPr>
        <w:t xml:space="preserve">) </w:t>
      </w:r>
      <w:r w:rsidR="005B28C9" w:rsidRPr="001558A5">
        <w:rPr>
          <w:bCs/>
          <w:iCs/>
          <w:lang w:val="en-US"/>
        </w:rPr>
        <w:t>in favor of</w:t>
      </w:r>
      <w:r w:rsidR="00E65A38" w:rsidRPr="001558A5">
        <w:rPr>
          <w:bCs/>
          <w:iCs/>
          <w:lang w:val="en-US"/>
        </w:rPr>
        <w:t xml:space="preserve"> </w:t>
      </w:r>
      <w:proofErr w:type="spellStart"/>
      <w:r w:rsidR="00E65A38" w:rsidRPr="001558A5">
        <w:rPr>
          <w:bCs/>
          <w:iCs/>
          <w:lang w:val="en-US"/>
        </w:rPr>
        <w:t>Argelia</w:t>
      </w:r>
      <w:proofErr w:type="spellEnd"/>
      <w:r w:rsidR="00E65A38" w:rsidRPr="001558A5">
        <w:rPr>
          <w:bCs/>
          <w:iCs/>
          <w:lang w:val="en-US"/>
        </w:rPr>
        <w:t xml:space="preserve"> Johana Reyes Ríos (</w:t>
      </w:r>
      <w:r w:rsidR="005B28C9" w:rsidRPr="001558A5">
        <w:rPr>
          <w:bCs/>
          <w:iCs/>
          <w:lang w:val="en-US"/>
        </w:rPr>
        <w:t>niece, a minor).</w:t>
      </w:r>
      <w:bookmarkStart w:id="141" w:name="_Ref536709858"/>
      <w:bookmarkStart w:id="142" w:name="_Ref33110642"/>
    </w:p>
    <w:p w14:paraId="6FA4DBC3" w14:textId="5CD3E6F7" w:rsidR="00F047B0" w:rsidRPr="001558A5" w:rsidRDefault="005B28C9" w:rsidP="00945CE2">
      <w:pPr>
        <w:widowControl w:val="0"/>
        <w:numPr>
          <w:ilvl w:val="0"/>
          <w:numId w:val="2"/>
        </w:numPr>
        <w:spacing w:before="120" w:after="120"/>
        <w:ind w:left="0" w:firstLine="0"/>
        <w:rPr>
          <w:lang w:val="en-US"/>
        </w:rPr>
      </w:pPr>
      <w:r w:rsidRPr="001558A5">
        <w:rPr>
          <w:lang w:val="en-US"/>
        </w:rPr>
        <w:t>In its case law, this Court has developed the concept of</w:t>
      </w:r>
      <w:r w:rsidR="00F047B0" w:rsidRPr="001558A5">
        <w:rPr>
          <w:lang w:val="en-US"/>
        </w:rPr>
        <w:t xml:space="preserve"> </w:t>
      </w:r>
      <w:r w:rsidR="00490D1B" w:rsidRPr="001558A5">
        <w:rPr>
          <w:lang w:val="en-US"/>
        </w:rPr>
        <w:t>non-pecuniary damage</w:t>
      </w:r>
      <w:r w:rsidR="00F047B0" w:rsidRPr="001558A5">
        <w:rPr>
          <w:lang w:val="en-US"/>
        </w:rPr>
        <w:t>,</w:t>
      </w:r>
      <w:r w:rsidR="00DD4354" w:rsidRPr="001558A5">
        <w:rPr>
          <w:lang w:val="en-US"/>
        </w:rPr>
        <w:t xml:space="preserve"> and </w:t>
      </w:r>
      <w:r w:rsidR="00F047B0" w:rsidRPr="001558A5">
        <w:rPr>
          <w:lang w:val="en-US"/>
        </w:rPr>
        <w:t>ha</w:t>
      </w:r>
      <w:r w:rsidRPr="001558A5">
        <w:rPr>
          <w:lang w:val="en-US"/>
        </w:rPr>
        <w:t>s established that this may include both the suffering and afflictions caused to the direct victim</w:t>
      </w:r>
      <w:r w:rsidR="002A7F80" w:rsidRPr="001558A5">
        <w:rPr>
          <w:lang w:val="en-US"/>
        </w:rPr>
        <w:t>s</w:t>
      </w:r>
      <w:r w:rsidRPr="001558A5">
        <w:rPr>
          <w:lang w:val="en-US"/>
        </w:rPr>
        <w:t xml:space="preserve"> and </w:t>
      </w:r>
      <w:r w:rsidR="002A7F80" w:rsidRPr="001558A5">
        <w:rPr>
          <w:lang w:val="en-US"/>
        </w:rPr>
        <w:t>their</w:t>
      </w:r>
      <w:r w:rsidRPr="001558A5">
        <w:rPr>
          <w:lang w:val="en-US"/>
        </w:rPr>
        <w:t xml:space="preserve"> direct family, and also the impairment of values of great significance for the individual, as well as alterations of a non-pecuniary nature in the living conditions of the victims or their families.</w:t>
      </w:r>
      <w:r w:rsidR="00F047B0" w:rsidRPr="001558A5">
        <w:rPr>
          <w:rStyle w:val="Refdenotaalpie"/>
          <w:lang w:val="en-US"/>
        </w:rPr>
        <w:footnoteReference w:id="188"/>
      </w:r>
      <w:r w:rsidR="00F047B0" w:rsidRPr="001558A5">
        <w:rPr>
          <w:lang w:val="en-US"/>
        </w:rPr>
        <w:t xml:space="preserve"> </w:t>
      </w:r>
    </w:p>
    <w:p w14:paraId="76FD81DF" w14:textId="282490CD" w:rsidR="00F047B0" w:rsidRPr="001558A5" w:rsidRDefault="005B28C9" w:rsidP="005B28C9">
      <w:pPr>
        <w:widowControl w:val="0"/>
        <w:numPr>
          <w:ilvl w:val="0"/>
          <w:numId w:val="2"/>
        </w:numPr>
        <w:spacing w:before="120" w:after="120"/>
        <w:ind w:left="0" w:firstLine="0"/>
        <w:rPr>
          <w:szCs w:val="20"/>
          <w:lang w:val="en-US"/>
        </w:rPr>
      </w:pPr>
      <w:r w:rsidRPr="001558A5">
        <w:rPr>
          <w:spacing w:val="-2"/>
          <w:szCs w:val="20"/>
          <w:lang w:val="en-US"/>
        </w:rPr>
        <w:t>Considering the circumstances of this case, the importance, nature and gravity of the violations committed, the sufferings caused to the victim and the members of her family, as well as the time that has elapsed since the facts occurred, the Court finds it appropriate to order the payment of compensation for non-pecuniary damage. Consequently, the Court establishes, in equity, that the State must grant, in equity, for non-pecuniary damage compensation of</w:t>
      </w:r>
      <w:r w:rsidRPr="001558A5">
        <w:rPr>
          <w:szCs w:val="20"/>
          <w:lang w:val="en-US"/>
        </w:rPr>
        <w:t xml:space="preserve"> </w:t>
      </w:r>
      <w:r w:rsidRPr="001558A5">
        <w:rPr>
          <w:spacing w:val="-2"/>
          <w:szCs w:val="20"/>
          <w:lang w:val="en-US"/>
        </w:rPr>
        <w:t>US$</w:t>
      </w:r>
      <w:r w:rsidR="00F047B0" w:rsidRPr="001558A5">
        <w:rPr>
          <w:spacing w:val="-2"/>
          <w:szCs w:val="20"/>
          <w:lang w:val="en-US"/>
        </w:rPr>
        <w:t>10</w:t>
      </w:r>
      <w:r w:rsidRPr="001558A5">
        <w:rPr>
          <w:spacing w:val="-2"/>
          <w:szCs w:val="20"/>
          <w:lang w:val="en-US"/>
        </w:rPr>
        <w:t>0,000</w:t>
      </w:r>
      <w:r w:rsidR="00F047B0" w:rsidRPr="001558A5">
        <w:rPr>
          <w:spacing w:val="-2"/>
          <w:szCs w:val="20"/>
          <w:lang w:val="en-US"/>
        </w:rPr>
        <w:t xml:space="preserve"> (</w:t>
      </w:r>
      <w:r w:rsidRPr="001558A5">
        <w:rPr>
          <w:spacing w:val="-2"/>
          <w:szCs w:val="20"/>
          <w:lang w:val="en-US"/>
        </w:rPr>
        <w:t>one hundred</w:t>
      </w:r>
      <w:r w:rsidR="00F047B0" w:rsidRPr="001558A5">
        <w:rPr>
          <w:spacing w:val="-2"/>
          <w:szCs w:val="20"/>
          <w:lang w:val="en-US"/>
        </w:rPr>
        <w:t xml:space="preserve"> </w:t>
      </w:r>
      <w:r w:rsidR="00437874" w:rsidRPr="001558A5">
        <w:rPr>
          <w:spacing w:val="-2"/>
          <w:szCs w:val="20"/>
          <w:lang w:val="en-US"/>
        </w:rPr>
        <w:t>thousand United States dollars</w:t>
      </w:r>
      <w:r w:rsidR="00F047B0" w:rsidRPr="001558A5">
        <w:rPr>
          <w:spacing w:val="-2"/>
          <w:szCs w:val="20"/>
          <w:lang w:val="en-US"/>
        </w:rPr>
        <w:t xml:space="preserve">) </w:t>
      </w:r>
      <w:r w:rsidRPr="001558A5">
        <w:rPr>
          <w:spacing w:val="-2"/>
          <w:szCs w:val="20"/>
          <w:lang w:val="en-US"/>
        </w:rPr>
        <w:t>in favor of</w:t>
      </w:r>
      <w:r w:rsidR="00020808" w:rsidRPr="001558A5">
        <w:rPr>
          <w:spacing w:val="-2"/>
          <w:szCs w:val="20"/>
          <w:lang w:val="en-US"/>
        </w:rPr>
        <w:t xml:space="preserve"> </w:t>
      </w:r>
      <w:r w:rsidR="00F047B0" w:rsidRPr="001558A5">
        <w:rPr>
          <w:spacing w:val="-2"/>
          <w:szCs w:val="20"/>
          <w:lang w:val="en-US"/>
        </w:rPr>
        <w:t xml:space="preserve">Vicky Hernández, </w:t>
      </w:r>
      <w:r w:rsidRPr="001558A5">
        <w:rPr>
          <w:bCs/>
          <w:iCs/>
          <w:lang w:val="en-US"/>
        </w:rPr>
        <w:t xml:space="preserve">to be delivered to her heirs in accordance with the inheritance laws in force in Honduras. Similarly, the State must pay, for the concept of </w:t>
      </w:r>
      <w:r w:rsidR="00490D1B" w:rsidRPr="001558A5">
        <w:rPr>
          <w:spacing w:val="-2"/>
          <w:szCs w:val="20"/>
          <w:lang w:val="en-US"/>
        </w:rPr>
        <w:t>non-pecuniary damage</w:t>
      </w:r>
      <w:r w:rsidR="00020808" w:rsidRPr="001558A5">
        <w:rPr>
          <w:spacing w:val="-2"/>
          <w:szCs w:val="20"/>
          <w:lang w:val="en-US"/>
        </w:rPr>
        <w:t>,</w:t>
      </w:r>
      <w:r w:rsidR="00F047B0" w:rsidRPr="001558A5">
        <w:rPr>
          <w:spacing w:val="-2"/>
          <w:szCs w:val="20"/>
          <w:lang w:val="en-US"/>
        </w:rPr>
        <w:t xml:space="preserve"> </w:t>
      </w:r>
      <w:r w:rsidRPr="001558A5">
        <w:rPr>
          <w:spacing w:val="-2"/>
          <w:szCs w:val="20"/>
          <w:lang w:val="en-US"/>
        </w:rPr>
        <w:t>the sum of</w:t>
      </w:r>
      <w:r w:rsidR="00F047B0" w:rsidRPr="001558A5">
        <w:rPr>
          <w:spacing w:val="-2"/>
          <w:szCs w:val="20"/>
          <w:lang w:val="en-US"/>
        </w:rPr>
        <w:t xml:space="preserve"> </w:t>
      </w:r>
      <w:r w:rsidRPr="001558A5">
        <w:rPr>
          <w:bCs/>
          <w:iCs/>
          <w:lang w:val="en-US"/>
        </w:rPr>
        <w:t>US$</w:t>
      </w:r>
      <w:r w:rsidR="00F047B0" w:rsidRPr="001558A5">
        <w:rPr>
          <w:bCs/>
          <w:iCs/>
          <w:lang w:val="en-US"/>
        </w:rPr>
        <w:t>5</w:t>
      </w:r>
      <w:r w:rsidRPr="001558A5">
        <w:rPr>
          <w:bCs/>
          <w:iCs/>
          <w:lang w:val="en-US"/>
        </w:rPr>
        <w:t>0,000</w:t>
      </w:r>
      <w:r w:rsidR="00F047B0" w:rsidRPr="001558A5">
        <w:rPr>
          <w:bCs/>
          <w:iCs/>
          <w:lang w:val="en-US"/>
        </w:rPr>
        <w:t xml:space="preserve"> (</w:t>
      </w:r>
      <w:r w:rsidRPr="001558A5">
        <w:rPr>
          <w:bCs/>
          <w:iCs/>
          <w:lang w:val="en-US"/>
        </w:rPr>
        <w:t>fifty</w:t>
      </w:r>
      <w:r w:rsidR="00F047B0" w:rsidRPr="001558A5">
        <w:rPr>
          <w:bCs/>
          <w:iCs/>
          <w:lang w:val="en-US"/>
        </w:rPr>
        <w:t xml:space="preserve"> </w:t>
      </w:r>
      <w:r w:rsidR="00437874" w:rsidRPr="001558A5">
        <w:rPr>
          <w:bCs/>
          <w:iCs/>
          <w:lang w:val="en-US"/>
        </w:rPr>
        <w:t>thousand United States dollars</w:t>
      </w:r>
      <w:r w:rsidR="00F047B0" w:rsidRPr="001558A5">
        <w:rPr>
          <w:bCs/>
          <w:iCs/>
          <w:lang w:val="en-US"/>
        </w:rPr>
        <w:t xml:space="preserve">) </w:t>
      </w:r>
      <w:r w:rsidRPr="001558A5">
        <w:rPr>
          <w:bCs/>
          <w:iCs/>
          <w:lang w:val="en-US"/>
        </w:rPr>
        <w:t>in favor of</w:t>
      </w:r>
      <w:r w:rsidR="00F047B0" w:rsidRPr="001558A5">
        <w:rPr>
          <w:bCs/>
          <w:iCs/>
          <w:lang w:val="en-US"/>
        </w:rPr>
        <w:t xml:space="preserve"> Rosa </w:t>
      </w:r>
      <w:proofErr w:type="spellStart"/>
      <w:r w:rsidR="00F047B0" w:rsidRPr="001558A5">
        <w:rPr>
          <w:bCs/>
          <w:iCs/>
          <w:lang w:val="en-US"/>
        </w:rPr>
        <w:t>Argelia</w:t>
      </w:r>
      <w:proofErr w:type="spellEnd"/>
      <w:r w:rsidR="00F047B0" w:rsidRPr="001558A5">
        <w:rPr>
          <w:bCs/>
          <w:iCs/>
          <w:lang w:val="en-US"/>
        </w:rPr>
        <w:t xml:space="preserve"> Hernández </w:t>
      </w:r>
      <w:proofErr w:type="spellStart"/>
      <w:r w:rsidR="00F047B0" w:rsidRPr="001558A5">
        <w:rPr>
          <w:bCs/>
          <w:iCs/>
          <w:lang w:val="en-US"/>
        </w:rPr>
        <w:t>Martínez</w:t>
      </w:r>
      <w:proofErr w:type="spellEnd"/>
      <w:r w:rsidR="00F047B0" w:rsidRPr="001558A5">
        <w:rPr>
          <w:bCs/>
          <w:iCs/>
          <w:lang w:val="en-US"/>
        </w:rPr>
        <w:t>, Vicky Hernández</w:t>
      </w:r>
      <w:r w:rsidRPr="001558A5">
        <w:rPr>
          <w:bCs/>
          <w:iCs/>
          <w:lang w:val="en-US"/>
        </w:rPr>
        <w:t>’s mother</w:t>
      </w:r>
      <w:r w:rsidR="00CC4A73" w:rsidRPr="001558A5">
        <w:rPr>
          <w:bCs/>
          <w:iCs/>
          <w:lang w:val="en-US"/>
        </w:rPr>
        <w:t>;</w:t>
      </w:r>
      <w:r w:rsidR="00F047B0" w:rsidRPr="001558A5">
        <w:rPr>
          <w:bCs/>
          <w:iCs/>
          <w:lang w:val="en-US"/>
        </w:rPr>
        <w:t xml:space="preserve"> US$</w:t>
      </w:r>
      <w:r w:rsidRPr="001558A5">
        <w:rPr>
          <w:bCs/>
          <w:iCs/>
          <w:lang w:val="en-US"/>
        </w:rPr>
        <w:t>30,000</w:t>
      </w:r>
      <w:r w:rsidR="00F047B0" w:rsidRPr="001558A5">
        <w:rPr>
          <w:bCs/>
          <w:iCs/>
          <w:lang w:val="en-US"/>
        </w:rPr>
        <w:t xml:space="preserve"> (t</w:t>
      </w:r>
      <w:r w:rsidRPr="001558A5">
        <w:rPr>
          <w:bCs/>
          <w:iCs/>
          <w:lang w:val="en-US"/>
        </w:rPr>
        <w:t>hirty</w:t>
      </w:r>
      <w:r w:rsidR="00F047B0" w:rsidRPr="001558A5">
        <w:rPr>
          <w:bCs/>
          <w:iCs/>
          <w:lang w:val="en-US"/>
        </w:rPr>
        <w:t xml:space="preserve"> </w:t>
      </w:r>
      <w:r w:rsidR="00437874" w:rsidRPr="001558A5">
        <w:rPr>
          <w:bCs/>
          <w:iCs/>
          <w:lang w:val="en-US"/>
        </w:rPr>
        <w:t>thousand United States dollars</w:t>
      </w:r>
      <w:r w:rsidR="00F047B0" w:rsidRPr="001558A5">
        <w:rPr>
          <w:bCs/>
          <w:iCs/>
          <w:lang w:val="en-US"/>
        </w:rPr>
        <w:t xml:space="preserve">) </w:t>
      </w:r>
      <w:r w:rsidRPr="001558A5">
        <w:rPr>
          <w:bCs/>
          <w:iCs/>
          <w:lang w:val="en-US"/>
        </w:rPr>
        <w:t>in favor of</w:t>
      </w:r>
      <w:r w:rsidR="00F047B0" w:rsidRPr="001558A5">
        <w:rPr>
          <w:bCs/>
          <w:iCs/>
          <w:lang w:val="en-US"/>
        </w:rPr>
        <w:t xml:space="preserve"> Tatiana </w:t>
      </w:r>
      <w:proofErr w:type="spellStart"/>
      <w:r w:rsidR="00F047B0" w:rsidRPr="001558A5">
        <w:rPr>
          <w:bCs/>
          <w:iCs/>
          <w:lang w:val="en-US"/>
        </w:rPr>
        <w:t>Rápalo</w:t>
      </w:r>
      <w:proofErr w:type="spellEnd"/>
      <w:r w:rsidR="00F047B0" w:rsidRPr="001558A5">
        <w:rPr>
          <w:bCs/>
          <w:iCs/>
          <w:lang w:val="en-US"/>
        </w:rPr>
        <w:t xml:space="preserve"> Hernández, Vicky Hernández</w:t>
      </w:r>
      <w:r w:rsidRPr="001558A5">
        <w:rPr>
          <w:bCs/>
          <w:iCs/>
          <w:lang w:val="en-US"/>
        </w:rPr>
        <w:t>’s sister</w:t>
      </w:r>
      <w:r w:rsidR="00F047B0" w:rsidRPr="001558A5">
        <w:rPr>
          <w:bCs/>
          <w:iCs/>
          <w:lang w:val="en-US"/>
        </w:rPr>
        <w:t>,</w:t>
      </w:r>
      <w:r w:rsidR="00DD4354" w:rsidRPr="001558A5">
        <w:rPr>
          <w:bCs/>
          <w:iCs/>
          <w:lang w:val="en-US"/>
        </w:rPr>
        <w:t xml:space="preserve"> and </w:t>
      </w:r>
      <w:r w:rsidRPr="001558A5">
        <w:rPr>
          <w:bCs/>
          <w:iCs/>
          <w:lang w:val="en-US"/>
        </w:rPr>
        <w:t>US$</w:t>
      </w:r>
      <w:r w:rsidR="00F047B0" w:rsidRPr="001558A5">
        <w:rPr>
          <w:bCs/>
          <w:iCs/>
          <w:lang w:val="en-US"/>
        </w:rPr>
        <w:t>2</w:t>
      </w:r>
      <w:r w:rsidRPr="001558A5">
        <w:rPr>
          <w:bCs/>
          <w:iCs/>
          <w:lang w:val="en-US"/>
        </w:rPr>
        <w:t>0,000</w:t>
      </w:r>
      <w:r w:rsidR="00F047B0" w:rsidRPr="001558A5">
        <w:rPr>
          <w:bCs/>
          <w:iCs/>
          <w:lang w:val="en-US"/>
        </w:rPr>
        <w:t xml:space="preserve"> (</w:t>
      </w:r>
      <w:r w:rsidRPr="001558A5">
        <w:rPr>
          <w:bCs/>
          <w:iCs/>
          <w:lang w:val="en-US"/>
        </w:rPr>
        <w:t>twenty</w:t>
      </w:r>
      <w:r w:rsidR="00F047B0" w:rsidRPr="001558A5">
        <w:rPr>
          <w:bCs/>
          <w:iCs/>
          <w:lang w:val="en-US"/>
        </w:rPr>
        <w:t xml:space="preserve"> </w:t>
      </w:r>
      <w:r w:rsidR="00437874" w:rsidRPr="001558A5">
        <w:rPr>
          <w:bCs/>
          <w:iCs/>
          <w:lang w:val="en-US"/>
        </w:rPr>
        <w:t>thousand United States dollars</w:t>
      </w:r>
      <w:r w:rsidR="00F047B0" w:rsidRPr="001558A5">
        <w:rPr>
          <w:bCs/>
          <w:iCs/>
          <w:lang w:val="en-US"/>
        </w:rPr>
        <w:t xml:space="preserve">) </w:t>
      </w:r>
      <w:r w:rsidRPr="001558A5">
        <w:rPr>
          <w:bCs/>
          <w:iCs/>
          <w:lang w:val="en-US"/>
        </w:rPr>
        <w:t>in favor of</w:t>
      </w:r>
      <w:r w:rsidR="00F047B0" w:rsidRPr="001558A5">
        <w:rPr>
          <w:bCs/>
          <w:iCs/>
          <w:lang w:val="en-US"/>
        </w:rPr>
        <w:t xml:space="preserve"> </w:t>
      </w:r>
      <w:proofErr w:type="spellStart"/>
      <w:r w:rsidR="00F047B0" w:rsidRPr="001558A5">
        <w:rPr>
          <w:bCs/>
          <w:iCs/>
          <w:lang w:val="en-US"/>
        </w:rPr>
        <w:t>Argelia</w:t>
      </w:r>
      <w:proofErr w:type="spellEnd"/>
      <w:r w:rsidR="00F047B0" w:rsidRPr="001558A5">
        <w:rPr>
          <w:bCs/>
          <w:iCs/>
          <w:lang w:val="en-US"/>
        </w:rPr>
        <w:t xml:space="preserve"> Johana Reyes Ríos, Vicky Hernández</w:t>
      </w:r>
      <w:r w:rsidRPr="001558A5">
        <w:rPr>
          <w:bCs/>
          <w:iCs/>
          <w:lang w:val="en-US"/>
        </w:rPr>
        <w:t>’s niece</w:t>
      </w:r>
      <w:r w:rsidR="00F047B0" w:rsidRPr="001558A5">
        <w:rPr>
          <w:bCs/>
          <w:iCs/>
          <w:lang w:val="en-US"/>
        </w:rPr>
        <w:t xml:space="preserve">. </w:t>
      </w:r>
    </w:p>
    <w:p w14:paraId="4DDDF877" w14:textId="4E4348E2" w:rsidR="00CE689C" w:rsidRPr="001558A5" w:rsidRDefault="005B28C9" w:rsidP="00D73713">
      <w:pPr>
        <w:widowControl w:val="0"/>
        <w:numPr>
          <w:ilvl w:val="0"/>
          <w:numId w:val="2"/>
        </w:numPr>
        <w:spacing w:before="120" w:after="120"/>
        <w:ind w:left="0" w:firstLine="0"/>
        <w:rPr>
          <w:szCs w:val="20"/>
          <w:lang w:val="en-US"/>
        </w:rPr>
      </w:pPr>
      <w:r w:rsidRPr="001558A5">
        <w:rPr>
          <w:rFonts w:eastAsiaTheme="minorHAnsi" w:cs="Times New Roman"/>
          <w:szCs w:val="20"/>
          <w:lang w:val="en-US"/>
        </w:rPr>
        <w:t>In the case of the compensation ordered in favor of</w:t>
      </w:r>
      <w:r w:rsidR="00D73713" w:rsidRPr="001558A5">
        <w:rPr>
          <w:rFonts w:eastAsiaTheme="minorHAnsi" w:cs="Times New Roman"/>
          <w:szCs w:val="20"/>
          <w:lang w:val="en-US"/>
        </w:rPr>
        <w:t xml:space="preserve"> </w:t>
      </w:r>
      <w:proofErr w:type="spellStart"/>
      <w:r w:rsidR="00D73713" w:rsidRPr="001558A5">
        <w:rPr>
          <w:rFonts w:eastAsiaTheme="minorHAnsi" w:cs="Times New Roman"/>
          <w:szCs w:val="20"/>
          <w:lang w:val="en-US"/>
        </w:rPr>
        <w:t>Argelia</w:t>
      </w:r>
      <w:proofErr w:type="spellEnd"/>
      <w:r w:rsidR="00D73713" w:rsidRPr="001558A5">
        <w:rPr>
          <w:rFonts w:eastAsiaTheme="minorHAnsi" w:cs="Times New Roman"/>
          <w:szCs w:val="20"/>
          <w:lang w:val="en-US"/>
        </w:rPr>
        <w:t xml:space="preserve"> Johana Reyes Ríos</w:t>
      </w:r>
      <w:r w:rsidR="00435896" w:rsidRPr="001558A5">
        <w:rPr>
          <w:rFonts w:eastAsiaTheme="minorHAnsi" w:cs="Times New Roman"/>
          <w:szCs w:val="20"/>
          <w:lang w:val="en-US"/>
        </w:rPr>
        <w:t>,</w:t>
      </w:r>
      <w:r w:rsidR="00D73713" w:rsidRPr="001558A5">
        <w:rPr>
          <w:rFonts w:eastAsiaTheme="minorHAnsi" w:cs="Times New Roman"/>
          <w:szCs w:val="20"/>
          <w:lang w:val="en-US"/>
        </w:rPr>
        <w:t xml:space="preserve"> </w:t>
      </w:r>
      <w:r w:rsidR="00DD4354" w:rsidRPr="001558A5">
        <w:rPr>
          <w:rFonts w:eastAsiaTheme="minorHAnsi" w:cs="Times New Roman"/>
          <w:szCs w:val="20"/>
          <w:lang w:val="en-US"/>
        </w:rPr>
        <w:t>the State</w:t>
      </w:r>
      <w:r w:rsidR="00D73713" w:rsidRPr="001558A5">
        <w:rPr>
          <w:rFonts w:eastAsiaTheme="minorHAnsi" w:cs="Times New Roman"/>
          <w:szCs w:val="20"/>
          <w:lang w:val="en-US"/>
        </w:rPr>
        <w:t xml:space="preserve"> </w:t>
      </w:r>
      <w:r w:rsidRPr="001558A5">
        <w:rPr>
          <w:rFonts w:eastAsiaTheme="minorHAnsi" w:cs="Times New Roman"/>
          <w:szCs w:val="20"/>
          <w:lang w:val="en-US"/>
        </w:rPr>
        <w:t xml:space="preserve">must deposit this in a solvent Honduran financial institution in United States dollars or in national currency. The investment must be made within one year, in the most favorable conditions permitted by banking law and practice, while the beneficiary is a minor. </w:t>
      </w:r>
      <w:r w:rsidR="00CE689C" w:rsidRPr="001558A5">
        <w:rPr>
          <w:rFonts w:eastAsiaTheme="minorHAnsi" w:cs="Times New Roman"/>
          <w:szCs w:val="20"/>
          <w:lang w:val="en-US"/>
        </w:rPr>
        <w:t>She may withdraw this sum when she comes of age or before this, if this is considered in the best interests of the child</w:t>
      </w:r>
      <w:r w:rsidR="002A7F80" w:rsidRPr="001558A5">
        <w:rPr>
          <w:rFonts w:eastAsiaTheme="minorHAnsi" w:cs="Times New Roman"/>
          <w:szCs w:val="20"/>
          <w:lang w:val="en-US"/>
        </w:rPr>
        <w:t xml:space="preserve"> as</w:t>
      </w:r>
      <w:r w:rsidR="00CE689C" w:rsidRPr="001558A5">
        <w:rPr>
          <w:rFonts w:eastAsiaTheme="minorHAnsi" w:cs="Times New Roman"/>
          <w:szCs w:val="20"/>
          <w:lang w:val="en-US"/>
        </w:rPr>
        <w:t xml:space="preserve"> established by a decision of a competent judicial authority. If the corresponding compensation is not claimed ten years after the child has come of age, the sum will be returned to the State with the interest accrued.</w:t>
      </w:r>
    </w:p>
    <w:p w14:paraId="2E78DAD0" w14:textId="6E5CE8DB" w:rsidR="00BB11E6" w:rsidRPr="001558A5" w:rsidRDefault="00CE689C" w:rsidP="00BB11E6">
      <w:pPr>
        <w:widowControl w:val="0"/>
        <w:numPr>
          <w:ilvl w:val="0"/>
          <w:numId w:val="2"/>
        </w:numPr>
        <w:spacing w:before="120" w:after="120"/>
        <w:ind w:left="0" w:firstLine="0"/>
        <w:rPr>
          <w:szCs w:val="20"/>
          <w:lang w:val="en-US"/>
        </w:rPr>
      </w:pPr>
      <w:r w:rsidRPr="001558A5">
        <w:rPr>
          <w:rFonts w:eastAsiaTheme="minorHAnsi" w:cs="Times New Roman"/>
          <w:szCs w:val="20"/>
          <w:lang w:val="en-US"/>
        </w:rPr>
        <w:t xml:space="preserve">The Court also establishes that the State must pay the sum of </w:t>
      </w:r>
      <w:r w:rsidR="005B28C9" w:rsidRPr="001558A5">
        <w:rPr>
          <w:lang w:val="en-US"/>
        </w:rPr>
        <w:t>US$</w:t>
      </w:r>
      <w:r w:rsidR="00BB11E6" w:rsidRPr="001558A5">
        <w:rPr>
          <w:lang w:val="en-US"/>
        </w:rPr>
        <w:t>18</w:t>
      </w:r>
      <w:r w:rsidRPr="001558A5">
        <w:rPr>
          <w:lang w:val="en-US"/>
        </w:rPr>
        <w:t>,</w:t>
      </w:r>
      <w:r w:rsidR="00BB11E6" w:rsidRPr="001558A5">
        <w:rPr>
          <w:lang w:val="en-US"/>
        </w:rPr>
        <w:t>000 (</w:t>
      </w:r>
      <w:r w:rsidRPr="001558A5">
        <w:rPr>
          <w:lang w:val="en-US"/>
        </w:rPr>
        <w:t>eighteen</w:t>
      </w:r>
      <w:r w:rsidR="00BB11E6" w:rsidRPr="001558A5">
        <w:rPr>
          <w:lang w:val="en-US"/>
        </w:rPr>
        <w:t xml:space="preserve"> </w:t>
      </w:r>
      <w:r w:rsidR="00437874" w:rsidRPr="001558A5">
        <w:rPr>
          <w:lang w:val="en-US"/>
        </w:rPr>
        <w:t>thousand United States dollars</w:t>
      </w:r>
      <w:r w:rsidR="00BB11E6" w:rsidRPr="001558A5">
        <w:rPr>
          <w:lang w:val="en-US"/>
        </w:rPr>
        <w:t xml:space="preserve">) </w:t>
      </w:r>
      <w:r w:rsidRPr="001558A5">
        <w:rPr>
          <w:rFonts w:cs="Verdana"/>
          <w:lang w:val="en-US"/>
        </w:rPr>
        <w:t>so that the members of</w:t>
      </w:r>
      <w:r w:rsidR="00BB11E6" w:rsidRPr="001558A5">
        <w:rPr>
          <w:rFonts w:cs="Verdana"/>
          <w:lang w:val="en-US"/>
        </w:rPr>
        <w:t xml:space="preserve"> Vicky Hernández</w:t>
      </w:r>
      <w:r w:rsidRPr="001558A5">
        <w:rPr>
          <w:rFonts w:cs="Verdana"/>
          <w:lang w:val="en-US"/>
        </w:rPr>
        <w:t xml:space="preserve">’s family can </w:t>
      </w:r>
      <w:r w:rsidR="00282CEE" w:rsidRPr="001558A5">
        <w:rPr>
          <w:rFonts w:cs="Verdana"/>
          <w:lang w:val="en-US"/>
        </w:rPr>
        <w:t>cover</w:t>
      </w:r>
      <w:r w:rsidRPr="001558A5">
        <w:rPr>
          <w:rFonts w:cs="Verdana"/>
          <w:lang w:val="en-US"/>
        </w:rPr>
        <w:t xml:space="preserve"> the costs of any necessary psychological treatment </w:t>
      </w:r>
      <w:r w:rsidR="00BB11E6" w:rsidRPr="001558A5">
        <w:rPr>
          <w:rFonts w:cs="Verdana"/>
          <w:lang w:val="en-US"/>
        </w:rPr>
        <w:t>(</w:t>
      </w:r>
      <w:r w:rsidR="00D267B5" w:rsidRPr="001558A5">
        <w:rPr>
          <w:rFonts w:cs="Verdana"/>
          <w:i/>
          <w:iCs/>
          <w:lang w:val="en-US"/>
        </w:rPr>
        <w:t>supra</w:t>
      </w:r>
      <w:r w:rsidR="00D267B5" w:rsidRPr="001558A5">
        <w:rPr>
          <w:rFonts w:cs="Verdana"/>
          <w:lang w:val="en-US"/>
        </w:rPr>
        <w:t xml:space="preserve"> </w:t>
      </w:r>
      <w:r w:rsidR="00B43A52" w:rsidRPr="001558A5">
        <w:rPr>
          <w:rFonts w:cs="Verdana"/>
          <w:lang w:val="en-US"/>
        </w:rPr>
        <w:t>para.</w:t>
      </w:r>
      <w:r w:rsidR="00BB11E6" w:rsidRPr="001558A5">
        <w:rPr>
          <w:rFonts w:cs="Verdana"/>
          <w:lang w:val="en-US"/>
        </w:rPr>
        <w:t xml:space="preserve"> </w:t>
      </w:r>
      <w:r w:rsidR="00D267B5" w:rsidRPr="001558A5">
        <w:rPr>
          <w:rFonts w:cs="Verdana"/>
          <w:lang w:val="en-US"/>
        </w:rPr>
        <w:t>166).</w:t>
      </w:r>
      <w:r w:rsidRPr="001558A5">
        <w:rPr>
          <w:rFonts w:cs="Verdana"/>
          <w:lang w:val="en-US"/>
        </w:rPr>
        <w:t xml:space="preserve"> This amount must be paid by the State without any conditions or need for it to be accounted for.</w:t>
      </w:r>
    </w:p>
    <w:p w14:paraId="7F4BDA30" w14:textId="1711E566" w:rsidR="002F19D8" w:rsidRPr="001558A5" w:rsidRDefault="00907FBD" w:rsidP="00945CE2">
      <w:pPr>
        <w:pStyle w:val="Ttulo2"/>
        <w:numPr>
          <w:ilvl w:val="0"/>
          <w:numId w:val="25"/>
        </w:numPr>
        <w:spacing w:before="240" w:after="240"/>
        <w:rPr>
          <w:rFonts w:ascii="Verdana" w:hAnsi="Verdana"/>
          <w:i/>
          <w:color w:val="auto"/>
          <w:sz w:val="20"/>
          <w:szCs w:val="20"/>
          <w:lang w:val="en-US"/>
        </w:rPr>
      </w:pPr>
      <w:bookmarkStart w:id="143" w:name="_Toc514063483"/>
      <w:bookmarkStart w:id="144" w:name="_Toc502891632"/>
      <w:bookmarkStart w:id="145" w:name="_Toc502885972"/>
      <w:bookmarkStart w:id="146" w:name="_Toc499146742"/>
      <w:bookmarkStart w:id="147" w:name="_Toc492646053"/>
      <w:bookmarkEnd w:id="141"/>
      <w:bookmarkEnd w:id="142"/>
      <w:r w:rsidRPr="001558A5">
        <w:rPr>
          <w:rFonts w:ascii="Verdana" w:hAnsi="Verdana"/>
          <w:i/>
          <w:color w:val="auto"/>
          <w:sz w:val="20"/>
          <w:szCs w:val="20"/>
          <w:lang w:val="en-US"/>
        </w:rPr>
        <w:t>Costs and expenses</w:t>
      </w:r>
    </w:p>
    <w:p w14:paraId="1BFE7254" w14:textId="457C5970" w:rsidR="002F19D8" w:rsidRPr="001558A5" w:rsidRDefault="00DD4354" w:rsidP="00945CE2">
      <w:pPr>
        <w:widowControl w:val="0"/>
        <w:numPr>
          <w:ilvl w:val="0"/>
          <w:numId w:val="2"/>
        </w:numPr>
        <w:spacing w:before="120" w:after="120"/>
        <w:ind w:left="0" w:firstLine="0"/>
        <w:rPr>
          <w:lang w:val="en-US"/>
        </w:rPr>
      </w:pPr>
      <w:r w:rsidRPr="001558A5">
        <w:rPr>
          <w:lang w:val="en-US"/>
        </w:rPr>
        <w:t xml:space="preserve">The </w:t>
      </w:r>
      <w:r w:rsidRPr="001558A5">
        <w:rPr>
          <w:b/>
          <w:bCs/>
          <w:i/>
          <w:iCs/>
          <w:lang w:val="en-US"/>
        </w:rPr>
        <w:t>representatives</w:t>
      </w:r>
      <w:r w:rsidR="000C6BBA" w:rsidRPr="001558A5">
        <w:rPr>
          <w:lang w:val="en-US"/>
        </w:rPr>
        <w:t xml:space="preserve"> </w:t>
      </w:r>
      <w:r w:rsidR="00CE689C" w:rsidRPr="001558A5">
        <w:rPr>
          <w:lang w:val="en-US"/>
        </w:rPr>
        <w:t>requested the reimbursement of</w:t>
      </w:r>
      <w:r w:rsidR="00D844FA" w:rsidRPr="001558A5">
        <w:rPr>
          <w:szCs w:val="20"/>
          <w:lang w:val="en-US"/>
        </w:rPr>
        <w:t xml:space="preserve">: </w:t>
      </w:r>
      <w:r w:rsidR="00CE689C" w:rsidRPr="001558A5">
        <w:rPr>
          <w:szCs w:val="20"/>
          <w:lang w:val="en-US"/>
        </w:rPr>
        <w:t>(</w:t>
      </w:r>
      <w:r w:rsidR="00D844FA" w:rsidRPr="001558A5">
        <w:rPr>
          <w:szCs w:val="20"/>
          <w:lang w:val="en-US"/>
        </w:rPr>
        <w:t xml:space="preserve">a) </w:t>
      </w:r>
      <w:r w:rsidR="00CE689C" w:rsidRPr="001558A5">
        <w:rPr>
          <w:szCs w:val="20"/>
          <w:lang w:val="en-US"/>
        </w:rPr>
        <w:t>the expenses incurred by the</w:t>
      </w:r>
      <w:r w:rsidR="009F0931" w:rsidRPr="001558A5">
        <w:rPr>
          <w:szCs w:val="20"/>
          <w:lang w:val="en-US"/>
        </w:rPr>
        <w:t xml:space="preserve"> </w:t>
      </w:r>
      <w:r w:rsidR="009F0931" w:rsidRPr="001558A5">
        <w:rPr>
          <w:color w:val="000000" w:themeColor="text1"/>
          <w:szCs w:val="20"/>
          <w:lang w:val="en-US"/>
        </w:rPr>
        <w:t xml:space="preserve">Red </w:t>
      </w:r>
      <w:proofErr w:type="spellStart"/>
      <w:r w:rsidR="009F0931" w:rsidRPr="001558A5">
        <w:rPr>
          <w:color w:val="000000" w:themeColor="text1"/>
          <w:szCs w:val="20"/>
          <w:lang w:val="en-US"/>
        </w:rPr>
        <w:t>Lésbica</w:t>
      </w:r>
      <w:proofErr w:type="spellEnd"/>
      <w:r w:rsidR="00D844FA" w:rsidRPr="001558A5">
        <w:rPr>
          <w:szCs w:val="20"/>
          <w:lang w:val="en-US"/>
        </w:rPr>
        <w:t xml:space="preserve"> “</w:t>
      </w:r>
      <w:proofErr w:type="spellStart"/>
      <w:r w:rsidR="00D844FA" w:rsidRPr="001558A5">
        <w:rPr>
          <w:szCs w:val="20"/>
          <w:lang w:val="en-US"/>
        </w:rPr>
        <w:t>Cattrachas</w:t>
      </w:r>
      <w:proofErr w:type="spellEnd"/>
      <w:r w:rsidR="009F0931" w:rsidRPr="001558A5">
        <w:rPr>
          <w:szCs w:val="20"/>
          <w:lang w:val="en-US"/>
        </w:rPr>
        <w:t>,</w:t>
      </w:r>
      <w:r w:rsidR="00D844FA" w:rsidRPr="001558A5">
        <w:rPr>
          <w:szCs w:val="20"/>
          <w:lang w:val="en-US"/>
        </w:rPr>
        <w:t>”</w:t>
      </w:r>
      <w:r w:rsidR="00D844FA" w:rsidRPr="001558A5">
        <w:rPr>
          <w:rStyle w:val="Refdenotaalpie"/>
          <w:lang w:val="en-US"/>
        </w:rPr>
        <w:footnoteReference w:id="189"/>
      </w:r>
      <w:r w:rsidRPr="001558A5">
        <w:rPr>
          <w:szCs w:val="20"/>
          <w:lang w:val="en-US"/>
        </w:rPr>
        <w:t xml:space="preserve"> and </w:t>
      </w:r>
      <w:r w:rsidR="00CE689C" w:rsidRPr="001558A5">
        <w:rPr>
          <w:szCs w:val="20"/>
          <w:lang w:val="en-US"/>
        </w:rPr>
        <w:t>(</w:t>
      </w:r>
      <w:r w:rsidR="00D844FA" w:rsidRPr="001558A5">
        <w:rPr>
          <w:szCs w:val="20"/>
          <w:lang w:val="en-US"/>
        </w:rPr>
        <w:t xml:space="preserve">b) </w:t>
      </w:r>
      <w:r w:rsidR="00CE689C" w:rsidRPr="001558A5">
        <w:rPr>
          <w:szCs w:val="20"/>
          <w:lang w:val="en-US"/>
        </w:rPr>
        <w:t xml:space="preserve">the expenses incurred by </w:t>
      </w:r>
      <w:r w:rsidR="00D844FA" w:rsidRPr="001558A5">
        <w:rPr>
          <w:szCs w:val="20"/>
          <w:lang w:val="en-US"/>
        </w:rPr>
        <w:t>Robert F. Kennedy Human Rights</w:t>
      </w:r>
      <w:r w:rsidR="00CE689C" w:rsidRPr="001558A5">
        <w:rPr>
          <w:szCs w:val="20"/>
          <w:lang w:val="en-US"/>
        </w:rPr>
        <w:t>.</w:t>
      </w:r>
      <w:r w:rsidR="00D844FA" w:rsidRPr="001558A5">
        <w:rPr>
          <w:rStyle w:val="Refdenotaalpie"/>
          <w:lang w:val="en-US"/>
        </w:rPr>
        <w:footnoteReference w:id="190"/>
      </w:r>
      <w:r w:rsidR="00D844FA" w:rsidRPr="001558A5">
        <w:rPr>
          <w:szCs w:val="20"/>
          <w:lang w:val="en-US"/>
        </w:rPr>
        <w:t xml:space="preserve"> </w:t>
      </w:r>
    </w:p>
    <w:p w14:paraId="64DD1F6F" w14:textId="3FCE4AC7" w:rsidR="002F19D8" w:rsidRPr="001558A5" w:rsidRDefault="00871E19" w:rsidP="00F54702">
      <w:pPr>
        <w:widowControl w:val="0"/>
        <w:numPr>
          <w:ilvl w:val="0"/>
          <w:numId w:val="2"/>
        </w:numPr>
        <w:spacing w:before="120" w:after="120"/>
        <w:ind w:left="0" w:firstLine="0"/>
        <w:rPr>
          <w:lang w:val="en-US"/>
        </w:rPr>
      </w:pPr>
      <w:bookmarkStart w:id="148" w:name="_Ref532988410"/>
      <w:r w:rsidRPr="001558A5">
        <w:rPr>
          <w:lang w:val="en-US"/>
        </w:rPr>
        <w:t>The Court</w:t>
      </w:r>
      <w:r w:rsidR="002F19D8" w:rsidRPr="001558A5">
        <w:rPr>
          <w:lang w:val="en-US"/>
        </w:rPr>
        <w:t xml:space="preserve"> </w:t>
      </w:r>
      <w:r w:rsidR="00F54702" w:rsidRPr="001558A5">
        <w:rPr>
          <w:lang w:val="en-US"/>
        </w:rPr>
        <w:t>recalls that, based on its case law, costs and expenses form part of the concept of reparation, because the activities deployed by the victims in order to obtain justice at both the national and the international level entail disbursements that must be compensated when the international responsibility of the State has been declared in a judgment convicting it. Regarding the reimbursement of costs and expenses, it is incumbent on the Court to make a prudent assessment of their scope, which includes the expenses incurred before the authorities of the domestic jurisdiction and also those generated during the proceedings before the inter-American system, taking into account the circumstances of the specific case and the nature of the international jurisdiction for the protection of human rights. This assessment can be made based on the equity principle and taking into account the expenses</w:t>
      </w:r>
      <w:r w:rsidR="00E135CD" w:rsidRPr="001558A5">
        <w:rPr>
          <w:lang w:val="en-US"/>
        </w:rPr>
        <w:t xml:space="preserve"> indicated by the parties, provided their </w:t>
      </w:r>
      <w:r w:rsidR="002F19D8" w:rsidRPr="001558A5">
        <w:rPr>
          <w:rFonts w:cs="Verdana"/>
          <w:i/>
          <w:iCs/>
          <w:lang w:val="en-US"/>
        </w:rPr>
        <w:t>quantum</w:t>
      </w:r>
      <w:r w:rsidR="002F19D8" w:rsidRPr="001558A5">
        <w:rPr>
          <w:rFonts w:cs="Verdana"/>
          <w:iCs/>
          <w:lang w:val="en-US"/>
        </w:rPr>
        <w:t xml:space="preserve"> </w:t>
      </w:r>
      <w:r w:rsidR="00E135CD" w:rsidRPr="001558A5">
        <w:rPr>
          <w:rFonts w:cs="Verdana"/>
          <w:lang w:val="en-US"/>
        </w:rPr>
        <w:t>is reasonable.</w:t>
      </w:r>
      <w:r w:rsidR="00C909B0" w:rsidRPr="001558A5">
        <w:rPr>
          <w:vertAlign w:val="superscript"/>
          <w:lang w:val="en-US"/>
        </w:rPr>
        <w:footnoteReference w:id="191"/>
      </w:r>
      <w:bookmarkEnd w:id="148"/>
    </w:p>
    <w:p w14:paraId="120BD81E" w14:textId="1CE61CDD" w:rsidR="002F19D8" w:rsidRPr="001558A5" w:rsidRDefault="00E135CD" w:rsidP="00945CE2">
      <w:pPr>
        <w:widowControl w:val="0"/>
        <w:numPr>
          <w:ilvl w:val="0"/>
          <w:numId w:val="2"/>
        </w:numPr>
        <w:spacing w:before="120" w:after="120"/>
        <w:ind w:left="0" w:firstLine="0"/>
        <w:rPr>
          <w:lang w:val="en-US"/>
        </w:rPr>
      </w:pPr>
      <w:r w:rsidRPr="001558A5">
        <w:rPr>
          <w:lang w:val="en-US"/>
        </w:rPr>
        <w:t xml:space="preserve">This Court has indicated that “the claims of the victims or their representatives for </w:t>
      </w:r>
      <w:r w:rsidR="00907FBD" w:rsidRPr="001558A5">
        <w:rPr>
          <w:lang w:val="en-US"/>
        </w:rPr>
        <w:t>costs and expenses</w:t>
      </w:r>
      <w:r w:rsidR="002F19D8" w:rsidRPr="001558A5">
        <w:rPr>
          <w:lang w:val="en-US"/>
        </w:rPr>
        <w:t>,</w:t>
      </w:r>
      <w:r w:rsidR="00DD4354" w:rsidRPr="001558A5">
        <w:rPr>
          <w:lang w:val="en-US"/>
        </w:rPr>
        <w:t xml:space="preserve"> and</w:t>
      </w:r>
      <w:r w:rsidRPr="001558A5">
        <w:rPr>
          <w:lang w:val="en-US"/>
        </w:rPr>
        <w:t xml:space="preserve"> the evidence that supports the</w:t>
      </w:r>
      <w:r w:rsidR="000579A0" w:rsidRPr="001558A5">
        <w:rPr>
          <w:lang w:val="en-US"/>
        </w:rPr>
        <w:t>se</w:t>
      </w:r>
      <w:r w:rsidRPr="001558A5">
        <w:rPr>
          <w:lang w:val="en-US"/>
        </w:rPr>
        <w:t xml:space="preserve">, must be presented to the Court at the first procedural moment granted them; that is, in the </w:t>
      </w:r>
      <w:r w:rsidR="00E17DFF" w:rsidRPr="001558A5">
        <w:rPr>
          <w:lang w:val="en-US"/>
        </w:rPr>
        <w:t>pleadings and motions brief</w:t>
      </w:r>
      <w:r w:rsidR="002F19D8" w:rsidRPr="001558A5">
        <w:rPr>
          <w:lang w:val="en-US"/>
        </w:rPr>
        <w:t xml:space="preserve">, </w:t>
      </w:r>
      <w:r w:rsidRPr="001558A5">
        <w:rPr>
          <w:lang w:val="en-US"/>
        </w:rPr>
        <w:t xml:space="preserve">without prejudice to such claims being updated subsequently, in keeping with the new </w:t>
      </w:r>
      <w:r w:rsidR="00907FBD" w:rsidRPr="001558A5">
        <w:rPr>
          <w:lang w:val="en-US"/>
        </w:rPr>
        <w:t>costs and expenses</w:t>
      </w:r>
      <w:r w:rsidR="002F19D8" w:rsidRPr="001558A5">
        <w:rPr>
          <w:lang w:val="en-US"/>
        </w:rPr>
        <w:t xml:space="preserve"> </w:t>
      </w:r>
      <w:r w:rsidRPr="001558A5">
        <w:rPr>
          <w:lang w:val="en-US"/>
        </w:rPr>
        <w:t>incurred owing to the proceedings before this Court.</w:t>
      </w:r>
      <w:r w:rsidR="002F19D8" w:rsidRPr="001558A5">
        <w:rPr>
          <w:lang w:val="en-US"/>
        </w:rPr>
        <w:t>”</w:t>
      </w:r>
      <w:r w:rsidR="002F19D8" w:rsidRPr="001558A5">
        <w:rPr>
          <w:vertAlign w:val="superscript"/>
          <w:lang w:val="en-US"/>
        </w:rPr>
        <w:footnoteReference w:id="192"/>
      </w:r>
      <w:r w:rsidRPr="001558A5">
        <w:rPr>
          <w:lang w:val="en-US"/>
        </w:rPr>
        <w:t xml:space="preserve"> Furthermore, the Court reiterates that is not sufficient merely to forward probative documents; rather, the parties must include arguments that relate</w:t>
      </w:r>
      <w:r w:rsidR="002F19D8" w:rsidRPr="001558A5">
        <w:rPr>
          <w:lang w:val="en-US"/>
        </w:rPr>
        <w:t xml:space="preserve"> </w:t>
      </w:r>
      <w:r w:rsidRPr="001558A5">
        <w:rPr>
          <w:lang w:val="en-US"/>
        </w:rPr>
        <w:t>the evidence to the fact that it is considered to represent and, in the case of alleged financial disbursements, the items and their justification must be clearly established.</w:t>
      </w:r>
      <w:r w:rsidR="002F19D8" w:rsidRPr="001558A5">
        <w:rPr>
          <w:vertAlign w:val="superscript"/>
          <w:lang w:val="en-US"/>
        </w:rPr>
        <w:footnoteReference w:id="193"/>
      </w:r>
      <w:bookmarkStart w:id="149" w:name="_Ref33110670"/>
      <w:bookmarkStart w:id="150" w:name="_Toc526152732"/>
      <w:bookmarkStart w:id="151" w:name="_Toc32394195"/>
      <w:bookmarkStart w:id="152" w:name="_Toc192595"/>
    </w:p>
    <w:p w14:paraId="6B6EB4DD" w14:textId="3376D63F" w:rsidR="002F19D8" w:rsidRPr="001558A5" w:rsidRDefault="002F19D8" w:rsidP="00945CE2">
      <w:pPr>
        <w:widowControl w:val="0"/>
        <w:numPr>
          <w:ilvl w:val="0"/>
          <w:numId w:val="2"/>
        </w:numPr>
        <w:spacing w:before="120" w:after="120"/>
        <w:ind w:left="0" w:firstLine="0"/>
        <w:rPr>
          <w:lang w:val="en-US"/>
        </w:rPr>
      </w:pPr>
      <w:bookmarkStart w:id="153" w:name="_Ref36651082"/>
      <w:r w:rsidRPr="001558A5">
        <w:rPr>
          <w:lang w:val="en-US"/>
        </w:rPr>
        <w:t>T</w:t>
      </w:r>
      <w:r w:rsidR="00E135CD" w:rsidRPr="001558A5">
        <w:rPr>
          <w:lang w:val="en-US"/>
        </w:rPr>
        <w:t>aking into account the amount requested for each organization and the expense vouchers presented, the Court decides to establish, in equity, the payment o</w:t>
      </w:r>
      <w:r w:rsidR="00282CEE" w:rsidRPr="001558A5">
        <w:rPr>
          <w:lang w:val="en-US"/>
        </w:rPr>
        <w:t>f</w:t>
      </w:r>
      <w:r w:rsidRPr="001558A5">
        <w:rPr>
          <w:lang w:val="en-US"/>
        </w:rPr>
        <w:t xml:space="preserve">: </w:t>
      </w:r>
      <w:r w:rsidR="005B28C9" w:rsidRPr="001558A5">
        <w:rPr>
          <w:lang w:val="en-US"/>
        </w:rPr>
        <w:t>US$</w:t>
      </w:r>
      <w:r w:rsidR="00726B7A" w:rsidRPr="001558A5">
        <w:rPr>
          <w:lang w:val="en-US"/>
        </w:rPr>
        <w:t>3</w:t>
      </w:r>
      <w:r w:rsidR="005B28C9" w:rsidRPr="001558A5">
        <w:rPr>
          <w:lang w:val="en-US"/>
        </w:rPr>
        <w:t>0,000</w:t>
      </w:r>
      <w:r w:rsidRPr="001558A5">
        <w:rPr>
          <w:lang w:val="en-US"/>
        </w:rPr>
        <w:t xml:space="preserve"> (</w:t>
      </w:r>
      <w:r w:rsidR="00E135CD" w:rsidRPr="001558A5">
        <w:rPr>
          <w:lang w:val="en-US"/>
        </w:rPr>
        <w:t>thirty</w:t>
      </w:r>
      <w:r w:rsidRPr="001558A5">
        <w:rPr>
          <w:lang w:val="en-US"/>
        </w:rPr>
        <w:t xml:space="preserve"> </w:t>
      </w:r>
      <w:r w:rsidR="00437874" w:rsidRPr="001558A5">
        <w:rPr>
          <w:lang w:val="en-US"/>
        </w:rPr>
        <w:t>thousand United States dollars</w:t>
      </w:r>
      <w:r w:rsidRPr="001558A5">
        <w:rPr>
          <w:lang w:val="en-US"/>
        </w:rPr>
        <w:t xml:space="preserve">) </w:t>
      </w:r>
      <w:r w:rsidR="00E135CD" w:rsidRPr="001558A5">
        <w:rPr>
          <w:lang w:val="en-US"/>
        </w:rPr>
        <w:t>for</w:t>
      </w:r>
      <w:r w:rsidRPr="001558A5">
        <w:rPr>
          <w:lang w:val="en-US"/>
        </w:rPr>
        <w:t xml:space="preserve"> </w:t>
      </w:r>
      <w:r w:rsidR="00907FBD" w:rsidRPr="001558A5">
        <w:rPr>
          <w:lang w:val="en-US"/>
        </w:rPr>
        <w:t>costs and expenses</w:t>
      </w:r>
      <w:r w:rsidRPr="001558A5">
        <w:rPr>
          <w:lang w:val="en-US"/>
        </w:rPr>
        <w:t xml:space="preserve"> </w:t>
      </w:r>
      <w:r w:rsidR="005B28C9" w:rsidRPr="001558A5">
        <w:rPr>
          <w:lang w:val="en-US"/>
        </w:rPr>
        <w:t>in favor of</w:t>
      </w:r>
      <w:r w:rsidRPr="001558A5">
        <w:rPr>
          <w:lang w:val="en-US"/>
        </w:rPr>
        <w:t xml:space="preserve"> </w:t>
      </w:r>
      <w:r w:rsidR="00E135CD" w:rsidRPr="001558A5">
        <w:rPr>
          <w:lang w:val="en-US"/>
        </w:rPr>
        <w:t xml:space="preserve">the </w:t>
      </w:r>
      <w:r w:rsidR="005671AB" w:rsidRPr="001558A5">
        <w:rPr>
          <w:lang w:val="en-US"/>
        </w:rPr>
        <w:t xml:space="preserve">Red </w:t>
      </w:r>
      <w:proofErr w:type="spellStart"/>
      <w:r w:rsidR="005671AB" w:rsidRPr="001558A5">
        <w:rPr>
          <w:lang w:val="en-US"/>
        </w:rPr>
        <w:t>Lésbica</w:t>
      </w:r>
      <w:proofErr w:type="spellEnd"/>
      <w:r w:rsidR="005671AB" w:rsidRPr="001558A5">
        <w:rPr>
          <w:lang w:val="en-US"/>
        </w:rPr>
        <w:t xml:space="preserve"> “</w:t>
      </w:r>
      <w:proofErr w:type="spellStart"/>
      <w:r w:rsidR="005671AB" w:rsidRPr="001558A5">
        <w:rPr>
          <w:lang w:val="en-US"/>
        </w:rPr>
        <w:t>Cattrachas</w:t>
      </w:r>
      <w:proofErr w:type="spellEnd"/>
      <w:r w:rsidR="00E135CD" w:rsidRPr="001558A5">
        <w:rPr>
          <w:lang w:val="en-US"/>
        </w:rPr>
        <w:t>,</w:t>
      </w:r>
      <w:r w:rsidR="005671AB" w:rsidRPr="001558A5">
        <w:rPr>
          <w:lang w:val="en-US"/>
        </w:rPr>
        <w:t>”</w:t>
      </w:r>
      <w:r w:rsidR="00DD4354" w:rsidRPr="001558A5">
        <w:rPr>
          <w:lang w:val="en-US"/>
        </w:rPr>
        <w:t xml:space="preserve"> and </w:t>
      </w:r>
      <w:r w:rsidR="005B28C9" w:rsidRPr="001558A5">
        <w:rPr>
          <w:lang w:val="en-US"/>
        </w:rPr>
        <w:t>US$</w:t>
      </w:r>
      <w:r w:rsidR="005671AB" w:rsidRPr="001558A5">
        <w:rPr>
          <w:lang w:val="en-US"/>
        </w:rPr>
        <w:t>15</w:t>
      </w:r>
      <w:r w:rsidR="00E135CD" w:rsidRPr="001558A5">
        <w:rPr>
          <w:lang w:val="en-US"/>
        </w:rPr>
        <w:t>,</w:t>
      </w:r>
      <w:r w:rsidRPr="001558A5">
        <w:rPr>
          <w:lang w:val="en-US"/>
        </w:rPr>
        <w:t>000 (</w:t>
      </w:r>
      <w:r w:rsidR="00E135CD" w:rsidRPr="001558A5">
        <w:rPr>
          <w:lang w:val="en-US"/>
        </w:rPr>
        <w:t>fifteen</w:t>
      </w:r>
      <w:r w:rsidRPr="001558A5">
        <w:rPr>
          <w:lang w:val="en-US"/>
        </w:rPr>
        <w:t xml:space="preserve"> </w:t>
      </w:r>
      <w:r w:rsidR="00437874" w:rsidRPr="001558A5">
        <w:rPr>
          <w:lang w:val="en-US"/>
        </w:rPr>
        <w:t>thousand United States dollars</w:t>
      </w:r>
      <w:r w:rsidRPr="001558A5">
        <w:rPr>
          <w:lang w:val="en-US"/>
        </w:rPr>
        <w:t xml:space="preserve">) </w:t>
      </w:r>
      <w:r w:rsidR="00E135CD" w:rsidRPr="001558A5">
        <w:rPr>
          <w:lang w:val="en-US"/>
        </w:rPr>
        <w:t>for</w:t>
      </w:r>
      <w:r w:rsidRPr="001558A5">
        <w:rPr>
          <w:lang w:val="en-US"/>
        </w:rPr>
        <w:t xml:space="preserve"> </w:t>
      </w:r>
      <w:r w:rsidR="00907FBD" w:rsidRPr="001558A5">
        <w:rPr>
          <w:lang w:val="en-US"/>
        </w:rPr>
        <w:t>costs and expenses</w:t>
      </w:r>
      <w:r w:rsidRPr="001558A5">
        <w:rPr>
          <w:lang w:val="en-US"/>
        </w:rPr>
        <w:t xml:space="preserve"> </w:t>
      </w:r>
      <w:r w:rsidR="005B28C9" w:rsidRPr="001558A5">
        <w:rPr>
          <w:lang w:val="en-US"/>
        </w:rPr>
        <w:t>in favor of</w:t>
      </w:r>
      <w:r w:rsidRPr="001558A5">
        <w:rPr>
          <w:lang w:val="en-US"/>
        </w:rPr>
        <w:t xml:space="preserve"> </w:t>
      </w:r>
      <w:r w:rsidR="005671AB" w:rsidRPr="001558A5">
        <w:rPr>
          <w:lang w:val="en-US"/>
        </w:rPr>
        <w:t>Robert F. Kennedy Human Rights.</w:t>
      </w:r>
      <w:r w:rsidRPr="001558A5">
        <w:rPr>
          <w:lang w:val="en-US"/>
        </w:rPr>
        <w:t xml:space="preserve"> </w:t>
      </w:r>
      <w:r w:rsidR="00E135CD" w:rsidRPr="001558A5">
        <w:rPr>
          <w:lang w:val="en-US"/>
        </w:rPr>
        <w:t xml:space="preserve">These amounts must be delivered directly to the said </w:t>
      </w:r>
      <w:proofErr w:type="spellStart"/>
      <w:r w:rsidR="00E135CD" w:rsidRPr="001558A5">
        <w:rPr>
          <w:lang w:val="en-US"/>
        </w:rPr>
        <w:t>organisations</w:t>
      </w:r>
      <w:proofErr w:type="spellEnd"/>
      <w:r w:rsidR="00E135CD" w:rsidRPr="001558A5">
        <w:rPr>
          <w:lang w:val="en-US"/>
        </w:rPr>
        <w:t>. At the stage of monitoring compliance with</w:t>
      </w:r>
      <w:r w:rsidR="004E4879" w:rsidRPr="001558A5">
        <w:rPr>
          <w:rFonts w:cs="Verdana"/>
          <w:lang w:val="en-US"/>
        </w:rPr>
        <w:t xml:space="preserve"> this judgment</w:t>
      </w:r>
      <w:r w:rsidRPr="001558A5">
        <w:rPr>
          <w:rFonts w:cs="Verdana"/>
          <w:lang w:val="en-US"/>
        </w:rPr>
        <w:t xml:space="preserve">, </w:t>
      </w:r>
      <w:r w:rsidR="00871E19" w:rsidRPr="001558A5">
        <w:rPr>
          <w:rFonts w:cs="Verdana"/>
          <w:lang w:val="en-US"/>
        </w:rPr>
        <w:t>the Court</w:t>
      </w:r>
      <w:r w:rsidRPr="001558A5">
        <w:rPr>
          <w:rFonts w:cs="Verdana"/>
          <w:lang w:val="en-US"/>
        </w:rPr>
        <w:t xml:space="preserve"> </w:t>
      </w:r>
      <w:r w:rsidR="00E135CD" w:rsidRPr="001558A5">
        <w:rPr>
          <w:rFonts w:cs="Verdana"/>
          <w:lang w:val="en-US"/>
        </w:rPr>
        <w:t>may establish that the State must reimburse the victims or their representatives for any reasonable expenses they incur at that procedural stage.</w:t>
      </w:r>
      <w:r w:rsidRPr="001558A5">
        <w:rPr>
          <w:rStyle w:val="Refdenotaalpie"/>
          <w:lang w:val="en-US"/>
        </w:rPr>
        <w:footnoteReference w:id="194"/>
      </w:r>
      <w:bookmarkEnd w:id="149"/>
      <w:bookmarkEnd w:id="153"/>
    </w:p>
    <w:bookmarkEnd w:id="150"/>
    <w:bookmarkEnd w:id="151"/>
    <w:p w14:paraId="02BC16F5" w14:textId="201528EF" w:rsidR="002F19D8" w:rsidRPr="001558A5" w:rsidRDefault="00E135CD" w:rsidP="00945CE2">
      <w:pPr>
        <w:pStyle w:val="Ttulo2"/>
        <w:numPr>
          <w:ilvl w:val="0"/>
          <w:numId w:val="25"/>
        </w:numPr>
        <w:spacing w:before="240" w:after="240"/>
        <w:rPr>
          <w:rFonts w:ascii="Verdana" w:hAnsi="Verdana"/>
          <w:i/>
          <w:color w:val="auto"/>
          <w:sz w:val="20"/>
          <w:szCs w:val="20"/>
          <w:lang w:val="en-US"/>
        </w:rPr>
      </w:pPr>
      <w:r w:rsidRPr="001558A5">
        <w:rPr>
          <w:rFonts w:ascii="Verdana" w:hAnsi="Verdana"/>
          <w:i/>
          <w:color w:val="auto"/>
          <w:sz w:val="20"/>
          <w:szCs w:val="20"/>
          <w:lang w:val="en-US"/>
        </w:rPr>
        <w:t>Method of complying with the payments ordered</w:t>
      </w:r>
      <w:bookmarkStart w:id="154" w:name="_Ref469940428"/>
      <w:bookmarkEnd w:id="143"/>
      <w:bookmarkEnd w:id="144"/>
      <w:bookmarkEnd w:id="145"/>
      <w:bookmarkEnd w:id="146"/>
      <w:bookmarkEnd w:id="147"/>
      <w:bookmarkEnd w:id="152"/>
    </w:p>
    <w:p w14:paraId="04C971C6" w14:textId="44040EF9" w:rsidR="002F19D8" w:rsidRPr="001558A5" w:rsidRDefault="00DD4354" w:rsidP="00945CE2">
      <w:pPr>
        <w:widowControl w:val="0"/>
        <w:numPr>
          <w:ilvl w:val="0"/>
          <w:numId w:val="2"/>
        </w:numPr>
        <w:spacing w:before="120" w:after="120"/>
        <w:ind w:left="0" w:firstLine="0"/>
        <w:rPr>
          <w:szCs w:val="20"/>
          <w:lang w:val="en-US" w:bidi="en-US"/>
        </w:rPr>
      </w:pPr>
      <w:bookmarkStart w:id="155" w:name="_Ref512872975"/>
      <w:bookmarkStart w:id="156" w:name="_Ref36719661"/>
      <w:bookmarkEnd w:id="154"/>
      <w:r w:rsidRPr="001558A5">
        <w:rPr>
          <w:rFonts w:eastAsia="SimSun"/>
          <w:szCs w:val="20"/>
          <w:lang w:val="en-US"/>
        </w:rPr>
        <w:t>The State</w:t>
      </w:r>
      <w:r w:rsidR="002F19D8" w:rsidRPr="001558A5">
        <w:rPr>
          <w:rFonts w:eastAsia="SimSun"/>
          <w:szCs w:val="20"/>
          <w:lang w:val="en-US"/>
        </w:rPr>
        <w:t xml:space="preserve"> </w:t>
      </w:r>
      <w:r w:rsidR="00E135CD" w:rsidRPr="001558A5">
        <w:rPr>
          <w:rFonts w:eastAsia="SimSun"/>
          <w:szCs w:val="20"/>
          <w:lang w:val="en-US"/>
        </w:rPr>
        <w:t xml:space="preserve">shall make the payments for the compensation </w:t>
      </w:r>
      <w:r w:rsidR="00282CEE" w:rsidRPr="001558A5">
        <w:rPr>
          <w:rFonts w:eastAsia="SimSun"/>
          <w:szCs w:val="20"/>
          <w:lang w:val="en-US"/>
        </w:rPr>
        <w:t>of</w:t>
      </w:r>
      <w:r w:rsidR="00E135CD" w:rsidRPr="001558A5">
        <w:rPr>
          <w:rFonts w:eastAsia="SimSun"/>
          <w:szCs w:val="20"/>
          <w:lang w:val="en-US"/>
        </w:rPr>
        <w:t xml:space="preserve"> </w:t>
      </w:r>
      <w:r w:rsidR="00490D1B" w:rsidRPr="001558A5">
        <w:rPr>
          <w:rFonts w:eastAsia="SimSun"/>
          <w:szCs w:val="20"/>
          <w:lang w:val="en-US"/>
        </w:rPr>
        <w:t xml:space="preserve">pecuniary </w:t>
      </w:r>
      <w:r w:rsidR="00E135CD" w:rsidRPr="001558A5">
        <w:rPr>
          <w:rFonts w:eastAsia="SimSun"/>
          <w:szCs w:val="20"/>
          <w:lang w:val="en-US"/>
        </w:rPr>
        <w:t xml:space="preserve">and non-pecuniary </w:t>
      </w:r>
      <w:r w:rsidR="00490D1B" w:rsidRPr="001558A5">
        <w:rPr>
          <w:rFonts w:eastAsia="SimSun"/>
          <w:szCs w:val="20"/>
          <w:lang w:val="en-US"/>
        </w:rPr>
        <w:t>damage</w:t>
      </w:r>
      <w:r w:rsidR="00E135CD" w:rsidRPr="001558A5">
        <w:rPr>
          <w:rFonts w:eastAsia="SimSun"/>
          <w:szCs w:val="20"/>
          <w:lang w:val="en-US"/>
        </w:rPr>
        <w:t xml:space="preserve"> and to reimburse</w:t>
      </w:r>
      <w:r w:rsidR="002F19D8" w:rsidRPr="001558A5">
        <w:rPr>
          <w:rFonts w:eastAsia="SimSun"/>
          <w:szCs w:val="20"/>
          <w:lang w:val="en-US"/>
        </w:rPr>
        <w:t xml:space="preserve"> </w:t>
      </w:r>
      <w:r w:rsidR="00907FBD" w:rsidRPr="001558A5">
        <w:rPr>
          <w:rFonts w:eastAsia="SimSun"/>
          <w:szCs w:val="20"/>
          <w:lang w:val="en-US"/>
        </w:rPr>
        <w:t>costs and expenses</w:t>
      </w:r>
      <w:r w:rsidR="002F19D8" w:rsidRPr="001558A5">
        <w:rPr>
          <w:rFonts w:eastAsia="SimSun"/>
          <w:szCs w:val="20"/>
          <w:lang w:val="en-US"/>
        </w:rPr>
        <w:t xml:space="preserve"> </w:t>
      </w:r>
      <w:r w:rsidR="00B732DD" w:rsidRPr="001558A5">
        <w:rPr>
          <w:rFonts w:eastAsia="SimSun"/>
          <w:szCs w:val="20"/>
          <w:lang w:val="en-US"/>
        </w:rPr>
        <w:t>established in</w:t>
      </w:r>
      <w:r w:rsidR="00E135CD" w:rsidRPr="001558A5">
        <w:rPr>
          <w:rFonts w:eastAsia="SimSun"/>
          <w:szCs w:val="20"/>
          <w:lang w:val="en-US"/>
        </w:rPr>
        <w:t xml:space="preserve"> this judgment directly to the persons or </w:t>
      </w:r>
      <w:proofErr w:type="spellStart"/>
      <w:r w:rsidR="00E135CD" w:rsidRPr="001558A5">
        <w:rPr>
          <w:rFonts w:eastAsia="SimSun"/>
          <w:szCs w:val="20"/>
          <w:lang w:val="en-US"/>
        </w:rPr>
        <w:t>organisations</w:t>
      </w:r>
      <w:proofErr w:type="spellEnd"/>
      <w:r w:rsidR="00E135CD" w:rsidRPr="001558A5">
        <w:rPr>
          <w:rFonts w:eastAsia="SimSun"/>
          <w:szCs w:val="20"/>
          <w:lang w:val="en-US"/>
        </w:rPr>
        <w:t xml:space="preserve"> indicated herein, within one year of notification</w:t>
      </w:r>
      <w:r w:rsidR="002F19D8" w:rsidRPr="001558A5">
        <w:rPr>
          <w:rFonts w:eastAsia="SimSun"/>
          <w:szCs w:val="20"/>
          <w:lang w:val="en-US"/>
        </w:rPr>
        <w:t xml:space="preserve"> </w:t>
      </w:r>
      <w:r w:rsidR="004E4879" w:rsidRPr="001558A5">
        <w:rPr>
          <w:rFonts w:eastAsia="SimSun"/>
          <w:szCs w:val="20"/>
          <w:lang w:val="en-US"/>
        </w:rPr>
        <w:t>of this judgment</w:t>
      </w:r>
      <w:bookmarkEnd w:id="155"/>
      <w:r w:rsidR="000579A0" w:rsidRPr="001558A5">
        <w:rPr>
          <w:rFonts w:eastAsia="SimSun"/>
          <w:szCs w:val="20"/>
          <w:lang w:val="en-US"/>
        </w:rPr>
        <w:t xml:space="preserve"> and</w:t>
      </w:r>
      <w:r w:rsidR="00E135CD" w:rsidRPr="001558A5">
        <w:rPr>
          <w:rFonts w:eastAsia="SimSun"/>
          <w:szCs w:val="20"/>
          <w:lang w:val="en-US"/>
        </w:rPr>
        <w:t xml:space="preserve"> pursuant to the following paragraphs</w:t>
      </w:r>
      <w:r w:rsidR="002F19D8" w:rsidRPr="001558A5">
        <w:rPr>
          <w:rFonts w:eastAsia="SimSun"/>
          <w:szCs w:val="20"/>
          <w:lang w:val="en-US"/>
        </w:rPr>
        <w:t xml:space="preserve">, </w:t>
      </w:r>
      <w:r w:rsidR="00E135CD" w:rsidRPr="001558A5">
        <w:rPr>
          <w:rFonts w:eastAsia="SimSun"/>
          <w:szCs w:val="20"/>
          <w:lang w:val="en-US"/>
        </w:rPr>
        <w:t>although it may make full payment prior to this</w:t>
      </w:r>
      <w:bookmarkEnd w:id="156"/>
      <w:r w:rsidR="00E135CD" w:rsidRPr="001558A5">
        <w:rPr>
          <w:rFonts w:eastAsia="SimSun"/>
          <w:szCs w:val="20"/>
          <w:lang w:val="en-US"/>
        </w:rPr>
        <w:t>.</w:t>
      </w:r>
    </w:p>
    <w:p w14:paraId="3F1E7852" w14:textId="7F37DD05" w:rsidR="002F19D8" w:rsidRPr="001558A5" w:rsidRDefault="00E135CD" w:rsidP="00945CE2">
      <w:pPr>
        <w:widowControl w:val="0"/>
        <w:numPr>
          <w:ilvl w:val="0"/>
          <w:numId w:val="2"/>
        </w:numPr>
        <w:spacing w:before="120" w:after="120"/>
        <w:ind w:left="0" w:firstLine="0"/>
        <w:rPr>
          <w:szCs w:val="20"/>
          <w:lang w:val="en-US" w:bidi="en-US"/>
        </w:rPr>
      </w:pPr>
      <w:r w:rsidRPr="001558A5">
        <w:rPr>
          <w:rFonts w:eastAsia="SimSun"/>
          <w:szCs w:val="20"/>
          <w:lang w:val="en-US"/>
        </w:rPr>
        <w:t>If any of the beneficiaries is deceased or die</w:t>
      </w:r>
      <w:r w:rsidR="005E56DE" w:rsidRPr="001558A5">
        <w:rPr>
          <w:rFonts w:eastAsia="SimSun"/>
          <w:szCs w:val="20"/>
          <w:lang w:val="en-US"/>
        </w:rPr>
        <w:t>s</w:t>
      </w:r>
      <w:r w:rsidRPr="001558A5">
        <w:rPr>
          <w:rFonts w:eastAsia="SimSun"/>
          <w:szCs w:val="20"/>
          <w:lang w:val="en-US"/>
        </w:rPr>
        <w:t xml:space="preserve"> before the</w:t>
      </w:r>
      <w:r w:rsidR="005E56DE" w:rsidRPr="001558A5">
        <w:rPr>
          <w:rFonts w:eastAsia="SimSun"/>
          <w:szCs w:val="20"/>
          <w:lang w:val="en-US"/>
        </w:rPr>
        <w:t xml:space="preserve"> respective amount is delivered to them, it shall be delivered directly to their heirs pursuant to the applicable domestic law.</w:t>
      </w:r>
    </w:p>
    <w:p w14:paraId="1678EC98" w14:textId="71655D23" w:rsidR="005E56DE" w:rsidRPr="001558A5" w:rsidRDefault="00DD4354" w:rsidP="00563DCD">
      <w:pPr>
        <w:widowControl w:val="0"/>
        <w:numPr>
          <w:ilvl w:val="0"/>
          <w:numId w:val="2"/>
        </w:numPr>
        <w:spacing w:before="120" w:after="120"/>
        <w:ind w:left="0" w:firstLine="0"/>
        <w:rPr>
          <w:szCs w:val="20"/>
          <w:lang w:val="en-US" w:bidi="en-US"/>
        </w:rPr>
      </w:pPr>
      <w:r w:rsidRPr="001558A5">
        <w:rPr>
          <w:rFonts w:eastAsia="SimSun"/>
          <w:szCs w:val="20"/>
          <w:lang w:val="en-US"/>
        </w:rPr>
        <w:t>The State</w:t>
      </w:r>
      <w:r w:rsidR="00CA0426" w:rsidRPr="001558A5">
        <w:rPr>
          <w:rFonts w:eastAsia="SimSun"/>
          <w:szCs w:val="20"/>
          <w:lang w:val="en-US"/>
        </w:rPr>
        <w:t xml:space="preserve"> </w:t>
      </w:r>
      <w:r w:rsidR="005E56DE" w:rsidRPr="001558A5">
        <w:rPr>
          <w:rFonts w:eastAsia="SimSun"/>
          <w:szCs w:val="20"/>
          <w:lang w:val="en-US"/>
        </w:rPr>
        <w:t>shall comply with the monetary obligations by payment in United States dollars or the equivalent in national currency, using the exchange rate published or calculated by a pertinent banking or financial authority on the da</w:t>
      </w:r>
      <w:r w:rsidR="00282CEE" w:rsidRPr="001558A5">
        <w:rPr>
          <w:rFonts w:eastAsia="SimSun"/>
          <w:szCs w:val="20"/>
          <w:lang w:val="en-US"/>
        </w:rPr>
        <w:t>y</w:t>
      </w:r>
      <w:r w:rsidR="005E56DE" w:rsidRPr="001558A5">
        <w:rPr>
          <w:rFonts w:eastAsia="SimSun"/>
          <w:szCs w:val="20"/>
          <w:lang w:val="en-US"/>
        </w:rPr>
        <w:t xml:space="preserve"> nearest to the da</w:t>
      </w:r>
      <w:r w:rsidR="00282CEE" w:rsidRPr="001558A5">
        <w:rPr>
          <w:rFonts w:eastAsia="SimSun"/>
          <w:szCs w:val="20"/>
          <w:lang w:val="en-US"/>
        </w:rPr>
        <w:t>te</w:t>
      </w:r>
      <w:r w:rsidR="005E56DE" w:rsidRPr="001558A5">
        <w:rPr>
          <w:rFonts w:eastAsia="SimSun"/>
          <w:szCs w:val="20"/>
          <w:lang w:val="en-US"/>
        </w:rPr>
        <w:t xml:space="preserve"> of payment to make the respective calculation.</w:t>
      </w:r>
    </w:p>
    <w:p w14:paraId="2783E1B2" w14:textId="6B5B5DF6" w:rsidR="005E56DE" w:rsidRPr="001558A5" w:rsidRDefault="005E56DE" w:rsidP="00945CE2">
      <w:pPr>
        <w:widowControl w:val="0"/>
        <w:numPr>
          <w:ilvl w:val="0"/>
          <w:numId w:val="2"/>
        </w:numPr>
        <w:spacing w:before="120" w:after="120"/>
        <w:ind w:left="0" w:firstLine="0"/>
        <w:rPr>
          <w:szCs w:val="20"/>
          <w:lang w:val="en-US" w:bidi="en-US"/>
        </w:rPr>
      </w:pPr>
      <w:r w:rsidRPr="001558A5">
        <w:rPr>
          <w:rFonts w:eastAsia="SimSun"/>
          <w:szCs w:val="20"/>
          <w:lang w:val="en-US"/>
        </w:rPr>
        <w:t>If, for causes that can be attributed to the beneficiaries of the compensation or their heirs</w:t>
      </w:r>
      <w:r w:rsidR="00282CEE" w:rsidRPr="001558A5">
        <w:rPr>
          <w:rFonts w:eastAsia="SimSun"/>
          <w:szCs w:val="20"/>
          <w:lang w:val="en-US"/>
        </w:rPr>
        <w:t>,</w:t>
      </w:r>
      <w:r w:rsidRPr="001558A5">
        <w:rPr>
          <w:rFonts w:eastAsia="SimSun"/>
          <w:szCs w:val="20"/>
          <w:lang w:val="en-US"/>
        </w:rPr>
        <w:t xml:space="preserve"> it is not possible to pay the amounts established within the indicated time frame, the State shall deposit the amounts in their favor in a deposit account or certificate in a solvent Honduran financial institution in United States dollars and in the most favorable financial conditions permitted by banking law and practice. If the corresponding compensation is not claimed </w:t>
      </w:r>
      <w:r w:rsidR="00282CEE" w:rsidRPr="001558A5">
        <w:rPr>
          <w:rFonts w:eastAsia="SimSun"/>
          <w:szCs w:val="20"/>
          <w:lang w:val="en-US"/>
        </w:rPr>
        <w:t>within</w:t>
      </w:r>
      <w:r w:rsidRPr="001558A5">
        <w:rPr>
          <w:rFonts w:eastAsia="SimSun"/>
          <w:szCs w:val="20"/>
          <w:lang w:val="en-US"/>
        </w:rPr>
        <w:t xml:space="preserve"> ten years the amounts shall be returned to the State with the interest accrued</w:t>
      </w:r>
    </w:p>
    <w:p w14:paraId="4D3B851E" w14:textId="6C2AB46A" w:rsidR="002F19D8" w:rsidRPr="001558A5" w:rsidRDefault="005E56DE" w:rsidP="00945CE2">
      <w:pPr>
        <w:widowControl w:val="0"/>
        <w:numPr>
          <w:ilvl w:val="0"/>
          <w:numId w:val="2"/>
        </w:numPr>
        <w:spacing w:before="120" w:after="120"/>
        <w:ind w:left="0" w:firstLine="0"/>
        <w:rPr>
          <w:szCs w:val="20"/>
          <w:lang w:val="en-US" w:bidi="en-US"/>
        </w:rPr>
      </w:pPr>
      <w:bookmarkStart w:id="157" w:name="_Ref36719663"/>
      <w:r w:rsidRPr="001558A5">
        <w:rPr>
          <w:rFonts w:eastAsia="SimSun"/>
          <w:szCs w:val="20"/>
          <w:lang w:val="en-US"/>
        </w:rPr>
        <w:t xml:space="preserve">The amounts allocated in this judgment as compensation for pecuniary and non-pecuniary damage and to reimburse </w:t>
      </w:r>
      <w:r w:rsidR="00907FBD" w:rsidRPr="001558A5">
        <w:rPr>
          <w:rFonts w:eastAsia="SimSun"/>
          <w:szCs w:val="20"/>
          <w:lang w:val="en-US"/>
        </w:rPr>
        <w:t>costs and expenses</w:t>
      </w:r>
      <w:r w:rsidRPr="001558A5">
        <w:rPr>
          <w:rFonts w:eastAsia="SimSun"/>
          <w:szCs w:val="20"/>
          <w:lang w:val="en-US"/>
        </w:rPr>
        <w:t xml:space="preserve"> shall be delivered to the persons and organization indicated in full, as established in this judgment, without any deductions derived from possible </w:t>
      </w:r>
      <w:bookmarkEnd w:id="157"/>
      <w:r w:rsidRPr="001558A5">
        <w:rPr>
          <w:rFonts w:eastAsia="SimSun"/>
          <w:szCs w:val="20"/>
          <w:lang w:val="en-US"/>
        </w:rPr>
        <w:t>taxes or charges.</w:t>
      </w:r>
    </w:p>
    <w:p w14:paraId="2249B6A8" w14:textId="614E097B" w:rsidR="007863E1" w:rsidRPr="001558A5" w:rsidRDefault="005E56DE" w:rsidP="00945CE2">
      <w:pPr>
        <w:widowControl w:val="0"/>
        <w:numPr>
          <w:ilvl w:val="0"/>
          <w:numId w:val="2"/>
        </w:numPr>
        <w:spacing w:before="120" w:after="120"/>
        <w:ind w:left="0" w:firstLine="0"/>
        <w:rPr>
          <w:szCs w:val="20"/>
          <w:lang w:val="en-US" w:bidi="en-US"/>
        </w:rPr>
      </w:pPr>
      <w:r w:rsidRPr="001558A5">
        <w:rPr>
          <w:szCs w:val="20"/>
          <w:lang w:val="en-US" w:bidi="en-US"/>
        </w:rPr>
        <w:t xml:space="preserve">If the State should incur in delay, it shall pay interest on the amount owed corresponding to banking interest on arrears </w:t>
      </w:r>
      <w:r w:rsidR="00215FEF" w:rsidRPr="001558A5">
        <w:rPr>
          <w:szCs w:val="20"/>
          <w:lang w:val="en-US" w:bidi="en-US"/>
        </w:rPr>
        <w:t>in Honduras</w:t>
      </w:r>
      <w:r w:rsidR="007863E1" w:rsidRPr="001558A5">
        <w:rPr>
          <w:szCs w:val="20"/>
          <w:lang w:val="en-US" w:bidi="en-US"/>
        </w:rPr>
        <w:t>.</w:t>
      </w:r>
    </w:p>
    <w:p w14:paraId="6F240A98" w14:textId="1396BAAF" w:rsidR="00AD26FD" w:rsidRPr="001558A5" w:rsidRDefault="00AD26FD" w:rsidP="00945CE2">
      <w:pPr>
        <w:rPr>
          <w:szCs w:val="20"/>
          <w:lang w:val="en-US" w:bidi="en-US"/>
        </w:rPr>
      </w:pPr>
    </w:p>
    <w:p w14:paraId="44CB2EBF" w14:textId="7059CA02" w:rsidR="002236DE" w:rsidRPr="001558A5" w:rsidRDefault="002236DE" w:rsidP="002236DE">
      <w:pPr>
        <w:pStyle w:val="Prrafodelista"/>
        <w:ind w:right="-801"/>
        <w:jc w:val="center"/>
        <w:outlineLvl w:val="0"/>
        <w:rPr>
          <w:b/>
          <w:szCs w:val="20"/>
          <w:lang w:val="en-US"/>
        </w:rPr>
      </w:pPr>
      <w:bookmarkStart w:id="158" w:name="_Toc58330246"/>
      <w:bookmarkStart w:id="159" w:name="_Toc73430080"/>
      <w:r w:rsidRPr="001558A5">
        <w:rPr>
          <w:b/>
          <w:szCs w:val="20"/>
          <w:lang w:val="en-US"/>
        </w:rPr>
        <w:t>IX</w:t>
      </w:r>
      <w:r w:rsidR="00981A1B" w:rsidRPr="001558A5">
        <w:rPr>
          <w:b/>
          <w:color w:val="FFFFFF" w:themeColor="background1"/>
          <w:szCs w:val="20"/>
          <w:lang w:val="en-US"/>
        </w:rPr>
        <w:t>.</w:t>
      </w:r>
      <w:r w:rsidRPr="001558A5">
        <w:rPr>
          <w:b/>
          <w:szCs w:val="20"/>
          <w:lang w:val="en-US"/>
        </w:rPr>
        <w:br/>
      </w:r>
      <w:r w:rsidR="00871E19" w:rsidRPr="001558A5">
        <w:rPr>
          <w:b/>
          <w:szCs w:val="20"/>
          <w:lang w:val="en-US"/>
        </w:rPr>
        <w:t>OPERATIVE PARAGRAPHS</w:t>
      </w:r>
      <w:bookmarkEnd w:id="158"/>
      <w:bookmarkEnd w:id="159"/>
    </w:p>
    <w:p w14:paraId="41CD372B" w14:textId="77777777" w:rsidR="002236DE" w:rsidRPr="001558A5" w:rsidRDefault="002236DE" w:rsidP="002236DE">
      <w:pPr>
        <w:tabs>
          <w:tab w:val="left" w:pos="567"/>
        </w:tabs>
        <w:ind w:right="-801"/>
        <w:rPr>
          <w:szCs w:val="20"/>
          <w:lang w:val="en-US"/>
        </w:rPr>
      </w:pPr>
    </w:p>
    <w:p w14:paraId="78CA4808" w14:textId="07AE626A" w:rsidR="002236DE" w:rsidRPr="001558A5" w:rsidRDefault="00E82E47" w:rsidP="00BF1B8C">
      <w:pPr>
        <w:widowControl w:val="0"/>
        <w:numPr>
          <w:ilvl w:val="0"/>
          <w:numId w:val="2"/>
        </w:numPr>
        <w:spacing w:before="120" w:after="120"/>
        <w:ind w:left="0" w:firstLine="0"/>
        <w:rPr>
          <w:szCs w:val="20"/>
          <w:lang w:val="en-US"/>
        </w:rPr>
      </w:pPr>
      <w:r w:rsidRPr="001558A5">
        <w:rPr>
          <w:szCs w:val="20"/>
          <w:lang w:val="en-US"/>
        </w:rPr>
        <w:t>Therefore</w:t>
      </w:r>
      <w:r w:rsidR="002236DE" w:rsidRPr="001558A5">
        <w:rPr>
          <w:szCs w:val="20"/>
          <w:lang w:val="en-US"/>
        </w:rPr>
        <w:t xml:space="preserve">, </w:t>
      </w:r>
    </w:p>
    <w:p w14:paraId="033A4BD4" w14:textId="77777777" w:rsidR="002236DE" w:rsidRPr="001558A5" w:rsidRDefault="002236DE" w:rsidP="002236DE">
      <w:pPr>
        <w:pStyle w:val="Prrafodelista"/>
        <w:tabs>
          <w:tab w:val="left" w:pos="630"/>
        </w:tabs>
        <w:ind w:left="0" w:right="-801"/>
        <w:rPr>
          <w:szCs w:val="20"/>
          <w:lang w:val="en-US"/>
        </w:rPr>
      </w:pPr>
    </w:p>
    <w:p w14:paraId="6E7BAD4C" w14:textId="20957B62" w:rsidR="002236DE" w:rsidRPr="001558A5" w:rsidRDefault="00871E19" w:rsidP="002236DE">
      <w:pPr>
        <w:pStyle w:val="Prrafodelista"/>
        <w:tabs>
          <w:tab w:val="left" w:pos="630"/>
        </w:tabs>
        <w:ind w:left="0" w:right="-801"/>
        <w:rPr>
          <w:b/>
          <w:szCs w:val="20"/>
          <w:lang w:val="en-US"/>
        </w:rPr>
      </w:pPr>
      <w:r w:rsidRPr="001558A5">
        <w:rPr>
          <w:b/>
          <w:szCs w:val="20"/>
          <w:lang w:val="en-US"/>
        </w:rPr>
        <w:t>THE COURT</w:t>
      </w:r>
    </w:p>
    <w:p w14:paraId="19B4400A" w14:textId="77777777" w:rsidR="002236DE" w:rsidRPr="001558A5" w:rsidRDefault="002236DE" w:rsidP="002236DE">
      <w:pPr>
        <w:pStyle w:val="Prrafodelista"/>
        <w:tabs>
          <w:tab w:val="left" w:pos="630"/>
        </w:tabs>
        <w:ind w:left="0" w:right="-801"/>
        <w:rPr>
          <w:b/>
          <w:szCs w:val="20"/>
          <w:lang w:val="en-US"/>
        </w:rPr>
      </w:pPr>
    </w:p>
    <w:p w14:paraId="33097AC1" w14:textId="09CE8FC6" w:rsidR="002236DE" w:rsidRPr="001558A5" w:rsidRDefault="002236DE" w:rsidP="002236DE">
      <w:pPr>
        <w:pStyle w:val="Prrafodelista"/>
        <w:tabs>
          <w:tab w:val="left" w:pos="630"/>
        </w:tabs>
        <w:ind w:left="0" w:right="-801"/>
        <w:rPr>
          <w:b/>
          <w:szCs w:val="20"/>
          <w:lang w:val="en-US"/>
        </w:rPr>
      </w:pPr>
      <w:r w:rsidRPr="001558A5">
        <w:rPr>
          <w:b/>
          <w:szCs w:val="20"/>
          <w:lang w:val="en-US"/>
        </w:rPr>
        <w:t>DECIDE</w:t>
      </w:r>
      <w:r w:rsidR="005E56DE" w:rsidRPr="001558A5">
        <w:rPr>
          <w:b/>
          <w:szCs w:val="20"/>
          <w:lang w:val="en-US"/>
        </w:rPr>
        <w:t>S</w:t>
      </w:r>
      <w:r w:rsidRPr="001558A5">
        <w:rPr>
          <w:b/>
          <w:szCs w:val="20"/>
          <w:lang w:val="en-US"/>
        </w:rPr>
        <w:t>,</w:t>
      </w:r>
    </w:p>
    <w:p w14:paraId="0DB6FDA8" w14:textId="77777777" w:rsidR="002236DE" w:rsidRPr="001558A5" w:rsidRDefault="002236DE" w:rsidP="002236DE">
      <w:pPr>
        <w:pStyle w:val="Prrafodelista"/>
        <w:tabs>
          <w:tab w:val="left" w:pos="630"/>
        </w:tabs>
        <w:ind w:left="0" w:right="-801"/>
        <w:rPr>
          <w:b/>
          <w:szCs w:val="20"/>
          <w:lang w:val="en-US"/>
        </w:rPr>
      </w:pPr>
    </w:p>
    <w:p w14:paraId="402DCAB5" w14:textId="7D97F432" w:rsidR="002236DE" w:rsidRPr="001558A5" w:rsidRDefault="00E82E47" w:rsidP="00422325">
      <w:pPr>
        <w:pStyle w:val="Prrafodelista"/>
        <w:tabs>
          <w:tab w:val="left" w:pos="630"/>
        </w:tabs>
        <w:ind w:left="0" w:right="48"/>
        <w:rPr>
          <w:b/>
          <w:szCs w:val="20"/>
          <w:lang w:val="en-US"/>
        </w:rPr>
      </w:pPr>
      <w:r w:rsidRPr="001558A5">
        <w:rPr>
          <w:szCs w:val="20"/>
          <w:lang w:val="en-US"/>
        </w:rPr>
        <w:t>Unanimously</w:t>
      </w:r>
      <w:r w:rsidR="002236DE" w:rsidRPr="001558A5">
        <w:rPr>
          <w:szCs w:val="20"/>
          <w:lang w:val="en-US"/>
        </w:rPr>
        <w:t>:</w:t>
      </w:r>
    </w:p>
    <w:p w14:paraId="37C64FD4" w14:textId="77777777" w:rsidR="002236DE" w:rsidRPr="001558A5" w:rsidRDefault="002236DE" w:rsidP="00422325">
      <w:pPr>
        <w:pStyle w:val="Prrafodelista"/>
        <w:tabs>
          <w:tab w:val="left" w:pos="630"/>
        </w:tabs>
        <w:ind w:left="0" w:right="48"/>
        <w:rPr>
          <w:b/>
          <w:szCs w:val="20"/>
          <w:lang w:val="en-US"/>
        </w:rPr>
      </w:pPr>
    </w:p>
    <w:p w14:paraId="4DF15C32" w14:textId="28D2DCA6" w:rsidR="002236DE" w:rsidRPr="001558A5" w:rsidRDefault="005E56DE" w:rsidP="00422325">
      <w:pPr>
        <w:pStyle w:val="Prrafodelista"/>
        <w:numPr>
          <w:ilvl w:val="3"/>
          <w:numId w:val="35"/>
        </w:numPr>
        <w:ind w:left="0" w:right="48" w:firstLine="0"/>
        <w:contextualSpacing w:val="0"/>
        <w:rPr>
          <w:b/>
          <w:szCs w:val="20"/>
          <w:lang w:val="en-US"/>
        </w:rPr>
      </w:pPr>
      <w:r w:rsidRPr="001558A5">
        <w:rPr>
          <w:szCs w:val="20"/>
          <w:lang w:val="en-US"/>
        </w:rPr>
        <w:t>To accept the</w:t>
      </w:r>
      <w:r w:rsidR="002236DE" w:rsidRPr="001558A5">
        <w:rPr>
          <w:szCs w:val="20"/>
          <w:lang w:val="en-US"/>
        </w:rPr>
        <w:t xml:space="preserve"> </w:t>
      </w:r>
      <w:r w:rsidR="00973D19" w:rsidRPr="001558A5">
        <w:rPr>
          <w:szCs w:val="20"/>
          <w:lang w:val="en-US"/>
        </w:rPr>
        <w:t xml:space="preserve">acknowledgement of </w:t>
      </w:r>
      <w:r w:rsidRPr="001558A5">
        <w:rPr>
          <w:szCs w:val="20"/>
          <w:lang w:val="en-US"/>
        </w:rPr>
        <w:t xml:space="preserve">international </w:t>
      </w:r>
      <w:r w:rsidR="00973D19" w:rsidRPr="001558A5">
        <w:rPr>
          <w:szCs w:val="20"/>
          <w:lang w:val="en-US"/>
        </w:rPr>
        <w:t>responsibility</w:t>
      </w:r>
      <w:r w:rsidR="002236DE" w:rsidRPr="001558A5">
        <w:rPr>
          <w:szCs w:val="20"/>
          <w:lang w:val="en-US"/>
        </w:rPr>
        <w:t xml:space="preserve"> </w:t>
      </w:r>
      <w:r w:rsidRPr="001558A5">
        <w:rPr>
          <w:szCs w:val="20"/>
          <w:lang w:val="en-US"/>
        </w:rPr>
        <w:t>made</w:t>
      </w:r>
      <w:r w:rsidR="002236DE" w:rsidRPr="001558A5">
        <w:rPr>
          <w:szCs w:val="20"/>
          <w:lang w:val="en-US"/>
        </w:rPr>
        <w:t xml:space="preserve"> </w:t>
      </w:r>
      <w:r w:rsidRPr="001558A5">
        <w:rPr>
          <w:szCs w:val="20"/>
          <w:lang w:val="en-US"/>
        </w:rPr>
        <w:t>by</w:t>
      </w:r>
      <w:r w:rsidR="002236DE" w:rsidRPr="001558A5">
        <w:rPr>
          <w:szCs w:val="20"/>
          <w:lang w:val="en-US"/>
        </w:rPr>
        <w:t xml:space="preserve"> </w:t>
      </w:r>
      <w:r w:rsidR="00DD4354" w:rsidRPr="001558A5">
        <w:rPr>
          <w:szCs w:val="20"/>
          <w:lang w:val="en-US"/>
        </w:rPr>
        <w:t>the State</w:t>
      </w:r>
      <w:r w:rsidRPr="001558A5">
        <w:rPr>
          <w:szCs w:val="20"/>
          <w:lang w:val="en-US"/>
        </w:rPr>
        <w:t xml:space="preserve"> in the terms of</w:t>
      </w:r>
      <w:r w:rsidR="002236DE" w:rsidRPr="001558A5">
        <w:rPr>
          <w:szCs w:val="20"/>
          <w:lang w:val="en-US"/>
        </w:rPr>
        <w:t xml:space="preserve"> </w:t>
      </w:r>
      <w:r w:rsidR="004E4879" w:rsidRPr="001558A5">
        <w:rPr>
          <w:szCs w:val="20"/>
          <w:lang w:val="en-US"/>
        </w:rPr>
        <w:t>paragraphs</w:t>
      </w:r>
      <w:r w:rsidR="002236DE" w:rsidRPr="001558A5">
        <w:rPr>
          <w:szCs w:val="20"/>
          <w:lang w:val="en-US"/>
        </w:rPr>
        <w:t xml:space="preserve"> </w:t>
      </w:r>
      <w:r w:rsidR="00D267B5" w:rsidRPr="001558A5">
        <w:rPr>
          <w:szCs w:val="20"/>
          <w:lang w:val="en-US"/>
        </w:rPr>
        <w:t xml:space="preserve">16 </w:t>
      </w:r>
      <w:r w:rsidRPr="001558A5">
        <w:rPr>
          <w:szCs w:val="20"/>
          <w:lang w:val="en-US"/>
        </w:rPr>
        <w:t>to</w:t>
      </w:r>
      <w:r w:rsidR="002236DE" w:rsidRPr="001558A5">
        <w:rPr>
          <w:szCs w:val="20"/>
          <w:lang w:val="en-US"/>
        </w:rPr>
        <w:t xml:space="preserve"> 24 </w:t>
      </w:r>
      <w:r w:rsidR="004E4879" w:rsidRPr="001558A5">
        <w:rPr>
          <w:szCs w:val="20"/>
          <w:lang w:val="en-US"/>
        </w:rPr>
        <w:t>of this judgment</w:t>
      </w:r>
      <w:r w:rsidR="002236DE" w:rsidRPr="001558A5">
        <w:rPr>
          <w:szCs w:val="20"/>
          <w:lang w:val="en-US"/>
        </w:rPr>
        <w:t>.</w:t>
      </w:r>
    </w:p>
    <w:p w14:paraId="3F6ABE62" w14:textId="77777777" w:rsidR="002236DE" w:rsidRPr="001558A5" w:rsidRDefault="002236DE" w:rsidP="00422325">
      <w:pPr>
        <w:pStyle w:val="Prrafodelista"/>
        <w:tabs>
          <w:tab w:val="left" w:pos="630"/>
        </w:tabs>
        <w:ind w:left="0" w:right="48"/>
        <w:rPr>
          <w:b/>
          <w:lang w:val="en-US"/>
        </w:rPr>
      </w:pPr>
    </w:p>
    <w:p w14:paraId="7D1695BB" w14:textId="03601DBD" w:rsidR="002236DE" w:rsidRPr="001558A5" w:rsidRDefault="002236DE" w:rsidP="00422325">
      <w:pPr>
        <w:ind w:right="48"/>
        <w:rPr>
          <w:b/>
          <w:szCs w:val="20"/>
          <w:lang w:val="en-US"/>
        </w:rPr>
      </w:pPr>
      <w:r w:rsidRPr="001558A5">
        <w:rPr>
          <w:b/>
          <w:szCs w:val="20"/>
          <w:lang w:val="en-US"/>
        </w:rPr>
        <w:t>DECLAR</w:t>
      </w:r>
      <w:r w:rsidR="005E56DE" w:rsidRPr="001558A5">
        <w:rPr>
          <w:b/>
          <w:szCs w:val="20"/>
          <w:lang w:val="en-US"/>
        </w:rPr>
        <w:t>ES</w:t>
      </w:r>
      <w:r w:rsidRPr="001558A5">
        <w:rPr>
          <w:b/>
          <w:szCs w:val="20"/>
          <w:lang w:val="en-US"/>
        </w:rPr>
        <w:t>,</w:t>
      </w:r>
    </w:p>
    <w:p w14:paraId="667B28DB" w14:textId="77777777" w:rsidR="002236DE" w:rsidRPr="001558A5" w:rsidRDefault="002236DE" w:rsidP="00422325">
      <w:pPr>
        <w:ind w:right="48"/>
        <w:rPr>
          <w:b/>
          <w:lang w:val="en-US"/>
        </w:rPr>
      </w:pPr>
    </w:p>
    <w:p w14:paraId="1DDB5891" w14:textId="36A71ACA" w:rsidR="002236DE" w:rsidRPr="001558A5" w:rsidRDefault="005E56DE" w:rsidP="00422325">
      <w:pPr>
        <w:ind w:right="48"/>
        <w:rPr>
          <w:szCs w:val="20"/>
          <w:lang w:val="en-US"/>
        </w:rPr>
      </w:pPr>
      <w:r w:rsidRPr="001558A5">
        <w:rPr>
          <w:szCs w:val="20"/>
          <w:lang w:val="en-US"/>
        </w:rPr>
        <w:t>Unanimously that</w:t>
      </w:r>
      <w:r w:rsidR="002236DE" w:rsidRPr="001558A5">
        <w:rPr>
          <w:szCs w:val="20"/>
          <w:lang w:val="en-US"/>
        </w:rPr>
        <w:t>:</w:t>
      </w:r>
    </w:p>
    <w:p w14:paraId="02E16196" w14:textId="77777777" w:rsidR="002236DE" w:rsidRPr="001558A5" w:rsidRDefault="002236DE" w:rsidP="00422325">
      <w:pPr>
        <w:ind w:right="48"/>
        <w:rPr>
          <w:lang w:val="en-US"/>
        </w:rPr>
      </w:pPr>
    </w:p>
    <w:p w14:paraId="1B695FBB" w14:textId="048FBF7F" w:rsidR="002236DE" w:rsidRPr="001558A5" w:rsidRDefault="005E56DE" w:rsidP="00422325">
      <w:pPr>
        <w:pStyle w:val="Prrafodelista"/>
        <w:numPr>
          <w:ilvl w:val="3"/>
          <w:numId w:val="35"/>
        </w:numPr>
        <w:ind w:left="0" w:right="48" w:firstLine="0"/>
        <w:contextualSpacing w:val="0"/>
        <w:rPr>
          <w:lang w:val="en-US"/>
        </w:rPr>
      </w:pPr>
      <w:r w:rsidRPr="001558A5">
        <w:rPr>
          <w:lang w:val="en-US"/>
        </w:rPr>
        <w:t>The State is responsible for</w:t>
      </w:r>
      <w:r w:rsidR="002236DE" w:rsidRPr="001558A5">
        <w:rPr>
          <w:lang w:val="en-US"/>
        </w:rPr>
        <w:t xml:space="preserve"> </w:t>
      </w:r>
      <w:r w:rsidR="00B74256" w:rsidRPr="001558A5">
        <w:rPr>
          <w:lang w:val="en-US"/>
        </w:rPr>
        <w:t xml:space="preserve">the violation </w:t>
      </w:r>
      <w:r w:rsidRPr="001558A5">
        <w:rPr>
          <w:lang w:val="en-US"/>
        </w:rPr>
        <w:t>of the right to life</w:t>
      </w:r>
      <w:r w:rsidR="002236DE" w:rsidRPr="001558A5">
        <w:rPr>
          <w:lang w:val="en-US"/>
        </w:rPr>
        <w:t xml:space="preserve"> </w:t>
      </w:r>
      <w:r w:rsidRPr="001558A5">
        <w:rPr>
          <w:lang w:val="en-US"/>
        </w:rPr>
        <w:t>contained in</w:t>
      </w:r>
      <w:r w:rsidR="002236DE" w:rsidRPr="001558A5">
        <w:rPr>
          <w:lang w:val="en-US"/>
        </w:rPr>
        <w:t xml:space="preserve"> </w:t>
      </w:r>
      <w:r w:rsidR="00871E19" w:rsidRPr="001558A5">
        <w:rPr>
          <w:lang w:val="en-US"/>
        </w:rPr>
        <w:t>Article</w:t>
      </w:r>
      <w:r w:rsidR="002236DE" w:rsidRPr="001558A5">
        <w:rPr>
          <w:lang w:val="en-US"/>
        </w:rPr>
        <w:t xml:space="preserve"> </w:t>
      </w:r>
      <w:r w:rsidR="00B732DD" w:rsidRPr="001558A5">
        <w:rPr>
          <w:lang w:val="en-US"/>
        </w:rPr>
        <w:t>4(1)</w:t>
      </w:r>
      <w:r w:rsidR="00DD4354" w:rsidRPr="001558A5">
        <w:rPr>
          <w:lang w:val="en-US"/>
        </w:rPr>
        <w:t xml:space="preserve"> of the </w:t>
      </w:r>
      <w:r w:rsidR="00871E19" w:rsidRPr="001558A5">
        <w:rPr>
          <w:lang w:val="en-US"/>
        </w:rPr>
        <w:t>American Convention on Human Rights</w:t>
      </w:r>
      <w:r w:rsidR="002236DE" w:rsidRPr="001558A5">
        <w:rPr>
          <w:lang w:val="en-US"/>
        </w:rPr>
        <w:t xml:space="preserve">, </w:t>
      </w:r>
      <w:r w:rsidRPr="001558A5">
        <w:rPr>
          <w:lang w:val="en-US"/>
        </w:rPr>
        <w:t>in relation to</w:t>
      </w:r>
      <w:r w:rsidR="002236DE" w:rsidRPr="001558A5">
        <w:rPr>
          <w:lang w:val="en-US"/>
        </w:rPr>
        <w:t xml:space="preserve"> </w:t>
      </w:r>
      <w:r w:rsidR="00B43A52" w:rsidRPr="001558A5">
        <w:rPr>
          <w:lang w:val="en-US"/>
        </w:rPr>
        <w:t>Articles 1(1)</w:t>
      </w:r>
      <w:r w:rsidR="002236DE" w:rsidRPr="001558A5">
        <w:rPr>
          <w:lang w:val="en-US"/>
        </w:rPr>
        <w:t>, 8</w:t>
      </w:r>
      <w:r w:rsidR="00DD4354" w:rsidRPr="001558A5">
        <w:rPr>
          <w:lang w:val="en-US"/>
        </w:rPr>
        <w:t xml:space="preserve"> and </w:t>
      </w:r>
      <w:r w:rsidR="002236DE" w:rsidRPr="001558A5">
        <w:rPr>
          <w:lang w:val="en-US"/>
        </w:rPr>
        <w:t xml:space="preserve">25 </w:t>
      </w:r>
      <w:r w:rsidR="00C43A37" w:rsidRPr="001558A5">
        <w:rPr>
          <w:lang w:val="en-US"/>
        </w:rPr>
        <w:t>of this instrument</w:t>
      </w:r>
      <w:r w:rsidR="002236DE" w:rsidRPr="001558A5">
        <w:rPr>
          <w:lang w:val="en-US"/>
        </w:rPr>
        <w:t xml:space="preserve">, </w:t>
      </w:r>
      <w:r w:rsidRPr="001558A5">
        <w:rPr>
          <w:lang w:val="en-US"/>
        </w:rPr>
        <w:t xml:space="preserve">as well as for </w:t>
      </w:r>
      <w:r w:rsidR="00B74256" w:rsidRPr="001558A5">
        <w:rPr>
          <w:lang w:val="en-US"/>
        </w:rPr>
        <w:t>the violation of</w:t>
      </w:r>
      <w:r w:rsidRPr="001558A5">
        <w:rPr>
          <w:lang w:val="en-US"/>
        </w:rPr>
        <w:t xml:space="preserve"> the right to </w:t>
      </w:r>
      <w:r w:rsidR="00B732DD" w:rsidRPr="001558A5">
        <w:rPr>
          <w:lang w:val="en-US"/>
        </w:rPr>
        <w:t>personal integrity</w:t>
      </w:r>
      <w:r w:rsidR="002236DE" w:rsidRPr="001558A5">
        <w:rPr>
          <w:lang w:val="en-US"/>
        </w:rPr>
        <w:t xml:space="preserve"> </w:t>
      </w:r>
      <w:r w:rsidRPr="001558A5">
        <w:rPr>
          <w:lang w:val="en-US"/>
        </w:rPr>
        <w:t>contained in</w:t>
      </w:r>
      <w:r w:rsidR="002236DE" w:rsidRPr="001558A5">
        <w:rPr>
          <w:lang w:val="en-US"/>
        </w:rPr>
        <w:t xml:space="preserve"> </w:t>
      </w:r>
      <w:r w:rsidR="00871E19" w:rsidRPr="001558A5">
        <w:rPr>
          <w:lang w:val="en-US"/>
        </w:rPr>
        <w:t>Article</w:t>
      </w:r>
      <w:r w:rsidR="002236DE" w:rsidRPr="001558A5">
        <w:rPr>
          <w:lang w:val="en-US"/>
        </w:rPr>
        <w:t xml:space="preserve"> </w:t>
      </w:r>
      <w:r w:rsidR="00B732DD" w:rsidRPr="001558A5">
        <w:rPr>
          <w:lang w:val="en-US"/>
        </w:rPr>
        <w:t>5(1)</w:t>
      </w:r>
      <w:r w:rsidR="00DD4354" w:rsidRPr="001558A5">
        <w:rPr>
          <w:lang w:val="en-US"/>
        </w:rPr>
        <w:t xml:space="preserve"> of the </w:t>
      </w:r>
      <w:r w:rsidR="00871E19" w:rsidRPr="001558A5">
        <w:rPr>
          <w:lang w:val="en-US"/>
        </w:rPr>
        <w:t>American Convention on Human Rights</w:t>
      </w:r>
      <w:r w:rsidR="002236DE" w:rsidRPr="001558A5">
        <w:rPr>
          <w:lang w:val="en-US"/>
        </w:rPr>
        <w:t xml:space="preserve"> </w:t>
      </w:r>
      <w:r w:rsidR="00B43A52" w:rsidRPr="001558A5">
        <w:rPr>
          <w:lang w:val="en-US"/>
        </w:rPr>
        <w:t>to the detriment of</w:t>
      </w:r>
      <w:r w:rsidR="002236DE" w:rsidRPr="001558A5">
        <w:rPr>
          <w:lang w:val="en-US"/>
        </w:rPr>
        <w:t xml:space="preserve"> Vicky Hernández, </w:t>
      </w:r>
      <w:r w:rsidRPr="001558A5">
        <w:rPr>
          <w:lang w:val="en-US"/>
        </w:rPr>
        <w:t>pursuant to</w:t>
      </w:r>
      <w:r w:rsidR="002236DE" w:rsidRPr="001558A5">
        <w:rPr>
          <w:lang w:val="en-US"/>
        </w:rPr>
        <w:t xml:space="preserve"> </w:t>
      </w:r>
      <w:r w:rsidR="004E4879" w:rsidRPr="001558A5">
        <w:rPr>
          <w:lang w:val="en-US"/>
        </w:rPr>
        <w:t>paragraphs</w:t>
      </w:r>
      <w:r w:rsidR="002236DE" w:rsidRPr="001558A5">
        <w:rPr>
          <w:lang w:val="en-US"/>
        </w:rPr>
        <w:t xml:space="preserve"> </w:t>
      </w:r>
      <w:r w:rsidR="00D267B5" w:rsidRPr="001558A5">
        <w:rPr>
          <w:lang w:val="en-US"/>
        </w:rPr>
        <w:t xml:space="preserve">85 </w:t>
      </w:r>
      <w:r w:rsidRPr="001558A5">
        <w:rPr>
          <w:lang w:val="en-US"/>
        </w:rPr>
        <w:t>to</w:t>
      </w:r>
      <w:r w:rsidR="002236DE" w:rsidRPr="001558A5">
        <w:rPr>
          <w:lang w:val="en-US"/>
        </w:rPr>
        <w:t xml:space="preserve"> </w:t>
      </w:r>
      <w:r w:rsidR="00D267B5" w:rsidRPr="001558A5">
        <w:rPr>
          <w:lang w:val="en-US"/>
        </w:rPr>
        <w:t xml:space="preserve">102 </w:t>
      </w:r>
      <w:r w:rsidR="004E4879" w:rsidRPr="001558A5">
        <w:rPr>
          <w:lang w:val="en-US"/>
        </w:rPr>
        <w:t>of this judgment</w:t>
      </w:r>
      <w:r w:rsidR="002236DE" w:rsidRPr="001558A5">
        <w:rPr>
          <w:lang w:val="en-US"/>
        </w:rPr>
        <w:t>.</w:t>
      </w:r>
    </w:p>
    <w:p w14:paraId="1B7F4E28" w14:textId="24059664" w:rsidR="00CB672E" w:rsidRPr="001558A5" w:rsidRDefault="00CB672E" w:rsidP="00422325">
      <w:pPr>
        <w:pStyle w:val="Prrafodelista"/>
        <w:ind w:left="0" w:right="48"/>
        <w:contextualSpacing w:val="0"/>
        <w:rPr>
          <w:lang w:val="en-US"/>
        </w:rPr>
      </w:pPr>
    </w:p>
    <w:p w14:paraId="0CDA420C" w14:textId="239B7BB0" w:rsidR="008019FD" w:rsidRPr="001558A5" w:rsidRDefault="005E56DE" w:rsidP="008019FD">
      <w:pPr>
        <w:ind w:right="48"/>
        <w:rPr>
          <w:szCs w:val="20"/>
          <w:lang w:val="en-US"/>
        </w:rPr>
      </w:pPr>
      <w:r w:rsidRPr="001558A5">
        <w:rPr>
          <w:szCs w:val="20"/>
          <w:lang w:val="en-US"/>
        </w:rPr>
        <w:t>Unanimously that</w:t>
      </w:r>
      <w:r w:rsidR="008019FD" w:rsidRPr="001558A5">
        <w:rPr>
          <w:szCs w:val="20"/>
          <w:lang w:val="en-US"/>
        </w:rPr>
        <w:t>:</w:t>
      </w:r>
    </w:p>
    <w:p w14:paraId="77477ED9" w14:textId="77777777" w:rsidR="008019FD" w:rsidRPr="001558A5" w:rsidRDefault="008019FD" w:rsidP="00422325">
      <w:pPr>
        <w:pStyle w:val="Prrafodelista"/>
        <w:ind w:left="0" w:right="48"/>
        <w:contextualSpacing w:val="0"/>
        <w:rPr>
          <w:lang w:val="en-US"/>
        </w:rPr>
      </w:pPr>
    </w:p>
    <w:p w14:paraId="3958ACFF" w14:textId="79D62FB7" w:rsidR="002236DE" w:rsidRPr="001558A5" w:rsidRDefault="005E56DE" w:rsidP="00422325">
      <w:pPr>
        <w:pStyle w:val="Prrafodelista"/>
        <w:numPr>
          <w:ilvl w:val="3"/>
          <w:numId w:val="35"/>
        </w:numPr>
        <w:ind w:left="0" w:right="48" w:firstLine="0"/>
        <w:contextualSpacing w:val="0"/>
        <w:rPr>
          <w:lang w:val="en-US"/>
        </w:rPr>
      </w:pPr>
      <w:r w:rsidRPr="001558A5">
        <w:rPr>
          <w:lang w:val="en-US"/>
        </w:rPr>
        <w:t>The State is responsible for</w:t>
      </w:r>
      <w:r w:rsidR="002236DE" w:rsidRPr="001558A5">
        <w:rPr>
          <w:lang w:val="en-US"/>
        </w:rPr>
        <w:t xml:space="preserve"> </w:t>
      </w:r>
      <w:r w:rsidR="00B74256" w:rsidRPr="001558A5">
        <w:rPr>
          <w:lang w:val="en-US"/>
        </w:rPr>
        <w:t>the violation of</w:t>
      </w:r>
      <w:r w:rsidR="002236DE" w:rsidRPr="001558A5">
        <w:rPr>
          <w:lang w:val="en-US"/>
        </w:rPr>
        <w:t xml:space="preserve"> </w:t>
      </w:r>
      <w:r w:rsidRPr="001558A5">
        <w:rPr>
          <w:lang w:val="en-US"/>
        </w:rPr>
        <w:t>the rights to</w:t>
      </w:r>
      <w:r w:rsidR="002236DE" w:rsidRPr="001558A5">
        <w:rPr>
          <w:lang w:val="en-US"/>
        </w:rPr>
        <w:t xml:space="preserve"> </w:t>
      </w:r>
      <w:r w:rsidR="00B732DD" w:rsidRPr="001558A5">
        <w:rPr>
          <w:lang w:val="en-US"/>
        </w:rPr>
        <w:t>judicial guarantees</w:t>
      </w:r>
      <w:r w:rsidR="00DD4354" w:rsidRPr="001558A5">
        <w:rPr>
          <w:lang w:val="en-US"/>
        </w:rPr>
        <w:t xml:space="preserve"> and</w:t>
      </w:r>
      <w:r w:rsidR="002236DE" w:rsidRPr="001558A5">
        <w:rPr>
          <w:lang w:val="en-US"/>
        </w:rPr>
        <w:t xml:space="preserve"> </w:t>
      </w:r>
      <w:r w:rsidR="00B732DD" w:rsidRPr="001558A5">
        <w:rPr>
          <w:lang w:val="en-US"/>
        </w:rPr>
        <w:t>judicial protection</w:t>
      </w:r>
      <w:r w:rsidR="002236DE" w:rsidRPr="001558A5">
        <w:rPr>
          <w:lang w:val="en-US"/>
        </w:rPr>
        <w:t xml:space="preserve"> </w:t>
      </w:r>
      <w:r w:rsidRPr="001558A5">
        <w:rPr>
          <w:lang w:val="en-US"/>
        </w:rPr>
        <w:t>contained in</w:t>
      </w:r>
      <w:r w:rsidR="002236DE" w:rsidRPr="001558A5">
        <w:rPr>
          <w:lang w:val="en-US"/>
        </w:rPr>
        <w:t xml:space="preserve"> </w:t>
      </w:r>
      <w:r w:rsidR="00871E19" w:rsidRPr="001558A5">
        <w:rPr>
          <w:lang w:val="en-US"/>
        </w:rPr>
        <w:t>Articles</w:t>
      </w:r>
      <w:r w:rsidR="002236DE" w:rsidRPr="001558A5">
        <w:rPr>
          <w:lang w:val="en-US"/>
        </w:rPr>
        <w:t xml:space="preserve"> </w:t>
      </w:r>
      <w:r w:rsidR="00B732DD" w:rsidRPr="001558A5">
        <w:rPr>
          <w:lang w:val="en-US"/>
        </w:rPr>
        <w:t>8(1)</w:t>
      </w:r>
      <w:r w:rsidR="00DD4354" w:rsidRPr="001558A5">
        <w:rPr>
          <w:lang w:val="en-US"/>
        </w:rPr>
        <w:t xml:space="preserve"> and </w:t>
      </w:r>
      <w:r w:rsidR="002236DE" w:rsidRPr="001558A5">
        <w:rPr>
          <w:lang w:val="en-US"/>
        </w:rPr>
        <w:t>25</w:t>
      </w:r>
      <w:r w:rsidR="00DD4354" w:rsidRPr="001558A5">
        <w:rPr>
          <w:lang w:val="en-US"/>
        </w:rPr>
        <w:t xml:space="preserve"> of the </w:t>
      </w:r>
      <w:r w:rsidR="00871E19" w:rsidRPr="001558A5">
        <w:rPr>
          <w:lang w:val="en-US"/>
        </w:rPr>
        <w:t>American Convention on Human Rights</w:t>
      </w:r>
      <w:r w:rsidR="002236DE" w:rsidRPr="001558A5">
        <w:rPr>
          <w:lang w:val="en-US"/>
        </w:rPr>
        <w:t xml:space="preserve">, </w:t>
      </w:r>
      <w:r w:rsidRPr="001558A5">
        <w:rPr>
          <w:lang w:val="en-US"/>
        </w:rPr>
        <w:t>in relation to</w:t>
      </w:r>
      <w:r w:rsidR="002236DE" w:rsidRPr="001558A5">
        <w:rPr>
          <w:lang w:val="en-US"/>
        </w:rPr>
        <w:t xml:space="preserve"> </w:t>
      </w:r>
      <w:r w:rsidR="00B732DD" w:rsidRPr="001558A5">
        <w:rPr>
          <w:lang w:val="en-US"/>
        </w:rPr>
        <w:t>Article 1(1)</w:t>
      </w:r>
      <w:r w:rsidR="002236DE" w:rsidRPr="001558A5">
        <w:rPr>
          <w:lang w:val="en-US"/>
        </w:rPr>
        <w:t xml:space="preserve"> </w:t>
      </w:r>
      <w:r w:rsidR="00C43A37" w:rsidRPr="001558A5">
        <w:rPr>
          <w:lang w:val="en-US"/>
        </w:rPr>
        <w:t>of this instrument</w:t>
      </w:r>
      <w:r w:rsidR="002236DE" w:rsidRPr="001558A5">
        <w:rPr>
          <w:lang w:val="en-US"/>
        </w:rPr>
        <w:t xml:space="preserve">, </w:t>
      </w:r>
      <w:r w:rsidR="00B43A52" w:rsidRPr="001558A5">
        <w:rPr>
          <w:lang w:val="en-US"/>
        </w:rPr>
        <w:t>to the detriment of</w:t>
      </w:r>
      <w:r w:rsidR="00EF57A0" w:rsidRPr="001558A5">
        <w:rPr>
          <w:lang w:val="en-US"/>
        </w:rPr>
        <w:t xml:space="preserve"> </w:t>
      </w:r>
      <w:r w:rsidR="002236DE" w:rsidRPr="001558A5">
        <w:rPr>
          <w:lang w:val="en-US"/>
        </w:rPr>
        <w:t xml:space="preserve">Rosa </w:t>
      </w:r>
      <w:proofErr w:type="spellStart"/>
      <w:r w:rsidR="002236DE" w:rsidRPr="001558A5">
        <w:rPr>
          <w:lang w:val="en-US"/>
        </w:rPr>
        <w:t>Argelia</w:t>
      </w:r>
      <w:proofErr w:type="spellEnd"/>
      <w:r w:rsidR="002236DE" w:rsidRPr="001558A5">
        <w:rPr>
          <w:lang w:val="en-US"/>
        </w:rPr>
        <w:t xml:space="preserve"> Hernández </w:t>
      </w:r>
      <w:proofErr w:type="spellStart"/>
      <w:r w:rsidR="002236DE" w:rsidRPr="001558A5">
        <w:rPr>
          <w:lang w:val="en-US"/>
        </w:rPr>
        <w:t>Martínez</w:t>
      </w:r>
      <w:proofErr w:type="spellEnd"/>
      <w:r w:rsidR="002236DE" w:rsidRPr="001558A5">
        <w:rPr>
          <w:lang w:val="en-US"/>
        </w:rPr>
        <w:t xml:space="preserve">, </w:t>
      </w:r>
      <w:proofErr w:type="spellStart"/>
      <w:r w:rsidR="002236DE" w:rsidRPr="001558A5">
        <w:rPr>
          <w:lang w:val="en-US"/>
        </w:rPr>
        <w:t>Merelin</w:t>
      </w:r>
      <w:proofErr w:type="spellEnd"/>
      <w:r w:rsidR="002236DE" w:rsidRPr="001558A5">
        <w:rPr>
          <w:lang w:val="en-US"/>
        </w:rPr>
        <w:t xml:space="preserve"> Tatiana </w:t>
      </w:r>
      <w:proofErr w:type="spellStart"/>
      <w:r w:rsidR="002236DE" w:rsidRPr="001558A5">
        <w:rPr>
          <w:lang w:val="en-US"/>
        </w:rPr>
        <w:t>Rápalo</w:t>
      </w:r>
      <w:proofErr w:type="spellEnd"/>
      <w:r w:rsidR="002236DE" w:rsidRPr="001558A5">
        <w:rPr>
          <w:lang w:val="en-US"/>
        </w:rPr>
        <w:t xml:space="preserve"> Hernández</w:t>
      </w:r>
      <w:r w:rsidR="00DD4354" w:rsidRPr="001558A5">
        <w:rPr>
          <w:lang w:val="en-US"/>
        </w:rPr>
        <w:t xml:space="preserve"> and </w:t>
      </w:r>
      <w:proofErr w:type="spellStart"/>
      <w:r w:rsidR="002236DE" w:rsidRPr="001558A5">
        <w:rPr>
          <w:lang w:val="en-US"/>
        </w:rPr>
        <w:t>Argelia</w:t>
      </w:r>
      <w:proofErr w:type="spellEnd"/>
      <w:r w:rsidR="002236DE" w:rsidRPr="001558A5">
        <w:rPr>
          <w:lang w:val="en-US"/>
        </w:rPr>
        <w:t xml:space="preserve"> Johana Reyes Ríos, </w:t>
      </w:r>
      <w:r w:rsidRPr="001558A5">
        <w:rPr>
          <w:lang w:val="en-US"/>
        </w:rPr>
        <w:t>pursuant to</w:t>
      </w:r>
      <w:r w:rsidR="002236DE" w:rsidRPr="001558A5">
        <w:rPr>
          <w:lang w:val="en-US"/>
        </w:rPr>
        <w:t xml:space="preserve"> </w:t>
      </w:r>
      <w:r w:rsidR="004E4879" w:rsidRPr="001558A5">
        <w:rPr>
          <w:lang w:val="en-US"/>
        </w:rPr>
        <w:t>paragraphs</w:t>
      </w:r>
      <w:r w:rsidR="002236DE" w:rsidRPr="001558A5">
        <w:rPr>
          <w:lang w:val="en-US"/>
        </w:rPr>
        <w:t xml:space="preserve"> </w:t>
      </w:r>
      <w:r w:rsidR="00D267B5" w:rsidRPr="001558A5">
        <w:rPr>
          <w:lang w:val="en-US"/>
        </w:rPr>
        <w:t xml:space="preserve">103 </w:t>
      </w:r>
      <w:r w:rsidRPr="001558A5">
        <w:rPr>
          <w:lang w:val="en-US"/>
        </w:rPr>
        <w:t>to</w:t>
      </w:r>
      <w:r w:rsidR="002236DE" w:rsidRPr="001558A5">
        <w:rPr>
          <w:lang w:val="en-US"/>
        </w:rPr>
        <w:t xml:space="preserve"> </w:t>
      </w:r>
      <w:r w:rsidR="00D267B5" w:rsidRPr="001558A5">
        <w:rPr>
          <w:lang w:val="en-US"/>
        </w:rPr>
        <w:t xml:space="preserve">110 </w:t>
      </w:r>
      <w:r w:rsidR="004E4879" w:rsidRPr="001558A5">
        <w:rPr>
          <w:lang w:val="en-US"/>
        </w:rPr>
        <w:t>of this judgment</w:t>
      </w:r>
      <w:r w:rsidR="002236DE" w:rsidRPr="001558A5">
        <w:rPr>
          <w:lang w:val="en-US"/>
        </w:rPr>
        <w:t>.</w:t>
      </w:r>
    </w:p>
    <w:p w14:paraId="68C9521B" w14:textId="18438BF9" w:rsidR="00CB672E" w:rsidRPr="001558A5" w:rsidRDefault="00CB672E" w:rsidP="00422325">
      <w:pPr>
        <w:pStyle w:val="Prrafodelista"/>
        <w:ind w:left="0" w:right="48"/>
        <w:contextualSpacing w:val="0"/>
        <w:rPr>
          <w:lang w:val="en-US"/>
        </w:rPr>
      </w:pPr>
    </w:p>
    <w:p w14:paraId="0874DC80" w14:textId="4BB7EF03" w:rsidR="008019FD" w:rsidRPr="001558A5" w:rsidRDefault="005E56DE" w:rsidP="008019FD">
      <w:pPr>
        <w:ind w:right="48"/>
        <w:rPr>
          <w:szCs w:val="20"/>
          <w:lang w:val="en-US"/>
        </w:rPr>
      </w:pPr>
      <w:r w:rsidRPr="001558A5">
        <w:rPr>
          <w:szCs w:val="20"/>
          <w:lang w:val="en-US"/>
        </w:rPr>
        <w:t>Unanimously that</w:t>
      </w:r>
    </w:p>
    <w:p w14:paraId="47FB8C56" w14:textId="77777777" w:rsidR="008019FD" w:rsidRPr="001558A5" w:rsidRDefault="008019FD" w:rsidP="00422325">
      <w:pPr>
        <w:pStyle w:val="Prrafodelista"/>
        <w:ind w:left="0" w:right="48"/>
        <w:contextualSpacing w:val="0"/>
        <w:rPr>
          <w:lang w:val="en-US"/>
        </w:rPr>
      </w:pPr>
    </w:p>
    <w:p w14:paraId="62A13640" w14:textId="19B22249" w:rsidR="002236DE" w:rsidRPr="001558A5" w:rsidRDefault="005E56DE" w:rsidP="00422325">
      <w:pPr>
        <w:pStyle w:val="Prrafodelista"/>
        <w:numPr>
          <w:ilvl w:val="3"/>
          <w:numId w:val="35"/>
        </w:numPr>
        <w:ind w:left="0" w:right="48" w:firstLine="0"/>
        <w:contextualSpacing w:val="0"/>
        <w:rPr>
          <w:lang w:val="en-US"/>
        </w:rPr>
      </w:pPr>
      <w:r w:rsidRPr="001558A5">
        <w:rPr>
          <w:lang w:val="en-US"/>
        </w:rPr>
        <w:t>The State is responsible for</w:t>
      </w:r>
      <w:r w:rsidR="002236DE" w:rsidRPr="001558A5">
        <w:rPr>
          <w:lang w:val="en-US"/>
        </w:rPr>
        <w:t xml:space="preserve"> </w:t>
      </w:r>
      <w:r w:rsidR="00B74256" w:rsidRPr="001558A5">
        <w:rPr>
          <w:lang w:val="en-US"/>
        </w:rPr>
        <w:t>the violation of</w:t>
      </w:r>
      <w:r w:rsidR="002236DE" w:rsidRPr="001558A5">
        <w:rPr>
          <w:lang w:val="en-US"/>
        </w:rPr>
        <w:t xml:space="preserve"> </w:t>
      </w:r>
      <w:r w:rsidRPr="001558A5">
        <w:rPr>
          <w:lang w:val="en-US"/>
        </w:rPr>
        <w:t>the rights to</w:t>
      </w:r>
      <w:r w:rsidR="002236DE" w:rsidRPr="001558A5">
        <w:rPr>
          <w:lang w:val="en-US"/>
        </w:rPr>
        <w:t xml:space="preserve"> </w:t>
      </w:r>
      <w:r w:rsidR="00907FBD" w:rsidRPr="001558A5">
        <w:rPr>
          <w:lang w:val="en-US"/>
        </w:rPr>
        <w:t>recognition of juridical personality</w:t>
      </w:r>
      <w:r w:rsidR="002236DE" w:rsidRPr="001558A5">
        <w:rPr>
          <w:lang w:val="en-US"/>
        </w:rPr>
        <w:t xml:space="preserve">, </w:t>
      </w:r>
      <w:r w:rsidR="004A4A92" w:rsidRPr="001558A5">
        <w:rPr>
          <w:lang w:val="en-US"/>
        </w:rPr>
        <w:t>personal liberty</w:t>
      </w:r>
      <w:r w:rsidR="002236DE" w:rsidRPr="001558A5">
        <w:rPr>
          <w:lang w:val="en-US"/>
        </w:rPr>
        <w:t xml:space="preserve">, </w:t>
      </w:r>
      <w:r w:rsidRPr="001558A5">
        <w:rPr>
          <w:lang w:val="en-US"/>
        </w:rPr>
        <w:t>privacy</w:t>
      </w:r>
      <w:r w:rsidR="002236DE" w:rsidRPr="001558A5">
        <w:rPr>
          <w:lang w:val="en-US"/>
        </w:rPr>
        <w:t xml:space="preserve">, </w:t>
      </w:r>
      <w:r w:rsidR="00B732DD" w:rsidRPr="001558A5">
        <w:rPr>
          <w:lang w:val="en-US"/>
        </w:rPr>
        <w:t>freedom of expression</w:t>
      </w:r>
      <w:r w:rsidR="00DD4354" w:rsidRPr="001558A5">
        <w:rPr>
          <w:lang w:val="en-US"/>
        </w:rPr>
        <w:t xml:space="preserve"> and </w:t>
      </w:r>
      <w:r w:rsidRPr="001558A5">
        <w:rPr>
          <w:lang w:val="en-US"/>
        </w:rPr>
        <w:t>a name</w:t>
      </w:r>
      <w:r w:rsidR="002236DE" w:rsidRPr="001558A5">
        <w:rPr>
          <w:lang w:val="en-US"/>
        </w:rPr>
        <w:t xml:space="preserve"> </w:t>
      </w:r>
      <w:r w:rsidRPr="001558A5">
        <w:rPr>
          <w:lang w:val="en-US"/>
        </w:rPr>
        <w:t>contained in</w:t>
      </w:r>
      <w:r w:rsidR="002236DE" w:rsidRPr="001558A5">
        <w:rPr>
          <w:lang w:val="en-US"/>
        </w:rPr>
        <w:t xml:space="preserve"> </w:t>
      </w:r>
      <w:r w:rsidR="00871E19" w:rsidRPr="001558A5">
        <w:rPr>
          <w:lang w:val="en-US"/>
        </w:rPr>
        <w:t>Articles</w:t>
      </w:r>
      <w:r w:rsidR="002236DE" w:rsidRPr="001558A5">
        <w:rPr>
          <w:lang w:val="en-US"/>
        </w:rPr>
        <w:t xml:space="preserve"> </w:t>
      </w:r>
      <w:r w:rsidR="009D7DC8" w:rsidRPr="001558A5">
        <w:rPr>
          <w:lang w:val="en-US"/>
        </w:rPr>
        <w:t>3, 7, 11, 13</w:t>
      </w:r>
      <w:r w:rsidR="00DD4354" w:rsidRPr="001558A5">
        <w:rPr>
          <w:lang w:val="en-US"/>
        </w:rPr>
        <w:t xml:space="preserve"> and </w:t>
      </w:r>
      <w:r w:rsidR="009D7DC8" w:rsidRPr="001558A5">
        <w:rPr>
          <w:lang w:val="en-US"/>
        </w:rPr>
        <w:t>18</w:t>
      </w:r>
      <w:r w:rsidR="00DD4354" w:rsidRPr="001558A5">
        <w:rPr>
          <w:lang w:val="en-US"/>
        </w:rPr>
        <w:t xml:space="preserve"> of the </w:t>
      </w:r>
      <w:r w:rsidR="00871E19" w:rsidRPr="001558A5">
        <w:rPr>
          <w:lang w:val="en-US"/>
        </w:rPr>
        <w:t>American Convention on Human Rights</w:t>
      </w:r>
      <w:r w:rsidR="002236DE" w:rsidRPr="001558A5">
        <w:rPr>
          <w:lang w:val="en-US"/>
        </w:rPr>
        <w:t xml:space="preserve">, </w:t>
      </w:r>
      <w:r w:rsidRPr="001558A5">
        <w:rPr>
          <w:lang w:val="en-US"/>
        </w:rPr>
        <w:t>in relation to</w:t>
      </w:r>
      <w:r w:rsidR="002236DE" w:rsidRPr="001558A5">
        <w:rPr>
          <w:lang w:val="en-US"/>
        </w:rPr>
        <w:t xml:space="preserve"> </w:t>
      </w:r>
      <w:r w:rsidR="00B43A52" w:rsidRPr="001558A5">
        <w:rPr>
          <w:lang w:val="en-US"/>
        </w:rPr>
        <w:t>Articles 1(1)</w:t>
      </w:r>
      <w:r w:rsidR="00653DF8" w:rsidRPr="001558A5">
        <w:rPr>
          <w:lang w:val="en-US"/>
        </w:rPr>
        <w:t>,</w:t>
      </w:r>
      <w:r w:rsidR="009D7DC8" w:rsidRPr="001558A5">
        <w:rPr>
          <w:lang w:val="en-US"/>
        </w:rPr>
        <w:t xml:space="preserve"> </w:t>
      </w:r>
      <w:r w:rsidR="00563DCD" w:rsidRPr="001558A5">
        <w:rPr>
          <w:lang w:val="en-US"/>
        </w:rPr>
        <w:t xml:space="preserve">8, </w:t>
      </w:r>
      <w:r w:rsidR="002236DE" w:rsidRPr="001558A5">
        <w:rPr>
          <w:lang w:val="en-US"/>
        </w:rPr>
        <w:t>24</w:t>
      </w:r>
      <w:r w:rsidR="00DD4354" w:rsidRPr="001558A5">
        <w:rPr>
          <w:lang w:val="en-US"/>
        </w:rPr>
        <w:t xml:space="preserve"> and </w:t>
      </w:r>
      <w:r w:rsidR="00563DCD" w:rsidRPr="001558A5">
        <w:rPr>
          <w:lang w:val="en-US"/>
        </w:rPr>
        <w:t xml:space="preserve">25 </w:t>
      </w:r>
      <w:r w:rsidR="00C43A37" w:rsidRPr="001558A5">
        <w:rPr>
          <w:lang w:val="en-US"/>
        </w:rPr>
        <w:t>of this instrument</w:t>
      </w:r>
      <w:r w:rsidR="002236DE" w:rsidRPr="001558A5">
        <w:rPr>
          <w:lang w:val="en-US"/>
        </w:rPr>
        <w:t xml:space="preserve">, </w:t>
      </w:r>
      <w:r w:rsidR="00B43A52" w:rsidRPr="001558A5">
        <w:rPr>
          <w:lang w:val="en-US"/>
        </w:rPr>
        <w:t>to the detriment of</w:t>
      </w:r>
      <w:r w:rsidR="002236DE" w:rsidRPr="001558A5">
        <w:rPr>
          <w:lang w:val="en-US"/>
        </w:rPr>
        <w:t xml:space="preserve"> Vicky Hernández, </w:t>
      </w:r>
      <w:r w:rsidRPr="001558A5">
        <w:rPr>
          <w:lang w:val="en-US"/>
        </w:rPr>
        <w:t>pursuant to</w:t>
      </w:r>
      <w:r w:rsidR="002236DE" w:rsidRPr="001558A5">
        <w:rPr>
          <w:lang w:val="en-US"/>
        </w:rPr>
        <w:t xml:space="preserve"> </w:t>
      </w:r>
      <w:r w:rsidR="004E4879" w:rsidRPr="001558A5">
        <w:rPr>
          <w:lang w:val="en-US"/>
        </w:rPr>
        <w:t>paragraphs</w:t>
      </w:r>
      <w:r w:rsidR="002236DE" w:rsidRPr="001558A5">
        <w:rPr>
          <w:lang w:val="en-US"/>
        </w:rPr>
        <w:t xml:space="preserve"> </w:t>
      </w:r>
      <w:r w:rsidR="00D267B5" w:rsidRPr="001558A5">
        <w:rPr>
          <w:lang w:val="en-US"/>
        </w:rPr>
        <w:t xml:space="preserve">111 </w:t>
      </w:r>
      <w:r w:rsidRPr="001558A5">
        <w:rPr>
          <w:lang w:val="en-US"/>
        </w:rPr>
        <w:t>to</w:t>
      </w:r>
      <w:r w:rsidR="002236DE" w:rsidRPr="001558A5">
        <w:rPr>
          <w:lang w:val="en-US"/>
        </w:rPr>
        <w:t xml:space="preserve"> </w:t>
      </w:r>
      <w:r w:rsidR="00D267B5" w:rsidRPr="001558A5">
        <w:rPr>
          <w:lang w:val="en-US"/>
        </w:rPr>
        <w:t xml:space="preserve">125 </w:t>
      </w:r>
      <w:r w:rsidR="004E4879" w:rsidRPr="001558A5">
        <w:rPr>
          <w:lang w:val="en-US"/>
        </w:rPr>
        <w:t>of this judgment</w:t>
      </w:r>
      <w:r w:rsidR="002236DE" w:rsidRPr="001558A5">
        <w:rPr>
          <w:lang w:val="en-US"/>
        </w:rPr>
        <w:t>.</w:t>
      </w:r>
    </w:p>
    <w:p w14:paraId="3847309A" w14:textId="1551B05B" w:rsidR="008019FD" w:rsidRPr="001558A5" w:rsidRDefault="008019FD" w:rsidP="008019FD">
      <w:pPr>
        <w:ind w:right="48"/>
        <w:rPr>
          <w:lang w:val="en-US"/>
        </w:rPr>
      </w:pPr>
    </w:p>
    <w:p w14:paraId="37BDB0A0" w14:textId="1D39B103" w:rsidR="008019FD" w:rsidRPr="001558A5" w:rsidRDefault="005E56DE" w:rsidP="008019FD">
      <w:pPr>
        <w:ind w:right="48"/>
        <w:rPr>
          <w:szCs w:val="20"/>
          <w:lang w:val="en-US"/>
        </w:rPr>
      </w:pPr>
      <w:r w:rsidRPr="001558A5">
        <w:rPr>
          <w:szCs w:val="20"/>
          <w:lang w:val="en-US"/>
        </w:rPr>
        <w:t>Unanimously that</w:t>
      </w:r>
      <w:r w:rsidR="008019FD" w:rsidRPr="001558A5">
        <w:rPr>
          <w:szCs w:val="20"/>
          <w:lang w:val="en-US"/>
        </w:rPr>
        <w:t>:</w:t>
      </w:r>
    </w:p>
    <w:p w14:paraId="5DAB16E1" w14:textId="77777777" w:rsidR="002236DE" w:rsidRPr="001558A5" w:rsidRDefault="002236DE" w:rsidP="00422325">
      <w:pPr>
        <w:pStyle w:val="Prrafodelista"/>
        <w:ind w:right="48"/>
        <w:rPr>
          <w:lang w:val="en-US"/>
        </w:rPr>
      </w:pPr>
    </w:p>
    <w:p w14:paraId="0799A995" w14:textId="3E7F3CAB" w:rsidR="002236DE" w:rsidRPr="001558A5" w:rsidRDefault="005E56DE" w:rsidP="00422325">
      <w:pPr>
        <w:pStyle w:val="Prrafodelista"/>
        <w:numPr>
          <w:ilvl w:val="3"/>
          <w:numId w:val="35"/>
        </w:numPr>
        <w:ind w:left="0" w:right="48" w:firstLine="0"/>
        <w:contextualSpacing w:val="0"/>
        <w:rPr>
          <w:lang w:val="en-US"/>
        </w:rPr>
      </w:pPr>
      <w:r w:rsidRPr="001558A5">
        <w:rPr>
          <w:lang w:val="en-US"/>
        </w:rPr>
        <w:t>The State is responsible for</w:t>
      </w:r>
      <w:r w:rsidR="002236DE" w:rsidRPr="001558A5">
        <w:rPr>
          <w:lang w:val="en-US"/>
        </w:rPr>
        <w:t xml:space="preserve"> </w:t>
      </w:r>
      <w:r w:rsidR="00B74256" w:rsidRPr="001558A5">
        <w:rPr>
          <w:lang w:val="en-US"/>
        </w:rPr>
        <w:t xml:space="preserve">the violation </w:t>
      </w:r>
      <w:r w:rsidRPr="001558A5">
        <w:rPr>
          <w:lang w:val="en-US"/>
        </w:rPr>
        <w:t>of the right to</w:t>
      </w:r>
      <w:r w:rsidR="002236DE" w:rsidRPr="001558A5">
        <w:rPr>
          <w:lang w:val="en-US"/>
        </w:rPr>
        <w:t xml:space="preserve"> </w:t>
      </w:r>
      <w:r w:rsidR="00B732DD" w:rsidRPr="001558A5">
        <w:rPr>
          <w:lang w:val="en-US"/>
        </w:rPr>
        <w:t>personal integrity</w:t>
      </w:r>
      <w:r w:rsidR="002236DE" w:rsidRPr="001558A5">
        <w:rPr>
          <w:lang w:val="en-US"/>
        </w:rPr>
        <w:t xml:space="preserve"> </w:t>
      </w:r>
      <w:r w:rsidRPr="001558A5">
        <w:rPr>
          <w:lang w:val="en-US"/>
        </w:rPr>
        <w:t>contained in</w:t>
      </w:r>
      <w:r w:rsidR="002236DE" w:rsidRPr="001558A5">
        <w:rPr>
          <w:lang w:val="en-US"/>
        </w:rPr>
        <w:t xml:space="preserve"> </w:t>
      </w:r>
      <w:r w:rsidR="00871E19" w:rsidRPr="001558A5">
        <w:rPr>
          <w:lang w:val="en-US"/>
        </w:rPr>
        <w:t>Article</w:t>
      </w:r>
      <w:r w:rsidR="002236DE" w:rsidRPr="001558A5">
        <w:rPr>
          <w:lang w:val="en-US"/>
        </w:rPr>
        <w:t xml:space="preserve"> </w:t>
      </w:r>
      <w:r w:rsidR="00B732DD" w:rsidRPr="001558A5">
        <w:rPr>
          <w:lang w:val="en-US"/>
        </w:rPr>
        <w:t>5(1)</w:t>
      </w:r>
      <w:r w:rsidR="00DD4354" w:rsidRPr="001558A5">
        <w:rPr>
          <w:lang w:val="en-US"/>
        </w:rPr>
        <w:t xml:space="preserve"> of the </w:t>
      </w:r>
      <w:r w:rsidR="00871E19" w:rsidRPr="001558A5">
        <w:rPr>
          <w:lang w:val="en-US"/>
        </w:rPr>
        <w:t>American Convention on Human Rights</w:t>
      </w:r>
      <w:r w:rsidR="002236DE" w:rsidRPr="001558A5">
        <w:rPr>
          <w:lang w:val="en-US"/>
        </w:rPr>
        <w:t xml:space="preserve">, </w:t>
      </w:r>
      <w:r w:rsidRPr="001558A5">
        <w:rPr>
          <w:lang w:val="en-US"/>
        </w:rPr>
        <w:t>in relation to</w:t>
      </w:r>
      <w:r w:rsidR="002236DE" w:rsidRPr="001558A5">
        <w:rPr>
          <w:lang w:val="en-US"/>
        </w:rPr>
        <w:t xml:space="preserve"> </w:t>
      </w:r>
      <w:r w:rsidR="00B732DD" w:rsidRPr="001558A5">
        <w:rPr>
          <w:lang w:val="en-US"/>
        </w:rPr>
        <w:t>Article 1(1)</w:t>
      </w:r>
      <w:r w:rsidR="002236DE" w:rsidRPr="001558A5">
        <w:rPr>
          <w:lang w:val="en-US"/>
        </w:rPr>
        <w:t xml:space="preserve"> </w:t>
      </w:r>
      <w:r w:rsidR="00C43A37" w:rsidRPr="001558A5">
        <w:rPr>
          <w:lang w:val="en-US"/>
        </w:rPr>
        <w:t>of this instrument</w:t>
      </w:r>
      <w:r w:rsidR="002236DE" w:rsidRPr="001558A5">
        <w:rPr>
          <w:lang w:val="en-US"/>
        </w:rPr>
        <w:t xml:space="preserve">, </w:t>
      </w:r>
      <w:r w:rsidR="00B43A52" w:rsidRPr="001558A5">
        <w:rPr>
          <w:lang w:val="en-US"/>
        </w:rPr>
        <w:t>to the detriment of</w:t>
      </w:r>
      <w:r w:rsidR="002236DE" w:rsidRPr="001558A5">
        <w:rPr>
          <w:lang w:val="en-US"/>
        </w:rPr>
        <w:t xml:space="preserve"> Rosa </w:t>
      </w:r>
      <w:proofErr w:type="spellStart"/>
      <w:r w:rsidR="002236DE" w:rsidRPr="001558A5">
        <w:rPr>
          <w:lang w:val="en-US"/>
        </w:rPr>
        <w:t>Argelia</w:t>
      </w:r>
      <w:proofErr w:type="spellEnd"/>
      <w:r w:rsidR="002236DE" w:rsidRPr="001558A5">
        <w:rPr>
          <w:lang w:val="en-US"/>
        </w:rPr>
        <w:t xml:space="preserve"> Hernández </w:t>
      </w:r>
      <w:proofErr w:type="spellStart"/>
      <w:r w:rsidR="002236DE" w:rsidRPr="001558A5">
        <w:rPr>
          <w:lang w:val="en-US"/>
        </w:rPr>
        <w:t>Martínez</w:t>
      </w:r>
      <w:proofErr w:type="spellEnd"/>
      <w:r w:rsidR="002236DE" w:rsidRPr="001558A5">
        <w:rPr>
          <w:lang w:val="en-US"/>
        </w:rPr>
        <w:t xml:space="preserve">, </w:t>
      </w:r>
      <w:proofErr w:type="spellStart"/>
      <w:r w:rsidR="002236DE" w:rsidRPr="001558A5">
        <w:rPr>
          <w:lang w:val="en-US"/>
        </w:rPr>
        <w:t>Merelin</w:t>
      </w:r>
      <w:proofErr w:type="spellEnd"/>
      <w:r w:rsidR="002236DE" w:rsidRPr="001558A5">
        <w:rPr>
          <w:lang w:val="en-US"/>
        </w:rPr>
        <w:t xml:space="preserve"> Tatiana </w:t>
      </w:r>
      <w:proofErr w:type="spellStart"/>
      <w:r w:rsidR="002236DE" w:rsidRPr="001558A5">
        <w:rPr>
          <w:lang w:val="en-US"/>
        </w:rPr>
        <w:t>Rápalo</w:t>
      </w:r>
      <w:proofErr w:type="spellEnd"/>
      <w:r w:rsidR="002236DE" w:rsidRPr="001558A5">
        <w:rPr>
          <w:lang w:val="en-US"/>
        </w:rPr>
        <w:t xml:space="preserve"> Hernández</w:t>
      </w:r>
      <w:r w:rsidR="00DD4354" w:rsidRPr="001558A5">
        <w:rPr>
          <w:lang w:val="en-US"/>
        </w:rPr>
        <w:t xml:space="preserve"> and </w:t>
      </w:r>
      <w:proofErr w:type="spellStart"/>
      <w:r w:rsidR="002236DE" w:rsidRPr="001558A5">
        <w:rPr>
          <w:lang w:val="en-US"/>
        </w:rPr>
        <w:t>Argelia</w:t>
      </w:r>
      <w:proofErr w:type="spellEnd"/>
      <w:r w:rsidR="002236DE" w:rsidRPr="001558A5">
        <w:rPr>
          <w:lang w:val="en-US"/>
        </w:rPr>
        <w:t xml:space="preserve"> Johana Reyes Ríos, </w:t>
      </w:r>
      <w:r w:rsidRPr="001558A5">
        <w:rPr>
          <w:lang w:val="en-US"/>
        </w:rPr>
        <w:t>pursuant to</w:t>
      </w:r>
      <w:r w:rsidR="002236DE" w:rsidRPr="001558A5">
        <w:rPr>
          <w:lang w:val="en-US"/>
        </w:rPr>
        <w:t xml:space="preserve"> </w:t>
      </w:r>
      <w:r w:rsidR="004E4879" w:rsidRPr="001558A5">
        <w:rPr>
          <w:lang w:val="en-US"/>
        </w:rPr>
        <w:t>paragraphs</w:t>
      </w:r>
      <w:r w:rsidR="002236DE" w:rsidRPr="001558A5">
        <w:rPr>
          <w:lang w:val="en-US"/>
        </w:rPr>
        <w:t xml:space="preserve"> </w:t>
      </w:r>
      <w:r w:rsidR="00D267B5" w:rsidRPr="001558A5">
        <w:rPr>
          <w:lang w:val="en-US"/>
        </w:rPr>
        <w:t xml:space="preserve">140 </w:t>
      </w:r>
      <w:r w:rsidRPr="001558A5">
        <w:rPr>
          <w:lang w:val="en-US"/>
        </w:rPr>
        <w:t>to</w:t>
      </w:r>
      <w:r w:rsidR="002236DE" w:rsidRPr="001558A5">
        <w:rPr>
          <w:lang w:val="en-US"/>
        </w:rPr>
        <w:t xml:space="preserve"> </w:t>
      </w:r>
      <w:r w:rsidR="00D267B5" w:rsidRPr="001558A5">
        <w:rPr>
          <w:lang w:val="en-US"/>
        </w:rPr>
        <w:t xml:space="preserve">143 </w:t>
      </w:r>
      <w:r w:rsidR="004E4879" w:rsidRPr="001558A5">
        <w:rPr>
          <w:lang w:val="en-US"/>
        </w:rPr>
        <w:t>of this judgment</w:t>
      </w:r>
      <w:r w:rsidR="002236DE" w:rsidRPr="001558A5">
        <w:rPr>
          <w:lang w:val="en-US"/>
        </w:rPr>
        <w:t>.</w:t>
      </w:r>
    </w:p>
    <w:p w14:paraId="0A8F6F61" w14:textId="77777777" w:rsidR="002236DE" w:rsidRPr="001558A5" w:rsidRDefault="002236DE" w:rsidP="00422325">
      <w:pPr>
        <w:pStyle w:val="Prrafodelista"/>
        <w:ind w:right="48"/>
        <w:rPr>
          <w:lang w:val="en-US"/>
        </w:rPr>
      </w:pPr>
    </w:p>
    <w:p w14:paraId="2058B55E" w14:textId="55A6C8D9" w:rsidR="006F2B6F" w:rsidRPr="001558A5" w:rsidRDefault="005E56DE" w:rsidP="00422325">
      <w:pPr>
        <w:ind w:right="48"/>
        <w:rPr>
          <w:szCs w:val="20"/>
          <w:lang w:val="en-US"/>
        </w:rPr>
      </w:pPr>
      <w:r w:rsidRPr="001558A5">
        <w:rPr>
          <w:szCs w:val="20"/>
          <w:lang w:val="en-US"/>
        </w:rPr>
        <w:t xml:space="preserve">By five votes to two, that: </w:t>
      </w:r>
    </w:p>
    <w:p w14:paraId="21ECCC7A" w14:textId="77777777" w:rsidR="006F2B6F" w:rsidRPr="001558A5" w:rsidRDefault="006F2B6F" w:rsidP="00422325">
      <w:pPr>
        <w:ind w:right="48"/>
        <w:rPr>
          <w:lang w:val="en-US"/>
        </w:rPr>
      </w:pPr>
    </w:p>
    <w:p w14:paraId="29441424" w14:textId="71655648" w:rsidR="002236DE" w:rsidRPr="001558A5" w:rsidRDefault="005E56DE" w:rsidP="00422325">
      <w:pPr>
        <w:pStyle w:val="Prrafodelista"/>
        <w:numPr>
          <w:ilvl w:val="3"/>
          <w:numId w:val="35"/>
        </w:numPr>
        <w:ind w:left="0" w:right="48" w:firstLine="0"/>
        <w:contextualSpacing w:val="0"/>
        <w:rPr>
          <w:lang w:val="en-US"/>
        </w:rPr>
      </w:pPr>
      <w:r w:rsidRPr="001558A5">
        <w:rPr>
          <w:lang w:val="en-US"/>
        </w:rPr>
        <w:t>The State is responsible for</w:t>
      </w:r>
      <w:r w:rsidR="002236DE" w:rsidRPr="001558A5">
        <w:rPr>
          <w:lang w:val="en-US"/>
        </w:rPr>
        <w:t xml:space="preserve"> </w:t>
      </w:r>
      <w:r w:rsidRPr="001558A5">
        <w:rPr>
          <w:lang w:val="en-US"/>
        </w:rPr>
        <w:t xml:space="preserve">failure to comply with the obligations </w:t>
      </w:r>
      <w:r w:rsidR="00B732DD" w:rsidRPr="001558A5">
        <w:rPr>
          <w:lang w:val="en-US"/>
        </w:rPr>
        <w:t>established in</w:t>
      </w:r>
      <w:r w:rsidR="008F6E7D" w:rsidRPr="001558A5">
        <w:rPr>
          <w:lang w:val="en-US"/>
        </w:rPr>
        <w:t xml:space="preserve"> </w:t>
      </w:r>
      <w:r w:rsidR="00871E19" w:rsidRPr="001558A5">
        <w:rPr>
          <w:lang w:val="en-US"/>
        </w:rPr>
        <w:t>Article</w:t>
      </w:r>
      <w:r w:rsidR="002236DE" w:rsidRPr="001558A5">
        <w:rPr>
          <w:lang w:val="en-US"/>
        </w:rPr>
        <w:t xml:space="preserve"> 7</w:t>
      </w:r>
      <w:r w:rsidRPr="001558A5">
        <w:rPr>
          <w:lang w:val="en-US"/>
        </w:rPr>
        <w:t>(</w:t>
      </w:r>
      <w:r w:rsidR="002236DE" w:rsidRPr="001558A5">
        <w:rPr>
          <w:lang w:val="en-US"/>
        </w:rPr>
        <w:t>a</w:t>
      </w:r>
      <w:r w:rsidRPr="001558A5">
        <w:rPr>
          <w:lang w:val="en-US"/>
        </w:rPr>
        <w:t>)</w:t>
      </w:r>
      <w:r w:rsidR="00DD4354" w:rsidRPr="001558A5">
        <w:rPr>
          <w:lang w:val="en-US"/>
        </w:rPr>
        <w:t xml:space="preserve"> of the </w:t>
      </w:r>
      <w:r w:rsidR="00B732DD" w:rsidRPr="001558A5">
        <w:rPr>
          <w:lang w:val="en-US"/>
        </w:rPr>
        <w:t>Inter-American Convention for the Prevention, Punishment and Eradication of Violence against Women</w:t>
      </w:r>
      <w:r w:rsidR="002236DE" w:rsidRPr="001558A5">
        <w:rPr>
          <w:lang w:val="en-US"/>
        </w:rPr>
        <w:t xml:space="preserve"> </w:t>
      </w:r>
      <w:r w:rsidR="00B43A52" w:rsidRPr="001558A5">
        <w:rPr>
          <w:lang w:val="en-US"/>
        </w:rPr>
        <w:t>to the detriment of</w:t>
      </w:r>
      <w:r w:rsidR="002236DE" w:rsidRPr="001558A5">
        <w:rPr>
          <w:lang w:val="en-US"/>
        </w:rPr>
        <w:t xml:space="preserve"> Vicky Hernández,</w:t>
      </w:r>
      <w:r w:rsidR="00DD4354" w:rsidRPr="001558A5">
        <w:rPr>
          <w:lang w:val="en-US"/>
        </w:rPr>
        <w:t xml:space="preserve"> and</w:t>
      </w:r>
      <w:r w:rsidR="008F6E7D" w:rsidRPr="001558A5">
        <w:rPr>
          <w:lang w:val="en-US"/>
        </w:rPr>
        <w:t xml:space="preserve"> </w:t>
      </w:r>
      <w:r w:rsidR="00871E19" w:rsidRPr="001558A5">
        <w:rPr>
          <w:lang w:val="en-US"/>
        </w:rPr>
        <w:t>Article</w:t>
      </w:r>
      <w:r w:rsidR="002236DE" w:rsidRPr="001558A5">
        <w:rPr>
          <w:lang w:val="en-US"/>
        </w:rPr>
        <w:t xml:space="preserve"> 7</w:t>
      </w:r>
      <w:r w:rsidRPr="001558A5">
        <w:rPr>
          <w:lang w:val="en-US"/>
        </w:rPr>
        <w:t>(</w:t>
      </w:r>
      <w:r w:rsidR="002236DE" w:rsidRPr="001558A5">
        <w:rPr>
          <w:lang w:val="en-US"/>
        </w:rPr>
        <w:t>b</w:t>
      </w:r>
      <w:r w:rsidRPr="001558A5">
        <w:rPr>
          <w:lang w:val="en-US"/>
        </w:rPr>
        <w:t>)</w:t>
      </w:r>
      <w:r w:rsidR="002236DE" w:rsidRPr="001558A5">
        <w:rPr>
          <w:lang w:val="en-US"/>
        </w:rPr>
        <w:t xml:space="preserve"> </w:t>
      </w:r>
      <w:r w:rsidR="00C43A37" w:rsidRPr="001558A5">
        <w:rPr>
          <w:lang w:val="en-US"/>
        </w:rPr>
        <w:t>of this instrument</w:t>
      </w:r>
      <w:r w:rsidR="002236DE" w:rsidRPr="001558A5">
        <w:rPr>
          <w:lang w:val="en-US"/>
        </w:rPr>
        <w:t xml:space="preserve"> </w:t>
      </w:r>
      <w:r w:rsidR="00B43A52" w:rsidRPr="001558A5">
        <w:rPr>
          <w:lang w:val="en-US"/>
        </w:rPr>
        <w:t>to the detriment of</w:t>
      </w:r>
      <w:r w:rsidR="002236DE" w:rsidRPr="001558A5">
        <w:rPr>
          <w:lang w:val="en-US"/>
        </w:rPr>
        <w:t xml:space="preserve"> Rosa </w:t>
      </w:r>
      <w:proofErr w:type="spellStart"/>
      <w:r w:rsidR="002236DE" w:rsidRPr="001558A5">
        <w:rPr>
          <w:lang w:val="en-US"/>
        </w:rPr>
        <w:t>Argelia</w:t>
      </w:r>
      <w:proofErr w:type="spellEnd"/>
      <w:r w:rsidR="002236DE" w:rsidRPr="001558A5">
        <w:rPr>
          <w:lang w:val="en-US"/>
        </w:rPr>
        <w:t xml:space="preserve"> Hernández </w:t>
      </w:r>
      <w:proofErr w:type="spellStart"/>
      <w:r w:rsidR="002236DE" w:rsidRPr="001558A5">
        <w:rPr>
          <w:lang w:val="en-US"/>
        </w:rPr>
        <w:t>Martínez</w:t>
      </w:r>
      <w:proofErr w:type="spellEnd"/>
      <w:r w:rsidR="002236DE" w:rsidRPr="001558A5">
        <w:rPr>
          <w:lang w:val="en-US"/>
        </w:rPr>
        <w:t xml:space="preserve">, </w:t>
      </w:r>
      <w:proofErr w:type="spellStart"/>
      <w:r w:rsidR="002236DE" w:rsidRPr="001558A5">
        <w:rPr>
          <w:lang w:val="en-US"/>
        </w:rPr>
        <w:t>Merelin</w:t>
      </w:r>
      <w:proofErr w:type="spellEnd"/>
      <w:r w:rsidR="002236DE" w:rsidRPr="001558A5">
        <w:rPr>
          <w:lang w:val="en-US"/>
        </w:rPr>
        <w:t xml:space="preserve"> Tatiana </w:t>
      </w:r>
      <w:proofErr w:type="spellStart"/>
      <w:r w:rsidR="002236DE" w:rsidRPr="001558A5">
        <w:rPr>
          <w:lang w:val="en-US"/>
        </w:rPr>
        <w:t>Rápalo</w:t>
      </w:r>
      <w:proofErr w:type="spellEnd"/>
      <w:r w:rsidR="002236DE" w:rsidRPr="001558A5">
        <w:rPr>
          <w:lang w:val="en-US"/>
        </w:rPr>
        <w:t xml:space="preserve"> Hernández</w:t>
      </w:r>
      <w:r w:rsidR="00DD4354" w:rsidRPr="001558A5">
        <w:rPr>
          <w:lang w:val="en-US"/>
        </w:rPr>
        <w:t xml:space="preserve"> and </w:t>
      </w:r>
      <w:proofErr w:type="spellStart"/>
      <w:r w:rsidR="002236DE" w:rsidRPr="001558A5">
        <w:rPr>
          <w:lang w:val="en-US"/>
        </w:rPr>
        <w:t>Argelia</w:t>
      </w:r>
      <w:proofErr w:type="spellEnd"/>
      <w:r w:rsidR="002236DE" w:rsidRPr="001558A5">
        <w:rPr>
          <w:lang w:val="en-US"/>
        </w:rPr>
        <w:t xml:space="preserve"> Johana Reyes Ríos, </w:t>
      </w:r>
      <w:r w:rsidRPr="001558A5">
        <w:rPr>
          <w:lang w:val="en-US"/>
        </w:rPr>
        <w:t>pursuant to</w:t>
      </w:r>
      <w:r w:rsidR="002236DE" w:rsidRPr="001558A5">
        <w:rPr>
          <w:lang w:val="en-US"/>
        </w:rPr>
        <w:t xml:space="preserve"> </w:t>
      </w:r>
      <w:r w:rsidR="004E4879" w:rsidRPr="001558A5">
        <w:rPr>
          <w:lang w:val="en-US"/>
        </w:rPr>
        <w:t>paragraphs</w:t>
      </w:r>
      <w:r w:rsidR="002236DE" w:rsidRPr="001558A5">
        <w:rPr>
          <w:lang w:val="en-US"/>
        </w:rPr>
        <w:t xml:space="preserve"> </w:t>
      </w:r>
      <w:r w:rsidR="00D267B5" w:rsidRPr="001558A5">
        <w:rPr>
          <w:lang w:val="en-US"/>
        </w:rPr>
        <w:t xml:space="preserve">126 </w:t>
      </w:r>
      <w:r w:rsidRPr="001558A5">
        <w:rPr>
          <w:lang w:val="en-US"/>
        </w:rPr>
        <w:t>to</w:t>
      </w:r>
      <w:r w:rsidR="002236DE" w:rsidRPr="001558A5">
        <w:rPr>
          <w:lang w:val="en-US"/>
        </w:rPr>
        <w:t xml:space="preserve"> </w:t>
      </w:r>
      <w:r w:rsidR="00D267B5" w:rsidRPr="001558A5">
        <w:rPr>
          <w:lang w:val="en-US"/>
        </w:rPr>
        <w:t xml:space="preserve">136 </w:t>
      </w:r>
      <w:r w:rsidR="004E4879" w:rsidRPr="001558A5">
        <w:rPr>
          <w:lang w:val="en-US"/>
        </w:rPr>
        <w:t>of this judgment</w:t>
      </w:r>
      <w:r w:rsidR="002236DE" w:rsidRPr="001558A5">
        <w:rPr>
          <w:lang w:val="en-US"/>
        </w:rPr>
        <w:t>.</w:t>
      </w:r>
    </w:p>
    <w:p w14:paraId="33C55FDA" w14:textId="08A7E608" w:rsidR="002236DE" w:rsidRPr="001558A5" w:rsidRDefault="002236DE" w:rsidP="00422325">
      <w:pPr>
        <w:ind w:right="48"/>
        <w:rPr>
          <w:lang w:val="en-US"/>
        </w:rPr>
      </w:pPr>
    </w:p>
    <w:p w14:paraId="79046AC5" w14:textId="01160693" w:rsidR="00970D4B" w:rsidRPr="001558A5" w:rsidRDefault="005E56DE" w:rsidP="00422325">
      <w:pPr>
        <w:ind w:right="48"/>
        <w:rPr>
          <w:lang w:val="en-US"/>
        </w:rPr>
      </w:pPr>
      <w:r w:rsidRPr="001558A5">
        <w:rPr>
          <w:lang w:val="en-US"/>
        </w:rPr>
        <w:t>Dissenting</w:t>
      </w:r>
      <w:r w:rsidR="00970D4B" w:rsidRPr="001558A5">
        <w:rPr>
          <w:lang w:val="en-US"/>
        </w:rPr>
        <w:t xml:space="preserve"> </w:t>
      </w:r>
      <w:r w:rsidR="00871E19" w:rsidRPr="001558A5">
        <w:rPr>
          <w:lang w:val="en-US"/>
        </w:rPr>
        <w:t>Judge</w:t>
      </w:r>
      <w:r w:rsidR="00970D4B" w:rsidRPr="001558A5">
        <w:rPr>
          <w:lang w:val="en-US"/>
        </w:rPr>
        <w:t xml:space="preserve"> Elizabeth </w:t>
      </w:r>
      <w:proofErr w:type="spellStart"/>
      <w:r w:rsidR="00970D4B" w:rsidRPr="001558A5">
        <w:rPr>
          <w:lang w:val="en-US"/>
        </w:rPr>
        <w:t>Odio</w:t>
      </w:r>
      <w:proofErr w:type="spellEnd"/>
      <w:r w:rsidR="00970D4B" w:rsidRPr="001558A5">
        <w:rPr>
          <w:lang w:val="en-US"/>
        </w:rPr>
        <w:t xml:space="preserve"> Benito</w:t>
      </w:r>
      <w:r w:rsidR="00DD4354" w:rsidRPr="001558A5">
        <w:rPr>
          <w:lang w:val="en-US"/>
        </w:rPr>
        <w:t xml:space="preserve"> and</w:t>
      </w:r>
      <w:r w:rsidR="00970D4B" w:rsidRPr="001558A5">
        <w:rPr>
          <w:lang w:val="en-US"/>
        </w:rPr>
        <w:t xml:space="preserve"> </w:t>
      </w:r>
      <w:r w:rsidR="00871E19" w:rsidRPr="001558A5">
        <w:rPr>
          <w:lang w:val="en-US"/>
        </w:rPr>
        <w:t>Judge</w:t>
      </w:r>
      <w:r w:rsidR="00970D4B" w:rsidRPr="001558A5">
        <w:rPr>
          <w:lang w:val="en-US"/>
        </w:rPr>
        <w:t xml:space="preserve"> Eduardo </w:t>
      </w:r>
      <w:proofErr w:type="spellStart"/>
      <w:r w:rsidR="00970D4B" w:rsidRPr="001558A5">
        <w:rPr>
          <w:lang w:val="en-US"/>
        </w:rPr>
        <w:t>Vio</w:t>
      </w:r>
      <w:proofErr w:type="spellEnd"/>
      <w:r w:rsidR="00970D4B" w:rsidRPr="001558A5">
        <w:rPr>
          <w:lang w:val="en-US"/>
        </w:rPr>
        <w:t xml:space="preserve"> </w:t>
      </w:r>
      <w:proofErr w:type="spellStart"/>
      <w:r w:rsidR="00970D4B" w:rsidRPr="001558A5">
        <w:rPr>
          <w:lang w:val="en-US"/>
        </w:rPr>
        <w:t>Grossi</w:t>
      </w:r>
      <w:proofErr w:type="spellEnd"/>
      <w:r w:rsidR="00970D4B" w:rsidRPr="001558A5">
        <w:rPr>
          <w:lang w:val="en-US"/>
        </w:rPr>
        <w:t>.</w:t>
      </w:r>
    </w:p>
    <w:p w14:paraId="35FAFF92" w14:textId="77777777" w:rsidR="002236DE" w:rsidRPr="001558A5" w:rsidRDefault="002236DE" w:rsidP="00422325">
      <w:pPr>
        <w:ind w:left="708" w:right="48" w:hanging="708"/>
        <w:rPr>
          <w:lang w:val="en-US"/>
        </w:rPr>
      </w:pPr>
    </w:p>
    <w:p w14:paraId="792B418D" w14:textId="49593B64" w:rsidR="002236DE" w:rsidRPr="001558A5" w:rsidRDefault="005E56DE" w:rsidP="00422325">
      <w:pPr>
        <w:ind w:right="48"/>
        <w:rPr>
          <w:b/>
          <w:szCs w:val="20"/>
          <w:lang w:val="en-US"/>
        </w:rPr>
      </w:pPr>
      <w:r w:rsidRPr="001558A5">
        <w:rPr>
          <w:b/>
          <w:szCs w:val="20"/>
          <w:lang w:val="en-US"/>
        </w:rPr>
        <w:t>AND ESTABLISHES</w:t>
      </w:r>
      <w:r w:rsidR="002236DE" w:rsidRPr="001558A5">
        <w:rPr>
          <w:b/>
          <w:szCs w:val="20"/>
          <w:lang w:val="en-US"/>
        </w:rPr>
        <w:t>:</w:t>
      </w:r>
    </w:p>
    <w:p w14:paraId="0B7EC34D" w14:textId="77777777" w:rsidR="002236DE" w:rsidRPr="001558A5" w:rsidRDefault="002236DE" w:rsidP="00422325">
      <w:pPr>
        <w:ind w:right="48"/>
        <w:rPr>
          <w:b/>
          <w:szCs w:val="20"/>
          <w:lang w:val="en-US"/>
        </w:rPr>
      </w:pPr>
    </w:p>
    <w:p w14:paraId="191704DE" w14:textId="7B1BF821" w:rsidR="002236DE" w:rsidRPr="001558A5" w:rsidRDefault="005E56DE" w:rsidP="00422325">
      <w:pPr>
        <w:ind w:right="48"/>
        <w:rPr>
          <w:szCs w:val="20"/>
          <w:lang w:val="en-US"/>
        </w:rPr>
      </w:pPr>
      <w:r w:rsidRPr="001558A5">
        <w:rPr>
          <w:szCs w:val="20"/>
          <w:lang w:val="en-US"/>
        </w:rPr>
        <w:t>Unanimously that</w:t>
      </w:r>
      <w:r w:rsidR="002236DE" w:rsidRPr="001558A5">
        <w:rPr>
          <w:szCs w:val="20"/>
          <w:lang w:val="en-US"/>
        </w:rPr>
        <w:t>:</w:t>
      </w:r>
    </w:p>
    <w:p w14:paraId="23226C5A" w14:textId="77777777" w:rsidR="002236DE" w:rsidRPr="001558A5" w:rsidRDefault="002236DE" w:rsidP="00422325">
      <w:pPr>
        <w:ind w:right="48"/>
        <w:rPr>
          <w:lang w:val="en-US"/>
        </w:rPr>
      </w:pPr>
    </w:p>
    <w:p w14:paraId="7AA378E8" w14:textId="664C1ECD" w:rsidR="002236DE" w:rsidRPr="001558A5" w:rsidRDefault="005E56DE" w:rsidP="00422325">
      <w:pPr>
        <w:pStyle w:val="Prrafodelista"/>
        <w:numPr>
          <w:ilvl w:val="3"/>
          <w:numId w:val="35"/>
        </w:numPr>
        <w:ind w:left="0" w:right="48" w:firstLine="0"/>
        <w:contextualSpacing w:val="0"/>
        <w:rPr>
          <w:lang w:val="en-US"/>
        </w:rPr>
      </w:pPr>
      <w:r w:rsidRPr="001558A5">
        <w:rPr>
          <w:lang w:val="en-US"/>
        </w:rPr>
        <w:t>This judgment is</w:t>
      </w:r>
      <w:r w:rsidR="002236DE" w:rsidRPr="001558A5">
        <w:rPr>
          <w:lang w:val="en-US"/>
        </w:rPr>
        <w:t xml:space="preserve"> </w:t>
      </w:r>
      <w:r w:rsidR="002236DE" w:rsidRPr="001558A5">
        <w:rPr>
          <w:i/>
          <w:lang w:val="en-US"/>
        </w:rPr>
        <w:t>per se</w:t>
      </w:r>
      <w:r w:rsidR="002236DE" w:rsidRPr="001558A5">
        <w:rPr>
          <w:lang w:val="en-US"/>
        </w:rPr>
        <w:t xml:space="preserve"> </w:t>
      </w:r>
      <w:r w:rsidRPr="001558A5">
        <w:rPr>
          <w:lang w:val="en-US"/>
        </w:rPr>
        <w:t>a form of reparation</w:t>
      </w:r>
      <w:r w:rsidR="002236DE" w:rsidRPr="001558A5">
        <w:rPr>
          <w:lang w:val="en-US"/>
        </w:rPr>
        <w:t>.</w:t>
      </w:r>
    </w:p>
    <w:p w14:paraId="6C624FAB" w14:textId="77777777" w:rsidR="002236DE" w:rsidRPr="001558A5" w:rsidRDefault="002236DE" w:rsidP="00422325">
      <w:pPr>
        <w:ind w:right="48"/>
        <w:rPr>
          <w:lang w:val="en-US"/>
        </w:rPr>
      </w:pPr>
    </w:p>
    <w:p w14:paraId="129748D6" w14:textId="2513CD98" w:rsidR="002236DE" w:rsidRPr="001558A5" w:rsidRDefault="00DD4354" w:rsidP="00422325">
      <w:pPr>
        <w:pStyle w:val="Prrafodelista"/>
        <w:numPr>
          <w:ilvl w:val="3"/>
          <w:numId w:val="35"/>
        </w:numPr>
        <w:ind w:left="0" w:right="48" w:firstLine="0"/>
        <w:contextualSpacing w:val="0"/>
        <w:rPr>
          <w:lang w:val="en-US"/>
        </w:rPr>
      </w:pPr>
      <w:r w:rsidRPr="001558A5">
        <w:rPr>
          <w:lang w:val="en-US"/>
        </w:rPr>
        <w:t>The State</w:t>
      </w:r>
      <w:r w:rsidR="002236DE" w:rsidRPr="001558A5">
        <w:rPr>
          <w:lang w:val="en-US"/>
        </w:rPr>
        <w:t xml:space="preserve"> </w:t>
      </w:r>
      <w:r w:rsidR="005E56DE" w:rsidRPr="001558A5">
        <w:rPr>
          <w:lang w:val="en-US"/>
        </w:rPr>
        <w:t xml:space="preserve">shall </w:t>
      </w:r>
      <w:r w:rsidR="000579A0" w:rsidRPr="001558A5">
        <w:rPr>
          <w:lang w:val="en-US"/>
        </w:rPr>
        <w:t>continue and expedite</w:t>
      </w:r>
      <w:r w:rsidR="005E56DE" w:rsidRPr="001558A5">
        <w:rPr>
          <w:lang w:val="en-US"/>
        </w:rPr>
        <w:t xml:space="preserve"> the extensive, systematic and thorough investigations that are necessary to determine, prosecute and punish, as appropriate, the persons responsible for the murder of </w:t>
      </w:r>
      <w:r w:rsidR="002236DE" w:rsidRPr="001558A5">
        <w:rPr>
          <w:lang w:val="en-US"/>
        </w:rPr>
        <w:t xml:space="preserve">Vicky Hernández, </w:t>
      </w:r>
      <w:r w:rsidR="005E56DE" w:rsidRPr="001558A5">
        <w:rPr>
          <w:lang w:val="en-US"/>
        </w:rPr>
        <w:t>pursuant to</w:t>
      </w:r>
      <w:r w:rsidR="00F610A4" w:rsidRPr="001558A5">
        <w:rPr>
          <w:lang w:val="en-US"/>
        </w:rPr>
        <w:t xml:space="preserve"> </w:t>
      </w:r>
      <w:r w:rsidR="004E4879" w:rsidRPr="001558A5">
        <w:rPr>
          <w:lang w:val="en-US"/>
        </w:rPr>
        <w:t>paragraphs</w:t>
      </w:r>
      <w:r w:rsidR="002236DE" w:rsidRPr="001558A5">
        <w:rPr>
          <w:lang w:val="en-US"/>
        </w:rPr>
        <w:t xml:space="preserve"> </w:t>
      </w:r>
      <w:r w:rsidR="00F610A4" w:rsidRPr="001558A5">
        <w:rPr>
          <w:lang w:val="en-US"/>
        </w:rPr>
        <w:t>152</w:t>
      </w:r>
      <w:r w:rsidRPr="001558A5">
        <w:rPr>
          <w:lang w:val="en-US"/>
        </w:rPr>
        <w:t xml:space="preserve"> and </w:t>
      </w:r>
      <w:r w:rsidR="00F610A4" w:rsidRPr="001558A5">
        <w:rPr>
          <w:lang w:val="en-US"/>
        </w:rPr>
        <w:t xml:space="preserve">153 </w:t>
      </w:r>
      <w:r w:rsidR="004E4879" w:rsidRPr="001558A5">
        <w:rPr>
          <w:lang w:val="en-US"/>
        </w:rPr>
        <w:t>of this judgment</w:t>
      </w:r>
      <w:r w:rsidR="002236DE" w:rsidRPr="001558A5">
        <w:rPr>
          <w:lang w:val="en-US"/>
        </w:rPr>
        <w:t xml:space="preserve">. </w:t>
      </w:r>
    </w:p>
    <w:p w14:paraId="18B77837" w14:textId="77777777" w:rsidR="002236DE" w:rsidRPr="001558A5" w:rsidRDefault="002236DE" w:rsidP="00422325">
      <w:pPr>
        <w:pStyle w:val="Prrafodelista"/>
        <w:ind w:right="48"/>
        <w:rPr>
          <w:lang w:val="en-US"/>
        </w:rPr>
      </w:pPr>
    </w:p>
    <w:p w14:paraId="22973739" w14:textId="235A9833" w:rsidR="002236DE" w:rsidRPr="001558A5" w:rsidRDefault="00DD4354" w:rsidP="00422325">
      <w:pPr>
        <w:pStyle w:val="Prrafodelista"/>
        <w:numPr>
          <w:ilvl w:val="3"/>
          <w:numId w:val="35"/>
        </w:numPr>
        <w:ind w:left="0" w:right="48" w:firstLine="0"/>
        <w:contextualSpacing w:val="0"/>
        <w:rPr>
          <w:lang w:val="en-US"/>
        </w:rPr>
      </w:pPr>
      <w:r w:rsidRPr="001558A5">
        <w:rPr>
          <w:lang w:val="en-US"/>
        </w:rPr>
        <w:t>The State</w:t>
      </w:r>
      <w:r w:rsidR="005E56DE" w:rsidRPr="001558A5">
        <w:rPr>
          <w:lang w:val="en-US"/>
        </w:rPr>
        <w:t xml:space="preserve"> shall make the publications indicated in</w:t>
      </w:r>
      <w:r w:rsidR="002236DE" w:rsidRPr="001558A5">
        <w:rPr>
          <w:lang w:val="en-US"/>
        </w:rPr>
        <w:t xml:space="preserve"> </w:t>
      </w:r>
      <w:r w:rsidR="004E4879" w:rsidRPr="001558A5">
        <w:rPr>
          <w:lang w:val="en-US"/>
        </w:rPr>
        <w:t>paragraph</w:t>
      </w:r>
      <w:r w:rsidR="002236DE" w:rsidRPr="001558A5">
        <w:rPr>
          <w:lang w:val="en-US"/>
        </w:rPr>
        <w:t xml:space="preserve"> </w:t>
      </w:r>
      <w:r w:rsidR="00F610A4" w:rsidRPr="001558A5">
        <w:rPr>
          <w:lang w:val="en-US"/>
        </w:rPr>
        <w:t xml:space="preserve">155 </w:t>
      </w:r>
      <w:r w:rsidR="00871E19" w:rsidRPr="001558A5">
        <w:rPr>
          <w:lang w:val="en-US"/>
        </w:rPr>
        <w:t>of this judgment</w:t>
      </w:r>
      <w:r w:rsidR="002236DE" w:rsidRPr="001558A5">
        <w:rPr>
          <w:lang w:val="en-US"/>
        </w:rPr>
        <w:t xml:space="preserve">, </w:t>
      </w:r>
      <w:r w:rsidR="005E56DE" w:rsidRPr="001558A5">
        <w:rPr>
          <w:lang w:val="en-US"/>
        </w:rPr>
        <w:t>within six months of its notification</w:t>
      </w:r>
      <w:r w:rsidR="002236DE" w:rsidRPr="001558A5">
        <w:rPr>
          <w:lang w:val="en-US"/>
        </w:rPr>
        <w:t>.</w:t>
      </w:r>
    </w:p>
    <w:p w14:paraId="1E2E41BA" w14:textId="77777777" w:rsidR="002236DE" w:rsidRPr="001558A5" w:rsidRDefault="002236DE" w:rsidP="00422325">
      <w:pPr>
        <w:pStyle w:val="Prrafodelista"/>
        <w:ind w:right="48"/>
        <w:rPr>
          <w:lang w:val="en-US"/>
        </w:rPr>
      </w:pPr>
    </w:p>
    <w:p w14:paraId="6F9C4300" w14:textId="760DE311" w:rsidR="002236DE" w:rsidRPr="001558A5" w:rsidRDefault="00DD4354" w:rsidP="00422325">
      <w:pPr>
        <w:pStyle w:val="Prrafodelista"/>
        <w:numPr>
          <w:ilvl w:val="3"/>
          <w:numId w:val="35"/>
        </w:numPr>
        <w:ind w:left="0" w:right="48" w:firstLine="0"/>
        <w:contextualSpacing w:val="0"/>
        <w:rPr>
          <w:lang w:val="en-US"/>
        </w:rPr>
      </w:pPr>
      <w:r w:rsidRPr="001558A5">
        <w:rPr>
          <w:lang w:val="en-US"/>
        </w:rPr>
        <w:t>The State</w:t>
      </w:r>
      <w:r w:rsidR="005E56DE" w:rsidRPr="001558A5">
        <w:rPr>
          <w:lang w:val="en-US"/>
        </w:rPr>
        <w:t xml:space="preserve"> shall hold a public act to acknowledge international responsibility for the facts of this case</w:t>
      </w:r>
      <w:r w:rsidR="002236DE" w:rsidRPr="001558A5">
        <w:rPr>
          <w:lang w:val="en-US"/>
        </w:rPr>
        <w:t xml:space="preserve"> </w:t>
      </w:r>
      <w:r w:rsidR="005E56DE" w:rsidRPr="001558A5">
        <w:rPr>
          <w:lang w:val="en-US"/>
        </w:rPr>
        <w:t>pursuant to</w:t>
      </w:r>
      <w:r w:rsidR="002236DE" w:rsidRPr="001558A5">
        <w:rPr>
          <w:lang w:val="en-US"/>
        </w:rPr>
        <w:t xml:space="preserve"> </w:t>
      </w:r>
      <w:r w:rsidR="004E4879" w:rsidRPr="001558A5">
        <w:rPr>
          <w:lang w:val="en-US"/>
        </w:rPr>
        <w:t>paragraphs</w:t>
      </w:r>
      <w:r w:rsidR="002236DE" w:rsidRPr="001558A5">
        <w:rPr>
          <w:lang w:val="en-US"/>
        </w:rPr>
        <w:t xml:space="preserve"> </w:t>
      </w:r>
      <w:r w:rsidR="00F610A4" w:rsidRPr="001558A5">
        <w:rPr>
          <w:lang w:val="en-US"/>
        </w:rPr>
        <w:t>157</w:t>
      </w:r>
      <w:r w:rsidRPr="001558A5">
        <w:rPr>
          <w:lang w:val="en-US"/>
        </w:rPr>
        <w:t xml:space="preserve"> and </w:t>
      </w:r>
      <w:r w:rsidR="00F610A4" w:rsidRPr="001558A5">
        <w:rPr>
          <w:lang w:val="en-US"/>
        </w:rPr>
        <w:t xml:space="preserve">158 </w:t>
      </w:r>
      <w:r w:rsidR="00871E19" w:rsidRPr="001558A5">
        <w:rPr>
          <w:lang w:val="en-US"/>
        </w:rPr>
        <w:t>of this judgment</w:t>
      </w:r>
      <w:r w:rsidR="002236DE" w:rsidRPr="001558A5">
        <w:rPr>
          <w:lang w:val="en-US"/>
        </w:rPr>
        <w:t>.</w:t>
      </w:r>
    </w:p>
    <w:p w14:paraId="4E36873A" w14:textId="77777777" w:rsidR="002236DE" w:rsidRPr="001558A5" w:rsidRDefault="002236DE" w:rsidP="00422325">
      <w:pPr>
        <w:pStyle w:val="Prrafodelista"/>
        <w:ind w:right="48"/>
        <w:rPr>
          <w:lang w:val="en-US"/>
        </w:rPr>
      </w:pPr>
    </w:p>
    <w:p w14:paraId="5779C8B5" w14:textId="3BFE174A" w:rsidR="002236DE" w:rsidRPr="001558A5" w:rsidRDefault="00DD4354" w:rsidP="00422325">
      <w:pPr>
        <w:pStyle w:val="Prrafodelista"/>
        <w:numPr>
          <w:ilvl w:val="3"/>
          <w:numId w:val="35"/>
        </w:numPr>
        <w:ind w:left="0" w:right="48" w:firstLine="0"/>
        <w:contextualSpacing w:val="0"/>
        <w:rPr>
          <w:lang w:val="en-US"/>
        </w:rPr>
      </w:pPr>
      <w:r w:rsidRPr="001558A5">
        <w:rPr>
          <w:lang w:val="en-US"/>
        </w:rPr>
        <w:t>The State</w:t>
      </w:r>
      <w:r w:rsidR="002236DE" w:rsidRPr="001558A5">
        <w:rPr>
          <w:lang w:val="en-US"/>
        </w:rPr>
        <w:t xml:space="preserve"> </w:t>
      </w:r>
      <w:r w:rsidR="005E56DE" w:rsidRPr="001558A5">
        <w:rPr>
          <w:lang w:val="en-US"/>
        </w:rPr>
        <w:t>shall grant</w:t>
      </w:r>
      <w:r w:rsidR="002236DE" w:rsidRPr="001558A5">
        <w:rPr>
          <w:lang w:val="en-US"/>
        </w:rPr>
        <w:t xml:space="preserve"> </w:t>
      </w:r>
      <w:proofErr w:type="spellStart"/>
      <w:r w:rsidR="002236DE" w:rsidRPr="001558A5">
        <w:rPr>
          <w:lang w:val="en-US"/>
        </w:rPr>
        <w:t>Argelia</w:t>
      </w:r>
      <w:proofErr w:type="spellEnd"/>
      <w:r w:rsidR="002236DE" w:rsidRPr="001558A5">
        <w:rPr>
          <w:lang w:val="en-US"/>
        </w:rPr>
        <w:t xml:space="preserve"> Johana Reyes Ríos </w:t>
      </w:r>
      <w:r w:rsidR="005E56DE" w:rsidRPr="001558A5">
        <w:rPr>
          <w:lang w:val="en-US"/>
        </w:rPr>
        <w:t xml:space="preserve">a scholarship consisting in a monthly stipend that covers all the expenses related to her studies in a public secondary education institution </w:t>
      </w:r>
      <w:r w:rsidR="000579A0" w:rsidRPr="001558A5">
        <w:rPr>
          <w:lang w:val="en-US"/>
        </w:rPr>
        <w:t>followed by</w:t>
      </w:r>
      <w:r w:rsidR="005E56DE" w:rsidRPr="001558A5">
        <w:rPr>
          <w:lang w:val="en-US"/>
        </w:rPr>
        <w:t xml:space="preserve"> technical or university education </w:t>
      </w:r>
      <w:r w:rsidR="00215FEF" w:rsidRPr="001558A5">
        <w:rPr>
          <w:lang w:val="en-US"/>
        </w:rPr>
        <w:t>in Honduras</w:t>
      </w:r>
      <w:r w:rsidR="002236DE" w:rsidRPr="001558A5">
        <w:rPr>
          <w:lang w:val="en-US"/>
        </w:rPr>
        <w:t xml:space="preserve">, </w:t>
      </w:r>
      <w:r w:rsidR="005E56DE" w:rsidRPr="001558A5">
        <w:rPr>
          <w:lang w:val="en-US"/>
        </w:rPr>
        <w:t>pursuant to</w:t>
      </w:r>
      <w:r w:rsidR="002236DE" w:rsidRPr="001558A5">
        <w:rPr>
          <w:lang w:val="en-US"/>
        </w:rPr>
        <w:t xml:space="preserve"> </w:t>
      </w:r>
      <w:r w:rsidR="004E4879" w:rsidRPr="001558A5">
        <w:rPr>
          <w:lang w:val="en-US"/>
        </w:rPr>
        <w:t>paragraphs</w:t>
      </w:r>
      <w:r w:rsidR="002236DE" w:rsidRPr="001558A5">
        <w:rPr>
          <w:lang w:val="en-US"/>
        </w:rPr>
        <w:t xml:space="preserve"> </w:t>
      </w:r>
      <w:r w:rsidR="00F610A4" w:rsidRPr="001558A5">
        <w:rPr>
          <w:lang w:val="en-US"/>
        </w:rPr>
        <w:t>161</w:t>
      </w:r>
      <w:r w:rsidRPr="001558A5">
        <w:rPr>
          <w:lang w:val="en-US"/>
        </w:rPr>
        <w:t xml:space="preserve"> and </w:t>
      </w:r>
      <w:r w:rsidR="00F610A4" w:rsidRPr="001558A5">
        <w:rPr>
          <w:lang w:val="en-US"/>
        </w:rPr>
        <w:t xml:space="preserve">162 </w:t>
      </w:r>
      <w:r w:rsidR="004E4879" w:rsidRPr="001558A5">
        <w:rPr>
          <w:lang w:val="en-US"/>
        </w:rPr>
        <w:t>of this judgment</w:t>
      </w:r>
      <w:r w:rsidR="002236DE" w:rsidRPr="001558A5">
        <w:rPr>
          <w:lang w:val="en-US"/>
        </w:rPr>
        <w:t>.</w:t>
      </w:r>
    </w:p>
    <w:p w14:paraId="09D7F318" w14:textId="77777777" w:rsidR="002236DE" w:rsidRPr="001558A5" w:rsidRDefault="002236DE" w:rsidP="00422325">
      <w:pPr>
        <w:pStyle w:val="Prrafodelista"/>
        <w:ind w:right="48"/>
        <w:rPr>
          <w:lang w:val="en-US"/>
        </w:rPr>
      </w:pPr>
    </w:p>
    <w:p w14:paraId="611803E8" w14:textId="4EF095D0" w:rsidR="002236DE" w:rsidRPr="001558A5" w:rsidRDefault="00DD4354" w:rsidP="00422325">
      <w:pPr>
        <w:pStyle w:val="Prrafodelista"/>
        <w:numPr>
          <w:ilvl w:val="3"/>
          <w:numId w:val="35"/>
        </w:numPr>
        <w:ind w:left="0" w:right="48" w:firstLine="0"/>
        <w:contextualSpacing w:val="0"/>
        <w:rPr>
          <w:lang w:val="en-US"/>
        </w:rPr>
      </w:pPr>
      <w:r w:rsidRPr="001558A5">
        <w:rPr>
          <w:lang w:val="en-US"/>
        </w:rPr>
        <w:t>The State</w:t>
      </w:r>
      <w:r w:rsidR="002236DE" w:rsidRPr="001558A5">
        <w:rPr>
          <w:lang w:val="en-US"/>
        </w:rPr>
        <w:t xml:space="preserve"> </w:t>
      </w:r>
      <w:r w:rsidR="005E56DE" w:rsidRPr="001558A5">
        <w:rPr>
          <w:lang w:val="en-US"/>
        </w:rPr>
        <w:t xml:space="preserve">shall make an </w:t>
      </w:r>
      <w:r w:rsidR="002236DE" w:rsidRPr="001558A5">
        <w:rPr>
          <w:lang w:val="en-US"/>
        </w:rPr>
        <w:t>audiovisual documenta</w:t>
      </w:r>
      <w:r w:rsidR="005E56DE" w:rsidRPr="001558A5">
        <w:rPr>
          <w:lang w:val="en-US"/>
        </w:rPr>
        <w:t xml:space="preserve">ry on the situation of </w:t>
      </w:r>
      <w:r w:rsidR="00215FEF" w:rsidRPr="001558A5">
        <w:rPr>
          <w:lang w:val="en-US"/>
        </w:rPr>
        <w:t>discrimination</w:t>
      </w:r>
      <w:r w:rsidRPr="001558A5">
        <w:rPr>
          <w:lang w:val="en-US"/>
        </w:rPr>
        <w:t xml:space="preserve"> and </w:t>
      </w:r>
      <w:r w:rsidR="00E25B6E" w:rsidRPr="001558A5">
        <w:rPr>
          <w:lang w:val="en-US"/>
        </w:rPr>
        <w:t>violenc</w:t>
      </w:r>
      <w:r w:rsidR="005E56DE" w:rsidRPr="001558A5">
        <w:rPr>
          <w:lang w:val="en-US"/>
        </w:rPr>
        <w:t xml:space="preserve">e experienced by trans women </w:t>
      </w:r>
      <w:r w:rsidR="00215FEF" w:rsidRPr="001558A5">
        <w:rPr>
          <w:lang w:val="en-US"/>
        </w:rPr>
        <w:t>in Honduras</w:t>
      </w:r>
      <w:r w:rsidR="002236DE" w:rsidRPr="001558A5">
        <w:rPr>
          <w:lang w:val="en-US"/>
        </w:rPr>
        <w:t xml:space="preserve">, </w:t>
      </w:r>
      <w:r w:rsidR="005E56DE" w:rsidRPr="001558A5">
        <w:rPr>
          <w:lang w:val="en-US"/>
        </w:rPr>
        <w:t xml:space="preserve">pursuant to </w:t>
      </w:r>
      <w:r w:rsidR="004E4879" w:rsidRPr="001558A5">
        <w:rPr>
          <w:lang w:val="en-US"/>
        </w:rPr>
        <w:t>paragraph</w:t>
      </w:r>
      <w:r w:rsidR="00D267B5" w:rsidRPr="001558A5">
        <w:rPr>
          <w:lang w:val="en-US"/>
        </w:rPr>
        <w:t xml:space="preserve"> 163 </w:t>
      </w:r>
      <w:r w:rsidR="004E4879" w:rsidRPr="001558A5">
        <w:rPr>
          <w:lang w:val="en-US"/>
        </w:rPr>
        <w:t>of this judgment</w:t>
      </w:r>
      <w:r w:rsidR="008F1EC1" w:rsidRPr="001558A5">
        <w:rPr>
          <w:lang w:val="en-US"/>
        </w:rPr>
        <w:t>.</w:t>
      </w:r>
    </w:p>
    <w:p w14:paraId="5AD2F4C2" w14:textId="77777777" w:rsidR="008F1EC1" w:rsidRPr="001558A5" w:rsidRDefault="008F1EC1" w:rsidP="00422325">
      <w:pPr>
        <w:pStyle w:val="Prrafodelista"/>
        <w:ind w:right="48"/>
        <w:rPr>
          <w:lang w:val="en-US"/>
        </w:rPr>
      </w:pPr>
    </w:p>
    <w:p w14:paraId="48444C84" w14:textId="78765319" w:rsidR="008F1EC1" w:rsidRPr="001558A5" w:rsidRDefault="00DD4354" w:rsidP="00422325">
      <w:pPr>
        <w:pStyle w:val="Prrafodelista"/>
        <w:numPr>
          <w:ilvl w:val="3"/>
          <w:numId w:val="35"/>
        </w:numPr>
        <w:ind w:left="0" w:right="48" w:firstLine="0"/>
        <w:contextualSpacing w:val="0"/>
        <w:rPr>
          <w:lang w:val="en-US"/>
        </w:rPr>
      </w:pPr>
      <w:r w:rsidRPr="001558A5">
        <w:rPr>
          <w:lang w:val="en-US"/>
        </w:rPr>
        <w:t>The State</w:t>
      </w:r>
      <w:r w:rsidR="008F1EC1" w:rsidRPr="001558A5">
        <w:rPr>
          <w:lang w:val="en-US"/>
        </w:rPr>
        <w:t xml:space="preserve"> </w:t>
      </w:r>
      <w:r w:rsidR="005E56DE" w:rsidRPr="001558A5">
        <w:rPr>
          <w:lang w:val="en-US"/>
        </w:rPr>
        <w:t xml:space="preserve">shall establish the </w:t>
      </w:r>
      <w:r w:rsidR="008F1EC1" w:rsidRPr="001558A5">
        <w:rPr>
          <w:lang w:val="en-US"/>
        </w:rPr>
        <w:t xml:space="preserve">“Vicky Hernández” </w:t>
      </w:r>
      <w:r w:rsidR="005E56DE" w:rsidRPr="001558A5">
        <w:rPr>
          <w:lang w:val="en-US"/>
        </w:rPr>
        <w:t xml:space="preserve">study grant for trans women, pursuant to </w:t>
      </w:r>
      <w:r w:rsidR="004E4879" w:rsidRPr="001558A5">
        <w:rPr>
          <w:lang w:val="en-US"/>
        </w:rPr>
        <w:t>paragraph</w:t>
      </w:r>
      <w:r w:rsidR="008F1EC1" w:rsidRPr="001558A5">
        <w:rPr>
          <w:lang w:val="en-US"/>
        </w:rPr>
        <w:t xml:space="preserve"> </w:t>
      </w:r>
      <w:r w:rsidR="00D267B5" w:rsidRPr="001558A5">
        <w:rPr>
          <w:lang w:val="en-US"/>
        </w:rPr>
        <w:t>164</w:t>
      </w:r>
      <w:r w:rsidR="008F1EC1" w:rsidRPr="001558A5">
        <w:rPr>
          <w:lang w:val="en-US"/>
        </w:rPr>
        <w:t xml:space="preserve"> </w:t>
      </w:r>
      <w:r w:rsidR="004E4879" w:rsidRPr="001558A5">
        <w:rPr>
          <w:lang w:val="en-US"/>
        </w:rPr>
        <w:t>of this judgment</w:t>
      </w:r>
      <w:r w:rsidR="008F1EC1" w:rsidRPr="001558A5">
        <w:rPr>
          <w:lang w:val="en-US"/>
        </w:rPr>
        <w:t>.</w:t>
      </w:r>
    </w:p>
    <w:p w14:paraId="28C1AFB9" w14:textId="77777777" w:rsidR="002236DE" w:rsidRPr="001558A5" w:rsidRDefault="002236DE" w:rsidP="00422325">
      <w:pPr>
        <w:pStyle w:val="Prrafodelista"/>
        <w:ind w:left="0" w:right="48"/>
        <w:rPr>
          <w:lang w:val="en-US"/>
        </w:rPr>
      </w:pPr>
    </w:p>
    <w:p w14:paraId="297F17BD" w14:textId="51B4F78B" w:rsidR="002236DE" w:rsidRPr="001558A5" w:rsidRDefault="00DD4354" w:rsidP="00422325">
      <w:pPr>
        <w:pStyle w:val="Prrafodelista"/>
        <w:numPr>
          <w:ilvl w:val="3"/>
          <w:numId w:val="35"/>
        </w:numPr>
        <w:ind w:left="0" w:right="48" w:firstLine="0"/>
        <w:contextualSpacing w:val="0"/>
        <w:rPr>
          <w:lang w:val="en-US"/>
        </w:rPr>
      </w:pPr>
      <w:r w:rsidRPr="001558A5">
        <w:rPr>
          <w:lang w:val="en-US"/>
        </w:rPr>
        <w:t>The State</w:t>
      </w:r>
      <w:r w:rsidR="002236DE" w:rsidRPr="001558A5">
        <w:rPr>
          <w:lang w:val="en-US"/>
        </w:rPr>
        <w:t xml:space="preserve"> </w:t>
      </w:r>
      <w:r w:rsidR="005E56DE" w:rsidRPr="001558A5">
        <w:rPr>
          <w:lang w:val="en-US"/>
        </w:rPr>
        <w:t>shall create and implement a permanent training program for the members of the State’s law enforcement agencies pursuant to</w:t>
      </w:r>
      <w:r w:rsidR="0056675E" w:rsidRPr="001558A5">
        <w:rPr>
          <w:lang w:val="en-US"/>
        </w:rPr>
        <w:t xml:space="preserve"> </w:t>
      </w:r>
      <w:r w:rsidR="004E4879" w:rsidRPr="001558A5">
        <w:rPr>
          <w:lang w:val="en-US"/>
        </w:rPr>
        <w:t>paragraphs</w:t>
      </w:r>
      <w:r w:rsidR="002236DE" w:rsidRPr="001558A5">
        <w:rPr>
          <w:lang w:val="en-US"/>
        </w:rPr>
        <w:t xml:space="preserve"> 16</w:t>
      </w:r>
      <w:r w:rsidR="0056675E" w:rsidRPr="001558A5">
        <w:rPr>
          <w:lang w:val="en-US"/>
        </w:rPr>
        <w:t>8</w:t>
      </w:r>
      <w:r w:rsidRPr="001558A5">
        <w:rPr>
          <w:lang w:val="en-US"/>
        </w:rPr>
        <w:t xml:space="preserve"> and </w:t>
      </w:r>
      <w:r w:rsidR="0056675E" w:rsidRPr="001558A5">
        <w:rPr>
          <w:lang w:val="en-US"/>
        </w:rPr>
        <w:t>169</w:t>
      </w:r>
      <w:r w:rsidR="002236DE" w:rsidRPr="001558A5">
        <w:rPr>
          <w:lang w:val="en-US"/>
        </w:rPr>
        <w:t xml:space="preserve"> </w:t>
      </w:r>
      <w:r w:rsidR="004E4879" w:rsidRPr="001558A5">
        <w:rPr>
          <w:lang w:val="en-US"/>
        </w:rPr>
        <w:t>of this judgment</w:t>
      </w:r>
      <w:r w:rsidR="002236DE" w:rsidRPr="001558A5">
        <w:rPr>
          <w:lang w:val="en-US"/>
        </w:rPr>
        <w:t xml:space="preserve">. </w:t>
      </w:r>
    </w:p>
    <w:p w14:paraId="0BBE64BC" w14:textId="77777777" w:rsidR="002236DE" w:rsidRPr="001558A5" w:rsidRDefault="002236DE" w:rsidP="00422325">
      <w:pPr>
        <w:pStyle w:val="Prrafodelista"/>
        <w:ind w:right="48"/>
        <w:rPr>
          <w:lang w:val="en-US"/>
        </w:rPr>
      </w:pPr>
    </w:p>
    <w:p w14:paraId="222B472E" w14:textId="5AD34B6E" w:rsidR="002236DE" w:rsidRPr="001558A5" w:rsidRDefault="00DD4354" w:rsidP="00422325">
      <w:pPr>
        <w:pStyle w:val="Prrafodelista"/>
        <w:numPr>
          <w:ilvl w:val="3"/>
          <w:numId w:val="35"/>
        </w:numPr>
        <w:ind w:left="0" w:right="48" w:firstLine="0"/>
        <w:contextualSpacing w:val="0"/>
        <w:rPr>
          <w:lang w:val="en-US"/>
        </w:rPr>
      </w:pPr>
      <w:r w:rsidRPr="001558A5">
        <w:rPr>
          <w:lang w:val="en-US"/>
        </w:rPr>
        <w:t>The State</w:t>
      </w:r>
      <w:r w:rsidR="002236DE" w:rsidRPr="001558A5">
        <w:rPr>
          <w:lang w:val="en-US"/>
        </w:rPr>
        <w:t xml:space="preserve"> </w:t>
      </w:r>
      <w:r w:rsidR="005E56DE" w:rsidRPr="001558A5">
        <w:rPr>
          <w:lang w:val="en-US"/>
        </w:rPr>
        <w:t xml:space="preserve">shall adopt a </w:t>
      </w:r>
      <w:r w:rsidR="00F65BB5" w:rsidRPr="001558A5">
        <w:rPr>
          <w:lang w:val="en-US"/>
        </w:rPr>
        <w:t>procedure for the recognition of</w:t>
      </w:r>
      <w:r w:rsidR="002236DE" w:rsidRPr="001558A5">
        <w:rPr>
          <w:lang w:val="en-US"/>
        </w:rPr>
        <w:t xml:space="preserve"> </w:t>
      </w:r>
      <w:r w:rsidR="00DF7573" w:rsidRPr="001558A5">
        <w:rPr>
          <w:lang w:val="en-US"/>
        </w:rPr>
        <w:t>gender identity</w:t>
      </w:r>
      <w:r w:rsidR="002236DE" w:rsidRPr="001558A5">
        <w:rPr>
          <w:lang w:val="en-US"/>
        </w:rPr>
        <w:t xml:space="preserve"> </w:t>
      </w:r>
      <w:r w:rsidR="005E56DE" w:rsidRPr="001558A5">
        <w:rPr>
          <w:lang w:val="en-US"/>
        </w:rPr>
        <w:t>that permits people to adapt their identity dat</w:t>
      </w:r>
      <w:r w:rsidR="000579A0" w:rsidRPr="001558A5">
        <w:rPr>
          <w:lang w:val="en-US"/>
        </w:rPr>
        <w:t>a</w:t>
      </w:r>
      <w:r w:rsidR="005E56DE" w:rsidRPr="001558A5">
        <w:rPr>
          <w:lang w:val="en-US"/>
        </w:rPr>
        <w:t xml:space="preserve"> on their identity documents and in the public records</w:t>
      </w:r>
      <w:r w:rsidR="002236DE" w:rsidRPr="001558A5">
        <w:rPr>
          <w:lang w:val="en-US"/>
        </w:rPr>
        <w:t xml:space="preserve"> </w:t>
      </w:r>
      <w:r w:rsidR="005E56DE" w:rsidRPr="001558A5">
        <w:rPr>
          <w:lang w:val="en-US"/>
        </w:rPr>
        <w:t>pursuant to</w:t>
      </w:r>
      <w:r w:rsidR="002236DE" w:rsidRPr="001558A5">
        <w:rPr>
          <w:lang w:val="en-US"/>
        </w:rPr>
        <w:t xml:space="preserve"> </w:t>
      </w:r>
      <w:r w:rsidR="004E4879" w:rsidRPr="001558A5">
        <w:rPr>
          <w:lang w:val="en-US"/>
        </w:rPr>
        <w:t>paragraphs</w:t>
      </w:r>
      <w:r w:rsidR="002236DE" w:rsidRPr="001558A5">
        <w:rPr>
          <w:lang w:val="en-US"/>
        </w:rPr>
        <w:t xml:space="preserve"> </w:t>
      </w:r>
      <w:r w:rsidR="00F610A4" w:rsidRPr="001558A5">
        <w:rPr>
          <w:lang w:val="en-US"/>
        </w:rPr>
        <w:t>172</w:t>
      </w:r>
      <w:r w:rsidRPr="001558A5">
        <w:rPr>
          <w:lang w:val="en-US"/>
        </w:rPr>
        <w:t xml:space="preserve"> and </w:t>
      </w:r>
      <w:r w:rsidR="002236DE" w:rsidRPr="001558A5">
        <w:rPr>
          <w:lang w:val="en-US"/>
        </w:rPr>
        <w:t>1</w:t>
      </w:r>
      <w:r w:rsidR="00F610A4" w:rsidRPr="001558A5">
        <w:rPr>
          <w:lang w:val="en-US"/>
        </w:rPr>
        <w:t>73</w:t>
      </w:r>
      <w:r w:rsidR="002236DE" w:rsidRPr="001558A5">
        <w:rPr>
          <w:lang w:val="en-US"/>
        </w:rPr>
        <w:t xml:space="preserve"> </w:t>
      </w:r>
      <w:r w:rsidR="004E4879" w:rsidRPr="001558A5">
        <w:rPr>
          <w:lang w:val="en-US"/>
        </w:rPr>
        <w:t>of this judgment</w:t>
      </w:r>
      <w:r w:rsidR="002236DE" w:rsidRPr="001558A5">
        <w:rPr>
          <w:lang w:val="en-US"/>
        </w:rPr>
        <w:t>.</w:t>
      </w:r>
    </w:p>
    <w:p w14:paraId="7156831A" w14:textId="77777777" w:rsidR="002236DE" w:rsidRPr="001558A5" w:rsidRDefault="002236DE" w:rsidP="00422325">
      <w:pPr>
        <w:pStyle w:val="Prrafodelista"/>
        <w:ind w:right="48"/>
        <w:rPr>
          <w:lang w:val="en-US"/>
        </w:rPr>
      </w:pPr>
    </w:p>
    <w:p w14:paraId="1EF08305" w14:textId="0157D464" w:rsidR="002236DE" w:rsidRPr="001558A5" w:rsidRDefault="00DD4354" w:rsidP="00422325">
      <w:pPr>
        <w:pStyle w:val="Prrafodelista"/>
        <w:numPr>
          <w:ilvl w:val="3"/>
          <w:numId w:val="35"/>
        </w:numPr>
        <w:ind w:left="0" w:right="48" w:firstLine="0"/>
        <w:contextualSpacing w:val="0"/>
        <w:rPr>
          <w:lang w:val="en-US"/>
        </w:rPr>
      </w:pPr>
      <w:r w:rsidRPr="001558A5">
        <w:rPr>
          <w:lang w:val="en-US"/>
        </w:rPr>
        <w:t>The State</w:t>
      </w:r>
      <w:r w:rsidR="002236DE" w:rsidRPr="001558A5">
        <w:rPr>
          <w:lang w:val="en-US"/>
        </w:rPr>
        <w:t xml:space="preserve"> </w:t>
      </w:r>
      <w:r w:rsidR="005E56DE" w:rsidRPr="001558A5">
        <w:rPr>
          <w:lang w:val="en-US"/>
        </w:rPr>
        <w:t xml:space="preserve">shall adopt a protocol for investigation and administration of justice during criminal proceedings in cases of LGBTI persons who are victims of violence, pursuant to </w:t>
      </w:r>
      <w:r w:rsidR="004E4879" w:rsidRPr="001558A5">
        <w:rPr>
          <w:lang w:val="en-US"/>
        </w:rPr>
        <w:t>paragraph</w:t>
      </w:r>
      <w:r w:rsidR="002236DE" w:rsidRPr="001558A5">
        <w:rPr>
          <w:lang w:val="en-US"/>
        </w:rPr>
        <w:t xml:space="preserve"> </w:t>
      </w:r>
      <w:r w:rsidR="00F610A4" w:rsidRPr="001558A5">
        <w:rPr>
          <w:lang w:val="en-US"/>
        </w:rPr>
        <w:t xml:space="preserve">176 </w:t>
      </w:r>
      <w:r w:rsidR="004E4879" w:rsidRPr="001558A5">
        <w:rPr>
          <w:lang w:val="en-US"/>
        </w:rPr>
        <w:t>of this judgment</w:t>
      </w:r>
      <w:r w:rsidR="002236DE" w:rsidRPr="001558A5">
        <w:rPr>
          <w:lang w:val="en-US"/>
        </w:rPr>
        <w:t>.</w:t>
      </w:r>
    </w:p>
    <w:p w14:paraId="0BDF12FD" w14:textId="77777777" w:rsidR="002236DE" w:rsidRPr="001558A5" w:rsidRDefault="002236DE" w:rsidP="00422325">
      <w:pPr>
        <w:pStyle w:val="Prrafodelista"/>
        <w:ind w:right="48"/>
        <w:rPr>
          <w:lang w:val="en-US"/>
        </w:rPr>
      </w:pPr>
    </w:p>
    <w:p w14:paraId="07E821EB" w14:textId="77019F70" w:rsidR="002236DE" w:rsidRPr="001558A5" w:rsidRDefault="00DD4354" w:rsidP="00422325">
      <w:pPr>
        <w:pStyle w:val="Prrafodelista"/>
        <w:numPr>
          <w:ilvl w:val="3"/>
          <w:numId w:val="35"/>
        </w:numPr>
        <w:ind w:left="0" w:right="48" w:firstLine="0"/>
        <w:contextualSpacing w:val="0"/>
        <w:rPr>
          <w:lang w:val="en-US"/>
        </w:rPr>
      </w:pPr>
      <w:r w:rsidRPr="001558A5">
        <w:rPr>
          <w:lang w:val="en-US"/>
        </w:rPr>
        <w:t>The State</w:t>
      </w:r>
      <w:r w:rsidR="002236DE" w:rsidRPr="001558A5">
        <w:rPr>
          <w:lang w:val="en-US"/>
        </w:rPr>
        <w:t xml:space="preserve"> </w:t>
      </w:r>
      <w:r w:rsidR="005E56DE" w:rsidRPr="001558A5">
        <w:rPr>
          <w:lang w:val="en-US"/>
        </w:rPr>
        <w:t xml:space="preserve">shall design and implement a system to compile data and figures relating to cases of violence against the LGBTI community in order to assess precisely and uniformly the type, prevalence, tendencies and patterns of violence and </w:t>
      </w:r>
      <w:r w:rsidR="00215FEF" w:rsidRPr="001558A5">
        <w:rPr>
          <w:lang w:val="en-US"/>
        </w:rPr>
        <w:t>discrimination</w:t>
      </w:r>
      <w:r w:rsidR="002236DE" w:rsidRPr="001558A5">
        <w:rPr>
          <w:lang w:val="en-US"/>
        </w:rPr>
        <w:t xml:space="preserve"> </w:t>
      </w:r>
      <w:r w:rsidR="005E56DE" w:rsidRPr="001558A5">
        <w:rPr>
          <w:lang w:val="en-US"/>
        </w:rPr>
        <w:t xml:space="preserve">against LGBTI persons pursuant to </w:t>
      </w:r>
      <w:r w:rsidR="004E4879" w:rsidRPr="001558A5">
        <w:rPr>
          <w:lang w:val="en-US"/>
        </w:rPr>
        <w:t>paragraph</w:t>
      </w:r>
      <w:r w:rsidR="002236DE" w:rsidRPr="001558A5">
        <w:rPr>
          <w:lang w:val="en-US"/>
        </w:rPr>
        <w:t xml:space="preserve"> </w:t>
      </w:r>
      <w:r w:rsidR="00F610A4" w:rsidRPr="001558A5">
        <w:rPr>
          <w:lang w:val="en-US"/>
        </w:rPr>
        <w:t xml:space="preserve">179 </w:t>
      </w:r>
      <w:r w:rsidR="004E4879" w:rsidRPr="001558A5">
        <w:rPr>
          <w:lang w:val="en-US"/>
        </w:rPr>
        <w:t>of this judgment</w:t>
      </w:r>
      <w:r w:rsidR="002236DE" w:rsidRPr="001558A5">
        <w:rPr>
          <w:lang w:val="en-US"/>
        </w:rPr>
        <w:t>.</w:t>
      </w:r>
    </w:p>
    <w:p w14:paraId="53E81D8B" w14:textId="77777777" w:rsidR="002236DE" w:rsidRPr="001558A5" w:rsidRDefault="002236DE" w:rsidP="00422325">
      <w:pPr>
        <w:pStyle w:val="Prrafodelista"/>
        <w:ind w:right="48"/>
        <w:rPr>
          <w:lang w:val="en-US"/>
        </w:rPr>
      </w:pPr>
    </w:p>
    <w:p w14:paraId="4FF85E96" w14:textId="144E7BC9" w:rsidR="002236DE" w:rsidRPr="001558A5" w:rsidRDefault="00DD4354" w:rsidP="00422325">
      <w:pPr>
        <w:pStyle w:val="Prrafodelista"/>
        <w:numPr>
          <w:ilvl w:val="3"/>
          <w:numId w:val="35"/>
        </w:numPr>
        <w:ind w:left="0" w:right="48" w:firstLine="0"/>
        <w:contextualSpacing w:val="0"/>
        <w:rPr>
          <w:lang w:val="en-US"/>
        </w:rPr>
      </w:pPr>
      <w:r w:rsidRPr="001558A5">
        <w:rPr>
          <w:lang w:val="en-US"/>
        </w:rPr>
        <w:t>The State</w:t>
      </w:r>
      <w:r w:rsidR="002236DE" w:rsidRPr="001558A5">
        <w:rPr>
          <w:lang w:val="en-US"/>
        </w:rPr>
        <w:t xml:space="preserve"> </w:t>
      </w:r>
      <w:r w:rsidR="005E56DE" w:rsidRPr="001558A5">
        <w:rPr>
          <w:lang w:val="en-US"/>
        </w:rPr>
        <w:t xml:space="preserve">shall pay the amounts established in </w:t>
      </w:r>
      <w:r w:rsidR="004E4879" w:rsidRPr="001558A5">
        <w:rPr>
          <w:lang w:val="en-US"/>
        </w:rPr>
        <w:t>paragraphs</w:t>
      </w:r>
      <w:r w:rsidR="00436262" w:rsidRPr="001558A5">
        <w:rPr>
          <w:lang w:val="en-US"/>
        </w:rPr>
        <w:t xml:space="preserve"> 187, </w:t>
      </w:r>
      <w:r w:rsidR="00F14F4E" w:rsidRPr="001558A5">
        <w:rPr>
          <w:lang w:val="en-US"/>
        </w:rPr>
        <w:t>191</w:t>
      </w:r>
      <w:r w:rsidR="00436262" w:rsidRPr="001558A5">
        <w:rPr>
          <w:lang w:val="en-US"/>
        </w:rPr>
        <w:t>,</w:t>
      </w:r>
      <w:r w:rsidRPr="001558A5">
        <w:rPr>
          <w:lang w:val="en-US"/>
        </w:rPr>
        <w:t xml:space="preserve"> and </w:t>
      </w:r>
      <w:r w:rsidR="0056675E" w:rsidRPr="001558A5">
        <w:rPr>
          <w:lang w:val="en-US"/>
        </w:rPr>
        <w:t xml:space="preserve">197 </w:t>
      </w:r>
      <w:r w:rsidR="004E4879" w:rsidRPr="001558A5">
        <w:rPr>
          <w:lang w:val="en-US"/>
        </w:rPr>
        <w:t>of this judgment</w:t>
      </w:r>
      <w:r w:rsidR="00436262" w:rsidRPr="001558A5">
        <w:rPr>
          <w:bCs/>
          <w:lang w:val="en-US"/>
        </w:rPr>
        <w:t xml:space="preserve"> </w:t>
      </w:r>
      <w:r w:rsidR="005E56DE" w:rsidRPr="001558A5">
        <w:rPr>
          <w:bCs/>
          <w:lang w:val="en-US"/>
        </w:rPr>
        <w:t>for the concepts of</w:t>
      </w:r>
      <w:r w:rsidR="00746E5F" w:rsidRPr="001558A5">
        <w:rPr>
          <w:bCs/>
          <w:lang w:val="en-US"/>
        </w:rPr>
        <w:t xml:space="preserve"> </w:t>
      </w:r>
      <w:r w:rsidR="00490D1B" w:rsidRPr="001558A5">
        <w:rPr>
          <w:bCs/>
          <w:lang w:val="en-US"/>
        </w:rPr>
        <w:t xml:space="preserve">pecuniary </w:t>
      </w:r>
      <w:r w:rsidR="005E56DE" w:rsidRPr="001558A5">
        <w:rPr>
          <w:bCs/>
          <w:lang w:val="en-US"/>
        </w:rPr>
        <w:t xml:space="preserve">and non-pecuniary </w:t>
      </w:r>
      <w:r w:rsidR="00490D1B" w:rsidRPr="001558A5">
        <w:rPr>
          <w:bCs/>
          <w:lang w:val="en-US"/>
        </w:rPr>
        <w:t>damage</w:t>
      </w:r>
      <w:r w:rsidR="00746E5F" w:rsidRPr="001558A5">
        <w:rPr>
          <w:bCs/>
          <w:lang w:val="en-US"/>
        </w:rPr>
        <w:t xml:space="preserve"> </w:t>
      </w:r>
      <w:r w:rsidR="005E56DE" w:rsidRPr="001558A5">
        <w:rPr>
          <w:bCs/>
          <w:lang w:val="en-US"/>
        </w:rPr>
        <w:t xml:space="preserve">and to reimburse </w:t>
      </w:r>
      <w:r w:rsidR="00907FBD" w:rsidRPr="001558A5">
        <w:rPr>
          <w:bCs/>
          <w:lang w:val="en-US"/>
        </w:rPr>
        <w:t>costs and expenses</w:t>
      </w:r>
      <w:r w:rsidR="00746E5F" w:rsidRPr="001558A5">
        <w:rPr>
          <w:lang w:val="en-US"/>
        </w:rPr>
        <w:t xml:space="preserve"> </w:t>
      </w:r>
      <w:r w:rsidR="005E56DE" w:rsidRPr="001558A5">
        <w:rPr>
          <w:lang w:val="en-US"/>
        </w:rPr>
        <w:t>pursuant to</w:t>
      </w:r>
      <w:r w:rsidR="00436262" w:rsidRPr="001558A5">
        <w:rPr>
          <w:lang w:val="en-US"/>
        </w:rPr>
        <w:t xml:space="preserve"> </w:t>
      </w:r>
      <w:r w:rsidR="004E4879" w:rsidRPr="001558A5">
        <w:rPr>
          <w:lang w:val="en-US"/>
        </w:rPr>
        <w:t>paragraphs</w:t>
      </w:r>
      <w:r w:rsidR="0056675E" w:rsidRPr="001558A5">
        <w:rPr>
          <w:lang w:val="en-US"/>
        </w:rPr>
        <w:t xml:space="preserve"> 191, 192</w:t>
      </w:r>
      <w:r w:rsidRPr="001558A5">
        <w:rPr>
          <w:lang w:val="en-US"/>
        </w:rPr>
        <w:t xml:space="preserve"> and </w:t>
      </w:r>
      <w:r w:rsidR="0056675E" w:rsidRPr="001558A5">
        <w:rPr>
          <w:lang w:val="en-US"/>
        </w:rPr>
        <w:t xml:space="preserve">198 </w:t>
      </w:r>
      <w:r w:rsidR="005E56DE" w:rsidRPr="001558A5">
        <w:rPr>
          <w:lang w:val="en-US"/>
        </w:rPr>
        <w:t>to</w:t>
      </w:r>
      <w:r w:rsidR="00436262" w:rsidRPr="001558A5">
        <w:rPr>
          <w:lang w:val="en-US"/>
        </w:rPr>
        <w:t xml:space="preserve"> </w:t>
      </w:r>
      <w:r w:rsidR="0056675E" w:rsidRPr="001558A5">
        <w:rPr>
          <w:lang w:val="en-US"/>
        </w:rPr>
        <w:t xml:space="preserve">203 </w:t>
      </w:r>
      <w:r w:rsidR="005E56DE" w:rsidRPr="001558A5">
        <w:rPr>
          <w:lang w:val="en-US"/>
        </w:rPr>
        <w:t>hereof.</w:t>
      </w:r>
    </w:p>
    <w:p w14:paraId="065179BC" w14:textId="77777777" w:rsidR="002236DE" w:rsidRPr="001558A5" w:rsidRDefault="002236DE" w:rsidP="00422325">
      <w:pPr>
        <w:ind w:right="48"/>
        <w:rPr>
          <w:lang w:val="en-US"/>
        </w:rPr>
      </w:pPr>
    </w:p>
    <w:p w14:paraId="24326A32" w14:textId="7AC0C865" w:rsidR="0056675E" w:rsidRPr="001558A5" w:rsidRDefault="00DD4354" w:rsidP="0056675E">
      <w:pPr>
        <w:pStyle w:val="Prrafodelista"/>
        <w:numPr>
          <w:ilvl w:val="3"/>
          <w:numId w:val="35"/>
        </w:numPr>
        <w:ind w:left="0" w:right="48" w:firstLine="0"/>
        <w:contextualSpacing w:val="0"/>
        <w:rPr>
          <w:lang w:val="en-US"/>
        </w:rPr>
      </w:pPr>
      <w:r w:rsidRPr="001558A5">
        <w:rPr>
          <w:lang w:val="en-US"/>
        </w:rPr>
        <w:t>The State</w:t>
      </w:r>
      <w:r w:rsidR="0056675E" w:rsidRPr="001558A5">
        <w:rPr>
          <w:lang w:val="en-US"/>
        </w:rPr>
        <w:t xml:space="preserve"> </w:t>
      </w:r>
      <w:r w:rsidR="005E56DE" w:rsidRPr="001558A5">
        <w:rPr>
          <w:lang w:val="en-US"/>
        </w:rPr>
        <w:t xml:space="preserve">shall pay the amount to provide psychological and/or psychiatric treatment to the victims who require this pursuant to </w:t>
      </w:r>
      <w:r w:rsidR="004E4879" w:rsidRPr="001558A5">
        <w:rPr>
          <w:lang w:val="en-US"/>
        </w:rPr>
        <w:t>paragraph</w:t>
      </w:r>
      <w:r w:rsidR="0056675E" w:rsidRPr="001558A5">
        <w:rPr>
          <w:lang w:val="en-US"/>
        </w:rPr>
        <w:t xml:space="preserve"> 193 </w:t>
      </w:r>
      <w:r w:rsidR="004E4879" w:rsidRPr="001558A5">
        <w:rPr>
          <w:lang w:val="en-US"/>
        </w:rPr>
        <w:t>of this judgment</w:t>
      </w:r>
      <w:r w:rsidR="0056675E" w:rsidRPr="001558A5">
        <w:rPr>
          <w:lang w:val="en-US"/>
        </w:rPr>
        <w:t>.</w:t>
      </w:r>
    </w:p>
    <w:p w14:paraId="5D5D2E4A" w14:textId="77777777" w:rsidR="0056675E" w:rsidRPr="001558A5" w:rsidRDefault="0056675E" w:rsidP="0056675E">
      <w:pPr>
        <w:pStyle w:val="Prrafodelista"/>
        <w:rPr>
          <w:lang w:val="en-US"/>
        </w:rPr>
      </w:pPr>
    </w:p>
    <w:p w14:paraId="7EB7E195" w14:textId="03E79613" w:rsidR="002236DE" w:rsidRPr="001558A5" w:rsidRDefault="00DD4354" w:rsidP="00422325">
      <w:pPr>
        <w:pStyle w:val="Prrafodelista"/>
        <w:numPr>
          <w:ilvl w:val="3"/>
          <w:numId w:val="35"/>
        </w:numPr>
        <w:ind w:left="0" w:right="48" w:firstLine="0"/>
        <w:contextualSpacing w:val="0"/>
        <w:rPr>
          <w:lang w:val="en-US"/>
        </w:rPr>
      </w:pPr>
      <w:r w:rsidRPr="001558A5">
        <w:rPr>
          <w:lang w:val="en-US"/>
        </w:rPr>
        <w:t>The State</w:t>
      </w:r>
      <w:r w:rsidR="002236DE" w:rsidRPr="001558A5">
        <w:rPr>
          <w:lang w:val="en-US"/>
        </w:rPr>
        <w:t xml:space="preserve"> </w:t>
      </w:r>
      <w:r w:rsidR="005E56DE" w:rsidRPr="001558A5">
        <w:rPr>
          <w:lang w:val="en-US"/>
        </w:rPr>
        <w:t xml:space="preserve">shall provide the Court with a report, within one year of notification of this judgment, on the measures taken to comply with it, without prejudice to the provisions </w:t>
      </w:r>
      <w:r w:rsidR="000579A0" w:rsidRPr="001558A5">
        <w:rPr>
          <w:lang w:val="en-US"/>
        </w:rPr>
        <w:t>of</w:t>
      </w:r>
      <w:r w:rsidR="005E56DE" w:rsidRPr="001558A5">
        <w:rPr>
          <w:lang w:val="en-US"/>
        </w:rPr>
        <w:t xml:space="preserve"> </w:t>
      </w:r>
      <w:r w:rsidR="004E4879" w:rsidRPr="001558A5">
        <w:rPr>
          <w:lang w:val="en-US"/>
        </w:rPr>
        <w:t>paragraphs</w:t>
      </w:r>
      <w:r w:rsidR="002236DE" w:rsidRPr="001558A5">
        <w:rPr>
          <w:lang w:val="en-US"/>
        </w:rPr>
        <w:t xml:space="preserve"> </w:t>
      </w:r>
      <w:r w:rsidR="00F610A4" w:rsidRPr="001558A5">
        <w:rPr>
          <w:lang w:val="en-US"/>
        </w:rPr>
        <w:t>163, 164</w:t>
      </w:r>
      <w:r w:rsidRPr="001558A5">
        <w:rPr>
          <w:lang w:val="en-US"/>
        </w:rPr>
        <w:t xml:space="preserve"> and </w:t>
      </w:r>
      <w:r w:rsidR="00F610A4" w:rsidRPr="001558A5">
        <w:rPr>
          <w:lang w:val="en-US"/>
        </w:rPr>
        <w:t xml:space="preserve">173 </w:t>
      </w:r>
      <w:r w:rsidR="004E4879" w:rsidRPr="001558A5">
        <w:rPr>
          <w:lang w:val="en-US"/>
        </w:rPr>
        <w:t>of this judgment</w:t>
      </w:r>
      <w:r w:rsidR="002236DE" w:rsidRPr="001558A5">
        <w:rPr>
          <w:lang w:val="en-US"/>
        </w:rPr>
        <w:t>.</w:t>
      </w:r>
    </w:p>
    <w:p w14:paraId="6F560B7C" w14:textId="77777777" w:rsidR="002236DE" w:rsidRPr="001558A5" w:rsidRDefault="002236DE" w:rsidP="00422325">
      <w:pPr>
        <w:ind w:right="48"/>
        <w:rPr>
          <w:lang w:val="en-US"/>
        </w:rPr>
      </w:pPr>
    </w:p>
    <w:p w14:paraId="530385B6" w14:textId="223ACEF0" w:rsidR="002236DE" w:rsidRPr="001558A5" w:rsidRDefault="00871E19" w:rsidP="00422325">
      <w:pPr>
        <w:pStyle w:val="Prrafodelista"/>
        <w:numPr>
          <w:ilvl w:val="3"/>
          <w:numId w:val="35"/>
        </w:numPr>
        <w:ind w:left="0" w:right="48" w:firstLine="0"/>
        <w:contextualSpacing w:val="0"/>
        <w:rPr>
          <w:lang w:val="en-US"/>
        </w:rPr>
      </w:pPr>
      <w:r w:rsidRPr="001558A5">
        <w:rPr>
          <w:lang w:val="en-US"/>
        </w:rPr>
        <w:t>The Court</w:t>
      </w:r>
      <w:r w:rsidR="002236DE" w:rsidRPr="001558A5">
        <w:rPr>
          <w:lang w:val="en-US"/>
        </w:rPr>
        <w:t xml:space="preserve"> </w:t>
      </w:r>
      <w:r w:rsidR="005E56DE" w:rsidRPr="001558A5">
        <w:rPr>
          <w:lang w:val="en-US"/>
        </w:rPr>
        <w:t xml:space="preserve">will monitor full compliance with this judgment in exercise of its attributes and in fulfillment of its duties under </w:t>
      </w:r>
      <w:r w:rsidRPr="001558A5">
        <w:rPr>
          <w:lang w:val="en-US"/>
        </w:rPr>
        <w:t>the American Convention on Human Rights</w:t>
      </w:r>
      <w:r w:rsidR="002236DE" w:rsidRPr="001558A5">
        <w:rPr>
          <w:lang w:val="en-US"/>
        </w:rPr>
        <w:t>,</w:t>
      </w:r>
      <w:r w:rsidR="00DD4354" w:rsidRPr="001558A5">
        <w:rPr>
          <w:lang w:val="en-US"/>
        </w:rPr>
        <w:t xml:space="preserve"> and </w:t>
      </w:r>
      <w:r w:rsidR="005E56DE" w:rsidRPr="001558A5">
        <w:rPr>
          <w:lang w:val="en-US"/>
        </w:rPr>
        <w:t>will consider this case closed when the State has complied fully with all its provisions.</w:t>
      </w:r>
    </w:p>
    <w:p w14:paraId="564BC859" w14:textId="0B69A892" w:rsidR="00FB2134" w:rsidRPr="001558A5" w:rsidRDefault="00FB2134" w:rsidP="00422325">
      <w:pPr>
        <w:pStyle w:val="Prrafodelista"/>
        <w:ind w:left="0" w:right="48"/>
        <w:rPr>
          <w:szCs w:val="20"/>
          <w:lang w:val="en-US"/>
        </w:rPr>
      </w:pPr>
    </w:p>
    <w:p w14:paraId="279A9D0B" w14:textId="39136676" w:rsidR="00FB2134" w:rsidRPr="001558A5" w:rsidRDefault="00871E19" w:rsidP="00BF1B8C">
      <w:pPr>
        <w:pStyle w:val="Prrafodelista"/>
        <w:tabs>
          <w:tab w:val="left" w:pos="540"/>
          <w:tab w:val="left" w:pos="709"/>
        </w:tabs>
        <w:ind w:left="0" w:right="48"/>
        <w:contextualSpacing w:val="0"/>
        <w:rPr>
          <w:lang w:val="en-US"/>
        </w:rPr>
      </w:pPr>
      <w:r w:rsidRPr="001558A5">
        <w:rPr>
          <w:lang w:val="en-US"/>
        </w:rPr>
        <w:t>Judge</w:t>
      </w:r>
      <w:r w:rsidR="00FB2134" w:rsidRPr="001558A5">
        <w:rPr>
          <w:lang w:val="en-US"/>
        </w:rPr>
        <w:t xml:space="preserve"> L. Patricio </w:t>
      </w:r>
      <w:proofErr w:type="spellStart"/>
      <w:r w:rsidR="00FB2134" w:rsidRPr="001558A5">
        <w:rPr>
          <w:lang w:val="en-US"/>
        </w:rPr>
        <w:t>Pazmiño</w:t>
      </w:r>
      <w:proofErr w:type="spellEnd"/>
      <w:r w:rsidR="00FB2134" w:rsidRPr="001558A5">
        <w:rPr>
          <w:lang w:val="en-US"/>
        </w:rPr>
        <w:t xml:space="preserve"> Freire </w:t>
      </w:r>
      <w:r w:rsidR="0011132C" w:rsidRPr="001558A5">
        <w:rPr>
          <w:lang w:val="en-US"/>
        </w:rPr>
        <w:t>informed</w:t>
      </w:r>
      <w:r w:rsidR="00FB2134" w:rsidRPr="001558A5">
        <w:rPr>
          <w:lang w:val="en-US"/>
        </w:rPr>
        <w:t xml:space="preserve"> </w:t>
      </w:r>
      <w:r w:rsidRPr="001558A5">
        <w:rPr>
          <w:lang w:val="en-US"/>
        </w:rPr>
        <w:t>the Court</w:t>
      </w:r>
      <w:r w:rsidR="00FB2134" w:rsidRPr="001558A5">
        <w:rPr>
          <w:lang w:val="en-US"/>
        </w:rPr>
        <w:t xml:space="preserve"> </w:t>
      </w:r>
      <w:r w:rsidR="0011132C" w:rsidRPr="001558A5">
        <w:rPr>
          <w:lang w:val="en-US"/>
        </w:rPr>
        <w:t>of his concurring opinion</w:t>
      </w:r>
      <w:r w:rsidR="00FB2134" w:rsidRPr="001558A5">
        <w:rPr>
          <w:lang w:val="en-US"/>
        </w:rPr>
        <w:t xml:space="preserve">. </w:t>
      </w:r>
      <w:r w:rsidRPr="001558A5">
        <w:rPr>
          <w:lang w:val="en-US"/>
        </w:rPr>
        <w:t>Judge</w:t>
      </w:r>
      <w:r w:rsidR="00FB2134" w:rsidRPr="001558A5">
        <w:rPr>
          <w:lang w:val="en-US"/>
        </w:rPr>
        <w:t xml:space="preserve"> Elizabeth </w:t>
      </w:r>
      <w:proofErr w:type="spellStart"/>
      <w:r w:rsidR="00FB2134" w:rsidRPr="001558A5">
        <w:rPr>
          <w:lang w:val="en-US"/>
        </w:rPr>
        <w:t>Odio</w:t>
      </w:r>
      <w:proofErr w:type="spellEnd"/>
      <w:r w:rsidR="00FB2134" w:rsidRPr="001558A5">
        <w:rPr>
          <w:lang w:val="en-US"/>
        </w:rPr>
        <w:t xml:space="preserve"> Benito </w:t>
      </w:r>
      <w:r w:rsidR="0011132C" w:rsidRPr="001558A5">
        <w:rPr>
          <w:lang w:val="en-US"/>
        </w:rPr>
        <w:t>informed</w:t>
      </w:r>
      <w:r w:rsidR="00FB2134" w:rsidRPr="001558A5">
        <w:rPr>
          <w:lang w:val="en-US"/>
        </w:rPr>
        <w:t xml:space="preserve"> </w:t>
      </w:r>
      <w:r w:rsidRPr="001558A5">
        <w:rPr>
          <w:lang w:val="en-US"/>
        </w:rPr>
        <w:t>the Court</w:t>
      </w:r>
      <w:r w:rsidR="00FB2134" w:rsidRPr="001558A5">
        <w:rPr>
          <w:lang w:val="en-US"/>
        </w:rPr>
        <w:t xml:space="preserve"> </w:t>
      </w:r>
      <w:r w:rsidR="0011132C" w:rsidRPr="001558A5">
        <w:rPr>
          <w:lang w:val="en-US"/>
        </w:rPr>
        <w:t>of her partially dissenting opinion.</w:t>
      </w:r>
      <w:r w:rsidR="00FB2134" w:rsidRPr="001558A5">
        <w:rPr>
          <w:lang w:val="en-US"/>
        </w:rPr>
        <w:t xml:space="preserve"> </w:t>
      </w:r>
      <w:r w:rsidRPr="001558A5">
        <w:rPr>
          <w:lang w:val="en-US"/>
        </w:rPr>
        <w:t>Judge</w:t>
      </w:r>
      <w:r w:rsidR="00FB2134" w:rsidRPr="001558A5">
        <w:rPr>
          <w:lang w:val="en-US"/>
        </w:rPr>
        <w:t xml:space="preserve"> Eduardo </w:t>
      </w:r>
      <w:proofErr w:type="spellStart"/>
      <w:r w:rsidR="00FB2134" w:rsidRPr="001558A5">
        <w:rPr>
          <w:lang w:val="en-US"/>
        </w:rPr>
        <w:t>Vio</w:t>
      </w:r>
      <w:proofErr w:type="spellEnd"/>
      <w:r w:rsidR="00FB2134" w:rsidRPr="001558A5">
        <w:rPr>
          <w:lang w:val="en-US"/>
        </w:rPr>
        <w:t xml:space="preserve"> </w:t>
      </w:r>
      <w:proofErr w:type="spellStart"/>
      <w:r w:rsidR="00FB2134" w:rsidRPr="001558A5">
        <w:rPr>
          <w:lang w:val="en-US"/>
        </w:rPr>
        <w:t>Grossi</w:t>
      </w:r>
      <w:proofErr w:type="spellEnd"/>
      <w:r w:rsidR="00FB2134" w:rsidRPr="001558A5">
        <w:rPr>
          <w:lang w:val="en-US"/>
        </w:rPr>
        <w:t xml:space="preserve"> </w:t>
      </w:r>
      <w:r w:rsidR="0011132C" w:rsidRPr="001558A5">
        <w:rPr>
          <w:lang w:val="en-US"/>
        </w:rPr>
        <w:t>informed</w:t>
      </w:r>
      <w:r w:rsidR="00FB2134" w:rsidRPr="001558A5">
        <w:rPr>
          <w:lang w:val="en-US"/>
        </w:rPr>
        <w:t xml:space="preserve"> </w:t>
      </w:r>
      <w:r w:rsidRPr="001558A5">
        <w:rPr>
          <w:lang w:val="en-US"/>
        </w:rPr>
        <w:t>the Court</w:t>
      </w:r>
      <w:r w:rsidR="00FB2134" w:rsidRPr="001558A5">
        <w:rPr>
          <w:lang w:val="en-US"/>
        </w:rPr>
        <w:t xml:space="preserve"> </w:t>
      </w:r>
      <w:r w:rsidR="0011132C" w:rsidRPr="001558A5">
        <w:rPr>
          <w:lang w:val="en-US"/>
        </w:rPr>
        <w:t>of his partially dissenting opinion</w:t>
      </w:r>
      <w:r w:rsidR="00FB2134" w:rsidRPr="001558A5">
        <w:rPr>
          <w:lang w:val="en-US"/>
        </w:rPr>
        <w:t>.</w:t>
      </w:r>
      <w:r w:rsidR="00547BDC">
        <w:rPr>
          <w:lang w:val="en-US"/>
        </w:rPr>
        <w:t xml:space="preserve"> </w:t>
      </w:r>
      <w:bookmarkStart w:id="160" w:name="_GoBack"/>
      <w:bookmarkEnd w:id="160"/>
    </w:p>
    <w:p w14:paraId="727DD434" w14:textId="77777777" w:rsidR="002236DE" w:rsidRPr="001558A5" w:rsidRDefault="002236DE" w:rsidP="00422325">
      <w:pPr>
        <w:pStyle w:val="Prrafodelista"/>
        <w:ind w:left="0" w:right="48"/>
        <w:rPr>
          <w:szCs w:val="20"/>
          <w:lang w:val="en-US"/>
        </w:rPr>
      </w:pPr>
    </w:p>
    <w:p w14:paraId="7C4F31A3" w14:textId="319CBE75" w:rsidR="002236DE" w:rsidRPr="001558A5" w:rsidRDefault="0011132C" w:rsidP="00422325">
      <w:pPr>
        <w:pStyle w:val="Prrafodelista"/>
        <w:ind w:left="0" w:right="48"/>
        <w:rPr>
          <w:szCs w:val="20"/>
          <w:lang w:val="en-US"/>
        </w:rPr>
      </w:pPr>
      <w:r w:rsidRPr="001558A5">
        <w:rPr>
          <w:szCs w:val="20"/>
          <w:lang w:val="en-US"/>
        </w:rPr>
        <w:t xml:space="preserve">DONE at </w:t>
      </w:r>
      <w:r w:rsidR="002236DE" w:rsidRPr="001558A5">
        <w:rPr>
          <w:szCs w:val="20"/>
          <w:lang w:val="en-US"/>
        </w:rPr>
        <w:t>San José, Costa Rica,</w:t>
      </w:r>
      <w:r w:rsidRPr="001558A5">
        <w:rPr>
          <w:szCs w:val="20"/>
          <w:lang w:val="en-US"/>
        </w:rPr>
        <w:t xml:space="preserve"> on March 26, 2021, in the Spanish language.</w:t>
      </w:r>
    </w:p>
    <w:p w14:paraId="527AF1F7" w14:textId="77777777" w:rsidR="000579A0" w:rsidRPr="001558A5" w:rsidRDefault="000579A0" w:rsidP="00325496">
      <w:pPr>
        <w:keepNext/>
        <w:outlineLvl w:val="0"/>
        <w:rPr>
          <w:rFonts w:eastAsia="Times" w:cs="Courier New"/>
          <w:noProof/>
          <w:szCs w:val="20"/>
          <w:lang w:val="en-US"/>
        </w:rPr>
      </w:pPr>
    </w:p>
    <w:p w14:paraId="6C11B5B2" w14:textId="34CDB3E4" w:rsidR="00325496" w:rsidRPr="001558A5" w:rsidRDefault="0011132C" w:rsidP="00325496">
      <w:pPr>
        <w:keepNext/>
        <w:outlineLvl w:val="0"/>
        <w:rPr>
          <w:szCs w:val="20"/>
          <w:lang w:val="en-US"/>
        </w:rPr>
      </w:pPr>
      <w:r w:rsidRPr="001558A5">
        <w:rPr>
          <w:rFonts w:eastAsia="Times" w:cs="Courier New"/>
          <w:noProof/>
          <w:szCs w:val="20"/>
          <w:lang w:val="en-US"/>
        </w:rPr>
        <w:t>I/A Court HR</w:t>
      </w:r>
      <w:r w:rsidR="00325496" w:rsidRPr="001558A5">
        <w:rPr>
          <w:rFonts w:eastAsia="Times" w:cs="Courier New"/>
          <w:noProof/>
          <w:szCs w:val="20"/>
          <w:lang w:val="en-US"/>
        </w:rPr>
        <w:t xml:space="preserve">. </w:t>
      </w:r>
      <w:r w:rsidR="00871E19" w:rsidRPr="001558A5">
        <w:rPr>
          <w:rFonts w:eastAsia="Times"/>
          <w:bCs/>
          <w:i/>
          <w:szCs w:val="20"/>
          <w:lang w:val="en-US"/>
        </w:rPr>
        <w:t>Case of</w:t>
      </w:r>
      <w:r w:rsidR="00325496" w:rsidRPr="001558A5">
        <w:rPr>
          <w:rFonts w:eastAsia="Times"/>
          <w:bCs/>
          <w:i/>
          <w:szCs w:val="20"/>
          <w:lang w:val="en-US"/>
        </w:rPr>
        <w:t xml:space="preserve"> Vicky </w:t>
      </w:r>
      <w:r w:rsidR="00871E19" w:rsidRPr="001558A5">
        <w:rPr>
          <w:rFonts w:eastAsia="Times"/>
          <w:bCs/>
          <w:i/>
          <w:szCs w:val="20"/>
          <w:lang w:val="en-US"/>
        </w:rPr>
        <w:t>Hernández et al.</w:t>
      </w:r>
      <w:r w:rsidR="00325496" w:rsidRPr="001558A5">
        <w:rPr>
          <w:rFonts w:eastAsia="Times"/>
          <w:bCs/>
          <w:i/>
          <w:szCs w:val="20"/>
          <w:lang w:val="en-US"/>
        </w:rPr>
        <w:t xml:space="preserve"> </w:t>
      </w:r>
      <w:r w:rsidR="00871E19" w:rsidRPr="001558A5">
        <w:rPr>
          <w:rFonts w:eastAsia="Times"/>
          <w:bCs/>
          <w:i/>
          <w:szCs w:val="20"/>
          <w:lang w:val="en-US"/>
        </w:rPr>
        <w:t>v.</w:t>
      </w:r>
      <w:r w:rsidR="00325496" w:rsidRPr="001558A5">
        <w:rPr>
          <w:rFonts w:eastAsia="Times"/>
          <w:bCs/>
          <w:i/>
          <w:szCs w:val="20"/>
          <w:lang w:val="en-US"/>
        </w:rPr>
        <w:t xml:space="preserve"> Honduras. </w:t>
      </w:r>
      <w:r w:rsidRPr="001558A5">
        <w:rPr>
          <w:rFonts w:eastAsia="Times" w:cs="Courier New"/>
          <w:noProof/>
          <w:szCs w:val="20"/>
          <w:lang w:val="en-US"/>
        </w:rPr>
        <w:t>Merits, reparations and costs</w:t>
      </w:r>
      <w:r w:rsidR="00325496" w:rsidRPr="001558A5">
        <w:rPr>
          <w:szCs w:val="20"/>
          <w:lang w:val="en-US"/>
        </w:rPr>
        <w:t xml:space="preserve">. </w:t>
      </w:r>
      <w:r w:rsidR="00871E19" w:rsidRPr="001558A5">
        <w:rPr>
          <w:szCs w:val="20"/>
          <w:lang w:val="en-US"/>
        </w:rPr>
        <w:t>Judgment of</w:t>
      </w:r>
      <w:r w:rsidR="00325496" w:rsidRPr="001558A5">
        <w:rPr>
          <w:szCs w:val="20"/>
          <w:lang w:val="en-US"/>
        </w:rPr>
        <w:t xml:space="preserve"> </w:t>
      </w:r>
      <w:r w:rsidRPr="001558A5">
        <w:rPr>
          <w:szCs w:val="20"/>
          <w:lang w:val="en-US"/>
        </w:rPr>
        <w:t>March 26,</w:t>
      </w:r>
      <w:r w:rsidR="00325496" w:rsidRPr="001558A5">
        <w:rPr>
          <w:szCs w:val="20"/>
          <w:lang w:val="en-US"/>
        </w:rPr>
        <w:t xml:space="preserve"> 2021. </w:t>
      </w:r>
      <w:r w:rsidRPr="001558A5">
        <w:rPr>
          <w:iCs/>
          <w:szCs w:val="20"/>
          <w:lang w:val="en-US"/>
        </w:rPr>
        <w:t>Judgment adopted in</w:t>
      </w:r>
      <w:r w:rsidR="00325496" w:rsidRPr="001558A5">
        <w:rPr>
          <w:iCs/>
          <w:szCs w:val="20"/>
          <w:lang w:val="en-US"/>
        </w:rPr>
        <w:t xml:space="preserve"> San José, Costa Rica</w:t>
      </w:r>
      <w:r w:rsidRPr="001558A5">
        <w:rPr>
          <w:iCs/>
          <w:szCs w:val="20"/>
          <w:lang w:val="en-US"/>
        </w:rPr>
        <w:t xml:space="preserve">, in a virtual session. </w:t>
      </w:r>
    </w:p>
    <w:p w14:paraId="7E745FED" w14:textId="1602A9D2" w:rsidR="00325496" w:rsidRPr="001558A5" w:rsidRDefault="00325496" w:rsidP="00325496">
      <w:pPr>
        <w:jc w:val="center"/>
        <w:rPr>
          <w:rFonts w:eastAsia="Times"/>
          <w:szCs w:val="20"/>
          <w:lang w:val="en-US"/>
        </w:rPr>
      </w:pPr>
    </w:p>
    <w:p w14:paraId="51910773" w14:textId="77777777" w:rsidR="00325496" w:rsidRPr="001558A5" w:rsidRDefault="00325496" w:rsidP="00325496">
      <w:pPr>
        <w:jc w:val="center"/>
        <w:rPr>
          <w:rFonts w:eastAsia="Times"/>
          <w:szCs w:val="20"/>
          <w:lang w:val="en-US"/>
        </w:rPr>
      </w:pPr>
    </w:p>
    <w:p w14:paraId="43D7A676" w14:textId="77777777" w:rsidR="00325496" w:rsidRPr="001558A5" w:rsidRDefault="00325496" w:rsidP="00325496">
      <w:pPr>
        <w:jc w:val="center"/>
        <w:rPr>
          <w:rFonts w:eastAsia="Times"/>
          <w:szCs w:val="20"/>
          <w:lang w:val="en-US"/>
        </w:rPr>
      </w:pPr>
    </w:p>
    <w:p w14:paraId="4319D4FC" w14:textId="77777777" w:rsidR="00325496" w:rsidRPr="001558A5" w:rsidRDefault="00325496" w:rsidP="00325496">
      <w:pPr>
        <w:jc w:val="center"/>
        <w:rPr>
          <w:rFonts w:eastAsia="Times"/>
          <w:szCs w:val="20"/>
          <w:lang w:val="en-US"/>
        </w:rPr>
      </w:pPr>
    </w:p>
    <w:p w14:paraId="510C9266" w14:textId="77777777" w:rsidR="00325496" w:rsidRPr="001558A5" w:rsidRDefault="00325496" w:rsidP="00325496">
      <w:pPr>
        <w:jc w:val="center"/>
        <w:rPr>
          <w:rFonts w:eastAsia="Times"/>
          <w:szCs w:val="20"/>
          <w:lang w:val="en-US"/>
        </w:rPr>
      </w:pPr>
    </w:p>
    <w:p w14:paraId="6A593E80" w14:textId="77777777" w:rsidR="00325496" w:rsidRPr="001558A5" w:rsidRDefault="00325496" w:rsidP="00325496">
      <w:pPr>
        <w:jc w:val="center"/>
        <w:rPr>
          <w:szCs w:val="20"/>
          <w:lang w:val="es-CR"/>
        </w:rPr>
      </w:pPr>
      <w:r w:rsidRPr="001558A5">
        <w:rPr>
          <w:szCs w:val="20"/>
          <w:lang w:val="es-CR"/>
        </w:rPr>
        <w:t>Elizabeth Odio Benito</w:t>
      </w:r>
    </w:p>
    <w:p w14:paraId="7CBFA078" w14:textId="64E29547" w:rsidR="00325496" w:rsidRPr="001558A5" w:rsidRDefault="00871E19" w:rsidP="00325496">
      <w:pPr>
        <w:jc w:val="center"/>
        <w:rPr>
          <w:szCs w:val="20"/>
          <w:lang w:val="es-CR"/>
        </w:rPr>
      </w:pPr>
      <w:proofErr w:type="spellStart"/>
      <w:r w:rsidRPr="001558A5">
        <w:rPr>
          <w:szCs w:val="20"/>
          <w:lang w:val="es-CR"/>
        </w:rPr>
        <w:t>President</w:t>
      </w:r>
      <w:proofErr w:type="spellEnd"/>
    </w:p>
    <w:p w14:paraId="5E7C11FB" w14:textId="77777777" w:rsidR="00325496" w:rsidRPr="001558A5" w:rsidRDefault="00325496" w:rsidP="00325496">
      <w:pPr>
        <w:rPr>
          <w:szCs w:val="20"/>
          <w:lang w:val="es-CR"/>
        </w:rPr>
      </w:pPr>
    </w:p>
    <w:p w14:paraId="58CAA3B9" w14:textId="370199E5" w:rsidR="00325496" w:rsidRPr="001558A5" w:rsidRDefault="00325496" w:rsidP="00325496">
      <w:pPr>
        <w:rPr>
          <w:szCs w:val="20"/>
          <w:lang w:val="es-CR"/>
        </w:rPr>
      </w:pPr>
    </w:p>
    <w:p w14:paraId="6D681C05" w14:textId="77777777" w:rsidR="00325496" w:rsidRPr="001558A5" w:rsidRDefault="00325496" w:rsidP="00325496">
      <w:pPr>
        <w:rPr>
          <w:szCs w:val="20"/>
          <w:lang w:val="es-CR"/>
        </w:rPr>
      </w:pPr>
    </w:p>
    <w:p w14:paraId="4E07DEFB" w14:textId="77777777" w:rsidR="00325496" w:rsidRPr="001558A5" w:rsidRDefault="00325496" w:rsidP="00325496">
      <w:pPr>
        <w:rPr>
          <w:szCs w:val="20"/>
          <w:lang w:val="es-CR"/>
        </w:rPr>
      </w:pPr>
    </w:p>
    <w:p w14:paraId="1F022411" w14:textId="37337A66" w:rsidR="00325496" w:rsidRPr="001558A5" w:rsidRDefault="00325496" w:rsidP="00325496">
      <w:pPr>
        <w:rPr>
          <w:szCs w:val="20"/>
          <w:lang w:val="es-CR"/>
        </w:rPr>
      </w:pPr>
      <w:r w:rsidRPr="001558A5">
        <w:rPr>
          <w:szCs w:val="20"/>
          <w:lang w:val="es-CR"/>
        </w:rPr>
        <w:t>L. Patricio Pazmiño Freire</w:t>
      </w:r>
      <w:r w:rsidRPr="001558A5">
        <w:rPr>
          <w:szCs w:val="20"/>
          <w:lang w:val="es-CR"/>
        </w:rPr>
        <w:tab/>
      </w:r>
      <w:r w:rsidRPr="001558A5">
        <w:rPr>
          <w:szCs w:val="20"/>
          <w:lang w:val="es-CR"/>
        </w:rPr>
        <w:tab/>
      </w:r>
      <w:r w:rsidRPr="001558A5">
        <w:rPr>
          <w:szCs w:val="20"/>
          <w:lang w:val="es-CR"/>
        </w:rPr>
        <w:tab/>
      </w:r>
      <w:r w:rsidRPr="001558A5">
        <w:rPr>
          <w:szCs w:val="20"/>
          <w:lang w:val="es-CR"/>
        </w:rPr>
        <w:tab/>
      </w:r>
      <w:r w:rsidRPr="001558A5">
        <w:rPr>
          <w:szCs w:val="20"/>
          <w:lang w:val="es-CR"/>
        </w:rPr>
        <w:tab/>
      </w:r>
      <w:r w:rsidRPr="001558A5">
        <w:rPr>
          <w:szCs w:val="20"/>
          <w:lang w:val="es-CR"/>
        </w:rPr>
        <w:tab/>
      </w:r>
      <w:r w:rsidRPr="001558A5">
        <w:rPr>
          <w:szCs w:val="20"/>
          <w:lang w:val="es-CR"/>
        </w:rPr>
        <w:tab/>
        <w:t xml:space="preserve">    Eduardo Vio Grossi</w:t>
      </w:r>
    </w:p>
    <w:p w14:paraId="302E74B2" w14:textId="794B905F" w:rsidR="00325496" w:rsidRPr="001558A5" w:rsidRDefault="00325496" w:rsidP="00325496">
      <w:pPr>
        <w:rPr>
          <w:szCs w:val="20"/>
          <w:lang w:val="es-CR"/>
        </w:rPr>
      </w:pPr>
    </w:p>
    <w:p w14:paraId="013FA650" w14:textId="77777777" w:rsidR="00325496" w:rsidRPr="001558A5" w:rsidRDefault="00325496" w:rsidP="00325496">
      <w:pPr>
        <w:rPr>
          <w:szCs w:val="20"/>
          <w:lang w:val="es-CR"/>
        </w:rPr>
      </w:pPr>
    </w:p>
    <w:p w14:paraId="01DBEFC8" w14:textId="77777777" w:rsidR="00325496" w:rsidRPr="001558A5" w:rsidRDefault="00325496" w:rsidP="00325496">
      <w:pPr>
        <w:rPr>
          <w:szCs w:val="20"/>
          <w:lang w:val="es-CR"/>
        </w:rPr>
      </w:pPr>
    </w:p>
    <w:p w14:paraId="7541D843" w14:textId="77777777" w:rsidR="00325496" w:rsidRPr="001558A5" w:rsidRDefault="00325496" w:rsidP="00325496">
      <w:pPr>
        <w:rPr>
          <w:szCs w:val="20"/>
          <w:lang w:val="es-CR"/>
        </w:rPr>
      </w:pPr>
    </w:p>
    <w:p w14:paraId="7A12719B" w14:textId="77777777" w:rsidR="00325496" w:rsidRPr="001558A5" w:rsidRDefault="00325496" w:rsidP="00325496">
      <w:pPr>
        <w:rPr>
          <w:szCs w:val="20"/>
          <w:lang w:val="es-CR"/>
        </w:rPr>
      </w:pPr>
      <w:r w:rsidRPr="001558A5">
        <w:rPr>
          <w:rFonts w:eastAsia="Times"/>
          <w:szCs w:val="20"/>
          <w:lang w:val="es-CR"/>
        </w:rPr>
        <w:t>Humberto Antonio Sierra Porto</w:t>
      </w:r>
      <w:r w:rsidRPr="001558A5">
        <w:rPr>
          <w:szCs w:val="20"/>
          <w:lang w:val="es-CR"/>
        </w:rPr>
        <w:tab/>
      </w:r>
      <w:r w:rsidRPr="001558A5">
        <w:rPr>
          <w:szCs w:val="20"/>
          <w:lang w:val="es-CR"/>
        </w:rPr>
        <w:tab/>
      </w:r>
      <w:r w:rsidRPr="001558A5">
        <w:rPr>
          <w:szCs w:val="20"/>
          <w:lang w:val="es-CR"/>
        </w:rPr>
        <w:tab/>
      </w:r>
      <w:r w:rsidRPr="001558A5">
        <w:rPr>
          <w:szCs w:val="20"/>
          <w:lang w:val="es-CR"/>
        </w:rPr>
        <w:tab/>
        <w:t xml:space="preserve">   Eduardo Ferrer Mac-</w:t>
      </w:r>
      <w:proofErr w:type="spellStart"/>
      <w:r w:rsidRPr="001558A5">
        <w:rPr>
          <w:szCs w:val="20"/>
          <w:lang w:val="es-CR"/>
        </w:rPr>
        <w:t>Gregor</w:t>
      </w:r>
      <w:proofErr w:type="spellEnd"/>
      <w:r w:rsidRPr="001558A5">
        <w:rPr>
          <w:szCs w:val="20"/>
          <w:lang w:val="es-CR"/>
        </w:rPr>
        <w:t xml:space="preserve"> </w:t>
      </w:r>
      <w:proofErr w:type="spellStart"/>
      <w:r w:rsidRPr="001558A5">
        <w:rPr>
          <w:szCs w:val="20"/>
          <w:lang w:val="es-CR"/>
        </w:rPr>
        <w:t>Poisot</w:t>
      </w:r>
      <w:proofErr w:type="spellEnd"/>
    </w:p>
    <w:p w14:paraId="309D3D79" w14:textId="49172959" w:rsidR="00325496" w:rsidRPr="001558A5" w:rsidRDefault="00325496" w:rsidP="00325496">
      <w:pPr>
        <w:rPr>
          <w:szCs w:val="20"/>
          <w:lang w:val="es-CR"/>
        </w:rPr>
      </w:pPr>
    </w:p>
    <w:p w14:paraId="1B4C0FAB" w14:textId="37C8EA7D" w:rsidR="00325496" w:rsidRPr="001558A5" w:rsidRDefault="00325496" w:rsidP="00325496">
      <w:pPr>
        <w:rPr>
          <w:szCs w:val="20"/>
          <w:lang w:val="es-CR"/>
        </w:rPr>
      </w:pPr>
    </w:p>
    <w:p w14:paraId="5001DC40" w14:textId="77777777" w:rsidR="00325496" w:rsidRPr="001558A5" w:rsidRDefault="00325496" w:rsidP="00325496">
      <w:pPr>
        <w:rPr>
          <w:szCs w:val="20"/>
          <w:lang w:val="es-CR"/>
        </w:rPr>
      </w:pPr>
    </w:p>
    <w:p w14:paraId="1D7CFA68" w14:textId="77777777" w:rsidR="00325496" w:rsidRPr="001558A5" w:rsidRDefault="00325496" w:rsidP="00325496">
      <w:pPr>
        <w:rPr>
          <w:szCs w:val="20"/>
          <w:lang w:val="es-CR"/>
        </w:rPr>
      </w:pPr>
    </w:p>
    <w:p w14:paraId="5E9F2F56" w14:textId="77777777" w:rsidR="00325496" w:rsidRPr="001558A5" w:rsidRDefault="00325496" w:rsidP="00325496">
      <w:pPr>
        <w:rPr>
          <w:szCs w:val="20"/>
          <w:lang w:val="es-CR"/>
        </w:rPr>
      </w:pPr>
      <w:r w:rsidRPr="001558A5">
        <w:rPr>
          <w:szCs w:val="20"/>
          <w:lang w:val="es-CR"/>
        </w:rPr>
        <w:t xml:space="preserve">Eugenio Raúl </w:t>
      </w:r>
      <w:proofErr w:type="spellStart"/>
      <w:r w:rsidRPr="001558A5">
        <w:rPr>
          <w:szCs w:val="20"/>
          <w:lang w:val="es-CR"/>
        </w:rPr>
        <w:t>Zaffaroni</w:t>
      </w:r>
      <w:proofErr w:type="spellEnd"/>
      <w:r w:rsidRPr="001558A5">
        <w:rPr>
          <w:szCs w:val="20"/>
          <w:lang w:val="es-CR"/>
        </w:rPr>
        <w:tab/>
      </w:r>
      <w:r w:rsidRPr="001558A5">
        <w:rPr>
          <w:szCs w:val="20"/>
          <w:lang w:val="es-CR"/>
        </w:rPr>
        <w:tab/>
      </w:r>
      <w:r w:rsidRPr="001558A5">
        <w:rPr>
          <w:szCs w:val="20"/>
          <w:lang w:val="es-CR"/>
        </w:rPr>
        <w:tab/>
      </w:r>
      <w:r w:rsidRPr="001558A5">
        <w:rPr>
          <w:szCs w:val="20"/>
          <w:lang w:val="es-CR"/>
        </w:rPr>
        <w:tab/>
      </w:r>
      <w:r w:rsidRPr="001558A5">
        <w:rPr>
          <w:szCs w:val="20"/>
          <w:lang w:val="es-CR"/>
        </w:rPr>
        <w:tab/>
      </w:r>
      <w:r w:rsidRPr="001558A5">
        <w:rPr>
          <w:szCs w:val="20"/>
          <w:lang w:val="es-CR"/>
        </w:rPr>
        <w:tab/>
        <w:t xml:space="preserve">    Ricardo C. Pérez Manrique</w:t>
      </w:r>
    </w:p>
    <w:p w14:paraId="1BE7E1FE" w14:textId="77777777" w:rsidR="00325496" w:rsidRPr="001558A5" w:rsidRDefault="00325496" w:rsidP="00325496">
      <w:pPr>
        <w:rPr>
          <w:szCs w:val="20"/>
          <w:lang w:val="es-CR"/>
        </w:rPr>
      </w:pPr>
    </w:p>
    <w:p w14:paraId="29D58865" w14:textId="77777777" w:rsidR="00325496" w:rsidRPr="001558A5" w:rsidRDefault="00325496" w:rsidP="00325496">
      <w:pPr>
        <w:rPr>
          <w:szCs w:val="20"/>
          <w:lang w:val="es-CR"/>
        </w:rPr>
      </w:pPr>
    </w:p>
    <w:p w14:paraId="0DD2947A" w14:textId="77777777" w:rsidR="00325496" w:rsidRPr="001558A5" w:rsidRDefault="00325496" w:rsidP="00325496">
      <w:pPr>
        <w:rPr>
          <w:rFonts w:eastAsia="Times"/>
          <w:szCs w:val="20"/>
          <w:lang w:val="es-CR"/>
        </w:rPr>
      </w:pPr>
    </w:p>
    <w:p w14:paraId="6296B41B" w14:textId="77777777" w:rsidR="00325496" w:rsidRPr="001558A5" w:rsidRDefault="00325496" w:rsidP="00325496">
      <w:pPr>
        <w:rPr>
          <w:rFonts w:eastAsia="Times"/>
          <w:szCs w:val="20"/>
          <w:lang w:val="es-CR"/>
        </w:rPr>
      </w:pPr>
    </w:p>
    <w:p w14:paraId="4A885AF5" w14:textId="77777777" w:rsidR="00325496" w:rsidRPr="001558A5" w:rsidRDefault="00325496" w:rsidP="00325496">
      <w:pPr>
        <w:jc w:val="center"/>
        <w:rPr>
          <w:rFonts w:eastAsia="Times"/>
          <w:szCs w:val="20"/>
          <w:lang w:val="en-US"/>
        </w:rPr>
      </w:pPr>
      <w:r w:rsidRPr="001558A5">
        <w:rPr>
          <w:rFonts w:eastAsia="Times"/>
          <w:szCs w:val="20"/>
          <w:lang w:val="en-US"/>
        </w:rPr>
        <w:t xml:space="preserve">Pablo Saavedra </w:t>
      </w:r>
      <w:proofErr w:type="spellStart"/>
      <w:r w:rsidRPr="001558A5">
        <w:rPr>
          <w:rFonts w:eastAsia="Times"/>
          <w:szCs w:val="20"/>
          <w:lang w:val="en-US"/>
        </w:rPr>
        <w:t>Alessandri</w:t>
      </w:r>
      <w:proofErr w:type="spellEnd"/>
    </w:p>
    <w:p w14:paraId="6C16391A" w14:textId="2D87CD10" w:rsidR="00325496" w:rsidRPr="001558A5" w:rsidRDefault="00871E19" w:rsidP="00325496">
      <w:pPr>
        <w:jc w:val="center"/>
        <w:rPr>
          <w:rFonts w:eastAsia="Times"/>
          <w:szCs w:val="20"/>
          <w:lang w:val="en-US"/>
        </w:rPr>
      </w:pPr>
      <w:r w:rsidRPr="001558A5">
        <w:rPr>
          <w:rFonts w:eastAsia="Times"/>
          <w:szCs w:val="20"/>
          <w:lang w:val="en-US"/>
        </w:rPr>
        <w:t>Secretary</w:t>
      </w:r>
    </w:p>
    <w:p w14:paraId="2B997AF4" w14:textId="77777777" w:rsidR="00325496" w:rsidRPr="001558A5" w:rsidRDefault="00325496" w:rsidP="00325496">
      <w:pPr>
        <w:rPr>
          <w:rFonts w:eastAsia="Times"/>
          <w:szCs w:val="20"/>
          <w:lang w:val="en-US"/>
        </w:rPr>
      </w:pPr>
    </w:p>
    <w:p w14:paraId="7CB86B12" w14:textId="77777777" w:rsidR="00325496" w:rsidRPr="001558A5" w:rsidRDefault="00325496" w:rsidP="00325496">
      <w:pPr>
        <w:rPr>
          <w:rFonts w:eastAsia="Times"/>
          <w:szCs w:val="20"/>
          <w:lang w:val="en-US"/>
        </w:rPr>
      </w:pPr>
    </w:p>
    <w:p w14:paraId="49F07D23" w14:textId="230A9B33" w:rsidR="00325496" w:rsidRPr="001558A5" w:rsidRDefault="0011132C" w:rsidP="00325496">
      <w:pPr>
        <w:rPr>
          <w:rFonts w:eastAsia="Times"/>
          <w:szCs w:val="20"/>
          <w:lang w:val="en-US"/>
        </w:rPr>
      </w:pPr>
      <w:r w:rsidRPr="001558A5">
        <w:rPr>
          <w:rFonts w:eastAsia="Times"/>
          <w:szCs w:val="20"/>
          <w:lang w:val="en-US"/>
        </w:rPr>
        <w:t>So ordered</w:t>
      </w:r>
      <w:r w:rsidR="00325496" w:rsidRPr="001558A5">
        <w:rPr>
          <w:rFonts w:eastAsia="Times"/>
          <w:szCs w:val="20"/>
          <w:lang w:val="en-US"/>
        </w:rPr>
        <w:t>,</w:t>
      </w:r>
    </w:p>
    <w:p w14:paraId="29FD7B43" w14:textId="77777777" w:rsidR="00325496" w:rsidRPr="001558A5" w:rsidRDefault="00325496" w:rsidP="00325496">
      <w:pPr>
        <w:rPr>
          <w:rFonts w:eastAsia="Times"/>
          <w:szCs w:val="20"/>
          <w:lang w:val="en-US"/>
        </w:rPr>
      </w:pPr>
    </w:p>
    <w:p w14:paraId="7C6E811E" w14:textId="311D717D" w:rsidR="00325496" w:rsidRPr="001558A5" w:rsidRDefault="00325496" w:rsidP="00325496">
      <w:pPr>
        <w:rPr>
          <w:rFonts w:eastAsia="Times"/>
          <w:szCs w:val="20"/>
          <w:lang w:val="en-US"/>
        </w:rPr>
      </w:pPr>
    </w:p>
    <w:p w14:paraId="365C5C8D" w14:textId="77777777" w:rsidR="00325496" w:rsidRPr="001558A5" w:rsidRDefault="00325496" w:rsidP="00325496">
      <w:pPr>
        <w:rPr>
          <w:rFonts w:eastAsia="Times"/>
          <w:szCs w:val="20"/>
          <w:lang w:val="en-US"/>
        </w:rPr>
      </w:pPr>
    </w:p>
    <w:p w14:paraId="1057626B" w14:textId="77777777" w:rsidR="00325496" w:rsidRPr="001558A5" w:rsidRDefault="00325496" w:rsidP="00325496">
      <w:pPr>
        <w:rPr>
          <w:rFonts w:eastAsia="Times"/>
          <w:szCs w:val="20"/>
          <w:lang w:val="en-US"/>
        </w:rPr>
      </w:pPr>
    </w:p>
    <w:p w14:paraId="03676A82" w14:textId="77777777" w:rsidR="00325496" w:rsidRPr="001558A5" w:rsidRDefault="00325496" w:rsidP="00325496">
      <w:pPr>
        <w:ind w:left="4248" w:firstLine="708"/>
        <w:jc w:val="center"/>
        <w:rPr>
          <w:rFonts w:eastAsia="Times"/>
          <w:szCs w:val="20"/>
          <w:lang w:val="en-US"/>
        </w:rPr>
      </w:pPr>
      <w:r w:rsidRPr="001558A5">
        <w:rPr>
          <w:rFonts w:eastAsia="Times"/>
          <w:szCs w:val="20"/>
          <w:lang w:val="en-US"/>
        </w:rPr>
        <w:t xml:space="preserve">Elizabeth </w:t>
      </w:r>
      <w:proofErr w:type="spellStart"/>
      <w:r w:rsidRPr="001558A5">
        <w:rPr>
          <w:rFonts w:eastAsia="Times"/>
          <w:szCs w:val="20"/>
          <w:lang w:val="en-US"/>
        </w:rPr>
        <w:t>Odio</w:t>
      </w:r>
      <w:proofErr w:type="spellEnd"/>
      <w:r w:rsidRPr="001558A5">
        <w:rPr>
          <w:rFonts w:eastAsia="Times"/>
          <w:szCs w:val="20"/>
          <w:lang w:val="en-US"/>
        </w:rPr>
        <w:t xml:space="preserve"> Benito</w:t>
      </w:r>
    </w:p>
    <w:p w14:paraId="316DA337" w14:textId="19207325" w:rsidR="00325496" w:rsidRPr="001558A5" w:rsidRDefault="00871E19" w:rsidP="00325496">
      <w:pPr>
        <w:ind w:left="4248" w:firstLine="708"/>
        <w:jc w:val="center"/>
        <w:rPr>
          <w:rFonts w:eastAsia="Times"/>
          <w:szCs w:val="20"/>
          <w:lang w:val="en-US"/>
        </w:rPr>
      </w:pPr>
      <w:r w:rsidRPr="001558A5">
        <w:rPr>
          <w:rFonts w:eastAsia="Times"/>
          <w:szCs w:val="20"/>
          <w:lang w:val="en-US"/>
        </w:rPr>
        <w:t>President</w:t>
      </w:r>
    </w:p>
    <w:p w14:paraId="561B5257" w14:textId="77777777" w:rsidR="00325496" w:rsidRPr="001558A5" w:rsidRDefault="00325496" w:rsidP="00325496">
      <w:pPr>
        <w:rPr>
          <w:rFonts w:eastAsia="Times"/>
          <w:szCs w:val="20"/>
          <w:lang w:val="en-US"/>
        </w:rPr>
      </w:pPr>
    </w:p>
    <w:p w14:paraId="7132B9E1" w14:textId="77777777" w:rsidR="00325496" w:rsidRPr="001558A5" w:rsidRDefault="00325496" w:rsidP="00325496">
      <w:pPr>
        <w:rPr>
          <w:rFonts w:eastAsia="Times"/>
          <w:szCs w:val="20"/>
          <w:lang w:val="en-US"/>
        </w:rPr>
      </w:pPr>
    </w:p>
    <w:p w14:paraId="44628F3B" w14:textId="77777777" w:rsidR="00325496" w:rsidRPr="001558A5" w:rsidRDefault="00325496" w:rsidP="00325496">
      <w:pPr>
        <w:rPr>
          <w:rFonts w:eastAsia="Times"/>
          <w:szCs w:val="20"/>
          <w:lang w:val="en-US"/>
        </w:rPr>
      </w:pPr>
    </w:p>
    <w:p w14:paraId="141DB07D" w14:textId="77777777" w:rsidR="00325496" w:rsidRPr="001558A5" w:rsidRDefault="00325496" w:rsidP="00325496">
      <w:pPr>
        <w:rPr>
          <w:rFonts w:eastAsia="Times"/>
          <w:szCs w:val="20"/>
          <w:lang w:val="en-US"/>
        </w:rPr>
      </w:pPr>
      <w:r w:rsidRPr="001558A5">
        <w:rPr>
          <w:rFonts w:eastAsia="Times"/>
          <w:szCs w:val="20"/>
          <w:lang w:val="en-US"/>
        </w:rPr>
        <w:t xml:space="preserve">Pablo Saavedra </w:t>
      </w:r>
      <w:proofErr w:type="spellStart"/>
      <w:r w:rsidRPr="001558A5">
        <w:rPr>
          <w:rFonts w:eastAsia="Times"/>
          <w:szCs w:val="20"/>
          <w:lang w:val="en-US"/>
        </w:rPr>
        <w:t>Alessandri</w:t>
      </w:r>
      <w:proofErr w:type="spellEnd"/>
    </w:p>
    <w:p w14:paraId="52086E05" w14:textId="237C4476" w:rsidR="00325496" w:rsidRPr="001558A5" w:rsidRDefault="00325496" w:rsidP="00325496">
      <w:pPr>
        <w:rPr>
          <w:szCs w:val="20"/>
          <w:lang w:val="en-US"/>
        </w:rPr>
      </w:pPr>
      <w:r w:rsidRPr="001558A5">
        <w:rPr>
          <w:rFonts w:eastAsia="Times"/>
          <w:szCs w:val="20"/>
          <w:lang w:val="en-US"/>
        </w:rPr>
        <w:tab/>
      </w:r>
      <w:r w:rsidR="00871E19" w:rsidRPr="001558A5">
        <w:rPr>
          <w:rFonts w:eastAsia="Times"/>
          <w:szCs w:val="20"/>
          <w:lang w:val="en-US"/>
        </w:rPr>
        <w:t>Secretary</w:t>
      </w:r>
    </w:p>
    <w:p w14:paraId="03449DC1" w14:textId="77777777" w:rsidR="0076236C" w:rsidRPr="001558A5" w:rsidRDefault="0076236C" w:rsidP="00325496">
      <w:pPr>
        <w:pStyle w:val="Prrafodelista"/>
        <w:ind w:left="0" w:right="48"/>
        <w:rPr>
          <w:szCs w:val="20"/>
          <w:lang w:val="en-US"/>
        </w:rPr>
        <w:sectPr w:rsidR="0076236C" w:rsidRPr="001558A5" w:rsidSect="00E163E3">
          <w:footerReference w:type="even" r:id="rId8"/>
          <w:footerReference w:type="default" r:id="rId9"/>
          <w:headerReference w:type="first" r:id="rId10"/>
          <w:type w:val="continuous"/>
          <w:pgSz w:w="12240" w:h="15840"/>
          <w:pgMar w:top="1418" w:right="1418" w:bottom="1418" w:left="1418" w:header="720" w:footer="720" w:gutter="0"/>
          <w:cols w:space="720"/>
          <w:titlePg/>
          <w:docGrid w:linePitch="360"/>
        </w:sectPr>
      </w:pPr>
    </w:p>
    <w:p w14:paraId="2A9AE3E6" w14:textId="77777777" w:rsidR="0076236C" w:rsidRPr="001558A5" w:rsidRDefault="0076236C" w:rsidP="0076236C">
      <w:pPr>
        <w:rPr>
          <w:b/>
          <w:szCs w:val="20"/>
          <w:lang w:val="en-US"/>
        </w:rPr>
      </w:pPr>
    </w:p>
    <w:p w14:paraId="1325BA29" w14:textId="00F4E8C9" w:rsidR="0076236C" w:rsidRPr="001558A5" w:rsidRDefault="007D4A8F" w:rsidP="0076236C">
      <w:pPr>
        <w:jc w:val="center"/>
        <w:rPr>
          <w:b/>
          <w:szCs w:val="20"/>
          <w:lang w:val="en-US"/>
        </w:rPr>
      </w:pPr>
      <w:r w:rsidRPr="001558A5">
        <w:rPr>
          <w:b/>
          <w:szCs w:val="20"/>
          <w:lang w:val="en-US"/>
        </w:rPr>
        <w:t>PARTIALLY DISSENTING OPINION</w:t>
      </w:r>
    </w:p>
    <w:p w14:paraId="296374F0" w14:textId="7FF95BCB" w:rsidR="0076236C" w:rsidRPr="001558A5" w:rsidRDefault="007D4A8F" w:rsidP="0076236C">
      <w:pPr>
        <w:jc w:val="center"/>
        <w:rPr>
          <w:b/>
          <w:szCs w:val="20"/>
          <w:lang w:val="en-US"/>
        </w:rPr>
      </w:pPr>
      <w:r w:rsidRPr="001558A5">
        <w:rPr>
          <w:b/>
          <w:szCs w:val="20"/>
          <w:lang w:val="en-US"/>
        </w:rPr>
        <w:t>OF</w:t>
      </w:r>
      <w:r w:rsidR="0076236C" w:rsidRPr="001558A5">
        <w:rPr>
          <w:b/>
          <w:szCs w:val="20"/>
          <w:lang w:val="en-US"/>
        </w:rPr>
        <w:t xml:space="preserve"> </w:t>
      </w:r>
      <w:r w:rsidR="00871E19" w:rsidRPr="001558A5">
        <w:rPr>
          <w:b/>
          <w:szCs w:val="20"/>
          <w:lang w:val="en-US"/>
        </w:rPr>
        <w:t>JUDGE</w:t>
      </w:r>
      <w:r w:rsidR="0076236C" w:rsidRPr="001558A5">
        <w:rPr>
          <w:b/>
          <w:szCs w:val="20"/>
          <w:lang w:val="en-US"/>
        </w:rPr>
        <w:t xml:space="preserve"> ELIZABETH ODIO BENITO</w:t>
      </w:r>
    </w:p>
    <w:p w14:paraId="6789DDF2" w14:textId="77777777" w:rsidR="0076236C" w:rsidRPr="001558A5" w:rsidRDefault="0076236C" w:rsidP="0076236C">
      <w:pPr>
        <w:jc w:val="center"/>
        <w:rPr>
          <w:b/>
          <w:szCs w:val="20"/>
          <w:lang w:val="en-US"/>
        </w:rPr>
      </w:pPr>
    </w:p>
    <w:p w14:paraId="2F14870C" w14:textId="586AAC56" w:rsidR="0076236C" w:rsidRPr="001558A5" w:rsidRDefault="0076236C" w:rsidP="0076236C">
      <w:pPr>
        <w:tabs>
          <w:tab w:val="left" w:pos="851"/>
          <w:tab w:val="left" w:pos="1701"/>
          <w:tab w:val="left" w:pos="3544"/>
          <w:tab w:val="left" w:pos="3696"/>
        </w:tabs>
        <w:jc w:val="center"/>
        <w:rPr>
          <w:b/>
          <w:i/>
          <w:szCs w:val="20"/>
          <w:lang w:val="en-US"/>
        </w:rPr>
      </w:pPr>
      <w:r w:rsidRPr="001558A5">
        <w:rPr>
          <w:b/>
          <w:i/>
          <w:szCs w:val="20"/>
          <w:lang w:val="en-US"/>
        </w:rPr>
        <w:t>CAS</w:t>
      </w:r>
      <w:r w:rsidR="007D4A8F" w:rsidRPr="001558A5">
        <w:rPr>
          <w:b/>
          <w:i/>
          <w:szCs w:val="20"/>
          <w:lang w:val="en-US"/>
        </w:rPr>
        <w:t>E OF</w:t>
      </w:r>
      <w:r w:rsidRPr="001558A5">
        <w:rPr>
          <w:b/>
          <w:i/>
          <w:szCs w:val="20"/>
          <w:lang w:val="en-US"/>
        </w:rPr>
        <w:t xml:space="preserve"> VICKY HERNÁNDEZ</w:t>
      </w:r>
      <w:r w:rsidR="00DD4354" w:rsidRPr="001558A5">
        <w:rPr>
          <w:b/>
          <w:i/>
          <w:szCs w:val="20"/>
          <w:lang w:val="en-US"/>
        </w:rPr>
        <w:t xml:space="preserve"> </w:t>
      </w:r>
      <w:r w:rsidR="007D4A8F" w:rsidRPr="001558A5">
        <w:rPr>
          <w:b/>
          <w:i/>
          <w:szCs w:val="20"/>
          <w:lang w:val="en-US"/>
        </w:rPr>
        <w:t>ET AL. V</w:t>
      </w:r>
      <w:r w:rsidRPr="001558A5">
        <w:rPr>
          <w:b/>
          <w:i/>
          <w:szCs w:val="20"/>
          <w:lang w:val="en-US"/>
        </w:rPr>
        <w:t>. HONDURAS</w:t>
      </w:r>
    </w:p>
    <w:p w14:paraId="418DB40C" w14:textId="77777777" w:rsidR="0076236C" w:rsidRPr="001558A5" w:rsidRDefault="0076236C" w:rsidP="0076236C">
      <w:pPr>
        <w:jc w:val="center"/>
        <w:rPr>
          <w:b/>
          <w:szCs w:val="20"/>
          <w:lang w:val="en-US"/>
        </w:rPr>
      </w:pPr>
    </w:p>
    <w:p w14:paraId="7440FE48" w14:textId="0D92FFA5" w:rsidR="0076236C" w:rsidRPr="001558A5" w:rsidRDefault="007D4A8F" w:rsidP="0076236C">
      <w:pPr>
        <w:jc w:val="center"/>
        <w:rPr>
          <w:b/>
          <w:szCs w:val="20"/>
          <w:lang w:val="en-US"/>
        </w:rPr>
      </w:pPr>
      <w:r w:rsidRPr="001558A5">
        <w:rPr>
          <w:b/>
          <w:szCs w:val="20"/>
          <w:lang w:val="en-US"/>
        </w:rPr>
        <w:t>JUDGMENT OF MARCH 26,</w:t>
      </w:r>
      <w:r w:rsidR="0076236C" w:rsidRPr="001558A5">
        <w:rPr>
          <w:b/>
          <w:szCs w:val="20"/>
          <w:lang w:val="en-US"/>
        </w:rPr>
        <w:t xml:space="preserve"> 2021</w:t>
      </w:r>
    </w:p>
    <w:p w14:paraId="7C680CC2" w14:textId="461C7B3B" w:rsidR="0076236C" w:rsidRPr="001558A5" w:rsidRDefault="0076236C" w:rsidP="0076236C">
      <w:pPr>
        <w:jc w:val="center"/>
        <w:rPr>
          <w:b/>
          <w:i/>
          <w:szCs w:val="20"/>
          <w:lang w:val="en-US"/>
        </w:rPr>
      </w:pPr>
      <w:r w:rsidRPr="001558A5">
        <w:rPr>
          <w:b/>
          <w:i/>
          <w:szCs w:val="20"/>
          <w:lang w:val="en-US"/>
        </w:rPr>
        <w:t>(</w:t>
      </w:r>
      <w:r w:rsidR="007D4A8F" w:rsidRPr="001558A5">
        <w:rPr>
          <w:b/>
          <w:i/>
          <w:szCs w:val="20"/>
          <w:lang w:val="en-US"/>
        </w:rPr>
        <w:t>Merits, reparations and costs</w:t>
      </w:r>
      <w:r w:rsidRPr="001558A5">
        <w:rPr>
          <w:b/>
          <w:i/>
          <w:szCs w:val="20"/>
          <w:lang w:val="en-US"/>
        </w:rPr>
        <w:t>)</w:t>
      </w:r>
    </w:p>
    <w:p w14:paraId="3EBE7160" w14:textId="77777777" w:rsidR="0076236C" w:rsidRPr="001558A5" w:rsidRDefault="0076236C" w:rsidP="0076236C">
      <w:pPr>
        <w:rPr>
          <w:b/>
          <w:i/>
          <w:szCs w:val="20"/>
          <w:lang w:val="en-US"/>
        </w:rPr>
      </w:pPr>
    </w:p>
    <w:p w14:paraId="2B10564E" w14:textId="0E82DB58" w:rsidR="0076236C" w:rsidRPr="001558A5" w:rsidRDefault="0076236C" w:rsidP="0076236C">
      <w:pPr>
        <w:pStyle w:val="Prrafodelista"/>
        <w:numPr>
          <w:ilvl w:val="0"/>
          <w:numId w:val="40"/>
        </w:numPr>
        <w:spacing w:before="240" w:after="240"/>
        <w:ind w:left="714" w:hanging="357"/>
        <w:contextualSpacing w:val="0"/>
        <w:outlineLvl w:val="0"/>
        <w:rPr>
          <w:b/>
          <w:caps/>
          <w:szCs w:val="20"/>
          <w:lang w:val="en-US"/>
        </w:rPr>
      </w:pPr>
      <w:r w:rsidRPr="001558A5">
        <w:rPr>
          <w:b/>
          <w:caps/>
          <w:szCs w:val="20"/>
          <w:lang w:val="en-US"/>
        </w:rPr>
        <w:t>Introduc</w:t>
      </w:r>
      <w:r w:rsidR="00905EF9" w:rsidRPr="001558A5">
        <w:rPr>
          <w:b/>
          <w:caps/>
          <w:szCs w:val="20"/>
          <w:lang w:val="en-US"/>
        </w:rPr>
        <w:t>TIO</w:t>
      </w:r>
      <w:r w:rsidRPr="001558A5">
        <w:rPr>
          <w:b/>
          <w:caps/>
          <w:szCs w:val="20"/>
          <w:lang w:val="en-US"/>
        </w:rPr>
        <w:t>n</w:t>
      </w:r>
    </w:p>
    <w:p w14:paraId="2CCBAD6D" w14:textId="71799729" w:rsidR="0076236C" w:rsidRPr="001558A5" w:rsidRDefault="00FF575B" w:rsidP="0076236C">
      <w:pPr>
        <w:pStyle w:val="Prrafodelista"/>
        <w:numPr>
          <w:ilvl w:val="0"/>
          <w:numId w:val="39"/>
        </w:numPr>
        <w:ind w:left="0" w:firstLine="0"/>
        <w:contextualSpacing w:val="0"/>
        <w:rPr>
          <w:szCs w:val="20"/>
          <w:lang w:val="en-US"/>
        </w:rPr>
      </w:pPr>
      <w:r w:rsidRPr="001558A5">
        <w:rPr>
          <w:szCs w:val="20"/>
          <w:lang w:val="en-US"/>
        </w:rPr>
        <w:t>While expressing my respect for the decisions</w:t>
      </w:r>
      <w:r w:rsidR="00DD4354" w:rsidRPr="001558A5">
        <w:rPr>
          <w:szCs w:val="20"/>
          <w:lang w:val="en-US"/>
        </w:rPr>
        <w:t xml:space="preserve"> of the </w:t>
      </w:r>
      <w:r w:rsidR="00871E19" w:rsidRPr="001558A5">
        <w:rPr>
          <w:szCs w:val="20"/>
          <w:lang w:val="en-US"/>
        </w:rPr>
        <w:t>Inter-American Court of Human Rights</w:t>
      </w:r>
      <w:r w:rsidR="0076236C" w:rsidRPr="001558A5">
        <w:rPr>
          <w:szCs w:val="20"/>
          <w:lang w:val="en-US"/>
        </w:rPr>
        <w:t xml:space="preserve"> (</w:t>
      </w:r>
      <w:r w:rsidR="00871E19" w:rsidRPr="001558A5">
        <w:rPr>
          <w:szCs w:val="20"/>
          <w:lang w:val="en-US"/>
        </w:rPr>
        <w:t>hereinafter</w:t>
      </w:r>
      <w:r w:rsidR="0076236C" w:rsidRPr="001558A5">
        <w:rPr>
          <w:szCs w:val="20"/>
          <w:lang w:val="en-US"/>
        </w:rPr>
        <w:t xml:space="preserve"> “</w:t>
      </w:r>
      <w:r w:rsidR="00871E19" w:rsidRPr="001558A5">
        <w:rPr>
          <w:szCs w:val="20"/>
          <w:lang w:val="en-US"/>
        </w:rPr>
        <w:t>the Court</w:t>
      </w:r>
      <w:r w:rsidR="0076236C" w:rsidRPr="001558A5">
        <w:rPr>
          <w:szCs w:val="20"/>
          <w:lang w:val="en-US"/>
        </w:rPr>
        <w:t>”</w:t>
      </w:r>
      <w:r w:rsidR="00905EF9" w:rsidRPr="001558A5">
        <w:rPr>
          <w:szCs w:val="20"/>
          <w:lang w:val="en-US"/>
        </w:rPr>
        <w:t xml:space="preserve">), </w:t>
      </w:r>
      <w:r w:rsidRPr="001558A5">
        <w:rPr>
          <w:szCs w:val="20"/>
          <w:lang w:val="en-US"/>
        </w:rPr>
        <w:t xml:space="preserve">I will also explain the reasons why I </w:t>
      </w:r>
      <w:r w:rsidR="007F6BA1" w:rsidRPr="001558A5">
        <w:rPr>
          <w:szCs w:val="20"/>
          <w:lang w:val="en-US"/>
        </w:rPr>
        <w:t>disagreed with</w:t>
      </w:r>
      <w:r w:rsidRPr="001558A5">
        <w:rPr>
          <w:szCs w:val="20"/>
          <w:lang w:val="en-US"/>
        </w:rPr>
        <w:t xml:space="preserve"> the majority decision de</w:t>
      </w:r>
      <w:r w:rsidR="005D4BA7" w:rsidRPr="001558A5">
        <w:rPr>
          <w:szCs w:val="20"/>
          <w:lang w:val="en-US"/>
        </w:rPr>
        <w:t>termining</w:t>
      </w:r>
      <w:r w:rsidRPr="001558A5">
        <w:rPr>
          <w:szCs w:val="20"/>
          <w:lang w:val="en-US"/>
        </w:rPr>
        <w:t xml:space="preserve"> that </w:t>
      </w:r>
      <w:r w:rsidR="00DD4354" w:rsidRPr="001558A5">
        <w:rPr>
          <w:szCs w:val="20"/>
          <w:lang w:val="en-US"/>
        </w:rPr>
        <w:t xml:space="preserve">the </w:t>
      </w:r>
      <w:r w:rsidR="00B74256" w:rsidRPr="001558A5">
        <w:rPr>
          <w:szCs w:val="20"/>
          <w:lang w:val="en-US"/>
        </w:rPr>
        <w:t>State of Honduras</w:t>
      </w:r>
      <w:r w:rsidR="0076236C" w:rsidRPr="001558A5">
        <w:rPr>
          <w:szCs w:val="20"/>
          <w:lang w:val="en-US"/>
        </w:rPr>
        <w:t xml:space="preserve"> </w:t>
      </w:r>
      <w:r w:rsidRPr="001558A5">
        <w:rPr>
          <w:szCs w:val="20"/>
          <w:lang w:val="en-US"/>
        </w:rPr>
        <w:t xml:space="preserve">was responsible for failing to comply with the obligations </w:t>
      </w:r>
      <w:r w:rsidR="00B732DD" w:rsidRPr="001558A5">
        <w:rPr>
          <w:szCs w:val="20"/>
          <w:lang w:val="en-US"/>
        </w:rPr>
        <w:t>established in</w:t>
      </w:r>
      <w:r w:rsidR="0076236C" w:rsidRPr="001558A5">
        <w:rPr>
          <w:szCs w:val="20"/>
          <w:lang w:val="en-US"/>
        </w:rPr>
        <w:t xml:space="preserve"> </w:t>
      </w:r>
      <w:r w:rsidR="00871E19" w:rsidRPr="001558A5">
        <w:rPr>
          <w:rFonts w:cs="Times New Roman"/>
          <w:szCs w:val="20"/>
          <w:lang w:val="en-US"/>
        </w:rPr>
        <w:t>Article</w:t>
      </w:r>
      <w:r w:rsidR="0076236C" w:rsidRPr="001558A5">
        <w:rPr>
          <w:szCs w:val="20"/>
          <w:lang w:val="en-US"/>
        </w:rPr>
        <w:t xml:space="preserve"> 7</w:t>
      </w:r>
      <w:r w:rsidRPr="001558A5">
        <w:rPr>
          <w:szCs w:val="20"/>
          <w:lang w:val="en-US"/>
        </w:rPr>
        <w:t>(</w:t>
      </w:r>
      <w:r w:rsidR="0076236C" w:rsidRPr="001558A5">
        <w:rPr>
          <w:szCs w:val="20"/>
          <w:lang w:val="en-US"/>
        </w:rPr>
        <w:t>a</w:t>
      </w:r>
      <w:r w:rsidRPr="001558A5">
        <w:rPr>
          <w:szCs w:val="20"/>
          <w:lang w:val="en-US"/>
        </w:rPr>
        <w:t>)</w:t>
      </w:r>
      <w:r w:rsidR="00DD4354" w:rsidRPr="001558A5">
        <w:rPr>
          <w:szCs w:val="20"/>
          <w:lang w:val="en-US"/>
        </w:rPr>
        <w:t xml:space="preserve"> and </w:t>
      </w:r>
      <w:r w:rsidR="0076236C" w:rsidRPr="001558A5">
        <w:rPr>
          <w:szCs w:val="20"/>
          <w:lang w:val="en-US"/>
        </w:rPr>
        <w:t>7</w:t>
      </w:r>
      <w:r w:rsidRPr="001558A5">
        <w:rPr>
          <w:szCs w:val="20"/>
          <w:lang w:val="en-US"/>
        </w:rPr>
        <w:t>(</w:t>
      </w:r>
      <w:r w:rsidR="0076236C" w:rsidRPr="001558A5">
        <w:rPr>
          <w:szCs w:val="20"/>
          <w:lang w:val="en-US"/>
        </w:rPr>
        <w:t>b</w:t>
      </w:r>
      <w:r w:rsidRPr="001558A5">
        <w:rPr>
          <w:szCs w:val="20"/>
          <w:lang w:val="en-US"/>
        </w:rPr>
        <w:t>)</w:t>
      </w:r>
      <w:r w:rsidR="0076236C" w:rsidRPr="001558A5">
        <w:rPr>
          <w:szCs w:val="20"/>
          <w:lang w:val="en-US"/>
        </w:rPr>
        <w:t xml:space="preserve"> </w:t>
      </w:r>
      <w:r w:rsidRPr="001558A5">
        <w:rPr>
          <w:szCs w:val="20"/>
          <w:lang w:val="en-US"/>
        </w:rPr>
        <w:t>of the</w:t>
      </w:r>
      <w:r w:rsidR="0076236C" w:rsidRPr="001558A5">
        <w:rPr>
          <w:szCs w:val="20"/>
          <w:lang w:val="en-US"/>
        </w:rPr>
        <w:t xml:space="preserve"> </w:t>
      </w:r>
      <w:r w:rsidR="001164FE" w:rsidRPr="001558A5">
        <w:rPr>
          <w:szCs w:val="20"/>
          <w:lang w:val="en-US"/>
        </w:rPr>
        <w:t>Inter-American Convention for the Prevention, Punishment and Eradication of Violence against Women</w:t>
      </w:r>
      <w:r w:rsidR="0076236C" w:rsidRPr="001558A5">
        <w:rPr>
          <w:rFonts w:cs="Times New Roman"/>
          <w:szCs w:val="20"/>
          <w:lang w:val="en-US"/>
        </w:rPr>
        <w:t xml:space="preserve"> (</w:t>
      </w:r>
      <w:r w:rsidR="001164FE" w:rsidRPr="001558A5">
        <w:rPr>
          <w:rFonts w:cs="Times New Roman"/>
          <w:szCs w:val="20"/>
          <w:lang w:val="en-US"/>
        </w:rPr>
        <w:t>Convention</w:t>
      </w:r>
      <w:r w:rsidR="0076236C" w:rsidRPr="001558A5">
        <w:rPr>
          <w:rFonts w:cs="Times New Roman"/>
          <w:szCs w:val="20"/>
          <w:lang w:val="en-US"/>
        </w:rPr>
        <w:t xml:space="preserve"> </w:t>
      </w:r>
      <w:r w:rsidR="00B74256" w:rsidRPr="001558A5">
        <w:rPr>
          <w:rFonts w:cs="Times New Roman"/>
          <w:szCs w:val="20"/>
          <w:lang w:val="en-US"/>
        </w:rPr>
        <w:t xml:space="preserve">of </w:t>
      </w:r>
      <w:proofErr w:type="spellStart"/>
      <w:r w:rsidR="00B74256" w:rsidRPr="001558A5">
        <w:rPr>
          <w:rFonts w:cs="Times New Roman"/>
          <w:szCs w:val="20"/>
          <w:lang w:val="en-US"/>
        </w:rPr>
        <w:t>Belém</w:t>
      </w:r>
      <w:proofErr w:type="spellEnd"/>
      <w:r w:rsidR="0076236C" w:rsidRPr="001558A5">
        <w:rPr>
          <w:rFonts w:cs="Times New Roman"/>
          <w:szCs w:val="20"/>
          <w:lang w:val="en-US"/>
        </w:rPr>
        <w:t xml:space="preserve"> do </w:t>
      </w:r>
      <w:proofErr w:type="spellStart"/>
      <w:r w:rsidR="0076236C" w:rsidRPr="001558A5">
        <w:rPr>
          <w:rFonts w:cs="Times New Roman"/>
          <w:szCs w:val="20"/>
          <w:lang w:val="en-US"/>
        </w:rPr>
        <w:t>Pará</w:t>
      </w:r>
      <w:proofErr w:type="spellEnd"/>
      <w:r w:rsidR="0076236C" w:rsidRPr="001558A5">
        <w:rPr>
          <w:rFonts w:cs="Times New Roman"/>
          <w:szCs w:val="20"/>
          <w:lang w:val="en-US"/>
        </w:rPr>
        <w:t>) (</w:t>
      </w:r>
      <w:r w:rsidRPr="001558A5">
        <w:rPr>
          <w:rFonts w:cs="Times New Roman"/>
          <w:szCs w:val="20"/>
          <w:lang w:val="en-US"/>
        </w:rPr>
        <w:t>sixth operative paragraph of the judgment to which I will refer below</w:t>
      </w:r>
      <w:r w:rsidR="0076236C" w:rsidRPr="001558A5">
        <w:rPr>
          <w:rFonts w:cs="Times New Roman"/>
          <w:szCs w:val="20"/>
          <w:lang w:val="en-US"/>
        </w:rPr>
        <w:t>).</w:t>
      </w:r>
    </w:p>
    <w:p w14:paraId="1CC90631" w14:textId="77777777" w:rsidR="0076236C" w:rsidRPr="001558A5" w:rsidRDefault="0076236C" w:rsidP="0076236C">
      <w:pPr>
        <w:pStyle w:val="Prrafodelista"/>
        <w:ind w:left="0"/>
        <w:contextualSpacing w:val="0"/>
        <w:rPr>
          <w:szCs w:val="20"/>
          <w:lang w:val="en-US"/>
        </w:rPr>
      </w:pPr>
    </w:p>
    <w:p w14:paraId="66FF463D" w14:textId="0C284F94" w:rsidR="0076236C" w:rsidRPr="001558A5" w:rsidRDefault="00FF575B" w:rsidP="005B2309">
      <w:pPr>
        <w:pStyle w:val="Prrafodelista"/>
        <w:numPr>
          <w:ilvl w:val="0"/>
          <w:numId w:val="39"/>
        </w:numPr>
        <w:ind w:left="0" w:firstLine="0"/>
        <w:contextualSpacing w:val="0"/>
        <w:rPr>
          <w:szCs w:val="20"/>
          <w:lang w:val="en-US"/>
        </w:rPr>
      </w:pPr>
      <w:r w:rsidRPr="001558A5">
        <w:rPr>
          <w:szCs w:val="20"/>
          <w:lang w:val="en-US"/>
        </w:rPr>
        <w:t>The judgment delivered in the case of</w:t>
      </w:r>
      <w:r w:rsidR="0076236C" w:rsidRPr="001558A5">
        <w:rPr>
          <w:szCs w:val="20"/>
          <w:lang w:val="en-US"/>
        </w:rPr>
        <w:t xml:space="preserve"> </w:t>
      </w:r>
      <w:r w:rsidR="0076236C" w:rsidRPr="001558A5">
        <w:rPr>
          <w:i/>
          <w:szCs w:val="20"/>
          <w:lang w:val="en-US"/>
        </w:rPr>
        <w:t>Vicky Hernández</w:t>
      </w:r>
      <w:r w:rsidR="00DD4354" w:rsidRPr="001558A5">
        <w:rPr>
          <w:i/>
          <w:szCs w:val="20"/>
          <w:lang w:val="en-US"/>
        </w:rPr>
        <w:t xml:space="preserve"> </w:t>
      </w:r>
      <w:r w:rsidR="00651316" w:rsidRPr="001558A5">
        <w:rPr>
          <w:i/>
          <w:szCs w:val="20"/>
          <w:lang w:val="en-US"/>
        </w:rPr>
        <w:t>et al. v.</w:t>
      </w:r>
      <w:r w:rsidR="0076236C" w:rsidRPr="001558A5">
        <w:rPr>
          <w:i/>
          <w:szCs w:val="20"/>
          <w:lang w:val="en-US"/>
        </w:rPr>
        <w:t xml:space="preserve"> Honduras</w:t>
      </w:r>
      <w:r w:rsidR="0076236C" w:rsidRPr="001558A5">
        <w:rPr>
          <w:rStyle w:val="Refdenotaalpie"/>
          <w:lang w:val="en-US"/>
        </w:rPr>
        <w:footnoteReference w:id="195"/>
      </w:r>
      <w:r w:rsidR="0076236C" w:rsidRPr="001558A5">
        <w:rPr>
          <w:szCs w:val="20"/>
          <w:lang w:val="en-US"/>
        </w:rPr>
        <w:t xml:space="preserve"> </w:t>
      </w:r>
      <w:r w:rsidR="0076236C" w:rsidRPr="001558A5">
        <w:rPr>
          <w:i/>
          <w:szCs w:val="20"/>
          <w:lang w:val="en-US"/>
        </w:rPr>
        <w:t xml:space="preserve"> </w:t>
      </w:r>
      <w:r w:rsidR="0076236C" w:rsidRPr="001558A5">
        <w:rPr>
          <w:szCs w:val="20"/>
          <w:lang w:val="en-US"/>
        </w:rPr>
        <w:t>(</w:t>
      </w:r>
      <w:r w:rsidR="00871E19" w:rsidRPr="001558A5">
        <w:rPr>
          <w:szCs w:val="20"/>
          <w:lang w:val="en-US"/>
        </w:rPr>
        <w:t>hereinafter</w:t>
      </w:r>
      <w:r w:rsidR="0076236C" w:rsidRPr="001558A5">
        <w:rPr>
          <w:szCs w:val="20"/>
          <w:lang w:val="en-US"/>
        </w:rPr>
        <w:t xml:space="preserve"> “</w:t>
      </w:r>
      <w:r w:rsidRPr="001558A5">
        <w:rPr>
          <w:szCs w:val="20"/>
          <w:lang w:val="en-US"/>
        </w:rPr>
        <w:t>the judgment</w:t>
      </w:r>
      <w:r w:rsidR="0076236C" w:rsidRPr="001558A5">
        <w:rPr>
          <w:szCs w:val="20"/>
          <w:lang w:val="en-US"/>
        </w:rPr>
        <w:t xml:space="preserve">”) </w:t>
      </w:r>
      <w:r w:rsidR="005B2309" w:rsidRPr="001558A5">
        <w:rPr>
          <w:szCs w:val="20"/>
          <w:lang w:val="en-US"/>
        </w:rPr>
        <w:t>is, without doubt, a</w:t>
      </w:r>
      <w:r w:rsidR="007F6BA1" w:rsidRPr="001558A5">
        <w:rPr>
          <w:szCs w:val="20"/>
          <w:lang w:val="en-US"/>
        </w:rPr>
        <w:t xml:space="preserve"> significant</w:t>
      </w:r>
      <w:r w:rsidR="005B2309" w:rsidRPr="001558A5">
        <w:rPr>
          <w:szCs w:val="20"/>
          <w:lang w:val="en-US"/>
        </w:rPr>
        <w:t xml:space="preserve"> judgment </w:t>
      </w:r>
      <w:r w:rsidR="007F6BA1" w:rsidRPr="001558A5">
        <w:rPr>
          <w:szCs w:val="20"/>
          <w:lang w:val="en-US"/>
        </w:rPr>
        <w:t xml:space="preserve">due </w:t>
      </w:r>
      <w:r w:rsidR="005B2309" w:rsidRPr="001558A5">
        <w:rPr>
          <w:szCs w:val="20"/>
          <w:lang w:val="en-US"/>
        </w:rPr>
        <w:t xml:space="preserve">not only to the issue it addresses (and, in particular, the necessary </w:t>
      </w:r>
      <w:proofErr w:type="spellStart"/>
      <w:r w:rsidR="005B2309" w:rsidRPr="001558A5">
        <w:rPr>
          <w:szCs w:val="20"/>
          <w:lang w:val="en-US"/>
        </w:rPr>
        <w:t>visibili</w:t>
      </w:r>
      <w:r w:rsidR="007F6BA1" w:rsidRPr="001558A5">
        <w:rPr>
          <w:szCs w:val="20"/>
          <w:lang w:val="en-US"/>
        </w:rPr>
        <w:t>zation</w:t>
      </w:r>
      <w:proofErr w:type="spellEnd"/>
      <w:r w:rsidR="005B2309" w:rsidRPr="001558A5">
        <w:rPr>
          <w:szCs w:val="20"/>
          <w:lang w:val="en-US"/>
        </w:rPr>
        <w:t xml:space="preserve"> in the international sphere of the atrocious context of violence against the LGBTI community </w:t>
      </w:r>
      <w:r w:rsidR="00215FEF" w:rsidRPr="001558A5">
        <w:rPr>
          <w:szCs w:val="20"/>
          <w:lang w:val="en-US"/>
        </w:rPr>
        <w:t>in Honduras</w:t>
      </w:r>
      <w:r w:rsidR="0076236C" w:rsidRPr="001558A5">
        <w:rPr>
          <w:rStyle w:val="Refdenotaalpie"/>
          <w:lang w:val="en-US"/>
        </w:rPr>
        <w:footnoteReference w:id="196"/>
      </w:r>
      <w:r w:rsidR="0076236C" w:rsidRPr="001558A5">
        <w:rPr>
          <w:szCs w:val="20"/>
          <w:lang w:val="en-US"/>
        </w:rPr>
        <w:t xml:space="preserve">), </w:t>
      </w:r>
      <w:r w:rsidR="005B2309" w:rsidRPr="001558A5">
        <w:rPr>
          <w:szCs w:val="20"/>
          <w:lang w:val="en-US"/>
        </w:rPr>
        <w:t xml:space="preserve">but, above all, to the international recognition of the intolerable violations of the human rights protected by the Pact of San José </w:t>
      </w:r>
      <w:r w:rsidR="007F6BA1" w:rsidRPr="001558A5">
        <w:rPr>
          <w:szCs w:val="20"/>
          <w:lang w:val="en-US"/>
        </w:rPr>
        <w:t xml:space="preserve">suffered by </w:t>
      </w:r>
      <w:r w:rsidR="005B2309" w:rsidRPr="001558A5">
        <w:rPr>
          <w:szCs w:val="20"/>
          <w:lang w:val="en-US"/>
        </w:rPr>
        <w:t xml:space="preserve">Vicky Hernández and her family, </w:t>
      </w:r>
      <w:r w:rsidR="0076236C" w:rsidRPr="001558A5">
        <w:rPr>
          <w:szCs w:val="20"/>
          <w:lang w:val="en-US"/>
        </w:rPr>
        <w:t xml:space="preserve">Rosa </w:t>
      </w:r>
      <w:proofErr w:type="spellStart"/>
      <w:r w:rsidR="0076236C" w:rsidRPr="001558A5">
        <w:rPr>
          <w:szCs w:val="20"/>
          <w:lang w:val="en-US"/>
        </w:rPr>
        <w:t>Argelia</w:t>
      </w:r>
      <w:proofErr w:type="spellEnd"/>
      <w:r w:rsidR="0076236C" w:rsidRPr="001558A5">
        <w:rPr>
          <w:szCs w:val="20"/>
          <w:lang w:val="en-US"/>
        </w:rPr>
        <w:t xml:space="preserve"> Hernández </w:t>
      </w:r>
      <w:proofErr w:type="spellStart"/>
      <w:r w:rsidR="0076236C" w:rsidRPr="001558A5">
        <w:rPr>
          <w:szCs w:val="20"/>
          <w:lang w:val="en-US"/>
        </w:rPr>
        <w:t>Martínez</w:t>
      </w:r>
      <w:proofErr w:type="spellEnd"/>
      <w:r w:rsidR="0076236C" w:rsidRPr="001558A5">
        <w:rPr>
          <w:szCs w:val="20"/>
          <w:lang w:val="en-US"/>
        </w:rPr>
        <w:t xml:space="preserve">, </w:t>
      </w:r>
      <w:proofErr w:type="spellStart"/>
      <w:r w:rsidR="0076236C" w:rsidRPr="001558A5">
        <w:rPr>
          <w:szCs w:val="20"/>
          <w:lang w:val="en-US"/>
        </w:rPr>
        <w:t>Merelin</w:t>
      </w:r>
      <w:proofErr w:type="spellEnd"/>
      <w:r w:rsidR="0076236C" w:rsidRPr="001558A5">
        <w:rPr>
          <w:szCs w:val="20"/>
          <w:lang w:val="en-US"/>
        </w:rPr>
        <w:t xml:space="preserve"> Tatiana </w:t>
      </w:r>
      <w:proofErr w:type="spellStart"/>
      <w:r w:rsidR="0076236C" w:rsidRPr="001558A5">
        <w:rPr>
          <w:szCs w:val="20"/>
          <w:lang w:val="en-US"/>
        </w:rPr>
        <w:t>Rápalo</w:t>
      </w:r>
      <w:proofErr w:type="spellEnd"/>
      <w:r w:rsidR="0076236C" w:rsidRPr="001558A5">
        <w:rPr>
          <w:szCs w:val="20"/>
          <w:lang w:val="en-US"/>
        </w:rPr>
        <w:t xml:space="preserve"> Hernández</w:t>
      </w:r>
      <w:r w:rsidR="00DD4354" w:rsidRPr="001558A5">
        <w:rPr>
          <w:szCs w:val="20"/>
          <w:lang w:val="en-US"/>
        </w:rPr>
        <w:t xml:space="preserve"> and </w:t>
      </w:r>
      <w:proofErr w:type="spellStart"/>
      <w:r w:rsidR="0076236C" w:rsidRPr="001558A5">
        <w:rPr>
          <w:szCs w:val="20"/>
          <w:lang w:val="en-US"/>
        </w:rPr>
        <w:t>Argelia</w:t>
      </w:r>
      <w:proofErr w:type="spellEnd"/>
      <w:r w:rsidR="0076236C" w:rsidRPr="001558A5">
        <w:rPr>
          <w:szCs w:val="20"/>
          <w:lang w:val="en-US"/>
        </w:rPr>
        <w:t xml:space="preserve"> Johana Reyes Ríos</w:t>
      </w:r>
      <w:r w:rsidR="005B2309" w:rsidRPr="001558A5">
        <w:rPr>
          <w:szCs w:val="20"/>
          <w:lang w:val="en-US"/>
        </w:rPr>
        <w:t xml:space="preserve">, as well as the important series of reparations determined in the judgment. </w:t>
      </w:r>
    </w:p>
    <w:p w14:paraId="6A367417" w14:textId="77777777" w:rsidR="0076236C" w:rsidRPr="001558A5" w:rsidRDefault="0076236C" w:rsidP="0076236C">
      <w:pPr>
        <w:pStyle w:val="Prrafodelista"/>
        <w:ind w:left="0"/>
        <w:contextualSpacing w:val="0"/>
        <w:rPr>
          <w:szCs w:val="20"/>
          <w:lang w:val="en-US"/>
        </w:rPr>
      </w:pPr>
    </w:p>
    <w:p w14:paraId="4DBF20D5" w14:textId="219113D5" w:rsidR="005B2309" w:rsidRPr="001558A5" w:rsidRDefault="005B2309" w:rsidP="0076236C">
      <w:pPr>
        <w:pStyle w:val="Prrafodelista"/>
        <w:numPr>
          <w:ilvl w:val="0"/>
          <w:numId w:val="39"/>
        </w:numPr>
        <w:ind w:left="0" w:firstLine="0"/>
        <w:contextualSpacing w:val="0"/>
        <w:rPr>
          <w:szCs w:val="20"/>
          <w:lang w:val="en-US"/>
        </w:rPr>
      </w:pPr>
      <w:r w:rsidRPr="001558A5">
        <w:rPr>
          <w:szCs w:val="20"/>
          <w:lang w:val="en-US"/>
        </w:rPr>
        <w:t xml:space="preserve">Even though I agree with a substantial part of what was determined in this judgment, my dissent is focused on the conclusion adopted by the majority of my colleagues regarding the existence of certain violations of the </w:t>
      </w:r>
      <w:r w:rsidR="007F6BA1" w:rsidRPr="001558A5">
        <w:rPr>
          <w:szCs w:val="20"/>
          <w:lang w:val="en-US"/>
        </w:rPr>
        <w:t>afore</w:t>
      </w:r>
      <w:r w:rsidRPr="001558A5">
        <w:rPr>
          <w:szCs w:val="20"/>
          <w:lang w:val="en-US"/>
        </w:rPr>
        <w:t xml:space="preserve">mentioned Convention of </w:t>
      </w:r>
      <w:proofErr w:type="spellStart"/>
      <w:r w:rsidRPr="001558A5">
        <w:rPr>
          <w:szCs w:val="20"/>
          <w:lang w:val="en-US"/>
        </w:rPr>
        <w:t>Belém</w:t>
      </w:r>
      <w:proofErr w:type="spellEnd"/>
      <w:r w:rsidRPr="001558A5">
        <w:rPr>
          <w:szCs w:val="20"/>
          <w:lang w:val="en-US"/>
        </w:rPr>
        <w:t xml:space="preserve"> do </w:t>
      </w:r>
      <w:proofErr w:type="spellStart"/>
      <w:r w:rsidRPr="001558A5">
        <w:rPr>
          <w:szCs w:val="20"/>
          <w:lang w:val="en-US"/>
        </w:rPr>
        <w:t>Pará</w:t>
      </w:r>
      <w:proofErr w:type="spellEnd"/>
      <w:r w:rsidRPr="001558A5">
        <w:rPr>
          <w:szCs w:val="20"/>
          <w:lang w:val="en-US"/>
        </w:rPr>
        <w:t xml:space="preserve"> and its application to the case of Vicky Hernández. Furthermore, I also disagree with the decision taken concerning the State’s obligation, on the one hand, to enact a </w:t>
      </w:r>
      <w:r w:rsidRPr="001558A5">
        <w:rPr>
          <w:rFonts w:cs="Times New Roman"/>
          <w:szCs w:val="20"/>
          <w:lang w:val="en-US"/>
        </w:rPr>
        <w:t xml:space="preserve">“gender identity” </w:t>
      </w:r>
      <w:r w:rsidRPr="001558A5">
        <w:rPr>
          <w:szCs w:val="20"/>
          <w:lang w:val="en-US"/>
        </w:rPr>
        <w:t xml:space="preserve">law that permits </w:t>
      </w:r>
      <w:r w:rsidR="007F6BA1" w:rsidRPr="001558A5">
        <w:rPr>
          <w:szCs w:val="20"/>
          <w:lang w:val="en-US"/>
        </w:rPr>
        <w:t>a person</w:t>
      </w:r>
      <w:r w:rsidR="000114E0" w:rsidRPr="001558A5">
        <w:rPr>
          <w:szCs w:val="20"/>
          <w:lang w:val="en-US"/>
        </w:rPr>
        <w:t xml:space="preserve"> to change their</w:t>
      </w:r>
      <w:r w:rsidR="007F6BA1" w:rsidRPr="001558A5">
        <w:rPr>
          <w:szCs w:val="20"/>
          <w:lang w:val="en-US"/>
        </w:rPr>
        <w:t xml:space="preserve"> sex </w:t>
      </w:r>
      <w:r w:rsidRPr="001558A5">
        <w:rPr>
          <w:szCs w:val="20"/>
          <w:lang w:val="en-US"/>
        </w:rPr>
        <w:t xml:space="preserve">in the public records without noting </w:t>
      </w:r>
      <w:r w:rsidR="007F6BA1" w:rsidRPr="001558A5">
        <w:rPr>
          <w:szCs w:val="20"/>
          <w:lang w:val="en-US"/>
        </w:rPr>
        <w:t>this</w:t>
      </w:r>
      <w:r w:rsidRPr="001558A5">
        <w:rPr>
          <w:szCs w:val="20"/>
          <w:lang w:val="en-US"/>
        </w:rPr>
        <w:t xml:space="preserve"> change and, on the other hand, that the State should compile statistics on violence against trans persons. It would be impossible for the State to comply with both obligations simultaneously.</w:t>
      </w:r>
    </w:p>
    <w:p w14:paraId="02000512" w14:textId="77777777" w:rsidR="0076236C" w:rsidRPr="001558A5" w:rsidRDefault="0076236C" w:rsidP="0076236C">
      <w:pPr>
        <w:pStyle w:val="Prrafodelista"/>
        <w:ind w:left="0"/>
        <w:contextualSpacing w:val="0"/>
        <w:rPr>
          <w:szCs w:val="20"/>
          <w:lang w:val="en-US"/>
        </w:rPr>
      </w:pPr>
    </w:p>
    <w:p w14:paraId="55CF2D7F" w14:textId="141CC4A2" w:rsidR="0076236C" w:rsidRPr="001558A5" w:rsidRDefault="0076236C" w:rsidP="000B2BB5">
      <w:pPr>
        <w:pStyle w:val="Prrafodelista"/>
        <w:numPr>
          <w:ilvl w:val="0"/>
          <w:numId w:val="39"/>
        </w:numPr>
        <w:ind w:left="0" w:firstLine="0"/>
        <w:contextualSpacing w:val="0"/>
        <w:rPr>
          <w:szCs w:val="20"/>
          <w:lang w:val="en-US"/>
        </w:rPr>
      </w:pPr>
      <w:r w:rsidRPr="001558A5">
        <w:rPr>
          <w:szCs w:val="20"/>
          <w:lang w:val="en-US"/>
        </w:rPr>
        <w:t>Contrar</w:t>
      </w:r>
      <w:r w:rsidR="005B2309" w:rsidRPr="001558A5">
        <w:rPr>
          <w:szCs w:val="20"/>
          <w:lang w:val="en-US"/>
        </w:rPr>
        <w:t>y to the decisi</w:t>
      </w:r>
      <w:r w:rsidR="000B2BB5" w:rsidRPr="001558A5">
        <w:rPr>
          <w:szCs w:val="20"/>
          <w:lang w:val="en-US"/>
        </w:rPr>
        <w:t>o</w:t>
      </w:r>
      <w:r w:rsidR="005B2309" w:rsidRPr="001558A5">
        <w:rPr>
          <w:szCs w:val="20"/>
          <w:lang w:val="en-US"/>
        </w:rPr>
        <w:t xml:space="preserve">n taken in the judgment with regard to the application </w:t>
      </w:r>
      <w:r w:rsidR="00B74256" w:rsidRPr="001558A5">
        <w:rPr>
          <w:szCs w:val="20"/>
          <w:lang w:val="en-US"/>
        </w:rPr>
        <w:t>of Article</w:t>
      </w:r>
      <w:r w:rsidRPr="001558A5">
        <w:rPr>
          <w:szCs w:val="20"/>
          <w:lang w:val="en-US"/>
        </w:rPr>
        <w:t xml:space="preserve"> 7</w:t>
      </w:r>
      <w:r w:rsidR="00DD4354" w:rsidRPr="001558A5">
        <w:rPr>
          <w:szCs w:val="20"/>
          <w:lang w:val="en-US"/>
        </w:rPr>
        <w:t xml:space="preserve"> of the </w:t>
      </w:r>
      <w:r w:rsidR="00871E19" w:rsidRPr="001558A5">
        <w:rPr>
          <w:szCs w:val="20"/>
          <w:lang w:val="en-US"/>
        </w:rPr>
        <w:t>Convention</w:t>
      </w:r>
      <w:r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Pr="001558A5">
        <w:rPr>
          <w:szCs w:val="20"/>
          <w:lang w:val="en-US"/>
        </w:rPr>
        <w:t xml:space="preserve"> do </w:t>
      </w:r>
      <w:proofErr w:type="spellStart"/>
      <w:r w:rsidRPr="001558A5">
        <w:rPr>
          <w:szCs w:val="20"/>
          <w:lang w:val="en-US"/>
        </w:rPr>
        <w:t>Pará</w:t>
      </w:r>
      <w:proofErr w:type="spellEnd"/>
      <w:r w:rsidRPr="001558A5">
        <w:rPr>
          <w:szCs w:val="20"/>
          <w:lang w:val="en-US"/>
        </w:rPr>
        <w:t xml:space="preserve"> </w:t>
      </w:r>
      <w:r w:rsidR="005B2309" w:rsidRPr="001558A5">
        <w:rPr>
          <w:szCs w:val="20"/>
          <w:lang w:val="en-US"/>
        </w:rPr>
        <w:t>to the instant case, I will no</w:t>
      </w:r>
      <w:r w:rsidR="00C47F4E" w:rsidRPr="001558A5">
        <w:rPr>
          <w:szCs w:val="20"/>
          <w:lang w:val="en-US"/>
        </w:rPr>
        <w:t>w</w:t>
      </w:r>
      <w:r w:rsidR="005B2309" w:rsidRPr="001558A5">
        <w:rPr>
          <w:szCs w:val="20"/>
          <w:lang w:val="en-US"/>
        </w:rPr>
        <w:t xml:space="preserve"> explain why, in my opinion,</w:t>
      </w:r>
      <w:r w:rsidR="000B2BB5" w:rsidRPr="001558A5">
        <w:rPr>
          <w:szCs w:val="20"/>
          <w:lang w:val="en-US"/>
        </w:rPr>
        <w:t xml:space="preserve"> this regional instrument is not applicable to the facts of this case. To this end, I will begin this partially dissenting opinion by outlining (i) the necessary distinction between sex (biological) and gender (hierarchical social constru</w:t>
      </w:r>
      <w:r w:rsidR="00E2409F" w:rsidRPr="001558A5">
        <w:rPr>
          <w:szCs w:val="20"/>
          <w:lang w:val="en-US"/>
        </w:rPr>
        <w:t>ct</w:t>
      </w:r>
      <w:r w:rsidR="000B2BB5" w:rsidRPr="001558A5">
        <w:rPr>
          <w:szCs w:val="20"/>
          <w:lang w:val="en-US"/>
        </w:rPr>
        <w:t>), and the serious confusion that the erroneous equalizing of “gender identity” with sex has introduced in</w:t>
      </w:r>
      <w:r w:rsidR="00C47F4E" w:rsidRPr="001558A5">
        <w:rPr>
          <w:szCs w:val="20"/>
          <w:lang w:val="en-US"/>
        </w:rPr>
        <w:t>to</w:t>
      </w:r>
      <w:r w:rsidR="000B2BB5" w:rsidRPr="001558A5">
        <w:rPr>
          <w:szCs w:val="20"/>
          <w:lang w:val="en-US"/>
        </w:rPr>
        <w:t xml:space="preserve"> the academic and political debate;</w:t>
      </w:r>
      <w:r w:rsidRPr="001558A5">
        <w:rPr>
          <w:szCs w:val="20"/>
          <w:lang w:val="en-US"/>
        </w:rPr>
        <w:t xml:space="preserve"> (ii) </w:t>
      </w:r>
      <w:r w:rsidR="000B2BB5" w:rsidRPr="001558A5">
        <w:rPr>
          <w:szCs w:val="20"/>
          <w:lang w:val="en-US"/>
        </w:rPr>
        <w:t xml:space="preserve">I will then address the dynamics of the historic and permanent violence against women because they are </w:t>
      </w:r>
      <w:r w:rsidR="00C47F4E" w:rsidRPr="001558A5">
        <w:rPr>
          <w:szCs w:val="20"/>
          <w:lang w:val="en-US"/>
        </w:rPr>
        <w:t>women</w:t>
      </w:r>
      <w:r w:rsidR="000B2BB5" w:rsidRPr="001558A5">
        <w:rPr>
          <w:szCs w:val="20"/>
          <w:lang w:val="en-US"/>
        </w:rPr>
        <w:t xml:space="preserve"> </w:t>
      </w:r>
      <w:r w:rsidRPr="001558A5">
        <w:rPr>
          <w:szCs w:val="20"/>
          <w:lang w:val="en-US"/>
        </w:rPr>
        <w:t>(</w:t>
      </w:r>
      <w:r w:rsidR="000B2BB5" w:rsidRPr="001558A5">
        <w:rPr>
          <w:szCs w:val="20"/>
          <w:lang w:val="en-US"/>
        </w:rPr>
        <w:t>which gave rise to</w:t>
      </w:r>
      <w:r w:rsidRPr="001558A5">
        <w:rPr>
          <w:szCs w:val="20"/>
          <w:lang w:val="en-US"/>
        </w:rPr>
        <w:t xml:space="preserve"> </w:t>
      </w:r>
      <w:r w:rsidR="00871E19" w:rsidRPr="001558A5">
        <w:rPr>
          <w:szCs w:val="20"/>
          <w:lang w:val="en-US"/>
        </w:rPr>
        <w:t>the Convention</w:t>
      </w:r>
      <w:r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Pr="001558A5">
        <w:rPr>
          <w:szCs w:val="20"/>
          <w:lang w:val="en-US"/>
        </w:rPr>
        <w:t xml:space="preserve"> do </w:t>
      </w:r>
      <w:proofErr w:type="spellStart"/>
      <w:r w:rsidRPr="001558A5">
        <w:rPr>
          <w:szCs w:val="20"/>
          <w:lang w:val="en-US"/>
        </w:rPr>
        <w:t>Pará</w:t>
      </w:r>
      <w:proofErr w:type="spellEnd"/>
      <w:r w:rsidRPr="001558A5">
        <w:rPr>
          <w:szCs w:val="20"/>
          <w:lang w:val="en-US"/>
        </w:rPr>
        <w:t>)</w:t>
      </w:r>
      <w:r w:rsidR="00DD4354" w:rsidRPr="001558A5">
        <w:rPr>
          <w:szCs w:val="20"/>
          <w:lang w:val="en-US"/>
        </w:rPr>
        <w:t xml:space="preserve"> and </w:t>
      </w:r>
      <w:r w:rsidR="000B2BB5" w:rsidRPr="001558A5">
        <w:rPr>
          <w:szCs w:val="20"/>
          <w:lang w:val="en-US"/>
        </w:rPr>
        <w:t xml:space="preserve">the violence suffered by other groups (transvestites, </w:t>
      </w:r>
      <w:r w:rsidR="00120416" w:rsidRPr="001558A5">
        <w:rPr>
          <w:szCs w:val="20"/>
          <w:lang w:val="en-US"/>
        </w:rPr>
        <w:t xml:space="preserve">and </w:t>
      </w:r>
      <w:r w:rsidR="000B2BB5" w:rsidRPr="001558A5">
        <w:rPr>
          <w:szCs w:val="20"/>
          <w:lang w:val="en-US"/>
        </w:rPr>
        <w:t>intersexual and trans persons, for example) protected by the</w:t>
      </w:r>
      <w:r w:rsidRPr="001558A5">
        <w:rPr>
          <w:szCs w:val="20"/>
          <w:lang w:val="en-US"/>
        </w:rPr>
        <w:t xml:space="preserve"> Pact</w:t>
      </w:r>
      <w:r w:rsidR="00905EF9" w:rsidRPr="001558A5">
        <w:rPr>
          <w:szCs w:val="20"/>
          <w:lang w:val="en-US"/>
        </w:rPr>
        <w:t xml:space="preserve"> of</w:t>
      </w:r>
      <w:r w:rsidRPr="001558A5">
        <w:rPr>
          <w:szCs w:val="20"/>
          <w:lang w:val="en-US"/>
        </w:rPr>
        <w:t xml:space="preserve"> San José; </w:t>
      </w:r>
      <w:r w:rsidR="000B2BB5" w:rsidRPr="001558A5">
        <w:rPr>
          <w:szCs w:val="20"/>
          <w:lang w:val="en-US"/>
        </w:rPr>
        <w:t>I will continue by referring to</w:t>
      </w:r>
      <w:r w:rsidRPr="001558A5">
        <w:rPr>
          <w:szCs w:val="20"/>
          <w:lang w:val="en-US"/>
        </w:rPr>
        <w:t xml:space="preserve"> (iii)</w:t>
      </w:r>
      <w:r w:rsidR="000B2BB5" w:rsidRPr="001558A5">
        <w:rPr>
          <w:szCs w:val="20"/>
          <w:lang w:val="en-US"/>
        </w:rPr>
        <w:t xml:space="preserve"> </w:t>
      </w:r>
      <w:r w:rsidR="00483294" w:rsidRPr="001558A5">
        <w:rPr>
          <w:szCs w:val="20"/>
          <w:lang w:val="en-US"/>
        </w:rPr>
        <w:t xml:space="preserve">the </w:t>
      </w:r>
      <w:r w:rsidR="000B2BB5" w:rsidRPr="001558A5">
        <w:rPr>
          <w:szCs w:val="20"/>
          <w:lang w:val="en-US"/>
        </w:rPr>
        <w:t xml:space="preserve">development and historical and practical importance </w:t>
      </w:r>
      <w:r w:rsidR="00DD4354" w:rsidRPr="001558A5">
        <w:rPr>
          <w:szCs w:val="20"/>
          <w:lang w:val="en-US"/>
        </w:rPr>
        <w:t xml:space="preserve">of the </w:t>
      </w:r>
      <w:r w:rsidR="00871E19" w:rsidRPr="001558A5">
        <w:rPr>
          <w:szCs w:val="20"/>
          <w:lang w:val="en-US"/>
        </w:rPr>
        <w:t>Convention</w:t>
      </w:r>
      <w:r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Pr="001558A5">
        <w:rPr>
          <w:szCs w:val="20"/>
          <w:lang w:val="en-US"/>
        </w:rPr>
        <w:t xml:space="preserve"> do </w:t>
      </w:r>
      <w:proofErr w:type="spellStart"/>
      <w:r w:rsidRPr="001558A5">
        <w:rPr>
          <w:szCs w:val="20"/>
          <w:lang w:val="en-US"/>
        </w:rPr>
        <w:t>Pará</w:t>
      </w:r>
      <w:proofErr w:type="spellEnd"/>
      <w:r w:rsidR="00DD4354" w:rsidRPr="001558A5">
        <w:rPr>
          <w:szCs w:val="20"/>
          <w:lang w:val="en-US"/>
        </w:rPr>
        <w:t xml:space="preserve"> and </w:t>
      </w:r>
      <w:r w:rsidR="000B2BB5" w:rsidRPr="001558A5">
        <w:rPr>
          <w:szCs w:val="20"/>
          <w:lang w:val="en-US"/>
        </w:rPr>
        <w:t xml:space="preserve">why it is not applicable to this case, and (iv) I will conclude with some final </w:t>
      </w:r>
      <w:r w:rsidR="00952BF8" w:rsidRPr="001558A5">
        <w:rPr>
          <w:szCs w:val="20"/>
          <w:lang w:val="en-US"/>
        </w:rPr>
        <w:t>thoughts.</w:t>
      </w:r>
    </w:p>
    <w:p w14:paraId="0811568E" w14:textId="77777777" w:rsidR="0076236C" w:rsidRPr="001558A5" w:rsidRDefault="0076236C" w:rsidP="0076236C">
      <w:pPr>
        <w:pStyle w:val="Prrafodelista"/>
        <w:ind w:left="0"/>
        <w:contextualSpacing w:val="0"/>
        <w:rPr>
          <w:szCs w:val="20"/>
          <w:lang w:val="en-US"/>
        </w:rPr>
      </w:pPr>
    </w:p>
    <w:p w14:paraId="7E6A5816" w14:textId="1D021560" w:rsidR="00952BF8" w:rsidRPr="001558A5" w:rsidRDefault="00952BF8" w:rsidP="0076236C">
      <w:pPr>
        <w:pStyle w:val="Prrafodelista"/>
        <w:numPr>
          <w:ilvl w:val="0"/>
          <w:numId w:val="39"/>
        </w:numPr>
        <w:ind w:left="0" w:firstLine="0"/>
        <w:contextualSpacing w:val="0"/>
        <w:rPr>
          <w:szCs w:val="20"/>
          <w:lang w:val="en-US"/>
        </w:rPr>
      </w:pPr>
      <w:r w:rsidRPr="001558A5">
        <w:rPr>
          <w:szCs w:val="20"/>
          <w:lang w:val="en-US"/>
        </w:rPr>
        <w:t xml:space="preserve">For the subsequent purposes of this dissenting opinion it is essential to establish from the start that, in my opinion, the so-called </w:t>
      </w:r>
      <w:r w:rsidR="0076236C" w:rsidRPr="001558A5">
        <w:rPr>
          <w:szCs w:val="20"/>
          <w:lang w:val="en-US"/>
        </w:rPr>
        <w:t>“</w:t>
      </w:r>
      <w:r w:rsidR="00DF7573" w:rsidRPr="001558A5">
        <w:rPr>
          <w:szCs w:val="20"/>
          <w:lang w:val="en-US"/>
        </w:rPr>
        <w:t>gender identity</w:t>
      </w:r>
      <w:r w:rsidR="0076236C" w:rsidRPr="001558A5">
        <w:rPr>
          <w:szCs w:val="20"/>
          <w:lang w:val="en-US"/>
        </w:rPr>
        <w:t xml:space="preserve">” </w:t>
      </w:r>
      <w:r w:rsidRPr="001558A5">
        <w:rPr>
          <w:szCs w:val="20"/>
          <w:lang w:val="en-US"/>
        </w:rPr>
        <w:t>is a vague expression that, today, seeks erroneously to substitute “sex” for that “identity” and, on the basis of this substitution, erase the feminine sex with all its biological properties and mix everything up in a single subjective and self-proclaimed category.</w:t>
      </w:r>
    </w:p>
    <w:p w14:paraId="4F171D39" w14:textId="77777777" w:rsidR="0076236C" w:rsidRPr="001558A5" w:rsidRDefault="0076236C" w:rsidP="0076236C">
      <w:pPr>
        <w:pStyle w:val="Prrafodelista"/>
        <w:rPr>
          <w:szCs w:val="20"/>
          <w:lang w:val="en-US"/>
        </w:rPr>
      </w:pPr>
    </w:p>
    <w:p w14:paraId="44C8F989" w14:textId="42987E6B" w:rsidR="0076236C" w:rsidRPr="001558A5" w:rsidRDefault="00952BF8" w:rsidP="00952BF8">
      <w:pPr>
        <w:pStyle w:val="Prrafodelista"/>
        <w:numPr>
          <w:ilvl w:val="0"/>
          <w:numId w:val="39"/>
        </w:numPr>
        <w:ind w:left="0" w:firstLine="0"/>
        <w:contextualSpacing w:val="0"/>
        <w:rPr>
          <w:szCs w:val="20"/>
          <w:lang w:val="en-US"/>
        </w:rPr>
      </w:pPr>
      <w:r w:rsidRPr="001558A5">
        <w:rPr>
          <w:szCs w:val="20"/>
          <w:lang w:val="en-US"/>
        </w:rPr>
        <w:t>This Court’s</w:t>
      </w:r>
      <w:r w:rsidR="0076236C" w:rsidRPr="001558A5">
        <w:rPr>
          <w:szCs w:val="20"/>
          <w:lang w:val="en-US"/>
        </w:rPr>
        <w:t xml:space="preserve"> </w:t>
      </w:r>
      <w:r w:rsidR="00651B7F" w:rsidRPr="001558A5">
        <w:rPr>
          <w:szCs w:val="20"/>
          <w:lang w:val="en-US"/>
        </w:rPr>
        <w:t>Advisory Opinion</w:t>
      </w:r>
      <w:r w:rsidR="0076236C" w:rsidRPr="001558A5">
        <w:rPr>
          <w:szCs w:val="20"/>
          <w:lang w:val="en-US"/>
        </w:rPr>
        <w:t xml:space="preserve"> </w:t>
      </w:r>
      <w:r w:rsidRPr="001558A5">
        <w:rPr>
          <w:szCs w:val="20"/>
          <w:lang w:val="en-US"/>
        </w:rPr>
        <w:t xml:space="preserve">No. </w:t>
      </w:r>
      <w:r w:rsidR="0076236C" w:rsidRPr="001558A5">
        <w:rPr>
          <w:szCs w:val="20"/>
          <w:lang w:val="en-US"/>
        </w:rPr>
        <w:t xml:space="preserve">24 </w:t>
      </w:r>
      <w:r w:rsidR="00905EF9" w:rsidRPr="001558A5">
        <w:rPr>
          <w:szCs w:val="20"/>
          <w:lang w:val="en-US"/>
        </w:rPr>
        <w:t>of November</w:t>
      </w:r>
      <w:r w:rsidR="0076236C" w:rsidRPr="001558A5">
        <w:rPr>
          <w:szCs w:val="20"/>
          <w:lang w:val="en-US"/>
        </w:rPr>
        <w:t xml:space="preserve"> 2017 </w:t>
      </w:r>
      <w:r w:rsidR="00905EF9" w:rsidRPr="001558A5">
        <w:rPr>
          <w:szCs w:val="20"/>
          <w:lang w:val="en-US"/>
        </w:rPr>
        <w:t>(</w:t>
      </w:r>
      <w:r w:rsidRPr="001558A5">
        <w:rPr>
          <w:szCs w:val="20"/>
          <w:lang w:val="en-US"/>
        </w:rPr>
        <w:t xml:space="preserve">in </w:t>
      </w:r>
      <w:r w:rsidR="00905EF9" w:rsidRPr="001558A5">
        <w:rPr>
          <w:szCs w:val="20"/>
          <w:lang w:val="en-US"/>
        </w:rPr>
        <w:t xml:space="preserve">which I </w:t>
      </w:r>
      <w:r w:rsidRPr="001558A5">
        <w:rPr>
          <w:szCs w:val="20"/>
          <w:lang w:val="en-US"/>
        </w:rPr>
        <w:t xml:space="preserve">participated) recognized, irrevocably, the fundamental rights of </w:t>
      </w:r>
      <w:r w:rsidR="007B2AEB" w:rsidRPr="001558A5">
        <w:rPr>
          <w:szCs w:val="20"/>
          <w:lang w:val="en-US"/>
        </w:rPr>
        <w:t>all</w:t>
      </w:r>
      <w:r w:rsidRPr="001558A5">
        <w:rPr>
          <w:szCs w:val="20"/>
          <w:lang w:val="en-US"/>
        </w:rPr>
        <w:t xml:space="preserve"> human being</w:t>
      </w:r>
      <w:r w:rsidR="007B2AEB" w:rsidRPr="001558A5">
        <w:rPr>
          <w:szCs w:val="20"/>
          <w:lang w:val="en-US"/>
        </w:rPr>
        <w:t>s</w:t>
      </w:r>
      <w:r w:rsidRPr="001558A5">
        <w:rPr>
          <w:szCs w:val="20"/>
          <w:lang w:val="en-US"/>
        </w:rPr>
        <w:t xml:space="preserve"> to live freely in accordance with their sexual orientation and their personal convictions, as well as the right to the protection of private life without discrimination. The </w:t>
      </w:r>
      <w:r w:rsidR="007B2AEB" w:rsidRPr="001558A5">
        <w:rPr>
          <w:szCs w:val="20"/>
          <w:lang w:val="en-US"/>
        </w:rPr>
        <w:t>interrogatives</w:t>
      </w:r>
      <w:r w:rsidRPr="001558A5">
        <w:rPr>
          <w:szCs w:val="20"/>
          <w:lang w:val="en-US"/>
        </w:rPr>
        <w:t xml:space="preserve"> </w:t>
      </w:r>
      <w:r w:rsidR="007B2AEB" w:rsidRPr="001558A5">
        <w:rPr>
          <w:szCs w:val="20"/>
          <w:lang w:val="en-US"/>
        </w:rPr>
        <w:t xml:space="preserve">expressed in this opinion do not challenge recognition of the rights to </w:t>
      </w:r>
      <w:r w:rsidR="00B732DD" w:rsidRPr="001558A5">
        <w:rPr>
          <w:szCs w:val="20"/>
          <w:lang w:val="en-US"/>
        </w:rPr>
        <w:t>equality and non-discrimination</w:t>
      </w:r>
      <w:r w:rsidR="0076236C" w:rsidRPr="001558A5">
        <w:rPr>
          <w:szCs w:val="20"/>
          <w:lang w:val="en-US"/>
        </w:rPr>
        <w:t xml:space="preserve"> </w:t>
      </w:r>
      <w:r w:rsidR="007B2AEB" w:rsidRPr="001558A5">
        <w:rPr>
          <w:szCs w:val="20"/>
          <w:lang w:val="en-US"/>
        </w:rPr>
        <w:t xml:space="preserve">of every person. In this opinion, I will </w:t>
      </w:r>
      <w:r w:rsidR="00C13A34" w:rsidRPr="001558A5">
        <w:rPr>
          <w:szCs w:val="20"/>
          <w:lang w:val="en-US"/>
        </w:rPr>
        <w:t xml:space="preserve">refer </w:t>
      </w:r>
      <w:r w:rsidR="007B2AEB" w:rsidRPr="001558A5">
        <w:rPr>
          <w:szCs w:val="20"/>
          <w:lang w:val="en-US"/>
        </w:rPr>
        <w:t>exclusively to the right of women and other groups (</w:t>
      </w:r>
      <w:proofErr w:type="gramStart"/>
      <w:r w:rsidR="007B2AEB" w:rsidRPr="001558A5">
        <w:rPr>
          <w:szCs w:val="20"/>
          <w:lang w:val="en-US"/>
        </w:rPr>
        <w:t>trans</w:t>
      </w:r>
      <w:proofErr w:type="gramEnd"/>
      <w:r w:rsidR="007B2AEB" w:rsidRPr="001558A5">
        <w:rPr>
          <w:szCs w:val="20"/>
          <w:lang w:val="en-US"/>
        </w:rPr>
        <w:t xml:space="preserve"> women, the LGBTI community, queers) to live a life free of violence.</w:t>
      </w:r>
      <w:r w:rsidR="0076236C" w:rsidRPr="001558A5">
        <w:rPr>
          <w:szCs w:val="20"/>
          <w:lang w:val="en-US"/>
        </w:rPr>
        <w:t xml:space="preserve"> </w:t>
      </w:r>
    </w:p>
    <w:p w14:paraId="6D19D0D6" w14:textId="77777777" w:rsidR="0076236C" w:rsidRPr="001558A5" w:rsidRDefault="0076236C" w:rsidP="0076236C">
      <w:pPr>
        <w:pStyle w:val="Prrafodelista"/>
        <w:ind w:left="0"/>
        <w:contextualSpacing w:val="0"/>
        <w:rPr>
          <w:szCs w:val="20"/>
          <w:lang w:val="en-US"/>
        </w:rPr>
      </w:pPr>
    </w:p>
    <w:p w14:paraId="5B1044B9" w14:textId="6BC5CD97" w:rsidR="007B2AEB" w:rsidRPr="001558A5" w:rsidRDefault="007B2AEB" w:rsidP="0076236C">
      <w:pPr>
        <w:pStyle w:val="Prrafodelista"/>
        <w:numPr>
          <w:ilvl w:val="0"/>
          <w:numId w:val="39"/>
        </w:numPr>
        <w:ind w:left="0" w:firstLine="0"/>
        <w:contextualSpacing w:val="0"/>
        <w:rPr>
          <w:szCs w:val="20"/>
          <w:lang w:val="en-US"/>
        </w:rPr>
      </w:pPr>
      <w:r w:rsidRPr="001558A5">
        <w:rPr>
          <w:szCs w:val="20"/>
          <w:lang w:val="en-US"/>
        </w:rPr>
        <w:t xml:space="preserve">It is also important to mention that when the said OC-24 was issued and published almost four years ago, many of the rights it included had not suffered the surprising and, to my mind unexpected, social and political </w:t>
      </w:r>
      <w:r w:rsidR="00C13A34" w:rsidRPr="001558A5">
        <w:rPr>
          <w:szCs w:val="20"/>
          <w:lang w:val="en-US"/>
        </w:rPr>
        <w:t>deployment</w:t>
      </w:r>
      <w:r w:rsidRPr="001558A5">
        <w:rPr>
          <w:szCs w:val="20"/>
          <w:lang w:val="en-US"/>
        </w:rPr>
        <w:t xml:space="preserve"> that today perplexes and bewilders us. Personally, I </w:t>
      </w:r>
      <w:r w:rsidR="0005144A" w:rsidRPr="001558A5">
        <w:rPr>
          <w:szCs w:val="20"/>
          <w:lang w:val="en-US"/>
        </w:rPr>
        <w:t>distance myself</w:t>
      </w:r>
      <w:r w:rsidR="00C13A34" w:rsidRPr="001558A5">
        <w:rPr>
          <w:szCs w:val="20"/>
          <w:lang w:val="en-US"/>
        </w:rPr>
        <w:t xml:space="preserve"> </w:t>
      </w:r>
      <w:r w:rsidR="00E2409F" w:rsidRPr="001558A5">
        <w:rPr>
          <w:szCs w:val="20"/>
          <w:lang w:val="en-US"/>
        </w:rPr>
        <w:t>from these effects</w:t>
      </w:r>
      <w:r w:rsidR="0005144A" w:rsidRPr="001558A5">
        <w:rPr>
          <w:szCs w:val="20"/>
          <w:lang w:val="en-US"/>
        </w:rPr>
        <w:t>,</w:t>
      </w:r>
      <w:r w:rsidR="00E2409F" w:rsidRPr="001558A5">
        <w:rPr>
          <w:szCs w:val="20"/>
          <w:lang w:val="en-US"/>
        </w:rPr>
        <w:t xml:space="preserve"> </w:t>
      </w:r>
      <w:r w:rsidR="0005144A" w:rsidRPr="001558A5">
        <w:rPr>
          <w:szCs w:val="20"/>
          <w:lang w:val="en-US"/>
        </w:rPr>
        <w:t>which</w:t>
      </w:r>
      <w:r w:rsidR="00E2409F" w:rsidRPr="001558A5">
        <w:rPr>
          <w:szCs w:val="20"/>
          <w:lang w:val="en-US"/>
        </w:rPr>
        <w:t xml:space="preserve"> I was unable to anticipate, as I will explain below.</w:t>
      </w:r>
    </w:p>
    <w:p w14:paraId="11C55FDB" w14:textId="501A636C" w:rsidR="0076236C" w:rsidRPr="001558A5" w:rsidRDefault="0076236C" w:rsidP="0076236C">
      <w:pPr>
        <w:pStyle w:val="Prrafodelista"/>
        <w:numPr>
          <w:ilvl w:val="0"/>
          <w:numId w:val="40"/>
        </w:numPr>
        <w:spacing w:before="240" w:after="240"/>
        <w:ind w:left="714" w:hanging="357"/>
        <w:contextualSpacing w:val="0"/>
        <w:outlineLvl w:val="0"/>
        <w:rPr>
          <w:b/>
          <w:caps/>
          <w:szCs w:val="20"/>
          <w:lang w:val="en-US"/>
        </w:rPr>
      </w:pPr>
      <w:r w:rsidRPr="001558A5">
        <w:rPr>
          <w:b/>
          <w:caps/>
          <w:szCs w:val="20"/>
          <w:lang w:val="en-US"/>
        </w:rPr>
        <w:t>Sex</w:t>
      </w:r>
      <w:r w:rsidR="00905EF9" w:rsidRPr="001558A5">
        <w:rPr>
          <w:b/>
          <w:caps/>
          <w:szCs w:val="20"/>
          <w:lang w:val="en-US"/>
        </w:rPr>
        <w:t xml:space="preserve">, GENDER </w:t>
      </w:r>
      <w:r w:rsidR="00C909B4" w:rsidRPr="001558A5">
        <w:rPr>
          <w:b/>
          <w:caps/>
          <w:szCs w:val="20"/>
          <w:lang w:val="en-US"/>
        </w:rPr>
        <w:t>and gender</w:t>
      </w:r>
      <w:r w:rsidR="00DF7573" w:rsidRPr="001558A5">
        <w:rPr>
          <w:b/>
          <w:caps/>
          <w:szCs w:val="20"/>
          <w:lang w:val="en-US"/>
        </w:rPr>
        <w:t xml:space="preserve"> identity</w:t>
      </w:r>
    </w:p>
    <w:p w14:paraId="773F9229" w14:textId="0BF96558" w:rsidR="00E2409F" w:rsidRPr="001558A5" w:rsidRDefault="00E2409F" w:rsidP="0076236C">
      <w:pPr>
        <w:pStyle w:val="Prrafodelista"/>
        <w:numPr>
          <w:ilvl w:val="0"/>
          <w:numId w:val="39"/>
        </w:numPr>
        <w:ind w:left="0" w:firstLine="0"/>
        <w:contextualSpacing w:val="0"/>
        <w:rPr>
          <w:b/>
          <w:szCs w:val="20"/>
          <w:lang w:val="en-US"/>
        </w:rPr>
      </w:pPr>
      <w:r w:rsidRPr="001558A5">
        <w:rPr>
          <w:szCs w:val="20"/>
          <w:lang w:val="en-US"/>
        </w:rPr>
        <w:t xml:space="preserve">First, I must include some essential and fundamental clarifications of basic concepts that form the basis of this opinion: sex, gender and gender identity. Sex and gender are categories that were never interchangeable because they are not and never were synonymous. With the development of psychology and the social sciences, especially the whole feminist theory of the mid-twentieth century, it began to be </w:t>
      </w:r>
      <w:r w:rsidR="0005144A" w:rsidRPr="001558A5">
        <w:rPr>
          <w:szCs w:val="20"/>
          <w:lang w:val="en-US"/>
        </w:rPr>
        <w:t xml:space="preserve">clearly determined </w:t>
      </w:r>
      <w:r w:rsidRPr="001558A5">
        <w:rPr>
          <w:szCs w:val="20"/>
          <w:lang w:val="en-US"/>
        </w:rPr>
        <w:t xml:space="preserve">that sex is biological; supported by science, it is defined by the anatomical, genetic and physiological differences between men and women, never a social construct or even less a subjective matter or a feeling. Meanwhile, gender is a social construct. It refers to the patterns of behavior usually attributed to men and women. It is composed of prejudices, stereotypes, hierarchies, </w:t>
      </w:r>
      <w:r w:rsidR="00960CD8" w:rsidRPr="001558A5">
        <w:rPr>
          <w:szCs w:val="20"/>
          <w:lang w:val="en-US"/>
        </w:rPr>
        <w:t xml:space="preserve">and </w:t>
      </w:r>
      <w:r w:rsidRPr="001558A5">
        <w:rPr>
          <w:szCs w:val="20"/>
          <w:lang w:val="en-US"/>
        </w:rPr>
        <w:t xml:space="preserve">differences in power relations between men and women. It is rooted in the patriarchal and religious tradition of more than 20 centuries. It is flexible and could well </w:t>
      </w:r>
      <w:r w:rsidR="009F75C6" w:rsidRPr="001558A5">
        <w:rPr>
          <w:szCs w:val="20"/>
          <w:lang w:val="en-US"/>
        </w:rPr>
        <w:t xml:space="preserve">change if </w:t>
      </w:r>
      <w:r w:rsidR="00F053EE" w:rsidRPr="001558A5">
        <w:rPr>
          <w:szCs w:val="20"/>
          <w:lang w:val="en-US"/>
        </w:rPr>
        <w:t>someday</w:t>
      </w:r>
      <w:r w:rsidR="009F75C6" w:rsidRPr="001558A5">
        <w:rPr>
          <w:szCs w:val="20"/>
          <w:lang w:val="en-US"/>
        </w:rPr>
        <w:t xml:space="preserve"> the prejudices and stereotypes, hierarchies and discriminations are culturally eliminated.</w:t>
      </w:r>
    </w:p>
    <w:p w14:paraId="492AEA89" w14:textId="77777777" w:rsidR="0076236C" w:rsidRPr="001558A5" w:rsidRDefault="0076236C" w:rsidP="0076236C">
      <w:pPr>
        <w:pStyle w:val="Prrafodelista"/>
        <w:ind w:left="0"/>
        <w:contextualSpacing w:val="0"/>
        <w:rPr>
          <w:b/>
          <w:szCs w:val="20"/>
          <w:lang w:val="en-US"/>
        </w:rPr>
      </w:pPr>
    </w:p>
    <w:p w14:paraId="637169D2" w14:textId="0CB6F79C" w:rsidR="00772276" w:rsidRPr="001558A5" w:rsidRDefault="00960CD8" w:rsidP="00905EF9">
      <w:pPr>
        <w:pStyle w:val="Prrafodelista"/>
        <w:numPr>
          <w:ilvl w:val="0"/>
          <w:numId w:val="39"/>
        </w:numPr>
        <w:ind w:left="0" w:firstLine="0"/>
        <w:contextualSpacing w:val="0"/>
        <w:rPr>
          <w:szCs w:val="20"/>
          <w:lang w:val="en-US"/>
        </w:rPr>
      </w:pPr>
      <w:r w:rsidRPr="001558A5">
        <w:rPr>
          <w:szCs w:val="20"/>
          <w:lang w:val="en-US"/>
        </w:rPr>
        <w:t>The aforementioned A</w:t>
      </w:r>
      <w:r w:rsidR="00651B7F" w:rsidRPr="001558A5">
        <w:rPr>
          <w:szCs w:val="20"/>
          <w:lang w:val="en-US"/>
        </w:rPr>
        <w:t>dvisory Opinion</w:t>
      </w:r>
      <w:r w:rsidR="0076236C" w:rsidRPr="001558A5">
        <w:rPr>
          <w:szCs w:val="20"/>
          <w:lang w:val="en-US"/>
        </w:rPr>
        <w:t xml:space="preserve"> 24/17</w:t>
      </w:r>
      <w:r w:rsidR="00905EF9" w:rsidRPr="001558A5">
        <w:rPr>
          <w:szCs w:val="20"/>
          <w:lang w:val="en-US"/>
        </w:rPr>
        <w:t xml:space="preserve"> explains these differences between sex and gender. I cite: </w:t>
      </w:r>
      <w:r w:rsidR="0076236C" w:rsidRPr="001558A5">
        <w:rPr>
          <w:rFonts w:cs="Arial"/>
          <w:szCs w:val="20"/>
          <w:shd w:val="clear" w:color="auto" w:fill="FFFFFF"/>
          <w:lang w:val="en-US"/>
        </w:rPr>
        <w:t xml:space="preserve">“Sex: </w:t>
      </w:r>
      <w:r w:rsidR="00905EF9" w:rsidRPr="001558A5">
        <w:rPr>
          <w:rStyle w:val="markedcontent"/>
          <w:rFonts w:cs="Arial"/>
          <w:szCs w:val="20"/>
          <w:lang w:val="en-US"/>
        </w:rPr>
        <w:t xml:space="preserve">biological differences between men and women, their physiological characteristics, the sum of biological characteristics that define the spectrum of humans as females and males, or a biological construct referring to the genetic, </w:t>
      </w:r>
      <w:r w:rsidR="00905EF9" w:rsidRPr="001558A5">
        <w:rPr>
          <w:szCs w:val="20"/>
          <w:lang w:val="en-US"/>
        </w:rPr>
        <w:br/>
      </w:r>
      <w:r w:rsidR="00905EF9" w:rsidRPr="001558A5">
        <w:rPr>
          <w:rStyle w:val="markedcontent"/>
          <w:rFonts w:cs="Arial"/>
          <w:szCs w:val="20"/>
          <w:lang w:val="en-US"/>
        </w:rPr>
        <w:t>hormonal, anatomical and physiological characteristics based on which an individual is classified at birth as either male or female</w:t>
      </w:r>
      <w:r w:rsidR="00905EF9" w:rsidRPr="001558A5">
        <w:rPr>
          <w:rStyle w:val="markedcontent"/>
          <w:szCs w:val="20"/>
          <w:lang w:val="en-US"/>
        </w:rPr>
        <w:t>.</w:t>
      </w:r>
      <w:r w:rsidR="0076236C" w:rsidRPr="001558A5">
        <w:rPr>
          <w:rFonts w:cs="Arial"/>
          <w:szCs w:val="20"/>
          <w:shd w:val="clear" w:color="auto" w:fill="FFFFFF"/>
          <w:lang w:val="en-US"/>
        </w:rPr>
        <w:t>”</w:t>
      </w:r>
      <w:r w:rsidR="0076236C" w:rsidRPr="001558A5">
        <w:rPr>
          <w:rStyle w:val="Refdenotaalpie"/>
          <w:rFonts w:cs="Arial"/>
          <w:shd w:val="clear" w:color="auto" w:fill="FFFFFF"/>
          <w:lang w:val="en-US"/>
        </w:rPr>
        <w:footnoteReference w:id="197"/>
      </w:r>
      <w:r w:rsidR="00905EF9" w:rsidRPr="001558A5">
        <w:rPr>
          <w:rFonts w:cs="Arial"/>
          <w:szCs w:val="20"/>
          <w:shd w:val="clear" w:color="auto" w:fill="FFFFFF"/>
          <w:lang w:val="en-US"/>
        </w:rPr>
        <w:t xml:space="preserve"> Meanwhile gender was defined as “</w:t>
      </w:r>
      <w:r w:rsidR="00905EF9" w:rsidRPr="001558A5">
        <w:rPr>
          <w:rStyle w:val="markedcontent"/>
          <w:rFonts w:cs="Arial"/>
          <w:szCs w:val="20"/>
          <w:lang w:val="en-US"/>
        </w:rPr>
        <w:t>socially constructed identities, attributes and roles for women and men and society’s social and cultural meaning for these biological differences.</w:t>
      </w:r>
      <w:r w:rsidR="0076236C" w:rsidRPr="001558A5">
        <w:rPr>
          <w:szCs w:val="20"/>
          <w:lang w:val="en-US"/>
        </w:rPr>
        <w:t>”</w:t>
      </w:r>
      <w:r w:rsidR="0076236C" w:rsidRPr="001558A5">
        <w:rPr>
          <w:rStyle w:val="Refdenotaalpie"/>
          <w:lang w:val="en-US"/>
        </w:rPr>
        <w:footnoteReference w:id="198"/>
      </w:r>
      <w:r w:rsidR="0076236C" w:rsidRPr="001558A5">
        <w:rPr>
          <w:szCs w:val="20"/>
          <w:lang w:val="en-US"/>
        </w:rPr>
        <w:t xml:space="preserve"> </w:t>
      </w:r>
      <w:r w:rsidRPr="001558A5">
        <w:rPr>
          <w:szCs w:val="20"/>
          <w:lang w:val="en-US"/>
        </w:rPr>
        <w:t>G</w:t>
      </w:r>
      <w:r w:rsidR="00466FD1" w:rsidRPr="001558A5">
        <w:rPr>
          <w:szCs w:val="20"/>
          <w:lang w:val="en-US"/>
        </w:rPr>
        <w:t xml:space="preserve">ender is </w:t>
      </w:r>
      <w:r w:rsidRPr="001558A5">
        <w:rPr>
          <w:szCs w:val="20"/>
          <w:lang w:val="en-US"/>
        </w:rPr>
        <w:t>used</w:t>
      </w:r>
      <w:r w:rsidR="00466FD1" w:rsidRPr="001558A5">
        <w:rPr>
          <w:szCs w:val="20"/>
          <w:lang w:val="en-US"/>
        </w:rPr>
        <w:t xml:space="preserve"> as </w:t>
      </w:r>
      <w:r w:rsidR="00772276" w:rsidRPr="001558A5">
        <w:rPr>
          <w:szCs w:val="20"/>
          <w:lang w:val="en-US"/>
        </w:rPr>
        <w:t xml:space="preserve">a tool </w:t>
      </w:r>
      <w:r w:rsidRPr="001558A5">
        <w:rPr>
          <w:szCs w:val="20"/>
          <w:lang w:val="en-US"/>
        </w:rPr>
        <w:t xml:space="preserve">by science and law to analyze and censure </w:t>
      </w:r>
      <w:r w:rsidR="00772276" w:rsidRPr="001558A5">
        <w:rPr>
          <w:szCs w:val="20"/>
          <w:lang w:val="en-US"/>
        </w:rPr>
        <w:t xml:space="preserve">the structure of the patriarchal system </w:t>
      </w:r>
      <w:r w:rsidRPr="001558A5">
        <w:rPr>
          <w:szCs w:val="20"/>
          <w:lang w:val="en-US"/>
        </w:rPr>
        <w:t>th</w:t>
      </w:r>
      <w:r w:rsidR="00772276" w:rsidRPr="001558A5">
        <w:rPr>
          <w:szCs w:val="20"/>
          <w:lang w:val="en-US"/>
        </w:rPr>
        <w:t>at places women in a situation of subordination in relation to men. Subordination is discrimination</w:t>
      </w:r>
      <w:r w:rsidRPr="001558A5">
        <w:rPr>
          <w:szCs w:val="20"/>
          <w:lang w:val="en-US"/>
        </w:rPr>
        <w:t>;</w:t>
      </w:r>
      <w:r w:rsidR="00772276" w:rsidRPr="001558A5">
        <w:rPr>
          <w:szCs w:val="20"/>
          <w:lang w:val="en-US"/>
        </w:rPr>
        <w:t xml:space="preserve"> inequality in the enjoyment and exercise of all the fundamental rights and freedoms. Feminist theory explains these discriminations and inequalities that we women suffer just because we are women – which are closely linked to </w:t>
      </w:r>
      <w:r w:rsidR="00A04999" w:rsidRPr="001558A5">
        <w:rPr>
          <w:szCs w:val="20"/>
          <w:lang w:val="en-US"/>
        </w:rPr>
        <w:t>the</w:t>
      </w:r>
      <w:r w:rsidR="00772276" w:rsidRPr="001558A5">
        <w:rPr>
          <w:szCs w:val="20"/>
          <w:lang w:val="en-US"/>
        </w:rPr>
        <w:t xml:space="preserve"> reproductive function and responsibility as </w:t>
      </w:r>
      <w:proofErr w:type="spellStart"/>
      <w:r w:rsidR="00772276" w:rsidRPr="001558A5">
        <w:rPr>
          <w:szCs w:val="20"/>
          <w:lang w:val="en-US"/>
        </w:rPr>
        <w:t>carers</w:t>
      </w:r>
      <w:proofErr w:type="spellEnd"/>
      <w:r w:rsidR="00772276" w:rsidRPr="001558A5">
        <w:rPr>
          <w:szCs w:val="20"/>
          <w:lang w:val="en-US"/>
        </w:rPr>
        <w:t xml:space="preserve"> of the whole family group - </w:t>
      </w:r>
      <w:r w:rsidR="00A04999" w:rsidRPr="001558A5">
        <w:rPr>
          <w:szCs w:val="20"/>
          <w:lang w:val="en-US"/>
        </w:rPr>
        <w:t>from</w:t>
      </w:r>
      <w:r w:rsidR="00772276" w:rsidRPr="001558A5">
        <w:rPr>
          <w:szCs w:val="20"/>
          <w:lang w:val="en-US"/>
        </w:rPr>
        <w:t xml:space="preserve"> a gender perspective.</w:t>
      </w:r>
    </w:p>
    <w:p w14:paraId="2226C8F5" w14:textId="77777777" w:rsidR="0076236C" w:rsidRPr="001558A5" w:rsidRDefault="0076236C" w:rsidP="0076236C">
      <w:pPr>
        <w:pStyle w:val="Prrafodelista"/>
        <w:ind w:left="0"/>
        <w:contextualSpacing w:val="0"/>
        <w:rPr>
          <w:szCs w:val="20"/>
          <w:lang w:val="en-US"/>
        </w:rPr>
      </w:pPr>
    </w:p>
    <w:p w14:paraId="44F82C08" w14:textId="186E595D" w:rsidR="0076236C" w:rsidRPr="001558A5" w:rsidRDefault="00CF5F4E" w:rsidP="00CF5F4E">
      <w:pPr>
        <w:pStyle w:val="Prrafodelista"/>
        <w:numPr>
          <w:ilvl w:val="0"/>
          <w:numId w:val="39"/>
        </w:numPr>
        <w:ind w:left="0" w:firstLine="0"/>
        <w:contextualSpacing w:val="0"/>
        <w:rPr>
          <w:szCs w:val="20"/>
          <w:lang w:val="en-US"/>
        </w:rPr>
      </w:pPr>
      <w:r w:rsidRPr="001558A5">
        <w:rPr>
          <w:szCs w:val="20"/>
          <w:lang w:val="en-US"/>
        </w:rPr>
        <w:t>In this opinion, we now have to examine the category of</w:t>
      </w:r>
      <w:r w:rsidR="0076236C" w:rsidRPr="001558A5">
        <w:rPr>
          <w:szCs w:val="20"/>
          <w:lang w:val="en-US"/>
        </w:rPr>
        <w:t xml:space="preserve"> “</w:t>
      </w:r>
      <w:r w:rsidR="00DF7573" w:rsidRPr="001558A5">
        <w:rPr>
          <w:szCs w:val="20"/>
          <w:lang w:val="en-US"/>
        </w:rPr>
        <w:t>gender identity</w:t>
      </w:r>
      <w:r w:rsidRPr="001558A5">
        <w:rPr>
          <w:szCs w:val="20"/>
          <w:lang w:val="en-US"/>
        </w:rPr>
        <w:t>.</w:t>
      </w:r>
      <w:r w:rsidR="0076236C" w:rsidRPr="001558A5">
        <w:rPr>
          <w:szCs w:val="20"/>
          <w:lang w:val="en-US"/>
        </w:rPr>
        <w:t xml:space="preserve">”  </w:t>
      </w:r>
      <w:r w:rsidRPr="001558A5">
        <w:rPr>
          <w:szCs w:val="20"/>
          <w:lang w:val="en-US"/>
        </w:rPr>
        <w:t>In</w:t>
      </w:r>
      <w:r w:rsidR="0076236C" w:rsidRPr="001558A5">
        <w:rPr>
          <w:szCs w:val="20"/>
          <w:lang w:val="en-US"/>
        </w:rPr>
        <w:t xml:space="preserve"> </w:t>
      </w:r>
      <w:r w:rsidR="00651B7F" w:rsidRPr="001558A5">
        <w:rPr>
          <w:szCs w:val="20"/>
          <w:lang w:val="en-US"/>
        </w:rPr>
        <w:t>Advisory Opinion</w:t>
      </w:r>
      <w:r w:rsidR="0076236C" w:rsidRPr="001558A5">
        <w:rPr>
          <w:szCs w:val="20"/>
          <w:lang w:val="en-US"/>
        </w:rPr>
        <w:t xml:space="preserve"> 24, </w:t>
      </w:r>
      <w:r w:rsidRPr="001558A5">
        <w:rPr>
          <w:szCs w:val="20"/>
          <w:lang w:val="en-US"/>
        </w:rPr>
        <w:t>this</w:t>
      </w:r>
      <w:r w:rsidR="00343C6E" w:rsidRPr="001558A5">
        <w:rPr>
          <w:szCs w:val="20"/>
          <w:lang w:val="en-US"/>
        </w:rPr>
        <w:t xml:space="preserve"> </w:t>
      </w:r>
      <w:r w:rsidRPr="001558A5">
        <w:rPr>
          <w:szCs w:val="20"/>
          <w:lang w:val="en-US"/>
        </w:rPr>
        <w:t xml:space="preserve">new expression </w:t>
      </w:r>
      <w:r w:rsidR="00343C6E" w:rsidRPr="001558A5">
        <w:rPr>
          <w:szCs w:val="20"/>
          <w:lang w:val="en-US"/>
        </w:rPr>
        <w:t>– at that time – is</w:t>
      </w:r>
      <w:r w:rsidRPr="001558A5">
        <w:rPr>
          <w:szCs w:val="20"/>
          <w:lang w:val="en-US"/>
        </w:rPr>
        <w:t xml:space="preserve"> defined as “</w:t>
      </w:r>
      <w:r w:rsidRPr="001558A5">
        <w:rPr>
          <w:lang w:val="en-US"/>
        </w:rPr>
        <w:t>each person’s deeply felt internal and individual experience of gender, which may or may not correspond with the sex assigned at birth, including the personal sense of the body (which may involve, if freely chosen, modification of bodily appearance or function through medical, surgical or other means) and other expressions of gender, including dress, speech and mannerisms</w:t>
      </w:r>
      <w:r w:rsidRPr="001558A5">
        <w:rPr>
          <w:szCs w:val="20"/>
          <w:lang w:val="en-US"/>
        </w:rPr>
        <w:t>.</w:t>
      </w:r>
      <w:r w:rsidR="0076236C" w:rsidRPr="001558A5">
        <w:rPr>
          <w:szCs w:val="20"/>
          <w:lang w:val="en-US"/>
        </w:rPr>
        <w:t>”</w:t>
      </w:r>
      <w:r w:rsidR="0076236C" w:rsidRPr="001558A5">
        <w:rPr>
          <w:rStyle w:val="Refdenotaalpie"/>
          <w:lang w:val="en-US"/>
        </w:rPr>
        <w:footnoteReference w:id="199"/>
      </w:r>
      <w:r w:rsidR="0076236C" w:rsidRPr="001558A5">
        <w:rPr>
          <w:szCs w:val="20"/>
          <w:lang w:val="en-US"/>
        </w:rPr>
        <w:t xml:space="preserve"> </w:t>
      </w:r>
    </w:p>
    <w:p w14:paraId="7FBDFE40" w14:textId="77777777" w:rsidR="0076236C" w:rsidRPr="001558A5" w:rsidRDefault="0076236C" w:rsidP="0076236C">
      <w:pPr>
        <w:pStyle w:val="Prrafodelista"/>
        <w:ind w:left="0"/>
        <w:contextualSpacing w:val="0"/>
        <w:rPr>
          <w:szCs w:val="20"/>
          <w:lang w:val="en-US"/>
        </w:rPr>
      </w:pPr>
    </w:p>
    <w:p w14:paraId="66F7C42B" w14:textId="7999029B" w:rsidR="00CF5F4E" w:rsidRPr="001558A5" w:rsidRDefault="00CF5F4E" w:rsidP="0076236C">
      <w:pPr>
        <w:pStyle w:val="Prrafodelista"/>
        <w:numPr>
          <w:ilvl w:val="0"/>
          <w:numId w:val="39"/>
        </w:numPr>
        <w:ind w:left="0" w:firstLine="0"/>
        <w:contextualSpacing w:val="0"/>
        <w:rPr>
          <w:szCs w:val="20"/>
          <w:lang w:val="en-US"/>
        </w:rPr>
      </w:pPr>
      <w:r w:rsidRPr="001558A5">
        <w:rPr>
          <w:szCs w:val="20"/>
          <w:lang w:val="en-US"/>
        </w:rPr>
        <w:t>At the time, and speaking for myself, I thought that</w:t>
      </w:r>
      <w:r w:rsidR="00343C6E" w:rsidRPr="001558A5">
        <w:rPr>
          <w:szCs w:val="20"/>
          <w:lang w:val="en-US"/>
        </w:rPr>
        <w:t>,</w:t>
      </w:r>
      <w:r w:rsidRPr="001558A5">
        <w:rPr>
          <w:szCs w:val="20"/>
          <w:lang w:val="en-US"/>
        </w:rPr>
        <w:t xml:space="preserve"> in OC-24</w:t>
      </w:r>
      <w:r w:rsidR="00343C6E" w:rsidRPr="001558A5">
        <w:rPr>
          <w:szCs w:val="20"/>
          <w:lang w:val="en-US"/>
        </w:rPr>
        <w:t>,</w:t>
      </w:r>
      <w:r w:rsidRPr="001558A5">
        <w:rPr>
          <w:szCs w:val="20"/>
          <w:lang w:val="en-US"/>
        </w:rPr>
        <w:t xml:space="preserve"> we were recognizing the fundamental human rights of </w:t>
      </w:r>
      <w:proofErr w:type="gramStart"/>
      <w:r w:rsidRPr="001558A5">
        <w:rPr>
          <w:szCs w:val="20"/>
          <w:lang w:val="en-US"/>
        </w:rPr>
        <w:t>trans</w:t>
      </w:r>
      <w:proofErr w:type="gramEnd"/>
      <w:r w:rsidRPr="001558A5">
        <w:rPr>
          <w:szCs w:val="20"/>
          <w:lang w:val="en-US"/>
        </w:rPr>
        <w:t xml:space="preserve"> persons (women and men), transvestites, intersex groups, and similar groups to live a full and free life, without prejudices or humiliations, protected and recognized by international human rights law and domestic laws.</w:t>
      </w:r>
    </w:p>
    <w:p w14:paraId="617D854B" w14:textId="77777777" w:rsidR="0076236C" w:rsidRPr="001558A5" w:rsidRDefault="0076236C" w:rsidP="0076236C">
      <w:pPr>
        <w:pStyle w:val="Prrafodelista"/>
        <w:ind w:left="0"/>
        <w:contextualSpacing w:val="0"/>
        <w:rPr>
          <w:szCs w:val="20"/>
          <w:lang w:val="en-US"/>
        </w:rPr>
      </w:pPr>
    </w:p>
    <w:p w14:paraId="526CC87C" w14:textId="0ADF8968" w:rsidR="00CF5F4E" w:rsidRPr="001558A5" w:rsidRDefault="00CF5F4E" w:rsidP="0076236C">
      <w:pPr>
        <w:pStyle w:val="Prrafodelista"/>
        <w:numPr>
          <w:ilvl w:val="0"/>
          <w:numId w:val="39"/>
        </w:numPr>
        <w:ind w:left="0" w:firstLine="0"/>
        <w:contextualSpacing w:val="0"/>
        <w:rPr>
          <w:szCs w:val="20"/>
          <w:lang w:val="en-US"/>
        </w:rPr>
      </w:pPr>
      <w:r w:rsidRPr="001558A5">
        <w:rPr>
          <w:szCs w:val="20"/>
          <w:lang w:val="en-US"/>
        </w:rPr>
        <w:t xml:space="preserve">But what has occurred since then, and this is revealed in the Court’s judgment in the </w:t>
      </w:r>
      <w:r w:rsidR="0076236C" w:rsidRPr="001558A5">
        <w:rPr>
          <w:i/>
          <w:szCs w:val="20"/>
          <w:lang w:val="en-US"/>
        </w:rPr>
        <w:t>Vicky Hernandez</w:t>
      </w:r>
      <w:r w:rsidR="00343C6E" w:rsidRPr="001558A5">
        <w:rPr>
          <w:i/>
          <w:szCs w:val="20"/>
          <w:lang w:val="en-US"/>
        </w:rPr>
        <w:t xml:space="preserve"> case</w:t>
      </w:r>
      <w:r w:rsidR="0076236C" w:rsidRPr="001558A5">
        <w:rPr>
          <w:szCs w:val="20"/>
          <w:lang w:val="en-US"/>
        </w:rPr>
        <w:t xml:space="preserve">, </w:t>
      </w:r>
      <w:r w:rsidRPr="001558A5">
        <w:rPr>
          <w:szCs w:val="20"/>
          <w:lang w:val="en-US"/>
        </w:rPr>
        <w:t xml:space="preserve">is radically different. Without any scientific basis, </w:t>
      </w:r>
      <w:r w:rsidR="00343C6E" w:rsidRPr="001558A5">
        <w:rPr>
          <w:szCs w:val="20"/>
          <w:lang w:val="en-US"/>
        </w:rPr>
        <w:t xml:space="preserve">it is being claimed </w:t>
      </w:r>
      <w:r w:rsidRPr="001558A5">
        <w:rPr>
          <w:szCs w:val="20"/>
          <w:lang w:val="en-US"/>
        </w:rPr>
        <w:t>that “gender identity” – a feeling that can change</w:t>
      </w:r>
      <w:r w:rsidR="00343C6E" w:rsidRPr="001558A5">
        <w:rPr>
          <w:szCs w:val="20"/>
          <w:lang w:val="en-US"/>
        </w:rPr>
        <w:t xml:space="preserve"> even</w:t>
      </w:r>
      <w:r w:rsidRPr="001558A5">
        <w:rPr>
          <w:szCs w:val="20"/>
          <w:lang w:val="en-US"/>
        </w:rPr>
        <w:t xml:space="preserve"> from one day to the next </w:t>
      </w:r>
      <w:r w:rsidR="00715466" w:rsidRPr="001558A5">
        <w:rPr>
          <w:szCs w:val="20"/>
          <w:lang w:val="en-US"/>
        </w:rPr>
        <w:t>–</w:t>
      </w:r>
      <w:r w:rsidRPr="001558A5">
        <w:rPr>
          <w:szCs w:val="20"/>
          <w:lang w:val="en-US"/>
        </w:rPr>
        <w:t xml:space="preserve"> </w:t>
      </w:r>
      <w:r w:rsidR="00715466" w:rsidRPr="001558A5">
        <w:rPr>
          <w:szCs w:val="20"/>
          <w:lang w:val="en-US"/>
        </w:rPr>
        <w:t xml:space="preserve">substitutes and erases the sex with which a person </w:t>
      </w:r>
      <w:r w:rsidR="00343C6E" w:rsidRPr="001558A5">
        <w:rPr>
          <w:szCs w:val="20"/>
          <w:lang w:val="en-US"/>
        </w:rPr>
        <w:t>was</w:t>
      </w:r>
      <w:r w:rsidR="00715466" w:rsidRPr="001558A5">
        <w:rPr>
          <w:szCs w:val="20"/>
          <w:lang w:val="en-US"/>
        </w:rPr>
        <w:t xml:space="preserve"> born. There will be no further mention of women and men with their inherent characteristics, but rather of “persons” – neutral, undefined. It appears that “gender” – a cultural construct – also disappears. Everything </w:t>
      </w:r>
      <w:r w:rsidR="00343C6E" w:rsidRPr="001558A5">
        <w:rPr>
          <w:szCs w:val="20"/>
          <w:lang w:val="en-US"/>
        </w:rPr>
        <w:t>tends</w:t>
      </w:r>
      <w:r w:rsidR="00715466" w:rsidRPr="001558A5">
        <w:rPr>
          <w:szCs w:val="20"/>
          <w:lang w:val="en-US"/>
        </w:rPr>
        <w:t xml:space="preserve"> towards the concept that only “gender identity” exists</w:t>
      </w:r>
      <w:r w:rsidR="00343C6E" w:rsidRPr="001558A5">
        <w:rPr>
          <w:szCs w:val="20"/>
          <w:lang w:val="en-US"/>
        </w:rPr>
        <w:t>;</w:t>
      </w:r>
      <w:r w:rsidR="00715466" w:rsidRPr="001558A5">
        <w:rPr>
          <w:szCs w:val="20"/>
          <w:lang w:val="en-US"/>
        </w:rPr>
        <w:t xml:space="preserve"> the individual and personal experience of each of us, with the </w:t>
      </w:r>
      <w:r w:rsidR="00343C6E" w:rsidRPr="001558A5">
        <w:rPr>
          <w:szCs w:val="20"/>
          <w:lang w:val="en-US"/>
        </w:rPr>
        <w:t>further difficulty</w:t>
      </w:r>
      <w:r w:rsidR="00715466" w:rsidRPr="001558A5">
        <w:rPr>
          <w:szCs w:val="20"/>
          <w:lang w:val="en-US"/>
        </w:rPr>
        <w:t xml:space="preserve"> that gender was never considered an identity. </w:t>
      </w:r>
    </w:p>
    <w:p w14:paraId="7BF557C0" w14:textId="77777777" w:rsidR="0076236C" w:rsidRPr="001558A5" w:rsidRDefault="0076236C" w:rsidP="0076236C">
      <w:pPr>
        <w:pStyle w:val="Prrafodelista"/>
        <w:ind w:left="0"/>
        <w:contextualSpacing w:val="0"/>
        <w:rPr>
          <w:szCs w:val="20"/>
          <w:lang w:val="en-US"/>
        </w:rPr>
      </w:pPr>
    </w:p>
    <w:p w14:paraId="7F263002" w14:textId="1EF94823" w:rsidR="00715466" w:rsidRPr="001558A5" w:rsidRDefault="00715466" w:rsidP="0076236C">
      <w:pPr>
        <w:pStyle w:val="Prrafodelista"/>
        <w:numPr>
          <w:ilvl w:val="0"/>
          <w:numId w:val="39"/>
        </w:numPr>
        <w:ind w:left="0" w:firstLine="0"/>
        <w:contextualSpacing w:val="0"/>
        <w:rPr>
          <w:szCs w:val="20"/>
          <w:lang w:val="en-US"/>
        </w:rPr>
      </w:pPr>
      <w:r w:rsidRPr="001558A5">
        <w:rPr>
          <w:szCs w:val="20"/>
          <w:lang w:val="en-US"/>
        </w:rPr>
        <w:t xml:space="preserve">The decades of uphill </w:t>
      </w:r>
      <w:r w:rsidR="00E32F16" w:rsidRPr="001558A5">
        <w:rPr>
          <w:szCs w:val="20"/>
          <w:lang w:val="en-US"/>
        </w:rPr>
        <w:t>battles</w:t>
      </w:r>
      <w:r w:rsidRPr="001558A5">
        <w:rPr>
          <w:szCs w:val="20"/>
          <w:lang w:val="en-US"/>
        </w:rPr>
        <w:t xml:space="preserve"> against discrimination and inequality, not only </w:t>
      </w:r>
      <w:r w:rsidR="00E32F16" w:rsidRPr="001558A5">
        <w:rPr>
          <w:szCs w:val="20"/>
          <w:lang w:val="en-US"/>
        </w:rPr>
        <w:t>by</w:t>
      </w:r>
      <w:r w:rsidRPr="001558A5">
        <w:rPr>
          <w:szCs w:val="20"/>
          <w:lang w:val="en-US"/>
        </w:rPr>
        <w:t xml:space="preserve"> women against the patriarchal system, but also </w:t>
      </w:r>
      <w:r w:rsidR="00E32F16" w:rsidRPr="001558A5">
        <w:rPr>
          <w:szCs w:val="20"/>
          <w:lang w:val="en-US"/>
        </w:rPr>
        <w:t>by</w:t>
      </w:r>
      <w:r w:rsidRPr="001558A5">
        <w:rPr>
          <w:szCs w:val="20"/>
          <w:lang w:val="en-US"/>
        </w:rPr>
        <w:t xml:space="preserve"> all those who have challenged racism, prejudice, cultural patterns, disappear. I have to admit that I do not understand these new concepts that, </w:t>
      </w:r>
      <w:r w:rsidR="00777208" w:rsidRPr="001558A5">
        <w:rPr>
          <w:szCs w:val="20"/>
          <w:lang w:val="en-US"/>
        </w:rPr>
        <w:t xml:space="preserve">under the guise of struggles by historically marginalized groups, which is absolutely true, seek to erase what is also irrefutable: </w:t>
      </w:r>
      <w:r w:rsidR="00E32F16" w:rsidRPr="001558A5">
        <w:rPr>
          <w:szCs w:val="20"/>
          <w:lang w:val="en-US"/>
        </w:rPr>
        <w:t xml:space="preserve">the concept of </w:t>
      </w:r>
      <w:r w:rsidR="00777208" w:rsidRPr="001558A5">
        <w:rPr>
          <w:szCs w:val="20"/>
          <w:lang w:val="en-US"/>
        </w:rPr>
        <w:t>sex.</w:t>
      </w:r>
    </w:p>
    <w:p w14:paraId="09A0AC04" w14:textId="77777777" w:rsidR="0076236C" w:rsidRPr="001558A5" w:rsidRDefault="0076236C" w:rsidP="0076236C">
      <w:pPr>
        <w:pStyle w:val="Prrafodelista"/>
        <w:ind w:left="0"/>
        <w:contextualSpacing w:val="0"/>
        <w:rPr>
          <w:szCs w:val="20"/>
          <w:lang w:val="en-US"/>
        </w:rPr>
      </w:pPr>
    </w:p>
    <w:p w14:paraId="73F3CAA6" w14:textId="02C5F508" w:rsidR="0076236C" w:rsidRPr="001558A5" w:rsidRDefault="00E32F16" w:rsidP="00777208">
      <w:pPr>
        <w:pStyle w:val="Prrafodelista"/>
        <w:numPr>
          <w:ilvl w:val="0"/>
          <w:numId w:val="39"/>
        </w:numPr>
        <w:ind w:left="0" w:firstLine="0"/>
        <w:contextualSpacing w:val="0"/>
        <w:rPr>
          <w:szCs w:val="20"/>
          <w:lang w:val="en-US"/>
        </w:rPr>
      </w:pPr>
      <w:r w:rsidRPr="001558A5">
        <w:rPr>
          <w:szCs w:val="20"/>
          <w:lang w:val="en-US"/>
        </w:rPr>
        <w:t>Here, it</w:t>
      </w:r>
      <w:r w:rsidR="00777208" w:rsidRPr="001558A5">
        <w:rPr>
          <w:szCs w:val="20"/>
          <w:lang w:val="en-US"/>
        </w:rPr>
        <w:t xml:space="preserve"> is worth recall</w:t>
      </w:r>
      <w:r w:rsidRPr="001558A5">
        <w:rPr>
          <w:szCs w:val="20"/>
          <w:lang w:val="en-US"/>
        </w:rPr>
        <w:t>ing</w:t>
      </w:r>
      <w:r w:rsidR="00777208" w:rsidRPr="001558A5">
        <w:rPr>
          <w:szCs w:val="20"/>
          <w:lang w:val="en-US"/>
        </w:rPr>
        <w:t xml:space="preserve"> that feminism is a political theory and a social movement that has had</w:t>
      </w:r>
      <w:r w:rsidRPr="001558A5">
        <w:rPr>
          <w:szCs w:val="20"/>
          <w:lang w:val="en-US"/>
        </w:rPr>
        <w:t>,</w:t>
      </w:r>
      <w:r w:rsidR="00777208" w:rsidRPr="001558A5">
        <w:rPr>
          <w:szCs w:val="20"/>
          <w:lang w:val="en-US"/>
        </w:rPr>
        <w:t xml:space="preserve"> and still has</w:t>
      </w:r>
      <w:r w:rsidRPr="001558A5">
        <w:rPr>
          <w:szCs w:val="20"/>
          <w:lang w:val="en-US"/>
        </w:rPr>
        <w:t>,</w:t>
      </w:r>
      <w:r w:rsidR="00777208" w:rsidRPr="001558A5">
        <w:rPr>
          <w:szCs w:val="20"/>
          <w:lang w:val="en-US"/>
        </w:rPr>
        <w:t xml:space="preserve"> as its goal the eradication of inequality between men and women in all social structures (political, economic, </w:t>
      </w:r>
      <w:r w:rsidRPr="001558A5">
        <w:rPr>
          <w:szCs w:val="20"/>
          <w:lang w:val="en-US"/>
        </w:rPr>
        <w:t xml:space="preserve">and those related to </w:t>
      </w:r>
      <w:r w:rsidR="00777208" w:rsidRPr="001558A5">
        <w:rPr>
          <w:szCs w:val="20"/>
          <w:lang w:val="en-US"/>
        </w:rPr>
        <w:t>health, education</w:t>
      </w:r>
      <w:r w:rsidRPr="001558A5">
        <w:rPr>
          <w:szCs w:val="20"/>
          <w:lang w:val="en-US"/>
        </w:rPr>
        <w:t xml:space="preserve"> and</w:t>
      </w:r>
      <w:r w:rsidR="00777208" w:rsidRPr="001558A5">
        <w:rPr>
          <w:szCs w:val="20"/>
          <w:lang w:val="en-US"/>
        </w:rPr>
        <w:t xml:space="preserve"> language); a historic discrimination whose most humiliating and grotesque expression is the violence of every kind experienced by women. As a social and political theory, its common and basic goal is the fight to achieve equality between women and men; that is, eradicate sexism in all its forms - th</w:t>
      </w:r>
      <w:r w:rsidRPr="001558A5">
        <w:rPr>
          <w:szCs w:val="20"/>
          <w:lang w:val="en-US"/>
        </w:rPr>
        <w:t>e</w:t>
      </w:r>
      <w:r w:rsidR="00777208" w:rsidRPr="001558A5">
        <w:rPr>
          <w:szCs w:val="20"/>
          <w:lang w:val="en-US"/>
        </w:rPr>
        <w:t xml:space="preserve"> historical and persistent sexism that, even today</w:t>
      </w:r>
      <w:r w:rsidRPr="001558A5">
        <w:rPr>
          <w:szCs w:val="20"/>
          <w:lang w:val="en-US"/>
        </w:rPr>
        <w:t xml:space="preserve">, </w:t>
      </w:r>
      <w:r w:rsidR="00777208" w:rsidRPr="001558A5">
        <w:rPr>
          <w:szCs w:val="20"/>
          <w:lang w:val="en-US"/>
        </w:rPr>
        <w:t xml:space="preserve">the </w:t>
      </w:r>
      <w:r w:rsidR="0076236C" w:rsidRPr="001558A5">
        <w:rPr>
          <w:i/>
          <w:iCs/>
          <w:szCs w:val="20"/>
          <w:lang w:val="en-US"/>
        </w:rPr>
        <w:t xml:space="preserve">Real Academia Española de la </w:t>
      </w:r>
      <w:proofErr w:type="spellStart"/>
      <w:r w:rsidR="0076236C" w:rsidRPr="001558A5">
        <w:rPr>
          <w:i/>
          <w:iCs/>
          <w:szCs w:val="20"/>
          <w:lang w:val="en-US"/>
        </w:rPr>
        <w:t>Lengua</w:t>
      </w:r>
      <w:proofErr w:type="spellEnd"/>
      <w:r w:rsidR="0076236C" w:rsidRPr="001558A5">
        <w:rPr>
          <w:szCs w:val="20"/>
          <w:lang w:val="en-US"/>
        </w:rPr>
        <w:t xml:space="preserve"> inclu</w:t>
      </w:r>
      <w:r w:rsidR="00777208" w:rsidRPr="001558A5">
        <w:rPr>
          <w:szCs w:val="20"/>
          <w:lang w:val="en-US"/>
        </w:rPr>
        <w:t xml:space="preserve">des in its sacrosanct dictionary, by including the expression the </w:t>
      </w:r>
      <w:r w:rsidR="0076236C" w:rsidRPr="001558A5">
        <w:rPr>
          <w:szCs w:val="20"/>
          <w:lang w:val="en-US"/>
        </w:rPr>
        <w:t>“</w:t>
      </w:r>
      <w:r w:rsidR="00777208" w:rsidRPr="001558A5">
        <w:rPr>
          <w:szCs w:val="20"/>
          <w:lang w:val="en-US"/>
        </w:rPr>
        <w:t>weak sex.</w:t>
      </w:r>
      <w:r w:rsidR="0076236C" w:rsidRPr="001558A5">
        <w:rPr>
          <w:szCs w:val="20"/>
          <w:lang w:val="en-US"/>
        </w:rPr>
        <w:t>”</w:t>
      </w:r>
      <w:r w:rsidR="0076236C" w:rsidRPr="001558A5">
        <w:rPr>
          <w:rStyle w:val="Refdenotaalpie"/>
          <w:lang w:val="en-US"/>
        </w:rPr>
        <w:footnoteReference w:id="200"/>
      </w:r>
    </w:p>
    <w:p w14:paraId="6AB24128" w14:textId="77777777" w:rsidR="0076236C" w:rsidRPr="001558A5" w:rsidRDefault="0076236C" w:rsidP="0076236C">
      <w:pPr>
        <w:pStyle w:val="Prrafodelista"/>
        <w:ind w:left="0"/>
        <w:contextualSpacing w:val="0"/>
        <w:rPr>
          <w:szCs w:val="20"/>
          <w:lang w:val="en-US"/>
        </w:rPr>
      </w:pPr>
    </w:p>
    <w:p w14:paraId="6EA7728C" w14:textId="23C8244F" w:rsidR="00777208" w:rsidRPr="001558A5" w:rsidRDefault="00777208" w:rsidP="00D41B12">
      <w:pPr>
        <w:pStyle w:val="Prrafodelista"/>
        <w:numPr>
          <w:ilvl w:val="0"/>
          <w:numId w:val="39"/>
        </w:numPr>
        <w:ind w:left="0" w:firstLine="0"/>
        <w:contextualSpacing w:val="0"/>
        <w:rPr>
          <w:szCs w:val="20"/>
          <w:lang w:val="en-US"/>
        </w:rPr>
      </w:pPr>
      <w:r w:rsidRPr="001558A5">
        <w:rPr>
          <w:rFonts w:cs="ArialMT"/>
          <w:szCs w:val="20"/>
          <w:lang w:val="en-US"/>
        </w:rPr>
        <w:t>To conclude this part of the analysis, I reiterate my position that the central issue of feminism (and, in this case, the violence against women due to being</w:t>
      </w:r>
      <w:r w:rsidR="006E7202" w:rsidRPr="001558A5">
        <w:rPr>
          <w:rFonts w:cs="ArialMT"/>
          <w:szCs w:val="20"/>
          <w:lang w:val="en-US"/>
        </w:rPr>
        <w:t xml:space="preserve"> women</w:t>
      </w:r>
      <w:r w:rsidRPr="001558A5">
        <w:rPr>
          <w:rFonts w:cs="ArialMT"/>
          <w:szCs w:val="20"/>
          <w:lang w:val="en-US"/>
        </w:rPr>
        <w:t xml:space="preserve">) is </w:t>
      </w:r>
      <w:r w:rsidRPr="001558A5">
        <w:rPr>
          <w:rFonts w:cs="ArialMT"/>
          <w:i/>
          <w:iCs/>
          <w:szCs w:val="20"/>
          <w:lang w:val="en-US"/>
        </w:rPr>
        <w:t>women</w:t>
      </w:r>
      <w:r w:rsidRPr="001558A5">
        <w:rPr>
          <w:rFonts w:cs="ArialMT"/>
          <w:szCs w:val="20"/>
          <w:lang w:val="en-US"/>
        </w:rPr>
        <w:t xml:space="preserve"> and the specific oppression that they suffer, its origin and impact. If we confuse the feminist struggle and substitute </w:t>
      </w:r>
      <w:r w:rsidR="00D41B12" w:rsidRPr="001558A5">
        <w:rPr>
          <w:rFonts w:cs="ArialMT"/>
          <w:szCs w:val="20"/>
          <w:lang w:val="en-US"/>
        </w:rPr>
        <w:t>the subject of feminism</w:t>
      </w:r>
      <w:r w:rsidR="006E7202" w:rsidRPr="001558A5">
        <w:rPr>
          <w:rFonts w:cs="ArialMT"/>
          <w:szCs w:val="20"/>
          <w:lang w:val="en-US"/>
        </w:rPr>
        <w:t xml:space="preserve">, </w:t>
      </w:r>
      <w:r w:rsidR="00D41B12" w:rsidRPr="001558A5">
        <w:rPr>
          <w:rFonts w:cs="ArialMT"/>
          <w:szCs w:val="20"/>
          <w:lang w:val="en-US"/>
        </w:rPr>
        <w:t xml:space="preserve">if the subject of feminism is no longer the biological woman and becomes a strange and confused variable of subjective identities, we should </w:t>
      </w:r>
      <w:r w:rsidR="006E7202" w:rsidRPr="001558A5">
        <w:rPr>
          <w:rFonts w:cs="ArialMT"/>
          <w:szCs w:val="20"/>
          <w:lang w:val="en-US"/>
        </w:rPr>
        <w:t>reflect on</w:t>
      </w:r>
      <w:r w:rsidR="00D41B12" w:rsidRPr="001558A5">
        <w:rPr>
          <w:rFonts w:cs="ArialMT"/>
          <w:szCs w:val="20"/>
          <w:lang w:val="en-US"/>
        </w:rPr>
        <w:t xml:space="preserve"> and </w:t>
      </w:r>
      <w:r w:rsidR="006E7202" w:rsidRPr="001558A5">
        <w:rPr>
          <w:rFonts w:cs="ArialMT"/>
          <w:szCs w:val="20"/>
          <w:lang w:val="en-US"/>
        </w:rPr>
        <w:t>raise the issue of</w:t>
      </w:r>
      <w:r w:rsidR="00D41B12" w:rsidRPr="001558A5">
        <w:rPr>
          <w:rFonts w:cs="ArialMT"/>
          <w:szCs w:val="20"/>
          <w:lang w:val="en-US"/>
        </w:rPr>
        <w:t xml:space="preserve"> the </w:t>
      </w:r>
      <w:r w:rsidR="006E7202" w:rsidRPr="001558A5">
        <w:rPr>
          <w:rFonts w:cs="ArialMT"/>
          <w:szCs w:val="20"/>
          <w:lang w:val="en-US"/>
        </w:rPr>
        <w:t>more than probable</w:t>
      </w:r>
      <w:r w:rsidR="00D41B12" w:rsidRPr="001558A5">
        <w:rPr>
          <w:rFonts w:cs="ArialMT"/>
          <w:szCs w:val="20"/>
          <w:lang w:val="en-US"/>
        </w:rPr>
        <w:t xml:space="preserve"> negative impact that it would have on decades of feminist theory and struggle. </w:t>
      </w:r>
      <w:r w:rsidR="006E7202" w:rsidRPr="001558A5">
        <w:rPr>
          <w:rFonts w:cs="ArialMT"/>
          <w:szCs w:val="20"/>
          <w:lang w:val="en-US"/>
        </w:rPr>
        <w:t>Moreover</w:t>
      </w:r>
      <w:r w:rsidR="00D41B12" w:rsidRPr="001558A5">
        <w:rPr>
          <w:rFonts w:cs="ArialMT"/>
          <w:szCs w:val="20"/>
          <w:lang w:val="en-US"/>
        </w:rPr>
        <w:t>, not only feminism would disappear, but also the theory of human rights that is also based</w:t>
      </w:r>
      <w:r w:rsidR="006E7202" w:rsidRPr="001558A5">
        <w:rPr>
          <w:rFonts w:cs="ArialMT"/>
          <w:szCs w:val="20"/>
          <w:lang w:val="en-US"/>
        </w:rPr>
        <w:t xml:space="preserve"> on objective and scientific categories, rather than</w:t>
      </w:r>
      <w:r w:rsidR="00D41B12" w:rsidRPr="001558A5">
        <w:rPr>
          <w:rFonts w:cs="ArialMT"/>
          <w:szCs w:val="20"/>
          <w:lang w:val="en-US"/>
        </w:rPr>
        <w:t xml:space="preserve"> on feelings or self-perceptions. Thus, we should ask ourselves: if sex, as a substantive and scientific category disappears, absorbed by “gender identity,” an individual subjective perception, what would gender violence be based on? And what would the feminine sex be reduced to? How would rape and other crimes of sexual violence against women be documented? How would the violence suffered by </w:t>
      </w:r>
      <w:proofErr w:type="gramStart"/>
      <w:r w:rsidR="00D41B12" w:rsidRPr="001558A5">
        <w:rPr>
          <w:rFonts w:cs="ArialMT"/>
          <w:szCs w:val="20"/>
          <w:lang w:val="en-US"/>
        </w:rPr>
        <w:t>trans</w:t>
      </w:r>
      <w:proofErr w:type="gramEnd"/>
      <w:r w:rsidR="00D41B12" w:rsidRPr="001558A5">
        <w:rPr>
          <w:rFonts w:cs="ArialMT"/>
          <w:szCs w:val="20"/>
          <w:lang w:val="en-US"/>
        </w:rPr>
        <w:t xml:space="preserve"> persons be documented if the sex change is something confidential that cannot be documented? And salary differences? And discrimination in access to formal and informal education at all levels? Many more questions arise. But these few are sufficient to reveal the chaos and re</w:t>
      </w:r>
      <w:r w:rsidR="006E7202" w:rsidRPr="001558A5">
        <w:rPr>
          <w:rFonts w:cs="ArialMT"/>
          <w:szCs w:val="20"/>
          <w:lang w:val="en-US"/>
        </w:rPr>
        <w:t>tro</w:t>
      </w:r>
      <w:r w:rsidR="00D41B12" w:rsidRPr="001558A5">
        <w:rPr>
          <w:rFonts w:cs="ArialMT"/>
          <w:szCs w:val="20"/>
          <w:lang w:val="en-US"/>
        </w:rPr>
        <w:t>gression that we are facing.</w:t>
      </w:r>
    </w:p>
    <w:p w14:paraId="1EF22CC9" w14:textId="15185D17" w:rsidR="0076236C" w:rsidRPr="001558A5" w:rsidRDefault="0076236C" w:rsidP="00FF575B">
      <w:pPr>
        <w:pStyle w:val="Prrafodelista"/>
        <w:numPr>
          <w:ilvl w:val="0"/>
          <w:numId w:val="40"/>
        </w:numPr>
        <w:spacing w:before="240" w:after="240"/>
        <w:ind w:left="714" w:hanging="357"/>
        <w:contextualSpacing w:val="0"/>
        <w:outlineLvl w:val="0"/>
        <w:rPr>
          <w:b/>
          <w:caps/>
          <w:szCs w:val="20"/>
          <w:lang w:val="en-US"/>
        </w:rPr>
      </w:pPr>
      <w:r w:rsidRPr="001558A5">
        <w:rPr>
          <w:b/>
          <w:caps/>
          <w:szCs w:val="20"/>
          <w:lang w:val="en-US"/>
        </w:rPr>
        <w:t>D</w:t>
      </w:r>
      <w:r w:rsidR="00FF575B" w:rsidRPr="001558A5">
        <w:rPr>
          <w:b/>
          <w:caps/>
          <w:szCs w:val="20"/>
          <w:lang w:val="en-US"/>
        </w:rPr>
        <w:t>YNAMICS OF THE HISTORICAL VIOLENCE AGAINST WOMEN. ITS DIFFERENCES FROM THE VIOLENCE SUFFERED BY VULNERABLE SOCIAL GROUPS BASED ON THOSE PERCEPTIONS THAT TODAY ARE REFERRED TO AS</w:t>
      </w:r>
      <w:r w:rsidRPr="001558A5">
        <w:rPr>
          <w:b/>
          <w:caps/>
          <w:szCs w:val="20"/>
          <w:lang w:val="en-US"/>
        </w:rPr>
        <w:t xml:space="preserve"> “</w:t>
      </w:r>
      <w:r w:rsidR="00DF7573" w:rsidRPr="001558A5">
        <w:rPr>
          <w:b/>
          <w:caps/>
          <w:szCs w:val="20"/>
          <w:lang w:val="en-US"/>
        </w:rPr>
        <w:t>gender identity</w:t>
      </w:r>
      <w:r w:rsidRPr="001558A5">
        <w:rPr>
          <w:b/>
          <w:caps/>
          <w:szCs w:val="20"/>
          <w:lang w:val="en-US"/>
        </w:rPr>
        <w:t xml:space="preserve">” </w:t>
      </w:r>
    </w:p>
    <w:p w14:paraId="35E716F1" w14:textId="1BE7504F" w:rsidR="008A119C" w:rsidRPr="001558A5" w:rsidRDefault="008A119C" w:rsidP="0076236C">
      <w:pPr>
        <w:pStyle w:val="Prrafodelista"/>
        <w:numPr>
          <w:ilvl w:val="0"/>
          <w:numId w:val="39"/>
        </w:numPr>
        <w:ind w:left="0" w:firstLine="0"/>
        <w:contextualSpacing w:val="0"/>
        <w:rPr>
          <w:szCs w:val="20"/>
          <w:lang w:val="en-US"/>
        </w:rPr>
      </w:pPr>
      <w:r w:rsidRPr="001558A5">
        <w:rPr>
          <w:szCs w:val="20"/>
          <w:lang w:val="en-US"/>
        </w:rPr>
        <w:t>The global awareness of</w:t>
      </w:r>
      <w:r w:rsidR="006E7202" w:rsidRPr="001558A5">
        <w:rPr>
          <w:szCs w:val="20"/>
          <w:lang w:val="en-US"/>
        </w:rPr>
        <w:t xml:space="preserve"> the</w:t>
      </w:r>
      <w:r w:rsidRPr="001558A5">
        <w:rPr>
          <w:szCs w:val="20"/>
          <w:lang w:val="en-US"/>
        </w:rPr>
        <w:t xml:space="preserve"> hierarchical discrimination and violence against women </w:t>
      </w:r>
      <w:r w:rsidR="006E7202" w:rsidRPr="001558A5">
        <w:rPr>
          <w:szCs w:val="20"/>
          <w:lang w:val="en-US"/>
        </w:rPr>
        <w:t xml:space="preserve">that </w:t>
      </w:r>
      <w:r w:rsidRPr="001558A5">
        <w:rPr>
          <w:szCs w:val="20"/>
          <w:lang w:val="en-US"/>
        </w:rPr>
        <w:t>was the essence of the patriarchal system</w:t>
      </w:r>
      <w:r w:rsidR="006E7202" w:rsidRPr="001558A5">
        <w:rPr>
          <w:szCs w:val="20"/>
          <w:lang w:val="en-US"/>
        </w:rPr>
        <w:t>,</w:t>
      </w:r>
      <w:r w:rsidRPr="001558A5">
        <w:rPr>
          <w:szCs w:val="20"/>
          <w:lang w:val="en-US"/>
        </w:rPr>
        <w:t xml:space="preserve"> </w:t>
      </w:r>
      <w:r w:rsidR="006E7202" w:rsidRPr="001558A5">
        <w:rPr>
          <w:szCs w:val="20"/>
          <w:lang w:val="en-US"/>
        </w:rPr>
        <w:t xml:space="preserve">and that feminism contributed to twentieth-century social science, </w:t>
      </w:r>
      <w:r w:rsidRPr="001558A5">
        <w:rPr>
          <w:szCs w:val="20"/>
          <w:lang w:val="en-US"/>
        </w:rPr>
        <w:t>formed the basis for the worldwide struggle that women have waged and continue to wage against all expressions of sexism, machismo and misogyny.</w:t>
      </w:r>
    </w:p>
    <w:p w14:paraId="41DC1464" w14:textId="77777777" w:rsidR="0076236C" w:rsidRPr="001558A5" w:rsidRDefault="0076236C" w:rsidP="0076236C">
      <w:pPr>
        <w:pStyle w:val="Prrafodelista"/>
        <w:autoSpaceDE w:val="0"/>
        <w:autoSpaceDN w:val="0"/>
        <w:adjustRightInd w:val="0"/>
        <w:ind w:left="0"/>
        <w:contextualSpacing w:val="0"/>
        <w:rPr>
          <w:szCs w:val="20"/>
          <w:lang w:val="en-US"/>
        </w:rPr>
      </w:pPr>
    </w:p>
    <w:p w14:paraId="7EFC4A07" w14:textId="6C792895" w:rsidR="008A119C" w:rsidRPr="001558A5" w:rsidRDefault="008A119C" w:rsidP="0076236C">
      <w:pPr>
        <w:pStyle w:val="Prrafodelista"/>
        <w:numPr>
          <w:ilvl w:val="0"/>
          <w:numId w:val="39"/>
        </w:numPr>
        <w:ind w:left="0" w:firstLine="0"/>
        <w:contextualSpacing w:val="0"/>
        <w:rPr>
          <w:szCs w:val="20"/>
          <w:lang w:val="en-US"/>
        </w:rPr>
      </w:pPr>
      <w:r w:rsidRPr="001558A5">
        <w:rPr>
          <w:szCs w:val="20"/>
          <w:lang w:val="en-US"/>
        </w:rPr>
        <w:t xml:space="preserve">It is also opportune to recognize that, in our societies, which continue to be dominated by patriarchal structures under which patterns of male violence prevail, </w:t>
      </w:r>
      <w:proofErr w:type="gramStart"/>
      <w:r w:rsidRPr="001558A5">
        <w:rPr>
          <w:szCs w:val="20"/>
          <w:lang w:val="en-US"/>
        </w:rPr>
        <w:t>trans</w:t>
      </w:r>
      <w:proofErr w:type="gramEnd"/>
      <w:r w:rsidRPr="001558A5">
        <w:rPr>
          <w:szCs w:val="20"/>
          <w:lang w:val="en-US"/>
        </w:rPr>
        <w:t>, LGBTI</w:t>
      </w:r>
      <w:r w:rsidR="00CF4769" w:rsidRPr="001558A5">
        <w:rPr>
          <w:szCs w:val="20"/>
          <w:lang w:val="en-US"/>
        </w:rPr>
        <w:t xml:space="preserve"> and queer persons or groups also experience individual or collective marginalization and violence. Their defiance of “normality” leads them to be victims of all kinds of violations of their dignity and physical, mental and moral integrity. They are pursued, humiliated, segregated, tortured and murdered.</w:t>
      </w:r>
    </w:p>
    <w:p w14:paraId="33BFE711" w14:textId="77777777" w:rsidR="0076236C" w:rsidRPr="001558A5" w:rsidRDefault="0076236C" w:rsidP="0076236C">
      <w:pPr>
        <w:pStyle w:val="Prrafodelista"/>
        <w:autoSpaceDE w:val="0"/>
        <w:autoSpaceDN w:val="0"/>
        <w:adjustRightInd w:val="0"/>
        <w:ind w:left="0"/>
        <w:contextualSpacing w:val="0"/>
        <w:rPr>
          <w:szCs w:val="20"/>
          <w:lang w:val="en-US"/>
        </w:rPr>
      </w:pPr>
    </w:p>
    <w:p w14:paraId="3CC50CD5" w14:textId="43B42964" w:rsidR="00CF4769" w:rsidRPr="001558A5" w:rsidRDefault="00CF4769" w:rsidP="0076236C">
      <w:pPr>
        <w:pStyle w:val="Prrafodelista"/>
        <w:numPr>
          <w:ilvl w:val="0"/>
          <w:numId w:val="39"/>
        </w:numPr>
        <w:ind w:left="0" w:firstLine="0"/>
        <w:contextualSpacing w:val="0"/>
        <w:rPr>
          <w:szCs w:val="20"/>
          <w:lang w:val="en-US"/>
        </w:rPr>
      </w:pPr>
      <w:r w:rsidRPr="001558A5">
        <w:rPr>
          <w:szCs w:val="20"/>
          <w:lang w:val="en-US"/>
        </w:rPr>
        <w:t>A close examination of the global phenomenon of the sexual violence suffered by women in all armed conflicts since the most remote prehistory and the equally ancient domestic violence, clearly reveals that women are raped and humiliated in the course of all the manifestations of these national and international crimes because they are women. It is their feminine sex that is at the origin of that violence. It is eviden</w:t>
      </w:r>
      <w:r w:rsidR="008129C1" w:rsidRPr="001558A5">
        <w:rPr>
          <w:szCs w:val="20"/>
          <w:lang w:val="en-US"/>
        </w:rPr>
        <w:t>t</w:t>
      </w:r>
      <w:r w:rsidRPr="001558A5">
        <w:rPr>
          <w:szCs w:val="20"/>
          <w:lang w:val="en-US"/>
        </w:rPr>
        <w:t xml:space="preserve"> that</w:t>
      </w:r>
      <w:r w:rsidR="008129C1" w:rsidRPr="001558A5">
        <w:rPr>
          <w:szCs w:val="20"/>
          <w:lang w:val="en-US"/>
        </w:rPr>
        <w:t xml:space="preserve"> factors relating to</w:t>
      </w:r>
      <w:r w:rsidRPr="001558A5">
        <w:rPr>
          <w:szCs w:val="20"/>
          <w:lang w:val="en-US"/>
        </w:rPr>
        <w:t xml:space="preserve"> ethnic</w:t>
      </w:r>
      <w:r w:rsidR="008129C1" w:rsidRPr="001558A5">
        <w:rPr>
          <w:szCs w:val="20"/>
          <w:lang w:val="en-US"/>
        </w:rPr>
        <w:t>ity</w:t>
      </w:r>
      <w:r w:rsidRPr="001558A5">
        <w:rPr>
          <w:szCs w:val="20"/>
          <w:lang w:val="en-US"/>
        </w:rPr>
        <w:t>, sexual orientation, religio</w:t>
      </w:r>
      <w:r w:rsidR="008129C1" w:rsidRPr="001558A5">
        <w:rPr>
          <w:szCs w:val="20"/>
          <w:lang w:val="en-US"/>
        </w:rPr>
        <w:t>n</w:t>
      </w:r>
      <w:r w:rsidRPr="001558A5">
        <w:rPr>
          <w:szCs w:val="20"/>
          <w:lang w:val="en-US"/>
        </w:rPr>
        <w:t>, politic</w:t>
      </w:r>
      <w:r w:rsidR="008129C1" w:rsidRPr="001558A5">
        <w:rPr>
          <w:szCs w:val="20"/>
          <w:lang w:val="en-US"/>
        </w:rPr>
        <w:t>s</w:t>
      </w:r>
      <w:r w:rsidRPr="001558A5">
        <w:rPr>
          <w:szCs w:val="20"/>
          <w:lang w:val="en-US"/>
        </w:rPr>
        <w:t>, etc. also intervene; but all the victims have in common that they are women. Gender roles are also important components of this criminality, but the</w:t>
      </w:r>
      <w:r w:rsidR="008129C1" w:rsidRPr="001558A5">
        <w:rPr>
          <w:szCs w:val="20"/>
          <w:lang w:val="en-US"/>
        </w:rPr>
        <w:t>se</w:t>
      </w:r>
      <w:r w:rsidRPr="001558A5">
        <w:rPr>
          <w:szCs w:val="20"/>
          <w:lang w:val="en-US"/>
        </w:rPr>
        <w:t xml:space="preserve"> are not essential </w:t>
      </w:r>
      <w:r w:rsidR="008129C1" w:rsidRPr="001558A5">
        <w:rPr>
          <w:szCs w:val="20"/>
          <w:lang w:val="en-US"/>
        </w:rPr>
        <w:t xml:space="preserve">factors </w:t>
      </w:r>
      <w:r w:rsidRPr="001558A5">
        <w:rPr>
          <w:szCs w:val="20"/>
          <w:lang w:val="en-US"/>
        </w:rPr>
        <w:t>owing to the subordination of women.</w:t>
      </w:r>
    </w:p>
    <w:p w14:paraId="61FDCCBE" w14:textId="77777777" w:rsidR="0076236C" w:rsidRPr="001558A5" w:rsidRDefault="0076236C" w:rsidP="0076236C">
      <w:pPr>
        <w:pStyle w:val="Prrafodelista"/>
        <w:autoSpaceDE w:val="0"/>
        <w:autoSpaceDN w:val="0"/>
        <w:adjustRightInd w:val="0"/>
        <w:ind w:left="0"/>
        <w:contextualSpacing w:val="0"/>
        <w:rPr>
          <w:szCs w:val="20"/>
          <w:lang w:val="en-US"/>
        </w:rPr>
      </w:pPr>
    </w:p>
    <w:p w14:paraId="60A48364" w14:textId="3A7A9938" w:rsidR="0076236C" w:rsidRPr="001558A5" w:rsidRDefault="00CF4769" w:rsidP="0076236C">
      <w:pPr>
        <w:pStyle w:val="Prrafodelista"/>
        <w:numPr>
          <w:ilvl w:val="0"/>
          <w:numId w:val="39"/>
        </w:numPr>
        <w:ind w:left="0" w:firstLine="0"/>
        <w:contextualSpacing w:val="0"/>
        <w:rPr>
          <w:szCs w:val="20"/>
          <w:lang w:val="en-US"/>
        </w:rPr>
      </w:pPr>
      <w:r w:rsidRPr="001558A5">
        <w:rPr>
          <w:szCs w:val="20"/>
          <w:lang w:val="en-US"/>
        </w:rPr>
        <w:t xml:space="preserve">In the case of the violence </w:t>
      </w:r>
      <w:r w:rsidR="00DD4354" w:rsidRPr="001558A5">
        <w:rPr>
          <w:szCs w:val="20"/>
          <w:lang w:val="en-US"/>
        </w:rPr>
        <w:t xml:space="preserve">and </w:t>
      </w:r>
      <w:r w:rsidR="00215FEF" w:rsidRPr="001558A5">
        <w:rPr>
          <w:szCs w:val="20"/>
          <w:lang w:val="en-US"/>
        </w:rPr>
        <w:t>discrimination</w:t>
      </w:r>
      <w:r w:rsidR="0076236C" w:rsidRPr="001558A5">
        <w:rPr>
          <w:szCs w:val="20"/>
          <w:lang w:val="en-US"/>
        </w:rPr>
        <w:t xml:space="preserve"> </w:t>
      </w:r>
      <w:r w:rsidRPr="001558A5">
        <w:rPr>
          <w:szCs w:val="20"/>
          <w:lang w:val="en-US"/>
        </w:rPr>
        <w:t xml:space="preserve">experienced by </w:t>
      </w:r>
      <w:proofErr w:type="gramStart"/>
      <w:r w:rsidRPr="001558A5">
        <w:rPr>
          <w:szCs w:val="20"/>
          <w:lang w:val="en-US"/>
        </w:rPr>
        <w:t>trans</w:t>
      </w:r>
      <w:proofErr w:type="gramEnd"/>
      <w:r w:rsidRPr="001558A5">
        <w:rPr>
          <w:szCs w:val="20"/>
          <w:lang w:val="en-US"/>
        </w:rPr>
        <w:t xml:space="preserve"> persons and the groups that defy the parameters and paradigms of heterosexuality, the origin of the violence goes beyond the sex with which they were born. </w:t>
      </w:r>
      <w:r w:rsidR="004F01DE" w:rsidRPr="001558A5">
        <w:rPr>
          <w:szCs w:val="20"/>
          <w:lang w:val="en-US"/>
        </w:rPr>
        <w:t xml:space="preserve">The discrimination, humiliation and violence that they must face originates in their challenge to the existence of only two sexes </w:t>
      </w:r>
      <w:r w:rsidR="00DD4354" w:rsidRPr="001558A5">
        <w:rPr>
          <w:szCs w:val="20"/>
          <w:lang w:val="en-US"/>
        </w:rPr>
        <w:t xml:space="preserve">and </w:t>
      </w:r>
      <w:r w:rsidR="004F01DE" w:rsidRPr="001558A5">
        <w:rPr>
          <w:szCs w:val="20"/>
          <w:lang w:val="en-US"/>
        </w:rPr>
        <w:t xml:space="preserve">only one acceptable </w:t>
      </w:r>
      <w:r w:rsidR="00675A99" w:rsidRPr="001558A5">
        <w:rPr>
          <w:szCs w:val="20"/>
          <w:lang w:val="en-US"/>
        </w:rPr>
        <w:t>sexual orientation</w:t>
      </w:r>
      <w:r w:rsidR="004F01DE" w:rsidRPr="001558A5">
        <w:rPr>
          <w:szCs w:val="20"/>
          <w:lang w:val="en-US"/>
        </w:rPr>
        <w:t>; namely,</w:t>
      </w:r>
      <w:r w:rsidR="0076236C" w:rsidRPr="001558A5">
        <w:rPr>
          <w:szCs w:val="20"/>
          <w:lang w:val="en-US"/>
        </w:rPr>
        <w:t xml:space="preserve"> heterosexuali</w:t>
      </w:r>
      <w:r w:rsidR="004F01DE" w:rsidRPr="001558A5">
        <w:rPr>
          <w:szCs w:val="20"/>
          <w:lang w:val="en-US"/>
        </w:rPr>
        <w:t>ty.</w:t>
      </w:r>
    </w:p>
    <w:p w14:paraId="22518286" w14:textId="77777777" w:rsidR="0076236C" w:rsidRPr="001558A5" w:rsidRDefault="0076236C" w:rsidP="0076236C">
      <w:pPr>
        <w:rPr>
          <w:szCs w:val="20"/>
          <w:lang w:val="en-US"/>
        </w:rPr>
      </w:pPr>
    </w:p>
    <w:p w14:paraId="2C091770" w14:textId="68964F47" w:rsidR="0076236C" w:rsidRPr="001558A5" w:rsidRDefault="0035472C" w:rsidP="0035472C">
      <w:pPr>
        <w:pStyle w:val="Prrafodelista"/>
        <w:numPr>
          <w:ilvl w:val="0"/>
          <w:numId w:val="39"/>
        </w:numPr>
        <w:ind w:left="0" w:firstLine="0"/>
        <w:contextualSpacing w:val="0"/>
        <w:rPr>
          <w:szCs w:val="20"/>
          <w:lang w:val="en-US"/>
        </w:rPr>
      </w:pPr>
      <w:r w:rsidRPr="001558A5">
        <w:rPr>
          <w:szCs w:val="20"/>
          <w:lang w:val="en-US"/>
        </w:rPr>
        <w:t xml:space="preserve">For several years now, different regional and international human rights bodies have established the unquestionable rights of </w:t>
      </w:r>
      <w:proofErr w:type="gramStart"/>
      <w:r w:rsidRPr="001558A5">
        <w:rPr>
          <w:szCs w:val="20"/>
          <w:lang w:val="en-US"/>
        </w:rPr>
        <w:t>trans</w:t>
      </w:r>
      <w:proofErr w:type="gramEnd"/>
      <w:r w:rsidRPr="001558A5">
        <w:rPr>
          <w:szCs w:val="20"/>
          <w:lang w:val="en-US"/>
        </w:rPr>
        <w:t xml:space="preserve"> persons. In this regard, since 2008, the </w:t>
      </w:r>
      <w:r w:rsidR="00443040" w:rsidRPr="001558A5">
        <w:rPr>
          <w:szCs w:val="20"/>
          <w:lang w:val="en-US"/>
        </w:rPr>
        <w:t>General Assembly</w:t>
      </w:r>
      <w:r w:rsidR="0076236C" w:rsidRPr="001558A5">
        <w:rPr>
          <w:szCs w:val="20"/>
          <w:lang w:val="en-US"/>
        </w:rPr>
        <w:t xml:space="preserve"> </w:t>
      </w:r>
      <w:r w:rsidRPr="001558A5">
        <w:rPr>
          <w:szCs w:val="20"/>
          <w:lang w:val="en-US"/>
        </w:rPr>
        <w:t xml:space="preserve">of the Organization of American States (OAS) has adopted nine resolutions on the protection of persons against discrimination based on </w:t>
      </w:r>
      <w:r w:rsidR="00675A99" w:rsidRPr="001558A5">
        <w:rPr>
          <w:szCs w:val="20"/>
          <w:lang w:val="en-US"/>
        </w:rPr>
        <w:t>sexual orientation</w:t>
      </w:r>
      <w:r w:rsidR="00DD4354" w:rsidRPr="001558A5">
        <w:rPr>
          <w:szCs w:val="20"/>
          <w:lang w:val="en-US"/>
        </w:rPr>
        <w:t xml:space="preserve"> and</w:t>
      </w:r>
      <w:r w:rsidR="0076236C" w:rsidRPr="001558A5">
        <w:rPr>
          <w:szCs w:val="20"/>
          <w:lang w:val="en-US"/>
        </w:rPr>
        <w:t xml:space="preserve"> “</w:t>
      </w:r>
      <w:r w:rsidR="00DF7573" w:rsidRPr="001558A5">
        <w:rPr>
          <w:szCs w:val="20"/>
          <w:lang w:val="en-US"/>
        </w:rPr>
        <w:t>gender identity</w:t>
      </w:r>
      <w:r w:rsidRPr="001558A5">
        <w:rPr>
          <w:szCs w:val="20"/>
          <w:lang w:val="en-US"/>
        </w:rPr>
        <w:t>.</w:t>
      </w:r>
      <w:r w:rsidR="0076236C" w:rsidRPr="001558A5">
        <w:rPr>
          <w:szCs w:val="20"/>
          <w:lang w:val="en-US"/>
        </w:rPr>
        <w:t xml:space="preserve">” </w:t>
      </w:r>
    </w:p>
    <w:p w14:paraId="73D4E579" w14:textId="77777777" w:rsidR="0076236C" w:rsidRPr="001558A5" w:rsidRDefault="0076236C" w:rsidP="0076236C">
      <w:pPr>
        <w:rPr>
          <w:szCs w:val="20"/>
          <w:lang w:val="en-US"/>
        </w:rPr>
      </w:pPr>
    </w:p>
    <w:p w14:paraId="00BFC7B4" w14:textId="790EAB5B" w:rsidR="0035472C" w:rsidRPr="001558A5" w:rsidRDefault="0035472C" w:rsidP="0076236C">
      <w:pPr>
        <w:pStyle w:val="Prrafodelista"/>
        <w:numPr>
          <w:ilvl w:val="0"/>
          <w:numId w:val="39"/>
        </w:numPr>
        <w:ind w:left="0" w:firstLine="0"/>
        <w:contextualSpacing w:val="0"/>
        <w:rPr>
          <w:szCs w:val="20"/>
          <w:lang w:val="en-US"/>
        </w:rPr>
      </w:pPr>
      <w:r w:rsidRPr="001558A5">
        <w:rPr>
          <w:szCs w:val="20"/>
          <w:lang w:val="en-US"/>
        </w:rPr>
        <w:t xml:space="preserve">Since </w:t>
      </w:r>
      <w:r w:rsidR="0076236C" w:rsidRPr="001558A5">
        <w:rPr>
          <w:szCs w:val="20"/>
          <w:lang w:val="en-US"/>
        </w:rPr>
        <w:t>2013</w:t>
      </w:r>
      <w:r w:rsidRPr="001558A5">
        <w:rPr>
          <w:szCs w:val="20"/>
          <w:lang w:val="en-US"/>
        </w:rPr>
        <w:t xml:space="preserve">, these resolutions also refer to discriminatory treatment based </w:t>
      </w:r>
      <w:proofErr w:type="gramStart"/>
      <w:r w:rsidRPr="001558A5">
        <w:rPr>
          <w:szCs w:val="20"/>
          <w:lang w:val="en-US"/>
        </w:rPr>
        <w:t xml:space="preserve">on </w:t>
      </w:r>
      <w:r w:rsidR="0076236C" w:rsidRPr="001558A5">
        <w:rPr>
          <w:szCs w:val="20"/>
          <w:lang w:val="en-US"/>
        </w:rPr>
        <w:t xml:space="preserve"> </w:t>
      </w:r>
      <w:r w:rsidRPr="001558A5">
        <w:rPr>
          <w:szCs w:val="20"/>
          <w:lang w:val="en-US"/>
        </w:rPr>
        <w:t>“</w:t>
      </w:r>
      <w:proofErr w:type="gramEnd"/>
      <w:r w:rsidR="002C5430" w:rsidRPr="001558A5">
        <w:rPr>
          <w:szCs w:val="20"/>
          <w:lang w:val="en-US"/>
        </w:rPr>
        <w:t xml:space="preserve">gender </w:t>
      </w:r>
      <w:r w:rsidRPr="001558A5">
        <w:rPr>
          <w:szCs w:val="20"/>
          <w:lang w:val="en-US"/>
        </w:rPr>
        <w:t xml:space="preserve">expression” which, in my opinion, only adds confusion to the protection of rights that previously were effectively protected in our region by the Pact of San José. This analysis evidently reveals that the individualized and differentiated treatment of the violence suffered by specific groups based on their self-determined “gender identity” makes it urgent to </w:t>
      </w:r>
      <w:r w:rsidR="00F053EE" w:rsidRPr="001558A5">
        <w:rPr>
          <w:szCs w:val="20"/>
          <w:lang w:val="en-US"/>
        </w:rPr>
        <w:t>provide</w:t>
      </w:r>
      <w:r w:rsidRPr="001558A5">
        <w:rPr>
          <w:szCs w:val="20"/>
          <w:lang w:val="en-US"/>
        </w:rPr>
        <w:t xml:space="preserve"> a differentiated treatment to the violence suffered by women because they are women</w:t>
      </w:r>
      <w:r w:rsidR="00F053EE" w:rsidRPr="001558A5">
        <w:rPr>
          <w:szCs w:val="20"/>
          <w:lang w:val="en-US"/>
        </w:rPr>
        <w:t>; however, this</w:t>
      </w:r>
      <w:r w:rsidRPr="001558A5">
        <w:rPr>
          <w:szCs w:val="20"/>
          <w:lang w:val="en-US"/>
        </w:rPr>
        <w:t xml:space="preserve"> </w:t>
      </w:r>
      <w:r w:rsidR="008129C1" w:rsidRPr="001558A5">
        <w:rPr>
          <w:szCs w:val="20"/>
          <w:lang w:val="en-US"/>
        </w:rPr>
        <w:t>is not achieved</w:t>
      </w:r>
      <w:r w:rsidRPr="001558A5">
        <w:rPr>
          <w:szCs w:val="20"/>
          <w:lang w:val="en-US"/>
        </w:rPr>
        <w:t xml:space="preserve"> in the judgment at issue</w:t>
      </w:r>
      <w:r w:rsidR="00E00E32" w:rsidRPr="001558A5">
        <w:rPr>
          <w:szCs w:val="20"/>
          <w:lang w:val="en-US"/>
        </w:rPr>
        <w:t xml:space="preserve"> by applying certain articles of the Convention of </w:t>
      </w:r>
      <w:proofErr w:type="spellStart"/>
      <w:r w:rsidR="00E00E32" w:rsidRPr="001558A5">
        <w:rPr>
          <w:szCs w:val="20"/>
          <w:lang w:val="en-US"/>
        </w:rPr>
        <w:t>Belém</w:t>
      </w:r>
      <w:proofErr w:type="spellEnd"/>
      <w:r w:rsidR="00E00E32" w:rsidRPr="001558A5">
        <w:rPr>
          <w:szCs w:val="20"/>
          <w:lang w:val="en-US"/>
        </w:rPr>
        <w:t xml:space="preserve"> do </w:t>
      </w:r>
      <w:proofErr w:type="spellStart"/>
      <w:r w:rsidR="00E00E32" w:rsidRPr="001558A5">
        <w:rPr>
          <w:szCs w:val="20"/>
          <w:lang w:val="en-US"/>
        </w:rPr>
        <w:t>Pará</w:t>
      </w:r>
      <w:proofErr w:type="spellEnd"/>
      <w:r w:rsidR="00E00E32" w:rsidRPr="001558A5">
        <w:rPr>
          <w:szCs w:val="20"/>
          <w:lang w:val="en-US"/>
        </w:rPr>
        <w:t xml:space="preserve"> and declaring them violated. Placing in a single category biological women and groups who are subject to discrimination and violence for different reasons merely leads to</w:t>
      </w:r>
      <w:r w:rsidR="008129C1" w:rsidRPr="001558A5">
        <w:rPr>
          <w:szCs w:val="20"/>
          <w:lang w:val="en-US"/>
        </w:rPr>
        <w:t xml:space="preserve"> confusion</w:t>
      </w:r>
      <w:r w:rsidR="00E00E32" w:rsidRPr="001558A5">
        <w:rPr>
          <w:szCs w:val="20"/>
          <w:lang w:val="en-US"/>
        </w:rPr>
        <w:t xml:space="preserve"> </w:t>
      </w:r>
      <w:r w:rsidR="008129C1" w:rsidRPr="001558A5">
        <w:rPr>
          <w:iCs/>
          <w:szCs w:val="20"/>
          <w:lang w:val="en-US"/>
        </w:rPr>
        <w:t>and</w:t>
      </w:r>
      <w:r w:rsidR="00E00E32" w:rsidRPr="001558A5">
        <w:rPr>
          <w:iCs/>
          <w:szCs w:val="20"/>
          <w:lang w:val="en-US"/>
        </w:rPr>
        <w:t xml:space="preserve"> ends up by not providing adequate protection to anyone. </w:t>
      </w:r>
      <w:r w:rsidR="008129C1" w:rsidRPr="001558A5">
        <w:rPr>
          <w:iCs/>
          <w:szCs w:val="20"/>
          <w:lang w:val="en-US"/>
        </w:rPr>
        <w:t>They e</w:t>
      </w:r>
      <w:r w:rsidR="00E00E32" w:rsidRPr="001558A5">
        <w:rPr>
          <w:iCs/>
          <w:szCs w:val="20"/>
          <w:lang w:val="en-US"/>
        </w:rPr>
        <w:t>ach require</w:t>
      </w:r>
      <w:r w:rsidR="008129C1" w:rsidRPr="001558A5">
        <w:rPr>
          <w:iCs/>
          <w:szCs w:val="20"/>
          <w:lang w:val="en-US"/>
        </w:rPr>
        <w:t xml:space="preserve"> their</w:t>
      </w:r>
      <w:r w:rsidR="00E00E32" w:rsidRPr="001558A5">
        <w:rPr>
          <w:iCs/>
          <w:szCs w:val="20"/>
          <w:lang w:val="en-US"/>
        </w:rPr>
        <w:t xml:space="preserve"> own solution and they are not interchangeable.</w:t>
      </w:r>
    </w:p>
    <w:p w14:paraId="0BAA800C" w14:textId="3DA5E2AE" w:rsidR="0076236C" w:rsidRPr="001558A5" w:rsidRDefault="00FF575B" w:rsidP="0076236C">
      <w:pPr>
        <w:pStyle w:val="Prrafodelista"/>
        <w:numPr>
          <w:ilvl w:val="0"/>
          <w:numId w:val="40"/>
        </w:numPr>
        <w:spacing w:before="240" w:after="240"/>
        <w:ind w:left="714" w:hanging="357"/>
        <w:contextualSpacing w:val="0"/>
        <w:outlineLvl w:val="0"/>
        <w:rPr>
          <w:b/>
          <w:caps/>
          <w:szCs w:val="20"/>
          <w:lang w:val="en-US"/>
        </w:rPr>
      </w:pPr>
      <w:r w:rsidRPr="001558A5">
        <w:rPr>
          <w:b/>
          <w:caps/>
          <w:szCs w:val="20"/>
          <w:lang w:val="en-US"/>
        </w:rPr>
        <w:t xml:space="preserve">THE ORIGIN AND PURPOSE </w:t>
      </w:r>
      <w:r w:rsidR="00DD4354" w:rsidRPr="001558A5">
        <w:rPr>
          <w:b/>
          <w:caps/>
          <w:szCs w:val="20"/>
          <w:lang w:val="en-US"/>
        </w:rPr>
        <w:t xml:space="preserve">of the </w:t>
      </w:r>
      <w:r w:rsidR="00871E19" w:rsidRPr="001558A5">
        <w:rPr>
          <w:b/>
          <w:caps/>
          <w:szCs w:val="20"/>
          <w:lang w:val="en-US"/>
        </w:rPr>
        <w:t>Convention</w:t>
      </w:r>
      <w:r w:rsidR="0076236C" w:rsidRPr="001558A5">
        <w:rPr>
          <w:b/>
          <w:caps/>
          <w:szCs w:val="20"/>
          <w:lang w:val="en-US"/>
        </w:rPr>
        <w:t xml:space="preserve"> </w:t>
      </w:r>
      <w:r w:rsidR="00B74256" w:rsidRPr="001558A5">
        <w:rPr>
          <w:b/>
          <w:caps/>
          <w:szCs w:val="20"/>
          <w:lang w:val="en-US"/>
        </w:rPr>
        <w:t>of Belém</w:t>
      </w:r>
      <w:r w:rsidR="0076236C" w:rsidRPr="001558A5">
        <w:rPr>
          <w:b/>
          <w:caps/>
          <w:szCs w:val="20"/>
          <w:lang w:val="en-US"/>
        </w:rPr>
        <w:t xml:space="preserve"> do Pará</w:t>
      </w:r>
      <w:r w:rsidR="0076236C" w:rsidRPr="001558A5" w:rsidDel="00324FCF">
        <w:rPr>
          <w:b/>
          <w:caps/>
          <w:szCs w:val="20"/>
          <w:lang w:val="en-US"/>
        </w:rPr>
        <w:t xml:space="preserve"> </w:t>
      </w:r>
    </w:p>
    <w:p w14:paraId="26FEF605" w14:textId="7EA238C4" w:rsidR="0076236C" w:rsidRPr="001558A5" w:rsidRDefault="00E00E32" w:rsidP="0076236C">
      <w:pPr>
        <w:pStyle w:val="Prrafodelista"/>
        <w:numPr>
          <w:ilvl w:val="0"/>
          <w:numId w:val="39"/>
        </w:numPr>
        <w:ind w:left="0" w:firstLine="0"/>
        <w:contextualSpacing w:val="0"/>
        <w:rPr>
          <w:szCs w:val="20"/>
          <w:lang w:val="en-US"/>
        </w:rPr>
      </w:pPr>
      <w:r w:rsidRPr="001558A5">
        <w:rPr>
          <w:szCs w:val="20"/>
          <w:lang w:val="en-US"/>
        </w:rPr>
        <w:t xml:space="preserve">Having made the preceding clarifications, we must now examine the applicability </w:t>
      </w:r>
      <w:r w:rsidR="00DD4354" w:rsidRPr="001558A5">
        <w:rPr>
          <w:szCs w:val="20"/>
          <w:lang w:val="en-US"/>
        </w:rPr>
        <w:t xml:space="preserve">of the </w:t>
      </w:r>
      <w:r w:rsidR="00871E19" w:rsidRPr="001558A5">
        <w:rPr>
          <w:szCs w:val="20"/>
          <w:lang w:val="en-US"/>
        </w:rPr>
        <w:t>Convention</w:t>
      </w:r>
      <w:r w:rsidR="0076236C"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0076236C" w:rsidRPr="001558A5">
        <w:rPr>
          <w:szCs w:val="20"/>
          <w:lang w:val="en-US"/>
        </w:rPr>
        <w:t xml:space="preserve"> do </w:t>
      </w:r>
      <w:proofErr w:type="spellStart"/>
      <w:r w:rsidR="0076236C" w:rsidRPr="001558A5">
        <w:rPr>
          <w:szCs w:val="20"/>
          <w:lang w:val="en-US"/>
        </w:rPr>
        <w:t>Pará</w:t>
      </w:r>
      <w:proofErr w:type="spellEnd"/>
      <w:r w:rsidR="0076236C" w:rsidRPr="001558A5">
        <w:rPr>
          <w:szCs w:val="20"/>
          <w:lang w:val="en-US"/>
        </w:rPr>
        <w:t xml:space="preserve"> </w:t>
      </w:r>
      <w:r w:rsidRPr="001558A5">
        <w:rPr>
          <w:szCs w:val="20"/>
          <w:lang w:val="en-US"/>
        </w:rPr>
        <w:t xml:space="preserve">to the instant case, the main focus of my partially dissenting opinion. </w:t>
      </w:r>
    </w:p>
    <w:p w14:paraId="1E30F75C" w14:textId="77777777" w:rsidR="0076236C" w:rsidRPr="001558A5" w:rsidRDefault="0076236C" w:rsidP="0076236C">
      <w:pPr>
        <w:pStyle w:val="Prrafodelista"/>
        <w:ind w:left="0"/>
        <w:contextualSpacing w:val="0"/>
        <w:rPr>
          <w:szCs w:val="20"/>
          <w:lang w:val="en-US"/>
        </w:rPr>
      </w:pPr>
    </w:p>
    <w:p w14:paraId="065C6039" w14:textId="52D60C46" w:rsidR="0076236C" w:rsidRPr="001558A5" w:rsidRDefault="00E00E32" w:rsidP="00E00E32">
      <w:pPr>
        <w:pStyle w:val="Prrafodelista"/>
        <w:numPr>
          <w:ilvl w:val="0"/>
          <w:numId w:val="39"/>
        </w:numPr>
        <w:ind w:left="0" w:firstLine="0"/>
        <w:contextualSpacing w:val="0"/>
        <w:rPr>
          <w:szCs w:val="20"/>
          <w:lang w:val="en-US"/>
        </w:rPr>
      </w:pPr>
      <w:r w:rsidRPr="001558A5">
        <w:rPr>
          <w:szCs w:val="20"/>
          <w:lang w:val="en-US"/>
        </w:rPr>
        <w:t xml:space="preserve">The classification of women’s rights as human rights has been marked by a long and arduous struggle for progress and achievements. </w:t>
      </w:r>
      <w:r w:rsidR="00A27715" w:rsidRPr="001558A5">
        <w:rPr>
          <w:szCs w:val="20"/>
          <w:lang w:val="en-US"/>
        </w:rPr>
        <w:t xml:space="preserve">Although </w:t>
      </w:r>
      <w:r w:rsidR="00C57573" w:rsidRPr="001558A5">
        <w:rPr>
          <w:szCs w:val="20"/>
          <w:lang w:val="en-US"/>
        </w:rPr>
        <w:t xml:space="preserve">the advent of </w:t>
      </w:r>
      <w:r w:rsidR="00A27715" w:rsidRPr="001558A5">
        <w:rPr>
          <w:szCs w:val="20"/>
          <w:lang w:val="en-US"/>
        </w:rPr>
        <w:t>human rights on the international scene</w:t>
      </w:r>
      <w:r w:rsidR="00C57573" w:rsidRPr="001558A5">
        <w:rPr>
          <w:szCs w:val="20"/>
          <w:lang w:val="en-US"/>
        </w:rPr>
        <w:t xml:space="preserve"> and</w:t>
      </w:r>
      <w:r w:rsidR="00A27715" w:rsidRPr="001558A5">
        <w:rPr>
          <w:szCs w:val="20"/>
          <w:lang w:val="en-US"/>
        </w:rPr>
        <w:t xml:space="preserve"> as a list of obligations of States towards their citizens arose in the middle of the twentieth century (</w:t>
      </w:r>
      <w:r w:rsidR="00C57573" w:rsidRPr="001558A5">
        <w:rPr>
          <w:szCs w:val="20"/>
          <w:lang w:val="en-US"/>
        </w:rPr>
        <w:t>that is</w:t>
      </w:r>
      <w:r w:rsidR="00A27715" w:rsidRPr="001558A5">
        <w:rPr>
          <w:szCs w:val="20"/>
          <w:lang w:val="en-US"/>
        </w:rPr>
        <w:t>, from the ashes of the Second World War), it was not until the 1990</w:t>
      </w:r>
      <w:r w:rsidR="00C57573" w:rsidRPr="001558A5">
        <w:rPr>
          <w:szCs w:val="20"/>
          <w:lang w:val="en-US"/>
        </w:rPr>
        <w:t>s</w:t>
      </w:r>
      <w:r w:rsidR="00A27715" w:rsidRPr="001558A5">
        <w:rPr>
          <w:szCs w:val="20"/>
          <w:lang w:val="en-US"/>
        </w:rPr>
        <w:t xml:space="preserve"> that women’s rights and the specific problems linked to their situation of discrimination appeared on the agenda of the State</w:t>
      </w:r>
      <w:r w:rsidR="00C57573" w:rsidRPr="001558A5">
        <w:rPr>
          <w:szCs w:val="20"/>
          <w:lang w:val="en-US"/>
        </w:rPr>
        <w:t>s</w:t>
      </w:r>
      <w:r w:rsidR="00A27715" w:rsidRPr="001558A5">
        <w:rPr>
          <w:szCs w:val="20"/>
          <w:lang w:val="en-US"/>
        </w:rPr>
        <w:t xml:space="preserve"> and became visible </w:t>
      </w:r>
      <w:r w:rsidR="00C57573" w:rsidRPr="001558A5">
        <w:rPr>
          <w:szCs w:val="20"/>
          <w:lang w:val="en-US"/>
        </w:rPr>
        <w:t>i</w:t>
      </w:r>
      <w:r w:rsidR="00A27715" w:rsidRPr="001558A5">
        <w:rPr>
          <w:szCs w:val="20"/>
          <w:lang w:val="en-US"/>
        </w:rPr>
        <w:t xml:space="preserve">n the international </w:t>
      </w:r>
      <w:r w:rsidR="00C57573" w:rsidRPr="001558A5">
        <w:rPr>
          <w:szCs w:val="20"/>
          <w:lang w:val="en-US"/>
        </w:rPr>
        <w:t xml:space="preserve">arena. </w:t>
      </w:r>
      <w:r w:rsidR="00871E19" w:rsidRPr="001558A5">
        <w:rPr>
          <w:szCs w:val="20"/>
          <w:lang w:val="en-US"/>
        </w:rPr>
        <w:t>The Inter-American Commission</w:t>
      </w:r>
      <w:r w:rsidR="0076236C" w:rsidRPr="001558A5">
        <w:rPr>
          <w:szCs w:val="20"/>
          <w:lang w:val="en-US"/>
        </w:rPr>
        <w:t xml:space="preserve"> </w:t>
      </w:r>
      <w:r w:rsidR="009566CE" w:rsidRPr="001558A5">
        <w:rPr>
          <w:szCs w:val="20"/>
          <w:lang w:val="en-US"/>
        </w:rPr>
        <w:t xml:space="preserve">of Women </w:t>
      </w:r>
      <w:r w:rsidR="0076236C" w:rsidRPr="001558A5">
        <w:rPr>
          <w:szCs w:val="20"/>
          <w:lang w:val="en-US"/>
        </w:rPr>
        <w:t>(</w:t>
      </w:r>
      <w:r w:rsidR="00871E19" w:rsidRPr="001558A5">
        <w:rPr>
          <w:szCs w:val="20"/>
          <w:lang w:val="en-US"/>
        </w:rPr>
        <w:t>hereinafter</w:t>
      </w:r>
      <w:r w:rsidR="0076236C" w:rsidRPr="001558A5">
        <w:rPr>
          <w:szCs w:val="20"/>
          <w:lang w:val="en-US"/>
        </w:rPr>
        <w:t xml:space="preserve"> CIM) </w:t>
      </w:r>
      <w:r w:rsidR="008E44FA" w:rsidRPr="001558A5">
        <w:rPr>
          <w:szCs w:val="20"/>
          <w:lang w:val="en-US"/>
        </w:rPr>
        <w:t xml:space="preserve">detected a void in the 1979 </w:t>
      </w:r>
      <w:r w:rsidR="00871E19" w:rsidRPr="001558A5">
        <w:rPr>
          <w:szCs w:val="20"/>
          <w:lang w:val="en-US"/>
        </w:rPr>
        <w:t>Convention</w:t>
      </w:r>
      <w:r w:rsidR="0076236C" w:rsidRPr="001558A5">
        <w:rPr>
          <w:szCs w:val="20"/>
          <w:lang w:val="en-US"/>
        </w:rPr>
        <w:t xml:space="preserve"> </w:t>
      </w:r>
      <w:r w:rsidR="008E44FA" w:rsidRPr="001558A5">
        <w:rPr>
          <w:szCs w:val="20"/>
          <w:lang w:val="en-US"/>
        </w:rPr>
        <w:t>on the Elimination of All Forms of Discrimination against Women</w:t>
      </w:r>
      <w:r w:rsidR="0076236C" w:rsidRPr="001558A5">
        <w:rPr>
          <w:szCs w:val="20"/>
          <w:lang w:val="en-US"/>
        </w:rPr>
        <w:t xml:space="preserve"> </w:t>
      </w:r>
      <w:r w:rsidR="008E44FA" w:rsidRPr="001558A5">
        <w:rPr>
          <w:szCs w:val="20"/>
          <w:lang w:val="en-US"/>
        </w:rPr>
        <w:t>(</w:t>
      </w:r>
      <w:r w:rsidR="0076236C" w:rsidRPr="001558A5">
        <w:rPr>
          <w:szCs w:val="20"/>
          <w:lang w:val="en-US"/>
        </w:rPr>
        <w:t>CEDAW)</w:t>
      </w:r>
      <w:r w:rsidR="008E44FA" w:rsidRPr="001558A5">
        <w:rPr>
          <w:szCs w:val="20"/>
          <w:lang w:val="en-US"/>
        </w:rPr>
        <w:t xml:space="preserve"> because it did not specifically contemplate the issue of violence against women. Therefore, it agreed to design a comprehensive strategy to </w:t>
      </w:r>
      <w:r w:rsidR="009566CE" w:rsidRPr="001558A5">
        <w:rPr>
          <w:szCs w:val="20"/>
          <w:lang w:val="en-US"/>
        </w:rPr>
        <w:t>deal with this social scourge and, for this reason, in</w:t>
      </w:r>
      <w:r w:rsidR="0076236C" w:rsidRPr="001558A5">
        <w:rPr>
          <w:szCs w:val="20"/>
          <w:lang w:val="en-US"/>
        </w:rPr>
        <w:t xml:space="preserve"> </w:t>
      </w:r>
      <w:r w:rsidR="008E44FA" w:rsidRPr="001558A5">
        <w:rPr>
          <w:szCs w:val="20"/>
          <w:lang w:val="en-US"/>
        </w:rPr>
        <w:t xml:space="preserve">July 1990, at its twenty-fifth Assembly of Delegates, </w:t>
      </w:r>
      <w:r w:rsidR="009566CE" w:rsidRPr="001558A5">
        <w:rPr>
          <w:szCs w:val="20"/>
          <w:lang w:val="en-US"/>
        </w:rPr>
        <w:t xml:space="preserve">it </w:t>
      </w:r>
      <w:r w:rsidR="008E44FA" w:rsidRPr="001558A5">
        <w:rPr>
          <w:szCs w:val="20"/>
          <w:lang w:val="en-US"/>
        </w:rPr>
        <w:t xml:space="preserve">adopted the “Declaration on the </w:t>
      </w:r>
      <w:r w:rsidR="006135FF" w:rsidRPr="001558A5">
        <w:rPr>
          <w:szCs w:val="20"/>
          <w:lang w:val="en-US"/>
        </w:rPr>
        <w:t>Elimination</w:t>
      </w:r>
      <w:r w:rsidR="008E44FA" w:rsidRPr="001558A5">
        <w:rPr>
          <w:szCs w:val="20"/>
          <w:lang w:val="en-US"/>
        </w:rPr>
        <w:t xml:space="preserve"> of Violence against Women</w:t>
      </w:r>
      <w:r w:rsidR="0076236C" w:rsidRPr="001558A5">
        <w:rPr>
          <w:szCs w:val="20"/>
          <w:lang w:val="en-US"/>
        </w:rPr>
        <w:t>,</w:t>
      </w:r>
      <w:r w:rsidR="006135FF" w:rsidRPr="001558A5">
        <w:rPr>
          <w:szCs w:val="20"/>
          <w:lang w:val="en-US"/>
        </w:rPr>
        <w:t>”</w:t>
      </w:r>
      <w:r w:rsidR="0076236C" w:rsidRPr="001558A5">
        <w:rPr>
          <w:szCs w:val="20"/>
          <w:lang w:val="en-US"/>
        </w:rPr>
        <w:t xml:space="preserve"> </w:t>
      </w:r>
      <w:r w:rsidR="009566CE" w:rsidRPr="001558A5">
        <w:rPr>
          <w:szCs w:val="20"/>
          <w:lang w:val="en-US"/>
        </w:rPr>
        <w:t xml:space="preserve">the preamble of which indicates: </w:t>
      </w:r>
    </w:p>
    <w:p w14:paraId="78A1CA91" w14:textId="77777777" w:rsidR="00663DD7" w:rsidRPr="001558A5" w:rsidRDefault="00663DD7" w:rsidP="00663DD7">
      <w:pPr>
        <w:pStyle w:val="Prrafodelista"/>
        <w:ind w:left="0"/>
        <w:contextualSpacing w:val="0"/>
        <w:rPr>
          <w:szCs w:val="20"/>
          <w:lang w:val="en-US"/>
        </w:rPr>
      </w:pPr>
    </w:p>
    <w:p w14:paraId="581DA083" w14:textId="1C4F87B8" w:rsidR="00CA34A3" w:rsidRPr="001558A5" w:rsidRDefault="0076236C" w:rsidP="00663DD7">
      <w:pPr>
        <w:pStyle w:val="Default"/>
        <w:spacing w:before="0"/>
        <w:ind w:left="720" w:right="360"/>
        <w:jc w:val="both"/>
        <w:rPr>
          <w:rFonts w:ascii="Verdana" w:eastAsiaTheme="minorHAnsi" w:hAnsi="Verdana" w:cs="Calibri"/>
          <w:sz w:val="18"/>
          <w:szCs w:val="18"/>
        </w:rPr>
      </w:pPr>
      <w:r w:rsidRPr="001558A5">
        <w:rPr>
          <w:b/>
          <w:i/>
          <w:szCs w:val="20"/>
        </w:rPr>
        <w:t>“</w:t>
      </w:r>
      <w:r w:rsidR="00AD4A77" w:rsidRPr="001558A5">
        <w:rPr>
          <w:rFonts w:ascii="Verdana" w:eastAsiaTheme="minorHAnsi" w:hAnsi="Verdana" w:cs="Calibri"/>
          <w:b/>
          <w:bCs/>
          <w:sz w:val="18"/>
          <w:szCs w:val="18"/>
        </w:rPr>
        <w:t>Recognizin</w:t>
      </w:r>
      <w:r w:rsidR="0035472C" w:rsidRPr="001558A5">
        <w:rPr>
          <w:rFonts w:ascii="Verdana" w:eastAsiaTheme="minorHAnsi" w:hAnsi="Verdana" w:cs="Calibri"/>
          <w:b/>
          <w:bCs/>
          <w:sz w:val="18"/>
          <w:szCs w:val="18"/>
        </w:rPr>
        <w:t>g</w:t>
      </w:r>
      <w:r w:rsidR="008E44FA" w:rsidRPr="001558A5">
        <w:rPr>
          <w:rFonts w:ascii="Verdana" w:eastAsiaTheme="minorHAnsi" w:hAnsi="Verdana" w:cs="Calibri"/>
          <w:b/>
          <w:bCs/>
          <w:sz w:val="18"/>
          <w:szCs w:val="18"/>
        </w:rPr>
        <w:t xml:space="preserve"> that violence against women </w:t>
      </w:r>
      <w:r w:rsidR="00663DD7" w:rsidRPr="001558A5">
        <w:rPr>
          <w:rFonts w:ascii="Verdana" w:eastAsiaTheme="minorHAnsi" w:hAnsi="Verdana" w:cs="Calibri"/>
          <w:b/>
          <w:bCs/>
          <w:sz w:val="18"/>
          <w:szCs w:val="18"/>
        </w:rPr>
        <w:t>is</w:t>
      </w:r>
      <w:r w:rsidR="00663DD7" w:rsidRPr="001558A5">
        <w:rPr>
          <w:rFonts w:ascii="Calibri" w:eastAsiaTheme="minorHAnsi" w:hAnsi="Calibri" w:cs="Calibri"/>
          <w:b/>
          <w:bCs/>
        </w:rPr>
        <w:t xml:space="preserve"> </w:t>
      </w:r>
      <w:r w:rsidR="00663DD7" w:rsidRPr="001558A5">
        <w:rPr>
          <w:rFonts w:ascii="Calibri" w:eastAsiaTheme="minorHAnsi" w:hAnsi="Calibri" w:cs="Calibri"/>
          <w:b/>
          <w:bCs/>
          <w:sz w:val="22"/>
          <w:szCs w:val="22"/>
        </w:rPr>
        <w:t xml:space="preserve">a </w:t>
      </w:r>
      <w:r w:rsidR="00663DD7" w:rsidRPr="001558A5">
        <w:rPr>
          <w:rFonts w:ascii="Verdana" w:eastAsiaTheme="minorHAnsi" w:hAnsi="Verdana" w:cs="Calibri"/>
          <w:b/>
          <w:bCs/>
          <w:sz w:val="18"/>
          <w:szCs w:val="18"/>
        </w:rPr>
        <w:t>manifestation of the historically unequal power relations between women and men that has led to</w:t>
      </w:r>
      <w:r w:rsidR="00663DD7" w:rsidRPr="001558A5">
        <w:rPr>
          <w:rFonts w:ascii="Verdana" w:eastAsiaTheme="minorHAnsi" w:hAnsi="Verdana" w:cs="Calibri"/>
          <w:sz w:val="18"/>
          <w:szCs w:val="18"/>
        </w:rPr>
        <w:t xml:space="preserve"> </w:t>
      </w:r>
      <w:r w:rsidR="00663DD7" w:rsidRPr="001558A5">
        <w:rPr>
          <w:rFonts w:ascii="Verdana" w:eastAsiaTheme="minorHAnsi" w:hAnsi="Verdana" w:cs="Calibri"/>
          <w:b/>
          <w:bCs/>
          <w:sz w:val="18"/>
          <w:szCs w:val="18"/>
        </w:rPr>
        <w:t xml:space="preserve">the </w:t>
      </w:r>
      <w:r w:rsidR="00CA34A3" w:rsidRPr="001558A5">
        <w:rPr>
          <w:rFonts w:ascii="Verdana" w:eastAsiaTheme="minorHAnsi" w:hAnsi="Verdana" w:cs="Calibri"/>
          <w:b/>
          <w:bCs/>
          <w:sz w:val="18"/>
          <w:szCs w:val="18"/>
        </w:rPr>
        <w:t xml:space="preserve">domination of women and discrimination against </w:t>
      </w:r>
      <w:r w:rsidR="00663DD7" w:rsidRPr="001558A5">
        <w:rPr>
          <w:rFonts w:ascii="Verdana" w:eastAsiaTheme="minorHAnsi" w:hAnsi="Verdana" w:cs="Calibri"/>
          <w:b/>
          <w:bCs/>
          <w:sz w:val="18"/>
          <w:szCs w:val="18"/>
        </w:rPr>
        <w:t>them b</w:t>
      </w:r>
      <w:r w:rsidR="00CA34A3" w:rsidRPr="001558A5">
        <w:rPr>
          <w:rFonts w:ascii="Verdana" w:eastAsiaTheme="minorHAnsi" w:hAnsi="Verdana" w:cs="Calibri"/>
          <w:b/>
          <w:bCs/>
          <w:sz w:val="18"/>
          <w:szCs w:val="18"/>
        </w:rPr>
        <w:t>y men</w:t>
      </w:r>
      <w:r w:rsidR="009C4C70" w:rsidRPr="001558A5">
        <w:rPr>
          <w:rFonts w:ascii="Verdana" w:eastAsiaTheme="minorHAnsi" w:hAnsi="Verdana" w:cs="Calibri"/>
          <w:b/>
          <w:bCs/>
          <w:sz w:val="18"/>
          <w:szCs w:val="18"/>
        </w:rPr>
        <w:t xml:space="preserve"> </w:t>
      </w:r>
      <w:r w:rsidR="00663DD7" w:rsidRPr="001558A5">
        <w:rPr>
          <w:rFonts w:ascii="Verdana" w:eastAsiaTheme="minorHAnsi" w:hAnsi="Verdana" w:cs="Calibri"/>
          <w:b/>
          <w:bCs/>
          <w:sz w:val="18"/>
          <w:szCs w:val="18"/>
        </w:rPr>
        <w:t>and</w:t>
      </w:r>
      <w:r w:rsidR="009C4C70" w:rsidRPr="001558A5">
        <w:rPr>
          <w:rFonts w:ascii="Verdana" w:eastAsiaTheme="minorHAnsi" w:hAnsi="Verdana" w:cs="Calibri"/>
          <w:b/>
          <w:bCs/>
          <w:sz w:val="18"/>
          <w:szCs w:val="18"/>
        </w:rPr>
        <w:t xml:space="preserve"> prevent</w:t>
      </w:r>
      <w:r w:rsidR="00663DD7" w:rsidRPr="001558A5">
        <w:rPr>
          <w:rFonts w:ascii="Verdana" w:eastAsiaTheme="minorHAnsi" w:hAnsi="Verdana" w:cs="Calibri"/>
          <w:b/>
          <w:bCs/>
          <w:sz w:val="18"/>
          <w:szCs w:val="18"/>
        </w:rPr>
        <w:t>ed</w:t>
      </w:r>
      <w:r w:rsidR="009C4C70" w:rsidRPr="001558A5">
        <w:rPr>
          <w:rFonts w:ascii="Verdana" w:eastAsiaTheme="minorHAnsi" w:hAnsi="Verdana" w:cs="Calibri"/>
          <w:b/>
          <w:bCs/>
          <w:sz w:val="18"/>
          <w:szCs w:val="18"/>
        </w:rPr>
        <w:t xml:space="preserve"> the full </w:t>
      </w:r>
      <w:r w:rsidR="00663DD7" w:rsidRPr="001558A5">
        <w:rPr>
          <w:rFonts w:ascii="Verdana" w:eastAsiaTheme="minorHAnsi" w:hAnsi="Verdana" w:cs="Calibri"/>
          <w:b/>
          <w:bCs/>
          <w:sz w:val="18"/>
          <w:szCs w:val="18"/>
        </w:rPr>
        <w:t xml:space="preserve">advancement </w:t>
      </w:r>
      <w:r w:rsidR="009C4C70" w:rsidRPr="001558A5">
        <w:rPr>
          <w:rFonts w:ascii="Verdana" w:eastAsiaTheme="minorHAnsi" w:hAnsi="Verdana" w:cs="Calibri"/>
          <w:b/>
          <w:bCs/>
          <w:sz w:val="18"/>
          <w:szCs w:val="18"/>
        </w:rPr>
        <w:t>of women</w:t>
      </w:r>
      <w:r w:rsidR="00663DD7" w:rsidRPr="001558A5">
        <w:rPr>
          <w:rFonts w:ascii="Verdana" w:eastAsiaTheme="minorHAnsi" w:hAnsi="Verdana" w:cs="Calibri"/>
          <w:b/>
          <w:bCs/>
          <w:sz w:val="18"/>
          <w:szCs w:val="18"/>
        </w:rPr>
        <w:t xml:space="preserve">, </w:t>
      </w:r>
      <w:r w:rsidR="009C4C70" w:rsidRPr="001558A5">
        <w:rPr>
          <w:rFonts w:ascii="Verdana" w:eastAsiaTheme="minorHAnsi" w:hAnsi="Verdana" w:cs="Calibri"/>
          <w:b/>
          <w:bCs/>
          <w:sz w:val="18"/>
          <w:szCs w:val="18"/>
        </w:rPr>
        <w:t xml:space="preserve">and that violence against women is one of the fundamental social mechanisms </w:t>
      </w:r>
      <w:r w:rsidR="00663DD7" w:rsidRPr="001558A5">
        <w:rPr>
          <w:rFonts w:ascii="Verdana" w:eastAsiaTheme="minorHAnsi" w:hAnsi="Verdana" w:cs="Calibri"/>
          <w:b/>
          <w:bCs/>
          <w:sz w:val="18"/>
          <w:szCs w:val="18"/>
        </w:rPr>
        <w:t>by which women are</w:t>
      </w:r>
      <w:r w:rsidR="009C4C70" w:rsidRPr="001558A5">
        <w:rPr>
          <w:rFonts w:ascii="Verdana" w:eastAsiaTheme="minorHAnsi" w:hAnsi="Verdana" w:cs="Calibri"/>
          <w:b/>
          <w:bCs/>
          <w:sz w:val="18"/>
          <w:szCs w:val="18"/>
        </w:rPr>
        <w:t xml:space="preserve"> force</w:t>
      </w:r>
      <w:r w:rsidR="00663DD7" w:rsidRPr="001558A5">
        <w:rPr>
          <w:rFonts w:ascii="Verdana" w:eastAsiaTheme="minorHAnsi" w:hAnsi="Verdana" w:cs="Calibri"/>
          <w:b/>
          <w:bCs/>
          <w:sz w:val="18"/>
          <w:szCs w:val="18"/>
        </w:rPr>
        <w:t xml:space="preserve">d </w:t>
      </w:r>
      <w:r w:rsidR="009C4C70" w:rsidRPr="001558A5">
        <w:rPr>
          <w:rFonts w:ascii="Verdana" w:eastAsiaTheme="minorHAnsi" w:hAnsi="Verdana" w:cs="Calibri"/>
          <w:b/>
          <w:bCs/>
          <w:sz w:val="18"/>
          <w:szCs w:val="18"/>
        </w:rPr>
        <w:t>into a situation of subordination with regard to men.”</w:t>
      </w:r>
    </w:p>
    <w:p w14:paraId="686FB960" w14:textId="77777777" w:rsidR="0076236C" w:rsidRPr="001558A5" w:rsidRDefault="0076236C" w:rsidP="00663DD7">
      <w:pPr>
        <w:rPr>
          <w:sz w:val="18"/>
          <w:szCs w:val="18"/>
          <w:lang w:val="en-US"/>
        </w:rPr>
      </w:pPr>
    </w:p>
    <w:p w14:paraId="21278FEA" w14:textId="64959AC5" w:rsidR="0076236C" w:rsidRPr="001558A5" w:rsidRDefault="00AD4A77" w:rsidP="0076236C">
      <w:pPr>
        <w:pStyle w:val="Prrafodelista"/>
        <w:numPr>
          <w:ilvl w:val="0"/>
          <w:numId w:val="39"/>
        </w:numPr>
        <w:ind w:left="0" w:firstLine="0"/>
        <w:contextualSpacing w:val="0"/>
        <w:rPr>
          <w:szCs w:val="20"/>
          <w:lang w:val="en-US"/>
        </w:rPr>
      </w:pPr>
      <w:r w:rsidRPr="001558A5">
        <w:rPr>
          <w:szCs w:val="20"/>
          <w:lang w:val="en-US"/>
        </w:rPr>
        <w:t>I</w:t>
      </w:r>
      <w:r w:rsidR="0076236C" w:rsidRPr="001558A5">
        <w:rPr>
          <w:szCs w:val="20"/>
          <w:lang w:val="en-US"/>
        </w:rPr>
        <w:t xml:space="preserve">n 1991, </w:t>
      </w:r>
      <w:r w:rsidRPr="001558A5">
        <w:rPr>
          <w:szCs w:val="20"/>
          <w:lang w:val="en-US"/>
        </w:rPr>
        <w:t xml:space="preserve">the OAS General </w:t>
      </w:r>
      <w:r w:rsidR="00443040" w:rsidRPr="001558A5">
        <w:rPr>
          <w:szCs w:val="20"/>
          <w:lang w:val="en-US"/>
        </w:rPr>
        <w:t>Assembly</w:t>
      </w:r>
      <w:r w:rsidRPr="001558A5">
        <w:rPr>
          <w:szCs w:val="20"/>
          <w:lang w:val="en-US"/>
        </w:rPr>
        <w:t xml:space="preserve"> adopted resolution </w:t>
      </w:r>
      <w:r w:rsidR="0076236C" w:rsidRPr="001558A5">
        <w:rPr>
          <w:szCs w:val="20"/>
          <w:lang w:val="en-US"/>
        </w:rPr>
        <w:t>AG/RES. 1128 (XXI-0/91) “Protec</w:t>
      </w:r>
      <w:r w:rsidR="009E299C" w:rsidRPr="001558A5">
        <w:rPr>
          <w:szCs w:val="20"/>
          <w:lang w:val="en-US"/>
        </w:rPr>
        <w:t>tion of Women against Violence,”</w:t>
      </w:r>
      <w:r w:rsidR="00410091" w:rsidRPr="001558A5">
        <w:rPr>
          <w:szCs w:val="20"/>
          <w:lang w:val="en-US"/>
        </w:rPr>
        <w:t xml:space="preserve"> </w:t>
      </w:r>
      <w:r w:rsidR="009E299C" w:rsidRPr="001558A5">
        <w:rPr>
          <w:szCs w:val="20"/>
          <w:lang w:val="en-US"/>
        </w:rPr>
        <w:t>in which it resolved to support the CIM initiative to prepare a draft inter-American convention for the eradication of violence against women.</w:t>
      </w:r>
    </w:p>
    <w:p w14:paraId="05C8B70A" w14:textId="77777777" w:rsidR="0076236C" w:rsidRPr="001558A5" w:rsidRDefault="0076236C" w:rsidP="0076236C">
      <w:pPr>
        <w:rPr>
          <w:szCs w:val="20"/>
          <w:lang w:val="en-US"/>
        </w:rPr>
      </w:pPr>
    </w:p>
    <w:p w14:paraId="506BA416" w14:textId="0107A27A" w:rsidR="00410091" w:rsidRPr="001558A5" w:rsidRDefault="00410091" w:rsidP="0076236C">
      <w:pPr>
        <w:pStyle w:val="Prrafodelista"/>
        <w:numPr>
          <w:ilvl w:val="0"/>
          <w:numId w:val="39"/>
        </w:numPr>
        <w:ind w:left="0" w:firstLine="0"/>
        <w:contextualSpacing w:val="0"/>
        <w:rPr>
          <w:szCs w:val="20"/>
          <w:lang w:val="en-US"/>
        </w:rPr>
      </w:pPr>
      <w:r w:rsidRPr="001558A5">
        <w:rPr>
          <w:szCs w:val="20"/>
          <w:lang w:val="en-US"/>
        </w:rPr>
        <w:t>As a parenthesis</w:t>
      </w:r>
      <w:r w:rsidR="00E11444" w:rsidRPr="001558A5">
        <w:rPr>
          <w:szCs w:val="20"/>
          <w:lang w:val="en-US"/>
        </w:rPr>
        <w:t xml:space="preserve">, </w:t>
      </w:r>
      <w:r w:rsidRPr="001558A5">
        <w:rPr>
          <w:szCs w:val="20"/>
          <w:lang w:val="en-US"/>
        </w:rPr>
        <w:t xml:space="preserve">at the regional level we should not forget that, at the same moment, during the transcendental World Conference on Human Rights held in Vienna in 1993, the nature of women’s rights as human rights was </w:t>
      </w:r>
      <w:r w:rsidR="00E11444" w:rsidRPr="001558A5">
        <w:rPr>
          <w:szCs w:val="20"/>
          <w:lang w:val="en-US"/>
        </w:rPr>
        <w:t>given</w:t>
      </w:r>
      <w:r w:rsidRPr="001558A5">
        <w:rPr>
          <w:szCs w:val="20"/>
          <w:lang w:val="en-US"/>
        </w:rPr>
        <w:t xml:space="preserve"> express international recognition with the adoption of the “Vienna Declaration and </w:t>
      </w:r>
      <w:proofErr w:type="spellStart"/>
      <w:r w:rsidRPr="001558A5">
        <w:rPr>
          <w:szCs w:val="20"/>
          <w:lang w:val="en-US"/>
        </w:rPr>
        <w:t>Programme</w:t>
      </w:r>
      <w:proofErr w:type="spellEnd"/>
      <w:r w:rsidRPr="001558A5">
        <w:rPr>
          <w:szCs w:val="20"/>
          <w:lang w:val="en-US"/>
        </w:rPr>
        <w:t xml:space="preserve"> of Action” which called on the States and on the United Nations itself to ensure that “treaty monitoring bodies should include the status of women and the human rights of women in their deliberations and findings.”</w:t>
      </w:r>
    </w:p>
    <w:p w14:paraId="4BC0ADE4" w14:textId="77777777" w:rsidR="0076236C" w:rsidRPr="001558A5" w:rsidRDefault="0076236C" w:rsidP="0076236C">
      <w:pPr>
        <w:rPr>
          <w:szCs w:val="20"/>
          <w:lang w:val="en-US"/>
        </w:rPr>
      </w:pPr>
    </w:p>
    <w:p w14:paraId="28C43171" w14:textId="086A22C1" w:rsidR="00410091" w:rsidRPr="001558A5" w:rsidRDefault="00410091" w:rsidP="00410091">
      <w:pPr>
        <w:pStyle w:val="Prrafodelista"/>
        <w:numPr>
          <w:ilvl w:val="0"/>
          <w:numId w:val="39"/>
        </w:numPr>
        <w:ind w:left="0" w:firstLine="0"/>
        <w:contextualSpacing w:val="0"/>
        <w:rPr>
          <w:szCs w:val="20"/>
          <w:lang w:val="en-US"/>
        </w:rPr>
      </w:pPr>
      <w:r w:rsidRPr="001558A5">
        <w:rPr>
          <w:szCs w:val="20"/>
          <w:lang w:val="en-US"/>
        </w:rPr>
        <w:t xml:space="preserve">Following up on the above, in 1994, a Special Assembly was convened in </w:t>
      </w:r>
      <w:proofErr w:type="spellStart"/>
      <w:r w:rsidR="0076236C" w:rsidRPr="001558A5">
        <w:rPr>
          <w:szCs w:val="20"/>
          <w:lang w:val="en-US"/>
        </w:rPr>
        <w:t>Belém</w:t>
      </w:r>
      <w:proofErr w:type="spellEnd"/>
      <w:r w:rsidR="0076236C" w:rsidRPr="001558A5">
        <w:rPr>
          <w:szCs w:val="20"/>
          <w:lang w:val="en-US"/>
        </w:rPr>
        <w:t xml:space="preserve"> do </w:t>
      </w:r>
      <w:proofErr w:type="spellStart"/>
      <w:r w:rsidR="0076236C" w:rsidRPr="001558A5">
        <w:rPr>
          <w:szCs w:val="20"/>
          <w:lang w:val="en-US"/>
        </w:rPr>
        <w:t>Pará</w:t>
      </w:r>
      <w:proofErr w:type="spellEnd"/>
      <w:r w:rsidR="0076236C" w:rsidRPr="001558A5">
        <w:rPr>
          <w:szCs w:val="20"/>
          <w:lang w:val="en-US"/>
        </w:rPr>
        <w:t>, Bra</w:t>
      </w:r>
      <w:r w:rsidRPr="001558A5">
        <w:rPr>
          <w:szCs w:val="20"/>
          <w:lang w:val="en-US"/>
        </w:rPr>
        <w:t>z</w:t>
      </w:r>
      <w:r w:rsidR="0076236C" w:rsidRPr="001558A5">
        <w:rPr>
          <w:szCs w:val="20"/>
          <w:lang w:val="en-US"/>
        </w:rPr>
        <w:t xml:space="preserve">il, </w:t>
      </w:r>
      <w:r w:rsidRPr="001558A5">
        <w:rPr>
          <w:szCs w:val="20"/>
          <w:lang w:val="en-US"/>
        </w:rPr>
        <w:t xml:space="preserve">to consider the draft convention for the eradication of violence against women. The text was adopted by the votes of 19 countries with two </w:t>
      </w:r>
      <w:r w:rsidR="00120416" w:rsidRPr="001558A5">
        <w:rPr>
          <w:szCs w:val="20"/>
          <w:lang w:val="en-US"/>
        </w:rPr>
        <w:t>abstentions</w:t>
      </w:r>
      <w:r w:rsidRPr="001558A5">
        <w:rPr>
          <w:szCs w:val="20"/>
          <w:lang w:val="en-US"/>
        </w:rPr>
        <w:t xml:space="preserve"> and</w:t>
      </w:r>
      <w:r w:rsidR="00654CCF" w:rsidRPr="001558A5">
        <w:rPr>
          <w:szCs w:val="20"/>
          <w:lang w:val="en-US"/>
        </w:rPr>
        <w:t>,</w:t>
      </w:r>
      <w:r w:rsidRPr="001558A5">
        <w:rPr>
          <w:szCs w:val="20"/>
          <w:lang w:val="en-US"/>
        </w:rPr>
        <w:t xml:space="preserve"> b</w:t>
      </w:r>
      <w:r w:rsidR="00654CCF" w:rsidRPr="001558A5">
        <w:rPr>
          <w:szCs w:val="20"/>
          <w:lang w:val="en-US"/>
        </w:rPr>
        <w:t>y</w:t>
      </w:r>
      <w:r w:rsidRPr="001558A5">
        <w:rPr>
          <w:szCs w:val="20"/>
          <w:lang w:val="en-US"/>
        </w:rPr>
        <w:t xml:space="preserve"> acclamation</w:t>
      </w:r>
      <w:r w:rsidR="00654CCF" w:rsidRPr="001558A5">
        <w:rPr>
          <w:szCs w:val="20"/>
          <w:lang w:val="en-US"/>
        </w:rPr>
        <w:t>,</w:t>
      </w:r>
      <w:r w:rsidRPr="001558A5">
        <w:rPr>
          <w:szCs w:val="20"/>
          <w:lang w:val="en-US"/>
        </w:rPr>
        <w:t xml:space="preserve"> it was decided to forward it to the OAS General Assembly. During the Assembly, eight countries signed </w:t>
      </w:r>
      <w:r w:rsidR="00871E19" w:rsidRPr="001558A5">
        <w:rPr>
          <w:szCs w:val="20"/>
          <w:lang w:val="en-US"/>
        </w:rPr>
        <w:t>the Convention</w:t>
      </w:r>
      <w:r w:rsidR="0076236C"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0076236C" w:rsidRPr="001558A5">
        <w:rPr>
          <w:szCs w:val="20"/>
          <w:lang w:val="en-US"/>
        </w:rPr>
        <w:t xml:space="preserve"> do </w:t>
      </w:r>
      <w:proofErr w:type="spellStart"/>
      <w:r w:rsidR="0076236C" w:rsidRPr="001558A5">
        <w:rPr>
          <w:szCs w:val="20"/>
          <w:lang w:val="en-US"/>
        </w:rPr>
        <w:t>Pará</w:t>
      </w:r>
      <w:proofErr w:type="spellEnd"/>
      <w:r w:rsidR="0076236C" w:rsidRPr="001558A5">
        <w:rPr>
          <w:szCs w:val="20"/>
          <w:lang w:val="en-US"/>
        </w:rPr>
        <w:t xml:space="preserve">, </w:t>
      </w:r>
      <w:r w:rsidRPr="001558A5">
        <w:rPr>
          <w:szCs w:val="20"/>
          <w:lang w:val="en-US"/>
        </w:rPr>
        <w:t>and this initiated the process of ratification and entry into force. Currently, the Convention has been ratified by 32 of the 3</w:t>
      </w:r>
      <w:r w:rsidR="00654CCF" w:rsidRPr="001558A5">
        <w:rPr>
          <w:szCs w:val="20"/>
          <w:lang w:val="en-US"/>
        </w:rPr>
        <w:t>4</w:t>
      </w:r>
      <w:r w:rsidRPr="001558A5">
        <w:rPr>
          <w:szCs w:val="20"/>
          <w:lang w:val="en-US"/>
        </w:rPr>
        <w:t xml:space="preserve"> OAS Member States, an indication of the broad consensus that exists in the region against misogynist violence.</w:t>
      </w:r>
    </w:p>
    <w:p w14:paraId="40C0011B" w14:textId="77777777" w:rsidR="0076236C" w:rsidRPr="001558A5" w:rsidRDefault="0076236C" w:rsidP="0076236C">
      <w:pPr>
        <w:rPr>
          <w:szCs w:val="20"/>
          <w:lang w:val="en-US"/>
        </w:rPr>
      </w:pPr>
    </w:p>
    <w:p w14:paraId="2197686B" w14:textId="787641CB" w:rsidR="007B73FA" w:rsidRPr="001558A5" w:rsidRDefault="00871E19" w:rsidP="0076236C">
      <w:pPr>
        <w:pStyle w:val="Prrafodelista"/>
        <w:numPr>
          <w:ilvl w:val="0"/>
          <w:numId w:val="39"/>
        </w:numPr>
        <w:ind w:left="0" w:firstLine="0"/>
        <w:contextualSpacing w:val="0"/>
        <w:rPr>
          <w:szCs w:val="20"/>
          <w:lang w:val="en-US"/>
        </w:rPr>
      </w:pPr>
      <w:r w:rsidRPr="001558A5">
        <w:rPr>
          <w:szCs w:val="20"/>
          <w:lang w:val="en-US"/>
        </w:rPr>
        <w:t>The Convention</w:t>
      </w:r>
      <w:r w:rsidR="0076236C"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0076236C" w:rsidRPr="001558A5">
        <w:rPr>
          <w:szCs w:val="20"/>
          <w:lang w:val="en-US"/>
        </w:rPr>
        <w:t xml:space="preserve"> do </w:t>
      </w:r>
      <w:proofErr w:type="spellStart"/>
      <w:r w:rsidR="0076236C" w:rsidRPr="001558A5">
        <w:rPr>
          <w:szCs w:val="20"/>
          <w:lang w:val="en-US"/>
        </w:rPr>
        <w:t>Pará</w:t>
      </w:r>
      <w:proofErr w:type="spellEnd"/>
      <w:r w:rsidR="0076236C" w:rsidRPr="001558A5">
        <w:rPr>
          <w:szCs w:val="20"/>
          <w:lang w:val="en-US"/>
        </w:rPr>
        <w:t xml:space="preserve"> </w:t>
      </w:r>
      <w:r w:rsidR="00410091" w:rsidRPr="001558A5">
        <w:rPr>
          <w:szCs w:val="20"/>
          <w:lang w:val="en-US"/>
        </w:rPr>
        <w:t>was the result of a</w:t>
      </w:r>
      <w:r w:rsidR="007B73FA" w:rsidRPr="001558A5">
        <w:rPr>
          <w:szCs w:val="20"/>
          <w:lang w:val="en-US"/>
        </w:rPr>
        <w:t xml:space="preserve">n unwavering feminist movement, aware of the hierarchies of power derived from sex and gender, the most extreme discriminatory manifestation of which was the violence perpetrated against women merely </w:t>
      </w:r>
      <w:r w:rsidR="00654CCF" w:rsidRPr="001558A5">
        <w:rPr>
          <w:szCs w:val="20"/>
          <w:lang w:val="en-US"/>
        </w:rPr>
        <w:t>because they were</w:t>
      </w:r>
      <w:r w:rsidR="007B73FA" w:rsidRPr="001558A5">
        <w:rPr>
          <w:szCs w:val="20"/>
          <w:lang w:val="en-US"/>
        </w:rPr>
        <w:t xml:space="preserve"> women; in other words, due to their sex and gender. In addition, the Convention was an evident milestone in the struggle against misogynist violence. First, owing to </w:t>
      </w:r>
      <w:r w:rsidR="00654CCF" w:rsidRPr="001558A5">
        <w:rPr>
          <w:szCs w:val="20"/>
          <w:lang w:val="en-US"/>
        </w:rPr>
        <w:t>its</w:t>
      </w:r>
      <w:r w:rsidR="007B73FA" w:rsidRPr="001558A5">
        <w:rPr>
          <w:szCs w:val="20"/>
          <w:lang w:val="en-US"/>
        </w:rPr>
        <w:t xml:space="preserve"> broad definition of the concept of violence against women. Second, because it was, finally, through this regional instrument that the violence perpetrated against women was removed from the domestic sphere and converted into a </w:t>
      </w:r>
      <w:r w:rsidR="007B73FA" w:rsidRPr="001558A5">
        <w:rPr>
          <w:i/>
          <w:szCs w:val="20"/>
          <w:lang w:val="en-US"/>
        </w:rPr>
        <w:t xml:space="preserve">res </w:t>
      </w:r>
      <w:proofErr w:type="spellStart"/>
      <w:r w:rsidR="007B73FA" w:rsidRPr="001558A5">
        <w:rPr>
          <w:i/>
          <w:iCs/>
          <w:szCs w:val="20"/>
          <w:lang w:val="en-US"/>
        </w:rPr>
        <w:t>publica</w:t>
      </w:r>
      <w:proofErr w:type="spellEnd"/>
      <w:r w:rsidR="007B73FA" w:rsidRPr="001558A5">
        <w:rPr>
          <w:szCs w:val="20"/>
          <w:lang w:val="en-US"/>
        </w:rPr>
        <w:t>. This reveals that, when ratifying this treaty, the States had the intention of combating a very specific violence that, as explained above,</w:t>
      </w:r>
      <w:r w:rsidR="00654CCF" w:rsidRPr="001558A5">
        <w:rPr>
          <w:szCs w:val="20"/>
          <w:lang w:val="en-US"/>
        </w:rPr>
        <w:t xml:space="preserve"> arises</w:t>
      </w:r>
      <w:r w:rsidR="007B73FA" w:rsidRPr="001558A5">
        <w:rPr>
          <w:szCs w:val="20"/>
          <w:lang w:val="en-US"/>
        </w:rPr>
        <w:t xml:space="preserve"> from certain concrete and well-defined dynamics due to historical and structural reasons based on sex and gender.</w:t>
      </w:r>
    </w:p>
    <w:p w14:paraId="47409D6F" w14:textId="77777777" w:rsidR="0076236C" w:rsidRPr="001558A5" w:rsidRDefault="0076236C" w:rsidP="0076236C">
      <w:pPr>
        <w:rPr>
          <w:szCs w:val="20"/>
          <w:lang w:val="en-US"/>
        </w:rPr>
      </w:pPr>
    </w:p>
    <w:p w14:paraId="70085E3E" w14:textId="4BB8280D" w:rsidR="008014B3" w:rsidRPr="001558A5" w:rsidRDefault="00654CCF" w:rsidP="007B73FA">
      <w:pPr>
        <w:pStyle w:val="Prrafodelista"/>
        <w:numPr>
          <w:ilvl w:val="0"/>
          <w:numId w:val="39"/>
        </w:numPr>
        <w:ind w:left="0" w:firstLine="0"/>
        <w:contextualSpacing w:val="0"/>
        <w:rPr>
          <w:szCs w:val="20"/>
          <w:lang w:val="en-US"/>
        </w:rPr>
      </w:pPr>
      <w:r w:rsidRPr="001558A5">
        <w:rPr>
          <w:szCs w:val="20"/>
          <w:lang w:val="en-US"/>
        </w:rPr>
        <w:t>The</w:t>
      </w:r>
      <w:r w:rsidR="007B73FA" w:rsidRPr="001558A5">
        <w:rPr>
          <w:szCs w:val="20"/>
          <w:lang w:val="en-US"/>
        </w:rPr>
        <w:t xml:space="preserve"> fact is that, for years, the </w:t>
      </w:r>
      <w:r w:rsidR="00C909B4" w:rsidRPr="001558A5">
        <w:rPr>
          <w:szCs w:val="20"/>
          <w:lang w:val="en-US"/>
        </w:rPr>
        <w:t>human rights</w:t>
      </w:r>
      <w:r w:rsidR="0076236C" w:rsidRPr="001558A5">
        <w:rPr>
          <w:szCs w:val="20"/>
          <w:lang w:val="en-US"/>
        </w:rPr>
        <w:t xml:space="preserve"> </w:t>
      </w:r>
      <w:r w:rsidR="007B73FA" w:rsidRPr="001558A5">
        <w:rPr>
          <w:szCs w:val="20"/>
          <w:lang w:val="en-US"/>
        </w:rPr>
        <w:t>of girls, adolescents and women in different areas of their relations with the State were not recognized as human rights because everything that took place in a private space was, at best, considered</w:t>
      </w:r>
      <w:r w:rsidRPr="001558A5">
        <w:rPr>
          <w:szCs w:val="20"/>
          <w:lang w:val="en-US"/>
        </w:rPr>
        <w:t xml:space="preserve"> to be</w:t>
      </w:r>
      <w:r w:rsidR="007B73FA" w:rsidRPr="001558A5">
        <w:rPr>
          <w:szCs w:val="20"/>
          <w:lang w:val="en-US"/>
        </w:rPr>
        <w:t xml:space="preserve"> the competence of other branches of law (such as family law, for example) and, at worst, as a matter </w:t>
      </w:r>
      <w:r w:rsidR="008014B3" w:rsidRPr="001558A5">
        <w:rPr>
          <w:szCs w:val="20"/>
          <w:lang w:val="en-US"/>
        </w:rPr>
        <w:t xml:space="preserve">that did not concern the State. Thus, </w:t>
      </w:r>
      <w:r w:rsidR="00871E19" w:rsidRPr="001558A5">
        <w:rPr>
          <w:szCs w:val="20"/>
          <w:lang w:val="en-US"/>
        </w:rPr>
        <w:t>the Convention</w:t>
      </w:r>
      <w:r w:rsidR="0076236C"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0076236C" w:rsidRPr="001558A5">
        <w:rPr>
          <w:szCs w:val="20"/>
          <w:lang w:val="en-US"/>
        </w:rPr>
        <w:t xml:space="preserve"> do </w:t>
      </w:r>
      <w:proofErr w:type="spellStart"/>
      <w:r w:rsidR="0076236C" w:rsidRPr="001558A5">
        <w:rPr>
          <w:szCs w:val="20"/>
          <w:lang w:val="en-US"/>
        </w:rPr>
        <w:t>Pará</w:t>
      </w:r>
      <w:proofErr w:type="spellEnd"/>
      <w:r w:rsidR="0076236C" w:rsidRPr="001558A5">
        <w:rPr>
          <w:szCs w:val="20"/>
          <w:lang w:val="en-US"/>
        </w:rPr>
        <w:t xml:space="preserve"> p</w:t>
      </w:r>
      <w:r w:rsidR="008014B3" w:rsidRPr="001558A5">
        <w:rPr>
          <w:szCs w:val="20"/>
          <w:lang w:val="en-US"/>
        </w:rPr>
        <w:t xml:space="preserve">laced the daily reality faced by </w:t>
      </w:r>
      <w:r w:rsidRPr="001558A5">
        <w:rPr>
          <w:szCs w:val="20"/>
          <w:lang w:val="en-US"/>
        </w:rPr>
        <w:t xml:space="preserve">the region’s </w:t>
      </w:r>
      <w:r w:rsidR="008014B3" w:rsidRPr="001558A5">
        <w:rPr>
          <w:szCs w:val="20"/>
          <w:lang w:val="en-US"/>
        </w:rPr>
        <w:t>women and girls under the magnifying glass of international human rights law and required the States to adopt measures to prevent, punish and eradicate this social scourge.</w:t>
      </w:r>
    </w:p>
    <w:p w14:paraId="20A6ED79" w14:textId="77777777" w:rsidR="0076236C" w:rsidRPr="001558A5" w:rsidRDefault="0076236C" w:rsidP="0076236C">
      <w:pPr>
        <w:pStyle w:val="Prrafodelista"/>
        <w:ind w:left="0"/>
        <w:contextualSpacing w:val="0"/>
        <w:rPr>
          <w:szCs w:val="20"/>
          <w:lang w:val="en-US"/>
        </w:rPr>
      </w:pPr>
    </w:p>
    <w:p w14:paraId="46CD5979" w14:textId="4647DBAD" w:rsidR="008014B3" w:rsidRPr="001558A5" w:rsidRDefault="008014B3" w:rsidP="0076236C">
      <w:pPr>
        <w:pStyle w:val="Prrafodelista"/>
        <w:numPr>
          <w:ilvl w:val="0"/>
          <w:numId w:val="39"/>
        </w:numPr>
        <w:ind w:left="0" w:firstLine="0"/>
        <w:contextualSpacing w:val="0"/>
        <w:rPr>
          <w:szCs w:val="20"/>
          <w:lang w:val="en-US"/>
        </w:rPr>
      </w:pPr>
      <w:r w:rsidRPr="001558A5">
        <w:rPr>
          <w:szCs w:val="20"/>
          <w:lang w:val="en-US"/>
        </w:rPr>
        <w:t xml:space="preserve">Having made the preceding observations, I will now </w:t>
      </w:r>
      <w:r w:rsidR="00654CCF" w:rsidRPr="001558A5">
        <w:rPr>
          <w:szCs w:val="20"/>
          <w:lang w:val="en-US"/>
        </w:rPr>
        <w:t>present the arguments concerning</w:t>
      </w:r>
      <w:r w:rsidRPr="001558A5">
        <w:rPr>
          <w:szCs w:val="20"/>
          <w:lang w:val="en-US"/>
        </w:rPr>
        <w:t xml:space="preserve"> my discrepancy with my colleagues as regards the application of this regional treaty to the facts of this judgment. This partial dissent is based on a teleological – and also pragmatic – reason, a</w:t>
      </w:r>
      <w:r w:rsidR="00654CCF" w:rsidRPr="001558A5">
        <w:rPr>
          <w:szCs w:val="20"/>
          <w:lang w:val="en-US"/>
        </w:rPr>
        <w:t>s well as</w:t>
      </w:r>
      <w:r w:rsidRPr="001558A5">
        <w:rPr>
          <w:szCs w:val="20"/>
          <w:lang w:val="en-US"/>
        </w:rPr>
        <w:t xml:space="preserve"> on two more technical reasons.</w:t>
      </w:r>
    </w:p>
    <w:p w14:paraId="3C1D4851" w14:textId="77777777" w:rsidR="0076236C" w:rsidRPr="001558A5" w:rsidRDefault="0076236C" w:rsidP="0076236C">
      <w:pPr>
        <w:rPr>
          <w:szCs w:val="20"/>
          <w:lang w:val="en-US"/>
        </w:rPr>
      </w:pPr>
    </w:p>
    <w:p w14:paraId="56364996" w14:textId="186AFD04" w:rsidR="008014B3" w:rsidRPr="001558A5" w:rsidRDefault="008014B3" w:rsidP="0076236C">
      <w:pPr>
        <w:pStyle w:val="Prrafodelista"/>
        <w:numPr>
          <w:ilvl w:val="0"/>
          <w:numId w:val="39"/>
        </w:numPr>
        <w:ind w:left="0" w:firstLine="0"/>
        <w:contextualSpacing w:val="0"/>
        <w:rPr>
          <w:szCs w:val="20"/>
          <w:lang w:val="en-US"/>
        </w:rPr>
      </w:pPr>
      <w:r w:rsidRPr="001558A5">
        <w:rPr>
          <w:szCs w:val="20"/>
          <w:lang w:val="en-US"/>
        </w:rPr>
        <w:t>Regarding the first reason, I must address the main facts of the case. Thus, the judgment that is the subject of this critical examination relates,</w:t>
      </w:r>
      <w:r w:rsidRPr="001558A5">
        <w:rPr>
          <w:i/>
          <w:iCs/>
          <w:szCs w:val="20"/>
          <w:lang w:val="en-US"/>
        </w:rPr>
        <w:t xml:space="preserve"> inter alia</w:t>
      </w:r>
      <w:r w:rsidRPr="001558A5">
        <w:rPr>
          <w:szCs w:val="20"/>
          <w:lang w:val="en-US"/>
        </w:rPr>
        <w:t>, to the execrable acts of violence to which Vicky Hernández, a trans woman, was subjected in the context of the coup d’état that took place in Honduras in 2009, and that resulted in her tragic death. That said, as I have argued throughout this opinion, this violence is very different from the daily violence that women are subjected to merely because they are women.</w:t>
      </w:r>
    </w:p>
    <w:p w14:paraId="540B3DA6" w14:textId="77777777" w:rsidR="00A62C0A" w:rsidRPr="001558A5" w:rsidRDefault="00A62C0A" w:rsidP="00A62C0A">
      <w:pPr>
        <w:pStyle w:val="Prrafodelista"/>
        <w:rPr>
          <w:szCs w:val="20"/>
          <w:lang w:val="en-US"/>
        </w:rPr>
      </w:pPr>
    </w:p>
    <w:p w14:paraId="3680901E" w14:textId="532D7990" w:rsidR="0076236C" w:rsidRPr="001558A5" w:rsidRDefault="008014B3" w:rsidP="00A62C0A">
      <w:pPr>
        <w:pStyle w:val="Prrafodelista"/>
        <w:numPr>
          <w:ilvl w:val="0"/>
          <w:numId w:val="39"/>
        </w:numPr>
        <w:ind w:left="0" w:firstLine="0"/>
        <w:contextualSpacing w:val="0"/>
        <w:rPr>
          <w:szCs w:val="20"/>
          <w:lang w:val="en-US"/>
        </w:rPr>
      </w:pPr>
      <w:r w:rsidRPr="001558A5">
        <w:rPr>
          <w:szCs w:val="20"/>
          <w:lang w:val="en-US"/>
        </w:rPr>
        <w:t>The</w:t>
      </w:r>
      <w:r w:rsidR="0076236C" w:rsidRPr="001558A5">
        <w:rPr>
          <w:szCs w:val="20"/>
          <w:lang w:val="en-US"/>
        </w:rPr>
        <w:t xml:space="preserve"> </w:t>
      </w:r>
      <w:r w:rsidR="001164FE" w:rsidRPr="001558A5">
        <w:rPr>
          <w:szCs w:val="20"/>
          <w:lang w:val="en-US"/>
        </w:rPr>
        <w:t>Convention</w:t>
      </w:r>
      <w:r w:rsidR="0076236C"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0076236C" w:rsidRPr="001558A5">
        <w:rPr>
          <w:szCs w:val="20"/>
          <w:lang w:val="en-US"/>
        </w:rPr>
        <w:t xml:space="preserve"> do </w:t>
      </w:r>
      <w:proofErr w:type="spellStart"/>
      <w:r w:rsidR="0076236C" w:rsidRPr="001558A5">
        <w:rPr>
          <w:szCs w:val="20"/>
          <w:lang w:val="en-US"/>
        </w:rPr>
        <w:t>Pará</w:t>
      </w:r>
      <w:proofErr w:type="spellEnd"/>
      <w:r w:rsidRPr="001558A5">
        <w:rPr>
          <w:szCs w:val="20"/>
          <w:lang w:val="en-US"/>
        </w:rPr>
        <w:t xml:space="preserve"> itself leaves it very clear in its preamble</w:t>
      </w:r>
      <w:r w:rsidR="00A62C0A" w:rsidRPr="001558A5">
        <w:rPr>
          <w:szCs w:val="20"/>
          <w:lang w:val="en-US"/>
        </w:rPr>
        <w:t>, in which it underlines concern because “</w:t>
      </w:r>
      <w:r w:rsidR="00A62C0A" w:rsidRPr="001558A5">
        <w:rPr>
          <w:rFonts w:eastAsiaTheme="minorHAnsi" w:cs="Calibri"/>
          <w:color w:val="000000"/>
          <w:szCs w:val="20"/>
          <w:lang w:val="en-US"/>
        </w:rPr>
        <w:t xml:space="preserve">violence against women is an offense against human dignity and a manifestation of the historically unequal power relations between women and men.” In addition, the violence suffered by women, as indicated in Article 1 of this Convention is a violence based on her “gender”; in other words, on the gender of a person of the female sex. Therefore, it is clear that </w:t>
      </w:r>
      <w:r w:rsidR="00871E19" w:rsidRPr="001558A5">
        <w:rPr>
          <w:szCs w:val="20"/>
          <w:lang w:val="en-US"/>
        </w:rPr>
        <w:t>the Convention</w:t>
      </w:r>
      <w:r w:rsidR="0076236C"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0076236C" w:rsidRPr="001558A5">
        <w:rPr>
          <w:szCs w:val="20"/>
          <w:lang w:val="en-US"/>
        </w:rPr>
        <w:t xml:space="preserve"> do </w:t>
      </w:r>
      <w:proofErr w:type="spellStart"/>
      <w:r w:rsidR="0076236C" w:rsidRPr="001558A5">
        <w:rPr>
          <w:szCs w:val="20"/>
          <w:lang w:val="en-US"/>
        </w:rPr>
        <w:t>Pará</w:t>
      </w:r>
      <w:proofErr w:type="spellEnd"/>
      <w:r w:rsidR="0076236C" w:rsidRPr="001558A5">
        <w:rPr>
          <w:szCs w:val="20"/>
          <w:lang w:val="en-US"/>
        </w:rPr>
        <w:t xml:space="preserve"> </w:t>
      </w:r>
      <w:r w:rsidR="00A62C0A" w:rsidRPr="001558A5">
        <w:rPr>
          <w:szCs w:val="20"/>
          <w:lang w:val="en-US"/>
        </w:rPr>
        <w:t>is specifically addressed at attacking the violence that has occurred historically</w:t>
      </w:r>
      <w:r w:rsidR="00654CCF" w:rsidRPr="001558A5">
        <w:rPr>
          <w:szCs w:val="20"/>
          <w:lang w:val="en-US"/>
        </w:rPr>
        <w:t>,</w:t>
      </w:r>
      <w:r w:rsidR="00A62C0A" w:rsidRPr="001558A5">
        <w:rPr>
          <w:szCs w:val="20"/>
          <w:lang w:val="en-US"/>
        </w:rPr>
        <w:t xml:space="preserve"> and continues to occur</w:t>
      </w:r>
      <w:r w:rsidR="00654CCF" w:rsidRPr="001558A5">
        <w:rPr>
          <w:szCs w:val="20"/>
          <w:lang w:val="en-US"/>
        </w:rPr>
        <w:t>,</w:t>
      </w:r>
      <w:r w:rsidR="00A62C0A" w:rsidRPr="001558A5">
        <w:rPr>
          <w:szCs w:val="20"/>
          <w:lang w:val="en-US"/>
        </w:rPr>
        <w:t xml:space="preserve"> against women based on their sex and gender.</w:t>
      </w:r>
    </w:p>
    <w:p w14:paraId="7D259B8C" w14:textId="77777777" w:rsidR="0076236C" w:rsidRPr="001558A5" w:rsidRDefault="0076236C" w:rsidP="0076236C">
      <w:pPr>
        <w:rPr>
          <w:szCs w:val="20"/>
          <w:lang w:val="en-US"/>
        </w:rPr>
      </w:pPr>
    </w:p>
    <w:p w14:paraId="1B068E8D" w14:textId="619B2358" w:rsidR="00A62C0A" w:rsidRPr="001558A5" w:rsidRDefault="00A62C0A" w:rsidP="0076236C">
      <w:pPr>
        <w:pStyle w:val="Prrafodelista"/>
        <w:numPr>
          <w:ilvl w:val="0"/>
          <w:numId w:val="39"/>
        </w:numPr>
        <w:ind w:left="0" w:firstLine="0"/>
        <w:contextualSpacing w:val="0"/>
        <w:rPr>
          <w:szCs w:val="20"/>
          <w:lang w:val="en-US"/>
        </w:rPr>
      </w:pPr>
      <w:r w:rsidRPr="001558A5">
        <w:rPr>
          <w:szCs w:val="20"/>
          <w:lang w:val="en-US"/>
        </w:rPr>
        <w:t xml:space="preserve">But also, in its description of the facts, the judgment itself recognizes the different origin of the specific violence suffered by Vicky Hernández, closely related to her gender identity. Thus, paragraph 100 of the judgment stresses several indications of </w:t>
      </w:r>
      <w:r w:rsidR="00654CCF" w:rsidRPr="001558A5">
        <w:rPr>
          <w:szCs w:val="20"/>
          <w:lang w:val="en-US"/>
        </w:rPr>
        <w:t>the State’s</w:t>
      </w:r>
      <w:r w:rsidRPr="001558A5">
        <w:rPr>
          <w:szCs w:val="20"/>
          <w:lang w:val="en-US"/>
        </w:rPr>
        <w:t xml:space="preserve"> participation that </w:t>
      </w:r>
      <w:r w:rsidR="00654CCF" w:rsidRPr="001558A5">
        <w:rPr>
          <w:szCs w:val="20"/>
          <w:lang w:val="en-US"/>
        </w:rPr>
        <w:t>are</w:t>
      </w:r>
      <w:r w:rsidRPr="001558A5">
        <w:rPr>
          <w:szCs w:val="20"/>
          <w:lang w:val="en-US"/>
        </w:rPr>
        <w:t xml:space="preserve"> direct</w:t>
      </w:r>
      <w:r w:rsidR="00654CCF" w:rsidRPr="001558A5">
        <w:rPr>
          <w:szCs w:val="20"/>
          <w:lang w:val="en-US"/>
        </w:rPr>
        <w:t>ly</w:t>
      </w:r>
      <w:r w:rsidRPr="001558A5">
        <w:rPr>
          <w:szCs w:val="20"/>
          <w:lang w:val="en-US"/>
        </w:rPr>
        <w:t xml:space="preserve"> and exclusive</w:t>
      </w:r>
      <w:r w:rsidR="00F50F02" w:rsidRPr="001558A5">
        <w:rPr>
          <w:szCs w:val="20"/>
          <w:lang w:val="en-US"/>
        </w:rPr>
        <w:t xml:space="preserve">ly linked to </w:t>
      </w:r>
      <w:r w:rsidRPr="001558A5">
        <w:rPr>
          <w:szCs w:val="20"/>
          <w:lang w:val="en-US"/>
        </w:rPr>
        <w:t>Vicky Hernández</w:t>
      </w:r>
      <w:r w:rsidR="00F50F02" w:rsidRPr="001558A5">
        <w:rPr>
          <w:szCs w:val="20"/>
          <w:lang w:val="en-US"/>
        </w:rPr>
        <w:t>’s condition</w:t>
      </w:r>
      <w:r w:rsidRPr="001558A5">
        <w:rPr>
          <w:szCs w:val="20"/>
          <w:lang w:val="en-US"/>
        </w:rPr>
        <w:t xml:space="preserve"> as a member of the LGBTI community, such as that: (i) at the time of the facts there was “a general context of violence against the LGBTI community in Honduras</w:t>
      </w:r>
      <w:r w:rsidR="00F06323" w:rsidRPr="001558A5">
        <w:rPr>
          <w:szCs w:val="20"/>
          <w:lang w:val="en-US"/>
        </w:rPr>
        <w:t xml:space="preserve"> and, in particular, against trans women who are also sex workers”; that (ii) “within this context the </w:t>
      </w:r>
      <w:r w:rsidR="00AC7083" w:rsidRPr="001558A5">
        <w:rPr>
          <w:szCs w:val="20"/>
          <w:lang w:val="en-US"/>
        </w:rPr>
        <w:t>P</w:t>
      </w:r>
      <w:r w:rsidR="00F06323" w:rsidRPr="001558A5">
        <w:rPr>
          <w:szCs w:val="20"/>
          <w:lang w:val="en-US"/>
        </w:rPr>
        <w:t xml:space="preserve">olice have been associated with acts of violence against LGBTI persons and against trans women sex workers, and that (iii) at the time of Vicky Hernández’s death, “an alarming increase in deaths associated with the gender identity and expression of the victims began to be recorded.” In addition, the judgment itself describes acts of violence that Vicky Hernández had suffered that were related to her “gender identity,” such as the death threat proffered by a private individual after he had assaulted her, and who called her a “transvestite.” Furthermore, the domestic authorities treated her death as a specific case of the murder of a </w:t>
      </w:r>
      <w:proofErr w:type="gramStart"/>
      <w:r w:rsidR="00F06323" w:rsidRPr="001558A5">
        <w:rPr>
          <w:szCs w:val="20"/>
          <w:lang w:val="en-US"/>
        </w:rPr>
        <w:t>trans</w:t>
      </w:r>
      <w:proofErr w:type="gramEnd"/>
      <w:r w:rsidR="00F06323" w:rsidRPr="001558A5">
        <w:rPr>
          <w:szCs w:val="20"/>
          <w:lang w:val="en-US"/>
        </w:rPr>
        <w:t xml:space="preserve"> person. </w:t>
      </w:r>
    </w:p>
    <w:p w14:paraId="2B93C5AA" w14:textId="77777777" w:rsidR="0076236C" w:rsidRPr="001558A5" w:rsidRDefault="0076236C" w:rsidP="0076236C">
      <w:pPr>
        <w:rPr>
          <w:szCs w:val="20"/>
          <w:lang w:val="en-US"/>
        </w:rPr>
      </w:pPr>
    </w:p>
    <w:p w14:paraId="1C729707" w14:textId="6E561ACB" w:rsidR="00F06323" w:rsidRPr="001558A5" w:rsidRDefault="00F06323" w:rsidP="00F06323">
      <w:pPr>
        <w:pStyle w:val="Prrafodelista"/>
        <w:numPr>
          <w:ilvl w:val="0"/>
          <w:numId w:val="39"/>
        </w:numPr>
        <w:ind w:left="0" w:firstLine="0"/>
        <w:contextualSpacing w:val="0"/>
        <w:rPr>
          <w:szCs w:val="20"/>
          <w:lang w:val="en-US"/>
        </w:rPr>
      </w:pPr>
      <w:r w:rsidRPr="001558A5">
        <w:rPr>
          <w:szCs w:val="20"/>
          <w:lang w:val="en-US"/>
        </w:rPr>
        <w:t xml:space="preserve">Therefore, the violence that the judgment itself emphasizes as proven was not due to the fact of being a woman (as in other cases before the Court such as the case of the </w:t>
      </w:r>
      <w:r w:rsidR="0076236C" w:rsidRPr="001558A5">
        <w:rPr>
          <w:i/>
          <w:szCs w:val="20"/>
          <w:lang w:val="en-US"/>
        </w:rPr>
        <w:t xml:space="preserve">Miguel Castro </w:t>
      </w:r>
      <w:proofErr w:type="spellStart"/>
      <w:r w:rsidR="0076236C" w:rsidRPr="001558A5">
        <w:rPr>
          <w:i/>
          <w:szCs w:val="20"/>
          <w:lang w:val="en-US"/>
        </w:rPr>
        <w:t>Castro</w:t>
      </w:r>
      <w:proofErr w:type="spellEnd"/>
      <w:r w:rsidR="0076236C" w:rsidRPr="001558A5">
        <w:rPr>
          <w:i/>
          <w:szCs w:val="20"/>
          <w:lang w:val="en-US"/>
        </w:rPr>
        <w:t xml:space="preserve"> </w:t>
      </w:r>
      <w:r w:rsidRPr="001558A5">
        <w:rPr>
          <w:i/>
          <w:szCs w:val="20"/>
          <w:lang w:val="en-US"/>
        </w:rPr>
        <w:t xml:space="preserve">Prison </w:t>
      </w:r>
      <w:r w:rsidR="00871E19" w:rsidRPr="001558A5">
        <w:rPr>
          <w:i/>
          <w:szCs w:val="20"/>
          <w:lang w:val="en-US"/>
        </w:rPr>
        <w:t>v.</w:t>
      </w:r>
      <w:r w:rsidR="0076236C" w:rsidRPr="001558A5">
        <w:rPr>
          <w:i/>
          <w:szCs w:val="20"/>
          <w:lang w:val="en-US"/>
        </w:rPr>
        <w:t xml:space="preserve"> Per</w:t>
      </w:r>
      <w:r w:rsidRPr="001558A5">
        <w:rPr>
          <w:i/>
          <w:szCs w:val="20"/>
          <w:lang w:val="en-US"/>
        </w:rPr>
        <w:t>u</w:t>
      </w:r>
      <w:r w:rsidR="0076236C" w:rsidRPr="001558A5">
        <w:rPr>
          <w:szCs w:val="20"/>
          <w:lang w:val="en-US"/>
        </w:rPr>
        <w:t xml:space="preserve">, </w:t>
      </w:r>
      <w:r w:rsidRPr="001558A5">
        <w:rPr>
          <w:szCs w:val="20"/>
          <w:lang w:val="en-US"/>
        </w:rPr>
        <w:t>the case of</w:t>
      </w:r>
      <w:r w:rsidR="0076236C" w:rsidRPr="001558A5">
        <w:rPr>
          <w:szCs w:val="20"/>
          <w:lang w:val="en-US"/>
        </w:rPr>
        <w:t xml:space="preserve"> </w:t>
      </w:r>
      <w:r w:rsidR="0076236C" w:rsidRPr="001558A5">
        <w:rPr>
          <w:i/>
          <w:szCs w:val="20"/>
          <w:lang w:val="en-US"/>
        </w:rPr>
        <w:t>González</w:t>
      </w:r>
      <w:r w:rsidR="00DD4354" w:rsidRPr="001558A5">
        <w:rPr>
          <w:i/>
          <w:szCs w:val="20"/>
          <w:lang w:val="en-US"/>
        </w:rPr>
        <w:t xml:space="preserve"> </w:t>
      </w:r>
      <w:r w:rsidRPr="001558A5">
        <w:rPr>
          <w:i/>
          <w:szCs w:val="20"/>
          <w:lang w:val="en-US"/>
        </w:rPr>
        <w:t>et al.</w:t>
      </w:r>
      <w:r w:rsidR="0076236C" w:rsidRPr="001558A5">
        <w:rPr>
          <w:i/>
          <w:szCs w:val="20"/>
          <w:lang w:val="en-US"/>
        </w:rPr>
        <w:t xml:space="preserve"> </w:t>
      </w:r>
      <w:r w:rsidRPr="001558A5">
        <w:rPr>
          <w:i/>
          <w:szCs w:val="20"/>
          <w:lang w:val="en-US"/>
        </w:rPr>
        <w:t>(</w:t>
      </w:r>
      <w:r w:rsidR="0076236C" w:rsidRPr="001558A5">
        <w:rPr>
          <w:i/>
          <w:szCs w:val="20"/>
          <w:lang w:val="en-US"/>
        </w:rPr>
        <w:t>“C</w:t>
      </w:r>
      <w:r w:rsidRPr="001558A5">
        <w:rPr>
          <w:i/>
          <w:szCs w:val="20"/>
          <w:lang w:val="en-US"/>
        </w:rPr>
        <w:t xml:space="preserve">otton </w:t>
      </w:r>
      <w:r w:rsidR="00AC7083" w:rsidRPr="001558A5">
        <w:rPr>
          <w:i/>
          <w:szCs w:val="20"/>
          <w:lang w:val="en-US"/>
        </w:rPr>
        <w:t>F</w:t>
      </w:r>
      <w:r w:rsidRPr="001558A5">
        <w:rPr>
          <w:i/>
          <w:szCs w:val="20"/>
          <w:lang w:val="en-US"/>
        </w:rPr>
        <w:t>ield”)</w:t>
      </w:r>
      <w:r w:rsidR="0076236C" w:rsidRPr="001558A5">
        <w:rPr>
          <w:i/>
          <w:szCs w:val="20"/>
          <w:lang w:val="en-US"/>
        </w:rPr>
        <w:t xml:space="preserve"> </w:t>
      </w:r>
      <w:r w:rsidR="00871E19" w:rsidRPr="001558A5">
        <w:rPr>
          <w:i/>
          <w:szCs w:val="20"/>
          <w:lang w:val="en-US"/>
        </w:rPr>
        <w:t>v.</w:t>
      </w:r>
      <w:r w:rsidR="0076236C" w:rsidRPr="001558A5">
        <w:rPr>
          <w:i/>
          <w:szCs w:val="20"/>
          <w:lang w:val="en-US"/>
        </w:rPr>
        <w:t xml:space="preserve"> M</w:t>
      </w:r>
      <w:r w:rsidRPr="001558A5">
        <w:rPr>
          <w:i/>
          <w:szCs w:val="20"/>
          <w:lang w:val="en-US"/>
        </w:rPr>
        <w:t>e</w:t>
      </w:r>
      <w:r w:rsidR="0076236C" w:rsidRPr="001558A5">
        <w:rPr>
          <w:i/>
          <w:szCs w:val="20"/>
          <w:lang w:val="en-US"/>
        </w:rPr>
        <w:t>xico</w:t>
      </w:r>
      <w:r w:rsidR="00AC7083" w:rsidRPr="001558A5">
        <w:rPr>
          <w:i/>
          <w:szCs w:val="20"/>
          <w:lang w:val="en-US"/>
        </w:rPr>
        <w:t>,</w:t>
      </w:r>
      <w:r w:rsidR="0076236C" w:rsidRPr="001558A5">
        <w:rPr>
          <w:szCs w:val="20"/>
          <w:lang w:val="en-US"/>
        </w:rPr>
        <w:t xml:space="preserve"> </w:t>
      </w:r>
      <w:r w:rsidRPr="001558A5">
        <w:rPr>
          <w:szCs w:val="20"/>
          <w:lang w:val="en-US"/>
        </w:rPr>
        <w:t>or one of the more relatively recent</w:t>
      </w:r>
      <w:r w:rsidR="00AC7083" w:rsidRPr="001558A5">
        <w:rPr>
          <w:szCs w:val="20"/>
          <w:lang w:val="en-US"/>
        </w:rPr>
        <w:t xml:space="preserve"> cases</w:t>
      </w:r>
      <w:r w:rsidRPr="001558A5">
        <w:rPr>
          <w:szCs w:val="20"/>
          <w:lang w:val="en-US"/>
        </w:rPr>
        <w:t xml:space="preserve">, </w:t>
      </w:r>
      <w:proofErr w:type="spellStart"/>
      <w:r w:rsidR="0076236C" w:rsidRPr="001558A5">
        <w:rPr>
          <w:i/>
          <w:szCs w:val="20"/>
          <w:lang w:val="en-US"/>
        </w:rPr>
        <w:t>López</w:t>
      </w:r>
      <w:proofErr w:type="spellEnd"/>
      <w:r w:rsidR="0076236C" w:rsidRPr="001558A5">
        <w:rPr>
          <w:i/>
          <w:szCs w:val="20"/>
          <w:lang w:val="en-US"/>
        </w:rPr>
        <w:t xml:space="preserve"> Soto</w:t>
      </w:r>
      <w:r w:rsidR="00DD4354" w:rsidRPr="001558A5">
        <w:rPr>
          <w:i/>
          <w:szCs w:val="20"/>
          <w:lang w:val="en-US"/>
        </w:rPr>
        <w:t xml:space="preserve"> </w:t>
      </w:r>
      <w:r w:rsidR="00651316" w:rsidRPr="001558A5">
        <w:rPr>
          <w:i/>
          <w:szCs w:val="20"/>
          <w:lang w:val="en-US"/>
        </w:rPr>
        <w:t>et al. v.</w:t>
      </w:r>
      <w:r w:rsidR="0076236C" w:rsidRPr="001558A5">
        <w:rPr>
          <w:i/>
          <w:szCs w:val="20"/>
          <w:lang w:val="en-US"/>
        </w:rPr>
        <w:t xml:space="preserve"> Venezuela</w:t>
      </w:r>
      <w:r w:rsidR="0076236C" w:rsidRPr="001558A5">
        <w:rPr>
          <w:szCs w:val="20"/>
          <w:lang w:val="en-US"/>
        </w:rPr>
        <w:t xml:space="preserve">), </w:t>
      </w:r>
      <w:r w:rsidRPr="001558A5">
        <w:rPr>
          <w:szCs w:val="20"/>
          <w:lang w:val="en-US"/>
        </w:rPr>
        <w:t xml:space="preserve">but to her </w:t>
      </w:r>
      <w:r w:rsidR="0076236C" w:rsidRPr="001558A5">
        <w:rPr>
          <w:szCs w:val="20"/>
          <w:lang w:val="en-US"/>
        </w:rPr>
        <w:t>“</w:t>
      </w:r>
      <w:r w:rsidR="00DF7573" w:rsidRPr="001558A5">
        <w:rPr>
          <w:szCs w:val="20"/>
          <w:lang w:val="en-US"/>
        </w:rPr>
        <w:t>gender identity</w:t>
      </w:r>
      <w:r w:rsidRPr="001558A5">
        <w:rPr>
          <w:szCs w:val="20"/>
          <w:lang w:val="en-US"/>
        </w:rPr>
        <w:t>,</w:t>
      </w:r>
      <w:r w:rsidR="0076236C" w:rsidRPr="001558A5">
        <w:rPr>
          <w:szCs w:val="20"/>
          <w:lang w:val="en-US"/>
        </w:rPr>
        <w:t>”</w:t>
      </w:r>
      <w:r w:rsidRPr="001558A5">
        <w:rPr>
          <w:szCs w:val="20"/>
          <w:lang w:val="en-US"/>
        </w:rPr>
        <w:t xml:space="preserve"> due to th</w:t>
      </w:r>
      <w:r w:rsidR="00AC7083" w:rsidRPr="001558A5">
        <w:rPr>
          <w:szCs w:val="20"/>
          <w:lang w:val="en-US"/>
        </w:rPr>
        <w:t>e</w:t>
      </w:r>
      <w:r w:rsidRPr="001558A5">
        <w:rPr>
          <w:szCs w:val="20"/>
          <w:lang w:val="en-US"/>
        </w:rPr>
        <w:t xml:space="preserve"> violent dynamic that seeks to punish identities, expressions or bodies that differ from the patriarchal norms and roles. </w:t>
      </w:r>
      <w:r w:rsidR="00DD6B8C" w:rsidRPr="001558A5">
        <w:rPr>
          <w:szCs w:val="20"/>
          <w:lang w:val="en-US"/>
        </w:rPr>
        <w:t>As I have discussed in the previous sections, t</w:t>
      </w:r>
      <w:r w:rsidRPr="001558A5">
        <w:rPr>
          <w:szCs w:val="20"/>
          <w:lang w:val="en-US"/>
        </w:rPr>
        <w:t xml:space="preserve">his </w:t>
      </w:r>
      <w:r w:rsidR="00DD6B8C" w:rsidRPr="001558A5">
        <w:rPr>
          <w:szCs w:val="20"/>
          <w:lang w:val="en-US"/>
        </w:rPr>
        <w:t>dynamic of violence clearly has a different origin and possesses very different characteristics to the gender-based violence suffered by women because they are women.</w:t>
      </w:r>
    </w:p>
    <w:p w14:paraId="6F0FDED6" w14:textId="77777777" w:rsidR="0076236C" w:rsidRPr="001558A5" w:rsidRDefault="0076236C" w:rsidP="0076236C">
      <w:pPr>
        <w:rPr>
          <w:szCs w:val="20"/>
          <w:lang w:val="en-US"/>
        </w:rPr>
      </w:pPr>
    </w:p>
    <w:p w14:paraId="42F404B2" w14:textId="513E18C1" w:rsidR="00DD6B8C" w:rsidRPr="001558A5" w:rsidRDefault="00DD6B8C" w:rsidP="0076236C">
      <w:pPr>
        <w:pStyle w:val="Prrafodelista"/>
        <w:numPr>
          <w:ilvl w:val="0"/>
          <w:numId w:val="39"/>
        </w:numPr>
        <w:ind w:left="0" w:firstLine="0"/>
        <w:contextualSpacing w:val="0"/>
        <w:rPr>
          <w:szCs w:val="20"/>
          <w:lang w:val="en-US"/>
        </w:rPr>
      </w:pPr>
      <w:r w:rsidRPr="001558A5">
        <w:rPr>
          <w:szCs w:val="20"/>
          <w:lang w:val="en-US"/>
        </w:rPr>
        <w:t xml:space="preserve">Understanding the causes of violence against vulnerable groups (in this case, women and </w:t>
      </w:r>
      <w:proofErr w:type="gramStart"/>
      <w:r w:rsidR="00AC7083" w:rsidRPr="001558A5">
        <w:rPr>
          <w:szCs w:val="20"/>
          <w:lang w:val="en-US"/>
        </w:rPr>
        <w:t>trans</w:t>
      </w:r>
      <w:proofErr w:type="gramEnd"/>
      <w:r w:rsidR="00AC7083" w:rsidRPr="001558A5">
        <w:rPr>
          <w:szCs w:val="20"/>
          <w:lang w:val="en-US"/>
        </w:rPr>
        <w:t xml:space="preserve"> </w:t>
      </w:r>
      <w:r w:rsidRPr="001558A5">
        <w:rPr>
          <w:szCs w:val="20"/>
          <w:lang w:val="en-US"/>
        </w:rPr>
        <w:t>persons) is essential in order to attack the root of the problem. Mixing up or even merging these different realities merely leads to confusion – and, therefore, a</w:t>
      </w:r>
      <w:r w:rsidR="00AC7083" w:rsidRPr="001558A5">
        <w:rPr>
          <w:szCs w:val="20"/>
          <w:lang w:val="en-US"/>
        </w:rPr>
        <w:t xml:space="preserve"> hindrance </w:t>
      </w:r>
      <w:r w:rsidRPr="001558A5">
        <w:rPr>
          <w:szCs w:val="20"/>
          <w:lang w:val="en-US"/>
        </w:rPr>
        <w:t xml:space="preserve">– that does not benefit either of the two groups. This is why the judgment, by equating “gender” with “gender identity” commits the error of ignoring the differentiating elements between these types of violence and completely distorts the analysis of the causes and consequences of such violence. In sum, it is my opinion that the judgment that is the subject of the critical analysis should have focused on the violence perpetrated against Vicky Hernández </w:t>
      </w:r>
      <w:r w:rsidR="008307D6" w:rsidRPr="001558A5">
        <w:rPr>
          <w:szCs w:val="20"/>
          <w:lang w:val="en-US"/>
        </w:rPr>
        <w:t>due to the fact that</w:t>
      </w:r>
      <w:r w:rsidRPr="001558A5">
        <w:rPr>
          <w:szCs w:val="20"/>
          <w:lang w:val="en-US"/>
        </w:rPr>
        <w:t xml:space="preserve"> those who attacked her perceived her to be a </w:t>
      </w:r>
      <w:proofErr w:type="gramStart"/>
      <w:r w:rsidRPr="001558A5">
        <w:rPr>
          <w:szCs w:val="20"/>
          <w:lang w:val="en-US"/>
        </w:rPr>
        <w:t>trans</w:t>
      </w:r>
      <w:proofErr w:type="gramEnd"/>
      <w:r w:rsidRPr="001558A5">
        <w:rPr>
          <w:szCs w:val="20"/>
          <w:lang w:val="en-US"/>
        </w:rPr>
        <w:t xml:space="preserve"> person, and not for being a woman.</w:t>
      </w:r>
    </w:p>
    <w:p w14:paraId="32C8A642" w14:textId="77777777" w:rsidR="0076236C" w:rsidRPr="001558A5" w:rsidRDefault="0076236C" w:rsidP="0076236C">
      <w:pPr>
        <w:rPr>
          <w:szCs w:val="20"/>
          <w:lang w:val="en-US"/>
        </w:rPr>
      </w:pPr>
    </w:p>
    <w:p w14:paraId="2C19DF2E" w14:textId="4FF72DCD" w:rsidR="0076236C" w:rsidRPr="001558A5" w:rsidRDefault="00DD6B8C" w:rsidP="00023199">
      <w:pPr>
        <w:pStyle w:val="Prrafodelista"/>
        <w:numPr>
          <w:ilvl w:val="0"/>
          <w:numId w:val="39"/>
        </w:numPr>
        <w:ind w:left="0" w:firstLine="0"/>
        <w:contextualSpacing w:val="0"/>
        <w:rPr>
          <w:szCs w:val="20"/>
          <w:lang w:val="en-US"/>
        </w:rPr>
      </w:pPr>
      <w:r w:rsidRPr="001558A5">
        <w:rPr>
          <w:szCs w:val="20"/>
          <w:lang w:val="en-US"/>
        </w:rPr>
        <w:t xml:space="preserve">Furthermore, there are two technical reasons why I consider that </w:t>
      </w:r>
      <w:r w:rsidR="00871E19" w:rsidRPr="001558A5">
        <w:rPr>
          <w:szCs w:val="20"/>
          <w:lang w:val="en-US"/>
        </w:rPr>
        <w:t>the Convention</w:t>
      </w:r>
      <w:r w:rsidR="0076236C"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0076236C" w:rsidRPr="001558A5">
        <w:rPr>
          <w:szCs w:val="20"/>
          <w:lang w:val="en-US"/>
        </w:rPr>
        <w:t xml:space="preserve"> do </w:t>
      </w:r>
      <w:proofErr w:type="spellStart"/>
      <w:r w:rsidR="0076236C" w:rsidRPr="001558A5">
        <w:rPr>
          <w:szCs w:val="20"/>
          <w:lang w:val="en-US"/>
        </w:rPr>
        <w:t>Pará</w:t>
      </w:r>
      <w:proofErr w:type="spellEnd"/>
      <w:r w:rsidR="0076236C" w:rsidRPr="001558A5">
        <w:rPr>
          <w:szCs w:val="20"/>
          <w:lang w:val="en-US"/>
        </w:rPr>
        <w:t xml:space="preserve"> </w:t>
      </w:r>
      <w:r w:rsidRPr="001558A5">
        <w:rPr>
          <w:szCs w:val="20"/>
          <w:lang w:val="en-US"/>
        </w:rPr>
        <w:t xml:space="preserve">should not have been applied to this case. Thus, the judgment relates the application </w:t>
      </w:r>
      <w:r w:rsidR="00DD4354" w:rsidRPr="001558A5">
        <w:rPr>
          <w:szCs w:val="20"/>
          <w:lang w:val="en-US"/>
        </w:rPr>
        <w:t xml:space="preserve">of the </w:t>
      </w:r>
      <w:r w:rsidR="00871E19" w:rsidRPr="001558A5">
        <w:rPr>
          <w:szCs w:val="20"/>
          <w:lang w:val="en-US"/>
        </w:rPr>
        <w:t>Convention</w:t>
      </w:r>
      <w:r w:rsidR="0076236C"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0076236C" w:rsidRPr="001558A5">
        <w:rPr>
          <w:szCs w:val="20"/>
          <w:lang w:val="en-US"/>
        </w:rPr>
        <w:t xml:space="preserve"> do </w:t>
      </w:r>
      <w:proofErr w:type="spellStart"/>
      <w:r w:rsidR="0076236C" w:rsidRPr="001558A5">
        <w:rPr>
          <w:szCs w:val="20"/>
          <w:lang w:val="en-US"/>
        </w:rPr>
        <w:t>Pará</w:t>
      </w:r>
      <w:proofErr w:type="spellEnd"/>
      <w:r w:rsidR="0076236C" w:rsidRPr="001558A5">
        <w:rPr>
          <w:szCs w:val="20"/>
          <w:lang w:val="en-US"/>
        </w:rPr>
        <w:t xml:space="preserve"> </w:t>
      </w:r>
      <w:r w:rsidRPr="001558A5">
        <w:rPr>
          <w:szCs w:val="20"/>
          <w:lang w:val="en-US"/>
        </w:rPr>
        <w:t xml:space="preserve">to the facts by referring to </w:t>
      </w:r>
      <w:r w:rsidR="00871E19" w:rsidRPr="001558A5">
        <w:rPr>
          <w:szCs w:val="20"/>
          <w:lang w:val="en-US"/>
        </w:rPr>
        <w:t>Article</w:t>
      </w:r>
      <w:r w:rsidR="0076236C" w:rsidRPr="001558A5">
        <w:rPr>
          <w:szCs w:val="20"/>
          <w:lang w:val="en-US"/>
        </w:rPr>
        <w:t xml:space="preserve"> 9 </w:t>
      </w:r>
      <w:r w:rsidRPr="001558A5">
        <w:rPr>
          <w:szCs w:val="20"/>
          <w:lang w:val="en-US"/>
        </w:rPr>
        <w:t>of this treaty, which reads as follows:</w:t>
      </w:r>
    </w:p>
    <w:p w14:paraId="58A4EE3C" w14:textId="77777777" w:rsidR="00DD6B8C" w:rsidRPr="001558A5" w:rsidRDefault="00DD6B8C" w:rsidP="00DD6B8C">
      <w:pPr>
        <w:pStyle w:val="Prrafodelista"/>
        <w:ind w:left="0"/>
        <w:contextualSpacing w:val="0"/>
        <w:rPr>
          <w:szCs w:val="20"/>
          <w:lang w:val="en-US"/>
        </w:rPr>
      </w:pPr>
    </w:p>
    <w:p w14:paraId="78E581DE" w14:textId="3192BBD6" w:rsidR="0076236C" w:rsidRPr="001558A5" w:rsidRDefault="0076236C" w:rsidP="00D0337B">
      <w:pPr>
        <w:ind w:left="720" w:right="378"/>
        <w:rPr>
          <w:b/>
          <w:sz w:val="18"/>
          <w:szCs w:val="18"/>
          <w:lang w:val="en-US"/>
        </w:rPr>
      </w:pPr>
      <w:r w:rsidRPr="001558A5">
        <w:rPr>
          <w:b/>
          <w:sz w:val="18"/>
          <w:szCs w:val="18"/>
          <w:lang w:val="en-US"/>
        </w:rPr>
        <w:t>“</w:t>
      </w:r>
      <w:r w:rsidR="00DD6B8C" w:rsidRPr="001558A5">
        <w:rPr>
          <w:b/>
          <w:sz w:val="18"/>
          <w:szCs w:val="18"/>
          <w:lang w:val="en-US"/>
        </w:rPr>
        <w:t>With respect to the adoption of the measures in this Chapter, the States Parties shall take special account of the vulnerability of women to violence by reason of among others, their race or ethnic background or their status as migrants, refugees or displaced persons. Similar consideration shall be given to women subjected to violence while pregnant or who are disabled, of minor age, elderly, socio-economically disadvantaged, affected by armed conflict or deprived of their freedom.</w:t>
      </w:r>
      <w:r w:rsidR="006719F1" w:rsidRPr="001558A5">
        <w:rPr>
          <w:b/>
          <w:sz w:val="18"/>
          <w:szCs w:val="18"/>
          <w:lang w:val="en-US"/>
        </w:rPr>
        <w:t>”</w:t>
      </w:r>
    </w:p>
    <w:p w14:paraId="653CD45D" w14:textId="77777777" w:rsidR="00D0337B" w:rsidRPr="001558A5" w:rsidRDefault="00D0337B" w:rsidP="00D0337B">
      <w:pPr>
        <w:ind w:right="378"/>
        <w:rPr>
          <w:b/>
          <w:szCs w:val="20"/>
          <w:lang w:val="en-US"/>
        </w:rPr>
      </w:pPr>
    </w:p>
    <w:p w14:paraId="7AE70533" w14:textId="092EE79F" w:rsidR="00BC42F4" w:rsidRPr="001558A5" w:rsidRDefault="00BC42F4" w:rsidP="0076236C">
      <w:pPr>
        <w:pStyle w:val="Prrafodelista"/>
        <w:numPr>
          <w:ilvl w:val="0"/>
          <w:numId w:val="39"/>
        </w:numPr>
        <w:ind w:left="0" w:firstLine="0"/>
        <w:contextualSpacing w:val="0"/>
        <w:rPr>
          <w:szCs w:val="20"/>
          <w:lang w:val="en-US"/>
        </w:rPr>
      </w:pPr>
      <w:r w:rsidRPr="001558A5">
        <w:rPr>
          <w:szCs w:val="20"/>
          <w:lang w:val="en-US"/>
        </w:rPr>
        <w:t>As can be seen, the article is of an accessory nature. Therefore, it is logical to consider that this article only comes into play if, first, it is determined whether the measures contained in the said article are applicable to Vicky Hernández. In my opinion, from a hermeneutic perspective, the judgment suffers from the</w:t>
      </w:r>
      <w:r w:rsidR="008307D6" w:rsidRPr="001558A5">
        <w:rPr>
          <w:szCs w:val="20"/>
          <w:lang w:val="en-US"/>
        </w:rPr>
        <w:t xml:space="preserve"> lack of the</w:t>
      </w:r>
      <w:r w:rsidRPr="001558A5">
        <w:rPr>
          <w:szCs w:val="20"/>
          <w:lang w:val="en-US"/>
        </w:rPr>
        <w:t xml:space="preserve"> corresponding and necessary substantiation of this premise – that is, whether the victim in this case was covered by the protection of the Convention of </w:t>
      </w:r>
      <w:proofErr w:type="spellStart"/>
      <w:r w:rsidRPr="001558A5">
        <w:rPr>
          <w:szCs w:val="20"/>
          <w:lang w:val="en-US"/>
        </w:rPr>
        <w:t>Belém</w:t>
      </w:r>
      <w:proofErr w:type="spellEnd"/>
      <w:r w:rsidRPr="001558A5">
        <w:rPr>
          <w:szCs w:val="20"/>
          <w:lang w:val="en-US"/>
        </w:rPr>
        <w:t xml:space="preserve"> do </w:t>
      </w:r>
      <w:proofErr w:type="spellStart"/>
      <w:r w:rsidRPr="001558A5">
        <w:rPr>
          <w:szCs w:val="20"/>
          <w:lang w:val="en-US"/>
        </w:rPr>
        <w:t>Pará</w:t>
      </w:r>
      <w:proofErr w:type="spellEnd"/>
      <w:r w:rsidRPr="001558A5">
        <w:rPr>
          <w:szCs w:val="20"/>
          <w:lang w:val="en-US"/>
        </w:rPr>
        <w:t xml:space="preserve"> – without which neither the conclusion or the consequence – that is, the subsequent and necessary analysis of intersectionality that should be applied to each specific case – is applicable.</w:t>
      </w:r>
    </w:p>
    <w:p w14:paraId="74107F1D" w14:textId="77777777" w:rsidR="0076236C" w:rsidRPr="001558A5" w:rsidRDefault="0076236C" w:rsidP="0076236C">
      <w:pPr>
        <w:rPr>
          <w:szCs w:val="20"/>
          <w:lang w:val="en-US"/>
        </w:rPr>
      </w:pPr>
    </w:p>
    <w:p w14:paraId="37E96748" w14:textId="356494EC" w:rsidR="0076236C" w:rsidRPr="001558A5" w:rsidRDefault="00BC42F4" w:rsidP="00BC42F4">
      <w:pPr>
        <w:pStyle w:val="Prrafodelista"/>
        <w:numPr>
          <w:ilvl w:val="0"/>
          <w:numId w:val="39"/>
        </w:numPr>
        <w:ind w:left="0" w:firstLine="0"/>
        <w:contextualSpacing w:val="0"/>
        <w:rPr>
          <w:szCs w:val="20"/>
          <w:lang w:val="en-US"/>
        </w:rPr>
      </w:pPr>
      <w:r w:rsidRPr="001558A5">
        <w:rPr>
          <w:szCs w:val="20"/>
          <w:lang w:val="en-US"/>
        </w:rPr>
        <w:t xml:space="preserve">As a second technical observation, I have a problem with the logical-legal sequence followed to include the category of “gender identity” as a category protected by </w:t>
      </w:r>
      <w:r w:rsidR="00871E19" w:rsidRPr="001558A5">
        <w:rPr>
          <w:szCs w:val="20"/>
          <w:lang w:val="en-US"/>
        </w:rPr>
        <w:t>the Convention</w:t>
      </w:r>
      <w:r w:rsidR="0076236C"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0076236C" w:rsidRPr="001558A5">
        <w:rPr>
          <w:szCs w:val="20"/>
          <w:lang w:val="en-US"/>
        </w:rPr>
        <w:t xml:space="preserve"> do </w:t>
      </w:r>
      <w:proofErr w:type="spellStart"/>
      <w:r w:rsidR="0076236C" w:rsidRPr="001558A5">
        <w:rPr>
          <w:szCs w:val="20"/>
          <w:lang w:val="en-US"/>
        </w:rPr>
        <w:t>Pará</w:t>
      </w:r>
      <w:proofErr w:type="spellEnd"/>
      <w:r w:rsidR="0076236C" w:rsidRPr="001558A5">
        <w:rPr>
          <w:szCs w:val="20"/>
          <w:lang w:val="en-US"/>
        </w:rPr>
        <w:t xml:space="preserve">. </w:t>
      </w:r>
      <w:r w:rsidRPr="001558A5">
        <w:rPr>
          <w:szCs w:val="20"/>
          <w:lang w:val="en-US"/>
        </w:rPr>
        <w:t xml:space="preserve">For example, in paragraph 129, the judgment reads as follows: </w:t>
      </w:r>
    </w:p>
    <w:p w14:paraId="102C16CB" w14:textId="77777777" w:rsidR="0076236C" w:rsidRPr="001558A5" w:rsidRDefault="0076236C" w:rsidP="0076236C">
      <w:pPr>
        <w:rPr>
          <w:szCs w:val="20"/>
          <w:lang w:val="en-US"/>
        </w:rPr>
      </w:pPr>
    </w:p>
    <w:p w14:paraId="067310DD" w14:textId="223D53CF" w:rsidR="0076236C" w:rsidRPr="001558A5" w:rsidRDefault="0076236C" w:rsidP="001B1998">
      <w:pPr>
        <w:ind w:left="709" w:right="378"/>
        <w:rPr>
          <w:b/>
          <w:sz w:val="18"/>
          <w:szCs w:val="18"/>
          <w:lang w:val="en-US"/>
        </w:rPr>
      </w:pPr>
      <w:r w:rsidRPr="001558A5">
        <w:rPr>
          <w:b/>
          <w:sz w:val="18"/>
          <w:szCs w:val="18"/>
          <w:lang w:val="en-US"/>
        </w:rPr>
        <w:t>“</w:t>
      </w:r>
      <w:r w:rsidR="001B1998" w:rsidRPr="001558A5">
        <w:rPr>
          <w:b/>
          <w:bCs/>
          <w:sz w:val="18"/>
          <w:szCs w:val="18"/>
          <w:lang w:val="en-US"/>
        </w:rPr>
        <w:t>Article</w:t>
      </w:r>
      <w:r w:rsidR="001B1998" w:rsidRPr="001558A5">
        <w:rPr>
          <w:rFonts w:cs="Verdana"/>
          <w:b/>
          <w:bCs/>
          <w:sz w:val="18"/>
          <w:szCs w:val="18"/>
          <w:lang w:val="en-US"/>
        </w:rPr>
        <w:t xml:space="preserve"> 9 of the Convention of </w:t>
      </w:r>
      <w:proofErr w:type="spellStart"/>
      <w:r w:rsidR="001B1998" w:rsidRPr="001558A5">
        <w:rPr>
          <w:rFonts w:cs="Verdana"/>
          <w:b/>
          <w:bCs/>
          <w:sz w:val="18"/>
          <w:szCs w:val="18"/>
          <w:lang w:val="en-US"/>
        </w:rPr>
        <w:t>Belém</w:t>
      </w:r>
      <w:proofErr w:type="spellEnd"/>
      <w:r w:rsidR="001B1998" w:rsidRPr="001558A5">
        <w:rPr>
          <w:rFonts w:cs="Verdana"/>
          <w:b/>
          <w:bCs/>
          <w:sz w:val="18"/>
          <w:szCs w:val="18"/>
          <w:lang w:val="en-US"/>
        </w:rPr>
        <w:t xml:space="preserve"> do </w:t>
      </w:r>
      <w:proofErr w:type="spellStart"/>
      <w:r w:rsidR="001B1998" w:rsidRPr="001558A5">
        <w:rPr>
          <w:rFonts w:cs="Verdana"/>
          <w:b/>
          <w:bCs/>
          <w:sz w:val="18"/>
          <w:szCs w:val="18"/>
          <w:lang w:val="en-US"/>
        </w:rPr>
        <w:t>Pará</w:t>
      </w:r>
      <w:proofErr w:type="spellEnd"/>
      <w:r w:rsidR="001B1998" w:rsidRPr="001558A5">
        <w:rPr>
          <w:rFonts w:cs="Verdana"/>
          <w:b/>
          <w:bCs/>
          <w:sz w:val="18"/>
          <w:szCs w:val="18"/>
          <w:lang w:val="en-US"/>
        </w:rPr>
        <w:t xml:space="preserve"> urges States, when adopting measures to prevent, punish and eradicate violence against women, to take into account “the vulnerability of women to violence by reason of, among others, their race or ethnic background, or their status as migrants, refugees or displaced persons.” This list of factors is not </w:t>
      </w:r>
      <w:r w:rsidR="001B1998" w:rsidRPr="001558A5">
        <w:rPr>
          <w:rFonts w:cs="Verdana"/>
          <w:b/>
          <w:bCs/>
          <w:i/>
          <w:sz w:val="18"/>
          <w:szCs w:val="18"/>
          <w:lang w:val="en-US"/>
        </w:rPr>
        <w:t xml:space="preserve">numerus </w:t>
      </w:r>
      <w:proofErr w:type="spellStart"/>
      <w:r w:rsidR="001B1998" w:rsidRPr="001558A5">
        <w:rPr>
          <w:rFonts w:cs="Verdana"/>
          <w:b/>
          <w:bCs/>
          <w:i/>
          <w:sz w:val="18"/>
          <w:szCs w:val="18"/>
          <w:lang w:val="en-US"/>
        </w:rPr>
        <w:t>clausus</w:t>
      </w:r>
      <w:proofErr w:type="spellEnd"/>
      <w:r w:rsidR="001B1998" w:rsidRPr="001558A5">
        <w:rPr>
          <w:rFonts w:cs="Verdana"/>
          <w:b/>
          <w:bCs/>
          <w:sz w:val="18"/>
          <w:szCs w:val="18"/>
          <w:lang w:val="en-US"/>
        </w:rPr>
        <w:t xml:space="preserve">, as indicated by the use of the expression “among others.” Thus, it may be considered that, in certain circumstances such as those of this case which relates to a </w:t>
      </w:r>
      <w:proofErr w:type="gramStart"/>
      <w:r w:rsidR="001B1998" w:rsidRPr="001558A5">
        <w:rPr>
          <w:rFonts w:cs="Verdana"/>
          <w:b/>
          <w:bCs/>
          <w:sz w:val="18"/>
          <w:szCs w:val="18"/>
          <w:lang w:val="en-US"/>
        </w:rPr>
        <w:t>trans</w:t>
      </w:r>
      <w:proofErr w:type="gramEnd"/>
      <w:r w:rsidR="001B1998" w:rsidRPr="001558A5">
        <w:rPr>
          <w:rFonts w:cs="Verdana"/>
          <w:b/>
          <w:bCs/>
          <w:sz w:val="18"/>
          <w:szCs w:val="18"/>
          <w:lang w:val="en-US"/>
        </w:rPr>
        <w:t xml:space="preserve"> woman, gender identity constitutes a factor that may contribute, </w:t>
      </w:r>
      <w:proofErr w:type="spellStart"/>
      <w:r w:rsidR="001B1998" w:rsidRPr="001558A5">
        <w:rPr>
          <w:rFonts w:cs="Verdana"/>
          <w:b/>
          <w:bCs/>
          <w:sz w:val="18"/>
          <w:szCs w:val="18"/>
          <w:lang w:val="en-US"/>
        </w:rPr>
        <w:t>intersectionally</w:t>
      </w:r>
      <w:proofErr w:type="spellEnd"/>
      <w:r w:rsidR="001B1998" w:rsidRPr="001558A5">
        <w:rPr>
          <w:rFonts w:cs="Verdana"/>
          <w:b/>
          <w:bCs/>
          <w:sz w:val="18"/>
          <w:szCs w:val="18"/>
          <w:lang w:val="en-US"/>
        </w:rPr>
        <w:t>, to the vulnerability of women to gender-based violence. Indeed, the Court has determined that sexual orientation and gender identity are categories protected by the American Convention and that any discriminatory law, act or practice based on a person’s sexual orientation or gender identity is prohibited. In addition, the Court has indicated that gender identity is “the internal and individual experience of gender as each person feels it, which may or may not correspond to the sex assigned at birth,</w:t>
      </w:r>
      <w:r w:rsidR="001B1998" w:rsidRPr="001558A5">
        <w:rPr>
          <w:b/>
          <w:bCs/>
          <w:sz w:val="18"/>
          <w:szCs w:val="18"/>
          <w:lang w:val="en-US"/>
        </w:rPr>
        <w:t xml:space="preserve">” so that “recognition of </w:t>
      </w:r>
      <w:r w:rsidR="001B1998" w:rsidRPr="001558A5">
        <w:rPr>
          <w:b/>
          <w:bCs/>
          <w:sz w:val="18"/>
          <w:szCs w:val="18"/>
          <w:lang w:val="en-US" w:eastAsia="es-ES"/>
        </w:rPr>
        <w:t>gender identity is necessarily linked to the idea that sex and gender should be perceived as being part of the constructed identity that is the result of the free and autonomous decision of each person and without this having to be subject to their genitalia</w:t>
      </w:r>
      <w:r w:rsidR="001B1998" w:rsidRPr="001558A5">
        <w:rPr>
          <w:b/>
          <w:sz w:val="18"/>
          <w:szCs w:val="18"/>
          <w:lang w:val="en-US"/>
        </w:rPr>
        <w:t>.</w:t>
      </w:r>
      <w:r w:rsidRPr="001558A5">
        <w:rPr>
          <w:b/>
          <w:sz w:val="18"/>
          <w:szCs w:val="18"/>
          <w:lang w:val="en-US"/>
        </w:rPr>
        <w:t xml:space="preserve">” </w:t>
      </w:r>
    </w:p>
    <w:p w14:paraId="075A9AB9" w14:textId="77777777" w:rsidR="0076236C" w:rsidRPr="001558A5" w:rsidRDefault="0076236C" w:rsidP="0076236C">
      <w:pPr>
        <w:rPr>
          <w:szCs w:val="20"/>
          <w:lang w:val="en-US"/>
        </w:rPr>
      </w:pPr>
    </w:p>
    <w:p w14:paraId="39EE53AB" w14:textId="094A339F" w:rsidR="0076236C" w:rsidRPr="001558A5" w:rsidRDefault="00BC42F4" w:rsidP="0025796A">
      <w:pPr>
        <w:pStyle w:val="Prrafodelista"/>
        <w:numPr>
          <w:ilvl w:val="0"/>
          <w:numId w:val="39"/>
        </w:numPr>
        <w:ind w:left="0" w:firstLine="0"/>
        <w:contextualSpacing w:val="0"/>
        <w:rPr>
          <w:szCs w:val="20"/>
          <w:lang w:val="en-US"/>
        </w:rPr>
      </w:pPr>
      <w:r w:rsidRPr="001558A5">
        <w:rPr>
          <w:szCs w:val="20"/>
          <w:lang w:val="en-US"/>
        </w:rPr>
        <w:t>As can be observed, after indicating that the categories protected by</w:t>
      </w:r>
      <w:r w:rsidR="0076236C" w:rsidRPr="001558A5">
        <w:rPr>
          <w:szCs w:val="20"/>
          <w:lang w:val="en-US"/>
        </w:rPr>
        <w:t xml:space="preserve"> </w:t>
      </w:r>
      <w:r w:rsidR="00871E19" w:rsidRPr="001558A5">
        <w:rPr>
          <w:szCs w:val="20"/>
          <w:lang w:val="en-US"/>
        </w:rPr>
        <w:t>Article</w:t>
      </w:r>
      <w:r w:rsidR="0076236C" w:rsidRPr="001558A5">
        <w:rPr>
          <w:szCs w:val="20"/>
          <w:lang w:val="en-US"/>
        </w:rPr>
        <w:t xml:space="preserve"> 9</w:t>
      </w:r>
      <w:r w:rsidRPr="001558A5">
        <w:rPr>
          <w:szCs w:val="20"/>
          <w:lang w:val="en-US"/>
        </w:rPr>
        <w:t xml:space="preserve"> do not constituted</w:t>
      </w:r>
      <w:r w:rsidR="0076236C" w:rsidRPr="001558A5">
        <w:rPr>
          <w:szCs w:val="20"/>
          <w:lang w:val="en-US"/>
        </w:rPr>
        <w:t xml:space="preserve"> </w:t>
      </w:r>
      <w:r w:rsidR="0076236C" w:rsidRPr="001558A5">
        <w:rPr>
          <w:i/>
          <w:szCs w:val="20"/>
          <w:lang w:val="en-US"/>
        </w:rPr>
        <w:t xml:space="preserve">numerus </w:t>
      </w:r>
      <w:proofErr w:type="spellStart"/>
      <w:r w:rsidR="0076236C" w:rsidRPr="001558A5">
        <w:rPr>
          <w:i/>
          <w:szCs w:val="20"/>
          <w:lang w:val="en-US"/>
        </w:rPr>
        <w:t>clausus</w:t>
      </w:r>
      <w:proofErr w:type="spellEnd"/>
      <w:r w:rsidR="0076236C" w:rsidRPr="001558A5">
        <w:rPr>
          <w:szCs w:val="20"/>
          <w:lang w:val="en-US"/>
        </w:rPr>
        <w:t xml:space="preserve">, </w:t>
      </w:r>
      <w:r w:rsidRPr="001558A5">
        <w:rPr>
          <w:szCs w:val="20"/>
          <w:lang w:val="en-US"/>
        </w:rPr>
        <w:t>a majority of my colleagues concluded</w:t>
      </w:r>
      <w:r w:rsidR="008307D6" w:rsidRPr="001558A5">
        <w:rPr>
          <w:szCs w:val="20"/>
          <w:lang w:val="en-US"/>
        </w:rPr>
        <w:t xml:space="preserve"> - with</w:t>
      </w:r>
      <w:r w:rsidRPr="001558A5">
        <w:rPr>
          <w:szCs w:val="20"/>
          <w:lang w:val="en-US"/>
        </w:rPr>
        <w:t>out making the desirable exercise of interpretation (over and above the reference to an “</w:t>
      </w:r>
      <w:proofErr w:type="spellStart"/>
      <w:r w:rsidRPr="001558A5">
        <w:rPr>
          <w:szCs w:val="20"/>
          <w:lang w:val="en-US"/>
        </w:rPr>
        <w:t>evolutive</w:t>
      </w:r>
      <w:proofErr w:type="spellEnd"/>
      <w:r w:rsidRPr="001558A5">
        <w:rPr>
          <w:szCs w:val="20"/>
          <w:lang w:val="en-US"/>
        </w:rPr>
        <w:t xml:space="preserve">” criterion) </w:t>
      </w:r>
      <w:r w:rsidR="008307D6" w:rsidRPr="001558A5">
        <w:rPr>
          <w:szCs w:val="20"/>
          <w:lang w:val="en-US"/>
        </w:rPr>
        <w:t>– that the</w:t>
      </w:r>
      <w:r w:rsidRPr="001558A5">
        <w:rPr>
          <w:szCs w:val="20"/>
          <w:lang w:val="en-US"/>
        </w:rPr>
        <w:t xml:space="preserve"> category of trans should be included in the sphere of protection of this article and, therefore, </w:t>
      </w:r>
      <w:r w:rsidR="008307D6" w:rsidRPr="001558A5">
        <w:rPr>
          <w:szCs w:val="20"/>
          <w:lang w:val="en-US"/>
        </w:rPr>
        <w:t>was</w:t>
      </w:r>
      <w:r w:rsidRPr="001558A5">
        <w:rPr>
          <w:szCs w:val="20"/>
          <w:lang w:val="en-US"/>
        </w:rPr>
        <w:t xml:space="preserve"> also covered by the umbrella </w:t>
      </w:r>
      <w:r w:rsidR="00DD4354" w:rsidRPr="001558A5">
        <w:rPr>
          <w:szCs w:val="20"/>
          <w:lang w:val="en-US"/>
        </w:rPr>
        <w:t xml:space="preserve">of the </w:t>
      </w:r>
      <w:r w:rsidRPr="001558A5">
        <w:rPr>
          <w:szCs w:val="20"/>
          <w:lang w:val="en-US"/>
        </w:rPr>
        <w:t xml:space="preserve">whole </w:t>
      </w:r>
      <w:r w:rsidR="00871E19" w:rsidRPr="001558A5">
        <w:rPr>
          <w:szCs w:val="20"/>
          <w:lang w:val="en-US"/>
        </w:rPr>
        <w:t>Convention</w:t>
      </w:r>
      <w:r w:rsidR="0076236C"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0076236C" w:rsidRPr="001558A5">
        <w:rPr>
          <w:szCs w:val="20"/>
          <w:lang w:val="en-US"/>
        </w:rPr>
        <w:t xml:space="preserve"> do </w:t>
      </w:r>
      <w:proofErr w:type="spellStart"/>
      <w:r w:rsidR="0076236C" w:rsidRPr="001558A5">
        <w:rPr>
          <w:szCs w:val="20"/>
          <w:lang w:val="en-US"/>
        </w:rPr>
        <w:t>Pará</w:t>
      </w:r>
      <w:proofErr w:type="spellEnd"/>
      <w:r w:rsidR="0076236C" w:rsidRPr="001558A5">
        <w:rPr>
          <w:szCs w:val="20"/>
          <w:lang w:val="en-US"/>
        </w:rPr>
        <w:t xml:space="preserve">. </w:t>
      </w:r>
      <w:r w:rsidR="0025796A" w:rsidRPr="001558A5">
        <w:rPr>
          <w:szCs w:val="20"/>
          <w:lang w:val="en-US"/>
        </w:rPr>
        <w:t xml:space="preserve">Thus, although the categories indicated in the said Article 9 do not constitute an exhaustive list of </w:t>
      </w:r>
      <w:r w:rsidR="008307D6" w:rsidRPr="001558A5">
        <w:rPr>
          <w:szCs w:val="20"/>
          <w:lang w:val="en-US"/>
        </w:rPr>
        <w:t>factors on which</w:t>
      </w:r>
      <w:r w:rsidR="0025796A" w:rsidRPr="001558A5">
        <w:rPr>
          <w:szCs w:val="20"/>
          <w:lang w:val="en-US"/>
        </w:rPr>
        <w:t xml:space="preserve"> oppression</w:t>
      </w:r>
      <w:r w:rsidR="008307D6" w:rsidRPr="001558A5">
        <w:rPr>
          <w:szCs w:val="20"/>
          <w:lang w:val="en-US"/>
        </w:rPr>
        <w:t xml:space="preserve"> may be based</w:t>
      </w:r>
      <w:r w:rsidR="0025796A" w:rsidRPr="001558A5">
        <w:rPr>
          <w:szCs w:val="20"/>
          <w:lang w:val="en-US"/>
        </w:rPr>
        <w:t xml:space="preserve">, in reality an additional category is not being included, which would be perfectly acceptable; rather, the judgment includes a person who is not contemplated in </w:t>
      </w:r>
      <w:r w:rsidR="00871E19" w:rsidRPr="001558A5">
        <w:rPr>
          <w:szCs w:val="20"/>
          <w:lang w:val="en-US"/>
        </w:rPr>
        <w:t>Article</w:t>
      </w:r>
      <w:r w:rsidR="0076236C" w:rsidRPr="001558A5">
        <w:rPr>
          <w:szCs w:val="20"/>
          <w:lang w:val="en-US"/>
        </w:rPr>
        <w:t xml:space="preserve"> 1</w:t>
      </w:r>
      <w:r w:rsidR="00DD4354" w:rsidRPr="001558A5">
        <w:rPr>
          <w:szCs w:val="20"/>
          <w:lang w:val="en-US"/>
        </w:rPr>
        <w:t xml:space="preserve"> of the </w:t>
      </w:r>
      <w:r w:rsidR="00871E19" w:rsidRPr="001558A5">
        <w:rPr>
          <w:szCs w:val="20"/>
          <w:lang w:val="en-US"/>
        </w:rPr>
        <w:t>Convention</w:t>
      </w:r>
      <w:r w:rsidR="0076236C" w:rsidRPr="001558A5">
        <w:rPr>
          <w:szCs w:val="20"/>
          <w:lang w:val="en-US"/>
        </w:rPr>
        <w:t xml:space="preserve"> </w:t>
      </w:r>
      <w:r w:rsidR="0025796A" w:rsidRPr="001558A5">
        <w:rPr>
          <w:szCs w:val="20"/>
          <w:lang w:val="en-US"/>
        </w:rPr>
        <w:t xml:space="preserve">when it stipulates that “violence against women is any act or conduct based on her gender, </w:t>
      </w:r>
      <w:r w:rsidR="0076236C" w:rsidRPr="001558A5">
        <w:rPr>
          <w:szCs w:val="20"/>
          <w:lang w:val="en-US"/>
        </w:rPr>
        <w:t>…”</w:t>
      </w:r>
      <w:r w:rsidR="0025796A" w:rsidRPr="001558A5">
        <w:rPr>
          <w:szCs w:val="20"/>
          <w:lang w:val="en-US"/>
        </w:rPr>
        <w:t>; in other words, any act or conduct against a person of the female sex and gender</w:t>
      </w:r>
      <w:r w:rsidR="0076236C" w:rsidRPr="001558A5">
        <w:rPr>
          <w:szCs w:val="20"/>
          <w:lang w:val="en-US"/>
        </w:rPr>
        <w:t xml:space="preserve">. </w:t>
      </w:r>
    </w:p>
    <w:p w14:paraId="070CA443" w14:textId="673CF9B5" w:rsidR="0076236C" w:rsidRPr="001558A5" w:rsidRDefault="0076236C" w:rsidP="0076236C">
      <w:pPr>
        <w:pStyle w:val="Prrafodelista"/>
        <w:numPr>
          <w:ilvl w:val="0"/>
          <w:numId w:val="40"/>
        </w:numPr>
        <w:spacing w:before="240" w:after="240"/>
        <w:ind w:left="714" w:hanging="357"/>
        <w:contextualSpacing w:val="0"/>
        <w:outlineLvl w:val="0"/>
        <w:rPr>
          <w:b/>
          <w:caps/>
          <w:szCs w:val="20"/>
          <w:lang w:val="en-US"/>
        </w:rPr>
      </w:pPr>
      <w:r w:rsidRPr="001558A5">
        <w:rPr>
          <w:b/>
          <w:caps/>
          <w:szCs w:val="20"/>
          <w:lang w:val="en-US"/>
        </w:rPr>
        <w:t>final</w:t>
      </w:r>
      <w:r w:rsidR="0025796A" w:rsidRPr="001558A5">
        <w:rPr>
          <w:b/>
          <w:caps/>
          <w:szCs w:val="20"/>
          <w:lang w:val="en-US"/>
        </w:rPr>
        <w:t xml:space="preserve"> THOUGHT</w:t>
      </w:r>
      <w:r w:rsidRPr="001558A5">
        <w:rPr>
          <w:b/>
          <w:caps/>
          <w:szCs w:val="20"/>
          <w:lang w:val="en-US"/>
        </w:rPr>
        <w:t>s</w:t>
      </w:r>
    </w:p>
    <w:p w14:paraId="0FE40CD3" w14:textId="4BA9F0BD" w:rsidR="004D57ED" w:rsidRPr="001558A5" w:rsidRDefault="004D57ED" w:rsidP="0076236C">
      <w:pPr>
        <w:pStyle w:val="Prrafodelista"/>
        <w:numPr>
          <w:ilvl w:val="0"/>
          <w:numId w:val="39"/>
        </w:numPr>
        <w:ind w:left="0" w:firstLine="0"/>
        <w:contextualSpacing w:val="0"/>
        <w:rPr>
          <w:szCs w:val="20"/>
          <w:lang w:val="en-US"/>
        </w:rPr>
      </w:pPr>
      <w:r w:rsidRPr="001558A5">
        <w:rPr>
          <w:szCs w:val="20"/>
          <w:lang w:val="en-US"/>
        </w:rPr>
        <w:t xml:space="preserve">Understanding the difference between the concepts of </w:t>
      </w:r>
      <w:r w:rsidR="0076236C" w:rsidRPr="001558A5">
        <w:rPr>
          <w:szCs w:val="20"/>
          <w:lang w:val="en-US"/>
        </w:rPr>
        <w:t>“sex</w:t>
      </w:r>
      <w:r w:rsidRPr="001558A5">
        <w:rPr>
          <w:szCs w:val="20"/>
          <w:lang w:val="en-US"/>
        </w:rPr>
        <w:t>,</w:t>
      </w:r>
      <w:r w:rsidR="0076236C" w:rsidRPr="001558A5">
        <w:rPr>
          <w:szCs w:val="20"/>
          <w:lang w:val="en-US"/>
        </w:rPr>
        <w:t>” “g</w:t>
      </w:r>
      <w:r w:rsidRPr="001558A5">
        <w:rPr>
          <w:szCs w:val="20"/>
          <w:lang w:val="en-US"/>
        </w:rPr>
        <w:t>ender</w:t>
      </w:r>
      <w:r w:rsidR="0076236C" w:rsidRPr="001558A5">
        <w:rPr>
          <w:szCs w:val="20"/>
          <w:lang w:val="en-US"/>
        </w:rPr>
        <w:t xml:space="preserve">” </w:t>
      </w:r>
      <w:r w:rsidRPr="001558A5">
        <w:rPr>
          <w:szCs w:val="20"/>
          <w:lang w:val="en-US"/>
        </w:rPr>
        <w:t>and</w:t>
      </w:r>
      <w:r w:rsidR="0076236C" w:rsidRPr="001558A5">
        <w:rPr>
          <w:szCs w:val="20"/>
          <w:lang w:val="en-US"/>
        </w:rPr>
        <w:t xml:space="preserve"> “</w:t>
      </w:r>
      <w:r w:rsidR="00DF7573" w:rsidRPr="001558A5">
        <w:rPr>
          <w:szCs w:val="20"/>
          <w:lang w:val="en-US"/>
        </w:rPr>
        <w:t>gender identity</w:t>
      </w:r>
      <w:r w:rsidR="0076236C" w:rsidRPr="001558A5">
        <w:rPr>
          <w:szCs w:val="20"/>
          <w:lang w:val="en-US"/>
        </w:rPr>
        <w:t xml:space="preserve">” </w:t>
      </w:r>
      <w:r w:rsidRPr="001558A5">
        <w:rPr>
          <w:szCs w:val="20"/>
          <w:lang w:val="en-US"/>
        </w:rPr>
        <w:t xml:space="preserve">is essential to be able to attack the structural and historical problems that result in violence against different vulnerable groups. With this dissenting opinion, I wish to make clear that there can be no doubt about the social, institutional and systematic violence suffered by </w:t>
      </w:r>
      <w:proofErr w:type="gramStart"/>
      <w:r w:rsidRPr="001558A5">
        <w:rPr>
          <w:szCs w:val="20"/>
          <w:lang w:val="en-US"/>
        </w:rPr>
        <w:t>trans</w:t>
      </w:r>
      <w:proofErr w:type="gramEnd"/>
      <w:r w:rsidRPr="001558A5">
        <w:rPr>
          <w:szCs w:val="20"/>
          <w:lang w:val="en-US"/>
        </w:rPr>
        <w:t xml:space="preserve"> women and the LGBTI community in general. That said, the legitimate desire to combat this violence cannot undermine, render invisible or obstruct the combat against other types of violence, such as violence against women based on their sex and gender; that is, for being </w:t>
      </w:r>
      <w:r w:rsidR="008307D6" w:rsidRPr="001558A5">
        <w:rPr>
          <w:szCs w:val="20"/>
          <w:lang w:val="en-US"/>
        </w:rPr>
        <w:t>women</w:t>
      </w:r>
      <w:r w:rsidRPr="001558A5">
        <w:rPr>
          <w:szCs w:val="20"/>
          <w:lang w:val="en-US"/>
        </w:rPr>
        <w:t>.</w:t>
      </w:r>
    </w:p>
    <w:p w14:paraId="0B38BF37" w14:textId="77777777" w:rsidR="0076236C" w:rsidRPr="001558A5" w:rsidRDefault="0076236C" w:rsidP="0076236C">
      <w:pPr>
        <w:rPr>
          <w:szCs w:val="20"/>
          <w:lang w:val="en-US"/>
        </w:rPr>
      </w:pPr>
    </w:p>
    <w:p w14:paraId="25F1AB91" w14:textId="4C90609F" w:rsidR="00C66D84" w:rsidRPr="001558A5" w:rsidRDefault="004D57ED" w:rsidP="00C66D84">
      <w:pPr>
        <w:pStyle w:val="Prrafodelista"/>
        <w:numPr>
          <w:ilvl w:val="0"/>
          <w:numId w:val="39"/>
        </w:numPr>
        <w:ind w:left="0" w:firstLine="0"/>
        <w:contextualSpacing w:val="0"/>
        <w:rPr>
          <w:szCs w:val="20"/>
          <w:lang w:val="en-US"/>
        </w:rPr>
      </w:pPr>
      <w:r w:rsidRPr="001558A5">
        <w:rPr>
          <w:szCs w:val="20"/>
          <w:lang w:val="en-US"/>
        </w:rPr>
        <w:t xml:space="preserve">As I have argued in this opinion, violence against women is a result of the social hierarchy established </w:t>
      </w:r>
      <w:r w:rsidR="008307D6" w:rsidRPr="001558A5">
        <w:rPr>
          <w:szCs w:val="20"/>
          <w:lang w:val="en-US"/>
        </w:rPr>
        <w:t>according to</w:t>
      </w:r>
      <w:r w:rsidRPr="001558A5">
        <w:rPr>
          <w:szCs w:val="20"/>
          <w:lang w:val="en-US"/>
        </w:rPr>
        <w:t xml:space="preserve"> the gender roles assigned on the basis of the biological sex, while the violence that was perpetrated against Vicky Hernández (and the proven facts in the instant case attest to this) was due to her non-conformity and act of resistance against the social and cultural dictates of</w:t>
      </w:r>
      <w:r w:rsidRPr="001558A5">
        <w:rPr>
          <w:lang w:val="en-US"/>
        </w:rPr>
        <w:t xml:space="preserve"> heteropatriarchy.</w:t>
      </w:r>
      <w:r w:rsidR="00A27C7D" w:rsidRPr="001558A5">
        <w:rPr>
          <w:lang w:val="en-US"/>
        </w:rPr>
        <w:t xml:space="preserve"> This has also been </w:t>
      </w:r>
      <w:r w:rsidR="00A27C7D" w:rsidRPr="001558A5">
        <w:rPr>
          <w:szCs w:val="20"/>
          <w:lang w:val="en-US"/>
        </w:rPr>
        <w:t xml:space="preserve">ratified by the </w:t>
      </w:r>
      <w:r w:rsidR="00443040" w:rsidRPr="001558A5">
        <w:rPr>
          <w:szCs w:val="20"/>
          <w:lang w:val="en-US"/>
        </w:rPr>
        <w:t>United Nations High Commissioner for Human Rights</w:t>
      </w:r>
      <w:r w:rsidR="0076236C" w:rsidRPr="001558A5">
        <w:rPr>
          <w:szCs w:val="20"/>
          <w:lang w:val="en-US"/>
        </w:rPr>
        <w:t>,</w:t>
      </w:r>
      <w:r w:rsidR="00A27C7D" w:rsidRPr="001558A5">
        <w:rPr>
          <w:szCs w:val="20"/>
          <w:lang w:val="en-US"/>
        </w:rPr>
        <w:t xml:space="preserve"> wh</w:t>
      </w:r>
      <w:r w:rsidR="00C66D84" w:rsidRPr="001558A5">
        <w:rPr>
          <w:szCs w:val="20"/>
          <w:lang w:val="en-US"/>
        </w:rPr>
        <w:t>o</w:t>
      </w:r>
      <w:r w:rsidR="00A27C7D" w:rsidRPr="001558A5">
        <w:rPr>
          <w:szCs w:val="20"/>
          <w:lang w:val="en-US"/>
        </w:rPr>
        <w:t xml:space="preserve"> has indicated (and the judgment itself refers to this) that</w:t>
      </w:r>
      <w:r w:rsidR="00C66D84" w:rsidRPr="001558A5">
        <w:rPr>
          <w:szCs w:val="20"/>
          <w:lang w:val="en-US"/>
        </w:rPr>
        <w:t xml:space="preserve"> </w:t>
      </w:r>
      <w:r w:rsidR="00A27C7D" w:rsidRPr="001558A5">
        <w:rPr>
          <w:szCs w:val="20"/>
          <w:lang w:val="en-US"/>
        </w:rPr>
        <w:t xml:space="preserve">transphobic violence </w:t>
      </w:r>
      <w:r w:rsidR="00C66D84" w:rsidRPr="001558A5">
        <w:rPr>
          <w:rFonts w:cs="Verdana"/>
          <w:bCs/>
          <w:szCs w:val="20"/>
          <w:lang w:val="en-US"/>
        </w:rPr>
        <w:t>“constitute[s] a form of gender-based violence, driven b</w:t>
      </w:r>
      <w:r w:rsidR="008307D6" w:rsidRPr="001558A5">
        <w:rPr>
          <w:rFonts w:cs="Verdana"/>
          <w:bCs/>
          <w:szCs w:val="20"/>
          <w:lang w:val="en-US"/>
        </w:rPr>
        <w:t>y</w:t>
      </w:r>
      <w:r w:rsidR="00C66D84" w:rsidRPr="001558A5">
        <w:rPr>
          <w:rFonts w:cs="Verdana"/>
          <w:bCs/>
          <w:szCs w:val="20"/>
          <w:lang w:val="en-US"/>
        </w:rPr>
        <w:t xml:space="preserve"> a desire to punish those seen as defying gender norms.” </w:t>
      </w:r>
    </w:p>
    <w:p w14:paraId="43CBB5C5" w14:textId="77777777" w:rsidR="0076236C" w:rsidRPr="001558A5" w:rsidRDefault="0076236C" w:rsidP="0076236C">
      <w:pPr>
        <w:rPr>
          <w:szCs w:val="20"/>
          <w:lang w:val="en-US"/>
        </w:rPr>
      </w:pPr>
    </w:p>
    <w:p w14:paraId="74CAAAF4" w14:textId="0216B848" w:rsidR="008D153B" w:rsidRPr="001558A5" w:rsidRDefault="00C66D84" w:rsidP="00C66D84">
      <w:pPr>
        <w:pStyle w:val="Prrafodelista"/>
        <w:numPr>
          <w:ilvl w:val="0"/>
          <w:numId w:val="39"/>
        </w:numPr>
        <w:ind w:left="0" w:firstLine="0"/>
        <w:contextualSpacing w:val="0"/>
        <w:rPr>
          <w:rFonts w:cs="Verdana"/>
          <w:bCs/>
          <w:szCs w:val="20"/>
          <w:lang w:val="en-US"/>
        </w:rPr>
      </w:pPr>
      <w:r w:rsidRPr="001558A5">
        <w:rPr>
          <w:szCs w:val="20"/>
          <w:lang w:val="en-US"/>
        </w:rPr>
        <w:t xml:space="preserve">In this opinion, I must insist on the need to treat each type of violence in keeping with its specific causes and consequences. This means that it is essential that </w:t>
      </w:r>
      <w:r w:rsidR="008D153B" w:rsidRPr="001558A5">
        <w:rPr>
          <w:szCs w:val="20"/>
          <w:lang w:val="en-US"/>
        </w:rPr>
        <w:t xml:space="preserve">the public authorities in general, and this Court in particular, address separately gender violence against women on the one hand and, on the other, the violence derived from “gender identity” that arises when this is not adapted to or defies the dictates of the heteropatriarchy. And this is because, in the absence of that distinction, there is a risk that violence against women becomes invisible or is diluted by other violence and violations and is not adequately analyzed when designing policies as a structural phenomenon related to the system of domination and gender stereotyping of women.  </w:t>
      </w:r>
      <w:proofErr w:type="spellStart"/>
      <w:r w:rsidR="0076236C" w:rsidRPr="001558A5">
        <w:rPr>
          <w:i/>
          <w:szCs w:val="20"/>
          <w:lang w:val="en-US"/>
        </w:rPr>
        <w:t>Sensu</w:t>
      </w:r>
      <w:proofErr w:type="spellEnd"/>
      <w:r w:rsidR="0076236C" w:rsidRPr="001558A5">
        <w:rPr>
          <w:i/>
          <w:szCs w:val="20"/>
          <w:lang w:val="en-US"/>
        </w:rPr>
        <w:t xml:space="preserve"> </w:t>
      </w:r>
      <w:proofErr w:type="spellStart"/>
      <w:r w:rsidR="0076236C" w:rsidRPr="001558A5">
        <w:rPr>
          <w:i/>
          <w:szCs w:val="20"/>
          <w:lang w:val="en-US"/>
        </w:rPr>
        <w:t>contrario</w:t>
      </w:r>
      <w:proofErr w:type="spellEnd"/>
      <w:r w:rsidR="0076236C" w:rsidRPr="001558A5">
        <w:rPr>
          <w:szCs w:val="20"/>
          <w:lang w:val="en-US"/>
        </w:rPr>
        <w:t xml:space="preserve">, </w:t>
      </w:r>
      <w:r w:rsidR="008D153B" w:rsidRPr="001558A5">
        <w:rPr>
          <w:szCs w:val="20"/>
          <w:lang w:val="en-US"/>
        </w:rPr>
        <w:t xml:space="preserve">the analysis of violence against </w:t>
      </w:r>
      <w:proofErr w:type="gramStart"/>
      <w:r w:rsidR="008D153B" w:rsidRPr="001558A5">
        <w:rPr>
          <w:szCs w:val="20"/>
          <w:lang w:val="en-US"/>
        </w:rPr>
        <w:t>trans</w:t>
      </w:r>
      <w:proofErr w:type="gramEnd"/>
      <w:r w:rsidR="008D153B" w:rsidRPr="001558A5">
        <w:rPr>
          <w:szCs w:val="20"/>
          <w:lang w:val="en-US"/>
        </w:rPr>
        <w:t xml:space="preserve"> persons from a perspective that only analyzes violence against women because they are women is plainly counterproductive and ineffective</w:t>
      </w:r>
      <w:r w:rsidR="000A502B" w:rsidRPr="001558A5">
        <w:rPr>
          <w:szCs w:val="20"/>
          <w:lang w:val="en-US"/>
        </w:rPr>
        <w:t xml:space="preserve"> since it does not examine the origin of the specific violence suffered by the said group</w:t>
      </w:r>
      <w:r w:rsidR="008D153B" w:rsidRPr="001558A5">
        <w:rPr>
          <w:szCs w:val="20"/>
          <w:lang w:val="en-US"/>
        </w:rPr>
        <w:t>.</w:t>
      </w:r>
    </w:p>
    <w:p w14:paraId="6E35A710" w14:textId="77777777" w:rsidR="0076236C" w:rsidRPr="001558A5" w:rsidRDefault="0076236C" w:rsidP="0076236C">
      <w:pPr>
        <w:pStyle w:val="Prrafodelista"/>
        <w:ind w:left="0"/>
        <w:contextualSpacing w:val="0"/>
        <w:rPr>
          <w:rFonts w:cs="Verdana"/>
          <w:bCs/>
          <w:szCs w:val="20"/>
          <w:lang w:val="en-US"/>
        </w:rPr>
      </w:pPr>
    </w:p>
    <w:p w14:paraId="496D20D2" w14:textId="40C984C5" w:rsidR="008D153B" w:rsidRPr="001558A5" w:rsidRDefault="008D153B" w:rsidP="0076236C">
      <w:pPr>
        <w:pStyle w:val="Prrafodelista"/>
        <w:numPr>
          <w:ilvl w:val="0"/>
          <w:numId w:val="39"/>
        </w:numPr>
        <w:ind w:left="0" w:firstLine="0"/>
        <w:contextualSpacing w:val="0"/>
        <w:rPr>
          <w:rFonts w:cs="Verdana"/>
          <w:bCs/>
          <w:szCs w:val="20"/>
          <w:lang w:val="en-US"/>
        </w:rPr>
      </w:pPr>
      <w:r w:rsidRPr="001558A5">
        <w:rPr>
          <w:szCs w:val="20"/>
          <w:lang w:val="en-US"/>
        </w:rPr>
        <w:t xml:space="preserve">In sum, the application </w:t>
      </w:r>
      <w:r w:rsidR="00DD4354" w:rsidRPr="001558A5">
        <w:rPr>
          <w:szCs w:val="20"/>
          <w:lang w:val="en-US"/>
        </w:rPr>
        <w:t xml:space="preserve">of the </w:t>
      </w:r>
      <w:r w:rsidR="00871E19" w:rsidRPr="001558A5">
        <w:rPr>
          <w:szCs w:val="20"/>
          <w:lang w:val="en-US"/>
        </w:rPr>
        <w:t>Convention</w:t>
      </w:r>
      <w:r w:rsidR="0076236C"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0076236C" w:rsidRPr="001558A5">
        <w:rPr>
          <w:szCs w:val="20"/>
          <w:lang w:val="en-US"/>
        </w:rPr>
        <w:t xml:space="preserve"> do </w:t>
      </w:r>
      <w:proofErr w:type="spellStart"/>
      <w:r w:rsidR="0076236C" w:rsidRPr="001558A5">
        <w:rPr>
          <w:szCs w:val="20"/>
          <w:lang w:val="en-US"/>
        </w:rPr>
        <w:t>Pará</w:t>
      </w:r>
      <w:proofErr w:type="spellEnd"/>
      <w:r w:rsidR="0076236C" w:rsidRPr="001558A5">
        <w:rPr>
          <w:szCs w:val="20"/>
          <w:lang w:val="en-US"/>
        </w:rPr>
        <w:t xml:space="preserve"> </w:t>
      </w:r>
      <w:r w:rsidRPr="001558A5">
        <w:rPr>
          <w:szCs w:val="20"/>
          <w:lang w:val="en-US"/>
        </w:rPr>
        <w:t xml:space="preserve">in this case, even though it represents a </w:t>
      </w:r>
      <w:r w:rsidR="000F6383" w:rsidRPr="001558A5">
        <w:rPr>
          <w:szCs w:val="20"/>
          <w:lang w:val="en-US"/>
        </w:rPr>
        <w:t>well-meaning initiative by my colleagues, entails an erroneous approach to the different dynamics of violence. Moreover, not only does it not benefit either of the two groups, but it also hinders the fight against the root of such violence.</w:t>
      </w:r>
    </w:p>
    <w:p w14:paraId="744BEE2F" w14:textId="77777777" w:rsidR="0076236C" w:rsidRPr="001558A5" w:rsidRDefault="0076236C" w:rsidP="000F6383">
      <w:pPr>
        <w:rPr>
          <w:rFonts w:cs="Verdana"/>
          <w:bCs/>
          <w:szCs w:val="20"/>
          <w:lang w:val="en-US"/>
        </w:rPr>
      </w:pPr>
    </w:p>
    <w:p w14:paraId="1FFD6B7A" w14:textId="77777777" w:rsidR="0076236C" w:rsidRPr="001558A5" w:rsidRDefault="0076236C" w:rsidP="0076236C">
      <w:pPr>
        <w:jc w:val="center"/>
        <w:rPr>
          <w:rFonts w:eastAsia="Calibri" w:cs="Arial"/>
          <w:szCs w:val="20"/>
          <w:lang w:val="en-US"/>
        </w:rPr>
      </w:pPr>
    </w:p>
    <w:p w14:paraId="5810D819" w14:textId="77777777" w:rsidR="0076236C" w:rsidRPr="001558A5" w:rsidRDefault="0076236C" w:rsidP="0076236C">
      <w:pPr>
        <w:jc w:val="center"/>
        <w:rPr>
          <w:rFonts w:eastAsia="Calibri" w:cs="Arial"/>
          <w:szCs w:val="20"/>
          <w:lang w:val="en-US"/>
        </w:rPr>
      </w:pPr>
    </w:p>
    <w:p w14:paraId="193F1A71" w14:textId="77777777" w:rsidR="0076236C" w:rsidRPr="001558A5" w:rsidRDefault="0076236C" w:rsidP="0076236C">
      <w:pPr>
        <w:jc w:val="center"/>
        <w:rPr>
          <w:rFonts w:eastAsia="Calibri" w:cs="Arial"/>
          <w:szCs w:val="20"/>
          <w:lang w:val="en-US"/>
        </w:rPr>
      </w:pPr>
    </w:p>
    <w:p w14:paraId="24E60EFC" w14:textId="77777777" w:rsidR="0076236C" w:rsidRPr="001558A5" w:rsidRDefault="0076236C" w:rsidP="0076236C">
      <w:pPr>
        <w:ind w:left="5664"/>
        <w:jc w:val="center"/>
        <w:rPr>
          <w:rFonts w:eastAsia="Calibri" w:cs="Arial"/>
          <w:szCs w:val="20"/>
          <w:lang w:val="en-US"/>
        </w:rPr>
      </w:pPr>
      <w:r w:rsidRPr="001558A5">
        <w:rPr>
          <w:rFonts w:eastAsia="Calibri" w:cs="Arial"/>
          <w:szCs w:val="20"/>
          <w:lang w:val="en-US"/>
        </w:rPr>
        <w:t xml:space="preserve">Elizabeth </w:t>
      </w:r>
      <w:proofErr w:type="spellStart"/>
      <w:r w:rsidRPr="001558A5">
        <w:rPr>
          <w:rFonts w:eastAsia="Calibri" w:cs="Arial"/>
          <w:szCs w:val="20"/>
          <w:lang w:val="en-US"/>
        </w:rPr>
        <w:t>Odio</w:t>
      </w:r>
      <w:proofErr w:type="spellEnd"/>
      <w:r w:rsidRPr="001558A5">
        <w:rPr>
          <w:rFonts w:eastAsia="Calibri" w:cs="Arial"/>
          <w:szCs w:val="20"/>
          <w:lang w:val="en-US"/>
        </w:rPr>
        <w:t xml:space="preserve"> Benito</w:t>
      </w:r>
    </w:p>
    <w:p w14:paraId="28D99A49" w14:textId="440FFEF6" w:rsidR="0076236C" w:rsidRPr="001558A5" w:rsidRDefault="00871E19" w:rsidP="0076236C">
      <w:pPr>
        <w:ind w:left="5664"/>
        <w:jc w:val="center"/>
        <w:rPr>
          <w:rFonts w:eastAsia="Calibri" w:cs="Arial"/>
          <w:szCs w:val="20"/>
          <w:lang w:val="en-US"/>
        </w:rPr>
      </w:pPr>
      <w:r w:rsidRPr="001558A5">
        <w:rPr>
          <w:rFonts w:eastAsia="Calibri" w:cs="Arial"/>
          <w:szCs w:val="20"/>
          <w:lang w:val="en-US"/>
        </w:rPr>
        <w:t>Judge</w:t>
      </w:r>
    </w:p>
    <w:p w14:paraId="6D1739B4" w14:textId="21F659AF" w:rsidR="0076236C" w:rsidRPr="001558A5" w:rsidRDefault="0076236C" w:rsidP="002C5B2A">
      <w:pPr>
        <w:tabs>
          <w:tab w:val="left" w:pos="1690"/>
        </w:tabs>
        <w:rPr>
          <w:rFonts w:cs="Verdana"/>
          <w:bCs/>
          <w:szCs w:val="20"/>
          <w:lang w:val="en-US"/>
        </w:rPr>
        <w:sectPr w:rsidR="0076236C" w:rsidRPr="001558A5" w:rsidSect="00BD7212">
          <w:footerReference w:type="even" r:id="rId11"/>
          <w:footerReference w:type="default" r:id="rId12"/>
          <w:footnotePr>
            <w:numRestart w:val="eachSect"/>
          </w:footnotePr>
          <w:pgSz w:w="12240" w:h="15840"/>
          <w:pgMar w:top="1440" w:right="1440" w:bottom="1440" w:left="1440" w:header="708" w:footer="708" w:gutter="0"/>
          <w:pgNumType w:start="1"/>
          <w:cols w:space="708"/>
          <w:titlePg/>
          <w:docGrid w:linePitch="360"/>
        </w:sectPr>
      </w:pPr>
      <w:r w:rsidRPr="001558A5">
        <w:rPr>
          <w:rFonts w:cs="Verdana"/>
          <w:bCs/>
          <w:szCs w:val="20"/>
          <w:lang w:val="en-US"/>
        </w:rPr>
        <w:tab/>
      </w:r>
    </w:p>
    <w:p w14:paraId="21FBBCC6" w14:textId="77777777" w:rsidR="0076236C" w:rsidRPr="001558A5" w:rsidRDefault="0076236C" w:rsidP="002C5B2A">
      <w:pPr>
        <w:rPr>
          <w:b/>
          <w:szCs w:val="20"/>
          <w:lang w:val="en-US"/>
        </w:rPr>
      </w:pPr>
    </w:p>
    <w:p w14:paraId="5185CB79" w14:textId="6B9919F3" w:rsidR="0076236C" w:rsidRPr="001558A5" w:rsidRDefault="007D4A8F" w:rsidP="0076236C">
      <w:pPr>
        <w:jc w:val="center"/>
        <w:rPr>
          <w:b/>
          <w:szCs w:val="20"/>
          <w:lang w:val="en-US"/>
        </w:rPr>
      </w:pPr>
      <w:r w:rsidRPr="001558A5">
        <w:rPr>
          <w:b/>
          <w:szCs w:val="20"/>
          <w:lang w:val="en-US"/>
        </w:rPr>
        <w:t>CONCURRING OPINION OF</w:t>
      </w:r>
    </w:p>
    <w:p w14:paraId="14DBCF1B" w14:textId="2C688CAA" w:rsidR="0076236C" w:rsidRPr="001558A5" w:rsidRDefault="00871E19" w:rsidP="0076236C">
      <w:pPr>
        <w:jc w:val="center"/>
        <w:rPr>
          <w:b/>
          <w:szCs w:val="20"/>
          <w:lang w:val="en-US"/>
        </w:rPr>
      </w:pPr>
      <w:r w:rsidRPr="001558A5">
        <w:rPr>
          <w:b/>
          <w:szCs w:val="20"/>
          <w:lang w:val="en-US"/>
        </w:rPr>
        <w:t>JUDGE</w:t>
      </w:r>
      <w:r w:rsidR="0076236C" w:rsidRPr="001558A5">
        <w:rPr>
          <w:b/>
          <w:szCs w:val="20"/>
          <w:lang w:val="en-US"/>
        </w:rPr>
        <w:t xml:space="preserve"> L. PATRICIO PAZMIÑO FREIRE</w:t>
      </w:r>
    </w:p>
    <w:p w14:paraId="4FA4F2BC" w14:textId="77777777" w:rsidR="0076236C" w:rsidRPr="001558A5" w:rsidRDefault="0076236C" w:rsidP="0076236C">
      <w:pPr>
        <w:jc w:val="center"/>
        <w:rPr>
          <w:b/>
          <w:szCs w:val="20"/>
          <w:lang w:val="en-US"/>
        </w:rPr>
      </w:pPr>
    </w:p>
    <w:p w14:paraId="0600EB6B" w14:textId="77ABF4A5" w:rsidR="0076236C" w:rsidRPr="001558A5" w:rsidRDefault="0076236C" w:rsidP="0076236C">
      <w:pPr>
        <w:jc w:val="center"/>
        <w:rPr>
          <w:b/>
          <w:caps/>
          <w:szCs w:val="20"/>
          <w:lang w:val="en-US"/>
        </w:rPr>
      </w:pPr>
      <w:r w:rsidRPr="001558A5">
        <w:rPr>
          <w:b/>
          <w:caps/>
          <w:szCs w:val="20"/>
          <w:lang w:val="en-US"/>
        </w:rPr>
        <w:t>INTER</w:t>
      </w:r>
      <w:r w:rsidR="007D4A8F" w:rsidRPr="001558A5">
        <w:rPr>
          <w:b/>
          <w:caps/>
          <w:szCs w:val="20"/>
          <w:lang w:val="en-US"/>
        </w:rPr>
        <w:t>-</w:t>
      </w:r>
      <w:r w:rsidRPr="001558A5">
        <w:rPr>
          <w:b/>
          <w:caps/>
          <w:szCs w:val="20"/>
          <w:lang w:val="en-US"/>
        </w:rPr>
        <w:t>AMERICAN</w:t>
      </w:r>
      <w:r w:rsidR="007D4A8F" w:rsidRPr="001558A5">
        <w:rPr>
          <w:b/>
          <w:caps/>
          <w:szCs w:val="20"/>
          <w:lang w:val="en-US"/>
        </w:rPr>
        <w:t xml:space="preserve"> COURT OF</w:t>
      </w:r>
      <w:r w:rsidRPr="001558A5">
        <w:rPr>
          <w:b/>
          <w:caps/>
          <w:szCs w:val="20"/>
          <w:lang w:val="en-US"/>
        </w:rPr>
        <w:t xml:space="preserve"> </w:t>
      </w:r>
      <w:r w:rsidR="00C909B4" w:rsidRPr="001558A5">
        <w:rPr>
          <w:b/>
          <w:caps/>
          <w:szCs w:val="20"/>
          <w:lang w:val="en-US"/>
        </w:rPr>
        <w:t>HUMAN RIGHTS</w:t>
      </w:r>
    </w:p>
    <w:p w14:paraId="6C542888" w14:textId="77777777" w:rsidR="0076236C" w:rsidRPr="001558A5" w:rsidRDefault="0076236C" w:rsidP="0076236C">
      <w:pPr>
        <w:rPr>
          <w:b/>
          <w:caps/>
          <w:szCs w:val="20"/>
          <w:lang w:val="en-US"/>
        </w:rPr>
      </w:pPr>
    </w:p>
    <w:p w14:paraId="3A7F6BA9" w14:textId="77777777" w:rsidR="007D4A8F" w:rsidRPr="001558A5" w:rsidRDefault="007D4A8F" w:rsidP="007D4A8F">
      <w:pPr>
        <w:tabs>
          <w:tab w:val="left" w:pos="851"/>
          <w:tab w:val="left" w:pos="1701"/>
          <w:tab w:val="left" w:pos="3544"/>
          <w:tab w:val="left" w:pos="3696"/>
        </w:tabs>
        <w:jc w:val="center"/>
        <w:rPr>
          <w:b/>
          <w:i/>
          <w:szCs w:val="20"/>
          <w:lang w:val="en-US"/>
        </w:rPr>
      </w:pPr>
      <w:r w:rsidRPr="001558A5">
        <w:rPr>
          <w:b/>
          <w:i/>
          <w:szCs w:val="20"/>
          <w:lang w:val="en-US"/>
        </w:rPr>
        <w:t>CASE OF VICKY HERNÁNDEZ ET AL. V. HONDURAS</w:t>
      </w:r>
    </w:p>
    <w:p w14:paraId="4551FEF9" w14:textId="77777777" w:rsidR="007D4A8F" w:rsidRPr="001558A5" w:rsidRDefault="007D4A8F" w:rsidP="007D4A8F">
      <w:pPr>
        <w:jc w:val="center"/>
        <w:rPr>
          <w:b/>
          <w:szCs w:val="20"/>
          <w:lang w:val="en-US"/>
        </w:rPr>
      </w:pPr>
    </w:p>
    <w:p w14:paraId="75AF625B" w14:textId="77777777" w:rsidR="007D4A8F" w:rsidRPr="001558A5" w:rsidRDefault="007D4A8F" w:rsidP="007D4A8F">
      <w:pPr>
        <w:jc w:val="center"/>
        <w:rPr>
          <w:b/>
          <w:szCs w:val="20"/>
          <w:lang w:val="en-US"/>
        </w:rPr>
      </w:pPr>
      <w:r w:rsidRPr="001558A5">
        <w:rPr>
          <w:b/>
          <w:szCs w:val="20"/>
          <w:lang w:val="en-US"/>
        </w:rPr>
        <w:t>JUDGMENT OF MARCH 26, 2021</w:t>
      </w:r>
    </w:p>
    <w:p w14:paraId="645D3D55" w14:textId="77777777" w:rsidR="007D4A8F" w:rsidRPr="001558A5" w:rsidRDefault="007D4A8F" w:rsidP="007D4A8F">
      <w:pPr>
        <w:jc w:val="center"/>
        <w:rPr>
          <w:b/>
          <w:i/>
          <w:szCs w:val="20"/>
          <w:lang w:val="en-US"/>
        </w:rPr>
      </w:pPr>
      <w:r w:rsidRPr="001558A5">
        <w:rPr>
          <w:b/>
          <w:i/>
          <w:szCs w:val="20"/>
          <w:lang w:val="en-US"/>
        </w:rPr>
        <w:t>(Merits, reparations and costs)</w:t>
      </w:r>
    </w:p>
    <w:p w14:paraId="5447728E" w14:textId="77777777" w:rsidR="0076236C" w:rsidRPr="001558A5" w:rsidRDefault="0076236C" w:rsidP="007D4A8F">
      <w:pPr>
        <w:ind w:right="-4"/>
        <w:rPr>
          <w:szCs w:val="20"/>
          <w:lang w:val="en-US"/>
        </w:rPr>
      </w:pPr>
    </w:p>
    <w:p w14:paraId="5402A666" w14:textId="77777777" w:rsidR="0076236C" w:rsidRPr="001558A5" w:rsidRDefault="0076236C" w:rsidP="0076236C">
      <w:pPr>
        <w:jc w:val="center"/>
        <w:rPr>
          <w:szCs w:val="20"/>
          <w:lang w:val="en-US"/>
        </w:rPr>
      </w:pPr>
    </w:p>
    <w:p w14:paraId="33E3169D" w14:textId="04E557BA" w:rsidR="00197156" w:rsidRPr="001558A5" w:rsidRDefault="00373114" w:rsidP="00373114">
      <w:pPr>
        <w:pStyle w:val="Prrafodelista"/>
        <w:numPr>
          <w:ilvl w:val="0"/>
          <w:numId w:val="41"/>
        </w:numPr>
        <w:tabs>
          <w:tab w:val="left" w:pos="567"/>
        </w:tabs>
        <w:ind w:left="0" w:firstLine="0"/>
        <w:contextualSpacing w:val="0"/>
        <w:rPr>
          <w:szCs w:val="20"/>
          <w:lang w:val="en-US"/>
        </w:rPr>
      </w:pPr>
      <w:r w:rsidRPr="001558A5">
        <w:rPr>
          <w:szCs w:val="20"/>
          <w:lang w:val="en-US"/>
        </w:rPr>
        <w:t xml:space="preserve">In this opinion, more than a discordant or dissenting opinion – because I agree with the majority of the Court – I wish to present my considerations, thoughts and arguments on why I find the judgment in the </w:t>
      </w:r>
      <w:r w:rsidRPr="001558A5">
        <w:rPr>
          <w:i/>
          <w:szCs w:val="20"/>
          <w:lang w:val="en-US"/>
        </w:rPr>
        <w:t>cas</w:t>
      </w:r>
      <w:r w:rsidR="00120416" w:rsidRPr="001558A5">
        <w:rPr>
          <w:i/>
          <w:szCs w:val="20"/>
          <w:lang w:val="en-US"/>
        </w:rPr>
        <w:t>e of</w:t>
      </w:r>
      <w:r w:rsidRPr="001558A5">
        <w:rPr>
          <w:i/>
          <w:szCs w:val="20"/>
          <w:lang w:val="en-US"/>
        </w:rPr>
        <w:t xml:space="preserve"> Vicky Hernández v. Honduras</w:t>
      </w:r>
      <w:r w:rsidRPr="001558A5">
        <w:rPr>
          <w:szCs w:val="20"/>
          <w:lang w:val="en-US"/>
        </w:rPr>
        <w:t xml:space="preserve"> especially relevant for advances in the progressivity of the human rights of everyone without discrimination. Even though I am </w:t>
      </w:r>
      <w:r w:rsidR="003F0068" w:rsidRPr="001558A5">
        <w:rPr>
          <w:szCs w:val="20"/>
          <w:lang w:val="en-US"/>
        </w:rPr>
        <w:t>essentially</w:t>
      </w:r>
      <w:r w:rsidRPr="001558A5">
        <w:rPr>
          <w:szCs w:val="20"/>
          <w:lang w:val="en-US"/>
        </w:rPr>
        <w:t xml:space="preserve"> in agreement </w:t>
      </w:r>
      <w:r w:rsidR="003F0068" w:rsidRPr="001558A5">
        <w:rPr>
          <w:szCs w:val="20"/>
          <w:lang w:val="en-US"/>
        </w:rPr>
        <w:t>with</w:t>
      </w:r>
      <w:r w:rsidRPr="001558A5">
        <w:rPr>
          <w:szCs w:val="20"/>
          <w:lang w:val="en-US"/>
        </w:rPr>
        <w:t xml:space="preserve"> the decisions taken in the judgment, I would like to place on record that I dissent partially from the line of argument used t</w:t>
      </w:r>
      <w:r w:rsidR="00197156" w:rsidRPr="001558A5">
        <w:rPr>
          <w:szCs w:val="20"/>
          <w:lang w:val="en-US"/>
        </w:rPr>
        <w:t xml:space="preserve">o consider that the rights of trans women are protected by </w:t>
      </w:r>
      <w:r w:rsidR="00871E19" w:rsidRPr="001558A5">
        <w:rPr>
          <w:szCs w:val="20"/>
          <w:lang w:val="en-US"/>
        </w:rPr>
        <w:t>the Convention</w:t>
      </w:r>
      <w:r w:rsidR="0076236C"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0076236C" w:rsidRPr="001558A5">
        <w:rPr>
          <w:szCs w:val="20"/>
          <w:lang w:val="en-US"/>
        </w:rPr>
        <w:t xml:space="preserve"> do </w:t>
      </w:r>
      <w:proofErr w:type="spellStart"/>
      <w:r w:rsidR="0076236C" w:rsidRPr="001558A5">
        <w:rPr>
          <w:szCs w:val="20"/>
          <w:lang w:val="en-US"/>
        </w:rPr>
        <w:t>Pará</w:t>
      </w:r>
      <w:proofErr w:type="spellEnd"/>
      <w:r w:rsidR="0076236C" w:rsidRPr="001558A5">
        <w:rPr>
          <w:szCs w:val="20"/>
          <w:lang w:val="en-US"/>
        </w:rPr>
        <w:t xml:space="preserve">, </w:t>
      </w:r>
      <w:r w:rsidR="00197156" w:rsidRPr="001558A5">
        <w:rPr>
          <w:szCs w:val="20"/>
          <w:lang w:val="en-US"/>
        </w:rPr>
        <w:t>as I will explain below and for a compelling reason: trans women are women. The relevant point as regards their identification, as the Court has already indicated in its consistent case law, is their self-perception as such.</w:t>
      </w:r>
    </w:p>
    <w:p w14:paraId="671B6718" w14:textId="77777777" w:rsidR="0076236C" w:rsidRPr="001558A5" w:rsidRDefault="0076236C" w:rsidP="0076236C">
      <w:pPr>
        <w:pStyle w:val="Prrafodelista"/>
        <w:tabs>
          <w:tab w:val="left" w:pos="567"/>
        </w:tabs>
        <w:ind w:left="0"/>
        <w:contextualSpacing w:val="0"/>
        <w:rPr>
          <w:szCs w:val="20"/>
          <w:lang w:val="en-US"/>
        </w:rPr>
      </w:pPr>
    </w:p>
    <w:p w14:paraId="558E365B" w14:textId="60D36AA4" w:rsidR="00197156" w:rsidRPr="001558A5" w:rsidRDefault="00197156" w:rsidP="00197156">
      <w:pPr>
        <w:pStyle w:val="Prrafodelista"/>
        <w:numPr>
          <w:ilvl w:val="0"/>
          <w:numId w:val="41"/>
        </w:numPr>
        <w:tabs>
          <w:tab w:val="left" w:pos="567"/>
        </w:tabs>
        <w:ind w:left="0" w:firstLine="0"/>
        <w:contextualSpacing w:val="0"/>
        <w:rPr>
          <w:szCs w:val="20"/>
          <w:lang w:val="en-US"/>
        </w:rPr>
      </w:pPr>
      <w:r w:rsidRPr="001558A5">
        <w:rPr>
          <w:szCs w:val="20"/>
          <w:lang w:val="en-US"/>
        </w:rPr>
        <w:t xml:space="preserve">This case includes a </w:t>
      </w:r>
      <w:r w:rsidR="003F0068" w:rsidRPr="001558A5">
        <w:rPr>
          <w:szCs w:val="20"/>
          <w:lang w:val="en-US"/>
        </w:rPr>
        <w:t>series</w:t>
      </w:r>
      <w:r w:rsidRPr="001558A5">
        <w:rPr>
          <w:szCs w:val="20"/>
          <w:lang w:val="en-US"/>
        </w:rPr>
        <w:t xml:space="preserve"> of decisions that have sought to protect the rights of the LGBTI community based on a progressive and comprehensive </w:t>
      </w:r>
      <w:r w:rsidR="003F0068" w:rsidRPr="001558A5">
        <w:rPr>
          <w:szCs w:val="20"/>
          <w:lang w:val="en-US"/>
        </w:rPr>
        <w:t>vision</w:t>
      </w:r>
      <w:r w:rsidRPr="001558A5">
        <w:rPr>
          <w:szCs w:val="20"/>
          <w:lang w:val="en-US"/>
        </w:rPr>
        <w:t xml:space="preserve"> of </w:t>
      </w:r>
      <w:r w:rsidR="00DF7573" w:rsidRPr="001558A5">
        <w:rPr>
          <w:szCs w:val="20"/>
          <w:lang w:val="en-US"/>
        </w:rPr>
        <w:t>sexual orientation</w:t>
      </w:r>
      <w:r w:rsidR="0076236C" w:rsidRPr="001558A5">
        <w:rPr>
          <w:szCs w:val="20"/>
          <w:lang w:val="en-US"/>
        </w:rPr>
        <w:t xml:space="preserve">, </w:t>
      </w:r>
      <w:r w:rsidR="00DF7573" w:rsidRPr="001558A5">
        <w:rPr>
          <w:szCs w:val="20"/>
          <w:lang w:val="en-US"/>
        </w:rPr>
        <w:t>gender identity</w:t>
      </w:r>
      <w:r w:rsidR="00DD4354" w:rsidRPr="001558A5">
        <w:rPr>
          <w:szCs w:val="20"/>
          <w:lang w:val="en-US"/>
        </w:rPr>
        <w:t xml:space="preserve"> and</w:t>
      </w:r>
      <w:r w:rsidR="0076236C" w:rsidRPr="001558A5">
        <w:rPr>
          <w:szCs w:val="20"/>
          <w:lang w:val="en-US"/>
        </w:rPr>
        <w:t xml:space="preserve"> </w:t>
      </w:r>
      <w:r w:rsidR="002C5430" w:rsidRPr="001558A5">
        <w:rPr>
          <w:szCs w:val="20"/>
          <w:lang w:val="en-US"/>
        </w:rPr>
        <w:t>gender expression</w:t>
      </w:r>
      <w:r w:rsidR="0076236C" w:rsidRPr="001558A5">
        <w:rPr>
          <w:szCs w:val="20"/>
          <w:lang w:val="en-US"/>
        </w:rPr>
        <w:t>,</w:t>
      </w:r>
      <w:r w:rsidRPr="001558A5">
        <w:rPr>
          <w:szCs w:val="20"/>
          <w:lang w:val="en-US"/>
        </w:rPr>
        <w:t xml:space="preserve"> in keeping with the most recent developments of law, as well as of </w:t>
      </w:r>
      <w:r w:rsidR="003F0068" w:rsidRPr="001558A5">
        <w:rPr>
          <w:szCs w:val="20"/>
          <w:lang w:val="en-US"/>
        </w:rPr>
        <w:t xml:space="preserve">the </w:t>
      </w:r>
      <w:r w:rsidRPr="001558A5">
        <w:rPr>
          <w:szCs w:val="20"/>
          <w:lang w:val="en-US"/>
        </w:rPr>
        <w:t xml:space="preserve">social sciences, psychology and medical science. In addition, these decisions directly addressed a harsh reality: the exclusion, marginalization and violation faced daily by those with diverse gender identities or sexual orientations. Ultimately, what is law but a response to </w:t>
      </w:r>
      <w:proofErr w:type="gramStart"/>
      <w:r w:rsidRPr="001558A5">
        <w:rPr>
          <w:szCs w:val="20"/>
          <w:lang w:val="en-US"/>
        </w:rPr>
        <w:t>reality.</w:t>
      </w:r>
      <w:proofErr w:type="gramEnd"/>
      <w:r w:rsidRPr="001558A5">
        <w:rPr>
          <w:szCs w:val="20"/>
          <w:lang w:val="en-US"/>
        </w:rPr>
        <w:t xml:space="preserve"> What is our role as judges if we are unable to protect the human rights of those who have been systemically and structurally </w:t>
      </w:r>
      <w:proofErr w:type="gramStart"/>
      <w:r w:rsidRPr="001558A5">
        <w:rPr>
          <w:szCs w:val="20"/>
          <w:lang w:val="en-US"/>
        </w:rPr>
        <w:t>excluded.</w:t>
      </w:r>
      <w:proofErr w:type="gramEnd"/>
    </w:p>
    <w:p w14:paraId="6ACFDA86" w14:textId="77777777" w:rsidR="0076236C" w:rsidRPr="001558A5" w:rsidRDefault="0076236C" w:rsidP="0076236C">
      <w:pPr>
        <w:pStyle w:val="Prrafodelista"/>
        <w:tabs>
          <w:tab w:val="left" w:pos="567"/>
        </w:tabs>
        <w:ind w:left="0"/>
        <w:contextualSpacing w:val="0"/>
        <w:rPr>
          <w:szCs w:val="20"/>
          <w:lang w:val="en-US"/>
        </w:rPr>
      </w:pPr>
    </w:p>
    <w:p w14:paraId="42FF2B3C" w14:textId="501F0A18" w:rsidR="0076236C" w:rsidRPr="001558A5" w:rsidRDefault="00F86AB5" w:rsidP="00F86AB5">
      <w:pPr>
        <w:pStyle w:val="Prrafodelista"/>
        <w:numPr>
          <w:ilvl w:val="0"/>
          <w:numId w:val="41"/>
        </w:numPr>
        <w:tabs>
          <w:tab w:val="left" w:pos="567"/>
        </w:tabs>
        <w:ind w:left="0" w:firstLine="0"/>
        <w:contextualSpacing w:val="0"/>
        <w:rPr>
          <w:szCs w:val="20"/>
          <w:lang w:val="en-US"/>
        </w:rPr>
      </w:pPr>
      <w:r w:rsidRPr="001558A5">
        <w:rPr>
          <w:szCs w:val="20"/>
          <w:lang w:val="en-US"/>
        </w:rPr>
        <w:t>In a line of case law that was developed to its fullest extent in Advisory Opinion</w:t>
      </w:r>
      <w:r w:rsidR="0076236C" w:rsidRPr="001558A5">
        <w:rPr>
          <w:szCs w:val="20"/>
          <w:lang w:val="en-US"/>
        </w:rPr>
        <w:t xml:space="preserve"> OC-24 ‘‘</w:t>
      </w:r>
      <w:r w:rsidR="00DF7573" w:rsidRPr="001558A5">
        <w:rPr>
          <w:szCs w:val="20"/>
          <w:lang w:val="en-US"/>
        </w:rPr>
        <w:t>Gender identity</w:t>
      </w:r>
      <w:r w:rsidR="0076236C" w:rsidRPr="001558A5">
        <w:rPr>
          <w:szCs w:val="20"/>
          <w:lang w:val="en-US"/>
        </w:rPr>
        <w:t xml:space="preserve">, </w:t>
      </w:r>
      <w:r w:rsidRPr="001558A5">
        <w:rPr>
          <w:rFonts w:eastAsia="Times New Roman" w:cs="Times New Roman"/>
          <w:bCs/>
          <w:iCs/>
          <w:szCs w:val="20"/>
          <w:lang w:val="en-US"/>
        </w:rPr>
        <w:t xml:space="preserve">and Equality and Non-Discrimination with regard to Same-Sex Couples,” the Court has been a pioneer in addressing these concepts </w:t>
      </w:r>
      <w:r w:rsidR="00BE4616" w:rsidRPr="001558A5">
        <w:rPr>
          <w:rFonts w:eastAsia="Times New Roman" w:cs="Times New Roman"/>
          <w:bCs/>
          <w:iCs/>
          <w:szCs w:val="20"/>
          <w:lang w:val="en-US"/>
        </w:rPr>
        <w:t>which</w:t>
      </w:r>
      <w:r w:rsidRPr="001558A5">
        <w:rPr>
          <w:rFonts w:eastAsia="Times New Roman" w:cs="Times New Roman"/>
          <w:bCs/>
          <w:iCs/>
          <w:szCs w:val="20"/>
          <w:lang w:val="en-US"/>
        </w:rPr>
        <w:t xml:space="preserve"> relate to a problem made invisible and marginalized by our legal systems. In the expert opinion she provided to this case, </w:t>
      </w:r>
      <w:r w:rsidRPr="001558A5">
        <w:rPr>
          <w:szCs w:val="20"/>
          <w:lang w:val="en-US"/>
        </w:rPr>
        <w:t xml:space="preserve">Marlene </w:t>
      </w:r>
      <w:proofErr w:type="spellStart"/>
      <w:r w:rsidRPr="001558A5">
        <w:rPr>
          <w:szCs w:val="20"/>
          <w:lang w:val="en-US"/>
        </w:rPr>
        <w:t>Wayar</w:t>
      </w:r>
      <w:proofErr w:type="spellEnd"/>
      <w:r w:rsidRPr="001558A5">
        <w:rPr>
          <w:szCs w:val="20"/>
          <w:lang w:val="en-US"/>
        </w:rPr>
        <w:t xml:space="preserve"> emphasized that trans women have “faced […], throughout history, [a] marginalization by the States </w:t>
      </w:r>
      <w:r w:rsidR="00BE4616" w:rsidRPr="001558A5">
        <w:rPr>
          <w:szCs w:val="20"/>
          <w:lang w:val="en-US"/>
        </w:rPr>
        <w:t>founded on</w:t>
      </w:r>
      <w:r w:rsidRPr="001558A5">
        <w:rPr>
          <w:szCs w:val="20"/>
          <w:lang w:val="en-US"/>
        </w:rPr>
        <w:t xml:space="preserve"> and substantiated by the constitution of a heterosexual and binary (man-woman) citizenry that, in turn, reproduces the violence and discrimination towards persons who do not fall </w:t>
      </w:r>
      <w:r w:rsidRPr="001558A5">
        <w:rPr>
          <w:b/>
          <w:bCs/>
          <w:szCs w:val="20"/>
          <w:lang w:val="en-US"/>
        </w:rPr>
        <w:t>within that social order established since colonial times</w:t>
      </w:r>
      <w:r w:rsidR="0076236C" w:rsidRPr="001558A5">
        <w:rPr>
          <w:rStyle w:val="Refdenotaalpie"/>
          <w:lang w:val="en-US"/>
        </w:rPr>
        <w:footnoteReference w:id="201"/>
      </w:r>
      <w:r w:rsidR="0076236C" w:rsidRPr="001558A5">
        <w:rPr>
          <w:szCs w:val="20"/>
          <w:lang w:val="en-US"/>
        </w:rPr>
        <w:t xml:space="preserve"> (</w:t>
      </w:r>
      <w:r w:rsidRPr="001558A5">
        <w:rPr>
          <w:szCs w:val="20"/>
          <w:lang w:val="en-US"/>
        </w:rPr>
        <w:t>bold added</w:t>
      </w:r>
      <w:r w:rsidR="0076236C" w:rsidRPr="001558A5">
        <w:rPr>
          <w:szCs w:val="20"/>
          <w:lang w:val="en-US"/>
        </w:rPr>
        <w:t xml:space="preserve">). </w:t>
      </w:r>
    </w:p>
    <w:p w14:paraId="522A6DA5" w14:textId="77777777" w:rsidR="0076236C" w:rsidRPr="001558A5" w:rsidRDefault="0076236C" w:rsidP="0076236C">
      <w:pPr>
        <w:pStyle w:val="Prrafodelista"/>
        <w:rPr>
          <w:szCs w:val="20"/>
          <w:lang w:val="en-US"/>
        </w:rPr>
      </w:pPr>
    </w:p>
    <w:p w14:paraId="40BD2C68" w14:textId="023A1209" w:rsidR="0076236C" w:rsidRPr="001558A5" w:rsidRDefault="00F86AB5" w:rsidP="00A44202">
      <w:pPr>
        <w:pStyle w:val="Prrafodelista"/>
        <w:numPr>
          <w:ilvl w:val="0"/>
          <w:numId w:val="41"/>
        </w:numPr>
        <w:tabs>
          <w:tab w:val="left" w:pos="567"/>
        </w:tabs>
        <w:ind w:left="0" w:firstLine="0"/>
        <w:contextualSpacing w:val="0"/>
        <w:rPr>
          <w:szCs w:val="20"/>
          <w:lang w:val="en-US"/>
        </w:rPr>
      </w:pPr>
      <w:r w:rsidRPr="001558A5">
        <w:rPr>
          <w:szCs w:val="20"/>
          <w:lang w:val="en-US"/>
        </w:rPr>
        <w:t>This link of continuity between exclusionary legal system</w:t>
      </w:r>
      <w:r w:rsidR="00A44202" w:rsidRPr="001558A5">
        <w:rPr>
          <w:szCs w:val="20"/>
          <w:lang w:val="en-US"/>
        </w:rPr>
        <w:t>s</w:t>
      </w:r>
      <w:r w:rsidRPr="001558A5">
        <w:rPr>
          <w:szCs w:val="20"/>
          <w:lang w:val="en-US"/>
        </w:rPr>
        <w:t xml:space="preserve">, under which those who are excluded do not even have “the right to have rights” in the words of </w:t>
      </w:r>
      <w:r w:rsidR="0076236C" w:rsidRPr="001558A5">
        <w:rPr>
          <w:szCs w:val="20"/>
          <w:lang w:val="en-US"/>
        </w:rPr>
        <w:t>Hannah Arendt</w:t>
      </w:r>
      <w:r w:rsidRPr="001558A5">
        <w:rPr>
          <w:szCs w:val="20"/>
          <w:lang w:val="en-US"/>
        </w:rPr>
        <w:t>,</w:t>
      </w:r>
      <w:r w:rsidR="0076236C" w:rsidRPr="001558A5">
        <w:rPr>
          <w:rStyle w:val="Refdenotaalpie"/>
          <w:lang w:val="en-US"/>
        </w:rPr>
        <w:footnoteReference w:id="202"/>
      </w:r>
      <w:r w:rsidR="0076236C" w:rsidRPr="001558A5">
        <w:rPr>
          <w:szCs w:val="20"/>
          <w:lang w:val="en-US"/>
        </w:rPr>
        <w:t xml:space="preserve"> </w:t>
      </w:r>
      <w:r w:rsidR="00A44202" w:rsidRPr="001558A5">
        <w:rPr>
          <w:szCs w:val="20"/>
          <w:lang w:val="en-US"/>
        </w:rPr>
        <w:t xml:space="preserve">should be of profound concern to the international system. And </w:t>
      </w:r>
      <w:r w:rsidR="00BE4616" w:rsidRPr="001558A5">
        <w:rPr>
          <w:szCs w:val="20"/>
          <w:lang w:val="en-US"/>
        </w:rPr>
        <w:t>the system</w:t>
      </w:r>
      <w:r w:rsidR="00A44202" w:rsidRPr="001558A5">
        <w:rPr>
          <w:szCs w:val="20"/>
          <w:lang w:val="en-US"/>
        </w:rPr>
        <w:t xml:space="preserve"> should be even more concerned if th</w:t>
      </w:r>
      <w:r w:rsidR="00BE4616" w:rsidRPr="001558A5">
        <w:rPr>
          <w:szCs w:val="20"/>
          <w:lang w:val="en-US"/>
        </w:rPr>
        <w:t>o</w:t>
      </w:r>
      <w:r w:rsidR="00A44202" w:rsidRPr="001558A5">
        <w:rPr>
          <w:szCs w:val="20"/>
          <w:lang w:val="en-US"/>
        </w:rPr>
        <w:t xml:space="preserve">se structures form part of the colonial legacy that supported and justified the exploitation of our peoples based on the legal and political organization. </w:t>
      </w:r>
      <w:r w:rsidR="00BE4616" w:rsidRPr="001558A5">
        <w:rPr>
          <w:szCs w:val="20"/>
          <w:lang w:val="en-US"/>
        </w:rPr>
        <w:t>As of</w:t>
      </w:r>
      <w:r w:rsidR="00A44202" w:rsidRPr="001558A5">
        <w:rPr>
          <w:szCs w:val="20"/>
          <w:lang w:val="en-US"/>
        </w:rPr>
        <w:t xml:space="preserve"> their conception, human rights – those universal, indivisible and interdependent rights – </w:t>
      </w:r>
      <w:r w:rsidR="00BE4616" w:rsidRPr="001558A5">
        <w:rPr>
          <w:szCs w:val="20"/>
          <w:lang w:val="en-US"/>
        </w:rPr>
        <w:t>were meant to</w:t>
      </w:r>
      <w:r w:rsidR="00A44202" w:rsidRPr="001558A5">
        <w:rPr>
          <w:szCs w:val="20"/>
          <w:lang w:val="en-US"/>
        </w:rPr>
        <w:t xml:space="preserve"> be valid for every individual without any discrimination. </w:t>
      </w:r>
      <w:r w:rsidR="000B29D2" w:rsidRPr="001558A5">
        <w:rPr>
          <w:szCs w:val="20"/>
          <w:lang w:val="en-US"/>
        </w:rPr>
        <w:t>The</w:t>
      </w:r>
      <w:r w:rsidR="00A44202" w:rsidRPr="001558A5">
        <w:rPr>
          <w:szCs w:val="20"/>
          <w:lang w:val="en-US"/>
        </w:rPr>
        <w:t xml:space="preserve"> international or constitutional judge, or </w:t>
      </w:r>
      <w:r w:rsidR="000B29D2" w:rsidRPr="001558A5">
        <w:rPr>
          <w:szCs w:val="20"/>
          <w:lang w:val="en-US"/>
        </w:rPr>
        <w:t>the</w:t>
      </w:r>
      <w:r w:rsidR="00A44202" w:rsidRPr="001558A5">
        <w:rPr>
          <w:szCs w:val="20"/>
          <w:lang w:val="en-US"/>
        </w:rPr>
        <w:t xml:space="preserve"> judge of any court</w:t>
      </w:r>
      <w:r w:rsidR="000B29D2" w:rsidRPr="001558A5">
        <w:rPr>
          <w:szCs w:val="20"/>
          <w:lang w:val="en-US"/>
        </w:rPr>
        <w:t>, can never ignore structural issues, even in the most complex legal system</w:t>
      </w:r>
      <w:r w:rsidR="00A44202" w:rsidRPr="001558A5">
        <w:rPr>
          <w:szCs w:val="20"/>
          <w:lang w:val="en-US"/>
        </w:rPr>
        <w:t>. In the darkest corner of the history of humanity can be found certain judicial decisions, such as that of the United States Supreme Court that, with its aberrant (there are surely worse and stronger words to describe it) doctrine of “separate b</w:t>
      </w:r>
      <w:r w:rsidR="000B29D2" w:rsidRPr="001558A5">
        <w:rPr>
          <w:szCs w:val="20"/>
          <w:lang w:val="en-US"/>
        </w:rPr>
        <w:t>ut</w:t>
      </w:r>
      <w:r w:rsidR="00A44202" w:rsidRPr="001558A5">
        <w:rPr>
          <w:szCs w:val="20"/>
          <w:lang w:val="en-US"/>
        </w:rPr>
        <w:t xml:space="preserve"> equal</w:t>
      </w:r>
      <w:r w:rsidR="000B29D2" w:rsidRPr="001558A5">
        <w:rPr>
          <w:szCs w:val="20"/>
          <w:lang w:val="en-US"/>
        </w:rPr>
        <w:t>,</w:t>
      </w:r>
      <w:r w:rsidR="00A44202" w:rsidRPr="001558A5">
        <w:rPr>
          <w:szCs w:val="20"/>
          <w:lang w:val="en-US"/>
        </w:rPr>
        <w:t>”</w:t>
      </w:r>
      <w:r w:rsidR="000B29D2" w:rsidRPr="001558A5">
        <w:rPr>
          <w:szCs w:val="20"/>
          <w:lang w:val="en-US"/>
        </w:rPr>
        <w:t xml:space="preserve"> </w:t>
      </w:r>
      <w:r w:rsidR="00A44202" w:rsidRPr="001558A5">
        <w:rPr>
          <w:szCs w:val="20"/>
          <w:lang w:val="en-US"/>
        </w:rPr>
        <w:t xml:space="preserve">supported </w:t>
      </w:r>
      <w:r w:rsidR="000B29D2" w:rsidRPr="001558A5">
        <w:rPr>
          <w:szCs w:val="20"/>
          <w:lang w:val="en-US"/>
        </w:rPr>
        <w:t xml:space="preserve">years of </w:t>
      </w:r>
      <w:r w:rsidR="00A44202" w:rsidRPr="001558A5">
        <w:rPr>
          <w:szCs w:val="20"/>
          <w:lang w:val="en-US"/>
        </w:rPr>
        <w:t>racial segregation,</w:t>
      </w:r>
      <w:r w:rsidR="000B29D2" w:rsidRPr="001558A5">
        <w:rPr>
          <w:szCs w:val="20"/>
          <w:lang w:val="en-US"/>
        </w:rPr>
        <w:t xml:space="preserve"> the </w:t>
      </w:r>
      <w:r w:rsidR="00A44202" w:rsidRPr="001558A5">
        <w:rPr>
          <w:szCs w:val="20"/>
          <w:lang w:val="en-US"/>
        </w:rPr>
        <w:t xml:space="preserve">latent effects </w:t>
      </w:r>
      <w:r w:rsidR="000B29D2" w:rsidRPr="001558A5">
        <w:rPr>
          <w:szCs w:val="20"/>
          <w:lang w:val="en-US"/>
        </w:rPr>
        <w:t xml:space="preserve">of which </w:t>
      </w:r>
      <w:r w:rsidR="00A44202" w:rsidRPr="001558A5">
        <w:rPr>
          <w:szCs w:val="20"/>
          <w:lang w:val="en-US"/>
        </w:rPr>
        <w:t>we continue to see today</w:t>
      </w:r>
      <w:r w:rsidR="000B29D2" w:rsidRPr="001558A5">
        <w:rPr>
          <w:szCs w:val="20"/>
          <w:lang w:val="en-US"/>
        </w:rPr>
        <w:t>.</w:t>
      </w:r>
      <w:r w:rsidR="0076236C" w:rsidRPr="001558A5">
        <w:rPr>
          <w:rStyle w:val="Refdenotaalpie"/>
          <w:lang w:val="en-US"/>
        </w:rPr>
        <w:footnoteReference w:id="203"/>
      </w:r>
      <w:r w:rsidR="0076236C" w:rsidRPr="001558A5">
        <w:rPr>
          <w:szCs w:val="20"/>
          <w:lang w:val="en-US"/>
        </w:rPr>
        <w:t xml:space="preserve"> </w:t>
      </w:r>
    </w:p>
    <w:p w14:paraId="345D66FA" w14:textId="77777777" w:rsidR="0076236C" w:rsidRPr="001558A5" w:rsidRDefault="0076236C" w:rsidP="0076236C">
      <w:pPr>
        <w:pStyle w:val="Prrafodelista"/>
        <w:tabs>
          <w:tab w:val="left" w:pos="567"/>
        </w:tabs>
        <w:ind w:left="0"/>
        <w:contextualSpacing w:val="0"/>
        <w:rPr>
          <w:szCs w:val="20"/>
          <w:lang w:val="en-US"/>
        </w:rPr>
      </w:pPr>
    </w:p>
    <w:p w14:paraId="460CB509" w14:textId="31000154" w:rsidR="004642A5" w:rsidRPr="001558A5" w:rsidRDefault="000B29D2" w:rsidP="000B29D2">
      <w:pPr>
        <w:pStyle w:val="Prrafodelista"/>
        <w:numPr>
          <w:ilvl w:val="0"/>
          <w:numId w:val="41"/>
        </w:numPr>
        <w:tabs>
          <w:tab w:val="left" w:pos="567"/>
        </w:tabs>
        <w:ind w:left="0" w:firstLine="0"/>
        <w:contextualSpacing w:val="0"/>
        <w:rPr>
          <w:szCs w:val="20"/>
          <w:lang w:val="en-US"/>
        </w:rPr>
      </w:pPr>
      <w:r w:rsidRPr="001558A5">
        <w:rPr>
          <w:szCs w:val="20"/>
          <w:lang w:val="en-US"/>
        </w:rPr>
        <w:t xml:space="preserve">Therefore, </w:t>
      </w:r>
      <w:r w:rsidR="00871E19" w:rsidRPr="001558A5">
        <w:rPr>
          <w:szCs w:val="20"/>
          <w:lang w:val="en-US"/>
        </w:rPr>
        <w:t>the Inter-American Court</w:t>
      </w:r>
      <w:r w:rsidR="0076236C" w:rsidRPr="001558A5">
        <w:rPr>
          <w:szCs w:val="20"/>
          <w:lang w:val="en-US"/>
        </w:rPr>
        <w:t xml:space="preserve"> </w:t>
      </w:r>
      <w:r w:rsidRPr="001558A5">
        <w:rPr>
          <w:szCs w:val="20"/>
          <w:lang w:val="en-US"/>
        </w:rPr>
        <w:t>has already recognized th</w:t>
      </w:r>
      <w:r w:rsidR="003F1F3D" w:rsidRPr="001558A5">
        <w:rPr>
          <w:szCs w:val="20"/>
          <w:lang w:val="en-US"/>
        </w:rPr>
        <w:t>a</w:t>
      </w:r>
      <w:r w:rsidRPr="001558A5">
        <w:rPr>
          <w:szCs w:val="20"/>
          <w:lang w:val="en-US"/>
        </w:rPr>
        <w:t>t the inter-American system</w:t>
      </w:r>
      <w:r w:rsidR="003F1F3D" w:rsidRPr="001558A5">
        <w:rPr>
          <w:lang w:val="en-US"/>
        </w:rPr>
        <w:t xml:space="preserve"> “is </w:t>
      </w:r>
      <w:r w:rsidR="00BE4616" w:rsidRPr="001558A5">
        <w:rPr>
          <w:lang w:val="en-US"/>
        </w:rPr>
        <w:t xml:space="preserve">a tool </w:t>
      </w:r>
      <w:r w:rsidR="003F1F3D" w:rsidRPr="001558A5">
        <w:rPr>
          <w:lang w:val="en-US"/>
        </w:rPr>
        <w:t>that promotes the empowerment and inclusion of historically or traditionally disadvantaged groups, thereby strengthening democratic institutions.”</w:t>
      </w:r>
      <w:r w:rsidR="0076236C" w:rsidRPr="001558A5">
        <w:rPr>
          <w:rStyle w:val="Refdenotaalpie"/>
          <w:lang w:val="en-US"/>
        </w:rPr>
        <w:footnoteReference w:id="204"/>
      </w:r>
      <w:r w:rsidR="0076236C" w:rsidRPr="001558A5">
        <w:rPr>
          <w:szCs w:val="20"/>
          <w:lang w:val="en-US"/>
        </w:rPr>
        <w:t xml:space="preserve"> </w:t>
      </w:r>
      <w:r w:rsidR="004642A5" w:rsidRPr="001558A5">
        <w:rPr>
          <w:szCs w:val="20"/>
          <w:lang w:val="en-US"/>
        </w:rPr>
        <w:t>It is pursuant to this concept of law that, today as an inter-American judge, and evidently based on my powers and possibilities and recognizing the privileges inherent in my experiences as a cisgender and heterosexual man, I come to reclaim the rights of this group that see their human rights violated on a daily basis.</w:t>
      </w:r>
    </w:p>
    <w:p w14:paraId="1D35CA7F" w14:textId="77777777" w:rsidR="0076236C" w:rsidRPr="001558A5" w:rsidRDefault="0076236C" w:rsidP="0076236C">
      <w:pPr>
        <w:pStyle w:val="Prrafodelista"/>
        <w:tabs>
          <w:tab w:val="left" w:pos="567"/>
        </w:tabs>
        <w:ind w:left="0"/>
        <w:contextualSpacing w:val="0"/>
        <w:rPr>
          <w:szCs w:val="20"/>
          <w:lang w:val="en-US"/>
        </w:rPr>
      </w:pPr>
    </w:p>
    <w:p w14:paraId="373CFD73" w14:textId="13232F65" w:rsidR="004642A5" w:rsidRPr="001558A5" w:rsidRDefault="004642A5" w:rsidP="004642A5">
      <w:pPr>
        <w:pStyle w:val="Prrafodelista"/>
        <w:numPr>
          <w:ilvl w:val="0"/>
          <w:numId w:val="41"/>
        </w:numPr>
        <w:tabs>
          <w:tab w:val="left" w:pos="567"/>
        </w:tabs>
        <w:ind w:left="0" w:firstLine="0"/>
        <w:contextualSpacing w:val="0"/>
        <w:rPr>
          <w:szCs w:val="20"/>
          <w:lang w:val="en-US"/>
        </w:rPr>
      </w:pPr>
      <w:r w:rsidRPr="001558A5">
        <w:rPr>
          <w:szCs w:val="20"/>
          <w:lang w:val="en-US"/>
        </w:rPr>
        <w:t xml:space="preserve">This case is the first in which </w:t>
      </w:r>
      <w:r w:rsidR="00871E19" w:rsidRPr="001558A5">
        <w:rPr>
          <w:szCs w:val="20"/>
          <w:lang w:val="en-US"/>
        </w:rPr>
        <w:t>the Inter-American Court</w:t>
      </w:r>
      <w:r w:rsidR="0076236C" w:rsidRPr="001558A5">
        <w:rPr>
          <w:szCs w:val="20"/>
          <w:lang w:val="en-US"/>
        </w:rPr>
        <w:t xml:space="preserve"> </w:t>
      </w:r>
      <w:r w:rsidRPr="001558A5">
        <w:rPr>
          <w:szCs w:val="20"/>
          <w:lang w:val="en-US"/>
        </w:rPr>
        <w:t xml:space="preserve">directly addresses the problem of violence against </w:t>
      </w:r>
      <w:proofErr w:type="gramStart"/>
      <w:r w:rsidRPr="001558A5">
        <w:rPr>
          <w:szCs w:val="20"/>
          <w:lang w:val="en-US"/>
        </w:rPr>
        <w:t>trans</w:t>
      </w:r>
      <w:proofErr w:type="gramEnd"/>
      <w:r w:rsidRPr="001558A5">
        <w:rPr>
          <w:szCs w:val="20"/>
          <w:lang w:val="en-US"/>
        </w:rPr>
        <w:t xml:space="preserve"> persons. It is especially paradigmatic for two reasons. First, because the structural and systemic violence against those with a diverse gender identity has been widely documented and recognized by international bodies.</w:t>
      </w:r>
      <w:r w:rsidR="0076236C" w:rsidRPr="001558A5">
        <w:rPr>
          <w:rStyle w:val="Refdenotaalpie"/>
          <w:lang w:val="en-US"/>
        </w:rPr>
        <w:footnoteReference w:id="205"/>
      </w:r>
      <w:r w:rsidR="0076236C" w:rsidRPr="001558A5">
        <w:rPr>
          <w:szCs w:val="20"/>
          <w:lang w:val="en-US"/>
        </w:rPr>
        <w:t xml:space="preserve"> </w:t>
      </w:r>
      <w:r w:rsidRPr="001558A5">
        <w:rPr>
          <w:szCs w:val="20"/>
          <w:lang w:val="en-US"/>
        </w:rPr>
        <w:t xml:space="preserve">In this regard, the fact that it is the first case reveals the shortcomings of our institutions as regards the celerity of the inter-American system and the lack of adequate, prompt and effective response. The system needs to conduct an exercise of harsh self-criticism and, personally, I regret profoundly that so many years have had to pass before we finally examine this issue and Vicky Hernández, her family and </w:t>
      </w:r>
      <w:r w:rsidR="003E3523" w:rsidRPr="001558A5">
        <w:rPr>
          <w:szCs w:val="20"/>
          <w:lang w:val="en-US"/>
        </w:rPr>
        <w:t>close relatives</w:t>
      </w:r>
      <w:r w:rsidR="00BE4616" w:rsidRPr="001558A5">
        <w:rPr>
          <w:szCs w:val="20"/>
          <w:lang w:val="en-US"/>
        </w:rPr>
        <w:t>,</w:t>
      </w:r>
      <w:r w:rsidR="003E3523" w:rsidRPr="001558A5">
        <w:rPr>
          <w:szCs w:val="20"/>
          <w:lang w:val="en-US"/>
        </w:rPr>
        <w:t xml:space="preserve"> </w:t>
      </w:r>
      <w:r w:rsidR="00BE4616" w:rsidRPr="001558A5">
        <w:rPr>
          <w:szCs w:val="20"/>
          <w:lang w:val="en-US"/>
        </w:rPr>
        <w:t>obtain</w:t>
      </w:r>
      <w:r w:rsidR="003E3523" w:rsidRPr="001558A5">
        <w:rPr>
          <w:szCs w:val="20"/>
          <w:lang w:val="en-US"/>
        </w:rPr>
        <w:t xml:space="preserve"> justice.</w:t>
      </w:r>
    </w:p>
    <w:p w14:paraId="0754DB81" w14:textId="77777777" w:rsidR="0076236C" w:rsidRPr="001558A5" w:rsidRDefault="0076236C" w:rsidP="0076236C">
      <w:pPr>
        <w:pStyle w:val="Prrafodelista"/>
        <w:tabs>
          <w:tab w:val="left" w:pos="567"/>
        </w:tabs>
        <w:ind w:left="0"/>
        <w:contextualSpacing w:val="0"/>
        <w:rPr>
          <w:szCs w:val="20"/>
          <w:lang w:val="en-US"/>
        </w:rPr>
      </w:pPr>
    </w:p>
    <w:p w14:paraId="5D7590E5" w14:textId="5EF28CF0" w:rsidR="0076236C" w:rsidRPr="001558A5" w:rsidRDefault="00452FEB" w:rsidP="00DE7B4D">
      <w:pPr>
        <w:pStyle w:val="Prrafodelista"/>
        <w:numPr>
          <w:ilvl w:val="0"/>
          <w:numId w:val="41"/>
        </w:numPr>
        <w:tabs>
          <w:tab w:val="left" w:pos="567"/>
        </w:tabs>
        <w:ind w:left="0" w:firstLine="0"/>
        <w:contextualSpacing w:val="0"/>
        <w:rPr>
          <w:szCs w:val="20"/>
          <w:lang w:val="en-US"/>
        </w:rPr>
      </w:pPr>
      <w:r w:rsidRPr="001558A5">
        <w:rPr>
          <w:szCs w:val="20"/>
          <w:lang w:val="en-US"/>
        </w:rPr>
        <w:t>Second</w:t>
      </w:r>
      <w:r w:rsidR="0076236C" w:rsidRPr="001558A5">
        <w:rPr>
          <w:szCs w:val="20"/>
          <w:lang w:val="en-US"/>
        </w:rPr>
        <w:t xml:space="preserve">, </w:t>
      </w:r>
      <w:r w:rsidR="00A1396A" w:rsidRPr="001558A5">
        <w:rPr>
          <w:szCs w:val="20"/>
          <w:lang w:val="en-US"/>
        </w:rPr>
        <w:t xml:space="preserve">this case is especially paradigmatic because it is inserted in the context of our region. Latin America is a land where diversity at all levels should be a key to democratic spaces and not an exclusionary barrier. In this regard, both Marlene </w:t>
      </w:r>
      <w:proofErr w:type="spellStart"/>
      <w:r w:rsidR="00A1396A" w:rsidRPr="001558A5">
        <w:rPr>
          <w:szCs w:val="20"/>
          <w:lang w:val="en-US"/>
        </w:rPr>
        <w:t>Wayar</w:t>
      </w:r>
      <w:proofErr w:type="spellEnd"/>
      <w:r w:rsidR="00A1396A" w:rsidRPr="001558A5">
        <w:rPr>
          <w:szCs w:val="20"/>
          <w:lang w:val="en-US"/>
        </w:rPr>
        <w:t xml:space="preserve"> in her expert opinion and the anthropologist and researcher Maya-</w:t>
      </w:r>
      <w:proofErr w:type="spellStart"/>
      <w:r w:rsidR="00A1396A" w:rsidRPr="001558A5">
        <w:rPr>
          <w:szCs w:val="20"/>
          <w:lang w:val="en-US"/>
        </w:rPr>
        <w:t>Kaqchikel</w:t>
      </w:r>
      <w:proofErr w:type="spellEnd"/>
      <w:r w:rsidR="00A1396A" w:rsidRPr="001558A5">
        <w:rPr>
          <w:szCs w:val="20"/>
          <w:lang w:val="en-US"/>
        </w:rPr>
        <w:t xml:space="preserve"> have traced the connection</w:t>
      </w:r>
      <w:r w:rsidR="0076236C" w:rsidRPr="001558A5">
        <w:rPr>
          <w:rStyle w:val="Refdenotaalpie"/>
          <w:lang w:val="en-US"/>
        </w:rPr>
        <w:footnoteReference w:id="206"/>
      </w:r>
      <w:r w:rsidR="0076236C" w:rsidRPr="001558A5">
        <w:rPr>
          <w:szCs w:val="20"/>
          <w:lang w:val="en-US"/>
        </w:rPr>
        <w:t xml:space="preserve"> </w:t>
      </w:r>
      <w:r w:rsidR="00A1396A" w:rsidRPr="001558A5">
        <w:rPr>
          <w:szCs w:val="20"/>
          <w:lang w:val="en-US"/>
        </w:rPr>
        <w:t>between</w:t>
      </w:r>
      <w:r w:rsidR="00DE7B4D" w:rsidRPr="001558A5">
        <w:rPr>
          <w:szCs w:val="20"/>
          <w:lang w:val="en-US"/>
        </w:rPr>
        <w:t xml:space="preserve"> patriarchy and colonialism. Both of them consider that it is inconceivable to talk of patriarchy without taking colonialism and its effects into account. Evidently, we are not trying to render invisible or relativize one fight </w:t>
      </w:r>
      <w:r w:rsidR="00BE4616" w:rsidRPr="001558A5">
        <w:rPr>
          <w:szCs w:val="20"/>
          <w:lang w:val="en-US"/>
        </w:rPr>
        <w:t>with</w:t>
      </w:r>
      <w:r w:rsidR="00DE7B4D" w:rsidRPr="001558A5">
        <w:rPr>
          <w:szCs w:val="20"/>
          <w:lang w:val="en-US"/>
        </w:rPr>
        <w:t xml:space="preserve"> the other. It is not a question of an opposition between feminism and the indigenous movement, or </w:t>
      </w:r>
      <w:r w:rsidR="0070391E" w:rsidRPr="001558A5">
        <w:rPr>
          <w:szCs w:val="20"/>
          <w:lang w:val="en-US"/>
        </w:rPr>
        <w:t>between</w:t>
      </w:r>
      <w:r w:rsidR="00DE7B4D" w:rsidRPr="001558A5">
        <w:rPr>
          <w:szCs w:val="20"/>
          <w:lang w:val="en-US"/>
        </w:rPr>
        <w:t xml:space="preserve"> feminism a</w:t>
      </w:r>
      <w:r w:rsidR="0070391E" w:rsidRPr="001558A5">
        <w:rPr>
          <w:szCs w:val="20"/>
          <w:lang w:val="en-US"/>
        </w:rPr>
        <w:t>nd</w:t>
      </w:r>
      <w:r w:rsidR="00DE7B4D" w:rsidRPr="001558A5">
        <w:rPr>
          <w:szCs w:val="20"/>
          <w:lang w:val="en-US"/>
        </w:rPr>
        <w:t xml:space="preserve"> the LGBTI movement. </w:t>
      </w:r>
      <w:r w:rsidR="0070391E" w:rsidRPr="001558A5">
        <w:rPr>
          <w:szCs w:val="20"/>
          <w:lang w:val="en-US"/>
        </w:rPr>
        <w:t>Each of them contain</w:t>
      </w:r>
      <w:r w:rsidR="00DE7B4D" w:rsidRPr="001558A5">
        <w:rPr>
          <w:szCs w:val="20"/>
          <w:lang w:val="en-US"/>
        </w:rPr>
        <w:t xml:space="preserve"> different perspectives, current</w:t>
      </w:r>
      <w:r w:rsidR="0070391E" w:rsidRPr="001558A5">
        <w:rPr>
          <w:szCs w:val="20"/>
          <w:lang w:val="en-US"/>
        </w:rPr>
        <w:t>s</w:t>
      </w:r>
      <w:r w:rsidR="00DE7B4D" w:rsidRPr="001558A5">
        <w:rPr>
          <w:szCs w:val="20"/>
          <w:lang w:val="en-US"/>
        </w:rPr>
        <w:t xml:space="preserve"> and world views that have been developed based on individual experiences of the world’s complexities. It is not possible to speak of a single feminism, or a single LGBTI movement or a single indigenous movement. Their claims will depend on each one’s particularities and it would be reductionist to try and fit them into a bipolar vision of reality. </w:t>
      </w:r>
      <w:r w:rsidR="00481D39" w:rsidRPr="001558A5">
        <w:rPr>
          <w:szCs w:val="20"/>
          <w:lang w:val="en-US"/>
        </w:rPr>
        <w:t xml:space="preserve">The need to render these visions compatible without confronting them acquires relevance </w:t>
      </w:r>
      <w:r w:rsidR="0070391E" w:rsidRPr="001558A5">
        <w:rPr>
          <w:szCs w:val="20"/>
          <w:lang w:val="en-US"/>
        </w:rPr>
        <w:t>i</w:t>
      </w:r>
      <w:r w:rsidR="00481D39" w:rsidRPr="001558A5">
        <w:rPr>
          <w:szCs w:val="20"/>
          <w:lang w:val="en-US"/>
        </w:rPr>
        <w:t xml:space="preserve">n the support that </w:t>
      </w:r>
      <w:r w:rsidR="0070391E" w:rsidRPr="001558A5">
        <w:rPr>
          <w:szCs w:val="20"/>
          <w:lang w:val="en-US"/>
        </w:rPr>
        <w:t xml:space="preserve">the </w:t>
      </w:r>
      <w:r w:rsidR="00481D39" w:rsidRPr="001558A5">
        <w:rPr>
          <w:szCs w:val="20"/>
          <w:lang w:val="en-US"/>
        </w:rPr>
        <w:t xml:space="preserve">law should provide to these claims, by understanding them in their complexity, with their nuances and many levels. As I have indicated on other occasions, over recent years our region </w:t>
      </w:r>
      <w:r w:rsidR="0070391E" w:rsidRPr="001558A5">
        <w:rPr>
          <w:szCs w:val="20"/>
          <w:lang w:val="en-US"/>
        </w:rPr>
        <w:t xml:space="preserve">has begun to </w:t>
      </w:r>
      <w:r w:rsidR="00481D39" w:rsidRPr="001558A5">
        <w:rPr>
          <w:szCs w:val="20"/>
          <w:lang w:val="en-US"/>
        </w:rPr>
        <w:t>develop, “following the nefarious phase of the dictatorships and since the 1980s, a constitutionalism that seeks not only to recognize the rights of women, of indigenous and tribal peoples and of sexually diverse groups, but also their full participation in public affairs.”</w:t>
      </w:r>
      <w:r w:rsidR="0076236C" w:rsidRPr="001558A5">
        <w:rPr>
          <w:rStyle w:val="Refdenotaalpie"/>
          <w:lang w:val="en-US"/>
        </w:rPr>
        <w:footnoteReference w:id="207"/>
      </w:r>
      <w:r w:rsidR="0076236C" w:rsidRPr="001558A5">
        <w:rPr>
          <w:szCs w:val="20"/>
          <w:lang w:val="en-US"/>
        </w:rPr>
        <w:t xml:space="preserve"> </w:t>
      </w:r>
      <w:r w:rsidR="00481D39" w:rsidRPr="001558A5">
        <w:rPr>
          <w:szCs w:val="20"/>
          <w:lang w:val="en-US"/>
        </w:rPr>
        <w:t>Therefore, it is from this point of view that the author of this opinion has assessed how to impart justice in this specific case, from an inclusive and progressive perspective of the human rights of everyone without any discrimination.</w:t>
      </w:r>
    </w:p>
    <w:p w14:paraId="02448167" w14:textId="77777777" w:rsidR="0076236C" w:rsidRPr="001558A5" w:rsidRDefault="0076236C" w:rsidP="0076236C">
      <w:pPr>
        <w:pStyle w:val="Prrafodelista"/>
        <w:tabs>
          <w:tab w:val="left" w:pos="567"/>
        </w:tabs>
        <w:ind w:left="0"/>
        <w:contextualSpacing w:val="0"/>
        <w:rPr>
          <w:szCs w:val="20"/>
          <w:lang w:val="en-US"/>
        </w:rPr>
      </w:pPr>
    </w:p>
    <w:p w14:paraId="19250897" w14:textId="115F58B3" w:rsidR="0076236C" w:rsidRPr="001558A5" w:rsidRDefault="00806422" w:rsidP="00806422">
      <w:pPr>
        <w:pStyle w:val="Prrafodelista"/>
        <w:numPr>
          <w:ilvl w:val="0"/>
          <w:numId w:val="41"/>
        </w:numPr>
        <w:ind w:left="0" w:firstLine="0"/>
        <w:rPr>
          <w:szCs w:val="20"/>
          <w:lang w:val="en-US"/>
        </w:rPr>
      </w:pPr>
      <w:r w:rsidRPr="001558A5">
        <w:rPr>
          <w:szCs w:val="20"/>
          <w:lang w:val="en-US"/>
        </w:rPr>
        <w:t xml:space="preserve">This preamble serves as a basis to introduce the discussion that occurred within the Court on whether, from an ontological, phenomenological or finalist </w:t>
      </w:r>
      <w:r w:rsidR="0070391E" w:rsidRPr="001558A5">
        <w:rPr>
          <w:szCs w:val="20"/>
          <w:lang w:val="en-US"/>
        </w:rPr>
        <w:t>perspective</w:t>
      </w:r>
      <w:r w:rsidRPr="001558A5">
        <w:rPr>
          <w:szCs w:val="20"/>
          <w:lang w:val="en-US"/>
        </w:rPr>
        <w:t xml:space="preserve">, </w:t>
      </w:r>
      <w:r w:rsidR="0070391E" w:rsidRPr="001558A5">
        <w:rPr>
          <w:szCs w:val="20"/>
          <w:lang w:val="en-US"/>
        </w:rPr>
        <w:t xml:space="preserve">trans </w:t>
      </w:r>
      <w:r w:rsidRPr="001558A5">
        <w:rPr>
          <w:szCs w:val="20"/>
          <w:lang w:val="en-US"/>
        </w:rPr>
        <w:t>women should be included within the sphere of protection of international law that is granted to cisgender women based on the specific international instruments and the case law that</w:t>
      </w:r>
      <w:r w:rsidR="00DD4354" w:rsidRPr="001558A5">
        <w:rPr>
          <w:szCs w:val="20"/>
          <w:lang w:val="en-US"/>
        </w:rPr>
        <w:t xml:space="preserve"> the </w:t>
      </w:r>
      <w:r w:rsidR="00871E19" w:rsidRPr="001558A5">
        <w:rPr>
          <w:szCs w:val="20"/>
          <w:lang w:val="en-US"/>
        </w:rPr>
        <w:t>Inter-American Court</w:t>
      </w:r>
      <w:r w:rsidRPr="001558A5">
        <w:rPr>
          <w:szCs w:val="20"/>
          <w:lang w:val="en-US"/>
        </w:rPr>
        <w:t xml:space="preserve"> has developed on violence and discrimination against women. Evidently, any approach to this issue means that not only should the aforementioned elements be taken into consideration, but also the </w:t>
      </w:r>
      <w:r w:rsidRPr="001558A5">
        <w:rPr>
          <w:i/>
          <w:iCs/>
          <w:szCs w:val="20"/>
          <w:lang w:val="en-US"/>
        </w:rPr>
        <w:t>pro persona</w:t>
      </w:r>
      <w:r w:rsidRPr="001558A5">
        <w:rPr>
          <w:szCs w:val="20"/>
          <w:lang w:val="en-US"/>
        </w:rPr>
        <w:t xml:space="preserve"> principle, and the progressivity of rights. On many occasion</w:t>
      </w:r>
      <w:r w:rsidR="0070391E" w:rsidRPr="001558A5">
        <w:rPr>
          <w:szCs w:val="20"/>
          <w:lang w:val="en-US"/>
        </w:rPr>
        <w:t>s</w:t>
      </w:r>
      <w:r w:rsidRPr="001558A5">
        <w:rPr>
          <w:szCs w:val="20"/>
          <w:lang w:val="en-US"/>
        </w:rPr>
        <w:t>, I have publicly indicated that “it is my personal conviction</w:t>
      </w:r>
      <w:r w:rsidR="0070391E" w:rsidRPr="001558A5">
        <w:rPr>
          <w:szCs w:val="20"/>
          <w:lang w:val="en-US"/>
        </w:rPr>
        <w:t>,</w:t>
      </w:r>
      <w:r w:rsidRPr="001558A5">
        <w:rPr>
          <w:szCs w:val="20"/>
          <w:lang w:val="en-US"/>
        </w:rPr>
        <w:t xml:space="preserve"> based on my academic training and judicial experience</w:t>
      </w:r>
      <w:r w:rsidR="0070391E" w:rsidRPr="001558A5">
        <w:rPr>
          <w:szCs w:val="20"/>
          <w:lang w:val="en-US"/>
        </w:rPr>
        <w:t>,</w:t>
      </w:r>
      <w:r w:rsidRPr="001558A5">
        <w:rPr>
          <w:szCs w:val="20"/>
          <w:lang w:val="en-US"/>
        </w:rPr>
        <w:t xml:space="preserve"> that human rights are realized, guaranteed and implemented in the sphere of concrete realities, in specific social, political, legal, economic and cultural contexts;</w:t>
      </w:r>
      <w:r w:rsidR="0076236C" w:rsidRPr="001558A5">
        <w:rPr>
          <w:szCs w:val="20"/>
          <w:vertAlign w:val="superscript"/>
          <w:lang w:val="en-US"/>
        </w:rPr>
        <w:footnoteReference w:id="208"/>
      </w:r>
      <w:r w:rsidR="0076236C" w:rsidRPr="001558A5">
        <w:rPr>
          <w:szCs w:val="20"/>
          <w:lang w:val="en-US"/>
        </w:rPr>
        <w:t xml:space="preserve"> </w:t>
      </w:r>
      <w:r w:rsidRPr="001558A5">
        <w:rPr>
          <w:szCs w:val="20"/>
          <w:lang w:val="en-US"/>
        </w:rPr>
        <w:t xml:space="preserve">therefore, as judges it is necessary to examine closely the scope of international treaties. As in the case of </w:t>
      </w:r>
      <w:r w:rsidR="00871E19" w:rsidRPr="001558A5">
        <w:rPr>
          <w:szCs w:val="20"/>
          <w:lang w:val="en-US"/>
        </w:rPr>
        <w:t>the American Convention</w:t>
      </w:r>
      <w:r w:rsidR="0076236C" w:rsidRPr="001558A5">
        <w:rPr>
          <w:szCs w:val="20"/>
          <w:lang w:val="en-US"/>
        </w:rPr>
        <w:t xml:space="preserve">, </w:t>
      </w:r>
      <w:r w:rsidR="00871E19" w:rsidRPr="001558A5">
        <w:rPr>
          <w:szCs w:val="20"/>
          <w:lang w:val="en-US"/>
        </w:rPr>
        <w:t>the Convention</w:t>
      </w:r>
      <w:r w:rsidR="0076236C"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0076236C" w:rsidRPr="001558A5">
        <w:rPr>
          <w:szCs w:val="20"/>
          <w:lang w:val="en-US"/>
        </w:rPr>
        <w:t xml:space="preserve"> do </w:t>
      </w:r>
      <w:proofErr w:type="spellStart"/>
      <w:r w:rsidR="0076236C" w:rsidRPr="001558A5">
        <w:rPr>
          <w:szCs w:val="20"/>
          <w:lang w:val="en-US"/>
        </w:rPr>
        <w:t>Pará</w:t>
      </w:r>
      <w:proofErr w:type="spellEnd"/>
      <w:r w:rsidR="0076236C" w:rsidRPr="001558A5">
        <w:rPr>
          <w:szCs w:val="20"/>
          <w:lang w:val="en-US"/>
        </w:rPr>
        <w:t xml:space="preserve"> </w:t>
      </w:r>
      <w:r w:rsidRPr="001558A5">
        <w:rPr>
          <w:szCs w:val="20"/>
          <w:lang w:val="en-US"/>
        </w:rPr>
        <w:t xml:space="preserve">and, in </w:t>
      </w:r>
      <w:r w:rsidR="0076236C" w:rsidRPr="001558A5">
        <w:rPr>
          <w:szCs w:val="20"/>
          <w:lang w:val="en-US"/>
        </w:rPr>
        <w:t xml:space="preserve">general, </w:t>
      </w:r>
      <w:r w:rsidRPr="001558A5">
        <w:rPr>
          <w:szCs w:val="20"/>
          <w:lang w:val="en-US"/>
        </w:rPr>
        <w:t>all human rights treaties “are living instruments that must evolve with the actual circumstances.</w:t>
      </w:r>
      <w:r w:rsidR="0076236C" w:rsidRPr="001558A5">
        <w:rPr>
          <w:rStyle w:val="Refdenotaalpie"/>
          <w:lang w:val="en-US"/>
        </w:rPr>
        <w:footnoteReference w:id="209"/>
      </w:r>
      <w:r w:rsidR="0076236C" w:rsidRPr="001558A5">
        <w:rPr>
          <w:szCs w:val="20"/>
          <w:lang w:val="en-US"/>
        </w:rPr>
        <w:t xml:space="preserve"> </w:t>
      </w:r>
    </w:p>
    <w:p w14:paraId="3CC736DD" w14:textId="77777777" w:rsidR="0076236C" w:rsidRPr="001558A5" w:rsidRDefault="0076236C" w:rsidP="0076236C">
      <w:pPr>
        <w:pStyle w:val="Prrafodelista"/>
        <w:ind w:left="0"/>
        <w:rPr>
          <w:szCs w:val="20"/>
          <w:lang w:val="en-US"/>
        </w:rPr>
      </w:pPr>
    </w:p>
    <w:p w14:paraId="41909AFF" w14:textId="583F9915" w:rsidR="0076236C" w:rsidRPr="001558A5" w:rsidRDefault="00871E19" w:rsidP="0076236C">
      <w:pPr>
        <w:pStyle w:val="Prrafodelista"/>
        <w:numPr>
          <w:ilvl w:val="0"/>
          <w:numId w:val="41"/>
        </w:numPr>
        <w:ind w:left="0" w:firstLine="0"/>
        <w:rPr>
          <w:szCs w:val="20"/>
          <w:lang w:val="en-US"/>
        </w:rPr>
      </w:pPr>
      <w:r w:rsidRPr="001558A5">
        <w:rPr>
          <w:szCs w:val="20"/>
          <w:lang w:val="en-US"/>
        </w:rPr>
        <w:t xml:space="preserve">The </w:t>
      </w:r>
      <w:r w:rsidR="00806422" w:rsidRPr="001558A5">
        <w:rPr>
          <w:szCs w:val="20"/>
          <w:lang w:val="en-US"/>
        </w:rPr>
        <w:t xml:space="preserve">1994 </w:t>
      </w:r>
      <w:r w:rsidR="00B732DD" w:rsidRPr="001558A5">
        <w:rPr>
          <w:szCs w:val="20"/>
          <w:lang w:val="en-US"/>
        </w:rPr>
        <w:t>Inter-American Convention for the Prevention, Punishment and Eradication of Violence against Women</w:t>
      </w:r>
      <w:r w:rsidR="00806422" w:rsidRPr="001558A5">
        <w:rPr>
          <w:szCs w:val="20"/>
          <w:lang w:val="en-US"/>
        </w:rPr>
        <w:t xml:space="preserve">, known as the </w:t>
      </w:r>
      <w:r w:rsidR="001164FE" w:rsidRPr="001558A5">
        <w:rPr>
          <w:szCs w:val="20"/>
          <w:lang w:val="en-US"/>
        </w:rPr>
        <w:t>Convention</w:t>
      </w:r>
      <w:r w:rsidR="0076236C" w:rsidRPr="001558A5">
        <w:rPr>
          <w:szCs w:val="20"/>
          <w:lang w:val="en-US"/>
        </w:rPr>
        <w:t xml:space="preserve"> </w:t>
      </w:r>
      <w:r w:rsidR="00B74256" w:rsidRPr="001558A5">
        <w:rPr>
          <w:szCs w:val="20"/>
          <w:lang w:val="en-US"/>
        </w:rPr>
        <w:t xml:space="preserve">of </w:t>
      </w:r>
      <w:proofErr w:type="spellStart"/>
      <w:r w:rsidR="00B74256" w:rsidRPr="001558A5">
        <w:rPr>
          <w:szCs w:val="20"/>
          <w:lang w:val="en-US"/>
        </w:rPr>
        <w:t>Belém</w:t>
      </w:r>
      <w:proofErr w:type="spellEnd"/>
      <w:r w:rsidR="0076236C" w:rsidRPr="001558A5">
        <w:rPr>
          <w:szCs w:val="20"/>
          <w:lang w:val="en-US"/>
        </w:rPr>
        <w:t xml:space="preserve"> do </w:t>
      </w:r>
      <w:proofErr w:type="spellStart"/>
      <w:r w:rsidR="0076236C" w:rsidRPr="001558A5">
        <w:rPr>
          <w:szCs w:val="20"/>
          <w:lang w:val="en-US"/>
        </w:rPr>
        <w:t>Pará</w:t>
      </w:r>
      <w:proofErr w:type="spellEnd"/>
      <w:r w:rsidR="00806422" w:rsidRPr="001558A5">
        <w:rPr>
          <w:szCs w:val="20"/>
          <w:lang w:val="en-US"/>
        </w:rPr>
        <w:t>, is an unprecedented legal instrument, whose purpose is to provide enhanced protection to the right of women to a life free of violence and to eliminate the situations of violence that may affect them in both the public and the private sphere.</w:t>
      </w:r>
      <w:r w:rsidR="0076236C" w:rsidRPr="001558A5">
        <w:rPr>
          <w:szCs w:val="20"/>
          <w:lang w:val="en-US"/>
        </w:rPr>
        <w:t xml:space="preserve"> </w:t>
      </w:r>
    </w:p>
    <w:p w14:paraId="6396F2E4" w14:textId="77777777" w:rsidR="0076236C" w:rsidRPr="001558A5" w:rsidRDefault="0076236C" w:rsidP="0076236C">
      <w:pPr>
        <w:pStyle w:val="Prrafodelista"/>
        <w:ind w:left="0"/>
        <w:rPr>
          <w:szCs w:val="20"/>
          <w:lang w:val="en-US"/>
        </w:rPr>
      </w:pPr>
    </w:p>
    <w:p w14:paraId="30F0EEE5" w14:textId="63B4B406" w:rsidR="0076236C" w:rsidRPr="001558A5" w:rsidRDefault="00806422" w:rsidP="00E70DE6">
      <w:pPr>
        <w:pStyle w:val="Prrafodelista"/>
        <w:numPr>
          <w:ilvl w:val="0"/>
          <w:numId w:val="41"/>
        </w:numPr>
        <w:ind w:left="0" w:firstLine="0"/>
        <w:rPr>
          <w:szCs w:val="20"/>
          <w:lang w:val="en-US"/>
        </w:rPr>
      </w:pPr>
      <w:r w:rsidRPr="001558A5">
        <w:rPr>
          <w:szCs w:val="20"/>
          <w:lang w:val="en-US"/>
        </w:rPr>
        <w:t xml:space="preserve">This inter-American treaty is </w:t>
      </w:r>
      <w:proofErr w:type="spellStart"/>
      <w:r w:rsidRPr="001558A5">
        <w:rPr>
          <w:szCs w:val="20"/>
          <w:lang w:val="en-US"/>
        </w:rPr>
        <w:t>teleologically</w:t>
      </w:r>
      <w:proofErr w:type="spellEnd"/>
      <w:r w:rsidRPr="001558A5">
        <w:rPr>
          <w:szCs w:val="20"/>
          <w:lang w:val="en-US"/>
        </w:rPr>
        <w:t xml:space="preserve"> addressed at the protection of women in a context in which </w:t>
      </w:r>
      <w:r w:rsidR="008465FC" w:rsidRPr="001558A5">
        <w:rPr>
          <w:szCs w:val="20"/>
          <w:lang w:val="en-US"/>
        </w:rPr>
        <w:t>the violence is rooted in a patriarchal system the backdrop for which is the “</w:t>
      </w:r>
      <w:r w:rsidR="008465FC" w:rsidRPr="001558A5">
        <w:rPr>
          <w:rFonts w:eastAsiaTheme="minorHAnsi" w:cs="Calibri"/>
          <w:color w:val="000000"/>
          <w:szCs w:val="20"/>
          <w:lang w:val="en-US"/>
        </w:rPr>
        <w:t>manifestation of the historically unequal power relations between women and men</w:t>
      </w:r>
      <w:r w:rsidR="008465FC" w:rsidRPr="001558A5">
        <w:rPr>
          <w:szCs w:val="20"/>
          <w:lang w:val="en-US"/>
        </w:rPr>
        <w:t>.</w:t>
      </w:r>
      <w:r w:rsidR="0076236C" w:rsidRPr="001558A5">
        <w:rPr>
          <w:rFonts w:cs="Verdana"/>
          <w:bCs/>
          <w:szCs w:val="20"/>
          <w:lang w:val="en-US"/>
        </w:rPr>
        <w:t>”</w:t>
      </w:r>
      <w:r w:rsidR="0076236C" w:rsidRPr="001558A5">
        <w:rPr>
          <w:szCs w:val="20"/>
          <w:vertAlign w:val="superscript"/>
          <w:lang w:val="en-US"/>
        </w:rPr>
        <w:footnoteReference w:id="210"/>
      </w:r>
      <w:r w:rsidR="00E70DE6" w:rsidRPr="001558A5">
        <w:rPr>
          <w:rFonts w:cs="Verdana"/>
          <w:bCs/>
          <w:szCs w:val="20"/>
          <w:lang w:val="en-US"/>
        </w:rPr>
        <w:t xml:space="preserve"> As developed by </w:t>
      </w:r>
      <w:r w:rsidR="00871E19" w:rsidRPr="001558A5">
        <w:rPr>
          <w:rFonts w:cs="Verdana"/>
          <w:bCs/>
          <w:szCs w:val="20"/>
          <w:lang w:val="en-US"/>
        </w:rPr>
        <w:t>the Inter-American Court</w:t>
      </w:r>
      <w:r w:rsidR="0076236C" w:rsidRPr="001558A5">
        <w:rPr>
          <w:rFonts w:cs="Verdana"/>
          <w:bCs/>
          <w:szCs w:val="20"/>
          <w:lang w:val="en-US"/>
        </w:rPr>
        <w:t xml:space="preserve"> </w:t>
      </w:r>
      <w:r w:rsidR="00E70DE6" w:rsidRPr="001558A5">
        <w:rPr>
          <w:rFonts w:cs="Verdana"/>
          <w:bCs/>
          <w:szCs w:val="20"/>
          <w:lang w:val="en-US"/>
        </w:rPr>
        <w:t xml:space="preserve">throughout its case law, the gender perspective and the analysis of gender stereotypes, </w:t>
      </w:r>
      <w:r w:rsidR="0070391E" w:rsidRPr="001558A5">
        <w:rPr>
          <w:rFonts w:cs="Verdana"/>
          <w:bCs/>
          <w:szCs w:val="20"/>
          <w:lang w:val="en-US"/>
        </w:rPr>
        <w:t>together with</w:t>
      </w:r>
      <w:r w:rsidR="00E70DE6" w:rsidRPr="001558A5">
        <w:rPr>
          <w:rFonts w:cs="Verdana"/>
          <w:bCs/>
          <w:szCs w:val="20"/>
          <w:lang w:val="en-US"/>
        </w:rPr>
        <w:t xml:space="preserve"> the critical analytical response, are the principal tools to give real effectiveness to this treaty, as well as</w:t>
      </w:r>
      <w:r w:rsidR="0076236C" w:rsidRPr="001558A5">
        <w:rPr>
          <w:rFonts w:cs="Verdana"/>
          <w:bCs/>
          <w:szCs w:val="20"/>
          <w:lang w:val="en-US"/>
        </w:rPr>
        <w:t xml:space="preserve"> </w:t>
      </w:r>
      <w:r w:rsidR="00871E19" w:rsidRPr="001558A5">
        <w:rPr>
          <w:rFonts w:cs="Verdana"/>
          <w:bCs/>
          <w:szCs w:val="20"/>
          <w:lang w:val="en-US"/>
        </w:rPr>
        <w:t>the American Convention</w:t>
      </w:r>
      <w:r w:rsidR="0076236C" w:rsidRPr="001558A5">
        <w:rPr>
          <w:rFonts w:cs="Verdana"/>
          <w:bCs/>
          <w:szCs w:val="20"/>
          <w:lang w:val="en-US"/>
        </w:rPr>
        <w:t xml:space="preserve">. </w:t>
      </w:r>
      <w:r w:rsidR="00E70DE6" w:rsidRPr="001558A5">
        <w:rPr>
          <w:rFonts w:cs="Verdana"/>
          <w:bCs/>
          <w:szCs w:val="20"/>
          <w:lang w:val="en-US"/>
        </w:rPr>
        <w:t xml:space="preserve">Therefore, even though </w:t>
      </w:r>
      <w:r w:rsidR="008C2F33" w:rsidRPr="001558A5">
        <w:rPr>
          <w:rFonts w:cs="Verdana"/>
          <w:bCs/>
          <w:szCs w:val="20"/>
          <w:lang w:val="en-US"/>
        </w:rPr>
        <w:t>I</w:t>
      </w:r>
      <w:r w:rsidR="00E70DE6" w:rsidRPr="001558A5">
        <w:rPr>
          <w:rFonts w:cs="Verdana"/>
          <w:bCs/>
          <w:szCs w:val="20"/>
          <w:lang w:val="en-US"/>
        </w:rPr>
        <w:t xml:space="preserve"> consider </w:t>
      </w:r>
      <w:r w:rsidR="008C2F33" w:rsidRPr="001558A5">
        <w:rPr>
          <w:rFonts w:cs="Verdana"/>
          <w:bCs/>
          <w:szCs w:val="20"/>
          <w:lang w:val="en-US"/>
        </w:rPr>
        <w:t>that</w:t>
      </w:r>
      <w:r w:rsidR="00E70DE6" w:rsidRPr="001558A5">
        <w:rPr>
          <w:rFonts w:cs="Verdana"/>
          <w:bCs/>
          <w:szCs w:val="20"/>
          <w:lang w:val="en-US"/>
        </w:rPr>
        <w:t xml:space="preserve"> the majority opinion determining that </w:t>
      </w:r>
      <w:r w:rsidR="00A264B6" w:rsidRPr="001558A5">
        <w:rPr>
          <w:rFonts w:cs="Verdana"/>
          <w:bCs/>
          <w:szCs w:val="20"/>
          <w:lang w:val="en-US"/>
        </w:rPr>
        <w:t>States may be</w:t>
      </w:r>
      <w:r w:rsidR="00E70DE6" w:rsidRPr="001558A5">
        <w:rPr>
          <w:rFonts w:cs="Verdana"/>
          <w:bCs/>
          <w:szCs w:val="20"/>
          <w:lang w:val="en-US"/>
        </w:rPr>
        <w:t xml:space="preserve"> </w:t>
      </w:r>
      <w:r w:rsidR="008C2F33" w:rsidRPr="001558A5">
        <w:rPr>
          <w:rFonts w:cs="Verdana"/>
          <w:bCs/>
          <w:szCs w:val="20"/>
          <w:lang w:val="en-US"/>
        </w:rPr>
        <w:t xml:space="preserve">held </w:t>
      </w:r>
      <w:r w:rsidR="00A264B6" w:rsidRPr="001558A5">
        <w:rPr>
          <w:rFonts w:cs="Verdana"/>
          <w:bCs/>
          <w:szCs w:val="20"/>
          <w:lang w:val="en-US"/>
        </w:rPr>
        <w:t xml:space="preserve">internationally </w:t>
      </w:r>
      <w:r w:rsidR="00E70DE6" w:rsidRPr="001558A5">
        <w:rPr>
          <w:rFonts w:cs="Verdana"/>
          <w:bCs/>
          <w:szCs w:val="20"/>
          <w:lang w:val="en-US"/>
        </w:rPr>
        <w:t>responsible</w:t>
      </w:r>
      <w:r w:rsidR="00A264B6" w:rsidRPr="001558A5">
        <w:rPr>
          <w:rFonts w:cs="Verdana"/>
          <w:bCs/>
          <w:szCs w:val="20"/>
          <w:lang w:val="en-US"/>
        </w:rPr>
        <w:t xml:space="preserve"> for failing to comply with </w:t>
      </w:r>
      <w:r w:rsidR="00871E19" w:rsidRPr="001558A5">
        <w:rPr>
          <w:rFonts w:cs="Verdana"/>
          <w:bCs/>
          <w:szCs w:val="20"/>
          <w:lang w:val="en-US"/>
        </w:rPr>
        <w:t>the Convention</w:t>
      </w:r>
      <w:r w:rsidR="0076236C" w:rsidRPr="001558A5">
        <w:rPr>
          <w:rFonts w:cs="Verdana"/>
          <w:bCs/>
          <w:szCs w:val="20"/>
          <w:lang w:val="en-US"/>
        </w:rPr>
        <w:t xml:space="preserve"> </w:t>
      </w:r>
      <w:r w:rsidR="00B74256" w:rsidRPr="001558A5">
        <w:rPr>
          <w:rFonts w:cs="Verdana"/>
          <w:bCs/>
          <w:szCs w:val="20"/>
          <w:lang w:val="en-US"/>
        </w:rPr>
        <w:t xml:space="preserve">of </w:t>
      </w:r>
      <w:proofErr w:type="spellStart"/>
      <w:r w:rsidR="00B74256" w:rsidRPr="001558A5">
        <w:rPr>
          <w:rFonts w:cs="Verdana"/>
          <w:bCs/>
          <w:szCs w:val="20"/>
          <w:lang w:val="en-US"/>
        </w:rPr>
        <w:t>Belém</w:t>
      </w:r>
      <w:proofErr w:type="spellEnd"/>
      <w:r w:rsidR="0076236C" w:rsidRPr="001558A5">
        <w:rPr>
          <w:rFonts w:cs="Verdana"/>
          <w:bCs/>
          <w:szCs w:val="20"/>
          <w:lang w:val="en-US"/>
        </w:rPr>
        <w:t xml:space="preserve"> do </w:t>
      </w:r>
      <w:proofErr w:type="spellStart"/>
      <w:r w:rsidR="0076236C" w:rsidRPr="001558A5">
        <w:rPr>
          <w:rFonts w:cs="Verdana"/>
          <w:bCs/>
          <w:szCs w:val="20"/>
          <w:lang w:val="en-US"/>
        </w:rPr>
        <w:t>Pará</w:t>
      </w:r>
      <w:proofErr w:type="spellEnd"/>
      <w:r w:rsidR="0076236C" w:rsidRPr="001558A5">
        <w:rPr>
          <w:rFonts w:cs="Verdana"/>
          <w:bCs/>
          <w:szCs w:val="20"/>
          <w:lang w:val="en-US"/>
        </w:rPr>
        <w:t xml:space="preserve"> </w:t>
      </w:r>
      <w:r w:rsidR="00A264B6" w:rsidRPr="001558A5">
        <w:rPr>
          <w:rFonts w:cs="Verdana"/>
          <w:bCs/>
          <w:szCs w:val="20"/>
          <w:lang w:val="en-US"/>
        </w:rPr>
        <w:t xml:space="preserve">in cases of violence against </w:t>
      </w:r>
      <w:proofErr w:type="gramStart"/>
      <w:r w:rsidR="00A264B6" w:rsidRPr="001558A5">
        <w:rPr>
          <w:rFonts w:cs="Verdana"/>
          <w:bCs/>
          <w:szCs w:val="20"/>
          <w:lang w:val="en-US"/>
        </w:rPr>
        <w:t>trans</w:t>
      </w:r>
      <w:proofErr w:type="gramEnd"/>
      <w:r w:rsidR="00A264B6" w:rsidRPr="001558A5">
        <w:rPr>
          <w:rFonts w:cs="Verdana"/>
          <w:bCs/>
          <w:szCs w:val="20"/>
          <w:lang w:val="en-US"/>
        </w:rPr>
        <w:t xml:space="preserve"> women</w:t>
      </w:r>
      <w:r w:rsidR="008C2F33" w:rsidRPr="001558A5">
        <w:rPr>
          <w:rFonts w:cs="Verdana"/>
          <w:bCs/>
          <w:szCs w:val="20"/>
          <w:lang w:val="en-US"/>
        </w:rPr>
        <w:t xml:space="preserve"> is correct</w:t>
      </w:r>
      <w:r w:rsidR="00A264B6" w:rsidRPr="001558A5">
        <w:rPr>
          <w:rFonts w:cs="Verdana"/>
          <w:bCs/>
          <w:szCs w:val="20"/>
          <w:lang w:val="en-US"/>
        </w:rPr>
        <w:t xml:space="preserve">, personally, I consider that there </w:t>
      </w:r>
      <w:r w:rsidR="000E3600" w:rsidRPr="001558A5">
        <w:rPr>
          <w:rFonts w:cs="Verdana"/>
          <w:bCs/>
          <w:szCs w:val="20"/>
          <w:lang w:val="en-US"/>
        </w:rPr>
        <w:t>are some arguments missing</w:t>
      </w:r>
      <w:r w:rsidR="00A264B6" w:rsidRPr="001558A5">
        <w:rPr>
          <w:rFonts w:cs="Verdana"/>
          <w:bCs/>
          <w:szCs w:val="20"/>
          <w:lang w:val="en-US"/>
        </w:rPr>
        <w:t xml:space="preserve"> in the majority decision.</w:t>
      </w:r>
    </w:p>
    <w:p w14:paraId="26098768" w14:textId="77777777" w:rsidR="0076236C" w:rsidRPr="001558A5" w:rsidRDefault="0076236C" w:rsidP="0076236C">
      <w:pPr>
        <w:pStyle w:val="Prrafodelista"/>
        <w:ind w:left="0"/>
        <w:rPr>
          <w:szCs w:val="20"/>
          <w:lang w:val="en-US"/>
        </w:rPr>
      </w:pPr>
    </w:p>
    <w:p w14:paraId="617912B1" w14:textId="66BEEC1F" w:rsidR="00A6625F" w:rsidRPr="001558A5" w:rsidRDefault="00A6625F" w:rsidP="00A6625F">
      <w:pPr>
        <w:pStyle w:val="Prrafodelista"/>
        <w:numPr>
          <w:ilvl w:val="0"/>
          <w:numId w:val="41"/>
        </w:numPr>
        <w:ind w:left="0" w:firstLine="0"/>
        <w:rPr>
          <w:szCs w:val="20"/>
          <w:lang w:val="en-US"/>
        </w:rPr>
      </w:pPr>
      <w:r w:rsidRPr="001558A5">
        <w:rPr>
          <w:rFonts w:cs="Verdana"/>
          <w:bCs/>
          <w:szCs w:val="20"/>
          <w:lang w:val="en-US"/>
        </w:rPr>
        <w:t xml:space="preserve">In order to reach the conclusion that the State was internationally responsible for the death of </w:t>
      </w:r>
      <w:r w:rsidR="0076236C" w:rsidRPr="001558A5">
        <w:rPr>
          <w:rFonts w:cs="Verdana"/>
          <w:bCs/>
          <w:szCs w:val="20"/>
          <w:lang w:val="en-US"/>
        </w:rPr>
        <w:t xml:space="preserve">Vicky Hernández </w:t>
      </w:r>
      <w:r w:rsidRPr="001558A5">
        <w:rPr>
          <w:rFonts w:cs="Verdana"/>
          <w:bCs/>
          <w:szCs w:val="20"/>
          <w:lang w:val="en-US"/>
        </w:rPr>
        <w:t>under</w:t>
      </w:r>
      <w:r w:rsidR="0076236C" w:rsidRPr="001558A5">
        <w:rPr>
          <w:rFonts w:cs="Verdana"/>
          <w:bCs/>
          <w:szCs w:val="20"/>
          <w:lang w:val="en-US"/>
        </w:rPr>
        <w:t xml:space="preserve"> </w:t>
      </w:r>
      <w:r w:rsidR="00871E19" w:rsidRPr="001558A5">
        <w:rPr>
          <w:rFonts w:cs="Verdana"/>
          <w:bCs/>
          <w:szCs w:val="20"/>
          <w:lang w:val="en-US"/>
        </w:rPr>
        <w:t>the Convention</w:t>
      </w:r>
      <w:r w:rsidR="0076236C" w:rsidRPr="001558A5">
        <w:rPr>
          <w:rFonts w:cs="Verdana"/>
          <w:bCs/>
          <w:szCs w:val="20"/>
          <w:lang w:val="en-US"/>
        </w:rPr>
        <w:t xml:space="preserve"> </w:t>
      </w:r>
      <w:r w:rsidR="00B74256" w:rsidRPr="001558A5">
        <w:rPr>
          <w:rFonts w:cs="Verdana"/>
          <w:bCs/>
          <w:szCs w:val="20"/>
          <w:lang w:val="en-US"/>
        </w:rPr>
        <w:t xml:space="preserve">of </w:t>
      </w:r>
      <w:proofErr w:type="spellStart"/>
      <w:r w:rsidR="00B74256" w:rsidRPr="001558A5">
        <w:rPr>
          <w:rFonts w:cs="Verdana"/>
          <w:bCs/>
          <w:szCs w:val="20"/>
          <w:lang w:val="en-US"/>
        </w:rPr>
        <w:t>Belém</w:t>
      </w:r>
      <w:proofErr w:type="spellEnd"/>
      <w:r w:rsidR="0076236C" w:rsidRPr="001558A5">
        <w:rPr>
          <w:rFonts w:cs="Verdana"/>
          <w:bCs/>
          <w:szCs w:val="20"/>
          <w:lang w:val="en-US"/>
        </w:rPr>
        <w:t xml:space="preserve"> do </w:t>
      </w:r>
      <w:proofErr w:type="spellStart"/>
      <w:r w:rsidR="0076236C" w:rsidRPr="001558A5">
        <w:rPr>
          <w:rFonts w:cs="Verdana"/>
          <w:bCs/>
          <w:szCs w:val="20"/>
          <w:lang w:val="en-US"/>
        </w:rPr>
        <w:t>Pará</w:t>
      </w:r>
      <w:proofErr w:type="spellEnd"/>
      <w:r w:rsidR="0076236C" w:rsidRPr="001558A5">
        <w:rPr>
          <w:rFonts w:cs="Verdana"/>
          <w:bCs/>
          <w:szCs w:val="20"/>
          <w:lang w:val="en-US"/>
        </w:rPr>
        <w:t xml:space="preserve">, </w:t>
      </w:r>
      <w:r w:rsidRPr="001558A5">
        <w:rPr>
          <w:rFonts w:cs="Verdana"/>
          <w:bCs/>
          <w:szCs w:val="20"/>
          <w:lang w:val="en-US"/>
        </w:rPr>
        <w:t xml:space="preserve">the majority decision addressed the fact that </w:t>
      </w:r>
      <w:proofErr w:type="gramStart"/>
      <w:r w:rsidRPr="001558A5">
        <w:rPr>
          <w:rFonts w:cs="Verdana"/>
          <w:bCs/>
          <w:szCs w:val="20"/>
          <w:lang w:val="en-US"/>
        </w:rPr>
        <w:t>trans</w:t>
      </w:r>
      <w:proofErr w:type="gramEnd"/>
      <w:r w:rsidRPr="001558A5">
        <w:rPr>
          <w:rFonts w:cs="Verdana"/>
          <w:bCs/>
          <w:szCs w:val="20"/>
          <w:lang w:val="en-US"/>
        </w:rPr>
        <w:t xml:space="preserve"> women may be subjected to gender-based violence, understanding this as violence committed based on the “</w:t>
      </w:r>
      <w:r w:rsidRPr="001558A5">
        <w:rPr>
          <w:lang w:val="en-US"/>
        </w:rPr>
        <w:t>socially constructed identities, attributes and roles for women and men</w:t>
      </w:r>
      <w:r w:rsidRPr="001558A5">
        <w:rPr>
          <w:szCs w:val="20"/>
          <w:lang w:val="en-US"/>
        </w:rPr>
        <w:t>.”</w:t>
      </w:r>
      <w:r w:rsidR="0076236C" w:rsidRPr="001558A5">
        <w:rPr>
          <w:rStyle w:val="Refdenotaalpie"/>
          <w:lang w:val="en-US"/>
        </w:rPr>
        <w:footnoteReference w:id="211"/>
      </w:r>
      <w:r w:rsidR="0076236C" w:rsidRPr="001558A5">
        <w:rPr>
          <w:rFonts w:cs="Verdana"/>
          <w:bCs/>
          <w:szCs w:val="20"/>
          <w:lang w:val="en-US"/>
        </w:rPr>
        <w:t xml:space="preserve"> </w:t>
      </w:r>
      <w:r w:rsidRPr="001558A5">
        <w:rPr>
          <w:rFonts w:cs="Verdana"/>
          <w:bCs/>
          <w:szCs w:val="20"/>
          <w:lang w:val="en-US"/>
        </w:rPr>
        <w:t>Although this statement i</w:t>
      </w:r>
      <w:r w:rsidR="005A10C6" w:rsidRPr="001558A5">
        <w:rPr>
          <w:rFonts w:cs="Verdana"/>
          <w:bCs/>
          <w:szCs w:val="20"/>
          <w:lang w:val="en-US"/>
        </w:rPr>
        <w:t>s</w:t>
      </w:r>
      <w:r w:rsidRPr="001558A5">
        <w:rPr>
          <w:rFonts w:cs="Verdana"/>
          <w:bCs/>
          <w:szCs w:val="20"/>
          <w:lang w:val="en-US"/>
        </w:rPr>
        <w:t xml:space="preserve"> completely correct, as is the analysis made in the judgment o</w:t>
      </w:r>
      <w:r w:rsidR="005A10C6" w:rsidRPr="001558A5">
        <w:rPr>
          <w:rFonts w:cs="Verdana"/>
          <w:bCs/>
          <w:szCs w:val="20"/>
          <w:lang w:val="en-US"/>
        </w:rPr>
        <w:t>f</w:t>
      </w:r>
      <w:r w:rsidRPr="001558A5">
        <w:rPr>
          <w:rFonts w:cs="Verdana"/>
          <w:bCs/>
          <w:szCs w:val="20"/>
          <w:lang w:val="en-US"/>
        </w:rPr>
        <w:t xml:space="preserve"> the </w:t>
      </w:r>
      <w:r w:rsidR="00BB0881" w:rsidRPr="001558A5">
        <w:rPr>
          <w:rFonts w:cs="Verdana"/>
          <w:bCs/>
          <w:szCs w:val="20"/>
          <w:lang w:val="en-US"/>
        </w:rPr>
        <w:t xml:space="preserve">situations of vulnerability faced by </w:t>
      </w:r>
      <w:proofErr w:type="gramStart"/>
      <w:r w:rsidR="00BB0881" w:rsidRPr="001558A5">
        <w:rPr>
          <w:rFonts w:cs="Verdana"/>
          <w:bCs/>
          <w:szCs w:val="20"/>
          <w:lang w:val="en-US"/>
        </w:rPr>
        <w:t>trans</w:t>
      </w:r>
      <w:proofErr w:type="gramEnd"/>
      <w:r w:rsidR="00BB0881" w:rsidRPr="001558A5">
        <w:rPr>
          <w:rFonts w:cs="Verdana"/>
          <w:bCs/>
          <w:szCs w:val="20"/>
          <w:lang w:val="en-US"/>
        </w:rPr>
        <w:t xml:space="preserve"> women, these correspond to a second level of arguments. First, it would have been necessary to clarify that, according to the case law of the Inter-American Court itself, </w:t>
      </w:r>
      <w:proofErr w:type="gramStart"/>
      <w:r w:rsidR="00BB0881" w:rsidRPr="001558A5">
        <w:rPr>
          <w:rFonts w:cs="Verdana"/>
          <w:bCs/>
          <w:szCs w:val="20"/>
          <w:lang w:val="en-US"/>
        </w:rPr>
        <w:t>trans</w:t>
      </w:r>
      <w:proofErr w:type="gramEnd"/>
      <w:r w:rsidR="00BB0881" w:rsidRPr="001558A5">
        <w:rPr>
          <w:rFonts w:cs="Verdana"/>
          <w:bCs/>
          <w:szCs w:val="20"/>
          <w:lang w:val="en-US"/>
        </w:rPr>
        <w:t xml:space="preserve"> women are protected by the Convention of </w:t>
      </w:r>
      <w:proofErr w:type="spellStart"/>
      <w:r w:rsidR="00BB0881" w:rsidRPr="001558A5">
        <w:rPr>
          <w:rFonts w:cs="Verdana"/>
          <w:bCs/>
          <w:szCs w:val="20"/>
          <w:lang w:val="en-US"/>
        </w:rPr>
        <w:t>Belém</w:t>
      </w:r>
      <w:proofErr w:type="spellEnd"/>
      <w:r w:rsidR="00BB0881" w:rsidRPr="001558A5">
        <w:rPr>
          <w:rFonts w:cs="Verdana"/>
          <w:bCs/>
          <w:szCs w:val="20"/>
          <w:lang w:val="en-US"/>
        </w:rPr>
        <w:t xml:space="preserve"> do </w:t>
      </w:r>
      <w:proofErr w:type="spellStart"/>
      <w:r w:rsidR="00BB0881" w:rsidRPr="001558A5">
        <w:rPr>
          <w:rFonts w:cs="Verdana"/>
          <w:bCs/>
          <w:szCs w:val="20"/>
          <w:lang w:val="en-US"/>
        </w:rPr>
        <w:t>Pará</w:t>
      </w:r>
      <w:proofErr w:type="spellEnd"/>
      <w:r w:rsidR="00BB0881" w:rsidRPr="001558A5">
        <w:rPr>
          <w:rFonts w:cs="Verdana"/>
          <w:bCs/>
          <w:szCs w:val="20"/>
          <w:lang w:val="en-US"/>
        </w:rPr>
        <w:t xml:space="preserve"> because they are women. Therefore, the first step should have been to follow the case law developed by the Court in Advisory Opinion OC-24, in which it indicated the following:</w:t>
      </w:r>
    </w:p>
    <w:p w14:paraId="4A2D6D8C" w14:textId="77777777" w:rsidR="0076236C" w:rsidRPr="001558A5" w:rsidRDefault="0076236C" w:rsidP="0076236C">
      <w:pPr>
        <w:pStyle w:val="Prrafodelista"/>
        <w:ind w:left="0"/>
        <w:rPr>
          <w:szCs w:val="20"/>
          <w:lang w:val="en-US"/>
        </w:rPr>
      </w:pPr>
    </w:p>
    <w:p w14:paraId="4BD07B69" w14:textId="0186D019" w:rsidR="0076236C" w:rsidRPr="001558A5" w:rsidRDefault="0076236C" w:rsidP="002C5B2A">
      <w:pPr>
        <w:tabs>
          <w:tab w:val="left" w:pos="567"/>
        </w:tabs>
        <w:ind w:left="567" w:right="360"/>
        <w:rPr>
          <w:sz w:val="18"/>
          <w:szCs w:val="18"/>
          <w:lang w:val="en-US"/>
        </w:rPr>
      </w:pPr>
      <w:r w:rsidRPr="001558A5">
        <w:rPr>
          <w:sz w:val="18"/>
          <w:szCs w:val="18"/>
          <w:lang w:val="en-US"/>
        </w:rPr>
        <w:t xml:space="preserve">[…] </w:t>
      </w:r>
      <w:r w:rsidR="00BB0881" w:rsidRPr="001558A5">
        <w:rPr>
          <w:sz w:val="18"/>
          <w:szCs w:val="18"/>
          <w:lang w:val="en-US"/>
        </w:rPr>
        <w:t>gender identity [is] the internal and individual experience of gender as each person feels it, which may or may not correspond to the sex assigned at birth. This includes the personal experience of the body as well as other expressions of gender, such as dress, speech and mannerisms. Thus, for this Court, recognition of gender identity is necessarily linked to the idea that sex and gender should be perceived as being a part of the constructed identity that is the result of the free and autonomous decision of each person, and without this having to be subject to their genitalia.</w:t>
      </w:r>
      <w:r w:rsidRPr="001558A5">
        <w:rPr>
          <w:rStyle w:val="Refdenotaalpie"/>
          <w:sz w:val="18"/>
          <w:szCs w:val="18"/>
          <w:lang w:val="en-US"/>
        </w:rPr>
        <w:footnoteReference w:id="212"/>
      </w:r>
      <w:r w:rsidRPr="001558A5">
        <w:rPr>
          <w:sz w:val="18"/>
          <w:szCs w:val="18"/>
          <w:lang w:val="en-US"/>
        </w:rPr>
        <w:t xml:space="preserve"> </w:t>
      </w:r>
    </w:p>
    <w:p w14:paraId="181B4609" w14:textId="77777777" w:rsidR="0076236C" w:rsidRPr="001558A5" w:rsidRDefault="0076236C" w:rsidP="0076236C">
      <w:pPr>
        <w:tabs>
          <w:tab w:val="left" w:pos="567"/>
        </w:tabs>
        <w:rPr>
          <w:szCs w:val="20"/>
          <w:lang w:val="en-US"/>
        </w:rPr>
      </w:pPr>
    </w:p>
    <w:p w14:paraId="695A8768" w14:textId="34DEF213" w:rsidR="0076236C" w:rsidRPr="001558A5" w:rsidRDefault="00871E19" w:rsidP="0076236C">
      <w:pPr>
        <w:tabs>
          <w:tab w:val="left" w:pos="567"/>
        </w:tabs>
        <w:rPr>
          <w:szCs w:val="20"/>
          <w:lang w:val="en-US"/>
        </w:rPr>
      </w:pPr>
      <w:r w:rsidRPr="001558A5">
        <w:rPr>
          <w:szCs w:val="20"/>
          <w:lang w:val="en-US"/>
        </w:rPr>
        <w:t>The Court</w:t>
      </w:r>
      <w:r w:rsidR="0076236C" w:rsidRPr="001558A5">
        <w:rPr>
          <w:szCs w:val="20"/>
          <w:lang w:val="en-US"/>
        </w:rPr>
        <w:t xml:space="preserve"> </w:t>
      </w:r>
      <w:r w:rsidR="00BB0881" w:rsidRPr="001558A5">
        <w:rPr>
          <w:szCs w:val="20"/>
          <w:lang w:val="en-US"/>
        </w:rPr>
        <w:t>also considered that</w:t>
      </w:r>
      <w:r w:rsidR="0076236C" w:rsidRPr="001558A5">
        <w:rPr>
          <w:szCs w:val="20"/>
          <w:lang w:val="en-US"/>
        </w:rPr>
        <w:t>:</w:t>
      </w:r>
    </w:p>
    <w:p w14:paraId="51098D34" w14:textId="77777777" w:rsidR="0076236C" w:rsidRPr="001558A5" w:rsidRDefault="0076236C" w:rsidP="0076236C">
      <w:pPr>
        <w:tabs>
          <w:tab w:val="left" w:pos="567"/>
        </w:tabs>
        <w:rPr>
          <w:szCs w:val="20"/>
          <w:lang w:val="en-US"/>
        </w:rPr>
      </w:pPr>
    </w:p>
    <w:p w14:paraId="767AD75C" w14:textId="41FDF15A" w:rsidR="0076236C" w:rsidRPr="001558A5" w:rsidRDefault="005A10C6" w:rsidP="002C5B2A">
      <w:pPr>
        <w:tabs>
          <w:tab w:val="left" w:pos="567"/>
        </w:tabs>
        <w:ind w:left="567" w:right="360"/>
        <w:rPr>
          <w:sz w:val="18"/>
          <w:szCs w:val="18"/>
          <w:lang w:val="en-US"/>
        </w:rPr>
      </w:pPr>
      <w:r w:rsidRPr="001558A5">
        <w:rPr>
          <w:sz w:val="18"/>
          <w:szCs w:val="18"/>
          <w:lang w:val="en-US"/>
        </w:rPr>
        <w:t>T</w:t>
      </w:r>
      <w:r w:rsidR="00BB0881" w:rsidRPr="001558A5">
        <w:rPr>
          <w:sz w:val="18"/>
          <w:szCs w:val="18"/>
          <w:lang w:val="en-US"/>
        </w:rPr>
        <w:t>he sex, together with the socially constructed identities, attributes and roles that are ascribed to the biological differences regarding the sex assigned at birth, far from constituting objective and unchangeable characteristics of the civil status that individualizes a person – for these being a physical or biological fact – are merely characteristics that depend on the subjective appreciation of the person concerned, and are based on the construction of a self-perceived gender identity dependent on the free development of the personality, sexual self-determination, and the right to privacy. Consequently, those who decide to assume this self-perceived gender identity, are the holders of legally protected interests which cannot be subject to any restriction based merely on the fact that society as a whole does not share specific singular lifestyles due to fears, stereotypes, and social and moral prejudices which have no reasonable basis. Thus, regarding the factors that define the sexual and gender identity of a person, precedence is given to the subjective factor over the physical or morphological features (objective factor). In this sense, owing to the complex human nature that leads everyone to develop their own personality based on the particular way they see themselves, the psychosocial sex should be given pre-eminence over the morphological sex in order to fully respect the right to sexual and gender identity, since these are elements that, to a great extent, define both how individuals see themselves and how they project themselves in society.</w:t>
      </w:r>
      <w:r w:rsidR="0076236C" w:rsidRPr="001558A5">
        <w:rPr>
          <w:rStyle w:val="Refdenotaalpie"/>
          <w:sz w:val="18"/>
          <w:szCs w:val="18"/>
          <w:lang w:val="en-US"/>
        </w:rPr>
        <w:footnoteReference w:id="213"/>
      </w:r>
    </w:p>
    <w:p w14:paraId="61A4CB99" w14:textId="77777777" w:rsidR="0076236C" w:rsidRPr="001558A5" w:rsidRDefault="0076236C" w:rsidP="0076236C">
      <w:pPr>
        <w:tabs>
          <w:tab w:val="left" w:pos="567"/>
        </w:tabs>
        <w:ind w:left="567"/>
        <w:rPr>
          <w:szCs w:val="20"/>
          <w:lang w:val="en-US"/>
        </w:rPr>
      </w:pPr>
    </w:p>
    <w:p w14:paraId="0A238B12" w14:textId="51C96D60" w:rsidR="0076236C" w:rsidRPr="001558A5" w:rsidRDefault="00BB0881" w:rsidP="00E7158D">
      <w:pPr>
        <w:pStyle w:val="Prrafodelista"/>
        <w:numPr>
          <w:ilvl w:val="0"/>
          <w:numId w:val="41"/>
        </w:numPr>
        <w:ind w:left="0" w:firstLine="0"/>
        <w:rPr>
          <w:rFonts w:cs="Verdana"/>
          <w:bCs/>
          <w:szCs w:val="20"/>
          <w:lang w:val="en-US"/>
        </w:rPr>
      </w:pPr>
      <w:r w:rsidRPr="001558A5">
        <w:rPr>
          <w:rFonts w:cs="Verdana"/>
          <w:bCs/>
          <w:szCs w:val="20"/>
          <w:lang w:val="en-US"/>
        </w:rPr>
        <w:t>In the said</w:t>
      </w:r>
      <w:r w:rsidR="0076236C" w:rsidRPr="001558A5">
        <w:rPr>
          <w:rFonts w:cs="Verdana"/>
          <w:bCs/>
          <w:szCs w:val="20"/>
          <w:lang w:val="en-US"/>
        </w:rPr>
        <w:t xml:space="preserve"> </w:t>
      </w:r>
      <w:r w:rsidR="00651B7F" w:rsidRPr="001558A5">
        <w:rPr>
          <w:rFonts w:cs="Verdana"/>
          <w:bCs/>
          <w:szCs w:val="20"/>
          <w:lang w:val="en-US"/>
        </w:rPr>
        <w:t>Advisory Opinion</w:t>
      </w:r>
      <w:r w:rsidR="0076236C" w:rsidRPr="001558A5">
        <w:rPr>
          <w:rFonts w:cs="Verdana"/>
          <w:bCs/>
          <w:szCs w:val="20"/>
          <w:lang w:val="en-US"/>
        </w:rPr>
        <w:t xml:space="preserve"> 24, </w:t>
      </w:r>
      <w:r w:rsidR="00E7158D" w:rsidRPr="001558A5">
        <w:rPr>
          <w:rFonts w:cs="Verdana"/>
          <w:bCs/>
          <w:szCs w:val="20"/>
          <w:lang w:val="en-US"/>
        </w:rPr>
        <w:t xml:space="preserve">one of the Court’s most important contributions to international law as regards the progressivity of the rights of sexual minorities, the Court broke </w:t>
      </w:r>
      <w:r w:rsidR="005A10C6" w:rsidRPr="001558A5">
        <w:rPr>
          <w:rFonts w:cs="Verdana"/>
          <w:bCs/>
          <w:szCs w:val="20"/>
          <w:lang w:val="en-US"/>
        </w:rPr>
        <w:t>away from</w:t>
      </w:r>
      <w:r w:rsidR="00E7158D" w:rsidRPr="001558A5">
        <w:rPr>
          <w:rFonts w:cs="Verdana"/>
          <w:bCs/>
          <w:szCs w:val="20"/>
          <w:lang w:val="en-US"/>
        </w:rPr>
        <w:t xml:space="preserve"> the concept of </w:t>
      </w:r>
      <w:proofErr w:type="spellStart"/>
      <w:r w:rsidR="00E7158D" w:rsidRPr="001558A5">
        <w:rPr>
          <w:rFonts w:cs="Verdana"/>
          <w:bCs/>
          <w:szCs w:val="20"/>
          <w:lang w:val="en-US"/>
        </w:rPr>
        <w:t>cisnormativity</w:t>
      </w:r>
      <w:proofErr w:type="spellEnd"/>
      <w:r w:rsidR="00E7158D" w:rsidRPr="001558A5">
        <w:rPr>
          <w:rFonts w:cs="Verdana"/>
          <w:bCs/>
          <w:szCs w:val="20"/>
          <w:lang w:val="en-US"/>
        </w:rPr>
        <w:t xml:space="preserve">. In other words, the </w:t>
      </w:r>
      <w:r w:rsidR="00E7158D" w:rsidRPr="001558A5">
        <w:rPr>
          <w:lang w:val="en-US"/>
        </w:rPr>
        <w:t>concept “that all people are cisgender, and that those assigned male at birth always grow up to be men and those assigned female at birth always grow up to be women</w:t>
      </w:r>
      <w:r w:rsidR="00E7158D" w:rsidRPr="001558A5">
        <w:rPr>
          <w:rFonts w:cs="Verdana"/>
          <w:bCs/>
          <w:szCs w:val="20"/>
          <w:lang w:val="en-US"/>
        </w:rPr>
        <w:t>.</w:t>
      </w:r>
      <w:r w:rsidR="0076236C" w:rsidRPr="001558A5">
        <w:rPr>
          <w:rFonts w:cs="Verdana"/>
          <w:bCs/>
          <w:szCs w:val="20"/>
          <w:lang w:val="en-US"/>
        </w:rPr>
        <w:t>”</w:t>
      </w:r>
      <w:r w:rsidR="0076236C" w:rsidRPr="001558A5">
        <w:rPr>
          <w:rStyle w:val="Refdenotaalpie"/>
          <w:rFonts w:cs="Verdana"/>
          <w:bCs/>
          <w:lang w:val="en-US"/>
        </w:rPr>
        <w:footnoteReference w:id="214"/>
      </w:r>
      <w:r w:rsidR="0076236C" w:rsidRPr="001558A5">
        <w:rPr>
          <w:rFonts w:cs="Verdana"/>
          <w:bCs/>
          <w:szCs w:val="20"/>
          <w:lang w:val="en-US"/>
        </w:rPr>
        <w:t xml:space="preserve"> </w:t>
      </w:r>
    </w:p>
    <w:p w14:paraId="109AE6E4" w14:textId="77777777" w:rsidR="0076236C" w:rsidRPr="001558A5" w:rsidRDefault="0076236C" w:rsidP="0076236C">
      <w:pPr>
        <w:pStyle w:val="Prrafodelista"/>
        <w:ind w:left="0"/>
        <w:rPr>
          <w:rFonts w:cs="Verdana"/>
          <w:bCs/>
          <w:szCs w:val="20"/>
          <w:lang w:val="en-US"/>
        </w:rPr>
      </w:pPr>
    </w:p>
    <w:p w14:paraId="219878E5" w14:textId="3F893F6E" w:rsidR="0076236C" w:rsidRPr="001558A5" w:rsidRDefault="00E7158D" w:rsidP="00E7158D">
      <w:pPr>
        <w:pStyle w:val="Prrafodelista"/>
        <w:numPr>
          <w:ilvl w:val="0"/>
          <w:numId w:val="41"/>
        </w:numPr>
        <w:ind w:left="0" w:firstLine="0"/>
        <w:rPr>
          <w:rFonts w:cs="Verdana"/>
          <w:bCs/>
          <w:szCs w:val="20"/>
          <w:lang w:val="en-US"/>
        </w:rPr>
      </w:pPr>
      <w:r w:rsidRPr="001558A5">
        <w:rPr>
          <w:szCs w:val="20"/>
          <w:lang w:val="en-US"/>
        </w:rPr>
        <w:t xml:space="preserve">In contrast, as indicated by expert witness </w:t>
      </w:r>
      <w:r w:rsidR="0076236C" w:rsidRPr="001558A5">
        <w:rPr>
          <w:szCs w:val="20"/>
          <w:lang w:val="en-US"/>
        </w:rPr>
        <w:t xml:space="preserve">Carlos </w:t>
      </w:r>
      <w:proofErr w:type="spellStart"/>
      <w:r w:rsidR="0076236C" w:rsidRPr="001558A5">
        <w:rPr>
          <w:szCs w:val="20"/>
          <w:lang w:val="en-US"/>
        </w:rPr>
        <w:t>Zelada</w:t>
      </w:r>
      <w:proofErr w:type="spellEnd"/>
      <w:r w:rsidR="0076236C" w:rsidRPr="001558A5">
        <w:rPr>
          <w:szCs w:val="20"/>
          <w:lang w:val="en-US"/>
        </w:rPr>
        <w:t xml:space="preserve"> ‘‘</w:t>
      </w:r>
      <w:r w:rsidR="0076236C" w:rsidRPr="001558A5">
        <w:rPr>
          <w:rFonts w:cs="Garamond"/>
          <w:szCs w:val="20"/>
          <w:lang w:val="en-US"/>
        </w:rPr>
        <w:t>[</w:t>
      </w:r>
      <w:r w:rsidRPr="001558A5">
        <w:rPr>
          <w:rFonts w:cs="Garamond"/>
          <w:szCs w:val="20"/>
          <w:lang w:val="en-US"/>
        </w:rPr>
        <w:t>w</w:t>
      </w:r>
      <w:r w:rsidR="0076236C" w:rsidRPr="001558A5">
        <w:rPr>
          <w:rFonts w:cs="Garamond"/>
          <w:szCs w:val="20"/>
          <w:lang w:val="en-US"/>
        </w:rPr>
        <w:t>]</w:t>
      </w:r>
      <w:r w:rsidRPr="001558A5">
        <w:rPr>
          <w:rFonts w:cs="Garamond"/>
          <w:szCs w:val="20"/>
          <w:lang w:val="en-US"/>
        </w:rPr>
        <w:t>hen we speak of trans women and transvestites, we are speaking of women whose gender expression and identity do not usually fit in with the traditional and, above all, static notions of femininity.</w:t>
      </w:r>
      <w:r w:rsidRPr="001558A5">
        <w:rPr>
          <w:rFonts w:cs="Verdana"/>
          <w:bCs/>
          <w:szCs w:val="20"/>
          <w:lang w:val="en-US"/>
        </w:rPr>
        <w:t>”</w:t>
      </w:r>
      <w:r w:rsidR="0076236C" w:rsidRPr="001558A5">
        <w:rPr>
          <w:rStyle w:val="Refdenotaalpie"/>
          <w:rFonts w:cs="Garamond"/>
          <w:lang w:val="en-US"/>
        </w:rPr>
        <w:footnoteReference w:id="215"/>
      </w:r>
      <w:r w:rsidRPr="001558A5">
        <w:rPr>
          <w:rFonts w:cs="Garamond"/>
          <w:szCs w:val="20"/>
          <w:lang w:val="en-US"/>
        </w:rPr>
        <w:t xml:space="preserve"> International human rights law cannot ignore these advances, moving away from its ultimate goal which is the protection of the individual, especially recognizing the extreme vulnerability of </w:t>
      </w:r>
      <w:proofErr w:type="gramStart"/>
      <w:r w:rsidRPr="001558A5">
        <w:rPr>
          <w:rFonts w:cs="Garamond"/>
          <w:szCs w:val="20"/>
          <w:lang w:val="en-US"/>
        </w:rPr>
        <w:t>trans</w:t>
      </w:r>
      <w:proofErr w:type="gramEnd"/>
      <w:r w:rsidRPr="001558A5">
        <w:rPr>
          <w:rFonts w:cs="Garamond"/>
          <w:szCs w:val="20"/>
          <w:lang w:val="en-US"/>
        </w:rPr>
        <w:t xml:space="preserve"> women in our region.</w:t>
      </w:r>
      <w:r w:rsidR="005A10C6" w:rsidRPr="001558A5">
        <w:rPr>
          <w:rFonts w:cs="Garamond"/>
          <w:szCs w:val="20"/>
          <w:lang w:val="en-US"/>
        </w:rPr>
        <w:t xml:space="preserve"> Evidently,</w:t>
      </w:r>
      <w:r w:rsidRPr="001558A5">
        <w:rPr>
          <w:rFonts w:cs="Garamond"/>
          <w:szCs w:val="20"/>
          <w:lang w:val="en-US"/>
        </w:rPr>
        <w:t xml:space="preserve"> any analysis of vulnerability and intersectionality will depend on the context and the particularities of the specific case, as in the judgment in this case – obviously without </w:t>
      </w:r>
      <w:r w:rsidR="005A10C6" w:rsidRPr="001558A5">
        <w:rPr>
          <w:rFonts w:cs="Garamond"/>
          <w:szCs w:val="20"/>
          <w:lang w:val="en-US"/>
        </w:rPr>
        <w:t>overlooking the fact</w:t>
      </w:r>
      <w:r w:rsidRPr="001558A5">
        <w:rPr>
          <w:rFonts w:cs="Garamond"/>
          <w:szCs w:val="20"/>
          <w:lang w:val="en-US"/>
        </w:rPr>
        <w:t xml:space="preserve"> that the Court had already set in stone </w:t>
      </w:r>
      <w:r w:rsidR="005D2B64" w:rsidRPr="001558A5">
        <w:rPr>
          <w:rFonts w:cs="Garamond"/>
          <w:szCs w:val="20"/>
          <w:lang w:val="en-US"/>
        </w:rPr>
        <w:t xml:space="preserve">that </w:t>
      </w:r>
      <w:r w:rsidR="00DF7573" w:rsidRPr="001558A5">
        <w:rPr>
          <w:rFonts w:cs="Garamond"/>
          <w:szCs w:val="20"/>
          <w:lang w:val="en-US"/>
        </w:rPr>
        <w:t>gender identity</w:t>
      </w:r>
      <w:r w:rsidR="0076236C" w:rsidRPr="001558A5">
        <w:rPr>
          <w:rFonts w:cs="Garamond"/>
          <w:szCs w:val="20"/>
          <w:lang w:val="en-US"/>
        </w:rPr>
        <w:t xml:space="preserve">, </w:t>
      </w:r>
      <w:r w:rsidR="002C5430" w:rsidRPr="001558A5">
        <w:rPr>
          <w:rFonts w:cs="Garamond"/>
          <w:szCs w:val="20"/>
          <w:lang w:val="en-US"/>
        </w:rPr>
        <w:t>gender expression</w:t>
      </w:r>
      <w:r w:rsidR="00DD4354" w:rsidRPr="001558A5">
        <w:rPr>
          <w:rFonts w:cs="Garamond"/>
          <w:szCs w:val="20"/>
          <w:lang w:val="en-US"/>
        </w:rPr>
        <w:t xml:space="preserve"> and </w:t>
      </w:r>
      <w:r w:rsidR="00DF7573" w:rsidRPr="001558A5">
        <w:rPr>
          <w:rFonts w:cs="Garamond"/>
          <w:szCs w:val="20"/>
          <w:lang w:val="en-US"/>
        </w:rPr>
        <w:t>sexual orientation</w:t>
      </w:r>
      <w:r w:rsidR="0076236C" w:rsidRPr="001558A5">
        <w:rPr>
          <w:rFonts w:cs="Garamond"/>
          <w:szCs w:val="20"/>
          <w:lang w:val="en-US"/>
        </w:rPr>
        <w:t xml:space="preserve"> </w:t>
      </w:r>
      <w:r w:rsidR="005D2B64" w:rsidRPr="001558A5">
        <w:rPr>
          <w:rFonts w:cs="Garamond"/>
          <w:szCs w:val="20"/>
          <w:lang w:val="en-US"/>
        </w:rPr>
        <w:t xml:space="preserve">are categories protected by </w:t>
      </w:r>
      <w:r w:rsidR="00871E19" w:rsidRPr="001558A5">
        <w:rPr>
          <w:rFonts w:cs="Garamond"/>
          <w:szCs w:val="20"/>
          <w:lang w:val="en-US"/>
        </w:rPr>
        <w:t>the American Convention</w:t>
      </w:r>
      <w:r w:rsidR="0076236C" w:rsidRPr="001558A5">
        <w:rPr>
          <w:rFonts w:cs="Garamond"/>
          <w:szCs w:val="20"/>
          <w:lang w:val="en-US"/>
        </w:rPr>
        <w:t xml:space="preserve">. </w:t>
      </w:r>
    </w:p>
    <w:p w14:paraId="7162A847" w14:textId="77777777" w:rsidR="0076236C" w:rsidRPr="001558A5" w:rsidRDefault="0076236C" w:rsidP="0076236C">
      <w:pPr>
        <w:pStyle w:val="Prrafodelista"/>
        <w:rPr>
          <w:rFonts w:cs="Verdana"/>
          <w:bCs/>
          <w:szCs w:val="20"/>
          <w:lang w:val="en-US"/>
        </w:rPr>
      </w:pPr>
    </w:p>
    <w:p w14:paraId="70DEA9BF" w14:textId="05F8D824" w:rsidR="0076236C" w:rsidRPr="001558A5" w:rsidRDefault="005D2B64" w:rsidP="002C5B2A">
      <w:pPr>
        <w:pStyle w:val="Prrafodelista"/>
        <w:numPr>
          <w:ilvl w:val="0"/>
          <w:numId w:val="41"/>
        </w:numPr>
        <w:ind w:left="0" w:firstLine="0"/>
        <w:rPr>
          <w:szCs w:val="20"/>
          <w:lang w:val="en-US"/>
        </w:rPr>
      </w:pPr>
      <w:r w:rsidRPr="001558A5">
        <w:rPr>
          <w:rFonts w:cs="Verdana"/>
          <w:bCs/>
          <w:szCs w:val="20"/>
          <w:lang w:val="en-US"/>
        </w:rPr>
        <w:t>I must also place on record in this opinion that the vulnerabilities stressed by this judgment</w:t>
      </w:r>
      <w:r w:rsidR="005A10C6" w:rsidRPr="001558A5">
        <w:rPr>
          <w:rFonts w:cs="Verdana"/>
          <w:bCs/>
          <w:szCs w:val="20"/>
          <w:lang w:val="en-US"/>
        </w:rPr>
        <w:t xml:space="preserve"> include</w:t>
      </w:r>
      <w:r w:rsidRPr="001558A5">
        <w:rPr>
          <w:rFonts w:cs="Verdana"/>
          <w:bCs/>
          <w:szCs w:val="20"/>
          <w:lang w:val="en-US"/>
        </w:rPr>
        <w:t xml:space="preserve"> a systemic and systematic exclusi</w:t>
      </w:r>
      <w:r w:rsidR="005A10C6" w:rsidRPr="001558A5">
        <w:rPr>
          <w:rFonts w:cs="Verdana"/>
          <w:bCs/>
          <w:szCs w:val="20"/>
          <w:lang w:val="en-US"/>
        </w:rPr>
        <w:t>on</w:t>
      </w:r>
      <w:r w:rsidRPr="001558A5">
        <w:rPr>
          <w:rFonts w:cs="Verdana"/>
          <w:bCs/>
          <w:szCs w:val="20"/>
          <w:lang w:val="en-US"/>
        </w:rPr>
        <w:t xml:space="preserve"> of </w:t>
      </w:r>
      <w:proofErr w:type="gramStart"/>
      <w:r w:rsidRPr="001558A5">
        <w:rPr>
          <w:rFonts w:cs="Verdana"/>
          <w:bCs/>
          <w:szCs w:val="20"/>
          <w:lang w:val="en-US"/>
        </w:rPr>
        <w:t>trans</w:t>
      </w:r>
      <w:proofErr w:type="gramEnd"/>
      <w:r w:rsidRPr="001558A5">
        <w:rPr>
          <w:rFonts w:cs="Verdana"/>
          <w:bCs/>
          <w:szCs w:val="20"/>
          <w:lang w:val="en-US"/>
        </w:rPr>
        <w:t xml:space="preserve"> women from the enjoyment of their economic, social and cultural rights</w:t>
      </w:r>
      <w:r w:rsidR="0076236C" w:rsidRPr="001558A5">
        <w:rPr>
          <w:rFonts w:cs="Verdana"/>
          <w:bCs/>
          <w:szCs w:val="20"/>
          <w:lang w:val="en-US"/>
        </w:rPr>
        <w:t xml:space="preserve">. </w:t>
      </w:r>
      <w:r w:rsidRPr="001558A5">
        <w:rPr>
          <w:rFonts w:cs="Verdana"/>
          <w:bCs/>
          <w:szCs w:val="20"/>
          <w:lang w:val="en-US"/>
        </w:rPr>
        <w:t>In her courageous testimony, witness</w:t>
      </w:r>
      <w:r w:rsidR="0076236C" w:rsidRPr="001558A5">
        <w:rPr>
          <w:rFonts w:cs="Verdana"/>
          <w:bCs/>
          <w:szCs w:val="20"/>
          <w:lang w:val="en-US"/>
        </w:rPr>
        <w:t xml:space="preserve"> </w:t>
      </w:r>
      <w:r w:rsidR="0076236C" w:rsidRPr="001558A5">
        <w:rPr>
          <w:szCs w:val="20"/>
          <w:lang w:val="en-US"/>
        </w:rPr>
        <w:t xml:space="preserve">Claudia </w:t>
      </w:r>
      <w:proofErr w:type="spellStart"/>
      <w:r w:rsidR="0076236C" w:rsidRPr="001558A5">
        <w:rPr>
          <w:szCs w:val="20"/>
          <w:lang w:val="en-US"/>
        </w:rPr>
        <w:t>Spellmant</w:t>
      </w:r>
      <w:proofErr w:type="spellEnd"/>
      <w:r w:rsidR="0076236C" w:rsidRPr="001558A5">
        <w:rPr>
          <w:szCs w:val="20"/>
          <w:lang w:val="en-US"/>
        </w:rPr>
        <w:t xml:space="preserve"> Sosa</w:t>
      </w:r>
      <w:r w:rsidRPr="001558A5">
        <w:rPr>
          <w:szCs w:val="20"/>
          <w:lang w:val="en-US"/>
        </w:rPr>
        <w:t xml:space="preserve"> gave a very articulate and enlightening account not only of the police violence suffered by trans women when exercising prostitution, but their total exclusion at a very young age from their communities</w:t>
      </w:r>
      <w:r w:rsidR="001929C2" w:rsidRPr="001558A5">
        <w:rPr>
          <w:szCs w:val="20"/>
          <w:lang w:val="en-US"/>
        </w:rPr>
        <w:t>,</w:t>
      </w:r>
      <w:r w:rsidRPr="001558A5">
        <w:rPr>
          <w:szCs w:val="20"/>
          <w:lang w:val="en-US"/>
        </w:rPr>
        <w:t xml:space="preserve"> social </w:t>
      </w:r>
      <w:r w:rsidR="001929C2" w:rsidRPr="001558A5">
        <w:rPr>
          <w:szCs w:val="20"/>
          <w:lang w:val="en-US"/>
        </w:rPr>
        <w:t>protection system</w:t>
      </w:r>
      <w:r w:rsidRPr="001558A5">
        <w:rPr>
          <w:szCs w:val="20"/>
          <w:lang w:val="en-US"/>
        </w:rPr>
        <w:t xml:space="preserve">s, homes and schools. </w:t>
      </w:r>
      <w:r w:rsidR="001929C2" w:rsidRPr="001558A5">
        <w:rPr>
          <w:szCs w:val="20"/>
          <w:lang w:val="en-US"/>
        </w:rPr>
        <w:t>Numerous</w:t>
      </w:r>
      <w:r w:rsidRPr="001558A5">
        <w:rPr>
          <w:szCs w:val="20"/>
          <w:lang w:val="en-US"/>
        </w:rPr>
        <w:t xml:space="preserve"> reports and studies by international bodies and civil society organizations have documented that poverty and unemployment are almost the rule.</w:t>
      </w:r>
      <w:r w:rsidR="0076236C" w:rsidRPr="001558A5">
        <w:rPr>
          <w:rStyle w:val="Refdenotaalpie"/>
          <w:lang w:val="en-US"/>
        </w:rPr>
        <w:footnoteReference w:id="216"/>
      </w:r>
      <w:r w:rsidRPr="001558A5">
        <w:rPr>
          <w:szCs w:val="20"/>
          <w:lang w:val="en-US"/>
        </w:rPr>
        <w:t xml:space="preserve"> Since formal work is almost inexistent among</w:t>
      </w:r>
      <w:r w:rsidR="001929C2" w:rsidRPr="001558A5">
        <w:rPr>
          <w:szCs w:val="20"/>
          <w:lang w:val="en-US"/>
        </w:rPr>
        <w:t xml:space="preserve"> the</w:t>
      </w:r>
      <w:r w:rsidRPr="001558A5">
        <w:rPr>
          <w:szCs w:val="20"/>
          <w:lang w:val="en-US"/>
        </w:rPr>
        <w:t xml:space="preserve"> women, almost 90% of them engage in sex work in serious conditions of vulnerability according</w:t>
      </w:r>
      <w:r w:rsidR="001929C2" w:rsidRPr="001558A5">
        <w:rPr>
          <w:szCs w:val="20"/>
          <w:lang w:val="en-US"/>
        </w:rPr>
        <w:t xml:space="preserve"> to</w:t>
      </w:r>
      <w:r w:rsidRPr="001558A5">
        <w:rPr>
          <w:szCs w:val="20"/>
          <w:lang w:val="en-US"/>
        </w:rPr>
        <w:t xml:space="preserve"> </w:t>
      </w:r>
      <w:r w:rsidR="002C5B2A" w:rsidRPr="001558A5">
        <w:rPr>
          <w:szCs w:val="20"/>
          <w:lang w:val="en-US"/>
        </w:rPr>
        <w:t>the</w:t>
      </w:r>
      <w:r w:rsidRPr="001558A5">
        <w:rPr>
          <w:szCs w:val="20"/>
          <w:lang w:val="en-US"/>
        </w:rPr>
        <w:t xml:space="preserve"> </w:t>
      </w:r>
      <w:r w:rsidR="00871E19" w:rsidRPr="001558A5">
        <w:rPr>
          <w:szCs w:val="20"/>
          <w:lang w:val="en-US"/>
        </w:rPr>
        <w:t>Inter-American Commission</w:t>
      </w:r>
      <w:r w:rsidR="002C5B2A" w:rsidRPr="001558A5">
        <w:rPr>
          <w:szCs w:val="20"/>
          <w:lang w:val="en-US"/>
        </w:rPr>
        <w:t>’s figures.</w:t>
      </w:r>
      <w:r w:rsidR="0076236C" w:rsidRPr="001558A5">
        <w:rPr>
          <w:rStyle w:val="Refdenotaalpie"/>
          <w:lang w:val="en-US"/>
        </w:rPr>
        <w:footnoteReference w:id="217"/>
      </w:r>
      <w:r w:rsidR="002C5B2A" w:rsidRPr="001558A5">
        <w:rPr>
          <w:szCs w:val="20"/>
          <w:lang w:val="en-US"/>
        </w:rPr>
        <w:t xml:space="preserve"> Consequently, I</w:t>
      </w:r>
      <w:r w:rsidR="001929C2" w:rsidRPr="001558A5">
        <w:rPr>
          <w:szCs w:val="20"/>
          <w:lang w:val="en-US"/>
        </w:rPr>
        <w:t xml:space="preserve"> emphasize</w:t>
      </w:r>
      <w:r w:rsidR="002C5B2A" w:rsidRPr="001558A5">
        <w:rPr>
          <w:szCs w:val="20"/>
          <w:lang w:val="en-US"/>
        </w:rPr>
        <w:t xml:space="preserve"> the measures of reparation ordered in this case; particularly, the one relating to the full recognition of </w:t>
      </w:r>
      <w:r w:rsidR="00DF7573" w:rsidRPr="001558A5">
        <w:rPr>
          <w:szCs w:val="20"/>
          <w:lang w:val="en-US"/>
        </w:rPr>
        <w:t>gender identity</w:t>
      </w:r>
      <w:r w:rsidR="0076236C" w:rsidRPr="001558A5">
        <w:rPr>
          <w:szCs w:val="20"/>
          <w:lang w:val="en-US"/>
        </w:rPr>
        <w:t xml:space="preserve"> </w:t>
      </w:r>
      <w:r w:rsidR="002C5B2A" w:rsidRPr="001558A5">
        <w:rPr>
          <w:szCs w:val="20"/>
          <w:lang w:val="en-US"/>
        </w:rPr>
        <w:t>in keeping with the standards of</w:t>
      </w:r>
      <w:r w:rsidR="001929C2" w:rsidRPr="001558A5">
        <w:rPr>
          <w:szCs w:val="20"/>
          <w:lang w:val="en-US"/>
        </w:rPr>
        <w:t xml:space="preserve"> Advisory Opinion</w:t>
      </w:r>
      <w:r w:rsidR="0076236C" w:rsidRPr="001558A5">
        <w:rPr>
          <w:szCs w:val="20"/>
          <w:lang w:val="en-US"/>
        </w:rPr>
        <w:t xml:space="preserve"> OC-24. </w:t>
      </w:r>
      <w:r w:rsidR="002C5B2A" w:rsidRPr="001558A5">
        <w:rPr>
          <w:szCs w:val="20"/>
          <w:lang w:val="en-US"/>
        </w:rPr>
        <w:t xml:space="preserve">However, I believe we could have gone a </w:t>
      </w:r>
      <w:r w:rsidR="001929C2" w:rsidRPr="001558A5">
        <w:rPr>
          <w:szCs w:val="20"/>
          <w:lang w:val="en-US"/>
        </w:rPr>
        <w:t>l</w:t>
      </w:r>
      <w:r w:rsidR="002C5B2A" w:rsidRPr="001558A5">
        <w:rPr>
          <w:szCs w:val="20"/>
          <w:lang w:val="en-US"/>
        </w:rPr>
        <w:t>ittle further in seeking to break the chain of economic and social exclusion experienced by hundreds of individuals in Honduras merely because they have a diverse gender identity. The Court has ordered many measures of reparation that affect public policies by means of transformative justice at the economic and social level and this would have been a good opportunity to replicate them.</w:t>
      </w:r>
      <w:r w:rsidR="0076236C" w:rsidRPr="001558A5">
        <w:rPr>
          <w:rStyle w:val="Refdenotaalpie"/>
          <w:lang w:val="en-US"/>
        </w:rPr>
        <w:footnoteReference w:id="218"/>
      </w:r>
      <w:r w:rsidR="002C5B2A" w:rsidRPr="001558A5">
        <w:rPr>
          <w:szCs w:val="20"/>
          <w:lang w:val="en-US"/>
        </w:rPr>
        <w:t xml:space="preserve"> After all, h</w:t>
      </w:r>
      <w:r w:rsidR="00C909B4" w:rsidRPr="001558A5">
        <w:rPr>
          <w:szCs w:val="20"/>
          <w:lang w:val="en-US"/>
        </w:rPr>
        <w:t>uman rights</w:t>
      </w:r>
      <w:r w:rsidR="0076236C" w:rsidRPr="001558A5">
        <w:rPr>
          <w:szCs w:val="20"/>
          <w:lang w:val="en-US"/>
        </w:rPr>
        <w:t>, inclu</w:t>
      </w:r>
      <w:r w:rsidR="002C5B2A" w:rsidRPr="001558A5">
        <w:rPr>
          <w:szCs w:val="20"/>
          <w:lang w:val="en-US"/>
        </w:rPr>
        <w:t xml:space="preserve">ding the economic, social, cultural and environmental rights, belong to all us without discrimination. </w:t>
      </w:r>
    </w:p>
    <w:p w14:paraId="1613C476" w14:textId="20BFCE35" w:rsidR="0076236C" w:rsidRPr="001558A5" w:rsidRDefault="0076236C" w:rsidP="0076236C">
      <w:pPr>
        <w:rPr>
          <w:szCs w:val="20"/>
          <w:lang w:val="en-US"/>
        </w:rPr>
      </w:pPr>
    </w:p>
    <w:p w14:paraId="79569986" w14:textId="77777777" w:rsidR="000D4B25" w:rsidRPr="001558A5" w:rsidRDefault="000D4B25" w:rsidP="0076236C">
      <w:pPr>
        <w:rPr>
          <w:szCs w:val="20"/>
          <w:lang w:val="en-US"/>
        </w:rPr>
      </w:pPr>
    </w:p>
    <w:p w14:paraId="686611A2" w14:textId="77777777" w:rsidR="00D60E24" w:rsidRPr="001558A5" w:rsidRDefault="00D60E24" w:rsidP="0076236C">
      <w:pPr>
        <w:rPr>
          <w:szCs w:val="20"/>
          <w:lang w:val="en-US"/>
        </w:rPr>
      </w:pPr>
    </w:p>
    <w:p w14:paraId="0F6499F1" w14:textId="77777777" w:rsidR="0076236C" w:rsidRPr="001558A5" w:rsidRDefault="0076236C" w:rsidP="0076236C">
      <w:pPr>
        <w:ind w:left="4248"/>
        <w:jc w:val="center"/>
        <w:rPr>
          <w:rFonts w:eastAsia="Calibri" w:cs="Arial"/>
          <w:szCs w:val="20"/>
          <w:lang w:val="en-US"/>
        </w:rPr>
      </w:pPr>
      <w:r w:rsidRPr="001558A5">
        <w:rPr>
          <w:rFonts w:eastAsia="Calibri" w:cs="Arial"/>
          <w:szCs w:val="20"/>
          <w:lang w:val="en-US"/>
        </w:rPr>
        <w:t xml:space="preserve">L. Patricio </w:t>
      </w:r>
      <w:proofErr w:type="spellStart"/>
      <w:r w:rsidRPr="001558A5">
        <w:rPr>
          <w:rFonts w:eastAsia="Calibri" w:cs="Arial"/>
          <w:szCs w:val="20"/>
          <w:lang w:val="en-US"/>
        </w:rPr>
        <w:t>Pazmiño</w:t>
      </w:r>
      <w:proofErr w:type="spellEnd"/>
      <w:r w:rsidRPr="001558A5">
        <w:rPr>
          <w:rFonts w:eastAsia="Calibri" w:cs="Arial"/>
          <w:szCs w:val="20"/>
          <w:lang w:val="en-US"/>
        </w:rPr>
        <w:t xml:space="preserve"> Freire</w:t>
      </w:r>
    </w:p>
    <w:p w14:paraId="616FF50D" w14:textId="1783F11E" w:rsidR="0076236C" w:rsidRPr="001558A5" w:rsidRDefault="00871E19" w:rsidP="00627F83">
      <w:pPr>
        <w:ind w:left="4248"/>
        <w:jc w:val="center"/>
        <w:rPr>
          <w:rFonts w:eastAsia="Calibri" w:cs="Arial"/>
          <w:szCs w:val="20"/>
          <w:lang w:val="en-US"/>
        </w:rPr>
      </w:pPr>
      <w:r w:rsidRPr="001558A5">
        <w:rPr>
          <w:rFonts w:eastAsia="Calibri" w:cs="Arial"/>
          <w:szCs w:val="20"/>
          <w:lang w:val="en-US"/>
        </w:rPr>
        <w:t>Judge</w:t>
      </w:r>
    </w:p>
    <w:p w14:paraId="5D35395A" w14:textId="77777777" w:rsidR="0076236C" w:rsidRPr="001558A5" w:rsidRDefault="0076236C" w:rsidP="00325496">
      <w:pPr>
        <w:pStyle w:val="Prrafodelista"/>
        <w:ind w:left="0" w:right="48"/>
        <w:rPr>
          <w:szCs w:val="20"/>
          <w:lang w:val="en-US"/>
        </w:rPr>
        <w:sectPr w:rsidR="0076236C" w:rsidRPr="001558A5" w:rsidSect="00DA0367">
          <w:footerReference w:type="default" r:id="rId13"/>
          <w:footerReference w:type="first" r:id="rId14"/>
          <w:footnotePr>
            <w:numRestart w:val="eachSect"/>
          </w:footnotePr>
          <w:pgSz w:w="12240" w:h="15840"/>
          <w:pgMar w:top="1440" w:right="1440" w:bottom="1440" w:left="1440" w:header="720" w:footer="720" w:gutter="0"/>
          <w:pgNumType w:start="1"/>
          <w:cols w:space="720"/>
          <w:titlePg/>
          <w:docGrid w:linePitch="360"/>
        </w:sectPr>
      </w:pPr>
    </w:p>
    <w:p w14:paraId="703CFEFE" w14:textId="77777777" w:rsidR="009A44A0" w:rsidRPr="001558A5" w:rsidRDefault="009A44A0" w:rsidP="000D4B25">
      <w:pPr>
        <w:pStyle w:val="NormalWeb"/>
        <w:shd w:val="clear" w:color="auto" w:fill="FFFFFF"/>
        <w:spacing w:before="0" w:beforeAutospacing="0" w:after="0" w:afterAutospacing="0" w:line="240" w:lineRule="auto"/>
        <w:rPr>
          <w:rFonts w:ascii="Verdana" w:hAnsi="Verdana" w:cs="Tahoma"/>
          <w:b/>
          <w:color w:val="000000"/>
          <w:sz w:val="20"/>
          <w:szCs w:val="20"/>
        </w:rPr>
      </w:pPr>
    </w:p>
    <w:p w14:paraId="35AFAF1B" w14:textId="7FAF4B97" w:rsidR="009A44A0" w:rsidRPr="001558A5" w:rsidRDefault="009A44A0" w:rsidP="000D4B25">
      <w:pPr>
        <w:pStyle w:val="NormalWeb"/>
        <w:shd w:val="clear" w:color="auto" w:fill="FFFFFF"/>
        <w:spacing w:before="0" w:beforeAutospacing="0" w:after="0" w:afterAutospacing="0" w:line="360" w:lineRule="auto"/>
        <w:jc w:val="center"/>
        <w:rPr>
          <w:rFonts w:ascii="Verdana" w:hAnsi="Verdana" w:cs="Tahoma"/>
          <w:b/>
          <w:color w:val="000000"/>
          <w:sz w:val="20"/>
          <w:szCs w:val="20"/>
        </w:rPr>
      </w:pPr>
      <w:r w:rsidRPr="001558A5">
        <w:rPr>
          <w:rFonts w:ascii="Verdana" w:hAnsi="Verdana" w:cs="Tahoma"/>
          <w:b/>
          <w:color w:val="000000"/>
          <w:sz w:val="20"/>
          <w:szCs w:val="20"/>
        </w:rPr>
        <w:t>PARTIALLY DISSENTING OPINION OF JUDGE EDUARDO VIO GROSSI</w:t>
      </w:r>
    </w:p>
    <w:p w14:paraId="5E75C975" w14:textId="77777777" w:rsidR="009A44A0" w:rsidRPr="001558A5" w:rsidRDefault="009A44A0" w:rsidP="000D4B25">
      <w:pPr>
        <w:spacing w:line="360" w:lineRule="auto"/>
        <w:jc w:val="center"/>
        <w:rPr>
          <w:b/>
          <w:caps/>
          <w:szCs w:val="20"/>
          <w:lang w:val="en-US"/>
        </w:rPr>
      </w:pPr>
      <w:r w:rsidRPr="001558A5">
        <w:rPr>
          <w:b/>
          <w:caps/>
          <w:szCs w:val="20"/>
          <w:lang w:val="en-US"/>
        </w:rPr>
        <w:t>INTER-AMERICAN COURT OF HUMAN RIGHTS</w:t>
      </w:r>
    </w:p>
    <w:p w14:paraId="67BE7CC5" w14:textId="77777777" w:rsidR="009A44A0" w:rsidRPr="001558A5" w:rsidRDefault="009A44A0" w:rsidP="000D4B25">
      <w:pPr>
        <w:tabs>
          <w:tab w:val="left" w:pos="851"/>
          <w:tab w:val="left" w:pos="1701"/>
          <w:tab w:val="left" w:pos="3544"/>
          <w:tab w:val="left" w:pos="3696"/>
        </w:tabs>
        <w:spacing w:line="360" w:lineRule="auto"/>
        <w:jc w:val="center"/>
        <w:rPr>
          <w:b/>
          <w:i/>
          <w:szCs w:val="20"/>
          <w:lang w:val="en-US"/>
        </w:rPr>
      </w:pPr>
      <w:r w:rsidRPr="001558A5">
        <w:rPr>
          <w:b/>
          <w:i/>
          <w:szCs w:val="20"/>
          <w:lang w:val="en-US"/>
        </w:rPr>
        <w:t>CASE OF VICKY HERNÁNDEZ ET AL. V. HONDURAS</w:t>
      </w:r>
    </w:p>
    <w:p w14:paraId="11C587A8" w14:textId="77777777" w:rsidR="009A44A0" w:rsidRPr="001558A5" w:rsidRDefault="009A44A0" w:rsidP="000D4B25">
      <w:pPr>
        <w:spacing w:line="360" w:lineRule="auto"/>
        <w:jc w:val="center"/>
        <w:rPr>
          <w:b/>
          <w:szCs w:val="20"/>
          <w:lang w:val="en-US"/>
        </w:rPr>
      </w:pPr>
      <w:r w:rsidRPr="001558A5">
        <w:rPr>
          <w:b/>
          <w:szCs w:val="20"/>
          <w:lang w:val="en-US"/>
        </w:rPr>
        <w:t>JUDGMENT OF MARCH 26, 2021</w:t>
      </w:r>
    </w:p>
    <w:p w14:paraId="61F1F5B2" w14:textId="77777777" w:rsidR="009A44A0" w:rsidRPr="001558A5" w:rsidRDefault="009A44A0" w:rsidP="000D4B25">
      <w:pPr>
        <w:spacing w:line="360" w:lineRule="auto"/>
        <w:jc w:val="center"/>
        <w:rPr>
          <w:b/>
          <w:i/>
          <w:szCs w:val="20"/>
          <w:lang w:val="en-US"/>
        </w:rPr>
      </w:pPr>
      <w:r w:rsidRPr="001558A5">
        <w:rPr>
          <w:b/>
          <w:i/>
          <w:szCs w:val="20"/>
          <w:lang w:val="en-US"/>
        </w:rPr>
        <w:t>(Merits, reparations and costs)</w:t>
      </w:r>
    </w:p>
    <w:p w14:paraId="1A6B9A50"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cs="Tahoma"/>
          <w:i/>
          <w:iCs/>
          <w:color w:val="000000"/>
          <w:sz w:val="20"/>
          <w:szCs w:val="20"/>
        </w:rPr>
      </w:pPr>
    </w:p>
    <w:p w14:paraId="2D0BB113"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cs="Tahoma"/>
          <w:i/>
          <w:iCs/>
          <w:color w:val="000000"/>
          <w:sz w:val="20"/>
          <w:szCs w:val="20"/>
        </w:rPr>
      </w:pPr>
    </w:p>
    <w:p w14:paraId="349500B7" w14:textId="77777777" w:rsidR="009A44A0" w:rsidRPr="001558A5" w:rsidRDefault="009A44A0" w:rsidP="009A44A0">
      <w:pPr>
        <w:pStyle w:val="NormalWeb"/>
        <w:numPr>
          <w:ilvl w:val="0"/>
          <w:numId w:val="44"/>
        </w:numPr>
        <w:shd w:val="clear" w:color="auto" w:fill="FFFFFF"/>
        <w:spacing w:before="0" w:beforeAutospacing="0" w:after="0" w:afterAutospacing="0" w:line="240" w:lineRule="auto"/>
        <w:ind w:left="0" w:firstLine="0"/>
        <w:jc w:val="both"/>
        <w:rPr>
          <w:rFonts w:ascii="Verdana" w:hAnsi="Verdana" w:cs="Tahoma"/>
          <w:b/>
          <w:bCs/>
          <w:color w:val="000000"/>
          <w:sz w:val="20"/>
          <w:szCs w:val="20"/>
        </w:rPr>
      </w:pPr>
      <w:r w:rsidRPr="001558A5">
        <w:rPr>
          <w:rFonts w:ascii="Verdana" w:hAnsi="Verdana" w:cs="Tahoma"/>
          <w:b/>
          <w:bCs/>
          <w:color w:val="000000"/>
          <w:sz w:val="20"/>
          <w:szCs w:val="20"/>
        </w:rPr>
        <w:t>INTRODUCTION</w:t>
      </w:r>
    </w:p>
    <w:p w14:paraId="53494C03"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cs="Tahoma"/>
          <w:color w:val="000000"/>
          <w:sz w:val="20"/>
          <w:szCs w:val="20"/>
        </w:rPr>
      </w:pPr>
    </w:p>
    <w:p w14:paraId="3DF5FFA2" w14:textId="06FAE57D" w:rsidR="009A44A0" w:rsidRPr="001558A5" w:rsidRDefault="009A44A0" w:rsidP="009A44A0">
      <w:pPr>
        <w:pStyle w:val="NormalWeb"/>
        <w:numPr>
          <w:ilvl w:val="0"/>
          <w:numId w:val="42"/>
        </w:numPr>
        <w:shd w:val="clear" w:color="auto" w:fill="FFFFFF"/>
        <w:spacing w:before="0" w:beforeAutospacing="0" w:after="0" w:afterAutospacing="0" w:line="240" w:lineRule="auto"/>
        <w:ind w:left="0" w:firstLine="0"/>
        <w:jc w:val="both"/>
        <w:rPr>
          <w:rFonts w:ascii="Verdana" w:hAnsi="Verdana" w:cs="Tahoma"/>
          <w:color w:val="000000"/>
          <w:sz w:val="20"/>
          <w:szCs w:val="20"/>
        </w:rPr>
      </w:pPr>
      <w:r w:rsidRPr="001558A5">
        <w:rPr>
          <w:rFonts w:ascii="Verdana" w:hAnsi="Verdana" w:cs="Tahoma"/>
          <w:color w:val="000000"/>
          <w:sz w:val="20"/>
          <w:szCs w:val="20"/>
        </w:rPr>
        <w:t xml:space="preserve">This partially dissenting opinion is issued </w:t>
      </w:r>
      <w:r w:rsidR="005376A3" w:rsidRPr="001558A5">
        <w:rPr>
          <w:rFonts w:ascii="Verdana" w:hAnsi="Verdana" w:cs="Tahoma"/>
          <w:color w:val="000000"/>
          <w:sz w:val="20"/>
          <w:szCs w:val="20"/>
        </w:rPr>
        <w:t>with regard</w:t>
      </w:r>
      <w:r w:rsidRPr="001558A5">
        <w:rPr>
          <w:rFonts w:ascii="Verdana" w:hAnsi="Verdana" w:cs="Tahoma"/>
          <w:color w:val="000000"/>
          <w:sz w:val="20"/>
          <w:szCs w:val="20"/>
        </w:rPr>
        <w:t xml:space="preserve"> to the judgment in reference</w:t>
      </w:r>
      <w:r w:rsidRPr="001558A5">
        <w:rPr>
          <w:rStyle w:val="Refdenotaalpie"/>
          <w:rFonts w:ascii="Verdana" w:eastAsia="Batang" w:hAnsi="Verdana" w:cs="Tahoma"/>
          <w:color w:val="000000"/>
          <w:sz w:val="20"/>
        </w:rPr>
        <w:footnoteReference w:id="219"/>
      </w:r>
      <w:r w:rsidRPr="001558A5">
        <w:rPr>
          <w:rFonts w:ascii="Verdana" w:hAnsi="Verdana" w:cs="Tahoma"/>
          <w:color w:val="000000"/>
          <w:sz w:val="20"/>
          <w:szCs w:val="20"/>
        </w:rPr>
        <w:t xml:space="preserve"> in order to indicate the reasons why I disagree with its sixth operative paragraph,</w:t>
      </w:r>
      <w:r w:rsidRPr="001558A5">
        <w:rPr>
          <w:rStyle w:val="Refdenotaalpie"/>
          <w:rFonts w:ascii="Verdana" w:eastAsia="Batang" w:hAnsi="Verdana" w:cs="Tahoma"/>
          <w:color w:val="000000"/>
          <w:sz w:val="20"/>
        </w:rPr>
        <w:footnoteReference w:id="220"/>
      </w:r>
      <w:r w:rsidRPr="001558A5">
        <w:rPr>
          <w:rFonts w:ascii="Verdana" w:hAnsi="Verdana" w:cs="Tahoma"/>
          <w:color w:val="000000"/>
          <w:sz w:val="20"/>
          <w:szCs w:val="20"/>
        </w:rPr>
        <w:t xml:space="preserve"> which declares that </w:t>
      </w:r>
      <w:r w:rsidRPr="001558A5">
        <w:rPr>
          <w:rFonts w:ascii="Verdana" w:hAnsi="Verdana" w:cstheme="minorHAnsi"/>
          <w:sz w:val="20"/>
          <w:szCs w:val="20"/>
        </w:rPr>
        <w:t>the State of Honduras</w:t>
      </w:r>
      <w:r w:rsidRPr="001558A5">
        <w:rPr>
          <w:rStyle w:val="Refdenotaalpie"/>
          <w:rFonts w:ascii="Verdana" w:eastAsia="Batang" w:hAnsi="Verdana" w:cstheme="minorHAnsi"/>
          <w:sz w:val="20"/>
        </w:rPr>
        <w:footnoteReference w:id="221"/>
      </w:r>
      <w:r w:rsidRPr="001558A5">
        <w:rPr>
          <w:rFonts w:ascii="Verdana" w:hAnsi="Verdana" w:cstheme="minorHAnsi"/>
          <w:sz w:val="20"/>
          <w:szCs w:val="20"/>
        </w:rPr>
        <w:t xml:space="preserve"> is responsible for non-compliance with the obligations established in Article 7(a) and (b) of the Inter-American Convention for the Prevention, Punishment and Eradication of Violence against Women.</w:t>
      </w:r>
      <w:r w:rsidRPr="001558A5">
        <w:rPr>
          <w:rStyle w:val="Refdenotaalpie"/>
          <w:rFonts w:ascii="Verdana" w:eastAsia="Batang" w:hAnsi="Verdana" w:cstheme="minorHAnsi"/>
          <w:sz w:val="20"/>
        </w:rPr>
        <w:footnoteReference w:id="222"/>
      </w:r>
      <w:r w:rsidRPr="001558A5">
        <w:rPr>
          <w:rFonts w:ascii="Verdana" w:hAnsi="Verdana" w:cs="Tahoma"/>
          <w:color w:val="000000"/>
          <w:sz w:val="20"/>
          <w:szCs w:val="20"/>
        </w:rPr>
        <w:t xml:space="preserve">  </w:t>
      </w:r>
    </w:p>
    <w:p w14:paraId="215CBCF3"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cs="Tahoma"/>
          <w:color w:val="000000"/>
          <w:sz w:val="20"/>
          <w:szCs w:val="20"/>
        </w:rPr>
      </w:pPr>
    </w:p>
    <w:p w14:paraId="04BC0DB4" w14:textId="3492A5DE" w:rsidR="000D4B25" w:rsidRPr="001558A5" w:rsidRDefault="000D4B25" w:rsidP="009A44A0">
      <w:pPr>
        <w:pStyle w:val="NormalWeb"/>
        <w:numPr>
          <w:ilvl w:val="0"/>
          <w:numId w:val="42"/>
        </w:numPr>
        <w:shd w:val="clear" w:color="auto" w:fill="FFFFFF"/>
        <w:spacing w:before="0" w:beforeAutospacing="0" w:after="0" w:afterAutospacing="0" w:line="240" w:lineRule="auto"/>
        <w:ind w:left="0" w:firstLine="0"/>
        <w:jc w:val="both"/>
        <w:rPr>
          <w:rFonts w:ascii="Verdana" w:hAnsi="Verdana" w:cs="Tahoma"/>
          <w:color w:val="000000"/>
          <w:sz w:val="20"/>
          <w:szCs w:val="20"/>
        </w:rPr>
      </w:pPr>
      <w:r w:rsidRPr="001558A5">
        <w:rPr>
          <w:rFonts w:ascii="Verdana" w:hAnsi="Verdana" w:cs="Tahoma"/>
          <w:color w:val="000000"/>
          <w:sz w:val="20"/>
          <w:szCs w:val="20"/>
        </w:rPr>
        <w:t xml:space="preserve">My dissent </w:t>
      </w:r>
      <w:r w:rsidR="005376A3" w:rsidRPr="001558A5">
        <w:rPr>
          <w:rFonts w:ascii="Verdana" w:hAnsi="Verdana" w:cs="Tahoma"/>
          <w:color w:val="000000"/>
          <w:sz w:val="20"/>
          <w:szCs w:val="20"/>
        </w:rPr>
        <w:t xml:space="preserve">relates to </w:t>
      </w:r>
      <w:r w:rsidRPr="001558A5">
        <w:rPr>
          <w:rFonts w:ascii="Verdana" w:hAnsi="Verdana" w:cs="Tahoma"/>
          <w:color w:val="000000"/>
          <w:sz w:val="20"/>
          <w:szCs w:val="20"/>
        </w:rPr>
        <w:t xml:space="preserve">the sphere of application of the above-mentioned </w:t>
      </w:r>
      <w:r w:rsidR="00411BDD" w:rsidRPr="001558A5">
        <w:rPr>
          <w:rFonts w:ascii="Verdana" w:hAnsi="Verdana" w:cs="Tahoma"/>
          <w:color w:val="000000"/>
          <w:sz w:val="20"/>
          <w:szCs w:val="20"/>
        </w:rPr>
        <w:t>C</w:t>
      </w:r>
      <w:r w:rsidRPr="001558A5">
        <w:rPr>
          <w:rFonts w:ascii="Verdana" w:hAnsi="Verdana" w:cs="Tahoma"/>
          <w:color w:val="000000"/>
          <w:sz w:val="20"/>
          <w:szCs w:val="20"/>
        </w:rPr>
        <w:t xml:space="preserve">onvention; </w:t>
      </w:r>
      <w:r w:rsidR="005376A3" w:rsidRPr="001558A5">
        <w:rPr>
          <w:rFonts w:ascii="Verdana" w:hAnsi="Verdana" w:cs="Tahoma"/>
          <w:color w:val="000000"/>
          <w:sz w:val="20"/>
          <w:szCs w:val="20"/>
        </w:rPr>
        <w:t>in other words, to</w:t>
      </w:r>
      <w:r w:rsidRPr="001558A5">
        <w:rPr>
          <w:rFonts w:ascii="Verdana" w:hAnsi="Verdana" w:cs="Tahoma"/>
          <w:color w:val="000000"/>
          <w:sz w:val="20"/>
          <w:szCs w:val="20"/>
        </w:rPr>
        <w:t xml:space="preserve"> the judgment’s assertion that </w:t>
      </w:r>
      <w:r w:rsidR="005376A3" w:rsidRPr="001558A5">
        <w:rPr>
          <w:rFonts w:ascii="Verdana" w:hAnsi="Verdana" w:cs="Tahoma"/>
          <w:color w:val="000000"/>
          <w:sz w:val="20"/>
          <w:szCs w:val="20"/>
        </w:rPr>
        <w:t xml:space="preserve">the </w:t>
      </w:r>
      <w:r w:rsidR="00411BDD" w:rsidRPr="001558A5">
        <w:rPr>
          <w:rFonts w:ascii="Verdana" w:hAnsi="Verdana" w:cs="Tahoma"/>
          <w:color w:val="000000"/>
          <w:sz w:val="20"/>
          <w:szCs w:val="20"/>
        </w:rPr>
        <w:t>C</w:t>
      </w:r>
      <w:r w:rsidR="005376A3" w:rsidRPr="001558A5">
        <w:rPr>
          <w:rFonts w:ascii="Verdana" w:hAnsi="Verdana" w:cs="Tahoma"/>
          <w:color w:val="000000"/>
          <w:sz w:val="20"/>
          <w:szCs w:val="20"/>
        </w:rPr>
        <w:t>onvention</w:t>
      </w:r>
      <w:r w:rsidRPr="001558A5">
        <w:rPr>
          <w:rFonts w:ascii="Verdana" w:hAnsi="Verdana" w:cs="Tahoma"/>
          <w:color w:val="000000"/>
          <w:sz w:val="20"/>
          <w:szCs w:val="20"/>
        </w:rPr>
        <w:t xml:space="preserve"> includes “trans women” in the concept of “woman” that it includes. In this opinion, I </w:t>
      </w:r>
      <w:r w:rsidR="006C5C3A" w:rsidRPr="001558A5">
        <w:rPr>
          <w:rFonts w:ascii="Verdana" w:hAnsi="Verdana" w:cs="Tahoma"/>
          <w:color w:val="000000"/>
          <w:sz w:val="20"/>
          <w:szCs w:val="20"/>
        </w:rPr>
        <w:t xml:space="preserve">uphold </w:t>
      </w:r>
      <w:r w:rsidRPr="001558A5">
        <w:rPr>
          <w:rFonts w:ascii="Verdana" w:hAnsi="Verdana" w:cs="Tahoma"/>
          <w:color w:val="000000"/>
          <w:sz w:val="20"/>
          <w:szCs w:val="20"/>
        </w:rPr>
        <w:t xml:space="preserve">the position that this </w:t>
      </w:r>
      <w:r w:rsidR="00411BDD" w:rsidRPr="001558A5">
        <w:rPr>
          <w:rFonts w:ascii="Verdana" w:hAnsi="Verdana" w:cs="Tahoma"/>
          <w:color w:val="000000"/>
          <w:sz w:val="20"/>
          <w:szCs w:val="20"/>
        </w:rPr>
        <w:t>instrument</w:t>
      </w:r>
      <w:r w:rsidRPr="001558A5">
        <w:rPr>
          <w:rFonts w:ascii="Verdana" w:hAnsi="Verdana" w:cs="Tahoma"/>
          <w:color w:val="000000"/>
          <w:sz w:val="20"/>
          <w:szCs w:val="20"/>
        </w:rPr>
        <w:t>, over above what</w:t>
      </w:r>
      <w:r w:rsidR="00411BDD" w:rsidRPr="001558A5">
        <w:rPr>
          <w:rFonts w:ascii="Verdana" w:hAnsi="Verdana" w:cs="Tahoma"/>
          <w:color w:val="000000"/>
          <w:sz w:val="20"/>
          <w:szCs w:val="20"/>
        </w:rPr>
        <w:t xml:space="preserve"> it</w:t>
      </w:r>
      <w:r w:rsidRPr="001558A5">
        <w:rPr>
          <w:rFonts w:ascii="Verdana" w:hAnsi="Verdana" w:cs="Tahoma"/>
          <w:color w:val="000000"/>
          <w:sz w:val="20"/>
          <w:szCs w:val="20"/>
        </w:rPr>
        <w:t xml:space="preserve"> is </w:t>
      </w:r>
      <w:r w:rsidR="00411BDD" w:rsidRPr="001558A5">
        <w:rPr>
          <w:rFonts w:ascii="Verdana" w:hAnsi="Verdana" w:cs="Tahoma"/>
          <w:color w:val="000000"/>
          <w:sz w:val="20"/>
          <w:szCs w:val="20"/>
        </w:rPr>
        <w:t>sought</w:t>
      </w:r>
      <w:r w:rsidRPr="001558A5">
        <w:rPr>
          <w:rFonts w:ascii="Verdana" w:hAnsi="Verdana" w:cs="Tahoma"/>
          <w:color w:val="000000"/>
          <w:sz w:val="20"/>
          <w:szCs w:val="20"/>
        </w:rPr>
        <w:t xml:space="preserve"> or wanted or desirable that it establis</w:t>
      </w:r>
      <w:r w:rsidR="00411BDD" w:rsidRPr="001558A5">
        <w:rPr>
          <w:rFonts w:ascii="Verdana" w:hAnsi="Verdana" w:cs="Tahoma"/>
          <w:color w:val="000000"/>
          <w:sz w:val="20"/>
          <w:szCs w:val="20"/>
        </w:rPr>
        <w:t>h</w:t>
      </w:r>
      <w:r w:rsidRPr="001558A5">
        <w:rPr>
          <w:rFonts w:ascii="Verdana" w:hAnsi="Verdana" w:cs="Tahoma"/>
          <w:color w:val="000000"/>
          <w:sz w:val="20"/>
          <w:szCs w:val="20"/>
        </w:rPr>
        <w:t xml:space="preserve">, </w:t>
      </w:r>
      <w:r w:rsidR="00411BDD" w:rsidRPr="001558A5">
        <w:rPr>
          <w:rFonts w:ascii="Verdana" w:hAnsi="Verdana" w:cs="Tahoma"/>
          <w:color w:val="000000"/>
          <w:sz w:val="20"/>
          <w:szCs w:val="20"/>
        </w:rPr>
        <w:t xml:space="preserve">only </w:t>
      </w:r>
      <w:r w:rsidRPr="001558A5">
        <w:rPr>
          <w:rFonts w:ascii="Verdana" w:hAnsi="Verdana" w:cs="Tahoma"/>
          <w:color w:val="000000"/>
          <w:sz w:val="20"/>
          <w:szCs w:val="20"/>
        </w:rPr>
        <w:t xml:space="preserve">considers “women” as the beneficiary of </w:t>
      </w:r>
      <w:r w:rsidR="00411BDD" w:rsidRPr="001558A5">
        <w:rPr>
          <w:rFonts w:ascii="Verdana" w:hAnsi="Verdana" w:cs="Tahoma"/>
          <w:color w:val="000000"/>
          <w:sz w:val="20"/>
          <w:szCs w:val="20"/>
        </w:rPr>
        <w:t>it provisions</w:t>
      </w:r>
      <w:r w:rsidRPr="001558A5">
        <w:rPr>
          <w:rFonts w:ascii="Verdana" w:hAnsi="Verdana" w:cs="Tahoma"/>
          <w:color w:val="000000"/>
          <w:sz w:val="20"/>
          <w:szCs w:val="20"/>
        </w:rPr>
        <w:t xml:space="preserve">, understood in their biological dimension; thus, consequently and specifically, </w:t>
      </w:r>
      <w:r w:rsidR="00411BDD" w:rsidRPr="001558A5">
        <w:rPr>
          <w:rFonts w:ascii="Verdana" w:hAnsi="Verdana" w:cs="Tahoma"/>
          <w:color w:val="000000"/>
          <w:sz w:val="20"/>
          <w:szCs w:val="20"/>
        </w:rPr>
        <w:t>it does not</w:t>
      </w:r>
      <w:r w:rsidRPr="001558A5">
        <w:rPr>
          <w:rFonts w:ascii="Verdana" w:hAnsi="Verdana" w:cs="Tahoma"/>
          <w:color w:val="000000"/>
          <w:sz w:val="20"/>
          <w:szCs w:val="20"/>
        </w:rPr>
        <w:t xml:space="preserve"> encompass “trans women.” </w:t>
      </w:r>
    </w:p>
    <w:p w14:paraId="3571A5B0"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cs="Tahoma"/>
          <w:color w:val="000000"/>
          <w:sz w:val="20"/>
          <w:szCs w:val="20"/>
        </w:rPr>
      </w:pPr>
    </w:p>
    <w:p w14:paraId="63EE23E2" w14:textId="54880CDD" w:rsidR="009A44A0" w:rsidRPr="001558A5" w:rsidRDefault="009A44A0" w:rsidP="009A44A0">
      <w:pPr>
        <w:pStyle w:val="NormalWeb"/>
        <w:numPr>
          <w:ilvl w:val="0"/>
          <w:numId w:val="44"/>
        </w:numPr>
        <w:shd w:val="clear" w:color="auto" w:fill="FFFFFF"/>
        <w:spacing w:before="0" w:beforeAutospacing="0" w:after="0" w:afterAutospacing="0" w:line="240" w:lineRule="auto"/>
        <w:ind w:left="0" w:firstLine="0"/>
        <w:jc w:val="both"/>
        <w:rPr>
          <w:rFonts w:ascii="Verdana" w:hAnsi="Verdana" w:cs="Tahoma"/>
          <w:color w:val="000000"/>
          <w:sz w:val="20"/>
          <w:szCs w:val="20"/>
        </w:rPr>
      </w:pPr>
      <w:r w:rsidRPr="001558A5">
        <w:rPr>
          <w:rFonts w:ascii="Verdana" w:hAnsi="Verdana" w:cs="Tahoma"/>
          <w:b/>
          <w:bCs/>
          <w:color w:val="000000"/>
          <w:sz w:val="20"/>
          <w:szCs w:val="20"/>
        </w:rPr>
        <w:t xml:space="preserve">ARTICLE 7(a) </w:t>
      </w:r>
      <w:r w:rsidR="00411BDD" w:rsidRPr="001558A5">
        <w:rPr>
          <w:rFonts w:ascii="Verdana" w:hAnsi="Verdana" w:cs="Tahoma"/>
          <w:b/>
          <w:bCs/>
          <w:color w:val="000000"/>
          <w:sz w:val="20"/>
          <w:szCs w:val="20"/>
        </w:rPr>
        <w:t>AND</w:t>
      </w:r>
      <w:r w:rsidRPr="001558A5">
        <w:rPr>
          <w:rFonts w:ascii="Verdana" w:hAnsi="Verdana" w:cs="Tahoma"/>
          <w:b/>
          <w:bCs/>
          <w:color w:val="000000"/>
          <w:sz w:val="20"/>
          <w:szCs w:val="20"/>
        </w:rPr>
        <w:t xml:space="preserve"> (b)</w:t>
      </w:r>
    </w:p>
    <w:p w14:paraId="41E371DD"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cs="Tahoma"/>
          <w:color w:val="000000"/>
          <w:sz w:val="20"/>
          <w:szCs w:val="20"/>
        </w:rPr>
      </w:pPr>
    </w:p>
    <w:p w14:paraId="4D94002E" w14:textId="77777777" w:rsidR="009A44A0" w:rsidRPr="001558A5" w:rsidRDefault="009A44A0" w:rsidP="009A44A0">
      <w:pPr>
        <w:pStyle w:val="NormalWeb"/>
        <w:numPr>
          <w:ilvl w:val="0"/>
          <w:numId w:val="42"/>
        </w:numPr>
        <w:shd w:val="clear" w:color="auto" w:fill="FFFFFF"/>
        <w:spacing w:before="0" w:beforeAutospacing="0" w:after="0" w:afterAutospacing="0" w:line="240" w:lineRule="auto"/>
        <w:ind w:left="0" w:firstLine="0"/>
        <w:jc w:val="both"/>
        <w:rPr>
          <w:rFonts w:ascii="Verdana" w:hAnsi="Verdana" w:cs="Tahoma"/>
          <w:color w:val="000000"/>
          <w:sz w:val="20"/>
          <w:szCs w:val="20"/>
        </w:rPr>
      </w:pPr>
      <w:r w:rsidRPr="001558A5">
        <w:rPr>
          <w:rFonts w:ascii="Verdana" w:hAnsi="Verdana" w:cs="Tahoma"/>
          <w:color w:val="000000"/>
          <w:sz w:val="20"/>
          <w:szCs w:val="20"/>
        </w:rPr>
        <w:t>This article establishes that:</w:t>
      </w:r>
    </w:p>
    <w:p w14:paraId="41D7B6D5" w14:textId="77777777" w:rsidR="009A44A0" w:rsidRPr="001558A5" w:rsidRDefault="009A44A0" w:rsidP="009A44A0">
      <w:pPr>
        <w:autoSpaceDE w:val="0"/>
        <w:autoSpaceDN w:val="0"/>
        <w:adjustRightInd w:val="0"/>
        <w:jc w:val="left"/>
        <w:rPr>
          <w:rFonts w:eastAsiaTheme="minorHAnsi" w:cs="Calibri"/>
          <w:color w:val="000000"/>
          <w:sz w:val="18"/>
          <w:szCs w:val="18"/>
          <w:lang w:val="en-US"/>
        </w:rPr>
      </w:pPr>
    </w:p>
    <w:p w14:paraId="0B8DE638" w14:textId="77777777" w:rsidR="009A44A0" w:rsidRPr="001558A5" w:rsidRDefault="009A44A0" w:rsidP="009A44A0">
      <w:pPr>
        <w:autoSpaceDE w:val="0"/>
        <w:autoSpaceDN w:val="0"/>
        <w:adjustRightInd w:val="0"/>
        <w:ind w:left="720" w:right="360"/>
        <w:rPr>
          <w:rFonts w:eastAsiaTheme="minorHAnsi" w:cs="Calibri"/>
          <w:color w:val="000000"/>
          <w:sz w:val="18"/>
          <w:szCs w:val="18"/>
          <w:lang w:val="en-US"/>
        </w:rPr>
      </w:pPr>
      <w:r w:rsidRPr="001558A5">
        <w:rPr>
          <w:rFonts w:eastAsiaTheme="minorHAnsi" w:cs="Calibri"/>
          <w:color w:val="000000"/>
          <w:sz w:val="18"/>
          <w:szCs w:val="18"/>
          <w:lang w:val="en-US"/>
        </w:rPr>
        <w:t xml:space="preserve">The States Parties condemn all forms of violence against women and agree to pursue, by all appropriate means and without delay, policies to prevent, punish and eradicate such violence and undertake to: </w:t>
      </w:r>
    </w:p>
    <w:p w14:paraId="5DC5A7D7" w14:textId="77777777" w:rsidR="009A44A0" w:rsidRPr="001558A5" w:rsidRDefault="009A44A0" w:rsidP="009A44A0">
      <w:pPr>
        <w:autoSpaceDE w:val="0"/>
        <w:autoSpaceDN w:val="0"/>
        <w:adjustRightInd w:val="0"/>
        <w:spacing w:after="18"/>
        <w:ind w:left="720" w:right="360"/>
        <w:rPr>
          <w:rFonts w:eastAsiaTheme="minorHAnsi" w:cs="Calibri"/>
          <w:color w:val="000000"/>
          <w:sz w:val="18"/>
          <w:szCs w:val="18"/>
          <w:lang w:val="en-US"/>
        </w:rPr>
      </w:pPr>
      <w:r w:rsidRPr="001558A5">
        <w:rPr>
          <w:rFonts w:eastAsiaTheme="minorHAnsi" w:cs="Calibri"/>
          <w:color w:val="000000"/>
          <w:sz w:val="18"/>
          <w:szCs w:val="18"/>
          <w:lang w:val="en-US"/>
        </w:rPr>
        <w:t xml:space="preserve">(a) </w:t>
      </w:r>
      <w:proofErr w:type="gramStart"/>
      <w:r w:rsidRPr="001558A5">
        <w:rPr>
          <w:rFonts w:eastAsiaTheme="minorHAnsi" w:cs="Calibri"/>
          <w:color w:val="000000"/>
          <w:sz w:val="18"/>
          <w:szCs w:val="18"/>
          <w:lang w:val="en-US"/>
        </w:rPr>
        <w:t>refrain</w:t>
      </w:r>
      <w:proofErr w:type="gramEnd"/>
      <w:r w:rsidRPr="001558A5">
        <w:rPr>
          <w:rFonts w:eastAsiaTheme="minorHAnsi" w:cs="Calibri"/>
          <w:color w:val="000000"/>
          <w:sz w:val="18"/>
          <w:szCs w:val="18"/>
          <w:lang w:val="en-US"/>
        </w:rPr>
        <w:t xml:space="preserve"> from engaging in any act or practice of violence against women and to ensure that their authorities, officials, personnel, agents, and institutions act in conformity with this obligation; </w:t>
      </w:r>
    </w:p>
    <w:p w14:paraId="02C4D779" w14:textId="77777777" w:rsidR="009A44A0" w:rsidRPr="001558A5" w:rsidRDefault="009A44A0" w:rsidP="009A44A0">
      <w:pPr>
        <w:autoSpaceDE w:val="0"/>
        <w:autoSpaceDN w:val="0"/>
        <w:adjustRightInd w:val="0"/>
        <w:spacing w:after="18"/>
        <w:ind w:left="720" w:right="360"/>
        <w:rPr>
          <w:rFonts w:cs="Calibri"/>
          <w:color w:val="000000"/>
          <w:sz w:val="18"/>
          <w:szCs w:val="18"/>
          <w:lang w:val="en-US"/>
        </w:rPr>
      </w:pPr>
      <w:r w:rsidRPr="001558A5">
        <w:rPr>
          <w:rFonts w:eastAsiaTheme="minorHAnsi" w:cs="Calibri"/>
          <w:color w:val="000000"/>
          <w:sz w:val="18"/>
          <w:szCs w:val="18"/>
          <w:lang w:val="en-US"/>
        </w:rPr>
        <w:t xml:space="preserve">(b) </w:t>
      </w:r>
      <w:proofErr w:type="gramStart"/>
      <w:r w:rsidRPr="001558A5">
        <w:rPr>
          <w:rFonts w:eastAsiaTheme="minorHAnsi" w:cs="Calibri"/>
          <w:color w:val="000000"/>
          <w:sz w:val="18"/>
          <w:szCs w:val="18"/>
          <w:lang w:val="en-US"/>
        </w:rPr>
        <w:t>apply</w:t>
      </w:r>
      <w:proofErr w:type="gramEnd"/>
      <w:r w:rsidRPr="001558A5">
        <w:rPr>
          <w:rFonts w:eastAsiaTheme="minorHAnsi" w:cs="Calibri"/>
          <w:color w:val="000000"/>
          <w:sz w:val="18"/>
          <w:szCs w:val="18"/>
          <w:lang w:val="en-US"/>
        </w:rPr>
        <w:t xml:space="preserve"> due diligence to prevent, investigate and impose penalties for violence against women; ...”</w:t>
      </w:r>
    </w:p>
    <w:p w14:paraId="548AF3CE" w14:textId="77777777" w:rsidR="009A44A0" w:rsidRPr="001558A5" w:rsidRDefault="009A44A0" w:rsidP="009A44A0">
      <w:pPr>
        <w:autoSpaceDE w:val="0"/>
        <w:autoSpaceDN w:val="0"/>
        <w:adjustRightInd w:val="0"/>
        <w:spacing w:after="18"/>
        <w:ind w:left="720" w:right="360"/>
        <w:rPr>
          <w:rFonts w:cs="Calibri"/>
          <w:color w:val="000000"/>
          <w:sz w:val="18"/>
          <w:szCs w:val="18"/>
          <w:lang w:val="en-US"/>
        </w:rPr>
      </w:pPr>
    </w:p>
    <w:p w14:paraId="71B7FE2D" w14:textId="77777777" w:rsidR="009A44A0" w:rsidRPr="001558A5" w:rsidRDefault="009A44A0" w:rsidP="009A44A0">
      <w:pPr>
        <w:pStyle w:val="NormalWeb"/>
        <w:numPr>
          <w:ilvl w:val="0"/>
          <w:numId w:val="42"/>
        </w:numPr>
        <w:shd w:val="clear" w:color="auto" w:fill="FFFFFF"/>
        <w:spacing w:before="0" w:beforeAutospacing="0" w:after="0" w:afterAutospacing="0" w:line="240" w:lineRule="auto"/>
        <w:ind w:left="0" w:firstLine="0"/>
        <w:jc w:val="both"/>
        <w:rPr>
          <w:rFonts w:ascii="Verdana" w:hAnsi="Verdana" w:cs="Tahoma"/>
          <w:color w:val="000000"/>
          <w:sz w:val="20"/>
          <w:szCs w:val="20"/>
        </w:rPr>
      </w:pPr>
      <w:r w:rsidRPr="001558A5">
        <w:rPr>
          <w:rFonts w:ascii="Verdana" w:hAnsi="Verdana" w:cs="Tahoma"/>
          <w:color w:val="000000"/>
          <w:sz w:val="20"/>
          <w:szCs w:val="20"/>
        </w:rPr>
        <w:t>Evidently, this treaty and, consequently, also the said article should be interpreted in light of Article 31(1) of the Vienna Convention on the Law of Treaties,</w:t>
      </w:r>
      <w:r w:rsidRPr="001558A5">
        <w:rPr>
          <w:rStyle w:val="Refdenotaalpie"/>
          <w:rFonts w:ascii="Verdana" w:eastAsia="Batang" w:hAnsi="Verdana" w:cs="Tahoma"/>
          <w:color w:val="000000"/>
        </w:rPr>
        <w:footnoteReference w:id="223"/>
      </w:r>
      <w:r w:rsidRPr="001558A5">
        <w:rPr>
          <w:rFonts w:ascii="Verdana" w:hAnsi="Verdana" w:cs="Tahoma"/>
          <w:color w:val="000000"/>
          <w:sz w:val="20"/>
          <w:szCs w:val="20"/>
        </w:rPr>
        <w:t xml:space="preserve"> which establishes that:</w:t>
      </w:r>
    </w:p>
    <w:p w14:paraId="3A9EFB1C"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cs="Tahoma"/>
          <w:color w:val="000000"/>
          <w:sz w:val="20"/>
          <w:szCs w:val="20"/>
        </w:rPr>
      </w:pPr>
    </w:p>
    <w:p w14:paraId="00143745" w14:textId="50AF4E3A" w:rsidR="009A44A0" w:rsidRPr="001558A5" w:rsidRDefault="009A44A0" w:rsidP="009A44A0">
      <w:pPr>
        <w:pStyle w:val="NormalWeb"/>
        <w:shd w:val="clear" w:color="auto" w:fill="FFFFFF"/>
        <w:spacing w:before="0" w:beforeAutospacing="0" w:after="0" w:afterAutospacing="0" w:line="240" w:lineRule="auto"/>
        <w:ind w:left="720" w:right="360"/>
        <w:jc w:val="both"/>
        <w:rPr>
          <w:rFonts w:ascii="Verdana" w:hAnsi="Verdana"/>
          <w:i/>
          <w:iCs/>
          <w:sz w:val="20"/>
          <w:szCs w:val="20"/>
        </w:rPr>
      </w:pPr>
      <w:r w:rsidRPr="001558A5">
        <w:rPr>
          <w:rFonts w:ascii="Verdana" w:hAnsi="Verdana"/>
          <w:i/>
          <w:iCs/>
          <w:sz w:val="20"/>
          <w:szCs w:val="20"/>
        </w:rPr>
        <w:t>“</w:t>
      </w:r>
      <w:r w:rsidR="000D4B25" w:rsidRPr="001558A5">
        <w:rPr>
          <w:rFonts w:ascii="Verdana" w:hAnsi="Verdana"/>
          <w:sz w:val="18"/>
          <w:szCs w:val="18"/>
        </w:rPr>
        <w:t>A treaty shall be interpreted in good faith in accordance with the ordinary meaning to be given to the terms of the treaty in their context and in the light of its object and purpose.</w:t>
      </w:r>
      <w:r w:rsidRPr="001558A5">
        <w:rPr>
          <w:rFonts w:ascii="Verdana" w:hAnsi="Verdana"/>
          <w:i/>
          <w:iCs/>
          <w:sz w:val="18"/>
          <w:szCs w:val="18"/>
        </w:rPr>
        <w:t>”</w:t>
      </w:r>
    </w:p>
    <w:p w14:paraId="2298FA3B"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i/>
          <w:iCs/>
          <w:sz w:val="20"/>
          <w:szCs w:val="20"/>
        </w:rPr>
      </w:pPr>
    </w:p>
    <w:p w14:paraId="61C46AB2" w14:textId="244D9F02" w:rsidR="009A44A0" w:rsidRPr="001558A5" w:rsidRDefault="006C5C3A" w:rsidP="009A44A0">
      <w:pPr>
        <w:pStyle w:val="NormalWeb"/>
        <w:numPr>
          <w:ilvl w:val="0"/>
          <w:numId w:val="43"/>
        </w:numPr>
        <w:shd w:val="clear" w:color="auto" w:fill="FFFFFF"/>
        <w:spacing w:before="0" w:beforeAutospacing="0" w:after="0" w:afterAutospacing="0" w:line="240" w:lineRule="auto"/>
        <w:ind w:left="0" w:firstLine="0"/>
        <w:jc w:val="both"/>
        <w:rPr>
          <w:rFonts w:ascii="Verdana" w:hAnsi="Verdana"/>
          <w:b/>
          <w:bCs/>
          <w:i/>
          <w:iCs/>
          <w:sz w:val="20"/>
          <w:szCs w:val="20"/>
        </w:rPr>
      </w:pPr>
      <w:r w:rsidRPr="001558A5">
        <w:rPr>
          <w:rFonts w:ascii="Verdana" w:hAnsi="Verdana"/>
          <w:b/>
          <w:bCs/>
          <w:i/>
          <w:iCs/>
          <w:sz w:val="20"/>
          <w:szCs w:val="20"/>
        </w:rPr>
        <w:t>Good faith</w:t>
      </w:r>
    </w:p>
    <w:p w14:paraId="473E1E28"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i/>
          <w:iCs/>
          <w:sz w:val="20"/>
          <w:szCs w:val="20"/>
        </w:rPr>
      </w:pPr>
    </w:p>
    <w:p w14:paraId="6E5750BF" w14:textId="27E69D06" w:rsidR="00D76729" w:rsidRPr="001558A5" w:rsidRDefault="00D76729" w:rsidP="009A44A0">
      <w:pPr>
        <w:pStyle w:val="NormalWeb"/>
        <w:numPr>
          <w:ilvl w:val="0"/>
          <w:numId w:val="42"/>
        </w:numPr>
        <w:shd w:val="clear" w:color="auto" w:fill="FFFFFF"/>
        <w:spacing w:before="0" w:beforeAutospacing="0" w:after="0" w:afterAutospacing="0" w:line="240" w:lineRule="auto"/>
        <w:ind w:left="0" w:firstLine="0"/>
        <w:jc w:val="both"/>
        <w:rPr>
          <w:rFonts w:ascii="Verdana" w:hAnsi="Verdana" w:cs="Tahoma"/>
          <w:i/>
          <w:iCs/>
          <w:color w:val="000000"/>
          <w:sz w:val="20"/>
          <w:szCs w:val="20"/>
        </w:rPr>
      </w:pPr>
      <w:r w:rsidRPr="001558A5">
        <w:rPr>
          <w:rFonts w:ascii="Verdana" w:hAnsi="Verdana" w:cs="Tahoma"/>
          <w:color w:val="000000"/>
          <w:sz w:val="20"/>
          <w:szCs w:val="20"/>
        </w:rPr>
        <w:t xml:space="preserve">According to this fundamental rule concerning treaties such as </w:t>
      </w:r>
      <w:r w:rsidR="009A44A0" w:rsidRPr="001558A5">
        <w:rPr>
          <w:rFonts w:ascii="Verdana" w:hAnsi="Verdana" w:cs="Tahoma"/>
          <w:color w:val="000000"/>
          <w:sz w:val="20"/>
          <w:szCs w:val="20"/>
        </w:rPr>
        <w:t xml:space="preserve">the Convention </w:t>
      </w:r>
      <w:r w:rsidR="00411BDD" w:rsidRPr="001558A5">
        <w:rPr>
          <w:rFonts w:ascii="Verdana" w:hAnsi="Verdana" w:cs="Tahoma"/>
          <w:color w:val="000000"/>
          <w:sz w:val="20"/>
          <w:szCs w:val="20"/>
        </w:rPr>
        <w:t>of</w:t>
      </w:r>
      <w:r w:rsidR="009A44A0" w:rsidRPr="001558A5">
        <w:rPr>
          <w:rFonts w:ascii="Verdana" w:hAnsi="Verdana" w:cs="Tahoma"/>
          <w:color w:val="000000"/>
          <w:sz w:val="20"/>
          <w:szCs w:val="20"/>
        </w:rPr>
        <w:t xml:space="preserve"> Belem do </w:t>
      </w:r>
      <w:proofErr w:type="spellStart"/>
      <w:r w:rsidR="009A44A0" w:rsidRPr="001558A5">
        <w:rPr>
          <w:rFonts w:ascii="Verdana" w:hAnsi="Verdana" w:cs="Tahoma"/>
          <w:color w:val="000000"/>
          <w:sz w:val="20"/>
          <w:szCs w:val="20"/>
        </w:rPr>
        <w:t>Pará</w:t>
      </w:r>
      <w:proofErr w:type="spellEnd"/>
      <w:r w:rsidR="009A44A0" w:rsidRPr="001558A5">
        <w:rPr>
          <w:rFonts w:ascii="Verdana" w:hAnsi="Verdana" w:cs="Tahoma"/>
          <w:color w:val="000000"/>
          <w:sz w:val="20"/>
          <w:szCs w:val="20"/>
        </w:rPr>
        <w:t xml:space="preserve">, </w:t>
      </w:r>
      <w:r w:rsidRPr="001558A5">
        <w:rPr>
          <w:rFonts w:ascii="Verdana" w:hAnsi="Verdana" w:cs="Tahoma"/>
          <w:color w:val="000000"/>
          <w:sz w:val="20"/>
          <w:szCs w:val="20"/>
        </w:rPr>
        <w:t xml:space="preserve">it is evident, </w:t>
      </w:r>
      <w:r w:rsidR="00411BDD" w:rsidRPr="001558A5">
        <w:rPr>
          <w:rFonts w:ascii="Verdana" w:hAnsi="Verdana" w:cs="Tahoma"/>
          <w:color w:val="000000"/>
          <w:sz w:val="20"/>
          <w:szCs w:val="20"/>
        </w:rPr>
        <w:t>according to</w:t>
      </w:r>
      <w:r w:rsidRPr="001558A5">
        <w:rPr>
          <w:rFonts w:ascii="Verdana" w:hAnsi="Verdana" w:cs="Tahoma"/>
          <w:color w:val="000000"/>
          <w:sz w:val="20"/>
          <w:szCs w:val="20"/>
        </w:rPr>
        <w:t xml:space="preserve"> the method of interpretation </w:t>
      </w:r>
      <w:r w:rsidRPr="001558A5">
        <w:rPr>
          <w:rFonts w:ascii="Verdana" w:eastAsiaTheme="minorEastAsia" w:hAnsi="Verdana"/>
          <w:sz w:val="20"/>
          <w:szCs w:val="20"/>
        </w:rPr>
        <w:t xml:space="preserve">based on good faith, that, in the said Article 7(a), the States Parties agreed - in order to apply it and provide it with practical effects; that is, in order to really respect, in this regard, the rule of </w:t>
      </w:r>
      <w:proofErr w:type="spellStart"/>
      <w:r w:rsidRPr="001558A5">
        <w:rPr>
          <w:rFonts w:ascii="Verdana" w:hAnsi="Verdana"/>
          <w:i/>
          <w:iCs/>
          <w:sz w:val="20"/>
          <w:szCs w:val="20"/>
        </w:rPr>
        <w:t>pacta</w:t>
      </w:r>
      <w:proofErr w:type="spellEnd"/>
      <w:r w:rsidRPr="001558A5">
        <w:rPr>
          <w:rFonts w:ascii="Verdana" w:hAnsi="Verdana"/>
          <w:i/>
          <w:iCs/>
          <w:sz w:val="20"/>
          <w:szCs w:val="20"/>
        </w:rPr>
        <w:t xml:space="preserve"> </w:t>
      </w:r>
      <w:proofErr w:type="spellStart"/>
      <w:r w:rsidRPr="001558A5">
        <w:rPr>
          <w:rFonts w:ascii="Verdana" w:hAnsi="Verdana"/>
          <w:i/>
          <w:iCs/>
          <w:sz w:val="20"/>
          <w:szCs w:val="20"/>
        </w:rPr>
        <w:t>sunt</w:t>
      </w:r>
      <w:proofErr w:type="spellEnd"/>
      <w:r w:rsidRPr="001558A5">
        <w:rPr>
          <w:rFonts w:ascii="Verdana" w:hAnsi="Verdana"/>
          <w:i/>
          <w:iCs/>
          <w:sz w:val="20"/>
          <w:szCs w:val="20"/>
        </w:rPr>
        <w:t xml:space="preserve"> </w:t>
      </w:r>
      <w:proofErr w:type="spellStart"/>
      <w:r w:rsidRPr="001558A5">
        <w:rPr>
          <w:rFonts w:ascii="Verdana" w:hAnsi="Verdana"/>
          <w:i/>
          <w:iCs/>
          <w:sz w:val="20"/>
          <w:szCs w:val="20"/>
        </w:rPr>
        <w:t>servanda</w:t>
      </w:r>
      <w:proofErr w:type="spellEnd"/>
      <w:r w:rsidRPr="001558A5">
        <w:rPr>
          <w:rFonts w:ascii="Verdana" w:hAnsi="Verdana"/>
          <w:i/>
          <w:iCs/>
          <w:sz w:val="20"/>
          <w:szCs w:val="20"/>
        </w:rPr>
        <w:t>,</w:t>
      </w:r>
      <w:r w:rsidRPr="001558A5">
        <w:rPr>
          <w:rStyle w:val="Refdenotaalpie"/>
          <w:rFonts w:ascii="Verdana" w:eastAsia="Batang" w:hAnsi="Verdana"/>
          <w:sz w:val="20"/>
        </w:rPr>
        <w:footnoteReference w:id="224"/>
      </w:r>
      <w:r w:rsidRPr="001558A5">
        <w:rPr>
          <w:rFonts w:ascii="Verdana" w:hAnsi="Verdana"/>
          <w:sz w:val="20"/>
          <w:szCs w:val="20"/>
        </w:rPr>
        <w:t xml:space="preserve"> and, therefore, in order to adopt the policies it indicates – to refrain from the acts mention</w:t>
      </w:r>
      <w:r w:rsidR="00411BDD" w:rsidRPr="001558A5">
        <w:rPr>
          <w:rFonts w:ascii="Verdana" w:hAnsi="Verdana"/>
          <w:sz w:val="20"/>
          <w:szCs w:val="20"/>
        </w:rPr>
        <w:t>ed</w:t>
      </w:r>
      <w:r w:rsidRPr="001558A5">
        <w:rPr>
          <w:rFonts w:ascii="Verdana" w:hAnsi="Verdana"/>
          <w:sz w:val="20"/>
          <w:szCs w:val="20"/>
        </w:rPr>
        <w:t xml:space="preserve"> and to ensure that all their organs</w:t>
      </w:r>
      <w:r w:rsidR="004B16E8" w:rsidRPr="001558A5">
        <w:rPr>
          <w:rFonts w:ascii="Verdana" w:hAnsi="Verdana"/>
          <w:sz w:val="20"/>
          <w:szCs w:val="20"/>
        </w:rPr>
        <w:t xml:space="preserve"> proceed</w:t>
      </w:r>
      <w:r w:rsidR="00686C80" w:rsidRPr="001558A5">
        <w:rPr>
          <w:rFonts w:ascii="Verdana" w:hAnsi="Verdana"/>
          <w:sz w:val="20"/>
          <w:szCs w:val="20"/>
        </w:rPr>
        <w:t>ed</w:t>
      </w:r>
      <w:r w:rsidR="004B16E8" w:rsidRPr="001558A5">
        <w:rPr>
          <w:rFonts w:ascii="Verdana" w:hAnsi="Verdana"/>
          <w:sz w:val="20"/>
          <w:szCs w:val="20"/>
        </w:rPr>
        <w:t xml:space="preserve"> in the same way</w:t>
      </w:r>
      <w:r w:rsidR="00686C80" w:rsidRPr="001558A5">
        <w:rPr>
          <w:rFonts w:ascii="Verdana" w:hAnsi="Verdana"/>
          <w:sz w:val="20"/>
          <w:szCs w:val="20"/>
        </w:rPr>
        <w:t>,</w:t>
      </w:r>
      <w:r w:rsidR="004B16E8" w:rsidRPr="001558A5">
        <w:rPr>
          <w:rFonts w:ascii="Verdana" w:hAnsi="Verdana"/>
          <w:sz w:val="20"/>
          <w:szCs w:val="20"/>
        </w:rPr>
        <w:t xml:space="preserve"> and all this to prevent, punish and eradicate violence against “women.”</w:t>
      </w:r>
    </w:p>
    <w:p w14:paraId="6C8D018F"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cs="Tahoma"/>
          <w:i/>
          <w:iCs/>
          <w:color w:val="000000"/>
          <w:sz w:val="20"/>
          <w:szCs w:val="20"/>
        </w:rPr>
      </w:pPr>
    </w:p>
    <w:p w14:paraId="7881B8B7" w14:textId="364C8FE6" w:rsidR="009A44A0" w:rsidRPr="001558A5" w:rsidRDefault="004B16E8" w:rsidP="009A44A0">
      <w:pPr>
        <w:pStyle w:val="NormalWeb"/>
        <w:numPr>
          <w:ilvl w:val="0"/>
          <w:numId w:val="43"/>
        </w:numPr>
        <w:shd w:val="clear" w:color="auto" w:fill="FFFFFF"/>
        <w:spacing w:before="0" w:beforeAutospacing="0" w:after="0" w:afterAutospacing="0" w:line="240" w:lineRule="auto"/>
        <w:ind w:left="0" w:firstLine="0"/>
        <w:jc w:val="both"/>
        <w:rPr>
          <w:rFonts w:ascii="Verdana" w:hAnsi="Verdana" w:cs="Tahoma"/>
          <w:i/>
          <w:iCs/>
          <w:color w:val="000000"/>
          <w:sz w:val="20"/>
          <w:szCs w:val="20"/>
        </w:rPr>
      </w:pPr>
      <w:r w:rsidRPr="001558A5">
        <w:rPr>
          <w:rFonts w:ascii="Verdana" w:hAnsi="Verdana" w:cs="Tahoma"/>
          <w:b/>
          <w:bCs/>
          <w:i/>
          <w:iCs/>
          <w:color w:val="000000"/>
          <w:sz w:val="20"/>
          <w:szCs w:val="20"/>
        </w:rPr>
        <w:t>Ordinary or textual meaning</w:t>
      </w:r>
    </w:p>
    <w:p w14:paraId="239848BB" w14:textId="77777777" w:rsidR="009A44A0" w:rsidRPr="001558A5" w:rsidRDefault="009A44A0" w:rsidP="009A44A0">
      <w:pPr>
        <w:pStyle w:val="Prrafodelista"/>
        <w:ind w:left="0"/>
        <w:rPr>
          <w:rFonts w:cs="Tahoma"/>
          <w:color w:val="000000"/>
          <w:szCs w:val="20"/>
          <w:lang w:val="en-US"/>
        </w:rPr>
      </w:pPr>
    </w:p>
    <w:p w14:paraId="3AC7691A" w14:textId="21F98F6B" w:rsidR="004B16E8" w:rsidRPr="001558A5" w:rsidRDefault="004B16E8" w:rsidP="004B16E8">
      <w:pPr>
        <w:pStyle w:val="NormalWeb"/>
        <w:numPr>
          <w:ilvl w:val="0"/>
          <w:numId w:val="42"/>
        </w:numPr>
        <w:shd w:val="clear" w:color="auto" w:fill="FFFFFF"/>
        <w:spacing w:before="0" w:beforeAutospacing="0" w:after="0" w:afterAutospacing="0" w:line="240" w:lineRule="auto"/>
        <w:ind w:left="0" w:firstLine="0"/>
        <w:jc w:val="both"/>
        <w:rPr>
          <w:rFonts w:ascii="Verdana" w:hAnsi="Verdana" w:cs="Tahoma"/>
          <w:i/>
          <w:iCs/>
          <w:color w:val="000000"/>
          <w:sz w:val="20"/>
          <w:szCs w:val="20"/>
        </w:rPr>
      </w:pPr>
      <w:r w:rsidRPr="001558A5">
        <w:rPr>
          <w:rFonts w:ascii="Verdana" w:hAnsi="Verdana" w:cs="Tahoma"/>
          <w:color w:val="000000"/>
          <w:sz w:val="20"/>
          <w:szCs w:val="20"/>
        </w:rPr>
        <w:t>Hence, the reference that the article interpreted makes to “women” leads – as regards the meaning of this term – to employing the ordinary or textual method</w:t>
      </w:r>
      <w:r w:rsidR="00686C80" w:rsidRPr="001558A5">
        <w:rPr>
          <w:rFonts w:ascii="Verdana" w:hAnsi="Verdana" w:cs="Tahoma"/>
          <w:color w:val="000000"/>
          <w:sz w:val="20"/>
          <w:szCs w:val="20"/>
        </w:rPr>
        <w:t xml:space="preserve"> of</w:t>
      </w:r>
      <w:r w:rsidRPr="001558A5">
        <w:rPr>
          <w:rFonts w:ascii="Verdana" w:hAnsi="Verdana" w:cs="Tahoma"/>
          <w:color w:val="000000"/>
          <w:sz w:val="20"/>
          <w:szCs w:val="20"/>
        </w:rPr>
        <w:t xml:space="preserve"> interpretation of treaty-based provisions and this has </w:t>
      </w:r>
      <w:r w:rsidR="00686C80" w:rsidRPr="001558A5">
        <w:rPr>
          <w:rFonts w:ascii="Verdana" w:hAnsi="Verdana" w:cs="Tahoma"/>
          <w:color w:val="000000"/>
          <w:sz w:val="20"/>
          <w:szCs w:val="20"/>
        </w:rPr>
        <w:t>a bearing</w:t>
      </w:r>
      <w:r w:rsidRPr="001558A5">
        <w:rPr>
          <w:rFonts w:ascii="Verdana" w:hAnsi="Verdana" w:cs="Tahoma"/>
          <w:color w:val="000000"/>
          <w:sz w:val="20"/>
          <w:szCs w:val="20"/>
        </w:rPr>
        <w:t xml:space="preserve"> on the analysis of the text of the corresponding treaty, on the vocabulary used, and on the ordinary meaning of its terms. Therefore, and </w:t>
      </w:r>
      <w:r w:rsidR="00686C80" w:rsidRPr="001558A5">
        <w:rPr>
          <w:rFonts w:ascii="Verdana" w:hAnsi="Verdana" w:cs="Tahoma"/>
          <w:color w:val="000000"/>
          <w:sz w:val="20"/>
          <w:szCs w:val="20"/>
        </w:rPr>
        <w:t>taking into account</w:t>
      </w:r>
      <w:r w:rsidRPr="001558A5">
        <w:rPr>
          <w:rFonts w:ascii="Verdana" w:hAnsi="Verdana" w:cs="Tahoma"/>
          <w:color w:val="000000"/>
          <w:sz w:val="20"/>
          <w:szCs w:val="20"/>
        </w:rPr>
        <w:t xml:space="preserve"> that </w:t>
      </w:r>
      <w:r w:rsidRPr="001558A5">
        <w:rPr>
          <w:rFonts w:ascii="Verdana" w:hAnsi="Verdana"/>
          <w:sz w:val="20"/>
          <w:szCs w:val="20"/>
        </w:rPr>
        <w:t xml:space="preserve">the Convention </w:t>
      </w:r>
      <w:r w:rsidR="00686C80" w:rsidRPr="001558A5">
        <w:rPr>
          <w:rFonts w:ascii="Verdana" w:hAnsi="Verdana"/>
          <w:sz w:val="20"/>
          <w:szCs w:val="20"/>
        </w:rPr>
        <w:t>of</w:t>
      </w:r>
      <w:r w:rsidRPr="001558A5">
        <w:rPr>
          <w:rFonts w:ascii="Verdana" w:hAnsi="Verdana"/>
          <w:sz w:val="20"/>
          <w:szCs w:val="20"/>
        </w:rPr>
        <w:t xml:space="preserve"> Belem de </w:t>
      </w:r>
      <w:proofErr w:type="spellStart"/>
      <w:r w:rsidRPr="001558A5">
        <w:rPr>
          <w:rFonts w:ascii="Verdana" w:hAnsi="Verdana"/>
          <w:sz w:val="20"/>
          <w:szCs w:val="20"/>
        </w:rPr>
        <w:t>Pará</w:t>
      </w:r>
      <w:proofErr w:type="spellEnd"/>
      <w:r w:rsidRPr="001558A5">
        <w:rPr>
          <w:rFonts w:ascii="Verdana" w:hAnsi="Verdana"/>
          <w:sz w:val="20"/>
          <w:szCs w:val="20"/>
        </w:rPr>
        <w:t xml:space="preserve"> does not endow the said term with a “special meaning,”</w:t>
      </w:r>
      <w:r w:rsidRPr="001558A5">
        <w:rPr>
          <w:rStyle w:val="Refdenotaalpie"/>
          <w:rFonts w:ascii="Verdana" w:eastAsia="Batang" w:hAnsi="Verdana"/>
          <w:sz w:val="20"/>
        </w:rPr>
        <w:footnoteReference w:id="225"/>
      </w:r>
      <w:r w:rsidRPr="001558A5">
        <w:rPr>
          <w:rFonts w:ascii="Verdana" w:hAnsi="Verdana"/>
          <w:sz w:val="20"/>
          <w:szCs w:val="20"/>
        </w:rPr>
        <w:t xml:space="preserve"> it is necessary to resort to its “ordinary meaning,” which means that by “women” should be understood “person</w:t>
      </w:r>
      <w:r w:rsidR="00686C80" w:rsidRPr="001558A5">
        <w:rPr>
          <w:rFonts w:ascii="Verdana" w:hAnsi="Verdana"/>
          <w:sz w:val="20"/>
          <w:szCs w:val="20"/>
        </w:rPr>
        <w:t>s</w:t>
      </w:r>
      <w:r w:rsidRPr="001558A5">
        <w:rPr>
          <w:rFonts w:ascii="Verdana" w:hAnsi="Verdana"/>
          <w:sz w:val="20"/>
          <w:szCs w:val="20"/>
        </w:rPr>
        <w:t xml:space="preserve"> of the feminine sex.” It should be added that “feminine” means “</w:t>
      </w:r>
      <w:r w:rsidR="00686C80" w:rsidRPr="001558A5">
        <w:rPr>
          <w:rFonts w:ascii="Verdana" w:hAnsi="Verdana"/>
          <w:sz w:val="20"/>
          <w:szCs w:val="20"/>
        </w:rPr>
        <w:t>of or characteristic of</w:t>
      </w:r>
      <w:r w:rsidRPr="001558A5">
        <w:rPr>
          <w:rFonts w:ascii="Verdana" w:hAnsi="Verdana"/>
          <w:sz w:val="20"/>
          <w:szCs w:val="20"/>
        </w:rPr>
        <w:t xml:space="preserve"> women,” “</w:t>
      </w:r>
      <w:r w:rsidR="00686C80" w:rsidRPr="001558A5">
        <w:rPr>
          <w:rFonts w:ascii="Verdana" w:hAnsi="Verdana"/>
          <w:sz w:val="20"/>
          <w:szCs w:val="20"/>
        </w:rPr>
        <w:t>having qualities associated with women</w:t>
      </w:r>
      <w:r w:rsidRPr="001558A5">
        <w:rPr>
          <w:rFonts w:ascii="Verdana" w:hAnsi="Verdana"/>
          <w:sz w:val="20"/>
          <w:szCs w:val="20"/>
        </w:rPr>
        <w:t>” or “</w:t>
      </w:r>
      <w:r w:rsidR="00686C80" w:rsidRPr="001558A5">
        <w:rPr>
          <w:rFonts w:ascii="Verdana" w:hAnsi="Verdana"/>
          <w:sz w:val="20"/>
          <w:szCs w:val="20"/>
        </w:rPr>
        <w:t>s</w:t>
      </w:r>
      <w:r w:rsidRPr="001558A5">
        <w:rPr>
          <w:rFonts w:ascii="Verdana" w:hAnsi="Verdana"/>
          <w:sz w:val="20"/>
          <w:szCs w:val="20"/>
        </w:rPr>
        <w:t xml:space="preserve">aid of an individual endowed with </w:t>
      </w:r>
      <w:r w:rsidR="00042EFE" w:rsidRPr="001558A5">
        <w:rPr>
          <w:rFonts w:ascii="Verdana" w:hAnsi="Verdana"/>
          <w:sz w:val="20"/>
          <w:szCs w:val="20"/>
        </w:rPr>
        <w:t>organs that can be fertilized.”</w:t>
      </w:r>
    </w:p>
    <w:p w14:paraId="1F85E33F" w14:textId="77777777" w:rsidR="009A44A0" w:rsidRPr="001558A5" w:rsidRDefault="009A44A0" w:rsidP="009A44A0">
      <w:pPr>
        <w:pStyle w:val="Prrafodelista"/>
        <w:ind w:left="0"/>
        <w:rPr>
          <w:rFonts w:eastAsia="Arial Unicode MS"/>
          <w:color w:val="000000"/>
          <w:spacing w:val="4"/>
          <w:szCs w:val="20"/>
          <w:lang w:val="en-US"/>
        </w:rPr>
      </w:pPr>
    </w:p>
    <w:p w14:paraId="6E6B9FDB" w14:textId="05A69BD5" w:rsidR="009A44A0" w:rsidRPr="001558A5" w:rsidRDefault="00042EFE" w:rsidP="00042EFE">
      <w:pPr>
        <w:pStyle w:val="NormalWeb"/>
        <w:numPr>
          <w:ilvl w:val="0"/>
          <w:numId w:val="42"/>
        </w:numPr>
        <w:shd w:val="clear" w:color="auto" w:fill="FFFFFF"/>
        <w:spacing w:before="0" w:beforeAutospacing="0" w:after="0" w:afterAutospacing="0" w:line="240" w:lineRule="auto"/>
        <w:ind w:left="0" w:firstLine="0"/>
        <w:jc w:val="both"/>
        <w:rPr>
          <w:rFonts w:ascii="Verdana" w:hAnsi="Verdana" w:cs="Tahoma"/>
          <w:i/>
          <w:iCs/>
          <w:color w:val="000000"/>
          <w:sz w:val="20"/>
          <w:szCs w:val="20"/>
        </w:rPr>
      </w:pPr>
      <w:r w:rsidRPr="001558A5">
        <w:rPr>
          <w:rFonts w:ascii="Verdana" w:hAnsi="Verdana" w:cs="Tahoma"/>
          <w:color w:val="000000"/>
          <w:sz w:val="20"/>
          <w:szCs w:val="20"/>
        </w:rPr>
        <w:t xml:space="preserve">With that in mind, there can be no doubt whatsoever that the provision of the Convention that is being interpreted refers exclusively to “women” based on their sex; that is, the feminine sex, omitting any reference to “trans women.” The provisions of </w:t>
      </w:r>
      <w:r w:rsidR="009A44A0" w:rsidRPr="001558A5">
        <w:rPr>
          <w:rFonts w:ascii="Verdana" w:hAnsi="Verdana" w:cs="Tahoma"/>
          <w:color w:val="000000"/>
          <w:sz w:val="20"/>
          <w:szCs w:val="20"/>
        </w:rPr>
        <w:t xml:space="preserve">Article 1 of the </w:t>
      </w:r>
      <w:r w:rsidR="00686C80" w:rsidRPr="001558A5">
        <w:rPr>
          <w:rFonts w:ascii="Verdana" w:hAnsi="Verdana" w:cs="Tahoma"/>
          <w:color w:val="000000"/>
          <w:sz w:val="20"/>
          <w:szCs w:val="20"/>
        </w:rPr>
        <w:t>Convention of</w:t>
      </w:r>
      <w:r w:rsidR="009A44A0" w:rsidRPr="001558A5">
        <w:rPr>
          <w:rFonts w:ascii="Verdana" w:hAnsi="Verdana" w:cs="Tahoma"/>
          <w:color w:val="000000"/>
          <w:sz w:val="20"/>
          <w:szCs w:val="20"/>
        </w:rPr>
        <w:t xml:space="preserve"> Belem do </w:t>
      </w:r>
      <w:proofErr w:type="spellStart"/>
      <w:r w:rsidR="009A44A0" w:rsidRPr="001558A5">
        <w:rPr>
          <w:rFonts w:ascii="Verdana" w:hAnsi="Verdana" w:cs="Tahoma"/>
          <w:color w:val="000000"/>
          <w:sz w:val="20"/>
          <w:szCs w:val="20"/>
        </w:rPr>
        <w:t>Pará</w:t>
      </w:r>
      <w:proofErr w:type="spellEnd"/>
      <w:r w:rsidR="009A44A0" w:rsidRPr="001558A5">
        <w:rPr>
          <w:rFonts w:ascii="Verdana" w:hAnsi="Verdana" w:cs="Tahoma"/>
          <w:color w:val="000000"/>
          <w:sz w:val="20"/>
          <w:szCs w:val="20"/>
        </w:rPr>
        <w:t xml:space="preserve"> confirm</w:t>
      </w:r>
      <w:r w:rsidRPr="001558A5">
        <w:rPr>
          <w:rFonts w:ascii="Verdana" w:hAnsi="Verdana" w:cs="Tahoma"/>
          <w:color w:val="000000"/>
          <w:sz w:val="20"/>
          <w:szCs w:val="20"/>
        </w:rPr>
        <w:t xml:space="preserve"> this, by establishing that: </w:t>
      </w:r>
    </w:p>
    <w:p w14:paraId="31E088B3"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cs="Tahoma"/>
          <w:i/>
          <w:iCs/>
          <w:color w:val="000000"/>
          <w:sz w:val="20"/>
          <w:szCs w:val="20"/>
        </w:rPr>
      </w:pPr>
    </w:p>
    <w:p w14:paraId="0DE9037D" w14:textId="77777777" w:rsidR="009A44A0" w:rsidRPr="001558A5" w:rsidRDefault="009A44A0" w:rsidP="009A44A0">
      <w:pPr>
        <w:pStyle w:val="NormalWeb"/>
        <w:shd w:val="clear" w:color="auto" w:fill="FFFFFF"/>
        <w:spacing w:before="0" w:beforeAutospacing="0" w:after="0" w:afterAutospacing="0" w:line="240" w:lineRule="auto"/>
        <w:ind w:left="720" w:right="360"/>
        <w:jc w:val="both"/>
        <w:rPr>
          <w:rFonts w:ascii="Verdana" w:hAnsi="Verdana" w:cs="Tahoma"/>
          <w:i/>
          <w:iCs/>
          <w:color w:val="000000"/>
          <w:sz w:val="20"/>
          <w:szCs w:val="20"/>
        </w:rPr>
      </w:pPr>
      <w:r w:rsidRPr="001558A5">
        <w:rPr>
          <w:rFonts w:ascii="Verdana" w:eastAsiaTheme="minorHAnsi" w:hAnsi="Verdana" w:cs="Calibri"/>
          <w:color w:val="000000"/>
          <w:sz w:val="18"/>
          <w:szCs w:val="18"/>
        </w:rPr>
        <w:t>“For the purposes of this Convention, violence against women shall be understood as any act or conduct, based on gender, which causes death or physical, sexual or psychological harm or suffering to women, whether in the public or the private sphere.”</w:t>
      </w:r>
    </w:p>
    <w:p w14:paraId="3F377853"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cs="Tahoma"/>
          <w:i/>
          <w:iCs/>
          <w:color w:val="000000"/>
          <w:sz w:val="20"/>
          <w:szCs w:val="20"/>
        </w:rPr>
      </w:pPr>
    </w:p>
    <w:p w14:paraId="4E0FDE8B" w14:textId="7DFFC419" w:rsidR="009A44A0" w:rsidRPr="001558A5" w:rsidRDefault="00042EFE" w:rsidP="009A44A0">
      <w:pPr>
        <w:pStyle w:val="NormalWeb"/>
        <w:numPr>
          <w:ilvl w:val="0"/>
          <w:numId w:val="42"/>
        </w:numPr>
        <w:shd w:val="clear" w:color="auto" w:fill="FFFFFF"/>
        <w:spacing w:before="0" w:beforeAutospacing="0" w:after="0" w:afterAutospacing="0" w:line="240" w:lineRule="auto"/>
        <w:ind w:left="0" w:firstLine="0"/>
        <w:jc w:val="both"/>
        <w:rPr>
          <w:rFonts w:ascii="Verdana" w:hAnsi="Verdana"/>
          <w:color w:val="000000"/>
          <w:sz w:val="20"/>
          <w:szCs w:val="20"/>
        </w:rPr>
      </w:pPr>
      <w:r w:rsidRPr="001558A5">
        <w:rPr>
          <w:rFonts w:ascii="Verdana" w:hAnsi="Verdana"/>
          <w:color w:val="000000"/>
          <w:sz w:val="20"/>
          <w:szCs w:val="20"/>
        </w:rPr>
        <w:t xml:space="preserve">And the same can be noted in </w:t>
      </w:r>
      <w:r w:rsidR="009A44A0" w:rsidRPr="001558A5">
        <w:rPr>
          <w:rFonts w:ascii="Verdana" w:hAnsi="Verdana"/>
          <w:color w:val="000000"/>
          <w:sz w:val="20"/>
          <w:szCs w:val="20"/>
        </w:rPr>
        <w:t xml:space="preserve">Article 3 </w:t>
      </w:r>
      <w:r w:rsidRPr="001558A5">
        <w:rPr>
          <w:rFonts w:ascii="Verdana" w:hAnsi="Verdana"/>
          <w:color w:val="000000"/>
          <w:sz w:val="20"/>
          <w:szCs w:val="20"/>
        </w:rPr>
        <w:t>of this</w:t>
      </w:r>
      <w:r w:rsidR="009A44A0" w:rsidRPr="001558A5">
        <w:rPr>
          <w:rFonts w:ascii="Verdana" w:hAnsi="Verdana"/>
          <w:color w:val="000000"/>
          <w:sz w:val="20"/>
          <w:szCs w:val="20"/>
        </w:rPr>
        <w:t xml:space="preserve"> Convention, </w:t>
      </w:r>
      <w:r w:rsidRPr="001558A5">
        <w:rPr>
          <w:rFonts w:ascii="Verdana" w:hAnsi="Verdana"/>
          <w:color w:val="000000"/>
          <w:sz w:val="20"/>
          <w:szCs w:val="20"/>
        </w:rPr>
        <w:t>which stipulates that:</w:t>
      </w:r>
    </w:p>
    <w:p w14:paraId="51D964E5"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color w:val="000000"/>
          <w:sz w:val="20"/>
          <w:szCs w:val="20"/>
        </w:rPr>
      </w:pPr>
    </w:p>
    <w:p w14:paraId="1C007C56" w14:textId="5812F72E" w:rsidR="009A44A0" w:rsidRPr="001558A5" w:rsidRDefault="009A44A0" w:rsidP="009A44A0">
      <w:pPr>
        <w:pStyle w:val="NormalWeb"/>
        <w:shd w:val="clear" w:color="auto" w:fill="FFFFFF"/>
        <w:spacing w:before="0" w:beforeAutospacing="0" w:after="0" w:afterAutospacing="0" w:line="240" w:lineRule="auto"/>
        <w:ind w:left="720" w:right="360"/>
        <w:jc w:val="both"/>
        <w:rPr>
          <w:rFonts w:ascii="Verdana" w:hAnsi="Verdana"/>
          <w:i/>
          <w:iCs/>
          <w:color w:val="000000"/>
          <w:sz w:val="18"/>
          <w:szCs w:val="18"/>
        </w:rPr>
      </w:pPr>
      <w:r w:rsidRPr="001558A5">
        <w:rPr>
          <w:rFonts w:ascii="Verdana" w:hAnsi="Verdana"/>
          <w:i/>
          <w:iCs/>
          <w:color w:val="000000"/>
          <w:sz w:val="18"/>
          <w:szCs w:val="18"/>
        </w:rPr>
        <w:t>“</w:t>
      </w:r>
      <w:r w:rsidRPr="001558A5">
        <w:rPr>
          <w:rFonts w:ascii="Verdana" w:hAnsi="Verdana"/>
          <w:sz w:val="18"/>
          <w:szCs w:val="18"/>
        </w:rPr>
        <w:t>Every woman has the right to be free from violence in both the public and private spheres</w:t>
      </w:r>
      <w:r w:rsidRPr="001558A5">
        <w:rPr>
          <w:rFonts w:ascii="Verdana" w:hAnsi="Verdana" w:cs="Tahoma"/>
          <w:i/>
          <w:iCs/>
          <w:color w:val="000000"/>
          <w:sz w:val="18"/>
          <w:szCs w:val="18"/>
        </w:rPr>
        <w:t>.”</w:t>
      </w:r>
    </w:p>
    <w:p w14:paraId="59AEAC3C"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color w:val="000000"/>
          <w:sz w:val="20"/>
          <w:szCs w:val="20"/>
        </w:rPr>
      </w:pPr>
    </w:p>
    <w:p w14:paraId="1D124E18" w14:textId="69475BAF" w:rsidR="009A44A0" w:rsidRPr="001558A5" w:rsidRDefault="00042EFE" w:rsidP="009A44A0">
      <w:pPr>
        <w:pStyle w:val="NormalWeb"/>
        <w:numPr>
          <w:ilvl w:val="0"/>
          <w:numId w:val="42"/>
        </w:numPr>
        <w:shd w:val="clear" w:color="auto" w:fill="FFFFFF"/>
        <w:spacing w:before="0" w:beforeAutospacing="0" w:after="0" w:afterAutospacing="0" w:line="240" w:lineRule="auto"/>
        <w:ind w:left="0" w:firstLine="0"/>
        <w:jc w:val="both"/>
        <w:rPr>
          <w:rFonts w:ascii="Verdana" w:hAnsi="Verdana"/>
          <w:color w:val="000000"/>
          <w:sz w:val="20"/>
          <w:szCs w:val="20"/>
        </w:rPr>
      </w:pPr>
      <w:r w:rsidRPr="001558A5">
        <w:rPr>
          <w:rFonts w:ascii="Verdana" w:hAnsi="Verdana"/>
          <w:color w:val="000000"/>
          <w:sz w:val="20"/>
          <w:szCs w:val="20"/>
        </w:rPr>
        <w:t>That said, it is also true that the aforementioned</w:t>
      </w:r>
      <w:r w:rsidR="009A44A0" w:rsidRPr="001558A5">
        <w:rPr>
          <w:rFonts w:ascii="Verdana" w:hAnsi="Verdana"/>
          <w:color w:val="000000"/>
          <w:sz w:val="20"/>
          <w:szCs w:val="20"/>
        </w:rPr>
        <w:t xml:space="preserve"> Article 1</w:t>
      </w:r>
      <w:r w:rsidRPr="001558A5">
        <w:rPr>
          <w:rFonts w:ascii="Verdana" w:hAnsi="Verdana"/>
          <w:color w:val="000000"/>
          <w:sz w:val="20"/>
          <w:szCs w:val="20"/>
        </w:rPr>
        <w:t xml:space="preserve"> uses the words “women” and “gender” and the latter should be understood according to its “ordinary meaning,” as “</w:t>
      </w:r>
      <w:r w:rsidR="00686C80" w:rsidRPr="001558A5">
        <w:rPr>
          <w:rFonts w:ascii="Verdana" w:hAnsi="Verdana"/>
          <w:color w:val="000000"/>
          <w:sz w:val="20"/>
          <w:szCs w:val="20"/>
        </w:rPr>
        <w:t>a</w:t>
      </w:r>
      <w:r w:rsidRPr="001558A5">
        <w:rPr>
          <w:rFonts w:ascii="Verdana" w:hAnsi="Verdana"/>
          <w:color w:val="000000"/>
          <w:sz w:val="20"/>
          <w:szCs w:val="20"/>
        </w:rPr>
        <w:t xml:space="preserve"> group of beings that have one or sever</w:t>
      </w:r>
      <w:r w:rsidR="00686C80" w:rsidRPr="001558A5">
        <w:rPr>
          <w:rFonts w:ascii="Verdana" w:hAnsi="Verdana"/>
          <w:color w:val="000000"/>
          <w:sz w:val="20"/>
          <w:szCs w:val="20"/>
        </w:rPr>
        <w:t>al</w:t>
      </w:r>
      <w:r w:rsidRPr="001558A5">
        <w:rPr>
          <w:rFonts w:ascii="Verdana" w:hAnsi="Verdana"/>
          <w:color w:val="000000"/>
          <w:sz w:val="20"/>
          <w:szCs w:val="20"/>
        </w:rPr>
        <w:t xml:space="preserve"> common characteristics” or “class or type to which persons or things belong” or </w:t>
      </w:r>
      <w:r w:rsidR="009A44A0" w:rsidRPr="001558A5">
        <w:rPr>
          <w:rFonts w:ascii="Verdana" w:hAnsi="Verdana"/>
          <w:color w:val="000000"/>
          <w:sz w:val="20"/>
          <w:szCs w:val="20"/>
        </w:rPr>
        <w:t>“</w:t>
      </w:r>
      <w:r w:rsidRPr="001558A5">
        <w:rPr>
          <w:rFonts w:ascii="Verdana" w:hAnsi="Verdana"/>
          <w:color w:val="000000"/>
          <w:sz w:val="20"/>
          <w:szCs w:val="20"/>
        </w:rPr>
        <w:t>group to which human beings of each sex belong, understood from a socio-cultural instead of exclusively biological point of view.</w:t>
      </w:r>
      <w:r w:rsidR="009A44A0" w:rsidRPr="001558A5">
        <w:rPr>
          <w:rFonts w:ascii="Verdana" w:eastAsia="Arial Unicode MS" w:hAnsi="Verdana"/>
          <w:color w:val="000000"/>
          <w:spacing w:val="4"/>
          <w:sz w:val="20"/>
          <w:szCs w:val="20"/>
          <w:shd w:val="clear" w:color="auto" w:fill="FFFFFF"/>
        </w:rPr>
        <w:t>”</w:t>
      </w:r>
      <w:r w:rsidR="009A44A0" w:rsidRPr="001558A5">
        <w:rPr>
          <w:rStyle w:val="Refdenotaalpie"/>
          <w:rFonts w:ascii="Verdana" w:eastAsia="Arial Unicode MS" w:hAnsi="Verdana" w:cs="Arial Unicode MS"/>
          <w:color w:val="000000"/>
          <w:spacing w:val="4"/>
          <w:sz w:val="20"/>
          <w:shd w:val="clear" w:color="auto" w:fill="FFFFFF"/>
        </w:rPr>
        <w:footnoteReference w:id="226"/>
      </w:r>
      <w:r w:rsidR="009A44A0" w:rsidRPr="001558A5">
        <w:rPr>
          <w:rFonts w:ascii="Verdana" w:hAnsi="Verdana"/>
          <w:color w:val="000000"/>
          <w:sz w:val="20"/>
          <w:szCs w:val="20"/>
        </w:rPr>
        <w:t xml:space="preserve"> </w:t>
      </w:r>
    </w:p>
    <w:p w14:paraId="624AAF74"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color w:val="000000"/>
          <w:sz w:val="20"/>
          <w:szCs w:val="20"/>
        </w:rPr>
      </w:pPr>
    </w:p>
    <w:p w14:paraId="6639F2F1" w14:textId="054A2FB2" w:rsidR="009A44A0" w:rsidRPr="001558A5" w:rsidRDefault="007B5AB3" w:rsidP="007B5AB3">
      <w:pPr>
        <w:pStyle w:val="NormalWeb"/>
        <w:numPr>
          <w:ilvl w:val="0"/>
          <w:numId w:val="42"/>
        </w:numPr>
        <w:shd w:val="clear" w:color="auto" w:fill="FFFFFF"/>
        <w:spacing w:before="0" w:beforeAutospacing="0" w:after="0" w:afterAutospacing="0" w:line="240" w:lineRule="auto"/>
        <w:ind w:left="0" w:firstLine="0"/>
        <w:jc w:val="both"/>
        <w:rPr>
          <w:rFonts w:ascii="Verdana" w:hAnsi="Verdana"/>
          <w:color w:val="000000"/>
          <w:sz w:val="20"/>
          <w:szCs w:val="20"/>
        </w:rPr>
      </w:pPr>
      <w:r w:rsidRPr="001558A5">
        <w:rPr>
          <w:rFonts w:ascii="Verdana" w:hAnsi="Verdana"/>
          <w:color w:val="000000"/>
          <w:sz w:val="20"/>
          <w:szCs w:val="20"/>
        </w:rPr>
        <w:t xml:space="preserve">However, it is also necessary to recall in this regard that the Court had indicated in an </w:t>
      </w:r>
      <w:r w:rsidR="00686C80" w:rsidRPr="001558A5">
        <w:rPr>
          <w:rFonts w:ascii="Verdana" w:hAnsi="Verdana"/>
          <w:color w:val="000000"/>
          <w:sz w:val="20"/>
          <w:szCs w:val="20"/>
        </w:rPr>
        <w:t>a</w:t>
      </w:r>
      <w:r w:rsidR="009A44A0" w:rsidRPr="001558A5">
        <w:rPr>
          <w:rFonts w:ascii="Verdana" w:hAnsi="Verdana"/>
          <w:color w:val="000000"/>
          <w:sz w:val="20"/>
          <w:szCs w:val="20"/>
        </w:rPr>
        <w:t xml:space="preserve">dvisory </w:t>
      </w:r>
      <w:r w:rsidR="00686C80" w:rsidRPr="001558A5">
        <w:rPr>
          <w:rFonts w:ascii="Verdana" w:hAnsi="Verdana"/>
          <w:color w:val="000000"/>
          <w:sz w:val="20"/>
          <w:szCs w:val="20"/>
        </w:rPr>
        <w:t>o</w:t>
      </w:r>
      <w:r w:rsidR="009A44A0" w:rsidRPr="001558A5">
        <w:rPr>
          <w:rFonts w:ascii="Verdana" w:hAnsi="Verdana"/>
          <w:color w:val="000000"/>
          <w:sz w:val="20"/>
          <w:szCs w:val="20"/>
        </w:rPr>
        <w:t xml:space="preserve">pinion, </w:t>
      </w:r>
      <w:r w:rsidRPr="001558A5">
        <w:rPr>
          <w:rFonts w:ascii="Verdana" w:hAnsi="Verdana"/>
          <w:color w:val="000000"/>
          <w:sz w:val="20"/>
          <w:szCs w:val="20"/>
        </w:rPr>
        <w:t>that</w:t>
      </w:r>
      <w:r w:rsidR="009A44A0" w:rsidRPr="001558A5">
        <w:rPr>
          <w:rFonts w:ascii="Verdana" w:hAnsi="Verdana"/>
          <w:color w:val="000000"/>
          <w:sz w:val="20"/>
          <w:szCs w:val="20"/>
        </w:rPr>
        <w:t xml:space="preserve"> “</w:t>
      </w:r>
      <w:r w:rsidRPr="001558A5">
        <w:rPr>
          <w:rFonts w:ascii="Verdana" w:hAnsi="Verdana"/>
          <w:sz w:val="20"/>
          <w:szCs w:val="20"/>
        </w:rPr>
        <w:t>the following concepts</w:t>
      </w:r>
      <w:r w:rsidR="009A44A0" w:rsidRPr="001558A5">
        <w:rPr>
          <w:rFonts w:ascii="Verdana" w:hAnsi="Verdana"/>
          <w:sz w:val="20"/>
          <w:szCs w:val="20"/>
        </w:rPr>
        <w:t xml:space="preserve"> </w:t>
      </w:r>
      <w:r w:rsidRPr="001558A5">
        <w:rPr>
          <w:rFonts w:ascii="Verdana" w:hAnsi="Verdana"/>
          <w:sz w:val="20"/>
          <w:szCs w:val="20"/>
        </w:rPr>
        <w:t>[among others]</w:t>
      </w:r>
      <w:r w:rsidR="009A44A0" w:rsidRPr="001558A5">
        <w:rPr>
          <w:rFonts w:ascii="Verdana" w:hAnsi="Verdana"/>
          <w:sz w:val="20"/>
          <w:szCs w:val="20"/>
        </w:rPr>
        <w:t xml:space="preserve">, </w:t>
      </w:r>
      <w:r w:rsidRPr="001558A5">
        <w:rPr>
          <w:rFonts w:ascii="Verdana" w:hAnsi="Verdana"/>
          <w:sz w:val="20"/>
          <w:szCs w:val="20"/>
        </w:rPr>
        <w:t>taken from different international sources appear to be the most up-to-date ones at the international level</w:t>
      </w:r>
      <w:r w:rsidR="009A44A0" w:rsidRPr="001558A5">
        <w:rPr>
          <w:rFonts w:ascii="Verdana" w:hAnsi="Verdana"/>
          <w:sz w:val="20"/>
          <w:szCs w:val="20"/>
        </w:rPr>
        <w:t>”</w:t>
      </w:r>
      <w:r w:rsidRPr="001558A5">
        <w:rPr>
          <w:rFonts w:ascii="Verdana" w:hAnsi="Verdana"/>
          <w:sz w:val="20"/>
          <w:szCs w:val="20"/>
        </w:rPr>
        <w:t>;</w:t>
      </w:r>
      <w:r w:rsidR="009A44A0" w:rsidRPr="001558A5">
        <w:rPr>
          <w:rFonts w:ascii="Verdana" w:hAnsi="Verdana"/>
          <w:sz w:val="20"/>
          <w:szCs w:val="20"/>
        </w:rPr>
        <w:t xml:space="preserve"> </w:t>
      </w:r>
      <w:r w:rsidRPr="001558A5">
        <w:rPr>
          <w:rFonts w:ascii="Verdana" w:hAnsi="Verdana"/>
          <w:sz w:val="20"/>
          <w:szCs w:val="20"/>
        </w:rPr>
        <w:t>in other words, it considers them each with the special meaning indicated</w:t>
      </w:r>
      <w:r w:rsidR="009A44A0" w:rsidRPr="001558A5">
        <w:rPr>
          <w:rFonts w:ascii="Verdana" w:hAnsi="Verdana"/>
          <w:sz w:val="20"/>
          <w:szCs w:val="20"/>
        </w:rPr>
        <w:t xml:space="preserve">: </w:t>
      </w:r>
    </w:p>
    <w:p w14:paraId="582A06C7"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color w:val="000000"/>
          <w:sz w:val="20"/>
          <w:szCs w:val="20"/>
        </w:rPr>
      </w:pPr>
    </w:p>
    <w:p w14:paraId="5F52EA77" w14:textId="77777777" w:rsidR="009A44A0" w:rsidRPr="001558A5" w:rsidRDefault="009A44A0" w:rsidP="007B5AB3">
      <w:pPr>
        <w:pStyle w:val="NormalWeb"/>
        <w:numPr>
          <w:ilvl w:val="3"/>
          <w:numId w:val="9"/>
        </w:numPr>
        <w:shd w:val="clear" w:color="auto" w:fill="FFFFFF"/>
        <w:spacing w:before="0" w:beforeAutospacing="0" w:after="0" w:afterAutospacing="0" w:line="240" w:lineRule="auto"/>
        <w:ind w:left="1170" w:hanging="405"/>
        <w:jc w:val="both"/>
        <w:rPr>
          <w:rFonts w:ascii="Verdana" w:hAnsi="Verdana"/>
          <w:color w:val="000000"/>
          <w:sz w:val="18"/>
          <w:szCs w:val="18"/>
        </w:rPr>
      </w:pPr>
      <w:r w:rsidRPr="001558A5">
        <w:rPr>
          <w:rFonts w:ascii="Verdana" w:hAnsi="Verdana"/>
          <w:i/>
          <w:iCs/>
          <w:color w:val="000000"/>
          <w:sz w:val="18"/>
          <w:szCs w:val="18"/>
        </w:rPr>
        <w:t>“</w:t>
      </w:r>
      <w:r w:rsidRPr="001558A5">
        <w:rPr>
          <w:rStyle w:val="markedcontent"/>
          <w:rFonts w:ascii="Verdana" w:hAnsi="Verdana" w:cs="Arial"/>
          <w:sz w:val="18"/>
          <w:szCs w:val="18"/>
        </w:rPr>
        <w:t xml:space="preserve">Sex: Strictly speaking, the word sex refers to biological differences between men and </w:t>
      </w:r>
      <w:r w:rsidRPr="001558A5">
        <w:rPr>
          <w:rFonts w:ascii="Verdana" w:hAnsi="Verdana"/>
          <w:sz w:val="18"/>
          <w:szCs w:val="18"/>
        </w:rPr>
        <w:t xml:space="preserve"> </w:t>
      </w:r>
      <w:r w:rsidRPr="001558A5">
        <w:rPr>
          <w:rStyle w:val="markedcontent"/>
          <w:rFonts w:ascii="Verdana" w:hAnsi="Verdana" w:cs="Arial"/>
          <w:sz w:val="18"/>
          <w:szCs w:val="18"/>
        </w:rPr>
        <w:t>women, their physiological characteristics, the sum of biological characteristics that define the spectrum of humans as females and males, or a biological construct referring to the genetic, hormonal, anatomical and physiological characteristics based on which an individual is classified at birth as either male or female.39 Given that this word only establishes a subdivision between men and women, it does not recognize the existence of other categories that do not fit within the female/male binary system</w:t>
      </w:r>
      <w:r w:rsidRPr="001558A5">
        <w:rPr>
          <w:rStyle w:val="markedcontent"/>
          <w:rFonts w:ascii="Verdana" w:eastAsia="Batang" w:hAnsi="Verdana" w:cs="Arial"/>
          <w:sz w:val="18"/>
          <w:szCs w:val="18"/>
        </w:rPr>
        <w:t>;</w:t>
      </w:r>
      <w:r w:rsidRPr="001558A5">
        <w:rPr>
          <w:rFonts w:ascii="Verdana" w:hAnsi="Verdana"/>
          <w:i/>
          <w:iCs/>
          <w:sz w:val="18"/>
          <w:szCs w:val="18"/>
        </w:rPr>
        <w:t>”</w:t>
      </w:r>
      <w:r w:rsidRPr="001558A5">
        <w:rPr>
          <w:rStyle w:val="Refdenotaalpie"/>
          <w:rFonts w:ascii="Verdana" w:eastAsia="Batang" w:hAnsi="Verdana"/>
          <w:sz w:val="18"/>
          <w:szCs w:val="18"/>
        </w:rPr>
        <w:footnoteReference w:id="227"/>
      </w:r>
    </w:p>
    <w:p w14:paraId="0AF9BFD5" w14:textId="77777777" w:rsidR="009A44A0" w:rsidRPr="001558A5" w:rsidRDefault="009A44A0" w:rsidP="007B5AB3">
      <w:pPr>
        <w:pStyle w:val="NormalWeb"/>
        <w:shd w:val="clear" w:color="auto" w:fill="FFFFFF"/>
        <w:spacing w:before="0" w:beforeAutospacing="0" w:after="0" w:afterAutospacing="0" w:line="240" w:lineRule="auto"/>
        <w:ind w:left="1170"/>
        <w:jc w:val="both"/>
        <w:rPr>
          <w:rFonts w:ascii="Verdana" w:hAnsi="Verdana"/>
          <w:color w:val="000000"/>
          <w:sz w:val="18"/>
          <w:szCs w:val="18"/>
        </w:rPr>
      </w:pPr>
    </w:p>
    <w:p w14:paraId="2A4117BC" w14:textId="77777777" w:rsidR="009A44A0" w:rsidRPr="001558A5" w:rsidRDefault="009A44A0" w:rsidP="007B5AB3">
      <w:pPr>
        <w:pStyle w:val="NormalWeb"/>
        <w:numPr>
          <w:ilvl w:val="3"/>
          <w:numId w:val="9"/>
        </w:numPr>
        <w:shd w:val="clear" w:color="auto" w:fill="FFFFFF"/>
        <w:spacing w:before="0" w:beforeAutospacing="0" w:after="0" w:afterAutospacing="0" w:line="240" w:lineRule="auto"/>
        <w:ind w:left="1170" w:hanging="405"/>
        <w:jc w:val="both"/>
        <w:rPr>
          <w:rFonts w:ascii="Verdana" w:hAnsi="Verdana"/>
          <w:color w:val="000000"/>
          <w:sz w:val="18"/>
          <w:szCs w:val="18"/>
        </w:rPr>
      </w:pPr>
      <w:r w:rsidRPr="001558A5">
        <w:rPr>
          <w:rFonts w:ascii="Verdana" w:hAnsi="Verdana"/>
          <w:i/>
          <w:iCs/>
          <w:sz w:val="18"/>
          <w:szCs w:val="18"/>
        </w:rPr>
        <w:t>Gender:</w:t>
      </w:r>
      <w:r w:rsidRPr="001558A5">
        <w:rPr>
          <w:rFonts w:ascii="Verdana" w:hAnsi="Verdana"/>
          <w:b/>
          <w:sz w:val="18"/>
          <w:szCs w:val="18"/>
        </w:rPr>
        <w:t xml:space="preserve"> </w:t>
      </w:r>
      <w:r w:rsidRPr="001558A5">
        <w:rPr>
          <w:rFonts w:ascii="Verdana" w:hAnsi="Verdana"/>
          <w:bCs/>
          <w:sz w:val="18"/>
          <w:szCs w:val="18"/>
        </w:rPr>
        <w:t xml:space="preserve">“this refers to </w:t>
      </w:r>
      <w:r w:rsidRPr="001558A5">
        <w:rPr>
          <w:rStyle w:val="markedcontent"/>
          <w:rFonts w:ascii="Verdana" w:hAnsi="Verdana" w:cs="Arial"/>
          <w:sz w:val="18"/>
          <w:szCs w:val="18"/>
        </w:rPr>
        <w:t>socially constructed identities, attributes and roles for women and men and society’s social and cultural meaning for these biological differences</w:t>
      </w:r>
      <w:r w:rsidRPr="001558A5">
        <w:rPr>
          <w:rFonts w:ascii="Verdana" w:hAnsi="Verdana"/>
          <w:sz w:val="18"/>
          <w:szCs w:val="18"/>
        </w:rPr>
        <w:t>”;</w:t>
      </w:r>
      <w:r w:rsidRPr="001558A5">
        <w:rPr>
          <w:rStyle w:val="Refdenotaalpie"/>
          <w:rFonts w:ascii="Verdana" w:eastAsia="Batang" w:hAnsi="Verdana"/>
          <w:sz w:val="18"/>
          <w:szCs w:val="18"/>
        </w:rPr>
        <w:footnoteReference w:id="228"/>
      </w:r>
    </w:p>
    <w:p w14:paraId="1E385A78" w14:textId="77777777" w:rsidR="009A44A0" w:rsidRPr="001558A5" w:rsidRDefault="009A44A0" w:rsidP="007B5AB3">
      <w:pPr>
        <w:pStyle w:val="NormalWeb"/>
        <w:shd w:val="clear" w:color="auto" w:fill="FFFFFF"/>
        <w:spacing w:before="0" w:beforeAutospacing="0" w:after="0" w:afterAutospacing="0" w:line="240" w:lineRule="auto"/>
        <w:ind w:left="1170"/>
        <w:jc w:val="both"/>
        <w:rPr>
          <w:rFonts w:ascii="Verdana" w:hAnsi="Verdana"/>
          <w:color w:val="000000"/>
          <w:sz w:val="18"/>
          <w:szCs w:val="18"/>
        </w:rPr>
      </w:pPr>
    </w:p>
    <w:p w14:paraId="72F378E5" w14:textId="77777777" w:rsidR="009A44A0" w:rsidRPr="001558A5" w:rsidRDefault="009A44A0" w:rsidP="007B5AB3">
      <w:pPr>
        <w:pStyle w:val="NormalWeb"/>
        <w:numPr>
          <w:ilvl w:val="3"/>
          <w:numId w:val="9"/>
        </w:numPr>
        <w:shd w:val="clear" w:color="auto" w:fill="FFFFFF"/>
        <w:spacing w:before="0" w:beforeAutospacing="0" w:after="0" w:afterAutospacing="0" w:line="240" w:lineRule="auto"/>
        <w:ind w:left="1170" w:hanging="405"/>
        <w:jc w:val="both"/>
        <w:rPr>
          <w:rFonts w:ascii="Verdana" w:hAnsi="Verdana"/>
          <w:color w:val="000000"/>
          <w:sz w:val="18"/>
          <w:szCs w:val="18"/>
        </w:rPr>
      </w:pPr>
      <w:r w:rsidRPr="001558A5">
        <w:rPr>
          <w:rFonts w:ascii="Verdana" w:hAnsi="Verdana"/>
          <w:sz w:val="18"/>
          <w:szCs w:val="18"/>
        </w:rPr>
        <w:t>“</w:t>
      </w:r>
      <w:r w:rsidRPr="001558A5">
        <w:rPr>
          <w:rFonts w:ascii="Verdana" w:hAnsi="Verdana"/>
          <w:i/>
          <w:iCs/>
          <w:sz w:val="18"/>
          <w:szCs w:val="18"/>
        </w:rPr>
        <w:t>Gender identity:“</w:t>
      </w:r>
      <w:r w:rsidRPr="001558A5">
        <w:rPr>
          <w:rStyle w:val="markedcontent"/>
          <w:rFonts w:ascii="Verdana" w:eastAsia="Batang" w:hAnsi="Verdana" w:cs="Arial"/>
          <w:sz w:val="18"/>
          <w:szCs w:val="18"/>
        </w:rPr>
        <w:t>[g]</w:t>
      </w:r>
      <w:r w:rsidRPr="001558A5">
        <w:rPr>
          <w:rStyle w:val="markedcontent"/>
          <w:rFonts w:ascii="Verdana" w:hAnsi="Verdana" w:cs="Arial"/>
          <w:sz w:val="18"/>
          <w:szCs w:val="18"/>
        </w:rPr>
        <w:t>ender identity refers to each person’s deeply felt internal and individual experience of gender, which may or may not correspond with the sex assigned at birth, including the personal sense of the body (which may involve, if freely chosen, modification of bodily appearance or function through medical, surgical or other means) and other expressions of gender, including dress, speech and mannerisms</w:t>
      </w:r>
      <w:r w:rsidRPr="001558A5">
        <w:rPr>
          <w:rStyle w:val="markedcontent"/>
          <w:rFonts w:ascii="Verdana" w:eastAsia="Batang" w:hAnsi="Verdana" w:cs="Arial"/>
          <w:sz w:val="18"/>
          <w:szCs w:val="18"/>
        </w:rPr>
        <w:t>,</w:t>
      </w:r>
      <w:r w:rsidRPr="001558A5">
        <w:rPr>
          <w:rFonts w:ascii="Verdana" w:eastAsia="Calibri" w:hAnsi="Verdana" w:cs="Calibri"/>
          <w:i/>
          <w:iCs/>
          <w:sz w:val="18"/>
          <w:szCs w:val="18"/>
          <w:lang w:eastAsia="es-CR"/>
        </w:rPr>
        <w:t>”</w:t>
      </w:r>
      <w:r w:rsidRPr="001558A5">
        <w:rPr>
          <w:rStyle w:val="Refdenotaalpie"/>
          <w:rFonts w:ascii="Verdana" w:eastAsia="Calibri" w:hAnsi="Verdana" w:cs="Calibri"/>
          <w:sz w:val="18"/>
          <w:szCs w:val="18"/>
          <w:lang w:eastAsia="es-CR"/>
        </w:rPr>
        <w:footnoteReference w:id="229"/>
      </w:r>
      <w:r w:rsidRPr="001558A5">
        <w:rPr>
          <w:rFonts w:ascii="Verdana" w:eastAsia="Calibri" w:hAnsi="Verdana" w:cs="Calibri"/>
          <w:sz w:val="18"/>
          <w:szCs w:val="18"/>
          <w:lang w:eastAsia="es-CR"/>
        </w:rPr>
        <w:t xml:space="preserve"> and</w:t>
      </w:r>
    </w:p>
    <w:p w14:paraId="0171D817" w14:textId="77777777" w:rsidR="009A44A0" w:rsidRPr="001558A5" w:rsidRDefault="009A44A0" w:rsidP="007B5AB3">
      <w:pPr>
        <w:pStyle w:val="NormalWeb"/>
        <w:shd w:val="clear" w:color="auto" w:fill="FFFFFF"/>
        <w:spacing w:before="0" w:beforeAutospacing="0" w:after="0" w:afterAutospacing="0" w:line="240" w:lineRule="auto"/>
        <w:ind w:left="1170"/>
        <w:jc w:val="both"/>
        <w:rPr>
          <w:rFonts w:ascii="Verdana" w:hAnsi="Verdana"/>
          <w:color w:val="000000"/>
          <w:sz w:val="18"/>
          <w:szCs w:val="18"/>
        </w:rPr>
      </w:pPr>
    </w:p>
    <w:p w14:paraId="077B973E" w14:textId="77777777" w:rsidR="009A44A0" w:rsidRPr="001558A5" w:rsidRDefault="009A44A0" w:rsidP="007B5AB3">
      <w:pPr>
        <w:pStyle w:val="NormalWeb"/>
        <w:numPr>
          <w:ilvl w:val="3"/>
          <w:numId w:val="9"/>
        </w:numPr>
        <w:shd w:val="clear" w:color="auto" w:fill="FFFFFF"/>
        <w:spacing w:before="0" w:beforeAutospacing="0" w:after="0" w:afterAutospacing="0" w:line="240" w:lineRule="auto"/>
        <w:ind w:left="1170" w:hanging="405"/>
        <w:jc w:val="both"/>
        <w:rPr>
          <w:rFonts w:ascii="Verdana" w:hAnsi="Verdana"/>
          <w:color w:val="000000"/>
          <w:sz w:val="18"/>
          <w:szCs w:val="18"/>
        </w:rPr>
      </w:pPr>
      <w:r w:rsidRPr="001558A5">
        <w:rPr>
          <w:rFonts w:ascii="Verdana" w:hAnsi="Verdana"/>
          <w:sz w:val="18"/>
          <w:szCs w:val="18"/>
        </w:rPr>
        <w:t>“</w:t>
      </w:r>
      <w:r w:rsidRPr="001558A5">
        <w:rPr>
          <w:rFonts w:ascii="Verdana" w:eastAsia="Batang" w:hAnsi="Verdana" w:cs="Arial"/>
          <w:sz w:val="18"/>
          <w:szCs w:val="18"/>
        </w:rPr>
        <w:t>Tran</w:t>
      </w:r>
      <w:r w:rsidRPr="001558A5">
        <w:rPr>
          <w:rStyle w:val="markedcontent"/>
          <w:rFonts w:ascii="Verdana" w:hAnsi="Verdana" w:cs="Arial"/>
          <w:sz w:val="18"/>
          <w:szCs w:val="18"/>
        </w:rPr>
        <w:t>sgender or trans: when the gender identity of the person does not correspond with the sex assigned at birth</w:t>
      </w:r>
      <w:r w:rsidRPr="001558A5">
        <w:rPr>
          <w:rStyle w:val="markedcontent"/>
          <w:rFonts w:ascii="Verdana" w:eastAsia="Batang" w:hAnsi="Verdana" w:cs="Arial"/>
          <w:sz w:val="18"/>
          <w:szCs w:val="18"/>
        </w:rPr>
        <w:t>.</w:t>
      </w:r>
      <w:r w:rsidRPr="001558A5">
        <w:rPr>
          <w:rFonts w:ascii="Verdana" w:hAnsi="Verdana"/>
          <w:i/>
          <w:iCs/>
          <w:sz w:val="18"/>
          <w:szCs w:val="18"/>
        </w:rPr>
        <w:t>”</w:t>
      </w:r>
      <w:r w:rsidRPr="001558A5">
        <w:rPr>
          <w:rStyle w:val="Refdenotaalpie"/>
          <w:rFonts w:ascii="Verdana" w:eastAsia="Batang" w:hAnsi="Verdana"/>
          <w:sz w:val="18"/>
          <w:szCs w:val="18"/>
        </w:rPr>
        <w:footnoteReference w:id="230"/>
      </w:r>
    </w:p>
    <w:p w14:paraId="2B65D16F"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color w:val="000000"/>
          <w:sz w:val="20"/>
          <w:szCs w:val="20"/>
        </w:rPr>
      </w:pPr>
    </w:p>
    <w:p w14:paraId="5F9162E4" w14:textId="0A6B70AC" w:rsidR="007B5AB3" w:rsidRPr="001558A5" w:rsidRDefault="007B5AB3" w:rsidP="009A44A0">
      <w:pPr>
        <w:pStyle w:val="Numberedparagraphs"/>
        <w:numPr>
          <w:ilvl w:val="0"/>
          <w:numId w:val="42"/>
        </w:numPr>
        <w:ind w:left="0" w:firstLine="0"/>
        <w:rPr>
          <w:lang w:val="en-US"/>
        </w:rPr>
      </w:pPr>
      <w:r w:rsidRPr="001558A5">
        <w:rPr>
          <w:lang w:val="en-US"/>
        </w:rPr>
        <w:t>This being the case and considering the conceptual difference between, on the one hand, the work “sex” and, on the other, the terms “gender,” “gender identity” and “transgender or trans,” it is essential to conclude that th</w:t>
      </w:r>
      <w:r w:rsidR="00686C80" w:rsidRPr="001558A5">
        <w:rPr>
          <w:lang w:val="en-US"/>
        </w:rPr>
        <w:t>e persons</w:t>
      </w:r>
      <w:r w:rsidRPr="001558A5">
        <w:rPr>
          <w:lang w:val="en-US"/>
        </w:rPr>
        <w:t xml:space="preserve"> protected by the Convention </w:t>
      </w:r>
      <w:r w:rsidR="00686C80" w:rsidRPr="001558A5">
        <w:rPr>
          <w:lang w:val="en-US"/>
        </w:rPr>
        <w:t>of</w:t>
      </w:r>
      <w:r w:rsidRPr="001558A5">
        <w:rPr>
          <w:lang w:val="en-US"/>
        </w:rPr>
        <w:t xml:space="preserve"> Belem do </w:t>
      </w:r>
      <w:proofErr w:type="spellStart"/>
      <w:r w:rsidRPr="001558A5">
        <w:rPr>
          <w:lang w:val="en-US"/>
        </w:rPr>
        <w:t>Pará</w:t>
      </w:r>
      <w:proofErr w:type="spellEnd"/>
      <w:r w:rsidRPr="001558A5">
        <w:rPr>
          <w:lang w:val="en-US"/>
        </w:rPr>
        <w:t xml:space="preserve"> are “women” and that they are protected in their condition as such; that is, based on their gender or their “</w:t>
      </w:r>
      <w:r w:rsidRPr="001558A5">
        <w:rPr>
          <w:rStyle w:val="markedcontent"/>
          <w:rFonts w:cs="Arial"/>
          <w:lang w:val="en-US"/>
        </w:rPr>
        <w:t>socially constructed identities, attributes and roles [</w:t>
      </w:r>
      <w:r w:rsidRPr="001558A5">
        <w:rPr>
          <w:i/>
          <w:iCs/>
          <w:lang w:val="en-US"/>
        </w:rPr>
        <w:t>…</w:t>
      </w:r>
      <w:r w:rsidRPr="001558A5">
        <w:rPr>
          <w:rStyle w:val="markedcontent"/>
          <w:rFonts w:cs="Arial"/>
          <w:lang w:val="en-US"/>
        </w:rPr>
        <w:t>] and society’s social and cultural meaning for these biological differences</w:t>
      </w:r>
      <w:r w:rsidRPr="001558A5">
        <w:rPr>
          <w:lang w:val="en-US"/>
        </w:rPr>
        <w:t xml:space="preserve">” from men. Obviously, if the said Convention </w:t>
      </w:r>
      <w:r w:rsidR="004C7AFA" w:rsidRPr="001558A5">
        <w:rPr>
          <w:lang w:val="en-US"/>
        </w:rPr>
        <w:t>had wanted to specifically contemplate “trans women” among the persons that it protects as “women,” it would have used the expression “gender identity” or directly that of “trans women.” But it did not do this.</w:t>
      </w:r>
    </w:p>
    <w:p w14:paraId="52AA3C00" w14:textId="77777777" w:rsidR="00042EFE" w:rsidRPr="001558A5" w:rsidRDefault="00042EFE" w:rsidP="00042EFE">
      <w:pPr>
        <w:pStyle w:val="Numberedparagraphs"/>
        <w:numPr>
          <w:ilvl w:val="0"/>
          <w:numId w:val="0"/>
        </w:numPr>
        <w:rPr>
          <w:lang w:val="en-US"/>
        </w:rPr>
      </w:pPr>
    </w:p>
    <w:p w14:paraId="00F26312" w14:textId="4536FDAC" w:rsidR="009A44A0" w:rsidRPr="001558A5" w:rsidRDefault="009A44A0" w:rsidP="009A44A0">
      <w:pPr>
        <w:pStyle w:val="Numberedparagraphs"/>
        <w:numPr>
          <w:ilvl w:val="0"/>
          <w:numId w:val="42"/>
        </w:numPr>
        <w:ind w:left="0" w:firstLine="0"/>
        <w:rPr>
          <w:lang w:val="en-US"/>
        </w:rPr>
      </w:pPr>
      <w:r w:rsidRPr="001558A5">
        <w:rPr>
          <w:lang w:val="en-US"/>
        </w:rPr>
        <w:t>Moreover, attention should also be drawn to the fact that the only other article</w:t>
      </w:r>
      <w:r w:rsidR="007D1649" w:rsidRPr="001558A5">
        <w:rPr>
          <w:lang w:val="en-US"/>
        </w:rPr>
        <w:t xml:space="preserve"> (</w:t>
      </w:r>
      <w:r w:rsidRPr="001558A5">
        <w:rPr>
          <w:lang w:val="en-US"/>
        </w:rPr>
        <w:t>in addition to Article 1</w:t>
      </w:r>
      <w:r w:rsidR="007D1649" w:rsidRPr="001558A5">
        <w:rPr>
          <w:lang w:val="en-US"/>
        </w:rPr>
        <w:t>)</w:t>
      </w:r>
      <w:r w:rsidRPr="001558A5">
        <w:rPr>
          <w:lang w:val="en-US"/>
        </w:rPr>
        <w:t xml:space="preserve"> of the </w:t>
      </w:r>
      <w:r w:rsidR="00686C80" w:rsidRPr="001558A5">
        <w:rPr>
          <w:lang w:val="en-US"/>
        </w:rPr>
        <w:t>Convention of</w:t>
      </w:r>
      <w:r w:rsidRPr="001558A5">
        <w:rPr>
          <w:lang w:val="en-US"/>
        </w:rPr>
        <w:t xml:space="preserve"> Belem do </w:t>
      </w:r>
      <w:proofErr w:type="spellStart"/>
      <w:r w:rsidRPr="001558A5">
        <w:rPr>
          <w:lang w:val="en-US"/>
        </w:rPr>
        <w:t>Pará</w:t>
      </w:r>
      <w:proofErr w:type="spellEnd"/>
      <w:r w:rsidRPr="001558A5">
        <w:rPr>
          <w:lang w:val="en-US"/>
        </w:rPr>
        <w:t xml:space="preserve"> transcribed above that mentions the concept of “gender”</w:t>
      </w:r>
      <w:r w:rsidR="004C7AFA" w:rsidRPr="001558A5">
        <w:rPr>
          <w:lang w:val="en-US"/>
        </w:rPr>
        <w:t xml:space="preserve"> </w:t>
      </w:r>
      <w:r w:rsidRPr="001558A5">
        <w:rPr>
          <w:lang w:val="en-US"/>
        </w:rPr>
        <w:t>is  Article 8(b)</w:t>
      </w:r>
      <w:r w:rsidR="007D1649" w:rsidRPr="001558A5">
        <w:rPr>
          <w:lang w:val="en-US"/>
        </w:rPr>
        <w:t xml:space="preserve"> as follows [Note: translated as “sexes” in the English version]</w:t>
      </w:r>
      <w:r w:rsidRPr="001558A5">
        <w:rPr>
          <w:lang w:val="en-US"/>
        </w:rPr>
        <w:t xml:space="preserve">: </w:t>
      </w:r>
    </w:p>
    <w:p w14:paraId="69D14FB5" w14:textId="77777777" w:rsidR="004C7AFA" w:rsidRPr="001558A5" w:rsidRDefault="004C7AFA" w:rsidP="009A44A0">
      <w:pPr>
        <w:pStyle w:val="NormalWeb"/>
        <w:shd w:val="clear" w:color="auto" w:fill="FFFFFF"/>
        <w:spacing w:before="0" w:beforeAutospacing="0" w:after="0" w:afterAutospacing="0" w:line="240" w:lineRule="auto"/>
        <w:jc w:val="both"/>
        <w:rPr>
          <w:rFonts w:ascii="Verdana" w:hAnsi="Verdana" w:cs="Tahoma"/>
          <w:i/>
          <w:iCs/>
          <w:color w:val="000000"/>
          <w:sz w:val="18"/>
          <w:szCs w:val="18"/>
        </w:rPr>
      </w:pPr>
    </w:p>
    <w:p w14:paraId="4598067E" w14:textId="77777777" w:rsidR="009A44A0" w:rsidRPr="001558A5" w:rsidRDefault="009A44A0" w:rsidP="009A44A0">
      <w:pPr>
        <w:pStyle w:val="Default"/>
        <w:ind w:left="720" w:right="270"/>
        <w:jc w:val="both"/>
        <w:rPr>
          <w:rFonts w:ascii="Verdana" w:hAnsi="Verdana"/>
          <w:sz w:val="18"/>
          <w:szCs w:val="18"/>
        </w:rPr>
      </w:pPr>
      <w:r w:rsidRPr="001558A5">
        <w:rPr>
          <w:rFonts w:ascii="Verdana" w:hAnsi="Verdana" w:cs="Tahoma"/>
          <w:i/>
          <w:iCs/>
          <w:sz w:val="18"/>
          <w:szCs w:val="18"/>
        </w:rPr>
        <w:t>“</w:t>
      </w:r>
      <w:r w:rsidRPr="001558A5">
        <w:rPr>
          <w:rFonts w:ascii="Verdana" w:hAnsi="Verdana"/>
          <w:sz w:val="18"/>
          <w:szCs w:val="18"/>
        </w:rPr>
        <w:t>The States Parties agree to undertake progressively specific measures, including programs</w:t>
      </w:r>
      <w:r w:rsidRPr="001558A5">
        <w:rPr>
          <w:rFonts w:ascii="Verdana" w:hAnsi="Verdana" w:cs="Tahoma"/>
          <w:sz w:val="18"/>
          <w:szCs w:val="18"/>
        </w:rPr>
        <w:t>: …</w:t>
      </w:r>
      <w:r w:rsidRPr="001558A5">
        <w:rPr>
          <w:rFonts w:ascii="Verdana" w:hAnsi="Verdana" w:cs="Tahoma"/>
          <w:i/>
          <w:iCs/>
          <w:sz w:val="18"/>
          <w:szCs w:val="18"/>
        </w:rPr>
        <w:t xml:space="preserve"> </w:t>
      </w:r>
      <w:r w:rsidRPr="001558A5">
        <w:rPr>
          <w:rFonts w:ascii="Verdana" w:hAnsi="Verdana"/>
          <w:sz w:val="18"/>
          <w:szCs w:val="18"/>
        </w:rPr>
        <w:t>to modify social and cultural patterns of conduct of men and women, including the development of formal and informal educational programs appropriate to every level of the educational process, to counteract prejudices, customs and all other practices which are based on the idea of the inferiority or superiority of either of the sexes or on the stereotyped roles for men and women which legitimize or exacerbate violence against women.”</w:t>
      </w:r>
    </w:p>
    <w:p w14:paraId="743DD814"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i/>
          <w:iCs/>
          <w:color w:val="000000"/>
          <w:sz w:val="20"/>
          <w:szCs w:val="20"/>
        </w:rPr>
      </w:pPr>
    </w:p>
    <w:p w14:paraId="03975BF9" w14:textId="7A399B5D" w:rsidR="009A44A0" w:rsidRPr="001558A5" w:rsidRDefault="004C7AFA" w:rsidP="004C7AFA">
      <w:pPr>
        <w:pStyle w:val="Numberedparagraphs"/>
        <w:numPr>
          <w:ilvl w:val="0"/>
          <w:numId w:val="42"/>
        </w:numPr>
        <w:spacing w:after="200"/>
        <w:ind w:left="0" w:firstLine="0"/>
        <w:rPr>
          <w:i/>
          <w:iCs/>
          <w:lang w:val="en-US"/>
        </w:rPr>
      </w:pPr>
      <w:r w:rsidRPr="001558A5">
        <w:rPr>
          <w:lang w:val="en-US"/>
        </w:rPr>
        <w:t xml:space="preserve">As can be observed, this provision establishes that States must adopt programs to modify the conduct of men and women as it indicates. Therefore, </w:t>
      </w:r>
      <w:r w:rsidR="007D1649" w:rsidRPr="001558A5">
        <w:rPr>
          <w:lang w:val="en-US"/>
        </w:rPr>
        <w:t>it</w:t>
      </w:r>
      <w:r w:rsidRPr="001558A5">
        <w:rPr>
          <w:lang w:val="en-US"/>
        </w:rPr>
        <w:t xml:space="preserve"> establishes an obligation of the States to counteract discriminatory conducts against men and women, which is therefore unrelated to “trans women” being protected by</w:t>
      </w:r>
      <w:r w:rsidRPr="001558A5">
        <w:rPr>
          <w:i/>
          <w:iCs/>
          <w:lang w:val="en-US"/>
        </w:rPr>
        <w:t xml:space="preserve"> </w:t>
      </w:r>
      <w:r w:rsidR="009A44A0" w:rsidRPr="001558A5">
        <w:rPr>
          <w:lang w:val="en-US"/>
        </w:rPr>
        <w:t xml:space="preserve">the </w:t>
      </w:r>
      <w:r w:rsidR="00686C80" w:rsidRPr="001558A5">
        <w:rPr>
          <w:lang w:val="en-US"/>
        </w:rPr>
        <w:t>Convention of</w:t>
      </w:r>
      <w:r w:rsidR="009A44A0" w:rsidRPr="001558A5">
        <w:rPr>
          <w:lang w:val="en-US"/>
        </w:rPr>
        <w:t xml:space="preserve"> Belem do </w:t>
      </w:r>
      <w:proofErr w:type="spellStart"/>
      <w:r w:rsidR="009A44A0" w:rsidRPr="001558A5">
        <w:rPr>
          <w:lang w:val="en-US"/>
        </w:rPr>
        <w:t>Pará</w:t>
      </w:r>
      <w:proofErr w:type="spellEnd"/>
      <w:r w:rsidR="009A44A0" w:rsidRPr="001558A5">
        <w:rPr>
          <w:lang w:val="en-US"/>
        </w:rPr>
        <w:t>.</w:t>
      </w:r>
    </w:p>
    <w:p w14:paraId="60B017BA" w14:textId="49A488FD" w:rsidR="009A44A0" w:rsidRPr="001558A5" w:rsidRDefault="004C7AFA" w:rsidP="004C7AFA">
      <w:pPr>
        <w:pStyle w:val="Numberedparagraphs"/>
        <w:numPr>
          <w:ilvl w:val="0"/>
          <w:numId w:val="42"/>
        </w:numPr>
        <w:spacing w:after="200"/>
        <w:ind w:left="0" w:firstLine="0"/>
        <w:rPr>
          <w:i/>
          <w:iCs/>
          <w:lang w:val="en-US"/>
        </w:rPr>
      </w:pPr>
      <w:r w:rsidRPr="001558A5">
        <w:rPr>
          <w:lang w:val="en-US"/>
        </w:rPr>
        <w:t xml:space="preserve">Consequently, according to the interpretation based on the ordinary or textual method for the interpretation of treaties, the persons that </w:t>
      </w:r>
      <w:r w:rsidR="009A44A0" w:rsidRPr="001558A5">
        <w:rPr>
          <w:lang w:val="en-US"/>
        </w:rPr>
        <w:t xml:space="preserve">the </w:t>
      </w:r>
      <w:r w:rsidR="00686C80" w:rsidRPr="001558A5">
        <w:rPr>
          <w:lang w:val="en-US"/>
        </w:rPr>
        <w:t>Convention of</w:t>
      </w:r>
      <w:r w:rsidR="009A44A0" w:rsidRPr="001558A5">
        <w:rPr>
          <w:lang w:val="en-US"/>
        </w:rPr>
        <w:t xml:space="preserve"> Belem do </w:t>
      </w:r>
      <w:proofErr w:type="spellStart"/>
      <w:r w:rsidR="009A44A0" w:rsidRPr="001558A5">
        <w:rPr>
          <w:lang w:val="en-US"/>
        </w:rPr>
        <w:t>Pará</w:t>
      </w:r>
      <w:proofErr w:type="spellEnd"/>
      <w:r w:rsidR="009A44A0" w:rsidRPr="001558A5">
        <w:rPr>
          <w:lang w:val="en-US"/>
        </w:rPr>
        <w:t xml:space="preserve"> prote</w:t>
      </w:r>
      <w:r w:rsidRPr="001558A5">
        <w:rPr>
          <w:lang w:val="en-US"/>
        </w:rPr>
        <w:t xml:space="preserve">cts from violence are only “women,” a concept determined by a person’s sex, thus without reference to their </w:t>
      </w:r>
      <w:r w:rsidR="009A44A0" w:rsidRPr="001558A5">
        <w:rPr>
          <w:lang w:val="en-US"/>
        </w:rPr>
        <w:t xml:space="preserve">gender identity. </w:t>
      </w:r>
    </w:p>
    <w:p w14:paraId="5E8B2438" w14:textId="727CF508" w:rsidR="009A44A0" w:rsidRPr="001558A5" w:rsidRDefault="009A44A0" w:rsidP="009A44A0">
      <w:pPr>
        <w:pStyle w:val="Numberedparagraphs"/>
        <w:numPr>
          <w:ilvl w:val="0"/>
          <w:numId w:val="43"/>
        </w:numPr>
        <w:spacing w:after="200"/>
        <w:ind w:left="0" w:firstLine="0"/>
        <w:rPr>
          <w:i/>
          <w:iCs/>
          <w:lang w:val="en-US"/>
        </w:rPr>
      </w:pPr>
      <w:r w:rsidRPr="001558A5">
        <w:rPr>
          <w:b/>
          <w:bCs/>
          <w:i/>
          <w:iCs/>
          <w:lang w:val="en-US"/>
        </w:rPr>
        <w:t>Context</w:t>
      </w:r>
    </w:p>
    <w:p w14:paraId="1AF95688" w14:textId="581E4D4E" w:rsidR="009A44A0" w:rsidRPr="001558A5" w:rsidRDefault="008A6CE5" w:rsidP="008A6CE5">
      <w:pPr>
        <w:pStyle w:val="Numberedparagraphs"/>
        <w:numPr>
          <w:ilvl w:val="0"/>
          <w:numId w:val="42"/>
        </w:numPr>
        <w:spacing w:after="200"/>
        <w:ind w:left="0" w:firstLine="0"/>
        <w:rPr>
          <w:i/>
          <w:iCs/>
          <w:lang w:val="en-US"/>
        </w:rPr>
      </w:pPr>
      <w:r w:rsidRPr="001558A5">
        <w:rPr>
          <w:lang w:val="en-US"/>
        </w:rPr>
        <w:t xml:space="preserve">With regard to the method concerning the context or the subjective method of interpreting treaties, its use is intended to fathom the intention of the States parties to the respective treaty by the due concordance or complementarity of its different provisions and, to this end, also analyzing its </w:t>
      </w:r>
      <w:proofErr w:type="spellStart"/>
      <w:r w:rsidRPr="001558A5">
        <w:rPr>
          <w:i/>
          <w:iCs/>
          <w:lang w:val="en-US"/>
        </w:rPr>
        <w:t>travaux</w:t>
      </w:r>
      <w:proofErr w:type="spellEnd"/>
      <w:r w:rsidRPr="001558A5">
        <w:rPr>
          <w:i/>
          <w:iCs/>
          <w:lang w:val="en-US"/>
        </w:rPr>
        <w:t xml:space="preserve"> </w:t>
      </w:r>
      <w:proofErr w:type="spellStart"/>
      <w:r w:rsidRPr="001558A5">
        <w:rPr>
          <w:i/>
          <w:iCs/>
          <w:lang w:val="en-US"/>
        </w:rPr>
        <w:t>préparatoires</w:t>
      </w:r>
      <w:proofErr w:type="spellEnd"/>
      <w:r w:rsidRPr="001558A5">
        <w:rPr>
          <w:lang w:val="en-US"/>
        </w:rPr>
        <w:t xml:space="preserve"> and the subsequent actions that the States parties have taken with regard to the treaty. This method is established in </w:t>
      </w:r>
      <w:r w:rsidR="009A44A0" w:rsidRPr="001558A5">
        <w:rPr>
          <w:lang w:val="en-US"/>
        </w:rPr>
        <w:t>Article</w:t>
      </w:r>
      <w:r w:rsidR="009A44A0" w:rsidRPr="001558A5">
        <w:rPr>
          <w:rFonts w:eastAsiaTheme="minorHAnsi"/>
          <w:lang w:val="en-US"/>
        </w:rPr>
        <w:t xml:space="preserve"> 31(</w:t>
      </w:r>
      <w:r w:rsidRPr="001558A5">
        <w:rPr>
          <w:rFonts w:eastAsiaTheme="minorHAnsi"/>
          <w:lang w:val="en-US"/>
        </w:rPr>
        <w:t>2</w:t>
      </w:r>
      <w:r w:rsidR="009A44A0" w:rsidRPr="001558A5">
        <w:rPr>
          <w:rFonts w:eastAsiaTheme="minorHAnsi"/>
          <w:lang w:val="en-US"/>
        </w:rPr>
        <w:t>) of the Vienna Convention</w:t>
      </w:r>
      <w:r w:rsidR="009A44A0" w:rsidRPr="001558A5">
        <w:rPr>
          <w:lang w:val="en-US"/>
        </w:rPr>
        <w:t xml:space="preserve"> </w:t>
      </w:r>
      <w:r w:rsidRPr="001558A5">
        <w:rPr>
          <w:lang w:val="en-US"/>
        </w:rPr>
        <w:t>as follows</w:t>
      </w:r>
      <w:r w:rsidR="009A44A0" w:rsidRPr="001558A5">
        <w:rPr>
          <w:lang w:val="en-US"/>
        </w:rPr>
        <w:t>:</w:t>
      </w:r>
    </w:p>
    <w:p w14:paraId="4372CA1C" w14:textId="77777777" w:rsidR="008A6CE5" w:rsidRPr="001558A5" w:rsidRDefault="009A44A0" w:rsidP="009A44A0">
      <w:pPr>
        <w:pStyle w:val="NormalWeb"/>
        <w:shd w:val="clear" w:color="auto" w:fill="FFFFFF"/>
        <w:spacing w:before="0" w:beforeAutospacing="0" w:after="0" w:afterAutospacing="0" w:line="240" w:lineRule="auto"/>
        <w:ind w:left="720" w:right="450"/>
        <w:jc w:val="both"/>
        <w:rPr>
          <w:rFonts w:ascii="Verdana" w:hAnsi="Verdana"/>
          <w:sz w:val="18"/>
          <w:szCs w:val="18"/>
        </w:rPr>
      </w:pPr>
      <w:r w:rsidRPr="001558A5">
        <w:rPr>
          <w:rFonts w:ascii="Verdana" w:hAnsi="Verdana"/>
          <w:i/>
          <w:iCs/>
          <w:color w:val="000000"/>
          <w:sz w:val="18"/>
          <w:szCs w:val="18"/>
        </w:rPr>
        <w:t>“</w:t>
      </w:r>
      <w:r w:rsidR="008A6CE5" w:rsidRPr="001558A5">
        <w:rPr>
          <w:rFonts w:ascii="Verdana" w:hAnsi="Verdana"/>
          <w:sz w:val="18"/>
          <w:szCs w:val="18"/>
        </w:rPr>
        <w:t>The context for the purpose of the interpretation of a treaty shall comprise, in addition to the text, including its preamble and annexes:</w:t>
      </w:r>
    </w:p>
    <w:p w14:paraId="335148EF" w14:textId="77777777" w:rsidR="008A6CE5" w:rsidRPr="001558A5" w:rsidRDefault="008A6CE5" w:rsidP="009A44A0">
      <w:pPr>
        <w:pStyle w:val="NormalWeb"/>
        <w:shd w:val="clear" w:color="auto" w:fill="FFFFFF"/>
        <w:spacing w:before="0" w:beforeAutospacing="0" w:after="0" w:afterAutospacing="0" w:line="240" w:lineRule="auto"/>
        <w:ind w:left="720" w:right="450"/>
        <w:jc w:val="both"/>
        <w:rPr>
          <w:rFonts w:ascii="Verdana" w:hAnsi="Verdana"/>
          <w:sz w:val="18"/>
          <w:szCs w:val="18"/>
        </w:rPr>
      </w:pPr>
      <w:r w:rsidRPr="001558A5">
        <w:rPr>
          <w:rFonts w:ascii="Verdana" w:hAnsi="Verdana"/>
          <w:color w:val="000000"/>
          <w:sz w:val="18"/>
          <w:szCs w:val="18"/>
        </w:rPr>
        <w:t>(a)</w:t>
      </w:r>
      <w:r w:rsidRPr="001558A5">
        <w:rPr>
          <w:rFonts w:ascii="Verdana" w:hAnsi="Verdana"/>
          <w:i/>
          <w:iCs/>
          <w:color w:val="000000"/>
          <w:sz w:val="18"/>
          <w:szCs w:val="18"/>
        </w:rPr>
        <w:t xml:space="preserve"> </w:t>
      </w:r>
      <w:proofErr w:type="gramStart"/>
      <w:r w:rsidRPr="001558A5">
        <w:rPr>
          <w:rFonts w:ascii="Verdana" w:hAnsi="Verdana"/>
          <w:sz w:val="18"/>
          <w:szCs w:val="18"/>
        </w:rPr>
        <w:t>any</w:t>
      </w:r>
      <w:proofErr w:type="gramEnd"/>
      <w:r w:rsidRPr="001558A5">
        <w:rPr>
          <w:rFonts w:ascii="Verdana" w:hAnsi="Verdana"/>
          <w:sz w:val="18"/>
          <w:szCs w:val="18"/>
        </w:rPr>
        <w:t xml:space="preserve"> agreement relating to the treaty which was made between all the parties in connection with the conclusion of the treaty; </w:t>
      </w:r>
    </w:p>
    <w:p w14:paraId="5547BA47" w14:textId="48F12B6C" w:rsidR="009A44A0" w:rsidRPr="001558A5" w:rsidRDefault="008A6CE5" w:rsidP="008A6CE5">
      <w:pPr>
        <w:pStyle w:val="NormalWeb"/>
        <w:shd w:val="clear" w:color="auto" w:fill="FFFFFF"/>
        <w:spacing w:before="0" w:beforeAutospacing="0" w:after="0" w:afterAutospacing="0" w:line="240" w:lineRule="auto"/>
        <w:ind w:left="720" w:right="450"/>
        <w:jc w:val="both"/>
        <w:rPr>
          <w:rFonts w:ascii="Verdana" w:hAnsi="Verdana"/>
          <w:i/>
          <w:iCs/>
          <w:color w:val="000000"/>
          <w:sz w:val="20"/>
          <w:szCs w:val="20"/>
        </w:rPr>
      </w:pPr>
      <w:r w:rsidRPr="001558A5">
        <w:rPr>
          <w:rFonts w:ascii="Verdana" w:hAnsi="Verdana"/>
          <w:sz w:val="18"/>
          <w:szCs w:val="18"/>
        </w:rPr>
        <w:t xml:space="preserve">(b) </w:t>
      </w:r>
      <w:proofErr w:type="gramStart"/>
      <w:r w:rsidRPr="001558A5">
        <w:rPr>
          <w:rFonts w:ascii="Verdana" w:hAnsi="Verdana"/>
          <w:sz w:val="18"/>
          <w:szCs w:val="18"/>
        </w:rPr>
        <w:t>any</w:t>
      </w:r>
      <w:proofErr w:type="gramEnd"/>
      <w:r w:rsidRPr="001558A5">
        <w:rPr>
          <w:rFonts w:ascii="Verdana" w:hAnsi="Verdana"/>
          <w:sz w:val="18"/>
          <w:szCs w:val="18"/>
        </w:rPr>
        <w:t xml:space="preserve"> instrument which was made by one or more parties in connection with the conclusion of the treaty and accepted by the other parties as an instrument related to the treaty.</w:t>
      </w:r>
    </w:p>
    <w:p w14:paraId="3BC21B79" w14:textId="77777777" w:rsidR="009A44A0" w:rsidRPr="001558A5" w:rsidRDefault="009A44A0" w:rsidP="009A44A0">
      <w:pPr>
        <w:pStyle w:val="Prrafodelista"/>
        <w:ind w:left="0"/>
        <w:rPr>
          <w:szCs w:val="20"/>
          <w:lang w:val="en-US"/>
        </w:rPr>
      </w:pPr>
    </w:p>
    <w:p w14:paraId="483EA981" w14:textId="45FB4F41" w:rsidR="00266E68" w:rsidRPr="001558A5" w:rsidRDefault="008A6CE5" w:rsidP="009A44A0">
      <w:pPr>
        <w:pStyle w:val="Numberedparagraphs"/>
        <w:numPr>
          <w:ilvl w:val="0"/>
          <w:numId w:val="42"/>
        </w:numPr>
        <w:ind w:left="0" w:firstLine="0"/>
        <w:rPr>
          <w:i/>
          <w:iCs/>
          <w:lang w:val="en-US"/>
        </w:rPr>
      </w:pPr>
      <w:r w:rsidRPr="001558A5">
        <w:rPr>
          <w:lang w:val="en-US"/>
        </w:rPr>
        <w:t>Bearing in mind this provision, it can be seen that, of the 25 articles</w:t>
      </w:r>
      <w:r w:rsidR="009A44A0" w:rsidRPr="001558A5">
        <w:rPr>
          <w:lang w:val="en-US"/>
        </w:rPr>
        <w:t xml:space="preserve"> of the </w:t>
      </w:r>
      <w:r w:rsidR="00686C80" w:rsidRPr="001558A5">
        <w:rPr>
          <w:lang w:val="en-US"/>
        </w:rPr>
        <w:t>Convention of</w:t>
      </w:r>
      <w:r w:rsidR="009A44A0" w:rsidRPr="001558A5">
        <w:rPr>
          <w:lang w:val="en-US"/>
        </w:rPr>
        <w:t xml:space="preserve"> Belem do </w:t>
      </w:r>
      <w:proofErr w:type="spellStart"/>
      <w:r w:rsidR="009A44A0" w:rsidRPr="001558A5">
        <w:rPr>
          <w:lang w:val="en-US"/>
        </w:rPr>
        <w:t>Pará</w:t>
      </w:r>
      <w:proofErr w:type="spellEnd"/>
      <w:r w:rsidR="009A44A0" w:rsidRPr="001558A5">
        <w:rPr>
          <w:lang w:val="en-US"/>
        </w:rPr>
        <w:t xml:space="preserve">, </w:t>
      </w:r>
      <w:r w:rsidRPr="001558A5">
        <w:rPr>
          <w:lang w:val="en-US"/>
        </w:rPr>
        <w:t>only two refer to gender - as already stated, one is Article 1 and the other is Article 8(b</w:t>
      </w:r>
      <w:proofErr w:type="gramStart"/>
      <w:r w:rsidRPr="001558A5">
        <w:rPr>
          <w:lang w:val="en-US"/>
        </w:rPr>
        <w:t>)  [</w:t>
      </w:r>
      <w:proofErr w:type="gramEnd"/>
      <w:r w:rsidRPr="001558A5">
        <w:rPr>
          <w:lang w:val="en-US"/>
        </w:rPr>
        <w:t xml:space="preserve">Note: only one in the English version – see previous note regarding Article 8(b)] </w:t>
      </w:r>
      <w:r w:rsidR="00266E68" w:rsidRPr="001558A5">
        <w:rPr>
          <w:lang w:val="en-US"/>
        </w:rPr>
        <w:t xml:space="preserve">and this allows it to be interpreted that this relates exclusively to the unlawful act of violence committed against “women,” without </w:t>
      </w:r>
      <w:r w:rsidR="00F053EE" w:rsidRPr="001558A5">
        <w:rPr>
          <w:lang w:val="en-US"/>
        </w:rPr>
        <w:t>any</w:t>
      </w:r>
      <w:r w:rsidR="00266E68" w:rsidRPr="001558A5">
        <w:rPr>
          <w:lang w:val="en-US"/>
        </w:rPr>
        <w:t xml:space="preserve"> reference to gender identity.</w:t>
      </w:r>
    </w:p>
    <w:p w14:paraId="6A10C7CB" w14:textId="77777777" w:rsidR="009A44A0" w:rsidRPr="001558A5" w:rsidRDefault="009A44A0" w:rsidP="009A44A0">
      <w:pPr>
        <w:pStyle w:val="Numberedparagraphs"/>
        <w:numPr>
          <w:ilvl w:val="0"/>
          <w:numId w:val="0"/>
        </w:numPr>
        <w:rPr>
          <w:i/>
          <w:iCs/>
          <w:lang w:val="en-US"/>
        </w:rPr>
      </w:pPr>
    </w:p>
    <w:p w14:paraId="7C466207" w14:textId="6C6DD976" w:rsidR="00266E68" w:rsidRPr="001558A5" w:rsidRDefault="00266E68" w:rsidP="009A44A0">
      <w:pPr>
        <w:pStyle w:val="Numberedparagraphs"/>
        <w:numPr>
          <w:ilvl w:val="0"/>
          <w:numId w:val="42"/>
        </w:numPr>
        <w:ind w:left="0" w:firstLine="0"/>
        <w:rPr>
          <w:lang w:val="en-US"/>
        </w:rPr>
      </w:pPr>
      <w:r w:rsidRPr="001558A5">
        <w:rPr>
          <w:lang w:val="en-US"/>
        </w:rPr>
        <w:t xml:space="preserve">In addition, of these 25 articles, 12 relate to procedural matters inherent in treaties, one concerns the interpretation of the </w:t>
      </w:r>
      <w:r w:rsidR="00686C80" w:rsidRPr="001558A5">
        <w:rPr>
          <w:lang w:val="en-US"/>
        </w:rPr>
        <w:t>Convention of</w:t>
      </w:r>
      <w:r w:rsidRPr="001558A5">
        <w:rPr>
          <w:lang w:val="en-US"/>
        </w:rPr>
        <w:t xml:space="preserve"> Belem do </w:t>
      </w:r>
      <w:proofErr w:type="spellStart"/>
      <w:r w:rsidRPr="001558A5">
        <w:rPr>
          <w:lang w:val="en-US"/>
        </w:rPr>
        <w:t>Pará</w:t>
      </w:r>
      <w:proofErr w:type="spellEnd"/>
      <w:r w:rsidRPr="001558A5">
        <w:rPr>
          <w:lang w:val="en-US"/>
        </w:rPr>
        <w:t>, and none of the</w:t>
      </w:r>
      <w:r w:rsidR="007D1649" w:rsidRPr="001558A5">
        <w:rPr>
          <w:lang w:val="en-US"/>
        </w:rPr>
        <w:t>se</w:t>
      </w:r>
      <w:r w:rsidRPr="001558A5">
        <w:rPr>
          <w:lang w:val="en-US"/>
        </w:rPr>
        <w:t xml:space="preserve"> mention “women” and, above all, gender identity. The remaining 12 articles do allude to “women” and, as indicated only one of them contains the word “gender.”</w:t>
      </w:r>
    </w:p>
    <w:p w14:paraId="0A922C43" w14:textId="77777777" w:rsidR="009A44A0" w:rsidRPr="001558A5" w:rsidRDefault="009A44A0" w:rsidP="009A44A0">
      <w:pPr>
        <w:pStyle w:val="Prrafodelista"/>
        <w:ind w:left="0"/>
        <w:rPr>
          <w:color w:val="000000"/>
          <w:szCs w:val="20"/>
          <w:lang w:val="en-US"/>
        </w:rPr>
      </w:pPr>
    </w:p>
    <w:p w14:paraId="24B8B133" w14:textId="3FA32BD0" w:rsidR="009A44A0" w:rsidRPr="001558A5" w:rsidRDefault="00266E68" w:rsidP="009A44A0">
      <w:pPr>
        <w:pStyle w:val="Numberedparagraphs"/>
        <w:numPr>
          <w:ilvl w:val="0"/>
          <w:numId w:val="42"/>
        </w:numPr>
        <w:ind w:left="0" w:firstLine="0"/>
        <w:rPr>
          <w:lang w:val="en-US"/>
        </w:rPr>
      </w:pPr>
      <w:r w:rsidRPr="001558A5">
        <w:rPr>
          <w:lang w:val="en-US"/>
        </w:rPr>
        <w:t xml:space="preserve">Furthermore, as regards the Preamble </w:t>
      </w:r>
      <w:r w:rsidR="007D1649" w:rsidRPr="001558A5">
        <w:rPr>
          <w:lang w:val="en-US"/>
        </w:rPr>
        <w:t>to</w:t>
      </w:r>
      <w:r w:rsidRPr="001558A5">
        <w:rPr>
          <w:lang w:val="en-US"/>
        </w:rPr>
        <w:t xml:space="preserve"> this </w:t>
      </w:r>
      <w:r w:rsidR="009A44A0" w:rsidRPr="001558A5">
        <w:rPr>
          <w:lang w:val="en-US"/>
        </w:rPr>
        <w:t xml:space="preserve">Convention, </w:t>
      </w:r>
      <w:r w:rsidRPr="001558A5">
        <w:rPr>
          <w:lang w:val="en-US"/>
        </w:rPr>
        <w:t xml:space="preserve">it is worth underscoring that, in its six paragraphs, five include the </w:t>
      </w:r>
      <w:r w:rsidR="007D1649" w:rsidRPr="001558A5">
        <w:rPr>
          <w:lang w:val="en-US"/>
        </w:rPr>
        <w:t>w</w:t>
      </w:r>
      <w:r w:rsidRPr="001558A5">
        <w:rPr>
          <w:lang w:val="en-US"/>
        </w:rPr>
        <w:t>ord “women,” one mentions the American Declaration of the Rights and Duties of Man and the Universal Declaration of Human Rights, and none of them mention gender or “trans women.”</w:t>
      </w:r>
    </w:p>
    <w:p w14:paraId="5C72C778"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color w:val="000000"/>
          <w:sz w:val="20"/>
          <w:szCs w:val="20"/>
        </w:rPr>
      </w:pPr>
    </w:p>
    <w:p w14:paraId="3A5B2D8C" w14:textId="07259D1D" w:rsidR="009A44A0" w:rsidRPr="001558A5" w:rsidRDefault="00831C43" w:rsidP="00831C43">
      <w:pPr>
        <w:pStyle w:val="Numberedparagraphs"/>
        <w:numPr>
          <w:ilvl w:val="0"/>
          <w:numId w:val="42"/>
        </w:numPr>
        <w:ind w:left="0" w:firstLine="0"/>
        <w:rPr>
          <w:lang w:val="en-US"/>
        </w:rPr>
      </w:pPr>
      <w:r w:rsidRPr="001558A5">
        <w:rPr>
          <w:lang w:val="en-US"/>
        </w:rPr>
        <w:t xml:space="preserve">It is also necessary to </w:t>
      </w:r>
      <w:r w:rsidR="007D1649" w:rsidRPr="001558A5">
        <w:rPr>
          <w:lang w:val="en-US"/>
        </w:rPr>
        <w:t xml:space="preserve">place on </w:t>
      </w:r>
      <w:r w:rsidRPr="001558A5">
        <w:rPr>
          <w:lang w:val="en-US"/>
        </w:rPr>
        <w:t xml:space="preserve">record that, at the time, no agreement was signed or any instrument </w:t>
      </w:r>
      <w:r w:rsidR="007D1649" w:rsidRPr="001558A5">
        <w:rPr>
          <w:lang w:val="en-US"/>
        </w:rPr>
        <w:t>issued</w:t>
      </w:r>
      <w:r w:rsidRPr="001558A5">
        <w:rPr>
          <w:lang w:val="en-US"/>
        </w:rPr>
        <w:t xml:space="preserve"> </w:t>
      </w:r>
      <w:r w:rsidR="007D1649" w:rsidRPr="001558A5">
        <w:rPr>
          <w:lang w:val="en-US"/>
        </w:rPr>
        <w:t>as regards</w:t>
      </w:r>
      <w:r w:rsidRPr="001558A5">
        <w:rPr>
          <w:lang w:val="en-US"/>
        </w:rPr>
        <w:t xml:space="preserve"> those established in the above transcribed </w:t>
      </w:r>
      <w:r w:rsidR="009A44A0" w:rsidRPr="001558A5">
        <w:rPr>
          <w:lang w:val="en-US"/>
        </w:rPr>
        <w:t>Article 31</w:t>
      </w:r>
      <w:r w:rsidRPr="001558A5">
        <w:rPr>
          <w:lang w:val="en-US"/>
        </w:rPr>
        <w:t>(</w:t>
      </w:r>
      <w:r w:rsidR="009A44A0" w:rsidRPr="001558A5">
        <w:rPr>
          <w:lang w:val="en-US"/>
        </w:rPr>
        <w:t>2</w:t>
      </w:r>
      <w:r w:rsidRPr="001558A5">
        <w:rPr>
          <w:lang w:val="en-US"/>
        </w:rPr>
        <w:t>)</w:t>
      </w:r>
      <w:r w:rsidR="009A44A0" w:rsidRPr="001558A5">
        <w:rPr>
          <w:lang w:val="en-US"/>
        </w:rPr>
        <w:t xml:space="preserve"> of the Vienna Convention.</w:t>
      </w:r>
    </w:p>
    <w:p w14:paraId="56EF1D5D" w14:textId="77777777" w:rsidR="009A44A0" w:rsidRPr="001558A5" w:rsidRDefault="009A44A0" w:rsidP="009A44A0">
      <w:pPr>
        <w:pStyle w:val="Prrafodelista"/>
        <w:ind w:left="0"/>
        <w:rPr>
          <w:color w:val="000000"/>
          <w:szCs w:val="20"/>
          <w:lang w:val="en-US"/>
        </w:rPr>
      </w:pPr>
    </w:p>
    <w:p w14:paraId="5BF36940" w14:textId="6D0A3E79" w:rsidR="009A44A0" w:rsidRPr="001558A5" w:rsidRDefault="00F053EE" w:rsidP="00E25721">
      <w:pPr>
        <w:pStyle w:val="Numberedparagraphs"/>
        <w:numPr>
          <w:ilvl w:val="0"/>
          <w:numId w:val="42"/>
        </w:numPr>
        <w:ind w:left="0" w:firstLine="0"/>
        <w:rPr>
          <w:lang w:val="en-US"/>
        </w:rPr>
      </w:pPr>
      <w:r w:rsidRPr="001558A5">
        <w:rPr>
          <w:lang w:val="en-US"/>
        </w:rPr>
        <w:t>Added to the foregoing are t</w:t>
      </w:r>
      <w:r w:rsidR="00831C43" w:rsidRPr="001558A5">
        <w:rPr>
          <w:lang w:val="en-US"/>
        </w:rPr>
        <w:t xml:space="preserve">he provisions of </w:t>
      </w:r>
      <w:r w:rsidR="009A44A0" w:rsidRPr="001558A5">
        <w:rPr>
          <w:lang w:val="en-US"/>
        </w:rPr>
        <w:t>Article 31</w:t>
      </w:r>
      <w:r w:rsidR="00831C43" w:rsidRPr="001558A5">
        <w:rPr>
          <w:lang w:val="en-US"/>
        </w:rPr>
        <w:t>(</w:t>
      </w:r>
      <w:r w:rsidR="009A44A0" w:rsidRPr="001558A5">
        <w:rPr>
          <w:lang w:val="en-US"/>
        </w:rPr>
        <w:t>3</w:t>
      </w:r>
      <w:r w:rsidR="00831C43" w:rsidRPr="001558A5">
        <w:rPr>
          <w:lang w:val="en-US"/>
        </w:rPr>
        <w:t>) of this Convention which indicate that</w:t>
      </w:r>
      <w:r w:rsidR="009A44A0" w:rsidRPr="001558A5">
        <w:rPr>
          <w:lang w:val="en-US"/>
        </w:rPr>
        <w:t>:</w:t>
      </w:r>
    </w:p>
    <w:p w14:paraId="72A5F930" w14:textId="77777777" w:rsidR="00E25721" w:rsidRPr="001558A5" w:rsidRDefault="00E25721" w:rsidP="00E25721">
      <w:pPr>
        <w:pStyle w:val="Prrafodelista"/>
        <w:rPr>
          <w:lang w:val="en-US"/>
        </w:rPr>
      </w:pPr>
    </w:p>
    <w:p w14:paraId="74CDE6F9" w14:textId="77777777" w:rsidR="00831C43" w:rsidRPr="001558A5" w:rsidRDefault="009A44A0" w:rsidP="00831C43">
      <w:pPr>
        <w:pStyle w:val="NormalWeb"/>
        <w:shd w:val="clear" w:color="auto" w:fill="FFFFFF"/>
        <w:spacing w:before="0" w:beforeAutospacing="0" w:after="0" w:afterAutospacing="0" w:line="240" w:lineRule="auto"/>
        <w:ind w:left="720" w:right="270"/>
        <w:jc w:val="both"/>
        <w:rPr>
          <w:rFonts w:ascii="Verdana" w:hAnsi="Verdana"/>
          <w:sz w:val="18"/>
          <w:szCs w:val="18"/>
        </w:rPr>
      </w:pPr>
      <w:r w:rsidRPr="001558A5">
        <w:rPr>
          <w:rFonts w:ascii="Verdana" w:hAnsi="Verdana"/>
          <w:i/>
          <w:iCs/>
          <w:color w:val="000000"/>
          <w:sz w:val="18"/>
          <w:szCs w:val="18"/>
        </w:rPr>
        <w:t>“</w:t>
      </w:r>
      <w:r w:rsidR="00831C43" w:rsidRPr="001558A5">
        <w:rPr>
          <w:rFonts w:ascii="Verdana" w:hAnsi="Verdana"/>
          <w:sz w:val="18"/>
          <w:szCs w:val="18"/>
        </w:rPr>
        <w:t xml:space="preserve">There shall be taken into account, together with the context: </w:t>
      </w:r>
    </w:p>
    <w:p w14:paraId="445DA6D1" w14:textId="77777777" w:rsidR="00831C43" w:rsidRPr="001558A5" w:rsidRDefault="00831C43" w:rsidP="00831C43">
      <w:pPr>
        <w:pStyle w:val="NormalWeb"/>
        <w:shd w:val="clear" w:color="auto" w:fill="FFFFFF"/>
        <w:spacing w:before="0" w:beforeAutospacing="0" w:after="0" w:afterAutospacing="0" w:line="240" w:lineRule="auto"/>
        <w:ind w:left="720" w:right="270"/>
        <w:jc w:val="both"/>
        <w:rPr>
          <w:rFonts w:ascii="Verdana" w:hAnsi="Verdana"/>
          <w:sz w:val="18"/>
          <w:szCs w:val="18"/>
        </w:rPr>
      </w:pPr>
      <w:r w:rsidRPr="001558A5">
        <w:rPr>
          <w:rFonts w:ascii="Verdana" w:hAnsi="Verdana"/>
          <w:sz w:val="18"/>
          <w:szCs w:val="18"/>
        </w:rPr>
        <w:t xml:space="preserve">(a) </w:t>
      </w:r>
      <w:proofErr w:type="gramStart"/>
      <w:r w:rsidRPr="001558A5">
        <w:rPr>
          <w:rFonts w:ascii="Verdana" w:hAnsi="Verdana"/>
          <w:sz w:val="18"/>
          <w:szCs w:val="18"/>
        </w:rPr>
        <w:t>any</w:t>
      </w:r>
      <w:proofErr w:type="gramEnd"/>
      <w:r w:rsidRPr="001558A5">
        <w:rPr>
          <w:rFonts w:ascii="Verdana" w:hAnsi="Verdana"/>
          <w:sz w:val="18"/>
          <w:szCs w:val="18"/>
        </w:rPr>
        <w:t xml:space="preserve"> subsequent agreement between the parties regarding the interpretation of the treaty or the application of its provisions; </w:t>
      </w:r>
    </w:p>
    <w:p w14:paraId="3495FB67" w14:textId="77777777" w:rsidR="00831C43" w:rsidRPr="001558A5" w:rsidRDefault="00831C43" w:rsidP="00831C43">
      <w:pPr>
        <w:pStyle w:val="NormalWeb"/>
        <w:shd w:val="clear" w:color="auto" w:fill="FFFFFF"/>
        <w:spacing w:before="0" w:beforeAutospacing="0" w:after="0" w:afterAutospacing="0" w:line="240" w:lineRule="auto"/>
        <w:ind w:left="720" w:right="270"/>
        <w:jc w:val="both"/>
        <w:rPr>
          <w:rFonts w:ascii="Verdana" w:hAnsi="Verdana"/>
          <w:sz w:val="18"/>
          <w:szCs w:val="18"/>
        </w:rPr>
      </w:pPr>
      <w:r w:rsidRPr="001558A5">
        <w:rPr>
          <w:rFonts w:ascii="Verdana" w:hAnsi="Verdana"/>
          <w:sz w:val="18"/>
          <w:szCs w:val="18"/>
        </w:rPr>
        <w:t xml:space="preserve">(b) </w:t>
      </w:r>
      <w:proofErr w:type="gramStart"/>
      <w:r w:rsidRPr="001558A5">
        <w:rPr>
          <w:rFonts w:ascii="Verdana" w:hAnsi="Verdana"/>
          <w:sz w:val="18"/>
          <w:szCs w:val="18"/>
        </w:rPr>
        <w:t>any</w:t>
      </w:r>
      <w:proofErr w:type="gramEnd"/>
      <w:r w:rsidRPr="001558A5">
        <w:rPr>
          <w:rFonts w:ascii="Verdana" w:hAnsi="Verdana"/>
          <w:sz w:val="18"/>
          <w:szCs w:val="18"/>
        </w:rPr>
        <w:t xml:space="preserve"> subsequent practice in the application of the treaty which establishes the agreement of the parties regarding its interpretation; </w:t>
      </w:r>
    </w:p>
    <w:p w14:paraId="2419ABE5" w14:textId="1C4A2075" w:rsidR="00831C43" w:rsidRPr="001558A5" w:rsidRDefault="00831C43" w:rsidP="00831C43">
      <w:pPr>
        <w:pStyle w:val="NormalWeb"/>
        <w:shd w:val="clear" w:color="auto" w:fill="FFFFFF"/>
        <w:spacing w:before="0" w:beforeAutospacing="0" w:after="0" w:afterAutospacing="0" w:line="240" w:lineRule="auto"/>
        <w:ind w:left="720" w:right="270"/>
        <w:jc w:val="both"/>
        <w:rPr>
          <w:rFonts w:ascii="Verdana" w:hAnsi="Verdana"/>
          <w:i/>
          <w:iCs/>
          <w:sz w:val="20"/>
          <w:szCs w:val="20"/>
        </w:rPr>
      </w:pPr>
      <w:r w:rsidRPr="001558A5">
        <w:rPr>
          <w:rFonts w:ascii="Verdana" w:hAnsi="Verdana"/>
          <w:sz w:val="18"/>
          <w:szCs w:val="18"/>
        </w:rPr>
        <w:t xml:space="preserve">(c) </w:t>
      </w:r>
      <w:proofErr w:type="gramStart"/>
      <w:r w:rsidRPr="001558A5">
        <w:rPr>
          <w:rFonts w:ascii="Verdana" w:hAnsi="Verdana"/>
          <w:sz w:val="18"/>
          <w:szCs w:val="18"/>
        </w:rPr>
        <w:t>any</w:t>
      </w:r>
      <w:proofErr w:type="gramEnd"/>
      <w:r w:rsidRPr="001558A5">
        <w:rPr>
          <w:rFonts w:ascii="Verdana" w:hAnsi="Verdana"/>
          <w:sz w:val="18"/>
          <w:szCs w:val="18"/>
        </w:rPr>
        <w:t xml:space="preserve"> relevant rules of international law applicable in the relations between the parties.”</w:t>
      </w:r>
    </w:p>
    <w:p w14:paraId="63CFE8DA" w14:textId="77777777" w:rsidR="009A44A0" w:rsidRPr="001558A5" w:rsidRDefault="009A44A0" w:rsidP="00831C43">
      <w:pPr>
        <w:ind w:right="450"/>
        <w:rPr>
          <w:color w:val="000000"/>
          <w:szCs w:val="20"/>
          <w:lang w:val="en-US"/>
        </w:rPr>
      </w:pPr>
    </w:p>
    <w:p w14:paraId="3A24DA13" w14:textId="1B305D09" w:rsidR="009A44A0" w:rsidRPr="001558A5" w:rsidRDefault="00E25721" w:rsidP="00E25721">
      <w:pPr>
        <w:pStyle w:val="Numberedparagraphs"/>
        <w:numPr>
          <w:ilvl w:val="0"/>
          <w:numId w:val="42"/>
        </w:numPr>
        <w:ind w:left="0" w:firstLine="0"/>
        <w:rPr>
          <w:lang w:val="en-US"/>
        </w:rPr>
      </w:pPr>
      <w:r w:rsidRPr="001558A5">
        <w:rPr>
          <w:lang w:val="en-US"/>
        </w:rPr>
        <w:t xml:space="preserve">And, in this regard, it </w:t>
      </w:r>
      <w:r w:rsidR="00F053EE" w:rsidRPr="001558A5">
        <w:rPr>
          <w:lang w:val="en-US"/>
        </w:rPr>
        <w:t>should</w:t>
      </w:r>
      <w:r w:rsidRPr="001558A5">
        <w:rPr>
          <w:lang w:val="en-US"/>
        </w:rPr>
        <w:t xml:space="preserve"> be indicated that there is no agreement or practice of the States Parties to </w:t>
      </w:r>
      <w:r w:rsidR="009A44A0" w:rsidRPr="001558A5">
        <w:rPr>
          <w:lang w:val="en-US"/>
        </w:rPr>
        <w:t xml:space="preserve">the </w:t>
      </w:r>
      <w:r w:rsidR="00686C80" w:rsidRPr="001558A5">
        <w:rPr>
          <w:lang w:val="en-US"/>
        </w:rPr>
        <w:t>Convention of</w:t>
      </w:r>
      <w:r w:rsidR="009A44A0" w:rsidRPr="001558A5">
        <w:rPr>
          <w:lang w:val="en-US"/>
        </w:rPr>
        <w:t xml:space="preserve"> Belem do </w:t>
      </w:r>
      <w:proofErr w:type="spellStart"/>
      <w:r w:rsidR="009A44A0" w:rsidRPr="001558A5">
        <w:rPr>
          <w:lang w:val="en-US"/>
        </w:rPr>
        <w:t>Pará</w:t>
      </w:r>
      <w:proofErr w:type="spellEnd"/>
      <w:r w:rsidR="009A44A0" w:rsidRPr="001558A5">
        <w:rPr>
          <w:lang w:val="en-US"/>
        </w:rPr>
        <w:t xml:space="preserve"> </w:t>
      </w:r>
      <w:r w:rsidRPr="001558A5">
        <w:rPr>
          <w:lang w:val="en-US"/>
        </w:rPr>
        <w:t xml:space="preserve">that permits an interpretation that it refers to gender or that </w:t>
      </w:r>
      <w:r w:rsidR="007D1649" w:rsidRPr="001558A5">
        <w:rPr>
          <w:lang w:val="en-US"/>
        </w:rPr>
        <w:t xml:space="preserve">it </w:t>
      </w:r>
      <w:r w:rsidRPr="001558A5">
        <w:rPr>
          <w:lang w:val="en-US"/>
        </w:rPr>
        <w:t>includes “trans women.” In other words, this case does not provide elements that allow the constitution, pursuant to the recently transcribed Article 31(3) and contrary to what the judgment indicates, of an “</w:t>
      </w:r>
      <w:proofErr w:type="spellStart"/>
      <w:r w:rsidRPr="001558A5">
        <w:rPr>
          <w:lang w:val="en-US"/>
        </w:rPr>
        <w:t>evolutive</w:t>
      </w:r>
      <w:proofErr w:type="spellEnd"/>
      <w:r w:rsidRPr="001558A5">
        <w:rPr>
          <w:lang w:val="en-US"/>
        </w:rPr>
        <w:t xml:space="preserve"> interpretation”</w:t>
      </w:r>
      <w:r w:rsidRPr="001558A5">
        <w:rPr>
          <w:rStyle w:val="Refdenotaalpie"/>
          <w:lang w:val="en-US"/>
        </w:rPr>
        <w:footnoteReference w:id="231"/>
      </w:r>
      <w:r w:rsidRPr="001558A5">
        <w:rPr>
          <w:lang w:val="en-US"/>
        </w:rPr>
        <w:t xml:space="preserve"> that permit</w:t>
      </w:r>
      <w:r w:rsidR="007D1649" w:rsidRPr="001558A5">
        <w:rPr>
          <w:lang w:val="en-US"/>
        </w:rPr>
        <w:t>s affirming</w:t>
      </w:r>
      <w:r w:rsidRPr="001558A5">
        <w:rPr>
          <w:lang w:val="en-US"/>
        </w:rPr>
        <w:t xml:space="preserve"> that </w:t>
      </w:r>
      <w:r w:rsidR="009A44A0" w:rsidRPr="001558A5">
        <w:rPr>
          <w:lang w:val="en-US"/>
        </w:rPr>
        <w:t xml:space="preserve">the </w:t>
      </w:r>
      <w:r w:rsidR="00686C80" w:rsidRPr="001558A5">
        <w:rPr>
          <w:lang w:val="en-US"/>
        </w:rPr>
        <w:t>Convention of</w:t>
      </w:r>
      <w:r w:rsidR="009A44A0" w:rsidRPr="001558A5">
        <w:rPr>
          <w:lang w:val="en-US"/>
        </w:rPr>
        <w:t xml:space="preserve"> Belem do </w:t>
      </w:r>
      <w:proofErr w:type="spellStart"/>
      <w:r w:rsidR="009A44A0" w:rsidRPr="001558A5">
        <w:rPr>
          <w:lang w:val="en-US"/>
        </w:rPr>
        <w:t>Pará</w:t>
      </w:r>
      <w:proofErr w:type="spellEnd"/>
      <w:r w:rsidR="009A44A0" w:rsidRPr="001558A5">
        <w:rPr>
          <w:lang w:val="en-US"/>
        </w:rPr>
        <w:t xml:space="preserve"> </w:t>
      </w:r>
      <w:r w:rsidRPr="001558A5">
        <w:rPr>
          <w:lang w:val="en-US"/>
        </w:rPr>
        <w:t>includes</w:t>
      </w:r>
      <w:r w:rsidR="009A44A0" w:rsidRPr="001558A5">
        <w:rPr>
          <w:lang w:val="en-US"/>
        </w:rPr>
        <w:t xml:space="preserve"> “</w:t>
      </w:r>
      <w:r w:rsidRPr="001558A5">
        <w:rPr>
          <w:lang w:val="en-US"/>
        </w:rPr>
        <w:t>trans women.</w:t>
      </w:r>
      <w:r w:rsidR="009A44A0" w:rsidRPr="001558A5">
        <w:rPr>
          <w:lang w:val="en-US"/>
        </w:rPr>
        <w:t>”</w:t>
      </w:r>
    </w:p>
    <w:p w14:paraId="32CECD71" w14:textId="77777777" w:rsidR="009A44A0" w:rsidRPr="001558A5" w:rsidRDefault="009A44A0" w:rsidP="009A44A0">
      <w:pPr>
        <w:pStyle w:val="Numberedparagraphs"/>
        <w:numPr>
          <w:ilvl w:val="0"/>
          <w:numId w:val="0"/>
        </w:numPr>
        <w:rPr>
          <w:lang w:val="en-US"/>
        </w:rPr>
      </w:pPr>
    </w:p>
    <w:p w14:paraId="42AC26EA" w14:textId="2F69710E" w:rsidR="009A44A0" w:rsidRPr="001558A5" w:rsidRDefault="00E25721" w:rsidP="00D4051B">
      <w:pPr>
        <w:pStyle w:val="Numberedparagraphs"/>
        <w:numPr>
          <w:ilvl w:val="0"/>
          <w:numId w:val="42"/>
        </w:numPr>
        <w:ind w:left="0" w:firstLine="0"/>
        <w:rPr>
          <w:lang w:val="en-US"/>
        </w:rPr>
      </w:pPr>
      <w:r w:rsidRPr="001558A5">
        <w:rPr>
          <w:lang w:val="en-US"/>
        </w:rPr>
        <w:t>Indeed,</w:t>
      </w:r>
      <w:r w:rsidR="00C83CD2" w:rsidRPr="001558A5">
        <w:rPr>
          <w:lang w:val="en-US"/>
        </w:rPr>
        <w:t xml:space="preserve"> General Recommendation </w:t>
      </w:r>
      <w:r w:rsidR="009A44A0" w:rsidRPr="001558A5">
        <w:rPr>
          <w:rFonts w:cstheme="minorHAnsi"/>
          <w:lang w:val="en-US"/>
        </w:rPr>
        <w:t xml:space="preserve">No. 28 </w:t>
      </w:r>
      <w:r w:rsidR="00C83CD2" w:rsidRPr="001558A5">
        <w:rPr>
          <w:rFonts w:cstheme="minorHAnsi"/>
          <w:lang w:val="en-US"/>
        </w:rPr>
        <w:t>of</w:t>
      </w:r>
      <w:r w:rsidR="009A44A0" w:rsidRPr="001558A5">
        <w:rPr>
          <w:rFonts w:cstheme="minorHAnsi"/>
          <w:lang w:val="en-US"/>
        </w:rPr>
        <w:t xml:space="preserve"> 2010, </w:t>
      </w:r>
      <w:r w:rsidR="00C83CD2" w:rsidRPr="001558A5">
        <w:rPr>
          <w:rFonts w:cstheme="minorHAnsi"/>
          <w:lang w:val="en-US"/>
        </w:rPr>
        <w:t>cited in the judgment</w:t>
      </w:r>
      <w:r w:rsidR="009A44A0" w:rsidRPr="001558A5">
        <w:rPr>
          <w:rStyle w:val="Refdenotaalpie"/>
          <w:rFonts w:cstheme="minorHAnsi"/>
          <w:lang w:val="en-US"/>
        </w:rPr>
        <w:footnoteReference w:id="232"/>
      </w:r>
      <w:r w:rsidR="009A44A0" w:rsidRPr="001558A5">
        <w:rPr>
          <w:rFonts w:cstheme="minorHAnsi"/>
          <w:lang w:val="en-US"/>
        </w:rPr>
        <w:t xml:space="preserve"> </w:t>
      </w:r>
      <w:r w:rsidR="00C83CD2" w:rsidRPr="001558A5">
        <w:rPr>
          <w:rFonts w:cstheme="minorHAnsi"/>
          <w:lang w:val="en-US"/>
        </w:rPr>
        <w:t xml:space="preserve">to support its </w:t>
      </w:r>
      <w:r w:rsidR="00120416" w:rsidRPr="001558A5">
        <w:rPr>
          <w:rFonts w:cstheme="minorHAnsi"/>
          <w:lang w:val="en-US"/>
        </w:rPr>
        <w:t>decision</w:t>
      </w:r>
      <w:r w:rsidR="00C83CD2" w:rsidRPr="001558A5">
        <w:rPr>
          <w:rFonts w:cstheme="minorHAnsi"/>
          <w:lang w:val="en-US"/>
        </w:rPr>
        <w:t xml:space="preserve">, was adopted by the Committee for the Elimination of Discrimination against Women </w:t>
      </w:r>
      <w:r w:rsidR="009A44A0" w:rsidRPr="001558A5">
        <w:rPr>
          <w:rFonts w:cstheme="minorHAnsi"/>
          <w:lang w:val="en-US"/>
        </w:rPr>
        <w:t>(CEDAW</w:t>
      </w:r>
      <w:r w:rsidR="009A44A0" w:rsidRPr="001558A5">
        <w:rPr>
          <w:lang w:val="en-US"/>
        </w:rPr>
        <w:t>)</w:t>
      </w:r>
      <w:r w:rsidR="00567323" w:rsidRPr="001558A5">
        <w:rPr>
          <w:lang w:val="en-US"/>
        </w:rPr>
        <w:t>;</w:t>
      </w:r>
      <w:r w:rsidR="00C83CD2" w:rsidRPr="001558A5">
        <w:rPr>
          <w:lang w:val="en-US"/>
        </w:rPr>
        <w:t xml:space="preserve"> in other words, by a subsidiary body of the United Nations composed of </w:t>
      </w:r>
      <w:r w:rsidR="00D4051B" w:rsidRPr="001558A5">
        <w:rPr>
          <w:lang w:val="en-US"/>
        </w:rPr>
        <w:t>experts</w:t>
      </w:r>
      <w:r w:rsidR="00C83CD2" w:rsidRPr="001558A5">
        <w:rPr>
          <w:lang w:val="en-US"/>
        </w:rPr>
        <w:t xml:space="preserve"> and, consequently, without any authority </w:t>
      </w:r>
      <w:r w:rsidR="00D4051B" w:rsidRPr="001558A5">
        <w:rPr>
          <w:lang w:val="en-US"/>
        </w:rPr>
        <w:t>to create a norm of international law or provide a binding interpretation in this regard. Not only does the General Recommendation not have the characteristics of an autonomous source of international law, such as a treaty, a custom, the general principles of law or unilateral legal acts, but neither does it have those of a supplementary source of international law, such as jurisprudence, legal doctrine or declarations of law by resolution</w:t>
      </w:r>
      <w:r w:rsidR="0038073B" w:rsidRPr="001558A5">
        <w:rPr>
          <w:lang w:val="en-US"/>
        </w:rPr>
        <w:t>s</w:t>
      </w:r>
      <w:r w:rsidR="00D4051B" w:rsidRPr="001558A5">
        <w:rPr>
          <w:lang w:val="en-US"/>
        </w:rPr>
        <w:t>.</w:t>
      </w:r>
      <w:r w:rsidR="009A44A0" w:rsidRPr="001558A5">
        <w:rPr>
          <w:rStyle w:val="Refdenotaalpie"/>
          <w:lang w:val="en-US"/>
        </w:rPr>
        <w:footnoteReference w:id="233"/>
      </w:r>
      <w:r w:rsidR="00D4051B" w:rsidRPr="001558A5">
        <w:rPr>
          <w:lang w:val="en-US"/>
        </w:rPr>
        <w:t xml:space="preserve"> And, the latter, because such resolutions, in addition to being non-binding recommendations, do not refer to and are unrelated to </w:t>
      </w:r>
      <w:r w:rsidR="009A44A0" w:rsidRPr="001558A5">
        <w:rPr>
          <w:lang w:val="en-US"/>
        </w:rPr>
        <w:t xml:space="preserve">the </w:t>
      </w:r>
      <w:r w:rsidR="00686C80" w:rsidRPr="001558A5">
        <w:rPr>
          <w:lang w:val="en-US"/>
        </w:rPr>
        <w:t>Convention of</w:t>
      </w:r>
      <w:r w:rsidR="009A44A0" w:rsidRPr="001558A5">
        <w:rPr>
          <w:lang w:val="en-US"/>
        </w:rPr>
        <w:t xml:space="preserve"> Belem do </w:t>
      </w:r>
      <w:proofErr w:type="spellStart"/>
      <w:r w:rsidR="009A44A0" w:rsidRPr="001558A5">
        <w:rPr>
          <w:lang w:val="en-US"/>
        </w:rPr>
        <w:t>Pará</w:t>
      </w:r>
      <w:proofErr w:type="spellEnd"/>
      <w:r w:rsidR="009A44A0" w:rsidRPr="001558A5">
        <w:rPr>
          <w:lang w:val="en-US"/>
        </w:rPr>
        <w:t xml:space="preserve">.  </w:t>
      </w:r>
    </w:p>
    <w:p w14:paraId="615DC80E" w14:textId="77777777" w:rsidR="009A44A0" w:rsidRPr="001558A5" w:rsidRDefault="009A44A0" w:rsidP="009A44A0">
      <w:pPr>
        <w:pStyle w:val="Prrafodelista"/>
        <w:ind w:left="0"/>
        <w:rPr>
          <w:color w:val="000000"/>
          <w:szCs w:val="20"/>
          <w:lang w:val="en-US"/>
        </w:rPr>
      </w:pPr>
    </w:p>
    <w:p w14:paraId="65D0B440" w14:textId="22D927CB" w:rsidR="009A44A0" w:rsidRPr="001558A5" w:rsidRDefault="00D4051B" w:rsidP="00C846AB">
      <w:pPr>
        <w:pStyle w:val="Numberedparagraphs"/>
        <w:numPr>
          <w:ilvl w:val="0"/>
          <w:numId w:val="42"/>
        </w:numPr>
        <w:ind w:left="0" w:firstLine="0"/>
        <w:rPr>
          <w:lang w:val="en-US"/>
        </w:rPr>
      </w:pPr>
      <w:r w:rsidRPr="001558A5">
        <w:rPr>
          <w:lang w:val="en-US"/>
        </w:rPr>
        <w:t xml:space="preserve">The foregoing is also applicable in relation to the </w:t>
      </w:r>
      <w:r w:rsidRPr="001558A5">
        <w:rPr>
          <w:rFonts w:cstheme="minorHAnsi"/>
          <w:lang w:val="en-US"/>
        </w:rPr>
        <w:t>Practical Guide to the System of Progress Indicators for Measuring the Implementation of the Inter-American Convention for the Prevention, Punishment and Eradication of Violence against Women, adopted by the</w:t>
      </w:r>
      <w:r w:rsidRPr="001558A5">
        <w:rPr>
          <w:lang w:val="en-US"/>
        </w:rPr>
        <w:t xml:space="preserve"> </w:t>
      </w:r>
      <w:r w:rsidRPr="001558A5">
        <w:rPr>
          <w:rFonts w:cstheme="minorHAnsi"/>
          <w:lang w:val="en-US"/>
        </w:rPr>
        <w:t>Follow-up Mechanism to the Convention (“MESECVI”), which is also cited in the judgment,</w:t>
      </w:r>
      <w:r w:rsidR="009A44A0" w:rsidRPr="001558A5">
        <w:rPr>
          <w:rStyle w:val="Refdenotaalpie"/>
          <w:rFonts w:cs="Tahoma"/>
          <w:color w:val="auto"/>
          <w:shd w:val="clear" w:color="auto" w:fill="FFFFFF"/>
          <w:lang w:val="en-US"/>
        </w:rPr>
        <w:footnoteReference w:id="234"/>
      </w:r>
      <w:r w:rsidRPr="001558A5">
        <w:rPr>
          <w:rFonts w:cs="Tahoma"/>
          <w:color w:val="auto"/>
          <w:shd w:val="clear" w:color="auto" w:fill="FFFFFF"/>
          <w:lang w:val="en-US"/>
        </w:rPr>
        <w:t xml:space="preserve"> </w:t>
      </w:r>
      <w:r w:rsidR="00C846AB" w:rsidRPr="001558A5">
        <w:rPr>
          <w:rFonts w:cs="Tahoma"/>
          <w:color w:val="auto"/>
          <w:shd w:val="clear" w:color="auto" w:fill="FFFFFF"/>
          <w:lang w:val="en-US"/>
        </w:rPr>
        <w:t>b</w:t>
      </w:r>
      <w:r w:rsidRPr="001558A5">
        <w:rPr>
          <w:rFonts w:cs="Tahoma"/>
          <w:color w:val="auto"/>
          <w:shd w:val="clear" w:color="auto" w:fill="FFFFFF"/>
          <w:lang w:val="en-US"/>
        </w:rPr>
        <w:t>ecause</w:t>
      </w:r>
      <w:r w:rsidR="00C846AB" w:rsidRPr="001558A5">
        <w:rPr>
          <w:rFonts w:cs="Tahoma"/>
          <w:color w:val="auto"/>
          <w:shd w:val="clear" w:color="auto" w:fill="FFFFFF"/>
          <w:lang w:val="en-US"/>
        </w:rPr>
        <w:t xml:space="preserve"> </w:t>
      </w:r>
      <w:r w:rsidRPr="001558A5">
        <w:rPr>
          <w:rFonts w:cs="Tahoma"/>
          <w:color w:val="auto"/>
          <w:shd w:val="clear" w:color="auto" w:fill="FFFFFF"/>
          <w:lang w:val="en-US"/>
        </w:rPr>
        <w:t>ev</w:t>
      </w:r>
      <w:r w:rsidR="00C846AB" w:rsidRPr="001558A5">
        <w:rPr>
          <w:rFonts w:cs="Tahoma"/>
          <w:color w:val="auto"/>
          <w:shd w:val="clear" w:color="auto" w:fill="FFFFFF"/>
          <w:lang w:val="en-US"/>
        </w:rPr>
        <w:t>e</w:t>
      </w:r>
      <w:r w:rsidRPr="001558A5">
        <w:rPr>
          <w:rFonts w:cs="Tahoma"/>
          <w:color w:val="auto"/>
          <w:shd w:val="clear" w:color="auto" w:fill="FFFFFF"/>
          <w:lang w:val="en-US"/>
        </w:rPr>
        <w:t>n though it refers exclusively to the said Convention, the Mechanism is composed of independent experts</w:t>
      </w:r>
      <w:r w:rsidR="00C846AB" w:rsidRPr="001558A5">
        <w:rPr>
          <w:rFonts w:cs="Tahoma"/>
          <w:color w:val="auto"/>
          <w:shd w:val="clear" w:color="auto" w:fill="FFFFFF"/>
          <w:lang w:val="en-US"/>
        </w:rPr>
        <w:t>.</w:t>
      </w:r>
    </w:p>
    <w:p w14:paraId="129FDC0F" w14:textId="77777777" w:rsidR="009A44A0" w:rsidRPr="001558A5" w:rsidRDefault="009A44A0" w:rsidP="009A44A0">
      <w:pPr>
        <w:pStyle w:val="Prrafodelista"/>
        <w:ind w:left="0"/>
        <w:rPr>
          <w:color w:val="000000"/>
          <w:szCs w:val="20"/>
          <w:lang w:val="en-US"/>
        </w:rPr>
      </w:pPr>
    </w:p>
    <w:p w14:paraId="19C9F901" w14:textId="3D54A7CD" w:rsidR="009A44A0" w:rsidRPr="001558A5" w:rsidRDefault="00C846AB" w:rsidP="009A44A0">
      <w:pPr>
        <w:pStyle w:val="Numberedparagraphs"/>
        <w:numPr>
          <w:ilvl w:val="0"/>
          <w:numId w:val="42"/>
        </w:numPr>
        <w:ind w:left="0" w:firstLine="0"/>
        <w:rPr>
          <w:lang w:val="en-US"/>
        </w:rPr>
      </w:pPr>
      <w:r w:rsidRPr="001558A5">
        <w:rPr>
          <w:lang w:val="en-US"/>
        </w:rPr>
        <w:t>In synthesis, it is inadmissible to consider th</w:t>
      </w:r>
      <w:r w:rsidR="0038073B" w:rsidRPr="001558A5">
        <w:rPr>
          <w:lang w:val="en-US"/>
        </w:rPr>
        <w:t>at the</w:t>
      </w:r>
      <w:r w:rsidRPr="001558A5">
        <w:rPr>
          <w:lang w:val="en-US"/>
        </w:rPr>
        <w:t xml:space="preserve"> said resolutions a</w:t>
      </w:r>
      <w:r w:rsidR="0038073B" w:rsidRPr="001558A5">
        <w:rPr>
          <w:lang w:val="en-US"/>
        </w:rPr>
        <w:t>re</w:t>
      </w:r>
      <w:r w:rsidRPr="001558A5">
        <w:rPr>
          <w:lang w:val="en-US"/>
        </w:rPr>
        <w:t xml:space="preserve"> binding in any way</w:t>
      </w:r>
      <w:r w:rsidR="0038073B" w:rsidRPr="001558A5">
        <w:rPr>
          <w:lang w:val="en-US"/>
        </w:rPr>
        <w:t xml:space="preserve">; </w:t>
      </w:r>
      <w:r w:rsidRPr="001558A5">
        <w:rPr>
          <w:lang w:val="en-US"/>
        </w:rPr>
        <w:t>rather</w:t>
      </w:r>
      <w:r w:rsidR="0038073B" w:rsidRPr="001558A5">
        <w:rPr>
          <w:lang w:val="en-US"/>
        </w:rPr>
        <w:t>,</w:t>
      </w:r>
      <w:r w:rsidRPr="001558A5">
        <w:rPr>
          <w:lang w:val="en-US"/>
        </w:rPr>
        <w:t xml:space="preserve"> </w:t>
      </w:r>
      <w:r w:rsidR="0038073B" w:rsidRPr="001558A5">
        <w:rPr>
          <w:lang w:val="en-US"/>
        </w:rPr>
        <w:t xml:space="preserve">they are </w:t>
      </w:r>
      <w:r w:rsidRPr="001558A5">
        <w:rPr>
          <w:lang w:val="en-US"/>
        </w:rPr>
        <w:t xml:space="preserve">expressions of political aspirations that may be legitimate, but </w:t>
      </w:r>
      <w:r w:rsidR="0038073B" w:rsidRPr="001558A5">
        <w:rPr>
          <w:lang w:val="en-US"/>
        </w:rPr>
        <w:t xml:space="preserve">are </w:t>
      </w:r>
      <w:r w:rsidRPr="001558A5">
        <w:rPr>
          <w:lang w:val="en-US"/>
        </w:rPr>
        <w:t>not interpretative of international legal provisions.</w:t>
      </w:r>
    </w:p>
    <w:p w14:paraId="74624EC3" w14:textId="77777777" w:rsidR="009A44A0" w:rsidRPr="001558A5" w:rsidRDefault="009A44A0" w:rsidP="009A44A0">
      <w:pPr>
        <w:pStyle w:val="Prrafodelista"/>
        <w:ind w:left="0"/>
        <w:rPr>
          <w:color w:val="000000"/>
          <w:szCs w:val="20"/>
          <w:lang w:val="en-US"/>
        </w:rPr>
      </w:pPr>
    </w:p>
    <w:p w14:paraId="2B55956B" w14:textId="482F4434" w:rsidR="00E35CEB" w:rsidRPr="001558A5" w:rsidRDefault="00E35CEB" w:rsidP="009A44A0">
      <w:pPr>
        <w:pStyle w:val="Numberedparagraphs"/>
        <w:numPr>
          <w:ilvl w:val="0"/>
          <w:numId w:val="42"/>
        </w:numPr>
        <w:ind w:left="0" w:firstLine="0"/>
        <w:rPr>
          <w:lang w:val="en-US"/>
        </w:rPr>
      </w:pPr>
      <w:r w:rsidRPr="001558A5">
        <w:rPr>
          <w:lang w:val="en-US"/>
        </w:rPr>
        <w:t xml:space="preserve">The allusion that the judgment makes to a resolution </w:t>
      </w:r>
      <w:r w:rsidR="009A44A0" w:rsidRPr="001558A5">
        <w:rPr>
          <w:lang w:val="en-US"/>
        </w:rPr>
        <w:t>of the Inter-American Commission on Human Rights</w:t>
      </w:r>
      <w:r w:rsidRPr="001558A5">
        <w:rPr>
          <w:lang w:val="en-US"/>
        </w:rPr>
        <w:t xml:space="preserve"> merits a slightly different consideration.</w:t>
      </w:r>
      <w:r w:rsidR="009A44A0" w:rsidRPr="001558A5">
        <w:rPr>
          <w:rStyle w:val="Refdenotaalpie"/>
          <w:lang w:val="en-US"/>
        </w:rPr>
        <w:footnoteReference w:id="235"/>
      </w:r>
      <w:r w:rsidR="009A44A0" w:rsidRPr="001558A5">
        <w:rPr>
          <w:lang w:val="en-US"/>
        </w:rPr>
        <w:t xml:space="preserve"> </w:t>
      </w:r>
      <w:r w:rsidRPr="001558A5">
        <w:rPr>
          <w:lang w:val="en-US"/>
        </w:rPr>
        <w:t xml:space="preserve">It is true that it corresponds to this inter-American organ, as to the Court, to examine cases </w:t>
      </w:r>
      <w:r w:rsidR="0038073B" w:rsidRPr="001558A5">
        <w:rPr>
          <w:lang w:val="en-US"/>
        </w:rPr>
        <w:t>relating</w:t>
      </w:r>
      <w:r w:rsidRPr="001558A5">
        <w:rPr>
          <w:lang w:val="en-US"/>
        </w:rPr>
        <w:t xml:space="preserve"> to compliance wit</w:t>
      </w:r>
      <w:r w:rsidR="0038073B" w:rsidRPr="001558A5">
        <w:rPr>
          <w:lang w:val="en-US"/>
        </w:rPr>
        <w:t>h the</w:t>
      </w:r>
      <w:r w:rsidRPr="001558A5">
        <w:rPr>
          <w:lang w:val="en-US"/>
        </w:rPr>
        <w:t xml:space="preserve"> treaty-based obligations</w:t>
      </w:r>
      <w:r w:rsidR="0038073B" w:rsidRPr="001558A5">
        <w:rPr>
          <w:lang w:val="en-US"/>
        </w:rPr>
        <w:t>;</w:t>
      </w:r>
      <w:r w:rsidR="009A44A0" w:rsidRPr="001558A5">
        <w:rPr>
          <w:rStyle w:val="Refdenotaalpie"/>
          <w:lang w:val="en-US"/>
        </w:rPr>
        <w:footnoteReference w:id="236"/>
      </w:r>
      <w:r w:rsidRPr="001558A5">
        <w:rPr>
          <w:lang w:val="en-US"/>
        </w:rPr>
        <w:t xml:space="preserve"> </w:t>
      </w:r>
      <w:r w:rsidR="0038073B" w:rsidRPr="001558A5">
        <w:rPr>
          <w:lang w:val="en-US"/>
        </w:rPr>
        <w:t>however,</w:t>
      </w:r>
      <w:r w:rsidRPr="001558A5">
        <w:rPr>
          <w:lang w:val="en-US"/>
        </w:rPr>
        <w:t xml:space="preserve"> this </w:t>
      </w:r>
      <w:r w:rsidR="0038073B" w:rsidRPr="001558A5">
        <w:rPr>
          <w:lang w:val="en-US"/>
        </w:rPr>
        <w:t>stems from</w:t>
      </w:r>
      <w:r w:rsidRPr="001558A5">
        <w:rPr>
          <w:lang w:val="en-US"/>
        </w:rPr>
        <w:t xml:space="preserve"> its</w:t>
      </w:r>
      <w:r w:rsidR="009A44A0" w:rsidRPr="001558A5">
        <w:rPr>
          <w:lang w:val="en-US"/>
        </w:rPr>
        <w:t xml:space="preserve"> </w:t>
      </w:r>
      <w:r w:rsidRPr="001558A5">
        <w:rPr>
          <w:lang w:val="en-US"/>
        </w:rPr>
        <w:t xml:space="preserve">“main function </w:t>
      </w:r>
      <w:r w:rsidR="0010500E" w:rsidRPr="001558A5">
        <w:rPr>
          <w:lang w:val="en-US"/>
        </w:rPr>
        <w:t>[…]</w:t>
      </w:r>
      <w:r w:rsidRPr="001558A5">
        <w:rPr>
          <w:lang w:val="en-US"/>
        </w:rPr>
        <w:t xml:space="preserve"> </w:t>
      </w:r>
      <w:r w:rsidRPr="001558A5">
        <w:rPr>
          <w:rFonts w:eastAsiaTheme="minorHAnsi"/>
          <w:lang w:val="en-US"/>
        </w:rPr>
        <w:t>to promote respect for and defense of human rights</w:t>
      </w:r>
      <w:r w:rsidR="009A44A0" w:rsidRPr="001558A5">
        <w:rPr>
          <w:lang w:val="en-US"/>
        </w:rPr>
        <w:t>”</w:t>
      </w:r>
      <w:r w:rsidR="009A44A0" w:rsidRPr="001558A5">
        <w:rPr>
          <w:rStyle w:val="Refdenotaalpie"/>
          <w:lang w:val="en-US"/>
        </w:rPr>
        <w:footnoteReference w:id="237"/>
      </w:r>
      <w:r w:rsidR="009A44A0" w:rsidRPr="001558A5">
        <w:rPr>
          <w:rFonts w:eastAsiaTheme="minorHAnsi" w:cstheme="minorBidi"/>
          <w:lang w:val="en-US"/>
        </w:rPr>
        <w:t xml:space="preserve"> </w:t>
      </w:r>
      <w:r w:rsidRPr="001558A5">
        <w:rPr>
          <w:rFonts w:eastAsiaTheme="minorHAnsi" w:cstheme="minorBidi"/>
          <w:lang w:val="en-US"/>
        </w:rPr>
        <w:t xml:space="preserve">by the States Parties to </w:t>
      </w:r>
      <w:r w:rsidR="009A44A0" w:rsidRPr="001558A5">
        <w:rPr>
          <w:rFonts w:eastAsiaTheme="minorHAnsi" w:cstheme="minorBidi"/>
          <w:lang w:val="en-US"/>
        </w:rPr>
        <w:t>the Convention</w:t>
      </w:r>
      <w:r w:rsidRPr="001558A5">
        <w:rPr>
          <w:rFonts w:eastAsiaTheme="minorHAnsi" w:cstheme="minorBidi"/>
          <w:lang w:val="en-US"/>
        </w:rPr>
        <w:t xml:space="preserve"> and, </w:t>
      </w:r>
      <w:r w:rsidR="0038073B" w:rsidRPr="001558A5">
        <w:rPr>
          <w:rFonts w:eastAsiaTheme="minorHAnsi" w:cstheme="minorBidi"/>
          <w:lang w:val="en-US"/>
        </w:rPr>
        <w:t>on this basis, it is even able to</w:t>
      </w:r>
      <w:r w:rsidRPr="001558A5">
        <w:rPr>
          <w:rFonts w:eastAsiaTheme="minorHAnsi" w:cstheme="minorBidi"/>
          <w:lang w:val="en-US"/>
        </w:rPr>
        <w:t xml:space="preserve"> encourage </w:t>
      </w:r>
      <w:r w:rsidR="0038073B" w:rsidRPr="001558A5">
        <w:rPr>
          <w:rFonts w:eastAsiaTheme="minorHAnsi" w:cstheme="minorBidi"/>
          <w:lang w:val="en-US"/>
        </w:rPr>
        <w:t>amendments to</w:t>
      </w:r>
      <w:r w:rsidRPr="001558A5">
        <w:rPr>
          <w:rFonts w:eastAsiaTheme="minorHAnsi" w:cstheme="minorBidi"/>
          <w:lang w:val="en-US"/>
        </w:rPr>
        <w:t xml:space="preserve"> the laws in force. In other words, when applying </w:t>
      </w:r>
      <w:r w:rsidR="009A44A0" w:rsidRPr="001558A5">
        <w:rPr>
          <w:rFonts w:eastAsiaTheme="minorHAnsi" w:cstheme="minorBidi"/>
          <w:lang w:val="en-US"/>
        </w:rPr>
        <w:t>the Convention,</w:t>
      </w:r>
      <w:r w:rsidRPr="001558A5">
        <w:rPr>
          <w:rFonts w:eastAsiaTheme="minorHAnsi" w:cstheme="minorBidi"/>
          <w:lang w:val="en-US"/>
        </w:rPr>
        <w:t xml:space="preserve"> which evidently entails its interpretation, </w:t>
      </w:r>
      <w:r w:rsidR="009A44A0" w:rsidRPr="001558A5">
        <w:rPr>
          <w:rFonts w:eastAsiaTheme="minorHAnsi" w:cstheme="minorBidi"/>
          <w:lang w:val="en-US"/>
        </w:rPr>
        <w:t xml:space="preserve">the Commission </w:t>
      </w:r>
      <w:r w:rsidRPr="001558A5">
        <w:rPr>
          <w:rFonts w:eastAsiaTheme="minorHAnsi" w:cstheme="minorBidi"/>
          <w:lang w:val="en-US"/>
        </w:rPr>
        <w:t>does not do so because it considers that its decisions are binding, recalling that they are mere recommendations, but in order to fulfill its function. Therefore and in any circumstance, what the Commission decides in this regard cannot be considered as an expression of</w:t>
      </w:r>
      <w:r w:rsidR="0038073B" w:rsidRPr="001558A5">
        <w:rPr>
          <w:rFonts w:eastAsiaTheme="minorHAnsi" w:cstheme="minorBidi"/>
          <w:lang w:val="en-US"/>
        </w:rPr>
        <w:t xml:space="preserve"> valid</w:t>
      </w:r>
      <w:r w:rsidRPr="001558A5">
        <w:rPr>
          <w:rFonts w:eastAsiaTheme="minorHAnsi" w:cstheme="minorBidi"/>
          <w:lang w:val="en-US"/>
        </w:rPr>
        <w:t xml:space="preserve"> international norms and, above all, as binding for the Court.</w:t>
      </w:r>
    </w:p>
    <w:p w14:paraId="625BC4DD"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color w:val="000000"/>
          <w:sz w:val="20"/>
          <w:szCs w:val="20"/>
        </w:rPr>
      </w:pPr>
    </w:p>
    <w:p w14:paraId="759C4D8A" w14:textId="2A6DA4F4" w:rsidR="009A44A0" w:rsidRPr="001558A5" w:rsidRDefault="00E35CEB" w:rsidP="00E35CEB">
      <w:pPr>
        <w:pStyle w:val="Numberedparagraphs"/>
        <w:numPr>
          <w:ilvl w:val="0"/>
          <w:numId w:val="42"/>
        </w:numPr>
        <w:ind w:left="0" w:firstLine="0"/>
        <w:rPr>
          <w:lang w:val="en-US"/>
        </w:rPr>
      </w:pPr>
      <w:r w:rsidRPr="001558A5">
        <w:rPr>
          <w:lang w:val="en-US"/>
        </w:rPr>
        <w:t xml:space="preserve">Based on the above, it is irrefutable that, as inferred from the application of the subjective method of the interpretation of treaties, </w:t>
      </w:r>
      <w:r w:rsidR="009A44A0" w:rsidRPr="001558A5">
        <w:rPr>
          <w:lang w:val="en-US"/>
        </w:rPr>
        <w:t xml:space="preserve">the </w:t>
      </w:r>
      <w:r w:rsidR="00686C80" w:rsidRPr="001558A5">
        <w:rPr>
          <w:lang w:val="en-US"/>
        </w:rPr>
        <w:t>Convention of</w:t>
      </w:r>
      <w:r w:rsidR="009A44A0" w:rsidRPr="001558A5">
        <w:rPr>
          <w:lang w:val="en-US"/>
        </w:rPr>
        <w:t xml:space="preserve"> Belem do </w:t>
      </w:r>
      <w:proofErr w:type="spellStart"/>
      <w:r w:rsidR="009A44A0" w:rsidRPr="001558A5">
        <w:rPr>
          <w:lang w:val="en-US"/>
        </w:rPr>
        <w:t>Pará</w:t>
      </w:r>
      <w:proofErr w:type="spellEnd"/>
      <w:r w:rsidR="009A44A0" w:rsidRPr="001558A5">
        <w:rPr>
          <w:lang w:val="en-US"/>
        </w:rPr>
        <w:t xml:space="preserve"> </w:t>
      </w:r>
      <w:r w:rsidRPr="001558A5">
        <w:rPr>
          <w:lang w:val="en-US"/>
        </w:rPr>
        <w:t xml:space="preserve">does not </w:t>
      </w:r>
      <w:r w:rsidR="0038073B" w:rsidRPr="001558A5">
        <w:rPr>
          <w:lang w:val="en-US"/>
        </w:rPr>
        <w:t>establish</w:t>
      </w:r>
      <w:r w:rsidRPr="001558A5">
        <w:rPr>
          <w:lang w:val="en-US"/>
        </w:rPr>
        <w:t xml:space="preserve"> its applicability to “trans women.” </w:t>
      </w:r>
    </w:p>
    <w:p w14:paraId="08579F9F" w14:textId="77777777" w:rsidR="009A44A0" w:rsidRPr="001558A5" w:rsidRDefault="009A44A0" w:rsidP="009A44A0">
      <w:pPr>
        <w:pStyle w:val="Prrafodelista"/>
        <w:ind w:left="0"/>
        <w:rPr>
          <w:color w:val="000000"/>
          <w:szCs w:val="20"/>
          <w:lang w:val="en-US"/>
        </w:rPr>
      </w:pPr>
    </w:p>
    <w:p w14:paraId="24934D3D" w14:textId="77777777" w:rsidR="009A44A0" w:rsidRPr="001558A5" w:rsidRDefault="009A44A0" w:rsidP="009A44A0">
      <w:pPr>
        <w:pStyle w:val="Numberedparagraphs"/>
        <w:numPr>
          <w:ilvl w:val="0"/>
          <w:numId w:val="43"/>
        </w:numPr>
        <w:ind w:left="0" w:firstLine="0"/>
        <w:rPr>
          <w:b/>
          <w:bCs/>
          <w:lang w:val="en-US"/>
        </w:rPr>
      </w:pPr>
      <w:r w:rsidRPr="001558A5">
        <w:rPr>
          <w:b/>
          <w:bCs/>
          <w:lang w:val="en-US"/>
        </w:rPr>
        <w:t>Object and purpose</w:t>
      </w:r>
    </w:p>
    <w:p w14:paraId="4206D2A9" w14:textId="77777777" w:rsidR="009A44A0" w:rsidRPr="001558A5" w:rsidRDefault="009A44A0" w:rsidP="009A44A0">
      <w:pPr>
        <w:pStyle w:val="Prrafodelista"/>
        <w:ind w:left="0"/>
        <w:rPr>
          <w:lang w:val="en-US"/>
        </w:rPr>
      </w:pPr>
    </w:p>
    <w:p w14:paraId="1ACC6B66" w14:textId="515B64AA" w:rsidR="009A44A0" w:rsidRPr="001558A5" w:rsidRDefault="00E35CEB" w:rsidP="009A44A0">
      <w:pPr>
        <w:pStyle w:val="Numberedparagraphs"/>
        <w:numPr>
          <w:ilvl w:val="0"/>
          <w:numId w:val="42"/>
        </w:numPr>
        <w:ind w:left="0" w:firstLine="0"/>
        <w:rPr>
          <w:lang w:val="en-US"/>
        </w:rPr>
      </w:pPr>
      <w:r w:rsidRPr="001558A5">
        <w:rPr>
          <w:lang w:val="en-US"/>
        </w:rPr>
        <w:t xml:space="preserve">Regarding the functional or teleological method that seeks to determine the object and the purpose for which the treaty was signed, it is sufficient to read the sixth </w:t>
      </w:r>
      <w:r w:rsidR="009A44A0" w:rsidRPr="001558A5">
        <w:rPr>
          <w:lang w:val="en-US"/>
        </w:rPr>
        <w:t xml:space="preserve">paragraph </w:t>
      </w:r>
      <w:r w:rsidRPr="001558A5">
        <w:rPr>
          <w:lang w:val="en-US"/>
        </w:rPr>
        <w:t>of the Preamble to</w:t>
      </w:r>
      <w:r w:rsidR="009A44A0" w:rsidRPr="001558A5">
        <w:rPr>
          <w:lang w:val="en-US"/>
        </w:rPr>
        <w:t xml:space="preserve"> the </w:t>
      </w:r>
      <w:r w:rsidR="00686C80" w:rsidRPr="001558A5">
        <w:rPr>
          <w:lang w:val="en-US"/>
        </w:rPr>
        <w:t>Convention of</w:t>
      </w:r>
      <w:r w:rsidR="009A44A0" w:rsidRPr="001558A5">
        <w:rPr>
          <w:lang w:val="en-US"/>
        </w:rPr>
        <w:t xml:space="preserve"> Belem do </w:t>
      </w:r>
      <w:proofErr w:type="spellStart"/>
      <w:r w:rsidR="009A44A0" w:rsidRPr="001558A5">
        <w:rPr>
          <w:lang w:val="en-US"/>
        </w:rPr>
        <w:t>Pará</w:t>
      </w:r>
      <w:proofErr w:type="spellEnd"/>
      <w:r w:rsidR="009A44A0" w:rsidRPr="001558A5">
        <w:rPr>
          <w:lang w:val="en-US"/>
        </w:rPr>
        <w:t xml:space="preserve"> </w:t>
      </w:r>
      <w:r w:rsidRPr="001558A5">
        <w:rPr>
          <w:lang w:val="en-US"/>
        </w:rPr>
        <w:t>to know this. It reads as follows:</w:t>
      </w:r>
    </w:p>
    <w:p w14:paraId="2F40DEE7" w14:textId="77777777" w:rsidR="009A44A0" w:rsidRPr="001558A5" w:rsidRDefault="009A44A0" w:rsidP="009A44A0">
      <w:pPr>
        <w:pStyle w:val="Prrafodelista"/>
        <w:ind w:left="0"/>
        <w:rPr>
          <w:color w:val="000000"/>
          <w:szCs w:val="20"/>
          <w:lang w:val="en-US"/>
        </w:rPr>
      </w:pPr>
    </w:p>
    <w:p w14:paraId="66B41C42" w14:textId="77777777" w:rsidR="009A44A0" w:rsidRPr="001558A5" w:rsidRDefault="009A44A0" w:rsidP="0038073B">
      <w:pPr>
        <w:pStyle w:val="Default"/>
        <w:ind w:left="720" w:right="360"/>
        <w:jc w:val="both"/>
        <w:rPr>
          <w:rFonts w:ascii="Verdana" w:hAnsi="Verdana" w:cs="Calibri"/>
          <w:sz w:val="18"/>
          <w:szCs w:val="18"/>
        </w:rPr>
      </w:pPr>
      <w:r w:rsidRPr="001558A5">
        <w:rPr>
          <w:rFonts w:ascii="Verdana" w:hAnsi="Verdana"/>
          <w:i/>
          <w:iCs/>
          <w:sz w:val="18"/>
          <w:szCs w:val="18"/>
        </w:rPr>
        <w:t>“</w:t>
      </w:r>
      <w:r w:rsidRPr="001558A5">
        <w:rPr>
          <w:rFonts w:ascii="Verdana" w:hAnsi="Verdana" w:cs="Tahoma"/>
          <w:i/>
          <w:iCs/>
          <w:sz w:val="18"/>
          <w:szCs w:val="18"/>
        </w:rPr>
        <w:t xml:space="preserve">CONVINCED </w:t>
      </w:r>
      <w:r w:rsidRPr="001558A5">
        <w:rPr>
          <w:rFonts w:ascii="Verdana" w:hAnsi="Verdana"/>
          <w:sz w:val="18"/>
          <w:szCs w:val="18"/>
        </w:rPr>
        <w:t>that the adoption of a convention on the prevention, punishment and eradication of all forms of violence against women within the framework of the Organization of American States is a positive contribution to protecting the rights of women and eliminating violence against them.</w:t>
      </w:r>
      <w:r w:rsidRPr="001558A5">
        <w:rPr>
          <w:rFonts w:ascii="Verdana" w:hAnsi="Verdana" w:cs="Tahoma"/>
          <w:i/>
          <w:iCs/>
          <w:sz w:val="18"/>
          <w:szCs w:val="18"/>
        </w:rPr>
        <w:t>”</w:t>
      </w:r>
    </w:p>
    <w:p w14:paraId="26ACEFBD"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i/>
          <w:iCs/>
          <w:color w:val="000000"/>
          <w:sz w:val="20"/>
          <w:szCs w:val="20"/>
        </w:rPr>
      </w:pPr>
    </w:p>
    <w:p w14:paraId="5375DE61" w14:textId="62D2AD4F" w:rsidR="009A44A0" w:rsidRPr="001558A5" w:rsidRDefault="00E35CEB" w:rsidP="009A44A0">
      <w:pPr>
        <w:pStyle w:val="Numberedparagraphs"/>
        <w:numPr>
          <w:ilvl w:val="0"/>
          <w:numId w:val="42"/>
        </w:numPr>
        <w:ind w:left="0" w:firstLine="0"/>
        <w:rPr>
          <w:lang w:val="en-US"/>
        </w:rPr>
      </w:pPr>
      <w:r w:rsidRPr="001558A5">
        <w:rPr>
          <w:lang w:val="en-US"/>
        </w:rPr>
        <w:t xml:space="preserve">This object and purpose is </w:t>
      </w:r>
      <w:r w:rsidR="009216BB" w:rsidRPr="001558A5">
        <w:rPr>
          <w:lang w:val="en-US"/>
        </w:rPr>
        <w:t>also</w:t>
      </w:r>
      <w:r w:rsidRPr="001558A5">
        <w:rPr>
          <w:lang w:val="en-US"/>
        </w:rPr>
        <w:t xml:space="preserve"> established in</w:t>
      </w:r>
      <w:r w:rsidR="009A44A0" w:rsidRPr="001558A5">
        <w:rPr>
          <w:lang w:val="en-US"/>
        </w:rPr>
        <w:t xml:space="preserve"> Articles 1, 3 and 7</w:t>
      </w:r>
      <w:r w:rsidR="009216BB" w:rsidRPr="001558A5">
        <w:rPr>
          <w:lang w:val="en-US"/>
        </w:rPr>
        <w:t>(</w:t>
      </w:r>
      <w:r w:rsidR="009A44A0" w:rsidRPr="001558A5">
        <w:rPr>
          <w:lang w:val="en-US"/>
        </w:rPr>
        <w:t>a</w:t>
      </w:r>
      <w:r w:rsidR="009216BB" w:rsidRPr="001558A5">
        <w:rPr>
          <w:lang w:val="en-US"/>
        </w:rPr>
        <w:t>) of the Convention, transcribed above.</w:t>
      </w:r>
    </w:p>
    <w:p w14:paraId="6BE11C55" w14:textId="77777777" w:rsidR="009A44A0" w:rsidRPr="001558A5" w:rsidRDefault="009A44A0" w:rsidP="009A44A0">
      <w:pPr>
        <w:pStyle w:val="NormalWeb"/>
        <w:shd w:val="clear" w:color="auto" w:fill="FFFFFF"/>
        <w:spacing w:before="0" w:beforeAutospacing="0" w:after="0" w:afterAutospacing="0" w:line="240" w:lineRule="auto"/>
        <w:jc w:val="both"/>
        <w:rPr>
          <w:rFonts w:ascii="Verdana" w:hAnsi="Verdana"/>
          <w:color w:val="000000"/>
          <w:sz w:val="20"/>
          <w:szCs w:val="20"/>
        </w:rPr>
      </w:pPr>
    </w:p>
    <w:p w14:paraId="3608D4B4" w14:textId="121C137D" w:rsidR="009A44A0" w:rsidRPr="001558A5" w:rsidRDefault="009216BB" w:rsidP="009A44A0">
      <w:pPr>
        <w:pStyle w:val="Numberedparagraphs"/>
        <w:numPr>
          <w:ilvl w:val="0"/>
          <w:numId w:val="42"/>
        </w:numPr>
        <w:ind w:left="0" w:firstLine="0"/>
        <w:rPr>
          <w:lang w:val="en-US"/>
        </w:rPr>
      </w:pPr>
      <w:r w:rsidRPr="001558A5">
        <w:rPr>
          <w:lang w:val="en-US"/>
        </w:rPr>
        <w:t>Therefore</w:t>
      </w:r>
      <w:r w:rsidR="0038073B" w:rsidRPr="001558A5">
        <w:rPr>
          <w:lang w:val="en-US"/>
        </w:rPr>
        <w:t xml:space="preserve">, applying </w:t>
      </w:r>
      <w:r w:rsidR="00CA2BC8" w:rsidRPr="001558A5">
        <w:rPr>
          <w:lang w:val="en-US"/>
        </w:rPr>
        <w:t xml:space="preserve">the functional or teleological method of interpretation of treaties </w:t>
      </w:r>
      <w:r w:rsidR="0038073B" w:rsidRPr="001558A5">
        <w:rPr>
          <w:lang w:val="en-US"/>
        </w:rPr>
        <w:t xml:space="preserve">to the Convention of Belem do </w:t>
      </w:r>
      <w:proofErr w:type="spellStart"/>
      <w:r w:rsidR="0038073B" w:rsidRPr="001558A5">
        <w:rPr>
          <w:lang w:val="en-US"/>
        </w:rPr>
        <w:t>Pará</w:t>
      </w:r>
      <w:proofErr w:type="spellEnd"/>
      <w:r w:rsidR="0038073B" w:rsidRPr="001558A5">
        <w:rPr>
          <w:lang w:val="en-US"/>
        </w:rPr>
        <w:t xml:space="preserve"> </w:t>
      </w:r>
      <w:r w:rsidR="00CA2BC8" w:rsidRPr="001558A5">
        <w:rPr>
          <w:lang w:val="en-US"/>
        </w:rPr>
        <w:t xml:space="preserve">also leads to the </w:t>
      </w:r>
      <w:proofErr w:type="spellStart"/>
      <w:r w:rsidR="00CA2BC8" w:rsidRPr="001558A5">
        <w:rPr>
          <w:lang w:val="en-US"/>
        </w:rPr>
        <w:t>conclusión</w:t>
      </w:r>
      <w:proofErr w:type="spellEnd"/>
      <w:r w:rsidR="00CA2BC8" w:rsidRPr="001558A5">
        <w:rPr>
          <w:lang w:val="en-US"/>
        </w:rPr>
        <w:t xml:space="preserve"> that it is exclusively related to “women” in general, without including, in particular, “trans women.”</w:t>
      </w:r>
    </w:p>
    <w:p w14:paraId="0BD4BF8E" w14:textId="77777777" w:rsidR="009A44A0" w:rsidRPr="001558A5" w:rsidRDefault="009A44A0" w:rsidP="009A44A0">
      <w:pPr>
        <w:pStyle w:val="Prrafodelista"/>
        <w:ind w:left="0"/>
        <w:rPr>
          <w:i/>
          <w:iCs/>
          <w:lang w:val="en-US"/>
        </w:rPr>
      </w:pPr>
    </w:p>
    <w:p w14:paraId="7BC56CF8" w14:textId="476893CB" w:rsidR="009A44A0" w:rsidRPr="001558A5" w:rsidRDefault="0038073B" w:rsidP="009A44A0">
      <w:pPr>
        <w:pStyle w:val="Numberedparagraphs"/>
        <w:numPr>
          <w:ilvl w:val="0"/>
          <w:numId w:val="42"/>
        </w:numPr>
        <w:ind w:left="0" w:firstLine="0"/>
        <w:rPr>
          <w:lang w:val="en-US"/>
        </w:rPr>
      </w:pPr>
      <w:r w:rsidRPr="001558A5">
        <w:rPr>
          <w:lang w:val="en-US"/>
        </w:rPr>
        <w:t>Consequently</w:t>
      </w:r>
      <w:r w:rsidR="00CA2BC8" w:rsidRPr="001558A5">
        <w:rPr>
          <w:lang w:val="en-US"/>
        </w:rPr>
        <w:t>, the use of the four methods for the interpretation of treaties leads to the same or a consistent result, as established in</w:t>
      </w:r>
      <w:r w:rsidR="009A44A0" w:rsidRPr="001558A5">
        <w:rPr>
          <w:lang w:val="en-US"/>
        </w:rPr>
        <w:t xml:space="preserve"> Article 31(1) of the Vienna Convention.</w:t>
      </w:r>
    </w:p>
    <w:p w14:paraId="5FF263BF" w14:textId="77777777" w:rsidR="009A44A0" w:rsidRPr="001558A5" w:rsidRDefault="009A44A0" w:rsidP="009A44A0">
      <w:pPr>
        <w:pStyle w:val="Prrafodelista"/>
        <w:ind w:left="0"/>
        <w:rPr>
          <w:color w:val="000000"/>
          <w:szCs w:val="20"/>
          <w:lang w:val="en-US"/>
        </w:rPr>
      </w:pPr>
    </w:p>
    <w:p w14:paraId="70E987C0" w14:textId="77777777" w:rsidR="009A44A0" w:rsidRPr="001558A5" w:rsidRDefault="009A44A0" w:rsidP="009A44A0">
      <w:pPr>
        <w:pStyle w:val="Numberedparagraphs"/>
        <w:numPr>
          <w:ilvl w:val="0"/>
          <w:numId w:val="44"/>
        </w:numPr>
        <w:ind w:left="0" w:firstLine="0"/>
        <w:rPr>
          <w:b/>
          <w:bCs/>
          <w:lang w:val="en-US"/>
        </w:rPr>
      </w:pPr>
      <w:r w:rsidRPr="001558A5">
        <w:rPr>
          <w:b/>
          <w:bCs/>
          <w:lang w:val="en-US"/>
        </w:rPr>
        <w:t>CONCLUSION</w:t>
      </w:r>
    </w:p>
    <w:p w14:paraId="4A09CA22" w14:textId="77777777" w:rsidR="009A44A0" w:rsidRPr="001558A5" w:rsidRDefault="009A44A0" w:rsidP="009A44A0">
      <w:pPr>
        <w:pStyle w:val="Prrafodelista"/>
        <w:ind w:left="0"/>
        <w:rPr>
          <w:lang w:val="en-US"/>
        </w:rPr>
      </w:pPr>
    </w:p>
    <w:p w14:paraId="4199DD81" w14:textId="58CFE742" w:rsidR="002F7D0F" w:rsidRPr="001558A5" w:rsidRDefault="004E55E0" w:rsidP="009A44A0">
      <w:pPr>
        <w:pStyle w:val="Numberedparagraphs"/>
        <w:numPr>
          <w:ilvl w:val="0"/>
          <w:numId w:val="42"/>
        </w:numPr>
        <w:ind w:left="0" w:firstLine="0"/>
        <w:rPr>
          <w:lang w:val="en-US"/>
        </w:rPr>
      </w:pPr>
      <w:r w:rsidRPr="001558A5">
        <w:rPr>
          <w:lang w:val="en-US"/>
        </w:rPr>
        <w:t xml:space="preserve">From everything presented previously and, particularly, owing to the provisions of  </w:t>
      </w:r>
      <w:r w:rsidR="009A44A0" w:rsidRPr="001558A5">
        <w:rPr>
          <w:lang w:val="en-US"/>
        </w:rPr>
        <w:t xml:space="preserve">Articles 1 and 3 of the </w:t>
      </w:r>
      <w:r w:rsidR="00686C80" w:rsidRPr="001558A5">
        <w:rPr>
          <w:lang w:val="en-US"/>
        </w:rPr>
        <w:t>Convention of</w:t>
      </w:r>
      <w:r w:rsidR="009A44A0" w:rsidRPr="001558A5">
        <w:rPr>
          <w:lang w:val="en-US"/>
        </w:rPr>
        <w:t xml:space="preserve"> Belem do </w:t>
      </w:r>
      <w:proofErr w:type="spellStart"/>
      <w:r w:rsidR="009A44A0" w:rsidRPr="001558A5">
        <w:rPr>
          <w:lang w:val="en-US"/>
        </w:rPr>
        <w:t>Pará</w:t>
      </w:r>
      <w:proofErr w:type="spellEnd"/>
      <w:r w:rsidR="009A44A0" w:rsidRPr="001558A5">
        <w:rPr>
          <w:lang w:val="en-US"/>
        </w:rPr>
        <w:t xml:space="preserve">, </w:t>
      </w:r>
      <w:r w:rsidRPr="001558A5">
        <w:rPr>
          <w:lang w:val="en-US"/>
        </w:rPr>
        <w:t>what is proscribed is the “act or conduct”</w:t>
      </w:r>
      <w:r w:rsidR="002F7D0F" w:rsidRPr="001558A5">
        <w:rPr>
          <w:lang w:val="en-US"/>
        </w:rPr>
        <w:t xml:space="preserve"> against “women” that leads to their “death or [</w:t>
      </w:r>
      <w:r w:rsidR="002F7D0F" w:rsidRPr="001558A5">
        <w:rPr>
          <w:i/>
          <w:iCs/>
          <w:lang w:val="en-US"/>
        </w:rPr>
        <w:t>…</w:t>
      </w:r>
      <w:r w:rsidR="002F7D0F" w:rsidRPr="001558A5">
        <w:rPr>
          <w:lang w:val="en-US"/>
        </w:rPr>
        <w:t>] harm or suffering” and that is committed owing to their gender; that is, owing to the “socially constructed identities, attributes and roles [for women …] and society’s social and cultural meaning for these biological differences” from men, a situation that, logically cannot correspond to that of “trans women.”</w:t>
      </w:r>
    </w:p>
    <w:p w14:paraId="2DD21C67" w14:textId="77777777" w:rsidR="009A44A0" w:rsidRPr="001558A5" w:rsidRDefault="009A44A0" w:rsidP="009A44A0">
      <w:pPr>
        <w:pStyle w:val="Numberedparagraphs"/>
        <w:numPr>
          <w:ilvl w:val="0"/>
          <w:numId w:val="0"/>
        </w:numPr>
        <w:rPr>
          <w:lang w:val="en-US"/>
        </w:rPr>
      </w:pPr>
    </w:p>
    <w:p w14:paraId="70986E10" w14:textId="79DDE35F" w:rsidR="009A44A0" w:rsidRPr="001558A5" w:rsidRDefault="002F7D0F" w:rsidP="002F7D0F">
      <w:pPr>
        <w:pStyle w:val="Numberedparagraphs"/>
        <w:numPr>
          <w:ilvl w:val="0"/>
          <w:numId w:val="42"/>
        </w:numPr>
        <w:ind w:left="0" w:firstLine="0"/>
        <w:rPr>
          <w:lang w:val="en-US"/>
        </w:rPr>
      </w:pPr>
      <w:r w:rsidRPr="001558A5">
        <w:rPr>
          <w:lang w:val="en-US"/>
        </w:rPr>
        <w:t xml:space="preserve">Lastly, I wish to place on record that the assertions made in this opinion </w:t>
      </w:r>
      <w:r w:rsidR="0038073B" w:rsidRPr="001558A5">
        <w:rPr>
          <w:lang w:val="en-US"/>
        </w:rPr>
        <w:t>do</w:t>
      </w:r>
      <w:r w:rsidRPr="001558A5">
        <w:rPr>
          <w:lang w:val="en-US"/>
        </w:rPr>
        <w:t xml:space="preserve"> not deny</w:t>
      </w:r>
      <w:r w:rsidR="0038073B" w:rsidRPr="001558A5">
        <w:rPr>
          <w:lang w:val="en-US"/>
        </w:rPr>
        <w:t xml:space="preserve"> the</w:t>
      </w:r>
      <w:r w:rsidRPr="001558A5">
        <w:rPr>
          <w:lang w:val="en-US"/>
        </w:rPr>
        <w:t xml:space="preserve"> protection that </w:t>
      </w:r>
      <w:proofErr w:type="gramStart"/>
      <w:r w:rsidRPr="001558A5">
        <w:rPr>
          <w:lang w:val="en-US"/>
        </w:rPr>
        <w:t>trans</w:t>
      </w:r>
      <w:proofErr w:type="gramEnd"/>
      <w:r w:rsidRPr="001558A5">
        <w:rPr>
          <w:lang w:val="en-US"/>
        </w:rPr>
        <w:t xml:space="preserve"> persons should receive from the State </w:t>
      </w:r>
      <w:r w:rsidR="002018A0" w:rsidRPr="001558A5">
        <w:rPr>
          <w:lang w:val="en-US"/>
        </w:rPr>
        <w:t>to address the problem of the</w:t>
      </w:r>
      <w:r w:rsidRPr="001558A5">
        <w:rPr>
          <w:lang w:val="en-US"/>
        </w:rPr>
        <w:t xml:space="preserve"> violence against then based on their gender identity. </w:t>
      </w:r>
      <w:r w:rsidR="002018A0" w:rsidRPr="001558A5">
        <w:rPr>
          <w:lang w:val="en-US"/>
        </w:rPr>
        <w:t>However, t</w:t>
      </w:r>
      <w:r w:rsidRPr="001558A5">
        <w:rPr>
          <w:lang w:val="en-US"/>
        </w:rPr>
        <w:t>hat obligation is</w:t>
      </w:r>
      <w:r w:rsidR="002018A0" w:rsidRPr="001558A5">
        <w:rPr>
          <w:lang w:val="en-US"/>
        </w:rPr>
        <w:t xml:space="preserve"> </w:t>
      </w:r>
      <w:r w:rsidRPr="001558A5">
        <w:rPr>
          <w:lang w:val="en-US"/>
        </w:rPr>
        <w:t>included in the general provisions contemplated, in particular</w:t>
      </w:r>
      <w:r w:rsidR="00BF06DC" w:rsidRPr="001558A5">
        <w:rPr>
          <w:lang w:val="en-US"/>
        </w:rPr>
        <w:t>,</w:t>
      </w:r>
      <w:r w:rsidRPr="001558A5">
        <w:rPr>
          <w:lang w:val="en-US"/>
        </w:rPr>
        <w:t xml:space="preserve"> in </w:t>
      </w:r>
      <w:r w:rsidR="009A44A0" w:rsidRPr="001558A5">
        <w:rPr>
          <w:lang w:val="en-US"/>
        </w:rPr>
        <w:t xml:space="preserve">Articles </w:t>
      </w:r>
      <w:r w:rsidR="002018A0" w:rsidRPr="001558A5">
        <w:rPr>
          <w:lang w:val="en-US"/>
        </w:rPr>
        <w:t>1</w:t>
      </w:r>
      <w:r w:rsidR="009A44A0" w:rsidRPr="001558A5">
        <w:rPr>
          <w:rStyle w:val="Refdenotaalpie"/>
          <w:lang w:val="en-US"/>
        </w:rPr>
        <w:footnoteReference w:id="238"/>
      </w:r>
      <w:r w:rsidR="009A44A0" w:rsidRPr="001558A5">
        <w:rPr>
          <w:lang w:val="en-US"/>
        </w:rPr>
        <w:t xml:space="preserve"> and 5(1)</w:t>
      </w:r>
      <w:r w:rsidR="009A44A0" w:rsidRPr="001558A5">
        <w:rPr>
          <w:rStyle w:val="Refdenotaalpie"/>
          <w:lang w:val="en-US"/>
        </w:rPr>
        <w:footnoteReference w:id="239"/>
      </w:r>
      <w:r w:rsidR="009A44A0" w:rsidRPr="001558A5">
        <w:rPr>
          <w:lang w:val="en-US"/>
        </w:rPr>
        <w:t xml:space="preserve"> of the </w:t>
      </w:r>
      <w:r w:rsidRPr="001558A5">
        <w:rPr>
          <w:lang w:val="en-US"/>
        </w:rPr>
        <w:t xml:space="preserve">American </w:t>
      </w:r>
      <w:r w:rsidR="009A44A0" w:rsidRPr="001558A5">
        <w:rPr>
          <w:lang w:val="en-US"/>
        </w:rPr>
        <w:t>Convention</w:t>
      </w:r>
      <w:r w:rsidR="00BF06DC" w:rsidRPr="001558A5">
        <w:rPr>
          <w:lang w:val="en-US"/>
        </w:rPr>
        <w:t>; m</w:t>
      </w:r>
      <w:r w:rsidRPr="001558A5">
        <w:rPr>
          <w:lang w:val="en-US"/>
        </w:rPr>
        <w:t xml:space="preserve">oreover, it </w:t>
      </w:r>
      <w:r w:rsidR="002018A0" w:rsidRPr="001558A5">
        <w:rPr>
          <w:lang w:val="en-US"/>
        </w:rPr>
        <w:t>could</w:t>
      </w:r>
      <w:r w:rsidRPr="001558A5">
        <w:rPr>
          <w:lang w:val="en-US"/>
        </w:rPr>
        <w:t xml:space="preserve"> even b</w:t>
      </w:r>
      <w:r w:rsidR="002018A0" w:rsidRPr="001558A5">
        <w:rPr>
          <w:lang w:val="en-US"/>
        </w:rPr>
        <w:t>e</w:t>
      </w:r>
      <w:r w:rsidRPr="001558A5">
        <w:rPr>
          <w:lang w:val="en-US"/>
        </w:rPr>
        <w:t xml:space="preserve"> strengthened and expanded. The Convention itself anticipates this</w:t>
      </w:r>
      <w:r w:rsidR="00387004" w:rsidRPr="001558A5">
        <w:rPr>
          <w:lang w:val="en-US"/>
        </w:rPr>
        <w:t>, by referring to the signature of protocols or other instruments that may have this purpose.</w:t>
      </w:r>
      <w:bookmarkStart w:id="161" w:name="_Hlk67852860"/>
      <w:r w:rsidR="009A44A0" w:rsidRPr="001558A5">
        <w:rPr>
          <w:rStyle w:val="Refdenotaalpie"/>
          <w:lang w:val="en-US"/>
        </w:rPr>
        <w:footnoteReference w:id="240"/>
      </w:r>
      <w:r w:rsidR="009A44A0" w:rsidRPr="001558A5">
        <w:rPr>
          <w:lang w:val="en-US"/>
        </w:rPr>
        <w:t xml:space="preserve"> In the case of the Convention of Belem do </w:t>
      </w:r>
      <w:proofErr w:type="spellStart"/>
      <w:r w:rsidR="009A44A0" w:rsidRPr="001558A5">
        <w:rPr>
          <w:lang w:val="en-US"/>
        </w:rPr>
        <w:t>Pará</w:t>
      </w:r>
      <w:proofErr w:type="spellEnd"/>
      <w:r w:rsidR="009A44A0" w:rsidRPr="001558A5">
        <w:rPr>
          <w:lang w:val="en-US"/>
        </w:rPr>
        <w:t>, this contemplates the possibility of amendments.</w:t>
      </w:r>
      <w:r w:rsidR="009A44A0" w:rsidRPr="001558A5">
        <w:rPr>
          <w:rStyle w:val="Refdenotaalpie"/>
          <w:lang w:val="en-US"/>
        </w:rPr>
        <w:footnoteReference w:id="241"/>
      </w:r>
    </w:p>
    <w:p w14:paraId="22C34311" w14:textId="77777777" w:rsidR="009A44A0" w:rsidRPr="001558A5" w:rsidRDefault="009A44A0" w:rsidP="009A44A0">
      <w:pPr>
        <w:pStyle w:val="Prrafodelista"/>
        <w:ind w:left="0"/>
        <w:rPr>
          <w:color w:val="000000"/>
          <w:szCs w:val="20"/>
          <w:lang w:val="en-US"/>
        </w:rPr>
      </w:pPr>
    </w:p>
    <w:p w14:paraId="37F0A257" w14:textId="3D17EF5F" w:rsidR="009A44A0" w:rsidRPr="001558A5" w:rsidRDefault="00BF06DC" w:rsidP="00387004">
      <w:pPr>
        <w:pStyle w:val="Numberedparagraphs"/>
        <w:numPr>
          <w:ilvl w:val="0"/>
          <w:numId w:val="42"/>
        </w:numPr>
        <w:ind w:left="0" w:firstLine="0"/>
        <w:rPr>
          <w:lang w:val="en-US"/>
        </w:rPr>
      </w:pPr>
      <w:r w:rsidRPr="001558A5">
        <w:rPr>
          <w:lang w:val="en-US"/>
        </w:rPr>
        <w:t>Evidently</w:t>
      </w:r>
      <w:r w:rsidR="00387004" w:rsidRPr="001558A5">
        <w:rPr>
          <w:lang w:val="en-US"/>
        </w:rPr>
        <w:t xml:space="preserve">, if it were decided to promote the reform or expansion of the said protection by the signature of new international instruments, even though this could be a slow and difficult choice, it would </w:t>
      </w:r>
      <w:r w:rsidRPr="001558A5">
        <w:rPr>
          <w:lang w:val="en-US"/>
        </w:rPr>
        <w:t xml:space="preserve">clearly </w:t>
      </w:r>
      <w:r w:rsidR="00387004" w:rsidRPr="001558A5">
        <w:rPr>
          <w:lang w:val="en-US"/>
        </w:rPr>
        <w:t>reveal, on the one hand the trust deposited in international law and, especially, international human rights law as one of the effective regulating instruments of inter-American society and, on the other hand, respect for the respective inter-American normative and judicial or jurisdictional functions assigned, the first to the States Parties to the Convention themselves</w:t>
      </w:r>
      <w:r w:rsidR="009A44A0" w:rsidRPr="001558A5">
        <w:rPr>
          <w:rStyle w:val="Refdenotaalpie"/>
          <w:lang w:val="en-US"/>
        </w:rPr>
        <w:footnoteReference w:id="242"/>
      </w:r>
      <w:r w:rsidR="009A44A0" w:rsidRPr="001558A5">
        <w:rPr>
          <w:lang w:val="en-US"/>
        </w:rPr>
        <w:t xml:space="preserve"> and </w:t>
      </w:r>
      <w:r w:rsidR="00387004" w:rsidRPr="001558A5">
        <w:rPr>
          <w:lang w:val="en-US"/>
        </w:rPr>
        <w:t>the second to</w:t>
      </w:r>
      <w:r w:rsidR="009A44A0" w:rsidRPr="001558A5">
        <w:rPr>
          <w:lang w:val="en-US"/>
        </w:rPr>
        <w:t xml:space="preserve"> the Court</w:t>
      </w:r>
      <w:r w:rsidR="00387004" w:rsidRPr="001558A5">
        <w:rPr>
          <w:lang w:val="en-US"/>
        </w:rPr>
        <w:t>.</w:t>
      </w:r>
      <w:r w:rsidR="009A44A0" w:rsidRPr="001558A5">
        <w:rPr>
          <w:rStyle w:val="Refdenotaalpie"/>
          <w:lang w:val="en-US"/>
        </w:rPr>
        <w:footnoteReference w:id="243"/>
      </w:r>
      <w:r w:rsidR="009A44A0" w:rsidRPr="001558A5">
        <w:rPr>
          <w:lang w:val="en-US"/>
        </w:rPr>
        <w:t xml:space="preserve"> </w:t>
      </w:r>
    </w:p>
    <w:bookmarkEnd w:id="161"/>
    <w:p w14:paraId="72BFBB99" w14:textId="77777777" w:rsidR="009A44A0" w:rsidRPr="001558A5" w:rsidRDefault="009A44A0" w:rsidP="009A44A0">
      <w:pPr>
        <w:pStyle w:val="Prrafodelista"/>
        <w:ind w:left="0"/>
        <w:jc w:val="left"/>
        <w:rPr>
          <w:color w:val="000000"/>
          <w:szCs w:val="20"/>
          <w:lang w:val="en-US"/>
        </w:rPr>
      </w:pPr>
    </w:p>
    <w:p w14:paraId="408CD704" w14:textId="77777777" w:rsidR="009A44A0" w:rsidRPr="001558A5" w:rsidRDefault="009A44A0" w:rsidP="009A44A0">
      <w:pPr>
        <w:pStyle w:val="Prrafodelista"/>
        <w:ind w:left="0"/>
        <w:jc w:val="left"/>
        <w:rPr>
          <w:color w:val="000000"/>
          <w:szCs w:val="20"/>
          <w:lang w:val="en-US"/>
        </w:rPr>
      </w:pPr>
    </w:p>
    <w:p w14:paraId="762186CC" w14:textId="77777777" w:rsidR="009A44A0" w:rsidRPr="001558A5" w:rsidRDefault="009A44A0" w:rsidP="009A44A0">
      <w:pPr>
        <w:jc w:val="right"/>
        <w:rPr>
          <w:szCs w:val="20"/>
          <w:lang w:val="en-US"/>
        </w:rPr>
      </w:pPr>
      <w:r w:rsidRPr="001558A5">
        <w:rPr>
          <w:szCs w:val="20"/>
          <w:lang w:val="en-US"/>
        </w:rPr>
        <w:t xml:space="preserve">Eduardo </w:t>
      </w:r>
      <w:proofErr w:type="spellStart"/>
      <w:r w:rsidRPr="001558A5">
        <w:rPr>
          <w:szCs w:val="20"/>
          <w:lang w:val="en-US"/>
        </w:rPr>
        <w:t>Vio</w:t>
      </w:r>
      <w:proofErr w:type="spellEnd"/>
      <w:r w:rsidRPr="001558A5">
        <w:rPr>
          <w:szCs w:val="20"/>
          <w:lang w:val="en-US"/>
        </w:rPr>
        <w:t xml:space="preserve"> </w:t>
      </w:r>
      <w:proofErr w:type="spellStart"/>
      <w:r w:rsidRPr="001558A5">
        <w:rPr>
          <w:szCs w:val="20"/>
          <w:lang w:val="en-US"/>
        </w:rPr>
        <w:t>Grossi</w:t>
      </w:r>
      <w:proofErr w:type="spellEnd"/>
    </w:p>
    <w:p w14:paraId="181DF62C" w14:textId="5A46E4C7" w:rsidR="00995ACC" w:rsidRPr="00833BAB" w:rsidRDefault="009A44A0" w:rsidP="00BF06DC">
      <w:pPr>
        <w:jc w:val="right"/>
        <w:rPr>
          <w:szCs w:val="20"/>
          <w:lang w:val="en-US"/>
        </w:rPr>
      </w:pPr>
      <w:r w:rsidRPr="001558A5">
        <w:rPr>
          <w:szCs w:val="20"/>
          <w:lang w:val="en-US"/>
        </w:rPr>
        <w:t>Judge</w:t>
      </w:r>
      <w:bookmarkEnd w:id="0"/>
    </w:p>
    <w:sectPr w:rsidR="00995ACC" w:rsidRPr="00833BAB" w:rsidSect="004867E1">
      <w:footerReference w:type="default" r:id="rId15"/>
      <w:footnotePr>
        <w:numRestart w:val="eachSect"/>
      </w:footnotePr>
      <w:pgSz w:w="12240" w:h="15840"/>
      <w:pgMar w:top="1440" w:right="1710" w:bottom="1440" w:left="1440"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C0051" w16cex:dateUtc="2021-07-28T2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449B07" w16cid:durableId="24AC00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55A83" w14:textId="77777777" w:rsidR="004C569B" w:rsidRDefault="004C569B" w:rsidP="009403BF">
      <w:r>
        <w:separator/>
      </w:r>
    </w:p>
  </w:endnote>
  <w:endnote w:type="continuationSeparator" w:id="0">
    <w:p w14:paraId="4104400A" w14:textId="77777777" w:rsidR="004C569B" w:rsidRDefault="004C569B" w:rsidP="0094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Italic">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Apple Chancery">
    <w:altName w:val="﷽﷽﷽﷽﷽﷽﷽﷽ancery"/>
    <w:charset w:val="00"/>
    <w:family w:val="script"/>
    <w:pitch w:val="variable"/>
    <w:sig w:usb0="80000867" w:usb1="00000003" w:usb2="00000000" w:usb3="00000000" w:csb0="000001F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翿"/>
    <w:charset w:val="00"/>
    <w:family w:val="swiss"/>
    <w:pitch w:val="variable"/>
    <w:sig w:usb0="E1000AEF" w:usb1="5000A1FF" w:usb2="00000000" w:usb3="00000000" w:csb0="000001BF" w:csb1="00000000"/>
  </w:font>
  <w:font w:name="Verdana Bold">
    <w:altName w:val="Times New Roman"/>
    <w:charset w:val="00"/>
    <w:family w:val="auto"/>
    <w:pitch w:val="variable"/>
    <w:sig w:usb0="00000001"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Italic">
    <w:altName w:val="Verdana"/>
    <w:panose1 w:val="00000000000000000000"/>
    <w:charset w:val="4D"/>
    <w:family w:val="auto"/>
    <w:notTrueType/>
    <w:pitch w:val="default"/>
    <w:sig w:usb0="03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232FE" w14:textId="77777777" w:rsidR="005977F6" w:rsidRDefault="005977F6" w:rsidP="00E141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1B14A4" w14:textId="77777777" w:rsidR="005977F6" w:rsidRDefault="005977F6" w:rsidP="00E1419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352320"/>
      <w:docPartObj>
        <w:docPartGallery w:val="Page Numbers (Bottom of Page)"/>
        <w:docPartUnique/>
      </w:docPartObj>
    </w:sdtPr>
    <w:sdtEndPr>
      <w:rPr>
        <w:noProof/>
        <w:sz w:val="16"/>
        <w:szCs w:val="16"/>
      </w:rPr>
    </w:sdtEndPr>
    <w:sdtContent>
      <w:p w14:paraId="0F80A5E2" w14:textId="0E8F29BF" w:rsidR="005977F6" w:rsidRPr="00BD65D3" w:rsidRDefault="005977F6">
        <w:pPr>
          <w:pStyle w:val="Piedepgina"/>
          <w:jc w:val="center"/>
          <w:rPr>
            <w:sz w:val="16"/>
            <w:szCs w:val="16"/>
          </w:rPr>
        </w:pPr>
        <w:r w:rsidRPr="00BD65D3">
          <w:rPr>
            <w:sz w:val="16"/>
            <w:szCs w:val="16"/>
          </w:rPr>
          <w:t>-</w:t>
        </w:r>
        <w:r w:rsidRPr="00BD65D3">
          <w:rPr>
            <w:sz w:val="16"/>
            <w:szCs w:val="16"/>
          </w:rPr>
          <w:fldChar w:fldCharType="begin"/>
        </w:r>
        <w:r w:rsidRPr="00BD65D3">
          <w:rPr>
            <w:sz w:val="16"/>
            <w:szCs w:val="16"/>
          </w:rPr>
          <w:instrText xml:space="preserve"> PAGE   \* MERGEFORMAT </w:instrText>
        </w:r>
        <w:r w:rsidRPr="00BD65D3">
          <w:rPr>
            <w:sz w:val="16"/>
            <w:szCs w:val="16"/>
          </w:rPr>
          <w:fldChar w:fldCharType="separate"/>
        </w:r>
        <w:r w:rsidR="00547BDC">
          <w:rPr>
            <w:noProof/>
            <w:sz w:val="16"/>
            <w:szCs w:val="16"/>
          </w:rPr>
          <w:t>53</w:t>
        </w:r>
        <w:r w:rsidRPr="00BD65D3">
          <w:rPr>
            <w:noProof/>
            <w:sz w:val="16"/>
            <w:szCs w:val="16"/>
          </w:rPr>
          <w:fldChar w:fldCharType="end"/>
        </w:r>
        <w:r w:rsidRPr="00BD65D3">
          <w:rPr>
            <w:noProof/>
            <w:sz w:val="16"/>
            <w:szCs w:val="16"/>
          </w:rPr>
          <w:t>-</w:t>
        </w:r>
      </w:p>
    </w:sdtContent>
  </w:sdt>
  <w:p w14:paraId="55687996" w14:textId="77777777" w:rsidR="005977F6" w:rsidRDefault="005977F6" w:rsidP="00E14192">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013025751"/>
      <w:docPartObj>
        <w:docPartGallery w:val="Page Numbers (Bottom of Page)"/>
        <w:docPartUnique/>
      </w:docPartObj>
    </w:sdtPr>
    <w:sdtEndPr>
      <w:rPr>
        <w:rStyle w:val="Nmerodepgina"/>
      </w:rPr>
    </w:sdtEndPr>
    <w:sdtContent>
      <w:p w14:paraId="472A676A" w14:textId="77777777" w:rsidR="00F05692" w:rsidRDefault="00482889" w:rsidP="002F1B0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0CE20C1" w14:textId="77777777" w:rsidR="00F05692" w:rsidRDefault="00547BD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718436251"/>
      <w:docPartObj>
        <w:docPartGallery w:val="Page Numbers (Bottom of Page)"/>
        <w:docPartUnique/>
      </w:docPartObj>
    </w:sdtPr>
    <w:sdtEndPr>
      <w:rPr>
        <w:rStyle w:val="Nmerodepgina"/>
      </w:rPr>
    </w:sdtEndPr>
    <w:sdtContent>
      <w:p w14:paraId="1AF0C061" w14:textId="0245F2F5" w:rsidR="00F05692" w:rsidRDefault="00482889" w:rsidP="002F1B0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47BDC">
          <w:rPr>
            <w:rStyle w:val="Nmerodepgina"/>
            <w:noProof/>
          </w:rPr>
          <w:t>8</w:t>
        </w:r>
        <w:r>
          <w:rPr>
            <w:rStyle w:val="Nmerodepgina"/>
          </w:rPr>
          <w:fldChar w:fldCharType="end"/>
        </w:r>
      </w:p>
    </w:sdtContent>
  </w:sdt>
  <w:p w14:paraId="2110F67F" w14:textId="77777777" w:rsidR="00F05692" w:rsidRDefault="00547BDC">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514238"/>
      <w:docPartObj>
        <w:docPartGallery w:val="Page Numbers (Bottom of Page)"/>
        <w:docPartUnique/>
      </w:docPartObj>
    </w:sdtPr>
    <w:sdtEndPr>
      <w:rPr>
        <w:noProof/>
        <w:szCs w:val="20"/>
      </w:rPr>
    </w:sdtEndPr>
    <w:sdtContent>
      <w:p w14:paraId="16DC8187" w14:textId="7E611105" w:rsidR="009979ED" w:rsidRPr="00E83471" w:rsidRDefault="00482889">
        <w:pPr>
          <w:pStyle w:val="Piedepgina"/>
          <w:jc w:val="center"/>
          <w:rPr>
            <w:szCs w:val="20"/>
          </w:rPr>
        </w:pPr>
        <w:r w:rsidRPr="00E83471">
          <w:rPr>
            <w:szCs w:val="20"/>
          </w:rPr>
          <w:fldChar w:fldCharType="begin"/>
        </w:r>
        <w:r w:rsidRPr="00E83471">
          <w:rPr>
            <w:szCs w:val="20"/>
          </w:rPr>
          <w:instrText xml:space="preserve"> PAGE   \* MERGEFORMAT </w:instrText>
        </w:r>
        <w:r w:rsidRPr="00E83471">
          <w:rPr>
            <w:szCs w:val="20"/>
          </w:rPr>
          <w:fldChar w:fldCharType="separate"/>
        </w:r>
        <w:r w:rsidR="00547BDC">
          <w:rPr>
            <w:noProof/>
            <w:szCs w:val="20"/>
          </w:rPr>
          <w:t>2</w:t>
        </w:r>
        <w:r w:rsidRPr="00E83471">
          <w:rPr>
            <w:noProof/>
            <w:szCs w:val="20"/>
          </w:rPr>
          <w:fldChar w:fldCharType="end"/>
        </w:r>
      </w:p>
    </w:sdtContent>
  </w:sdt>
  <w:p w14:paraId="2461E6CB" w14:textId="77777777" w:rsidR="009979ED" w:rsidRDefault="00547BDC">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id w:val="-700697939"/>
      <w:docPartObj>
        <w:docPartGallery w:val="Page Numbers (Bottom of Page)"/>
        <w:docPartUnique/>
      </w:docPartObj>
    </w:sdtPr>
    <w:sdtEndPr/>
    <w:sdtContent>
      <w:p w14:paraId="57381980" w14:textId="2A4418A9" w:rsidR="009979ED" w:rsidRPr="00E41B7E" w:rsidRDefault="00482889">
        <w:pPr>
          <w:pStyle w:val="Piedepgina"/>
          <w:jc w:val="center"/>
          <w:rPr>
            <w:szCs w:val="20"/>
          </w:rPr>
        </w:pPr>
        <w:r w:rsidRPr="00E41B7E">
          <w:rPr>
            <w:szCs w:val="20"/>
          </w:rPr>
          <w:fldChar w:fldCharType="begin"/>
        </w:r>
        <w:r w:rsidRPr="00E41B7E">
          <w:rPr>
            <w:szCs w:val="20"/>
          </w:rPr>
          <w:instrText>PAGE   \* MERGEFORMAT</w:instrText>
        </w:r>
        <w:r w:rsidRPr="00E41B7E">
          <w:rPr>
            <w:szCs w:val="20"/>
          </w:rPr>
          <w:fldChar w:fldCharType="separate"/>
        </w:r>
        <w:r w:rsidR="00547BDC" w:rsidRPr="00547BDC">
          <w:rPr>
            <w:noProof/>
            <w:szCs w:val="20"/>
            <w:lang w:val="es-ES"/>
          </w:rPr>
          <w:t>1</w:t>
        </w:r>
        <w:r w:rsidRPr="00E41B7E">
          <w:rPr>
            <w:szCs w:val="20"/>
          </w:rPr>
          <w:fldChar w:fldCharType="end"/>
        </w:r>
      </w:p>
    </w:sdtContent>
  </w:sdt>
  <w:p w14:paraId="1E372702" w14:textId="77777777" w:rsidR="009979ED" w:rsidRDefault="00547BDC">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124922"/>
      <w:docPartObj>
        <w:docPartGallery w:val="Page Numbers (Bottom of Page)"/>
        <w:docPartUnique/>
      </w:docPartObj>
    </w:sdtPr>
    <w:sdtEndPr/>
    <w:sdtContent>
      <w:p w14:paraId="204AA946" w14:textId="4176F327" w:rsidR="0075458B" w:rsidRDefault="00482889">
        <w:pPr>
          <w:pStyle w:val="Piedepgina"/>
          <w:jc w:val="right"/>
        </w:pPr>
        <w:r>
          <w:fldChar w:fldCharType="begin"/>
        </w:r>
        <w:r>
          <w:instrText>PAGE   \* MERGEFORMAT</w:instrText>
        </w:r>
        <w:r>
          <w:fldChar w:fldCharType="separate"/>
        </w:r>
        <w:r w:rsidR="00547BDC" w:rsidRPr="00547BDC">
          <w:rPr>
            <w:noProof/>
            <w:lang w:val="es-ES"/>
          </w:rPr>
          <w:t>7</w:t>
        </w:r>
        <w:r>
          <w:fldChar w:fldCharType="end"/>
        </w:r>
      </w:p>
    </w:sdtContent>
  </w:sdt>
  <w:p w14:paraId="6B4C9CF2" w14:textId="77777777" w:rsidR="0075458B" w:rsidRDefault="00547B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79A3C" w14:textId="77777777" w:rsidR="004C569B" w:rsidRDefault="004C569B" w:rsidP="009403BF">
      <w:r>
        <w:separator/>
      </w:r>
    </w:p>
  </w:footnote>
  <w:footnote w:type="continuationSeparator" w:id="0">
    <w:p w14:paraId="1EED4B30" w14:textId="77777777" w:rsidR="004C569B" w:rsidRDefault="004C569B" w:rsidP="009403BF">
      <w:r>
        <w:continuationSeparator/>
      </w:r>
    </w:p>
  </w:footnote>
  <w:footnote w:id="1">
    <w:p w14:paraId="7A39E945" w14:textId="490FBEB2"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EB397C" w:rsidRPr="001558A5">
        <w:rPr>
          <w:lang w:val="en-US"/>
        </w:rPr>
        <w:t xml:space="preserve">The members of </w:t>
      </w:r>
      <w:r w:rsidRPr="001558A5">
        <w:rPr>
          <w:lang w:val="en-US"/>
        </w:rPr>
        <w:t>Vicky Hernández</w:t>
      </w:r>
      <w:r w:rsidR="004F4F9C" w:rsidRPr="001558A5">
        <w:rPr>
          <w:lang w:val="en-US"/>
        </w:rPr>
        <w:t>’s family</w:t>
      </w:r>
      <w:r w:rsidR="00EB397C" w:rsidRPr="001558A5">
        <w:rPr>
          <w:lang w:val="en-US"/>
        </w:rPr>
        <w:t xml:space="preserve"> who appear as presumed victims</w:t>
      </w:r>
      <w:r w:rsidRPr="001558A5">
        <w:rPr>
          <w:lang w:val="en-US"/>
        </w:rPr>
        <w:t xml:space="preserve"> </w:t>
      </w:r>
      <w:r w:rsidR="00EB397C" w:rsidRPr="001558A5">
        <w:rPr>
          <w:lang w:val="en-US"/>
        </w:rPr>
        <w:t>in the</w:t>
      </w:r>
      <w:r w:rsidRPr="001558A5">
        <w:rPr>
          <w:lang w:val="en-US"/>
        </w:rPr>
        <w:t xml:space="preserve"> </w:t>
      </w:r>
      <w:r w:rsidR="00EB397C" w:rsidRPr="001558A5">
        <w:rPr>
          <w:lang w:val="en-US"/>
        </w:rPr>
        <w:t>Merits Report</w:t>
      </w:r>
      <w:r w:rsidRPr="001558A5">
        <w:rPr>
          <w:lang w:val="en-US"/>
        </w:rPr>
        <w:t xml:space="preserve"> </w:t>
      </w:r>
      <w:r w:rsidR="00EB397C" w:rsidRPr="001558A5">
        <w:rPr>
          <w:lang w:val="en-US"/>
        </w:rPr>
        <w:t>are her mother,</w:t>
      </w:r>
      <w:r w:rsidRPr="001558A5">
        <w:rPr>
          <w:lang w:val="en-US"/>
        </w:rPr>
        <w:t xml:space="preserve"> Rosa </w:t>
      </w:r>
      <w:proofErr w:type="spellStart"/>
      <w:r w:rsidRPr="001558A5">
        <w:rPr>
          <w:lang w:val="en-US"/>
        </w:rPr>
        <w:t>Argelia</w:t>
      </w:r>
      <w:proofErr w:type="spellEnd"/>
      <w:r w:rsidRPr="001558A5">
        <w:rPr>
          <w:lang w:val="en-US"/>
        </w:rPr>
        <w:t xml:space="preserve"> Hernández </w:t>
      </w:r>
      <w:proofErr w:type="spellStart"/>
      <w:r w:rsidRPr="001558A5">
        <w:rPr>
          <w:lang w:val="en-US"/>
        </w:rPr>
        <w:t>Martínez</w:t>
      </w:r>
      <w:proofErr w:type="spellEnd"/>
      <w:r w:rsidRPr="001558A5">
        <w:rPr>
          <w:lang w:val="en-US"/>
        </w:rPr>
        <w:t xml:space="preserve">, </w:t>
      </w:r>
      <w:r w:rsidR="00EB397C" w:rsidRPr="001558A5">
        <w:rPr>
          <w:lang w:val="en-US"/>
        </w:rPr>
        <w:t>her sister,</w:t>
      </w:r>
      <w:r w:rsidRPr="001558A5">
        <w:rPr>
          <w:lang w:val="en-US"/>
        </w:rPr>
        <w:t xml:space="preserve"> </w:t>
      </w:r>
      <w:proofErr w:type="spellStart"/>
      <w:r w:rsidRPr="001558A5">
        <w:rPr>
          <w:lang w:val="en-US"/>
        </w:rPr>
        <w:t>Merelin</w:t>
      </w:r>
      <w:proofErr w:type="spellEnd"/>
      <w:r w:rsidRPr="001558A5">
        <w:rPr>
          <w:lang w:val="en-US"/>
        </w:rPr>
        <w:t xml:space="preserve"> Tatiana </w:t>
      </w:r>
      <w:proofErr w:type="spellStart"/>
      <w:r w:rsidRPr="001558A5">
        <w:rPr>
          <w:lang w:val="en-US"/>
        </w:rPr>
        <w:t>Rápalo</w:t>
      </w:r>
      <w:proofErr w:type="spellEnd"/>
      <w:r w:rsidRPr="001558A5">
        <w:rPr>
          <w:lang w:val="en-US"/>
        </w:rPr>
        <w:t xml:space="preserve"> Hernández,</w:t>
      </w:r>
      <w:r w:rsidR="00DD4354" w:rsidRPr="001558A5">
        <w:rPr>
          <w:lang w:val="en-US"/>
        </w:rPr>
        <w:t xml:space="preserve"> and </w:t>
      </w:r>
      <w:r w:rsidR="00EB397C" w:rsidRPr="001558A5">
        <w:rPr>
          <w:lang w:val="en-US"/>
        </w:rPr>
        <w:t>her niece,</w:t>
      </w:r>
      <w:r w:rsidRPr="001558A5">
        <w:rPr>
          <w:lang w:val="en-US"/>
        </w:rPr>
        <w:t xml:space="preserve"> </w:t>
      </w:r>
      <w:proofErr w:type="spellStart"/>
      <w:r w:rsidRPr="001558A5">
        <w:rPr>
          <w:lang w:val="en-US"/>
        </w:rPr>
        <w:t>Argelia</w:t>
      </w:r>
      <w:proofErr w:type="spellEnd"/>
      <w:r w:rsidRPr="001558A5">
        <w:rPr>
          <w:lang w:val="en-US"/>
        </w:rPr>
        <w:t xml:space="preserve"> Johana Reyes Ríos.</w:t>
      </w:r>
    </w:p>
  </w:footnote>
  <w:footnote w:id="2">
    <w:p w14:paraId="6B0B5F01" w14:textId="175C7602" w:rsidR="00EB397C" w:rsidRPr="001558A5" w:rsidRDefault="00EB397C"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t xml:space="preserve">In a brief of March 30, 2015, the Centro de </w:t>
      </w:r>
      <w:r w:rsidR="00DF25EB" w:rsidRPr="001558A5">
        <w:rPr>
          <w:szCs w:val="16"/>
          <w:lang w:val="en-US"/>
        </w:rPr>
        <w:t>Derechos Humanos</w:t>
      </w:r>
      <w:r w:rsidRPr="001558A5">
        <w:rPr>
          <w:szCs w:val="16"/>
          <w:lang w:val="en-US"/>
        </w:rPr>
        <w:t xml:space="preserve"> de las </w:t>
      </w:r>
      <w:proofErr w:type="spellStart"/>
      <w:r w:rsidRPr="001558A5">
        <w:rPr>
          <w:szCs w:val="16"/>
          <w:lang w:val="en-US"/>
        </w:rPr>
        <w:t>Mujeres</w:t>
      </w:r>
      <w:proofErr w:type="spellEnd"/>
      <w:r w:rsidRPr="001558A5">
        <w:rPr>
          <w:szCs w:val="16"/>
          <w:lang w:val="en-US"/>
        </w:rPr>
        <w:t xml:space="preserve"> re</w:t>
      </w:r>
      <w:r w:rsidR="00B732DD" w:rsidRPr="001558A5">
        <w:rPr>
          <w:szCs w:val="16"/>
          <w:lang w:val="en-US"/>
        </w:rPr>
        <w:t xml:space="preserve">linquished its representation in this case. Subsequently, </w:t>
      </w:r>
      <w:r w:rsidRPr="001558A5">
        <w:rPr>
          <w:szCs w:val="16"/>
          <w:lang w:val="en-US"/>
        </w:rPr>
        <w:t xml:space="preserve">Robert F. Kennedy Human Rights </w:t>
      </w:r>
      <w:r w:rsidR="00B732DD" w:rsidRPr="001558A5">
        <w:rPr>
          <w:szCs w:val="16"/>
          <w:lang w:val="en-US"/>
        </w:rPr>
        <w:t>incorporated the case as co-petitioner.</w:t>
      </w:r>
    </w:p>
  </w:footnote>
  <w:footnote w:id="3">
    <w:p w14:paraId="6A7580C6" w14:textId="49BE3C4E" w:rsidR="005977F6" w:rsidRPr="001558A5" w:rsidRDefault="005977F6" w:rsidP="000B2BB5">
      <w:pPr>
        <w:pStyle w:val="Textonotapie"/>
        <w:tabs>
          <w:tab w:val="left" w:pos="360"/>
        </w:tabs>
        <w:spacing w:before="60" w:after="60"/>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B732DD" w:rsidRPr="001558A5">
        <w:rPr>
          <w:szCs w:val="16"/>
          <w:lang w:val="en-US"/>
        </w:rPr>
        <w:t>It concluded that Honduras was responsible for the violation of the rights to life</w:t>
      </w:r>
      <w:r w:rsidRPr="001558A5">
        <w:rPr>
          <w:szCs w:val="16"/>
          <w:lang w:val="en-US"/>
        </w:rPr>
        <w:t xml:space="preserve">, </w:t>
      </w:r>
      <w:r w:rsidR="00B732DD" w:rsidRPr="001558A5">
        <w:rPr>
          <w:szCs w:val="16"/>
          <w:lang w:val="en-US"/>
        </w:rPr>
        <w:t>personal integrity</w:t>
      </w:r>
      <w:r w:rsidRPr="001558A5">
        <w:rPr>
          <w:szCs w:val="16"/>
          <w:lang w:val="en-US"/>
        </w:rPr>
        <w:t xml:space="preserve">, </w:t>
      </w:r>
      <w:r w:rsidR="00B732DD" w:rsidRPr="001558A5">
        <w:rPr>
          <w:szCs w:val="16"/>
          <w:lang w:val="en-US"/>
        </w:rPr>
        <w:t>judicial guarantees</w:t>
      </w:r>
      <w:r w:rsidRPr="001558A5">
        <w:rPr>
          <w:szCs w:val="16"/>
          <w:lang w:val="en-US"/>
        </w:rPr>
        <w:t xml:space="preserve">, </w:t>
      </w:r>
      <w:r w:rsidR="00B732DD" w:rsidRPr="001558A5">
        <w:rPr>
          <w:szCs w:val="16"/>
          <w:lang w:val="en-US"/>
        </w:rPr>
        <w:t>honor and dignity</w:t>
      </w:r>
      <w:r w:rsidRPr="001558A5">
        <w:rPr>
          <w:szCs w:val="16"/>
          <w:lang w:val="en-US"/>
        </w:rPr>
        <w:t xml:space="preserve">, </w:t>
      </w:r>
      <w:r w:rsidR="00B732DD" w:rsidRPr="001558A5">
        <w:rPr>
          <w:szCs w:val="16"/>
          <w:lang w:val="en-US"/>
        </w:rPr>
        <w:t>freedom of expression</w:t>
      </w:r>
      <w:r w:rsidRPr="001558A5">
        <w:rPr>
          <w:szCs w:val="16"/>
          <w:lang w:val="en-US"/>
        </w:rPr>
        <w:t xml:space="preserve">, </w:t>
      </w:r>
      <w:r w:rsidR="00B732DD" w:rsidRPr="001558A5">
        <w:rPr>
          <w:szCs w:val="16"/>
          <w:lang w:val="en-US"/>
        </w:rPr>
        <w:t>equality and non-discrimination</w:t>
      </w:r>
      <w:r w:rsidRPr="001558A5">
        <w:rPr>
          <w:szCs w:val="16"/>
          <w:lang w:val="en-US"/>
        </w:rPr>
        <w:t>,</w:t>
      </w:r>
      <w:r w:rsidR="00B732DD" w:rsidRPr="001558A5">
        <w:rPr>
          <w:szCs w:val="16"/>
          <w:lang w:val="en-US"/>
        </w:rPr>
        <w:t xml:space="preserve"> and</w:t>
      </w:r>
      <w:r w:rsidRPr="001558A5">
        <w:rPr>
          <w:szCs w:val="16"/>
          <w:lang w:val="en-US"/>
        </w:rPr>
        <w:t xml:space="preserve"> </w:t>
      </w:r>
      <w:r w:rsidR="00B732DD" w:rsidRPr="001558A5">
        <w:rPr>
          <w:szCs w:val="16"/>
          <w:lang w:val="en-US"/>
        </w:rPr>
        <w:t>judicial protection established in</w:t>
      </w:r>
      <w:r w:rsidRPr="001558A5">
        <w:rPr>
          <w:szCs w:val="16"/>
          <w:lang w:val="en-US"/>
        </w:rPr>
        <w:t xml:space="preserve"> </w:t>
      </w:r>
      <w:r w:rsidR="00871E19" w:rsidRPr="001558A5">
        <w:rPr>
          <w:szCs w:val="16"/>
          <w:lang w:val="en-US"/>
        </w:rPr>
        <w:t>Articles</w:t>
      </w:r>
      <w:r w:rsidRPr="001558A5">
        <w:rPr>
          <w:szCs w:val="16"/>
          <w:lang w:val="en-US"/>
        </w:rPr>
        <w:t xml:space="preserve"> </w:t>
      </w:r>
      <w:r w:rsidR="00B732DD" w:rsidRPr="001558A5">
        <w:rPr>
          <w:szCs w:val="16"/>
          <w:lang w:val="en-US"/>
        </w:rPr>
        <w:t>4(1)</w:t>
      </w:r>
      <w:r w:rsidRPr="001558A5">
        <w:rPr>
          <w:szCs w:val="16"/>
          <w:lang w:val="en-US"/>
        </w:rPr>
        <w:t xml:space="preserve">, </w:t>
      </w:r>
      <w:r w:rsidR="00B732DD" w:rsidRPr="001558A5">
        <w:rPr>
          <w:szCs w:val="16"/>
          <w:lang w:val="en-US"/>
        </w:rPr>
        <w:t>5(1)</w:t>
      </w:r>
      <w:r w:rsidRPr="001558A5">
        <w:rPr>
          <w:szCs w:val="16"/>
          <w:lang w:val="en-US"/>
        </w:rPr>
        <w:t xml:space="preserve">, </w:t>
      </w:r>
      <w:r w:rsidR="00B732DD" w:rsidRPr="001558A5">
        <w:rPr>
          <w:szCs w:val="16"/>
          <w:lang w:val="en-US"/>
        </w:rPr>
        <w:t>8(1)</w:t>
      </w:r>
      <w:r w:rsidRPr="001558A5">
        <w:rPr>
          <w:szCs w:val="16"/>
          <w:lang w:val="en-US"/>
        </w:rPr>
        <w:t>, 11, 13, 24</w:t>
      </w:r>
      <w:r w:rsidR="00DD4354" w:rsidRPr="001558A5">
        <w:rPr>
          <w:szCs w:val="16"/>
          <w:lang w:val="en-US"/>
        </w:rPr>
        <w:t xml:space="preserve"> and </w:t>
      </w:r>
      <w:r w:rsidRPr="001558A5">
        <w:rPr>
          <w:szCs w:val="16"/>
          <w:lang w:val="en-US"/>
        </w:rPr>
        <w:t>2</w:t>
      </w:r>
      <w:r w:rsidR="00B732DD" w:rsidRPr="001558A5">
        <w:rPr>
          <w:szCs w:val="16"/>
          <w:lang w:val="en-US"/>
        </w:rPr>
        <w:t>5(1)</w:t>
      </w:r>
      <w:r w:rsidR="00DD4354" w:rsidRPr="001558A5">
        <w:rPr>
          <w:szCs w:val="16"/>
          <w:lang w:val="en-US"/>
        </w:rPr>
        <w:t xml:space="preserve"> of the </w:t>
      </w:r>
      <w:r w:rsidR="00871E19" w:rsidRPr="001558A5">
        <w:rPr>
          <w:szCs w:val="16"/>
          <w:lang w:val="en-US"/>
        </w:rPr>
        <w:t>Convention</w:t>
      </w:r>
      <w:r w:rsidR="00B732DD" w:rsidRPr="001558A5">
        <w:rPr>
          <w:szCs w:val="16"/>
          <w:lang w:val="en-US"/>
        </w:rPr>
        <w:t xml:space="preserve"> in relation to the obligations established in</w:t>
      </w:r>
      <w:r w:rsidRPr="001558A5">
        <w:rPr>
          <w:szCs w:val="16"/>
          <w:lang w:val="en-US"/>
        </w:rPr>
        <w:t xml:space="preserve"> </w:t>
      </w:r>
      <w:r w:rsidR="00B732DD" w:rsidRPr="001558A5">
        <w:rPr>
          <w:szCs w:val="16"/>
          <w:lang w:val="en-US"/>
        </w:rPr>
        <w:t>Article 1(1)</w:t>
      </w:r>
      <w:r w:rsidRPr="001558A5">
        <w:rPr>
          <w:szCs w:val="16"/>
          <w:lang w:val="en-US"/>
        </w:rPr>
        <w:t xml:space="preserve"> </w:t>
      </w:r>
      <w:r w:rsidR="00B732DD" w:rsidRPr="001558A5">
        <w:rPr>
          <w:szCs w:val="16"/>
          <w:lang w:val="en-US"/>
        </w:rPr>
        <w:t>of this instrument</w:t>
      </w:r>
      <w:r w:rsidRPr="001558A5">
        <w:rPr>
          <w:szCs w:val="16"/>
          <w:lang w:val="en-US"/>
        </w:rPr>
        <w:t>. Ad</w:t>
      </w:r>
      <w:r w:rsidR="00B732DD" w:rsidRPr="001558A5">
        <w:rPr>
          <w:szCs w:val="16"/>
          <w:lang w:val="en-US"/>
        </w:rPr>
        <w:t>ditionally</w:t>
      </w:r>
      <w:r w:rsidRPr="001558A5">
        <w:rPr>
          <w:szCs w:val="16"/>
          <w:lang w:val="en-US"/>
        </w:rPr>
        <w:t xml:space="preserve">, </w:t>
      </w:r>
      <w:r w:rsidR="00871E19" w:rsidRPr="001558A5">
        <w:rPr>
          <w:szCs w:val="16"/>
          <w:lang w:val="en-US"/>
        </w:rPr>
        <w:t>the Commission</w:t>
      </w:r>
      <w:r w:rsidRPr="001558A5">
        <w:rPr>
          <w:szCs w:val="16"/>
          <w:lang w:val="en-US"/>
        </w:rPr>
        <w:t xml:space="preserve"> </w:t>
      </w:r>
      <w:r w:rsidR="00B732DD" w:rsidRPr="001558A5">
        <w:rPr>
          <w:szCs w:val="16"/>
          <w:lang w:val="en-US"/>
        </w:rPr>
        <w:t xml:space="preserve">asked that the Court declare the international responsibility of the State for the violation of </w:t>
      </w:r>
      <w:r w:rsidR="00871E19" w:rsidRPr="001558A5">
        <w:rPr>
          <w:szCs w:val="16"/>
          <w:lang w:val="en-US"/>
        </w:rPr>
        <w:t>Article</w:t>
      </w:r>
      <w:r w:rsidRPr="001558A5">
        <w:rPr>
          <w:szCs w:val="16"/>
          <w:lang w:val="en-US"/>
        </w:rPr>
        <w:t xml:space="preserve"> 7</w:t>
      </w:r>
      <w:r w:rsidR="00DD4354" w:rsidRPr="001558A5">
        <w:rPr>
          <w:szCs w:val="16"/>
          <w:lang w:val="en-US"/>
        </w:rPr>
        <w:t xml:space="preserve"> of the </w:t>
      </w:r>
      <w:r w:rsidR="00B732DD" w:rsidRPr="001558A5">
        <w:rPr>
          <w:szCs w:val="16"/>
          <w:lang w:val="en-US"/>
        </w:rPr>
        <w:t>Inter-American Convention for the Prevention, Punishment and Eradication of Violence against Women</w:t>
      </w:r>
      <w:r w:rsidRPr="001558A5">
        <w:rPr>
          <w:szCs w:val="16"/>
          <w:lang w:val="en-US"/>
        </w:rPr>
        <w:t>.</w:t>
      </w:r>
    </w:p>
  </w:footnote>
  <w:footnote w:id="4">
    <w:p w14:paraId="200234E6" w14:textId="4E5CD8D3" w:rsidR="005977F6" w:rsidRPr="001558A5" w:rsidRDefault="005977F6" w:rsidP="000B2BB5">
      <w:pPr>
        <w:pStyle w:val="Textonotapie"/>
        <w:tabs>
          <w:tab w:val="left" w:pos="360"/>
        </w:tabs>
        <w:spacing w:before="60" w:after="60"/>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907FBD" w:rsidRPr="001558A5">
        <w:rPr>
          <w:szCs w:val="16"/>
          <w:lang w:val="en-US"/>
        </w:rPr>
        <w:t xml:space="preserve">The </w:t>
      </w:r>
      <w:proofErr w:type="spellStart"/>
      <w:r w:rsidR="00907FBD" w:rsidRPr="001558A5">
        <w:rPr>
          <w:szCs w:val="16"/>
          <w:lang w:val="en-US"/>
        </w:rPr>
        <w:t>organisations</w:t>
      </w:r>
      <w:proofErr w:type="spellEnd"/>
      <w:r w:rsidR="00907FBD" w:rsidRPr="001558A5">
        <w:rPr>
          <w:szCs w:val="16"/>
          <w:lang w:val="en-US"/>
        </w:rPr>
        <w:t xml:space="preserve"> representing </w:t>
      </w:r>
      <w:r w:rsidR="00EB397C" w:rsidRPr="001558A5">
        <w:rPr>
          <w:szCs w:val="16"/>
          <w:lang w:val="en-US"/>
        </w:rPr>
        <w:t>the presumed victims</w:t>
      </w:r>
      <w:r w:rsidRPr="001558A5">
        <w:rPr>
          <w:szCs w:val="16"/>
          <w:lang w:val="en-US"/>
        </w:rPr>
        <w:t xml:space="preserve"> </w:t>
      </w:r>
      <w:r w:rsidR="00907FBD" w:rsidRPr="001558A5">
        <w:rPr>
          <w:szCs w:val="16"/>
          <w:lang w:val="en-US"/>
        </w:rPr>
        <w:t>are the</w:t>
      </w:r>
      <w:r w:rsidRPr="001558A5">
        <w:rPr>
          <w:szCs w:val="16"/>
          <w:lang w:val="en-US"/>
        </w:rPr>
        <w:t xml:space="preserve"> </w:t>
      </w:r>
      <w:r w:rsidR="00942E1B" w:rsidRPr="001558A5">
        <w:rPr>
          <w:szCs w:val="16"/>
          <w:lang w:val="en-US"/>
        </w:rPr>
        <w:t xml:space="preserve">Red </w:t>
      </w:r>
      <w:proofErr w:type="spellStart"/>
      <w:r w:rsidR="00942E1B" w:rsidRPr="001558A5">
        <w:rPr>
          <w:szCs w:val="16"/>
          <w:lang w:val="en-US"/>
        </w:rPr>
        <w:t>Lésbica</w:t>
      </w:r>
      <w:proofErr w:type="spellEnd"/>
      <w:r w:rsidR="00942E1B" w:rsidRPr="001558A5">
        <w:rPr>
          <w:szCs w:val="16"/>
          <w:lang w:val="en-US"/>
        </w:rPr>
        <w:t xml:space="preserve"> </w:t>
      </w:r>
      <w:proofErr w:type="spellStart"/>
      <w:r w:rsidRPr="001558A5">
        <w:rPr>
          <w:szCs w:val="16"/>
          <w:lang w:val="en-US"/>
        </w:rPr>
        <w:t>Cat</w:t>
      </w:r>
      <w:r w:rsidR="00F053EE" w:rsidRPr="001558A5">
        <w:rPr>
          <w:szCs w:val="16"/>
          <w:lang w:val="en-US"/>
        </w:rPr>
        <w:t>t</w:t>
      </w:r>
      <w:r w:rsidRPr="001558A5">
        <w:rPr>
          <w:szCs w:val="16"/>
          <w:lang w:val="en-US"/>
        </w:rPr>
        <w:t>racha</w:t>
      </w:r>
      <w:r w:rsidR="00F053EE" w:rsidRPr="001558A5">
        <w:rPr>
          <w:szCs w:val="16"/>
          <w:lang w:val="en-US"/>
        </w:rPr>
        <w:t>s</w:t>
      </w:r>
      <w:proofErr w:type="spellEnd"/>
      <w:r w:rsidR="00907FBD" w:rsidRPr="001558A5">
        <w:rPr>
          <w:szCs w:val="16"/>
          <w:lang w:val="en-US"/>
        </w:rPr>
        <w:t xml:space="preserve">, a Honduran </w:t>
      </w:r>
      <w:r w:rsidR="00F053EE" w:rsidRPr="001558A5">
        <w:rPr>
          <w:szCs w:val="16"/>
          <w:lang w:val="en-US"/>
        </w:rPr>
        <w:t>feminist</w:t>
      </w:r>
      <w:r w:rsidR="00907FBD" w:rsidRPr="001558A5">
        <w:rPr>
          <w:szCs w:val="16"/>
          <w:lang w:val="en-US"/>
        </w:rPr>
        <w:t xml:space="preserve"> lesbi</w:t>
      </w:r>
      <w:r w:rsidR="00F053EE" w:rsidRPr="001558A5">
        <w:rPr>
          <w:szCs w:val="16"/>
          <w:lang w:val="en-US"/>
        </w:rPr>
        <w:t xml:space="preserve">an </w:t>
      </w:r>
      <w:r w:rsidR="00907FBD" w:rsidRPr="001558A5">
        <w:rPr>
          <w:szCs w:val="16"/>
          <w:lang w:val="en-US"/>
        </w:rPr>
        <w:t xml:space="preserve">organization, and Robert </w:t>
      </w:r>
      <w:r w:rsidRPr="001558A5">
        <w:rPr>
          <w:szCs w:val="16"/>
          <w:lang w:val="en-US"/>
        </w:rPr>
        <w:t>F. Kennedy Human Rights.</w:t>
      </w:r>
    </w:p>
  </w:footnote>
  <w:footnote w:id="5">
    <w:p w14:paraId="0FB4151A" w14:textId="5FA954A9" w:rsidR="005977F6" w:rsidRPr="001558A5" w:rsidRDefault="005977F6" w:rsidP="000B2BB5">
      <w:pPr>
        <w:pStyle w:val="Textonotapie"/>
        <w:tabs>
          <w:tab w:val="left" w:pos="360"/>
        </w:tabs>
        <w:spacing w:before="60" w:after="60"/>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DD4354" w:rsidRPr="001558A5">
        <w:rPr>
          <w:szCs w:val="16"/>
          <w:lang w:val="en-US"/>
        </w:rPr>
        <w:t>The State</w:t>
      </w:r>
      <w:r w:rsidRPr="001558A5">
        <w:rPr>
          <w:szCs w:val="16"/>
          <w:lang w:val="en-US"/>
        </w:rPr>
        <w:t xml:space="preserve"> </w:t>
      </w:r>
      <w:r w:rsidR="00F053EE" w:rsidRPr="001558A5">
        <w:rPr>
          <w:szCs w:val="16"/>
          <w:lang w:val="en-US"/>
        </w:rPr>
        <w:t>appointed</w:t>
      </w:r>
      <w:r w:rsidRPr="001558A5">
        <w:rPr>
          <w:szCs w:val="16"/>
          <w:lang w:val="en-US"/>
        </w:rPr>
        <w:t xml:space="preserve"> Lidia Estela Cardona Padilla</w:t>
      </w:r>
      <w:r w:rsidR="00DD4354" w:rsidRPr="001558A5">
        <w:rPr>
          <w:szCs w:val="16"/>
          <w:lang w:val="en-US"/>
        </w:rPr>
        <w:t xml:space="preserve"> and </w:t>
      </w:r>
      <w:proofErr w:type="spellStart"/>
      <w:r w:rsidRPr="001558A5">
        <w:rPr>
          <w:szCs w:val="16"/>
          <w:lang w:val="en-US"/>
        </w:rPr>
        <w:t>Jacobo</w:t>
      </w:r>
      <w:proofErr w:type="spellEnd"/>
      <w:r w:rsidRPr="001558A5">
        <w:rPr>
          <w:szCs w:val="16"/>
          <w:lang w:val="en-US"/>
        </w:rPr>
        <w:t xml:space="preserve"> </w:t>
      </w:r>
      <w:proofErr w:type="spellStart"/>
      <w:r w:rsidRPr="001558A5">
        <w:rPr>
          <w:szCs w:val="16"/>
          <w:lang w:val="en-US"/>
        </w:rPr>
        <w:t>Cálix</w:t>
      </w:r>
      <w:proofErr w:type="spellEnd"/>
      <w:r w:rsidR="00F053EE" w:rsidRPr="001558A5">
        <w:rPr>
          <w:szCs w:val="16"/>
          <w:lang w:val="en-US"/>
        </w:rPr>
        <w:t xml:space="preserve"> as its Agents</w:t>
      </w:r>
      <w:r w:rsidRPr="001558A5">
        <w:rPr>
          <w:szCs w:val="16"/>
          <w:lang w:val="en-US"/>
        </w:rPr>
        <w:t>.</w:t>
      </w:r>
    </w:p>
  </w:footnote>
  <w:footnote w:id="6">
    <w:p w14:paraId="3B1379B1" w14:textId="0E26BA83" w:rsidR="00045309" w:rsidRPr="001558A5" w:rsidRDefault="00045309"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871E19" w:rsidRPr="001558A5">
        <w:rPr>
          <w:i/>
          <w:iCs/>
          <w:lang w:val="en-US"/>
        </w:rPr>
        <w:t>Case of</w:t>
      </w:r>
      <w:r w:rsidRPr="001558A5">
        <w:rPr>
          <w:i/>
          <w:iCs/>
          <w:lang w:val="en-US"/>
        </w:rPr>
        <w:t xml:space="preserve"> Vicky Hernández</w:t>
      </w:r>
      <w:r w:rsidR="00DD4354" w:rsidRPr="001558A5">
        <w:rPr>
          <w:i/>
          <w:iCs/>
          <w:lang w:val="en-US"/>
        </w:rPr>
        <w:t xml:space="preserve"> </w:t>
      </w:r>
      <w:r w:rsidR="004F4F9C" w:rsidRPr="001558A5">
        <w:rPr>
          <w:i/>
          <w:iCs/>
          <w:lang w:val="en-US"/>
        </w:rPr>
        <w:t>et al. v.</w:t>
      </w:r>
      <w:r w:rsidRPr="001558A5">
        <w:rPr>
          <w:i/>
          <w:iCs/>
          <w:lang w:val="en-US"/>
        </w:rPr>
        <w:t xml:space="preserve"> Honduras. </w:t>
      </w:r>
      <w:r w:rsidR="004F4F9C" w:rsidRPr="001558A5">
        <w:rPr>
          <w:i/>
          <w:iCs/>
          <w:lang w:val="en-US"/>
        </w:rPr>
        <w:t>Call to a hearing.</w:t>
      </w:r>
      <w:r w:rsidRPr="001558A5">
        <w:rPr>
          <w:lang w:val="en-US"/>
        </w:rPr>
        <w:t xml:space="preserve"> </w:t>
      </w:r>
      <w:r w:rsidR="004F4F9C" w:rsidRPr="001558A5">
        <w:rPr>
          <w:lang w:val="en-US"/>
        </w:rPr>
        <w:t>Order</w:t>
      </w:r>
      <w:r w:rsidR="00DD4354" w:rsidRPr="001558A5">
        <w:rPr>
          <w:lang w:val="en-US"/>
        </w:rPr>
        <w:t xml:space="preserve"> of the </w:t>
      </w:r>
      <w:r w:rsidR="00871E19" w:rsidRPr="001558A5">
        <w:rPr>
          <w:lang w:val="en-US"/>
        </w:rPr>
        <w:t>President</w:t>
      </w:r>
      <w:r w:rsidR="00DD4354" w:rsidRPr="001558A5">
        <w:rPr>
          <w:lang w:val="en-US"/>
        </w:rPr>
        <w:t xml:space="preserve"> of the </w:t>
      </w:r>
      <w:r w:rsidR="00871E19" w:rsidRPr="001558A5">
        <w:rPr>
          <w:lang w:val="en-US"/>
        </w:rPr>
        <w:t>Inter-American Court of Human Rights</w:t>
      </w:r>
      <w:r w:rsidRPr="001558A5">
        <w:rPr>
          <w:lang w:val="en-US"/>
        </w:rPr>
        <w:t xml:space="preserve"> </w:t>
      </w:r>
      <w:r w:rsidR="004F4F9C" w:rsidRPr="001558A5">
        <w:rPr>
          <w:lang w:val="en-US"/>
        </w:rPr>
        <w:t>of September 1,</w:t>
      </w:r>
      <w:r w:rsidRPr="001558A5">
        <w:rPr>
          <w:lang w:val="en-US"/>
        </w:rPr>
        <w:t xml:space="preserve"> 2020.</w:t>
      </w:r>
    </w:p>
  </w:footnote>
  <w:footnote w:id="7">
    <w:p w14:paraId="5C8CC34C" w14:textId="293E40E9" w:rsidR="005977F6" w:rsidRPr="001558A5" w:rsidRDefault="005977F6" w:rsidP="000B2BB5">
      <w:pPr>
        <w:pStyle w:val="Textonotapie"/>
        <w:tabs>
          <w:tab w:val="left" w:pos="360"/>
        </w:tabs>
        <w:spacing w:before="60" w:after="60"/>
        <w:rPr>
          <w:rFonts w:eastAsia="Times New Roman" w:cs="Times New Roman"/>
          <w:bCs/>
          <w:iCs/>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4F4F9C" w:rsidRPr="001558A5">
        <w:rPr>
          <w:szCs w:val="16"/>
          <w:lang w:val="en-US"/>
        </w:rPr>
        <w:t xml:space="preserve">There appeared at this hearing: </w:t>
      </w:r>
      <w:r w:rsidR="004F4F9C" w:rsidRPr="001558A5">
        <w:rPr>
          <w:rFonts w:eastAsia="Times New Roman" w:cs="Times New Roman"/>
          <w:bCs/>
          <w:iCs/>
          <w:szCs w:val="16"/>
          <w:lang w:val="en-US"/>
        </w:rPr>
        <w:t>(</w:t>
      </w:r>
      <w:r w:rsidRPr="001558A5">
        <w:rPr>
          <w:rFonts w:eastAsia="Times New Roman" w:cs="Times New Roman"/>
          <w:bCs/>
          <w:iCs/>
          <w:szCs w:val="16"/>
          <w:lang w:val="en-US"/>
        </w:rPr>
        <w:t xml:space="preserve">a) </w:t>
      </w:r>
      <w:r w:rsidR="004F4F9C" w:rsidRPr="001558A5">
        <w:rPr>
          <w:rFonts w:eastAsia="Times New Roman" w:cs="Times New Roman"/>
          <w:bCs/>
          <w:iCs/>
          <w:szCs w:val="16"/>
          <w:lang w:val="en-US"/>
        </w:rPr>
        <w:t>f</w:t>
      </w:r>
      <w:r w:rsidRPr="001558A5">
        <w:rPr>
          <w:rFonts w:eastAsia="Times New Roman" w:cs="Times New Roman"/>
          <w:bCs/>
          <w:iCs/>
          <w:szCs w:val="16"/>
          <w:lang w:val="en-US"/>
        </w:rPr>
        <w:t xml:space="preserve">or </w:t>
      </w:r>
      <w:r w:rsidR="00871E19" w:rsidRPr="001558A5">
        <w:rPr>
          <w:rFonts w:eastAsia="Times New Roman" w:cs="Times New Roman"/>
          <w:bCs/>
          <w:iCs/>
          <w:szCs w:val="16"/>
          <w:lang w:val="en-US"/>
        </w:rPr>
        <w:t>the Inter-American Commission</w:t>
      </w:r>
      <w:r w:rsidRPr="001558A5">
        <w:rPr>
          <w:rFonts w:eastAsia="Times New Roman" w:cs="Times New Roman"/>
          <w:bCs/>
          <w:iCs/>
          <w:szCs w:val="16"/>
          <w:lang w:val="en-US"/>
        </w:rPr>
        <w:t xml:space="preserve">: Joel Hernández </w:t>
      </w:r>
      <w:proofErr w:type="spellStart"/>
      <w:r w:rsidRPr="001558A5">
        <w:rPr>
          <w:rFonts w:eastAsia="Times New Roman" w:cs="Times New Roman"/>
          <w:bCs/>
          <w:iCs/>
          <w:szCs w:val="16"/>
          <w:lang w:val="en-US"/>
        </w:rPr>
        <w:t>García</w:t>
      </w:r>
      <w:proofErr w:type="spellEnd"/>
      <w:r w:rsidRPr="001558A5">
        <w:rPr>
          <w:rFonts w:eastAsia="Times New Roman" w:cs="Times New Roman"/>
          <w:bCs/>
          <w:iCs/>
          <w:szCs w:val="16"/>
          <w:lang w:val="en-US"/>
        </w:rPr>
        <w:t xml:space="preserve">, </w:t>
      </w:r>
      <w:proofErr w:type="spellStart"/>
      <w:r w:rsidRPr="001558A5">
        <w:rPr>
          <w:rFonts w:eastAsia="Times New Roman" w:cs="Times New Roman"/>
          <w:bCs/>
          <w:iCs/>
          <w:szCs w:val="16"/>
          <w:lang w:val="en-US"/>
        </w:rPr>
        <w:t>Flávia</w:t>
      </w:r>
      <w:proofErr w:type="spellEnd"/>
      <w:r w:rsidRPr="001558A5">
        <w:rPr>
          <w:rFonts w:eastAsia="Times New Roman" w:cs="Times New Roman"/>
          <w:bCs/>
          <w:iCs/>
          <w:szCs w:val="16"/>
          <w:lang w:val="en-US"/>
        </w:rPr>
        <w:t xml:space="preserve"> </w:t>
      </w:r>
      <w:proofErr w:type="spellStart"/>
      <w:r w:rsidRPr="001558A5">
        <w:rPr>
          <w:rFonts w:eastAsia="Times New Roman" w:cs="Times New Roman"/>
          <w:bCs/>
          <w:iCs/>
          <w:szCs w:val="16"/>
          <w:lang w:val="en-US"/>
        </w:rPr>
        <w:t>Piovesan</w:t>
      </w:r>
      <w:proofErr w:type="spellEnd"/>
      <w:r w:rsidRPr="001558A5">
        <w:rPr>
          <w:rFonts w:eastAsia="Times New Roman" w:cs="Times New Roman"/>
          <w:bCs/>
          <w:iCs/>
          <w:szCs w:val="16"/>
          <w:lang w:val="en-US"/>
        </w:rPr>
        <w:t>, Marisol Blanchard</w:t>
      </w:r>
      <w:r w:rsidR="004F4F9C" w:rsidRPr="001558A5">
        <w:rPr>
          <w:rFonts w:eastAsia="Times New Roman" w:cs="Times New Roman"/>
          <w:bCs/>
          <w:iCs/>
          <w:szCs w:val="16"/>
          <w:lang w:val="en-US"/>
        </w:rPr>
        <w:t xml:space="preserve"> and</w:t>
      </w:r>
      <w:r w:rsidRPr="001558A5">
        <w:rPr>
          <w:rFonts w:eastAsia="Times New Roman" w:cs="Times New Roman"/>
          <w:bCs/>
          <w:iCs/>
          <w:szCs w:val="16"/>
          <w:lang w:val="en-US"/>
        </w:rPr>
        <w:t xml:space="preserve"> Jorge Meza Flores; </w:t>
      </w:r>
      <w:r w:rsidR="004F4F9C" w:rsidRPr="001558A5">
        <w:rPr>
          <w:rFonts w:eastAsia="Times New Roman" w:cs="Times New Roman"/>
          <w:bCs/>
          <w:iCs/>
          <w:szCs w:val="16"/>
          <w:lang w:val="en-US"/>
        </w:rPr>
        <w:t>(</w:t>
      </w:r>
      <w:r w:rsidRPr="001558A5">
        <w:rPr>
          <w:rFonts w:eastAsia="Times New Roman" w:cs="Times New Roman"/>
          <w:bCs/>
          <w:iCs/>
          <w:szCs w:val="16"/>
          <w:lang w:val="en-US"/>
        </w:rPr>
        <w:t xml:space="preserve">b) </w:t>
      </w:r>
      <w:r w:rsidR="004F4F9C" w:rsidRPr="001558A5">
        <w:rPr>
          <w:rFonts w:eastAsia="Times New Roman" w:cs="Times New Roman"/>
          <w:bCs/>
          <w:iCs/>
          <w:szCs w:val="16"/>
          <w:lang w:val="en-US"/>
        </w:rPr>
        <w:t>f</w:t>
      </w:r>
      <w:r w:rsidRPr="001558A5">
        <w:rPr>
          <w:rFonts w:eastAsia="Times New Roman" w:cs="Times New Roman"/>
          <w:bCs/>
          <w:iCs/>
          <w:szCs w:val="16"/>
          <w:lang w:val="en-US"/>
        </w:rPr>
        <w:t xml:space="preserve">or </w:t>
      </w:r>
      <w:r w:rsidR="00DD4354" w:rsidRPr="001558A5">
        <w:rPr>
          <w:rFonts w:eastAsia="Times New Roman" w:cs="Times New Roman"/>
          <w:bCs/>
          <w:iCs/>
          <w:szCs w:val="16"/>
          <w:lang w:val="en-US"/>
        </w:rPr>
        <w:t>the representatives</w:t>
      </w:r>
      <w:r w:rsidRPr="001558A5">
        <w:rPr>
          <w:rFonts w:eastAsia="Times New Roman" w:cs="Times New Roman"/>
          <w:iCs/>
          <w:szCs w:val="16"/>
          <w:lang w:val="en-US"/>
        </w:rPr>
        <w:t xml:space="preserve">: </w:t>
      </w:r>
      <w:proofErr w:type="spellStart"/>
      <w:r w:rsidRPr="001558A5">
        <w:rPr>
          <w:rFonts w:eastAsia="Times New Roman" w:cs="Times New Roman"/>
          <w:iCs/>
          <w:szCs w:val="16"/>
          <w:lang w:val="en-US"/>
        </w:rPr>
        <w:t>Indyra</w:t>
      </w:r>
      <w:proofErr w:type="spellEnd"/>
      <w:r w:rsidRPr="001558A5">
        <w:rPr>
          <w:rFonts w:eastAsia="Times New Roman" w:cs="Times New Roman"/>
          <w:iCs/>
          <w:szCs w:val="16"/>
          <w:lang w:val="en-US"/>
        </w:rPr>
        <w:t xml:space="preserve"> Mendoza Aguilar, </w:t>
      </w:r>
      <w:proofErr w:type="spellStart"/>
      <w:r w:rsidRPr="001558A5">
        <w:rPr>
          <w:rFonts w:eastAsia="Times New Roman" w:cs="Times New Roman"/>
          <w:iCs/>
          <w:szCs w:val="16"/>
          <w:lang w:val="en-US"/>
        </w:rPr>
        <w:t>Angelita</w:t>
      </w:r>
      <w:proofErr w:type="spellEnd"/>
      <w:r w:rsidRPr="001558A5">
        <w:rPr>
          <w:rFonts w:eastAsia="Times New Roman" w:cs="Times New Roman"/>
          <w:iCs/>
          <w:szCs w:val="16"/>
          <w:lang w:val="en-US"/>
        </w:rPr>
        <w:t xml:space="preserve"> </w:t>
      </w:r>
      <w:proofErr w:type="spellStart"/>
      <w:r w:rsidRPr="001558A5">
        <w:rPr>
          <w:rFonts w:eastAsia="Times New Roman" w:cs="Times New Roman"/>
          <w:iCs/>
          <w:szCs w:val="16"/>
          <w:lang w:val="en-US"/>
        </w:rPr>
        <w:t>Baeyens</w:t>
      </w:r>
      <w:proofErr w:type="spellEnd"/>
      <w:r w:rsidRPr="001558A5">
        <w:rPr>
          <w:rFonts w:eastAsia="Times New Roman" w:cs="Times New Roman"/>
          <w:iCs/>
          <w:szCs w:val="16"/>
          <w:lang w:val="en-US"/>
        </w:rPr>
        <w:t xml:space="preserve">, Astrid Ramos, Nadia </w:t>
      </w:r>
      <w:proofErr w:type="spellStart"/>
      <w:r w:rsidRPr="001558A5">
        <w:rPr>
          <w:rFonts w:eastAsia="Times New Roman" w:cs="Times New Roman"/>
          <w:iCs/>
          <w:szCs w:val="16"/>
          <w:lang w:val="en-US"/>
        </w:rPr>
        <w:t>Mejía</w:t>
      </w:r>
      <w:proofErr w:type="spellEnd"/>
      <w:r w:rsidR="004F4F9C" w:rsidRPr="001558A5">
        <w:rPr>
          <w:rFonts w:eastAsia="Times New Roman" w:cs="Times New Roman"/>
          <w:iCs/>
          <w:szCs w:val="16"/>
          <w:lang w:val="en-US"/>
        </w:rPr>
        <w:t xml:space="preserve"> and</w:t>
      </w:r>
      <w:r w:rsidRPr="001558A5">
        <w:rPr>
          <w:rFonts w:eastAsia="Times New Roman" w:cs="Times New Roman"/>
          <w:iCs/>
          <w:szCs w:val="16"/>
          <w:lang w:val="en-US"/>
        </w:rPr>
        <w:t xml:space="preserve"> Kacey Mordecai,</w:t>
      </w:r>
      <w:r w:rsidR="00DD4354" w:rsidRPr="001558A5">
        <w:rPr>
          <w:rFonts w:eastAsia="Times New Roman" w:cs="Times New Roman"/>
          <w:iCs/>
          <w:szCs w:val="16"/>
          <w:lang w:val="en-US"/>
        </w:rPr>
        <w:t xml:space="preserve"> and </w:t>
      </w:r>
      <w:r w:rsidR="004F4F9C" w:rsidRPr="001558A5">
        <w:rPr>
          <w:rFonts w:eastAsia="Times New Roman" w:cs="Times New Roman"/>
          <w:iCs/>
          <w:szCs w:val="16"/>
          <w:lang w:val="en-US"/>
        </w:rPr>
        <w:t>(</w:t>
      </w:r>
      <w:r w:rsidRPr="001558A5">
        <w:rPr>
          <w:rFonts w:eastAsia="Times New Roman" w:cs="Times New Roman"/>
          <w:bCs/>
          <w:iCs/>
          <w:szCs w:val="16"/>
          <w:lang w:val="en-US"/>
        </w:rPr>
        <w:t xml:space="preserve">c) </w:t>
      </w:r>
      <w:r w:rsidR="004F4F9C" w:rsidRPr="001558A5">
        <w:rPr>
          <w:rFonts w:eastAsia="Times New Roman" w:cs="Times New Roman"/>
          <w:bCs/>
          <w:iCs/>
          <w:szCs w:val="16"/>
          <w:lang w:val="en-US"/>
        </w:rPr>
        <w:t>f</w:t>
      </w:r>
      <w:r w:rsidRPr="001558A5">
        <w:rPr>
          <w:rFonts w:eastAsia="Times New Roman" w:cs="Times New Roman"/>
          <w:bCs/>
          <w:iCs/>
          <w:szCs w:val="16"/>
          <w:lang w:val="en-US"/>
        </w:rPr>
        <w:t xml:space="preserve">or </w:t>
      </w:r>
      <w:r w:rsidR="00DD4354" w:rsidRPr="001558A5">
        <w:rPr>
          <w:rFonts w:eastAsia="Times New Roman" w:cs="Times New Roman"/>
          <w:bCs/>
          <w:iCs/>
          <w:szCs w:val="16"/>
          <w:lang w:val="en-US"/>
        </w:rPr>
        <w:t>the State</w:t>
      </w:r>
      <w:r w:rsidRPr="001558A5">
        <w:rPr>
          <w:rFonts w:eastAsia="Times New Roman" w:cs="Times New Roman"/>
          <w:bCs/>
          <w:iCs/>
          <w:szCs w:val="16"/>
          <w:lang w:val="en-US"/>
        </w:rPr>
        <w:t xml:space="preserve"> </w:t>
      </w:r>
      <w:r w:rsidR="004F4F9C" w:rsidRPr="001558A5">
        <w:rPr>
          <w:rFonts w:eastAsia="Times New Roman" w:cs="Times New Roman"/>
          <w:bCs/>
          <w:iCs/>
          <w:szCs w:val="16"/>
          <w:lang w:val="en-US"/>
        </w:rPr>
        <w:t>of</w:t>
      </w:r>
      <w:r w:rsidRPr="001558A5">
        <w:rPr>
          <w:rFonts w:eastAsia="Times New Roman" w:cs="Times New Roman"/>
          <w:bCs/>
          <w:iCs/>
          <w:szCs w:val="16"/>
          <w:lang w:val="en-US"/>
        </w:rPr>
        <w:t xml:space="preserve"> Honduras: Lidia Estela Cardona Padilla, </w:t>
      </w:r>
      <w:proofErr w:type="spellStart"/>
      <w:r w:rsidRPr="001558A5">
        <w:rPr>
          <w:rFonts w:eastAsia="Times New Roman" w:cs="Times New Roman"/>
          <w:bCs/>
          <w:iCs/>
          <w:szCs w:val="16"/>
          <w:lang w:val="en-US"/>
        </w:rPr>
        <w:t>Jacobo</w:t>
      </w:r>
      <w:proofErr w:type="spellEnd"/>
      <w:r w:rsidRPr="001558A5">
        <w:rPr>
          <w:rFonts w:eastAsia="Times New Roman" w:cs="Times New Roman"/>
          <w:bCs/>
          <w:iCs/>
          <w:szCs w:val="16"/>
          <w:lang w:val="en-US"/>
        </w:rPr>
        <w:t xml:space="preserve"> Antonio </w:t>
      </w:r>
      <w:proofErr w:type="spellStart"/>
      <w:r w:rsidRPr="001558A5">
        <w:rPr>
          <w:rFonts w:eastAsia="Times New Roman" w:cs="Times New Roman"/>
          <w:bCs/>
          <w:iCs/>
          <w:szCs w:val="16"/>
          <w:lang w:val="en-US"/>
        </w:rPr>
        <w:t>Cálix</w:t>
      </w:r>
      <w:proofErr w:type="spellEnd"/>
      <w:r w:rsidRPr="001558A5">
        <w:rPr>
          <w:rFonts w:eastAsia="Times New Roman" w:cs="Times New Roman"/>
          <w:bCs/>
          <w:iCs/>
          <w:szCs w:val="16"/>
          <w:lang w:val="en-US"/>
        </w:rPr>
        <w:t xml:space="preserve"> Hernández, Nelson Gerardo Molina, </w:t>
      </w:r>
      <w:proofErr w:type="spellStart"/>
      <w:r w:rsidRPr="001558A5">
        <w:rPr>
          <w:rFonts w:eastAsia="Times New Roman" w:cs="Times New Roman"/>
          <w:bCs/>
          <w:iCs/>
          <w:szCs w:val="16"/>
          <w:lang w:val="en-US"/>
        </w:rPr>
        <w:t>Olbin</w:t>
      </w:r>
      <w:proofErr w:type="spellEnd"/>
      <w:r w:rsidRPr="001558A5">
        <w:rPr>
          <w:rFonts w:eastAsia="Times New Roman" w:cs="Times New Roman"/>
          <w:bCs/>
          <w:iCs/>
          <w:szCs w:val="16"/>
          <w:lang w:val="en-US"/>
        </w:rPr>
        <w:t xml:space="preserve"> Antonio </w:t>
      </w:r>
      <w:proofErr w:type="spellStart"/>
      <w:r w:rsidRPr="001558A5">
        <w:rPr>
          <w:rFonts w:eastAsia="Times New Roman" w:cs="Times New Roman"/>
          <w:bCs/>
          <w:iCs/>
          <w:szCs w:val="16"/>
          <w:lang w:val="en-US"/>
        </w:rPr>
        <w:t>Mejía</w:t>
      </w:r>
      <w:proofErr w:type="spellEnd"/>
      <w:r w:rsidRPr="001558A5">
        <w:rPr>
          <w:rFonts w:eastAsia="Times New Roman" w:cs="Times New Roman"/>
          <w:bCs/>
          <w:iCs/>
          <w:szCs w:val="16"/>
          <w:lang w:val="en-US"/>
        </w:rPr>
        <w:t xml:space="preserve"> </w:t>
      </w:r>
      <w:proofErr w:type="spellStart"/>
      <w:r w:rsidRPr="001558A5">
        <w:rPr>
          <w:rFonts w:eastAsia="Times New Roman" w:cs="Times New Roman"/>
          <w:bCs/>
          <w:iCs/>
          <w:szCs w:val="16"/>
          <w:lang w:val="en-US"/>
        </w:rPr>
        <w:t>Cambar</w:t>
      </w:r>
      <w:proofErr w:type="spellEnd"/>
      <w:r w:rsidR="004F4F9C" w:rsidRPr="001558A5">
        <w:rPr>
          <w:rFonts w:eastAsia="Times New Roman" w:cs="Times New Roman"/>
          <w:bCs/>
          <w:iCs/>
          <w:szCs w:val="16"/>
          <w:lang w:val="en-US"/>
        </w:rPr>
        <w:t xml:space="preserve"> and</w:t>
      </w:r>
      <w:r w:rsidRPr="001558A5">
        <w:rPr>
          <w:rFonts w:eastAsia="Times New Roman" w:cs="Times New Roman"/>
          <w:bCs/>
          <w:iCs/>
          <w:szCs w:val="16"/>
          <w:lang w:val="en-US"/>
        </w:rPr>
        <w:t xml:space="preserve"> Manuel Edgardo Torres Rivera.</w:t>
      </w:r>
    </w:p>
  </w:footnote>
  <w:footnote w:id="8">
    <w:p w14:paraId="263F893E" w14:textId="27AF3F99"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4F4F9C" w:rsidRPr="001558A5">
        <w:rPr>
          <w:lang w:val="en-US"/>
        </w:rPr>
        <w:t>The brief was signed by</w:t>
      </w:r>
      <w:r w:rsidRPr="001558A5">
        <w:rPr>
          <w:lang w:val="en-US"/>
        </w:rPr>
        <w:t xml:space="preserve"> David </w:t>
      </w:r>
      <w:proofErr w:type="spellStart"/>
      <w:r w:rsidRPr="001558A5">
        <w:rPr>
          <w:lang w:val="en-US"/>
        </w:rPr>
        <w:t>Donat</w:t>
      </w:r>
      <w:proofErr w:type="spellEnd"/>
      <w:r w:rsidRPr="001558A5">
        <w:rPr>
          <w:lang w:val="en-US"/>
        </w:rPr>
        <w:t xml:space="preserve"> </w:t>
      </w:r>
      <w:proofErr w:type="spellStart"/>
      <w:r w:rsidRPr="001558A5">
        <w:rPr>
          <w:lang w:val="en-US"/>
        </w:rPr>
        <w:t>Cattin</w:t>
      </w:r>
      <w:proofErr w:type="spellEnd"/>
      <w:r w:rsidRPr="001558A5">
        <w:rPr>
          <w:lang w:val="en-US"/>
        </w:rPr>
        <w:t xml:space="preserve">. </w:t>
      </w:r>
      <w:r w:rsidR="00942E1B" w:rsidRPr="001558A5">
        <w:rPr>
          <w:lang w:val="en-US"/>
        </w:rPr>
        <w:t>It</w:t>
      </w:r>
      <w:r w:rsidRPr="001558A5">
        <w:rPr>
          <w:lang w:val="en-US"/>
        </w:rPr>
        <w:t xml:space="preserve"> describe</w:t>
      </w:r>
      <w:r w:rsidR="004F4F9C" w:rsidRPr="001558A5">
        <w:rPr>
          <w:lang w:val="en-US"/>
        </w:rPr>
        <w:t xml:space="preserve">s the situation of </w:t>
      </w:r>
      <w:r w:rsidRPr="001558A5">
        <w:rPr>
          <w:lang w:val="en-US"/>
        </w:rPr>
        <w:t xml:space="preserve">LGBTI </w:t>
      </w:r>
      <w:r w:rsidR="004F4F9C" w:rsidRPr="001558A5">
        <w:rPr>
          <w:lang w:val="en-US"/>
        </w:rPr>
        <w:t>persons throughout the world, and refers to regional and international</w:t>
      </w:r>
      <w:r w:rsidR="00942E1B" w:rsidRPr="001558A5">
        <w:rPr>
          <w:lang w:val="en-US"/>
        </w:rPr>
        <w:t xml:space="preserve"> case law</w:t>
      </w:r>
      <w:r w:rsidR="004F4F9C" w:rsidRPr="001558A5">
        <w:rPr>
          <w:lang w:val="en-US"/>
        </w:rPr>
        <w:t xml:space="preserve"> on gender identity.</w:t>
      </w:r>
    </w:p>
  </w:footnote>
  <w:footnote w:id="9">
    <w:p w14:paraId="6E80C565" w14:textId="75E3ED8A"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4F4F9C" w:rsidRPr="001558A5">
        <w:rPr>
          <w:lang w:val="en-US"/>
        </w:rPr>
        <w:t>The brief</w:t>
      </w:r>
      <w:r w:rsidRPr="001558A5">
        <w:rPr>
          <w:lang w:val="en-US"/>
        </w:rPr>
        <w:t xml:space="preserve"> </w:t>
      </w:r>
      <w:r w:rsidR="004F4F9C" w:rsidRPr="001558A5">
        <w:rPr>
          <w:lang w:val="en-US"/>
        </w:rPr>
        <w:t xml:space="preserve">refers to a proposal to make </w:t>
      </w:r>
      <w:proofErr w:type="spellStart"/>
      <w:r w:rsidR="004F4F9C" w:rsidRPr="001558A5">
        <w:rPr>
          <w:lang w:val="en-US"/>
        </w:rPr>
        <w:t>transfemicide</w:t>
      </w:r>
      <w:proofErr w:type="spellEnd"/>
      <w:r w:rsidRPr="001558A5">
        <w:rPr>
          <w:lang w:val="en-US"/>
        </w:rPr>
        <w:t xml:space="preserve"> </w:t>
      </w:r>
      <w:r w:rsidR="004F4F9C" w:rsidRPr="001558A5">
        <w:rPr>
          <w:lang w:val="en-US"/>
        </w:rPr>
        <w:t xml:space="preserve">a criminal offense in the Criminal Code of the Republic of </w:t>
      </w:r>
      <w:r w:rsidRPr="001558A5">
        <w:rPr>
          <w:lang w:val="en-US"/>
        </w:rPr>
        <w:t xml:space="preserve">Honduras. </w:t>
      </w:r>
      <w:r w:rsidR="004F4F9C" w:rsidRPr="001558A5">
        <w:rPr>
          <w:lang w:val="en-US"/>
        </w:rPr>
        <w:t>It also addresses the issue of</w:t>
      </w:r>
      <w:r w:rsidRPr="001558A5">
        <w:rPr>
          <w:lang w:val="en-US"/>
        </w:rPr>
        <w:t xml:space="preserve"> </w:t>
      </w:r>
      <w:proofErr w:type="spellStart"/>
      <w:r w:rsidR="004F4F9C" w:rsidRPr="001558A5">
        <w:rPr>
          <w:lang w:val="en-US"/>
        </w:rPr>
        <w:t>femicide</w:t>
      </w:r>
      <w:proofErr w:type="spellEnd"/>
      <w:r w:rsidR="00DD4354" w:rsidRPr="001558A5">
        <w:rPr>
          <w:lang w:val="en-US"/>
        </w:rPr>
        <w:t xml:space="preserve"> and </w:t>
      </w:r>
      <w:proofErr w:type="spellStart"/>
      <w:r w:rsidR="004F4F9C" w:rsidRPr="001558A5">
        <w:rPr>
          <w:lang w:val="en-US"/>
        </w:rPr>
        <w:t>transfemicide</w:t>
      </w:r>
      <w:proofErr w:type="spellEnd"/>
      <w:r w:rsidR="00DD4354" w:rsidRPr="001558A5">
        <w:rPr>
          <w:lang w:val="en-US"/>
        </w:rPr>
        <w:t xml:space="preserve"> and </w:t>
      </w:r>
      <w:r w:rsidR="004F4F9C" w:rsidRPr="001558A5">
        <w:rPr>
          <w:lang w:val="en-US"/>
        </w:rPr>
        <w:t xml:space="preserve">the </w:t>
      </w:r>
      <w:r w:rsidR="00942E1B" w:rsidRPr="001558A5">
        <w:rPr>
          <w:lang w:val="en-US"/>
        </w:rPr>
        <w:t>content</w:t>
      </w:r>
      <w:r w:rsidR="004F4F9C" w:rsidRPr="001558A5">
        <w:rPr>
          <w:lang w:val="en-US"/>
        </w:rPr>
        <w:t xml:space="preserve"> of </w:t>
      </w:r>
      <w:r w:rsidR="00942E1B" w:rsidRPr="001558A5">
        <w:rPr>
          <w:lang w:val="en-US"/>
        </w:rPr>
        <w:t xml:space="preserve">the </w:t>
      </w:r>
      <w:r w:rsidR="004F4F9C" w:rsidRPr="001558A5">
        <w:rPr>
          <w:lang w:val="en-US"/>
        </w:rPr>
        <w:t>violence.</w:t>
      </w:r>
    </w:p>
  </w:footnote>
  <w:footnote w:id="10">
    <w:p w14:paraId="6EB1E486" w14:textId="1F840E66"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4F4F9C" w:rsidRPr="001558A5">
        <w:rPr>
          <w:lang w:val="en-US"/>
        </w:rPr>
        <w:t>The brief was signed by</w:t>
      </w:r>
      <w:r w:rsidRPr="001558A5">
        <w:rPr>
          <w:lang w:val="en-US"/>
        </w:rPr>
        <w:t xml:space="preserve"> Theresa </w:t>
      </w:r>
      <w:proofErr w:type="spellStart"/>
      <w:r w:rsidRPr="001558A5">
        <w:rPr>
          <w:lang w:val="en-US"/>
        </w:rPr>
        <w:t>McEvoy</w:t>
      </w:r>
      <w:proofErr w:type="spellEnd"/>
      <w:r w:rsidR="00DD4354" w:rsidRPr="001558A5">
        <w:rPr>
          <w:lang w:val="en-US"/>
        </w:rPr>
        <w:t xml:space="preserve"> and </w:t>
      </w:r>
      <w:r w:rsidR="00DF7573" w:rsidRPr="001558A5">
        <w:rPr>
          <w:lang w:val="en-US"/>
        </w:rPr>
        <w:t>refers to the</w:t>
      </w:r>
      <w:r w:rsidR="00B75397" w:rsidRPr="001558A5">
        <w:rPr>
          <w:lang w:val="en-US"/>
        </w:rPr>
        <w:t xml:space="preserve"> situation</w:t>
      </w:r>
      <w:r w:rsidR="00DF7573" w:rsidRPr="001558A5">
        <w:rPr>
          <w:lang w:val="en-US"/>
        </w:rPr>
        <w:t xml:space="preserve"> and the treatment of human rights defenders who defend the rights of LGBTI persons in </w:t>
      </w:r>
      <w:r w:rsidRPr="001558A5">
        <w:rPr>
          <w:lang w:val="en-US"/>
        </w:rPr>
        <w:t>Honduras, as</w:t>
      </w:r>
      <w:r w:rsidR="00DF7573" w:rsidRPr="001558A5">
        <w:rPr>
          <w:lang w:val="en-US"/>
        </w:rPr>
        <w:t xml:space="preserve"> well as the efforts of the international community to take a stand against discrimination based on</w:t>
      </w:r>
      <w:r w:rsidRPr="001558A5">
        <w:rPr>
          <w:lang w:val="en-US"/>
        </w:rPr>
        <w:t xml:space="preserve"> </w:t>
      </w:r>
      <w:r w:rsidR="00DF7573" w:rsidRPr="001558A5">
        <w:rPr>
          <w:lang w:val="en-US"/>
        </w:rPr>
        <w:t>sexual orientation</w:t>
      </w:r>
      <w:r w:rsidR="00DD4354" w:rsidRPr="001558A5">
        <w:rPr>
          <w:lang w:val="en-US"/>
        </w:rPr>
        <w:t xml:space="preserve"> and </w:t>
      </w:r>
      <w:r w:rsidR="00DF7573" w:rsidRPr="001558A5">
        <w:rPr>
          <w:lang w:val="en-US"/>
        </w:rPr>
        <w:t>gender identity</w:t>
      </w:r>
      <w:r w:rsidRPr="001558A5">
        <w:rPr>
          <w:lang w:val="en-US"/>
        </w:rPr>
        <w:t>.</w:t>
      </w:r>
    </w:p>
  </w:footnote>
  <w:footnote w:id="11">
    <w:p w14:paraId="4E773B81" w14:textId="6D9AE5DE"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ab/>
      </w:r>
      <w:r w:rsidR="004F4F9C" w:rsidRPr="001558A5">
        <w:rPr>
          <w:lang w:val="en-US"/>
        </w:rPr>
        <w:t>The brief</w:t>
      </w:r>
      <w:r w:rsidRPr="001558A5">
        <w:rPr>
          <w:lang w:val="en-US"/>
        </w:rPr>
        <w:t xml:space="preserve"> </w:t>
      </w:r>
      <w:r w:rsidR="00DF7573" w:rsidRPr="001558A5">
        <w:rPr>
          <w:lang w:val="en-US"/>
        </w:rPr>
        <w:t xml:space="preserve">refers to hate crimes committed against the sexually diverse population in Latin America and the Caribbean. It describes a theoretical framework for hate crimes and refers to a comparative framework </w:t>
      </w:r>
      <w:r w:rsidR="00F053EE" w:rsidRPr="001558A5">
        <w:rPr>
          <w:lang w:val="en-US"/>
        </w:rPr>
        <w:t xml:space="preserve">that is </w:t>
      </w:r>
      <w:r w:rsidR="00DF7573" w:rsidRPr="001558A5">
        <w:rPr>
          <w:lang w:val="en-US"/>
        </w:rPr>
        <w:t>being assessed in Mexico.</w:t>
      </w:r>
    </w:p>
  </w:footnote>
  <w:footnote w:id="12">
    <w:p w14:paraId="7B96B9DD" w14:textId="44CAD013"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ab/>
      </w:r>
      <w:r w:rsidR="004F4F9C" w:rsidRPr="001558A5">
        <w:rPr>
          <w:lang w:val="en-US"/>
        </w:rPr>
        <w:t>The brief was signed by</w:t>
      </w:r>
      <w:r w:rsidRPr="001558A5">
        <w:rPr>
          <w:lang w:val="en-US"/>
        </w:rPr>
        <w:t xml:space="preserve"> Michelle Bachelet</w:t>
      </w:r>
      <w:r w:rsidR="00DD4354" w:rsidRPr="001558A5">
        <w:rPr>
          <w:lang w:val="en-US"/>
        </w:rPr>
        <w:t xml:space="preserve"> and </w:t>
      </w:r>
      <w:r w:rsidR="00DF7573" w:rsidRPr="001558A5">
        <w:rPr>
          <w:lang w:val="en-US"/>
        </w:rPr>
        <w:t>refers to</w:t>
      </w:r>
      <w:r w:rsidRPr="001558A5">
        <w:rPr>
          <w:lang w:val="en-US"/>
        </w:rPr>
        <w:t xml:space="preserve">: </w:t>
      </w:r>
      <w:r w:rsidR="00DF7573" w:rsidRPr="001558A5">
        <w:rPr>
          <w:lang w:val="en-US"/>
        </w:rPr>
        <w:t>(</w:t>
      </w:r>
      <w:r w:rsidRPr="001558A5">
        <w:rPr>
          <w:lang w:val="en-US"/>
        </w:rPr>
        <w:t xml:space="preserve">a) </w:t>
      </w:r>
      <w:r w:rsidR="00DF7573" w:rsidRPr="001558A5">
        <w:rPr>
          <w:lang w:val="en-US"/>
        </w:rPr>
        <w:t>the prevention, elimination, investigation, punishment and reparation of violence against trans women based on their gender expression or identity, which forms part of the duty of due diligence to tackle gender-based violence, and (b) the protection, respect and guarantee of the rights to equality and non-discrimination</w:t>
      </w:r>
      <w:r w:rsidRPr="001558A5">
        <w:rPr>
          <w:lang w:val="en-US"/>
        </w:rPr>
        <w:t>.</w:t>
      </w:r>
      <w:r w:rsidR="00DF7573" w:rsidRPr="001558A5">
        <w:rPr>
          <w:lang w:val="en-US"/>
        </w:rPr>
        <w:t xml:space="preserve"> This means that the duty of due diligence to prevent, eliminate, investigate, punish and redress violence based on</w:t>
      </w:r>
      <w:r w:rsidRPr="001558A5">
        <w:rPr>
          <w:lang w:val="en-US"/>
        </w:rPr>
        <w:t xml:space="preserve"> </w:t>
      </w:r>
      <w:r w:rsidR="00DF7573" w:rsidRPr="001558A5">
        <w:rPr>
          <w:lang w:val="en-US"/>
        </w:rPr>
        <w:t>gender identity or expression</w:t>
      </w:r>
      <w:r w:rsidRPr="001558A5">
        <w:rPr>
          <w:lang w:val="en-US"/>
        </w:rPr>
        <w:t xml:space="preserve"> inclu</w:t>
      </w:r>
      <w:r w:rsidR="00DF7573" w:rsidRPr="001558A5">
        <w:rPr>
          <w:lang w:val="en-US"/>
        </w:rPr>
        <w:t>des specific obligations to address intersectional discrimination.</w:t>
      </w:r>
    </w:p>
  </w:footnote>
  <w:footnote w:id="13">
    <w:p w14:paraId="3F154630" w14:textId="6C6961FC"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ab/>
      </w:r>
      <w:r w:rsidR="004F4F9C" w:rsidRPr="001558A5">
        <w:rPr>
          <w:lang w:val="en-US"/>
        </w:rPr>
        <w:t>The brief was signed by</w:t>
      </w:r>
      <w:r w:rsidRPr="001558A5">
        <w:rPr>
          <w:lang w:val="en-US"/>
        </w:rPr>
        <w:t xml:space="preserve"> Aisling </w:t>
      </w:r>
      <w:proofErr w:type="spellStart"/>
      <w:r w:rsidRPr="001558A5">
        <w:rPr>
          <w:lang w:val="en-US"/>
        </w:rPr>
        <w:t>Reidy</w:t>
      </w:r>
      <w:proofErr w:type="spellEnd"/>
      <w:r w:rsidR="00DD4354" w:rsidRPr="001558A5">
        <w:rPr>
          <w:lang w:val="en-US"/>
        </w:rPr>
        <w:t xml:space="preserve"> and </w:t>
      </w:r>
      <w:r w:rsidR="0058234A" w:rsidRPr="001558A5">
        <w:rPr>
          <w:lang w:val="en-US"/>
        </w:rPr>
        <w:t>refers to</w:t>
      </w:r>
      <w:r w:rsidRPr="001558A5">
        <w:rPr>
          <w:lang w:val="en-US"/>
        </w:rPr>
        <w:t xml:space="preserve">: </w:t>
      </w:r>
      <w:r w:rsidR="0058234A" w:rsidRPr="001558A5">
        <w:rPr>
          <w:lang w:val="en-US"/>
        </w:rPr>
        <w:t>(</w:t>
      </w:r>
      <w:r w:rsidRPr="001558A5">
        <w:rPr>
          <w:lang w:val="en-US"/>
        </w:rPr>
        <w:t xml:space="preserve">a) </w:t>
      </w:r>
      <w:r w:rsidR="0058234A" w:rsidRPr="001558A5">
        <w:rPr>
          <w:lang w:val="en-US"/>
        </w:rPr>
        <w:t xml:space="preserve">the obligation of a State Party to </w:t>
      </w:r>
      <w:r w:rsidR="00871E19" w:rsidRPr="001558A5">
        <w:rPr>
          <w:lang w:val="en-US"/>
        </w:rPr>
        <w:t>the American Convention</w:t>
      </w:r>
      <w:r w:rsidRPr="001558A5">
        <w:rPr>
          <w:lang w:val="en-US"/>
        </w:rPr>
        <w:t xml:space="preserve"> </w:t>
      </w:r>
      <w:r w:rsidR="0058234A" w:rsidRPr="001558A5">
        <w:rPr>
          <w:lang w:val="en-US"/>
        </w:rPr>
        <w:t xml:space="preserve">to conduct effective investigations into lethal or fatal attacks based on the protection of the right to life pursuant to </w:t>
      </w:r>
      <w:r w:rsidR="00871E19" w:rsidRPr="001558A5">
        <w:rPr>
          <w:lang w:val="en-US"/>
        </w:rPr>
        <w:t>Article</w:t>
      </w:r>
      <w:r w:rsidRPr="001558A5">
        <w:rPr>
          <w:lang w:val="en-US"/>
        </w:rPr>
        <w:t xml:space="preserve"> 4(1); </w:t>
      </w:r>
      <w:r w:rsidR="0058234A" w:rsidRPr="001558A5">
        <w:rPr>
          <w:lang w:val="en-US"/>
        </w:rPr>
        <w:t>(</w:t>
      </w:r>
      <w:r w:rsidRPr="001558A5">
        <w:rPr>
          <w:lang w:val="en-US"/>
        </w:rPr>
        <w:t xml:space="preserve">b) </w:t>
      </w:r>
      <w:r w:rsidR="0058234A" w:rsidRPr="001558A5">
        <w:rPr>
          <w:lang w:val="en-US"/>
        </w:rPr>
        <w:t>the need for the Court to harmonize its case law with that of the European Court, clarifying that the failure to conduct an effective investigation may result in a di</w:t>
      </w:r>
      <w:r w:rsidR="00B75397" w:rsidRPr="001558A5">
        <w:rPr>
          <w:lang w:val="en-US"/>
        </w:rPr>
        <w:t xml:space="preserve">stinct </w:t>
      </w:r>
      <w:r w:rsidR="0058234A" w:rsidRPr="001558A5">
        <w:rPr>
          <w:lang w:val="en-US"/>
        </w:rPr>
        <w:t xml:space="preserve">violation of Article 4, </w:t>
      </w:r>
      <w:r w:rsidR="00B75397" w:rsidRPr="001558A5">
        <w:rPr>
          <w:lang w:val="en-US"/>
        </w:rPr>
        <w:t xml:space="preserve">independent of </w:t>
      </w:r>
      <w:r w:rsidR="0058234A" w:rsidRPr="001558A5">
        <w:rPr>
          <w:lang w:val="en-US"/>
        </w:rPr>
        <w:t>the substantive violation</w:t>
      </w:r>
      <w:r w:rsidR="00B75397" w:rsidRPr="001558A5">
        <w:rPr>
          <w:lang w:val="en-US"/>
        </w:rPr>
        <w:t>s</w:t>
      </w:r>
      <w:r w:rsidR="0058234A" w:rsidRPr="001558A5">
        <w:rPr>
          <w:lang w:val="en-US"/>
        </w:rPr>
        <w:t xml:space="preserve"> of the right to life or to </w:t>
      </w:r>
      <w:r w:rsidR="00B75397" w:rsidRPr="001558A5">
        <w:rPr>
          <w:lang w:val="en-US"/>
        </w:rPr>
        <w:t>judicial guarantees or</w:t>
      </w:r>
      <w:r w:rsidR="0058234A" w:rsidRPr="001558A5">
        <w:rPr>
          <w:lang w:val="en-US"/>
        </w:rPr>
        <w:t xml:space="preserve"> to </w:t>
      </w:r>
      <w:r w:rsidR="00B732DD" w:rsidRPr="001558A5">
        <w:rPr>
          <w:lang w:val="en-US"/>
        </w:rPr>
        <w:t>judicial protection</w:t>
      </w:r>
      <w:r w:rsidRPr="001558A5">
        <w:rPr>
          <w:lang w:val="en-US"/>
        </w:rPr>
        <w:t xml:space="preserve">; </w:t>
      </w:r>
      <w:r w:rsidR="0058234A" w:rsidRPr="001558A5">
        <w:rPr>
          <w:lang w:val="en-US"/>
        </w:rPr>
        <w:t>(</w:t>
      </w:r>
      <w:r w:rsidRPr="001558A5">
        <w:rPr>
          <w:lang w:val="en-US"/>
        </w:rPr>
        <w:t xml:space="preserve">c) </w:t>
      </w:r>
      <w:r w:rsidR="0058234A" w:rsidRPr="001558A5">
        <w:rPr>
          <w:lang w:val="en-US"/>
        </w:rPr>
        <w:t xml:space="preserve">the obligation to conduct an effective investigation based on the right to life. This includes the obligation to investigate and to discover whether a violent act was motivated by discrimination </w:t>
      </w:r>
      <w:r w:rsidR="009460CA" w:rsidRPr="001558A5">
        <w:rPr>
          <w:lang w:val="en-US"/>
        </w:rPr>
        <w:t>against the LGBTI community</w:t>
      </w:r>
      <w:r w:rsidR="0058234A" w:rsidRPr="001558A5">
        <w:rPr>
          <w:lang w:val="en-US"/>
        </w:rPr>
        <w:t>, and (d) the duty to investigate homophobic motiv</w:t>
      </w:r>
      <w:r w:rsidR="00B75397" w:rsidRPr="001558A5">
        <w:rPr>
          <w:lang w:val="en-US"/>
        </w:rPr>
        <w:t>es</w:t>
      </w:r>
      <w:r w:rsidR="00B74256" w:rsidRPr="001558A5">
        <w:rPr>
          <w:lang w:val="en-US"/>
        </w:rPr>
        <w:t xml:space="preserve">, which is particularly important in a country such as Honduras where the authorities </w:t>
      </w:r>
      <w:r w:rsidR="00B75397" w:rsidRPr="001558A5">
        <w:rPr>
          <w:lang w:val="en-US"/>
        </w:rPr>
        <w:t>fail to</w:t>
      </w:r>
      <w:r w:rsidR="00B74256" w:rsidRPr="001558A5">
        <w:rPr>
          <w:lang w:val="en-US"/>
        </w:rPr>
        <w:t xml:space="preserve"> conduct effective investigations in circumstances that endanger the life of LGBTI persons.</w:t>
      </w:r>
    </w:p>
  </w:footnote>
  <w:footnote w:id="14">
    <w:p w14:paraId="742DA22B" w14:textId="63D2CE69"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ab/>
      </w:r>
      <w:r w:rsidR="004F4F9C" w:rsidRPr="001558A5">
        <w:rPr>
          <w:lang w:val="en-US"/>
        </w:rPr>
        <w:t>The brief was signed by</w:t>
      </w:r>
      <w:r w:rsidRPr="001558A5">
        <w:rPr>
          <w:lang w:val="en-US"/>
        </w:rPr>
        <w:t xml:space="preserve"> Bertha Oliva de </w:t>
      </w:r>
      <w:proofErr w:type="spellStart"/>
      <w:r w:rsidRPr="001558A5">
        <w:rPr>
          <w:lang w:val="en-US"/>
        </w:rPr>
        <w:t>Nativi</w:t>
      </w:r>
      <w:proofErr w:type="spellEnd"/>
      <w:r w:rsidR="00DD4354" w:rsidRPr="001558A5">
        <w:rPr>
          <w:lang w:val="en-US"/>
        </w:rPr>
        <w:t xml:space="preserve"> and </w:t>
      </w:r>
      <w:r w:rsidR="00B74256" w:rsidRPr="001558A5">
        <w:rPr>
          <w:lang w:val="en-US"/>
        </w:rPr>
        <w:t>refers to the</w:t>
      </w:r>
      <w:r w:rsidRPr="001558A5">
        <w:rPr>
          <w:lang w:val="en-US"/>
        </w:rPr>
        <w:t xml:space="preserve"> </w:t>
      </w:r>
      <w:r w:rsidR="00DD4354" w:rsidRPr="001558A5">
        <w:rPr>
          <w:lang w:val="en-US"/>
        </w:rPr>
        <w:t>context</w:t>
      </w:r>
      <w:r w:rsidR="00B74256" w:rsidRPr="001558A5">
        <w:rPr>
          <w:lang w:val="en-US"/>
        </w:rPr>
        <w:t xml:space="preserve"> of the 2009 coup d’état</w:t>
      </w:r>
      <w:r w:rsidRPr="001558A5">
        <w:rPr>
          <w:lang w:val="en-US"/>
        </w:rPr>
        <w:t xml:space="preserve"> </w:t>
      </w:r>
      <w:r w:rsidR="00B74256" w:rsidRPr="001558A5">
        <w:rPr>
          <w:lang w:val="en-US"/>
        </w:rPr>
        <w:t xml:space="preserve">in </w:t>
      </w:r>
      <w:r w:rsidRPr="001558A5">
        <w:rPr>
          <w:lang w:val="en-US"/>
        </w:rPr>
        <w:t xml:space="preserve">Honduras, </w:t>
      </w:r>
      <w:r w:rsidR="00B74256" w:rsidRPr="001558A5">
        <w:rPr>
          <w:lang w:val="en-US"/>
        </w:rPr>
        <w:t xml:space="preserve">the state of emergency, and the human rights situation. </w:t>
      </w:r>
    </w:p>
  </w:footnote>
  <w:footnote w:id="15">
    <w:p w14:paraId="4980C31E" w14:textId="1E4D47E4"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ab/>
      </w:r>
      <w:r w:rsidR="004F4F9C" w:rsidRPr="001558A5">
        <w:rPr>
          <w:lang w:val="en-US"/>
        </w:rPr>
        <w:t>The brief was signed by</w:t>
      </w:r>
      <w:r w:rsidRPr="001558A5">
        <w:rPr>
          <w:lang w:val="en-US"/>
        </w:rPr>
        <w:t xml:space="preserve"> </w:t>
      </w:r>
      <w:proofErr w:type="spellStart"/>
      <w:r w:rsidRPr="001558A5">
        <w:rPr>
          <w:lang w:val="en-US"/>
        </w:rPr>
        <w:t>Joaquín</w:t>
      </w:r>
      <w:proofErr w:type="spellEnd"/>
      <w:r w:rsidRPr="001558A5">
        <w:rPr>
          <w:lang w:val="en-US"/>
        </w:rPr>
        <w:t xml:space="preserve"> A. </w:t>
      </w:r>
      <w:proofErr w:type="spellStart"/>
      <w:r w:rsidRPr="001558A5">
        <w:rPr>
          <w:lang w:val="en-US"/>
        </w:rPr>
        <w:t>Mejía</w:t>
      </w:r>
      <w:proofErr w:type="spellEnd"/>
      <w:r w:rsidRPr="001558A5">
        <w:rPr>
          <w:lang w:val="en-US"/>
        </w:rPr>
        <w:t xml:space="preserve"> Rivera</w:t>
      </w:r>
      <w:r w:rsidR="00DD4354" w:rsidRPr="001558A5">
        <w:rPr>
          <w:lang w:val="en-US"/>
        </w:rPr>
        <w:t xml:space="preserve"> and </w:t>
      </w:r>
      <w:r w:rsidRPr="001558A5">
        <w:rPr>
          <w:lang w:val="en-US"/>
        </w:rPr>
        <w:t xml:space="preserve">Claudia </w:t>
      </w:r>
      <w:proofErr w:type="spellStart"/>
      <w:r w:rsidRPr="001558A5">
        <w:rPr>
          <w:lang w:val="en-US"/>
        </w:rPr>
        <w:t>Herrmannsdorfer</w:t>
      </w:r>
      <w:proofErr w:type="spellEnd"/>
      <w:r w:rsidR="00DD4354" w:rsidRPr="001558A5">
        <w:rPr>
          <w:lang w:val="en-US"/>
        </w:rPr>
        <w:t xml:space="preserve"> and </w:t>
      </w:r>
      <w:r w:rsidR="00B74256" w:rsidRPr="001558A5">
        <w:rPr>
          <w:lang w:val="en-US"/>
        </w:rPr>
        <w:t>refers to</w:t>
      </w:r>
      <w:r w:rsidRPr="001558A5">
        <w:rPr>
          <w:lang w:val="en-US"/>
        </w:rPr>
        <w:t xml:space="preserve">: </w:t>
      </w:r>
      <w:r w:rsidR="00B74256" w:rsidRPr="001558A5">
        <w:rPr>
          <w:lang w:val="en-US"/>
        </w:rPr>
        <w:t>(</w:t>
      </w:r>
      <w:r w:rsidRPr="001558A5">
        <w:rPr>
          <w:lang w:val="en-US"/>
        </w:rPr>
        <w:t>a) general</w:t>
      </w:r>
      <w:r w:rsidR="00B74256" w:rsidRPr="001558A5">
        <w:rPr>
          <w:lang w:val="en-US"/>
        </w:rPr>
        <w:t xml:space="preserve"> considerations on the obligations assumed by </w:t>
      </w:r>
      <w:r w:rsidR="00DD4354" w:rsidRPr="001558A5">
        <w:rPr>
          <w:lang w:val="en-US"/>
        </w:rPr>
        <w:t xml:space="preserve">the </w:t>
      </w:r>
      <w:r w:rsidR="00B74256" w:rsidRPr="001558A5">
        <w:rPr>
          <w:lang w:val="en-US"/>
        </w:rPr>
        <w:t>State of Honduras</w:t>
      </w:r>
      <w:r w:rsidRPr="001558A5">
        <w:rPr>
          <w:lang w:val="en-US"/>
        </w:rPr>
        <w:t xml:space="preserve"> </w:t>
      </w:r>
      <w:r w:rsidR="00B74256" w:rsidRPr="001558A5">
        <w:rPr>
          <w:lang w:val="en-US"/>
        </w:rPr>
        <w:t xml:space="preserve">due to its ratification </w:t>
      </w:r>
      <w:r w:rsidR="00DD4354" w:rsidRPr="001558A5">
        <w:rPr>
          <w:lang w:val="en-US"/>
        </w:rPr>
        <w:t xml:space="preserve">of the </w:t>
      </w:r>
      <w:r w:rsidR="00871E19" w:rsidRPr="001558A5">
        <w:rPr>
          <w:lang w:val="en-US"/>
        </w:rPr>
        <w:t>American Convention on Human Rights</w:t>
      </w:r>
      <w:r w:rsidRPr="001558A5">
        <w:rPr>
          <w:lang w:val="en-US"/>
        </w:rPr>
        <w:t>,</w:t>
      </w:r>
      <w:r w:rsidR="00DD4354" w:rsidRPr="001558A5">
        <w:rPr>
          <w:lang w:val="en-US"/>
        </w:rPr>
        <w:t xml:space="preserve"> and </w:t>
      </w:r>
      <w:r w:rsidR="00B74256" w:rsidRPr="001558A5">
        <w:rPr>
          <w:lang w:val="en-US"/>
        </w:rPr>
        <w:t>(</w:t>
      </w:r>
      <w:r w:rsidRPr="001558A5">
        <w:rPr>
          <w:lang w:val="en-US"/>
        </w:rPr>
        <w:t xml:space="preserve">b) </w:t>
      </w:r>
      <w:r w:rsidR="00B74256" w:rsidRPr="001558A5">
        <w:rPr>
          <w:lang w:val="en-US"/>
        </w:rPr>
        <w:t>the obligation to investigate “in light of due diligence.”</w:t>
      </w:r>
    </w:p>
  </w:footnote>
  <w:footnote w:id="16">
    <w:p w14:paraId="112588E5" w14:textId="57A4A085"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4F4F9C" w:rsidRPr="001558A5">
        <w:rPr>
          <w:lang w:val="en-US"/>
        </w:rPr>
        <w:t>The brief was signed by</w:t>
      </w:r>
      <w:r w:rsidRPr="001558A5">
        <w:rPr>
          <w:lang w:val="en-US"/>
        </w:rPr>
        <w:t xml:space="preserve"> </w:t>
      </w:r>
      <w:proofErr w:type="spellStart"/>
      <w:r w:rsidRPr="001558A5">
        <w:rPr>
          <w:lang w:val="en-US"/>
        </w:rPr>
        <w:t>Mirta</w:t>
      </w:r>
      <w:proofErr w:type="spellEnd"/>
      <w:r w:rsidRPr="001558A5">
        <w:rPr>
          <w:lang w:val="en-US"/>
        </w:rPr>
        <w:t xml:space="preserve"> </w:t>
      </w:r>
      <w:proofErr w:type="spellStart"/>
      <w:r w:rsidRPr="001558A5">
        <w:rPr>
          <w:lang w:val="en-US"/>
        </w:rPr>
        <w:t>Moragas</w:t>
      </w:r>
      <w:proofErr w:type="spellEnd"/>
      <w:r w:rsidRPr="001558A5">
        <w:rPr>
          <w:lang w:val="en-US"/>
        </w:rPr>
        <w:t xml:space="preserve"> </w:t>
      </w:r>
      <w:proofErr w:type="spellStart"/>
      <w:r w:rsidRPr="001558A5">
        <w:rPr>
          <w:lang w:val="en-US"/>
        </w:rPr>
        <w:t>Mereles</w:t>
      </w:r>
      <w:proofErr w:type="spellEnd"/>
      <w:r w:rsidRPr="001558A5">
        <w:rPr>
          <w:lang w:val="en-US"/>
        </w:rPr>
        <w:t xml:space="preserve">, Fanny C. Gómez Lugo, Jackson Cochran, Natasha </w:t>
      </w:r>
      <w:proofErr w:type="spellStart"/>
      <w:r w:rsidRPr="001558A5">
        <w:rPr>
          <w:lang w:val="en-US"/>
        </w:rPr>
        <w:t>Mighell</w:t>
      </w:r>
      <w:proofErr w:type="spellEnd"/>
      <w:r w:rsidRPr="001558A5">
        <w:rPr>
          <w:lang w:val="en-US"/>
        </w:rPr>
        <w:t xml:space="preserve">, Marcela Sánchez </w:t>
      </w:r>
      <w:proofErr w:type="spellStart"/>
      <w:r w:rsidRPr="001558A5">
        <w:rPr>
          <w:lang w:val="en-US"/>
        </w:rPr>
        <w:t>Buitrago</w:t>
      </w:r>
      <w:proofErr w:type="spellEnd"/>
      <w:r w:rsidRPr="001558A5">
        <w:rPr>
          <w:lang w:val="en-US"/>
        </w:rPr>
        <w:t>, Juan Felipe Rivera Osorio, Alejandro Barreiro Jaramillo,</w:t>
      </w:r>
      <w:r w:rsidR="00DD4354" w:rsidRPr="001558A5">
        <w:rPr>
          <w:lang w:val="en-US"/>
        </w:rPr>
        <w:t xml:space="preserve"> and </w:t>
      </w:r>
      <w:r w:rsidRPr="001558A5">
        <w:rPr>
          <w:lang w:val="en-US"/>
        </w:rPr>
        <w:t xml:space="preserve">Daniela </w:t>
      </w:r>
      <w:proofErr w:type="spellStart"/>
      <w:r w:rsidRPr="001558A5">
        <w:rPr>
          <w:lang w:val="en-US"/>
        </w:rPr>
        <w:t>Díaz</w:t>
      </w:r>
      <w:proofErr w:type="spellEnd"/>
      <w:r w:rsidRPr="001558A5">
        <w:rPr>
          <w:lang w:val="en-US"/>
        </w:rPr>
        <w:t xml:space="preserve"> </w:t>
      </w:r>
      <w:proofErr w:type="spellStart"/>
      <w:r w:rsidRPr="001558A5">
        <w:rPr>
          <w:lang w:val="en-US"/>
        </w:rPr>
        <w:t>Villamil</w:t>
      </w:r>
      <w:proofErr w:type="spellEnd"/>
      <w:r w:rsidR="00DD4354" w:rsidRPr="001558A5">
        <w:rPr>
          <w:lang w:val="en-US"/>
        </w:rPr>
        <w:t xml:space="preserve"> and</w:t>
      </w:r>
      <w:r w:rsidR="00B74256" w:rsidRPr="001558A5">
        <w:rPr>
          <w:lang w:val="en-US"/>
        </w:rPr>
        <w:t xml:space="preserve"> refers to</w:t>
      </w:r>
      <w:r w:rsidRPr="001558A5">
        <w:rPr>
          <w:lang w:val="en-US"/>
        </w:rPr>
        <w:t xml:space="preserve">: </w:t>
      </w:r>
      <w:r w:rsidR="00B74256" w:rsidRPr="001558A5">
        <w:rPr>
          <w:lang w:val="en-US"/>
        </w:rPr>
        <w:t>(</w:t>
      </w:r>
      <w:r w:rsidRPr="001558A5">
        <w:rPr>
          <w:lang w:val="en-US"/>
        </w:rPr>
        <w:t xml:space="preserve">a) </w:t>
      </w:r>
      <w:r w:rsidR="00B74256" w:rsidRPr="001558A5">
        <w:rPr>
          <w:lang w:val="en-US"/>
        </w:rPr>
        <w:t>the responsibility of</w:t>
      </w:r>
      <w:r w:rsidRPr="001558A5">
        <w:rPr>
          <w:lang w:val="en-US"/>
        </w:rPr>
        <w:t xml:space="preserve"> Honduras </w:t>
      </w:r>
      <w:r w:rsidR="00B74256" w:rsidRPr="001558A5">
        <w:rPr>
          <w:lang w:val="en-US"/>
        </w:rPr>
        <w:t>for</w:t>
      </w:r>
      <w:r w:rsidR="00250AE3" w:rsidRPr="001558A5">
        <w:rPr>
          <w:lang w:val="en-US"/>
        </w:rPr>
        <w:t xml:space="preserve"> the</w:t>
      </w:r>
      <w:r w:rsidR="00B74256" w:rsidRPr="001558A5">
        <w:rPr>
          <w:lang w:val="en-US"/>
        </w:rPr>
        <w:t xml:space="preserve"> violation of the right to life of</w:t>
      </w:r>
      <w:r w:rsidRPr="001558A5">
        <w:rPr>
          <w:lang w:val="en-US"/>
        </w:rPr>
        <w:t xml:space="preserve"> Vicky Hernández </w:t>
      </w:r>
      <w:r w:rsidR="00B74256" w:rsidRPr="001558A5">
        <w:rPr>
          <w:lang w:val="en-US"/>
        </w:rPr>
        <w:t xml:space="preserve">in light of </w:t>
      </w:r>
      <w:r w:rsidR="00871E19" w:rsidRPr="001558A5">
        <w:rPr>
          <w:lang w:val="en-US"/>
        </w:rPr>
        <w:t>Article</w:t>
      </w:r>
      <w:r w:rsidRPr="001558A5">
        <w:rPr>
          <w:lang w:val="en-US"/>
        </w:rPr>
        <w:t xml:space="preserve"> 4</w:t>
      </w:r>
      <w:r w:rsidR="00DD4354" w:rsidRPr="001558A5">
        <w:rPr>
          <w:lang w:val="en-US"/>
        </w:rPr>
        <w:t xml:space="preserve"> of the </w:t>
      </w:r>
      <w:r w:rsidR="00871E19" w:rsidRPr="001558A5">
        <w:rPr>
          <w:lang w:val="en-US"/>
        </w:rPr>
        <w:t>American Convention on Human Rights</w:t>
      </w:r>
      <w:r w:rsidR="00DD4354" w:rsidRPr="001558A5">
        <w:rPr>
          <w:lang w:val="en-US"/>
        </w:rPr>
        <w:t xml:space="preserve"> and </w:t>
      </w:r>
      <w:r w:rsidR="00871E19" w:rsidRPr="001558A5">
        <w:rPr>
          <w:lang w:val="en-US"/>
        </w:rPr>
        <w:t>Article</w:t>
      </w:r>
      <w:r w:rsidR="00B74256" w:rsidRPr="001558A5">
        <w:rPr>
          <w:lang w:val="en-US"/>
        </w:rPr>
        <w:t>s</w:t>
      </w:r>
      <w:r w:rsidRPr="001558A5">
        <w:rPr>
          <w:lang w:val="en-US"/>
        </w:rPr>
        <w:t xml:space="preserve"> 3</w:t>
      </w:r>
      <w:r w:rsidR="00DD4354" w:rsidRPr="001558A5">
        <w:rPr>
          <w:lang w:val="en-US"/>
        </w:rPr>
        <w:t xml:space="preserve"> and </w:t>
      </w:r>
      <w:r w:rsidRPr="001558A5">
        <w:rPr>
          <w:lang w:val="en-US"/>
        </w:rPr>
        <w:t>7</w:t>
      </w:r>
      <w:r w:rsidR="00DD4354" w:rsidRPr="001558A5">
        <w:rPr>
          <w:lang w:val="en-US"/>
        </w:rPr>
        <w:t xml:space="preserve"> of the </w:t>
      </w:r>
      <w:r w:rsidR="00871E19" w:rsidRPr="001558A5">
        <w:rPr>
          <w:lang w:val="en-US"/>
        </w:rPr>
        <w:t>Convention</w:t>
      </w:r>
      <w:r w:rsidRPr="001558A5">
        <w:rPr>
          <w:lang w:val="en-US"/>
        </w:rPr>
        <w:t xml:space="preserve"> </w:t>
      </w:r>
      <w:r w:rsidR="00B74256" w:rsidRPr="001558A5">
        <w:rPr>
          <w:lang w:val="en-US"/>
        </w:rPr>
        <w:t xml:space="preserve">of </w:t>
      </w:r>
      <w:proofErr w:type="spellStart"/>
      <w:r w:rsidR="00B74256" w:rsidRPr="001558A5">
        <w:rPr>
          <w:lang w:val="en-US"/>
        </w:rPr>
        <w:t>Belém</w:t>
      </w:r>
      <w:proofErr w:type="spellEnd"/>
      <w:r w:rsidRPr="001558A5">
        <w:rPr>
          <w:lang w:val="en-US"/>
        </w:rPr>
        <w:t xml:space="preserve"> do </w:t>
      </w:r>
      <w:proofErr w:type="spellStart"/>
      <w:r w:rsidRPr="001558A5">
        <w:rPr>
          <w:lang w:val="en-US"/>
        </w:rPr>
        <w:t>Pará</w:t>
      </w:r>
      <w:proofErr w:type="spellEnd"/>
      <w:r w:rsidRPr="001558A5">
        <w:rPr>
          <w:lang w:val="en-US"/>
        </w:rPr>
        <w:t xml:space="preserve">; </w:t>
      </w:r>
      <w:r w:rsidR="00B74256" w:rsidRPr="001558A5">
        <w:rPr>
          <w:lang w:val="en-US"/>
        </w:rPr>
        <w:t>(</w:t>
      </w:r>
      <w:r w:rsidRPr="001558A5">
        <w:rPr>
          <w:lang w:val="en-US"/>
        </w:rPr>
        <w:t xml:space="preserve">b) </w:t>
      </w:r>
      <w:r w:rsidR="00B74256" w:rsidRPr="001558A5">
        <w:rPr>
          <w:lang w:val="en-US"/>
        </w:rPr>
        <w:t>the violation of</w:t>
      </w:r>
      <w:r w:rsidRPr="001558A5">
        <w:rPr>
          <w:lang w:val="en-US"/>
        </w:rPr>
        <w:t xml:space="preserve"> Vicky Hernández</w:t>
      </w:r>
      <w:r w:rsidR="00B74256" w:rsidRPr="001558A5">
        <w:rPr>
          <w:lang w:val="en-US"/>
        </w:rPr>
        <w:t>’s freedom of expression in light of Article</w:t>
      </w:r>
      <w:r w:rsidRPr="001558A5">
        <w:rPr>
          <w:lang w:val="en-US"/>
        </w:rPr>
        <w:t xml:space="preserve"> 13</w:t>
      </w:r>
      <w:r w:rsidR="00DD4354" w:rsidRPr="001558A5">
        <w:rPr>
          <w:lang w:val="en-US"/>
        </w:rPr>
        <w:t xml:space="preserve"> of the </w:t>
      </w:r>
      <w:r w:rsidR="00871E19" w:rsidRPr="001558A5">
        <w:rPr>
          <w:lang w:val="en-US"/>
        </w:rPr>
        <w:t>American Convention on Human Rights</w:t>
      </w:r>
      <w:r w:rsidRPr="001558A5">
        <w:rPr>
          <w:lang w:val="en-US"/>
        </w:rPr>
        <w:t>,</w:t>
      </w:r>
      <w:r w:rsidR="00DD4354" w:rsidRPr="001558A5">
        <w:rPr>
          <w:lang w:val="en-US"/>
        </w:rPr>
        <w:t xml:space="preserve"> and </w:t>
      </w:r>
      <w:r w:rsidR="00B74256" w:rsidRPr="001558A5">
        <w:rPr>
          <w:lang w:val="en-US"/>
        </w:rPr>
        <w:t>(</w:t>
      </w:r>
      <w:r w:rsidRPr="001558A5">
        <w:rPr>
          <w:lang w:val="en-US"/>
        </w:rPr>
        <w:t xml:space="preserve">c) </w:t>
      </w:r>
      <w:r w:rsidR="00B74256" w:rsidRPr="001558A5">
        <w:rPr>
          <w:lang w:val="en-US"/>
        </w:rPr>
        <w:t>measures of reparation.</w:t>
      </w:r>
      <w:r w:rsidRPr="001558A5">
        <w:rPr>
          <w:lang w:val="en-US"/>
        </w:rPr>
        <w:t xml:space="preserve"> </w:t>
      </w:r>
    </w:p>
  </w:footnote>
  <w:footnote w:id="17">
    <w:p w14:paraId="02D9B222" w14:textId="7C0A94E8"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4F4F9C" w:rsidRPr="001558A5">
        <w:rPr>
          <w:lang w:val="en-US"/>
        </w:rPr>
        <w:t>The brief was signed by</w:t>
      </w:r>
      <w:r w:rsidRPr="001558A5">
        <w:rPr>
          <w:lang w:val="en-US"/>
        </w:rPr>
        <w:t xml:space="preserve"> Mateo </w:t>
      </w:r>
      <w:proofErr w:type="spellStart"/>
      <w:r w:rsidRPr="001558A5">
        <w:rPr>
          <w:lang w:val="en-US"/>
        </w:rPr>
        <w:t>Ruales</w:t>
      </w:r>
      <w:proofErr w:type="spellEnd"/>
      <w:r w:rsidRPr="001558A5">
        <w:rPr>
          <w:lang w:val="en-US"/>
        </w:rPr>
        <w:t>, Gustavo Silva, Diego Corral, Christian Paula Aguirre,</w:t>
      </w:r>
      <w:r w:rsidR="00DD4354" w:rsidRPr="001558A5">
        <w:rPr>
          <w:lang w:val="en-US"/>
        </w:rPr>
        <w:t xml:space="preserve"> and </w:t>
      </w:r>
      <w:proofErr w:type="spellStart"/>
      <w:r w:rsidRPr="001558A5">
        <w:rPr>
          <w:lang w:val="en-US"/>
        </w:rPr>
        <w:t>Seyeden</w:t>
      </w:r>
      <w:proofErr w:type="spellEnd"/>
      <w:r w:rsidRPr="001558A5">
        <w:rPr>
          <w:lang w:val="en-US"/>
        </w:rPr>
        <w:t xml:space="preserve"> </w:t>
      </w:r>
      <w:proofErr w:type="spellStart"/>
      <w:r w:rsidRPr="001558A5">
        <w:rPr>
          <w:lang w:val="en-US"/>
        </w:rPr>
        <w:t>Sougand</w:t>
      </w:r>
      <w:proofErr w:type="spellEnd"/>
      <w:r w:rsidRPr="001558A5">
        <w:rPr>
          <w:lang w:val="en-US"/>
        </w:rPr>
        <w:t xml:space="preserve"> </w:t>
      </w:r>
      <w:proofErr w:type="spellStart"/>
      <w:r w:rsidRPr="001558A5">
        <w:rPr>
          <w:lang w:val="en-US"/>
        </w:rPr>
        <w:t>Hessamzadeh</w:t>
      </w:r>
      <w:proofErr w:type="spellEnd"/>
      <w:r w:rsidR="00DD4354" w:rsidRPr="001558A5">
        <w:rPr>
          <w:lang w:val="en-US"/>
        </w:rPr>
        <w:t xml:space="preserve"> and </w:t>
      </w:r>
      <w:r w:rsidR="00B74256" w:rsidRPr="001558A5">
        <w:rPr>
          <w:lang w:val="en-US"/>
        </w:rPr>
        <w:t>refers to</w:t>
      </w:r>
      <w:r w:rsidRPr="001558A5">
        <w:rPr>
          <w:lang w:val="en-US"/>
        </w:rPr>
        <w:t xml:space="preserve">: </w:t>
      </w:r>
      <w:r w:rsidR="00B74256" w:rsidRPr="001558A5">
        <w:rPr>
          <w:lang w:val="en-US"/>
        </w:rPr>
        <w:t>(</w:t>
      </w:r>
      <w:r w:rsidRPr="001558A5">
        <w:rPr>
          <w:lang w:val="en-US"/>
        </w:rPr>
        <w:t xml:space="preserve">a) </w:t>
      </w:r>
      <w:r w:rsidR="00B74256" w:rsidRPr="001558A5">
        <w:rPr>
          <w:lang w:val="en-US"/>
        </w:rPr>
        <w:t xml:space="preserve">structural discrimination based on </w:t>
      </w:r>
      <w:r w:rsidR="00DF7573" w:rsidRPr="001558A5">
        <w:rPr>
          <w:lang w:val="en-US"/>
        </w:rPr>
        <w:t>gender identity</w:t>
      </w:r>
      <w:r w:rsidR="00DD4354" w:rsidRPr="001558A5">
        <w:rPr>
          <w:lang w:val="en-US"/>
        </w:rPr>
        <w:t xml:space="preserve"> </w:t>
      </w:r>
      <w:r w:rsidR="00B74256" w:rsidRPr="001558A5">
        <w:rPr>
          <w:lang w:val="en-US"/>
        </w:rPr>
        <w:t xml:space="preserve">in the Americas and in </w:t>
      </w:r>
      <w:r w:rsidRPr="001558A5">
        <w:rPr>
          <w:lang w:val="en-US"/>
        </w:rPr>
        <w:t xml:space="preserve">Honduras; </w:t>
      </w:r>
      <w:r w:rsidR="00B74256" w:rsidRPr="001558A5">
        <w:rPr>
          <w:lang w:val="en-US"/>
        </w:rPr>
        <w:t>(</w:t>
      </w:r>
      <w:r w:rsidRPr="001558A5">
        <w:rPr>
          <w:lang w:val="en-US"/>
        </w:rPr>
        <w:t xml:space="preserve">b) </w:t>
      </w:r>
      <w:r w:rsidR="00B74256" w:rsidRPr="001558A5">
        <w:rPr>
          <w:lang w:val="en-US"/>
        </w:rPr>
        <w:t>the coup d’état and the state of emergency</w:t>
      </w:r>
      <w:r w:rsidRPr="001558A5">
        <w:rPr>
          <w:lang w:val="en-US"/>
        </w:rPr>
        <w:t xml:space="preserve"> </w:t>
      </w:r>
      <w:r w:rsidR="00B74256" w:rsidRPr="001558A5">
        <w:rPr>
          <w:lang w:val="en-US"/>
        </w:rPr>
        <w:t>i</w:t>
      </w:r>
      <w:r w:rsidRPr="001558A5">
        <w:rPr>
          <w:lang w:val="en-US"/>
        </w:rPr>
        <w:t xml:space="preserve">n Honduras; </w:t>
      </w:r>
      <w:r w:rsidR="00B74256" w:rsidRPr="001558A5">
        <w:rPr>
          <w:lang w:val="en-US"/>
        </w:rPr>
        <w:t>(</w:t>
      </w:r>
      <w:r w:rsidRPr="001558A5">
        <w:rPr>
          <w:lang w:val="en-US"/>
        </w:rPr>
        <w:t xml:space="preserve">c) </w:t>
      </w:r>
      <w:r w:rsidR="00B74256" w:rsidRPr="001558A5">
        <w:rPr>
          <w:lang w:val="en-US"/>
        </w:rPr>
        <w:t xml:space="preserve">the sociological </w:t>
      </w:r>
      <w:r w:rsidR="00F053EE" w:rsidRPr="001558A5">
        <w:rPr>
          <w:lang w:val="en-US"/>
        </w:rPr>
        <w:t>dimension</w:t>
      </w:r>
      <w:r w:rsidR="00B74256" w:rsidRPr="001558A5">
        <w:rPr>
          <w:lang w:val="en-US"/>
        </w:rPr>
        <w:t xml:space="preserve"> of trans persons; (d) the legal dimension of </w:t>
      </w:r>
      <w:proofErr w:type="spellStart"/>
      <w:r w:rsidRPr="001558A5">
        <w:rPr>
          <w:lang w:val="en-US"/>
        </w:rPr>
        <w:t>transfem</w:t>
      </w:r>
      <w:r w:rsidR="00B74256" w:rsidRPr="001558A5">
        <w:rPr>
          <w:lang w:val="en-US"/>
        </w:rPr>
        <w:t>icide</w:t>
      </w:r>
      <w:proofErr w:type="spellEnd"/>
      <w:r w:rsidRPr="001558A5">
        <w:rPr>
          <w:lang w:val="en-US"/>
        </w:rPr>
        <w:t xml:space="preserve">; </w:t>
      </w:r>
      <w:r w:rsidR="00B74256" w:rsidRPr="001558A5">
        <w:rPr>
          <w:lang w:val="en-US"/>
        </w:rPr>
        <w:t>(</w:t>
      </w:r>
      <w:r w:rsidRPr="001558A5">
        <w:rPr>
          <w:lang w:val="en-US"/>
        </w:rPr>
        <w:t xml:space="preserve">e) </w:t>
      </w:r>
      <w:proofErr w:type="spellStart"/>
      <w:r w:rsidR="00B74256" w:rsidRPr="001558A5">
        <w:rPr>
          <w:lang w:val="en-US"/>
        </w:rPr>
        <w:t>transfemicide</w:t>
      </w:r>
      <w:proofErr w:type="spellEnd"/>
      <w:r w:rsidRPr="001558A5">
        <w:rPr>
          <w:lang w:val="en-US"/>
        </w:rPr>
        <w:t xml:space="preserve"> </w:t>
      </w:r>
      <w:r w:rsidR="00B74256" w:rsidRPr="001558A5">
        <w:rPr>
          <w:lang w:val="en-US"/>
        </w:rPr>
        <w:t xml:space="preserve">as a gross human rights violation; (f) </w:t>
      </w:r>
      <w:proofErr w:type="spellStart"/>
      <w:r w:rsidR="00B74256" w:rsidRPr="001558A5">
        <w:rPr>
          <w:lang w:val="en-US"/>
        </w:rPr>
        <w:t>transfemicide</w:t>
      </w:r>
      <w:proofErr w:type="spellEnd"/>
      <w:r w:rsidR="00B74256" w:rsidRPr="001558A5">
        <w:rPr>
          <w:lang w:val="en-US"/>
        </w:rPr>
        <w:t xml:space="preserve"> as a crime against humanity; (g) the standards of transitional justice in Honduras applicable to the LGBTI population, and (h) suggestions for integral measures of reparation.</w:t>
      </w:r>
    </w:p>
  </w:footnote>
  <w:footnote w:id="18">
    <w:p w14:paraId="624D80E8" w14:textId="12B3A273"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4F4F9C" w:rsidRPr="001558A5">
        <w:rPr>
          <w:lang w:val="en-US"/>
        </w:rPr>
        <w:t>The brief was signed by</w:t>
      </w:r>
      <w:r w:rsidRPr="001558A5">
        <w:rPr>
          <w:lang w:val="en-US"/>
        </w:rPr>
        <w:t xml:space="preserve"> Francisco J. Rivera </w:t>
      </w:r>
      <w:proofErr w:type="spellStart"/>
      <w:r w:rsidRPr="001558A5">
        <w:rPr>
          <w:lang w:val="en-US"/>
        </w:rPr>
        <w:t>Juaristi</w:t>
      </w:r>
      <w:proofErr w:type="spellEnd"/>
      <w:r w:rsidR="00DD4354" w:rsidRPr="001558A5">
        <w:rPr>
          <w:lang w:val="en-US"/>
        </w:rPr>
        <w:t xml:space="preserve"> and </w:t>
      </w:r>
      <w:r w:rsidR="00B74256" w:rsidRPr="001558A5">
        <w:rPr>
          <w:lang w:val="en-US"/>
        </w:rPr>
        <w:t>refers to</w:t>
      </w:r>
      <w:r w:rsidRPr="001558A5">
        <w:rPr>
          <w:lang w:val="en-US"/>
        </w:rPr>
        <w:t xml:space="preserve">: </w:t>
      </w:r>
      <w:r w:rsidR="00171A08" w:rsidRPr="001558A5">
        <w:rPr>
          <w:lang w:val="en-US"/>
        </w:rPr>
        <w:t>(</w:t>
      </w:r>
      <w:r w:rsidRPr="001558A5">
        <w:rPr>
          <w:lang w:val="en-US"/>
        </w:rPr>
        <w:t>a)</w:t>
      </w:r>
      <w:r w:rsidR="00171A08" w:rsidRPr="001558A5">
        <w:rPr>
          <w:lang w:val="en-US"/>
        </w:rPr>
        <w:t xml:space="preserve"> the State’s failure to protect </w:t>
      </w:r>
      <w:r w:rsidRPr="001558A5">
        <w:rPr>
          <w:lang w:val="en-US"/>
        </w:rPr>
        <w:t xml:space="preserve">Vicky Hernández </w:t>
      </w:r>
      <w:r w:rsidR="00171A08" w:rsidRPr="001558A5">
        <w:rPr>
          <w:lang w:val="en-US"/>
        </w:rPr>
        <w:t>as a transgender woman and sexual worker in violation of her rights to life</w:t>
      </w:r>
      <w:r w:rsidRPr="001558A5">
        <w:rPr>
          <w:lang w:val="en-US"/>
        </w:rPr>
        <w:t xml:space="preserve">, </w:t>
      </w:r>
      <w:r w:rsidR="00B732DD" w:rsidRPr="001558A5">
        <w:rPr>
          <w:lang w:val="en-US"/>
        </w:rPr>
        <w:t>personal integrity</w:t>
      </w:r>
      <w:r w:rsidRPr="001558A5">
        <w:rPr>
          <w:lang w:val="en-US"/>
        </w:rPr>
        <w:t xml:space="preserve">, </w:t>
      </w:r>
      <w:r w:rsidR="00B732DD" w:rsidRPr="001558A5">
        <w:rPr>
          <w:lang w:val="en-US"/>
        </w:rPr>
        <w:t>freedom of expression</w:t>
      </w:r>
      <w:r w:rsidRPr="001558A5">
        <w:rPr>
          <w:lang w:val="en-US"/>
        </w:rPr>
        <w:t xml:space="preserve">, </w:t>
      </w:r>
      <w:r w:rsidR="00171A08" w:rsidRPr="001558A5">
        <w:rPr>
          <w:lang w:val="en-US"/>
        </w:rPr>
        <w:t xml:space="preserve">equality of protection, and a life free from gender-based violence recognized in </w:t>
      </w:r>
      <w:r w:rsidR="00871E19" w:rsidRPr="001558A5">
        <w:rPr>
          <w:lang w:val="en-US"/>
        </w:rPr>
        <w:t>Articles</w:t>
      </w:r>
      <w:r w:rsidRPr="001558A5">
        <w:rPr>
          <w:lang w:val="en-US"/>
        </w:rPr>
        <w:t xml:space="preserve"> 4, 5, 13</w:t>
      </w:r>
      <w:r w:rsidR="00DD4354" w:rsidRPr="001558A5">
        <w:rPr>
          <w:lang w:val="en-US"/>
        </w:rPr>
        <w:t xml:space="preserve"> and </w:t>
      </w:r>
      <w:r w:rsidRPr="001558A5">
        <w:rPr>
          <w:lang w:val="en-US"/>
        </w:rPr>
        <w:t>24</w:t>
      </w:r>
      <w:r w:rsidR="00DD4354" w:rsidRPr="001558A5">
        <w:rPr>
          <w:lang w:val="en-US"/>
        </w:rPr>
        <w:t xml:space="preserve"> of the </w:t>
      </w:r>
      <w:r w:rsidR="00871E19" w:rsidRPr="001558A5">
        <w:rPr>
          <w:lang w:val="en-US"/>
        </w:rPr>
        <w:t>American Convention</w:t>
      </w:r>
      <w:r w:rsidR="00DD4354" w:rsidRPr="001558A5">
        <w:rPr>
          <w:lang w:val="en-US"/>
        </w:rPr>
        <w:t xml:space="preserve"> and </w:t>
      </w:r>
      <w:r w:rsidRPr="001558A5">
        <w:rPr>
          <w:lang w:val="en-US"/>
        </w:rPr>
        <w:t>7</w:t>
      </w:r>
      <w:r w:rsidR="00DD4354" w:rsidRPr="001558A5">
        <w:rPr>
          <w:lang w:val="en-US"/>
        </w:rPr>
        <w:t xml:space="preserve"> of the </w:t>
      </w:r>
      <w:r w:rsidR="00871E19" w:rsidRPr="001558A5">
        <w:rPr>
          <w:lang w:val="en-US"/>
        </w:rPr>
        <w:t>Convention</w:t>
      </w:r>
      <w:r w:rsidRPr="001558A5">
        <w:rPr>
          <w:lang w:val="en-US"/>
        </w:rPr>
        <w:t xml:space="preserve"> </w:t>
      </w:r>
      <w:r w:rsidR="00B74256" w:rsidRPr="001558A5">
        <w:rPr>
          <w:lang w:val="en-US"/>
        </w:rPr>
        <w:t xml:space="preserve">of </w:t>
      </w:r>
      <w:proofErr w:type="spellStart"/>
      <w:r w:rsidR="00B74256" w:rsidRPr="001558A5">
        <w:rPr>
          <w:lang w:val="en-US"/>
        </w:rPr>
        <w:t>Belém</w:t>
      </w:r>
      <w:proofErr w:type="spellEnd"/>
      <w:r w:rsidRPr="001558A5">
        <w:rPr>
          <w:lang w:val="en-US"/>
        </w:rPr>
        <w:t xml:space="preserve"> do </w:t>
      </w:r>
      <w:proofErr w:type="spellStart"/>
      <w:r w:rsidRPr="001558A5">
        <w:rPr>
          <w:lang w:val="en-US"/>
        </w:rPr>
        <w:t>Pará</w:t>
      </w:r>
      <w:proofErr w:type="spellEnd"/>
      <w:r w:rsidRPr="001558A5">
        <w:rPr>
          <w:lang w:val="en-US"/>
        </w:rPr>
        <w:t>,</w:t>
      </w:r>
      <w:r w:rsidR="00DD4354" w:rsidRPr="001558A5">
        <w:rPr>
          <w:lang w:val="en-US"/>
        </w:rPr>
        <w:t xml:space="preserve"> and </w:t>
      </w:r>
      <w:r w:rsidR="00171A08" w:rsidRPr="001558A5">
        <w:rPr>
          <w:lang w:val="en-US"/>
        </w:rPr>
        <w:t>(</w:t>
      </w:r>
      <w:r w:rsidRPr="001558A5">
        <w:rPr>
          <w:lang w:val="en-US"/>
        </w:rPr>
        <w:t xml:space="preserve">b) </w:t>
      </w:r>
      <w:r w:rsidR="00171A08" w:rsidRPr="001558A5">
        <w:rPr>
          <w:lang w:val="en-US"/>
        </w:rPr>
        <w:t xml:space="preserve">the State’s failure to carry out its duty to investigate the death of </w:t>
      </w:r>
      <w:r w:rsidRPr="001558A5">
        <w:rPr>
          <w:lang w:val="en-US"/>
        </w:rPr>
        <w:t>Vicky Hernández</w:t>
      </w:r>
      <w:r w:rsidR="00171A08" w:rsidRPr="001558A5">
        <w:rPr>
          <w:lang w:val="en-US"/>
        </w:rPr>
        <w:t xml:space="preserve">, violating her right of access to justice recognized in </w:t>
      </w:r>
      <w:r w:rsidR="00871E19" w:rsidRPr="001558A5">
        <w:rPr>
          <w:lang w:val="en-US"/>
        </w:rPr>
        <w:t>Articles</w:t>
      </w:r>
      <w:r w:rsidRPr="001558A5">
        <w:rPr>
          <w:lang w:val="en-US"/>
        </w:rPr>
        <w:t xml:space="preserve"> 8</w:t>
      </w:r>
      <w:r w:rsidR="00DD4354" w:rsidRPr="001558A5">
        <w:rPr>
          <w:lang w:val="en-US"/>
        </w:rPr>
        <w:t xml:space="preserve"> and </w:t>
      </w:r>
      <w:r w:rsidRPr="001558A5">
        <w:rPr>
          <w:lang w:val="en-US"/>
        </w:rPr>
        <w:t>25</w:t>
      </w:r>
      <w:r w:rsidR="00DD4354" w:rsidRPr="001558A5">
        <w:rPr>
          <w:lang w:val="en-US"/>
        </w:rPr>
        <w:t xml:space="preserve"> of the </w:t>
      </w:r>
      <w:r w:rsidR="00871E19" w:rsidRPr="001558A5">
        <w:rPr>
          <w:lang w:val="en-US"/>
        </w:rPr>
        <w:t>American Convention</w:t>
      </w:r>
      <w:r w:rsidR="00DD4354" w:rsidRPr="001558A5">
        <w:rPr>
          <w:lang w:val="en-US"/>
        </w:rPr>
        <w:t xml:space="preserve"> and </w:t>
      </w:r>
      <w:r w:rsidRPr="001558A5">
        <w:rPr>
          <w:lang w:val="en-US"/>
        </w:rPr>
        <w:t>7</w:t>
      </w:r>
      <w:r w:rsidR="00DD4354" w:rsidRPr="001558A5">
        <w:rPr>
          <w:lang w:val="en-US"/>
        </w:rPr>
        <w:t xml:space="preserve"> of the </w:t>
      </w:r>
      <w:r w:rsidR="00871E19" w:rsidRPr="001558A5">
        <w:rPr>
          <w:lang w:val="en-US"/>
        </w:rPr>
        <w:t>Convention</w:t>
      </w:r>
      <w:r w:rsidRPr="001558A5">
        <w:rPr>
          <w:lang w:val="en-US"/>
        </w:rPr>
        <w:t xml:space="preserve"> </w:t>
      </w:r>
      <w:r w:rsidR="00B74256" w:rsidRPr="001558A5">
        <w:rPr>
          <w:lang w:val="en-US"/>
        </w:rPr>
        <w:t xml:space="preserve">of </w:t>
      </w:r>
      <w:proofErr w:type="spellStart"/>
      <w:r w:rsidR="00B74256" w:rsidRPr="001558A5">
        <w:rPr>
          <w:lang w:val="en-US"/>
        </w:rPr>
        <w:t>Belém</w:t>
      </w:r>
      <w:proofErr w:type="spellEnd"/>
      <w:r w:rsidRPr="001558A5">
        <w:rPr>
          <w:lang w:val="en-US"/>
        </w:rPr>
        <w:t xml:space="preserve"> do </w:t>
      </w:r>
      <w:proofErr w:type="spellStart"/>
      <w:r w:rsidRPr="001558A5">
        <w:rPr>
          <w:lang w:val="en-US"/>
        </w:rPr>
        <w:t>Pará</w:t>
      </w:r>
      <w:proofErr w:type="spellEnd"/>
      <w:r w:rsidRPr="001558A5">
        <w:rPr>
          <w:lang w:val="en-US"/>
        </w:rPr>
        <w:t xml:space="preserve">. </w:t>
      </w:r>
    </w:p>
  </w:footnote>
  <w:footnote w:id="19">
    <w:p w14:paraId="646DC30E" w14:textId="13C3C0E4"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4F4F9C" w:rsidRPr="001558A5">
        <w:rPr>
          <w:lang w:val="en-US"/>
        </w:rPr>
        <w:t>The brief was signed by</w:t>
      </w:r>
      <w:r w:rsidRPr="001558A5">
        <w:rPr>
          <w:lang w:val="en-US"/>
        </w:rPr>
        <w:t xml:space="preserve"> Mauricio </w:t>
      </w:r>
      <w:proofErr w:type="spellStart"/>
      <w:r w:rsidRPr="001558A5">
        <w:rPr>
          <w:lang w:val="en-US"/>
        </w:rPr>
        <w:t>Albarracín</w:t>
      </w:r>
      <w:proofErr w:type="spellEnd"/>
      <w:r w:rsidRPr="001558A5">
        <w:rPr>
          <w:lang w:val="en-US"/>
        </w:rPr>
        <w:t xml:space="preserve"> Caballero, </w:t>
      </w:r>
      <w:proofErr w:type="spellStart"/>
      <w:r w:rsidRPr="001558A5">
        <w:rPr>
          <w:lang w:val="en-US"/>
        </w:rPr>
        <w:t>Mariluz</w:t>
      </w:r>
      <w:proofErr w:type="spellEnd"/>
      <w:r w:rsidRPr="001558A5">
        <w:rPr>
          <w:lang w:val="en-US"/>
        </w:rPr>
        <w:t xml:space="preserve"> </w:t>
      </w:r>
      <w:proofErr w:type="spellStart"/>
      <w:r w:rsidRPr="001558A5">
        <w:rPr>
          <w:lang w:val="en-US"/>
        </w:rPr>
        <w:t>Barragán</w:t>
      </w:r>
      <w:proofErr w:type="spellEnd"/>
      <w:r w:rsidRPr="001558A5">
        <w:rPr>
          <w:lang w:val="en-US"/>
        </w:rPr>
        <w:t xml:space="preserve"> González, Nina </w:t>
      </w:r>
      <w:proofErr w:type="spellStart"/>
      <w:r w:rsidRPr="001558A5">
        <w:rPr>
          <w:lang w:val="en-US"/>
        </w:rPr>
        <w:t>Chaparro</w:t>
      </w:r>
      <w:proofErr w:type="spellEnd"/>
      <w:r w:rsidRPr="001558A5">
        <w:rPr>
          <w:lang w:val="en-US"/>
        </w:rPr>
        <w:t xml:space="preserve"> González, </w:t>
      </w:r>
      <w:proofErr w:type="spellStart"/>
      <w:r w:rsidRPr="001558A5">
        <w:rPr>
          <w:lang w:val="en-US"/>
        </w:rPr>
        <w:t>Sindy</w:t>
      </w:r>
      <w:proofErr w:type="spellEnd"/>
      <w:r w:rsidRPr="001558A5">
        <w:rPr>
          <w:lang w:val="en-US"/>
        </w:rPr>
        <w:t xml:space="preserve"> Castro Herrera</w:t>
      </w:r>
      <w:r w:rsidR="00DD4354" w:rsidRPr="001558A5">
        <w:rPr>
          <w:lang w:val="en-US"/>
        </w:rPr>
        <w:t xml:space="preserve"> and </w:t>
      </w:r>
      <w:r w:rsidRPr="001558A5">
        <w:rPr>
          <w:lang w:val="en-US"/>
        </w:rPr>
        <w:t>Santiago Carvajal Casas</w:t>
      </w:r>
      <w:r w:rsidR="00DD4354" w:rsidRPr="001558A5">
        <w:rPr>
          <w:lang w:val="en-US"/>
        </w:rPr>
        <w:t xml:space="preserve"> and </w:t>
      </w:r>
      <w:r w:rsidR="00B74256" w:rsidRPr="001558A5">
        <w:rPr>
          <w:lang w:val="en-US"/>
        </w:rPr>
        <w:t>refers to</w:t>
      </w:r>
      <w:r w:rsidRPr="001558A5">
        <w:rPr>
          <w:lang w:val="en-US"/>
        </w:rPr>
        <w:t xml:space="preserve">: </w:t>
      </w:r>
      <w:r w:rsidR="00171A08" w:rsidRPr="001558A5">
        <w:rPr>
          <w:lang w:val="en-US"/>
        </w:rPr>
        <w:t>(</w:t>
      </w:r>
      <w:r w:rsidRPr="001558A5">
        <w:rPr>
          <w:lang w:val="en-US"/>
        </w:rPr>
        <w:t xml:space="preserve">a) </w:t>
      </w:r>
      <w:r w:rsidR="00171A08" w:rsidRPr="001558A5">
        <w:rPr>
          <w:lang w:val="en-US"/>
        </w:rPr>
        <w:t>presentation of</w:t>
      </w:r>
      <w:r w:rsidRPr="001558A5">
        <w:rPr>
          <w:lang w:val="en-US"/>
        </w:rPr>
        <w:t xml:space="preserve"> Vicky Hernández </w:t>
      </w:r>
      <w:r w:rsidR="00171A08" w:rsidRPr="001558A5">
        <w:rPr>
          <w:lang w:val="en-US"/>
        </w:rPr>
        <w:t xml:space="preserve">as a trans woman and </w:t>
      </w:r>
      <w:r w:rsidRPr="001558A5">
        <w:rPr>
          <w:lang w:val="en-US"/>
        </w:rPr>
        <w:t xml:space="preserve">LGBTI </w:t>
      </w:r>
      <w:r w:rsidR="00171A08" w:rsidRPr="001558A5">
        <w:rPr>
          <w:lang w:val="en-US"/>
        </w:rPr>
        <w:t>activist who was murdered as a result of the prejudice-based violence that exists in</w:t>
      </w:r>
      <w:r w:rsidRPr="001558A5">
        <w:rPr>
          <w:lang w:val="en-US"/>
        </w:rPr>
        <w:t xml:space="preserve"> Honduras; </w:t>
      </w:r>
      <w:r w:rsidR="00171A08" w:rsidRPr="001558A5">
        <w:rPr>
          <w:lang w:val="en-US"/>
        </w:rPr>
        <w:t>(</w:t>
      </w:r>
      <w:r w:rsidRPr="001558A5">
        <w:rPr>
          <w:lang w:val="en-US"/>
        </w:rPr>
        <w:t xml:space="preserve">b) </w:t>
      </w:r>
      <w:r w:rsidR="00171A08" w:rsidRPr="001558A5">
        <w:rPr>
          <w:lang w:val="en-US"/>
        </w:rPr>
        <w:t xml:space="preserve">the State’s obligations in relation to the guarantee of the rights of trans women under </w:t>
      </w:r>
      <w:r w:rsidR="00871E19" w:rsidRPr="001558A5">
        <w:rPr>
          <w:lang w:val="en-US"/>
        </w:rPr>
        <w:t>the American Convention</w:t>
      </w:r>
      <w:r w:rsidR="00DD4354" w:rsidRPr="001558A5">
        <w:rPr>
          <w:lang w:val="en-US"/>
        </w:rPr>
        <w:t xml:space="preserve"> and </w:t>
      </w:r>
      <w:r w:rsidR="00871E19" w:rsidRPr="001558A5">
        <w:rPr>
          <w:lang w:val="en-US"/>
        </w:rPr>
        <w:t>the Convention</w:t>
      </w:r>
      <w:r w:rsidRPr="001558A5">
        <w:rPr>
          <w:lang w:val="en-US"/>
        </w:rPr>
        <w:t xml:space="preserve"> </w:t>
      </w:r>
      <w:r w:rsidR="00B74256" w:rsidRPr="001558A5">
        <w:rPr>
          <w:lang w:val="en-US"/>
        </w:rPr>
        <w:t xml:space="preserve">of </w:t>
      </w:r>
      <w:proofErr w:type="spellStart"/>
      <w:r w:rsidR="00B74256" w:rsidRPr="001558A5">
        <w:rPr>
          <w:lang w:val="en-US"/>
        </w:rPr>
        <w:t>Belém</w:t>
      </w:r>
      <w:proofErr w:type="spellEnd"/>
      <w:r w:rsidRPr="001558A5">
        <w:rPr>
          <w:lang w:val="en-US"/>
        </w:rPr>
        <w:t xml:space="preserve"> do </w:t>
      </w:r>
      <w:proofErr w:type="spellStart"/>
      <w:r w:rsidRPr="001558A5">
        <w:rPr>
          <w:lang w:val="en-US"/>
        </w:rPr>
        <w:t>Pará</w:t>
      </w:r>
      <w:proofErr w:type="spellEnd"/>
      <w:r w:rsidRPr="001558A5">
        <w:rPr>
          <w:lang w:val="en-US"/>
        </w:rPr>
        <w:t xml:space="preserve">; </w:t>
      </w:r>
      <w:r w:rsidR="00171A08" w:rsidRPr="001558A5">
        <w:rPr>
          <w:lang w:val="en-US"/>
        </w:rPr>
        <w:t>(</w:t>
      </w:r>
      <w:r w:rsidRPr="001558A5">
        <w:rPr>
          <w:lang w:val="en-US"/>
        </w:rPr>
        <w:t xml:space="preserve">c) </w:t>
      </w:r>
      <w:r w:rsidR="00171A08" w:rsidRPr="001558A5">
        <w:rPr>
          <w:lang w:val="en-US"/>
        </w:rPr>
        <w:t xml:space="preserve">the impact of the murder of an </w:t>
      </w:r>
      <w:r w:rsidRPr="001558A5">
        <w:rPr>
          <w:lang w:val="en-US"/>
        </w:rPr>
        <w:t>LGBT</w:t>
      </w:r>
      <w:r w:rsidR="001A6E0E" w:rsidRPr="001558A5">
        <w:rPr>
          <w:lang w:val="en-US"/>
        </w:rPr>
        <w:t>I</w:t>
      </w:r>
      <w:r w:rsidRPr="001558A5">
        <w:rPr>
          <w:lang w:val="en-US"/>
        </w:rPr>
        <w:t xml:space="preserve"> </w:t>
      </w:r>
      <w:r w:rsidR="00171A08" w:rsidRPr="001558A5">
        <w:rPr>
          <w:lang w:val="en-US"/>
        </w:rPr>
        <w:t>activist on her community, and (d) the LGBTI rights organizations to which the victims of prejudice-based crimes belong and that should be beneficiaries of the reparations adopted by the Inter-American Court.</w:t>
      </w:r>
    </w:p>
  </w:footnote>
  <w:footnote w:id="20">
    <w:p w14:paraId="26F380FE" w14:textId="6BCAE451"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00CB7A91" w:rsidRPr="001558A5">
        <w:rPr>
          <w:lang w:val="en-US"/>
        </w:rPr>
        <w:tab/>
      </w:r>
      <w:r w:rsidR="004F4F9C" w:rsidRPr="001558A5">
        <w:rPr>
          <w:lang w:val="en-US"/>
        </w:rPr>
        <w:t>The brief was signed by</w:t>
      </w:r>
      <w:r w:rsidRPr="001558A5">
        <w:rPr>
          <w:lang w:val="en-US"/>
        </w:rPr>
        <w:t xml:space="preserve"> Marcela Sánchez </w:t>
      </w:r>
      <w:proofErr w:type="spellStart"/>
      <w:r w:rsidRPr="001558A5">
        <w:rPr>
          <w:lang w:val="en-US"/>
        </w:rPr>
        <w:t>Buitrago</w:t>
      </w:r>
      <w:proofErr w:type="spellEnd"/>
      <w:r w:rsidRPr="001558A5">
        <w:rPr>
          <w:lang w:val="en-US"/>
        </w:rPr>
        <w:t xml:space="preserve">, Juan Felipe Rivera Osorio, María Daniela </w:t>
      </w:r>
      <w:proofErr w:type="spellStart"/>
      <w:r w:rsidRPr="001558A5">
        <w:rPr>
          <w:lang w:val="en-US"/>
        </w:rPr>
        <w:t>Díaz</w:t>
      </w:r>
      <w:proofErr w:type="spellEnd"/>
      <w:r w:rsidRPr="001558A5">
        <w:rPr>
          <w:lang w:val="en-US"/>
        </w:rPr>
        <w:t xml:space="preserve"> </w:t>
      </w:r>
      <w:proofErr w:type="spellStart"/>
      <w:r w:rsidRPr="001558A5">
        <w:rPr>
          <w:lang w:val="en-US"/>
        </w:rPr>
        <w:t>Villamil</w:t>
      </w:r>
      <w:proofErr w:type="spellEnd"/>
      <w:r w:rsidRPr="001558A5">
        <w:rPr>
          <w:lang w:val="en-US"/>
        </w:rPr>
        <w:t>, María Susana Peralta, Gustavo Adolfo Pérez, María Mercedes Gómez Acosta,</w:t>
      </w:r>
      <w:r w:rsidR="00DD4354" w:rsidRPr="001558A5">
        <w:rPr>
          <w:lang w:val="en-US"/>
        </w:rPr>
        <w:t xml:space="preserve"> and </w:t>
      </w:r>
      <w:r w:rsidRPr="001558A5">
        <w:rPr>
          <w:lang w:val="en-US"/>
        </w:rPr>
        <w:t xml:space="preserve">Alberto Sánchez </w:t>
      </w:r>
      <w:proofErr w:type="spellStart"/>
      <w:r w:rsidRPr="001558A5">
        <w:rPr>
          <w:lang w:val="en-US"/>
        </w:rPr>
        <w:t>Galeano</w:t>
      </w:r>
      <w:proofErr w:type="spellEnd"/>
      <w:r w:rsidR="00DD4354" w:rsidRPr="001558A5">
        <w:rPr>
          <w:lang w:val="en-US"/>
        </w:rPr>
        <w:t xml:space="preserve"> and </w:t>
      </w:r>
      <w:r w:rsidR="00B74256" w:rsidRPr="001558A5">
        <w:rPr>
          <w:lang w:val="en-US"/>
        </w:rPr>
        <w:t>refers to</w:t>
      </w:r>
      <w:r w:rsidRPr="001558A5">
        <w:rPr>
          <w:lang w:val="en-US"/>
        </w:rPr>
        <w:t xml:space="preserve">: </w:t>
      </w:r>
      <w:r w:rsidR="00171A08" w:rsidRPr="001558A5">
        <w:rPr>
          <w:lang w:val="en-US"/>
        </w:rPr>
        <w:t>(</w:t>
      </w:r>
      <w:r w:rsidRPr="001558A5">
        <w:rPr>
          <w:lang w:val="en-US"/>
        </w:rPr>
        <w:t xml:space="preserve">a) </w:t>
      </w:r>
      <w:r w:rsidR="00B3320F" w:rsidRPr="001558A5">
        <w:rPr>
          <w:lang w:val="en-US"/>
        </w:rPr>
        <w:t xml:space="preserve">hate crimes </w:t>
      </w:r>
      <w:r w:rsidR="009460CA" w:rsidRPr="001558A5">
        <w:rPr>
          <w:lang w:val="en-US"/>
        </w:rPr>
        <w:t>against the LGBTI community</w:t>
      </w:r>
      <w:r w:rsidRPr="001558A5">
        <w:rPr>
          <w:lang w:val="en-US"/>
        </w:rPr>
        <w:t>,</w:t>
      </w:r>
      <w:r w:rsidR="00DD4354" w:rsidRPr="001558A5">
        <w:rPr>
          <w:lang w:val="en-US"/>
        </w:rPr>
        <w:t xml:space="preserve"> and </w:t>
      </w:r>
      <w:r w:rsidR="00B3320F" w:rsidRPr="001558A5">
        <w:rPr>
          <w:lang w:val="en-US"/>
        </w:rPr>
        <w:t>(</w:t>
      </w:r>
      <w:r w:rsidRPr="001558A5">
        <w:rPr>
          <w:lang w:val="en-US"/>
        </w:rPr>
        <w:t xml:space="preserve">b) </w:t>
      </w:r>
      <w:r w:rsidR="00B3320F" w:rsidRPr="001558A5">
        <w:rPr>
          <w:lang w:val="en-US"/>
        </w:rPr>
        <w:t>the obligation of enhanced</w:t>
      </w:r>
      <w:r w:rsidRPr="001558A5">
        <w:rPr>
          <w:lang w:val="en-US"/>
        </w:rPr>
        <w:t xml:space="preserve"> </w:t>
      </w:r>
      <w:r w:rsidR="00B3320F" w:rsidRPr="001558A5">
        <w:rPr>
          <w:lang w:val="en-US"/>
        </w:rPr>
        <w:t>due diligence</w:t>
      </w:r>
      <w:r w:rsidRPr="001558A5">
        <w:rPr>
          <w:lang w:val="en-US"/>
        </w:rPr>
        <w:t xml:space="preserve"> </w:t>
      </w:r>
      <w:r w:rsidR="00DD4354" w:rsidRPr="001558A5">
        <w:rPr>
          <w:lang w:val="en-US"/>
        </w:rPr>
        <w:t>and</w:t>
      </w:r>
      <w:r w:rsidR="00B3320F" w:rsidRPr="001558A5">
        <w:rPr>
          <w:lang w:val="en-US"/>
        </w:rPr>
        <w:t xml:space="preserve"> the systemic nature of prejudice-based violence against trans women in the case of </w:t>
      </w:r>
      <w:r w:rsidRPr="001558A5">
        <w:rPr>
          <w:lang w:val="en-US"/>
        </w:rPr>
        <w:t>Vicky Hernández.</w:t>
      </w:r>
    </w:p>
  </w:footnote>
  <w:footnote w:id="21">
    <w:p w14:paraId="2CBE0E64" w14:textId="7BCB8849" w:rsidR="005977F6" w:rsidRPr="001558A5" w:rsidRDefault="005977F6" w:rsidP="00CB7A91">
      <w:pPr>
        <w:pStyle w:val="Textonotapie"/>
        <w:tabs>
          <w:tab w:val="left" w:pos="360"/>
        </w:tabs>
        <w:rPr>
          <w:lang w:val="en-US"/>
        </w:rPr>
      </w:pPr>
      <w:r w:rsidRPr="001558A5">
        <w:rPr>
          <w:rStyle w:val="Refdenotaalpie"/>
          <w:lang w:val="en-US"/>
        </w:rPr>
        <w:footnoteRef/>
      </w:r>
      <w:r w:rsidRPr="001558A5">
        <w:rPr>
          <w:lang w:val="en-US"/>
        </w:rPr>
        <w:t xml:space="preserve"> </w:t>
      </w:r>
      <w:r w:rsidR="00CB7A91" w:rsidRPr="001558A5">
        <w:rPr>
          <w:lang w:val="en-US"/>
        </w:rPr>
        <w:tab/>
      </w:r>
      <w:r w:rsidR="004F4F9C" w:rsidRPr="001558A5">
        <w:rPr>
          <w:lang w:val="en-US"/>
        </w:rPr>
        <w:t>The brief was signed by</w:t>
      </w:r>
      <w:r w:rsidRPr="001558A5">
        <w:rPr>
          <w:lang w:val="en-US"/>
        </w:rPr>
        <w:t xml:space="preserve"> Ana </w:t>
      </w:r>
      <w:proofErr w:type="spellStart"/>
      <w:r w:rsidRPr="001558A5">
        <w:rPr>
          <w:lang w:val="en-US"/>
        </w:rPr>
        <w:t>Hadzi</w:t>
      </w:r>
      <w:proofErr w:type="spellEnd"/>
      <w:r w:rsidRPr="001558A5">
        <w:rPr>
          <w:lang w:val="en-US"/>
        </w:rPr>
        <w:t xml:space="preserve"> </w:t>
      </w:r>
      <w:proofErr w:type="spellStart"/>
      <w:r w:rsidRPr="001558A5">
        <w:rPr>
          <w:lang w:val="en-US"/>
        </w:rPr>
        <w:t>Pecova</w:t>
      </w:r>
      <w:proofErr w:type="spellEnd"/>
      <w:r w:rsidRPr="001558A5">
        <w:rPr>
          <w:lang w:val="en-US"/>
        </w:rPr>
        <w:t xml:space="preserve">, Kenya </w:t>
      </w:r>
      <w:proofErr w:type="spellStart"/>
      <w:r w:rsidRPr="001558A5">
        <w:rPr>
          <w:lang w:val="en-US"/>
        </w:rPr>
        <w:t>Cytlaly</w:t>
      </w:r>
      <w:proofErr w:type="spellEnd"/>
      <w:r w:rsidRPr="001558A5">
        <w:rPr>
          <w:lang w:val="en-US"/>
        </w:rPr>
        <w:t xml:space="preserve"> Cuevas Fuentes, </w:t>
      </w:r>
      <w:proofErr w:type="spellStart"/>
      <w:r w:rsidRPr="001558A5">
        <w:rPr>
          <w:lang w:val="en-US"/>
        </w:rPr>
        <w:t>Amaranta</w:t>
      </w:r>
      <w:proofErr w:type="spellEnd"/>
      <w:r w:rsidRPr="001558A5">
        <w:rPr>
          <w:lang w:val="en-US"/>
        </w:rPr>
        <w:t xml:space="preserve"> Viridiana </w:t>
      </w:r>
      <w:proofErr w:type="spellStart"/>
      <w:r w:rsidRPr="001558A5">
        <w:rPr>
          <w:lang w:val="en-US"/>
        </w:rPr>
        <w:t>Valgañon</w:t>
      </w:r>
      <w:proofErr w:type="spellEnd"/>
      <w:r w:rsidRPr="001558A5">
        <w:rPr>
          <w:lang w:val="en-US"/>
        </w:rPr>
        <w:t xml:space="preserve"> Salazar, Gerardo Contreras </w:t>
      </w:r>
      <w:proofErr w:type="spellStart"/>
      <w:r w:rsidRPr="001558A5">
        <w:rPr>
          <w:lang w:val="en-US"/>
        </w:rPr>
        <w:t>Rubalcava</w:t>
      </w:r>
      <w:proofErr w:type="spellEnd"/>
      <w:r w:rsidRPr="001558A5">
        <w:rPr>
          <w:lang w:val="en-US"/>
        </w:rPr>
        <w:t xml:space="preserve">, Luis Alberto Muñoz </w:t>
      </w:r>
      <w:proofErr w:type="spellStart"/>
      <w:r w:rsidRPr="001558A5">
        <w:rPr>
          <w:lang w:val="en-US"/>
        </w:rPr>
        <w:t>López</w:t>
      </w:r>
      <w:proofErr w:type="spellEnd"/>
      <w:r w:rsidRPr="001558A5">
        <w:rPr>
          <w:lang w:val="en-US"/>
        </w:rPr>
        <w:t>,</w:t>
      </w:r>
      <w:r w:rsidR="00DD4354" w:rsidRPr="001558A5">
        <w:rPr>
          <w:lang w:val="en-US"/>
        </w:rPr>
        <w:t xml:space="preserve"> and </w:t>
      </w:r>
      <w:r w:rsidRPr="001558A5">
        <w:rPr>
          <w:lang w:val="en-US"/>
        </w:rPr>
        <w:t xml:space="preserve">Leslie </w:t>
      </w:r>
      <w:proofErr w:type="spellStart"/>
      <w:r w:rsidRPr="001558A5">
        <w:rPr>
          <w:lang w:val="en-US"/>
        </w:rPr>
        <w:t>Idalia</w:t>
      </w:r>
      <w:proofErr w:type="spellEnd"/>
      <w:r w:rsidRPr="001558A5">
        <w:rPr>
          <w:lang w:val="en-US"/>
        </w:rPr>
        <w:t xml:space="preserve"> Jiménez </w:t>
      </w:r>
      <w:proofErr w:type="spellStart"/>
      <w:r w:rsidRPr="001558A5">
        <w:rPr>
          <w:lang w:val="en-US"/>
        </w:rPr>
        <w:t>Urzua</w:t>
      </w:r>
      <w:proofErr w:type="spellEnd"/>
      <w:r w:rsidR="00DD4354" w:rsidRPr="001558A5">
        <w:rPr>
          <w:lang w:val="en-US"/>
        </w:rPr>
        <w:t xml:space="preserve"> and </w:t>
      </w:r>
      <w:r w:rsidR="00B3320F" w:rsidRPr="001558A5">
        <w:rPr>
          <w:lang w:val="en-US"/>
        </w:rPr>
        <w:t>refers to</w:t>
      </w:r>
      <w:r w:rsidRPr="001558A5">
        <w:rPr>
          <w:lang w:val="en-US"/>
        </w:rPr>
        <w:t xml:space="preserve">: </w:t>
      </w:r>
      <w:r w:rsidR="00B3320F" w:rsidRPr="001558A5">
        <w:rPr>
          <w:lang w:val="en-US"/>
        </w:rPr>
        <w:t>(</w:t>
      </w:r>
      <w:r w:rsidRPr="001558A5">
        <w:rPr>
          <w:lang w:val="en-US"/>
        </w:rPr>
        <w:t xml:space="preserve">a) </w:t>
      </w:r>
      <w:r w:rsidR="00B3320F" w:rsidRPr="001558A5">
        <w:rPr>
          <w:lang w:val="en-US"/>
        </w:rPr>
        <w:t xml:space="preserve">the institutional violence against the </w:t>
      </w:r>
      <w:r w:rsidRPr="001558A5">
        <w:rPr>
          <w:lang w:val="en-US"/>
        </w:rPr>
        <w:t xml:space="preserve">LGBTI </w:t>
      </w:r>
      <w:r w:rsidR="00B3320F" w:rsidRPr="001558A5">
        <w:rPr>
          <w:lang w:val="en-US"/>
        </w:rPr>
        <w:t>population in the process</w:t>
      </w:r>
      <w:r w:rsidR="00CB7A91" w:rsidRPr="001558A5">
        <w:rPr>
          <w:lang w:val="en-US"/>
        </w:rPr>
        <w:t>es</w:t>
      </w:r>
      <w:r w:rsidR="00B3320F" w:rsidRPr="001558A5">
        <w:rPr>
          <w:lang w:val="en-US"/>
        </w:rPr>
        <w:t xml:space="preserve"> of access to justice in the region: historical, social and legal context; (b) the institutional violence and discrimination against trans women in the processes of access to justice in cases of hat</w:t>
      </w:r>
      <w:r w:rsidR="00F053EE" w:rsidRPr="001558A5">
        <w:rPr>
          <w:lang w:val="en-US"/>
        </w:rPr>
        <w:t>e</w:t>
      </w:r>
      <w:r w:rsidR="00B3320F" w:rsidRPr="001558A5">
        <w:rPr>
          <w:lang w:val="en-US"/>
        </w:rPr>
        <w:t xml:space="preserve"> crimes committed in </w:t>
      </w:r>
      <w:r w:rsidR="00DD4354" w:rsidRPr="001558A5">
        <w:rPr>
          <w:lang w:val="en-US"/>
        </w:rPr>
        <w:t>the context</w:t>
      </w:r>
      <w:r w:rsidR="00B74256" w:rsidRPr="001558A5">
        <w:rPr>
          <w:lang w:val="en-US"/>
        </w:rPr>
        <w:t xml:space="preserve"> of the </w:t>
      </w:r>
      <w:r w:rsidR="00B3320F" w:rsidRPr="001558A5">
        <w:rPr>
          <w:lang w:val="en-US"/>
        </w:rPr>
        <w:t xml:space="preserve">Honduran </w:t>
      </w:r>
      <w:r w:rsidR="00B74256" w:rsidRPr="001558A5">
        <w:rPr>
          <w:lang w:val="en-US"/>
        </w:rPr>
        <w:t>coup d’état</w:t>
      </w:r>
      <w:r w:rsidRPr="001558A5">
        <w:rPr>
          <w:lang w:val="en-US"/>
        </w:rPr>
        <w:t>,</w:t>
      </w:r>
      <w:r w:rsidR="00DD4354" w:rsidRPr="001558A5">
        <w:rPr>
          <w:lang w:val="en-US"/>
        </w:rPr>
        <w:t xml:space="preserve"> and </w:t>
      </w:r>
      <w:r w:rsidR="00B3320F" w:rsidRPr="001558A5">
        <w:rPr>
          <w:lang w:val="en-US"/>
        </w:rPr>
        <w:t>(</w:t>
      </w:r>
      <w:r w:rsidRPr="001558A5">
        <w:rPr>
          <w:lang w:val="en-US"/>
        </w:rPr>
        <w:t xml:space="preserve">c) </w:t>
      </w:r>
      <w:r w:rsidR="00B3320F" w:rsidRPr="001558A5">
        <w:rPr>
          <w:lang w:val="en-US"/>
        </w:rPr>
        <w:t>the recognition of intersectionality and the gender perspective in the inter-American system for the protection of human rights.</w:t>
      </w:r>
    </w:p>
  </w:footnote>
  <w:footnote w:id="22">
    <w:p w14:paraId="2652B615" w14:textId="4D1E7398" w:rsidR="005977F6" w:rsidRPr="001558A5" w:rsidRDefault="005977F6" w:rsidP="00CB7A91">
      <w:pPr>
        <w:pStyle w:val="Textonotapie"/>
        <w:tabs>
          <w:tab w:val="left" w:pos="360"/>
        </w:tabs>
        <w:rPr>
          <w:lang w:val="en-US"/>
        </w:rPr>
      </w:pPr>
      <w:r w:rsidRPr="001558A5">
        <w:rPr>
          <w:rStyle w:val="Refdenotaalpie"/>
          <w:lang w:val="en-US"/>
        </w:rPr>
        <w:footnoteRef/>
      </w:r>
      <w:r w:rsidR="00CB7A91" w:rsidRPr="001558A5">
        <w:rPr>
          <w:lang w:val="en-US"/>
        </w:rPr>
        <w:t xml:space="preserve"> </w:t>
      </w:r>
      <w:r w:rsidR="00CB7A91" w:rsidRPr="001558A5">
        <w:rPr>
          <w:lang w:val="en-US"/>
        </w:rPr>
        <w:tab/>
      </w:r>
      <w:r w:rsidR="004F4F9C" w:rsidRPr="001558A5">
        <w:rPr>
          <w:lang w:val="en-US"/>
        </w:rPr>
        <w:t>The brief was signed by</w:t>
      </w:r>
      <w:r w:rsidRPr="001558A5">
        <w:rPr>
          <w:lang w:val="en-US"/>
        </w:rPr>
        <w:t xml:space="preserve"> Regina </w:t>
      </w:r>
      <w:proofErr w:type="spellStart"/>
      <w:r w:rsidRPr="001558A5">
        <w:rPr>
          <w:lang w:val="en-US"/>
        </w:rPr>
        <w:t>Pajares</w:t>
      </w:r>
      <w:proofErr w:type="spellEnd"/>
      <w:r w:rsidRPr="001558A5">
        <w:rPr>
          <w:lang w:val="en-US"/>
        </w:rPr>
        <w:t xml:space="preserve"> Carrillo</w:t>
      </w:r>
      <w:r w:rsidR="00DD4354" w:rsidRPr="001558A5">
        <w:rPr>
          <w:lang w:val="en-US"/>
        </w:rPr>
        <w:t xml:space="preserve"> and </w:t>
      </w:r>
      <w:r w:rsidR="00B74256" w:rsidRPr="001558A5">
        <w:rPr>
          <w:lang w:val="en-US"/>
        </w:rPr>
        <w:t>refers to</w:t>
      </w:r>
      <w:r w:rsidR="00B3320F" w:rsidRPr="001558A5">
        <w:rPr>
          <w:lang w:val="en-US"/>
        </w:rPr>
        <w:t xml:space="preserve"> the international standards concerning hate crimes against </w:t>
      </w:r>
      <w:proofErr w:type="gramStart"/>
      <w:r w:rsidR="00B3320F" w:rsidRPr="001558A5">
        <w:rPr>
          <w:lang w:val="en-US"/>
        </w:rPr>
        <w:t>trans</w:t>
      </w:r>
      <w:proofErr w:type="gramEnd"/>
      <w:r w:rsidR="00B3320F" w:rsidRPr="001558A5">
        <w:rPr>
          <w:lang w:val="en-US"/>
        </w:rPr>
        <w:t xml:space="preserve"> persons.</w:t>
      </w:r>
    </w:p>
  </w:footnote>
  <w:footnote w:id="23">
    <w:p w14:paraId="41786599" w14:textId="74FC24A7" w:rsidR="005977F6" w:rsidRPr="001558A5" w:rsidRDefault="005977F6" w:rsidP="00CB7A91">
      <w:pPr>
        <w:pStyle w:val="Textonotapie"/>
        <w:tabs>
          <w:tab w:val="left" w:pos="360"/>
        </w:tabs>
        <w:rPr>
          <w:lang w:val="en-US"/>
        </w:rPr>
      </w:pPr>
      <w:r w:rsidRPr="001558A5">
        <w:rPr>
          <w:rStyle w:val="Refdenotaalpie"/>
          <w:lang w:val="en-US"/>
        </w:rPr>
        <w:footnoteRef/>
      </w:r>
      <w:r w:rsidRPr="001558A5">
        <w:rPr>
          <w:lang w:val="en-US"/>
        </w:rPr>
        <w:t xml:space="preserve"> </w:t>
      </w:r>
      <w:r w:rsidR="00CB7A91" w:rsidRPr="001558A5">
        <w:rPr>
          <w:lang w:val="en-US"/>
        </w:rPr>
        <w:tab/>
      </w:r>
      <w:r w:rsidR="004F4F9C" w:rsidRPr="001558A5">
        <w:rPr>
          <w:lang w:val="en-US"/>
        </w:rPr>
        <w:t>The brief was signed by</w:t>
      </w:r>
      <w:r w:rsidRPr="001558A5">
        <w:rPr>
          <w:lang w:val="en-US"/>
        </w:rPr>
        <w:t xml:space="preserve"> Pascal </w:t>
      </w:r>
      <w:proofErr w:type="spellStart"/>
      <w:r w:rsidRPr="001558A5">
        <w:rPr>
          <w:lang w:val="en-US"/>
        </w:rPr>
        <w:t>Paradis</w:t>
      </w:r>
      <w:proofErr w:type="spellEnd"/>
      <w:r w:rsidR="00DD4354" w:rsidRPr="001558A5">
        <w:rPr>
          <w:lang w:val="en-US"/>
        </w:rPr>
        <w:t xml:space="preserve"> and </w:t>
      </w:r>
      <w:r w:rsidR="00B3320F" w:rsidRPr="001558A5">
        <w:rPr>
          <w:lang w:val="en-US"/>
        </w:rPr>
        <w:t>refers to</w:t>
      </w:r>
      <w:r w:rsidRPr="001558A5">
        <w:rPr>
          <w:lang w:val="en-US"/>
        </w:rPr>
        <w:t xml:space="preserve">: </w:t>
      </w:r>
      <w:r w:rsidR="00CB7A91" w:rsidRPr="001558A5">
        <w:rPr>
          <w:lang w:val="en-US"/>
        </w:rPr>
        <w:t>(</w:t>
      </w:r>
      <w:r w:rsidRPr="001558A5">
        <w:rPr>
          <w:lang w:val="en-US"/>
        </w:rPr>
        <w:t xml:space="preserve">a) </w:t>
      </w:r>
      <w:r w:rsidR="00B3320F" w:rsidRPr="001558A5">
        <w:rPr>
          <w:lang w:val="en-US"/>
        </w:rPr>
        <w:t xml:space="preserve">the context in which the extrajudicial execution of </w:t>
      </w:r>
      <w:r w:rsidRPr="001558A5">
        <w:rPr>
          <w:lang w:val="en-US"/>
        </w:rPr>
        <w:t>Vicky Hernández</w:t>
      </w:r>
      <w:r w:rsidR="00B3320F" w:rsidRPr="001558A5">
        <w:rPr>
          <w:lang w:val="en-US"/>
        </w:rPr>
        <w:t xml:space="preserve"> occurred</w:t>
      </w:r>
      <w:r w:rsidRPr="001558A5">
        <w:rPr>
          <w:lang w:val="en-US"/>
        </w:rPr>
        <w:t>,</w:t>
      </w:r>
      <w:r w:rsidR="00DD4354" w:rsidRPr="001558A5">
        <w:rPr>
          <w:lang w:val="en-US"/>
        </w:rPr>
        <w:t xml:space="preserve"> and </w:t>
      </w:r>
      <w:r w:rsidR="00B3320F" w:rsidRPr="001558A5">
        <w:rPr>
          <w:lang w:val="en-US"/>
        </w:rPr>
        <w:t>(</w:t>
      </w:r>
      <w:r w:rsidRPr="001558A5">
        <w:rPr>
          <w:lang w:val="en-US"/>
        </w:rPr>
        <w:t xml:space="preserve">b) </w:t>
      </w:r>
      <w:r w:rsidR="00B3320F" w:rsidRPr="001558A5">
        <w:rPr>
          <w:lang w:val="en-US"/>
        </w:rPr>
        <w:t xml:space="preserve">the standards </w:t>
      </w:r>
      <w:r w:rsidR="00CB7A91" w:rsidRPr="001558A5">
        <w:rPr>
          <w:lang w:val="en-US"/>
        </w:rPr>
        <w:t>for</w:t>
      </w:r>
      <w:r w:rsidR="00B3320F" w:rsidRPr="001558A5">
        <w:rPr>
          <w:lang w:val="en-US"/>
        </w:rPr>
        <w:t xml:space="preserve"> states of emergency</w:t>
      </w:r>
      <w:r w:rsidRPr="001558A5">
        <w:rPr>
          <w:lang w:val="en-US"/>
        </w:rPr>
        <w:t>.</w:t>
      </w:r>
    </w:p>
  </w:footnote>
  <w:footnote w:id="24">
    <w:p w14:paraId="790330DC" w14:textId="5FDAE667" w:rsidR="005977F6" w:rsidRPr="001558A5" w:rsidRDefault="005977F6" w:rsidP="00CB7A91">
      <w:pPr>
        <w:pStyle w:val="Textonotapie"/>
        <w:tabs>
          <w:tab w:val="left" w:pos="360"/>
        </w:tabs>
        <w:rPr>
          <w:lang w:val="en-US"/>
        </w:rPr>
      </w:pPr>
      <w:r w:rsidRPr="001558A5">
        <w:rPr>
          <w:rStyle w:val="Refdenotaalpie"/>
          <w:lang w:val="en-US"/>
        </w:rPr>
        <w:footnoteRef/>
      </w:r>
      <w:r w:rsidR="00CB7A91" w:rsidRPr="001558A5">
        <w:rPr>
          <w:lang w:val="en-US"/>
        </w:rPr>
        <w:t xml:space="preserve"> </w:t>
      </w:r>
      <w:r w:rsidR="00CB7A91" w:rsidRPr="001558A5">
        <w:rPr>
          <w:lang w:val="en-US"/>
        </w:rPr>
        <w:tab/>
      </w:r>
      <w:r w:rsidR="004F4F9C" w:rsidRPr="001558A5">
        <w:rPr>
          <w:lang w:val="en-US"/>
        </w:rPr>
        <w:t>The brief was signed by</w:t>
      </w:r>
      <w:r w:rsidRPr="001558A5">
        <w:rPr>
          <w:lang w:val="en-US"/>
        </w:rPr>
        <w:t xml:space="preserve"> Elena </w:t>
      </w:r>
      <w:proofErr w:type="spellStart"/>
      <w:r w:rsidRPr="001558A5">
        <w:rPr>
          <w:lang w:val="en-US"/>
        </w:rPr>
        <w:t>Reynaga</w:t>
      </w:r>
      <w:proofErr w:type="spellEnd"/>
      <w:r w:rsidRPr="001558A5">
        <w:rPr>
          <w:lang w:val="en-US"/>
        </w:rPr>
        <w:t xml:space="preserve">, Regina </w:t>
      </w:r>
      <w:proofErr w:type="spellStart"/>
      <w:r w:rsidRPr="001558A5">
        <w:rPr>
          <w:lang w:val="en-US"/>
        </w:rPr>
        <w:t>Barahona</w:t>
      </w:r>
      <w:proofErr w:type="spellEnd"/>
      <w:r w:rsidR="00DD4354" w:rsidRPr="001558A5">
        <w:rPr>
          <w:lang w:val="en-US"/>
        </w:rPr>
        <w:t xml:space="preserve"> and </w:t>
      </w:r>
      <w:r w:rsidRPr="001558A5">
        <w:rPr>
          <w:lang w:val="en-US"/>
        </w:rPr>
        <w:t xml:space="preserve">Fanny </w:t>
      </w:r>
      <w:proofErr w:type="spellStart"/>
      <w:r w:rsidRPr="001558A5">
        <w:rPr>
          <w:lang w:val="en-US"/>
        </w:rPr>
        <w:t>Cata</w:t>
      </w:r>
      <w:proofErr w:type="spellEnd"/>
      <w:r w:rsidRPr="001558A5">
        <w:rPr>
          <w:lang w:val="en-US"/>
        </w:rPr>
        <w:t xml:space="preserve"> Gómez Lugo</w:t>
      </w:r>
      <w:r w:rsidR="00DD4354" w:rsidRPr="001558A5">
        <w:rPr>
          <w:lang w:val="en-US"/>
        </w:rPr>
        <w:t xml:space="preserve"> and </w:t>
      </w:r>
      <w:r w:rsidR="00B3320F" w:rsidRPr="001558A5">
        <w:rPr>
          <w:lang w:val="en-US"/>
        </w:rPr>
        <w:t>refers to</w:t>
      </w:r>
      <w:r w:rsidRPr="001558A5">
        <w:rPr>
          <w:lang w:val="en-US"/>
        </w:rPr>
        <w:t xml:space="preserve">: </w:t>
      </w:r>
      <w:r w:rsidR="00B3320F" w:rsidRPr="001558A5">
        <w:rPr>
          <w:lang w:val="en-US"/>
        </w:rPr>
        <w:t>(</w:t>
      </w:r>
      <w:r w:rsidRPr="001558A5">
        <w:rPr>
          <w:lang w:val="en-US"/>
        </w:rPr>
        <w:t xml:space="preserve">a) </w:t>
      </w:r>
      <w:r w:rsidR="00B3320F" w:rsidRPr="001558A5">
        <w:rPr>
          <w:lang w:val="en-US"/>
        </w:rPr>
        <w:t xml:space="preserve">the legal framework for sex work in </w:t>
      </w:r>
      <w:r w:rsidRPr="001558A5">
        <w:rPr>
          <w:lang w:val="en-US"/>
        </w:rPr>
        <w:t xml:space="preserve">Honduras; </w:t>
      </w:r>
      <w:r w:rsidR="00B3320F" w:rsidRPr="001558A5">
        <w:rPr>
          <w:lang w:val="en-US"/>
        </w:rPr>
        <w:t>(</w:t>
      </w:r>
      <w:r w:rsidRPr="001558A5">
        <w:rPr>
          <w:lang w:val="en-US"/>
        </w:rPr>
        <w:t xml:space="preserve">b) </w:t>
      </w:r>
      <w:r w:rsidR="00B3320F" w:rsidRPr="001558A5">
        <w:rPr>
          <w:lang w:val="en-US"/>
        </w:rPr>
        <w:t xml:space="preserve">the violence against sex workers in </w:t>
      </w:r>
      <w:r w:rsidRPr="001558A5">
        <w:rPr>
          <w:lang w:val="en-US"/>
        </w:rPr>
        <w:t>Honduras,</w:t>
      </w:r>
      <w:r w:rsidR="00DD4354" w:rsidRPr="001558A5">
        <w:rPr>
          <w:lang w:val="en-US"/>
        </w:rPr>
        <w:t xml:space="preserve"> and </w:t>
      </w:r>
      <w:r w:rsidR="00B3320F" w:rsidRPr="001558A5">
        <w:rPr>
          <w:lang w:val="en-US"/>
        </w:rPr>
        <w:t>(</w:t>
      </w:r>
      <w:r w:rsidRPr="001558A5">
        <w:rPr>
          <w:lang w:val="en-US"/>
        </w:rPr>
        <w:t xml:space="preserve">c) </w:t>
      </w:r>
      <w:r w:rsidR="00B3320F" w:rsidRPr="001558A5">
        <w:rPr>
          <w:lang w:val="en-US"/>
        </w:rPr>
        <w:t>the lack of investigation and impunity.</w:t>
      </w:r>
    </w:p>
  </w:footnote>
  <w:footnote w:id="25">
    <w:p w14:paraId="3D005551" w14:textId="19232ECE" w:rsidR="005977F6" w:rsidRPr="001558A5" w:rsidRDefault="005977F6" w:rsidP="00CB7A91">
      <w:pPr>
        <w:pStyle w:val="Textonotapie"/>
        <w:tabs>
          <w:tab w:val="left" w:pos="360"/>
        </w:tabs>
        <w:rPr>
          <w:lang w:val="en-US"/>
        </w:rPr>
      </w:pPr>
      <w:r w:rsidRPr="001558A5">
        <w:rPr>
          <w:rStyle w:val="Refdenotaalpie"/>
          <w:lang w:val="en-US"/>
        </w:rPr>
        <w:footnoteRef/>
      </w:r>
      <w:r w:rsidR="00CB7A91" w:rsidRPr="001558A5">
        <w:rPr>
          <w:lang w:val="en-US"/>
        </w:rPr>
        <w:t xml:space="preserve"> </w:t>
      </w:r>
      <w:r w:rsidR="00CB7A91" w:rsidRPr="001558A5">
        <w:rPr>
          <w:lang w:val="en-US"/>
        </w:rPr>
        <w:tab/>
      </w:r>
      <w:r w:rsidR="004F4F9C" w:rsidRPr="001558A5">
        <w:rPr>
          <w:lang w:val="en-US"/>
        </w:rPr>
        <w:t>The brief</w:t>
      </w:r>
      <w:r w:rsidRPr="001558A5">
        <w:rPr>
          <w:lang w:val="en-US"/>
        </w:rPr>
        <w:t xml:space="preserve"> </w:t>
      </w:r>
      <w:r w:rsidR="00B74256" w:rsidRPr="001558A5">
        <w:rPr>
          <w:lang w:val="en-US"/>
        </w:rPr>
        <w:t>refers to</w:t>
      </w:r>
      <w:r w:rsidRPr="001558A5">
        <w:rPr>
          <w:lang w:val="en-US"/>
        </w:rPr>
        <w:t xml:space="preserve"> </w:t>
      </w:r>
      <w:r w:rsidR="00B3320F" w:rsidRPr="001558A5">
        <w:rPr>
          <w:lang w:val="en-US"/>
        </w:rPr>
        <w:t xml:space="preserve">the socio-cultural, historical and anthropological roots of the </w:t>
      </w:r>
      <w:proofErr w:type="spellStart"/>
      <w:r w:rsidR="00B3320F" w:rsidRPr="001558A5">
        <w:rPr>
          <w:lang w:val="en-US"/>
        </w:rPr>
        <w:t>transfemicide</w:t>
      </w:r>
      <w:proofErr w:type="spellEnd"/>
      <w:r w:rsidR="00B3320F" w:rsidRPr="001558A5">
        <w:rPr>
          <w:lang w:val="en-US"/>
        </w:rPr>
        <w:t xml:space="preserve"> violence apparent in the case of </w:t>
      </w:r>
      <w:r w:rsidRPr="001558A5">
        <w:rPr>
          <w:lang w:val="en-US"/>
        </w:rPr>
        <w:t>Vicky Hernández.</w:t>
      </w:r>
    </w:p>
  </w:footnote>
  <w:footnote w:id="26">
    <w:p w14:paraId="60FE24FD" w14:textId="261E6C40" w:rsidR="00045309" w:rsidRPr="001558A5" w:rsidRDefault="00045309"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871E19" w:rsidRPr="001558A5">
        <w:rPr>
          <w:i/>
          <w:iCs/>
          <w:lang w:val="en-US"/>
        </w:rPr>
        <w:t>Case of</w:t>
      </w:r>
      <w:r w:rsidRPr="001558A5">
        <w:rPr>
          <w:i/>
          <w:iCs/>
          <w:lang w:val="en-US"/>
        </w:rPr>
        <w:t xml:space="preserve"> Vicky Hernández</w:t>
      </w:r>
      <w:r w:rsidR="00DD4354" w:rsidRPr="001558A5">
        <w:rPr>
          <w:i/>
          <w:iCs/>
          <w:lang w:val="en-US"/>
        </w:rPr>
        <w:t xml:space="preserve"> </w:t>
      </w:r>
      <w:r w:rsidR="004F4F9C" w:rsidRPr="001558A5">
        <w:rPr>
          <w:i/>
          <w:iCs/>
          <w:lang w:val="en-US"/>
        </w:rPr>
        <w:t>et al. v.</w:t>
      </w:r>
      <w:r w:rsidRPr="001558A5">
        <w:rPr>
          <w:i/>
          <w:iCs/>
          <w:lang w:val="en-US"/>
        </w:rPr>
        <w:t xml:space="preserve"> Honduras. </w:t>
      </w:r>
      <w:r w:rsidR="0017498F" w:rsidRPr="001558A5">
        <w:rPr>
          <w:i/>
          <w:iCs/>
          <w:lang w:val="en-US"/>
        </w:rPr>
        <w:t>Provisional measures</w:t>
      </w:r>
      <w:r w:rsidRPr="001558A5">
        <w:rPr>
          <w:lang w:val="en-US"/>
        </w:rPr>
        <w:t xml:space="preserve">. </w:t>
      </w:r>
      <w:r w:rsidR="00B3320F" w:rsidRPr="001558A5">
        <w:rPr>
          <w:lang w:val="en-US"/>
        </w:rPr>
        <w:t>Order</w:t>
      </w:r>
      <w:r w:rsidR="00DD4354" w:rsidRPr="001558A5">
        <w:rPr>
          <w:lang w:val="en-US"/>
        </w:rPr>
        <w:t xml:space="preserve"> of the </w:t>
      </w:r>
      <w:r w:rsidR="00871E19" w:rsidRPr="001558A5">
        <w:rPr>
          <w:lang w:val="en-US"/>
        </w:rPr>
        <w:t>Inter-American Court of Human Rights</w:t>
      </w:r>
      <w:r w:rsidRPr="001558A5">
        <w:rPr>
          <w:lang w:val="en-US"/>
        </w:rPr>
        <w:t xml:space="preserve"> </w:t>
      </w:r>
      <w:r w:rsidR="00B3320F" w:rsidRPr="001558A5">
        <w:rPr>
          <w:lang w:val="en-US"/>
        </w:rPr>
        <w:t>of November 12,</w:t>
      </w:r>
      <w:r w:rsidRPr="001558A5">
        <w:rPr>
          <w:lang w:val="en-US"/>
        </w:rPr>
        <w:t xml:space="preserve"> 2020</w:t>
      </w:r>
      <w:r w:rsidR="001A6E0E" w:rsidRPr="001558A5">
        <w:rPr>
          <w:lang w:val="en-US"/>
        </w:rPr>
        <w:t>.</w:t>
      </w:r>
    </w:p>
  </w:footnote>
  <w:footnote w:id="27">
    <w:p w14:paraId="1C28114C" w14:textId="458B494E" w:rsidR="005977F6" w:rsidRPr="001558A5" w:rsidRDefault="005977F6"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B3320F" w:rsidRPr="001558A5">
        <w:rPr>
          <w:szCs w:val="16"/>
          <w:lang w:val="en-US"/>
        </w:rPr>
        <w:t>The request for</w:t>
      </w:r>
      <w:r w:rsidRPr="001558A5">
        <w:rPr>
          <w:szCs w:val="16"/>
          <w:lang w:val="en-US"/>
        </w:rPr>
        <w:t xml:space="preserve"> </w:t>
      </w:r>
      <w:r w:rsidR="0017498F" w:rsidRPr="001558A5">
        <w:rPr>
          <w:szCs w:val="16"/>
          <w:lang w:val="en-US"/>
        </w:rPr>
        <w:t>provisional measures</w:t>
      </w:r>
      <w:r w:rsidRPr="001558A5">
        <w:rPr>
          <w:szCs w:val="16"/>
          <w:lang w:val="en-US"/>
        </w:rPr>
        <w:t xml:space="preserve"> </w:t>
      </w:r>
      <w:r w:rsidR="00B3320F" w:rsidRPr="001558A5">
        <w:rPr>
          <w:szCs w:val="16"/>
          <w:lang w:val="en-US"/>
        </w:rPr>
        <w:t>was presented by the representatives of the presumed victims during the public hearing in this case</w:t>
      </w:r>
      <w:r w:rsidRPr="001558A5">
        <w:rPr>
          <w:szCs w:val="16"/>
          <w:lang w:val="en-US"/>
        </w:rPr>
        <w:t>.</w:t>
      </w:r>
    </w:p>
  </w:footnote>
  <w:footnote w:id="28">
    <w:p w14:paraId="60FA8ACB" w14:textId="71717A4E" w:rsidR="005977F6" w:rsidRPr="001558A5" w:rsidRDefault="005977F6"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B3320F" w:rsidRPr="001558A5">
        <w:rPr>
          <w:szCs w:val="16"/>
          <w:lang w:val="en-US"/>
        </w:rPr>
        <w:t xml:space="preserve">Due to the exceptional circumstances resulting from the COVID-19 pandemic, this judgment was deliberated and adopted during the 140th regular session, which was held virtually using technological means as established in the Court’s </w:t>
      </w:r>
      <w:r w:rsidR="00871E19" w:rsidRPr="001558A5">
        <w:rPr>
          <w:szCs w:val="16"/>
          <w:lang w:val="en-US"/>
        </w:rPr>
        <w:t>Rules of Procedure</w:t>
      </w:r>
      <w:r w:rsidRPr="001558A5">
        <w:rPr>
          <w:szCs w:val="16"/>
          <w:lang w:val="en-US"/>
        </w:rPr>
        <w:t>.</w:t>
      </w:r>
    </w:p>
  </w:footnote>
  <w:footnote w:id="29">
    <w:p w14:paraId="52310A3A" w14:textId="7C396B2B" w:rsidR="005977F6" w:rsidRPr="001558A5" w:rsidRDefault="005977F6"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szCs w:val="16"/>
          <w:lang w:val="en-US"/>
        </w:rPr>
        <w:t>Cf.</w:t>
      </w:r>
      <w:r w:rsidRPr="001558A5">
        <w:rPr>
          <w:i/>
          <w:szCs w:val="16"/>
          <w:lang w:val="en-US"/>
        </w:rPr>
        <w:t xml:space="preserve"> </w:t>
      </w:r>
      <w:r w:rsidR="00871E19" w:rsidRPr="001558A5">
        <w:rPr>
          <w:i/>
          <w:szCs w:val="16"/>
          <w:lang w:val="en-US"/>
        </w:rPr>
        <w:t>Case of</w:t>
      </w:r>
      <w:r w:rsidRPr="001558A5">
        <w:rPr>
          <w:i/>
          <w:szCs w:val="16"/>
          <w:lang w:val="en-US"/>
        </w:rPr>
        <w:t xml:space="preserve"> Manuel </w:t>
      </w:r>
      <w:proofErr w:type="spellStart"/>
      <w:r w:rsidRPr="001558A5">
        <w:rPr>
          <w:i/>
          <w:szCs w:val="16"/>
          <w:lang w:val="en-US"/>
        </w:rPr>
        <w:t>Cepeda</w:t>
      </w:r>
      <w:proofErr w:type="spellEnd"/>
      <w:r w:rsidRPr="001558A5">
        <w:rPr>
          <w:i/>
          <w:szCs w:val="16"/>
          <w:lang w:val="en-US"/>
        </w:rPr>
        <w:t xml:space="preserve"> Vargas </w:t>
      </w:r>
      <w:r w:rsidR="00871E19" w:rsidRPr="001558A5">
        <w:rPr>
          <w:i/>
          <w:szCs w:val="16"/>
          <w:lang w:val="en-US"/>
        </w:rPr>
        <w:t>v.</w:t>
      </w:r>
      <w:r w:rsidRPr="001558A5">
        <w:rPr>
          <w:i/>
          <w:szCs w:val="16"/>
          <w:lang w:val="en-US"/>
        </w:rPr>
        <w:t xml:space="preserve"> Colombia. </w:t>
      </w:r>
      <w:r w:rsidR="00B43A52" w:rsidRPr="001558A5">
        <w:rPr>
          <w:i/>
          <w:szCs w:val="16"/>
          <w:lang w:val="en-US"/>
        </w:rPr>
        <w:t>Preliminary objections, merits, reparations and costs</w:t>
      </w:r>
      <w:r w:rsidRPr="001558A5">
        <w:rPr>
          <w:i/>
          <w:szCs w:val="16"/>
          <w:lang w:val="en-US"/>
        </w:rPr>
        <w:t xml:space="preserve">. </w:t>
      </w:r>
      <w:r w:rsidR="00871E19" w:rsidRPr="001558A5">
        <w:rPr>
          <w:szCs w:val="16"/>
          <w:lang w:val="en-US"/>
        </w:rPr>
        <w:t>Judgment of</w:t>
      </w:r>
      <w:r w:rsidRPr="001558A5">
        <w:rPr>
          <w:szCs w:val="16"/>
          <w:lang w:val="en-US"/>
        </w:rPr>
        <w:t xml:space="preserve"> </w:t>
      </w:r>
      <w:r w:rsidR="00B43A52" w:rsidRPr="001558A5">
        <w:rPr>
          <w:szCs w:val="16"/>
          <w:lang w:val="en-US"/>
        </w:rPr>
        <w:t>May 26,</w:t>
      </w:r>
      <w:r w:rsidRPr="001558A5">
        <w:rPr>
          <w:szCs w:val="16"/>
          <w:lang w:val="en-US"/>
        </w:rPr>
        <w:t xml:space="preserve"> 2010. </w:t>
      </w:r>
      <w:r w:rsidR="00B43A52" w:rsidRPr="001558A5">
        <w:rPr>
          <w:szCs w:val="16"/>
          <w:lang w:val="en-US"/>
        </w:rPr>
        <w:t xml:space="preserve">Series </w:t>
      </w:r>
      <w:r w:rsidRPr="001558A5">
        <w:rPr>
          <w:szCs w:val="16"/>
          <w:lang w:val="en-US"/>
        </w:rPr>
        <w:t xml:space="preserve">C No. 213, </w:t>
      </w:r>
      <w:r w:rsidR="00B43A52" w:rsidRPr="001558A5">
        <w:rPr>
          <w:szCs w:val="16"/>
          <w:lang w:val="en-US"/>
        </w:rPr>
        <w:t>para.</w:t>
      </w:r>
      <w:r w:rsidRPr="001558A5">
        <w:rPr>
          <w:szCs w:val="16"/>
          <w:lang w:val="en-US"/>
        </w:rPr>
        <w:t xml:space="preserve"> 17,</w:t>
      </w:r>
      <w:r w:rsidR="00DD4354" w:rsidRPr="001558A5">
        <w:rPr>
          <w:szCs w:val="16"/>
          <w:lang w:val="en-US"/>
        </w:rPr>
        <w:t xml:space="preserve"> and </w:t>
      </w:r>
      <w:r w:rsidR="00871E19" w:rsidRPr="001558A5">
        <w:rPr>
          <w:rStyle w:val="Textoennegrita"/>
          <w:rFonts w:eastAsiaTheme="majorEastAsia"/>
          <w:b w:val="0"/>
          <w:bCs w:val="0"/>
          <w:i/>
          <w:color w:val="000000"/>
          <w:szCs w:val="16"/>
          <w:lang w:val="en-US"/>
        </w:rPr>
        <w:t>Case of</w:t>
      </w:r>
      <w:r w:rsidRPr="001558A5">
        <w:rPr>
          <w:rStyle w:val="Textoennegrita"/>
          <w:rFonts w:eastAsiaTheme="majorEastAsia"/>
          <w:b w:val="0"/>
          <w:bCs w:val="0"/>
          <w:i/>
          <w:color w:val="000000"/>
          <w:szCs w:val="16"/>
          <w:lang w:val="en-US"/>
        </w:rPr>
        <w:t xml:space="preserve"> </w:t>
      </w:r>
      <w:proofErr w:type="spellStart"/>
      <w:r w:rsidRPr="001558A5">
        <w:rPr>
          <w:rStyle w:val="Textoennegrita"/>
          <w:rFonts w:eastAsiaTheme="majorEastAsia"/>
          <w:b w:val="0"/>
          <w:bCs w:val="0"/>
          <w:i/>
          <w:color w:val="000000"/>
          <w:szCs w:val="16"/>
          <w:lang w:val="en-US"/>
        </w:rPr>
        <w:t>Fernández</w:t>
      </w:r>
      <w:proofErr w:type="spellEnd"/>
      <w:r w:rsidRPr="001558A5">
        <w:rPr>
          <w:rStyle w:val="Textoennegrita"/>
          <w:rFonts w:eastAsiaTheme="majorEastAsia"/>
          <w:b w:val="0"/>
          <w:bCs w:val="0"/>
          <w:i/>
          <w:color w:val="000000"/>
          <w:szCs w:val="16"/>
          <w:lang w:val="en-US"/>
        </w:rPr>
        <w:t xml:space="preserve"> Prieto</w:t>
      </w:r>
      <w:r w:rsidR="00DD4354" w:rsidRPr="001558A5">
        <w:rPr>
          <w:rStyle w:val="Textoennegrita"/>
          <w:rFonts w:eastAsiaTheme="majorEastAsia"/>
          <w:b w:val="0"/>
          <w:bCs w:val="0"/>
          <w:i/>
          <w:color w:val="000000"/>
          <w:szCs w:val="16"/>
          <w:lang w:val="en-US"/>
        </w:rPr>
        <w:t xml:space="preserve"> and </w:t>
      </w:r>
      <w:proofErr w:type="spellStart"/>
      <w:r w:rsidRPr="001558A5">
        <w:rPr>
          <w:rStyle w:val="Textoennegrita"/>
          <w:rFonts w:eastAsiaTheme="majorEastAsia"/>
          <w:b w:val="0"/>
          <w:bCs w:val="0"/>
          <w:i/>
          <w:color w:val="000000"/>
          <w:szCs w:val="16"/>
          <w:lang w:val="en-US"/>
        </w:rPr>
        <w:t>Tumbeiro</w:t>
      </w:r>
      <w:proofErr w:type="spellEnd"/>
      <w:r w:rsidRPr="001558A5">
        <w:rPr>
          <w:rStyle w:val="Textoennegrita"/>
          <w:rFonts w:eastAsiaTheme="majorEastAsia"/>
          <w:b w:val="0"/>
          <w:bCs w:val="0"/>
          <w:i/>
          <w:color w:val="000000"/>
          <w:szCs w:val="16"/>
          <w:lang w:val="en-US"/>
        </w:rPr>
        <w:t xml:space="preserve"> </w:t>
      </w:r>
      <w:r w:rsidR="00871E19" w:rsidRPr="001558A5">
        <w:rPr>
          <w:rStyle w:val="Textoennegrita"/>
          <w:rFonts w:eastAsiaTheme="majorEastAsia"/>
          <w:b w:val="0"/>
          <w:bCs w:val="0"/>
          <w:i/>
          <w:color w:val="000000"/>
          <w:szCs w:val="16"/>
          <w:lang w:val="en-US"/>
        </w:rPr>
        <w:t>v.</w:t>
      </w:r>
      <w:r w:rsidRPr="001558A5">
        <w:rPr>
          <w:rStyle w:val="Textoennegrita"/>
          <w:rFonts w:eastAsiaTheme="majorEastAsia"/>
          <w:b w:val="0"/>
          <w:bCs w:val="0"/>
          <w:i/>
          <w:color w:val="000000"/>
          <w:szCs w:val="16"/>
          <w:lang w:val="en-US"/>
        </w:rPr>
        <w:t xml:space="preserve"> Argentina</w:t>
      </w:r>
      <w:r w:rsidRPr="001558A5">
        <w:rPr>
          <w:rStyle w:val="Textoennegrita"/>
          <w:rFonts w:eastAsiaTheme="majorEastAsia"/>
          <w:b w:val="0"/>
          <w:bCs w:val="0"/>
          <w:color w:val="000000"/>
          <w:szCs w:val="16"/>
          <w:lang w:val="en-US"/>
        </w:rPr>
        <w:t xml:space="preserve">. </w:t>
      </w:r>
      <w:r w:rsidR="00B43A52" w:rsidRPr="001558A5">
        <w:rPr>
          <w:rStyle w:val="Textoennegrita"/>
          <w:rFonts w:eastAsiaTheme="majorEastAsia"/>
          <w:b w:val="0"/>
          <w:bCs w:val="0"/>
          <w:i/>
          <w:color w:val="000000"/>
          <w:szCs w:val="16"/>
          <w:lang w:val="en-US"/>
        </w:rPr>
        <w:t>Merits and reparations</w:t>
      </w:r>
      <w:r w:rsidRPr="001558A5">
        <w:rPr>
          <w:rStyle w:val="Textoennegrita"/>
          <w:rFonts w:eastAsiaTheme="majorEastAsia"/>
          <w:b w:val="0"/>
          <w:bCs w:val="0"/>
          <w:i/>
          <w:color w:val="000000"/>
          <w:szCs w:val="16"/>
          <w:lang w:val="en-US"/>
        </w:rPr>
        <w:t xml:space="preserve">. </w:t>
      </w:r>
      <w:r w:rsidR="00871E19" w:rsidRPr="001558A5">
        <w:rPr>
          <w:rStyle w:val="Textoennegrita"/>
          <w:rFonts w:eastAsiaTheme="majorEastAsia"/>
          <w:b w:val="0"/>
          <w:bCs w:val="0"/>
          <w:color w:val="000000"/>
          <w:szCs w:val="16"/>
          <w:lang w:val="en-US"/>
        </w:rPr>
        <w:t>Judgment of</w:t>
      </w:r>
      <w:r w:rsidRPr="001558A5">
        <w:rPr>
          <w:rStyle w:val="Textoennegrita"/>
          <w:rFonts w:eastAsiaTheme="majorEastAsia"/>
          <w:b w:val="0"/>
          <w:bCs w:val="0"/>
          <w:color w:val="000000"/>
          <w:szCs w:val="16"/>
          <w:lang w:val="en-US"/>
        </w:rPr>
        <w:t xml:space="preserve"> </w:t>
      </w:r>
      <w:r w:rsidR="00B43A52" w:rsidRPr="001558A5">
        <w:rPr>
          <w:rStyle w:val="Textoennegrita"/>
          <w:rFonts w:eastAsiaTheme="majorEastAsia"/>
          <w:b w:val="0"/>
          <w:bCs w:val="0"/>
          <w:color w:val="000000"/>
          <w:szCs w:val="16"/>
          <w:lang w:val="en-US"/>
        </w:rPr>
        <w:t>September 1,</w:t>
      </w:r>
      <w:r w:rsidRPr="001558A5">
        <w:rPr>
          <w:rStyle w:val="Textoennegrita"/>
          <w:rFonts w:eastAsiaTheme="majorEastAsia"/>
          <w:b w:val="0"/>
          <w:bCs w:val="0"/>
          <w:color w:val="000000"/>
          <w:szCs w:val="16"/>
          <w:lang w:val="en-US"/>
        </w:rPr>
        <w:t xml:space="preserve"> 2020. </w:t>
      </w:r>
      <w:r w:rsidR="00B43A52" w:rsidRPr="001558A5">
        <w:rPr>
          <w:rStyle w:val="Textoennegrita"/>
          <w:rFonts w:eastAsiaTheme="majorEastAsia"/>
          <w:b w:val="0"/>
          <w:bCs w:val="0"/>
          <w:color w:val="000000"/>
          <w:szCs w:val="16"/>
          <w:lang w:val="en-US"/>
        </w:rPr>
        <w:t xml:space="preserve">Series </w:t>
      </w:r>
      <w:r w:rsidRPr="001558A5">
        <w:rPr>
          <w:rStyle w:val="Textoennegrita"/>
          <w:rFonts w:eastAsiaTheme="majorEastAsia"/>
          <w:b w:val="0"/>
          <w:bCs w:val="0"/>
          <w:color w:val="000000"/>
          <w:szCs w:val="16"/>
          <w:lang w:val="en-US"/>
        </w:rPr>
        <w:t xml:space="preserve">C No. 411, </w:t>
      </w:r>
      <w:r w:rsidR="00B43A52" w:rsidRPr="001558A5">
        <w:rPr>
          <w:rStyle w:val="Textoennegrita"/>
          <w:rFonts w:eastAsiaTheme="majorEastAsia"/>
          <w:b w:val="0"/>
          <w:bCs w:val="0"/>
          <w:color w:val="000000"/>
          <w:szCs w:val="16"/>
          <w:lang w:val="en-US"/>
        </w:rPr>
        <w:t>para.</w:t>
      </w:r>
      <w:r w:rsidRPr="001558A5">
        <w:rPr>
          <w:rStyle w:val="Textoennegrita"/>
          <w:rFonts w:eastAsiaTheme="majorEastAsia"/>
          <w:b w:val="0"/>
          <w:bCs w:val="0"/>
          <w:color w:val="000000"/>
          <w:szCs w:val="16"/>
          <w:lang w:val="en-US"/>
        </w:rPr>
        <w:t xml:space="preserve"> 19.</w:t>
      </w:r>
    </w:p>
  </w:footnote>
  <w:footnote w:id="30">
    <w:p w14:paraId="3E624171" w14:textId="397BBEA5" w:rsidR="005977F6" w:rsidRPr="001558A5" w:rsidRDefault="005977F6"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973D19" w:rsidRPr="001558A5">
        <w:rPr>
          <w:szCs w:val="16"/>
          <w:lang w:val="en-US"/>
        </w:rPr>
        <w:t xml:space="preserve">These persons are </w:t>
      </w:r>
      <w:r w:rsidR="00F053EE" w:rsidRPr="001558A5">
        <w:rPr>
          <w:szCs w:val="16"/>
          <w:lang w:val="en-US"/>
        </w:rPr>
        <w:t>identified</w:t>
      </w:r>
      <w:r w:rsidR="00973D19" w:rsidRPr="001558A5">
        <w:rPr>
          <w:szCs w:val="16"/>
          <w:lang w:val="en-US"/>
        </w:rPr>
        <w:t xml:space="preserve"> in footnote No. 1.</w:t>
      </w:r>
    </w:p>
  </w:footnote>
  <w:footnote w:id="31">
    <w:p w14:paraId="5A7554E1" w14:textId="14B83785" w:rsidR="005977F6" w:rsidRPr="001558A5" w:rsidRDefault="005977F6" w:rsidP="000B2BB5">
      <w:pPr>
        <w:pStyle w:val="Textonotapie"/>
        <w:tabs>
          <w:tab w:val="left" w:pos="360"/>
        </w:tabs>
        <w:rPr>
          <w:b/>
          <w:bCs/>
          <w:szCs w:val="16"/>
          <w:lang w:val="en-US"/>
        </w:rPr>
      </w:pPr>
      <w:r w:rsidRPr="001558A5">
        <w:rPr>
          <w:rStyle w:val="Refdenotaalpie"/>
          <w:rFonts w:eastAsiaTheme="majorEastAsia"/>
          <w:szCs w:val="16"/>
          <w:lang w:val="en-US"/>
        </w:rPr>
        <w:footnoteRef/>
      </w:r>
      <w:r w:rsidRPr="001558A5">
        <w:rPr>
          <w:szCs w:val="16"/>
          <w:lang w:val="en-US"/>
        </w:rPr>
        <w:t xml:space="preserve"> </w:t>
      </w:r>
      <w:r w:rsidRPr="001558A5">
        <w:rPr>
          <w:szCs w:val="16"/>
          <w:lang w:val="en-US"/>
        </w:rPr>
        <w:tab/>
      </w:r>
      <w:r w:rsidR="00871E19" w:rsidRPr="001558A5">
        <w:rPr>
          <w:i/>
          <w:szCs w:val="16"/>
          <w:lang w:val="en-US"/>
        </w:rPr>
        <w:t>Cf.</w:t>
      </w:r>
      <w:r w:rsidRPr="001558A5">
        <w:rPr>
          <w:szCs w:val="16"/>
          <w:lang w:val="en-US"/>
        </w:rPr>
        <w:t xml:space="preserve"> </w:t>
      </w:r>
      <w:r w:rsidR="00871E19" w:rsidRPr="001558A5">
        <w:rPr>
          <w:rStyle w:val="Textoennegrita"/>
          <w:rFonts w:eastAsia="MS Mincho"/>
          <w:b w:val="0"/>
          <w:bCs w:val="0"/>
          <w:i/>
          <w:color w:val="000000"/>
          <w:szCs w:val="16"/>
          <w:lang w:val="en-US"/>
        </w:rPr>
        <w:t>Case of</w:t>
      </w:r>
      <w:r w:rsidRPr="001558A5">
        <w:rPr>
          <w:rStyle w:val="Textoennegrita"/>
          <w:rFonts w:eastAsia="MS Mincho"/>
          <w:b w:val="0"/>
          <w:bCs w:val="0"/>
          <w:i/>
          <w:color w:val="000000"/>
          <w:szCs w:val="16"/>
          <w:lang w:val="en-US"/>
        </w:rPr>
        <w:t xml:space="preserve"> Benavides </w:t>
      </w:r>
      <w:proofErr w:type="spellStart"/>
      <w:r w:rsidRPr="001558A5">
        <w:rPr>
          <w:rStyle w:val="Textoennegrita"/>
          <w:rFonts w:eastAsia="MS Mincho"/>
          <w:b w:val="0"/>
          <w:bCs w:val="0"/>
          <w:i/>
          <w:color w:val="000000"/>
          <w:szCs w:val="16"/>
          <w:lang w:val="en-US"/>
        </w:rPr>
        <w:t>Cevallos</w:t>
      </w:r>
      <w:proofErr w:type="spellEnd"/>
      <w:r w:rsidRPr="001558A5">
        <w:rPr>
          <w:rStyle w:val="Textoennegrita"/>
          <w:rFonts w:eastAsia="MS Mincho"/>
          <w:b w:val="0"/>
          <w:bCs w:val="0"/>
          <w:i/>
          <w:color w:val="000000"/>
          <w:szCs w:val="16"/>
          <w:lang w:val="en-US"/>
        </w:rPr>
        <w:t xml:space="preserve"> </w:t>
      </w:r>
      <w:r w:rsidR="00871E19" w:rsidRPr="001558A5">
        <w:rPr>
          <w:rStyle w:val="Textoennegrita"/>
          <w:rFonts w:eastAsia="MS Mincho"/>
          <w:b w:val="0"/>
          <w:bCs w:val="0"/>
          <w:i/>
          <w:color w:val="000000"/>
          <w:szCs w:val="16"/>
          <w:lang w:val="en-US"/>
        </w:rPr>
        <w:t>v.</w:t>
      </w:r>
      <w:r w:rsidRPr="001558A5">
        <w:rPr>
          <w:rStyle w:val="Textoennegrita"/>
          <w:rFonts w:eastAsia="MS Mincho"/>
          <w:b w:val="0"/>
          <w:bCs w:val="0"/>
          <w:i/>
          <w:color w:val="000000"/>
          <w:szCs w:val="16"/>
          <w:lang w:val="en-US"/>
        </w:rPr>
        <w:t xml:space="preserve"> Ecuador. </w:t>
      </w:r>
      <w:r w:rsidR="00B43A52" w:rsidRPr="001558A5">
        <w:rPr>
          <w:rStyle w:val="Textoennegrita"/>
          <w:rFonts w:eastAsia="MS Mincho"/>
          <w:b w:val="0"/>
          <w:bCs w:val="0"/>
          <w:i/>
          <w:color w:val="000000"/>
          <w:szCs w:val="16"/>
          <w:lang w:val="en-US"/>
        </w:rPr>
        <w:t>Merits, reparations and costs</w:t>
      </w:r>
      <w:r w:rsidRPr="001558A5">
        <w:rPr>
          <w:rStyle w:val="Textoennegrita"/>
          <w:rFonts w:eastAsia="MS Mincho"/>
          <w:b w:val="0"/>
          <w:bCs w:val="0"/>
          <w:i/>
          <w:color w:val="000000"/>
          <w:szCs w:val="16"/>
          <w:lang w:val="en-US"/>
        </w:rPr>
        <w:t>.</w:t>
      </w:r>
      <w:r w:rsidRPr="001558A5">
        <w:rPr>
          <w:rStyle w:val="Textoennegrita"/>
          <w:rFonts w:eastAsia="MS Mincho"/>
          <w:b w:val="0"/>
          <w:bCs w:val="0"/>
          <w:color w:val="000000"/>
          <w:szCs w:val="16"/>
          <w:lang w:val="en-US"/>
        </w:rPr>
        <w:t xml:space="preserve"> </w:t>
      </w:r>
      <w:r w:rsidR="00871E19" w:rsidRPr="001558A5">
        <w:rPr>
          <w:rStyle w:val="Textoennegrita"/>
          <w:rFonts w:eastAsia="MS Mincho"/>
          <w:b w:val="0"/>
          <w:bCs w:val="0"/>
          <w:color w:val="000000"/>
          <w:szCs w:val="16"/>
          <w:lang w:val="en-US"/>
        </w:rPr>
        <w:t>Judgment of</w:t>
      </w:r>
      <w:r w:rsidRPr="001558A5">
        <w:rPr>
          <w:rStyle w:val="Textoennegrita"/>
          <w:rFonts w:eastAsia="MS Mincho"/>
          <w:b w:val="0"/>
          <w:bCs w:val="0"/>
          <w:color w:val="000000"/>
          <w:szCs w:val="16"/>
          <w:lang w:val="en-US"/>
        </w:rPr>
        <w:t xml:space="preserve"> </w:t>
      </w:r>
      <w:r w:rsidR="00B43A52" w:rsidRPr="001558A5">
        <w:rPr>
          <w:rStyle w:val="Textoennegrita"/>
          <w:rFonts w:eastAsia="MS Mincho"/>
          <w:b w:val="0"/>
          <w:bCs w:val="0"/>
          <w:color w:val="000000"/>
          <w:szCs w:val="16"/>
          <w:lang w:val="en-US"/>
        </w:rPr>
        <w:t>June 19,</w:t>
      </w:r>
      <w:r w:rsidRPr="001558A5">
        <w:rPr>
          <w:rStyle w:val="Textoennegrita"/>
          <w:rFonts w:eastAsia="MS Mincho"/>
          <w:b w:val="0"/>
          <w:bCs w:val="0"/>
          <w:color w:val="000000"/>
          <w:szCs w:val="16"/>
          <w:lang w:val="en-US"/>
        </w:rPr>
        <w:t xml:space="preserve"> 1998. </w:t>
      </w:r>
      <w:r w:rsidR="00B43A52" w:rsidRPr="001558A5">
        <w:rPr>
          <w:rStyle w:val="Textoennegrita"/>
          <w:rFonts w:eastAsia="MS Mincho"/>
          <w:b w:val="0"/>
          <w:bCs w:val="0"/>
          <w:color w:val="000000"/>
          <w:szCs w:val="16"/>
          <w:lang w:val="en-US"/>
        </w:rPr>
        <w:t xml:space="preserve">Series </w:t>
      </w:r>
      <w:r w:rsidRPr="001558A5">
        <w:rPr>
          <w:rStyle w:val="Textoennegrita"/>
          <w:rFonts w:eastAsia="MS Mincho"/>
          <w:b w:val="0"/>
          <w:bCs w:val="0"/>
          <w:color w:val="000000"/>
          <w:szCs w:val="16"/>
          <w:lang w:val="en-US"/>
        </w:rPr>
        <w:t xml:space="preserve">C No. 38, </w:t>
      </w:r>
      <w:r w:rsidR="00B43A52" w:rsidRPr="001558A5">
        <w:rPr>
          <w:rStyle w:val="Textoennegrita"/>
          <w:rFonts w:eastAsia="MS Mincho"/>
          <w:b w:val="0"/>
          <w:bCs w:val="0"/>
          <w:color w:val="000000"/>
          <w:szCs w:val="16"/>
          <w:lang w:val="en-US"/>
        </w:rPr>
        <w:t>para.</w:t>
      </w:r>
      <w:r w:rsidRPr="001558A5">
        <w:rPr>
          <w:rStyle w:val="Textoennegrita"/>
          <w:rFonts w:eastAsia="MS Mincho"/>
          <w:b w:val="0"/>
          <w:bCs w:val="0"/>
          <w:color w:val="000000"/>
          <w:szCs w:val="16"/>
          <w:lang w:val="en-US"/>
        </w:rPr>
        <w:t xml:space="preserve"> 57,</w:t>
      </w:r>
      <w:r w:rsidR="00DD4354" w:rsidRPr="001558A5">
        <w:rPr>
          <w:rStyle w:val="Textoennegrita"/>
          <w:rFonts w:eastAsia="MS Mincho"/>
          <w:b w:val="0"/>
          <w:bCs w:val="0"/>
          <w:color w:val="000000"/>
          <w:szCs w:val="16"/>
          <w:lang w:val="en-US"/>
        </w:rPr>
        <w:t xml:space="preserve"> and </w:t>
      </w:r>
      <w:r w:rsidR="00871E19" w:rsidRPr="001558A5">
        <w:rPr>
          <w:rStyle w:val="Textoennegrita"/>
          <w:rFonts w:eastAsiaTheme="majorEastAsia"/>
          <w:b w:val="0"/>
          <w:bCs w:val="0"/>
          <w:i/>
          <w:color w:val="000000"/>
          <w:szCs w:val="16"/>
          <w:lang w:val="en-US"/>
        </w:rPr>
        <w:t>Case of</w:t>
      </w:r>
      <w:r w:rsidRPr="001558A5">
        <w:rPr>
          <w:rStyle w:val="Textoennegrita"/>
          <w:rFonts w:eastAsiaTheme="majorEastAsia"/>
          <w:b w:val="0"/>
          <w:bCs w:val="0"/>
          <w:i/>
          <w:color w:val="000000"/>
          <w:szCs w:val="16"/>
          <w:lang w:val="en-US"/>
        </w:rPr>
        <w:t xml:space="preserve"> </w:t>
      </w:r>
      <w:proofErr w:type="spellStart"/>
      <w:r w:rsidRPr="001558A5">
        <w:rPr>
          <w:rStyle w:val="Textoennegrita"/>
          <w:rFonts w:eastAsiaTheme="majorEastAsia"/>
          <w:b w:val="0"/>
          <w:bCs w:val="0"/>
          <w:i/>
          <w:color w:val="000000"/>
          <w:szCs w:val="16"/>
          <w:lang w:val="en-US"/>
        </w:rPr>
        <w:t>Fernández</w:t>
      </w:r>
      <w:proofErr w:type="spellEnd"/>
      <w:r w:rsidRPr="001558A5">
        <w:rPr>
          <w:rStyle w:val="Textoennegrita"/>
          <w:rFonts w:eastAsiaTheme="majorEastAsia"/>
          <w:b w:val="0"/>
          <w:bCs w:val="0"/>
          <w:i/>
          <w:color w:val="000000"/>
          <w:szCs w:val="16"/>
          <w:lang w:val="en-US"/>
        </w:rPr>
        <w:t xml:space="preserve"> Prieto</w:t>
      </w:r>
      <w:r w:rsidR="00DD4354" w:rsidRPr="001558A5">
        <w:rPr>
          <w:rStyle w:val="Textoennegrita"/>
          <w:rFonts w:eastAsiaTheme="majorEastAsia"/>
          <w:b w:val="0"/>
          <w:bCs w:val="0"/>
          <w:i/>
          <w:color w:val="000000"/>
          <w:szCs w:val="16"/>
          <w:lang w:val="en-US"/>
        </w:rPr>
        <w:t xml:space="preserve"> and </w:t>
      </w:r>
      <w:proofErr w:type="spellStart"/>
      <w:r w:rsidRPr="001558A5">
        <w:rPr>
          <w:rStyle w:val="Textoennegrita"/>
          <w:rFonts w:eastAsiaTheme="majorEastAsia"/>
          <w:b w:val="0"/>
          <w:bCs w:val="0"/>
          <w:i/>
          <w:color w:val="000000"/>
          <w:szCs w:val="16"/>
          <w:lang w:val="en-US"/>
        </w:rPr>
        <w:t>Tumbeiro</w:t>
      </w:r>
      <w:proofErr w:type="spellEnd"/>
      <w:r w:rsidRPr="001558A5">
        <w:rPr>
          <w:rStyle w:val="Textoennegrita"/>
          <w:rFonts w:eastAsiaTheme="majorEastAsia"/>
          <w:b w:val="0"/>
          <w:bCs w:val="0"/>
          <w:i/>
          <w:color w:val="000000"/>
          <w:szCs w:val="16"/>
          <w:lang w:val="en-US"/>
        </w:rPr>
        <w:t xml:space="preserve"> </w:t>
      </w:r>
      <w:r w:rsidR="00871E19" w:rsidRPr="001558A5">
        <w:rPr>
          <w:rStyle w:val="Textoennegrita"/>
          <w:rFonts w:eastAsiaTheme="majorEastAsia"/>
          <w:b w:val="0"/>
          <w:bCs w:val="0"/>
          <w:i/>
          <w:color w:val="000000"/>
          <w:szCs w:val="16"/>
          <w:lang w:val="en-US"/>
        </w:rPr>
        <w:t>v.</w:t>
      </w:r>
      <w:r w:rsidRPr="001558A5">
        <w:rPr>
          <w:rStyle w:val="Textoennegrita"/>
          <w:rFonts w:eastAsiaTheme="majorEastAsia"/>
          <w:b w:val="0"/>
          <w:bCs w:val="0"/>
          <w:i/>
          <w:color w:val="000000"/>
          <w:szCs w:val="16"/>
          <w:lang w:val="en-US"/>
        </w:rPr>
        <w:t xml:space="preserve"> Argentina</w:t>
      </w:r>
      <w:r w:rsidRPr="001558A5">
        <w:rPr>
          <w:rStyle w:val="Textoennegrita"/>
          <w:rFonts w:eastAsiaTheme="majorEastAsia"/>
          <w:b w:val="0"/>
          <w:bCs w:val="0"/>
          <w:color w:val="000000"/>
          <w:szCs w:val="16"/>
          <w:lang w:val="en-US"/>
        </w:rPr>
        <w:t xml:space="preserve">, </w:t>
      </w:r>
      <w:r w:rsidRPr="001558A5">
        <w:rPr>
          <w:rStyle w:val="Textoennegrita"/>
          <w:rFonts w:eastAsiaTheme="majorEastAsia"/>
          <w:b w:val="0"/>
          <w:bCs w:val="0"/>
          <w:i/>
          <w:iCs/>
          <w:color w:val="000000"/>
          <w:szCs w:val="16"/>
          <w:lang w:val="en-US"/>
        </w:rPr>
        <w:t>supra</w:t>
      </w:r>
      <w:r w:rsidRPr="001558A5">
        <w:rPr>
          <w:rStyle w:val="Textoennegrita"/>
          <w:rFonts w:eastAsiaTheme="majorEastAsia"/>
          <w:b w:val="0"/>
          <w:bCs w:val="0"/>
          <w:color w:val="000000"/>
          <w:szCs w:val="16"/>
          <w:lang w:val="en-US"/>
        </w:rPr>
        <w:t xml:space="preserve">, </w:t>
      </w:r>
      <w:r w:rsidR="00B43A52" w:rsidRPr="001558A5">
        <w:rPr>
          <w:rStyle w:val="Textoennegrita"/>
          <w:rFonts w:eastAsiaTheme="majorEastAsia"/>
          <w:b w:val="0"/>
          <w:bCs w:val="0"/>
          <w:color w:val="000000"/>
          <w:szCs w:val="16"/>
          <w:lang w:val="en-US"/>
        </w:rPr>
        <w:t>para.</w:t>
      </w:r>
      <w:r w:rsidRPr="001558A5">
        <w:rPr>
          <w:rStyle w:val="Textoennegrita"/>
          <w:rFonts w:eastAsiaTheme="majorEastAsia"/>
          <w:b w:val="0"/>
          <w:bCs w:val="0"/>
          <w:color w:val="000000"/>
          <w:szCs w:val="16"/>
          <w:lang w:val="en-US"/>
        </w:rPr>
        <w:t xml:space="preserve"> 20.</w:t>
      </w:r>
    </w:p>
  </w:footnote>
  <w:footnote w:id="32">
    <w:p w14:paraId="62462ADB" w14:textId="0BAA7EE1" w:rsidR="005977F6" w:rsidRPr="001558A5" w:rsidRDefault="005977F6" w:rsidP="000B2BB5">
      <w:pPr>
        <w:pStyle w:val="Textonotapie"/>
        <w:tabs>
          <w:tab w:val="left" w:pos="360"/>
          <w:tab w:val="left" w:pos="426"/>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Pr="001558A5">
        <w:rPr>
          <w:szCs w:val="16"/>
          <w:lang w:val="en-US"/>
        </w:rPr>
        <w:tab/>
      </w:r>
      <w:r w:rsidR="00871E19" w:rsidRPr="001558A5">
        <w:rPr>
          <w:i/>
          <w:szCs w:val="16"/>
          <w:lang w:val="en-US"/>
        </w:rPr>
        <w:t>Cf.</w:t>
      </w:r>
      <w:r w:rsidRPr="001558A5">
        <w:rPr>
          <w:i/>
          <w:szCs w:val="16"/>
          <w:lang w:val="en-US"/>
        </w:rPr>
        <w:t xml:space="preserve"> </w:t>
      </w:r>
      <w:r w:rsidR="00871E19" w:rsidRPr="001558A5">
        <w:rPr>
          <w:rStyle w:val="Textoennegrita"/>
          <w:b w:val="0"/>
          <w:bCs w:val="0"/>
          <w:i/>
          <w:color w:val="000000"/>
          <w:szCs w:val="16"/>
          <w:lang w:val="en-US"/>
        </w:rPr>
        <w:t>Case of</w:t>
      </w:r>
      <w:r w:rsidRPr="001558A5">
        <w:rPr>
          <w:rStyle w:val="Textoennegrita"/>
          <w:b w:val="0"/>
          <w:bCs w:val="0"/>
          <w:i/>
          <w:color w:val="000000"/>
          <w:szCs w:val="16"/>
          <w:lang w:val="en-US"/>
        </w:rPr>
        <w:t xml:space="preserve"> Rodríguez Vera</w:t>
      </w:r>
      <w:r w:rsidR="00DD4354" w:rsidRPr="001558A5">
        <w:rPr>
          <w:rStyle w:val="Textoennegrita"/>
          <w:b w:val="0"/>
          <w:bCs w:val="0"/>
          <w:i/>
          <w:color w:val="000000"/>
          <w:szCs w:val="16"/>
          <w:lang w:val="en-US"/>
        </w:rPr>
        <w:t xml:space="preserve"> </w:t>
      </w:r>
      <w:r w:rsidR="00D11908" w:rsidRPr="001558A5">
        <w:rPr>
          <w:rStyle w:val="Textoennegrita"/>
          <w:b w:val="0"/>
          <w:bCs w:val="0"/>
          <w:i/>
          <w:color w:val="000000"/>
          <w:szCs w:val="16"/>
          <w:lang w:val="en-US"/>
        </w:rPr>
        <w:t>et al.</w:t>
      </w:r>
      <w:r w:rsidRPr="001558A5">
        <w:rPr>
          <w:rStyle w:val="Textoennegrita"/>
          <w:b w:val="0"/>
          <w:bCs w:val="0"/>
          <w:i/>
          <w:color w:val="000000"/>
          <w:szCs w:val="16"/>
          <w:lang w:val="en-US"/>
        </w:rPr>
        <w:t xml:space="preserve"> (</w:t>
      </w:r>
      <w:r w:rsidR="00D11908" w:rsidRPr="001558A5">
        <w:rPr>
          <w:rStyle w:val="Textoennegrita"/>
          <w:b w:val="0"/>
          <w:bCs w:val="0"/>
          <w:i/>
          <w:color w:val="000000"/>
          <w:szCs w:val="16"/>
          <w:lang w:val="en-US"/>
        </w:rPr>
        <w:t>Disappeared from the Palace of Justice)</w:t>
      </w:r>
      <w:r w:rsidRPr="001558A5">
        <w:rPr>
          <w:rStyle w:val="Textoennegrita"/>
          <w:b w:val="0"/>
          <w:bCs w:val="0"/>
          <w:i/>
          <w:color w:val="000000"/>
          <w:szCs w:val="16"/>
          <w:lang w:val="en-US"/>
        </w:rPr>
        <w:t xml:space="preserve"> </w:t>
      </w:r>
      <w:r w:rsidR="00871E19" w:rsidRPr="001558A5">
        <w:rPr>
          <w:rStyle w:val="Textoennegrita"/>
          <w:b w:val="0"/>
          <w:bCs w:val="0"/>
          <w:i/>
          <w:color w:val="000000"/>
          <w:szCs w:val="16"/>
          <w:lang w:val="en-US"/>
        </w:rPr>
        <w:t>v.</w:t>
      </w:r>
      <w:r w:rsidRPr="001558A5">
        <w:rPr>
          <w:rStyle w:val="Textoennegrita"/>
          <w:b w:val="0"/>
          <w:bCs w:val="0"/>
          <w:i/>
          <w:color w:val="000000"/>
          <w:szCs w:val="16"/>
          <w:lang w:val="en-US"/>
        </w:rPr>
        <w:t xml:space="preserve"> Colombia. </w:t>
      </w:r>
      <w:r w:rsidR="00B43A52" w:rsidRPr="001558A5">
        <w:rPr>
          <w:rStyle w:val="Textoennegrita"/>
          <w:b w:val="0"/>
          <w:bCs w:val="0"/>
          <w:i/>
          <w:color w:val="000000"/>
          <w:szCs w:val="16"/>
          <w:lang w:val="en-US"/>
        </w:rPr>
        <w:t>Preliminary objections, merits, reparations and costs</w:t>
      </w:r>
      <w:r w:rsidRPr="001558A5">
        <w:rPr>
          <w:rStyle w:val="Textoennegrita"/>
          <w:b w:val="0"/>
          <w:bCs w:val="0"/>
          <w:i/>
          <w:color w:val="000000"/>
          <w:szCs w:val="16"/>
          <w:lang w:val="en-US"/>
        </w:rPr>
        <w:t xml:space="preserve">. </w:t>
      </w:r>
      <w:r w:rsidR="00871E19" w:rsidRPr="001558A5">
        <w:rPr>
          <w:rStyle w:val="Textoennegrita"/>
          <w:b w:val="0"/>
          <w:bCs w:val="0"/>
          <w:color w:val="000000"/>
          <w:szCs w:val="16"/>
          <w:lang w:val="en-US"/>
        </w:rPr>
        <w:t>Judgment of</w:t>
      </w:r>
      <w:r w:rsidRPr="001558A5">
        <w:rPr>
          <w:rStyle w:val="Textoennegrita"/>
          <w:b w:val="0"/>
          <w:bCs w:val="0"/>
          <w:color w:val="000000"/>
          <w:szCs w:val="16"/>
          <w:lang w:val="en-US"/>
        </w:rPr>
        <w:t xml:space="preserve"> </w:t>
      </w:r>
      <w:r w:rsidR="00D11908" w:rsidRPr="001558A5">
        <w:rPr>
          <w:rStyle w:val="Textoennegrita"/>
          <w:b w:val="0"/>
          <w:bCs w:val="0"/>
          <w:color w:val="000000"/>
          <w:szCs w:val="16"/>
          <w:lang w:val="en-US"/>
        </w:rPr>
        <w:t xml:space="preserve">November 14, </w:t>
      </w:r>
      <w:r w:rsidRPr="001558A5">
        <w:rPr>
          <w:rStyle w:val="Textoennegrita"/>
          <w:b w:val="0"/>
          <w:bCs w:val="0"/>
          <w:color w:val="000000"/>
          <w:szCs w:val="16"/>
          <w:lang w:val="en-US"/>
        </w:rPr>
        <w:t xml:space="preserve">2014. </w:t>
      </w:r>
      <w:r w:rsidR="00B43A52" w:rsidRPr="001558A5">
        <w:rPr>
          <w:rStyle w:val="Textoennegrita"/>
          <w:b w:val="0"/>
          <w:bCs w:val="0"/>
          <w:color w:val="000000"/>
          <w:szCs w:val="16"/>
          <w:lang w:val="en-US"/>
        </w:rPr>
        <w:t xml:space="preserve">Series </w:t>
      </w:r>
      <w:r w:rsidRPr="001558A5">
        <w:rPr>
          <w:rStyle w:val="Textoennegrita"/>
          <w:b w:val="0"/>
          <w:bCs w:val="0"/>
          <w:color w:val="000000"/>
          <w:szCs w:val="16"/>
          <w:lang w:val="en-US"/>
        </w:rPr>
        <w:t xml:space="preserve">C No. 287, </w:t>
      </w:r>
      <w:r w:rsidR="00B43A52" w:rsidRPr="001558A5">
        <w:rPr>
          <w:rStyle w:val="Textoennegrita"/>
          <w:b w:val="0"/>
          <w:bCs w:val="0"/>
          <w:color w:val="000000"/>
          <w:szCs w:val="16"/>
          <w:lang w:val="en-US"/>
        </w:rPr>
        <w:t>para.</w:t>
      </w:r>
      <w:r w:rsidRPr="001558A5">
        <w:rPr>
          <w:rStyle w:val="Textoennegrita"/>
          <w:b w:val="0"/>
          <w:bCs w:val="0"/>
          <w:color w:val="000000"/>
          <w:szCs w:val="16"/>
          <w:lang w:val="en-US"/>
        </w:rPr>
        <w:t xml:space="preserve"> 27,</w:t>
      </w:r>
      <w:r w:rsidR="00DD4354" w:rsidRPr="001558A5">
        <w:rPr>
          <w:rStyle w:val="Textoennegrita"/>
          <w:i/>
          <w:color w:val="000000"/>
          <w:szCs w:val="16"/>
          <w:lang w:val="en-US"/>
        </w:rPr>
        <w:t xml:space="preserve"> </w:t>
      </w:r>
      <w:r w:rsidR="00DD4354" w:rsidRPr="001558A5">
        <w:rPr>
          <w:rStyle w:val="Textoennegrita"/>
          <w:b w:val="0"/>
          <w:bCs w:val="0"/>
          <w:iCs/>
          <w:color w:val="000000"/>
          <w:szCs w:val="16"/>
          <w:lang w:val="en-US"/>
        </w:rPr>
        <w:t>and</w:t>
      </w:r>
      <w:r w:rsidR="00DD4354" w:rsidRPr="001558A5">
        <w:rPr>
          <w:rStyle w:val="Textoennegrita"/>
          <w:i/>
          <w:color w:val="000000"/>
          <w:szCs w:val="16"/>
          <w:lang w:val="en-US"/>
        </w:rPr>
        <w:t xml:space="preserve"> </w:t>
      </w:r>
      <w:r w:rsidR="00871E19" w:rsidRPr="001558A5">
        <w:rPr>
          <w:i/>
          <w:szCs w:val="16"/>
          <w:lang w:val="en-US"/>
        </w:rPr>
        <w:t>Case of</w:t>
      </w:r>
      <w:r w:rsidRPr="001558A5">
        <w:rPr>
          <w:i/>
          <w:szCs w:val="16"/>
          <w:lang w:val="en-US"/>
        </w:rPr>
        <w:t xml:space="preserve"> </w:t>
      </w:r>
      <w:proofErr w:type="spellStart"/>
      <w:r w:rsidRPr="001558A5">
        <w:rPr>
          <w:i/>
          <w:szCs w:val="16"/>
          <w:lang w:val="en-US"/>
        </w:rPr>
        <w:t>Spoltore</w:t>
      </w:r>
      <w:proofErr w:type="spellEnd"/>
      <w:r w:rsidRPr="001558A5">
        <w:rPr>
          <w:i/>
          <w:szCs w:val="16"/>
          <w:lang w:val="en-US"/>
        </w:rPr>
        <w:t xml:space="preserve"> </w:t>
      </w:r>
      <w:r w:rsidR="00871E19" w:rsidRPr="001558A5">
        <w:rPr>
          <w:i/>
          <w:szCs w:val="16"/>
          <w:lang w:val="en-US"/>
        </w:rPr>
        <w:t>v.</w:t>
      </w:r>
      <w:r w:rsidRPr="001558A5">
        <w:rPr>
          <w:i/>
          <w:szCs w:val="16"/>
          <w:lang w:val="en-US"/>
        </w:rPr>
        <w:t xml:space="preserve"> Argentina. </w:t>
      </w:r>
      <w:r w:rsidR="00B43A52" w:rsidRPr="001558A5">
        <w:rPr>
          <w:i/>
          <w:szCs w:val="16"/>
          <w:lang w:val="en-US"/>
        </w:rPr>
        <w:t>Preliminary objection, merits, reparations and costs</w:t>
      </w:r>
      <w:r w:rsidRPr="001558A5">
        <w:rPr>
          <w:iCs/>
          <w:szCs w:val="16"/>
          <w:lang w:val="en-US"/>
        </w:rPr>
        <w:t xml:space="preserve">. </w:t>
      </w:r>
      <w:r w:rsidR="00871E19" w:rsidRPr="001558A5">
        <w:rPr>
          <w:iCs/>
          <w:szCs w:val="16"/>
          <w:lang w:val="en-US"/>
        </w:rPr>
        <w:t>Judgment of</w:t>
      </w:r>
      <w:r w:rsidRPr="001558A5">
        <w:rPr>
          <w:iCs/>
          <w:szCs w:val="16"/>
          <w:lang w:val="en-US"/>
        </w:rPr>
        <w:t xml:space="preserve"> </w:t>
      </w:r>
      <w:r w:rsidR="00D11908" w:rsidRPr="001558A5">
        <w:rPr>
          <w:iCs/>
          <w:szCs w:val="16"/>
          <w:lang w:val="en-US"/>
        </w:rPr>
        <w:t>June 9,</w:t>
      </w:r>
      <w:r w:rsidRPr="001558A5">
        <w:rPr>
          <w:iCs/>
          <w:szCs w:val="16"/>
          <w:lang w:val="en-US"/>
        </w:rPr>
        <w:t xml:space="preserve"> 2020. </w:t>
      </w:r>
      <w:r w:rsidR="00B43A52" w:rsidRPr="001558A5">
        <w:rPr>
          <w:iCs/>
          <w:szCs w:val="16"/>
          <w:lang w:val="en-US"/>
        </w:rPr>
        <w:t xml:space="preserve">Series </w:t>
      </w:r>
      <w:r w:rsidRPr="001558A5">
        <w:rPr>
          <w:iCs/>
          <w:szCs w:val="16"/>
          <w:lang w:val="en-US"/>
        </w:rPr>
        <w:t>C No. 404,</w:t>
      </w:r>
      <w:r w:rsidRPr="001558A5">
        <w:rPr>
          <w:szCs w:val="16"/>
          <w:lang w:val="en-US"/>
        </w:rPr>
        <w:t xml:space="preserve"> </w:t>
      </w:r>
      <w:r w:rsidR="00B43A52" w:rsidRPr="001558A5">
        <w:rPr>
          <w:szCs w:val="16"/>
          <w:lang w:val="en-US"/>
        </w:rPr>
        <w:t>para.</w:t>
      </w:r>
      <w:r w:rsidRPr="001558A5">
        <w:rPr>
          <w:szCs w:val="16"/>
          <w:lang w:val="en-US"/>
        </w:rPr>
        <w:t xml:space="preserve"> 44.</w:t>
      </w:r>
    </w:p>
  </w:footnote>
  <w:footnote w:id="33">
    <w:p w14:paraId="0782DD20" w14:textId="6D63A11B" w:rsidR="005977F6" w:rsidRPr="001558A5" w:rsidRDefault="005977F6" w:rsidP="000B2BB5">
      <w:pPr>
        <w:pStyle w:val="Textonotapie"/>
        <w:tabs>
          <w:tab w:val="left" w:pos="360"/>
        </w:tabs>
        <w:spacing w:before="60" w:after="60"/>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szCs w:val="16"/>
          <w:lang w:val="en-US"/>
        </w:rPr>
        <w:t>Cf.</w:t>
      </w:r>
      <w:r w:rsidRPr="001558A5">
        <w:rPr>
          <w:i/>
          <w:szCs w:val="16"/>
          <w:lang w:val="en-US"/>
        </w:rPr>
        <w:t xml:space="preserve"> </w:t>
      </w:r>
      <w:r w:rsidR="00871E19" w:rsidRPr="001558A5">
        <w:rPr>
          <w:i/>
          <w:szCs w:val="16"/>
          <w:lang w:val="en-US"/>
        </w:rPr>
        <w:t>Case of</w:t>
      </w:r>
      <w:r w:rsidRPr="001558A5">
        <w:rPr>
          <w:i/>
          <w:szCs w:val="16"/>
          <w:lang w:val="en-US"/>
        </w:rPr>
        <w:t xml:space="preserve"> </w:t>
      </w:r>
      <w:proofErr w:type="spellStart"/>
      <w:r w:rsidRPr="001558A5">
        <w:rPr>
          <w:i/>
          <w:szCs w:val="16"/>
          <w:lang w:val="en-US"/>
        </w:rPr>
        <w:t>Velásquez</w:t>
      </w:r>
      <w:proofErr w:type="spellEnd"/>
      <w:r w:rsidRPr="001558A5">
        <w:rPr>
          <w:i/>
          <w:szCs w:val="16"/>
          <w:lang w:val="en-US"/>
        </w:rPr>
        <w:t xml:space="preserve"> Rodríguez </w:t>
      </w:r>
      <w:r w:rsidR="00871E19" w:rsidRPr="001558A5">
        <w:rPr>
          <w:i/>
          <w:szCs w:val="16"/>
          <w:lang w:val="en-US"/>
        </w:rPr>
        <w:t>v.</w:t>
      </w:r>
      <w:r w:rsidRPr="001558A5">
        <w:rPr>
          <w:i/>
          <w:szCs w:val="16"/>
          <w:lang w:val="en-US"/>
        </w:rPr>
        <w:t xml:space="preserve"> Honduras. </w:t>
      </w:r>
      <w:r w:rsidR="00D11908" w:rsidRPr="001558A5">
        <w:rPr>
          <w:i/>
          <w:szCs w:val="16"/>
          <w:lang w:val="en-US"/>
        </w:rPr>
        <w:t>Merits</w:t>
      </w:r>
      <w:r w:rsidRPr="001558A5">
        <w:rPr>
          <w:i/>
          <w:szCs w:val="16"/>
          <w:lang w:val="en-US"/>
        </w:rPr>
        <w:t>.</w:t>
      </w:r>
      <w:r w:rsidRPr="001558A5">
        <w:rPr>
          <w:szCs w:val="16"/>
          <w:lang w:val="en-US"/>
        </w:rPr>
        <w:t xml:space="preserve"> </w:t>
      </w:r>
      <w:r w:rsidR="00871E19" w:rsidRPr="001558A5">
        <w:rPr>
          <w:szCs w:val="16"/>
          <w:lang w:val="en-US"/>
        </w:rPr>
        <w:t>Judgment of</w:t>
      </w:r>
      <w:r w:rsidRPr="001558A5">
        <w:rPr>
          <w:szCs w:val="16"/>
          <w:lang w:val="en-US"/>
        </w:rPr>
        <w:t xml:space="preserve"> </w:t>
      </w:r>
      <w:r w:rsidR="00D11908" w:rsidRPr="001558A5">
        <w:rPr>
          <w:szCs w:val="16"/>
          <w:lang w:val="en-US"/>
        </w:rPr>
        <w:t>July 29,</w:t>
      </w:r>
      <w:r w:rsidRPr="001558A5">
        <w:rPr>
          <w:szCs w:val="16"/>
          <w:lang w:val="en-US"/>
        </w:rPr>
        <w:t xml:space="preserve"> 1988. </w:t>
      </w:r>
      <w:r w:rsidR="00B43A52" w:rsidRPr="001558A5">
        <w:rPr>
          <w:szCs w:val="16"/>
          <w:lang w:val="en-US"/>
        </w:rPr>
        <w:t xml:space="preserve">Series </w:t>
      </w:r>
      <w:r w:rsidRPr="001558A5">
        <w:rPr>
          <w:szCs w:val="16"/>
          <w:lang w:val="en-US"/>
        </w:rPr>
        <w:t xml:space="preserve">C No. 4, </w:t>
      </w:r>
      <w:r w:rsidR="00B43A52" w:rsidRPr="001558A5">
        <w:rPr>
          <w:szCs w:val="16"/>
          <w:lang w:val="en-US"/>
        </w:rPr>
        <w:t>para.</w:t>
      </w:r>
      <w:r w:rsidRPr="001558A5">
        <w:rPr>
          <w:szCs w:val="16"/>
          <w:lang w:val="en-US"/>
        </w:rPr>
        <w:t xml:space="preserve"> 140,</w:t>
      </w:r>
      <w:r w:rsidR="00DD4354" w:rsidRPr="001558A5">
        <w:rPr>
          <w:szCs w:val="16"/>
          <w:lang w:val="en-US"/>
        </w:rPr>
        <w:t xml:space="preserve"> and </w:t>
      </w:r>
      <w:r w:rsidR="00871E19" w:rsidRPr="001558A5">
        <w:rPr>
          <w:i/>
          <w:szCs w:val="16"/>
          <w:lang w:val="en-US"/>
        </w:rPr>
        <w:t>Case of</w:t>
      </w:r>
      <w:r w:rsidRPr="001558A5">
        <w:rPr>
          <w:i/>
          <w:szCs w:val="16"/>
          <w:lang w:val="en-US"/>
        </w:rPr>
        <w:t xml:space="preserve"> Cordero Bernal </w:t>
      </w:r>
      <w:r w:rsidR="00871E19" w:rsidRPr="001558A5">
        <w:rPr>
          <w:i/>
          <w:szCs w:val="16"/>
          <w:lang w:val="en-US"/>
        </w:rPr>
        <w:t>v.</w:t>
      </w:r>
      <w:r w:rsidRPr="001558A5">
        <w:rPr>
          <w:i/>
          <w:szCs w:val="16"/>
          <w:lang w:val="en-US"/>
        </w:rPr>
        <w:t xml:space="preserve"> </w:t>
      </w:r>
      <w:r w:rsidR="00D11908" w:rsidRPr="001558A5">
        <w:rPr>
          <w:i/>
          <w:szCs w:val="16"/>
          <w:lang w:val="en-US"/>
        </w:rPr>
        <w:t>Peru</w:t>
      </w:r>
      <w:r w:rsidRPr="001558A5">
        <w:rPr>
          <w:i/>
          <w:szCs w:val="16"/>
          <w:lang w:val="en-US"/>
        </w:rPr>
        <w:t>. Preliminar</w:t>
      </w:r>
      <w:r w:rsidR="00D11908" w:rsidRPr="001558A5">
        <w:rPr>
          <w:i/>
          <w:szCs w:val="16"/>
          <w:lang w:val="en-US"/>
        </w:rPr>
        <w:t xml:space="preserve">y objection </w:t>
      </w:r>
      <w:r w:rsidR="00DD4354" w:rsidRPr="001558A5">
        <w:rPr>
          <w:i/>
          <w:szCs w:val="16"/>
          <w:lang w:val="en-US"/>
        </w:rPr>
        <w:t>and</w:t>
      </w:r>
      <w:r w:rsidR="00D11908" w:rsidRPr="001558A5">
        <w:rPr>
          <w:i/>
          <w:szCs w:val="16"/>
          <w:lang w:val="en-US"/>
        </w:rPr>
        <w:t xml:space="preserve"> merits.</w:t>
      </w:r>
      <w:r w:rsidR="00DD4354" w:rsidRPr="001558A5">
        <w:rPr>
          <w:i/>
          <w:szCs w:val="16"/>
          <w:lang w:val="en-US"/>
        </w:rPr>
        <w:t xml:space="preserve"> </w:t>
      </w:r>
      <w:r w:rsidR="00871E19" w:rsidRPr="001558A5">
        <w:rPr>
          <w:iCs/>
          <w:szCs w:val="16"/>
          <w:lang w:val="en-US"/>
        </w:rPr>
        <w:t>Judgment of</w:t>
      </w:r>
      <w:r w:rsidRPr="001558A5">
        <w:rPr>
          <w:iCs/>
          <w:szCs w:val="16"/>
          <w:lang w:val="en-US"/>
        </w:rPr>
        <w:t xml:space="preserve"> </w:t>
      </w:r>
      <w:r w:rsidR="00D11908" w:rsidRPr="001558A5">
        <w:rPr>
          <w:iCs/>
          <w:szCs w:val="16"/>
          <w:lang w:val="en-US"/>
        </w:rPr>
        <w:t xml:space="preserve">February 16, </w:t>
      </w:r>
      <w:r w:rsidRPr="001558A5">
        <w:rPr>
          <w:iCs/>
          <w:szCs w:val="16"/>
          <w:lang w:val="en-US"/>
        </w:rPr>
        <w:t xml:space="preserve">2021. </w:t>
      </w:r>
      <w:r w:rsidR="00B43A52" w:rsidRPr="001558A5">
        <w:rPr>
          <w:iCs/>
          <w:szCs w:val="16"/>
          <w:lang w:val="en-US"/>
        </w:rPr>
        <w:t xml:space="preserve">Series </w:t>
      </w:r>
      <w:r w:rsidRPr="001558A5">
        <w:rPr>
          <w:iCs/>
          <w:szCs w:val="16"/>
          <w:lang w:val="en-US"/>
        </w:rPr>
        <w:t>C No. 421,</w:t>
      </w:r>
      <w:r w:rsidRPr="001558A5">
        <w:rPr>
          <w:szCs w:val="16"/>
          <w:lang w:val="en-US"/>
        </w:rPr>
        <w:t xml:space="preserve"> </w:t>
      </w:r>
      <w:r w:rsidR="00B43A52" w:rsidRPr="001558A5">
        <w:rPr>
          <w:szCs w:val="16"/>
          <w:lang w:val="en-US"/>
        </w:rPr>
        <w:t>para.</w:t>
      </w:r>
      <w:r w:rsidRPr="001558A5">
        <w:rPr>
          <w:szCs w:val="16"/>
          <w:lang w:val="en-US"/>
        </w:rPr>
        <w:t xml:space="preserve"> 29.</w:t>
      </w:r>
    </w:p>
  </w:footnote>
  <w:footnote w:id="34">
    <w:p w14:paraId="02CED786" w14:textId="752BE674" w:rsidR="005977F6" w:rsidRPr="001558A5" w:rsidRDefault="005977F6" w:rsidP="000B2BB5">
      <w:pPr>
        <w:pStyle w:val="Textonotapie"/>
        <w:tabs>
          <w:tab w:val="left" w:pos="360"/>
          <w:tab w:val="left" w:pos="720"/>
        </w:tabs>
        <w:rPr>
          <w:szCs w:val="16"/>
          <w:lang w:val="en-US"/>
        </w:rPr>
      </w:pPr>
      <w:r w:rsidRPr="001558A5">
        <w:rPr>
          <w:rStyle w:val="Refdenotaalpie"/>
          <w:szCs w:val="16"/>
          <w:lang w:val="en-US"/>
        </w:rPr>
        <w:footnoteRef/>
      </w:r>
      <w:r w:rsidRPr="001558A5">
        <w:rPr>
          <w:szCs w:val="16"/>
          <w:lang w:val="en-US"/>
        </w:rPr>
        <w:t xml:space="preserve">  </w:t>
      </w:r>
      <w:r w:rsidR="00D11908" w:rsidRPr="001558A5">
        <w:rPr>
          <w:szCs w:val="16"/>
          <w:lang w:val="en-US"/>
        </w:rPr>
        <w:tab/>
        <w:t xml:space="preserve">Affidavits were received from two (2) </w:t>
      </w:r>
      <w:r w:rsidR="00EB397C" w:rsidRPr="001558A5">
        <w:rPr>
          <w:szCs w:val="16"/>
          <w:lang w:val="en-US"/>
        </w:rPr>
        <w:t>presumed victims</w:t>
      </w:r>
      <w:r w:rsidR="00DD4354" w:rsidRPr="001558A5">
        <w:rPr>
          <w:szCs w:val="16"/>
          <w:lang w:val="en-US"/>
        </w:rPr>
        <w:t xml:space="preserve"> and </w:t>
      </w:r>
      <w:r w:rsidR="00D11908" w:rsidRPr="001558A5">
        <w:rPr>
          <w:szCs w:val="16"/>
          <w:lang w:val="en-US"/>
        </w:rPr>
        <w:t>one</w:t>
      </w:r>
      <w:r w:rsidRPr="001558A5">
        <w:rPr>
          <w:szCs w:val="16"/>
          <w:lang w:val="en-US"/>
        </w:rPr>
        <w:t xml:space="preserve"> (1) </w:t>
      </w:r>
      <w:r w:rsidR="00D11908" w:rsidRPr="001558A5">
        <w:rPr>
          <w:szCs w:val="16"/>
          <w:lang w:val="en-US"/>
        </w:rPr>
        <w:t>expert witness proposed by</w:t>
      </w:r>
      <w:r w:rsidRPr="001558A5">
        <w:rPr>
          <w:szCs w:val="16"/>
          <w:lang w:val="en-US"/>
        </w:rPr>
        <w:t xml:space="preserve"> </w:t>
      </w:r>
      <w:r w:rsidR="00DD4354" w:rsidRPr="001558A5">
        <w:rPr>
          <w:szCs w:val="16"/>
          <w:lang w:val="en-US"/>
        </w:rPr>
        <w:t>the representatives</w:t>
      </w:r>
      <w:r w:rsidRPr="001558A5">
        <w:rPr>
          <w:szCs w:val="16"/>
          <w:lang w:val="en-US"/>
        </w:rPr>
        <w:t xml:space="preserve">. </w:t>
      </w:r>
    </w:p>
  </w:footnote>
  <w:footnote w:id="35">
    <w:p w14:paraId="62CA7C6F" w14:textId="3A74C62A" w:rsidR="005977F6" w:rsidRPr="001558A5" w:rsidRDefault="005977F6" w:rsidP="000B2BB5">
      <w:pPr>
        <w:pStyle w:val="Textonotapie"/>
        <w:tabs>
          <w:tab w:val="left" w:pos="360"/>
          <w:tab w:val="left" w:pos="720"/>
        </w:tabs>
        <w:rPr>
          <w:szCs w:val="16"/>
          <w:lang w:val="en-US"/>
        </w:rPr>
      </w:pPr>
      <w:r w:rsidRPr="001558A5">
        <w:rPr>
          <w:rStyle w:val="Refdenotaalpie"/>
          <w:szCs w:val="16"/>
          <w:lang w:val="en-US"/>
        </w:rPr>
        <w:footnoteRef/>
      </w:r>
      <w:r w:rsidR="00C5277E" w:rsidRPr="001558A5">
        <w:rPr>
          <w:szCs w:val="16"/>
          <w:lang w:val="en-US"/>
        </w:rPr>
        <w:t xml:space="preserve"> </w:t>
      </w:r>
      <w:r w:rsidR="00C5277E" w:rsidRPr="001558A5">
        <w:rPr>
          <w:szCs w:val="16"/>
          <w:lang w:val="en-US"/>
        </w:rPr>
        <w:tab/>
      </w:r>
      <w:r w:rsidR="00D11908" w:rsidRPr="001558A5">
        <w:rPr>
          <w:szCs w:val="16"/>
          <w:lang w:val="en-US"/>
        </w:rPr>
        <w:t>These were submitted by:</w:t>
      </w:r>
      <w:r w:rsidRPr="001558A5">
        <w:rPr>
          <w:szCs w:val="16"/>
          <w:lang w:val="en-US"/>
        </w:rPr>
        <w:t xml:space="preserve"> Marlene </w:t>
      </w:r>
      <w:proofErr w:type="spellStart"/>
      <w:r w:rsidRPr="001558A5">
        <w:rPr>
          <w:szCs w:val="16"/>
          <w:lang w:val="en-US"/>
        </w:rPr>
        <w:t>Wayar</w:t>
      </w:r>
      <w:proofErr w:type="spellEnd"/>
      <w:r w:rsidRPr="001558A5">
        <w:rPr>
          <w:szCs w:val="16"/>
          <w:lang w:val="en-US"/>
        </w:rPr>
        <w:t xml:space="preserve">, Claudia Dayanara </w:t>
      </w:r>
      <w:proofErr w:type="spellStart"/>
      <w:r w:rsidRPr="001558A5">
        <w:rPr>
          <w:szCs w:val="16"/>
          <w:lang w:val="en-US"/>
        </w:rPr>
        <w:t>Spellmant</w:t>
      </w:r>
      <w:proofErr w:type="spellEnd"/>
      <w:r w:rsidRPr="001558A5">
        <w:rPr>
          <w:szCs w:val="16"/>
          <w:lang w:val="en-US"/>
        </w:rPr>
        <w:t xml:space="preserve"> Sosa, </w:t>
      </w:r>
      <w:proofErr w:type="spellStart"/>
      <w:r w:rsidRPr="001558A5">
        <w:rPr>
          <w:szCs w:val="16"/>
          <w:lang w:val="en-US"/>
        </w:rPr>
        <w:t>Édgar</w:t>
      </w:r>
      <w:proofErr w:type="spellEnd"/>
      <w:r w:rsidRPr="001558A5">
        <w:rPr>
          <w:szCs w:val="16"/>
          <w:lang w:val="en-US"/>
        </w:rPr>
        <w:t xml:space="preserve"> Fernando Pérez </w:t>
      </w:r>
      <w:proofErr w:type="spellStart"/>
      <w:r w:rsidRPr="001558A5">
        <w:rPr>
          <w:szCs w:val="16"/>
          <w:lang w:val="en-US"/>
        </w:rPr>
        <w:t>Archila</w:t>
      </w:r>
      <w:proofErr w:type="spellEnd"/>
      <w:r w:rsidRPr="001558A5">
        <w:rPr>
          <w:szCs w:val="16"/>
          <w:lang w:val="en-US"/>
        </w:rPr>
        <w:t>,</w:t>
      </w:r>
      <w:r w:rsidRPr="001558A5">
        <w:rPr>
          <w:rFonts w:eastAsia="Calibri"/>
          <w:szCs w:val="16"/>
          <w:lang w:val="en-US" w:eastAsia="es-ES"/>
        </w:rPr>
        <w:t xml:space="preserve"> </w:t>
      </w:r>
      <w:proofErr w:type="spellStart"/>
      <w:r w:rsidRPr="001558A5">
        <w:rPr>
          <w:szCs w:val="16"/>
          <w:lang w:val="en-US"/>
        </w:rPr>
        <w:t>Merelin</w:t>
      </w:r>
      <w:proofErr w:type="spellEnd"/>
      <w:r w:rsidRPr="001558A5">
        <w:rPr>
          <w:szCs w:val="16"/>
          <w:lang w:val="en-US"/>
        </w:rPr>
        <w:t xml:space="preserve"> Tatiana </w:t>
      </w:r>
      <w:proofErr w:type="spellStart"/>
      <w:r w:rsidRPr="001558A5">
        <w:rPr>
          <w:szCs w:val="16"/>
          <w:lang w:val="en-US"/>
        </w:rPr>
        <w:t>Rápalo</w:t>
      </w:r>
      <w:proofErr w:type="spellEnd"/>
      <w:r w:rsidRPr="001558A5">
        <w:rPr>
          <w:szCs w:val="16"/>
          <w:lang w:val="en-US"/>
        </w:rPr>
        <w:t xml:space="preserve"> Hernández</w:t>
      </w:r>
      <w:r w:rsidR="00DD4354" w:rsidRPr="001558A5">
        <w:rPr>
          <w:szCs w:val="16"/>
          <w:lang w:val="en-US"/>
        </w:rPr>
        <w:t xml:space="preserve"> and </w:t>
      </w:r>
      <w:r w:rsidRPr="001558A5">
        <w:rPr>
          <w:szCs w:val="16"/>
          <w:lang w:val="en-US"/>
        </w:rPr>
        <w:t xml:space="preserve">Rosa </w:t>
      </w:r>
      <w:proofErr w:type="spellStart"/>
      <w:r w:rsidRPr="001558A5">
        <w:rPr>
          <w:szCs w:val="16"/>
          <w:lang w:val="en-US"/>
        </w:rPr>
        <w:t>Argelia</w:t>
      </w:r>
      <w:proofErr w:type="spellEnd"/>
      <w:r w:rsidRPr="001558A5">
        <w:rPr>
          <w:szCs w:val="16"/>
          <w:lang w:val="en-US"/>
        </w:rPr>
        <w:t xml:space="preserve"> Hernández </w:t>
      </w:r>
      <w:proofErr w:type="spellStart"/>
      <w:r w:rsidRPr="001558A5">
        <w:rPr>
          <w:szCs w:val="16"/>
          <w:lang w:val="en-US"/>
        </w:rPr>
        <w:t>Martínez</w:t>
      </w:r>
      <w:proofErr w:type="spellEnd"/>
      <w:r w:rsidRPr="001558A5">
        <w:rPr>
          <w:szCs w:val="16"/>
          <w:lang w:val="en-US"/>
        </w:rPr>
        <w:t xml:space="preserve">, </w:t>
      </w:r>
      <w:r w:rsidR="00D11908" w:rsidRPr="001558A5">
        <w:rPr>
          <w:szCs w:val="16"/>
          <w:lang w:val="en-US"/>
        </w:rPr>
        <w:t>proposed by</w:t>
      </w:r>
      <w:r w:rsidRPr="001558A5">
        <w:rPr>
          <w:szCs w:val="16"/>
          <w:lang w:val="en-US"/>
        </w:rPr>
        <w:t xml:space="preserve"> </w:t>
      </w:r>
      <w:r w:rsidR="00DD4354" w:rsidRPr="001558A5">
        <w:rPr>
          <w:szCs w:val="16"/>
          <w:lang w:val="en-US"/>
        </w:rPr>
        <w:t>the representatives</w:t>
      </w:r>
      <w:r w:rsidRPr="001558A5">
        <w:rPr>
          <w:szCs w:val="16"/>
          <w:lang w:val="en-US"/>
        </w:rPr>
        <w:t>,</w:t>
      </w:r>
      <w:r w:rsidR="00DD4354" w:rsidRPr="001558A5">
        <w:rPr>
          <w:szCs w:val="16"/>
          <w:lang w:val="en-US"/>
        </w:rPr>
        <w:t xml:space="preserve"> and </w:t>
      </w:r>
      <w:r w:rsidRPr="001558A5">
        <w:rPr>
          <w:szCs w:val="16"/>
          <w:lang w:val="en-US"/>
        </w:rPr>
        <w:t xml:space="preserve">Carlos J. </w:t>
      </w:r>
      <w:proofErr w:type="spellStart"/>
      <w:r w:rsidRPr="001558A5">
        <w:rPr>
          <w:szCs w:val="16"/>
          <w:lang w:val="en-US"/>
        </w:rPr>
        <w:t>Zelada</w:t>
      </w:r>
      <w:proofErr w:type="spellEnd"/>
      <w:r w:rsidRPr="001558A5">
        <w:rPr>
          <w:szCs w:val="16"/>
          <w:lang w:val="en-US"/>
        </w:rPr>
        <w:t xml:space="preserve">, </w:t>
      </w:r>
      <w:r w:rsidR="00D11908" w:rsidRPr="001558A5">
        <w:rPr>
          <w:szCs w:val="16"/>
          <w:lang w:val="en-US"/>
        </w:rPr>
        <w:t>proposed by</w:t>
      </w:r>
      <w:r w:rsidRPr="001558A5">
        <w:rPr>
          <w:szCs w:val="16"/>
          <w:lang w:val="en-US"/>
        </w:rPr>
        <w:t xml:space="preserve"> </w:t>
      </w:r>
      <w:r w:rsidR="00871E19" w:rsidRPr="001558A5">
        <w:rPr>
          <w:szCs w:val="16"/>
          <w:lang w:val="en-US"/>
        </w:rPr>
        <w:t>the Commission</w:t>
      </w:r>
      <w:r w:rsidRPr="001558A5">
        <w:rPr>
          <w:szCs w:val="16"/>
          <w:lang w:val="en-US"/>
        </w:rPr>
        <w:t xml:space="preserve">. </w:t>
      </w:r>
      <w:r w:rsidR="00D11908" w:rsidRPr="001558A5">
        <w:rPr>
          <w:szCs w:val="16"/>
          <w:lang w:val="en-US"/>
        </w:rPr>
        <w:t xml:space="preserve">The purposes of the statements was established in the </w:t>
      </w:r>
      <w:r w:rsidR="00871E19" w:rsidRPr="001558A5">
        <w:rPr>
          <w:szCs w:val="16"/>
          <w:lang w:val="en-US"/>
        </w:rPr>
        <w:t>President</w:t>
      </w:r>
      <w:r w:rsidR="00DD4354" w:rsidRPr="001558A5">
        <w:rPr>
          <w:szCs w:val="16"/>
          <w:lang w:val="en-US"/>
        </w:rPr>
        <w:t xml:space="preserve"> of the </w:t>
      </w:r>
      <w:r w:rsidR="00871E19" w:rsidRPr="001558A5">
        <w:rPr>
          <w:szCs w:val="16"/>
          <w:lang w:val="en-US"/>
        </w:rPr>
        <w:t>Court</w:t>
      </w:r>
      <w:r w:rsidR="00F51804" w:rsidRPr="001558A5">
        <w:rPr>
          <w:szCs w:val="16"/>
          <w:lang w:val="en-US"/>
        </w:rPr>
        <w:t>’s order</w:t>
      </w:r>
      <w:r w:rsidRPr="001558A5">
        <w:rPr>
          <w:szCs w:val="16"/>
          <w:lang w:val="en-US"/>
        </w:rPr>
        <w:t xml:space="preserve"> </w:t>
      </w:r>
      <w:r w:rsidR="00D11908" w:rsidRPr="001558A5">
        <w:rPr>
          <w:szCs w:val="16"/>
          <w:lang w:val="en-US"/>
        </w:rPr>
        <w:t>of September 1,</w:t>
      </w:r>
      <w:r w:rsidRPr="001558A5">
        <w:rPr>
          <w:szCs w:val="16"/>
          <w:lang w:val="en-US"/>
        </w:rPr>
        <w:t xml:space="preserve"> 2020.</w:t>
      </w:r>
    </w:p>
  </w:footnote>
  <w:footnote w:id="36">
    <w:p w14:paraId="2B0F6F79" w14:textId="345C2C8C" w:rsidR="005977F6" w:rsidRPr="001558A5" w:rsidRDefault="005977F6" w:rsidP="000B2BB5">
      <w:pPr>
        <w:pStyle w:val="Textonotapie"/>
        <w:tabs>
          <w:tab w:val="left" w:pos="360"/>
        </w:tabs>
        <w:rPr>
          <w:szCs w:val="16"/>
          <w:lang w:val="en-US"/>
        </w:rPr>
      </w:pPr>
      <w:r w:rsidRPr="001558A5">
        <w:rPr>
          <w:rStyle w:val="Refdenotaalpie"/>
          <w:lang w:val="en-US"/>
        </w:rPr>
        <w:footnoteRef/>
      </w:r>
      <w:r w:rsidRPr="001558A5">
        <w:rPr>
          <w:lang w:val="en-US"/>
        </w:rPr>
        <w:t xml:space="preserve"> </w:t>
      </w:r>
      <w:r w:rsidRPr="001558A5">
        <w:rPr>
          <w:lang w:val="en-US"/>
        </w:rPr>
        <w:tab/>
      </w:r>
      <w:r w:rsidR="00D11908" w:rsidRPr="001558A5">
        <w:rPr>
          <w:szCs w:val="16"/>
          <w:lang w:val="en-US"/>
        </w:rPr>
        <w:t>These documents are</w:t>
      </w:r>
      <w:r w:rsidRPr="001558A5">
        <w:rPr>
          <w:szCs w:val="16"/>
          <w:lang w:val="en-US"/>
        </w:rPr>
        <w:t xml:space="preserve">: </w:t>
      </w:r>
      <w:r w:rsidR="00D11908" w:rsidRPr="001558A5">
        <w:rPr>
          <w:szCs w:val="16"/>
          <w:lang w:val="en-US"/>
        </w:rPr>
        <w:t xml:space="preserve">vouchers for visit to </w:t>
      </w:r>
      <w:r w:rsidRPr="001558A5">
        <w:rPr>
          <w:szCs w:val="16"/>
          <w:lang w:val="en-US"/>
        </w:rPr>
        <w:t xml:space="preserve">San Pedro Sula </w:t>
      </w:r>
      <w:r w:rsidR="00D11908" w:rsidRPr="001558A5">
        <w:rPr>
          <w:szCs w:val="16"/>
          <w:lang w:val="en-US"/>
        </w:rPr>
        <w:t>from September 30</w:t>
      </w:r>
      <w:r w:rsidRPr="001558A5">
        <w:rPr>
          <w:szCs w:val="16"/>
          <w:lang w:val="en-US"/>
        </w:rPr>
        <w:t xml:space="preserve"> </w:t>
      </w:r>
      <w:r w:rsidR="00D11908" w:rsidRPr="001558A5">
        <w:rPr>
          <w:szCs w:val="16"/>
          <w:lang w:val="en-US"/>
        </w:rPr>
        <w:t>to October 2,</w:t>
      </w:r>
      <w:r w:rsidRPr="001558A5">
        <w:rPr>
          <w:szCs w:val="16"/>
          <w:lang w:val="en-US"/>
        </w:rPr>
        <w:t xml:space="preserve"> 2020; </w:t>
      </w:r>
      <w:r w:rsidR="00D11908" w:rsidRPr="001558A5">
        <w:rPr>
          <w:szCs w:val="16"/>
          <w:lang w:val="en-US"/>
        </w:rPr>
        <w:t>vouchers for visit to</w:t>
      </w:r>
      <w:r w:rsidRPr="001558A5">
        <w:rPr>
          <w:szCs w:val="16"/>
          <w:lang w:val="en-US"/>
        </w:rPr>
        <w:t xml:space="preserve"> Tegucigalpa </w:t>
      </w:r>
      <w:r w:rsidR="00D11908" w:rsidRPr="001558A5">
        <w:rPr>
          <w:szCs w:val="16"/>
          <w:lang w:val="en-US"/>
        </w:rPr>
        <w:t>from November 10 to 12,</w:t>
      </w:r>
      <w:r w:rsidRPr="001558A5">
        <w:rPr>
          <w:szCs w:val="16"/>
          <w:lang w:val="en-US"/>
        </w:rPr>
        <w:t xml:space="preserve"> 2020; </w:t>
      </w:r>
      <w:r w:rsidR="00D11908" w:rsidRPr="001558A5">
        <w:rPr>
          <w:szCs w:val="16"/>
          <w:lang w:val="en-US"/>
        </w:rPr>
        <w:t>vouchers for payment to psychologist; voucher for technological equipment to take part in the hearing, and voucher for notarial fees for affidavits.</w:t>
      </w:r>
    </w:p>
  </w:footnote>
  <w:footnote w:id="37">
    <w:p w14:paraId="245EABD9" w14:textId="4480F055" w:rsidR="005977F6" w:rsidRPr="001558A5" w:rsidRDefault="005977F6"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iCs/>
          <w:szCs w:val="16"/>
          <w:lang w:val="en-US"/>
        </w:rPr>
        <w:t>Cf.</w:t>
      </w:r>
      <w:r w:rsidRPr="001558A5">
        <w:rPr>
          <w:i/>
          <w:iCs/>
          <w:szCs w:val="16"/>
          <w:lang w:val="en-US"/>
        </w:rPr>
        <w:t xml:space="preserve"> </w:t>
      </w:r>
      <w:r w:rsidR="00D11908" w:rsidRPr="001558A5">
        <w:rPr>
          <w:szCs w:val="16"/>
          <w:lang w:val="en-US"/>
        </w:rPr>
        <w:t>Communication</w:t>
      </w:r>
      <w:r w:rsidRPr="001558A5">
        <w:rPr>
          <w:szCs w:val="16"/>
          <w:lang w:val="en-US"/>
        </w:rPr>
        <w:t xml:space="preserve"> DGF N. 452-2020 </w:t>
      </w:r>
      <w:r w:rsidR="00D11908" w:rsidRPr="001558A5">
        <w:rPr>
          <w:szCs w:val="16"/>
          <w:lang w:val="en-US"/>
        </w:rPr>
        <w:t>of September 28,</w:t>
      </w:r>
      <w:r w:rsidRPr="001558A5">
        <w:rPr>
          <w:szCs w:val="16"/>
          <w:lang w:val="en-US"/>
        </w:rPr>
        <w:t xml:space="preserve"> 2020</w:t>
      </w:r>
      <w:r w:rsidR="00D11908" w:rsidRPr="001558A5">
        <w:rPr>
          <w:szCs w:val="16"/>
          <w:lang w:val="en-US"/>
        </w:rPr>
        <w:t>,</w:t>
      </w:r>
      <w:r w:rsidR="00DD4354" w:rsidRPr="001558A5">
        <w:rPr>
          <w:szCs w:val="16"/>
          <w:lang w:val="en-US"/>
        </w:rPr>
        <w:t xml:space="preserve"> and </w:t>
      </w:r>
      <w:r w:rsidR="00D11908" w:rsidRPr="001558A5">
        <w:rPr>
          <w:szCs w:val="16"/>
          <w:lang w:val="en-US"/>
        </w:rPr>
        <w:t>Communication</w:t>
      </w:r>
      <w:r w:rsidRPr="001558A5">
        <w:rPr>
          <w:szCs w:val="16"/>
          <w:lang w:val="en-US"/>
        </w:rPr>
        <w:t xml:space="preserve"> DGF N. 496-2020 </w:t>
      </w:r>
      <w:r w:rsidR="00D11908" w:rsidRPr="001558A5">
        <w:rPr>
          <w:szCs w:val="16"/>
          <w:lang w:val="en-US"/>
        </w:rPr>
        <w:t xml:space="preserve">of October 5, </w:t>
      </w:r>
      <w:r w:rsidRPr="001558A5">
        <w:rPr>
          <w:szCs w:val="16"/>
          <w:lang w:val="en-US"/>
        </w:rPr>
        <w:t xml:space="preserve">2020, </w:t>
      </w:r>
      <w:r w:rsidR="00D11908" w:rsidRPr="001558A5">
        <w:rPr>
          <w:szCs w:val="16"/>
          <w:lang w:val="en-US"/>
        </w:rPr>
        <w:t xml:space="preserve">General </w:t>
      </w:r>
      <w:proofErr w:type="spellStart"/>
      <w:r w:rsidR="00D11908" w:rsidRPr="001558A5">
        <w:rPr>
          <w:szCs w:val="16"/>
          <w:lang w:val="en-US"/>
        </w:rPr>
        <w:t>Subdirectorate</w:t>
      </w:r>
      <w:proofErr w:type="spellEnd"/>
      <w:r w:rsidR="00C5277E" w:rsidRPr="001558A5">
        <w:rPr>
          <w:szCs w:val="16"/>
          <w:lang w:val="en-US"/>
        </w:rPr>
        <w:t xml:space="preserve"> for Prosecutions</w:t>
      </w:r>
      <w:r w:rsidR="00D11908" w:rsidRPr="001558A5">
        <w:rPr>
          <w:szCs w:val="16"/>
          <w:lang w:val="en-US"/>
        </w:rPr>
        <w:t xml:space="preserve"> </w:t>
      </w:r>
      <w:r w:rsidRPr="001558A5">
        <w:rPr>
          <w:szCs w:val="16"/>
          <w:lang w:val="en-US"/>
        </w:rPr>
        <w:t>(</w:t>
      </w:r>
      <w:r w:rsidR="00D11908" w:rsidRPr="001558A5">
        <w:rPr>
          <w:szCs w:val="16"/>
          <w:lang w:val="en-US"/>
        </w:rPr>
        <w:t>evidence file</w:t>
      </w:r>
      <w:r w:rsidRPr="001558A5">
        <w:rPr>
          <w:szCs w:val="16"/>
          <w:lang w:val="en-US"/>
        </w:rPr>
        <w:t xml:space="preserve">, folios 1601 </w:t>
      </w:r>
      <w:r w:rsidR="00D11908" w:rsidRPr="001558A5">
        <w:rPr>
          <w:szCs w:val="16"/>
          <w:lang w:val="en-US"/>
        </w:rPr>
        <w:t>to</w:t>
      </w:r>
      <w:r w:rsidRPr="001558A5">
        <w:rPr>
          <w:szCs w:val="16"/>
          <w:lang w:val="en-US"/>
        </w:rPr>
        <w:t xml:space="preserve"> 1609).</w:t>
      </w:r>
    </w:p>
  </w:footnote>
  <w:footnote w:id="38">
    <w:p w14:paraId="5EF3792D" w14:textId="1D4C842C" w:rsidR="005977F6" w:rsidRPr="001558A5" w:rsidRDefault="005977F6"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D11908" w:rsidRPr="001558A5">
        <w:rPr>
          <w:szCs w:val="16"/>
          <w:lang w:val="en-US"/>
        </w:rPr>
        <w:t>These documents are</w:t>
      </w:r>
      <w:r w:rsidRPr="001558A5">
        <w:rPr>
          <w:szCs w:val="16"/>
          <w:lang w:val="en-US"/>
        </w:rPr>
        <w:t xml:space="preserve">: </w:t>
      </w:r>
      <w:r w:rsidR="00D11908" w:rsidRPr="001558A5">
        <w:rPr>
          <w:szCs w:val="16"/>
          <w:lang w:val="en-US"/>
        </w:rPr>
        <w:t>(</w:t>
      </w:r>
      <w:r w:rsidRPr="001558A5">
        <w:rPr>
          <w:szCs w:val="16"/>
          <w:lang w:val="en-US"/>
        </w:rPr>
        <w:t>a) prop</w:t>
      </w:r>
      <w:r w:rsidR="00017129" w:rsidRPr="001558A5">
        <w:rPr>
          <w:szCs w:val="16"/>
          <w:lang w:val="en-US"/>
        </w:rPr>
        <w:t xml:space="preserve">osed constitutional amendment regarding the prohibition of abortion; (b) opinion on the draft decree amending article 67 of the Honduran Constitution; (c) request of </w:t>
      </w:r>
      <w:proofErr w:type="spellStart"/>
      <w:r w:rsidR="00017129" w:rsidRPr="001558A5">
        <w:rPr>
          <w:szCs w:val="16"/>
          <w:lang w:val="en-US"/>
        </w:rPr>
        <w:t>Cattrachas</w:t>
      </w:r>
      <w:proofErr w:type="spellEnd"/>
      <w:r w:rsidR="00017129" w:rsidRPr="001558A5">
        <w:rPr>
          <w:szCs w:val="16"/>
          <w:lang w:val="en-US"/>
        </w:rPr>
        <w:t xml:space="preserve"> to the Human Rights Secretariat; (d) opinion sent by the said Human Rights Secretariat to the National Congress, and (e) Decree </w:t>
      </w:r>
      <w:r w:rsidRPr="001558A5">
        <w:rPr>
          <w:szCs w:val="16"/>
          <w:lang w:val="en-US"/>
        </w:rPr>
        <w:t xml:space="preserve">192/2020 </w:t>
      </w:r>
      <w:r w:rsidR="00017129" w:rsidRPr="001558A5">
        <w:rPr>
          <w:szCs w:val="16"/>
          <w:lang w:val="en-US"/>
        </w:rPr>
        <w:t xml:space="preserve">which includes this amendment and which is on the agenda for constitutional ratification by the incoming legislature. </w:t>
      </w:r>
      <w:r w:rsidR="00871E19" w:rsidRPr="001558A5">
        <w:rPr>
          <w:i/>
          <w:szCs w:val="16"/>
          <w:lang w:val="en-US"/>
        </w:rPr>
        <w:t>Cf.</w:t>
      </w:r>
      <w:r w:rsidRPr="001558A5">
        <w:rPr>
          <w:szCs w:val="16"/>
          <w:lang w:val="en-US"/>
        </w:rPr>
        <w:t xml:space="preserve"> </w:t>
      </w:r>
      <w:r w:rsidR="00D11908" w:rsidRPr="001558A5">
        <w:rPr>
          <w:szCs w:val="16"/>
          <w:lang w:val="en-US"/>
        </w:rPr>
        <w:t>Evidence file</w:t>
      </w:r>
      <w:r w:rsidRPr="001558A5">
        <w:rPr>
          <w:szCs w:val="16"/>
          <w:lang w:val="en-US"/>
        </w:rPr>
        <w:t xml:space="preserve"> (folios 1610 </w:t>
      </w:r>
      <w:r w:rsidR="00017129" w:rsidRPr="001558A5">
        <w:rPr>
          <w:szCs w:val="16"/>
          <w:lang w:val="en-US"/>
        </w:rPr>
        <w:t>to</w:t>
      </w:r>
      <w:r w:rsidRPr="001558A5">
        <w:rPr>
          <w:szCs w:val="16"/>
          <w:lang w:val="en-US"/>
        </w:rPr>
        <w:t xml:space="preserve"> 1629).</w:t>
      </w:r>
    </w:p>
  </w:footnote>
  <w:footnote w:id="39">
    <w:p w14:paraId="24882A1B" w14:textId="0C488A3B"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443040" w:rsidRPr="001558A5">
        <w:rPr>
          <w:lang w:val="en-US"/>
        </w:rPr>
        <w:t xml:space="preserve">The </w:t>
      </w:r>
      <w:r w:rsidR="00DD4354" w:rsidRPr="001558A5">
        <w:rPr>
          <w:lang w:val="en-US"/>
        </w:rPr>
        <w:t>State</w:t>
      </w:r>
      <w:r w:rsidRPr="001558A5">
        <w:rPr>
          <w:lang w:val="en-US"/>
        </w:rPr>
        <w:t xml:space="preserve"> </w:t>
      </w:r>
      <w:r w:rsidR="00921733" w:rsidRPr="001558A5">
        <w:rPr>
          <w:lang w:val="en-US"/>
        </w:rPr>
        <w:t>provided</w:t>
      </w:r>
      <w:r w:rsidRPr="001558A5">
        <w:rPr>
          <w:lang w:val="en-US"/>
        </w:rPr>
        <w:t xml:space="preserve">: </w:t>
      </w:r>
      <w:r w:rsidR="00443040" w:rsidRPr="001558A5">
        <w:rPr>
          <w:lang w:val="en-US"/>
        </w:rPr>
        <w:t>(</w:t>
      </w:r>
      <w:r w:rsidRPr="001558A5">
        <w:rPr>
          <w:lang w:val="en-US"/>
        </w:rPr>
        <w:t xml:space="preserve">a) </w:t>
      </w:r>
      <w:r w:rsidR="00443040" w:rsidRPr="001558A5">
        <w:rPr>
          <w:lang w:val="en-US"/>
        </w:rPr>
        <w:t xml:space="preserve">an Excel table with data on homicides in </w:t>
      </w:r>
      <w:r w:rsidRPr="001558A5">
        <w:rPr>
          <w:lang w:val="en-US"/>
        </w:rPr>
        <w:t xml:space="preserve">San Pedro Sula </w:t>
      </w:r>
      <w:r w:rsidR="00443040" w:rsidRPr="001558A5">
        <w:rPr>
          <w:lang w:val="en-US"/>
        </w:rPr>
        <w:t xml:space="preserve">between June 25 and August 31, </w:t>
      </w:r>
      <w:r w:rsidRPr="001558A5">
        <w:rPr>
          <w:lang w:val="en-US"/>
        </w:rPr>
        <w:t>2009</w:t>
      </w:r>
      <w:r w:rsidR="00443040" w:rsidRPr="001558A5">
        <w:rPr>
          <w:lang w:val="en-US"/>
        </w:rPr>
        <w:t>;</w:t>
      </w:r>
      <w:r w:rsidRPr="001558A5">
        <w:rPr>
          <w:lang w:val="en-US"/>
        </w:rPr>
        <w:t xml:space="preserve"> </w:t>
      </w:r>
      <w:r w:rsidR="00443040" w:rsidRPr="001558A5">
        <w:rPr>
          <w:lang w:val="en-US"/>
        </w:rPr>
        <w:t>(</w:t>
      </w:r>
      <w:r w:rsidRPr="001558A5">
        <w:rPr>
          <w:lang w:val="en-US"/>
        </w:rPr>
        <w:t xml:space="preserve">b) </w:t>
      </w:r>
      <w:r w:rsidR="00D11908" w:rsidRPr="001558A5">
        <w:rPr>
          <w:lang w:val="en-US"/>
        </w:rPr>
        <w:t>Communication</w:t>
      </w:r>
      <w:r w:rsidRPr="001558A5">
        <w:rPr>
          <w:lang w:val="en-US"/>
        </w:rPr>
        <w:t xml:space="preserve"> 013-2021-IUDPAS</w:t>
      </w:r>
      <w:r w:rsidR="00443040" w:rsidRPr="001558A5">
        <w:rPr>
          <w:lang w:val="en-US"/>
        </w:rPr>
        <w:t xml:space="preserve"> of the</w:t>
      </w:r>
      <w:r w:rsidRPr="001558A5">
        <w:rPr>
          <w:lang w:val="en-US"/>
        </w:rPr>
        <w:t xml:space="preserve"> </w:t>
      </w:r>
      <w:proofErr w:type="spellStart"/>
      <w:r w:rsidRPr="001558A5">
        <w:rPr>
          <w:lang w:val="en-US"/>
        </w:rPr>
        <w:t>Instituto</w:t>
      </w:r>
      <w:proofErr w:type="spellEnd"/>
      <w:r w:rsidRPr="001558A5">
        <w:rPr>
          <w:lang w:val="en-US"/>
        </w:rPr>
        <w:t xml:space="preserve"> </w:t>
      </w:r>
      <w:proofErr w:type="spellStart"/>
      <w:r w:rsidRPr="001558A5">
        <w:rPr>
          <w:lang w:val="en-US"/>
        </w:rPr>
        <w:t>Universitario</w:t>
      </w:r>
      <w:proofErr w:type="spellEnd"/>
      <w:r w:rsidRPr="001558A5">
        <w:rPr>
          <w:lang w:val="en-US"/>
        </w:rPr>
        <w:t xml:space="preserve"> </w:t>
      </w:r>
      <w:proofErr w:type="spellStart"/>
      <w:r w:rsidRPr="001558A5">
        <w:rPr>
          <w:lang w:val="en-US"/>
        </w:rPr>
        <w:t>en</w:t>
      </w:r>
      <w:proofErr w:type="spellEnd"/>
      <w:r w:rsidRPr="001558A5">
        <w:rPr>
          <w:lang w:val="en-US"/>
        </w:rPr>
        <w:t xml:space="preserve"> </w:t>
      </w:r>
      <w:proofErr w:type="spellStart"/>
      <w:r w:rsidRPr="001558A5">
        <w:rPr>
          <w:lang w:val="en-US"/>
        </w:rPr>
        <w:t>Democracia</w:t>
      </w:r>
      <w:proofErr w:type="spellEnd"/>
      <w:r w:rsidRPr="001558A5">
        <w:rPr>
          <w:lang w:val="en-US"/>
        </w:rPr>
        <w:t>, Paz</w:t>
      </w:r>
      <w:r w:rsidR="00DD4354" w:rsidRPr="001558A5">
        <w:rPr>
          <w:lang w:val="en-US"/>
        </w:rPr>
        <w:t xml:space="preserve"> </w:t>
      </w:r>
      <w:r w:rsidR="00D54DC1" w:rsidRPr="001558A5">
        <w:rPr>
          <w:lang w:val="en-US"/>
        </w:rPr>
        <w:t>y</w:t>
      </w:r>
      <w:r w:rsidR="00DD4354" w:rsidRPr="001558A5">
        <w:rPr>
          <w:lang w:val="en-US"/>
        </w:rPr>
        <w:t xml:space="preserve"> </w:t>
      </w:r>
      <w:proofErr w:type="spellStart"/>
      <w:r w:rsidRPr="001558A5">
        <w:rPr>
          <w:lang w:val="en-US"/>
        </w:rPr>
        <w:t>Seguridad</w:t>
      </w:r>
      <w:proofErr w:type="spellEnd"/>
      <w:r w:rsidRPr="001558A5">
        <w:rPr>
          <w:lang w:val="en-US"/>
        </w:rPr>
        <w:t xml:space="preserve"> (IUDPAS),</w:t>
      </w:r>
      <w:r w:rsidR="00DD4354" w:rsidRPr="001558A5">
        <w:rPr>
          <w:lang w:val="en-US"/>
        </w:rPr>
        <w:t xml:space="preserve"> and </w:t>
      </w:r>
      <w:r w:rsidR="00443040" w:rsidRPr="001558A5">
        <w:rPr>
          <w:lang w:val="en-US"/>
        </w:rPr>
        <w:t>(</w:t>
      </w:r>
      <w:r w:rsidRPr="001558A5">
        <w:rPr>
          <w:lang w:val="en-US"/>
        </w:rPr>
        <w:t xml:space="preserve">c) </w:t>
      </w:r>
      <w:r w:rsidR="00D11908" w:rsidRPr="001558A5">
        <w:rPr>
          <w:lang w:val="en-US"/>
        </w:rPr>
        <w:t>Communication</w:t>
      </w:r>
      <w:r w:rsidRPr="001558A5">
        <w:rPr>
          <w:lang w:val="en-US"/>
        </w:rPr>
        <w:t xml:space="preserve">-262-2021 </w:t>
      </w:r>
      <w:r w:rsidR="00443040" w:rsidRPr="001558A5">
        <w:rPr>
          <w:lang w:val="en-US"/>
        </w:rPr>
        <w:t xml:space="preserve">of the </w:t>
      </w:r>
      <w:r w:rsidR="00120416" w:rsidRPr="001558A5">
        <w:rPr>
          <w:lang w:val="en-US"/>
        </w:rPr>
        <w:t>Ministry of Security</w:t>
      </w:r>
      <w:r w:rsidRPr="001558A5">
        <w:rPr>
          <w:lang w:val="en-US"/>
        </w:rPr>
        <w:t xml:space="preserve">. </w:t>
      </w:r>
      <w:r w:rsidR="00871E19" w:rsidRPr="001558A5">
        <w:rPr>
          <w:i/>
          <w:szCs w:val="16"/>
          <w:lang w:val="en-US"/>
        </w:rPr>
        <w:t>Cf.</w:t>
      </w:r>
      <w:r w:rsidRPr="001558A5">
        <w:rPr>
          <w:szCs w:val="16"/>
          <w:lang w:val="en-US"/>
        </w:rPr>
        <w:t xml:space="preserve"> </w:t>
      </w:r>
      <w:r w:rsidR="00D11908" w:rsidRPr="001558A5">
        <w:rPr>
          <w:szCs w:val="16"/>
          <w:lang w:val="en-US"/>
        </w:rPr>
        <w:t>Evidence file</w:t>
      </w:r>
      <w:r w:rsidRPr="001558A5">
        <w:rPr>
          <w:szCs w:val="16"/>
          <w:lang w:val="en-US"/>
        </w:rPr>
        <w:t xml:space="preserve"> (folios 1630 </w:t>
      </w:r>
      <w:r w:rsidR="00443040" w:rsidRPr="001558A5">
        <w:rPr>
          <w:szCs w:val="16"/>
          <w:lang w:val="en-US"/>
        </w:rPr>
        <w:t>to</w:t>
      </w:r>
      <w:r w:rsidRPr="001558A5">
        <w:rPr>
          <w:szCs w:val="16"/>
          <w:lang w:val="en-US"/>
        </w:rPr>
        <w:t xml:space="preserve"> 1651).</w:t>
      </w:r>
    </w:p>
  </w:footnote>
  <w:footnote w:id="40">
    <w:p w14:paraId="7198E1C9" w14:textId="3CB09412" w:rsidR="005977F6" w:rsidRPr="001558A5" w:rsidRDefault="005977F6" w:rsidP="000B2BB5">
      <w:pPr>
        <w:pStyle w:val="Textonotapie"/>
        <w:tabs>
          <w:tab w:val="left" w:pos="360"/>
        </w:tabs>
        <w:spacing w:before="60" w:after="60"/>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szCs w:val="16"/>
          <w:lang w:val="en-US"/>
        </w:rPr>
        <w:t>Cf.</w:t>
      </w:r>
      <w:r w:rsidRPr="001558A5">
        <w:rPr>
          <w:i/>
          <w:szCs w:val="16"/>
          <w:lang w:val="en-US"/>
        </w:rPr>
        <w:t xml:space="preserve"> </w:t>
      </w:r>
      <w:r w:rsidR="00871E19" w:rsidRPr="001558A5">
        <w:rPr>
          <w:i/>
          <w:szCs w:val="16"/>
          <w:lang w:val="en-US"/>
        </w:rPr>
        <w:t>Case of</w:t>
      </w:r>
      <w:r w:rsidR="00443040" w:rsidRPr="001558A5">
        <w:rPr>
          <w:i/>
          <w:szCs w:val="16"/>
          <w:lang w:val="en-US"/>
        </w:rPr>
        <w:t xml:space="preserve"> the</w:t>
      </w:r>
      <w:r w:rsidRPr="001558A5">
        <w:rPr>
          <w:i/>
          <w:szCs w:val="16"/>
          <w:lang w:val="en-US"/>
        </w:rPr>
        <w:t xml:space="preserve"> “</w:t>
      </w:r>
      <w:r w:rsidR="00443040" w:rsidRPr="001558A5">
        <w:rPr>
          <w:i/>
          <w:szCs w:val="16"/>
          <w:lang w:val="en-US"/>
        </w:rPr>
        <w:t>Five Pensioners</w:t>
      </w:r>
      <w:r w:rsidRPr="001558A5">
        <w:rPr>
          <w:i/>
          <w:szCs w:val="16"/>
          <w:lang w:val="en-US"/>
        </w:rPr>
        <w:t xml:space="preserve">” </w:t>
      </w:r>
      <w:r w:rsidR="00871E19" w:rsidRPr="001558A5">
        <w:rPr>
          <w:i/>
          <w:szCs w:val="16"/>
          <w:lang w:val="en-US"/>
        </w:rPr>
        <w:t>v.</w:t>
      </w:r>
      <w:r w:rsidRPr="001558A5">
        <w:rPr>
          <w:i/>
          <w:szCs w:val="16"/>
          <w:lang w:val="en-US"/>
        </w:rPr>
        <w:t xml:space="preserve"> </w:t>
      </w:r>
      <w:r w:rsidR="00D11908" w:rsidRPr="001558A5">
        <w:rPr>
          <w:i/>
          <w:szCs w:val="16"/>
          <w:lang w:val="en-US"/>
        </w:rPr>
        <w:t>Peru</w:t>
      </w:r>
      <w:r w:rsidRPr="001558A5">
        <w:rPr>
          <w:i/>
          <w:szCs w:val="16"/>
          <w:lang w:val="en-US"/>
        </w:rPr>
        <w:t xml:space="preserve">. </w:t>
      </w:r>
      <w:r w:rsidR="00B43A52" w:rsidRPr="001558A5">
        <w:rPr>
          <w:i/>
          <w:szCs w:val="16"/>
          <w:lang w:val="en-US"/>
        </w:rPr>
        <w:t>Merits, reparations and costs</w:t>
      </w:r>
      <w:r w:rsidRPr="001558A5">
        <w:rPr>
          <w:szCs w:val="16"/>
          <w:lang w:val="en-US"/>
        </w:rPr>
        <w:t xml:space="preserve">. </w:t>
      </w:r>
      <w:r w:rsidR="00871E19" w:rsidRPr="001558A5">
        <w:rPr>
          <w:szCs w:val="16"/>
          <w:lang w:val="en-US"/>
        </w:rPr>
        <w:t>Judgment of</w:t>
      </w:r>
      <w:r w:rsidRPr="001558A5">
        <w:rPr>
          <w:szCs w:val="16"/>
          <w:lang w:val="en-US"/>
        </w:rPr>
        <w:t xml:space="preserve"> </w:t>
      </w:r>
      <w:r w:rsidR="00443040" w:rsidRPr="001558A5">
        <w:rPr>
          <w:szCs w:val="16"/>
          <w:lang w:val="en-US"/>
        </w:rPr>
        <w:t>February 28,</w:t>
      </w:r>
      <w:r w:rsidRPr="001558A5">
        <w:rPr>
          <w:szCs w:val="16"/>
          <w:lang w:val="en-US"/>
        </w:rPr>
        <w:t xml:space="preserve"> 2003. </w:t>
      </w:r>
      <w:r w:rsidR="00B43A52" w:rsidRPr="001558A5">
        <w:rPr>
          <w:szCs w:val="16"/>
          <w:lang w:val="en-US"/>
        </w:rPr>
        <w:t xml:space="preserve">Series </w:t>
      </w:r>
      <w:r w:rsidRPr="001558A5">
        <w:rPr>
          <w:szCs w:val="16"/>
          <w:lang w:val="en-US"/>
        </w:rPr>
        <w:t xml:space="preserve">C No. 98, </w:t>
      </w:r>
      <w:r w:rsidR="00B43A52" w:rsidRPr="001558A5">
        <w:rPr>
          <w:szCs w:val="16"/>
          <w:lang w:val="en-US"/>
        </w:rPr>
        <w:t>para.</w:t>
      </w:r>
      <w:r w:rsidRPr="001558A5">
        <w:rPr>
          <w:szCs w:val="16"/>
          <w:lang w:val="en-US"/>
        </w:rPr>
        <w:t xml:space="preserve"> 153,</w:t>
      </w:r>
      <w:r w:rsidR="00DD4354" w:rsidRPr="001558A5">
        <w:rPr>
          <w:szCs w:val="16"/>
          <w:lang w:val="en-US"/>
        </w:rPr>
        <w:t xml:space="preserve"> and </w:t>
      </w:r>
      <w:r w:rsidR="00871E19" w:rsidRPr="001558A5">
        <w:rPr>
          <w:i/>
          <w:lang w:val="en-US"/>
        </w:rPr>
        <w:t>Case of</w:t>
      </w:r>
      <w:r w:rsidRPr="001558A5">
        <w:rPr>
          <w:i/>
          <w:lang w:val="en-US"/>
        </w:rPr>
        <w:t xml:space="preserve"> </w:t>
      </w:r>
      <w:proofErr w:type="spellStart"/>
      <w:r w:rsidRPr="001558A5">
        <w:rPr>
          <w:i/>
          <w:lang w:val="en-US"/>
        </w:rPr>
        <w:t>Noguera</w:t>
      </w:r>
      <w:proofErr w:type="spellEnd"/>
      <w:r w:rsidR="00DD4354" w:rsidRPr="001558A5">
        <w:rPr>
          <w:i/>
          <w:lang w:val="en-US"/>
        </w:rPr>
        <w:t xml:space="preserve"> </w:t>
      </w:r>
      <w:r w:rsidR="004F4F9C" w:rsidRPr="001558A5">
        <w:rPr>
          <w:i/>
          <w:lang w:val="en-US"/>
        </w:rPr>
        <w:t>et al. v.</w:t>
      </w:r>
      <w:r w:rsidRPr="001558A5">
        <w:rPr>
          <w:i/>
          <w:lang w:val="en-US"/>
        </w:rPr>
        <w:t xml:space="preserve"> Paraguay. </w:t>
      </w:r>
      <w:r w:rsidR="00B43A52" w:rsidRPr="001558A5">
        <w:rPr>
          <w:i/>
          <w:lang w:val="en-US"/>
        </w:rPr>
        <w:t>Merits, reparations and costs</w:t>
      </w:r>
      <w:r w:rsidRPr="001558A5">
        <w:rPr>
          <w:i/>
          <w:lang w:val="en-US"/>
        </w:rPr>
        <w:t xml:space="preserve">. </w:t>
      </w:r>
      <w:r w:rsidR="00871E19" w:rsidRPr="001558A5">
        <w:rPr>
          <w:lang w:val="en-US"/>
        </w:rPr>
        <w:t>Judgment of</w:t>
      </w:r>
      <w:r w:rsidRPr="001558A5">
        <w:rPr>
          <w:lang w:val="en-US"/>
        </w:rPr>
        <w:t xml:space="preserve"> </w:t>
      </w:r>
      <w:r w:rsidR="00443040" w:rsidRPr="001558A5">
        <w:rPr>
          <w:lang w:val="en-US"/>
        </w:rPr>
        <w:t xml:space="preserve">March </w:t>
      </w:r>
      <w:r w:rsidRPr="001558A5">
        <w:rPr>
          <w:lang w:val="en-US"/>
        </w:rPr>
        <w:t>9</w:t>
      </w:r>
      <w:r w:rsidR="00443040" w:rsidRPr="001558A5">
        <w:rPr>
          <w:lang w:val="en-US"/>
        </w:rPr>
        <w:t xml:space="preserve">, </w:t>
      </w:r>
      <w:r w:rsidRPr="001558A5">
        <w:rPr>
          <w:lang w:val="en-US"/>
        </w:rPr>
        <w:t>2020</w:t>
      </w:r>
      <w:r w:rsidRPr="001558A5">
        <w:rPr>
          <w:szCs w:val="16"/>
          <w:lang w:val="en-US"/>
        </w:rPr>
        <w:t xml:space="preserve">, </w:t>
      </w:r>
      <w:r w:rsidR="00B43A52" w:rsidRPr="001558A5">
        <w:rPr>
          <w:szCs w:val="16"/>
          <w:lang w:val="en-US"/>
        </w:rPr>
        <w:t>para.</w:t>
      </w:r>
      <w:r w:rsidRPr="001558A5">
        <w:rPr>
          <w:szCs w:val="16"/>
          <w:lang w:val="en-US"/>
        </w:rPr>
        <w:t xml:space="preserve"> 33.</w:t>
      </w:r>
    </w:p>
  </w:footnote>
  <w:footnote w:id="41">
    <w:p w14:paraId="40B0C26B" w14:textId="0CE5A161" w:rsidR="005977F6" w:rsidRPr="001558A5" w:rsidRDefault="005977F6"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szCs w:val="16"/>
          <w:lang w:val="en-US"/>
        </w:rPr>
        <w:t>Cf.</w:t>
      </w:r>
      <w:r w:rsidRPr="001558A5">
        <w:rPr>
          <w:i/>
          <w:szCs w:val="16"/>
          <w:lang w:val="en-US"/>
        </w:rPr>
        <w:t xml:space="preserve"> </w:t>
      </w:r>
      <w:r w:rsidR="00443040" w:rsidRPr="001558A5">
        <w:rPr>
          <w:szCs w:val="16"/>
          <w:lang w:val="en-US"/>
        </w:rPr>
        <w:t>United Nations</w:t>
      </w:r>
      <w:r w:rsidRPr="001558A5">
        <w:rPr>
          <w:szCs w:val="16"/>
          <w:lang w:val="en-US"/>
        </w:rPr>
        <w:t xml:space="preserve">, </w:t>
      </w:r>
      <w:r w:rsidR="00443040" w:rsidRPr="001558A5">
        <w:rPr>
          <w:szCs w:val="16"/>
          <w:lang w:val="en-US"/>
        </w:rPr>
        <w:t>General Assembly</w:t>
      </w:r>
      <w:r w:rsidRPr="001558A5">
        <w:rPr>
          <w:szCs w:val="16"/>
          <w:lang w:val="en-US"/>
        </w:rPr>
        <w:t xml:space="preserve">, </w:t>
      </w:r>
      <w:r w:rsidR="00215FEF" w:rsidRPr="001558A5">
        <w:rPr>
          <w:i/>
          <w:iCs/>
          <w:szCs w:val="16"/>
          <w:lang w:val="en-US"/>
        </w:rPr>
        <w:t xml:space="preserve">Report of the Working Group on the Universal Periodic Review. </w:t>
      </w:r>
      <w:r w:rsidRPr="001558A5">
        <w:rPr>
          <w:i/>
          <w:iCs/>
          <w:szCs w:val="16"/>
          <w:lang w:val="en-US"/>
        </w:rPr>
        <w:t>Honduras,</w:t>
      </w:r>
      <w:r w:rsidRPr="001558A5">
        <w:rPr>
          <w:szCs w:val="16"/>
          <w:lang w:val="en-US"/>
        </w:rPr>
        <w:t xml:space="preserve"> A/HRC/16/10, </w:t>
      </w:r>
      <w:r w:rsidR="00443040" w:rsidRPr="001558A5">
        <w:rPr>
          <w:szCs w:val="16"/>
          <w:lang w:val="en-US"/>
        </w:rPr>
        <w:t>January 4,</w:t>
      </w:r>
      <w:r w:rsidRPr="001558A5">
        <w:rPr>
          <w:szCs w:val="16"/>
          <w:lang w:val="en-US"/>
        </w:rPr>
        <w:t xml:space="preserve"> 2011; </w:t>
      </w:r>
      <w:r w:rsidR="00D54DC1" w:rsidRPr="001558A5">
        <w:rPr>
          <w:i/>
          <w:iCs/>
          <w:szCs w:val="16"/>
          <w:lang w:val="en-US"/>
        </w:rPr>
        <w:t xml:space="preserve">Report of the </w:t>
      </w:r>
      <w:r w:rsidR="00443040" w:rsidRPr="001558A5">
        <w:rPr>
          <w:i/>
          <w:iCs/>
          <w:szCs w:val="16"/>
          <w:lang w:val="en-US"/>
        </w:rPr>
        <w:t>Special Rapporteur on</w:t>
      </w:r>
      <w:r w:rsidR="00215FEF" w:rsidRPr="001558A5">
        <w:rPr>
          <w:i/>
          <w:iCs/>
          <w:szCs w:val="16"/>
          <w:lang w:val="en-US"/>
        </w:rPr>
        <w:t xml:space="preserve"> extrajudicial, summary or arbitrary executions</w:t>
      </w:r>
      <w:r w:rsidRPr="001558A5">
        <w:rPr>
          <w:i/>
          <w:iCs/>
          <w:szCs w:val="16"/>
          <w:lang w:val="en-US"/>
        </w:rPr>
        <w:t>,</w:t>
      </w:r>
      <w:r w:rsidRPr="001558A5">
        <w:rPr>
          <w:szCs w:val="16"/>
          <w:lang w:val="en-US"/>
        </w:rPr>
        <w:t xml:space="preserve"> A/HRC/17/28/Add.1, </w:t>
      </w:r>
      <w:r w:rsidR="00443040" w:rsidRPr="001558A5">
        <w:rPr>
          <w:szCs w:val="16"/>
          <w:lang w:val="en-US"/>
        </w:rPr>
        <w:t>May 27,</w:t>
      </w:r>
      <w:r w:rsidRPr="001558A5">
        <w:rPr>
          <w:szCs w:val="16"/>
          <w:lang w:val="en-US"/>
        </w:rPr>
        <w:t xml:space="preserve"> 2011,</w:t>
      </w:r>
      <w:r w:rsidR="00DD4354" w:rsidRPr="001558A5">
        <w:rPr>
          <w:szCs w:val="16"/>
          <w:lang w:val="en-US"/>
        </w:rPr>
        <w:t xml:space="preserve"> and </w:t>
      </w:r>
      <w:r w:rsidR="00443040" w:rsidRPr="001558A5">
        <w:rPr>
          <w:lang w:val="en-US"/>
        </w:rPr>
        <w:t>United Nations High Commissioner for Human Rights</w:t>
      </w:r>
      <w:r w:rsidRPr="001558A5">
        <w:rPr>
          <w:lang w:val="en-US"/>
        </w:rPr>
        <w:t xml:space="preserve">, </w:t>
      </w:r>
      <w:r w:rsidR="00215FEF" w:rsidRPr="001558A5">
        <w:rPr>
          <w:i/>
          <w:iCs/>
          <w:lang w:val="en-US"/>
        </w:rPr>
        <w:t>Discriminatory laws and practices and acts of violence against individuals based on their sexual orientation and</w:t>
      </w:r>
      <w:r w:rsidRPr="001558A5">
        <w:rPr>
          <w:i/>
          <w:iCs/>
          <w:lang w:val="en-US"/>
        </w:rPr>
        <w:t xml:space="preserve"> </w:t>
      </w:r>
      <w:r w:rsidR="00DF7573" w:rsidRPr="001558A5">
        <w:rPr>
          <w:i/>
          <w:iCs/>
          <w:lang w:val="en-US"/>
        </w:rPr>
        <w:t>gender identity</w:t>
      </w:r>
      <w:r w:rsidR="00A75BCF" w:rsidRPr="001558A5">
        <w:rPr>
          <w:lang w:val="en-US"/>
        </w:rPr>
        <w:t>,</w:t>
      </w:r>
      <w:r w:rsidRPr="001558A5">
        <w:rPr>
          <w:lang w:val="en-US"/>
        </w:rPr>
        <w:t xml:space="preserve"> A/HRC/19/41, </w:t>
      </w:r>
      <w:r w:rsidR="00443040" w:rsidRPr="001558A5">
        <w:rPr>
          <w:lang w:val="en-US"/>
        </w:rPr>
        <w:t>November 17,</w:t>
      </w:r>
      <w:r w:rsidRPr="001558A5">
        <w:rPr>
          <w:lang w:val="en-US"/>
        </w:rPr>
        <w:t xml:space="preserve"> 2011, </w:t>
      </w:r>
      <w:r w:rsidR="00B43A52" w:rsidRPr="001558A5">
        <w:rPr>
          <w:lang w:val="en-US"/>
        </w:rPr>
        <w:t>para.</w:t>
      </w:r>
      <w:r w:rsidRPr="001558A5">
        <w:rPr>
          <w:lang w:val="en-US"/>
        </w:rPr>
        <w:t xml:space="preserve"> 24.</w:t>
      </w:r>
    </w:p>
  </w:footnote>
  <w:footnote w:id="42">
    <w:p w14:paraId="581F59C9" w14:textId="0361A90B" w:rsidR="005977F6" w:rsidRPr="001558A5" w:rsidRDefault="005977F6" w:rsidP="000B2BB5">
      <w:pPr>
        <w:tabs>
          <w:tab w:val="left" w:pos="360"/>
        </w:tabs>
        <w:autoSpaceDE w:val="0"/>
        <w:autoSpaceDN w:val="0"/>
        <w:adjustRightInd w:val="0"/>
        <w:rPr>
          <w:rFonts w:cs="Times New Roman"/>
          <w:sz w:val="16"/>
          <w:szCs w:val="16"/>
          <w:lang w:val="en-US"/>
        </w:rPr>
      </w:pPr>
      <w:r w:rsidRPr="001558A5">
        <w:rPr>
          <w:rStyle w:val="Refdenotaalpie"/>
          <w:sz w:val="16"/>
          <w:szCs w:val="16"/>
          <w:lang w:val="en-US"/>
        </w:rPr>
        <w:footnoteRef/>
      </w:r>
      <w:r w:rsidRPr="001558A5">
        <w:rPr>
          <w:rFonts w:cs="Times New Roman"/>
          <w:sz w:val="16"/>
          <w:szCs w:val="16"/>
          <w:lang w:val="en-US"/>
        </w:rPr>
        <w:t xml:space="preserve"> </w:t>
      </w:r>
      <w:r w:rsidRPr="001558A5">
        <w:rPr>
          <w:rFonts w:cs="Times New Roman"/>
          <w:sz w:val="16"/>
          <w:szCs w:val="16"/>
          <w:lang w:val="en-US"/>
        </w:rPr>
        <w:tab/>
      </w:r>
      <w:r w:rsidR="00871E19" w:rsidRPr="001558A5">
        <w:rPr>
          <w:rFonts w:cs="Times New Roman"/>
          <w:i/>
          <w:sz w:val="16"/>
          <w:szCs w:val="16"/>
          <w:lang w:val="en-US"/>
        </w:rPr>
        <w:t>Cf.</w:t>
      </w:r>
      <w:r w:rsidRPr="001558A5">
        <w:rPr>
          <w:rFonts w:cs="Times New Roman"/>
          <w:i/>
          <w:sz w:val="16"/>
          <w:szCs w:val="16"/>
          <w:lang w:val="en-US"/>
        </w:rPr>
        <w:t xml:space="preserve"> </w:t>
      </w:r>
      <w:r w:rsidR="00443040" w:rsidRPr="001558A5">
        <w:rPr>
          <w:rFonts w:cs="Times New Roman"/>
          <w:sz w:val="16"/>
          <w:szCs w:val="16"/>
          <w:lang w:val="en-US"/>
        </w:rPr>
        <w:t>United Nations</w:t>
      </w:r>
      <w:r w:rsidRPr="001558A5">
        <w:rPr>
          <w:rFonts w:cs="Times New Roman"/>
          <w:sz w:val="16"/>
          <w:szCs w:val="16"/>
          <w:lang w:val="en-US"/>
        </w:rPr>
        <w:t xml:space="preserve">, </w:t>
      </w:r>
      <w:r w:rsidR="00443040" w:rsidRPr="001558A5">
        <w:rPr>
          <w:rFonts w:cs="Times New Roman"/>
          <w:i/>
          <w:iCs/>
          <w:sz w:val="16"/>
          <w:szCs w:val="16"/>
          <w:lang w:val="en-US"/>
        </w:rPr>
        <w:t>Report of the</w:t>
      </w:r>
      <w:r w:rsidRPr="001558A5">
        <w:rPr>
          <w:rFonts w:cs="Times New Roman"/>
          <w:i/>
          <w:iCs/>
          <w:sz w:val="16"/>
          <w:szCs w:val="16"/>
          <w:lang w:val="en-US"/>
        </w:rPr>
        <w:t xml:space="preserve"> </w:t>
      </w:r>
      <w:r w:rsidR="00443040" w:rsidRPr="001558A5">
        <w:rPr>
          <w:rFonts w:cs="Times New Roman"/>
          <w:i/>
          <w:iCs/>
          <w:sz w:val="16"/>
          <w:szCs w:val="16"/>
          <w:lang w:val="en-US"/>
        </w:rPr>
        <w:t>Special Rapporteur on</w:t>
      </w:r>
      <w:r w:rsidR="00675A99" w:rsidRPr="001558A5">
        <w:rPr>
          <w:rFonts w:cs="Times New Roman"/>
          <w:i/>
          <w:iCs/>
          <w:sz w:val="16"/>
          <w:szCs w:val="16"/>
          <w:lang w:val="en-US"/>
        </w:rPr>
        <w:t xml:space="preserve"> the</w:t>
      </w:r>
      <w:r w:rsidRPr="001558A5">
        <w:rPr>
          <w:rFonts w:cs="Times New Roman"/>
          <w:i/>
          <w:iCs/>
          <w:sz w:val="16"/>
          <w:szCs w:val="16"/>
          <w:lang w:val="en-US"/>
        </w:rPr>
        <w:t xml:space="preserve"> </w:t>
      </w:r>
      <w:r w:rsidR="009460CA" w:rsidRPr="001558A5">
        <w:rPr>
          <w:rFonts w:cs="Times New Roman"/>
          <w:i/>
          <w:iCs/>
          <w:sz w:val="16"/>
          <w:szCs w:val="16"/>
          <w:lang w:val="en-US"/>
        </w:rPr>
        <w:t>situation of human rights defenders</w:t>
      </w:r>
      <w:r w:rsidRPr="001558A5">
        <w:rPr>
          <w:rFonts w:cs="Times New Roman"/>
          <w:i/>
          <w:iCs/>
          <w:sz w:val="16"/>
          <w:szCs w:val="16"/>
          <w:lang w:val="en-US"/>
        </w:rPr>
        <w:t xml:space="preserve">. Addendum: </w:t>
      </w:r>
      <w:r w:rsidR="00443040" w:rsidRPr="001558A5">
        <w:rPr>
          <w:rFonts w:cs="Times New Roman"/>
          <w:i/>
          <w:iCs/>
          <w:sz w:val="16"/>
          <w:szCs w:val="16"/>
          <w:lang w:val="en-US"/>
        </w:rPr>
        <w:t>Mission to Honduras</w:t>
      </w:r>
      <w:r w:rsidRPr="001558A5">
        <w:rPr>
          <w:rFonts w:cs="Times New Roman"/>
          <w:i/>
          <w:iCs/>
          <w:sz w:val="16"/>
          <w:szCs w:val="16"/>
          <w:lang w:val="en-US"/>
        </w:rPr>
        <w:t xml:space="preserve">, </w:t>
      </w:r>
      <w:r w:rsidRPr="001558A5">
        <w:rPr>
          <w:rFonts w:cs="Times New Roman"/>
          <w:sz w:val="16"/>
          <w:szCs w:val="16"/>
          <w:lang w:val="en-US"/>
        </w:rPr>
        <w:t xml:space="preserve">A/HRC/22/47/Add.1. </w:t>
      </w:r>
      <w:r w:rsidR="009460CA" w:rsidRPr="001558A5">
        <w:rPr>
          <w:rFonts w:cs="Times New Roman"/>
          <w:sz w:val="16"/>
          <w:szCs w:val="16"/>
          <w:lang w:val="en-US"/>
        </w:rPr>
        <w:t>December 13,</w:t>
      </w:r>
      <w:r w:rsidRPr="001558A5">
        <w:rPr>
          <w:rFonts w:cs="Times New Roman"/>
          <w:sz w:val="16"/>
          <w:szCs w:val="16"/>
          <w:lang w:val="en-US"/>
        </w:rPr>
        <w:t xml:space="preserve"> 2012, </w:t>
      </w:r>
      <w:r w:rsidR="00B43A52" w:rsidRPr="001558A5">
        <w:rPr>
          <w:rFonts w:cs="Times New Roman"/>
          <w:sz w:val="16"/>
          <w:szCs w:val="16"/>
          <w:lang w:val="en-US"/>
        </w:rPr>
        <w:t>para.</w:t>
      </w:r>
      <w:r w:rsidRPr="001558A5">
        <w:rPr>
          <w:rFonts w:cs="Times New Roman"/>
          <w:sz w:val="16"/>
          <w:szCs w:val="16"/>
          <w:lang w:val="en-US"/>
        </w:rPr>
        <w:t xml:space="preserve"> 90.</w:t>
      </w:r>
    </w:p>
  </w:footnote>
  <w:footnote w:id="43">
    <w:p w14:paraId="45C468D5" w14:textId="3F99A707"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871E19" w:rsidRPr="001558A5">
        <w:rPr>
          <w:rFonts w:cs="Times New Roman"/>
          <w:i/>
          <w:szCs w:val="16"/>
          <w:lang w:val="en-US"/>
        </w:rPr>
        <w:t>Cf.</w:t>
      </w:r>
      <w:r w:rsidRPr="001558A5">
        <w:rPr>
          <w:rFonts w:cs="Times New Roman"/>
          <w:i/>
          <w:szCs w:val="16"/>
          <w:lang w:val="en-US"/>
        </w:rPr>
        <w:t xml:space="preserve"> </w:t>
      </w:r>
      <w:r w:rsidR="00443040" w:rsidRPr="001558A5">
        <w:rPr>
          <w:rFonts w:cs="Times New Roman"/>
          <w:szCs w:val="16"/>
          <w:lang w:val="en-US"/>
        </w:rPr>
        <w:t>United Nations</w:t>
      </w:r>
      <w:r w:rsidRPr="001558A5">
        <w:rPr>
          <w:rFonts w:cs="Times New Roman"/>
          <w:szCs w:val="16"/>
          <w:lang w:val="en-US"/>
        </w:rPr>
        <w:t xml:space="preserve">. </w:t>
      </w:r>
      <w:r w:rsidR="00443040" w:rsidRPr="001558A5">
        <w:rPr>
          <w:rFonts w:cs="Times New Roman"/>
          <w:i/>
          <w:iCs/>
          <w:szCs w:val="16"/>
          <w:lang w:val="en-US"/>
        </w:rPr>
        <w:t>Report of the United Nations High Commissioner for Human Rights</w:t>
      </w:r>
      <w:r w:rsidR="009460CA" w:rsidRPr="001558A5">
        <w:rPr>
          <w:rFonts w:cs="Times New Roman"/>
          <w:i/>
          <w:iCs/>
          <w:szCs w:val="16"/>
          <w:lang w:val="en-US"/>
        </w:rPr>
        <w:t xml:space="preserve"> on the violations of human rights </w:t>
      </w:r>
      <w:r w:rsidR="00215FEF" w:rsidRPr="001558A5">
        <w:rPr>
          <w:rFonts w:cs="Times New Roman"/>
          <w:i/>
          <w:iCs/>
          <w:szCs w:val="16"/>
          <w:lang w:val="en-US"/>
        </w:rPr>
        <w:t>in Honduras</w:t>
      </w:r>
      <w:r w:rsidRPr="001558A5">
        <w:rPr>
          <w:rFonts w:cs="Times New Roman"/>
          <w:i/>
          <w:iCs/>
          <w:szCs w:val="16"/>
          <w:lang w:val="en-US"/>
        </w:rPr>
        <w:t xml:space="preserve"> </w:t>
      </w:r>
      <w:r w:rsidR="009460CA" w:rsidRPr="001558A5">
        <w:rPr>
          <w:rFonts w:cs="Times New Roman"/>
          <w:i/>
          <w:iCs/>
          <w:szCs w:val="16"/>
          <w:lang w:val="en-US"/>
        </w:rPr>
        <w:t>since</w:t>
      </w:r>
      <w:r w:rsidRPr="001558A5">
        <w:rPr>
          <w:rFonts w:cs="Times New Roman"/>
          <w:i/>
          <w:iCs/>
          <w:szCs w:val="16"/>
          <w:lang w:val="en-US"/>
        </w:rPr>
        <w:t xml:space="preserve"> </w:t>
      </w:r>
      <w:r w:rsidR="00B74256" w:rsidRPr="001558A5">
        <w:rPr>
          <w:rFonts w:cs="Times New Roman"/>
          <w:i/>
          <w:iCs/>
          <w:szCs w:val="16"/>
          <w:lang w:val="en-US"/>
        </w:rPr>
        <w:t>the coup d’état</w:t>
      </w:r>
      <w:r w:rsidRPr="001558A5">
        <w:rPr>
          <w:rFonts w:cs="Times New Roman"/>
          <w:i/>
          <w:iCs/>
          <w:szCs w:val="16"/>
          <w:lang w:val="en-US"/>
        </w:rPr>
        <w:t xml:space="preserve"> </w:t>
      </w:r>
      <w:r w:rsidR="009460CA" w:rsidRPr="001558A5">
        <w:rPr>
          <w:rFonts w:cs="Times New Roman"/>
          <w:i/>
          <w:iCs/>
          <w:szCs w:val="16"/>
          <w:lang w:val="en-US"/>
        </w:rPr>
        <w:t>on</w:t>
      </w:r>
      <w:r w:rsidRPr="001558A5">
        <w:rPr>
          <w:rFonts w:cs="Times New Roman"/>
          <w:i/>
          <w:iCs/>
          <w:szCs w:val="16"/>
          <w:lang w:val="en-US"/>
        </w:rPr>
        <w:t xml:space="preserve"> 28 </w:t>
      </w:r>
      <w:r w:rsidR="009460CA" w:rsidRPr="001558A5">
        <w:rPr>
          <w:rFonts w:cs="Times New Roman"/>
          <w:i/>
          <w:iCs/>
          <w:szCs w:val="16"/>
          <w:lang w:val="en-US"/>
        </w:rPr>
        <w:t>June</w:t>
      </w:r>
      <w:r w:rsidRPr="001558A5">
        <w:rPr>
          <w:rFonts w:cs="Times New Roman"/>
          <w:i/>
          <w:iCs/>
          <w:szCs w:val="16"/>
          <w:lang w:val="en-US"/>
        </w:rPr>
        <w:t xml:space="preserve"> 2009.</w:t>
      </w:r>
      <w:r w:rsidRPr="001558A5">
        <w:rPr>
          <w:rFonts w:cs="Times New Roman"/>
          <w:szCs w:val="16"/>
          <w:lang w:val="en-US"/>
        </w:rPr>
        <w:t xml:space="preserve"> A/HRC/13/66, </w:t>
      </w:r>
      <w:r w:rsidR="009460CA" w:rsidRPr="001558A5">
        <w:rPr>
          <w:rFonts w:cs="Times New Roman"/>
          <w:szCs w:val="16"/>
          <w:lang w:val="en-US"/>
        </w:rPr>
        <w:t xml:space="preserve">Human Rights Council, Thirteenth session, March 3, 2010. Agenda item 4. Human rights situations that require the Council’s attention, </w:t>
      </w:r>
      <w:r w:rsidRPr="001558A5">
        <w:rPr>
          <w:rFonts w:cs="Times New Roman"/>
          <w:szCs w:val="16"/>
          <w:lang w:val="en-US"/>
        </w:rPr>
        <w:t>p</w:t>
      </w:r>
      <w:r w:rsidR="009460CA" w:rsidRPr="001558A5">
        <w:rPr>
          <w:rFonts w:cs="Times New Roman"/>
          <w:szCs w:val="16"/>
          <w:lang w:val="en-US"/>
        </w:rPr>
        <w:t>aras.</w:t>
      </w:r>
      <w:r w:rsidRPr="001558A5">
        <w:rPr>
          <w:rFonts w:cs="Times New Roman"/>
          <w:szCs w:val="16"/>
          <w:lang w:val="en-US"/>
        </w:rPr>
        <w:t xml:space="preserve"> 77</w:t>
      </w:r>
      <w:r w:rsidR="00DD4354" w:rsidRPr="001558A5">
        <w:rPr>
          <w:rFonts w:cs="Times New Roman"/>
          <w:szCs w:val="16"/>
          <w:lang w:val="en-US"/>
        </w:rPr>
        <w:t xml:space="preserve"> and </w:t>
      </w:r>
      <w:r w:rsidRPr="001558A5">
        <w:rPr>
          <w:rFonts w:cs="Times New Roman"/>
          <w:szCs w:val="16"/>
          <w:lang w:val="en-US"/>
        </w:rPr>
        <w:t>81.</w:t>
      </w:r>
    </w:p>
  </w:footnote>
  <w:footnote w:id="44">
    <w:p w14:paraId="4F646D3A" w14:textId="027254A1"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7663B6" w:rsidRPr="001558A5">
        <w:rPr>
          <w:lang w:val="en-US"/>
        </w:rPr>
        <w:t>He referred to the following</w:t>
      </w:r>
      <w:r w:rsidRPr="001558A5">
        <w:rPr>
          <w:lang w:val="en-US"/>
        </w:rPr>
        <w:t xml:space="preserve"> </w:t>
      </w:r>
      <w:r w:rsidR="00443040" w:rsidRPr="001558A5">
        <w:rPr>
          <w:lang w:val="en-US"/>
        </w:rPr>
        <w:t>United Nations</w:t>
      </w:r>
      <w:r w:rsidR="007663B6" w:rsidRPr="001558A5">
        <w:rPr>
          <w:lang w:val="en-US"/>
        </w:rPr>
        <w:t xml:space="preserve"> reports and documents</w:t>
      </w:r>
      <w:r w:rsidRPr="001558A5">
        <w:rPr>
          <w:lang w:val="en-US"/>
        </w:rPr>
        <w:t xml:space="preserve">: </w:t>
      </w:r>
      <w:r w:rsidR="007663B6" w:rsidRPr="001558A5">
        <w:rPr>
          <w:lang w:val="en-US"/>
        </w:rPr>
        <w:t>Special Rapporteur on extrajudicial, summary or arbitrary executions</w:t>
      </w:r>
      <w:r w:rsidRPr="001558A5">
        <w:rPr>
          <w:lang w:val="en-US"/>
        </w:rPr>
        <w:t xml:space="preserve">, </w:t>
      </w:r>
      <w:r w:rsidR="00443040" w:rsidRPr="001558A5">
        <w:rPr>
          <w:lang w:val="en-US"/>
        </w:rPr>
        <w:t>Mission to Honduras</w:t>
      </w:r>
      <w:r w:rsidR="00D54DC1" w:rsidRPr="001558A5">
        <w:rPr>
          <w:lang w:val="en-US"/>
        </w:rPr>
        <w:t>,</w:t>
      </w:r>
      <w:r w:rsidRPr="001558A5">
        <w:rPr>
          <w:lang w:val="en-US"/>
        </w:rPr>
        <w:t xml:space="preserve"> E/CN.4/2003/3/Add.2, </w:t>
      </w:r>
      <w:r w:rsidR="007663B6" w:rsidRPr="001558A5">
        <w:rPr>
          <w:lang w:val="en-US"/>
        </w:rPr>
        <w:t>June 14,</w:t>
      </w:r>
      <w:r w:rsidRPr="001558A5">
        <w:rPr>
          <w:lang w:val="en-US"/>
        </w:rPr>
        <w:t xml:space="preserve"> 2002, </w:t>
      </w:r>
      <w:r w:rsidR="00B43A52" w:rsidRPr="001558A5">
        <w:rPr>
          <w:lang w:val="en-US"/>
        </w:rPr>
        <w:t>para.</w:t>
      </w:r>
      <w:r w:rsidRPr="001558A5">
        <w:rPr>
          <w:lang w:val="en-US"/>
        </w:rPr>
        <w:t xml:space="preserve"> 68; </w:t>
      </w:r>
      <w:r w:rsidR="007663B6" w:rsidRPr="001558A5">
        <w:rPr>
          <w:lang w:val="en-US"/>
        </w:rPr>
        <w:t xml:space="preserve">Provisional report to the </w:t>
      </w:r>
      <w:r w:rsidR="00443040" w:rsidRPr="001558A5">
        <w:rPr>
          <w:lang w:val="en-US"/>
        </w:rPr>
        <w:t>General Assembly</w:t>
      </w:r>
      <w:r w:rsidRPr="001558A5">
        <w:rPr>
          <w:lang w:val="en-US"/>
        </w:rPr>
        <w:t xml:space="preserve">, A/57/138, </w:t>
      </w:r>
      <w:r w:rsidR="007663B6" w:rsidRPr="001558A5">
        <w:rPr>
          <w:lang w:val="en-US"/>
        </w:rPr>
        <w:t>July 2,</w:t>
      </w:r>
      <w:r w:rsidRPr="001558A5">
        <w:rPr>
          <w:lang w:val="en-US"/>
        </w:rPr>
        <w:t xml:space="preserve"> 2002, p</w:t>
      </w:r>
      <w:r w:rsidR="007663B6" w:rsidRPr="001558A5">
        <w:rPr>
          <w:lang w:val="en-US"/>
        </w:rPr>
        <w:t>ara.</w:t>
      </w:r>
      <w:r w:rsidRPr="001558A5">
        <w:rPr>
          <w:lang w:val="en-US"/>
        </w:rPr>
        <w:t xml:space="preserve"> 38; </w:t>
      </w:r>
      <w:r w:rsidR="007663B6" w:rsidRPr="001558A5">
        <w:rPr>
          <w:lang w:val="en-US"/>
        </w:rPr>
        <w:t>Human Rights Commission</w:t>
      </w:r>
      <w:r w:rsidRPr="001558A5">
        <w:rPr>
          <w:lang w:val="en-US"/>
        </w:rPr>
        <w:t xml:space="preserve">, </w:t>
      </w:r>
      <w:r w:rsidR="00675A99" w:rsidRPr="001558A5">
        <w:rPr>
          <w:lang w:val="en-US"/>
        </w:rPr>
        <w:t>Special Rapporteur on violence against women, its causes and consequences</w:t>
      </w:r>
      <w:r w:rsidRPr="001558A5">
        <w:rPr>
          <w:lang w:val="en-US"/>
        </w:rPr>
        <w:t xml:space="preserve">, E/CN.4/2005/72/Add.1, </w:t>
      </w:r>
      <w:r w:rsidR="00675A99" w:rsidRPr="001558A5">
        <w:rPr>
          <w:lang w:val="en-US"/>
        </w:rPr>
        <w:t>March 18,</w:t>
      </w:r>
      <w:r w:rsidRPr="001558A5">
        <w:rPr>
          <w:lang w:val="en-US"/>
        </w:rPr>
        <w:t xml:space="preserve"> 2005, p</w:t>
      </w:r>
      <w:r w:rsidR="00675A99" w:rsidRPr="001558A5">
        <w:rPr>
          <w:lang w:val="en-US"/>
        </w:rPr>
        <w:t>aras</w:t>
      </w:r>
      <w:r w:rsidRPr="001558A5">
        <w:rPr>
          <w:lang w:val="en-US"/>
        </w:rPr>
        <w:t xml:space="preserve">. 172 </w:t>
      </w:r>
      <w:r w:rsidR="00675A99" w:rsidRPr="001558A5">
        <w:rPr>
          <w:lang w:val="en-US"/>
        </w:rPr>
        <w:t>to</w:t>
      </w:r>
      <w:r w:rsidRPr="001558A5">
        <w:rPr>
          <w:lang w:val="en-US"/>
        </w:rPr>
        <w:t xml:space="preserve"> 180; </w:t>
      </w:r>
      <w:r w:rsidR="00675A99" w:rsidRPr="001558A5">
        <w:rPr>
          <w:lang w:val="en-US"/>
        </w:rPr>
        <w:t>Special Rapporteur on torture and other cruel, inhuman or degrading treatment or punishment</w:t>
      </w:r>
      <w:r w:rsidRPr="001558A5">
        <w:rPr>
          <w:lang w:val="en-US"/>
        </w:rPr>
        <w:t xml:space="preserve">, E/CN.4/2005/62/Add.1, </w:t>
      </w:r>
      <w:r w:rsidR="00675A99" w:rsidRPr="001558A5">
        <w:rPr>
          <w:lang w:val="en-US"/>
        </w:rPr>
        <w:t>March 30,</w:t>
      </w:r>
      <w:r w:rsidRPr="001558A5">
        <w:rPr>
          <w:lang w:val="en-US"/>
        </w:rPr>
        <w:t xml:space="preserve"> 2005; </w:t>
      </w:r>
      <w:r w:rsidR="00675A99" w:rsidRPr="001558A5">
        <w:rPr>
          <w:lang w:val="en-US"/>
        </w:rPr>
        <w:t>paras.</w:t>
      </w:r>
      <w:r w:rsidRPr="001558A5">
        <w:rPr>
          <w:lang w:val="en-US"/>
        </w:rPr>
        <w:t xml:space="preserve"> 711 </w:t>
      </w:r>
      <w:r w:rsidR="00675A99" w:rsidRPr="001558A5">
        <w:rPr>
          <w:lang w:val="en-US"/>
        </w:rPr>
        <w:t>to</w:t>
      </w:r>
      <w:r w:rsidRPr="001558A5">
        <w:rPr>
          <w:lang w:val="en-US"/>
        </w:rPr>
        <w:t xml:space="preserve"> 718; </w:t>
      </w:r>
      <w:r w:rsidR="00443040" w:rsidRPr="001558A5">
        <w:rPr>
          <w:lang w:val="en-US"/>
        </w:rPr>
        <w:t>Special Rapporteur on</w:t>
      </w:r>
      <w:r w:rsidRPr="001558A5">
        <w:rPr>
          <w:lang w:val="en-US"/>
        </w:rPr>
        <w:t xml:space="preserve"> </w:t>
      </w:r>
      <w:r w:rsidR="00675A99" w:rsidRPr="001558A5">
        <w:rPr>
          <w:lang w:val="en-US"/>
        </w:rPr>
        <w:t>extrajudicial, summary or arbitrary executions</w:t>
      </w:r>
      <w:r w:rsidRPr="001558A5">
        <w:rPr>
          <w:lang w:val="en-US"/>
        </w:rPr>
        <w:t xml:space="preserve">, A/HRC/17/28/Add.1, </w:t>
      </w:r>
      <w:r w:rsidR="00675A99" w:rsidRPr="001558A5">
        <w:rPr>
          <w:lang w:val="en-US"/>
        </w:rPr>
        <w:t>May 27,</w:t>
      </w:r>
      <w:r w:rsidRPr="001558A5">
        <w:rPr>
          <w:lang w:val="en-US"/>
        </w:rPr>
        <w:t xml:space="preserve"> 2011; </w:t>
      </w:r>
      <w:r w:rsidR="00443040" w:rsidRPr="001558A5">
        <w:rPr>
          <w:lang w:val="en-US"/>
        </w:rPr>
        <w:t>United Nations High Commissioner for Human Rights</w:t>
      </w:r>
      <w:r w:rsidRPr="001558A5">
        <w:rPr>
          <w:lang w:val="en-US"/>
        </w:rPr>
        <w:t>,</w:t>
      </w:r>
      <w:r w:rsidR="00675A99" w:rsidRPr="001558A5">
        <w:rPr>
          <w:lang w:val="en-US"/>
        </w:rPr>
        <w:t xml:space="preserve"> </w:t>
      </w:r>
      <w:r w:rsidR="00675A99" w:rsidRPr="001558A5">
        <w:rPr>
          <w:i/>
          <w:iCs/>
          <w:lang w:val="en-US"/>
        </w:rPr>
        <w:t>Discriminatory laws and practices and acts of violence against individuals based on their sexual orientation and gender identity</w:t>
      </w:r>
      <w:r w:rsidR="00A75BCF" w:rsidRPr="001558A5">
        <w:rPr>
          <w:lang w:val="en-US"/>
        </w:rPr>
        <w:t>,</w:t>
      </w:r>
      <w:r w:rsidR="00675A99" w:rsidRPr="001558A5">
        <w:rPr>
          <w:lang w:val="en-US"/>
        </w:rPr>
        <w:t xml:space="preserve"> A/HRC/19/41, November 17, </w:t>
      </w:r>
      <w:r w:rsidRPr="001558A5">
        <w:rPr>
          <w:lang w:val="en-US"/>
        </w:rPr>
        <w:t xml:space="preserve">2011, </w:t>
      </w:r>
      <w:r w:rsidR="00B43A52" w:rsidRPr="001558A5">
        <w:rPr>
          <w:lang w:val="en-US"/>
        </w:rPr>
        <w:t>para.</w:t>
      </w:r>
      <w:r w:rsidRPr="001558A5">
        <w:rPr>
          <w:lang w:val="en-US"/>
        </w:rPr>
        <w:t xml:space="preserve"> 24; </w:t>
      </w:r>
      <w:r w:rsidR="00675A99" w:rsidRPr="001558A5">
        <w:rPr>
          <w:lang w:val="en-US"/>
        </w:rPr>
        <w:t>Special Rapporteur on the situation of human rights defenders</w:t>
      </w:r>
      <w:r w:rsidRPr="001558A5">
        <w:rPr>
          <w:lang w:val="en-US"/>
        </w:rPr>
        <w:t xml:space="preserve">, </w:t>
      </w:r>
      <w:r w:rsidR="00443040" w:rsidRPr="001558A5">
        <w:rPr>
          <w:lang w:val="en-US"/>
        </w:rPr>
        <w:t>Mission to Honduras</w:t>
      </w:r>
      <w:r w:rsidRPr="001558A5">
        <w:rPr>
          <w:lang w:val="en-US"/>
        </w:rPr>
        <w:t xml:space="preserve"> A/HRC/22/47/Add.1, </w:t>
      </w:r>
      <w:r w:rsidR="00675A99" w:rsidRPr="001558A5">
        <w:rPr>
          <w:lang w:val="en-US"/>
        </w:rPr>
        <w:t>December 13,</w:t>
      </w:r>
      <w:r w:rsidRPr="001558A5">
        <w:rPr>
          <w:lang w:val="en-US"/>
        </w:rPr>
        <w:t xml:space="preserve"> 2012, </w:t>
      </w:r>
      <w:r w:rsidR="00675A99" w:rsidRPr="001558A5">
        <w:rPr>
          <w:lang w:val="en-US"/>
        </w:rPr>
        <w:t>paras.</w:t>
      </w:r>
      <w:r w:rsidRPr="001558A5">
        <w:rPr>
          <w:lang w:val="en-US"/>
        </w:rPr>
        <w:t xml:space="preserve"> 64, 90, 91</w:t>
      </w:r>
      <w:r w:rsidR="00DD4354" w:rsidRPr="001558A5">
        <w:rPr>
          <w:lang w:val="en-US"/>
        </w:rPr>
        <w:t xml:space="preserve"> and </w:t>
      </w:r>
      <w:r w:rsidRPr="001558A5">
        <w:rPr>
          <w:lang w:val="en-US"/>
        </w:rPr>
        <w:t xml:space="preserve">113; </w:t>
      </w:r>
      <w:r w:rsidR="00675A99" w:rsidRPr="001558A5">
        <w:rPr>
          <w:lang w:val="en-US"/>
        </w:rPr>
        <w:t>Special Rapporteur on violence against women, its causes and consequences</w:t>
      </w:r>
      <w:r w:rsidRPr="001558A5">
        <w:rPr>
          <w:lang w:val="en-US"/>
        </w:rPr>
        <w:t xml:space="preserve">, </w:t>
      </w:r>
      <w:r w:rsidR="00443040" w:rsidRPr="001558A5">
        <w:rPr>
          <w:i/>
          <w:iCs/>
          <w:lang w:val="en-US"/>
        </w:rPr>
        <w:t>Mission to Honduras</w:t>
      </w:r>
      <w:r w:rsidR="00D54DC1" w:rsidRPr="001558A5">
        <w:rPr>
          <w:lang w:val="en-US"/>
        </w:rPr>
        <w:t>,</w:t>
      </w:r>
      <w:r w:rsidRPr="001558A5">
        <w:rPr>
          <w:lang w:val="en-US"/>
        </w:rPr>
        <w:t xml:space="preserve"> A/HRC/29/27/Add.1, </w:t>
      </w:r>
      <w:r w:rsidR="00675A99" w:rsidRPr="001558A5">
        <w:rPr>
          <w:lang w:val="en-US"/>
        </w:rPr>
        <w:t xml:space="preserve">March 31, </w:t>
      </w:r>
      <w:r w:rsidRPr="001558A5">
        <w:rPr>
          <w:lang w:val="en-US"/>
        </w:rPr>
        <w:t xml:space="preserve">2015, </w:t>
      </w:r>
      <w:r w:rsidR="00B43A52" w:rsidRPr="001558A5">
        <w:rPr>
          <w:lang w:val="en-US"/>
        </w:rPr>
        <w:t>para.</w:t>
      </w:r>
      <w:r w:rsidRPr="001558A5">
        <w:rPr>
          <w:lang w:val="en-US"/>
        </w:rPr>
        <w:t xml:space="preserve"> 17;</w:t>
      </w:r>
      <w:r w:rsidR="00675A99" w:rsidRPr="001558A5">
        <w:rPr>
          <w:lang w:val="en-US"/>
        </w:rPr>
        <w:t xml:space="preserve"> </w:t>
      </w:r>
      <w:r w:rsidR="00443040" w:rsidRPr="001558A5">
        <w:rPr>
          <w:lang w:val="en-US"/>
        </w:rPr>
        <w:t>Special Rapporteur on</w:t>
      </w:r>
      <w:r w:rsidRPr="001558A5">
        <w:rPr>
          <w:lang w:val="en-US"/>
        </w:rPr>
        <w:t xml:space="preserve"> </w:t>
      </w:r>
      <w:r w:rsidR="00675A99" w:rsidRPr="001558A5">
        <w:rPr>
          <w:lang w:val="en-US"/>
        </w:rPr>
        <w:t>extrajudicial, summary or arbitrary executions</w:t>
      </w:r>
      <w:r w:rsidRPr="001558A5">
        <w:rPr>
          <w:lang w:val="en-US"/>
        </w:rPr>
        <w:t xml:space="preserve">, </w:t>
      </w:r>
      <w:r w:rsidR="00443040" w:rsidRPr="001558A5">
        <w:rPr>
          <w:i/>
          <w:iCs/>
          <w:lang w:val="en-US"/>
        </w:rPr>
        <w:t>Mission to Honduras</w:t>
      </w:r>
      <w:r w:rsidR="00D54DC1" w:rsidRPr="001558A5">
        <w:rPr>
          <w:i/>
          <w:iCs/>
          <w:lang w:val="en-US"/>
        </w:rPr>
        <w:t>,</w:t>
      </w:r>
      <w:r w:rsidRPr="001558A5">
        <w:rPr>
          <w:lang w:val="en-US"/>
        </w:rPr>
        <w:t xml:space="preserve"> A/HRC/35/23/Add.1, </w:t>
      </w:r>
      <w:r w:rsidR="00675A99" w:rsidRPr="001558A5">
        <w:rPr>
          <w:lang w:val="en-US"/>
        </w:rPr>
        <w:t>April 11,</w:t>
      </w:r>
      <w:r w:rsidRPr="001558A5">
        <w:rPr>
          <w:lang w:val="en-US"/>
        </w:rPr>
        <w:t xml:space="preserve"> 2017, </w:t>
      </w:r>
      <w:r w:rsidR="00675A99" w:rsidRPr="001558A5">
        <w:rPr>
          <w:lang w:val="en-US"/>
        </w:rPr>
        <w:t>paras.</w:t>
      </w:r>
      <w:r w:rsidRPr="001558A5">
        <w:rPr>
          <w:lang w:val="en-US"/>
        </w:rPr>
        <w:t xml:space="preserve"> 33, 34, 44</w:t>
      </w:r>
      <w:r w:rsidR="00675A99" w:rsidRPr="001558A5">
        <w:rPr>
          <w:lang w:val="en-US"/>
        </w:rPr>
        <w:t xml:space="preserve"> to </w:t>
      </w:r>
      <w:r w:rsidRPr="001558A5">
        <w:rPr>
          <w:lang w:val="en-US"/>
        </w:rPr>
        <w:t>47, 117</w:t>
      </w:r>
      <w:r w:rsidR="00675A99" w:rsidRPr="001558A5">
        <w:rPr>
          <w:lang w:val="en-US"/>
        </w:rPr>
        <w:t>(</w:t>
      </w:r>
      <w:r w:rsidRPr="001558A5">
        <w:rPr>
          <w:lang w:val="en-US"/>
        </w:rPr>
        <w:t>d</w:t>
      </w:r>
      <w:r w:rsidR="00675A99" w:rsidRPr="001558A5">
        <w:rPr>
          <w:lang w:val="en-US"/>
        </w:rPr>
        <w:t>)</w:t>
      </w:r>
      <w:r w:rsidR="00DD4354" w:rsidRPr="001558A5">
        <w:rPr>
          <w:lang w:val="en-US"/>
        </w:rPr>
        <w:t xml:space="preserve"> and </w:t>
      </w:r>
      <w:r w:rsidRPr="001558A5">
        <w:rPr>
          <w:lang w:val="en-US"/>
        </w:rPr>
        <w:t>118</w:t>
      </w:r>
      <w:r w:rsidR="00675A99" w:rsidRPr="001558A5">
        <w:rPr>
          <w:lang w:val="en-US"/>
        </w:rPr>
        <w:t>(</w:t>
      </w:r>
      <w:r w:rsidRPr="001558A5">
        <w:rPr>
          <w:lang w:val="en-US"/>
        </w:rPr>
        <w:t>a</w:t>
      </w:r>
      <w:r w:rsidR="00675A99" w:rsidRPr="001558A5">
        <w:rPr>
          <w:lang w:val="en-US"/>
        </w:rPr>
        <w:t>)</w:t>
      </w:r>
      <w:r w:rsidR="00D54DC1" w:rsidRPr="001558A5">
        <w:rPr>
          <w:lang w:val="en-US"/>
        </w:rPr>
        <w:t>,</w:t>
      </w:r>
      <w:r w:rsidR="00DD4354" w:rsidRPr="001558A5">
        <w:rPr>
          <w:lang w:val="en-US"/>
        </w:rPr>
        <w:t xml:space="preserve"> and </w:t>
      </w:r>
      <w:r w:rsidR="00443040" w:rsidRPr="001558A5">
        <w:rPr>
          <w:lang w:val="en-US"/>
        </w:rPr>
        <w:t>United Nations High Commissioner for Human Rights</w:t>
      </w:r>
      <w:r w:rsidRPr="001558A5">
        <w:rPr>
          <w:lang w:val="en-US"/>
        </w:rPr>
        <w:t xml:space="preserve">, </w:t>
      </w:r>
      <w:r w:rsidR="00675A99" w:rsidRPr="001558A5">
        <w:rPr>
          <w:i/>
          <w:iCs/>
          <w:lang w:val="en-US"/>
        </w:rPr>
        <w:t>Situation of human rights</w:t>
      </w:r>
      <w:r w:rsidRPr="001558A5">
        <w:rPr>
          <w:i/>
          <w:iCs/>
          <w:lang w:val="en-US"/>
        </w:rPr>
        <w:t xml:space="preserve"> </w:t>
      </w:r>
      <w:r w:rsidR="00215FEF" w:rsidRPr="001558A5">
        <w:rPr>
          <w:i/>
          <w:iCs/>
          <w:lang w:val="en-US"/>
        </w:rPr>
        <w:t>in Honduras</w:t>
      </w:r>
      <w:r w:rsidR="00D54DC1" w:rsidRPr="001558A5">
        <w:rPr>
          <w:i/>
          <w:iCs/>
          <w:lang w:val="en-US"/>
        </w:rPr>
        <w:t>,</w:t>
      </w:r>
      <w:r w:rsidRPr="001558A5">
        <w:rPr>
          <w:i/>
          <w:iCs/>
          <w:lang w:val="en-US"/>
        </w:rPr>
        <w:t xml:space="preserve"> </w:t>
      </w:r>
      <w:r w:rsidRPr="001558A5">
        <w:rPr>
          <w:lang w:val="en-US"/>
        </w:rPr>
        <w:t xml:space="preserve">A/HRC/37/3/Add.2, </w:t>
      </w:r>
      <w:r w:rsidR="00675A99" w:rsidRPr="001558A5">
        <w:rPr>
          <w:lang w:val="en-US"/>
        </w:rPr>
        <w:t xml:space="preserve">March 20, </w:t>
      </w:r>
      <w:r w:rsidRPr="001558A5">
        <w:rPr>
          <w:lang w:val="en-US"/>
        </w:rPr>
        <w:t xml:space="preserve">2018, </w:t>
      </w:r>
      <w:r w:rsidR="00B43A52" w:rsidRPr="001558A5">
        <w:rPr>
          <w:lang w:val="en-US"/>
        </w:rPr>
        <w:t>para.</w:t>
      </w:r>
      <w:r w:rsidRPr="001558A5">
        <w:rPr>
          <w:lang w:val="en-US"/>
        </w:rPr>
        <w:t xml:space="preserve"> 58.</w:t>
      </w:r>
    </w:p>
  </w:footnote>
  <w:footnote w:id="45">
    <w:p w14:paraId="1AF6940A" w14:textId="553EE235" w:rsidR="005977F6" w:rsidRPr="001558A5" w:rsidRDefault="005977F6"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675A99" w:rsidRPr="001558A5">
        <w:rPr>
          <w:szCs w:val="16"/>
          <w:lang w:val="en-US"/>
        </w:rPr>
        <w:t>The expert witness indicated that, during that third stage, the State adopted important measures</w:t>
      </w:r>
      <w:r w:rsidRPr="001558A5">
        <w:rPr>
          <w:szCs w:val="16"/>
          <w:lang w:val="en-US"/>
        </w:rPr>
        <w:t xml:space="preserve">: (i) </w:t>
      </w:r>
      <w:r w:rsidR="00675A99" w:rsidRPr="001558A5">
        <w:rPr>
          <w:szCs w:val="16"/>
          <w:lang w:val="en-US"/>
        </w:rPr>
        <w:t>in</w:t>
      </w:r>
      <w:r w:rsidRPr="001558A5">
        <w:rPr>
          <w:szCs w:val="16"/>
          <w:lang w:val="en-US"/>
        </w:rPr>
        <w:t xml:space="preserve"> 2011, </w:t>
      </w:r>
      <w:r w:rsidR="00675A99" w:rsidRPr="001558A5">
        <w:rPr>
          <w:szCs w:val="16"/>
          <w:lang w:val="en-US"/>
        </w:rPr>
        <w:t>it created the “Special Commission to Follow UP on Special Crimes,” to investigate</w:t>
      </w:r>
      <w:r w:rsidR="008C2119" w:rsidRPr="001558A5">
        <w:rPr>
          <w:szCs w:val="16"/>
          <w:lang w:val="en-US"/>
        </w:rPr>
        <w:t xml:space="preserve">, </w:t>
      </w:r>
      <w:r w:rsidR="008C2119" w:rsidRPr="001558A5">
        <w:rPr>
          <w:i/>
          <w:iCs/>
          <w:szCs w:val="16"/>
          <w:lang w:val="en-US"/>
        </w:rPr>
        <w:t>inter alia</w:t>
      </w:r>
      <w:r w:rsidR="00675A99" w:rsidRPr="001558A5">
        <w:rPr>
          <w:szCs w:val="16"/>
          <w:lang w:val="en-US"/>
        </w:rPr>
        <w:t>, crimes committed against LGBT persons; (ii) in 2013, it created the “Special Prosecution Service for Crimes against Life” and, within this entity, the Unit for the Investigation of Deaths with High Social Impact, Sexual Diversity Unit”; (iii) also in 2013, it created the “Section on Deaths of Members of Vulnerable Groups” as part of the Special Prosecution Service for Crimes against Life; (iv) in 2016, it amended the Criminal Code in force</w:t>
      </w:r>
      <w:r w:rsidR="008C2119" w:rsidRPr="001558A5">
        <w:rPr>
          <w:szCs w:val="16"/>
          <w:lang w:val="en-US"/>
        </w:rPr>
        <w:t xml:space="preserve"> to</w:t>
      </w:r>
      <w:r w:rsidR="00675A99" w:rsidRPr="001558A5">
        <w:rPr>
          <w:szCs w:val="16"/>
          <w:lang w:val="en-US"/>
        </w:rPr>
        <w:t xml:space="preserve"> inclu</w:t>
      </w:r>
      <w:r w:rsidR="008C2119" w:rsidRPr="001558A5">
        <w:rPr>
          <w:szCs w:val="16"/>
          <w:lang w:val="en-US"/>
        </w:rPr>
        <w:t>de</w:t>
      </w:r>
      <w:r w:rsidR="00675A99" w:rsidRPr="001558A5">
        <w:rPr>
          <w:szCs w:val="16"/>
          <w:lang w:val="en-US"/>
        </w:rPr>
        <w:t xml:space="preserve"> </w:t>
      </w:r>
      <w:r w:rsidR="00DF7573" w:rsidRPr="001558A5">
        <w:rPr>
          <w:szCs w:val="16"/>
          <w:lang w:val="en-US"/>
        </w:rPr>
        <w:t>sexual orientation</w:t>
      </w:r>
      <w:r w:rsidR="00DD4354" w:rsidRPr="001558A5">
        <w:rPr>
          <w:szCs w:val="16"/>
          <w:lang w:val="en-US"/>
        </w:rPr>
        <w:t xml:space="preserve"> and </w:t>
      </w:r>
      <w:r w:rsidR="00DF7573" w:rsidRPr="001558A5">
        <w:rPr>
          <w:szCs w:val="16"/>
          <w:lang w:val="en-US"/>
        </w:rPr>
        <w:t>gender identity</w:t>
      </w:r>
      <w:r w:rsidRPr="001558A5">
        <w:rPr>
          <w:szCs w:val="16"/>
          <w:lang w:val="en-US"/>
        </w:rPr>
        <w:t xml:space="preserve"> </w:t>
      </w:r>
      <w:r w:rsidR="00675A99" w:rsidRPr="001558A5">
        <w:rPr>
          <w:szCs w:val="16"/>
          <w:lang w:val="en-US"/>
        </w:rPr>
        <w:t>as generic aggravating factors, amended the offense of discrimination to include the variables of sexual orientation</w:t>
      </w:r>
      <w:r w:rsidRPr="001558A5">
        <w:rPr>
          <w:szCs w:val="16"/>
          <w:lang w:val="en-US"/>
        </w:rPr>
        <w:t xml:space="preserve"> </w:t>
      </w:r>
      <w:r w:rsidR="00675A99" w:rsidRPr="001558A5">
        <w:rPr>
          <w:szCs w:val="16"/>
          <w:lang w:val="en-US"/>
        </w:rPr>
        <w:t>and</w:t>
      </w:r>
      <w:r w:rsidRPr="001558A5">
        <w:rPr>
          <w:szCs w:val="16"/>
          <w:lang w:val="en-US"/>
        </w:rPr>
        <w:t xml:space="preserve"> </w:t>
      </w:r>
      <w:r w:rsidR="00DF7573" w:rsidRPr="001558A5">
        <w:rPr>
          <w:szCs w:val="16"/>
          <w:lang w:val="en-US"/>
        </w:rPr>
        <w:t>gender identity</w:t>
      </w:r>
      <w:r w:rsidRPr="001558A5">
        <w:rPr>
          <w:szCs w:val="16"/>
          <w:lang w:val="en-US"/>
        </w:rPr>
        <w:t>,</w:t>
      </w:r>
      <w:r w:rsidR="00DD4354" w:rsidRPr="001558A5">
        <w:rPr>
          <w:szCs w:val="16"/>
          <w:lang w:val="en-US"/>
        </w:rPr>
        <w:t xml:space="preserve"> and </w:t>
      </w:r>
      <w:r w:rsidRPr="001558A5">
        <w:rPr>
          <w:szCs w:val="16"/>
          <w:lang w:val="en-US"/>
        </w:rPr>
        <w:t>cre</w:t>
      </w:r>
      <w:r w:rsidR="00675A99" w:rsidRPr="001558A5">
        <w:rPr>
          <w:szCs w:val="16"/>
          <w:lang w:val="en-US"/>
        </w:rPr>
        <w:t>ated the offense of incitement to discrimination, and (v) in 2019, when the new Criminal Code entered into force, it kept among its articles the structure that renders the variables of sexual orientation</w:t>
      </w:r>
      <w:r w:rsidRPr="001558A5">
        <w:rPr>
          <w:szCs w:val="16"/>
          <w:lang w:val="en-US"/>
        </w:rPr>
        <w:t xml:space="preserve"> </w:t>
      </w:r>
      <w:r w:rsidR="00675A99" w:rsidRPr="001558A5">
        <w:rPr>
          <w:szCs w:val="16"/>
          <w:lang w:val="en-US"/>
        </w:rPr>
        <w:t>and</w:t>
      </w:r>
      <w:r w:rsidRPr="001558A5">
        <w:rPr>
          <w:szCs w:val="16"/>
          <w:lang w:val="en-US"/>
        </w:rPr>
        <w:t xml:space="preserve"> </w:t>
      </w:r>
      <w:r w:rsidR="00DF7573" w:rsidRPr="001558A5">
        <w:rPr>
          <w:szCs w:val="16"/>
          <w:lang w:val="en-US"/>
        </w:rPr>
        <w:t>gender identity</w:t>
      </w:r>
      <w:r w:rsidR="00675A99" w:rsidRPr="001558A5">
        <w:rPr>
          <w:szCs w:val="16"/>
          <w:lang w:val="en-US"/>
        </w:rPr>
        <w:t xml:space="preserve"> visible</w:t>
      </w:r>
      <w:r w:rsidRPr="001558A5">
        <w:rPr>
          <w:szCs w:val="16"/>
          <w:lang w:val="en-US"/>
        </w:rPr>
        <w:t xml:space="preserve">. </w:t>
      </w:r>
      <w:r w:rsidR="00675A99" w:rsidRPr="001558A5">
        <w:rPr>
          <w:szCs w:val="16"/>
          <w:lang w:val="en-US"/>
        </w:rPr>
        <w:t xml:space="preserve">He indicated that, despite this, acts of lethal violence against the LGBTI community </w:t>
      </w:r>
      <w:r w:rsidR="00215FEF" w:rsidRPr="001558A5">
        <w:rPr>
          <w:szCs w:val="16"/>
          <w:lang w:val="en-US"/>
        </w:rPr>
        <w:t>in Honduras</w:t>
      </w:r>
      <w:r w:rsidRPr="001558A5">
        <w:rPr>
          <w:szCs w:val="16"/>
          <w:lang w:val="en-US"/>
        </w:rPr>
        <w:t xml:space="preserve"> contin</w:t>
      </w:r>
      <w:r w:rsidR="00675A99" w:rsidRPr="001558A5">
        <w:rPr>
          <w:szCs w:val="16"/>
          <w:lang w:val="en-US"/>
        </w:rPr>
        <w:t xml:space="preserve">ue to increase. He asserted that, to December 2019, it was reported that in the decade following the coup d’état, at least 296 LGBTI persons had died violently in the country. Of this total, 157 were gay men, 104 </w:t>
      </w:r>
      <w:proofErr w:type="gramStart"/>
      <w:r w:rsidR="00675A99" w:rsidRPr="001558A5">
        <w:rPr>
          <w:szCs w:val="16"/>
          <w:lang w:val="en-US"/>
        </w:rPr>
        <w:t>trans</w:t>
      </w:r>
      <w:proofErr w:type="gramEnd"/>
      <w:r w:rsidR="00675A99" w:rsidRPr="001558A5">
        <w:rPr>
          <w:szCs w:val="16"/>
          <w:lang w:val="en-US"/>
        </w:rPr>
        <w:t xml:space="preserve"> women and 35 lesbians. </w:t>
      </w:r>
      <w:r w:rsidR="00871E19" w:rsidRPr="001558A5">
        <w:rPr>
          <w:i/>
          <w:iCs/>
          <w:szCs w:val="16"/>
          <w:lang w:val="en-US"/>
        </w:rPr>
        <w:t>Cf.</w:t>
      </w:r>
      <w:r w:rsidRPr="001558A5">
        <w:rPr>
          <w:szCs w:val="16"/>
          <w:lang w:val="en-US"/>
        </w:rPr>
        <w:t xml:space="preserve"> </w:t>
      </w:r>
      <w:r w:rsidR="00675A99" w:rsidRPr="001558A5">
        <w:rPr>
          <w:szCs w:val="16"/>
          <w:lang w:val="en-US"/>
        </w:rPr>
        <w:t>Opinion provided by</w:t>
      </w:r>
      <w:r w:rsidRPr="001558A5">
        <w:rPr>
          <w:szCs w:val="16"/>
          <w:lang w:val="en-US"/>
        </w:rPr>
        <w:t xml:space="preserve"> Carlos </w:t>
      </w:r>
      <w:proofErr w:type="spellStart"/>
      <w:r w:rsidRPr="001558A5">
        <w:rPr>
          <w:szCs w:val="16"/>
          <w:lang w:val="en-US"/>
        </w:rPr>
        <w:t>Zelada</w:t>
      </w:r>
      <w:proofErr w:type="spellEnd"/>
      <w:r w:rsidRPr="001558A5">
        <w:rPr>
          <w:szCs w:val="16"/>
          <w:lang w:val="en-US"/>
        </w:rPr>
        <w:t xml:space="preserve"> </w:t>
      </w:r>
      <w:r w:rsidR="00675A99" w:rsidRPr="001558A5">
        <w:rPr>
          <w:szCs w:val="16"/>
          <w:lang w:val="en-US"/>
        </w:rPr>
        <w:t xml:space="preserve">during the public hearing held in this case on November 11, </w:t>
      </w:r>
      <w:r w:rsidRPr="001558A5">
        <w:rPr>
          <w:szCs w:val="16"/>
          <w:lang w:val="en-US"/>
        </w:rPr>
        <w:t>2020</w:t>
      </w:r>
      <w:r w:rsidR="00675A99" w:rsidRPr="001558A5">
        <w:rPr>
          <w:szCs w:val="16"/>
          <w:lang w:val="en-US"/>
        </w:rPr>
        <w:t>,</w:t>
      </w:r>
      <w:r w:rsidR="00DD4354" w:rsidRPr="001558A5">
        <w:rPr>
          <w:szCs w:val="16"/>
          <w:lang w:val="en-US"/>
        </w:rPr>
        <w:t xml:space="preserve"> and </w:t>
      </w:r>
      <w:r w:rsidR="00995B18" w:rsidRPr="001558A5">
        <w:rPr>
          <w:szCs w:val="16"/>
          <w:lang w:val="en-US"/>
        </w:rPr>
        <w:t>document</w:t>
      </w:r>
      <w:r w:rsidR="00675A99" w:rsidRPr="001558A5">
        <w:rPr>
          <w:szCs w:val="16"/>
          <w:lang w:val="en-US"/>
        </w:rPr>
        <w:t xml:space="preserve"> attached to his expert opinion</w:t>
      </w:r>
      <w:r w:rsidR="00995B18" w:rsidRPr="001558A5">
        <w:rPr>
          <w:szCs w:val="16"/>
          <w:lang w:val="en-US"/>
        </w:rPr>
        <w:t xml:space="preserve"> (</w:t>
      </w:r>
      <w:r w:rsidR="00D11908" w:rsidRPr="001558A5">
        <w:rPr>
          <w:szCs w:val="16"/>
          <w:lang w:val="en-US"/>
        </w:rPr>
        <w:t>evidence file</w:t>
      </w:r>
      <w:r w:rsidR="00995B18" w:rsidRPr="001558A5">
        <w:rPr>
          <w:szCs w:val="16"/>
          <w:lang w:val="en-US"/>
        </w:rPr>
        <w:t xml:space="preserve">, folios 1554 </w:t>
      </w:r>
      <w:proofErr w:type="spellStart"/>
      <w:r w:rsidR="00995B18" w:rsidRPr="001558A5">
        <w:rPr>
          <w:i/>
          <w:iCs/>
          <w:szCs w:val="16"/>
          <w:lang w:val="en-US"/>
        </w:rPr>
        <w:t>bis</w:t>
      </w:r>
      <w:proofErr w:type="spellEnd"/>
      <w:r w:rsidR="00DD4354" w:rsidRPr="001558A5">
        <w:rPr>
          <w:szCs w:val="16"/>
          <w:lang w:val="en-US"/>
        </w:rPr>
        <w:t xml:space="preserve"> and </w:t>
      </w:r>
      <w:r w:rsidR="00675A99" w:rsidRPr="001558A5">
        <w:rPr>
          <w:i/>
          <w:iCs/>
          <w:szCs w:val="16"/>
          <w:lang w:val="en-US"/>
        </w:rPr>
        <w:t>ff</w:t>
      </w:r>
      <w:r w:rsidR="00995B18" w:rsidRPr="001558A5">
        <w:rPr>
          <w:i/>
          <w:iCs/>
          <w:szCs w:val="16"/>
          <w:lang w:val="en-US"/>
        </w:rPr>
        <w:t>.).</w:t>
      </w:r>
    </w:p>
  </w:footnote>
  <w:footnote w:id="46">
    <w:p w14:paraId="60331D3F" w14:textId="5A7A5D63" w:rsidR="005977F6" w:rsidRPr="001558A5" w:rsidRDefault="005977F6"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iCs/>
          <w:szCs w:val="16"/>
          <w:lang w:val="en-US"/>
        </w:rPr>
        <w:t>Cf.</w:t>
      </w:r>
      <w:r w:rsidRPr="001558A5">
        <w:rPr>
          <w:szCs w:val="16"/>
          <w:lang w:val="en-US"/>
        </w:rPr>
        <w:t xml:space="preserve"> </w:t>
      </w:r>
      <w:r w:rsidR="00C909B4" w:rsidRPr="001558A5">
        <w:rPr>
          <w:szCs w:val="16"/>
          <w:lang w:val="en-US"/>
        </w:rPr>
        <w:t xml:space="preserve">Opinion provided by Carlos </w:t>
      </w:r>
      <w:proofErr w:type="spellStart"/>
      <w:r w:rsidR="00C909B4" w:rsidRPr="001558A5">
        <w:rPr>
          <w:szCs w:val="16"/>
          <w:lang w:val="en-US"/>
        </w:rPr>
        <w:t>Zelada</w:t>
      </w:r>
      <w:proofErr w:type="spellEnd"/>
      <w:r w:rsidR="00C909B4" w:rsidRPr="001558A5">
        <w:rPr>
          <w:szCs w:val="16"/>
          <w:lang w:val="en-US"/>
        </w:rPr>
        <w:t xml:space="preserve"> during the public hearing held in this case on November 11, 2020, and document attached to his expert opinion </w:t>
      </w:r>
      <w:r w:rsidR="00995B18" w:rsidRPr="001558A5">
        <w:rPr>
          <w:szCs w:val="16"/>
          <w:lang w:val="en-US"/>
        </w:rPr>
        <w:t>(</w:t>
      </w:r>
      <w:r w:rsidR="00D11908" w:rsidRPr="001558A5">
        <w:rPr>
          <w:szCs w:val="16"/>
          <w:lang w:val="en-US"/>
        </w:rPr>
        <w:t>evidence file</w:t>
      </w:r>
      <w:r w:rsidR="00995B18" w:rsidRPr="001558A5">
        <w:rPr>
          <w:szCs w:val="16"/>
          <w:lang w:val="en-US"/>
        </w:rPr>
        <w:t xml:space="preserve">, folios 1554 </w:t>
      </w:r>
      <w:proofErr w:type="spellStart"/>
      <w:r w:rsidR="00995B18" w:rsidRPr="001558A5">
        <w:rPr>
          <w:i/>
          <w:iCs/>
          <w:szCs w:val="16"/>
          <w:lang w:val="en-US"/>
        </w:rPr>
        <w:t>bis</w:t>
      </w:r>
      <w:proofErr w:type="spellEnd"/>
      <w:r w:rsidR="00DD4354" w:rsidRPr="001558A5">
        <w:rPr>
          <w:szCs w:val="16"/>
          <w:lang w:val="en-US"/>
        </w:rPr>
        <w:t xml:space="preserve"> and</w:t>
      </w:r>
      <w:r w:rsidR="00DD4354" w:rsidRPr="001558A5">
        <w:rPr>
          <w:i/>
          <w:iCs/>
          <w:szCs w:val="16"/>
          <w:lang w:val="en-US"/>
        </w:rPr>
        <w:t xml:space="preserve"> </w:t>
      </w:r>
      <w:r w:rsidR="00C909B4" w:rsidRPr="001558A5">
        <w:rPr>
          <w:i/>
          <w:iCs/>
          <w:szCs w:val="16"/>
          <w:lang w:val="en-US"/>
        </w:rPr>
        <w:t>ff</w:t>
      </w:r>
      <w:r w:rsidR="00995B18" w:rsidRPr="001558A5">
        <w:rPr>
          <w:szCs w:val="16"/>
          <w:lang w:val="en-US"/>
        </w:rPr>
        <w:t>.).</w:t>
      </w:r>
    </w:p>
  </w:footnote>
  <w:footnote w:id="47">
    <w:p w14:paraId="2C9A4026" w14:textId="7C38EC24" w:rsidR="005977F6" w:rsidRPr="001558A5" w:rsidRDefault="005977F6" w:rsidP="000B2BB5">
      <w:pPr>
        <w:tabs>
          <w:tab w:val="left" w:pos="360"/>
        </w:tabs>
        <w:rPr>
          <w:rFonts w:cs="Times New Roman"/>
          <w:sz w:val="16"/>
          <w:szCs w:val="16"/>
          <w:lang w:val="en-US"/>
        </w:rPr>
      </w:pPr>
      <w:r w:rsidRPr="001558A5">
        <w:rPr>
          <w:rStyle w:val="Refdenotaalpie"/>
          <w:sz w:val="16"/>
          <w:szCs w:val="16"/>
          <w:lang w:val="en-US"/>
        </w:rPr>
        <w:footnoteRef/>
      </w:r>
      <w:r w:rsidRPr="001558A5">
        <w:rPr>
          <w:rFonts w:cs="Times New Roman"/>
          <w:sz w:val="16"/>
          <w:szCs w:val="16"/>
          <w:lang w:val="en-US"/>
        </w:rPr>
        <w:t xml:space="preserve"> </w:t>
      </w:r>
      <w:r w:rsidRPr="001558A5">
        <w:rPr>
          <w:rFonts w:cs="Times New Roman"/>
          <w:sz w:val="16"/>
          <w:szCs w:val="16"/>
          <w:lang w:val="en-US"/>
        </w:rPr>
        <w:tab/>
      </w:r>
      <w:r w:rsidR="00443040" w:rsidRPr="001558A5">
        <w:rPr>
          <w:rFonts w:cs="Times New Roman"/>
          <w:sz w:val="16"/>
          <w:szCs w:val="16"/>
          <w:lang w:val="en-US"/>
        </w:rPr>
        <w:t>United Nations</w:t>
      </w:r>
      <w:r w:rsidRPr="001558A5">
        <w:rPr>
          <w:rFonts w:cs="Times New Roman"/>
          <w:sz w:val="16"/>
          <w:szCs w:val="16"/>
          <w:lang w:val="en-US"/>
        </w:rPr>
        <w:t xml:space="preserve">, </w:t>
      </w:r>
      <w:r w:rsidR="00F8195A" w:rsidRPr="001558A5">
        <w:rPr>
          <w:rFonts w:cs="Times New Roman"/>
          <w:sz w:val="16"/>
          <w:szCs w:val="16"/>
          <w:lang w:val="en-US"/>
        </w:rPr>
        <w:t>Human Rights Council</w:t>
      </w:r>
      <w:r w:rsidRPr="001558A5">
        <w:rPr>
          <w:rFonts w:cs="Times New Roman"/>
          <w:sz w:val="16"/>
          <w:szCs w:val="16"/>
          <w:lang w:val="en-US"/>
        </w:rPr>
        <w:t xml:space="preserve">, </w:t>
      </w:r>
      <w:r w:rsidR="007663B6" w:rsidRPr="001558A5">
        <w:rPr>
          <w:rFonts w:cs="Times New Roman"/>
          <w:sz w:val="16"/>
          <w:szCs w:val="16"/>
          <w:lang w:val="en-US"/>
        </w:rPr>
        <w:t>Annual report of the</w:t>
      </w:r>
      <w:r w:rsidRPr="001558A5">
        <w:rPr>
          <w:rFonts w:cs="Times New Roman"/>
          <w:sz w:val="16"/>
          <w:szCs w:val="16"/>
          <w:lang w:val="en-US"/>
        </w:rPr>
        <w:t xml:space="preserve"> </w:t>
      </w:r>
      <w:r w:rsidR="00443040" w:rsidRPr="001558A5">
        <w:rPr>
          <w:rFonts w:cs="Times New Roman"/>
          <w:sz w:val="16"/>
          <w:szCs w:val="16"/>
          <w:lang w:val="en-US"/>
        </w:rPr>
        <w:t>United Nations High Commissioner for Human Rights</w:t>
      </w:r>
      <w:r w:rsidRPr="001558A5">
        <w:rPr>
          <w:rFonts w:cs="Times New Roman"/>
          <w:sz w:val="16"/>
          <w:szCs w:val="16"/>
          <w:lang w:val="en-US"/>
        </w:rPr>
        <w:t xml:space="preserve"> </w:t>
      </w:r>
      <w:r w:rsidR="007663B6" w:rsidRPr="001558A5">
        <w:rPr>
          <w:rFonts w:cs="Times New Roman"/>
          <w:sz w:val="16"/>
          <w:szCs w:val="16"/>
          <w:lang w:val="en-US"/>
        </w:rPr>
        <w:t>on the situation of human rights in Honduras,</w:t>
      </w:r>
      <w:r w:rsidRPr="001558A5">
        <w:rPr>
          <w:rFonts w:cs="Times New Roman"/>
          <w:sz w:val="16"/>
          <w:szCs w:val="16"/>
          <w:lang w:val="en-US"/>
        </w:rPr>
        <w:t xml:space="preserve"> A/HRC/37/3/Add.2, </w:t>
      </w:r>
      <w:r w:rsidR="007663B6" w:rsidRPr="001558A5">
        <w:rPr>
          <w:rFonts w:cs="Times New Roman"/>
          <w:sz w:val="16"/>
          <w:szCs w:val="16"/>
          <w:lang w:val="en-US"/>
        </w:rPr>
        <w:t>March 20,</w:t>
      </w:r>
      <w:r w:rsidRPr="001558A5">
        <w:rPr>
          <w:rFonts w:cs="Times New Roman"/>
          <w:sz w:val="16"/>
          <w:szCs w:val="16"/>
          <w:lang w:val="en-US"/>
        </w:rPr>
        <w:t xml:space="preserve"> 2018, </w:t>
      </w:r>
      <w:r w:rsidR="00B43A52" w:rsidRPr="001558A5">
        <w:rPr>
          <w:rFonts w:cs="Times New Roman"/>
          <w:sz w:val="16"/>
          <w:szCs w:val="16"/>
          <w:lang w:val="en-US"/>
        </w:rPr>
        <w:t>para.</w:t>
      </w:r>
      <w:r w:rsidRPr="001558A5">
        <w:rPr>
          <w:rFonts w:cs="Times New Roman"/>
          <w:sz w:val="16"/>
          <w:szCs w:val="16"/>
          <w:lang w:val="en-US"/>
        </w:rPr>
        <w:t xml:space="preserve"> 58. </w:t>
      </w:r>
    </w:p>
  </w:footnote>
  <w:footnote w:id="48">
    <w:p w14:paraId="3B683BA3" w14:textId="098FC18E"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871E19" w:rsidRPr="001558A5">
        <w:rPr>
          <w:rFonts w:cs="Times New Roman"/>
          <w:i/>
          <w:iCs/>
          <w:szCs w:val="16"/>
          <w:lang w:val="en-US"/>
        </w:rPr>
        <w:t>Cf.</w:t>
      </w:r>
      <w:r w:rsidRPr="001558A5">
        <w:rPr>
          <w:rFonts w:cs="Times New Roman"/>
          <w:szCs w:val="16"/>
          <w:lang w:val="en-US"/>
        </w:rPr>
        <w:t xml:space="preserve"> </w:t>
      </w:r>
      <w:r w:rsidR="00871E19" w:rsidRPr="001558A5">
        <w:rPr>
          <w:rFonts w:cs="Times New Roman"/>
          <w:i/>
          <w:iCs/>
          <w:szCs w:val="16"/>
          <w:lang w:val="en-US"/>
        </w:rPr>
        <w:t>Case of</w:t>
      </w:r>
      <w:r w:rsidRPr="001558A5">
        <w:rPr>
          <w:rFonts w:cs="Times New Roman"/>
          <w:i/>
          <w:iCs/>
          <w:szCs w:val="16"/>
          <w:lang w:val="en-US"/>
        </w:rPr>
        <w:t xml:space="preserve"> Azul Rojas </w:t>
      </w:r>
      <w:proofErr w:type="spellStart"/>
      <w:r w:rsidR="00C909B4" w:rsidRPr="001558A5">
        <w:rPr>
          <w:rFonts w:cs="Times New Roman"/>
          <w:i/>
          <w:iCs/>
          <w:szCs w:val="16"/>
          <w:lang w:val="en-US"/>
        </w:rPr>
        <w:t>Marín</w:t>
      </w:r>
      <w:proofErr w:type="spellEnd"/>
      <w:r w:rsidR="00C909B4" w:rsidRPr="001558A5">
        <w:rPr>
          <w:rFonts w:cs="Times New Roman"/>
          <w:i/>
          <w:iCs/>
          <w:szCs w:val="16"/>
          <w:lang w:val="en-US"/>
        </w:rPr>
        <w:t xml:space="preserve"> et al.</w:t>
      </w:r>
      <w:r w:rsidRPr="001558A5">
        <w:rPr>
          <w:rFonts w:cs="Times New Roman"/>
          <w:i/>
          <w:iCs/>
          <w:szCs w:val="16"/>
          <w:lang w:val="en-US"/>
        </w:rPr>
        <w:t xml:space="preserve"> </w:t>
      </w:r>
      <w:r w:rsidR="00871E19" w:rsidRPr="001558A5">
        <w:rPr>
          <w:rFonts w:cs="Times New Roman"/>
          <w:i/>
          <w:iCs/>
          <w:szCs w:val="16"/>
          <w:lang w:val="en-US"/>
        </w:rPr>
        <w:t>v.</w:t>
      </w:r>
      <w:r w:rsidRPr="001558A5">
        <w:rPr>
          <w:rFonts w:cs="Times New Roman"/>
          <w:i/>
          <w:iCs/>
          <w:szCs w:val="16"/>
          <w:lang w:val="en-US"/>
        </w:rPr>
        <w:t xml:space="preserve"> </w:t>
      </w:r>
      <w:r w:rsidR="00D11908" w:rsidRPr="001558A5">
        <w:rPr>
          <w:rFonts w:cs="Times New Roman"/>
          <w:i/>
          <w:iCs/>
          <w:szCs w:val="16"/>
          <w:lang w:val="en-US"/>
        </w:rPr>
        <w:t>Peru</w:t>
      </w:r>
      <w:r w:rsidRPr="001558A5">
        <w:rPr>
          <w:rFonts w:cs="Times New Roman"/>
          <w:i/>
          <w:iCs/>
          <w:szCs w:val="16"/>
          <w:lang w:val="en-US"/>
        </w:rPr>
        <w:t xml:space="preserve">. </w:t>
      </w:r>
      <w:r w:rsidR="00B43A52" w:rsidRPr="001558A5">
        <w:rPr>
          <w:rFonts w:cs="Times New Roman"/>
          <w:i/>
          <w:iCs/>
          <w:szCs w:val="16"/>
          <w:lang w:val="en-US"/>
        </w:rPr>
        <w:t>Preliminary objections, merits, reparations and costs</w:t>
      </w:r>
      <w:r w:rsidRPr="001558A5">
        <w:rPr>
          <w:rFonts w:cs="Times New Roman"/>
          <w:szCs w:val="16"/>
          <w:lang w:val="en-US"/>
        </w:rPr>
        <w:t xml:space="preserve">. </w:t>
      </w:r>
      <w:r w:rsidR="00871E19" w:rsidRPr="001558A5">
        <w:rPr>
          <w:rFonts w:cs="Times New Roman"/>
          <w:szCs w:val="16"/>
          <w:lang w:val="en-US"/>
        </w:rPr>
        <w:t>Judgment of</w:t>
      </w:r>
      <w:r w:rsidRPr="001558A5">
        <w:rPr>
          <w:rFonts w:cs="Times New Roman"/>
          <w:szCs w:val="16"/>
          <w:lang w:val="en-US"/>
        </w:rPr>
        <w:t xml:space="preserve"> </w:t>
      </w:r>
      <w:r w:rsidR="00C909B4" w:rsidRPr="001558A5">
        <w:rPr>
          <w:rFonts w:cs="Times New Roman"/>
          <w:szCs w:val="16"/>
          <w:lang w:val="en-US"/>
        </w:rPr>
        <w:t>March 12,</w:t>
      </w:r>
      <w:r w:rsidRPr="001558A5">
        <w:rPr>
          <w:rFonts w:cs="Times New Roman"/>
          <w:szCs w:val="16"/>
          <w:lang w:val="en-US"/>
        </w:rPr>
        <w:t xml:space="preserve"> 2020. </w:t>
      </w:r>
      <w:r w:rsidR="00B43A52" w:rsidRPr="001558A5">
        <w:rPr>
          <w:rFonts w:cs="Times New Roman"/>
          <w:szCs w:val="16"/>
          <w:lang w:val="en-US"/>
        </w:rPr>
        <w:t xml:space="preserve">Series </w:t>
      </w:r>
      <w:r w:rsidRPr="001558A5">
        <w:rPr>
          <w:rFonts w:cs="Times New Roman"/>
          <w:szCs w:val="16"/>
          <w:lang w:val="en-US"/>
        </w:rPr>
        <w:t xml:space="preserve">C No. 402, </w:t>
      </w:r>
      <w:r w:rsidR="00B43A52" w:rsidRPr="001558A5">
        <w:rPr>
          <w:rFonts w:cs="Times New Roman"/>
          <w:szCs w:val="16"/>
          <w:lang w:val="en-US"/>
        </w:rPr>
        <w:t>para.</w:t>
      </w:r>
      <w:r w:rsidRPr="001558A5">
        <w:rPr>
          <w:rFonts w:cs="Times New Roman"/>
          <w:szCs w:val="16"/>
          <w:lang w:val="en-US"/>
        </w:rPr>
        <w:t xml:space="preserve"> 46, </w:t>
      </w:r>
      <w:r w:rsidR="00C909B4" w:rsidRPr="001558A5">
        <w:rPr>
          <w:rFonts w:cs="Times New Roman"/>
          <w:szCs w:val="16"/>
          <w:lang w:val="en-US"/>
        </w:rPr>
        <w:t xml:space="preserve">and </w:t>
      </w:r>
      <w:r w:rsidR="00C909B4" w:rsidRPr="001558A5">
        <w:rPr>
          <w:rFonts w:eastAsia="Times New Roman" w:cs="Times New Roman"/>
          <w:bCs/>
          <w:i/>
          <w:szCs w:val="16"/>
          <w:lang w:val="en-US"/>
        </w:rPr>
        <w:t xml:space="preserve">Gender Identity, and Equality and Non-Discrimination with regard to Same-Sex Couples. State Obligations in relation to Change of Name, Gender Identity, and Rights deriving from a relationship between Same-Sex Couples (Interpretation and scope of Articles 1(1), 3, 7, 11(2), 13, 17, 18 and 24, in relation to Article 1, of the American Convention on Human Rights). </w:t>
      </w:r>
      <w:r w:rsidR="00C909B4" w:rsidRPr="001558A5">
        <w:rPr>
          <w:rFonts w:eastAsia="Times New Roman" w:cs="Times New Roman"/>
          <w:bCs/>
          <w:szCs w:val="16"/>
          <w:lang w:val="en-US"/>
        </w:rPr>
        <w:t xml:space="preserve">Advisory Opinion OC-24/17 of November 24, 2017. Series </w:t>
      </w:r>
      <w:proofErr w:type="gramStart"/>
      <w:r w:rsidR="00C909B4" w:rsidRPr="001558A5">
        <w:rPr>
          <w:rFonts w:eastAsia="Times New Roman" w:cs="Times New Roman"/>
          <w:bCs/>
          <w:szCs w:val="16"/>
          <w:lang w:val="en-US"/>
        </w:rPr>
        <w:t>A</w:t>
      </w:r>
      <w:proofErr w:type="gramEnd"/>
      <w:r w:rsidR="00C909B4" w:rsidRPr="001558A5">
        <w:rPr>
          <w:rFonts w:eastAsia="Times New Roman" w:cs="Times New Roman"/>
          <w:bCs/>
          <w:szCs w:val="16"/>
          <w:lang w:val="en-US"/>
        </w:rPr>
        <w:t xml:space="preserve"> No. 24</w:t>
      </w:r>
      <w:r w:rsidRPr="001558A5">
        <w:rPr>
          <w:rFonts w:cs="Times New Roman"/>
          <w:szCs w:val="16"/>
          <w:lang w:val="en-US"/>
        </w:rPr>
        <w:t xml:space="preserve">, </w:t>
      </w:r>
      <w:r w:rsidR="00B43A52" w:rsidRPr="001558A5">
        <w:rPr>
          <w:rFonts w:cs="Times New Roman"/>
          <w:szCs w:val="16"/>
          <w:lang w:val="en-US"/>
        </w:rPr>
        <w:t>para.</w:t>
      </w:r>
      <w:r w:rsidRPr="001558A5">
        <w:rPr>
          <w:rFonts w:cs="Times New Roman"/>
          <w:szCs w:val="16"/>
          <w:lang w:val="en-US"/>
        </w:rPr>
        <w:t xml:space="preserve"> 35. A</w:t>
      </w:r>
      <w:r w:rsidR="00C909B4" w:rsidRPr="001558A5">
        <w:rPr>
          <w:rFonts w:cs="Times New Roman"/>
          <w:szCs w:val="16"/>
          <w:lang w:val="en-US"/>
        </w:rPr>
        <w:t>lso</w:t>
      </w:r>
      <w:r w:rsidRPr="001558A5">
        <w:rPr>
          <w:rFonts w:cs="Times New Roman"/>
          <w:szCs w:val="16"/>
          <w:lang w:val="en-US"/>
        </w:rPr>
        <w:t>, O</w:t>
      </w:r>
      <w:r w:rsidR="00C909B4" w:rsidRPr="001558A5">
        <w:rPr>
          <w:rFonts w:cs="Times New Roman"/>
          <w:szCs w:val="16"/>
          <w:lang w:val="en-US"/>
        </w:rPr>
        <w:t>AS</w:t>
      </w:r>
      <w:r w:rsidRPr="001558A5">
        <w:rPr>
          <w:rFonts w:cs="Times New Roman"/>
          <w:szCs w:val="16"/>
          <w:lang w:val="en-US"/>
        </w:rPr>
        <w:t xml:space="preserve">, </w:t>
      </w:r>
      <w:r w:rsidR="00C909B4" w:rsidRPr="001558A5">
        <w:rPr>
          <w:rFonts w:cs="Times New Roman"/>
          <w:szCs w:val="16"/>
          <w:lang w:val="en-US"/>
        </w:rPr>
        <w:t xml:space="preserve">General Assembly resolutions: </w:t>
      </w:r>
      <w:r w:rsidRPr="001558A5">
        <w:rPr>
          <w:rFonts w:cs="Times New Roman"/>
          <w:szCs w:val="16"/>
          <w:lang w:val="en-US"/>
        </w:rPr>
        <w:t xml:space="preserve">AG/RES. 2928 (XLVIII-O/18), </w:t>
      </w:r>
      <w:r w:rsidR="00C909B4" w:rsidRPr="001558A5">
        <w:rPr>
          <w:rFonts w:cs="Times New Roman"/>
          <w:szCs w:val="16"/>
          <w:lang w:val="en-US"/>
        </w:rPr>
        <w:t>Promotion and Protection of Human Rights: (xii) Human rights and prevention of discrimination and violence against LGBTI persons</w:t>
      </w:r>
      <w:r w:rsidRPr="001558A5">
        <w:rPr>
          <w:rFonts w:cs="Times New Roman"/>
          <w:szCs w:val="16"/>
          <w:lang w:val="en-US"/>
        </w:rPr>
        <w:t>, a</w:t>
      </w:r>
      <w:r w:rsidR="00C909B4" w:rsidRPr="001558A5">
        <w:rPr>
          <w:rFonts w:cs="Times New Roman"/>
          <w:szCs w:val="16"/>
          <w:lang w:val="en-US"/>
        </w:rPr>
        <w:t xml:space="preserve">dopted at the fourth plenary session held on June 5, </w:t>
      </w:r>
      <w:r w:rsidRPr="001558A5">
        <w:rPr>
          <w:rFonts w:cs="Times New Roman"/>
          <w:szCs w:val="16"/>
          <w:lang w:val="en-US"/>
        </w:rPr>
        <w:t xml:space="preserve">2018; AG/RES. 2908 (XLVII-O/17), </w:t>
      </w:r>
      <w:r w:rsidR="00C909B4" w:rsidRPr="001558A5">
        <w:rPr>
          <w:rFonts w:cs="Times New Roman"/>
          <w:szCs w:val="16"/>
          <w:lang w:val="en-US"/>
        </w:rPr>
        <w:t xml:space="preserve">Human rights, </w:t>
      </w:r>
      <w:r w:rsidR="00675A99" w:rsidRPr="001558A5">
        <w:rPr>
          <w:rFonts w:cs="Times New Roman"/>
          <w:szCs w:val="16"/>
          <w:lang w:val="en-US"/>
        </w:rPr>
        <w:t>sexual orientation</w:t>
      </w:r>
      <w:r w:rsidRPr="001558A5">
        <w:rPr>
          <w:rFonts w:cs="Times New Roman"/>
          <w:szCs w:val="16"/>
          <w:lang w:val="en-US"/>
        </w:rPr>
        <w:t xml:space="preserve"> </w:t>
      </w:r>
      <w:r w:rsidR="00C909B4" w:rsidRPr="001558A5">
        <w:rPr>
          <w:rFonts w:cs="Times New Roman"/>
          <w:szCs w:val="16"/>
          <w:lang w:val="en-US"/>
        </w:rPr>
        <w:t xml:space="preserve">and gender identity and expression, June 21, </w:t>
      </w:r>
      <w:r w:rsidRPr="001558A5">
        <w:rPr>
          <w:rFonts w:cs="Times New Roman"/>
          <w:szCs w:val="16"/>
          <w:lang w:val="en-US"/>
        </w:rPr>
        <w:t xml:space="preserve">2017; AG/RES. 2887 (XLVI-O/16), </w:t>
      </w:r>
      <w:r w:rsidR="00C909B4" w:rsidRPr="001558A5">
        <w:rPr>
          <w:rFonts w:cs="Times New Roman"/>
          <w:szCs w:val="16"/>
          <w:lang w:val="en-US"/>
        </w:rPr>
        <w:t>Human rights, sexual orientation and gender identity and expression</w:t>
      </w:r>
      <w:r w:rsidRPr="001558A5">
        <w:rPr>
          <w:rFonts w:cs="Times New Roman"/>
          <w:szCs w:val="16"/>
          <w:lang w:val="en-US"/>
        </w:rPr>
        <w:t xml:space="preserve">, </w:t>
      </w:r>
      <w:r w:rsidR="00C909B4" w:rsidRPr="001558A5">
        <w:rPr>
          <w:rFonts w:cs="Times New Roman"/>
          <w:szCs w:val="16"/>
          <w:lang w:val="en-US"/>
        </w:rPr>
        <w:t>June 14,</w:t>
      </w:r>
      <w:r w:rsidRPr="001558A5">
        <w:rPr>
          <w:rFonts w:cs="Times New Roman"/>
          <w:szCs w:val="16"/>
          <w:lang w:val="en-US"/>
        </w:rPr>
        <w:t xml:space="preserve"> 2016; AG/RES. 2863 (XLIV-O/14), </w:t>
      </w:r>
      <w:r w:rsidR="00C909B4" w:rsidRPr="001558A5">
        <w:rPr>
          <w:rFonts w:cs="Times New Roman"/>
          <w:szCs w:val="16"/>
          <w:lang w:val="en-US"/>
        </w:rPr>
        <w:t xml:space="preserve">Human rights, sexual orientation and gender identity and expression June 5, </w:t>
      </w:r>
      <w:r w:rsidRPr="001558A5">
        <w:rPr>
          <w:rFonts w:cs="Times New Roman"/>
          <w:szCs w:val="16"/>
          <w:lang w:val="en-US"/>
        </w:rPr>
        <w:t xml:space="preserve">2014; AG/RES. 2807 (XLIII-O/13); AG/RES. 2600 (XL-O/10), </w:t>
      </w:r>
      <w:r w:rsidR="00C909B4" w:rsidRPr="001558A5">
        <w:rPr>
          <w:rFonts w:cs="Times New Roman"/>
          <w:szCs w:val="16"/>
          <w:lang w:val="en-US"/>
        </w:rPr>
        <w:t>Human rights</w:t>
      </w:r>
      <w:r w:rsidRPr="001558A5">
        <w:rPr>
          <w:rFonts w:cs="Times New Roman"/>
          <w:szCs w:val="16"/>
          <w:lang w:val="en-US"/>
        </w:rPr>
        <w:t xml:space="preserve">, </w:t>
      </w:r>
      <w:r w:rsidR="00675A99" w:rsidRPr="001558A5">
        <w:rPr>
          <w:rFonts w:cs="Times New Roman"/>
          <w:szCs w:val="16"/>
          <w:lang w:val="en-US"/>
        </w:rPr>
        <w:t>sexual orientation</w:t>
      </w:r>
      <w:r w:rsidR="00C909B4" w:rsidRPr="001558A5">
        <w:rPr>
          <w:rFonts w:cs="Times New Roman"/>
          <w:szCs w:val="16"/>
          <w:lang w:val="en-US"/>
        </w:rPr>
        <w:t xml:space="preserve"> and gender</w:t>
      </w:r>
      <w:r w:rsidR="00DF7573" w:rsidRPr="001558A5">
        <w:rPr>
          <w:rFonts w:cs="Times New Roman"/>
          <w:szCs w:val="16"/>
          <w:lang w:val="en-US"/>
        </w:rPr>
        <w:t xml:space="preserve"> identity</w:t>
      </w:r>
      <w:r w:rsidRPr="001558A5">
        <w:rPr>
          <w:rFonts w:cs="Times New Roman"/>
          <w:szCs w:val="16"/>
          <w:lang w:val="en-US"/>
        </w:rPr>
        <w:t xml:space="preserve">, </w:t>
      </w:r>
      <w:r w:rsidR="00C909B4" w:rsidRPr="001558A5">
        <w:rPr>
          <w:rFonts w:cs="Times New Roman"/>
          <w:szCs w:val="16"/>
          <w:lang w:val="en-US"/>
        </w:rPr>
        <w:t>June 8,</w:t>
      </w:r>
      <w:r w:rsidRPr="001558A5">
        <w:rPr>
          <w:rFonts w:cs="Times New Roman"/>
          <w:szCs w:val="16"/>
          <w:lang w:val="en-US"/>
        </w:rPr>
        <w:t xml:space="preserve"> 2010; AG/RES. 2504 (XXXIX-O/09), </w:t>
      </w:r>
      <w:r w:rsidR="00C909B4" w:rsidRPr="001558A5">
        <w:rPr>
          <w:rFonts w:cs="Times New Roman"/>
          <w:szCs w:val="16"/>
          <w:lang w:val="en-US"/>
        </w:rPr>
        <w:t>Human rights</w:t>
      </w:r>
      <w:r w:rsidRPr="001558A5">
        <w:rPr>
          <w:rFonts w:cs="Times New Roman"/>
          <w:szCs w:val="16"/>
          <w:lang w:val="en-US"/>
        </w:rPr>
        <w:t xml:space="preserve">, </w:t>
      </w:r>
      <w:r w:rsidR="00675A99" w:rsidRPr="001558A5">
        <w:rPr>
          <w:rFonts w:cs="Times New Roman"/>
          <w:szCs w:val="16"/>
          <w:lang w:val="en-US"/>
        </w:rPr>
        <w:t>sexual orientation</w:t>
      </w:r>
      <w:r w:rsidR="00C909B4" w:rsidRPr="001558A5">
        <w:rPr>
          <w:rFonts w:cs="Times New Roman"/>
          <w:szCs w:val="16"/>
          <w:lang w:val="en-US"/>
        </w:rPr>
        <w:t xml:space="preserve"> and gender</w:t>
      </w:r>
      <w:r w:rsidR="00DF7573" w:rsidRPr="001558A5">
        <w:rPr>
          <w:rFonts w:cs="Times New Roman"/>
          <w:szCs w:val="16"/>
          <w:lang w:val="en-US"/>
        </w:rPr>
        <w:t xml:space="preserve"> identity</w:t>
      </w:r>
      <w:r w:rsidRPr="001558A5">
        <w:rPr>
          <w:rFonts w:cs="Times New Roman"/>
          <w:szCs w:val="16"/>
          <w:lang w:val="en-US"/>
        </w:rPr>
        <w:t xml:space="preserve">, </w:t>
      </w:r>
      <w:r w:rsidR="00C909B4" w:rsidRPr="001558A5">
        <w:rPr>
          <w:rFonts w:cs="Times New Roman"/>
          <w:szCs w:val="16"/>
          <w:lang w:val="en-US"/>
        </w:rPr>
        <w:t>June 4,</w:t>
      </w:r>
      <w:r w:rsidRPr="001558A5">
        <w:rPr>
          <w:rFonts w:cs="Times New Roman"/>
          <w:szCs w:val="16"/>
          <w:lang w:val="en-US"/>
        </w:rPr>
        <w:t xml:space="preserve"> 2009,</w:t>
      </w:r>
      <w:r w:rsidR="00DD4354" w:rsidRPr="001558A5">
        <w:rPr>
          <w:rFonts w:cs="Times New Roman"/>
          <w:szCs w:val="16"/>
          <w:lang w:val="en-US"/>
        </w:rPr>
        <w:t xml:space="preserve"> and </w:t>
      </w:r>
      <w:r w:rsidRPr="001558A5">
        <w:rPr>
          <w:rFonts w:cs="Times New Roman"/>
          <w:szCs w:val="16"/>
          <w:lang w:val="en-US"/>
        </w:rPr>
        <w:t xml:space="preserve">AG/RES. 2435 (XXXVIII-O/08), </w:t>
      </w:r>
      <w:r w:rsidR="00C909B4" w:rsidRPr="001558A5">
        <w:rPr>
          <w:rFonts w:cs="Times New Roman"/>
          <w:szCs w:val="16"/>
          <w:lang w:val="en-US"/>
        </w:rPr>
        <w:t>Human rights</w:t>
      </w:r>
      <w:r w:rsidRPr="001558A5">
        <w:rPr>
          <w:rFonts w:cs="Times New Roman"/>
          <w:szCs w:val="16"/>
          <w:lang w:val="en-US"/>
        </w:rPr>
        <w:t xml:space="preserve">, </w:t>
      </w:r>
      <w:r w:rsidR="00675A99" w:rsidRPr="001558A5">
        <w:rPr>
          <w:rFonts w:cs="Times New Roman"/>
          <w:szCs w:val="16"/>
          <w:lang w:val="en-US"/>
        </w:rPr>
        <w:t>sexual orientation</w:t>
      </w:r>
      <w:r w:rsidR="00C909B4" w:rsidRPr="001558A5">
        <w:rPr>
          <w:rFonts w:cs="Times New Roman"/>
          <w:szCs w:val="16"/>
          <w:lang w:val="en-US"/>
        </w:rPr>
        <w:t xml:space="preserve"> and gender</w:t>
      </w:r>
      <w:r w:rsidR="00DF7573" w:rsidRPr="001558A5">
        <w:rPr>
          <w:rFonts w:cs="Times New Roman"/>
          <w:szCs w:val="16"/>
          <w:lang w:val="en-US"/>
        </w:rPr>
        <w:t xml:space="preserve"> identity</w:t>
      </w:r>
      <w:r w:rsidRPr="001558A5">
        <w:rPr>
          <w:rFonts w:cs="Times New Roman"/>
          <w:szCs w:val="16"/>
          <w:lang w:val="en-US"/>
        </w:rPr>
        <w:t xml:space="preserve">, </w:t>
      </w:r>
      <w:r w:rsidR="00C909B4" w:rsidRPr="001558A5">
        <w:rPr>
          <w:rFonts w:cs="Times New Roman"/>
          <w:szCs w:val="16"/>
          <w:lang w:val="en-US"/>
        </w:rPr>
        <w:t xml:space="preserve">June 3, </w:t>
      </w:r>
      <w:r w:rsidRPr="001558A5">
        <w:rPr>
          <w:rFonts w:cs="Times New Roman"/>
          <w:szCs w:val="16"/>
          <w:lang w:val="en-US"/>
        </w:rPr>
        <w:t>2008.</w:t>
      </w:r>
    </w:p>
  </w:footnote>
  <w:footnote w:id="49">
    <w:p w14:paraId="3FBF59D0" w14:textId="795A11BD"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lang w:val="en-US"/>
        </w:rPr>
        <w:t>Cf.</w:t>
      </w:r>
      <w:r w:rsidRPr="001558A5">
        <w:rPr>
          <w:i/>
          <w:lang w:val="en-US"/>
        </w:rPr>
        <w:t xml:space="preserve"> </w:t>
      </w:r>
      <w:r w:rsidR="00DE7CAC" w:rsidRPr="001558A5">
        <w:rPr>
          <w:lang w:val="en-US"/>
        </w:rPr>
        <w:t>Testimony of</w:t>
      </w:r>
      <w:r w:rsidRPr="001558A5">
        <w:rPr>
          <w:lang w:val="en-US"/>
        </w:rPr>
        <w:t xml:space="preserve"> Claudia </w:t>
      </w:r>
      <w:proofErr w:type="spellStart"/>
      <w:r w:rsidRPr="001558A5">
        <w:rPr>
          <w:lang w:val="en-US"/>
        </w:rPr>
        <w:t>Spellmant</w:t>
      </w:r>
      <w:proofErr w:type="spellEnd"/>
      <w:r w:rsidRPr="001558A5">
        <w:rPr>
          <w:lang w:val="en-US"/>
        </w:rPr>
        <w:t xml:space="preserve"> Sosa </w:t>
      </w:r>
      <w:r w:rsidR="00DE7CAC" w:rsidRPr="001558A5">
        <w:rPr>
          <w:lang w:val="en-US"/>
        </w:rPr>
        <w:t>during the public hearing in this case</w:t>
      </w:r>
      <w:r w:rsidRPr="001558A5">
        <w:rPr>
          <w:lang w:val="en-US"/>
        </w:rPr>
        <w:t xml:space="preserve"> </w:t>
      </w:r>
      <w:r w:rsidR="00DE7CAC" w:rsidRPr="001558A5">
        <w:rPr>
          <w:lang w:val="en-US"/>
        </w:rPr>
        <w:t>on November 11,</w:t>
      </w:r>
      <w:r w:rsidRPr="001558A5">
        <w:rPr>
          <w:lang w:val="en-US"/>
        </w:rPr>
        <w:t xml:space="preserve"> 2020.</w:t>
      </w:r>
    </w:p>
  </w:footnote>
  <w:footnote w:id="50">
    <w:p w14:paraId="5F866C09" w14:textId="4FFC5A06" w:rsidR="005977F6" w:rsidRPr="001558A5" w:rsidRDefault="005977F6" w:rsidP="000B2BB5">
      <w:pPr>
        <w:pStyle w:val="Sinespaciado"/>
        <w:tabs>
          <w:tab w:val="left" w:pos="360"/>
        </w:tabs>
        <w:spacing w:before="120" w:after="120"/>
        <w:jc w:val="both"/>
        <w:rPr>
          <w:rFonts w:ascii="Verdana" w:hAnsi="Verdana"/>
          <w:b/>
          <w:spacing w:val="-4"/>
          <w:sz w:val="16"/>
          <w:szCs w:val="16"/>
          <w:lang w:val="en-US"/>
        </w:rPr>
      </w:pPr>
      <w:r w:rsidRPr="001558A5">
        <w:rPr>
          <w:rStyle w:val="Refdenotaalpie"/>
          <w:rFonts w:ascii="Verdana" w:hAnsi="Verdana"/>
          <w:spacing w:val="-4"/>
          <w:sz w:val="16"/>
          <w:szCs w:val="16"/>
          <w:lang w:val="en-US"/>
        </w:rPr>
        <w:footnoteRef/>
      </w:r>
      <w:r w:rsidRPr="001558A5">
        <w:rPr>
          <w:rFonts w:ascii="Verdana" w:hAnsi="Verdana"/>
          <w:spacing w:val="-4"/>
          <w:sz w:val="16"/>
          <w:szCs w:val="16"/>
          <w:lang w:val="en-US"/>
        </w:rPr>
        <w:t xml:space="preserve"> </w:t>
      </w:r>
      <w:r w:rsidRPr="001558A5">
        <w:rPr>
          <w:rFonts w:ascii="Verdana" w:hAnsi="Verdana"/>
          <w:spacing w:val="-4"/>
          <w:sz w:val="16"/>
          <w:szCs w:val="16"/>
          <w:lang w:val="en-US"/>
        </w:rPr>
        <w:tab/>
      </w:r>
      <w:r w:rsidR="00871E19" w:rsidRPr="001558A5">
        <w:rPr>
          <w:rFonts w:ascii="Verdana" w:hAnsi="Verdana"/>
          <w:i/>
          <w:spacing w:val="-4"/>
          <w:sz w:val="16"/>
          <w:szCs w:val="16"/>
          <w:lang w:val="en-US"/>
        </w:rPr>
        <w:t>Cf.</w:t>
      </w:r>
      <w:r w:rsidRPr="001558A5">
        <w:rPr>
          <w:rFonts w:ascii="Verdana" w:hAnsi="Verdana"/>
          <w:i/>
          <w:spacing w:val="-4"/>
          <w:sz w:val="16"/>
          <w:szCs w:val="16"/>
          <w:lang w:val="en-US"/>
        </w:rPr>
        <w:t xml:space="preserve"> </w:t>
      </w:r>
      <w:r w:rsidR="00871E19" w:rsidRPr="001558A5">
        <w:rPr>
          <w:rFonts w:ascii="Verdana" w:hAnsi="Verdana"/>
          <w:i/>
          <w:iCs/>
          <w:spacing w:val="-4"/>
          <w:sz w:val="16"/>
          <w:szCs w:val="16"/>
          <w:lang w:val="en-US"/>
        </w:rPr>
        <w:t>Case of</w:t>
      </w:r>
      <w:r w:rsidRPr="001558A5">
        <w:rPr>
          <w:rFonts w:ascii="Verdana" w:hAnsi="Verdana"/>
          <w:i/>
          <w:iCs/>
          <w:spacing w:val="-4"/>
          <w:sz w:val="16"/>
          <w:szCs w:val="16"/>
          <w:lang w:val="en-US"/>
        </w:rPr>
        <w:t xml:space="preserve"> </w:t>
      </w:r>
      <w:proofErr w:type="spellStart"/>
      <w:r w:rsidRPr="001558A5">
        <w:rPr>
          <w:rFonts w:ascii="Verdana" w:hAnsi="Verdana"/>
          <w:i/>
          <w:iCs/>
          <w:spacing w:val="-4"/>
          <w:sz w:val="16"/>
          <w:szCs w:val="16"/>
          <w:lang w:val="en-US"/>
        </w:rPr>
        <w:t>López</w:t>
      </w:r>
      <w:proofErr w:type="spellEnd"/>
      <w:r w:rsidRPr="001558A5">
        <w:rPr>
          <w:rFonts w:ascii="Verdana" w:hAnsi="Verdana"/>
          <w:i/>
          <w:iCs/>
          <w:spacing w:val="-4"/>
          <w:sz w:val="16"/>
          <w:szCs w:val="16"/>
          <w:lang w:val="en-US"/>
        </w:rPr>
        <w:t xml:space="preserve"> Lone</w:t>
      </w:r>
      <w:r w:rsidR="00DD4354" w:rsidRPr="001558A5">
        <w:rPr>
          <w:rFonts w:ascii="Verdana" w:hAnsi="Verdana"/>
          <w:i/>
          <w:iCs/>
          <w:spacing w:val="-4"/>
          <w:sz w:val="16"/>
          <w:szCs w:val="16"/>
          <w:lang w:val="en-US"/>
        </w:rPr>
        <w:t xml:space="preserve"> </w:t>
      </w:r>
      <w:r w:rsidR="004F4F9C" w:rsidRPr="001558A5">
        <w:rPr>
          <w:rFonts w:ascii="Verdana" w:hAnsi="Verdana"/>
          <w:i/>
          <w:iCs/>
          <w:spacing w:val="-4"/>
          <w:sz w:val="16"/>
          <w:szCs w:val="16"/>
          <w:lang w:val="en-US"/>
        </w:rPr>
        <w:t>et al. v.</w:t>
      </w:r>
      <w:r w:rsidRPr="001558A5">
        <w:rPr>
          <w:rFonts w:ascii="Verdana" w:hAnsi="Verdana"/>
          <w:i/>
          <w:iCs/>
          <w:spacing w:val="-4"/>
          <w:sz w:val="16"/>
          <w:szCs w:val="16"/>
          <w:lang w:val="en-US"/>
        </w:rPr>
        <w:t xml:space="preserve"> Honduras. </w:t>
      </w:r>
      <w:r w:rsidR="00B43A52" w:rsidRPr="001558A5">
        <w:rPr>
          <w:rFonts w:ascii="Verdana" w:hAnsi="Verdana"/>
          <w:i/>
          <w:iCs/>
          <w:spacing w:val="-4"/>
          <w:sz w:val="16"/>
          <w:szCs w:val="16"/>
          <w:lang w:val="en-US"/>
        </w:rPr>
        <w:t>Preliminary objection, merits, reparations and costs</w:t>
      </w:r>
      <w:r w:rsidRPr="001558A5">
        <w:rPr>
          <w:rFonts w:ascii="Verdana" w:hAnsi="Verdana"/>
          <w:spacing w:val="-4"/>
          <w:sz w:val="16"/>
          <w:szCs w:val="16"/>
          <w:lang w:val="en-US"/>
        </w:rPr>
        <w:t xml:space="preserve">. </w:t>
      </w:r>
      <w:r w:rsidR="00871E19" w:rsidRPr="001558A5">
        <w:rPr>
          <w:rFonts w:ascii="Verdana" w:hAnsi="Verdana"/>
          <w:spacing w:val="-4"/>
          <w:sz w:val="16"/>
          <w:szCs w:val="16"/>
          <w:lang w:val="en-US"/>
        </w:rPr>
        <w:t>Judgment of</w:t>
      </w:r>
      <w:r w:rsidRPr="001558A5">
        <w:rPr>
          <w:rFonts w:ascii="Verdana" w:hAnsi="Verdana"/>
          <w:spacing w:val="-4"/>
          <w:sz w:val="16"/>
          <w:szCs w:val="16"/>
          <w:lang w:val="en-US"/>
        </w:rPr>
        <w:t xml:space="preserve"> </w:t>
      </w:r>
      <w:r w:rsidR="00651316" w:rsidRPr="001558A5">
        <w:rPr>
          <w:rFonts w:ascii="Verdana" w:hAnsi="Verdana"/>
          <w:spacing w:val="-4"/>
          <w:sz w:val="16"/>
          <w:szCs w:val="16"/>
          <w:lang w:val="en-US"/>
        </w:rPr>
        <w:t xml:space="preserve">October </w:t>
      </w:r>
      <w:r w:rsidRPr="001558A5">
        <w:rPr>
          <w:rFonts w:ascii="Verdana" w:hAnsi="Verdana"/>
          <w:spacing w:val="-4"/>
          <w:sz w:val="16"/>
          <w:szCs w:val="16"/>
          <w:lang w:val="en-US"/>
        </w:rPr>
        <w:t>5</w:t>
      </w:r>
      <w:r w:rsidR="00651316" w:rsidRPr="001558A5">
        <w:rPr>
          <w:rFonts w:ascii="Verdana" w:hAnsi="Verdana"/>
          <w:spacing w:val="-4"/>
          <w:sz w:val="16"/>
          <w:szCs w:val="16"/>
          <w:lang w:val="en-US"/>
        </w:rPr>
        <w:t xml:space="preserve">, </w:t>
      </w:r>
      <w:r w:rsidRPr="001558A5">
        <w:rPr>
          <w:rFonts w:ascii="Verdana" w:hAnsi="Verdana"/>
          <w:spacing w:val="-4"/>
          <w:sz w:val="16"/>
          <w:szCs w:val="16"/>
          <w:lang w:val="en-US"/>
        </w:rPr>
        <w:t xml:space="preserve">2015. </w:t>
      </w:r>
      <w:r w:rsidR="00B43A52" w:rsidRPr="001558A5">
        <w:rPr>
          <w:rFonts w:ascii="Verdana" w:hAnsi="Verdana"/>
          <w:spacing w:val="-4"/>
          <w:sz w:val="16"/>
          <w:szCs w:val="16"/>
          <w:lang w:val="en-US"/>
        </w:rPr>
        <w:t xml:space="preserve">Series </w:t>
      </w:r>
      <w:r w:rsidRPr="001558A5">
        <w:rPr>
          <w:rFonts w:ascii="Verdana" w:hAnsi="Verdana"/>
          <w:spacing w:val="-4"/>
          <w:sz w:val="16"/>
          <w:szCs w:val="16"/>
          <w:lang w:val="en-US"/>
        </w:rPr>
        <w:t>C No. 302, p</w:t>
      </w:r>
      <w:r w:rsidR="00651316" w:rsidRPr="001558A5">
        <w:rPr>
          <w:rFonts w:ascii="Verdana" w:hAnsi="Verdana"/>
          <w:spacing w:val="-4"/>
          <w:sz w:val="16"/>
          <w:szCs w:val="16"/>
          <w:lang w:val="en-US"/>
        </w:rPr>
        <w:t>ara.</w:t>
      </w:r>
      <w:r w:rsidRPr="001558A5">
        <w:rPr>
          <w:rFonts w:ascii="Verdana" w:hAnsi="Verdana"/>
          <w:spacing w:val="-4"/>
          <w:sz w:val="16"/>
          <w:szCs w:val="16"/>
          <w:lang w:val="en-US"/>
        </w:rPr>
        <w:t xml:space="preserve"> 50.</w:t>
      </w:r>
    </w:p>
  </w:footnote>
  <w:footnote w:id="51">
    <w:p w14:paraId="21554AF6" w14:textId="2902B343" w:rsidR="005977F6" w:rsidRPr="001558A5" w:rsidRDefault="005977F6" w:rsidP="000B2BB5">
      <w:pPr>
        <w:pStyle w:val="Sinespaciado"/>
        <w:tabs>
          <w:tab w:val="left" w:pos="360"/>
        </w:tabs>
        <w:spacing w:before="120" w:after="120"/>
        <w:jc w:val="both"/>
        <w:rPr>
          <w:rFonts w:ascii="Verdana" w:hAnsi="Verdana"/>
          <w:spacing w:val="-4"/>
          <w:sz w:val="16"/>
          <w:szCs w:val="16"/>
          <w:lang w:val="en-US"/>
        </w:rPr>
      </w:pPr>
      <w:r w:rsidRPr="001558A5">
        <w:rPr>
          <w:rStyle w:val="Refdenotaalpie"/>
          <w:rFonts w:ascii="Verdana" w:hAnsi="Verdana"/>
          <w:spacing w:val="-4"/>
          <w:sz w:val="16"/>
          <w:szCs w:val="16"/>
          <w:lang w:val="en-US"/>
        </w:rPr>
        <w:footnoteRef/>
      </w:r>
      <w:r w:rsidRPr="001558A5">
        <w:rPr>
          <w:rFonts w:ascii="Verdana" w:hAnsi="Verdana"/>
          <w:spacing w:val="-4"/>
          <w:sz w:val="16"/>
          <w:szCs w:val="16"/>
          <w:lang w:val="en-US"/>
        </w:rPr>
        <w:t xml:space="preserve"> </w:t>
      </w:r>
      <w:r w:rsidRPr="001558A5">
        <w:rPr>
          <w:rFonts w:ascii="Verdana" w:hAnsi="Verdana"/>
          <w:spacing w:val="-4"/>
          <w:sz w:val="16"/>
          <w:szCs w:val="16"/>
          <w:lang w:val="en-US"/>
        </w:rPr>
        <w:tab/>
      </w:r>
      <w:r w:rsidR="00871E19" w:rsidRPr="001558A5">
        <w:rPr>
          <w:rFonts w:ascii="Verdana" w:hAnsi="Verdana"/>
          <w:i/>
          <w:spacing w:val="-4"/>
          <w:sz w:val="16"/>
          <w:szCs w:val="16"/>
          <w:lang w:val="en-US"/>
        </w:rPr>
        <w:t>Cf.</w:t>
      </w:r>
      <w:r w:rsidRPr="001558A5">
        <w:rPr>
          <w:rFonts w:ascii="Verdana" w:hAnsi="Verdana"/>
          <w:i/>
          <w:spacing w:val="-4"/>
          <w:sz w:val="16"/>
          <w:szCs w:val="16"/>
          <w:lang w:val="en-US"/>
        </w:rPr>
        <w:t xml:space="preserve"> </w:t>
      </w:r>
      <w:r w:rsidR="00871E19" w:rsidRPr="001558A5">
        <w:rPr>
          <w:rFonts w:ascii="Verdana" w:hAnsi="Verdana"/>
          <w:i/>
          <w:iCs/>
          <w:spacing w:val="-4"/>
          <w:sz w:val="16"/>
          <w:szCs w:val="16"/>
          <w:lang w:val="en-US"/>
        </w:rPr>
        <w:t>Case of</w:t>
      </w:r>
      <w:r w:rsidRPr="001558A5">
        <w:rPr>
          <w:rFonts w:ascii="Verdana" w:hAnsi="Verdana"/>
          <w:i/>
          <w:iCs/>
          <w:spacing w:val="-4"/>
          <w:sz w:val="16"/>
          <w:szCs w:val="16"/>
          <w:lang w:val="en-US"/>
        </w:rPr>
        <w:t xml:space="preserve"> </w:t>
      </w:r>
      <w:proofErr w:type="spellStart"/>
      <w:r w:rsidRPr="001558A5">
        <w:rPr>
          <w:rFonts w:ascii="Verdana" w:hAnsi="Verdana"/>
          <w:i/>
          <w:iCs/>
          <w:spacing w:val="-4"/>
          <w:sz w:val="16"/>
          <w:szCs w:val="16"/>
          <w:lang w:val="en-US"/>
        </w:rPr>
        <w:t>López</w:t>
      </w:r>
      <w:proofErr w:type="spellEnd"/>
      <w:r w:rsidRPr="001558A5">
        <w:rPr>
          <w:rFonts w:ascii="Verdana" w:hAnsi="Verdana"/>
          <w:i/>
          <w:iCs/>
          <w:spacing w:val="-4"/>
          <w:sz w:val="16"/>
          <w:szCs w:val="16"/>
          <w:lang w:val="en-US"/>
        </w:rPr>
        <w:t xml:space="preserve"> Lone</w:t>
      </w:r>
      <w:r w:rsidR="00DD4354" w:rsidRPr="001558A5">
        <w:rPr>
          <w:rFonts w:ascii="Verdana" w:hAnsi="Verdana"/>
          <w:i/>
          <w:iCs/>
          <w:spacing w:val="-4"/>
          <w:sz w:val="16"/>
          <w:szCs w:val="16"/>
          <w:lang w:val="en-US"/>
        </w:rPr>
        <w:t xml:space="preserve"> </w:t>
      </w:r>
      <w:r w:rsidR="004F4F9C" w:rsidRPr="001558A5">
        <w:rPr>
          <w:rFonts w:ascii="Verdana" w:hAnsi="Verdana"/>
          <w:i/>
          <w:iCs/>
          <w:spacing w:val="-4"/>
          <w:sz w:val="16"/>
          <w:szCs w:val="16"/>
          <w:lang w:val="en-US"/>
        </w:rPr>
        <w:t>et al. v.</w:t>
      </w:r>
      <w:r w:rsidRPr="001558A5">
        <w:rPr>
          <w:rFonts w:ascii="Verdana" w:hAnsi="Verdana"/>
          <w:i/>
          <w:iCs/>
          <w:spacing w:val="-4"/>
          <w:sz w:val="16"/>
          <w:szCs w:val="16"/>
          <w:lang w:val="en-US"/>
        </w:rPr>
        <w:t xml:space="preserve"> Honduras</w:t>
      </w:r>
      <w:r w:rsidRPr="001558A5">
        <w:rPr>
          <w:rFonts w:ascii="Verdana" w:hAnsi="Verdana"/>
          <w:spacing w:val="-4"/>
          <w:sz w:val="16"/>
          <w:szCs w:val="16"/>
          <w:lang w:val="en-US"/>
        </w:rPr>
        <w:t>, supra</w:t>
      </w:r>
      <w:r w:rsidRPr="001558A5">
        <w:rPr>
          <w:rFonts w:ascii="Verdana" w:hAnsi="Verdana"/>
          <w:i/>
          <w:iCs/>
          <w:spacing w:val="-4"/>
          <w:sz w:val="16"/>
          <w:szCs w:val="16"/>
          <w:lang w:val="en-US"/>
        </w:rPr>
        <w:t>,</w:t>
      </w:r>
      <w:r w:rsidRPr="001558A5">
        <w:rPr>
          <w:rStyle w:val="Textoennegrita"/>
          <w:rFonts w:ascii="Verdana" w:eastAsiaTheme="majorEastAsia" w:hAnsi="Verdana"/>
          <w:b w:val="0"/>
          <w:bCs w:val="0"/>
          <w:color w:val="000000"/>
          <w:sz w:val="16"/>
          <w:szCs w:val="16"/>
          <w:lang w:val="en-US"/>
        </w:rPr>
        <w:t xml:space="preserve"> </w:t>
      </w:r>
      <w:r w:rsidR="00B43A52" w:rsidRPr="001558A5">
        <w:rPr>
          <w:rFonts w:ascii="Verdana" w:hAnsi="Verdana"/>
          <w:spacing w:val="-4"/>
          <w:sz w:val="16"/>
          <w:szCs w:val="16"/>
          <w:lang w:val="en-US"/>
        </w:rPr>
        <w:t>para.</w:t>
      </w:r>
      <w:r w:rsidRPr="001558A5">
        <w:rPr>
          <w:rFonts w:ascii="Verdana" w:hAnsi="Verdana"/>
          <w:spacing w:val="-4"/>
          <w:sz w:val="16"/>
          <w:szCs w:val="16"/>
          <w:lang w:val="en-US"/>
        </w:rPr>
        <w:t xml:space="preserve"> 51.</w:t>
      </w:r>
    </w:p>
  </w:footnote>
  <w:footnote w:id="52">
    <w:p w14:paraId="60298D84" w14:textId="13D65A21" w:rsidR="005977F6" w:rsidRPr="001558A5" w:rsidRDefault="005977F6" w:rsidP="000B2BB5">
      <w:pPr>
        <w:pStyle w:val="Sinespaciado"/>
        <w:tabs>
          <w:tab w:val="left" w:pos="360"/>
        </w:tabs>
        <w:spacing w:before="120" w:after="120"/>
        <w:jc w:val="both"/>
        <w:rPr>
          <w:rFonts w:ascii="Verdana" w:hAnsi="Verdana"/>
          <w:spacing w:val="-4"/>
          <w:sz w:val="16"/>
          <w:szCs w:val="16"/>
          <w:lang w:val="en-US"/>
        </w:rPr>
      </w:pPr>
      <w:r w:rsidRPr="001558A5">
        <w:rPr>
          <w:rStyle w:val="Refdenotaalpie"/>
          <w:rFonts w:ascii="Verdana" w:hAnsi="Verdana"/>
          <w:spacing w:val="-4"/>
          <w:sz w:val="16"/>
          <w:szCs w:val="16"/>
          <w:lang w:val="en-US"/>
        </w:rPr>
        <w:footnoteRef/>
      </w:r>
      <w:r w:rsidRPr="001558A5">
        <w:rPr>
          <w:rFonts w:ascii="Verdana" w:hAnsi="Verdana"/>
          <w:spacing w:val="-4"/>
          <w:sz w:val="16"/>
          <w:szCs w:val="16"/>
          <w:lang w:val="en-US"/>
        </w:rPr>
        <w:t xml:space="preserve"> </w:t>
      </w:r>
      <w:r w:rsidRPr="001558A5">
        <w:rPr>
          <w:rFonts w:ascii="Verdana" w:hAnsi="Verdana"/>
          <w:spacing w:val="-4"/>
          <w:sz w:val="16"/>
          <w:szCs w:val="16"/>
          <w:lang w:val="en-US"/>
        </w:rPr>
        <w:tab/>
      </w:r>
      <w:r w:rsidR="00871E19" w:rsidRPr="001558A5">
        <w:rPr>
          <w:rFonts w:ascii="Verdana" w:hAnsi="Verdana"/>
          <w:i/>
          <w:iCs/>
          <w:spacing w:val="-4"/>
          <w:sz w:val="16"/>
          <w:szCs w:val="16"/>
          <w:lang w:val="en-US"/>
        </w:rPr>
        <w:t>Cf.</w:t>
      </w:r>
      <w:r w:rsidRPr="001558A5">
        <w:rPr>
          <w:rFonts w:ascii="Verdana" w:hAnsi="Verdana"/>
          <w:spacing w:val="-4"/>
          <w:sz w:val="16"/>
          <w:szCs w:val="16"/>
          <w:lang w:val="en-US"/>
        </w:rPr>
        <w:t xml:space="preserve"> </w:t>
      </w:r>
      <w:r w:rsidR="00443040" w:rsidRPr="001558A5">
        <w:rPr>
          <w:rFonts w:ascii="Verdana" w:hAnsi="Verdana"/>
          <w:spacing w:val="-4"/>
          <w:sz w:val="16"/>
          <w:szCs w:val="16"/>
          <w:lang w:val="en-US"/>
        </w:rPr>
        <w:t>United Nations</w:t>
      </w:r>
      <w:r w:rsidRPr="001558A5">
        <w:rPr>
          <w:rFonts w:ascii="Verdana" w:hAnsi="Verdana"/>
          <w:spacing w:val="-4"/>
          <w:sz w:val="16"/>
          <w:szCs w:val="16"/>
          <w:lang w:val="en-US"/>
        </w:rPr>
        <w:t xml:space="preserve">, </w:t>
      </w:r>
      <w:r w:rsidR="00443040" w:rsidRPr="001558A5">
        <w:rPr>
          <w:rFonts w:ascii="Verdana" w:hAnsi="Verdana"/>
          <w:spacing w:val="-4"/>
          <w:sz w:val="16"/>
          <w:szCs w:val="16"/>
          <w:lang w:val="en-US"/>
        </w:rPr>
        <w:t>Report of the United Nations High Commissioner for Human Rights</w:t>
      </w:r>
      <w:r w:rsidR="00032F38" w:rsidRPr="001558A5">
        <w:rPr>
          <w:rFonts w:ascii="Verdana" w:hAnsi="Verdana"/>
          <w:spacing w:val="-4"/>
          <w:sz w:val="16"/>
          <w:szCs w:val="16"/>
          <w:lang w:val="en-US"/>
        </w:rPr>
        <w:t xml:space="preserve"> </w:t>
      </w:r>
      <w:r w:rsidR="00032F38" w:rsidRPr="001558A5">
        <w:rPr>
          <w:rFonts w:ascii="Verdana" w:hAnsi="Verdana"/>
          <w:sz w:val="16"/>
          <w:szCs w:val="16"/>
          <w:lang w:val="en-US"/>
        </w:rPr>
        <w:t xml:space="preserve">on the violations of human rights in Honduras since the coup d’état on 28 June 2009. A/HRC/13/66, </w:t>
      </w:r>
      <w:r w:rsidR="00032F38" w:rsidRPr="001558A5">
        <w:rPr>
          <w:rFonts w:ascii="Verdana" w:hAnsi="Verdana"/>
          <w:spacing w:val="-4"/>
          <w:sz w:val="16"/>
          <w:szCs w:val="16"/>
          <w:lang w:val="en-US"/>
        </w:rPr>
        <w:t xml:space="preserve">March 3, </w:t>
      </w:r>
      <w:r w:rsidRPr="001558A5">
        <w:rPr>
          <w:rFonts w:ascii="Verdana" w:hAnsi="Verdana"/>
          <w:spacing w:val="-4"/>
          <w:sz w:val="16"/>
          <w:szCs w:val="16"/>
          <w:lang w:val="en-US"/>
        </w:rPr>
        <w:t xml:space="preserve">2010, </w:t>
      </w:r>
      <w:r w:rsidR="00B43A52" w:rsidRPr="001558A5">
        <w:rPr>
          <w:rFonts w:ascii="Verdana" w:hAnsi="Verdana"/>
          <w:spacing w:val="-4"/>
          <w:sz w:val="16"/>
          <w:szCs w:val="16"/>
          <w:lang w:val="en-US"/>
        </w:rPr>
        <w:t>para.</w:t>
      </w:r>
      <w:r w:rsidRPr="001558A5">
        <w:rPr>
          <w:rFonts w:ascii="Verdana" w:hAnsi="Verdana"/>
          <w:spacing w:val="-4"/>
          <w:sz w:val="16"/>
          <w:szCs w:val="16"/>
          <w:lang w:val="en-US"/>
        </w:rPr>
        <w:t xml:space="preserve"> 32.</w:t>
      </w:r>
    </w:p>
  </w:footnote>
  <w:footnote w:id="53">
    <w:p w14:paraId="1D703FFE" w14:textId="7CFF3F6C" w:rsidR="005977F6" w:rsidRPr="001558A5" w:rsidRDefault="005977F6" w:rsidP="000B2BB5">
      <w:pPr>
        <w:pStyle w:val="Textonotapie"/>
        <w:tabs>
          <w:tab w:val="left" w:pos="360"/>
        </w:tabs>
        <w:rPr>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iCs/>
          <w:szCs w:val="16"/>
          <w:lang w:val="en-US"/>
        </w:rPr>
        <w:t>Cf.</w:t>
      </w:r>
      <w:r w:rsidRPr="001558A5">
        <w:rPr>
          <w:szCs w:val="16"/>
          <w:lang w:val="en-US"/>
        </w:rPr>
        <w:t xml:space="preserve"> </w:t>
      </w:r>
      <w:r w:rsidR="00871E19" w:rsidRPr="001558A5">
        <w:rPr>
          <w:i/>
          <w:iCs/>
          <w:szCs w:val="16"/>
          <w:lang w:val="en-US"/>
        </w:rPr>
        <w:t>C</w:t>
      </w:r>
      <w:r w:rsidR="00871E19" w:rsidRPr="001558A5">
        <w:rPr>
          <w:i/>
          <w:iCs/>
          <w:lang w:val="en-US"/>
        </w:rPr>
        <w:t>ase of</w:t>
      </w:r>
      <w:r w:rsidRPr="001558A5">
        <w:rPr>
          <w:i/>
          <w:iCs/>
          <w:lang w:val="en-US"/>
        </w:rPr>
        <w:t xml:space="preserve"> </w:t>
      </w:r>
      <w:proofErr w:type="spellStart"/>
      <w:r w:rsidRPr="001558A5">
        <w:rPr>
          <w:i/>
          <w:iCs/>
          <w:lang w:val="en-US"/>
        </w:rPr>
        <w:t>López</w:t>
      </w:r>
      <w:proofErr w:type="spellEnd"/>
      <w:r w:rsidRPr="001558A5">
        <w:rPr>
          <w:i/>
          <w:iCs/>
          <w:lang w:val="en-US"/>
        </w:rPr>
        <w:t xml:space="preserve"> Lone</w:t>
      </w:r>
      <w:r w:rsidR="00DD4354" w:rsidRPr="001558A5">
        <w:rPr>
          <w:i/>
          <w:iCs/>
          <w:lang w:val="en-US"/>
        </w:rPr>
        <w:t xml:space="preserve"> </w:t>
      </w:r>
      <w:r w:rsidR="004F4F9C" w:rsidRPr="001558A5">
        <w:rPr>
          <w:i/>
          <w:iCs/>
          <w:lang w:val="en-US"/>
        </w:rPr>
        <w:t>et al. v.</w:t>
      </w:r>
      <w:r w:rsidRPr="001558A5">
        <w:rPr>
          <w:i/>
          <w:iCs/>
          <w:lang w:val="en-US"/>
        </w:rPr>
        <w:t xml:space="preserve"> Honduras</w:t>
      </w:r>
      <w:r w:rsidRPr="001558A5">
        <w:rPr>
          <w:lang w:val="en-US"/>
        </w:rPr>
        <w:t xml:space="preserve">, </w:t>
      </w:r>
      <w:r w:rsidRPr="001558A5">
        <w:rPr>
          <w:i/>
          <w:iCs/>
          <w:lang w:val="en-US"/>
        </w:rPr>
        <w:t>supra</w:t>
      </w:r>
      <w:r w:rsidRPr="001558A5">
        <w:rPr>
          <w:lang w:val="en-US"/>
        </w:rPr>
        <w:t xml:space="preserve">, </w:t>
      </w:r>
      <w:r w:rsidR="005542C0" w:rsidRPr="001558A5">
        <w:rPr>
          <w:lang w:val="en-US"/>
        </w:rPr>
        <w:t xml:space="preserve">footnote </w:t>
      </w:r>
      <w:r w:rsidRPr="001558A5">
        <w:rPr>
          <w:lang w:val="en-US"/>
        </w:rPr>
        <w:t xml:space="preserve">66. </w:t>
      </w:r>
    </w:p>
  </w:footnote>
  <w:footnote w:id="54">
    <w:p w14:paraId="2985CA9D" w14:textId="6ACB1E99"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5542C0" w:rsidRPr="001558A5">
        <w:rPr>
          <w:lang w:val="en-US"/>
        </w:rPr>
        <w:t>National Observatory</w:t>
      </w:r>
      <w:r w:rsidR="00D135E2" w:rsidRPr="001558A5">
        <w:rPr>
          <w:lang w:val="en-US"/>
        </w:rPr>
        <w:t xml:space="preserve"> on Violence</w:t>
      </w:r>
      <w:r w:rsidR="005542C0" w:rsidRPr="001558A5">
        <w:rPr>
          <w:lang w:val="en-US"/>
        </w:rPr>
        <w:t xml:space="preserve"> of the </w:t>
      </w:r>
      <w:r w:rsidRPr="001558A5">
        <w:rPr>
          <w:lang w:val="en-US"/>
        </w:rPr>
        <w:t xml:space="preserve">Universidad Nacional </w:t>
      </w:r>
      <w:proofErr w:type="spellStart"/>
      <w:r w:rsidRPr="001558A5">
        <w:rPr>
          <w:lang w:val="en-US"/>
        </w:rPr>
        <w:t>Autónoma</w:t>
      </w:r>
      <w:proofErr w:type="spellEnd"/>
      <w:r w:rsidRPr="001558A5">
        <w:rPr>
          <w:lang w:val="en-US"/>
        </w:rPr>
        <w:t xml:space="preserve"> de Honduras (UNAH), </w:t>
      </w:r>
      <w:r w:rsidR="005542C0" w:rsidRPr="001558A5">
        <w:rPr>
          <w:lang w:val="en-US"/>
        </w:rPr>
        <w:t>Communication</w:t>
      </w:r>
      <w:r w:rsidRPr="001558A5">
        <w:rPr>
          <w:lang w:val="en-US"/>
        </w:rPr>
        <w:t xml:space="preserve"> 013-2021-IUDPAS (</w:t>
      </w:r>
      <w:r w:rsidR="00D11908" w:rsidRPr="001558A5">
        <w:rPr>
          <w:lang w:val="en-US"/>
        </w:rPr>
        <w:t>evidence file</w:t>
      </w:r>
      <w:r w:rsidRPr="001558A5">
        <w:rPr>
          <w:lang w:val="en-US"/>
        </w:rPr>
        <w:t xml:space="preserve">, folio 1644 </w:t>
      </w:r>
      <w:r w:rsidR="005542C0" w:rsidRPr="001558A5">
        <w:rPr>
          <w:lang w:val="en-US"/>
        </w:rPr>
        <w:t>to</w:t>
      </w:r>
      <w:r w:rsidRPr="001558A5">
        <w:rPr>
          <w:lang w:val="en-US"/>
        </w:rPr>
        <w:t xml:space="preserve"> 1650). </w:t>
      </w:r>
    </w:p>
  </w:footnote>
  <w:footnote w:id="55">
    <w:p w14:paraId="26C28D14" w14:textId="5AC62124"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443040" w:rsidRPr="001558A5">
        <w:rPr>
          <w:lang w:val="en-US"/>
        </w:rPr>
        <w:t>United Nations</w:t>
      </w:r>
      <w:r w:rsidRPr="001558A5">
        <w:rPr>
          <w:lang w:val="en-US"/>
        </w:rPr>
        <w:t xml:space="preserve">, </w:t>
      </w:r>
      <w:r w:rsidR="00443040" w:rsidRPr="001558A5">
        <w:rPr>
          <w:lang w:val="en-US"/>
        </w:rPr>
        <w:t>Report of the United Nations High Commissioner for Human Rights</w:t>
      </w:r>
      <w:r w:rsidRPr="001558A5">
        <w:rPr>
          <w:lang w:val="en-US"/>
        </w:rPr>
        <w:t xml:space="preserve"> </w:t>
      </w:r>
      <w:r w:rsidR="00032F38" w:rsidRPr="001558A5">
        <w:rPr>
          <w:rFonts w:cs="Times New Roman"/>
          <w:szCs w:val="16"/>
          <w:lang w:val="en-US"/>
        </w:rPr>
        <w:t xml:space="preserve">on the violations of human rights in Honduras since the coup d’état on 28 June 2009. A/HRC/13/66, </w:t>
      </w:r>
      <w:r w:rsidR="00032F38" w:rsidRPr="001558A5">
        <w:rPr>
          <w:spacing w:val="-4"/>
          <w:szCs w:val="16"/>
          <w:lang w:val="en-US"/>
        </w:rPr>
        <w:t xml:space="preserve">March 3, </w:t>
      </w:r>
      <w:r w:rsidRPr="001558A5">
        <w:rPr>
          <w:lang w:val="en-US"/>
        </w:rPr>
        <w:t xml:space="preserve">2010, </w:t>
      </w:r>
      <w:r w:rsidR="00B43A52" w:rsidRPr="001558A5">
        <w:rPr>
          <w:lang w:val="en-US"/>
        </w:rPr>
        <w:t>para.</w:t>
      </w:r>
      <w:r w:rsidRPr="001558A5">
        <w:rPr>
          <w:lang w:val="en-US"/>
        </w:rPr>
        <w:t xml:space="preserve"> 19.</w:t>
      </w:r>
    </w:p>
  </w:footnote>
  <w:footnote w:id="56">
    <w:p w14:paraId="0D96FA63" w14:textId="0BEB333B" w:rsidR="005977F6" w:rsidRPr="001558A5" w:rsidRDefault="005977F6" w:rsidP="00120416">
      <w:pPr>
        <w:pStyle w:val="Textonotapie"/>
        <w:tabs>
          <w:tab w:val="left" w:pos="360"/>
        </w:tabs>
        <w:rPr>
          <w:color w:val="000000" w:themeColor="text1"/>
          <w:szCs w:val="16"/>
          <w:lang w:val="en-US"/>
        </w:rPr>
      </w:pPr>
      <w:r w:rsidRPr="001558A5">
        <w:rPr>
          <w:rStyle w:val="Refdenotaalpie"/>
          <w:szCs w:val="16"/>
          <w:lang w:val="en-US"/>
        </w:rPr>
        <w:footnoteRef/>
      </w:r>
      <w:r w:rsidRPr="001558A5">
        <w:rPr>
          <w:szCs w:val="16"/>
          <w:lang w:val="en-US"/>
        </w:rPr>
        <w:t xml:space="preserve">  </w:t>
      </w:r>
      <w:r w:rsidR="00120416" w:rsidRPr="001558A5">
        <w:rPr>
          <w:szCs w:val="16"/>
          <w:lang w:val="en-US"/>
        </w:rPr>
        <w:tab/>
      </w:r>
      <w:r w:rsidR="00871E19" w:rsidRPr="001558A5">
        <w:rPr>
          <w:i/>
          <w:color w:val="000000" w:themeColor="text1"/>
          <w:szCs w:val="16"/>
          <w:lang w:val="en-US"/>
        </w:rPr>
        <w:t>Cf.</w:t>
      </w:r>
      <w:r w:rsidRPr="001558A5">
        <w:rPr>
          <w:color w:val="000000" w:themeColor="text1"/>
          <w:szCs w:val="16"/>
          <w:lang w:val="en-US"/>
        </w:rPr>
        <w:t xml:space="preserve"> </w:t>
      </w:r>
      <w:r w:rsidR="00DE7CAC" w:rsidRPr="001558A5">
        <w:rPr>
          <w:rFonts w:eastAsiaTheme="minorHAnsi" w:cs="Times New Roman"/>
          <w:color w:val="000000" w:themeColor="text1"/>
          <w:szCs w:val="16"/>
          <w:lang w:val="en-US"/>
        </w:rPr>
        <w:t>Socio-economic report</w:t>
      </w:r>
      <w:r w:rsidRPr="001558A5">
        <w:rPr>
          <w:rFonts w:eastAsiaTheme="minorHAnsi" w:cs="Times New Roman"/>
          <w:color w:val="000000" w:themeColor="text1"/>
          <w:szCs w:val="16"/>
          <w:lang w:val="en-US"/>
        </w:rPr>
        <w:t xml:space="preserve">, </w:t>
      </w:r>
      <w:proofErr w:type="spellStart"/>
      <w:r w:rsidRPr="001558A5">
        <w:rPr>
          <w:rFonts w:eastAsiaTheme="minorHAnsi" w:cs="Times New Roman"/>
          <w:color w:val="000000" w:themeColor="text1"/>
          <w:szCs w:val="16"/>
          <w:lang w:val="en-US"/>
        </w:rPr>
        <w:t>Cat</w:t>
      </w:r>
      <w:r w:rsidR="00120416" w:rsidRPr="001558A5">
        <w:rPr>
          <w:rFonts w:eastAsiaTheme="minorHAnsi" w:cs="Times New Roman"/>
          <w:color w:val="000000" w:themeColor="text1"/>
          <w:szCs w:val="16"/>
          <w:lang w:val="en-US"/>
        </w:rPr>
        <w:t>t</w:t>
      </w:r>
      <w:r w:rsidRPr="001558A5">
        <w:rPr>
          <w:rFonts w:eastAsiaTheme="minorHAnsi" w:cs="Times New Roman"/>
          <w:color w:val="000000" w:themeColor="text1"/>
          <w:szCs w:val="16"/>
          <w:lang w:val="en-US"/>
        </w:rPr>
        <w:t>rachas</w:t>
      </w:r>
      <w:proofErr w:type="spellEnd"/>
      <w:r w:rsidRPr="001558A5">
        <w:rPr>
          <w:rFonts w:eastAsiaTheme="minorHAnsi" w:cs="Times New Roman"/>
          <w:color w:val="000000" w:themeColor="text1"/>
          <w:szCs w:val="16"/>
          <w:lang w:val="en-US"/>
        </w:rPr>
        <w:t xml:space="preserve">, </w:t>
      </w:r>
      <w:r w:rsidR="00DE7CAC" w:rsidRPr="001558A5">
        <w:rPr>
          <w:rFonts w:eastAsiaTheme="minorHAnsi" w:cs="Times New Roman"/>
          <w:color w:val="000000" w:themeColor="text1"/>
          <w:szCs w:val="16"/>
          <w:lang w:val="en-US"/>
        </w:rPr>
        <w:t xml:space="preserve">March 2, </w:t>
      </w:r>
      <w:r w:rsidRPr="001558A5">
        <w:rPr>
          <w:rFonts w:eastAsiaTheme="minorHAnsi" w:cs="Times New Roman"/>
          <w:color w:val="000000" w:themeColor="text1"/>
          <w:szCs w:val="16"/>
          <w:lang w:val="en-US"/>
        </w:rPr>
        <w:t>2017</w:t>
      </w:r>
      <w:r w:rsidRPr="001558A5">
        <w:rPr>
          <w:szCs w:val="16"/>
          <w:lang w:val="en-US"/>
        </w:rPr>
        <w:t xml:space="preserve"> (</w:t>
      </w:r>
      <w:r w:rsidR="00D11908" w:rsidRPr="001558A5">
        <w:rPr>
          <w:szCs w:val="16"/>
          <w:lang w:val="en-US"/>
        </w:rPr>
        <w:t>evidence file</w:t>
      </w:r>
      <w:r w:rsidRPr="001558A5">
        <w:rPr>
          <w:szCs w:val="16"/>
          <w:lang w:val="en-US"/>
        </w:rPr>
        <w:t xml:space="preserve">, folios 4 </w:t>
      </w:r>
      <w:r w:rsidR="00DE7CAC" w:rsidRPr="001558A5">
        <w:rPr>
          <w:szCs w:val="16"/>
          <w:lang w:val="en-US"/>
        </w:rPr>
        <w:t>to</w:t>
      </w:r>
      <w:r w:rsidRPr="001558A5">
        <w:rPr>
          <w:szCs w:val="16"/>
          <w:lang w:val="en-US"/>
        </w:rPr>
        <w:t xml:space="preserve"> 13).</w:t>
      </w:r>
    </w:p>
  </w:footnote>
  <w:footnote w:id="57">
    <w:p w14:paraId="284B60D2" w14:textId="77C4E9E4" w:rsidR="005977F6" w:rsidRPr="001558A5" w:rsidRDefault="005977F6" w:rsidP="00120416">
      <w:pPr>
        <w:pStyle w:val="Textonotapie"/>
        <w:tabs>
          <w:tab w:val="left" w:pos="360"/>
        </w:tabs>
        <w:ind w:left="709" w:hanging="709"/>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lang w:val="en-US"/>
        </w:rPr>
        <w:t>Cf.</w:t>
      </w:r>
      <w:r w:rsidRPr="001558A5">
        <w:rPr>
          <w:i/>
          <w:lang w:val="en-US"/>
        </w:rPr>
        <w:t xml:space="preserve"> </w:t>
      </w:r>
      <w:r w:rsidR="00DE7CAC" w:rsidRPr="001558A5">
        <w:rPr>
          <w:lang w:val="en-US"/>
        </w:rPr>
        <w:t>Testimony of</w:t>
      </w:r>
      <w:r w:rsidRPr="001558A5">
        <w:rPr>
          <w:lang w:val="en-US"/>
        </w:rPr>
        <w:t xml:space="preserve"> Claudia </w:t>
      </w:r>
      <w:proofErr w:type="spellStart"/>
      <w:r w:rsidRPr="001558A5">
        <w:rPr>
          <w:lang w:val="en-US"/>
        </w:rPr>
        <w:t>Spellmant</w:t>
      </w:r>
      <w:proofErr w:type="spellEnd"/>
      <w:r w:rsidRPr="001558A5">
        <w:rPr>
          <w:lang w:val="en-US"/>
        </w:rPr>
        <w:t xml:space="preserve"> Sosa </w:t>
      </w:r>
      <w:r w:rsidR="00DE7CAC" w:rsidRPr="001558A5">
        <w:rPr>
          <w:lang w:val="en-US"/>
        </w:rPr>
        <w:t>during the public hearing in this case</w:t>
      </w:r>
      <w:r w:rsidRPr="001558A5">
        <w:rPr>
          <w:lang w:val="en-US"/>
        </w:rPr>
        <w:t xml:space="preserve"> </w:t>
      </w:r>
      <w:r w:rsidR="00DE7CAC" w:rsidRPr="001558A5">
        <w:rPr>
          <w:lang w:val="en-US"/>
        </w:rPr>
        <w:t>on November 11,</w:t>
      </w:r>
      <w:r w:rsidRPr="001558A5">
        <w:rPr>
          <w:lang w:val="en-US"/>
        </w:rPr>
        <w:t xml:space="preserve"> 2020.</w:t>
      </w:r>
    </w:p>
  </w:footnote>
  <w:footnote w:id="58">
    <w:p w14:paraId="3EC1983B" w14:textId="20CD4A86" w:rsidR="005977F6" w:rsidRPr="001558A5" w:rsidRDefault="005977F6" w:rsidP="00120416">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szCs w:val="16"/>
          <w:lang w:val="en-US"/>
        </w:rPr>
        <w:t>Cf.</w:t>
      </w:r>
      <w:r w:rsidRPr="001558A5">
        <w:rPr>
          <w:i/>
          <w:szCs w:val="16"/>
          <w:lang w:val="en-US"/>
        </w:rPr>
        <w:t xml:space="preserve"> </w:t>
      </w:r>
      <w:r w:rsidR="00DE7CAC" w:rsidRPr="001558A5">
        <w:rPr>
          <w:lang w:val="en-US"/>
        </w:rPr>
        <w:t>Affidavit made by</w:t>
      </w:r>
      <w:r w:rsidRPr="001558A5">
        <w:rPr>
          <w:lang w:val="en-US"/>
        </w:rPr>
        <w:t xml:space="preserve"> Rosa </w:t>
      </w:r>
      <w:proofErr w:type="spellStart"/>
      <w:r w:rsidRPr="001558A5">
        <w:rPr>
          <w:lang w:val="en-US"/>
        </w:rPr>
        <w:t>Argelia</w:t>
      </w:r>
      <w:proofErr w:type="spellEnd"/>
      <w:r w:rsidRPr="001558A5">
        <w:rPr>
          <w:lang w:val="en-US"/>
        </w:rPr>
        <w:t xml:space="preserve"> Hernández </w:t>
      </w:r>
      <w:proofErr w:type="spellStart"/>
      <w:r w:rsidRPr="001558A5">
        <w:rPr>
          <w:lang w:val="en-US"/>
        </w:rPr>
        <w:t>Martínez</w:t>
      </w:r>
      <w:proofErr w:type="spellEnd"/>
      <w:r w:rsidRPr="001558A5">
        <w:rPr>
          <w:lang w:val="en-US"/>
        </w:rPr>
        <w:t xml:space="preserve"> (</w:t>
      </w:r>
      <w:r w:rsidR="00D11908" w:rsidRPr="001558A5">
        <w:rPr>
          <w:lang w:val="en-US"/>
        </w:rPr>
        <w:t>evidence file</w:t>
      </w:r>
      <w:r w:rsidRPr="001558A5">
        <w:rPr>
          <w:lang w:val="en-US"/>
        </w:rPr>
        <w:t>, folio 1518)</w:t>
      </w:r>
      <w:r w:rsidRPr="001558A5">
        <w:rPr>
          <w:szCs w:val="16"/>
          <w:lang w:val="en-US"/>
        </w:rPr>
        <w:t>.</w:t>
      </w:r>
    </w:p>
  </w:footnote>
  <w:footnote w:id="59">
    <w:p w14:paraId="0E0AB583" w14:textId="26A1D2AA" w:rsidR="005977F6" w:rsidRPr="001558A5" w:rsidRDefault="005977F6" w:rsidP="00120416">
      <w:pPr>
        <w:pStyle w:val="Textonotapie"/>
        <w:tabs>
          <w:tab w:val="left" w:pos="360"/>
        </w:tabs>
        <w:rPr>
          <w:color w:val="000000" w:themeColor="text1"/>
          <w:szCs w:val="16"/>
          <w:lang w:val="en-US"/>
        </w:rPr>
      </w:pPr>
      <w:r w:rsidRPr="001558A5">
        <w:rPr>
          <w:rStyle w:val="Refdenotaalpie"/>
          <w:szCs w:val="16"/>
          <w:lang w:val="en-US"/>
        </w:rPr>
        <w:footnoteRef/>
      </w:r>
      <w:r w:rsidRPr="001558A5">
        <w:rPr>
          <w:szCs w:val="16"/>
          <w:lang w:val="en-US"/>
        </w:rPr>
        <w:t xml:space="preserve">   </w:t>
      </w:r>
      <w:r w:rsidR="00120416" w:rsidRPr="001558A5">
        <w:rPr>
          <w:szCs w:val="16"/>
          <w:lang w:val="en-US"/>
        </w:rPr>
        <w:tab/>
      </w:r>
      <w:r w:rsidR="00871E19" w:rsidRPr="001558A5">
        <w:rPr>
          <w:i/>
          <w:szCs w:val="16"/>
          <w:lang w:val="en-US"/>
        </w:rPr>
        <w:t>Cf.</w:t>
      </w:r>
      <w:r w:rsidRPr="001558A5">
        <w:rPr>
          <w:szCs w:val="16"/>
          <w:lang w:val="en-US"/>
        </w:rPr>
        <w:t xml:space="preserve"> </w:t>
      </w:r>
      <w:r w:rsidR="00DE7CAC" w:rsidRPr="001558A5">
        <w:rPr>
          <w:color w:val="000000" w:themeColor="text1"/>
          <w:szCs w:val="16"/>
          <w:lang w:val="en-US"/>
        </w:rPr>
        <w:t>Investigation file</w:t>
      </w:r>
      <w:r w:rsidRPr="001558A5">
        <w:rPr>
          <w:color w:val="000000" w:themeColor="text1"/>
          <w:szCs w:val="16"/>
          <w:lang w:val="en-US"/>
        </w:rPr>
        <w:t xml:space="preserve"> 1057-09 </w:t>
      </w:r>
      <w:r w:rsidR="00DE7CAC" w:rsidRPr="001558A5">
        <w:rPr>
          <w:color w:val="000000" w:themeColor="text1"/>
          <w:szCs w:val="16"/>
          <w:lang w:val="en-US"/>
        </w:rPr>
        <w:t>delivered on November 20,</w:t>
      </w:r>
      <w:r w:rsidRPr="001558A5">
        <w:rPr>
          <w:color w:val="000000" w:themeColor="text1"/>
          <w:szCs w:val="16"/>
          <w:lang w:val="en-US"/>
        </w:rPr>
        <w:t xml:space="preserve"> 2013. Report</w:t>
      </w:r>
      <w:r w:rsidR="00DE7CAC" w:rsidRPr="001558A5">
        <w:rPr>
          <w:color w:val="000000" w:themeColor="text1"/>
          <w:szCs w:val="16"/>
          <w:lang w:val="en-US"/>
        </w:rPr>
        <w:t xml:space="preserve"> of</w:t>
      </w:r>
      <w:r w:rsidRPr="001558A5">
        <w:rPr>
          <w:color w:val="000000" w:themeColor="text1"/>
          <w:szCs w:val="16"/>
          <w:lang w:val="en-US"/>
        </w:rPr>
        <w:t xml:space="preserve"> </w:t>
      </w:r>
      <w:r w:rsidR="00DE7CAC" w:rsidRPr="001558A5">
        <w:rPr>
          <w:color w:val="000000" w:themeColor="text1"/>
          <w:szCs w:val="16"/>
          <w:lang w:val="en-US"/>
        </w:rPr>
        <w:t xml:space="preserve">the statement by </w:t>
      </w:r>
      <w:r w:rsidRPr="001558A5">
        <w:rPr>
          <w:color w:val="000000" w:themeColor="text1"/>
          <w:szCs w:val="16"/>
          <w:lang w:val="en-US"/>
        </w:rPr>
        <w:t xml:space="preserve">Rosa </w:t>
      </w:r>
      <w:proofErr w:type="spellStart"/>
      <w:r w:rsidRPr="001558A5">
        <w:rPr>
          <w:color w:val="000000" w:themeColor="text1"/>
          <w:szCs w:val="16"/>
          <w:lang w:val="en-US"/>
        </w:rPr>
        <w:t>Argelia</w:t>
      </w:r>
      <w:proofErr w:type="spellEnd"/>
      <w:r w:rsidRPr="001558A5">
        <w:rPr>
          <w:color w:val="000000" w:themeColor="text1"/>
          <w:szCs w:val="16"/>
          <w:lang w:val="en-US"/>
        </w:rPr>
        <w:t xml:space="preserve"> Hernández </w:t>
      </w:r>
      <w:proofErr w:type="spellStart"/>
      <w:r w:rsidRPr="001558A5">
        <w:rPr>
          <w:color w:val="000000" w:themeColor="text1"/>
          <w:szCs w:val="16"/>
          <w:lang w:val="en-US"/>
        </w:rPr>
        <w:t>Martínez</w:t>
      </w:r>
      <w:proofErr w:type="spellEnd"/>
      <w:r w:rsidRPr="001558A5">
        <w:rPr>
          <w:color w:val="000000" w:themeColor="text1"/>
          <w:szCs w:val="16"/>
          <w:lang w:val="en-US"/>
        </w:rPr>
        <w:t xml:space="preserve">, </w:t>
      </w:r>
      <w:r w:rsidR="00DE7CAC" w:rsidRPr="001558A5">
        <w:rPr>
          <w:color w:val="000000" w:themeColor="text1"/>
          <w:szCs w:val="16"/>
          <w:lang w:val="en-US"/>
        </w:rPr>
        <w:t>May 3,</w:t>
      </w:r>
      <w:r w:rsidRPr="001558A5">
        <w:rPr>
          <w:i/>
          <w:iCs/>
          <w:color w:val="000000" w:themeColor="text1"/>
          <w:szCs w:val="16"/>
          <w:lang w:val="en-US"/>
        </w:rPr>
        <w:t xml:space="preserve"> </w:t>
      </w:r>
      <w:r w:rsidRPr="001558A5">
        <w:rPr>
          <w:color w:val="000000" w:themeColor="text1"/>
          <w:szCs w:val="16"/>
          <w:lang w:val="en-US"/>
        </w:rPr>
        <w:t>2011 (</w:t>
      </w:r>
      <w:r w:rsidR="00D11908" w:rsidRPr="001558A5">
        <w:rPr>
          <w:color w:val="000000" w:themeColor="text1"/>
          <w:szCs w:val="16"/>
          <w:lang w:val="en-US"/>
        </w:rPr>
        <w:t>evidence file</w:t>
      </w:r>
      <w:r w:rsidRPr="001558A5">
        <w:rPr>
          <w:color w:val="000000" w:themeColor="text1"/>
          <w:szCs w:val="16"/>
          <w:lang w:val="en-US"/>
        </w:rPr>
        <w:t xml:space="preserve">, folios 14 </w:t>
      </w:r>
      <w:r w:rsidR="00DE7CAC" w:rsidRPr="001558A5">
        <w:rPr>
          <w:color w:val="000000" w:themeColor="text1"/>
          <w:szCs w:val="16"/>
          <w:lang w:val="en-US"/>
        </w:rPr>
        <w:t>to</w:t>
      </w:r>
      <w:r w:rsidRPr="001558A5">
        <w:rPr>
          <w:color w:val="000000" w:themeColor="text1"/>
          <w:szCs w:val="16"/>
          <w:lang w:val="en-US"/>
        </w:rPr>
        <w:t xml:space="preserve"> 18)</w:t>
      </w:r>
      <w:r w:rsidR="00DD4354" w:rsidRPr="001558A5">
        <w:rPr>
          <w:color w:val="000000" w:themeColor="text1"/>
          <w:szCs w:val="16"/>
          <w:lang w:val="en-US"/>
        </w:rPr>
        <w:t xml:space="preserve"> and </w:t>
      </w:r>
      <w:r w:rsidR="00DE7CAC" w:rsidRPr="001558A5">
        <w:rPr>
          <w:lang w:val="en-US"/>
        </w:rPr>
        <w:t>Affidavit made by</w:t>
      </w:r>
      <w:r w:rsidRPr="001558A5">
        <w:rPr>
          <w:lang w:val="en-US"/>
        </w:rPr>
        <w:t xml:space="preserve"> Rosa </w:t>
      </w:r>
      <w:proofErr w:type="spellStart"/>
      <w:r w:rsidRPr="001558A5">
        <w:rPr>
          <w:lang w:val="en-US"/>
        </w:rPr>
        <w:t>Argelia</w:t>
      </w:r>
      <w:proofErr w:type="spellEnd"/>
      <w:r w:rsidRPr="001558A5">
        <w:rPr>
          <w:lang w:val="en-US"/>
        </w:rPr>
        <w:t xml:space="preserve"> Hernández </w:t>
      </w:r>
      <w:proofErr w:type="spellStart"/>
      <w:r w:rsidRPr="001558A5">
        <w:rPr>
          <w:lang w:val="en-US"/>
        </w:rPr>
        <w:t>Martínez</w:t>
      </w:r>
      <w:proofErr w:type="spellEnd"/>
      <w:r w:rsidRPr="001558A5">
        <w:rPr>
          <w:lang w:val="en-US"/>
        </w:rPr>
        <w:t xml:space="preserve"> (</w:t>
      </w:r>
      <w:r w:rsidR="00D11908" w:rsidRPr="001558A5">
        <w:rPr>
          <w:lang w:val="en-US"/>
        </w:rPr>
        <w:t>evidence file</w:t>
      </w:r>
      <w:r w:rsidRPr="001558A5">
        <w:rPr>
          <w:lang w:val="en-US"/>
        </w:rPr>
        <w:t>, folio 1518).</w:t>
      </w:r>
    </w:p>
  </w:footnote>
  <w:footnote w:id="60">
    <w:p w14:paraId="4BE222E1" w14:textId="690EB39C"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871E19" w:rsidRPr="001558A5">
        <w:rPr>
          <w:rFonts w:cs="Times New Roman"/>
          <w:i/>
          <w:szCs w:val="16"/>
          <w:lang w:val="en-US"/>
        </w:rPr>
        <w:t>Cf.</w:t>
      </w:r>
      <w:r w:rsidRPr="001558A5">
        <w:rPr>
          <w:rFonts w:cs="Times New Roman"/>
          <w:szCs w:val="16"/>
          <w:lang w:val="en-US"/>
        </w:rPr>
        <w:t xml:space="preserve"> </w:t>
      </w:r>
      <w:r w:rsidR="00845312" w:rsidRPr="001558A5">
        <w:rPr>
          <w:rFonts w:cs="Times New Roman"/>
          <w:szCs w:val="16"/>
          <w:lang w:val="en-US"/>
        </w:rPr>
        <w:t>National Criminal Investigation Directorate</w:t>
      </w:r>
      <w:r w:rsidRPr="001558A5">
        <w:rPr>
          <w:rFonts w:cs="Times New Roman"/>
          <w:szCs w:val="16"/>
          <w:lang w:val="en-US"/>
        </w:rPr>
        <w:t xml:space="preserve">. </w:t>
      </w:r>
      <w:r w:rsidR="00DE7CAC" w:rsidRPr="001558A5">
        <w:rPr>
          <w:rFonts w:cs="Times New Roman"/>
          <w:szCs w:val="16"/>
          <w:lang w:val="en-US"/>
        </w:rPr>
        <w:t xml:space="preserve">Preliminary report on corpse removal of June 29, </w:t>
      </w:r>
      <w:r w:rsidRPr="001558A5">
        <w:rPr>
          <w:rFonts w:cs="Times New Roman"/>
          <w:szCs w:val="16"/>
          <w:lang w:val="en-US"/>
        </w:rPr>
        <w:t>2009 (</w:t>
      </w:r>
      <w:r w:rsidR="00D11908" w:rsidRPr="001558A5">
        <w:rPr>
          <w:rFonts w:cs="Times New Roman"/>
          <w:szCs w:val="16"/>
          <w:lang w:val="en-US"/>
        </w:rPr>
        <w:t>evidence file</w:t>
      </w:r>
      <w:r w:rsidRPr="001558A5">
        <w:rPr>
          <w:rFonts w:cs="Times New Roman"/>
          <w:szCs w:val="16"/>
          <w:lang w:val="en-US"/>
        </w:rPr>
        <w:t xml:space="preserve">, folios 20 </w:t>
      </w:r>
      <w:r w:rsidR="00DE7CAC" w:rsidRPr="001558A5">
        <w:rPr>
          <w:rFonts w:cs="Times New Roman"/>
          <w:szCs w:val="16"/>
          <w:lang w:val="en-US"/>
        </w:rPr>
        <w:t>to</w:t>
      </w:r>
      <w:r w:rsidRPr="001558A5">
        <w:rPr>
          <w:rFonts w:cs="Times New Roman"/>
          <w:szCs w:val="16"/>
          <w:lang w:val="en-US"/>
        </w:rPr>
        <w:t xml:space="preserve"> 23)</w:t>
      </w:r>
    </w:p>
  </w:footnote>
  <w:footnote w:id="61">
    <w:p w14:paraId="5A4548FB" w14:textId="7B8FEB2A"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DE7CAC" w:rsidRPr="001558A5">
        <w:rPr>
          <w:lang w:val="en-US"/>
        </w:rPr>
        <w:t>Testimony of</w:t>
      </w:r>
      <w:r w:rsidRPr="001558A5">
        <w:rPr>
          <w:lang w:val="en-US"/>
        </w:rPr>
        <w:t xml:space="preserve"> Claudia </w:t>
      </w:r>
      <w:proofErr w:type="spellStart"/>
      <w:r w:rsidRPr="001558A5">
        <w:rPr>
          <w:lang w:val="en-US"/>
        </w:rPr>
        <w:t>Spellmant</w:t>
      </w:r>
      <w:proofErr w:type="spellEnd"/>
      <w:r w:rsidRPr="001558A5">
        <w:rPr>
          <w:lang w:val="en-US"/>
        </w:rPr>
        <w:t xml:space="preserve"> Sosa </w:t>
      </w:r>
      <w:r w:rsidR="00DE7CAC" w:rsidRPr="001558A5">
        <w:rPr>
          <w:lang w:val="en-US"/>
        </w:rPr>
        <w:t>during the public hearing in this case</w:t>
      </w:r>
      <w:r w:rsidRPr="001558A5">
        <w:rPr>
          <w:lang w:val="en-US"/>
        </w:rPr>
        <w:t xml:space="preserve"> </w:t>
      </w:r>
      <w:r w:rsidR="00DE7CAC" w:rsidRPr="001558A5">
        <w:rPr>
          <w:lang w:val="en-US"/>
        </w:rPr>
        <w:t>on November 11,</w:t>
      </w:r>
      <w:r w:rsidRPr="001558A5">
        <w:rPr>
          <w:lang w:val="en-US"/>
        </w:rPr>
        <w:t xml:space="preserve"> 2020,</w:t>
      </w:r>
      <w:r w:rsidR="00DD4354" w:rsidRPr="001558A5">
        <w:rPr>
          <w:lang w:val="en-US"/>
        </w:rPr>
        <w:t xml:space="preserve"> and </w:t>
      </w:r>
      <w:r w:rsidR="00DE7CAC" w:rsidRPr="001558A5">
        <w:rPr>
          <w:lang w:val="en-US"/>
        </w:rPr>
        <w:t xml:space="preserve">Affidavits made by </w:t>
      </w:r>
      <w:r w:rsidRPr="001558A5">
        <w:rPr>
          <w:lang w:val="en-US"/>
        </w:rPr>
        <w:t xml:space="preserve">Rosa </w:t>
      </w:r>
      <w:proofErr w:type="spellStart"/>
      <w:r w:rsidRPr="001558A5">
        <w:rPr>
          <w:lang w:val="en-US"/>
        </w:rPr>
        <w:t>Argelia</w:t>
      </w:r>
      <w:proofErr w:type="spellEnd"/>
      <w:r w:rsidRPr="001558A5">
        <w:rPr>
          <w:lang w:val="en-US"/>
        </w:rPr>
        <w:t xml:space="preserve"> Hernández</w:t>
      </w:r>
      <w:r w:rsidR="00DD4354" w:rsidRPr="001558A5">
        <w:rPr>
          <w:lang w:val="en-US"/>
        </w:rPr>
        <w:t xml:space="preserve"> and </w:t>
      </w:r>
      <w:r w:rsidRPr="001558A5">
        <w:rPr>
          <w:lang w:val="en-US"/>
        </w:rPr>
        <w:t xml:space="preserve">Tatiana </w:t>
      </w:r>
      <w:proofErr w:type="spellStart"/>
      <w:r w:rsidRPr="001558A5">
        <w:rPr>
          <w:lang w:val="en-US"/>
        </w:rPr>
        <w:t>Rápalo</w:t>
      </w:r>
      <w:proofErr w:type="spellEnd"/>
      <w:r w:rsidRPr="001558A5">
        <w:rPr>
          <w:lang w:val="en-US"/>
        </w:rPr>
        <w:t xml:space="preserve"> </w:t>
      </w:r>
      <w:r w:rsidR="00DE7CAC" w:rsidRPr="001558A5">
        <w:rPr>
          <w:lang w:val="en-US"/>
        </w:rPr>
        <w:t>on October 1,</w:t>
      </w:r>
      <w:r w:rsidRPr="001558A5">
        <w:rPr>
          <w:lang w:val="en-US"/>
        </w:rPr>
        <w:t xml:space="preserve"> 2020 (</w:t>
      </w:r>
      <w:r w:rsidR="00D11908" w:rsidRPr="001558A5">
        <w:rPr>
          <w:lang w:val="en-US"/>
        </w:rPr>
        <w:t>evidence file</w:t>
      </w:r>
      <w:r w:rsidRPr="001558A5">
        <w:rPr>
          <w:lang w:val="en-US"/>
        </w:rPr>
        <w:t>, folios 1521</w:t>
      </w:r>
      <w:r w:rsidR="00DD4354" w:rsidRPr="001558A5">
        <w:rPr>
          <w:lang w:val="en-US"/>
        </w:rPr>
        <w:t xml:space="preserve"> and </w:t>
      </w:r>
      <w:r w:rsidRPr="001558A5">
        <w:rPr>
          <w:lang w:val="en-US"/>
        </w:rPr>
        <w:t>1526).</w:t>
      </w:r>
    </w:p>
  </w:footnote>
  <w:footnote w:id="62">
    <w:p w14:paraId="36C1B14C" w14:textId="301AE96F"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871E19" w:rsidRPr="001558A5">
        <w:rPr>
          <w:rFonts w:cs="Times New Roman"/>
          <w:i/>
          <w:szCs w:val="16"/>
          <w:lang w:val="en-US"/>
        </w:rPr>
        <w:t>Cf.</w:t>
      </w:r>
      <w:r w:rsidRPr="001558A5">
        <w:rPr>
          <w:rFonts w:cs="Times New Roman"/>
          <w:szCs w:val="16"/>
          <w:lang w:val="en-US"/>
        </w:rPr>
        <w:t xml:space="preserve"> </w:t>
      </w:r>
      <w:r w:rsidR="00845312" w:rsidRPr="001558A5">
        <w:rPr>
          <w:rFonts w:cs="Times New Roman"/>
          <w:szCs w:val="16"/>
          <w:lang w:val="en-US"/>
        </w:rPr>
        <w:t>National Criminal Investigation Directorate</w:t>
      </w:r>
      <w:r w:rsidRPr="001558A5">
        <w:rPr>
          <w:rFonts w:cs="Times New Roman"/>
          <w:szCs w:val="16"/>
          <w:lang w:val="en-US"/>
        </w:rPr>
        <w:t xml:space="preserve">. </w:t>
      </w:r>
      <w:r w:rsidR="000C6628" w:rsidRPr="001558A5">
        <w:rPr>
          <w:rFonts w:cs="Times New Roman"/>
          <w:szCs w:val="16"/>
          <w:lang w:val="en-US"/>
        </w:rPr>
        <w:t xml:space="preserve">Record of corpse removal No. </w:t>
      </w:r>
      <w:r w:rsidRPr="001558A5">
        <w:rPr>
          <w:rFonts w:cs="Times New Roman"/>
          <w:szCs w:val="16"/>
          <w:lang w:val="en-US"/>
        </w:rPr>
        <w:t xml:space="preserve">1095-09 </w:t>
      </w:r>
      <w:r w:rsidR="000C6628" w:rsidRPr="001558A5">
        <w:rPr>
          <w:rFonts w:cs="Times New Roman"/>
          <w:szCs w:val="16"/>
          <w:lang w:val="en-US"/>
        </w:rPr>
        <w:t>of June 29,</w:t>
      </w:r>
      <w:r w:rsidRPr="001558A5">
        <w:rPr>
          <w:rFonts w:cs="Times New Roman"/>
          <w:szCs w:val="16"/>
          <w:lang w:val="en-US"/>
        </w:rPr>
        <w:t xml:space="preserve"> 2009 (</w:t>
      </w:r>
      <w:r w:rsidR="00D11908" w:rsidRPr="001558A5">
        <w:rPr>
          <w:rFonts w:cs="Times New Roman"/>
          <w:szCs w:val="16"/>
          <w:lang w:val="en-US"/>
        </w:rPr>
        <w:t>evidence file</w:t>
      </w:r>
      <w:r w:rsidRPr="001558A5">
        <w:rPr>
          <w:rFonts w:cs="Times New Roman"/>
          <w:szCs w:val="16"/>
          <w:lang w:val="en-US"/>
        </w:rPr>
        <w:t xml:space="preserve">, folios 25 </w:t>
      </w:r>
      <w:r w:rsidR="000C6628" w:rsidRPr="001558A5">
        <w:rPr>
          <w:rFonts w:cs="Times New Roman"/>
          <w:szCs w:val="16"/>
          <w:lang w:val="en-US"/>
        </w:rPr>
        <w:t>to</w:t>
      </w:r>
      <w:r w:rsidRPr="001558A5">
        <w:rPr>
          <w:rFonts w:cs="Times New Roman"/>
          <w:szCs w:val="16"/>
          <w:lang w:val="en-US"/>
        </w:rPr>
        <w:t xml:space="preserve"> 27).</w:t>
      </w:r>
    </w:p>
  </w:footnote>
  <w:footnote w:id="63">
    <w:p w14:paraId="4B5A69AD" w14:textId="61357480"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871E19" w:rsidRPr="001558A5">
        <w:rPr>
          <w:rFonts w:cs="Times New Roman"/>
          <w:i/>
          <w:szCs w:val="16"/>
          <w:lang w:val="en-US"/>
        </w:rPr>
        <w:t>Cf.</w:t>
      </w:r>
      <w:r w:rsidRPr="001558A5">
        <w:rPr>
          <w:rFonts w:cs="Times New Roman"/>
          <w:szCs w:val="16"/>
          <w:lang w:val="en-US"/>
        </w:rPr>
        <w:t xml:space="preserve"> </w:t>
      </w:r>
      <w:r w:rsidR="000C6628" w:rsidRPr="001558A5">
        <w:rPr>
          <w:rFonts w:cs="Times New Roman"/>
          <w:szCs w:val="16"/>
          <w:lang w:val="en-US"/>
        </w:rPr>
        <w:t>Prosecutor General</w:t>
      </w:r>
      <w:r w:rsidRPr="001558A5">
        <w:rPr>
          <w:rFonts w:cs="Times New Roman"/>
          <w:szCs w:val="16"/>
          <w:lang w:val="en-US"/>
        </w:rPr>
        <w:t xml:space="preserve">. </w:t>
      </w:r>
      <w:r w:rsidR="00D11908" w:rsidRPr="001558A5">
        <w:rPr>
          <w:rFonts w:cs="Times New Roman"/>
          <w:szCs w:val="16"/>
          <w:lang w:val="en-US"/>
        </w:rPr>
        <w:t>Communication</w:t>
      </w:r>
      <w:r w:rsidRPr="001558A5">
        <w:rPr>
          <w:rFonts w:cs="Times New Roman"/>
          <w:szCs w:val="16"/>
          <w:lang w:val="en-US"/>
        </w:rPr>
        <w:t xml:space="preserve"> FGR No. 667-2015 </w:t>
      </w:r>
      <w:r w:rsidR="000C6628" w:rsidRPr="001558A5">
        <w:rPr>
          <w:rFonts w:cs="Times New Roman"/>
          <w:szCs w:val="16"/>
          <w:lang w:val="en-US"/>
        </w:rPr>
        <w:t>of October 14,</w:t>
      </w:r>
      <w:r w:rsidRPr="001558A5">
        <w:rPr>
          <w:rFonts w:cs="Times New Roman"/>
          <w:szCs w:val="16"/>
          <w:lang w:val="en-US"/>
        </w:rPr>
        <w:t xml:space="preserve"> 2015 (</w:t>
      </w:r>
      <w:r w:rsidR="00D11908" w:rsidRPr="001558A5">
        <w:rPr>
          <w:rFonts w:cs="Times New Roman"/>
          <w:szCs w:val="16"/>
          <w:lang w:val="en-US"/>
        </w:rPr>
        <w:t>evidence file</w:t>
      </w:r>
      <w:r w:rsidRPr="001558A5">
        <w:rPr>
          <w:rFonts w:cs="Times New Roman"/>
          <w:szCs w:val="16"/>
          <w:lang w:val="en-US"/>
        </w:rPr>
        <w:t xml:space="preserve">, folios 29 </w:t>
      </w:r>
      <w:r w:rsidR="000C6628" w:rsidRPr="001558A5">
        <w:rPr>
          <w:rFonts w:cs="Times New Roman"/>
          <w:szCs w:val="16"/>
          <w:lang w:val="en-US"/>
        </w:rPr>
        <w:t>to</w:t>
      </w:r>
      <w:r w:rsidRPr="001558A5">
        <w:rPr>
          <w:rFonts w:cs="Times New Roman"/>
          <w:szCs w:val="16"/>
          <w:lang w:val="en-US"/>
        </w:rPr>
        <w:t xml:space="preserve"> 32).</w:t>
      </w:r>
    </w:p>
  </w:footnote>
  <w:footnote w:id="64">
    <w:p w14:paraId="7791419E" w14:textId="141A5D41" w:rsidR="005977F6" w:rsidRPr="001558A5" w:rsidRDefault="005977F6" w:rsidP="000B2BB5">
      <w:pPr>
        <w:pStyle w:val="Textonotapie"/>
        <w:tabs>
          <w:tab w:val="left" w:pos="360"/>
        </w:tabs>
        <w:rPr>
          <w:color w:val="000000" w:themeColor="text1"/>
          <w:szCs w:val="16"/>
          <w:lang w:val="en-US"/>
        </w:rPr>
      </w:pPr>
      <w:r w:rsidRPr="001558A5">
        <w:rPr>
          <w:rStyle w:val="Refdenotaalpie"/>
          <w:color w:val="000000" w:themeColor="text1"/>
          <w:szCs w:val="16"/>
          <w:lang w:val="en-US"/>
        </w:rPr>
        <w:footnoteRef/>
      </w:r>
      <w:r w:rsidRPr="001558A5">
        <w:rPr>
          <w:color w:val="000000" w:themeColor="text1"/>
          <w:szCs w:val="16"/>
          <w:lang w:val="en-US"/>
        </w:rPr>
        <w:t xml:space="preserve">  </w:t>
      </w:r>
      <w:r w:rsidR="00F053EE" w:rsidRPr="001558A5">
        <w:rPr>
          <w:color w:val="000000" w:themeColor="text1"/>
          <w:szCs w:val="16"/>
          <w:lang w:val="en-US"/>
        </w:rPr>
        <w:tab/>
      </w:r>
      <w:r w:rsidR="00871E19" w:rsidRPr="001558A5">
        <w:rPr>
          <w:i/>
          <w:color w:val="000000" w:themeColor="text1"/>
          <w:szCs w:val="16"/>
          <w:lang w:val="en-US"/>
        </w:rPr>
        <w:t>Cf.</w:t>
      </w:r>
      <w:r w:rsidRPr="001558A5">
        <w:rPr>
          <w:color w:val="000000" w:themeColor="text1"/>
          <w:szCs w:val="16"/>
          <w:lang w:val="en-US"/>
        </w:rPr>
        <w:t xml:space="preserve"> </w:t>
      </w:r>
      <w:r w:rsidR="000C6628" w:rsidRPr="001558A5">
        <w:rPr>
          <w:rFonts w:eastAsiaTheme="minorHAnsi" w:cs="Times New Roman"/>
          <w:color w:val="000000" w:themeColor="text1"/>
          <w:szCs w:val="16"/>
          <w:lang w:val="en-US"/>
        </w:rPr>
        <w:t>Mission report</w:t>
      </w:r>
      <w:r w:rsidRPr="001558A5">
        <w:rPr>
          <w:rFonts w:eastAsiaTheme="minorHAnsi" w:cs="Times New Roman"/>
          <w:color w:val="000000" w:themeColor="text1"/>
          <w:szCs w:val="16"/>
          <w:lang w:val="en-US"/>
        </w:rPr>
        <w:t xml:space="preserve">, </w:t>
      </w:r>
      <w:r w:rsidR="000C6628" w:rsidRPr="001558A5">
        <w:rPr>
          <w:rFonts w:eastAsiaTheme="minorHAnsi" w:cs="Times New Roman"/>
          <w:color w:val="000000" w:themeColor="text1"/>
          <w:szCs w:val="16"/>
          <w:lang w:val="en-US"/>
        </w:rPr>
        <w:t>October 14 to 18,</w:t>
      </w:r>
      <w:r w:rsidRPr="001558A5">
        <w:rPr>
          <w:rFonts w:eastAsiaTheme="minorHAnsi" w:cs="Times New Roman"/>
          <w:color w:val="000000" w:themeColor="text1"/>
          <w:szCs w:val="16"/>
          <w:lang w:val="en-US"/>
        </w:rPr>
        <w:t xml:space="preserve"> 2013</w:t>
      </w:r>
      <w:r w:rsidRPr="001558A5">
        <w:rPr>
          <w:color w:val="000000" w:themeColor="text1"/>
          <w:szCs w:val="16"/>
          <w:lang w:val="en-US"/>
        </w:rPr>
        <w:t xml:space="preserve"> (</w:t>
      </w:r>
      <w:r w:rsidR="00D11908" w:rsidRPr="001558A5">
        <w:rPr>
          <w:color w:val="000000" w:themeColor="text1"/>
          <w:szCs w:val="16"/>
          <w:lang w:val="en-US"/>
        </w:rPr>
        <w:t>evidence file</w:t>
      </w:r>
      <w:r w:rsidRPr="001558A5">
        <w:rPr>
          <w:color w:val="000000" w:themeColor="text1"/>
          <w:szCs w:val="16"/>
          <w:lang w:val="en-US"/>
        </w:rPr>
        <w:t xml:space="preserve">, folios 36 </w:t>
      </w:r>
      <w:r w:rsidR="000C6628" w:rsidRPr="001558A5">
        <w:rPr>
          <w:color w:val="000000" w:themeColor="text1"/>
          <w:szCs w:val="16"/>
          <w:lang w:val="en-US"/>
        </w:rPr>
        <w:t>to</w:t>
      </w:r>
      <w:r w:rsidRPr="001558A5">
        <w:rPr>
          <w:color w:val="000000" w:themeColor="text1"/>
          <w:szCs w:val="16"/>
          <w:lang w:val="en-US"/>
        </w:rPr>
        <w:t xml:space="preserve"> 39).</w:t>
      </w:r>
    </w:p>
  </w:footnote>
  <w:footnote w:id="65">
    <w:p w14:paraId="01B6D08E" w14:textId="1A52757B"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0C6628" w:rsidRPr="001558A5">
        <w:rPr>
          <w:lang w:val="en-US"/>
        </w:rPr>
        <w:t>The investigation was opened under the name she was assigned at birth.</w:t>
      </w:r>
    </w:p>
  </w:footnote>
  <w:footnote w:id="66">
    <w:p w14:paraId="2C3A75D0" w14:textId="5904C26D"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lang w:val="en-US"/>
        </w:rPr>
        <w:t>Cf.</w:t>
      </w:r>
      <w:r w:rsidRPr="001558A5">
        <w:rPr>
          <w:i/>
          <w:lang w:val="en-US"/>
        </w:rPr>
        <w:t xml:space="preserve"> </w:t>
      </w:r>
      <w:r w:rsidR="000C6628" w:rsidRPr="001558A5">
        <w:rPr>
          <w:lang w:val="en-US"/>
        </w:rPr>
        <w:t xml:space="preserve">Brief with pleadings, motions and evidence </w:t>
      </w:r>
      <w:r w:rsidRPr="001558A5">
        <w:rPr>
          <w:lang w:val="en-US"/>
        </w:rPr>
        <w:t>(</w:t>
      </w:r>
      <w:r w:rsidR="00DE7CAC" w:rsidRPr="001558A5">
        <w:rPr>
          <w:lang w:val="en-US"/>
        </w:rPr>
        <w:t>merits file</w:t>
      </w:r>
      <w:r w:rsidRPr="001558A5">
        <w:rPr>
          <w:lang w:val="en-US"/>
        </w:rPr>
        <w:t xml:space="preserve">, folio 110). </w:t>
      </w:r>
    </w:p>
  </w:footnote>
  <w:footnote w:id="67">
    <w:p w14:paraId="7A71F1B7" w14:textId="56018BEE"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871E19" w:rsidRPr="001558A5">
        <w:rPr>
          <w:rFonts w:cs="Times New Roman"/>
          <w:i/>
          <w:szCs w:val="16"/>
          <w:lang w:val="en-US"/>
        </w:rPr>
        <w:t>Cf.</w:t>
      </w:r>
      <w:r w:rsidRPr="001558A5">
        <w:rPr>
          <w:rFonts w:cs="Times New Roman"/>
          <w:i/>
          <w:szCs w:val="16"/>
          <w:lang w:val="en-US"/>
        </w:rPr>
        <w:t xml:space="preserve"> </w:t>
      </w:r>
      <w:r w:rsidR="00D11908" w:rsidRPr="001558A5">
        <w:rPr>
          <w:rFonts w:cs="Times New Roman"/>
          <w:szCs w:val="16"/>
          <w:lang w:val="en-US"/>
        </w:rPr>
        <w:t>Communication</w:t>
      </w:r>
      <w:r w:rsidRPr="001558A5">
        <w:rPr>
          <w:rFonts w:cs="Times New Roman"/>
          <w:szCs w:val="16"/>
          <w:lang w:val="en-US"/>
        </w:rPr>
        <w:t xml:space="preserve"> </w:t>
      </w:r>
      <w:r w:rsidR="000C6628" w:rsidRPr="001558A5">
        <w:rPr>
          <w:rFonts w:cs="Times New Roman"/>
          <w:szCs w:val="16"/>
          <w:lang w:val="en-US"/>
        </w:rPr>
        <w:t xml:space="preserve">of the </w:t>
      </w:r>
      <w:r w:rsidR="00DA321F" w:rsidRPr="001558A5">
        <w:rPr>
          <w:rFonts w:cs="Times New Roman"/>
          <w:szCs w:val="16"/>
          <w:lang w:val="en-US"/>
        </w:rPr>
        <w:t>Crimes against Life Unit</w:t>
      </w:r>
      <w:r w:rsidRPr="001558A5">
        <w:rPr>
          <w:rFonts w:cs="Times New Roman"/>
          <w:szCs w:val="16"/>
          <w:lang w:val="en-US"/>
        </w:rPr>
        <w:t xml:space="preserve">, </w:t>
      </w:r>
      <w:r w:rsidR="000C6628" w:rsidRPr="001558A5">
        <w:rPr>
          <w:rFonts w:cs="Times New Roman"/>
          <w:szCs w:val="16"/>
          <w:lang w:val="en-US"/>
        </w:rPr>
        <w:t>March 16,</w:t>
      </w:r>
      <w:r w:rsidRPr="001558A5">
        <w:rPr>
          <w:rFonts w:cs="Times New Roman"/>
          <w:szCs w:val="16"/>
          <w:lang w:val="en-US"/>
        </w:rPr>
        <w:t xml:space="preserve"> 2011. </w:t>
      </w:r>
      <w:r w:rsidR="000C6628" w:rsidRPr="001558A5">
        <w:rPr>
          <w:rFonts w:cs="Times New Roman"/>
          <w:szCs w:val="16"/>
          <w:lang w:val="en-US"/>
        </w:rPr>
        <w:t xml:space="preserve">Investigation file </w:t>
      </w:r>
      <w:r w:rsidRPr="001558A5">
        <w:rPr>
          <w:rFonts w:cs="Times New Roman"/>
          <w:szCs w:val="16"/>
          <w:lang w:val="en-US"/>
        </w:rPr>
        <w:t>1057-09</w:t>
      </w:r>
      <w:r w:rsidRPr="001558A5" w:rsidDel="00DF637B">
        <w:rPr>
          <w:rFonts w:cs="Times New Roman"/>
          <w:i/>
          <w:szCs w:val="16"/>
          <w:lang w:val="en-US"/>
        </w:rPr>
        <w:t xml:space="preserve"> </w:t>
      </w:r>
      <w:r w:rsidRPr="001558A5">
        <w:rPr>
          <w:rFonts w:cs="Times New Roman"/>
          <w:szCs w:val="16"/>
          <w:lang w:val="en-US"/>
        </w:rPr>
        <w:t>(</w:t>
      </w:r>
      <w:r w:rsidR="00D11908" w:rsidRPr="001558A5">
        <w:rPr>
          <w:rFonts w:cs="Times New Roman"/>
          <w:szCs w:val="16"/>
          <w:lang w:val="en-US"/>
        </w:rPr>
        <w:t>evidence file</w:t>
      </w:r>
      <w:r w:rsidRPr="001558A5">
        <w:rPr>
          <w:rFonts w:cs="Times New Roman"/>
          <w:szCs w:val="16"/>
          <w:lang w:val="en-US"/>
        </w:rPr>
        <w:t>, folios 83</w:t>
      </w:r>
      <w:r w:rsidR="00DD4354" w:rsidRPr="001558A5">
        <w:rPr>
          <w:rFonts w:cs="Times New Roman"/>
          <w:szCs w:val="16"/>
          <w:lang w:val="en-US"/>
        </w:rPr>
        <w:t xml:space="preserve"> and </w:t>
      </w:r>
      <w:r w:rsidRPr="001558A5">
        <w:rPr>
          <w:rFonts w:cs="Times New Roman"/>
          <w:szCs w:val="16"/>
          <w:lang w:val="en-US"/>
        </w:rPr>
        <w:t>84).</w:t>
      </w:r>
    </w:p>
  </w:footnote>
  <w:footnote w:id="68">
    <w:p w14:paraId="0052EEE6" w14:textId="11301611"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871E19" w:rsidRPr="001558A5">
        <w:rPr>
          <w:rFonts w:cs="Times New Roman"/>
          <w:i/>
          <w:szCs w:val="16"/>
          <w:lang w:val="en-US"/>
        </w:rPr>
        <w:t>Cf.</w:t>
      </w:r>
      <w:r w:rsidRPr="001558A5">
        <w:rPr>
          <w:rFonts w:cs="Times New Roman"/>
          <w:i/>
          <w:szCs w:val="16"/>
          <w:lang w:val="en-US"/>
        </w:rPr>
        <w:t xml:space="preserve"> </w:t>
      </w:r>
      <w:r w:rsidR="00D11908" w:rsidRPr="001558A5">
        <w:rPr>
          <w:rFonts w:cs="Times New Roman"/>
          <w:szCs w:val="16"/>
          <w:lang w:val="en-US"/>
        </w:rPr>
        <w:t>Communication</w:t>
      </w:r>
      <w:r w:rsidRPr="001558A5">
        <w:rPr>
          <w:rFonts w:cs="Times New Roman"/>
          <w:szCs w:val="16"/>
          <w:lang w:val="en-US"/>
        </w:rPr>
        <w:t xml:space="preserve"> </w:t>
      </w:r>
      <w:r w:rsidR="000C6628" w:rsidRPr="001558A5">
        <w:rPr>
          <w:rFonts w:cs="Times New Roman"/>
          <w:szCs w:val="16"/>
          <w:lang w:val="en-US"/>
        </w:rPr>
        <w:t xml:space="preserve">of the </w:t>
      </w:r>
      <w:r w:rsidR="00DE7CAC" w:rsidRPr="001558A5">
        <w:rPr>
          <w:rFonts w:cs="Times New Roman"/>
          <w:szCs w:val="16"/>
          <w:lang w:val="en-US"/>
        </w:rPr>
        <w:t xml:space="preserve">Investigating </w:t>
      </w:r>
      <w:r w:rsidR="000C6628" w:rsidRPr="001558A5">
        <w:rPr>
          <w:rFonts w:cs="Times New Roman"/>
          <w:szCs w:val="16"/>
          <w:lang w:val="en-US"/>
        </w:rPr>
        <w:t xml:space="preserve">Prosecutor </w:t>
      </w:r>
      <w:r w:rsidR="00DE7CAC" w:rsidRPr="001558A5">
        <w:rPr>
          <w:rFonts w:cs="Times New Roman"/>
          <w:szCs w:val="16"/>
          <w:lang w:val="en-US"/>
        </w:rPr>
        <w:t>–</w:t>
      </w:r>
      <w:r w:rsidRPr="001558A5">
        <w:rPr>
          <w:rFonts w:cs="Times New Roman"/>
          <w:szCs w:val="16"/>
          <w:lang w:val="en-US"/>
        </w:rPr>
        <w:t xml:space="preserve"> </w:t>
      </w:r>
      <w:r w:rsidR="00DE7CAC" w:rsidRPr="001558A5">
        <w:rPr>
          <w:rFonts w:cs="Times New Roman"/>
          <w:szCs w:val="16"/>
          <w:lang w:val="en-US"/>
        </w:rPr>
        <w:t>Crimes against Life Unit</w:t>
      </w:r>
      <w:r w:rsidRPr="001558A5">
        <w:rPr>
          <w:rFonts w:cs="Times New Roman"/>
          <w:szCs w:val="16"/>
          <w:lang w:val="en-US"/>
        </w:rPr>
        <w:t xml:space="preserve">, </w:t>
      </w:r>
      <w:r w:rsidR="00DE7CAC" w:rsidRPr="001558A5">
        <w:rPr>
          <w:rFonts w:cs="Times New Roman"/>
          <w:szCs w:val="16"/>
          <w:lang w:val="en-US"/>
        </w:rPr>
        <w:t>March 30,</w:t>
      </w:r>
      <w:r w:rsidRPr="001558A5">
        <w:rPr>
          <w:rFonts w:cs="Times New Roman"/>
          <w:szCs w:val="16"/>
          <w:lang w:val="en-US"/>
        </w:rPr>
        <w:t xml:space="preserve"> 2011. </w:t>
      </w:r>
      <w:r w:rsidR="00DE7CAC" w:rsidRPr="001558A5">
        <w:rPr>
          <w:rFonts w:cs="Times New Roman"/>
          <w:szCs w:val="16"/>
          <w:lang w:val="en-US"/>
        </w:rPr>
        <w:t>Investigation file</w:t>
      </w:r>
      <w:r w:rsidRPr="001558A5">
        <w:rPr>
          <w:rFonts w:cs="Times New Roman"/>
          <w:szCs w:val="16"/>
          <w:lang w:val="en-US"/>
        </w:rPr>
        <w:t xml:space="preserve"> 1057-09 (</w:t>
      </w:r>
      <w:r w:rsidR="00D11908" w:rsidRPr="001558A5">
        <w:rPr>
          <w:rFonts w:cs="Times New Roman"/>
          <w:szCs w:val="16"/>
          <w:lang w:val="en-US"/>
        </w:rPr>
        <w:t>evidence file</w:t>
      </w:r>
      <w:r w:rsidRPr="001558A5">
        <w:rPr>
          <w:rFonts w:cs="Times New Roman"/>
          <w:szCs w:val="16"/>
          <w:lang w:val="en-US"/>
        </w:rPr>
        <w:t xml:space="preserve">, folios 80 </w:t>
      </w:r>
      <w:r w:rsidR="00DE7CAC" w:rsidRPr="001558A5">
        <w:rPr>
          <w:rFonts w:cs="Times New Roman"/>
          <w:szCs w:val="16"/>
          <w:lang w:val="en-US"/>
        </w:rPr>
        <w:t>to</w:t>
      </w:r>
      <w:r w:rsidRPr="001558A5">
        <w:rPr>
          <w:rFonts w:cs="Times New Roman"/>
          <w:szCs w:val="16"/>
          <w:lang w:val="en-US"/>
        </w:rPr>
        <w:t xml:space="preserve"> 82).</w:t>
      </w:r>
    </w:p>
  </w:footnote>
  <w:footnote w:id="69">
    <w:p w14:paraId="08A392F3" w14:textId="457FDA93"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871E19" w:rsidRPr="001558A5">
        <w:rPr>
          <w:rFonts w:cs="Times New Roman"/>
          <w:i/>
          <w:szCs w:val="16"/>
          <w:lang w:val="en-US"/>
        </w:rPr>
        <w:t>Cf.</w:t>
      </w:r>
      <w:r w:rsidRPr="001558A5">
        <w:rPr>
          <w:rFonts w:cs="Times New Roman"/>
          <w:i/>
          <w:szCs w:val="16"/>
          <w:lang w:val="en-US"/>
        </w:rPr>
        <w:t xml:space="preserve"> </w:t>
      </w:r>
      <w:r w:rsidR="00DE7CAC" w:rsidRPr="001558A5">
        <w:rPr>
          <w:rFonts w:cs="Times New Roman"/>
          <w:szCs w:val="16"/>
          <w:lang w:val="en-US"/>
        </w:rPr>
        <w:t>Statement of</w:t>
      </w:r>
      <w:r w:rsidRPr="001558A5">
        <w:rPr>
          <w:rFonts w:cs="Times New Roman"/>
          <w:szCs w:val="16"/>
          <w:lang w:val="en-US"/>
        </w:rPr>
        <w:t xml:space="preserve"> Rosa </w:t>
      </w:r>
      <w:proofErr w:type="spellStart"/>
      <w:r w:rsidRPr="001558A5">
        <w:rPr>
          <w:rFonts w:cs="Times New Roman"/>
          <w:szCs w:val="16"/>
          <w:lang w:val="en-US"/>
        </w:rPr>
        <w:t>Argelia</w:t>
      </w:r>
      <w:proofErr w:type="spellEnd"/>
      <w:r w:rsidRPr="001558A5">
        <w:rPr>
          <w:rFonts w:cs="Times New Roman"/>
          <w:szCs w:val="16"/>
          <w:lang w:val="en-US"/>
        </w:rPr>
        <w:t xml:space="preserve"> Hernández </w:t>
      </w:r>
      <w:proofErr w:type="spellStart"/>
      <w:r w:rsidRPr="001558A5">
        <w:rPr>
          <w:rFonts w:cs="Times New Roman"/>
          <w:szCs w:val="16"/>
          <w:lang w:val="en-US"/>
        </w:rPr>
        <w:t>Martínez</w:t>
      </w:r>
      <w:proofErr w:type="spellEnd"/>
      <w:r w:rsidRPr="001558A5">
        <w:rPr>
          <w:rFonts w:cs="Times New Roman"/>
          <w:szCs w:val="16"/>
          <w:lang w:val="en-US"/>
        </w:rPr>
        <w:t xml:space="preserve"> </w:t>
      </w:r>
      <w:r w:rsidR="00DE7CAC" w:rsidRPr="001558A5">
        <w:rPr>
          <w:rFonts w:cs="Times New Roman"/>
          <w:szCs w:val="16"/>
          <w:lang w:val="en-US"/>
        </w:rPr>
        <w:t xml:space="preserve">before the </w:t>
      </w:r>
      <w:r w:rsidR="00845312" w:rsidRPr="001558A5">
        <w:rPr>
          <w:rFonts w:cs="Times New Roman"/>
          <w:szCs w:val="16"/>
          <w:lang w:val="en-US"/>
        </w:rPr>
        <w:t>National Criminal Investigation Directorate</w:t>
      </w:r>
      <w:r w:rsidRPr="001558A5">
        <w:rPr>
          <w:rFonts w:cs="Times New Roman"/>
          <w:szCs w:val="16"/>
          <w:lang w:val="en-US"/>
        </w:rPr>
        <w:t xml:space="preserve"> </w:t>
      </w:r>
      <w:r w:rsidR="00DE7CAC" w:rsidRPr="001558A5">
        <w:rPr>
          <w:rFonts w:cs="Times New Roman"/>
          <w:szCs w:val="16"/>
          <w:lang w:val="en-US"/>
        </w:rPr>
        <w:t xml:space="preserve">on May 3, </w:t>
      </w:r>
      <w:r w:rsidRPr="001558A5">
        <w:rPr>
          <w:rFonts w:cs="Times New Roman"/>
          <w:szCs w:val="16"/>
          <w:lang w:val="en-US"/>
        </w:rPr>
        <w:t>2011 (</w:t>
      </w:r>
      <w:r w:rsidR="00D11908" w:rsidRPr="001558A5">
        <w:rPr>
          <w:rFonts w:cs="Times New Roman"/>
          <w:szCs w:val="16"/>
          <w:lang w:val="en-US"/>
        </w:rPr>
        <w:t>evidence file</w:t>
      </w:r>
      <w:r w:rsidRPr="001558A5">
        <w:rPr>
          <w:rFonts w:cs="Times New Roman"/>
          <w:szCs w:val="16"/>
          <w:lang w:val="en-US"/>
        </w:rPr>
        <w:t>, folios 15</w:t>
      </w:r>
      <w:r w:rsidR="00DD4354" w:rsidRPr="001558A5">
        <w:rPr>
          <w:rFonts w:cs="Times New Roman"/>
          <w:szCs w:val="16"/>
          <w:lang w:val="en-US"/>
        </w:rPr>
        <w:t xml:space="preserve"> and </w:t>
      </w:r>
      <w:r w:rsidRPr="001558A5">
        <w:rPr>
          <w:rFonts w:cs="Times New Roman"/>
          <w:szCs w:val="16"/>
          <w:lang w:val="en-US"/>
        </w:rPr>
        <w:t>16).</w:t>
      </w:r>
    </w:p>
  </w:footnote>
  <w:footnote w:id="70">
    <w:p w14:paraId="6636EFBC" w14:textId="361296D8"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DE7CAC" w:rsidRPr="001558A5">
        <w:rPr>
          <w:rFonts w:cs="Times New Roman"/>
          <w:szCs w:val="16"/>
          <w:lang w:val="en-US"/>
        </w:rPr>
        <w:t>Special Prosecutor for Crimes against Life</w:t>
      </w:r>
      <w:r w:rsidRPr="001558A5">
        <w:rPr>
          <w:rFonts w:cs="Times New Roman"/>
          <w:szCs w:val="16"/>
          <w:lang w:val="en-US"/>
        </w:rPr>
        <w:t xml:space="preserve">. </w:t>
      </w:r>
      <w:r w:rsidR="000C6628" w:rsidRPr="001558A5">
        <w:rPr>
          <w:rFonts w:cs="Times New Roman"/>
          <w:szCs w:val="16"/>
          <w:lang w:val="en-US"/>
        </w:rPr>
        <w:t>Report of July 23,</w:t>
      </w:r>
      <w:r w:rsidRPr="001558A5">
        <w:rPr>
          <w:rFonts w:cs="Times New Roman"/>
          <w:szCs w:val="16"/>
          <w:lang w:val="en-US"/>
        </w:rPr>
        <w:t xml:space="preserve"> 2013 (</w:t>
      </w:r>
      <w:r w:rsidR="00D11908" w:rsidRPr="001558A5">
        <w:rPr>
          <w:rFonts w:cs="Times New Roman"/>
          <w:szCs w:val="16"/>
          <w:lang w:val="en-US"/>
        </w:rPr>
        <w:t>evidence file</w:t>
      </w:r>
      <w:r w:rsidRPr="001558A5">
        <w:rPr>
          <w:rFonts w:cs="Times New Roman"/>
          <w:szCs w:val="16"/>
          <w:lang w:val="en-US"/>
        </w:rPr>
        <w:t>, folios 91 a</w:t>
      </w:r>
      <w:r w:rsidR="000C6628" w:rsidRPr="001558A5">
        <w:rPr>
          <w:rFonts w:cs="Times New Roman"/>
          <w:szCs w:val="16"/>
          <w:lang w:val="en-US"/>
        </w:rPr>
        <w:t xml:space="preserve">nd </w:t>
      </w:r>
      <w:r w:rsidRPr="001558A5">
        <w:rPr>
          <w:rFonts w:cs="Times New Roman"/>
          <w:szCs w:val="16"/>
          <w:lang w:val="en-US"/>
        </w:rPr>
        <w:t>92).</w:t>
      </w:r>
    </w:p>
  </w:footnote>
  <w:footnote w:id="71">
    <w:p w14:paraId="3D732F16" w14:textId="45ADA315"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DE7CAC" w:rsidRPr="001558A5">
        <w:rPr>
          <w:rFonts w:cs="Times New Roman"/>
          <w:szCs w:val="16"/>
          <w:lang w:val="en-US"/>
        </w:rPr>
        <w:t>Special Prosecutor for Crimes against Life</w:t>
      </w:r>
      <w:r w:rsidRPr="001558A5">
        <w:rPr>
          <w:rFonts w:cs="Times New Roman"/>
          <w:szCs w:val="16"/>
          <w:lang w:val="en-US"/>
        </w:rPr>
        <w:t xml:space="preserve">. </w:t>
      </w:r>
      <w:r w:rsidR="000C6628" w:rsidRPr="001558A5">
        <w:rPr>
          <w:rFonts w:cs="Times New Roman"/>
          <w:szCs w:val="16"/>
          <w:lang w:val="en-US"/>
        </w:rPr>
        <w:t>Report of July 23,</w:t>
      </w:r>
      <w:r w:rsidRPr="001558A5">
        <w:rPr>
          <w:rFonts w:cs="Times New Roman"/>
          <w:szCs w:val="16"/>
          <w:lang w:val="en-US"/>
        </w:rPr>
        <w:t xml:space="preserve"> 2013 (</w:t>
      </w:r>
      <w:r w:rsidR="00D11908" w:rsidRPr="001558A5">
        <w:rPr>
          <w:rFonts w:cs="Times New Roman"/>
          <w:szCs w:val="16"/>
          <w:lang w:val="en-US"/>
        </w:rPr>
        <w:t>evidence file</w:t>
      </w:r>
      <w:r w:rsidRPr="001558A5">
        <w:rPr>
          <w:rFonts w:cs="Times New Roman"/>
          <w:szCs w:val="16"/>
          <w:lang w:val="en-US"/>
        </w:rPr>
        <w:t>, folios 63 a</w:t>
      </w:r>
      <w:r w:rsidR="000C6628" w:rsidRPr="001558A5">
        <w:rPr>
          <w:rFonts w:cs="Times New Roman"/>
          <w:szCs w:val="16"/>
          <w:lang w:val="en-US"/>
        </w:rPr>
        <w:t>nd</w:t>
      </w:r>
      <w:r w:rsidRPr="001558A5">
        <w:rPr>
          <w:rFonts w:cs="Times New Roman"/>
          <w:szCs w:val="16"/>
          <w:lang w:val="en-US"/>
        </w:rPr>
        <w:t xml:space="preserve"> 64)</w:t>
      </w:r>
    </w:p>
  </w:footnote>
  <w:footnote w:id="72">
    <w:p w14:paraId="06E245D3" w14:textId="4211DC94"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871E19" w:rsidRPr="001558A5">
        <w:rPr>
          <w:rFonts w:cs="Times New Roman"/>
          <w:i/>
          <w:szCs w:val="16"/>
          <w:lang w:val="en-US"/>
        </w:rPr>
        <w:t>Cf.</w:t>
      </w:r>
      <w:r w:rsidRPr="001558A5">
        <w:rPr>
          <w:rFonts w:cs="Times New Roman"/>
          <w:i/>
          <w:szCs w:val="16"/>
          <w:lang w:val="en-US"/>
        </w:rPr>
        <w:t xml:space="preserve"> </w:t>
      </w:r>
      <w:r w:rsidR="000C6628" w:rsidRPr="001558A5">
        <w:rPr>
          <w:rFonts w:cs="Times New Roman"/>
          <w:szCs w:val="16"/>
          <w:lang w:val="en-US"/>
        </w:rPr>
        <w:t>Request by the lawyer,</w:t>
      </w:r>
      <w:r w:rsidRPr="001558A5">
        <w:rPr>
          <w:rFonts w:cs="Times New Roman"/>
          <w:szCs w:val="16"/>
          <w:lang w:val="en-US"/>
        </w:rPr>
        <w:t xml:space="preserve"> Rita Isabel Romero </w:t>
      </w:r>
      <w:proofErr w:type="spellStart"/>
      <w:r w:rsidRPr="001558A5">
        <w:rPr>
          <w:rFonts w:cs="Times New Roman"/>
          <w:szCs w:val="16"/>
          <w:lang w:val="en-US"/>
        </w:rPr>
        <w:t>Renderos</w:t>
      </w:r>
      <w:proofErr w:type="spellEnd"/>
      <w:r w:rsidR="000C6628" w:rsidRPr="001558A5">
        <w:rPr>
          <w:rFonts w:cs="Times New Roman"/>
          <w:szCs w:val="16"/>
          <w:lang w:val="en-US"/>
        </w:rPr>
        <w:t>,</w:t>
      </w:r>
      <w:r w:rsidRPr="001558A5">
        <w:rPr>
          <w:rFonts w:cs="Times New Roman"/>
          <w:szCs w:val="16"/>
          <w:lang w:val="en-US"/>
        </w:rPr>
        <w:t xml:space="preserve"> </w:t>
      </w:r>
      <w:r w:rsidR="000C6628" w:rsidRPr="001558A5">
        <w:rPr>
          <w:rFonts w:cs="Times New Roman"/>
          <w:szCs w:val="16"/>
          <w:lang w:val="en-US"/>
        </w:rPr>
        <w:t>of October 17,</w:t>
      </w:r>
      <w:r w:rsidRPr="001558A5">
        <w:rPr>
          <w:rFonts w:cs="Times New Roman"/>
          <w:szCs w:val="16"/>
          <w:lang w:val="en-US"/>
        </w:rPr>
        <w:t xml:space="preserve"> 2013 (</w:t>
      </w:r>
      <w:r w:rsidR="00D11908" w:rsidRPr="001558A5">
        <w:rPr>
          <w:rFonts w:cs="Times New Roman"/>
          <w:szCs w:val="16"/>
          <w:lang w:val="en-US"/>
        </w:rPr>
        <w:t>evidence file</w:t>
      </w:r>
      <w:r w:rsidRPr="001558A5">
        <w:rPr>
          <w:rFonts w:cs="Times New Roman"/>
          <w:szCs w:val="16"/>
          <w:lang w:val="en-US"/>
        </w:rPr>
        <w:t>, folio 103).</w:t>
      </w:r>
    </w:p>
  </w:footnote>
  <w:footnote w:id="73">
    <w:p w14:paraId="319D72A4" w14:textId="4247E66B"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871E19" w:rsidRPr="001558A5">
        <w:rPr>
          <w:rFonts w:cs="Times New Roman"/>
          <w:i/>
          <w:szCs w:val="16"/>
          <w:lang w:val="en-US"/>
        </w:rPr>
        <w:t>Cf.</w:t>
      </w:r>
      <w:r w:rsidRPr="001558A5">
        <w:rPr>
          <w:rFonts w:cs="Times New Roman"/>
          <w:i/>
          <w:szCs w:val="16"/>
          <w:lang w:val="en-US"/>
        </w:rPr>
        <w:t xml:space="preserve"> </w:t>
      </w:r>
      <w:r w:rsidR="000C6628" w:rsidRPr="001558A5">
        <w:rPr>
          <w:rFonts w:cs="Times New Roman"/>
          <w:szCs w:val="16"/>
          <w:lang w:val="en-US"/>
        </w:rPr>
        <w:t>Request by the lawyer,</w:t>
      </w:r>
      <w:r w:rsidRPr="001558A5">
        <w:rPr>
          <w:rFonts w:cs="Times New Roman"/>
          <w:szCs w:val="16"/>
          <w:lang w:val="en-US"/>
        </w:rPr>
        <w:t xml:space="preserve"> Rita Isabel Romero </w:t>
      </w:r>
      <w:proofErr w:type="spellStart"/>
      <w:r w:rsidRPr="001558A5">
        <w:rPr>
          <w:rFonts w:cs="Times New Roman"/>
          <w:szCs w:val="16"/>
          <w:lang w:val="en-US"/>
        </w:rPr>
        <w:t>Renderos</w:t>
      </w:r>
      <w:proofErr w:type="spellEnd"/>
      <w:r w:rsidR="000C6628" w:rsidRPr="001558A5">
        <w:rPr>
          <w:rFonts w:cs="Times New Roman"/>
          <w:szCs w:val="16"/>
          <w:lang w:val="en-US"/>
        </w:rPr>
        <w:t>,</w:t>
      </w:r>
      <w:r w:rsidRPr="001558A5">
        <w:rPr>
          <w:rFonts w:cs="Times New Roman"/>
          <w:szCs w:val="16"/>
          <w:lang w:val="en-US"/>
        </w:rPr>
        <w:t xml:space="preserve"> </w:t>
      </w:r>
      <w:r w:rsidR="000C6628" w:rsidRPr="001558A5">
        <w:rPr>
          <w:rFonts w:cs="Times New Roman"/>
          <w:szCs w:val="16"/>
          <w:lang w:val="en-US"/>
        </w:rPr>
        <w:t>of October 17,</w:t>
      </w:r>
      <w:r w:rsidRPr="001558A5">
        <w:rPr>
          <w:rFonts w:cs="Times New Roman"/>
          <w:szCs w:val="16"/>
          <w:lang w:val="en-US"/>
        </w:rPr>
        <w:t xml:space="preserve"> 2013 (</w:t>
      </w:r>
      <w:r w:rsidR="00D11908" w:rsidRPr="001558A5">
        <w:rPr>
          <w:rFonts w:cs="Times New Roman"/>
          <w:szCs w:val="16"/>
          <w:lang w:val="en-US"/>
        </w:rPr>
        <w:t>evidence file</w:t>
      </w:r>
      <w:r w:rsidRPr="001558A5">
        <w:rPr>
          <w:rFonts w:cs="Times New Roman"/>
          <w:szCs w:val="16"/>
          <w:lang w:val="en-US"/>
        </w:rPr>
        <w:t>, folio 105).</w:t>
      </w:r>
    </w:p>
  </w:footnote>
  <w:footnote w:id="74">
    <w:p w14:paraId="0043BFE5" w14:textId="2A5E91EC"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871E19" w:rsidRPr="001558A5">
        <w:rPr>
          <w:rFonts w:cs="Times New Roman"/>
          <w:i/>
          <w:szCs w:val="16"/>
          <w:lang w:val="en-US"/>
        </w:rPr>
        <w:t>Cf.</w:t>
      </w:r>
      <w:r w:rsidRPr="001558A5">
        <w:rPr>
          <w:rFonts w:cs="Times New Roman"/>
          <w:i/>
          <w:szCs w:val="16"/>
          <w:lang w:val="en-US"/>
        </w:rPr>
        <w:t xml:space="preserve"> </w:t>
      </w:r>
      <w:r w:rsidR="000C6628" w:rsidRPr="001558A5">
        <w:rPr>
          <w:rFonts w:cs="Times New Roman"/>
          <w:lang w:val="en-US"/>
        </w:rPr>
        <w:t>Regional Coordinator of Forensic Medicine</w:t>
      </w:r>
      <w:r w:rsidRPr="001558A5">
        <w:rPr>
          <w:rFonts w:cs="Times New Roman"/>
          <w:szCs w:val="16"/>
          <w:lang w:val="en-US"/>
        </w:rPr>
        <w:t xml:space="preserve">. </w:t>
      </w:r>
      <w:r w:rsidR="00DE7CAC" w:rsidRPr="001558A5">
        <w:rPr>
          <w:rFonts w:cs="Times New Roman"/>
          <w:szCs w:val="16"/>
          <w:lang w:val="en-US"/>
        </w:rPr>
        <w:t>Communication</w:t>
      </w:r>
      <w:r w:rsidRPr="001558A5">
        <w:rPr>
          <w:rFonts w:cs="Times New Roman"/>
          <w:szCs w:val="16"/>
          <w:lang w:val="en-US"/>
        </w:rPr>
        <w:t xml:space="preserve"> </w:t>
      </w:r>
      <w:r w:rsidR="000C6628" w:rsidRPr="001558A5">
        <w:rPr>
          <w:rFonts w:cs="Times New Roman"/>
          <w:szCs w:val="16"/>
          <w:lang w:val="en-US"/>
        </w:rPr>
        <w:t xml:space="preserve">of October 28, </w:t>
      </w:r>
      <w:r w:rsidRPr="001558A5">
        <w:rPr>
          <w:rFonts w:cs="Times New Roman"/>
          <w:szCs w:val="16"/>
          <w:lang w:val="en-US"/>
        </w:rPr>
        <w:t>2013 (</w:t>
      </w:r>
      <w:r w:rsidR="00D11908" w:rsidRPr="001558A5">
        <w:rPr>
          <w:rFonts w:cs="Times New Roman"/>
          <w:szCs w:val="16"/>
          <w:lang w:val="en-US"/>
        </w:rPr>
        <w:t>evidence file</w:t>
      </w:r>
      <w:r w:rsidRPr="001558A5">
        <w:rPr>
          <w:rFonts w:cs="Times New Roman"/>
          <w:szCs w:val="16"/>
          <w:lang w:val="en-US"/>
        </w:rPr>
        <w:t>, folio 107).</w:t>
      </w:r>
    </w:p>
  </w:footnote>
  <w:footnote w:id="75">
    <w:p w14:paraId="42255E27" w14:textId="7D3F0592"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871E19" w:rsidRPr="001558A5">
        <w:rPr>
          <w:rFonts w:cs="Times New Roman"/>
          <w:i/>
          <w:szCs w:val="16"/>
          <w:lang w:val="en-US"/>
        </w:rPr>
        <w:t>Cf.</w:t>
      </w:r>
      <w:r w:rsidRPr="001558A5">
        <w:rPr>
          <w:rFonts w:cs="Times New Roman"/>
          <w:i/>
          <w:szCs w:val="16"/>
          <w:lang w:val="en-US"/>
        </w:rPr>
        <w:t xml:space="preserve"> </w:t>
      </w:r>
      <w:r w:rsidR="000C6628" w:rsidRPr="001558A5">
        <w:rPr>
          <w:rFonts w:cs="Times New Roman"/>
          <w:szCs w:val="16"/>
          <w:lang w:val="en-US"/>
        </w:rPr>
        <w:t>Prosecutor of the Social Impact Deaths Unit</w:t>
      </w:r>
      <w:r w:rsidRPr="001558A5">
        <w:rPr>
          <w:rFonts w:cs="Times New Roman"/>
          <w:szCs w:val="16"/>
          <w:lang w:val="en-US"/>
        </w:rPr>
        <w:t xml:space="preserve">. </w:t>
      </w:r>
      <w:r w:rsidR="00D11908" w:rsidRPr="001558A5">
        <w:rPr>
          <w:rFonts w:cs="Times New Roman"/>
          <w:szCs w:val="16"/>
          <w:lang w:val="en-US"/>
        </w:rPr>
        <w:t>Communication</w:t>
      </w:r>
      <w:r w:rsidRPr="001558A5">
        <w:rPr>
          <w:rFonts w:cs="Times New Roman"/>
          <w:szCs w:val="16"/>
          <w:lang w:val="en-US"/>
        </w:rPr>
        <w:t xml:space="preserve"> FEDCV-322-13-UEMIS </w:t>
      </w:r>
      <w:r w:rsidR="000C6628" w:rsidRPr="001558A5">
        <w:rPr>
          <w:rFonts w:cs="Times New Roman"/>
          <w:szCs w:val="16"/>
          <w:lang w:val="en-US"/>
        </w:rPr>
        <w:t>of October 28,</w:t>
      </w:r>
      <w:r w:rsidRPr="001558A5">
        <w:rPr>
          <w:rFonts w:cs="Times New Roman"/>
          <w:szCs w:val="16"/>
          <w:lang w:val="en-US"/>
        </w:rPr>
        <w:t xml:space="preserve"> 2013 (</w:t>
      </w:r>
      <w:r w:rsidR="00D11908" w:rsidRPr="001558A5">
        <w:rPr>
          <w:rFonts w:cs="Times New Roman"/>
          <w:szCs w:val="16"/>
          <w:lang w:val="en-US"/>
        </w:rPr>
        <w:t>evidence file</w:t>
      </w:r>
      <w:r w:rsidRPr="001558A5">
        <w:rPr>
          <w:rFonts w:cs="Times New Roman"/>
          <w:szCs w:val="16"/>
          <w:lang w:val="en-US"/>
        </w:rPr>
        <w:t>, folio 109).</w:t>
      </w:r>
    </w:p>
  </w:footnote>
  <w:footnote w:id="76">
    <w:p w14:paraId="32FAF918" w14:textId="0F9237C1"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871E19" w:rsidRPr="001558A5">
        <w:rPr>
          <w:rFonts w:cs="Times New Roman"/>
          <w:i/>
          <w:szCs w:val="16"/>
          <w:lang w:val="en-US"/>
        </w:rPr>
        <w:t>Cf.</w:t>
      </w:r>
      <w:r w:rsidRPr="001558A5">
        <w:rPr>
          <w:rFonts w:cs="Times New Roman"/>
          <w:i/>
          <w:szCs w:val="16"/>
          <w:lang w:val="en-US"/>
        </w:rPr>
        <w:t xml:space="preserve"> </w:t>
      </w:r>
      <w:r w:rsidR="000C6628" w:rsidRPr="001558A5">
        <w:rPr>
          <w:rFonts w:cs="Times New Roman"/>
          <w:szCs w:val="16"/>
          <w:lang w:val="en-US"/>
        </w:rPr>
        <w:t>Prosecutor for Crimes against Life</w:t>
      </w:r>
      <w:r w:rsidRPr="001558A5">
        <w:rPr>
          <w:rFonts w:cs="Times New Roman"/>
          <w:szCs w:val="16"/>
          <w:lang w:val="en-US"/>
        </w:rPr>
        <w:t xml:space="preserve">. </w:t>
      </w:r>
      <w:r w:rsidR="000C6628" w:rsidRPr="001558A5">
        <w:rPr>
          <w:rFonts w:cs="Times New Roman"/>
          <w:szCs w:val="16"/>
          <w:lang w:val="en-US"/>
        </w:rPr>
        <w:t>Reasoned decision of October 28,</w:t>
      </w:r>
      <w:r w:rsidRPr="001558A5">
        <w:rPr>
          <w:rFonts w:cs="Times New Roman"/>
          <w:szCs w:val="16"/>
          <w:lang w:val="en-US"/>
        </w:rPr>
        <w:t xml:space="preserve"> 2013 (</w:t>
      </w:r>
      <w:r w:rsidR="00D11908" w:rsidRPr="001558A5">
        <w:rPr>
          <w:rFonts w:cs="Times New Roman"/>
          <w:szCs w:val="16"/>
          <w:lang w:val="en-US"/>
        </w:rPr>
        <w:t>evidence file</w:t>
      </w:r>
      <w:r w:rsidRPr="001558A5">
        <w:rPr>
          <w:rFonts w:cs="Times New Roman"/>
          <w:szCs w:val="16"/>
          <w:lang w:val="en-US"/>
        </w:rPr>
        <w:t>, folios 111 a</w:t>
      </w:r>
      <w:r w:rsidR="000C6628" w:rsidRPr="001558A5">
        <w:rPr>
          <w:rFonts w:cs="Times New Roman"/>
          <w:szCs w:val="16"/>
          <w:lang w:val="en-US"/>
        </w:rPr>
        <w:t>nd</w:t>
      </w:r>
      <w:r w:rsidRPr="001558A5">
        <w:rPr>
          <w:rFonts w:cs="Times New Roman"/>
          <w:szCs w:val="16"/>
          <w:lang w:val="en-US"/>
        </w:rPr>
        <w:t xml:space="preserve"> 112).</w:t>
      </w:r>
    </w:p>
  </w:footnote>
  <w:footnote w:id="77">
    <w:p w14:paraId="6132D56C" w14:textId="71340E93"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871E19" w:rsidRPr="001558A5">
        <w:rPr>
          <w:rFonts w:cs="Times New Roman"/>
          <w:i/>
          <w:szCs w:val="16"/>
          <w:lang w:val="en-US"/>
        </w:rPr>
        <w:t>Cf.</w:t>
      </w:r>
      <w:r w:rsidRPr="001558A5">
        <w:rPr>
          <w:rFonts w:cs="Times New Roman"/>
          <w:i/>
          <w:szCs w:val="16"/>
          <w:lang w:val="en-US"/>
        </w:rPr>
        <w:t xml:space="preserve"> </w:t>
      </w:r>
      <w:r w:rsidR="000C6628" w:rsidRPr="001558A5">
        <w:rPr>
          <w:rFonts w:cs="Times New Roman"/>
          <w:szCs w:val="16"/>
          <w:lang w:val="en-US"/>
        </w:rPr>
        <w:t>Request by the lawyer,</w:t>
      </w:r>
      <w:r w:rsidRPr="001558A5">
        <w:rPr>
          <w:rFonts w:cs="Times New Roman"/>
          <w:szCs w:val="16"/>
          <w:lang w:val="en-US"/>
        </w:rPr>
        <w:t xml:space="preserve"> Rita Isabel Romero </w:t>
      </w:r>
      <w:proofErr w:type="spellStart"/>
      <w:r w:rsidRPr="001558A5">
        <w:rPr>
          <w:rFonts w:cs="Times New Roman"/>
          <w:szCs w:val="16"/>
          <w:lang w:val="en-US"/>
        </w:rPr>
        <w:t>Renderos</w:t>
      </w:r>
      <w:proofErr w:type="spellEnd"/>
      <w:r w:rsidRPr="001558A5">
        <w:rPr>
          <w:rFonts w:cs="Times New Roman"/>
          <w:szCs w:val="16"/>
          <w:lang w:val="en-US"/>
        </w:rPr>
        <w:t xml:space="preserve">, </w:t>
      </w:r>
      <w:r w:rsidR="000C6628" w:rsidRPr="001558A5">
        <w:rPr>
          <w:rFonts w:cs="Times New Roman"/>
          <w:szCs w:val="16"/>
          <w:lang w:val="en-US"/>
        </w:rPr>
        <w:t>of October 30,</w:t>
      </w:r>
      <w:r w:rsidRPr="001558A5">
        <w:rPr>
          <w:rFonts w:cs="Times New Roman"/>
          <w:szCs w:val="16"/>
          <w:lang w:val="en-US"/>
        </w:rPr>
        <w:t xml:space="preserve"> 2013 (</w:t>
      </w:r>
      <w:r w:rsidR="00D11908" w:rsidRPr="001558A5">
        <w:rPr>
          <w:rFonts w:cs="Times New Roman"/>
          <w:szCs w:val="16"/>
          <w:lang w:val="en-US"/>
        </w:rPr>
        <w:t>evidence file</w:t>
      </w:r>
      <w:r w:rsidRPr="001558A5">
        <w:rPr>
          <w:rFonts w:cs="Times New Roman"/>
          <w:szCs w:val="16"/>
          <w:lang w:val="en-US"/>
        </w:rPr>
        <w:t>, folio 114).</w:t>
      </w:r>
    </w:p>
  </w:footnote>
  <w:footnote w:id="78">
    <w:p w14:paraId="2F22F75C" w14:textId="516944AA"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871E19" w:rsidRPr="001558A5">
        <w:rPr>
          <w:rFonts w:cs="Times New Roman"/>
          <w:i/>
          <w:szCs w:val="16"/>
          <w:lang w:val="en-US"/>
        </w:rPr>
        <w:t>Cf.</w:t>
      </w:r>
      <w:r w:rsidRPr="001558A5">
        <w:rPr>
          <w:rFonts w:cs="Times New Roman"/>
          <w:i/>
          <w:szCs w:val="16"/>
          <w:lang w:val="en-US"/>
        </w:rPr>
        <w:t xml:space="preserve"> </w:t>
      </w:r>
      <w:r w:rsidR="000C6628" w:rsidRPr="001558A5">
        <w:rPr>
          <w:rFonts w:cs="Times New Roman"/>
          <w:szCs w:val="16"/>
          <w:lang w:val="en-US"/>
        </w:rPr>
        <w:t>Prosecutor for Crimes against Life</w:t>
      </w:r>
      <w:r w:rsidRPr="001558A5">
        <w:rPr>
          <w:rFonts w:cs="Times New Roman"/>
          <w:szCs w:val="16"/>
          <w:lang w:val="en-US"/>
        </w:rPr>
        <w:t xml:space="preserve">. </w:t>
      </w:r>
      <w:r w:rsidR="000C6628" w:rsidRPr="001558A5">
        <w:rPr>
          <w:rFonts w:cs="Times New Roman"/>
          <w:szCs w:val="16"/>
          <w:lang w:val="en-US"/>
        </w:rPr>
        <w:t>Report of November 4,</w:t>
      </w:r>
      <w:r w:rsidRPr="001558A5">
        <w:rPr>
          <w:rFonts w:cs="Times New Roman"/>
          <w:szCs w:val="16"/>
          <w:lang w:val="en-US"/>
        </w:rPr>
        <w:t xml:space="preserve"> 2013 (</w:t>
      </w:r>
      <w:r w:rsidR="00D11908" w:rsidRPr="001558A5">
        <w:rPr>
          <w:rFonts w:cs="Times New Roman"/>
          <w:szCs w:val="16"/>
          <w:lang w:val="en-US"/>
        </w:rPr>
        <w:t>evidence file</w:t>
      </w:r>
      <w:r w:rsidRPr="001558A5">
        <w:rPr>
          <w:rFonts w:cs="Times New Roman"/>
          <w:szCs w:val="16"/>
          <w:lang w:val="en-US"/>
        </w:rPr>
        <w:t>, folio 118).</w:t>
      </w:r>
    </w:p>
  </w:footnote>
  <w:footnote w:id="79">
    <w:p w14:paraId="6B785172" w14:textId="748B3326"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871E19" w:rsidRPr="001558A5">
        <w:rPr>
          <w:rFonts w:cs="Times New Roman"/>
          <w:i/>
          <w:szCs w:val="16"/>
          <w:lang w:val="en-US"/>
        </w:rPr>
        <w:t>Cf.</w:t>
      </w:r>
      <w:r w:rsidRPr="001558A5">
        <w:rPr>
          <w:rFonts w:cs="Times New Roman"/>
          <w:i/>
          <w:szCs w:val="16"/>
          <w:lang w:val="en-US"/>
        </w:rPr>
        <w:t xml:space="preserve"> </w:t>
      </w:r>
      <w:r w:rsidR="000C6628" w:rsidRPr="001558A5">
        <w:rPr>
          <w:rFonts w:cs="Times New Roman"/>
          <w:szCs w:val="16"/>
          <w:lang w:val="en-US"/>
        </w:rPr>
        <w:t>Prosecutor for Crimes against Life</w:t>
      </w:r>
      <w:r w:rsidRPr="001558A5">
        <w:rPr>
          <w:rFonts w:cs="Times New Roman"/>
          <w:szCs w:val="16"/>
          <w:lang w:val="en-US"/>
        </w:rPr>
        <w:t xml:space="preserve">. </w:t>
      </w:r>
      <w:r w:rsidR="000C6628" w:rsidRPr="001558A5">
        <w:rPr>
          <w:rFonts w:cs="Times New Roman"/>
          <w:szCs w:val="16"/>
          <w:lang w:val="en-US"/>
        </w:rPr>
        <w:t>Record of procedure</w:t>
      </w:r>
      <w:r w:rsidRPr="001558A5">
        <w:rPr>
          <w:rFonts w:cs="Times New Roman"/>
          <w:szCs w:val="16"/>
          <w:lang w:val="en-US"/>
        </w:rPr>
        <w:t xml:space="preserve"> </w:t>
      </w:r>
      <w:r w:rsidR="000C6628" w:rsidRPr="001558A5">
        <w:rPr>
          <w:rFonts w:cs="Times New Roman"/>
          <w:szCs w:val="16"/>
          <w:lang w:val="en-US"/>
        </w:rPr>
        <w:t>of November 4,</w:t>
      </w:r>
      <w:r w:rsidRPr="001558A5">
        <w:rPr>
          <w:rFonts w:cs="Times New Roman"/>
          <w:szCs w:val="16"/>
          <w:lang w:val="en-US"/>
        </w:rPr>
        <w:t xml:space="preserve"> 2013 (</w:t>
      </w:r>
      <w:r w:rsidR="00D11908" w:rsidRPr="001558A5">
        <w:rPr>
          <w:rFonts w:cs="Times New Roman"/>
          <w:szCs w:val="16"/>
          <w:lang w:val="en-US"/>
        </w:rPr>
        <w:t>evidence file</w:t>
      </w:r>
      <w:r w:rsidRPr="001558A5">
        <w:rPr>
          <w:rFonts w:cs="Times New Roman"/>
          <w:szCs w:val="16"/>
          <w:lang w:val="en-US"/>
        </w:rPr>
        <w:t>, folio 120).</w:t>
      </w:r>
    </w:p>
  </w:footnote>
  <w:footnote w:id="80">
    <w:p w14:paraId="01D97821" w14:textId="14865283" w:rsidR="005977F6" w:rsidRPr="001558A5" w:rsidRDefault="005977F6" w:rsidP="000B2BB5">
      <w:pPr>
        <w:pStyle w:val="Textonotapie"/>
        <w:tabs>
          <w:tab w:val="left" w:pos="360"/>
        </w:tabs>
        <w:rPr>
          <w:rFonts w:cs="Times New Roman"/>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871E19" w:rsidRPr="001558A5">
        <w:rPr>
          <w:rFonts w:cs="Times New Roman"/>
          <w:i/>
          <w:szCs w:val="16"/>
          <w:lang w:val="en-US"/>
        </w:rPr>
        <w:t>Cf.</w:t>
      </w:r>
      <w:r w:rsidRPr="001558A5">
        <w:rPr>
          <w:rFonts w:cs="Times New Roman"/>
          <w:i/>
          <w:szCs w:val="16"/>
          <w:lang w:val="en-US"/>
        </w:rPr>
        <w:t xml:space="preserve"> </w:t>
      </w:r>
      <w:r w:rsidR="00DE7CAC" w:rsidRPr="001558A5">
        <w:rPr>
          <w:rFonts w:cs="Times New Roman"/>
          <w:szCs w:val="16"/>
          <w:lang w:val="en-US"/>
        </w:rPr>
        <w:t>Head of the Special Prosecution Unit for Crimes against Life</w:t>
      </w:r>
      <w:r w:rsidRPr="001558A5">
        <w:rPr>
          <w:rFonts w:cs="Times New Roman"/>
          <w:szCs w:val="16"/>
          <w:lang w:val="en-US"/>
        </w:rPr>
        <w:t xml:space="preserve">. </w:t>
      </w:r>
      <w:r w:rsidR="00DE7CAC" w:rsidRPr="001558A5">
        <w:rPr>
          <w:rFonts w:cs="Times New Roman"/>
          <w:szCs w:val="16"/>
          <w:lang w:val="en-US"/>
        </w:rPr>
        <w:t>Decision of November 20,</w:t>
      </w:r>
      <w:r w:rsidRPr="001558A5">
        <w:rPr>
          <w:rFonts w:cs="Times New Roman"/>
          <w:szCs w:val="16"/>
          <w:lang w:val="en-US"/>
        </w:rPr>
        <w:t xml:space="preserve"> 2013 (</w:t>
      </w:r>
      <w:r w:rsidR="00D11908" w:rsidRPr="001558A5">
        <w:rPr>
          <w:rFonts w:cs="Times New Roman"/>
          <w:szCs w:val="16"/>
          <w:lang w:val="en-US"/>
        </w:rPr>
        <w:t>evidence file</w:t>
      </w:r>
      <w:r w:rsidRPr="001558A5">
        <w:rPr>
          <w:rFonts w:cs="Times New Roman"/>
          <w:szCs w:val="16"/>
          <w:lang w:val="en-US"/>
        </w:rPr>
        <w:t xml:space="preserve">, folios 124 </w:t>
      </w:r>
      <w:r w:rsidR="004A4A92" w:rsidRPr="001558A5">
        <w:rPr>
          <w:rFonts w:cs="Times New Roman"/>
          <w:szCs w:val="16"/>
          <w:lang w:val="en-US"/>
        </w:rPr>
        <w:t>and</w:t>
      </w:r>
      <w:r w:rsidRPr="001558A5">
        <w:rPr>
          <w:rFonts w:cs="Times New Roman"/>
          <w:szCs w:val="16"/>
          <w:lang w:val="en-US"/>
        </w:rPr>
        <w:t xml:space="preserve"> 125).</w:t>
      </w:r>
    </w:p>
  </w:footnote>
  <w:footnote w:id="81">
    <w:p w14:paraId="33860573" w14:textId="2AF24CA0" w:rsidR="005977F6" w:rsidRPr="001558A5" w:rsidRDefault="005977F6" w:rsidP="000B2BB5">
      <w:pPr>
        <w:pStyle w:val="Textonotapie"/>
        <w:tabs>
          <w:tab w:val="left" w:pos="360"/>
        </w:tabs>
        <w:rPr>
          <w:szCs w:val="16"/>
          <w:lang w:val="en-US"/>
        </w:rPr>
      </w:pPr>
      <w:r w:rsidRPr="001558A5">
        <w:rPr>
          <w:rStyle w:val="Refdenotaalpie"/>
          <w:szCs w:val="16"/>
          <w:lang w:val="en-US"/>
        </w:rPr>
        <w:footnoteRef/>
      </w:r>
      <w:r w:rsidRPr="001558A5">
        <w:rPr>
          <w:rFonts w:cs="Times New Roman"/>
          <w:szCs w:val="16"/>
          <w:lang w:val="en-US"/>
        </w:rPr>
        <w:t xml:space="preserve"> </w:t>
      </w:r>
      <w:r w:rsidRPr="001558A5">
        <w:rPr>
          <w:rFonts w:cs="Times New Roman"/>
          <w:szCs w:val="16"/>
          <w:lang w:val="en-US"/>
        </w:rPr>
        <w:tab/>
      </w:r>
      <w:r w:rsidR="00871E19" w:rsidRPr="001558A5">
        <w:rPr>
          <w:rFonts w:cs="Times New Roman"/>
          <w:i/>
          <w:szCs w:val="16"/>
          <w:lang w:val="en-US"/>
        </w:rPr>
        <w:t>Cf.</w:t>
      </w:r>
      <w:r w:rsidRPr="001558A5">
        <w:rPr>
          <w:rFonts w:cs="Times New Roman"/>
          <w:szCs w:val="16"/>
          <w:lang w:val="en-US"/>
        </w:rPr>
        <w:t xml:space="preserve"> </w:t>
      </w:r>
      <w:r w:rsidR="004A4A92" w:rsidRPr="001558A5">
        <w:rPr>
          <w:rFonts w:cs="Times New Roman"/>
          <w:szCs w:val="16"/>
          <w:lang w:val="en-US"/>
        </w:rPr>
        <w:t>Communication</w:t>
      </w:r>
      <w:r w:rsidRPr="001558A5">
        <w:rPr>
          <w:rFonts w:cs="Times New Roman"/>
          <w:szCs w:val="16"/>
          <w:lang w:val="en-US"/>
        </w:rPr>
        <w:t xml:space="preserve"> </w:t>
      </w:r>
      <w:r w:rsidR="004A4A92" w:rsidRPr="001558A5">
        <w:rPr>
          <w:rFonts w:cs="Times New Roman"/>
          <w:szCs w:val="16"/>
          <w:lang w:val="en-US"/>
        </w:rPr>
        <w:t>of</w:t>
      </w:r>
      <w:r w:rsidRPr="001558A5">
        <w:rPr>
          <w:rFonts w:cs="Times New Roman"/>
          <w:szCs w:val="16"/>
          <w:lang w:val="en-US"/>
        </w:rPr>
        <w:t xml:space="preserve"> </w:t>
      </w:r>
      <w:r w:rsidR="00C909B4" w:rsidRPr="001558A5">
        <w:rPr>
          <w:rFonts w:cs="Times New Roman"/>
          <w:szCs w:val="16"/>
          <w:lang w:val="en-US"/>
        </w:rPr>
        <w:t>March 12,</w:t>
      </w:r>
      <w:r w:rsidRPr="001558A5">
        <w:rPr>
          <w:rFonts w:cs="Times New Roman"/>
          <w:szCs w:val="16"/>
          <w:lang w:val="en-US"/>
        </w:rPr>
        <w:t xml:space="preserve"> 2015 (</w:t>
      </w:r>
      <w:r w:rsidR="00D11908" w:rsidRPr="001558A5">
        <w:rPr>
          <w:rFonts w:cs="Times New Roman"/>
          <w:szCs w:val="16"/>
          <w:lang w:val="en-US"/>
        </w:rPr>
        <w:t>evidence file</w:t>
      </w:r>
      <w:r w:rsidRPr="001558A5">
        <w:rPr>
          <w:rFonts w:cs="Times New Roman"/>
          <w:szCs w:val="16"/>
          <w:lang w:val="en-US"/>
        </w:rPr>
        <w:t>, folios 127 a</w:t>
      </w:r>
      <w:r w:rsidR="004A4A92" w:rsidRPr="001558A5">
        <w:rPr>
          <w:rFonts w:cs="Times New Roman"/>
          <w:szCs w:val="16"/>
          <w:lang w:val="en-US"/>
        </w:rPr>
        <w:t>nd</w:t>
      </w:r>
      <w:r w:rsidRPr="001558A5">
        <w:rPr>
          <w:rFonts w:cs="Times New Roman"/>
          <w:szCs w:val="16"/>
          <w:lang w:val="en-US"/>
        </w:rPr>
        <w:t xml:space="preserve"> 128).</w:t>
      </w:r>
    </w:p>
  </w:footnote>
  <w:footnote w:id="82">
    <w:p w14:paraId="378BE8B7" w14:textId="18891EC8"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D11908" w:rsidRPr="001558A5">
        <w:rPr>
          <w:szCs w:val="16"/>
          <w:lang w:val="en-US"/>
        </w:rPr>
        <w:t>Communication</w:t>
      </w:r>
      <w:r w:rsidRPr="001558A5">
        <w:rPr>
          <w:szCs w:val="16"/>
          <w:lang w:val="en-US"/>
        </w:rPr>
        <w:t xml:space="preserve"> DGF N. 452-2020 </w:t>
      </w:r>
      <w:r w:rsidR="004A4A92" w:rsidRPr="001558A5">
        <w:rPr>
          <w:szCs w:val="16"/>
          <w:lang w:val="en-US"/>
        </w:rPr>
        <w:t>of September 28,</w:t>
      </w:r>
      <w:r w:rsidRPr="001558A5">
        <w:rPr>
          <w:szCs w:val="16"/>
          <w:lang w:val="en-US"/>
        </w:rPr>
        <w:t xml:space="preserve"> 2020</w:t>
      </w:r>
      <w:r w:rsidR="004A4A92" w:rsidRPr="001558A5">
        <w:rPr>
          <w:szCs w:val="16"/>
          <w:lang w:val="en-US"/>
        </w:rPr>
        <w:t>,</w:t>
      </w:r>
      <w:r w:rsidR="00DD4354" w:rsidRPr="001558A5">
        <w:rPr>
          <w:szCs w:val="16"/>
          <w:lang w:val="en-US"/>
        </w:rPr>
        <w:t xml:space="preserve"> and </w:t>
      </w:r>
      <w:r w:rsidR="00D11908" w:rsidRPr="001558A5">
        <w:rPr>
          <w:szCs w:val="16"/>
          <w:lang w:val="en-US"/>
        </w:rPr>
        <w:t>Communication</w:t>
      </w:r>
      <w:r w:rsidRPr="001558A5">
        <w:rPr>
          <w:szCs w:val="16"/>
          <w:lang w:val="en-US"/>
        </w:rPr>
        <w:t xml:space="preserve"> DGF N. 496-2020 </w:t>
      </w:r>
      <w:r w:rsidR="004A4A92" w:rsidRPr="001558A5">
        <w:rPr>
          <w:szCs w:val="16"/>
          <w:lang w:val="en-US"/>
        </w:rPr>
        <w:t>of October 5,</w:t>
      </w:r>
      <w:r w:rsidRPr="001558A5">
        <w:rPr>
          <w:szCs w:val="16"/>
          <w:lang w:val="en-US"/>
        </w:rPr>
        <w:t xml:space="preserve"> 2020, </w:t>
      </w:r>
      <w:r w:rsidR="00D11908" w:rsidRPr="001558A5">
        <w:rPr>
          <w:szCs w:val="16"/>
          <w:lang w:val="en-US"/>
        </w:rPr>
        <w:t xml:space="preserve">General </w:t>
      </w:r>
      <w:proofErr w:type="spellStart"/>
      <w:r w:rsidR="00D11908" w:rsidRPr="001558A5">
        <w:rPr>
          <w:szCs w:val="16"/>
          <w:lang w:val="en-US"/>
        </w:rPr>
        <w:t>Subdirectorate</w:t>
      </w:r>
      <w:proofErr w:type="spellEnd"/>
      <w:r w:rsidR="00D11908" w:rsidRPr="001558A5">
        <w:rPr>
          <w:szCs w:val="16"/>
          <w:lang w:val="en-US"/>
        </w:rPr>
        <w:t xml:space="preserve"> </w:t>
      </w:r>
      <w:r w:rsidR="00C5277E" w:rsidRPr="001558A5">
        <w:rPr>
          <w:szCs w:val="16"/>
          <w:lang w:val="en-US"/>
        </w:rPr>
        <w:t>for</w:t>
      </w:r>
      <w:r w:rsidR="00D11908" w:rsidRPr="001558A5">
        <w:rPr>
          <w:szCs w:val="16"/>
          <w:lang w:val="en-US"/>
        </w:rPr>
        <w:t xml:space="preserve"> Prosecution</w:t>
      </w:r>
      <w:r w:rsidR="00C5277E" w:rsidRPr="001558A5">
        <w:rPr>
          <w:szCs w:val="16"/>
          <w:lang w:val="en-US"/>
        </w:rPr>
        <w:t>s</w:t>
      </w:r>
      <w:r w:rsidRPr="001558A5">
        <w:rPr>
          <w:szCs w:val="16"/>
          <w:lang w:val="en-US"/>
        </w:rPr>
        <w:t xml:space="preserve"> (</w:t>
      </w:r>
      <w:r w:rsidR="00D11908" w:rsidRPr="001558A5">
        <w:rPr>
          <w:szCs w:val="16"/>
          <w:lang w:val="en-US"/>
        </w:rPr>
        <w:t>evidence file</w:t>
      </w:r>
      <w:r w:rsidRPr="001558A5">
        <w:rPr>
          <w:szCs w:val="16"/>
          <w:lang w:val="en-US"/>
        </w:rPr>
        <w:t xml:space="preserve">, folios 1601 </w:t>
      </w:r>
      <w:r w:rsidR="004A4A92" w:rsidRPr="001558A5">
        <w:rPr>
          <w:szCs w:val="16"/>
          <w:lang w:val="en-US"/>
        </w:rPr>
        <w:t>to</w:t>
      </w:r>
      <w:r w:rsidRPr="001558A5">
        <w:rPr>
          <w:szCs w:val="16"/>
          <w:lang w:val="en-US"/>
        </w:rPr>
        <w:t xml:space="preserve"> 1609).</w:t>
      </w:r>
    </w:p>
  </w:footnote>
  <w:footnote w:id="83">
    <w:p w14:paraId="52807DDB" w14:textId="77777777" w:rsidR="004A4A92" w:rsidRPr="001558A5" w:rsidRDefault="004A4A92"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t>Article 24 of the Convention.</w:t>
      </w:r>
    </w:p>
  </w:footnote>
  <w:footnote w:id="84">
    <w:p w14:paraId="1E248462" w14:textId="68315AB5"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B732DD" w:rsidRPr="001558A5">
        <w:rPr>
          <w:lang w:val="en-US"/>
        </w:rPr>
        <w:t>Article 1(1)</w:t>
      </w:r>
      <w:r w:rsidR="00DD4354" w:rsidRPr="001558A5">
        <w:rPr>
          <w:lang w:val="en-US"/>
        </w:rPr>
        <w:t xml:space="preserve"> of the </w:t>
      </w:r>
      <w:r w:rsidR="00871E19" w:rsidRPr="001558A5">
        <w:rPr>
          <w:lang w:val="en-US"/>
        </w:rPr>
        <w:t>Convention</w:t>
      </w:r>
      <w:r w:rsidRPr="001558A5">
        <w:rPr>
          <w:lang w:val="en-US"/>
        </w:rPr>
        <w:t>.</w:t>
      </w:r>
    </w:p>
  </w:footnote>
  <w:footnote w:id="85">
    <w:p w14:paraId="1C40E501" w14:textId="18958D04" w:rsidR="005977F6" w:rsidRPr="001558A5" w:rsidRDefault="005977F6" w:rsidP="000B2BB5">
      <w:pPr>
        <w:tabs>
          <w:tab w:val="left" w:pos="360"/>
          <w:tab w:val="left" w:pos="567"/>
        </w:tabs>
        <w:spacing w:before="120" w:after="120"/>
        <w:rPr>
          <w:rFonts w:eastAsia="Times New Roman" w:cs="Times New Roman"/>
          <w:i/>
          <w:sz w:val="16"/>
          <w:szCs w:val="16"/>
          <w:lang w:val="en-US"/>
        </w:rPr>
      </w:pPr>
      <w:r w:rsidRPr="001558A5">
        <w:rPr>
          <w:sz w:val="16"/>
          <w:szCs w:val="16"/>
          <w:vertAlign w:val="superscript"/>
          <w:lang w:val="en-US"/>
        </w:rPr>
        <w:footnoteRef/>
      </w:r>
      <w:r w:rsidRPr="001558A5">
        <w:rPr>
          <w:sz w:val="16"/>
          <w:szCs w:val="16"/>
          <w:lang w:val="en-US"/>
        </w:rPr>
        <w:tab/>
      </w:r>
      <w:r w:rsidR="00871E19" w:rsidRPr="001558A5">
        <w:rPr>
          <w:i/>
          <w:sz w:val="16"/>
          <w:szCs w:val="16"/>
          <w:lang w:val="en-US"/>
        </w:rPr>
        <w:t>Cf.</w:t>
      </w:r>
      <w:r w:rsidRPr="001558A5">
        <w:rPr>
          <w:i/>
          <w:sz w:val="16"/>
          <w:szCs w:val="16"/>
          <w:lang w:val="en-US"/>
        </w:rPr>
        <w:t xml:space="preserve"> </w:t>
      </w:r>
      <w:hyperlink r:id="rId1" w:history="1">
        <w:r w:rsidR="00C43A37" w:rsidRPr="001558A5">
          <w:rPr>
            <w:rFonts w:eastAsia="Times New Roman" w:cs="Times New Roman"/>
            <w:i/>
            <w:sz w:val="16"/>
            <w:szCs w:val="16"/>
            <w:lang w:val="en-US"/>
          </w:rPr>
          <w:t>Juridical Condition and Rights of the Undocumented Migrants</w:t>
        </w:r>
      </w:hyperlink>
      <w:r w:rsidR="00C43A37" w:rsidRPr="001558A5">
        <w:rPr>
          <w:rFonts w:eastAsia="Times New Roman" w:cs="Times New Roman"/>
          <w:i/>
          <w:sz w:val="16"/>
          <w:szCs w:val="16"/>
          <w:lang w:val="en-US"/>
        </w:rPr>
        <w:t xml:space="preserve">, </w:t>
      </w:r>
      <w:r w:rsidR="00C43A37" w:rsidRPr="001558A5">
        <w:rPr>
          <w:rFonts w:eastAsia="Times New Roman" w:cs="Times New Roman"/>
          <w:sz w:val="16"/>
          <w:szCs w:val="16"/>
          <w:lang w:val="en-US"/>
        </w:rPr>
        <w:t xml:space="preserve">Advisory Opinion OC-18/03, September 17, 2003. </w:t>
      </w:r>
      <w:r w:rsidR="00C43A37" w:rsidRPr="001558A5">
        <w:rPr>
          <w:rFonts w:eastAsia="Times New Roman" w:cs="Times New Roman"/>
          <w:sz w:val="16"/>
          <w:szCs w:val="16"/>
          <w:lang w:val="es-CR"/>
        </w:rPr>
        <w:t>Series A No. 18</w:t>
      </w:r>
      <w:r w:rsidRPr="001558A5">
        <w:rPr>
          <w:sz w:val="16"/>
          <w:szCs w:val="16"/>
          <w:lang w:val="es-CR"/>
        </w:rPr>
        <w:t xml:space="preserve">, </w:t>
      </w:r>
      <w:r w:rsidR="00B43A52" w:rsidRPr="001558A5">
        <w:rPr>
          <w:sz w:val="16"/>
          <w:szCs w:val="16"/>
          <w:lang w:val="es-CR"/>
        </w:rPr>
        <w:t>para.</w:t>
      </w:r>
      <w:r w:rsidRPr="001558A5">
        <w:rPr>
          <w:sz w:val="16"/>
          <w:szCs w:val="16"/>
          <w:lang w:val="es-CR"/>
        </w:rPr>
        <w:t xml:space="preserve"> 103</w:t>
      </w:r>
      <w:r w:rsidRPr="001558A5">
        <w:rPr>
          <w:rStyle w:val="Textoennegrita"/>
          <w:b w:val="0"/>
          <w:bCs w:val="0"/>
          <w:sz w:val="16"/>
          <w:szCs w:val="16"/>
          <w:lang w:val="es-CR"/>
        </w:rPr>
        <w:t>,</w:t>
      </w:r>
      <w:r w:rsidR="00DD4354" w:rsidRPr="001558A5">
        <w:rPr>
          <w:rStyle w:val="Textoennegrita"/>
          <w:b w:val="0"/>
          <w:bCs w:val="0"/>
          <w:sz w:val="16"/>
          <w:szCs w:val="16"/>
          <w:lang w:val="es-CR"/>
        </w:rPr>
        <w:t xml:space="preserve"> and </w:t>
      </w:r>
      <w:r w:rsidR="00871E19" w:rsidRPr="001558A5">
        <w:rPr>
          <w:rStyle w:val="Textoennegrita"/>
          <w:b w:val="0"/>
          <w:bCs w:val="0"/>
          <w:i/>
          <w:iCs/>
          <w:sz w:val="16"/>
          <w:szCs w:val="16"/>
          <w:lang w:val="es-CR"/>
        </w:rPr>
        <w:t>Case of</w:t>
      </w:r>
      <w:r w:rsidRPr="001558A5">
        <w:rPr>
          <w:rStyle w:val="Textoennegrita"/>
          <w:b w:val="0"/>
          <w:bCs w:val="0"/>
          <w:i/>
          <w:iCs/>
          <w:sz w:val="16"/>
          <w:szCs w:val="16"/>
          <w:lang w:val="es-CR"/>
        </w:rPr>
        <w:t xml:space="preserve"> Montesinos Mejía </w:t>
      </w:r>
      <w:r w:rsidR="00871E19" w:rsidRPr="001558A5">
        <w:rPr>
          <w:rStyle w:val="Textoennegrita"/>
          <w:b w:val="0"/>
          <w:bCs w:val="0"/>
          <w:i/>
          <w:iCs/>
          <w:sz w:val="16"/>
          <w:szCs w:val="16"/>
          <w:lang w:val="es-CR"/>
        </w:rPr>
        <w:t>v.</w:t>
      </w:r>
      <w:r w:rsidRPr="001558A5">
        <w:rPr>
          <w:rStyle w:val="Textoennegrita"/>
          <w:b w:val="0"/>
          <w:bCs w:val="0"/>
          <w:i/>
          <w:iCs/>
          <w:sz w:val="16"/>
          <w:szCs w:val="16"/>
          <w:lang w:val="es-CR"/>
        </w:rPr>
        <w:t xml:space="preserve"> Ecuador. </w:t>
      </w:r>
      <w:r w:rsidR="00B43A52" w:rsidRPr="001558A5">
        <w:rPr>
          <w:rStyle w:val="Textoennegrita"/>
          <w:b w:val="0"/>
          <w:bCs w:val="0"/>
          <w:i/>
          <w:iCs/>
          <w:sz w:val="16"/>
          <w:szCs w:val="16"/>
          <w:lang w:val="en-US"/>
        </w:rPr>
        <w:t>Preliminary objections, merits, reparations and costs</w:t>
      </w:r>
      <w:r w:rsidRPr="001558A5">
        <w:rPr>
          <w:rStyle w:val="Textoennegrita"/>
          <w:b w:val="0"/>
          <w:bCs w:val="0"/>
          <w:sz w:val="16"/>
          <w:szCs w:val="16"/>
          <w:lang w:val="en-US"/>
        </w:rPr>
        <w:t xml:space="preserve">. </w:t>
      </w:r>
      <w:r w:rsidR="00871E19" w:rsidRPr="001558A5">
        <w:rPr>
          <w:rStyle w:val="Textoennegrita"/>
          <w:b w:val="0"/>
          <w:bCs w:val="0"/>
          <w:sz w:val="16"/>
          <w:szCs w:val="16"/>
          <w:lang w:val="en-US"/>
        </w:rPr>
        <w:t>Judgment of</w:t>
      </w:r>
      <w:r w:rsidRPr="001558A5">
        <w:rPr>
          <w:rStyle w:val="Textoennegrita"/>
          <w:b w:val="0"/>
          <w:bCs w:val="0"/>
          <w:sz w:val="16"/>
          <w:szCs w:val="16"/>
          <w:lang w:val="en-US"/>
        </w:rPr>
        <w:t xml:space="preserve"> </w:t>
      </w:r>
      <w:r w:rsidR="00C43A37" w:rsidRPr="001558A5">
        <w:rPr>
          <w:rStyle w:val="Textoennegrita"/>
          <w:b w:val="0"/>
          <w:bCs w:val="0"/>
          <w:sz w:val="16"/>
          <w:szCs w:val="16"/>
          <w:lang w:val="en-US"/>
        </w:rPr>
        <w:t>January 27,</w:t>
      </w:r>
      <w:r w:rsidRPr="001558A5">
        <w:rPr>
          <w:rStyle w:val="Textoennegrita"/>
          <w:b w:val="0"/>
          <w:bCs w:val="0"/>
          <w:sz w:val="16"/>
          <w:szCs w:val="16"/>
          <w:lang w:val="en-US"/>
        </w:rPr>
        <w:t xml:space="preserve"> 2020. </w:t>
      </w:r>
      <w:r w:rsidR="00B43A52" w:rsidRPr="001558A5">
        <w:rPr>
          <w:rStyle w:val="Textoennegrita"/>
          <w:b w:val="0"/>
          <w:bCs w:val="0"/>
          <w:sz w:val="16"/>
          <w:szCs w:val="16"/>
          <w:lang w:val="en-US"/>
        </w:rPr>
        <w:t xml:space="preserve">Series </w:t>
      </w:r>
      <w:r w:rsidRPr="001558A5">
        <w:rPr>
          <w:rStyle w:val="Textoennegrita"/>
          <w:b w:val="0"/>
          <w:bCs w:val="0"/>
          <w:sz w:val="16"/>
          <w:szCs w:val="16"/>
          <w:lang w:val="en-US"/>
        </w:rPr>
        <w:t xml:space="preserve">C No. 398, </w:t>
      </w:r>
      <w:r w:rsidR="00B43A52" w:rsidRPr="001558A5">
        <w:rPr>
          <w:rStyle w:val="Textoennegrita"/>
          <w:b w:val="0"/>
          <w:bCs w:val="0"/>
          <w:sz w:val="16"/>
          <w:szCs w:val="16"/>
          <w:lang w:val="en-US"/>
        </w:rPr>
        <w:t>para.</w:t>
      </w:r>
      <w:r w:rsidRPr="001558A5">
        <w:rPr>
          <w:rStyle w:val="Textoennegrita"/>
          <w:b w:val="0"/>
          <w:bCs w:val="0"/>
          <w:sz w:val="16"/>
          <w:szCs w:val="16"/>
          <w:lang w:val="en-US"/>
        </w:rPr>
        <w:t xml:space="preserve"> 125.</w:t>
      </w:r>
    </w:p>
  </w:footnote>
  <w:footnote w:id="86">
    <w:p w14:paraId="04F53BB4" w14:textId="2E2DEAAC" w:rsidR="005977F6" w:rsidRPr="001558A5" w:rsidRDefault="005977F6" w:rsidP="000B2BB5">
      <w:pPr>
        <w:tabs>
          <w:tab w:val="left" w:pos="360"/>
          <w:tab w:val="left" w:pos="567"/>
        </w:tabs>
        <w:spacing w:before="120" w:after="120"/>
        <w:rPr>
          <w:rFonts w:eastAsia="Times New Roman" w:cs="Times New Roman"/>
          <w:i/>
          <w:sz w:val="16"/>
          <w:szCs w:val="16"/>
          <w:lang w:val="en-US"/>
        </w:rPr>
      </w:pPr>
      <w:r w:rsidRPr="001558A5">
        <w:rPr>
          <w:rStyle w:val="Refdenotaalpie"/>
          <w:sz w:val="16"/>
          <w:szCs w:val="16"/>
          <w:lang w:val="en-US"/>
        </w:rPr>
        <w:footnoteRef/>
      </w:r>
      <w:r w:rsidRPr="001558A5">
        <w:rPr>
          <w:sz w:val="16"/>
          <w:szCs w:val="16"/>
          <w:lang w:val="en-US"/>
        </w:rPr>
        <w:t xml:space="preserve"> </w:t>
      </w:r>
      <w:r w:rsidRPr="001558A5">
        <w:rPr>
          <w:sz w:val="16"/>
          <w:szCs w:val="16"/>
          <w:lang w:val="en-US"/>
        </w:rPr>
        <w:tab/>
      </w:r>
      <w:r w:rsidR="00871E19" w:rsidRPr="001558A5">
        <w:rPr>
          <w:i/>
          <w:sz w:val="16"/>
          <w:szCs w:val="16"/>
          <w:lang w:val="en-US"/>
        </w:rPr>
        <w:t>Cf.</w:t>
      </w:r>
      <w:r w:rsidRPr="001558A5">
        <w:rPr>
          <w:i/>
          <w:sz w:val="16"/>
          <w:szCs w:val="16"/>
          <w:lang w:val="en-US"/>
        </w:rPr>
        <w:t xml:space="preserve"> </w:t>
      </w:r>
      <w:hyperlink r:id="rId2" w:history="1">
        <w:r w:rsidR="00C43A37" w:rsidRPr="001558A5">
          <w:rPr>
            <w:rFonts w:eastAsia="Times New Roman" w:cs="Times New Roman"/>
            <w:i/>
            <w:sz w:val="16"/>
            <w:szCs w:val="16"/>
            <w:lang w:val="en-US"/>
          </w:rPr>
          <w:t>Proposed Amendments to the Naturalization Provisions of the Constitution of Costa Rica</w:t>
        </w:r>
      </w:hyperlink>
      <w:r w:rsidR="00C43A37" w:rsidRPr="001558A5">
        <w:rPr>
          <w:rFonts w:eastAsia="Times New Roman" w:cs="Times New Roman"/>
          <w:i/>
          <w:sz w:val="16"/>
          <w:szCs w:val="16"/>
          <w:lang w:val="en-US"/>
        </w:rPr>
        <w:t xml:space="preserve">, </w:t>
      </w:r>
      <w:r w:rsidR="00C43A37" w:rsidRPr="001558A5">
        <w:rPr>
          <w:rFonts w:eastAsia="Times New Roman" w:cs="Times New Roman"/>
          <w:sz w:val="16"/>
          <w:szCs w:val="16"/>
          <w:lang w:val="en-US"/>
        </w:rPr>
        <w:t xml:space="preserve">Advisory Opinion OC-4/84, January 19, 1984. Series </w:t>
      </w:r>
      <w:proofErr w:type="gramStart"/>
      <w:r w:rsidR="00C43A37" w:rsidRPr="001558A5">
        <w:rPr>
          <w:rFonts w:eastAsia="Times New Roman" w:cs="Times New Roman"/>
          <w:sz w:val="16"/>
          <w:szCs w:val="16"/>
          <w:lang w:val="en-US"/>
        </w:rPr>
        <w:t>A</w:t>
      </w:r>
      <w:proofErr w:type="gramEnd"/>
      <w:r w:rsidR="00C43A37" w:rsidRPr="001558A5">
        <w:rPr>
          <w:rFonts w:eastAsia="Times New Roman" w:cs="Times New Roman"/>
          <w:sz w:val="16"/>
          <w:szCs w:val="16"/>
          <w:lang w:val="en-US"/>
        </w:rPr>
        <w:t xml:space="preserve"> No. 4</w:t>
      </w:r>
      <w:r w:rsidRPr="001558A5">
        <w:rPr>
          <w:sz w:val="16"/>
          <w:szCs w:val="16"/>
          <w:lang w:val="en-US"/>
        </w:rPr>
        <w:t>,</w:t>
      </w:r>
      <w:r w:rsidRPr="001558A5">
        <w:rPr>
          <w:spacing w:val="-13"/>
          <w:sz w:val="16"/>
          <w:szCs w:val="16"/>
          <w:lang w:val="en-US"/>
        </w:rPr>
        <w:t xml:space="preserve"> </w:t>
      </w:r>
      <w:r w:rsidR="00B43A52" w:rsidRPr="001558A5">
        <w:rPr>
          <w:sz w:val="16"/>
          <w:szCs w:val="16"/>
          <w:lang w:val="en-US"/>
        </w:rPr>
        <w:t>para.</w:t>
      </w:r>
      <w:r w:rsidRPr="001558A5">
        <w:rPr>
          <w:spacing w:val="-14"/>
          <w:sz w:val="16"/>
          <w:szCs w:val="16"/>
          <w:lang w:val="en-US"/>
        </w:rPr>
        <w:t xml:space="preserve"> </w:t>
      </w:r>
      <w:r w:rsidRPr="001558A5">
        <w:rPr>
          <w:sz w:val="16"/>
          <w:szCs w:val="16"/>
          <w:lang w:val="en-US"/>
        </w:rPr>
        <w:t>53,</w:t>
      </w:r>
      <w:r w:rsidR="00DD4354" w:rsidRPr="001558A5">
        <w:rPr>
          <w:sz w:val="16"/>
          <w:szCs w:val="16"/>
          <w:lang w:val="en-US"/>
        </w:rPr>
        <w:t xml:space="preserve"> and </w:t>
      </w:r>
      <w:r w:rsidR="00C43A37" w:rsidRPr="001558A5">
        <w:rPr>
          <w:i/>
          <w:sz w:val="16"/>
          <w:szCs w:val="16"/>
          <w:lang w:val="en-US"/>
        </w:rPr>
        <w:t xml:space="preserve">Case of the Workers of the Fireworks Factory of Santo </w:t>
      </w:r>
      <w:proofErr w:type="spellStart"/>
      <w:r w:rsidR="00C43A37" w:rsidRPr="001558A5">
        <w:rPr>
          <w:i/>
          <w:sz w:val="16"/>
          <w:szCs w:val="16"/>
          <w:lang w:val="en-US"/>
        </w:rPr>
        <w:t>Antônio</w:t>
      </w:r>
      <w:proofErr w:type="spellEnd"/>
      <w:r w:rsidR="00C43A37" w:rsidRPr="001558A5">
        <w:rPr>
          <w:i/>
          <w:sz w:val="16"/>
          <w:szCs w:val="16"/>
          <w:lang w:val="en-US"/>
        </w:rPr>
        <w:t xml:space="preserve"> de Jesus v. Brazil</w:t>
      </w:r>
      <w:r w:rsidRPr="001558A5">
        <w:rPr>
          <w:i/>
          <w:sz w:val="16"/>
          <w:szCs w:val="16"/>
          <w:lang w:val="en-US"/>
        </w:rPr>
        <w:t xml:space="preserve">. </w:t>
      </w:r>
      <w:r w:rsidR="00B43A52" w:rsidRPr="001558A5">
        <w:rPr>
          <w:i/>
          <w:sz w:val="16"/>
          <w:szCs w:val="16"/>
          <w:lang w:val="en-US"/>
        </w:rPr>
        <w:t>Preliminary objections, merits, reparations and costs</w:t>
      </w:r>
      <w:r w:rsidRPr="001558A5">
        <w:rPr>
          <w:iCs/>
          <w:sz w:val="16"/>
          <w:szCs w:val="16"/>
          <w:lang w:val="en-US"/>
        </w:rPr>
        <w:t xml:space="preserve">. </w:t>
      </w:r>
      <w:r w:rsidR="00871E19" w:rsidRPr="001558A5">
        <w:rPr>
          <w:iCs/>
          <w:sz w:val="16"/>
          <w:szCs w:val="16"/>
          <w:lang w:val="en-US"/>
        </w:rPr>
        <w:t>Judgment of</w:t>
      </w:r>
      <w:r w:rsidRPr="001558A5">
        <w:rPr>
          <w:iCs/>
          <w:sz w:val="16"/>
          <w:szCs w:val="16"/>
          <w:lang w:val="en-US"/>
        </w:rPr>
        <w:t xml:space="preserve"> </w:t>
      </w:r>
      <w:r w:rsidR="00C43A37" w:rsidRPr="001558A5">
        <w:rPr>
          <w:iCs/>
          <w:sz w:val="16"/>
          <w:szCs w:val="16"/>
          <w:lang w:val="en-US"/>
        </w:rPr>
        <w:t xml:space="preserve">July 15, </w:t>
      </w:r>
      <w:r w:rsidRPr="001558A5">
        <w:rPr>
          <w:iCs/>
          <w:sz w:val="16"/>
          <w:szCs w:val="16"/>
          <w:lang w:val="en-US"/>
        </w:rPr>
        <w:t xml:space="preserve">2020. </w:t>
      </w:r>
      <w:r w:rsidR="00B43A52" w:rsidRPr="001558A5">
        <w:rPr>
          <w:iCs/>
          <w:sz w:val="16"/>
          <w:szCs w:val="16"/>
          <w:lang w:val="en-US"/>
        </w:rPr>
        <w:t xml:space="preserve">Series </w:t>
      </w:r>
      <w:r w:rsidRPr="001558A5">
        <w:rPr>
          <w:iCs/>
          <w:sz w:val="16"/>
          <w:szCs w:val="16"/>
          <w:lang w:val="en-US"/>
        </w:rPr>
        <w:t>C No. 407</w:t>
      </w:r>
      <w:r w:rsidRPr="001558A5">
        <w:rPr>
          <w:sz w:val="16"/>
          <w:szCs w:val="16"/>
          <w:lang w:val="en-US"/>
        </w:rPr>
        <w:t xml:space="preserve">, </w:t>
      </w:r>
      <w:r w:rsidR="00B43A52" w:rsidRPr="001558A5">
        <w:rPr>
          <w:sz w:val="16"/>
          <w:szCs w:val="16"/>
          <w:lang w:val="en-US"/>
        </w:rPr>
        <w:t>para.</w:t>
      </w:r>
      <w:r w:rsidRPr="001558A5">
        <w:rPr>
          <w:sz w:val="16"/>
          <w:szCs w:val="16"/>
          <w:lang w:val="en-US"/>
        </w:rPr>
        <w:t xml:space="preserve"> 81.</w:t>
      </w:r>
    </w:p>
  </w:footnote>
  <w:footnote w:id="87">
    <w:p w14:paraId="550884FD" w14:textId="5BA73047" w:rsidR="005977F6" w:rsidRPr="001558A5" w:rsidRDefault="005977F6" w:rsidP="000B2BB5">
      <w:pPr>
        <w:pStyle w:val="Textonotapie"/>
        <w:tabs>
          <w:tab w:val="left" w:pos="360"/>
        </w:tabs>
        <w:ind w:right="-174"/>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szCs w:val="16"/>
          <w:lang w:val="en-US"/>
        </w:rPr>
        <w:t>Cf.</w:t>
      </w:r>
      <w:r w:rsidRPr="001558A5">
        <w:rPr>
          <w:i/>
          <w:szCs w:val="16"/>
          <w:lang w:val="en-US"/>
        </w:rPr>
        <w:t xml:space="preserve"> </w:t>
      </w:r>
      <w:r w:rsidR="00C43A37" w:rsidRPr="001558A5">
        <w:rPr>
          <w:iCs/>
          <w:szCs w:val="16"/>
          <w:lang w:val="en-US"/>
        </w:rPr>
        <w:t>Advisory Opinion</w:t>
      </w:r>
      <w:r w:rsidRPr="001558A5">
        <w:rPr>
          <w:iCs/>
          <w:szCs w:val="16"/>
          <w:lang w:val="en-US"/>
        </w:rPr>
        <w:t xml:space="preserve"> OC-18/03, </w:t>
      </w:r>
      <w:r w:rsidRPr="001558A5">
        <w:rPr>
          <w:i/>
          <w:szCs w:val="16"/>
          <w:lang w:val="en-US"/>
        </w:rPr>
        <w:t>supra</w:t>
      </w:r>
      <w:r w:rsidRPr="001558A5">
        <w:rPr>
          <w:iCs/>
          <w:szCs w:val="16"/>
          <w:lang w:val="en-US"/>
        </w:rPr>
        <w:t>,</w:t>
      </w:r>
      <w:r w:rsidRPr="001558A5">
        <w:rPr>
          <w:i/>
          <w:iCs/>
          <w:szCs w:val="16"/>
          <w:lang w:val="en-US"/>
        </w:rPr>
        <w:t xml:space="preserve"> </w:t>
      </w:r>
      <w:r w:rsidR="00B43A52" w:rsidRPr="001558A5">
        <w:rPr>
          <w:szCs w:val="16"/>
          <w:lang w:val="en-US"/>
        </w:rPr>
        <w:t>para.</w:t>
      </w:r>
      <w:r w:rsidRPr="001558A5">
        <w:rPr>
          <w:szCs w:val="16"/>
          <w:lang w:val="en-US"/>
        </w:rPr>
        <w:t xml:space="preserve"> 85,</w:t>
      </w:r>
      <w:r w:rsidR="00DD4354" w:rsidRPr="001558A5">
        <w:rPr>
          <w:szCs w:val="16"/>
          <w:lang w:val="en-US"/>
        </w:rPr>
        <w:t xml:space="preserve"> and </w:t>
      </w:r>
      <w:r w:rsidR="00C43A37" w:rsidRPr="001558A5">
        <w:rPr>
          <w:i/>
          <w:szCs w:val="16"/>
          <w:lang w:val="en-US"/>
        </w:rPr>
        <w:t xml:space="preserve">Case of the Workers of the Fireworks Factory of Santo </w:t>
      </w:r>
      <w:proofErr w:type="spellStart"/>
      <w:r w:rsidR="00C43A37" w:rsidRPr="001558A5">
        <w:rPr>
          <w:i/>
          <w:szCs w:val="16"/>
          <w:lang w:val="en-US"/>
        </w:rPr>
        <w:t>Antônio</w:t>
      </w:r>
      <w:proofErr w:type="spellEnd"/>
      <w:r w:rsidR="00C43A37" w:rsidRPr="001558A5">
        <w:rPr>
          <w:i/>
          <w:szCs w:val="16"/>
          <w:lang w:val="en-US"/>
        </w:rPr>
        <w:t xml:space="preserve"> de Jesus v. Brazil</w:t>
      </w:r>
      <w:r w:rsidRPr="001558A5">
        <w:rPr>
          <w:szCs w:val="16"/>
          <w:lang w:val="en-US"/>
        </w:rPr>
        <w:t xml:space="preserve">, </w:t>
      </w:r>
      <w:r w:rsidRPr="001558A5">
        <w:rPr>
          <w:i/>
          <w:iCs/>
          <w:szCs w:val="16"/>
          <w:lang w:val="en-US"/>
        </w:rPr>
        <w:t>supra</w:t>
      </w:r>
      <w:r w:rsidRPr="001558A5">
        <w:rPr>
          <w:szCs w:val="16"/>
          <w:lang w:val="en-US"/>
        </w:rPr>
        <w:t xml:space="preserve">, </w:t>
      </w:r>
      <w:r w:rsidR="00B43A52" w:rsidRPr="001558A5">
        <w:rPr>
          <w:szCs w:val="16"/>
          <w:lang w:val="en-US"/>
        </w:rPr>
        <w:t>para.</w:t>
      </w:r>
      <w:r w:rsidRPr="001558A5">
        <w:rPr>
          <w:szCs w:val="16"/>
          <w:lang w:val="en-US"/>
        </w:rPr>
        <w:t xml:space="preserve"> 184</w:t>
      </w:r>
      <w:r w:rsidRPr="001558A5">
        <w:rPr>
          <w:bCs/>
          <w:szCs w:val="16"/>
          <w:lang w:val="en-US"/>
        </w:rPr>
        <w:t>.</w:t>
      </w:r>
    </w:p>
  </w:footnote>
  <w:footnote w:id="88">
    <w:p w14:paraId="42E2BCD8" w14:textId="2496EA06" w:rsidR="005977F6" w:rsidRPr="001558A5" w:rsidRDefault="005977F6" w:rsidP="000B2BB5">
      <w:pPr>
        <w:pStyle w:val="Textonotapie"/>
        <w:tabs>
          <w:tab w:val="left" w:pos="360"/>
        </w:tabs>
        <w:rPr>
          <w:i/>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szCs w:val="16"/>
          <w:lang w:val="en-US"/>
        </w:rPr>
        <w:t>Cf.</w:t>
      </w:r>
      <w:r w:rsidRPr="001558A5">
        <w:rPr>
          <w:szCs w:val="16"/>
          <w:lang w:val="en-US"/>
        </w:rPr>
        <w:t xml:space="preserve"> </w:t>
      </w:r>
      <w:r w:rsidR="00C43A37" w:rsidRPr="001558A5">
        <w:rPr>
          <w:szCs w:val="16"/>
          <w:lang w:val="en-US"/>
        </w:rPr>
        <w:t>Advisory Opinion</w:t>
      </w:r>
      <w:r w:rsidRPr="001558A5">
        <w:rPr>
          <w:szCs w:val="16"/>
          <w:lang w:val="en-US"/>
        </w:rPr>
        <w:t xml:space="preserve"> OC-4/84, </w:t>
      </w:r>
      <w:r w:rsidRPr="001558A5">
        <w:rPr>
          <w:i/>
          <w:iCs/>
          <w:szCs w:val="16"/>
          <w:lang w:val="en-US"/>
        </w:rPr>
        <w:t>supra</w:t>
      </w:r>
      <w:r w:rsidRPr="001558A5">
        <w:rPr>
          <w:szCs w:val="16"/>
          <w:lang w:val="en-US"/>
        </w:rPr>
        <w:t xml:space="preserve">, </w:t>
      </w:r>
      <w:r w:rsidR="00675A99" w:rsidRPr="001558A5">
        <w:rPr>
          <w:szCs w:val="16"/>
          <w:lang w:val="en-US"/>
        </w:rPr>
        <w:t>paras.</w:t>
      </w:r>
      <w:r w:rsidRPr="001558A5">
        <w:rPr>
          <w:szCs w:val="16"/>
          <w:lang w:val="en-US"/>
        </w:rPr>
        <w:t xml:space="preserve"> 53</w:t>
      </w:r>
      <w:r w:rsidR="00DD4354" w:rsidRPr="001558A5">
        <w:rPr>
          <w:szCs w:val="16"/>
          <w:lang w:val="en-US"/>
        </w:rPr>
        <w:t xml:space="preserve"> and </w:t>
      </w:r>
      <w:r w:rsidRPr="001558A5">
        <w:rPr>
          <w:szCs w:val="16"/>
          <w:lang w:val="en-US"/>
        </w:rPr>
        <w:t>54,</w:t>
      </w:r>
      <w:r w:rsidR="00DD4354" w:rsidRPr="001558A5">
        <w:rPr>
          <w:szCs w:val="16"/>
          <w:lang w:val="en-US"/>
        </w:rPr>
        <w:t xml:space="preserve"> and </w:t>
      </w:r>
      <w:r w:rsidR="00C43A37" w:rsidRPr="001558A5">
        <w:rPr>
          <w:i/>
          <w:szCs w:val="16"/>
          <w:lang w:val="en-US"/>
        </w:rPr>
        <w:t xml:space="preserve">Case of the Workers of the Fireworks Factory of Santo </w:t>
      </w:r>
      <w:proofErr w:type="spellStart"/>
      <w:r w:rsidR="00C43A37" w:rsidRPr="001558A5">
        <w:rPr>
          <w:i/>
          <w:szCs w:val="16"/>
          <w:lang w:val="en-US"/>
        </w:rPr>
        <w:t>Antônio</w:t>
      </w:r>
      <w:proofErr w:type="spellEnd"/>
      <w:r w:rsidR="00C43A37" w:rsidRPr="001558A5">
        <w:rPr>
          <w:i/>
          <w:szCs w:val="16"/>
          <w:lang w:val="en-US"/>
        </w:rPr>
        <w:t xml:space="preserve"> de Jesus v. Brazil</w:t>
      </w:r>
      <w:r w:rsidRPr="001558A5">
        <w:rPr>
          <w:iCs/>
          <w:szCs w:val="16"/>
          <w:lang w:val="en-US"/>
        </w:rPr>
        <w:t>,</w:t>
      </w:r>
      <w:r w:rsidRPr="001558A5">
        <w:rPr>
          <w:i/>
          <w:szCs w:val="16"/>
          <w:lang w:val="en-US"/>
        </w:rPr>
        <w:t xml:space="preserve"> supra</w:t>
      </w:r>
      <w:r w:rsidRPr="001558A5">
        <w:rPr>
          <w:iCs/>
          <w:szCs w:val="16"/>
          <w:lang w:val="en-US"/>
        </w:rPr>
        <w:t>,</w:t>
      </w:r>
      <w:r w:rsidRPr="001558A5">
        <w:rPr>
          <w:i/>
          <w:szCs w:val="16"/>
          <w:lang w:val="en-US"/>
        </w:rPr>
        <w:t xml:space="preserve"> </w:t>
      </w:r>
      <w:r w:rsidR="00B43A52" w:rsidRPr="001558A5">
        <w:rPr>
          <w:szCs w:val="16"/>
          <w:lang w:val="en-US"/>
        </w:rPr>
        <w:t>para.</w:t>
      </w:r>
      <w:r w:rsidRPr="001558A5">
        <w:rPr>
          <w:szCs w:val="16"/>
          <w:lang w:val="en-US"/>
        </w:rPr>
        <w:t xml:space="preserve"> 93.</w:t>
      </w:r>
    </w:p>
  </w:footnote>
  <w:footnote w:id="89">
    <w:p w14:paraId="0F7389A2" w14:textId="5900DBCC" w:rsidR="005977F6" w:rsidRPr="001558A5" w:rsidRDefault="005977F6" w:rsidP="000B2BB5">
      <w:pPr>
        <w:pStyle w:val="Textonotapie"/>
        <w:tabs>
          <w:tab w:val="left" w:pos="360"/>
        </w:tabs>
        <w:rPr>
          <w:b/>
          <w:spacing w:val="-4"/>
          <w:szCs w:val="16"/>
          <w:lang w:val="en-US"/>
        </w:rPr>
      </w:pPr>
      <w:r w:rsidRPr="001558A5">
        <w:rPr>
          <w:rStyle w:val="Refdenotaalpie"/>
          <w:spacing w:val="-4"/>
          <w:szCs w:val="16"/>
          <w:lang w:val="en-US"/>
        </w:rPr>
        <w:footnoteRef/>
      </w:r>
      <w:r w:rsidRPr="001558A5">
        <w:rPr>
          <w:b/>
          <w:spacing w:val="-4"/>
          <w:szCs w:val="16"/>
          <w:lang w:val="en-US"/>
        </w:rPr>
        <w:t xml:space="preserve"> </w:t>
      </w:r>
      <w:r w:rsidRPr="001558A5">
        <w:rPr>
          <w:b/>
          <w:spacing w:val="-4"/>
          <w:szCs w:val="16"/>
          <w:lang w:val="en-US"/>
        </w:rPr>
        <w:tab/>
      </w:r>
      <w:r w:rsidR="00871E19" w:rsidRPr="001558A5">
        <w:rPr>
          <w:i/>
          <w:spacing w:val="-4"/>
          <w:szCs w:val="16"/>
          <w:lang w:val="en-US"/>
        </w:rPr>
        <w:t>Cf.</w:t>
      </w:r>
      <w:r w:rsidRPr="001558A5">
        <w:rPr>
          <w:i/>
          <w:spacing w:val="-4"/>
          <w:szCs w:val="16"/>
          <w:lang w:val="en-US"/>
        </w:rPr>
        <w:t xml:space="preserve"> </w:t>
      </w:r>
      <w:r w:rsidR="00871E19" w:rsidRPr="001558A5">
        <w:rPr>
          <w:i/>
          <w:spacing w:val="-4"/>
          <w:szCs w:val="16"/>
          <w:lang w:val="en-US"/>
        </w:rPr>
        <w:t>Case of</w:t>
      </w:r>
      <w:r w:rsidRPr="001558A5">
        <w:rPr>
          <w:i/>
          <w:spacing w:val="-4"/>
          <w:szCs w:val="16"/>
          <w:lang w:val="en-US"/>
        </w:rPr>
        <w:t xml:space="preserve"> </w:t>
      </w:r>
      <w:proofErr w:type="spellStart"/>
      <w:r w:rsidRPr="001558A5">
        <w:rPr>
          <w:i/>
          <w:spacing w:val="-4"/>
          <w:szCs w:val="16"/>
          <w:lang w:val="en-US"/>
        </w:rPr>
        <w:t>Yatama</w:t>
      </w:r>
      <w:proofErr w:type="spellEnd"/>
      <w:r w:rsidRPr="001558A5">
        <w:rPr>
          <w:i/>
          <w:spacing w:val="-4"/>
          <w:szCs w:val="16"/>
          <w:lang w:val="en-US"/>
        </w:rPr>
        <w:t xml:space="preserve"> </w:t>
      </w:r>
      <w:r w:rsidR="00871E19" w:rsidRPr="001558A5">
        <w:rPr>
          <w:i/>
          <w:spacing w:val="-4"/>
          <w:szCs w:val="16"/>
          <w:lang w:val="en-US"/>
        </w:rPr>
        <w:t>v.</w:t>
      </w:r>
      <w:r w:rsidRPr="001558A5">
        <w:rPr>
          <w:i/>
          <w:spacing w:val="-4"/>
          <w:szCs w:val="16"/>
          <w:lang w:val="en-US"/>
        </w:rPr>
        <w:t xml:space="preserve"> </w:t>
      </w:r>
      <w:r w:rsidRPr="001558A5">
        <w:rPr>
          <w:i/>
          <w:szCs w:val="16"/>
          <w:lang w:val="en-US"/>
        </w:rPr>
        <w:t>Nicaragua</w:t>
      </w:r>
      <w:r w:rsidRPr="001558A5">
        <w:rPr>
          <w:rStyle w:val="Textoennegrita"/>
          <w:i/>
          <w:spacing w:val="-4"/>
          <w:szCs w:val="16"/>
          <w:lang w:val="en-US"/>
        </w:rPr>
        <w:t xml:space="preserve">. </w:t>
      </w:r>
      <w:r w:rsidR="00B43A52" w:rsidRPr="001558A5">
        <w:rPr>
          <w:rStyle w:val="Textoennegrita"/>
          <w:b w:val="0"/>
          <w:bCs w:val="0"/>
          <w:i/>
          <w:spacing w:val="-4"/>
          <w:szCs w:val="16"/>
          <w:lang w:val="en-US"/>
        </w:rPr>
        <w:t>Preliminary objections, merits, reparations and costs</w:t>
      </w:r>
      <w:r w:rsidRPr="001558A5">
        <w:rPr>
          <w:rStyle w:val="Textoennegrita"/>
          <w:i/>
          <w:spacing w:val="-4"/>
          <w:szCs w:val="16"/>
          <w:lang w:val="en-US"/>
        </w:rPr>
        <w:t>.</w:t>
      </w:r>
      <w:r w:rsidRPr="001558A5">
        <w:rPr>
          <w:spacing w:val="-4"/>
          <w:szCs w:val="16"/>
          <w:lang w:val="en-US"/>
        </w:rPr>
        <w:t xml:space="preserve"> </w:t>
      </w:r>
      <w:r w:rsidR="00871E19" w:rsidRPr="001558A5">
        <w:rPr>
          <w:spacing w:val="-4"/>
          <w:szCs w:val="16"/>
          <w:lang w:val="en-US"/>
        </w:rPr>
        <w:t>Judgment of</w:t>
      </w:r>
      <w:r w:rsidRPr="001558A5">
        <w:rPr>
          <w:spacing w:val="-4"/>
          <w:szCs w:val="16"/>
          <w:lang w:val="en-US"/>
        </w:rPr>
        <w:t xml:space="preserve"> </w:t>
      </w:r>
      <w:r w:rsidR="00C43A37" w:rsidRPr="001558A5">
        <w:rPr>
          <w:spacing w:val="-4"/>
          <w:szCs w:val="16"/>
          <w:lang w:val="en-US"/>
        </w:rPr>
        <w:t>June 23,</w:t>
      </w:r>
      <w:r w:rsidRPr="001558A5">
        <w:rPr>
          <w:spacing w:val="-4"/>
          <w:szCs w:val="16"/>
          <w:lang w:val="en-US"/>
        </w:rPr>
        <w:t xml:space="preserve"> 2005.</w:t>
      </w:r>
      <w:r w:rsidRPr="001558A5">
        <w:rPr>
          <w:rStyle w:val="Textoennegrita"/>
          <w:spacing w:val="-4"/>
          <w:szCs w:val="16"/>
          <w:lang w:val="en-US"/>
        </w:rPr>
        <w:t xml:space="preserve"> </w:t>
      </w:r>
      <w:r w:rsidR="00B43A52" w:rsidRPr="001558A5">
        <w:rPr>
          <w:rStyle w:val="Textoennegrita"/>
          <w:b w:val="0"/>
          <w:bCs w:val="0"/>
          <w:spacing w:val="-4"/>
          <w:szCs w:val="16"/>
          <w:lang w:val="en-US"/>
        </w:rPr>
        <w:t xml:space="preserve">Series </w:t>
      </w:r>
      <w:r w:rsidRPr="001558A5">
        <w:rPr>
          <w:rStyle w:val="Textoennegrita"/>
          <w:b w:val="0"/>
          <w:bCs w:val="0"/>
          <w:spacing w:val="-4"/>
          <w:szCs w:val="16"/>
          <w:lang w:val="en-US"/>
        </w:rPr>
        <w:t>C No. 127</w:t>
      </w:r>
      <w:r w:rsidRPr="001558A5">
        <w:rPr>
          <w:b/>
          <w:bCs/>
          <w:spacing w:val="-4"/>
          <w:szCs w:val="16"/>
          <w:lang w:val="en-US"/>
        </w:rPr>
        <w:t>,</w:t>
      </w:r>
      <w:r w:rsidRPr="001558A5">
        <w:rPr>
          <w:spacing w:val="-4"/>
          <w:szCs w:val="16"/>
          <w:lang w:val="en-US"/>
        </w:rPr>
        <w:t xml:space="preserve"> </w:t>
      </w:r>
      <w:r w:rsidR="00B43A52" w:rsidRPr="001558A5">
        <w:rPr>
          <w:spacing w:val="-4"/>
          <w:szCs w:val="16"/>
          <w:lang w:val="en-US"/>
        </w:rPr>
        <w:t>para.</w:t>
      </w:r>
      <w:r w:rsidRPr="001558A5">
        <w:rPr>
          <w:spacing w:val="-4"/>
          <w:szCs w:val="16"/>
          <w:lang w:val="en-US"/>
        </w:rPr>
        <w:t xml:space="preserve"> 186,</w:t>
      </w:r>
      <w:r w:rsidR="00DD4354" w:rsidRPr="001558A5">
        <w:rPr>
          <w:spacing w:val="-4"/>
          <w:szCs w:val="16"/>
          <w:lang w:val="en-US"/>
        </w:rPr>
        <w:t xml:space="preserve"> and </w:t>
      </w:r>
      <w:r w:rsidR="00C43A37" w:rsidRPr="001558A5">
        <w:rPr>
          <w:i/>
          <w:iCs/>
          <w:szCs w:val="16"/>
          <w:lang w:val="en-US"/>
        </w:rPr>
        <w:t xml:space="preserve">Case of the Workers of the Fireworks Factory of Santo </w:t>
      </w:r>
      <w:proofErr w:type="spellStart"/>
      <w:r w:rsidR="00C43A37" w:rsidRPr="001558A5">
        <w:rPr>
          <w:i/>
          <w:iCs/>
          <w:szCs w:val="16"/>
          <w:lang w:val="en-US"/>
        </w:rPr>
        <w:t>Antônio</w:t>
      </w:r>
      <w:proofErr w:type="spellEnd"/>
      <w:r w:rsidR="00C43A37" w:rsidRPr="001558A5">
        <w:rPr>
          <w:i/>
          <w:iCs/>
          <w:szCs w:val="16"/>
          <w:lang w:val="en-US"/>
        </w:rPr>
        <w:t xml:space="preserve"> de Jesus v. Brazil</w:t>
      </w:r>
      <w:r w:rsidRPr="001558A5">
        <w:rPr>
          <w:i/>
          <w:szCs w:val="16"/>
          <w:lang w:val="en-US"/>
        </w:rPr>
        <w:t>, supra</w:t>
      </w:r>
      <w:r w:rsidRPr="001558A5">
        <w:rPr>
          <w:iCs/>
          <w:szCs w:val="16"/>
          <w:lang w:val="en-US"/>
        </w:rPr>
        <w:t>,</w:t>
      </w:r>
      <w:r w:rsidRPr="001558A5">
        <w:rPr>
          <w:i/>
          <w:szCs w:val="16"/>
          <w:lang w:val="en-US"/>
        </w:rPr>
        <w:t xml:space="preserve"> </w:t>
      </w:r>
      <w:r w:rsidR="00B43A52" w:rsidRPr="001558A5">
        <w:rPr>
          <w:szCs w:val="16"/>
          <w:lang w:val="en-US"/>
        </w:rPr>
        <w:t>para.</w:t>
      </w:r>
      <w:r w:rsidRPr="001558A5">
        <w:rPr>
          <w:szCs w:val="16"/>
          <w:lang w:val="en-US"/>
        </w:rPr>
        <w:t xml:space="preserve"> 94.</w:t>
      </w:r>
    </w:p>
  </w:footnote>
  <w:footnote w:id="90">
    <w:p w14:paraId="461418D4" w14:textId="38018CB0" w:rsidR="005977F6" w:rsidRPr="001558A5" w:rsidRDefault="005977F6"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szCs w:val="16"/>
          <w:lang w:val="en-US"/>
        </w:rPr>
        <w:t>Cf.</w:t>
      </w:r>
      <w:r w:rsidRPr="001558A5">
        <w:rPr>
          <w:szCs w:val="16"/>
          <w:lang w:val="en-US"/>
        </w:rPr>
        <w:t xml:space="preserve"> </w:t>
      </w:r>
      <w:r w:rsidR="00871E19" w:rsidRPr="001558A5">
        <w:rPr>
          <w:i/>
          <w:szCs w:val="16"/>
          <w:lang w:val="en-US"/>
        </w:rPr>
        <w:t>Case of</w:t>
      </w:r>
      <w:r w:rsidRPr="001558A5">
        <w:rPr>
          <w:i/>
          <w:szCs w:val="16"/>
          <w:lang w:val="en-US"/>
        </w:rPr>
        <w:t xml:space="preserve"> </w:t>
      </w:r>
      <w:proofErr w:type="spellStart"/>
      <w:r w:rsidRPr="001558A5">
        <w:rPr>
          <w:i/>
          <w:szCs w:val="16"/>
          <w:lang w:val="en-US"/>
        </w:rPr>
        <w:t>Apitz</w:t>
      </w:r>
      <w:proofErr w:type="spellEnd"/>
      <w:r w:rsidRPr="001558A5">
        <w:rPr>
          <w:i/>
          <w:szCs w:val="16"/>
          <w:lang w:val="en-US"/>
        </w:rPr>
        <w:t xml:space="preserve"> </w:t>
      </w:r>
      <w:proofErr w:type="spellStart"/>
      <w:r w:rsidRPr="001558A5">
        <w:rPr>
          <w:i/>
          <w:szCs w:val="16"/>
          <w:lang w:val="en-US"/>
        </w:rPr>
        <w:t>Barbera</w:t>
      </w:r>
      <w:proofErr w:type="spellEnd"/>
      <w:r w:rsidR="00DD4354" w:rsidRPr="001558A5">
        <w:rPr>
          <w:i/>
          <w:szCs w:val="16"/>
          <w:lang w:val="en-US"/>
        </w:rPr>
        <w:t xml:space="preserve"> </w:t>
      </w:r>
      <w:r w:rsidR="00C43A37" w:rsidRPr="001558A5">
        <w:rPr>
          <w:i/>
          <w:szCs w:val="16"/>
          <w:lang w:val="en-US"/>
        </w:rPr>
        <w:t>et al.</w:t>
      </w:r>
      <w:r w:rsidRPr="001558A5">
        <w:rPr>
          <w:i/>
          <w:szCs w:val="16"/>
          <w:lang w:val="en-US"/>
        </w:rPr>
        <w:t xml:space="preserve"> (“</w:t>
      </w:r>
      <w:r w:rsidR="00C43A37" w:rsidRPr="001558A5">
        <w:rPr>
          <w:i/>
          <w:szCs w:val="16"/>
          <w:lang w:val="en-US"/>
        </w:rPr>
        <w:t>First Court of Administrative Disputes</w:t>
      </w:r>
      <w:r w:rsidRPr="001558A5">
        <w:rPr>
          <w:i/>
          <w:szCs w:val="16"/>
          <w:lang w:val="en-US"/>
        </w:rPr>
        <w:t xml:space="preserve">”) </w:t>
      </w:r>
      <w:r w:rsidR="00871E19" w:rsidRPr="001558A5">
        <w:rPr>
          <w:i/>
          <w:szCs w:val="16"/>
          <w:lang w:val="en-US"/>
        </w:rPr>
        <w:t>v.</w:t>
      </w:r>
      <w:r w:rsidRPr="001558A5">
        <w:rPr>
          <w:i/>
          <w:szCs w:val="16"/>
          <w:lang w:val="en-US"/>
        </w:rPr>
        <w:t xml:space="preserve"> Venezuela. </w:t>
      </w:r>
      <w:r w:rsidR="00B43A52" w:rsidRPr="001558A5">
        <w:rPr>
          <w:i/>
          <w:szCs w:val="16"/>
          <w:lang w:val="en-US"/>
        </w:rPr>
        <w:t>Preliminary objection, merits, reparations and costs</w:t>
      </w:r>
      <w:r w:rsidRPr="001558A5">
        <w:rPr>
          <w:i/>
          <w:szCs w:val="16"/>
          <w:lang w:val="en-US"/>
        </w:rPr>
        <w:t xml:space="preserve">. </w:t>
      </w:r>
      <w:r w:rsidR="00871E19" w:rsidRPr="001558A5">
        <w:rPr>
          <w:szCs w:val="16"/>
          <w:lang w:val="en-US"/>
        </w:rPr>
        <w:t>Judgment of</w:t>
      </w:r>
      <w:r w:rsidRPr="001558A5">
        <w:rPr>
          <w:szCs w:val="16"/>
          <w:lang w:val="en-US"/>
        </w:rPr>
        <w:t xml:space="preserve"> </w:t>
      </w:r>
      <w:r w:rsidR="00C43A37" w:rsidRPr="001558A5">
        <w:rPr>
          <w:szCs w:val="16"/>
          <w:lang w:val="en-US"/>
        </w:rPr>
        <w:t>August 5,</w:t>
      </w:r>
      <w:r w:rsidRPr="001558A5">
        <w:rPr>
          <w:szCs w:val="16"/>
          <w:lang w:val="en-US"/>
        </w:rPr>
        <w:t xml:space="preserve"> 2008. </w:t>
      </w:r>
      <w:r w:rsidR="00B43A52" w:rsidRPr="001558A5">
        <w:rPr>
          <w:szCs w:val="16"/>
          <w:lang w:val="en-US"/>
        </w:rPr>
        <w:t xml:space="preserve">Series </w:t>
      </w:r>
      <w:r w:rsidRPr="001558A5">
        <w:rPr>
          <w:szCs w:val="16"/>
          <w:lang w:val="en-US"/>
        </w:rPr>
        <w:t xml:space="preserve">C No. 182, </w:t>
      </w:r>
      <w:r w:rsidR="00B43A52" w:rsidRPr="001558A5">
        <w:rPr>
          <w:szCs w:val="16"/>
          <w:lang w:val="en-US"/>
        </w:rPr>
        <w:t>para.</w:t>
      </w:r>
      <w:r w:rsidRPr="001558A5">
        <w:rPr>
          <w:szCs w:val="16"/>
          <w:lang w:val="en-US"/>
        </w:rPr>
        <w:t xml:space="preserve"> 209,</w:t>
      </w:r>
      <w:r w:rsidR="00DD4354" w:rsidRPr="001558A5">
        <w:rPr>
          <w:szCs w:val="16"/>
          <w:lang w:val="en-US"/>
        </w:rPr>
        <w:t xml:space="preserve"> and </w:t>
      </w:r>
      <w:r w:rsidR="00871E19" w:rsidRPr="001558A5">
        <w:rPr>
          <w:i/>
          <w:iCs/>
          <w:szCs w:val="16"/>
          <w:lang w:val="en-US"/>
        </w:rPr>
        <w:t>Case of</w:t>
      </w:r>
      <w:r w:rsidRPr="001558A5">
        <w:rPr>
          <w:i/>
          <w:iCs/>
          <w:szCs w:val="16"/>
          <w:lang w:val="en-US"/>
        </w:rPr>
        <w:t xml:space="preserve"> </w:t>
      </w:r>
      <w:r w:rsidR="00C43A37" w:rsidRPr="001558A5">
        <w:rPr>
          <w:i/>
          <w:iCs/>
          <w:szCs w:val="16"/>
          <w:lang w:val="en-US"/>
        </w:rPr>
        <w:t xml:space="preserve">the Workers of the Fireworks Factory of </w:t>
      </w:r>
      <w:r w:rsidRPr="001558A5">
        <w:rPr>
          <w:i/>
          <w:iCs/>
          <w:szCs w:val="16"/>
          <w:lang w:val="en-US"/>
        </w:rPr>
        <w:t xml:space="preserve">Santo </w:t>
      </w:r>
      <w:proofErr w:type="spellStart"/>
      <w:r w:rsidRPr="001558A5">
        <w:rPr>
          <w:i/>
          <w:iCs/>
          <w:szCs w:val="16"/>
          <w:lang w:val="en-US"/>
        </w:rPr>
        <w:t>Antônio</w:t>
      </w:r>
      <w:proofErr w:type="spellEnd"/>
      <w:r w:rsidRPr="001558A5">
        <w:rPr>
          <w:i/>
          <w:iCs/>
          <w:szCs w:val="16"/>
          <w:lang w:val="en-US"/>
        </w:rPr>
        <w:t xml:space="preserve"> de Jesus </w:t>
      </w:r>
      <w:r w:rsidR="00871E19" w:rsidRPr="001558A5">
        <w:rPr>
          <w:i/>
          <w:iCs/>
          <w:szCs w:val="16"/>
          <w:lang w:val="en-US"/>
        </w:rPr>
        <w:t>v.</w:t>
      </w:r>
      <w:r w:rsidRPr="001558A5">
        <w:rPr>
          <w:i/>
          <w:iCs/>
          <w:szCs w:val="16"/>
          <w:lang w:val="en-US"/>
        </w:rPr>
        <w:t xml:space="preserve"> Bra</w:t>
      </w:r>
      <w:r w:rsidR="00C43A37" w:rsidRPr="001558A5">
        <w:rPr>
          <w:i/>
          <w:iCs/>
          <w:szCs w:val="16"/>
          <w:lang w:val="en-US"/>
        </w:rPr>
        <w:t>z</w:t>
      </w:r>
      <w:r w:rsidRPr="001558A5">
        <w:rPr>
          <w:i/>
          <w:iCs/>
          <w:szCs w:val="16"/>
          <w:lang w:val="en-US"/>
        </w:rPr>
        <w:t>il</w:t>
      </w:r>
      <w:r w:rsidRPr="001558A5">
        <w:rPr>
          <w:szCs w:val="16"/>
          <w:lang w:val="en-US" w:eastAsia="es-ES"/>
        </w:rPr>
        <w:t xml:space="preserve">, </w:t>
      </w:r>
      <w:r w:rsidRPr="001558A5">
        <w:rPr>
          <w:i/>
          <w:iCs/>
          <w:szCs w:val="16"/>
          <w:lang w:val="en-US" w:eastAsia="es-ES"/>
        </w:rPr>
        <w:t>supra</w:t>
      </w:r>
      <w:r w:rsidRPr="001558A5">
        <w:rPr>
          <w:szCs w:val="16"/>
          <w:lang w:val="en-US" w:eastAsia="es-ES"/>
        </w:rPr>
        <w:t xml:space="preserve">, </w:t>
      </w:r>
      <w:r w:rsidR="00B43A52" w:rsidRPr="001558A5">
        <w:rPr>
          <w:szCs w:val="16"/>
          <w:lang w:val="en-US" w:eastAsia="es-ES"/>
        </w:rPr>
        <w:t>para.</w:t>
      </w:r>
      <w:r w:rsidRPr="001558A5">
        <w:rPr>
          <w:szCs w:val="16"/>
          <w:lang w:val="en-US" w:eastAsia="es-ES"/>
        </w:rPr>
        <w:t xml:space="preserve"> 192.</w:t>
      </w:r>
    </w:p>
  </w:footnote>
  <w:footnote w:id="91">
    <w:p w14:paraId="33855714" w14:textId="33679B87" w:rsidR="005977F6" w:rsidRPr="001558A5" w:rsidRDefault="005977F6" w:rsidP="000B2BB5">
      <w:pPr>
        <w:pStyle w:val="Textonotapie"/>
        <w:tabs>
          <w:tab w:val="left" w:pos="360"/>
          <w:tab w:val="left" w:pos="709"/>
        </w:tabs>
        <w:rPr>
          <w:b/>
          <w:lang w:val="es-CR"/>
        </w:rPr>
      </w:pPr>
      <w:r w:rsidRPr="001558A5">
        <w:rPr>
          <w:rStyle w:val="Refdenotaalpie"/>
          <w:lang w:val="en-US"/>
        </w:rPr>
        <w:footnoteRef/>
      </w:r>
      <w:r w:rsidRPr="001558A5">
        <w:rPr>
          <w:lang w:val="en-US"/>
        </w:rPr>
        <w:tab/>
      </w:r>
      <w:r w:rsidR="00871E19" w:rsidRPr="001558A5">
        <w:rPr>
          <w:i/>
          <w:iCs/>
          <w:lang w:val="en-US"/>
        </w:rPr>
        <w:t>Cf.</w:t>
      </w:r>
      <w:r w:rsidRPr="001558A5">
        <w:rPr>
          <w:i/>
          <w:iCs/>
          <w:lang w:val="en-US"/>
        </w:rPr>
        <w:t xml:space="preserve"> </w:t>
      </w:r>
      <w:r w:rsidR="00C43A37" w:rsidRPr="001558A5">
        <w:rPr>
          <w:lang w:val="en-US"/>
        </w:rPr>
        <w:t>Advisory Opinion</w:t>
      </w:r>
      <w:r w:rsidRPr="001558A5">
        <w:rPr>
          <w:lang w:val="en-US"/>
        </w:rPr>
        <w:t xml:space="preserve"> OC-18/03, </w:t>
      </w:r>
      <w:r w:rsidRPr="001558A5">
        <w:rPr>
          <w:i/>
          <w:iCs/>
          <w:lang w:val="en-US"/>
        </w:rPr>
        <w:t>supra</w:t>
      </w:r>
      <w:r w:rsidRPr="001558A5">
        <w:rPr>
          <w:lang w:val="en-US"/>
        </w:rPr>
        <w:t xml:space="preserve">, </w:t>
      </w:r>
      <w:r w:rsidR="00B43A52" w:rsidRPr="001558A5">
        <w:rPr>
          <w:lang w:val="en-US"/>
        </w:rPr>
        <w:t>para.</w:t>
      </w:r>
      <w:r w:rsidRPr="001558A5">
        <w:rPr>
          <w:lang w:val="en-US"/>
        </w:rPr>
        <w:t xml:space="preserve"> 104,</w:t>
      </w:r>
      <w:r w:rsidR="00DD4354" w:rsidRPr="001558A5">
        <w:rPr>
          <w:lang w:val="en-US"/>
        </w:rPr>
        <w:t xml:space="preserve"> and </w:t>
      </w:r>
      <w:r w:rsidR="00C43A37" w:rsidRPr="001558A5">
        <w:rPr>
          <w:i/>
          <w:iCs/>
          <w:lang w:val="en-US"/>
        </w:rPr>
        <w:t xml:space="preserve">Case of the Workers of the Fireworks Factory of Santo </w:t>
      </w:r>
      <w:proofErr w:type="spellStart"/>
      <w:r w:rsidR="00C43A37" w:rsidRPr="001558A5">
        <w:rPr>
          <w:i/>
          <w:iCs/>
          <w:lang w:val="en-US"/>
        </w:rPr>
        <w:t>Antônio</w:t>
      </w:r>
      <w:proofErr w:type="spellEnd"/>
      <w:r w:rsidR="00C43A37" w:rsidRPr="001558A5">
        <w:rPr>
          <w:i/>
          <w:iCs/>
          <w:lang w:val="en-US"/>
        </w:rPr>
        <w:t xml:space="preserve"> de Jesus v. Brazil</w:t>
      </w:r>
      <w:r w:rsidRPr="001558A5">
        <w:rPr>
          <w:lang w:val="en-US"/>
        </w:rPr>
        <w:t xml:space="preserve">, </w:t>
      </w:r>
      <w:r w:rsidRPr="001558A5">
        <w:rPr>
          <w:i/>
          <w:iCs/>
          <w:lang w:val="en-US"/>
        </w:rPr>
        <w:t>supra</w:t>
      </w:r>
      <w:r w:rsidRPr="001558A5">
        <w:rPr>
          <w:lang w:val="en-US"/>
        </w:rPr>
        <w:t xml:space="preserve">, </w:t>
      </w:r>
      <w:r w:rsidR="00B43A52" w:rsidRPr="001558A5">
        <w:rPr>
          <w:lang w:val="en-US"/>
        </w:rPr>
        <w:t>para.</w:t>
      </w:r>
      <w:r w:rsidRPr="001558A5">
        <w:rPr>
          <w:lang w:val="en-US"/>
        </w:rPr>
        <w:t xml:space="preserve"> </w:t>
      </w:r>
      <w:r w:rsidRPr="001558A5">
        <w:rPr>
          <w:lang w:val="es-CR"/>
        </w:rPr>
        <w:t>186.</w:t>
      </w:r>
    </w:p>
  </w:footnote>
  <w:footnote w:id="92">
    <w:p w14:paraId="29155D76" w14:textId="3A440D65"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s-CR"/>
        </w:rPr>
        <w:t xml:space="preserve"> </w:t>
      </w:r>
      <w:r w:rsidRPr="001558A5">
        <w:rPr>
          <w:lang w:val="es-CR"/>
        </w:rPr>
        <w:tab/>
      </w:r>
      <w:r w:rsidR="00871E19" w:rsidRPr="001558A5">
        <w:rPr>
          <w:i/>
          <w:iCs/>
          <w:lang w:val="es-CR"/>
        </w:rPr>
        <w:t>Cf.</w:t>
      </w:r>
      <w:r w:rsidRPr="001558A5">
        <w:rPr>
          <w:i/>
          <w:iCs/>
          <w:lang w:val="es-CR"/>
        </w:rPr>
        <w:t xml:space="preserve"> </w:t>
      </w:r>
      <w:r w:rsidR="00871E19" w:rsidRPr="001558A5">
        <w:rPr>
          <w:i/>
          <w:lang w:val="es-CR"/>
        </w:rPr>
        <w:t>Case of</w:t>
      </w:r>
      <w:r w:rsidRPr="001558A5">
        <w:rPr>
          <w:i/>
          <w:lang w:val="es-CR"/>
        </w:rPr>
        <w:t xml:space="preserve"> Azul Rojas </w:t>
      </w:r>
      <w:r w:rsidR="00C909B4" w:rsidRPr="001558A5">
        <w:rPr>
          <w:i/>
          <w:lang w:val="es-CR"/>
        </w:rPr>
        <w:t>Marín et al.</w:t>
      </w:r>
      <w:r w:rsidRPr="001558A5">
        <w:rPr>
          <w:i/>
          <w:lang w:val="es-CR"/>
        </w:rPr>
        <w:t xml:space="preserve"> </w:t>
      </w:r>
      <w:r w:rsidR="00871E19" w:rsidRPr="001558A5">
        <w:rPr>
          <w:i/>
          <w:lang w:val="es-CR"/>
        </w:rPr>
        <w:t>v.</w:t>
      </w:r>
      <w:r w:rsidRPr="001558A5">
        <w:rPr>
          <w:i/>
          <w:lang w:val="es-CR"/>
        </w:rPr>
        <w:t xml:space="preserve"> </w:t>
      </w:r>
      <w:proofErr w:type="spellStart"/>
      <w:r w:rsidR="00D11908" w:rsidRPr="001558A5">
        <w:rPr>
          <w:i/>
          <w:lang w:val="es-CR"/>
        </w:rPr>
        <w:t>Peru</w:t>
      </w:r>
      <w:proofErr w:type="spellEnd"/>
      <w:r w:rsidRPr="001558A5">
        <w:rPr>
          <w:iCs/>
          <w:lang w:val="es-CR"/>
        </w:rPr>
        <w:t xml:space="preserve">, </w:t>
      </w:r>
      <w:r w:rsidRPr="001558A5">
        <w:rPr>
          <w:i/>
          <w:lang w:val="es-CR"/>
        </w:rPr>
        <w:t>supra</w:t>
      </w:r>
      <w:r w:rsidRPr="001558A5">
        <w:rPr>
          <w:lang w:val="es-CR"/>
        </w:rPr>
        <w:t xml:space="preserve">, </w:t>
      </w:r>
      <w:r w:rsidR="00B43A52" w:rsidRPr="001558A5">
        <w:rPr>
          <w:lang w:val="es-CR"/>
        </w:rPr>
        <w:t>para.</w:t>
      </w:r>
      <w:r w:rsidRPr="001558A5">
        <w:rPr>
          <w:lang w:val="es-CR"/>
        </w:rPr>
        <w:t xml:space="preserve"> </w:t>
      </w:r>
      <w:r w:rsidRPr="001558A5">
        <w:rPr>
          <w:lang w:val="en-US"/>
        </w:rPr>
        <w:t>89.</w:t>
      </w:r>
    </w:p>
  </w:footnote>
  <w:footnote w:id="93">
    <w:p w14:paraId="1D6A7B4D" w14:textId="74EA48BA"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871E19" w:rsidRPr="001558A5">
        <w:rPr>
          <w:i/>
          <w:iCs/>
          <w:lang w:val="en-US"/>
        </w:rPr>
        <w:t>Case of</w:t>
      </w:r>
      <w:r w:rsidRPr="001558A5">
        <w:rPr>
          <w:i/>
          <w:iCs/>
          <w:lang w:val="en-US"/>
        </w:rPr>
        <w:t xml:space="preserve"> </w:t>
      </w:r>
      <w:proofErr w:type="spellStart"/>
      <w:r w:rsidRPr="001558A5">
        <w:rPr>
          <w:i/>
          <w:iCs/>
          <w:lang w:val="en-US"/>
        </w:rPr>
        <w:t>Atala</w:t>
      </w:r>
      <w:proofErr w:type="spellEnd"/>
      <w:r w:rsidRPr="001558A5">
        <w:rPr>
          <w:i/>
          <w:iCs/>
          <w:lang w:val="en-US"/>
        </w:rPr>
        <w:t xml:space="preserve"> </w:t>
      </w:r>
      <w:proofErr w:type="spellStart"/>
      <w:r w:rsidR="00C43A37" w:rsidRPr="001558A5">
        <w:rPr>
          <w:i/>
          <w:iCs/>
          <w:lang w:val="en-US"/>
        </w:rPr>
        <w:t>Riffo</w:t>
      </w:r>
      <w:proofErr w:type="spellEnd"/>
      <w:r w:rsidR="00C43A37" w:rsidRPr="001558A5">
        <w:rPr>
          <w:i/>
          <w:iCs/>
          <w:lang w:val="en-US"/>
        </w:rPr>
        <w:t xml:space="preserve"> and daughters</w:t>
      </w:r>
      <w:r w:rsidRPr="001558A5">
        <w:rPr>
          <w:i/>
          <w:iCs/>
          <w:lang w:val="en-US"/>
        </w:rPr>
        <w:t xml:space="preserve"> </w:t>
      </w:r>
      <w:r w:rsidR="00871E19" w:rsidRPr="001558A5">
        <w:rPr>
          <w:i/>
          <w:iCs/>
          <w:lang w:val="en-US"/>
        </w:rPr>
        <w:t>v.</w:t>
      </w:r>
      <w:r w:rsidRPr="001558A5">
        <w:rPr>
          <w:i/>
          <w:iCs/>
          <w:lang w:val="en-US"/>
        </w:rPr>
        <w:t xml:space="preserve"> Chile. </w:t>
      </w:r>
      <w:r w:rsidR="00B43A52" w:rsidRPr="001558A5">
        <w:rPr>
          <w:i/>
          <w:iCs/>
          <w:lang w:val="en-US"/>
        </w:rPr>
        <w:t>Merits, reparations and costs</w:t>
      </w:r>
      <w:r w:rsidRPr="001558A5">
        <w:rPr>
          <w:i/>
          <w:iCs/>
          <w:lang w:val="en-US"/>
        </w:rPr>
        <w:t xml:space="preserve">. </w:t>
      </w:r>
      <w:r w:rsidR="00871E19" w:rsidRPr="001558A5">
        <w:rPr>
          <w:lang w:val="en-US"/>
        </w:rPr>
        <w:t>Judgment of</w:t>
      </w:r>
      <w:r w:rsidRPr="001558A5">
        <w:rPr>
          <w:lang w:val="en-US"/>
        </w:rPr>
        <w:t xml:space="preserve"> </w:t>
      </w:r>
      <w:r w:rsidR="00C43A37" w:rsidRPr="001558A5">
        <w:rPr>
          <w:lang w:val="en-US"/>
        </w:rPr>
        <w:t>February 24,</w:t>
      </w:r>
      <w:r w:rsidRPr="001558A5">
        <w:rPr>
          <w:lang w:val="en-US"/>
        </w:rPr>
        <w:t xml:space="preserve"> 2012. </w:t>
      </w:r>
      <w:r w:rsidR="00B43A52" w:rsidRPr="001558A5">
        <w:rPr>
          <w:lang w:val="en-US"/>
        </w:rPr>
        <w:t xml:space="preserve">Series </w:t>
      </w:r>
      <w:r w:rsidRPr="001558A5">
        <w:rPr>
          <w:lang w:val="en-US"/>
        </w:rPr>
        <w:t>C No. 239,</w:t>
      </w:r>
      <w:r w:rsidRPr="001558A5">
        <w:rPr>
          <w:i/>
          <w:iCs/>
          <w:lang w:val="en-US"/>
        </w:rPr>
        <w:t xml:space="preserve"> </w:t>
      </w:r>
      <w:r w:rsidR="00675A99" w:rsidRPr="001558A5">
        <w:rPr>
          <w:lang w:val="en-US"/>
        </w:rPr>
        <w:t>paras.</w:t>
      </w:r>
      <w:r w:rsidRPr="001558A5">
        <w:rPr>
          <w:lang w:val="en-US"/>
        </w:rPr>
        <w:t xml:space="preserve"> 92</w:t>
      </w:r>
      <w:r w:rsidR="00DD4354" w:rsidRPr="001558A5">
        <w:rPr>
          <w:lang w:val="en-US"/>
        </w:rPr>
        <w:t xml:space="preserve"> and </w:t>
      </w:r>
      <w:r w:rsidRPr="001558A5">
        <w:rPr>
          <w:lang w:val="en-US"/>
        </w:rPr>
        <w:t>267,</w:t>
      </w:r>
      <w:r w:rsidR="00DD4354" w:rsidRPr="001558A5">
        <w:rPr>
          <w:lang w:val="en-US"/>
        </w:rPr>
        <w:t xml:space="preserve"> and </w:t>
      </w:r>
      <w:r w:rsidR="00C43A37" w:rsidRPr="001558A5">
        <w:rPr>
          <w:i/>
          <w:lang w:val="en-US"/>
        </w:rPr>
        <w:t>Advisory Opinion</w:t>
      </w:r>
      <w:r w:rsidRPr="001558A5">
        <w:rPr>
          <w:i/>
          <w:lang w:val="en-US"/>
        </w:rPr>
        <w:t xml:space="preserve"> OC-24/17</w:t>
      </w:r>
      <w:r w:rsidRPr="001558A5">
        <w:rPr>
          <w:lang w:val="en-US"/>
        </w:rPr>
        <w:t xml:space="preserve">, </w:t>
      </w:r>
      <w:r w:rsidRPr="001558A5">
        <w:rPr>
          <w:i/>
          <w:iCs/>
          <w:lang w:val="en-US"/>
        </w:rPr>
        <w:t>supra</w:t>
      </w:r>
      <w:r w:rsidRPr="001558A5">
        <w:rPr>
          <w:lang w:val="en-US"/>
        </w:rPr>
        <w:t xml:space="preserve">, </w:t>
      </w:r>
      <w:r w:rsidR="00B43A52" w:rsidRPr="001558A5">
        <w:rPr>
          <w:lang w:val="en-US"/>
        </w:rPr>
        <w:t>para.</w:t>
      </w:r>
      <w:r w:rsidRPr="001558A5">
        <w:rPr>
          <w:lang w:val="en-US"/>
        </w:rPr>
        <w:t xml:space="preserve"> 33.</w:t>
      </w:r>
    </w:p>
  </w:footnote>
  <w:footnote w:id="94">
    <w:p w14:paraId="57E24D7A" w14:textId="7D6D7D32" w:rsidR="00CB07BD" w:rsidRPr="001558A5" w:rsidRDefault="00CB07BD" w:rsidP="000B2BB5">
      <w:pPr>
        <w:pStyle w:val="Textonotapie"/>
        <w:tabs>
          <w:tab w:val="left" w:pos="360"/>
          <w:tab w:val="left" w:pos="709"/>
        </w:tabs>
        <w:rPr>
          <w:lang w:val="en-US"/>
        </w:rPr>
      </w:pPr>
      <w:r w:rsidRPr="001558A5">
        <w:rPr>
          <w:rStyle w:val="Refdenotaalpie"/>
          <w:lang w:val="en-US"/>
        </w:rPr>
        <w:footnoteRef/>
      </w:r>
      <w:r w:rsidRPr="001558A5">
        <w:rPr>
          <w:lang w:val="en-US"/>
        </w:rPr>
        <w:t xml:space="preserve"> </w:t>
      </w:r>
      <w:r w:rsidRPr="001558A5">
        <w:rPr>
          <w:lang w:val="en-US"/>
        </w:rPr>
        <w:tab/>
        <w:t xml:space="preserve">This Court has explained that gender expression is understood to be the outward manifestation of a person’s gender by physical aspects, which may include dress, hair style, or the use of cosmetics, or by mannerisms, speech, personal behavior or social interaction, and names or personal references. A person’s gender expression may or may not correspond to </w:t>
      </w:r>
      <w:r w:rsidR="00841EA9" w:rsidRPr="001558A5">
        <w:rPr>
          <w:lang w:val="en-US"/>
        </w:rPr>
        <w:t>his or her</w:t>
      </w:r>
      <w:r w:rsidRPr="001558A5">
        <w:rPr>
          <w:lang w:val="en-US"/>
        </w:rPr>
        <w:t xml:space="preserve"> self-perceived gender identity</w:t>
      </w:r>
      <w:r w:rsidRPr="001558A5">
        <w:rPr>
          <w:i/>
          <w:spacing w:val="-4"/>
          <w:lang w:val="en-US"/>
        </w:rPr>
        <w:t>.</w:t>
      </w:r>
      <w:r w:rsidRPr="001558A5">
        <w:rPr>
          <w:spacing w:val="-4"/>
          <w:lang w:val="en-US"/>
        </w:rPr>
        <w:t xml:space="preserve"> </w:t>
      </w:r>
      <w:r w:rsidRPr="001558A5">
        <w:rPr>
          <w:i/>
          <w:iCs/>
          <w:spacing w:val="-4"/>
          <w:lang w:val="en-US"/>
        </w:rPr>
        <w:t>Advisory Opinion OC-24/17</w:t>
      </w:r>
      <w:r w:rsidRPr="001558A5">
        <w:rPr>
          <w:spacing w:val="-4"/>
          <w:lang w:val="en-US"/>
        </w:rPr>
        <w:t>, para. 32(g).</w:t>
      </w:r>
    </w:p>
  </w:footnote>
  <w:footnote w:id="95">
    <w:p w14:paraId="07AE5A95" w14:textId="04642AE7" w:rsidR="005977F6" w:rsidRPr="001558A5" w:rsidRDefault="005977F6" w:rsidP="000B2BB5">
      <w:pPr>
        <w:pStyle w:val="Textonotapie"/>
        <w:tabs>
          <w:tab w:val="left" w:pos="360"/>
          <w:tab w:val="left" w:pos="709"/>
        </w:tabs>
        <w:rPr>
          <w:lang w:val="es-CR"/>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871E19" w:rsidRPr="001558A5">
        <w:rPr>
          <w:i/>
          <w:iCs/>
          <w:lang w:val="en-US"/>
        </w:rPr>
        <w:t>Case of</w:t>
      </w:r>
      <w:r w:rsidRPr="001558A5">
        <w:rPr>
          <w:i/>
          <w:iCs/>
          <w:lang w:val="en-US"/>
        </w:rPr>
        <w:t xml:space="preserve"> </w:t>
      </w:r>
      <w:proofErr w:type="spellStart"/>
      <w:r w:rsidRPr="001558A5">
        <w:rPr>
          <w:i/>
          <w:iCs/>
          <w:lang w:val="en-US"/>
        </w:rPr>
        <w:t>Atala</w:t>
      </w:r>
      <w:proofErr w:type="spellEnd"/>
      <w:r w:rsidRPr="001558A5">
        <w:rPr>
          <w:i/>
          <w:iCs/>
          <w:lang w:val="en-US"/>
        </w:rPr>
        <w:t xml:space="preserve"> </w:t>
      </w:r>
      <w:proofErr w:type="spellStart"/>
      <w:r w:rsidR="00C43A37" w:rsidRPr="001558A5">
        <w:rPr>
          <w:i/>
          <w:iCs/>
          <w:lang w:val="en-US"/>
        </w:rPr>
        <w:t>Riffo</w:t>
      </w:r>
      <w:proofErr w:type="spellEnd"/>
      <w:r w:rsidR="00C43A37" w:rsidRPr="001558A5">
        <w:rPr>
          <w:i/>
          <w:iCs/>
          <w:lang w:val="en-US"/>
        </w:rPr>
        <w:t xml:space="preserve"> and daughters</w:t>
      </w:r>
      <w:r w:rsidRPr="001558A5">
        <w:rPr>
          <w:i/>
          <w:iCs/>
          <w:lang w:val="en-US"/>
        </w:rPr>
        <w:t xml:space="preserve"> </w:t>
      </w:r>
      <w:r w:rsidR="00871E19" w:rsidRPr="001558A5">
        <w:rPr>
          <w:i/>
          <w:iCs/>
          <w:lang w:val="en-US"/>
        </w:rPr>
        <w:t>v.</w:t>
      </w:r>
      <w:r w:rsidRPr="001558A5">
        <w:rPr>
          <w:i/>
          <w:iCs/>
          <w:lang w:val="en-US"/>
        </w:rPr>
        <w:t xml:space="preserve"> Chile. </w:t>
      </w:r>
      <w:proofErr w:type="spellStart"/>
      <w:r w:rsidR="00B93FA6" w:rsidRPr="001558A5">
        <w:rPr>
          <w:i/>
          <w:iCs/>
          <w:lang w:val="es-CR"/>
        </w:rPr>
        <w:t>Merits</w:t>
      </w:r>
      <w:proofErr w:type="spellEnd"/>
      <w:r w:rsidRPr="001558A5">
        <w:rPr>
          <w:lang w:val="es-CR"/>
        </w:rPr>
        <w:t xml:space="preserve">, </w:t>
      </w:r>
      <w:r w:rsidRPr="001558A5">
        <w:rPr>
          <w:i/>
          <w:iCs/>
          <w:lang w:val="es-CR"/>
        </w:rPr>
        <w:t>supra</w:t>
      </w:r>
      <w:r w:rsidRPr="001558A5">
        <w:rPr>
          <w:lang w:val="es-CR"/>
        </w:rPr>
        <w:t xml:space="preserve">, </w:t>
      </w:r>
      <w:r w:rsidR="00B43A52" w:rsidRPr="001558A5">
        <w:rPr>
          <w:spacing w:val="-4"/>
          <w:lang w:val="es-CR"/>
        </w:rPr>
        <w:t>para.</w:t>
      </w:r>
      <w:r w:rsidRPr="001558A5">
        <w:rPr>
          <w:spacing w:val="-4"/>
          <w:lang w:val="es-CR"/>
        </w:rPr>
        <w:t xml:space="preserve"> 78,</w:t>
      </w:r>
      <w:r w:rsidR="00DD4354" w:rsidRPr="001558A5">
        <w:rPr>
          <w:spacing w:val="-4"/>
          <w:lang w:val="es-CR"/>
        </w:rPr>
        <w:t xml:space="preserve"> and </w:t>
      </w:r>
      <w:r w:rsidR="00871E19" w:rsidRPr="001558A5">
        <w:rPr>
          <w:i/>
          <w:lang w:val="es-CR"/>
        </w:rPr>
        <w:t>Case of</w:t>
      </w:r>
      <w:r w:rsidRPr="001558A5">
        <w:rPr>
          <w:i/>
          <w:lang w:val="es-CR"/>
        </w:rPr>
        <w:t xml:space="preserve"> Azul Rojas </w:t>
      </w:r>
      <w:r w:rsidR="00C909B4" w:rsidRPr="001558A5">
        <w:rPr>
          <w:i/>
          <w:lang w:val="es-CR"/>
        </w:rPr>
        <w:t>Marín et al.</w:t>
      </w:r>
      <w:r w:rsidRPr="001558A5">
        <w:rPr>
          <w:i/>
          <w:lang w:val="es-CR"/>
        </w:rPr>
        <w:t xml:space="preserve"> </w:t>
      </w:r>
      <w:r w:rsidR="00871E19" w:rsidRPr="001558A5">
        <w:rPr>
          <w:i/>
          <w:lang w:val="es-CR"/>
        </w:rPr>
        <w:t>v.</w:t>
      </w:r>
      <w:r w:rsidRPr="001558A5">
        <w:rPr>
          <w:i/>
          <w:lang w:val="es-CR"/>
        </w:rPr>
        <w:t xml:space="preserve"> </w:t>
      </w:r>
      <w:proofErr w:type="spellStart"/>
      <w:r w:rsidR="00D11908" w:rsidRPr="001558A5">
        <w:rPr>
          <w:i/>
          <w:lang w:val="es-CR"/>
        </w:rPr>
        <w:t>Peru</w:t>
      </w:r>
      <w:proofErr w:type="spellEnd"/>
      <w:r w:rsidRPr="001558A5">
        <w:rPr>
          <w:iCs/>
          <w:lang w:val="es-CR"/>
        </w:rPr>
        <w:t xml:space="preserve">, </w:t>
      </w:r>
      <w:r w:rsidRPr="001558A5">
        <w:rPr>
          <w:i/>
          <w:lang w:val="es-CR"/>
        </w:rPr>
        <w:t>supra</w:t>
      </w:r>
      <w:r w:rsidRPr="001558A5">
        <w:rPr>
          <w:spacing w:val="-4"/>
          <w:lang w:val="es-CR"/>
        </w:rPr>
        <w:t xml:space="preserve">, </w:t>
      </w:r>
      <w:r w:rsidR="00B43A52" w:rsidRPr="001558A5">
        <w:rPr>
          <w:spacing w:val="-4"/>
          <w:lang w:val="es-CR"/>
        </w:rPr>
        <w:t>para.</w:t>
      </w:r>
      <w:r w:rsidRPr="001558A5">
        <w:rPr>
          <w:spacing w:val="-4"/>
          <w:lang w:val="es-CR"/>
        </w:rPr>
        <w:t xml:space="preserve"> 90. </w:t>
      </w:r>
    </w:p>
  </w:footnote>
  <w:footnote w:id="96">
    <w:p w14:paraId="46D5AB98" w14:textId="7BFC3574" w:rsidR="005977F6" w:rsidRPr="001558A5" w:rsidRDefault="005977F6" w:rsidP="000B2BB5">
      <w:pPr>
        <w:pStyle w:val="Textonotapie"/>
        <w:tabs>
          <w:tab w:val="left" w:pos="360"/>
          <w:tab w:val="left" w:pos="709"/>
        </w:tabs>
        <w:rPr>
          <w:lang w:val="en-US"/>
        </w:rPr>
      </w:pPr>
      <w:r w:rsidRPr="001558A5">
        <w:rPr>
          <w:rStyle w:val="Refdenotaalpie"/>
          <w:lang w:val="en-US"/>
        </w:rPr>
        <w:footnoteRef/>
      </w:r>
      <w:r w:rsidRPr="001558A5">
        <w:rPr>
          <w:lang w:val="es-CR"/>
        </w:rPr>
        <w:t xml:space="preserve"> </w:t>
      </w:r>
      <w:r w:rsidRPr="001558A5">
        <w:rPr>
          <w:lang w:val="es-CR"/>
        </w:rPr>
        <w:tab/>
      </w:r>
      <w:r w:rsidR="00871E19" w:rsidRPr="001558A5">
        <w:rPr>
          <w:i/>
          <w:iCs/>
          <w:lang w:val="es-CR"/>
        </w:rPr>
        <w:t>Cf.</w:t>
      </w:r>
      <w:r w:rsidRPr="001558A5">
        <w:rPr>
          <w:lang w:val="es-CR"/>
        </w:rPr>
        <w:t xml:space="preserve"> </w:t>
      </w:r>
      <w:r w:rsidR="00871E19" w:rsidRPr="001558A5">
        <w:rPr>
          <w:i/>
          <w:lang w:val="es-CR"/>
        </w:rPr>
        <w:t>Case of</w:t>
      </w:r>
      <w:r w:rsidRPr="001558A5">
        <w:rPr>
          <w:i/>
          <w:lang w:val="es-CR"/>
        </w:rPr>
        <w:t xml:space="preserve"> Azul Rojas </w:t>
      </w:r>
      <w:r w:rsidR="00C909B4" w:rsidRPr="001558A5">
        <w:rPr>
          <w:i/>
          <w:lang w:val="es-CR"/>
        </w:rPr>
        <w:t>Marín et al.</w:t>
      </w:r>
      <w:r w:rsidRPr="001558A5">
        <w:rPr>
          <w:i/>
          <w:lang w:val="es-CR"/>
        </w:rPr>
        <w:t xml:space="preserve"> </w:t>
      </w:r>
      <w:r w:rsidR="00871E19" w:rsidRPr="001558A5">
        <w:rPr>
          <w:i/>
          <w:lang w:val="es-CR"/>
        </w:rPr>
        <w:t>v.</w:t>
      </w:r>
      <w:r w:rsidRPr="001558A5">
        <w:rPr>
          <w:i/>
          <w:lang w:val="es-CR"/>
        </w:rPr>
        <w:t xml:space="preserve"> </w:t>
      </w:r>
      <w:proofErr w:type="spellStart"/>
      <w:r w:rsidR="00D11908" w:rsidRPr="001558A5">
        <w:rPr>
          <w:i/>
          <w:lang w:val="es-CR"/>
        </w:rPr>
        <w:t>Peru</w:t>
      </w:r>
      <w:proofErr w:type="spellEnd"/>
      <w:r w:rsidRPr="001558A5">
        <w:rPr>
          <w:iCs/>
          <w:lang w:val="es-CR"/>
        </w:rPr>
        <w:t xml:space="preserve">, </w:t>
      </w:r>
      <w:r w:rsidRPr="001558A5">
        <w:rPr>
          <w:i/>
          <w:lang w:val="es-CR"/>
        </w:rPr>
        <w:t>supra</w:t>
      </w:r>
      <w:r w:rsidRPr="001558A5">
        <w:rPr>
          <w:spacing w:val="-4"/>
          <w:lang w:val="es-CR"/>
        </w:rPr>
        <w:t xml:space="preserve">, </w:t>
      </w:r>
      <w:r w:rsidR="00B43A52" w:rsidRPr="001558A5">
        <w:rPr>
          <w:spacing w:val="-4"/>
          <w:lang w:val="es-CR"/>
        </w:rPr>
        <w:t>para.</w:t>
      </w:r>
      <w:r w:rsidRPr="001558A5">
        <w:rPr>
          <w:spacing w:val="-4"/>
          <w:lang w:val="es-CR"/>
        </w:rPr>
        <w:t xml:space="preserve"> </w:t>
      </w:r>
      <w:r w:rsidRPr="001558A5">
        <w:rPr>
          <w:spacing w:val="-4"/>
          <w:lang w:val="en-US"/>
        </w:rPr>
        <w:t xml:space="preserve">90. </w:t>
      </w:r>
      <w:r w:rsidR="00B93FA6" w:rsidRPr="001558A5">
        <w:rPr>
          <w:spacing w:val="-4"/>
          <w:lang w:val="en-US"/>
        </w:rPr>
        <w:t>See also</w:t>
      </w:r>
      <w:r w:rsidRPr="001558A5">
        <w:rPr>
          <w:spacing w:val="-4"/>
          <w:lang w:val="en-US"/>
        </w:rPr>
        <w:t xml:space="preserve">, </w:t>
      </w:r>
      <w:r w:rsidR="00B93FA6" w:rsidRPr="001558A5">
        <w:rPr>
          <w:i/>
          <w:iCs/>
          <w:lang w:val="en-US"/>
        </w:rPr>
        <w:t>m</w:t>
      </w:r>
      <w:r w:rsidRPr="001558A5">
        <w:rPr>
          <w:i/>
          <w:iCs/>
          <w:lang w:val="en-US"/>
        </w:rPr>
        <w:t xml:space="preserve">utatis mutandis, </w:t>
      </w:r>
      <w:r w:rsidR="00C43A37" w:rsidRPr="001558A5">
        <w:rPr>
          <w:i/>
          <w:iCs/>
          <w:lang w:val="en-US"/>
        </w:rPr>
        <w:t>Advisory Opinion</w:t>
      </w:r>
      <w:r w:rsidRPr="001558A5">
        <w:rPr>
          <w:i/>
          <w:iCs/>
          <w:lang w:val="en-US"/>
        </w:rPr>
        <w:t xml:space="preserve"> OC-18/03, supra</w:t>
      </w:r>
      <w:r w:rsidRPr="001558A5">
        <w:rPr>
          <w:lang w:val="en-US"/>
        </w:rPr>
        <w:t>,</w:t>
      </w:r>
      <w:r w:rsidRPr="001558A5">
        <w:rPr>
          <w:i/>
          <w:iCs/>
          <w:lang w:val="en-US"/>
        </w:rPr>
        <w:t xml:space="preserve"> </w:t>
      </w:r>
      <w:r w:rsidR="00675A99" w:rsidRPr="001558A5">
        <w:rPr>
          <w:lang w:val="en-US"/>
        </w:rPr>
        <w:t>paras.</w:t>
      </w:r>
      <w:r w:rsidRPr="001558A5">
        <w:rPr>
          <w:lang w:val="en-US"/>
        </w:rPr>
        <w:t xml:space="preserve"> 100</w:t>
      </w:r>
      <w:r w:rsidR="00DD4354" w:rsidRPr="001558A5">
        <w:rPr>
          <w:lang w:val="en-US"/>
        </w:rPr>
        <w:t xml:space="preserve"> and </w:t>
      </w:r>
      <w:r w:rsidRPr="001558A5">
        <w:rPr>
          <w:lang w:val="en-US"/>
        </w:rPr>
        <w:t>101.</w:t>
      </w:r>
    </w:p>
  </w:footnote>
  <w:footnote w:id="97">
    <w:p w14:paraId="31E05D05" w14:textId="30A2680F"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lang w:val="en-US"/>
        </w:rPr>
        <w:t xml:space="preserve"> </w:t>
      </w:r>
      <w:r w:rsidR="00C43A37" w:rsidRPr="001558A5">
        <w:rPr>
          <w:i/>
          <w:iCs/>
          <w:lang w:val="en-US"/>
        </w:rPr>
        <w:t>Advisory Opinion</w:t>
      </w:r>
      <w:r w:rsidRPr="001558A5">
        <w:rPr>
          <w:i/>
          <w:iCs/>
          <w:lang w:val="en-US"/>
        </w:rPr>
        <w:t xml:space="preserve"> OC-24/17</w:t>
      </w:r>
      <w:r w:rsidRPr="001558A5">
        <w:rPr>
          <w:lang w:val="en-US"/>
        </w:rPr>
        <w:t xml:space="preserve">, </w:t>
      </w:r>
      <w:r w:rsidRPr="001558A5">
        <w:rPr>
          <w:i/>
          <w:iCs/>
          <w:lang w:val="en-US"/>
        </w:rPr>
        <w:t>supra</w:t>
      </w:r>
      <w:r w:rsidRPr="001558A5">
        <w:rPr>
          <w:lang w:val="en-US"/>
        </w:rPr>
        <w:t xml:space="preserve">, </w:t>
      </w:r>
      <w:r w:rsidR="00B43A52" w:rsidRPr="001558A5">
        <w:rPr>
          <w:lang w:val="en-US"/>
        </w:rPr>
        <w:t>para.</w:t>
      </w:r>
      <w:r w:rsidRPr="001558A5">
        <w:rPr>
          <w:lang w:val="en-US"/>
        </w:rPr>
        <w:t xml:space="preserve"> 36,</w:t>
      </w:r>
      <w:r w:rsidR="00DD4354" w:rsidRPr="001558A5">
        <w:rPr>
          <w:lang w:val="en-US"/>
        </w:rPr>
        <w:t xml:space="preserve"> and </w:t>
      </w:r>
      <w:r w:rsidR="00871E19" w:rsidRPr="001558A5">
        <w:rPr>
          <w:i/>
          <w:iCs/>
          <w:lang w:val="en-US"/>
        </w:rPr>
        <w:t>Case of</w:t>
      </w:r>
      <w:r w:rsidRPr="001558A5">
        <w:rPr>
          <w:i/>
          <w:iCs/>
          <w:lang w:val="en-US"/>
        </w:rPr>
        <w:t xml:space="preserve"> Azul Rojas </w:t>
      </w:r>
      <w:proofErr w:type="spellStart"/>
      <w:r w:rsidR="00C909B4" w:rsidRPr="001558A5">
        <w:rPr>
          <w:i/>
          <w:iCs/>
          <w:lang w:val="en-US"/>
        </w:rPr>
        <w:t>Marín</w:t>
      </w:r>
      <w:proofErr w:type="spellEnd"/>
      <w:r w:rsidR="00C909B4" w:rsidRPr="001558A5">
        <w:rPr>
          <w:i/>
          <w:iCs/>
          <w:lang w:val="en-US"/>
        </w:rPr>
        <w:t xml:space="preserve"> et al.</w:t>
      </w:r>
      <w:r w:rsidRPr="001558A5">
        <w:rPr>
          <w:i/>
          <w:iCs/>
          <w:lang w:val="en-US"/>
        </w:rPr>
        <w:t xml:space="preserve"> </w:t>
      </w:r>
      <w:r w:rsidR="00871E19" w:rsidRPr="001558A5">
        <w:rPr>
          <w:i/>
          <w:iCs/>
          <w:lang w:val="en-US"/>
        </w:rPr>
        <w:t>v.</w:t>
      </w:r>
      <w:r w:rsidRPr="001558A5">
        <w:rPr>
          <w:i/>
          <w:iCs/>
          <w:lang w:val="en-US"/>
        </w:rPr>
        <w:t xml:space="preserve"> </w:t>
      </w:r>
      <w:r w:rsidR="00D11908" w:rsidRPr="001558A5">
        <w:rPr>
          <w:i/>
          <w:iCs/>
          <w:lang w:val="en-US"/>
        </w:rPr>
        <w:t>Peru</w:t>
      </w:r>
      <w:r w:rsidRPr="001558A5">
        <w:rPr>
          <w:i/>
          <w:iCs/>
          <w:lang w:val="en-US"/>
        </w:rPr>
        <w:t>, supra</w:t>
      </w:r>
      <w:r w:rsidRPr="001558A5">
        <w:rPr>
          <w:lang w:val="en-US"/>
        </w:rPr>
        <w:t>,</w:t>
      </w:r>
      <w:r w:rsidRPr="001558A5">
        <w:rPr>
          <w:i/>
          <w:iCs/>
          <w:lang w:val="en-US"/>
        </w:rPr>
        <w:t xml:space="preserve"> </w:t>
      </w:r>
      <w:r w:rsidR="00B43A52" w:rsidRPr="001558A5">
        <w:rPr>
          <w:lang w:val="en-US"/>
        </w:rPr>
        <w:t>para.</w:t>
      </w:r>
      <w:r w:rsidRPr="001558A5">
        <w:rPr>
          <w:lang w:val="en-US"/>
        </w:rPr>
        <w:t xml:space="preserve"> 91.</w:t>
      </w:r>
    </w:p>
  </w:footnote>
  <w:footnote w:id="98">
    <w:p w14:paraId="69CBEB80" w14:textId="04CE7D41"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871E19" w:rsidRPr="001558A5">
        <w:rPr>
          <w:i/>
          <w:iCs/>
          <w:lang w:val="en-US"/>
        </w:rPr>
        <w:t>Case of</w:t>
      </w:r>
      <w:r w:rsidRPr="001558A5">
        <w:rPr>
          <w:i/>
          <w:iCs/>
          <w:lang w:val="en-US"/>
        </w:rPr>
        <w:t xml:space="preserve"> Azul Rojas </w:t>
      </w:r>
      <w:proofErr w:type="spellStart"/>
      <w:r w:rsidR="00C909B4" w:rsidRPr="001558A5">
        <w:rPr>
          <w:i/>
          <w:iCs/>
          <w:lang w:val="en-US"/>
        </w:rPr>
        <w:t>Marín</w:t>
      </w:r>
      <w:proofErr w:type="spellEnd"/>
      <w:r w:rsidR="00C909B4" w:rsidRPr="001558A5">
        <w:rPr>
          <w:i/>
          <w:iCs/>
          <w:lang w:val="en-US"/>
        </w:rPr>
        <w:t xml:space="preserve"> et al.</w:t>
      </w:r>
      <w:r w:rsidRPr="001558A5">
        <w:rPr>
          <w:i/>
          <w:iCs/>
          <w:lang w:val="en-US"/>
        </w:rPr>
        <w:t xml:space="preserve"> </w:t>
      </w:r>
      <w:r w:rsidR="00871E19" w:rsidRPr="001558A5">
        <w:rPr>
          <w:i/>
          <w:iCs/>
          <w:lang w:val="en-US"/>
        </w:rPr>
        <w:t>v.</w:t>
      </w:r>
      <w:r w:rsidRPr="001558A5">
        <w:rPr>
          <w:i/>
          <w:iCs/>
          <w:lang w:val="en-US"/>
        </w:rPr>
        <w:t xml:space="preserve"> </w:t>
      </w:r>
      <w:r w:rsidR="00D11908" w:rsidRPr="001558A5">
        <w:rPr>
          <w:i/>
          <w:iCs/>
          <w:lang w:val="en-US"/>
        </w:rPr>
        <w:t>Peru</w:t>
      </w:r>
      <w:r w:rsidRPr="001558A5">
        <w:rPr>
          <w:lang w:val="en-US"/>
        </w:rPr>
        <w:t xml:space="preserve">, </w:t>
      </w:r>
      <w:r w:rsidRPr="001558A5">
        <w:rPr>
          <w:i/>
          <w:iCs/>
          <w:lang w:val="en-US"/>
        </w:rPr>
        <w:t>supra</w:t>
      </w:r>
      <w:r w:rsidRPr="001558A5">
        <w:rPr>
          <w:lang w:val="en-US"/>
        </w:rPr>
        <w:t xml:space="preserve">, </w:t>
      </w:r>
      <w:r w:rsidR="00B43A52" w:rsidRPr="001558A5">
        <w:rPr>
          <w:lang w:val="en-US"/>
        </w:rPr>
        <w:t>para.</w:t>
      </w:r>
      <w:r w:rsidRPr="001558A5">
        <w:rPr>
          <w:lang w:val="en-US"/>
        </w:rPr>
        <w:t xml:space="preserve"> 92. </w:t>
      </w:r>
    </w:p>
  </w:footnote>
  <w:footnote w:id="99">
    <w:p w14:paraId="4F166AB6" w14:textId="60A268C1"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2C4427" w:rsidRPr="001558A5">
        <w:rPr>
          <w:rFonts w:eastAsia="Times New Roman"/>
          <w:lang w:val="en-US" w:eastAsia="es-ES"/>
        </w:rPr>
        <w:t>Report of the</w:t>
      </w:r>
      <w:r w:rsidRPr="001558A5">
        <w:rPr>
          <w:rFonts w:eastAsia="Times New Roman"/>
          <w:lang w:val="en-US" w:eastAsia="es-ES"/>
        </w:rPr>
        <w:t xml:space="preserve"> </w:t>
      </w:r>
      <w:r w:rsidR="002C4427" w:rsidRPr="001558A5">
        <w:rPr>
          <w:lang w:val="en-US"/>
        </w:rPr>
        <w:t>United Nations Independent Expert on protection against violence and discrimination based on sexual orientation and gender identity</w:t>
      </w:r>
      <w:r w:rsidRPr="001558A5">
        <w:rPr>
          <w:rFonts w:eastAsia="Times New Roman"/>
          <w:lang w:val="en-US" w:eastAsia="es-ES"/>
        </w:rPr>
        <w:t>, Víctor Madrigal-</w:t>
      </w:r>
      <w:proofErr w:type="spellStart"/>
      <w:r w:rsidRPr="001558A5">
        <w:rPr>
          <w:rFonts w:eastAsia="Times New Roman"/>
          <w:lang w:val="en-US" w:eastAsia="es-ES"/>
        </w:rPr>
        <w:t>Borloz</w:t>
      </w:r>
      <w:proofErr w:type="spellEnd"/>
      <w:r w:rsidRPr="001558A5">
        <w:rPr>
          <w:rFonts w:eastAsia="Times New Roman"/>
          <w:lang w:val="en-US" w:eastAsia="es-ES"/>
        </w:rPr>
        <w:t>, UN Doc</w:t>
      </w:r>
      <w:r w:rsidR="00024E42" w:rsidRPr="001558A5">
        <w:rPr>
          <w:rFonts w:eastAsia="Times New Roman"/>
          <w:lang w:val="en-US" w:eastAsia="es-ES"/>
        </w:rPr>
        <w:t xml:space="preserve"> </w:t>
      </w:r>
      <w:r w:rsidRPr="001558A5">
        <w:rPr>
          <w:rFonts w:eastAsia="Times New Roman"/>
          <w:lang w:val="en-US" w:eastAsia="es-ES"/>
        </w:rPr>
        <w:t xml:space="preserve">A/HRC/38/43, </w:t>
      </w:r>
      <w:r w:rsidR="00024E42" w:rsidRPr="001558A5">
        <w:rPr>
          <w:rFonts w:eastAsia="Times New Roman"/>
          <w:lang w:val="en-US" w:eastAsia="es-ES"/>
        </w:rPr>
        <w:t>May 11,</w:t>
      </w:r>
      <w:r w:rsidRPr="001558A5">
        <w:rPr>
          <w:rFonts w:eastAsia="Times New Roman"/>
          <w:lang w:val="en-US" w:eastAsia="es-ES"/>
        </w:rPr>
        <w:t xml:space="preserve"> 2018, </w:t>
      </w:r>
      <w:r w:rsidR="00B43A52" w:rsidRPr="001558A5">
        <w:rPr>
          <w:rFonts w:eastAsia="Times New Roman"/>
          <w:lang w:val="en-US" w:eastAsia="es-ES"/>
        </w:rPr>
        <w:t>para.</w:t>
      </w:r>
      <w:r w:rsidRPr="001558A5">
        <w:rPr>
          <w:rFonts w:eastAsia="Times New Roman"/>
          <w:lang w:val="en-US" w:eastAsia="es-ES"/>
        </w:rPr>
        <w:t xml:space="preserve"> 48.</w:t>
      </w:r>
    </w:p>
  </w:footnote>
  <w:footnote w:id="100">
    <w:p w14:paraId="2A08A076" w14:textId="17C3761F"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871E19" w:rsidRPr="001558A5">
        <w:rPr>
          <w:i/>
          <w:iCs/>
          <w:lang w:val="en-US"/>
        </w:rPr>
        <w:t>Case of</w:t>
      </w:r>
      <w:r w:rsidRPr="001558A5">
        <w:rPr>
          <w:i/>
          <w:iCs/>
          <w:lang w:val="en-US"/>
        </w:rPr>
        <w:t xml:space="preserve"> </w:t>
      </w:r>
      <w:proofErr w:type="spellStart"/>
      <w:r w:rsidRPr="001558A5">
        <w:rPr>
          <w:i/>
          <w:iCs/>
          <w:lang w:val="en-US"/>
        </w:rPr>
        <w:t>Perozo</w:t>
      </w:r>
      <w:proofErr w:type="spellEnd"/>
      <w:r w:rsidR="00DD4354" w:rsidRPr="001558A5">
        <w:rPr>
          <w:i/>
          <w:iCs/>
          <w:lang w:val="en-US"/>
        </w:rPr>
        <w:t xml:space="preserve"> </w:t>
      </w:r>
      <w:r w:rsidR="004F4F9C" w:rsidRPr="001558A5">
        <w:rPr>
          <w:i/>
          <w:iCs/>
          <w:lang w:val="en-US"/>
        </w:rPr>
        <w:t>et al. v.</w:t>
      </w:r>
      <w:r w:rsidRPr="001558A5">
        <w:rPr>
          <w:i/>
          <w:iCs/>
          <w:lang w:val="en-US"/>
        </w:rPr>
        <w:t xml:space="preserve"> Venezuela, </w:t>
      </w:r>
      <w:r w:rsidR="00B43A52" w:rsidRPr="001558A5">
        <w:rPr>
          <w:i/>
          <w:iCs/>
          <w:lang w:val="en-US"/>
        </w:rPr>
        <w:t>Preliminary objections, merits, reparations and costs</w:t>
      </w:r>
      <w:r w:rsidRPr="001558A5">
        <w:rPr>
          <w:lang w:val="en-US"/>
        </w:rPr>
        <w:t xml:space="preserve">. </w:t>
      </w:r>
      <w:r w:rsidR="00871E19" w:rsidRPr="001558A5">
        <w:rPr>
          <w:lang w:val="en-US"/>
        </w:rPr>
        <w:t>Judgment of</w:t>
      </w:r>
      <w:r w:rsidRPr="001558A5">
        <w:rPr>
          <w:lang w:val="en-US"/>
        </w:rPr>
        <w:t xml:space="preserve"> </w:t>
      </w:r>
      <w:r w:rsidR="002C4427" w:rsidRPr="001558A5">
        <w:rPr>
          <w:lang w:val="en-US"/>
        </w:rPr>
        <w:t xml:space="preserve">January </w:t>
      </w:r>
      <w:r w:rsidRPr="001558A5">
        <w:rPr>
          <w:lang w:val="en-US"/>
        </w:rPr>
        <w:t>28</w:t>
      </w:r>
      <w:r w:rsidR="002C4427" w:rsidRPr="001558A5">
        <w:rPr>
          <w:lang w:val="en-US"/>
        </w:rPr>
        <w:t xml:space="preserve">, </w:t>
      </w:r>
      <w:r w:rsidRPr="001558A5">
        <w:rPr>
          <w:lang w:val="en-US"/>
        </w:rPr>
        <w:t xml:space="preserve">2009. </w:t>
      </w:r>
      <w:r w:rsidR="00B43A52" w:rsidRPr="001558A5">
        <w:rPr>
          <w:lang w:val="en-US"/>
        </w:rPr>
        <w:t xml:space="preserve">Series </w:t>
      </w:r>
      <w:r w:rsidRPr="001558A5">
        <w:rPr>
          <w:lang w:val="en-US"/>
        </w:rPr>
        <w:t xml:space="preserve">C No. 195, </w:t>
      </w:r>
      <w:r w:rsidR="00B43A52" w:rsidRPr="001558A5">
        <w:rPr>
          <w:lang w:val="en-US"/>
        </w:rPr>
        <w:t>para.</w:t>
      </w:r>
      <w:r w:rsidRPr="001558A5">
        <w:rPr>
          <w:lang w:val="en-US"/>
        </w:rPr>
        <w:t xml:space="preserve"> 158,</w:t>
      </w:r>
      <w:r w:rsidR="00DD4354" w:rsidRPr="001558A5">
        <w:rPr>
          <w:lang w:val="en-US"/>
        </w:rPr>
        <w:t xml:space="preserve"> and </w:t>
      </w:r>
      <w:r w:rsidR="00871E19" w:rsidRPr="001558A5">
        <w:rPr>
          <w:i/>
          <w:iCs/>
          <w:lang w:val="en-US"/>
        </w:rPr>
        <w:t>Case of</w:t>
      </w:r>
      <w:r w:rsidRPr="001558A5">
        <w:rPr>
          <w:i/>
          <w:iCs/>
          <w:lang w:val="en-US"/>
        </w:rPr>
        <w:t xml:space="preserve"> Azul Rojas </w:t>
      </w:r>
      <w:proofErr w:type="spellStart"/>
      <w:r w:rsidR="00C909B4" w:rsidRPr="001558A5">
        <w:rPr>
          <w:i/>
          <w:iCs/>
          <w:lang w:val="en-US"/>
        </w:rPr>
        <w:t>Marín</w:t>
      </w:r>
      <w:proofErr w:type="spellEnd"/>
      <w:r w:rsidR="00C909B4" w:rsidRPr="001558A5">
        <w:rPr>
          <w:i/>
          <w:iCs/>
          <w:lang w:val="en-US"/>
        </w:rPr>
        <w:t xml:space="preserve"> et al.</w:t>
      </w:r>
      <w:r w:rsidRPr="001558A5">
        <w:rPr>
          <w:i/>
          <w:iCs/>
          <w:lang w:val="en-US"/>
        </w:rPr>
        <w:t xml:space="preserve"> </w:t>
      </w:r>
      <w:r w:rsidR="00871E19" w:rsidRPr="001558A5">
        <w:rPr>
          <w:i/>
          <w:iCs/>
          <w:lang w:val="en-US"/>
        </w:rPr>
        <w:t>v.</w:t>
      </w:r>
      <w:r w:rsidRPr="001558A5">
        <w:rPr>
          <w:i/>
          <w:iCs/>
          <w:lang w:val="en-US"/>
        </w:rPr>
        <w:t xml:space="preserve"> </w:t>
      </w:r>
      <w:r w:rsidR="00D11908" w:rsidRPr="001558A5">
        <w:rPr>
          <w:i/>
          <w:iCs/>
          <w:lang w:val="en-US"/>
        </w:rPr>
        <w:t>Peru</w:t>
      </w:r>
      <w:r w:rsidRPr="001558A5">
        <w:rPr>
          <w:lang w:val="en-US"/>
        </w:rPr>
        <w:t xml:space="preserve">, </w:t>
      </w:r>
      <w:r w:rsidRPr="001558A5">
        <w:rPr>
          <w:i/>
          <w:iCs/>
          <w:lang w:val="en-US"/>
        </w:rPr>
        <w:t>supra</w:t>
      </w:r>
      <w:r w:rsidRPr="001558A5">
        <w:rPr>
          <w:lang w:val="en-US"/>
        </w:rPr>
        <w:t xml:space="preserve">, </w:t>
      </w:r>
      <w:r w:rsidR="00B43A52" w:rsidRPr="001558A5">
        <w:rPr>
          <w:lang w:val="en-US"/>
        </w:rPr>
        <w:t>para.</w:t>
      </w:r>
      <w:r w:rsidRPr="001558A5">
        <w:rPr>
          <w:lang w:val="en-US"/>
        </w:rPr>
        <w:t xml:space="preserve"> 93.</w:t>
      </w:r>
    </w:p>
  </w:footnote>
  <w:footnote w:id="101">
    <w:p w14:paraId="28008844" w14:textId="2D4AB54D"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871E19" w:rsidRPr="001558A5">
        <w:rPr>
          <w:i/>
          <w:iCs/>
          <w:lang w:val="en-US"/>
        </w:rPr>
        <w:t>Case of</w:t>
      </w:r>
      <w:r w:rsidRPr="001558A5">
        <w:rPr>
          <w:i/>
          <w:iCs/>
          <w:lang w:val="en-US"/>
        </w:rPr>
        <w:t xml:space="preserve"> Azul Rojas </w:t>
      </w:r>
      <w:proofErr w:type="spellStart"/>
      <w:r w:rsidR="00C909B4" w:rsidRPr="001558A5">
        <w:rPr>
          <w:i/>
          <w:iCs/>
          <w:lang w:val="en-US"/>
        </w:rPr>
        <w:t>Marín</w:t>
      </w:r>
      <w:proofErr w:type="spellEnd"/>
      <w:r w:rsidR="00C909B4" w:rsidRPr="001558A5">
        <w:rPr>
          <w:i/>
          <w:iCs/>
          <w:lang w:val="en-US"/>
        </w:rPr>
        <w:t xml:space="preserve"> et al.</w:t>
      </w:r>
      <w:r w:rsidRPr="001558A5">
        <w:rPr>
          <w:i/>
          <w:iCs/>
          <w:lang w:val="en-US"/>
        </w:rPr>
        <w:t xml:space="preserve"> </w:t>
      </w:r>
      <w:r w:rsidR="00871E19" w:rsidRPr="001558A5">
        <w:rPr>
          <w:i/>
          <w:iCs/>
          <w:lang w:val="en-US"/>
        </w:rPr>
        <w:t>v.</w:t>
      </w:r>
      <w:r w:rsidRPr="001558A5">
        <w:rPr>
          <w:i/>
          <w:iCs/>
          <w:lang w:val="en-US"/>
        </w:rPr>
        <w:t xml:space="preserve"> </w:t>
      </w:r>
      <w:r w:rsidR="00D11908" w:rsidRPr="001558A5">
        <w:rPr>
          <w:i/>
          <w:iCs/>
          <w:lang w:val="en-US"/>
        </w:rPr>
        <w:t>Peru</w:t>
      </w:r>
      <w:r w:rsidRPr="001558A5">
        <w:rPr>
          <w:lang w:val="en-US"/>
        </w:rPr>
        <w:t xml:space="preserve">, </w:t>
      </w:r>
      <w:r w:rsidRPr="001558A5">
        <w:rPr>
          <w:i/>
          <w:iCs/>
          <w:lang w:val="en-US"/>
        </w:rPr>
        <w:t>supra</w:t>
      </w:r>
      <w:r w:rsidRPr="001558A5">
        <w:rPr>
          <w:lang w:val="en-US"/>
        </w:rPr>
        <w:t xml:space="preserve">, </w:t>
      </w:r>
      <w:r w:rsidR="00B43A52" w:rsidRPr="001558A5">
        <w:rPr>
          <w:lang w:val="en-US"/>
        </w:rPr>
        <w:t>para.</w:t>
      </w:r>
      <w:r w:rsidRPr="001558A5">
        <w:rPr>
          <w:lang w:val="en-US"/>
        </w:rPr>
        <w:t xml:space="preserve"> 93,</w:t>
      </w:r>
      <w:r w:rsidR="00DD4354" w:rsidRPr="001558A5">
        <w:rPr>
          <w:lang w:val="en-US"/>
        </w:rPr>
        <w:t xml:space="preserve"> and </w:t>
      </w:r>
      <w:r w:rsidR="00C43A37" w:rsidRPr="001558A5">
        <w:rPr>
          <w:i/>
          <w:iCs/>
          <w:lang w:val="en-US"/>
        </w:rPr>
        <w:t>Advisory Opinion</w:t>
      </w:r>
      <w:r w:rsidRPr="001558A5">
        <w:rPr>
          <w:i/>
          <w:iCs/>
          <w:lang w:val="en-US"/>
        </w:rPr>
        <w:t xml:space="preserve"> OC-24/17</w:t>
      </w:r>
      <w:r w:rsidRPr="001558A5">
        <w:rPr>
          <w:lang w:val="en-US"/>
        </w:rPr>
        <w:t xml:space="preserve">, </w:t>
      </w:r>
      <w:r w:rsidR="00B43A52" w:rsidRPr="001558A5">
        <w:rPr>
          <w:lang w:val="en-US"/>
        </w:rPr>
        <w:t>para.</w:t>
      </w:r>
      <w:r w:rsidRPr="001558A5">
        <w:rPr>
          <w:lang w:val="en-US"/>
        </w:rPr>
        <w:t xml:space="preserve"> 79. </w:t>
      </w:r>
      <w:r w:rsidR="00044EE8" w:rsidRPr="001558A5">
        <w:rPr>
          <w:lang w:val="en-US"/>
        </w:rPr>
        <w:t xml:space="preserve">In this regard, the Court has emphasized that “discriminatory speech and the resulting attitudes, which are based on stereotypes of heteronormativity and </w:t>
      </w:r>
      <w:proofErr w:type="spellStart"/>
      <w:r w:rsidR="00044EE8" w:rsidRPr="001558A5">
        <w:rPr>
          <w:lang w:val="en-US"/>
        </w:rPr>
        <w:t>cisnormativity</w:t>
      </w:r>
      <w:proofErr w:type="spellEnd"/>
      <w:r w:rsidR="00044EE8" w:rsidRPr="001558A5">
        <w:rPr>
          <w:lang w:val="en-US"/>
        </w:rPr>
        <w:t xml:space="preserve"> with different degrees of radicalization, lead to the homophobia, lesbophobia and transphobia that encourage such hate crimes.</w:t>
      </w:r>
      <w:r w:rsidRPr="001558A5">
        <w:rPr>
          <w:lang w:val="en-US"/>
        </w:rPr>
        <w:t xml:space="preserve">” </w:t>
      </w:r>
      <w:r w:rsidR="00C43A37" w:rsidRPr="001558A5">
        <w:rPr>
          <w:i/>
          <w:iCs/>
          <w:spacing w:val="-4"/>
          <w:lang w:val="en-US"/>
        </w:rPr>
        <w:t>Advisory Opinion</w:t>
      </w:r>
      <w:r w:rsidRPr="001558A5">
        <w:rPr>
          <w:i/>
          <w:iCs/>
          <w:spacing w:val="-4"/>
          <w:lang w:val="en-US"/>
        </w:rPr>
        <w:t xml:space="preserve"> OC-24/17</w:t>
      </w:r>
      <w:r w:rsidRPr="001558A5">
        <w:rPr>
          <w:spacing w:val="-4"/>
          <w:lang w:val="en-US"/>
        </w:rPr>
        <w:t xml:space="preserve">, </w:t>
      </w:r>
      <w:r w:rsidRPr="001558A5">
        <w:rPr>
          <w:i/>
          <w:iCs/>
          <w:spacing w:val="-4"/>
          <w:lang w:val="en-US"/>
        </w:rPr>
        <w:t>supra</w:t>
      </w:r>
      <w:r w:rsidRPr="001558A5">
        <w:rPr>
          <w:spacing w:val="-4"/>
          <w:lang w:val="en-US"/>
        </w:rPr>
        <w:t xml:space="preserve">, </w:t>
      </w:r>
      <w:r w:rsidR="00B43A52" w:rsidRPr="001558A5">
        <w:rPr>
          <w:spacing w:val="-4"/>
          <w:lang w:val="en-US"/>
        </w:rPr>
        <w:t>para.</w:t>
      </w:r>
      <w:r w:rsidRPr="001558A5">
        <w:rPr>
          <w:spacing w:val="-4"/>
          <w:lang w:val="en-US"/>
        </w:rPr>
        <w:t xml:space="preserve"> 47.</w:t>
      </w:r>
    </w:p>
  </w:footnote>
  <w:footnote w:id="102">
    <w:p w14:paraId="20170DB5" w14:textId="52437221"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lang w:val="en-US"/>
        </w:rPr>
        <w:t>Article</w:t>
      </w:r>
      <w:r w:rsidRPr="001558A5">
        <w:rPr>
          <w:lang w:val="en-US"/>
        </w:rPr>
        <w:t xml:space="preserve"> 3</w:t>
      </w:r>
      <w:r w:rsidR="00DD4354" w:rsidRPr="001558A5">
        <w:rPr>
          <w:lang w:val="en-US"/>
        </w:rPr>
        <w:t xml:space="preserve"> of the </w:t>
      </w:r>
      <w:r w:rsidR="00871E19" w:rsidRPr="001558A5">
        <w:rPr>
          <w:lang w:val="en-US"/>
        </w:rPr>
        <w:t>American Convention</w:t>
      </w:r>
      <w:r w:rsidRPr="001558A5">
        <w:rPr>
          <w:lang w:val="en-US"/>
        </w:rPr>
        <w:t>.</w:t>
      </w:r>
    </w:p>
  </w:footnote>
  <w:footnote w:id="103">
    <w:p w14:paraId="38526470" w14:textId="05345412"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lang w:val="en-US"/>
        </w:rPr>
        <w:t>Article</w:t>
      </w:r>
      <w:r w:rsidRPr="001558A5">
        <w:rPr>
          <w:lang w:val="en-US"/>
        </w:rPr>
        <w:t xml:space="preserve"> 4</w:t>
      </w:r>
      <w:r w:rsidR="00DD4354" w:rsidRPr="001558A5">
        <w:rPr>
          <w:lang w:val="en-US"/>
        </w:rPr>
        <w:t xml:space="preserve"> of the </w:t>
      </w:r>
      <w:r w:rsidR="00871E19" w:rsidRPr="001558A5">
        <w:rPr>
          <w:lang w:val="en-US"/>
        </w:rPr>
        <w:t>American Convention</w:t>
      </w:r>
      <w:r w:rsidRPr="001558A5">
        <w:rPr>
          <w:lang w:val="en-US"/>
        </w:rPr>
        <w:t>.</w:t>
      </w:r>
    </w:p>
  </w:footnote>
  <w:footnote w:id="104">
    <w:p w14:paraId="13C35493" w14:textId="1CC6B9EB"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lang w:val="en-US"/>
        </w:rPr>
        <w:t>Article</w:t>
      </w:r>
      <w:r w:rsidRPr="001558A5">
        <w:rPr>
          <w:lang w:val="en-US"/>
        </w:rPr>
        <w:t xml:space="preserve"> 5</w:t>
      </w:r>
      <w:r w:rsidR="00DD4354" w:rsidRPr="001558A5">
        <w:rPr>
          <w:lang w:val="en-US"/>
        </w:rPr>
        <w:t xml:space="preserve"> of the </w:t>
      </w:r>
      <w:r w:rsidR="00871E19" w:rsidRPr="001558A5">
        <w:rPr>
          <w:lang w:val="en-US"/>
        </w:rPr>
        <w:t>American Convention</w:t>
      </w:r>
      <w:r w:rsidRPr="001558A5">
        <w:rPr>
          <w:lang w:val="en-US"/>
        </w:rPr>
        <w:t>.</w:t>
      </w:r>
    </w:p>
  </w:footnote>
  <w:footnote w:id="105">
    <w:p w14:paraId="26C5733A" w14:textId="6F57C935"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lang w:val="en-US"/>
        </w:rPr>
        <w:t>Article</w:t>
      </w:r>
      <w:r w:rsidRPr="001558A5">
        <w:rPr>
          <w:lang w:val="en-US"/>
        </w:rPr>
        <w:t xml:space="preserve"> 7</w:t>
      </w:r>
      <w:r w:rsidR="00DD4354" w:rsidRPr="001558A5">
        <w:rPr>
          <w:lang w:val="en-US"/>
        </w:rPr>
        <w:t xml:space="preserve"> of the </w:t>
      </w:r>
      <w:r w:rsidR="00871E19" w:rsidRPr="001558A5">
        <w:rPr>
          <w:lang w:val="en-US"/>
        </w:rPr>
        <w:t>American Convention</w:t>
      </w:r>
      <w:r w:rsidRPr="001558A5">
        <w:rPr>
          <w:lang w:val="en-US"/>
        </w:rPr>
        <w:t>.</w:t>
      </w:r>
    </w:p>
  </w:footnote>
  <w:footnote w:id="106">
    <w:p w14:paraId="65EC40DC" w14:textId="3CACDC76"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lang w:val="en-US"/>
        </w:rPr>
        <w:t>Article</w:t>
      </w:r>
      <w:r w:rsidRPr="001558A5">
        <w:rPr>
          <w:lang w:val="en-US"/>
        </w:rPr>
        <w:t xml:space="preserve"> 8</w:t>
      </w:r>
      <w:r w:rsidR="00DD4354" w:rsidRPr="001558A5">
        <w:rPr>
          <w:lang w:val="en-US"/>
        </w:rPr>
        <w:t xml:space="preserve"> of the </w:t>
      </w:r>
      <w:r w:rsidR="00871E19" w:rsidRPr="001558A5">
        <w:rPr>
          <w:lang w:val="en-US"/>
        </w:rPr>
        <w:t>American Convention</w:t>
      </w:r>
      <w:r w:rsidRPr="001558A5">
        <w:rPr>
          <w:lang w:val="en-US"/>
        </w:rPr>
        <w:t>.</w:t>
      </w:r>
    </w:p>
  </w:footnote>
  <w:footnote w:id="107">
    <w:p w14:paraId="4209A4D7" w14:textId="65012500"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lang w:val="en-US"/>
        </w:rPr>
        <w:t>Article</w:t>
      </w:r>
      <w:r w:rsidRPr="001558A5">
        <w:rPr>
          <w:lang w:val="en-US"/>
        </w:rPr>
        <w:t xml:space="preserve"> 11</w:t>
      </w:r>
      <w:r w:rsidR="00DD4354" w:rsidRPr="001558A5">
        <w:rPr>
          <w:lang w:val="en-US"/>
        </w:rPr>
        <w:t xml:space="preserve"> of the </w:t>
      </w:r>
      <w:r w:rsidR="00871E19" w:rsidRPr="001558A5">
        <w:rPr>
          <w:lang w:val="en-US"/>
        </w:rPr>
        <w:t>American Convention</w:t>
      </w:r>
      <w:r w:rsidRPr="001558A5">
        <w:rPr>
          <w:lang w:val="en-US"/>
        </w:rPr>
        <w:t>.</w:t>
      </w:r>
    </w:p>
  </w:footnote>
  <w:footnote w:id="108">
    <w:p w14:paraId="195DE71A" w14:textId="1A41B4E4"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lang w:val="en-US"/>
        </w:rPr>
        <w:t>Article</w:t>
      </w:r>
      <w:r w:rsidRPr="001558A5">
        <w:rPr>
          <w:lang w:val="en-US"/>
        </w:rPr>
        <w:t xml:space="preserve"> 13</w:t>
      </w:r>
      <w:r w:rsidR="00DD4354" w:rsidRPr="001558A5">
        <w:rPr>
          <w:lang w:val="en-US"/>
        </w:rPr>
        <w:t xml:space="preserve"> of the </w:t>
      </w:r>
      <w:r w:rsidR="00871E19" w:rsidRPr="001558A5">
        <w:rPr>
          <w:lang w:val="en-US"/>
        </w:rPr>
        <w:t>American Convention</w:t>
      </w:r>
      <w:r w:rsidRPr="001558A5">
        <w:rPr>
          <w:lang w:val="en-US"/>
        </w:rPr>
        <w:t>.</w:t>
      </w:r>
    </w:p>
  </w:footnote>
  <w:footnote w:id="109">
    <w:p w14:paraId="7EF4C2EF" w14:textId="5B6AFD8F"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lang w:val="en-US"/>
        </w:rPr>
        <w:t>Article</w:t>
      </w:r>
      <w:r w:rsidRPr="001558A5">
        <w:rPr>
          <w:lang w:val="en-US"/>
        </w:rPr>
        <w:t xml:space="preserve"> 18</w:t>
      </w:r>
      <w:r w:rsidR="00DD4354" w:rsidRPr="001558A5">
        <w:rPr>
          <w:lang w:val="en-US"/>
        </w:rPr>
        <w:t xml:space="preserve"> of the </w:t>
      </w:r>
      <w:r w:rsidR="00871E19" w:rsidRPr="001558A5">
        <w:rPr>
          <w:lang w:val="en-US"/>
        </w:rPr>
        <w:t>American Convention</w:t>
      </w:r>
      <w:r w:rsidRPr="001558A5">
        <w:rPr>
          <w:lang w:val="en-US"/>
        </w:rPr>
        <w:t>.</w:t>
      </w:r>
    </w:p>
  </w:footnote>
  <w:footnote w:id="110">
    <w:p w14:paraId="1FE0034F" w14:textId="158AB4B1"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lang w:val="en-US"/>
        </w:rPr>
        <w:t>Article</w:t>
      </w:r>
      <w:r w:rsidRPr="001558A5">
        <w:rPr>
          <w:lang w:val="en-US"/>
        </w:rPr>
        <w:t xml:space="preserve"> 24</w:t>
      </w:r>
      <w:r w:rsidR="00DD4354" w:rsidRPr="001558A5">
        <w:rPr>
          <w:lang w:val="en-US"/>
        </w:rPr>
        <w:t xml:space="preserve"> of the </w:t>
      </w:r>
      <w:r w:rsidR="00871E19" w:rsidRPr="001558A5">
        <w:rPr>
          <w:lang w:val="en-US"/>
        </w:rPr>
        <w:t>American Convention</w:t>
      </w:r>
      <w:r w:rsidRPr="001558A5">
        <w:rPr>
          <w:lang w:val="en-US"/>
        </w:rPr>
        <w:t>.</w:t>
      </w:r>
    </w:p>
  </w:footnote>
  <w:footnote w:id="111">
    <w:p w14:paraId="548053EE" w14:textId="6BE47C56" w:rsidR="0068581F" w:rsidRPr="001558A5" w:rsidRDefault="0068581F"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lang w:val="en-US"/>
        </w:rPr>
        <w:t>Article</w:t>
      </w:r>
      <w:r w:rsidRPr="001558A5">
        <w:rPr>
          <w:lang w:val="en-US"/>
        </w:rPr>
        <w:t xml:space="preserve"> 25</w:t>
      </w:r>
      <w:r w:rsidR="00DD4354" w:rsidRPr="001558A5">
        <w:rPr>
          <w:lang w:val="en-US"/>
        </w:rPr>
        <w:t xml:space="preserve"> of the </w:t>
      </w:r>
      <w:r w:rsidR="00871E19" w:rsidRPr="001558A5">
        <w:rPr>
          <w:lang w:val="en-US"/>
        </w:rPr>
        <w:t>American Convention</w:t>
      </w:r>
      <w:r w:rsidRPr="001558A5">
        <w:rPr>
          <w:lang w:val="en-US"/>
        </w:rPr>
        <w:t>.</w:t>
      </w:r>
    </w:p>
  </w:footnote>
  <w:footnote w:id="112">
    <w:p w14:paraId="66A4C421" w14:textId="6C530FDC"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lang w:val="en-US"/>
        </w:rPr>
        <w:t>Article</w:t>
      </w:r>
      <w:r w:rsidRPr="001558A5">
        <w:rPr>
          <w:lang w:val="en-US"/>
        </w:rPr>
        <w:t xml:space="preserve"> 7</w:t>
      </w:r>
      <w:r w:rsidR="00DD4354" w:rsidRPr="001558A5">
        <w:rPr>
          <w:lang w:val="en-US"/>
        </w:rPr>
        <w:t xml:space="preserve"> of the </w:t>
      </w:r>
      <w:r w:rsidR="00871E19" w:rsidRPr="001558A5">
        <w:rPr>
          <w:lang w:val="en-US"/>
        </w:rPr>
        <w:t>Convention</w:t>
      </w:r>
      <w:r w:rsidRPr="001558A5">
        <w:rPr>
          <w:lang w:val="en-US"/>
        </w:rPr>
        <w:t xml:space="preserve"> </w:t>
      </w:r>
      <w:r w:rsidR="00B74256" w:rsidRPr="001558A5">
        <w:rPr>
          <w:lang w:val="en-US"/>
        </w:rPr>
        <w:t xml:space="preserve">of </w:t>
      </w:r>
      <w:proofErr w:type="spellStart"/>
      <w:r w:rsidR="00B74256" w:rsidRPr="001558A5">
        <w:rPr>
          <w:lang w:val="en-US"/>
        </w:rPr>
        <w:t>Belém</w:t>
      </w:r>
      <w:proofErr w:type="spellEnd"/>
      <w:r w:rsidRPr="001558A5">
        <w:rPr>
          <w:lang w:val="en-US"/>
        </w:rPr>
        <w:t xml:space="preserve"> do </w:t>
      </w:r>
      <w:proofErr w:type="spellStart"/>
      <w:r w:rsidRPr="001558A5">
        <w:rPr>
          <w:lang w:val="en-US"/>
        </w:rPr>
        <w:t>Pará</w:t>
      </w:r>
      <w:proofErr w:type="spellEnd"/>
      <w:r w:rsidRPr="001558A5">
        <w:rPr>
          <w:lang w:val="en-US"/>
        </w:rPr>
        <w:t>.</w:t>
      </w:r>
    </w:p>
  </w:footnote>
  <w:footnote w:id="113">
    <w:p w14:paraId="0CE6F1EA" w14:textId="598C2C34" w:rsidR="005977F6" w:rsidRPr="001558A5" w:rsidRDefault="005977F6"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41EA9" w:rsidRPr="001558A5">
        <w:rPr>
          <w:szCs w:val="16"/>
          <w:lang w:val="en-US"/>
        </w:rPr>
        <w:t>The Commission</w:t>
      </w:r>
      <w:r w:rsidR="00B52E1F" w:rsidRPr="001558A5">
        <w:rPr>
          <w:szCs w:val="16"/>
          <w:lang w:val="en-US"/>
        </w:rPr>
        <w:t xml:space="preserve"> considered that </w:t>
      </w:r>
      <w:r w:rsidR="00195B03" w:rsidRPr="001558A5">
        <w:rPr>
          <w:rFonts w:eastAsia="Calibri"/>
          <w:szCs w:val="16"/>
          <w:lang w:val="en-US"/>
        </w:rPr>
        <w:t xml:space="preserve">certain elements analyzed jointly are indicative of whether or not a crime is committed </w:t>
      </w:r>
      <w:r w:rsidR="00841EA9" w:rsidRPr="001558A5">
        <w:rPr>
          <w:rFonts w:eastAsia="Calibri"/>
          <w:szCs w:val="16"/>
          <w:lang w:val="en-US"/>
        </w:rPr>
        <w:t>due to</w:t>
      </w:r>
      <w:r w:rsidR="00195B03" w:rsidRPr="001558A5">
        <w:rPr>
          <w:rFonts w:eastAsia="Calibri"/>
          <w:szCs w:val="16"/>
          <w:lang w:val="en-US"/>
        </w:rPr>
        <w:t xml:space="preserve"> prejudice, </w:t>
      </w:r>
      <w:proofErr w:type="gramStart"/>
      <w:r w:rsidR="00195B03" w:rsidRPr="001558A5">
        <w:rPr>
          <w:rFonts w:eastAsia="Calibri"/>
          <w:szCs w:val="16"/>
          <w:lang w:val="en-US"/>
        </w:rPr>
        <w:t>It</w:t>
      </w:r>
      <w:proofErr w:type="gramEnd"/>
      <w:r w:rsidR="00195B03" w:rsidRPr="001558A5">
        <w:rPr>
          <w:rFonts w:eastAsia="Calibri"/>
          <w:szCs w:val="16"/>
          <w:lang w:val="en-US"/>
        </w:rPr>
        <w:t xml:space="preserve"> indicated that the record of the removal of the corpse mentioned the discovery of </w:t>
      </w:r>
      <w:r w:rsidR="00CD5EA5" w:rsidRPr="001558A5">
        <w:rPr>
          <w:rFonts w:eastAsia="Calibri"/>
          <w:szCs w:val="16"/>
          <w:lang w:val="en-US"/>
        </w:rPr>
        <w:t xml:space="preserve">a </w:t>
      </w:r>
      <w:r w:rsidR="00CD5EA5" w:rsidRPr="001558A5">
        <w:rPr>
          <w:lang w:val="en-US"/>
        </w:rPr>
        <w:t xml:space="preserve">condom that had apparently been used </w:t>
      </w:r>
      <w:r w:rsidR="00195B03" w:rsidRPr="001558A5">
        <w:rPr>
          <w:rFonts w:eastAsia="Calibri"/>
          <w:szCs w:val="16"/>
          <w:lang w:val="en-US"/>
        </w:rPr>
        <w:t xml:space="preserve">next to the body and understood that this fact could be indicative of sexual violence. It added that Vicky Hernández was murdered with a firearm and that her body was found in a public place. It considered that those elements </w:t>
      </w:r>
      <w:r w:rsidR="00841EA9" w:rsidRPr="001558A5">
        <w:rPr>
          <w:rFonts w:eastAsia="Calibri"/>
          <w:szCs w:val="16"/>
          <w:lang w:val="en-US"/>
        </w:rPr>
        <w:t xml:space="preserve">were </w:t>
      </w:r>
      <w:r w:rsidR="00195B03" w:rsidRPr="001558A5">
        <w:rPr>
          <w:rFonts w:eastAsia="Calibri"/>
          <w:szCs w:val="16"/>
          <w:lang w:val="en-US"/>
        </w:rPr>
        <w:t xml:space="preserve">consistent with the manner in which most prejudice-based crimes against </w:t>
      </w:r>
      <w:proofErr w:type="gramStart"/>
      <w:r w:rsidR="00195B03" w:rsidRPr="001558A5">
        <w:rPr>
          <w:rFonts w:eastAsia="Calibri"/>
          <w:szCs w:val="16"/>
          <w:lang w:val="en-US"/>
        </w:rPr>
        <w:t>trans</w:t>
      </w:r>
      <w:proofErr w:type="gramEnd"/>
      <w:r w:rsidR="00195B03" w:rsidRPr="001558A5">
        <w:rPr>
          <w:rFonts w:eastAsia="Calibri"/>
          <w:szCs w:val="16"/>
          <w:lang w:val="en-US"/>
        </w:rPr>
        <w:t xml:space="preserve"> women are committed, quite often in situations connected with sex work. In addition, it recalled that the facts took place in a context of violence and discrimination against LGBT persons in Honduras. In that context</w:t>
      </w:r>
      <w:r w:rsidR="00841EA9" w:rsidRPr="001558A5">
        <w:rPr>
          <w:rFonts w:eastAsia="Calibri"/>
          <w:szCs w:val="16"/>
          <w:lang w:val="en-US"/>
        </w:rPr>
        <w:t>,</w:t>
      </w:r>
      <w:r w:rsidR="00195B03" w:rsidRPr="001558A5">
        <w:rPr>
          <w:rFonts w:eastAsia="Calibri"/>
          <w:szCs w:val="16"/>
          <w:lang w:val="en-US"/>
        </w:rPr>
        <w:t xml:space="preserve"> around the time of Vicky Hernández's death, </w:t>
      </w:r>
      <w:r w:rsidR="00841EA9" w:rsidRPr="001558A5">
        <w:rPr>
          <w:rFonts w:eastAsia="Calibri"/>
          <w:szCs w:val="16"/>
          <w:lang w:val="en-US"/>
        </w:rPr>
        <w:t xml:space="preserve">the records began to show </w:t>
      </w:r>
      <w:r w:rsidR="00195B03" w:rsidRPr="001558A5">
        <w:rPr>
          <w:rFonts w:eastAsia="Calibri"/>
          <w:szCs w:val="16"/>
          <w:lang w:val="en-US"/>
        </w:rPr>
        <w:t xml:space="preserve">an alarming increase in </w:t>
      </w:r>
      <w:r w:rsidR="00841EA9" w:rsidRPr="001558A5">
        <w:rPr>
          <w:rFonts w:eastAsia="Calibri"/>
          <w:szCs w:val="16"/>
          <w:lang w:val="en-US"/>
        </w:rPr>
        <w:t>murders</w:t>
      </w:r>
      <w:r w:rsidR="00195B03" w:rsidRPr="001558A5">
        <w:rPr>
          <w:rFonts w:eastAsia="Calibri"/>
          <w:szCs w:val="16"/>
          <w:lang w:val="en-US"/>
        </w:rPr>
        <w:t xml:space="preserve"> connected</w:t>
      </w:r>
      <w:r w:rsidR="00841EA9" w:rsidRPr="001558A5">
        <w:rPr>
          <w:rFonts w:eastAsia="Calibri"/>
          <w:szCs w:val="16"/>
          <w:lang w:val="en-US"/>
        </w:rPr>
        <w:t xml:space="preserve"> to</w:t>
      </w:r>
      <w:r w:rsidR="00195B03" w:rsidRPr="001558A5">
        <w:rPr>
          <w:rFonts w:eastAsia="Calibri"/>
          <w:szCs w:val="16"/>
          <w:lang w:val="en-US"/>
        </w:rPr>
        <w:t xml:space="preserve"> the victims' gender identity and expression, together with a recurring pattern of police violence.</w:t>
      </w:r>
    </w:p>
  </w:footnote>
  <w:footnote w:id="114">
    <w:p w14:paraId="631FBDF9" w14:textId="1037BF6C" w:rsidR="005977F6" w:rsidRPr="001558A5" w:rsidRDefault="005977F6"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iCs/>
          <w:szCs w:val="16"/>
          <w:lang w:val="en-US"/>
        </w:rPr>
        <w:t>Cf.</w:t>
      </w:r>
      <w:r w:rsidRPr="001558A5">
        <w:rPr>
          <w:i/>
          <w:iCs/>
          <w:szCs w:val="16"/>
          <w:lang w:val="en-US"/>
        </w:rPr>
        <w:t xml:space="preserve"> </w:t>
      </w:r>
      <w:r w:rsidR="00871E19" w:rsidRPr="001558A5">
        <w:rPr>
          <w:i/>
          <w:iCs/>
          <w:szCs w:val="16"/>
          <w:lang w:val="en-US"/>
        </w:rPr>
        <w:t>Case of</w:t>
      </w:r>
      <w:r w:rsidRPr="001558A5">
        <w:rPr>
          <w:i/>
          <w:iCs/>
          <w:szCs w:val="16"/>
          <w:lang w:val="en-US"/>
        </w:rPr>
        <w:t xml:space="preserve"> </w:t>
      </w:r>
      <w:r w:rsidR="00BD57C1" w:rsidRPr="001558A5">
        <w:rPr>
          <w:i/>
          <w:iCs/>
          <w:szCs w:val="16"/>
          <w:lang w:val="en-US"/>
        </w:rPr>
        <w:t>the</w:t>
      </w:r>
      <w:r w:rsidRPr="001558A5">
        <w:rPr>
          <w:i/>
          <w:iCs/>
          <w:szCs w:val="16"/>
          <w:lang w:val="en-US"/>
        </w:rPr>
        <w:t xml:space="preserve"> “</w:t>
      </w:r>
      <w:r w:rsidR="00BD57C1" w:rsidRPr="001558A5">
        <w:rPr>
          <w:i/>
          <w:iCs/>
          <w:szCs w:val="16"/>
          <w:lang w:val="en-US"/>
        </w:rPr>
        <w:t>Street Children</w:t>
      </w:r>
      <w:r w:rsidRPr="001558A5">
        <w:rPr>
          <w:i/>
          <w:iCs/>
          <w:szCs w:val="16"/>
          <w:lang w:val="en-US"/>
        </w:rPr>
        <w:t>” (</w:t>
      </w:r>
      <w:proofErr w:type="spellStart"/>
      <w:r w:rsidRPr="001558A5">
        <w:rPr>
          <w:i/>
          <w:iCs/>
          <w:szCs w:val="16"/>
          <w:lang w:val="en-US"/>
        </w:rPr>
        <w:t>Villagrán</w:t>
      </w:r>
      <w:proofErr w:type="spellEnd"/>
      <w:r w:rsidRPr="001558A5">
        <w:rPr>
          <w:i/>
          <w:iCs/>
          <w:szCs w:val="16"/>
          <w:lang w:val="en-US"/>
        </w:rPr>
        <w:t xml:space="preserve"> </w:t>
      </w:r>
      <w:r w:rsidR="00BD57C1" w:rsidRPr="001558A5">
        <w:rPr>
          <w:i/>
          <w:iCs/>
          <w:szCs w:val="16"/>
          <w:lang w:val="en-US"/>
        </w:rPr>
        <w:t>Morales et al.</w:t>
      </w:r>
      <w:r w:rsidRPr="001558A5">
        <w:rPr>
          <w:i/>
          <w:iCs/>
          <w:szCs w:val="16"/>
          <w:lang w:val="en-US"/>
        </w:rPr>
        <w:t xml:space="preserve">) </w:t>
      </w:r>
      <w:r w:rsidR="00871E19" w:rsidRPr="001558A5">
        <w:rPr>
          <w:i/>
          <w:iCs/>
          <w:szCs w:val="16"/>
          <w:lang w:val="en-US"/>
        </w:rPr>
        <w:t>v.</w:t>
      </w:r>
      <w:r w:rsidRPr="001558A5">
        <w:rPr>
          <w:i/>
          <w:iCs/>
          <w:szCs w:val="16"/>
          <w:lang w:val="en-US"/>
        </w:rPr>
        <w:t xml:space="preserve"> Guatemala. </w:t>
      </w:r>
      <w:r w:rsidR="00B93FA6" w:rsidRPr="001558A5">
        <w:rPr>
          <w:i/>
          <w:iCs/>
          <w:szCs w:val="16"/>
          <w:lang w:val="en-US"/>
        </w:rPr>
        <w:t>Merits</w:t>
      </w:r>
      <w:r w:rsidRPr="001558A5">
        <w:rPr>
          <w:szCs w:val="16"/>
          <w:lang w:val="en-US"/>
        </w:rPr>
        <w:t xml:space="preserve">. </w:t>
      </w:r>
      <w:r w:rsidR="00871E19" w:rsidRPr="001558A5">
        <w:rPr>
          <w:szCs w:val="16"/>
          <w:lang w:val="en-US"/>
        </w:rPr>
        <w:t>Judgment of</w:t>
      </w:r>
      <w:r w:rsidRPr="001558A5">
        <w:rPr>
          <w:szCs w:val="16"/>
          <w:lang w:val="en-US"/>
        </w:rPr>
        <w:t xml:space="preserve"> </w:t>
      </w:r>
      <w:r w:rsidR="00BD57C1" w:rsidRPr="001558A5">
        <w:rPr>
          <w:szCs w:val="16"/>
          <w:lang w:val="en-US"/>
        </w:rPr>
        <w:t>November 19,</w:t>
      </w:r>
      <w:r w:rsidRPr="001558A5">
        <w:rPr>
          <w:szCs w:val="16"/>
          <w:lang w:val="en-US"/>
        </w:rPr>
        <w:t xml:space="preserve"> 1999, </w:t>
      </w:r>
      <w:r w:rsidR="00B43A52" w:rsidRPr="001558A5">
        <w:rPr>
          <w:szCs w:val="16"/>
          <w:lang w:val="en-US"/>
        </w:rPr>
        <w:t>para.</w:t>
      </w:r>
      <w:r w:rsidRPr="001558A5">
        <w:rPr>
          <w:szCs w:val="16"/>
          <w:lang w:val="en-US"/>
        </w:rPr>
        <w:t xml:space="preserve"> 144,</w:t>
      </w:r>
      <w:r w:rsidR="00DD4354" w:rsidRPr="001558A5">
        <w:rPr>
          <w:szCs w:val="16"/>
          <w:lang w:val="en-US"/>
        </w:rPr>
        <w:t xml:space="preserve"> and </w:t>
      </w:r>
      <w:r w:rsidR="00871E19" w:rsidRPr="001558A5">
        <w:rPr>
          <w:i/>
          <w:iCs/>
          <w:szCs w:val="16"/>
          <w:lang w:val="en-US"/>
        </w:rPr>
        <w:t>Case of</w:t>
      </w:r>
      <w:r w:rsidRPr="001558A5">
        <w:rPr>
          <w:i/>
          <w:iCs/>
          <w:szCs w:val="16"/>
          <w:lang w:val="en-US"/>
        </w:rPr>
        <w:t xml:space="preserve"> Olivares Muñoz</w:t>
      </w:r>
      <w:r w:rsidR="00DD4354" w:rsidRPr="001558A5">
        <w:rPr>
          <w:i/>
          <w:iCs/>
          <w:szCs w:val="16"/>
          <w:lang w:val="en-US"/>
        </w:rPr>
        <w:t xml:space="preserve"> </w:t>
      </w:r>
      <w:r w:rsidR="004F4F9C" w:rsidRPr="001558A5">
        <w:rPr>
          <w:i/>
          <w:iCs/>
          <w:szCs w:val="16"/>
          <w:lang w:val="en-US"/>
        </w:rPr>
        <w:t>et al. v.</w:t>
      </w:r>
      <w:r w:rsidRPr="001558A5">
        <w:rPr>
          <w:i/>
          <w:iCs/>
          <w:szCs w:val="16"/>
          <w:lang w:val="en-US"/>
        </w:rPr>
        <w:t xml:space="preserve"> Venezuela. </w:t>
      </w:r>
      <w:r w:rsidR="00B43A52" w:rsidRPr="001558A5">
        <w:rPr>
          <w:i/>
          <w:iCs/>
          <w:szCs w:val="16"/>
          <w:lang w:val="en-US"/>
        </w:rPr>
        <w:t>Merits, reparations and costs</w:t>
      </w:r>
      <w:r w:rsidRPr="001558A5">
        <w:rPr>
          <w:szCs w:val="16"/>
          <w:lang w:val="en-US"/>
        </w:rPr>
        <w:t xml:space="preserve">. </w:t>
      </w:r>
      <w:r w:rsidR="00871E19" w:rsidRPr="001558A5">
        <w:rPr>
          <w:szCs w:val="16"/>
          <w:lang w:val="en-US"/>
        </w:rPr>
        <w:t>Judgment of</w:t>
      </w:r>
      <w:r w:rsidRPr="001558A5">
        <w:rPr>
          <w:szCs w:val="16"/>
          <w:lang w:val="en-US"/>
        </w:rPr>
        <w:t xml:space="preserve"> </w:t>
      </w:r>
      <w:r w:rsidR="00BD57C1" w:rsidRPr="001558A5">
        <w:rPr>
          <w:szCs w:val="16"/>
          <w:lang w:val="en-US"/>
        </w:rPr>
        <w:t>November 10,</w:t>
      </w:r>
      <w:r w:rsidRPr="001558A5">
        <w:rPr>
          <w:szCs w:val="16"/>
          <w:lang w:val="en-US"/>
        </w:rPr>
        <w:t xml:space="preserve"> 2020. </w:t>
      </w:r>
      <w:r w:rsidR="00B43A52" w:rsidRPr="001558A5">
        <w:rPr>
          <w:szCs w:val="16"/>
          <w:lang w:val="en-US"/>
        </w:rPr>
        <w:t xml:space="preserve">Series </w:t>
      </w:r>
      <w:r w:rsidRPr="001558A5">
        <w:rPr>
          <w:szCs w:val="16"/>
          <w:lang w:val="en-US"/>
        </w:rPr>
        <w:t xml:space="preserve">C No. 415. </w:t>
      </w:r>
      <w:proofErr w:type="gramStart"/>
      <w:r w:rsidR="00B43A52" w:rsidRPr="001558A5">
        <w:rPr>
          <w:szCs w:val="16"/>
          <w:lang w:val="en-US"/>
        </w:rPr>
        <w:t>para</w:t>
      </w:r>
      <w:proofErr w:type="gramEnd"/>
      <w:r w:rsidR="00B43A52" w:rsidRPr="001558A5">
        <w:rPr>
          <w:szCs w:val="16"/>
          <w:lang w:val="en-US"/>
        </w:rPr>
        <w:t>.</w:t>
      </w:r>
      <w:r w:rsidRPr="001558A5">
        <w:rPr>
          <w:szCs w:val="16"/>
          <w:lang w:val="en-US"/>
        </w:rPr>
        <w:t xml:space="preserve"> 85.</w:t>
      </w:r>
    </w:p>
  </w:footnote>
  <w:footnote w:id="115">
    <w:p w14:paraId="53C7E8BA" w14:textId="5C51ADA9" w:rsidR="005977F6" w:rsidRPr="001558A5" w:rsidRDefault="005977F6"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iCs/>
          <w:szCs w:val="16"/>
          <w:lang w:val="en-US"/>
        </w:rPr>
        <w:t>Cf.</w:t>
      </w:r>
      <w:r w:rsidRPr="001558A5">
        <w:rPr>
          <w:szCs w:val="16"/>
          <w:lang w:val="en-US"/>
        </w:rPr>
        <w:t xml:space="preserve"> </w:t>
      </w:r>
      <w:r w:rsidR="00871E19" w:rsidRPr="001558A5">
        <w:rPr>
          <w:i/>
          <w:iCs/>
          <w:szCs w:val="16"/>
          <w:lang w:val="en-US"/>
        </w:rPr>
        <w:t>Case of</w:t>
      </w:r>
      <w:r w:rsidRPr="001558A5">
        <w:rPr>
          <w:i/>
          <w:iCs/>
          <w:szCs w:val="16"/>
          <w:lang w:val="en-US"/>
        </w:rPr>
        <w:t xml:space="preserve"> Myrna Mack Chang </w:t>
      </w:r>
      <w:r w:rsidR="00871E19" w:rsidRPr="001558A5">
        <w:rPr>
          <w:i/>
          <w:iCs/>
          <w:szCs w:val="16"/>
          <w:lang w:val="en-US"/>
        </w:rPr>
        <w:t>v.</w:t>
      </w:r>
      <w:r w:rsidRPr="001558A5">
        <w:rPr>
          <w:i/>
          <w:iCs/>
          <w:szCs w:val="16"/>
          <w:lang w:val="en-US"/>
        </w:rPr>
        <w:t xml:space="preserve"> Guatemala. </w:t>
      </w:r>
      <w:r w:rsidR="00B43A52" w:rsidRPr="001558A5">
        <w:rPr>
          <w:i/>
          <w:iCs/>
          <w:szCs w:val="16"/>
          <w:lang w:val="en-US"/>
        </w:rPr>
        <w:t>Merits, reparations and costs</w:t>
      </w:r>
      <w:r w:rsidRPr="001558A5">
        <w:rPr>
          <w:szCs w:val="16"/>
          <w:lang w:val="en-US"/>
        </w:rPr>
        <w:t xml:space="preserve">. </w:t>
      </w:r>
      <w:r w:rsidR="00871E19" w:rsidRPr="001558A5">
        <w:rPr>
          <w:szCs w:val="16"/>
          <w:lang w:val="en-US"/>
        </w:rPr>
        <w:t>Judgment of</w:t>
      </w:r>
      <w:r w:rsidRPr="001558A5">
        <w:rPr>
          <w:szCs w:val="16"/>
          <w:lang w:val="en-US"/>
        </w:rPr>
        <w:t xml:space="preserve"> </w:t>
      </w:r>
      <w:r w:rsidR="00BD57C1" w:rsidRPr="001558A5">
        <w:rPr>
          <w:szCs w:val="16"/>
          <w:lang w:val="en-US"/>
        </w:rPr>
        <w:t>November 25,</w:t>
      </w:r>
      <w:r w:rsidRPr="001558A5">
        <w:rPr>
          <w:szCs w:val="16"/>
          <w:lang w:val="en-US"/>
        </w:rPr>
        <w:t xml:space="preserve"> 2003. </w:t>
      </w:r>
      <w:r w:rsidR="00B43A52" w:rsidRPr="001558A5">
        <w:rPr>
          <w:szCs w:val="16"/>
          <w:lang w:val="en-US"/>
        </w:rPr>
        <w:t xml:space="preserve">Series </w:t>
      </w:r>
      <w:r w:rsidRPr="001558A5">
        <w:rPr>
          <w:szCs w:val="16"/>
          <w:lang w:val="en-US"/>
        </w:rPr>
        <w:t xml:space="preserve">C No. 101, </w:t>
      </w:r>
      <w:r w:rsidR="00B43A52" w:rsidRPr="001558A5">
        <w:rPr>
          <w:szCs w:val="16"/>
          <w:lang w:val="en-US"/>
        </w:rPr>
        <w:t>para.</w:t>
      </w:r>
      <w:r w:rsidRPr="001558A5">
        <w:rPr>
          <w:szCs w:val="16"/>
          <w:lang w:val="en-US"/>
        </w:rPr>
        <w:t xml:space="preserve"> 153</w:t>
      </w:r>
      <w:r w:rsidR="00DD4354" w:rsidRPr="001558A5">
        <w:rPr>
          <w:szCs w:val="16"/>
          <w:lang w:val="en-US"/>
        </w:rPr>
        <w:t xml:space="preserve"> and </w:t>
      </w:r>
      <w:r w:rsidR="00871E19" w:rsidRPr="001558A5">
        <w:rPr>
          <w:i/>
          <w:iCs/>
          <w:szCs w:val="16"/>
          <w:lang w:val="en-US"/>
        </w:rPr>
        <w:t>Case of</w:t>
      </w:r>
      <w:r w:rsidRPr="001558A5">
        <w:rPr>
          <w:i/>
          <w:iCs/>
          <w:szCs w:val="16"/>
          <w:lang w:val="en-US"/>
        </w:rPr>
        <w:t xml:space="preserve"> Olivares Muñoz</w:t>
      </w:r>
      <w:r w:rsidR="00DD4354" w:rsidRPr="001558A5">
        <w:rPr>
          <w:i/>
          <w:iCs/>
          <w:szCs w:val="16"/>
          <w:lang w:val="en-US"/>
        </w:rPr>
        <w:t xml:space="preserve"> </w:t>
      </w:r>
      <w:r w:rsidR="004F4F9C" w:rsidRPr="001558A5">
        <w:rPr>
          <w:i/>
          <w:iCs/>
          <w:szCs w:val="16"/>
          <w:lang w:val="en-US"/>
        </w:rPr>
        <w:t>et al. v.</w:t>
      </w:r>
      <w:r w:rsidRPr="001558A5">
        <w:rPr>
          <w:i/>
          <w:iCs/>
          <w:szCs w:val="16"/>
          <w:lang w:val="en-US"/>
        </w:rPr>
        <w:t xml:space="preserve"> Vene</w:t>
      </w:r>
      <w:r w:rsidRPr="001558A5">
        <w:rPr>
          <w:szCs w:val="16"/>
          <w:lang w:val="en-US"/>
        </w:rPr>
        <w:t xml:space="preserve">zuela, </w:t>
      </w:r>
      <w:r w:rsidRPr="001558A5">
        <w:rPr>
          <w:i/>
          <w:iCs/>
          <w:szCs w:val="16"/>
          <w:lang w:val="en-US"/>
        </w:rPr>
        <w:t>supra</w:t>
      </w:r>
      <w:r w:rsidRPr="001558A5">
        <w:rPr>
          <w:szCs w:val="16"/>
          <w:lang w:val="en-US"/>
        </w:rPr>
        <w:t xml:space="preserve">, </w:t>
      </w:r>
      <w:r w:rsidR="00B43A52" w:rsidRPr="001558A5">
        <w:rPr>
          <w:szCs w:val="16"/>
          <w:lang w:val="en-US"/>
        </w:rPr>
        <w:t>para.</w:t>
      </w:r>
      <w:r w:rsidRPr="001558A5">
        <w:rPr>
          <w:szCs w:val="16"/>
          <w:lang w:val="en-US"/>
        </w:rPr>
        <w:t xml:space="preserve"> 85. </w:t>
      </w:r>
    </w:p>
  </w:footnote>
  <w:footnote w:id="116">
    <w:p w14:paraId="0841B3D4" w14:textId="7FC51AAD" w:rsidR="005977F6" w:rsidRPr="001558A5" w:rsidRDefault="005977F6" w:rsidP="000B2BB5">
      <w:pPr>
        <w:pStyle w:val="Textonotapie"/>
        <w:tabs>
          <w:tab w:val="left" w:pos="360"/>
        </w:tabs>
        <w:spacing w:before="60" w:after="60"/>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szCs w:val="16"/>
          <w:lang w:val="en-US"/>
        </w:rPr>
        <w:t>Cf.</w:t>
      </w:r>
      <w:r w:rsidRPr="001558A5">
        <w:rPr>
          <w:szCs w:val="16"/>
          <w:lang w:val="en-US"/>
        </w:rPr>
        <w:t xml:space="preserve"> </w:t>
      </w:r>
      <w:r w:rsidR="00871E19" w:rsidRPr="001558A5">
        <w:rPr>
          <w:i/>
          <w:szCs w:val="16"/>
          <w:lang w:val="en-US"/>
        </w:rPr>
        <w:t>Case of</w:t>
      </w:r>
      <w:r w:rsidRPr="001558A5">
        <w:rPr>
          <w:i/>
          <w:szCs w:val="16"/>
          <w:lang w:val="en-US"/>
        </w:rPr>
        <w:t xml:space="preserve"> </w:t>
      </w:r>
      <w:proofErr w:type="spellStart"/>
      <w:r w:rsidRPr="001558A5">
        <w:rPr>
          <w:i/>
          <w:szCs w:val="16"/>
          <w:lang w:val="en-US"/>
        </w:rPr>
        <w:t>Ximenes</w:t>
      </w:r>
      <w:proofErr w:type="spellEnd"/>
      <w:r w:rsidRPr="001558A5">
        <w:rPr>
          <w:i/>
          <w:szCs w:val="16"/>
          <w:lang w:val="en-US"/>
        </w:rPr>
        <w:t xml:space="preserve"> Lopes </w:t>
      </w:r>
      <w:r w:rsidR="00871E19" w:rsidRPr="001558A5">
        <w:rPr>
          <w:i/>
          <w:szCs w:val="16"/>
          <w:lang w:val="en-US"/>
        </w:rPr>
        <w:t>v.</w:t>
      </w:r>
      <w:r w:rsidRPr="001558A5">
        <w:rPr>
          <w:i/>
          <w:szCs w:val="16"/>
          <w:lang w:val="en-US"/>
        </w:rPr>
        <w:t xml:space="preserve"> </w:t>
      </w:r>
      <w:r w:rsidR="00BD57C1" w:rsidRPr="001558A5">
        <w:rPr>
          <w:i/>
          <w:szCs w:val="16"/>
          <w:lang w:val="en-US"/>
        </w:rPr>
        <w:t>Brazil</w:t>
      </w:r>
      <w:r w:rsidRPr="001558A5">
        <w:rPr>
          <w:i/>
          <w:szCs w:val="16"/>
          <w:lang w:val="en-US"/>
        </w:rPr>
        <w:t xml:space="preserve">. </w:t>
      </w:r>
      <w:r w:rsidR="00B43A52" w:rsidRPr="001558A5">
        <w:rPr>
          <w:i/>
          <w:szCs w:val="16"/>
          <w:lang w:val="en-US"/>
        </w:rPr>
        <w:t>Merits, reparations and costs</w:t>
      </w:r>
      <w:r w:rsidRPr="001558A5">
        <w:rPr>
          <w:szCs w:val="16"/>
          <w:lang w:val="en-US"/>
        </w:rPr>
        <w:t xml:space="preserve">. </w:t>
      </w:r>
      <w:r w:rsidR="00871E19" w:rsidRPr="001558A5">
        <w:rPr>
          <w:szCs w:val="16"/>
          <w:lang w:val="en-US"/>
        </w:rPr>
        <w:t>Judgment of</w:t>
      </w:r>
      <w:r w:rsidRPr="001558A5">
        <w:rPr>
          <w:szCs w:val="16"/>
          <w:lang w:val="en-US"/>
        </w:rPr>
        <w:t xml:space="preserve"> </w:t>
      </w:r>
      <w:r w:rsidR="00BD57C1" w:rsidRPr="001558A5">
        <w:rPr>
          <w:szCs w:val="16"/>
          <w:lang w:val="en-US"/>
        </w:rPr>
        <w:t>July 4,</w:t>
      </w:r>
      <w:r w:rsidRPr="001558A5">
        <w:rPr>
          <w:szCs w:val="16"/>
          <w:lang w:val="en-US"/>
        </w:rPr>
        <w:t xml:space="preserve"> 2006. </w:t>
      </w:r>
      <w:r w:rsidR="00B43A52" w:rsidRPr="001558A5">
        <w:rPr>
          <w:szCs w:val="16"/>
          <w:lang w:val="en-US"/>
        </w:rPr>
        <w:t xml:space="preserve">Series </w:t>
      </w:r>
      <w:r w:rsidRPr="001558A5">
        <w:rPr>
          <w:szCs w:val="16"/>
          <w:lang w:val="en-US"/>
        </w:rPr>
        <w:t xml:space="preserve">C No. 149, </w:t>
      </w:r>
      <w:r w:rsidR="00B43A52" w:rsidRPr="001558A5">
        <w:rPr>
          <w:szCs w:val="16"/>
          <w:lang w:val="en-US"/>
        </w:rPr>
        <w:t>para.</w:t>
      </w:r>
      <w:r w:rsidRPr="001558A5">
        <w:rPr>
          <w:szCs w:val="16"/>
          <w:lang w:val="en-US"/>
        </w:rPr>
        <w:t xml:space="preserve"> 126,</w:t>
      </w:r>
      <w:r w:rsidR="00DD4354" w:rsidRPr="001558A5">
        <w:rPr>
          <w:szCs w:val="16"/>
          <w:lang w:val="en-US"/>
        </w:rPr>
        <w:t xml:space="preserve"> and </w:t>
      </w:r>
      <w:r w:rsidR="00871E19" w:rsidRPr="001558A5">
        <w:rPr>
          <w:i/>
          <w:iCs/>
          <w:szCs w:val="16"/>
          <w:lang w:val="en-US"/>
        </w:rPr>
        <w:t>Case of</w:t>
      </w:r>
      <w:r w:rsidRPr="001558A5">
        <w:rPr>
          <w:i/>
          <w:iCs/>
          <w:szCs w:val="16"/>
          <w:lang w:val="en-US"/>
        </w:rPr>
        <w:t xml:space="preserve"> Petro </w:t>
      </w:r>
      <w:proofErr w:type="spellStart"/>
      <w:r w:rsidRPr="001558A5">
        <w:rPr>
          <w:i/>
          <w:iCs/>
          <w:szCs w:val="16"/>
          <w:lang w:val="en-US"/>
        </w:rPr>
        <w:t>Urrego</w:t>
      </w:r>
      <w:proofErr w:type="spellEnd"/>
      <w:r w:rsidRPr="001558A5">
        <w:rPr>
          <w:i/>
          <w:iCs/>
          <w:szCs w:val="16"/>
          <w:lang w:val="en-US"/>
        </w:rPr>
        <w:t xml:space="preserve"> </w:t>
      </w:r>
      <w:r w:rsidR="00871E19" w:rsidRPr="001558A5">
        <w:rPr>
          <w:i/>
          <w:iCs/>
          <w:szCs w:val="16"/>
          <w:lang w:val="en-US"/>
        </w:rPr>
        <w:t>v.</w:t>
      </w:r>
      <w:r w:rsidRPr="001558A5">
        <w:rPr>
          <w:i/>
          <w:iCs/>
          <w:szCs w:val="16"/>
          <w:lang w:val="en-US"/>
        </w:rPr>
        <w:t xml:space="preserve"> Colombia. </w:t>
      </w:r>
      <w:r w:rsidR="00B43A52" w:rsidRPr="001558A5">
        <w:rPr>
          <w:i/>
          <w:iCs/>
          <w:szCs w:val="16"/>
          <w:lang w:val="en-US"/>
        </w:rPr>
        <w:t>Preliminary objections, merits, reparations and costs</w:t>
      </w:r>
      <w:r w:rsidRPr="001558A5">
        <w:rPr>
          <w:szCs w:val="16"/>
          <w:lang w:val="en-US"/>
        </w:rPr>
        <w:t xml:space="preserve">. </w:t>
      </w:r>
      <w:r w:rsidR="00871E19" w:rsidRPr="001558A5">
        <w:rPr>
          <w:szCs w:val="16"/>
          <w:lang w:val="en-US"/>
        </w:rPr>
        <w:t>Judgment of</w:t>
      </w:r>
      <w:r w:rsidRPr="001558A5">
        <w:rPr>
          <w:szCs w:val="16"/>
          <w:lang w:val="en-US"/>
        </w:rPr>
        <w:t xml:space="preserve"> </w:t>
      </w:r>
      <w:r w:rsidR="00BD57C1" w:rsidRPr="001558A5">
        <w:rPr>
          <w:szCs w:val="16"/>
          <w:lang w:val="en-US"/>
        </w:rPr>
        <w:t>July 8,</w:t>
      </w:r>
      <w:r w:rsidRPr="001558A5">
        <w:rPr>
          <w:szCs w:val="16"/>
          <w:lang w:val="en-US"/>
        </w:rPr>
        <w:t xml:space="preserve"> 2020. </w:t>
      </w:r>
      <w:r w:rsidR="00B43A52" w:rsidRPr="001558A5">
        <w:rPr>
          <w:szCs w:val="16"/>
          <w:lang w:val="en-US"/>
        </w:rPr>
        <w:t xml:space="preserve">Series </w:t>
      </w:r>
      <w:r w:rsidRPr="001558A5">
        <w:rPr>
          <w:szCs w:val="16"/>
          <w:lang w:val="en-US"/>
        </w:rPr>
        <w:t xml:space="preserve">C No. 406, </w:t>
      </w:r>
      <w:r w:rsidR="00B43A52" w:rsidRPr="001558A5">
        <w:rPr>
          <w:szCs w:val="16"/>
          <w:lang w:val="en-US"/>
        </w:rPr>
        <w:t>para.</w:t>
      </w:r>
      <w:r w:rsidRPr="001558A5">
        <w:rPr>
          <w:szCs w:val="16"/>
          <w:lang w:val="en-US"/>
        </w:rPr>
        <w:t xml:space="preserve"> 141. </w:t>
      </w:r>
    </w:p>
  </w:footnote>
  <w:footnote w:id="117">
    <w:p w14:paraId="254E0BE6" w14:textId="7E0EDAA2" w:rsidR="005977F6" w:rsidRPr="001558A5" w:rsidRDefault="005977F6" w:rsidP="000B2BB5">
      <w:pPr>
        <w:pStyle w:val="Textonotapie"/>
        <w:tabs>
          <w:tab w:val="left" w:pos="360"/>
        </w:tabs>
        <w:rPr>
          <w:szCs w:val="16"/>
          <w:lang w:val="en-US"/>
        </w:rPr>
      </w:pPr>
      <w:r w:rsidRPr="001558A5">
        <w:rPr>
          <w:rStyle w:val="Refdenotaalpie"/>
          <w:rFonts w:eastAsia="Times"/>
          <w:szCs w:val="16"/>
          <w:lang w:val="en-US"/>
        </w:rPr>
        <w:footnoteRef/>
      </w:r>
      <w:r w:rsidRPr="001558A5">
        <w:rPr>
          <w:szCs w:val="16"/>
          <w:lang w:val="en-US"/>
        </w:rPr>
        <w:t xml:space="preserve"> </w:t>
      </w:r>
      <w:r w:rsidRPr="001558A5">
        <w:rPr>
          <w:szCs w:val="16"/>
          <w:lang w:val="en-US"/>
        </w:rPr>
        <w:tab/>
      </w:r>
      <w:r w:rsidR="00871E19" w:rsidRPr="001558A5">
        <w:rPr>
          <w:i/>
          <w:szCs w:val="16"/>
          <w:lang w:val="en-US"/>
        </w:rPr>
        <w:t>Cf.</w:t>
      </w:r>
      <w:r w:rsidRPr="001558A5">
        <w:rPr>
          <w:i/>
          <w:szCs w:val="16"/>
          <w:lang w:val="en-US"/>
        </w:rPr>
        <w:t xml:space="preserve"> </w:t>
      </w:r>
      <w:r w:rsidR="00871E19" w:rsidRPr="001558A5">
        <w:rPr>
          <w:i/>
          <w:szCs w:val="16"/>
          <w:lang w:val="en-US"/>
        </w:rPr>
        <w:t>Case of</w:t>
      </w:r>
      <w:r w:rsidRPr="001558A5">
        <w:rPr>
          <w:i/>
          <w:szCs w:val="16"/>
          <w:lang w:val="en-US"/>
        </w:rPr>
        <w:t xml:space="preserve"> </w:t>
      </w:r>
      <w:proofErr w:type="spellStart"/>
      <w:r w:rsidRPr="001558A5">
        <w:rPr>
          <w:i/>
          <w:szCs w:val="16"/>
          <w:lang w:val="en-US"/>
        </w:rPr>
        <w:t>Loayza</w:t>
      </w:r>
      <w:proofErr w:type="spellEnd"/>
      <w:r w:rsidRPr="001558A5">
        <w:rPr>
          <w:i/>
          <w:szCs w:val="16"/>
          <w:lang w:val="en-US"/>
        </w:rPr>
        <w:t xml:space="preserve"> Tamayo </w:t>
      </w:r>
      <w:r w:rsidR="00871E19" w:rsidRPr="001558A5">
        <w:rPr>
          <w:i/>
          <w:szCs w:val="16"/>
          <w:lang w:val="en-US"/>
        </w:rPr>
        <w:t>v.</w:t>
      </w:r>
      <w:r w:rsidRPr="001558A5">
        <w:rPr>
          <w:i/>
          <w:szCs w:val="16"/>
          <w:lang w:val="en-US"/>
        </w:rPr>
        <w:t xml:space="preserve"> </w:t>
      </w:r>
      <w:r w:rsidR="00D11908" w:rsidRPr="001558A5">
        <w:rPr>
          <w:i/>
          <w:szCs w:val="16"/>
          <w:lang w:val="en-US"/>
        </w:rPr>
        <w:t>Peru</w:t>
      </w:r>
      <w:r w:rsidRPr="001558A5">
        <w:rPr>
          <w:i/>
          <w:szCs w:val="16"/>
          <w:lang w:val="en-US"/>
        </w:rPr>
        <w:t xml:space="preserve">. </w:t>
      </w:r>
      <w:r w:rsidR="00B93FA6" w:rsidRPr="001558A5">
        <w:rPr>
          <w:i/>
          <w:szCs w:val="16"/>
          <w:lang w:val="en-US"/>
        </w:rPr>
        <w:t>Merits</w:t>
      </w:r>
      <w:r w:rsidRPr="001558A5">
        <w:rPr>
          <w:i/>
          <w:szCs w:val="16"/>
          <w:lang w:val="en-US"/>
        </w:rPr>
        <w:t xml:space="preserve">. </w:t>
      </w:r>
      <w:r w:rsidR="00871E19" w:rsidRPr="001558A5">
        <w:rPr>
          <w:i/>
          <w:szCs w:val="16"/>
          <w:lang w:val="en-US"/>
        </w:rPr>
        <w:t>Judgment of</w:t>
      </w:r>
      <w:r w:rsidRPr="001558A5">
        <w:rPr>
          <w:i/>
          <w:szCs w:val="16"/>
          <w:lang w:val="en-US"/>
        </w:rPr>
        <w:t xml:space="preserve"> </w:t>
      </w:r>
      <w:r w:rsidR="00BD57C1" w:rsidRPr="001558A5">
        <w:rPr>
          <w:i/>
          <w:szCs w:val="16"/>
          <w:lang w:val="en-US"/>
        </w:rPr>
        <w:t>September 17,</w:t>
      </w:r>
      <w:r w:rsidRPr="001558A5">
        <w:rPr>
          <w:i/>
          <w:szCs w:val="16"/>
          <w:lang w:val="en-US"/>
        </w:rPr>
        <w:t xml:space="preserve"> 1997. </w:t>
      </w:r>
      <w:r w:rsidR="00B43A52" w:rsidRPr="001558A5">
        <w:rPr>
          <w:i/>
          <w:szCs w:val="16"/>
          <w:lang w:val="en-US"/>
        </w:rPr>
        <w:t xml:space="preserve">Series </w:t>
      </w:r>
      <w:r w:rsidRPr="001558A5">
        <w:rPr>
          <w:i/>
          <w:szCs w:val="16"/>
          <w:lang w:val="en-US"/>
        </w:rPr>
        <w:t xml:space="preserve">C No. 33, </w:t>
      </w:r>
      <w:r w:rsidR="00B43A52" w:rsidRPr="001558A5">
        <w:rPr>
          <w:szCs w:val="16"/>
          <w:lang w:val="en-US"/>
        </w:rPr>
        <w:t>para.</w:t>
      </w:r>
      <w:r w:rsidRPr="001558A5">
        <w:rPr>
          <w:szCs w:val="16"/>
          <w:lang w:val="en-US"/>
        </w:rPr>
        <w:t xml:space="preserve"> 57,</w:t>
      </w:r>
      <w:r w:rsidR="00DD4354" w:rsidRPr="001558A5">
        <w:rPr>
          <w:szCs w:val="16"/>
          <w:lang w:val="en-US"/>
        </w:rPr>
        <w:t xml:space="preserve"> and </w:t>
      </w:r>
      <w:r w:rsidR="00871E19" w:rsidRPr="001558A5">
        <w:rPr>
          <w:i/>
          <w:iCs/>
          <w:szCs w:val="16"/>
          <w:lang w:val="en-US"/>
        </w:rPr>
        <w:t>Case of</w:t>
      </w:r>
      <w:r w:rsidRPr="001558A5">
        <w:rPr>
          <w:i/>
          <w:iCs/>
          <w:szCs w:val="16"/>
          <w:lang w:val="en-US"/>
        </w:rPr>
        <w:t xml:space="preserve"> Petro </w:t>
      </w:r>
      <w:proofErr w:type="spellStart"/>
      <w:r w:rsidRPr="001558A5">
        <w:rPr>
          <w:i/>
          <w:iCs/>
          <w:szCs w:val="16"/>
          <w:lang w:val="en-US"/>
        </w:rPr>
        <w:t>Urrego</w:t>
      </w:r>
      <w:proofErr w:type="spellEnd"/>
      <w:r w:rsidRPr="001558A5">
        <w:rPr>
          <w:i/>
          <w:iCs/>
          <w:szCs w:val="16"/>
          <w:lang w:val="en-US"/>
        </w:rPr>
        <w:t xml:space="preserve"> </w:t>
      </w:r>
      <w:r w:rsidR="00871E19" w:rsidRPr="001558A5">
        <w:rPr>
          <w:i/>
          <w:iCs/>
          <w:szCs w:val="16"/>
          <w:lang w:val="en-US"/>
        </w:rPr>
        <w:t>v.</w:t>
      </w:r>
      <w:r w:rsidRPr="001558A5">
        <w:rPr>
          <w:i/>
          <w:iCs/>
          <w:szCs w:val="16"/>
          <w:lang w:val="en-US"/>
        </w:rPr>
        <w:t xml:space="preserve"> Colombia</w:t>
      </w:r>
      <w:r w:rsidRPr="001558A5">
        <w:rPr>
          <w:szCs w:val="16"/>
          <w:lang w:val="en-US"/>
        </w:rPr>
        <w:t xml:space="preserve">, </w:t>
      </w:r>
      <w:r w:rsidRPr="001558A5">
        <w:rPr>
          <w:i/>
          <w:iCs/>
          <w:szCs w:val="16"/>
          <w:lang w:val="en-US"/>
        </w:rPr>
        <w:t>supra</w:t>
      </w:r>
      <w:r w:rsidRPr="001558A5">
        <w:rPr>
          <w:szCs w:val="16"/>
          <w:lang w:val="en-US"/>
        </w:rPr>
        <w:t xml:space="preserve">, </w:t>
      </w:r>
      <w:r w:rsidR="00B43A52" w:rsidRPr="001558A5">
        <w:rPr>
          <w:szCs w:val="16"/>
          <w:lang w:val="en-US"/>
        </w:rPr>
        <w:t>para.</w:t>
      </w:r>
      <w:r w:rsidRPr="001558A5">
        <w:rPr>
          <w:szCs w:val="16"/>
          <w:lang w:val="en-US"/>
        </w:rPr>
        <w:t xml:space="preserve"> 141.</w:t>
      </w:r>
    </w:p>
  </w:footnote>
  <w:footnote w:id="118">
    <w:p w14:paraId="23B7CE80" w14:textId="28977C8C" w:rsidR="005977F6" w:rsidRPr="001558A5" w:rsidRDefault="005977F6" w:rsidP="000B2BB5">
      <w:pPr>
        <w:tabs>
          <w:tab w:val="left" w:pos="360"/>
          <w:tab w:val="left" w:pos="567"/>
        </w:tabs>
        <w:rPr>
          <w:rFonts w:eastAsia="Times New Roman" w:cs="Times New Roman"/>
          <w:sz w:val="16"/>
          <w:szCs w:val="16"/>
          <w:lang w:val="en-US"/>
        </w:rPr>
      </w:pPr>
      <w:r w:rsidRPr="001558A5">
        <w:rPr>
          <w:rStyle w:val="Refdenotaalpie"/>
          <w:sz w:val="16"/>
          <w:szCs w:val="16"/>
          <w:lang w:val="en-US"/>
        </w:rPr>
        <w:footnoteRef/>
      </w:r>
      <w:r w:rsidRPr="001558A5">
        <w:rPr>
          <w:sz w:val="16"/>
          <w:szCs w:val="16"/>
          <w:lang w:val="en-US"/>
        </w:rPr>
        <w:t xml:space="preserve"> </w:t>
      </w:r>
      <w:r w:rsidRPr="001558A5">
        <w:rPr>
          <w:sz w:val="16"/>
          <w:szCs w:val="16"/>
          <w:lang w:val="en-US"/>
        </w:rPr>
        <w:tab/>
      </w:r>
      <w:r w:rsidR="00871E19" w:rsidRPr="001558A5">
        <w:rPr>
          <w:i/>
          <w:spacing w:val="-4"/>
          <w:sz w:val="16"/>
          <w:szCs w:val="16"/>
          <w:lang w:val="en-US"/>
        </w:rPr>
        <w:t>Cf.</w:t>
      </w:r>
      <w:r w:rsidRPr="001558A5">
        <w:rPr>
          <w:i/>
          <w:spacing w:val="-4"/>
          <w:sz w:val="16"/>
          <w:szCs w:val="16"/>
          <w:lang w:val="en-US"/>
        </w:rPr>
        <w:t xml:space="preserve"> </w:t>
      </w:r>
      <w:hyperlink r:id="rId3" w:history="1">
        <w:r w:rsidR="00BD57C1" w:rsidRPr="001558A5">
          <w:rPr>
            <w:rFonts w:eastAsia="Times New Roman" w:cs="Times New Roman"/>
            <w:i/>
            <w:sz w:val="16"/>
            <w:szCs w:val="16"/>
            <w:lang w:val="en-US"/>
          </w:rPr>
          <w:t>Habeas Corpus in Emergency Situations (Arts. 27.2, 25.1 and 7.6 American Convention on Human Rights)</w:t>
        </w:r>
      </w:hyperlink>
      <w:r w:rsidR="00BD57C1" w:rsidRPr="001558A5">
        <w:rPr>
          <w:rFonts w:eastAsia="Times New Roman" w:cs="Times New Roman"/>
          <w:i/>
          <w:sz w:val="16"/>
          <w:szCs w:val="16"/>
          <w:lang w:val="en-US"/>
        </w:rPr>
        <w:t xml:space="preserve">, </w:t>
      </w:r>
      <w:r w:rsidR="00BD57C1" w:rsidRPr="001558A5">
        <w:rPr>
          <w:rFonts w:eastAsia="Times New Roman" w:cs="Times New Roman"/>
          <w:sz w:val="16"/>
          <w:szCs w:val="16"/>
          <w:lang w:val="en-US"/>
        </w:rPr>
        <w:t xml:space="preserve">Advisory Opinion OC-8/87, </w:t>
      </w:r>
      <w:proofErr w:type="gramStart"/>
      <w:r w:rsidR="00BD57C1" w:rsidRPr="001558A5">
        <w:rPr>
          <w:rFonts w:eastAsia="Times New Roman" w:cs="Times New Roman"/>
          <w:sz w:val="16"/>
          <w:szCs w:val="16"/>
          <w:lang w:val="en-US"/>
        </w:rPr>
        <w:t>January</w:t>
      </w:r>
      <w:proofErr w:type="gramEnd"/>
      <w:r w:rsidR="00BD57C1" w:rsidRPr="001558A5">
        <w:rPr>
          <w:rFonts w:eastAsia="Times New Roman" w:cs="Times New Roman"/>
          <w:sz w:val="16"/>
          <w:szCs w:val="16"/>
          <w:lang w:val="en-US"/>
        </w:rPr>
        <w:t xml:space="preserve"> 30, 1987. Series </w:t>
      </w:r>
      <w:proofErr w:type="gramStart"/>
      <w:r w:rsidR="00BD57C1" w:rsidRPr="001558A5">
        <w:rPr>
          <w:rFonts w:eastAsia="Times New Roman" w:cs="Times New Roman"/>
          <w:sz w:val="16"/>
          <w:szCs w:val="16"/>
          <w:lang w:val="en-US"/>
        </w:rPr>
        <w:t>A</w:t>
      </w:r>
      <w:proofErr w:type="gramEnd"/>
      <w:r w:rsidR="00BD57C1" w:rsidRPr="001558A5">
        <w:rPr>
          <w:rFonts w:eastAsia="Times New Roman" w:cs="Times New Roman"/>
          <w:sz w:val="16"/>
          <w:szCs w:val="16"/>
          <w:lang w:val="en-US"/>
        </w:rPr>
        <w:t xml:space="preserve"> No. 8, </w:t>
      </w:r>
      <w:r w:rsidR="00B43A52" w:rsidRPr="001558A5">
        <w:rPr>
          <w:spacing w:val="-4"/>
          <w:sz w:val="16"/>
          <w:szCs w:val="16"/>
          <w:lang w:val="en-US"/>
        </w:rPr>
        <w:t>para.</w:t>
      </w:r>
      <w:r w:rsidRPr="001558A5">
        <w:rPr>
          <w:spacing w:val="-4"/>
          <w:sz w:val="16"/>
          <w:szCs w:val="16"/>
          <w:lang w:val="en-US"/>
        </w:rPr>
        <w:t xml:space="preserve"> 24,</w:t>
      </w:r>
      <w:r w:rsidR="00DD4354" w:rsidRPr="001558A5">
        <w:rPr>
          <w:spacing w:val="-4"/>
          <w:sz w:val="16"/>
          <w:szCs w:val="16"/>
          <w:lang w:val="en-US"/>
        </w:rPr>
        <w:t xml:space="preserve"> and </w:t>
      </w:r>
      <w:r w:rsidR="00871E19" w:rsidRPr="001558A5">
        <w:rPr>
          <w:i/>
          <w:spacing w:val="-4"/>
          <w:sz w:val="16"/>
          <w:szCs w:val="16"/>
          <w:lang w:val="en-US"/>
        </w:rPr>
        <w:t>Case of</w:t>
      </w:r>
      <w:r w:rsidRPr="001558A5">
        <w:rPr>
          <w:i/>
          <w:spacing w:val="-4"/>
          <w:sz w:val="16"/>
          <w:szCs w:val="16"/>
          <w:lang w:val="en-US"/>
        </w:rPr>
        <w:t xml:space="preserve"> J. </w:t>
      </w:r>
      <w:r w:rsidR="00871E19" w:rsidRPr="001558A5">
        <w:rPr>
          <w:i/>
          <w:spacing w:val="-4"/>
          <w:sz w:val="16"/>
          <w:szCs w:val="16"/>
          <w:lang w:val="en-US"/>
        </w:rPr>
        <w:t>v.</w:t>
      </w:r>
      <w:r w:rsidRPr="001558A5">
        <w:rPr>
          <w:i/>
          <w:spacing w:val="-4"/>
          <w:sz w:val="16"/>
          <w:szCs w:val="16"/>
          <w:lang w:val="en-US"/>
        </w:rPr>
        <w:t xml:space="preserve"> </w:t>
      </w:r>
      <w:r w:rsidR="00D11908" w:rsidRPr="001558A5">
        <w:rPr>
          <w:i/>
          <w:spacing w:val="-4"/>
          <w:sz w:val="16"/>
          <w:szCs w:val="16"/>
          <w:lang w:val="en-US"/>
        </w:rPr>
        <w:t>Peru</w:t>
      </w:r>
      <w:r w:rsidRPr="001558A5">
        <w:rPr>
          <w:i/>
          <w:spacing w:val="-4"/>
          <w:sz w:val="16"/>
          <w:szCs w:val="16"/>
          <w:lang w:val="en-US"/>
        </w:rPr>
        <w:t xml:space="preserve">. </w:t>
      </w:r>
      <w:r w:rsidR="00BD57C1" w:rsidRPr="001558A5">
        <w:rPr>
          <w:i/>
          <w:spacing w:val="-4"/>
          <w:sz w:val="16"/>
          <w:szCs w:val="16"/>
          <w:lang w:val="en-US"/>
        </w:rPr>
        <w:t>Preliminary objection, m</w:t>
      </w:r>
      <w:r w:rsidR="00B43A52" w:rsidRPr="001558A5">
        <w:rPr>
          <w:i/>
          <w:spacing w:val="-4"/>
          <w:sz w:val="16"/>
          <w:szCs w:val="16"/>
          <w:lang w:val="en-US"/>
        </w:rPr>
        <w:t>erits, reparations and costs</w:t>
      </w:r>
      <w:r w:rsidRPr="001558A5">
        <w:rPr>
          <w:i/>
          <w:spacing w:val="-4"/>
          <w:sz w:val="16"/>
          <w:szCs w:val="16"/>
          <w:lang w:val="en-US"/>
        </w:rPr>
        <w:t xml:space="preserve">. </w:t>
      </w:r>
      <w:r w:rsidR="00871E19" w:rsidRPr="001558A5">
        <w:rPr>
          <w:spacing w:val="-4"/>
          <w:sz w:val="16"/>
          <w:szCs w:val="16"/>
          <w:lang w:val="en-US"/>
        </w:rPr>
        <w:t>Judgment of</w:t>
      </w:r>
      <w:r w:rsidRPr="001558A5">
        <w:rPr>
          <w:spacing w:val="-4"/>
          <w:sz w:val="16"/>
          <w:szCs w:val="16"/>
          <w:lang w:val="en-US"/>
        </w:rPr>
        <w:t xml:space="preserve"> </w:t>
      </w:r>
      <w:r w:rsidR="00BD57C1" w:rsidRPr="001558A5">
        <w:rPr>
          <w:spacing w:val="-4"/>
          <w:sz w:val="16"/>
          <w:szCs w:val="16"/>
          <w:lang w:val="en-US"/>
        </w:rPr>
        <w:t>November 27,</w:t>
      </w:r>
      <w:r w:rsidRPr="001558A5">
        <w:rPr>
          <w:spacing w:val="-4"/>
          <w:sz w:val="16"/>
          <w:szCs w:val="16"/>
          <w:lang w:val="en-US"/>
        </w:rPr>
        <w:t xml:space="preserve"> 2013. </w:t>
      </w:r>
      <w:r w:rsidR="00B43A52" w:rsidRPr="001558A5">
        <w:rPr>
          <w:spacing w:val="-4"/>
          <w:sz w:val="16"/>
          <w:szCs w:val="16"/>
          <w:lang w:val="en-US"/>
        </w:rPr>
        <w:t xml:space="preserve">Series </w:t>
      </w:r>
      <w:r w:rsidRPr="001558A5">
        <w:rPr>
          <w:spacing w:val="-4"/>
          <w:sz w:val="16"/>
          <w:szCs w:val="16"/>
          <w:lang w:val="en-US"/>
        </w:rPr>
        <w:t xml:space="preserve">C No. 275, </w:t>
      </w:r>
      <w:r w:rsidR="00B43A52" w:rsidRPr="001558A5">
        <w:rPr>
          <w:spacing w:val="-4"/>
          <w:sz w:val="16"/>
          <w:szCs w:val="16"/>
          <w:lang w:val="en-US"/>
        </w:rPr>
        <w:t>para.</w:t>
      </w:r>
      <w:r w:rsidRPr="001558A5">
        <w:rPr>
          <w:spacing w:val="-4"/>
          <w:sz w:val="16"/>
          <w:szCs w:val="16"/>
          <w:lang w:val="en-US"/>
        </w:rPr>
        <w:t xml:space="preserve"> 137.</w:t>
      </w:r>
    </w:p>
  </w:footnote>
  <w:footnote w:id="119">
    <w:p w14:paraId="4264F9A6" w14:textId="7DF6A86A"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DE7CAC" w:rsidRPr="001558A5">
        <w:rPr>
          <w:lang w:val="en-US"/>
        </w:rPr>
        <w:t>Testimony of</w:t>
      </w:r>
      <w:r w:rsidRPr="001558A5">
        <w:rPr>
          <w:lang w:val="en-US"/>
        </w:rPr>
        <w:t xml:space="preserve"> Claudia </w:t>
      </w:r>
      <w:proofErr w:type="spellStart"/>
      <w:r w:rsidRPr="001558A5">
        <w:rPr>
          <w:lang w:val="en-US"/>
        </w:rPr>
        <w:t>Spellmant</w:t>
      </w:r>
      <w:proofErr w:type="spellEnd"/>
      <w:r w:rsidRPr="001558A5">
        <w:rPr>
          <w:lang w:val="en-US"/>
        </w:rPr>
        <w:t xml:space="preserve"> Sosa </w:t>
      </w:r>
      <w:r w:rsidR="00DE7CAC" w:rsidRPr="001558A5">
        <w:rPr>
          <w:lang w:val="en-US"/>
        </w:rPr>
        <w:t>during the public hearing in this case</w:t>
      </w:r>
      <w:r w:rsidRPr="001558A5">
        <w:rPr>
          <w:lang w:val="en-US"/>
        </w:rPr>
        <w:t xml:space="preserve"> </w:t>
      </w:r>
      <w:r w:rsidR="00DE7CAC" w:rsidRPr="001558A5">
        <w:rPr>
          <w:lang w:val="en-US"/>
        </w:rPr>
        <w:t>on November 11,</w:t>
      </w:r>
      <w:r w:rsidRPr="001558A5">
        <w:rPr>
          <w:lang w:val="en-US"/>
        </w:rPr>
        <w:t xml:space="preserve"> 2020.</w:t>
      </w:r>
    </w:p>
  </w:footnote>
  <w:footnote w:id="120">
    <w:p w14:paraId="28C0637A" w14:textId="177C72F0"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DE7CAC" w:rsidRPr="001558A5">
        <w:rPr>
          <w:lang w:val="en-US"/>
        </w:rPr>
        <w:t>Testimony of</w:t>
      </w:r>
      <w:r w:rsidRPr="001558A5">
        <w:rPr>
          <w:lang w:val="en-US"/>
        </w:rPr>
        <w:t xml:space="preserve"> Claudia </w:t>
      </w:r>
      <w:proofErr w:type="spellStart"/>
      <w:r w:rsidRPr="001558A5">
        <w:rPr>
          <w:lang w:val="en-US"/>
        </w:rPr>
        <w:t>Spellmant</w:t>
      </w:r>
      <w:proofErr w:type="spellEnd"/>
      <w:r w:rsidRPr="001558A5">
        <w:rPr>
          <w:lang w:val="en-US"/>
        </w:rPr>
        <w:t xml:space="preserve"> Sosa </w:t>
      </w:r>
      <w:r w:rsidR="00DE7CAC" w:rsidRPr="001558A5">
        <w:rPr>
          <w:lang w:val="en-US"/>
        </w:rPr>
        <w:t>during the public hearing in this case</w:t>
      </w:r>
      <w:r w:rsidRPr="001558A5">
        <w:rPr>
          <w:lang w:val="en-US"/>
        </w:rPr>
        <w:t xml:space="preserve"> </w:t>
      </w:r>
      <w:r w:rsidR="00DE7CAC" w:rsidRPr="001558A5">
        <w:rPr>
          <w:lang w:val="en-US"/>
        </w:rPr>
        <w:t>on November 11,</w:t>
      </w:r>
      <w:r w:rsidRPr="001558A5">
        <w:rPr>
          <w:lang w:val="en-US"/>
        </w:rPr>
        <w:t xml:space="preserve"> 2020.</w:t>
      </w:r>
    </w:p>
  </w:footnote>
  <w:footnote w:id="121">
    <w:p w14:paraId="5B260C72" w14:textId="4AFAC54C"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0D72AA" w:rsidRPr="001558A5">
        <w:rPr>
          <w:lang w:val="en-US"/>
        </w:rPr>
        <w:t xml:space="preserve">Affidavits made by </w:t>
      </w:r>
      <w:r w:rsidRPr="001558A5">
        <w:rPr>
          <w:lang w:val="en-US"/>
        </w:rPr>
        <w:t xml:space="preserve">Rosa </w:t>
      </w:r>
      <w:proofErr w:type="spellStart"/>
      <w:r w:rsidRPr="001558A5">
        <w:rPr>
          <w:lang w:val="en-US"/>
        </w:rPr>
        <w:t>Argelia</w:t>
      </w:r>
      <w:proofErr w:type="spellEnd"/>
      <w:r w:rsidRPr="001558A5">
        <w:rPr>
          <w:lang w:val="en-US"/>
        </w:rPr>
        <w:t xml:space="preserve"> Hernández</w:t>
      </w:r>
      <w:r w:rsidR="00DD4354" w:rsidRPr="001558A5">
        <w:rPr>
          <w:lang w:val="en-US"/>
        </w:rPr>
        <w:t xml:space="preserve"> and </w:t>
      </w:r>
      <w:r w:rsidRPr="001558A5">
        <w:rPr>
          <w:lang w:val="en-US"/>
        </w:rPr>
        <w:t xml:space="preserve">Tatiana </w:t>
      </w:r>
      <w:proofErr w:type="spellStart"/>
      <w:r w:rsidRPr="001558A5">
        <w:rPr>
          <w:lang w:val="en-US"/>
        </w:rPr>
        <w:t>Rápalo</w:t>
      </w:r>
      <w:proofErr w:type="spellEnd"/>
      <w:r w:rsidRPr="001558A5">
        <w:rPr>
          <w:lang w:val="en-US"/>
        </w:rPr>
        <w:t xml:space="preserve"> </w:t>
      </w:r>
      <w:r w:rsidR="000D72AA" w:rsidRPr="001558A5">
        <w:rPr>
          <w:lang w:val="en-US"/>
        </w:rPr>
        <w:t>on October 1,</w:t>
      </w:r>
      <w:r w:rsidRPr="001558A5">
        <w:rPr>
          <w:lang w:val="en-US"/>
        </w:rPr>
        <w:t xml:space="preserve"> 2020 (</w:t>
      </w:r>
      <w:r w:rsidR="00D11908" w:rsidRPr="001558A5">
        <w:rPr>
          <w:lang w:val="en-US"/>
        </w:rPr>
        <w:t>evidence file</w:t>
      </w:r>
      <w:r w:rsidRPr="001558A5">
        <w:rPr>
          <w:lang w:val="en-US"/>
        </w:rPr>
        <w:t>, folios 1521</w:t>
      </w:r>
      <w:r w:rsidR="00DD4354" w:rsidRPr="001558A5">
        <w:rPr>
          <w:lang w:val="en-US"/>
        </w:rPr>
        <w:t xml:space="preserve"> and </w:t>
      </w:r>
      <w:r w:rsidRPr="001558A5">
        <w:rPr>
          <w:lang w:val="en-US"/>
        </w:rPr>
        <w:t>1526).</w:t>
      </w:r>
    </w:p>
  </w:footnote>
  <w:footnote w:id="122">
    <w:p w14:paraId="771637AE" w14:textId="15A47BC6"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DE7CAC" w:rsidRPr="001558A5">
        <w:rPr>
          <w:lang w:val="en-US"/>
        </w:rPr>
        <w:t>Testimony of</w:t>
      </w:r>
      <w:r w:rsidRPr="001558A5">
        <w:rPr>
          <w:lang w:val="en-US"/>
        </w:rPr>
        <w:t xml:space="preserve"> Claudia </w:t>
      </w:r>
      <w:proofErr w:type="spellStart"/>
      <w:r w:rsidRPr="001558A5">
        <w:rPr>
          <w:lang w:val="en-US"/>
        </w:rPr>
        <w:t>Spellmant</w:t>
      </w:r>
      <w:proofErr w:type="spellEnd"/>
      <w:r w:rsidRPr="001558A5">
        <w:rPr>
          <w:lang w:val="en-US"/>
        </w:rPr>
        <w:t xml:space="preserve"> Sosa </w:t>
      </w:r>
      <w:r w:rsidR="00DE7CAC" w:rsidRPr="001558A5">
        <w:rPr>
          <w:lang w:val="en-US"/>
        </w:rPr>
        <w:t>during the public hearing in this case</w:t>
      </w:r>
      <w:r w:rsidRPr="001558A5">
        <w:rPr>
          <w:lang w:val="en-US"/>
        </w:rPr>
        <w:t xml:space="preserve"> </w:t>
      </w:r>
      <w:r w:rsidR="00DE7CAC" w:rsidRPr="001558A5">
        <w:rPr>
          <w:lang w:val="en-US"/>
        </w:rPr>
        <w:t>on November 11,</w:t>
      </w:r>
      <w:r w:rsidRPr="001558A5">
        <w:rPr>
          <w:lang w:val="en-US"/>
        </w:rPr>
        <w:t xml:space="preserve"> 2020.</w:t>
      </w:r>
    </w:p>
  </w:footnote>
  <w:footnote w:id="123">
    <w:p w14:paraId="652B9EBC" w14:textId="251EA7EC" w:rsidR="005977F6" w:rsidRPr="001558A5" w:rsidRDefault="005977F6" w:rsidP="000B2BB5">
      <w:pPr>
        <w:tabs>
          <w:tab w:val="left" w:pos="360"/>
          <w:tab w:val="left" w:pos="426"/>
        </w:tabs>
        <w:spacing w:before="120" w:after="120"/>
        <w:rPr>
          <w:i/>
          <w:spacing w:val="-2"/>
          <w:sz w:val="16"/>
          <w:szCs w:val="16"/>
          <w:lang w:val="en-US"/>
        </w:rPr>
      </w:pPr>
      <w:r w:rsidRPr="001558A5">
        <w:rPr>
          <w:rStyle w:val="Refdenotaalpie"/>
          <w:sz w:val="16"/>
          <w:szCs w:val="16"/>
          <w:lang w:val="en-US"/>
        </w:rPr>
        <w:footnoteRef/>
      </w:r>
      <w:r w:rsidRPr="001558A5">
        <w:rPr>
          <w:sz w:val="16"/>
          <w:szCs w:val="16"/>
          <w:lang w:val="es-CR"/>
        </w:rPr>
        <w:t xml:space="preserve"> </w:t>
      </w:r>
      <w:r w:rsidRPr="001558A5">
        <w:rPr>
          <w:sz w:val="16"/>
          <w:szCs w:val="16"/>
          <w:lang w:val="es-CR"/>
        </w:rPr>
        <w:tab/>
      </w:r>
      <w:r w:rsidRPr="001558A5">
        <w:rPr>
          <w:sz w:val="16"/>
          <w:szCs w:val="16"/>
          <w:lang w:val="es-CR"/>
        </w:rPr>
        <w:tab/>
      </w:r>
      <w:r w:rsidR="00871E19" w:rsidRPr="001558A5">
        <w:rPr>
          <w:i/>
          <w:sz w:val="16"/>
          <w:szCs w:val="16"/>
          <w:lang w:val="es-CR"/>
        </w:rPr>
        <w:t>Cf.</w:t>
      </w:r>
      <w:r w:rsidRPr="001558A5">
        <w:rPr>
          <w:i/>
          <w:sz w:val="16"/>
          <w:szCs w:val="16"/>
          <w:lang w:val="es-CR"/>
        </w:rPr>
        <w:t xml:space="preserve"> </w:t>
      </w:r>
      <w:r w:rsidR="00871E19" w:rsidRPr="001558A5">
        <w:rPr>
          <w:i/>
          <w:sz w:val="16"/>
          <w:szCs w:val="16"/>
          <w:lang w:val="es-CR"/>
        </w:rPr>
        <w:t>Case of</w:t>
      </w:r>
      <w:r w:rsidRPr="001558A5">
        <w:rPr>
          <w:i/>
          <w:sz w:val="16"/>
          <w:szCs w:val="16"/>
          <w:lang w:val="es-CR"/>
        </w:rPr>
        <w:t xml:space="preserve"> Velásquez Rodríguez </w:t>
      </w:r>
      <w:r w:rsidR="00871E19" w:rsidRPr="001558A5">
        <w:rPr>
          <w:i/>
          <w:sz w:val="16"/>
          <w:szCs w:val="16"/>
          <w:lang w:val="es-CR"/>
        </w:rPr>
        <w:t>v.</w:t>
      </w:r>
      <w:r w:rsidRPr="001558A5">
        <w:rPr>
          <w:i/>
          <w:sz w:val="16"/>
          <w:szCs w:val="16"/>
          <w:lang w:val="es-CR"/>
        </w:rPr>
        <w:t xml:space="preserve"> Honduras. </w:t>
      </w:r>
      <w:r w:rsidR="00B93FA6" w:rsidRPr="001558A5">
        <w:rPr>
          <w:i/>
          <w:sz w:val="16"/>
          <w:szCs w:val="16"/>
          <w:lang w:val="en-US"/>
        </w:rPr>
        <w:t>Merits</w:t>
      </w:r>
      <w:r w:rsidRPr="001558A5">
        <w:rPr>
          <w:iCs/>
          <w:sz w:val="16"/>
          <w:szCs w:val="16"/>
          <w:lang w:val="en-US"/>
        </w:rPr>
        <w:t>,</w:t>
      </w:r>
      <w:r w:rsidRPr="001558A5">
        <w:rPr>
          <w:i/>
          <w:sz w:val="16"/>
          <w:szCs w:val="16"/>
          <w:lang w:val="en-US"/>
        </w:rPr>
        <w:t xml:space="preserve"> supra</w:t>
      </w:r>
      <w:r w:rsidRPr="001558A5">
        <w:rPr>
          <w:iCs/>
          <w:sz w:val="16"/>
          <w:szCs w:val="16"/>
          <w:lang w:val="en-US"/>
        </w:rPr>
        <w:t>,</w:t>
      </w:r>
      <w:r w:rsidRPr="001558A5">
        <w:rPr>
          <w:i/>
          <w:sz w:val="16"/>
          <w:szCs w:val="16"/>
          <w:lang w:val="en-US"/>
        </w:rPr>
        <w:t xml:space="preserve"> </w:t>
      </w:r>
      <w:r w:rsidR="00B43A52" w:rsidRPr="001558A5">
        <w:rPr>
          <w:rFonts w:eastAsia="Times New Roman"/>
          <w:bCs/>
          <w:iCs/>
          <w:sz w:val="16"/>
          <w:szCs w:val="16"/>
          <w:lang w:val="en-US" w:eastAsia="es-ES_tradnl"/>
        </w:rPr>
        <w:t>para.</w:t>
      </w:r>
      <w:r w:rsidRPr="001558A5">
        <w:rPr>
          <w:rFonts w:eastAsia="Times New Roman"/>
          <w:bCs/>
          <w:iCs/>
          <w:sz w:val="16"/>
          <w:szCs w:val="16"/>
          <w:lang w:val="en-US" w:eastAsia="es-ES_tradnl"/>
        </w:rPr>
        <w:t xml:space="preserve"> 174,</w:t>
      </w:r>
      <w:r w:rsidR="00DD4354" w:rsidRPr="001558A5">
        <w:rPr>
          <w:rFonts w:eastAsia="Times New Roman"/>
          <w:bCs/>
          <w:iCs/>
          <w:sz w:val="16"/>
          <w:szCs w:val="16"/>
          <w:lang w:val="en-US" w:eastAsia="es-ES_tradnl"/>
        </w:rPr>
        <w:t xml:space="preserve"> and </w:t>
      </w:r>
      <w:r w:rsidR="00871E19" w:rsidRPr="001558A5">
        <w:rPr>
          <w:rFonts w:eastAsia="Times New Roman"/>
          <w:bCs/>
          <w:i/>
          <w:sz w:val="16"/>
          <w:szCs w:val="16"/>
          <w:lang w:val="en-US" w:eastAsia="es-ES_tradnl"/>
        </w:rPr>
        <w:t>Case of</w:t>
      </w:r>
      <w:r w:rsidRPr="001558A5">
        <w:rPr>
          <w:rFonts w:eastAsia="Times New Roman"/>
          <w:bCs/>
          <w:i/>
          <w:sz w:val="16"/>
          <w:szCs w:val="16"/>
          <w:lang w:val="en-US" w:eastAsia="es-ES_tradnl"/>
        </w:rPr>
        <w:t xml:space="preserve"> </w:t>
      </w:r>
      <w:proofErr w:type="spellStart"/>
      <w:r w:rsidRPr="001558A5">
        <w:rPr>
          <w:rFonts w:eastAsia="Times New Roman"/>
          <w:bCs/>
          <w:i/>
          <w:sz w:val="16"/>
          <w:szCs w:val="16"/>
          <w:lang w:val="en-US" w:eastAsia="es-ES_tradnl"/>
        </w:rPr>
        <w:t>Villaseñor</w:t>
      </w:r>
      <w:proofErr w:type="spellEnd"/>
      <w:r w:rsidRPr="001558A5">
        <w:rPr>
          <w:rFonts w:eastAsia="Times New Roman"/>
          <w:bCs/>
          <w:i/>
          <w:sz w:val="16"/>
          <w:szCs w:val="16"/>
          <w:lang w:val="en-US" w:eastAsia="es-ES_tradnl"/>
        </w:rPr>
        <w:t xml:space="preserve"> Velarde</w:t>
      </w:r>
      <w:r w:rsidR="00DD4354" w:rsidRPr="001558A5">
        <w:rPr>
          <w:rFonts w:eastAsia="Times New Roman"/>
          <w:bCs/>
          <w:i/>
          <w:sz w:val="16"/>
          <w:szCs w:val="16"/>
          <w:lang w:val="en-US" w:eastAsia="es-ES_tradnl"/>
        </w:rPr>
        <w:t xml:space="preserve"> </w:t>
      </w:r>
      <w:r w:rsidR="004F4F9C" w:rsidRPr="001558A5">
        <w:rPr>
          <w:rFonts w:eastAsia="Times New Roman"/>
          <w:bCs/>
          <w:i/>
          <w:sz w:val="16"/>
          <w:szCs w:val="16"/>
          <w:lang w:val="en-US" w:eastAsia="es-ES_tradnl"/>
        </w:rPr>
        <w:t>et al. v.</w:t>
      </w:r>
      <w:r w:rsidRPr="001558A5">
        <w:rPr>
          <w:rFonts w:eastAsia="Times New Roman"/>
          <w:bCs/>
          <w:i/>
          <w:sz w:val="16"/>
          <w:szCs w:val="16"/>
          <w:lang w:val="en-US" w:eastAsia="es-ES_tradnl"/>
        </w:rPr>
        <w:t xml:space="preserve"> Guatemala. </w:t>
      </w:r>
      <w:r w:rsidR="00B43A52" w:rsidRPr="001558A5">
        <w:rPr>
          <w:rFonts w:eastAsia="Times New Roman"/>
          <w:bCs/>
          <w:i/>
          <w:sz w:val="16"/>
          <w:szCs w:val="16"/>
          <w:lang w:val="en-US" w:eastAsia="es-ES_tradnl"/>
        </w:rPr>
        <w:t>Merits, reparations and costs</w:t>
      </w:r>
      <w:r w:rsidRPr="001558A5">
        <w:rPr>
          <w:rFonts w:eastAsia="Times New Roman"/>
          <w:bCs/>
          <w:iCs/>
          <w:sz w:val="16"/>
          <w:szCs w:val="16"/>
          <w:lang w:val="en-US" w:eastAsia="es-ES_tradnl"/>
        </w:rPr>
        <w:t xml:space="preserve">. </w:t>
      </w:r>
      <w:r w:rsidR="00871E19" w:rsidRPr="001558A5">
        <w:rPr>
          <w:rFonts w:eastAsia="Times New Roman"/>
          <w:bCs/>
          <w:iCs/>
          <w:sz w:val="16"/>
          <w:szCs w:val="16"/>
          <w:lang w:val="en-US" w:eastAsia="es-ES_tradnl"/>
        </w:rPr>
        <w:t>Judgment of</w:t>
      </w:r>
      <w:r w:rsidRPr="001558A5">
        <w:rPr>
          <w:rFonts w:eastAsia="Times New Roman"/>
          <w:bCs/>
          <w:iCs/>
          <w:sz w:val="16"/>
          <w:szCs w:val="16"/>
          <w:lang w:val="en-US" w:eastAsia="es-ES_tradnl"/>
        </w:rPr>
        <w:t xml:space="preserve"> </w:t>
      </w:r>
      <w:r w:rsidR="00BA7C6E" w:rsidRPr="001558A5">
        <w:rPr>
          <w:rFonts w:eastAsia="Times New Roman"/>
          <w:bCs/>
          <w:iCs/>
          <w:sz w:val="16"/>
          <w:szCs w:val="16"/>
          <w:lang w:val="en-US" w:eastAsia="es-ES_tradnl"/>
        </w:rPr>
        <w:t>February 5,</w:t>
      </w:r>
      <w:r w:rsidRPr="001558A5">
        <w:rPr>
          <w:rFonts w:eastAsia="Times New Roman"/>
          <w:bCs/>
          <w:iCs/>
          <w:sz w:val="16"/>
          <w:szCs w:val="16"/>
          <w:lang w:val="en-US" w:eastAsia="es-ES_tradnl"/>
        </w:rPr>
        <w:t xml:space="preserve"> 2019. </w:t>
      </w:r>
      <w:r w:rsidR="00B43A52" w:rsidRPr="001558A5">
        <w:rPr>
          <w:rFonts w:eastAsia="Times New Roman"/>
          <w:bCs/>
          <w:iCs/>
          <w:sz w:val="16"/>
          <w:szCs w:val="16"/>
          <w:lang w:val="en-US" w:eastAsia="es-ES_tradnl"/>
        </w:rPr>
        <w:t xml:space="preserve">Series </w:t>
      </w:r>
      <w:r w:rsidRPr="001558A5">
        <w:rPr>
          <w:rFonts w:eastAsia="Times New Roman"/>
          <w:bCs/>
          <w:iCs/>
          <w:sz w:val="16"/>
          <w:szCs w:val="16"/>
          <w:lang w:val="en-US" w:eastAsia="es-ES_tradnl"/>
        </w:rPr>
        <w:t xml:space="preserve">C No. 374, </w:t>
      </w:r>
      <w:r w:rsidR="00B43A52" w:rsidRPr="001558A5">
        <w:rPr>
          <w:rFonts w:eastAsia="Times New Roman"/>
          <w:bCs/>
          <w:iCs/>
          <w:sz w:val="16"/>
          <w:szCs w:val="16"/>
          <w:lang w:val="en-US" w:eastAsia="es-ES_tradnl"/>
        </w:rPr>
        <w:t>para.</w:t>
      </w:r>
      <w:r w:rsidRPr="001558A5">
        <w:rPr>
          <w:rFonts w:eastAsia="Times New Roman"/>
          <w:bCs/>
          <w:iCs/>
          <w:sz w:val="16"/>
          <w:szCs w:val="16"/>
          <w:lang w:val="en-US" w:eastAsia="es-ES_tradnl"/>
        </w:rPr>
        <w:t xml:space="preserve"> 102.</w:t>
      </w:r>
    </w:p>
  </w:footnote>
  <w:footnote w:id="124">
    <w:p w14:paraId="55757593" w14:textId="233A2963"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lang w:val="en-US"/>
        </w:rPr>
        <w:t>Cf.</w:t>
      </w:r>
      <w:r w:rsidRPr="001558A5">
        <w:rPr>
          <w:i/>
          <w:lang w:val="en-US"/>
        </w:rPr>
        <w:t xml:space="preserve"> </w:t>
      </w:r>
      <w:r w:rsidR="00871E19" w:rsidRPr="001558A5">
        <w:rPr>
          <w:i/>
          <w:lang w:val="en-US"/>
        </w:rPr>
        <w:t>Case of</w:t>
      </w:r>
      <w:r w:rsidRPr="001558A5">
        <w:rPr>
          <w:i/>
          <w:lang w:val="en-US"/>
        </w:rPr>
        <w:t xml:space="preserve"> </w:t>
      </w:r>
      <w:r w:rsidR="00BA7C6E" w:rsidRPr="001558A5">
        <w:rPr>
          <w:i/>
          <w:lang w:val="en-US"/>
        </w:rPr>
        <w:t>the</w:t>
      </w:r>
      <w:r w:rsidRPr="001558A5">
        <w:rPr>
          <w:i/>
          <w:lang w:val="en-US"/>
        </w:rPr>
        <w:t xml:space="preserve"> Pueblo Bello </w:t>
      </w:r>
      <w:r w:rsidR="00BA7C6E" w:rsidRPr="001558A5">
        <w:rPr>
          <w:i/>
          <w:lang w:val="en-US"/>
        </w:rPr>
        <w:t xml:space="preserve">Massacre </w:t>
      </w:r>
      <w:r w:rsidR="00871E19" w:rsidRPr="001558A5">
        <w:rPr>
          <w:i/>
          <w:lang w:val="en-US"/>
        </w:rPr>
        <w:t>v.</w:t>
      </w:r>
      <w:r w:rsidRPr="001558A5">
        <w:rPr>
          <w:i/>
          <w:lang w:val="en-US"/>
        </w:rPr>
        <w:t xml:space="preserve"> Colombia.</w:t>
      </w:r>
      <w:r w:rsidR="006B446B" w:rsidRPr="001558A5">
        <w:rPr>
          <w:i/>
          <w:lang w:val="en-US"/>
        </w:rPr>
        <w:t xml:space="preserve"> </w:t>
      </w:r>
      <w:r w:rsidR="006B446B" w:rsidRPr="001558A5">
        <w:rPr>
          <w:i/>
          <w:iCs/>
          <w:lang w:val="en-US"/>
        </w:rPr>
        <w:t>Merits, reparations and costs.</w:t>
      </w:r>
      <w:r w:rsidRPr="001558A5">
        <w:rPr>
          <w:i/>
          <w:lang w:val="en-US"/>
        </w:rPr>
        <w:t xml:space="preserve"> </w:t>
      </w:r>
      <w:r w:rsidR="00871E19" w:rsidRPr="001558A5">
        <w:rPr>
          <w:iCs/>
          <w:lang w:val="en-US"/>
        </w:rPr>
        <w:t>Judgment of</w:t>
      </w:r>
      <w:r w:rsidRPr="001558A5">
        <w:rPr>
          <w:iCs/>
          <w:lang w:val="en-US"/>
        </w:rPr>
        <w:t xml:space="preserve"> </w:t>
      </w:r>
      <w:r w:rsidR="00BA7C6E" w:rsidRPr="001558A5">
        <w:rPr>
          <w:iCs/>
          <w:lang w:val="en-US"/>
        </w:rPr>
        <w:t>January 31,</w:t>
      </w:r>
      <w:r w:rsidRPr="001558A5">
        <w:rPr>
          <w:iCs/>
          <w:lang w:val="en-US"/>
        </w:rPr>
        <w:t xml:space="preserve"> 2006. </w:t>
      </w:r>
      <w:r w:rsidR="00B43A52" w:rsidRPr="001558A5">
        <w:rPr>
          <w:iCs/>
          <w:lang w:val="es-CR"/>
        </w:rPr>
        <w:t xml:space="preserve">Series </w:t>
      </w:r>
      <w:r w:rsidRPr="001558A5">
        <w:rPr>
          <w:iCs/>
          <w:lang w:val="es-CR"/>
        </w:rPr>
        <w:t>C No. 140</w:t>
      </w:r>
      <w:r w:rsidRPr="001558A5">
        <w:rPr>
          <w:i/>
          <w:lang w:val="es-CR"/>
        </w:rPr>
        <w:t xml:space="preserve">, </w:t>
      </w:r>
      <w:r w:rsidR="00B43A52" w:rsidRPr="001558A5">
        <w:rPr>
          <w:lang w:val="es-CR"/>
        </w:rPr>
        <w:t>para.</w:t>
      </w:r>
      <w:r w:rsidRPr="001558A5">
        <w:rPr>
          <w:lang w:val="es-CR"/>
        </w:rPr>
        <w:t xml:space="preserve"> 120,</w:t>
      </w:r>
      <w:r w:rsidR="00DD4354" w:rsidRPr="001558A5">
        <w:rPr>
          <w:lang w:val="es-CR"/>
        </w:rPr>
        <w:t xml:space="preserve"> and </w:t>
      </w:r>
      <w:r w:rsidR="00871E19" w:rsidRPr="001558A5">
        <w:rPr>
          <w:i/>
          <w:iCs/>
          <w:lang w:val="es-CR"/>
        </w:rPr>
        <w:t>Case of</w:t>
      </w:r>
      <w:r w:rsidRPr="001558A5">
        <w:rPr>
          <w:i/>
          <w:iCs/>
          <w:lang w:val="es-CR"/>
        </w:rPr>
        <w:t xml:space="preserve"> Olivares Muñoz</w:t>
      </w:r>
      <w:r w:rsidR="00DD4354" w:rsidRPr="001558A5">
        <w:rPr>
          <w:i/>
          <w:iCs/>
          <w:lang w:val="es-CR"/>
        </w:rPr>
        <w:t xml:space="preserve"> </w:t>
      </w:r>
      <w:r w:rsidR="004F4F9C" w:rsidRPr="001558A5">
        <w:rPr>
          <w:i/>
          <w:iCs/>
          <w:lang w:val="es-CR"/>
        </w:rPr>
        <w:t>et al. v.</w:t>
      </w:r>
      <w:r w:rsidRPr="001558A5">
        <w:rPr>
          <w:i/>
          <w:iCs/>
          <w:lang w:val="es-CR"/>
        </w:rPr>
        <w:t xml:space="preserve"> Venezuela</w:t>
      </w:r>
      <w:r w:rsidRPr="001558A5">
        <w:rPr>
          <w:lang w:val="es-CR"/>
        </w:rPr>
        <w:t xml:space="preserve">, </w:t>
      </w:r>
      <w:r w:rsidRPr="001558A5">
        <w:rPr>
          <w:i/>
          <w:iCs/>
          <w:lang w:val="es-CR"/>
        </w:rPr>
        <w:t>supra</w:t>
      </w:r>
      <w:r w:rsidRPr="001558A5">
        <w:rPr>
          <w:lang w:val="es-CR"/>
        </w:rPr>
        <w:t xml:space="preserve">, </w:t>
      </w:r>
      <w:r w:rsidR="00B43A52" w:rsidRPr="001558A5">
        <w:rPr>
          <w:lang w:val="es-CR"/>
        </w:rPr>
        <w:t>para.</w:t>
      </w:r>
      <w:r w:rsidRPr="001558A5">
        <w:rPr>
          <w:lang w:val="es-CR"/>
        </w:rPr>
        <w:t xml:space="preserve"> </w:t>
      </w:r>
      <w:r w:rsidRPr="001558A5">
        <w:rPr>
          <w:lang w:val="en-US"/>
        </w:rPr>
        <w:t>87.</w:t>
      </w:r>
    </w:p>
  </w:footnote>
  <w:footnote w:id="125">
    <w:p w14:paraId="315D5536" w14:textId="0B510C22"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lang w:val="en-US"/>
        </w:rPr>
        <w:t>Cf.</w:t>
      </w:r>
      <w:r w:rsidRPr="001558A5">
        <w:rPr>
          <w:lang w:val="en-US"/>
        </w:rPr>
        <w:t xml:space="preserve"> </w:t>
      </w:r>
      <w:r w:rsidR="00871E19" w:rsidRPr="001558A5">
        <w:rPr>
          <w:i/>
          <w:lang w:val="en-US"/>
        </w:rPr>
        <w:t>Case of</w:t>
      </w:r>
      <w:r w:rsidRPr="001558A5">
        <w:rPr>
          <w:i/>
          <w:lang w:val="en-US"/>
        </w:rPr>
        <w:t xml:space="preserve"> </w:t>
      </w:r>
      <w:proofErr w:type="spellStart"/>
      <w:r w:rsidRPr="001558A5">
        <w:rPr>
          <w:i/>
          <w:lang w:val="en-US"/>
        </w:rPr>
        <w:t>Baldeón</w:t>
      </w:r>
      <w:proofErr w:type="spellEnd"/>
      <w:r w:rsidRPr="001558A5">
        <w:rPr>
          <w:i/>
          <w:lang w:val="en-US"/>
        </w:rPr>
        <w:t xml:space="preserve"> </w:t>
      </w:r>
      <w:proofErr w:type="spellStart"/>
      <w:r w:rsidRPr="001558A5">
        <w:rPr>
          <w:i/>
          <w:lang w:val="en-US"/>
        </w:rPr>
        <w:t>García</w:t>
      </w:r>
      <w:proofErr w:type="spellEnd"/>
      <w:r w:rsidRPr="001558A5">
        <w:rPr>
          <w:i/>
          <w:lang w:val="en-US"/>
        </w:rPr>
        <w:t xml:space="preserve"> </w:t>
      </w:r>
      <w:r w:rsidR="00871E19" w:rsidRPr="001558A5">
        <w:rPr>
          <w:i/>
          <w:lang w:val="en-US"/>
        </w:rPr>
        <w:t>v.</w:t>
      </w:r>
      <w:r w:rsidRPr="001558A5">
        <w:rPr>
          <w:i/>
          <w:lang w:val="en-US"/>
        </w:rPr>
        <w:t xml:space="preserve"> </w:t>
      </w:r>
      <w:r w:rsidR="00D11908" w:rsidRPr="001558A5">
        <w:rPr>
          <w:i/>
          <w:lang w:val="en-US"/>
        </w:rPr>
        <w:t>Peru</w:t>
      </w:r>
      <w:r w:rsidRPr="001558A5">
        <w:rPr>
          <w:lang w:val="en-US"/>
        </w:rPr>
        <w:t xml:space="preserve">. </w:t>
      </w:r>
      <w:r w:rsidR="00B43A52" w:rsidRPr="001558A5">
        <w:rPr>
          <w:i/>
          <w:iCs/>
          <w:lang w:val="en-US"/>
        </w:rPr>
        <w:t>Merits, reparations and costs</w:t>
      </w:r>
      <w:r w:rsidRPr="001558A5">
        <w:rPr>
          <w:i/>
          <w:iCs/>
          <w:lang w:val="en-US"/>
        </w:rPr>
        <w:t>.</w:t>
      </w:r>
      <w:r w:rsidRPr="001558A5">
        <w:rPr>
          <w:lang w:val="en-US"/>
        </w:rPr>
        <w:t xml:space="preserve"> </w:t>
      </w:r>
      <w:r w:rsidR="00871E19" w:rsidRPr="001558A5">
        <w:rPr>
          <w:lang w:val="en-US"/>
        </w:rPr>
        <w:t>Judgment of</w:t>
      </w:r>
      <w:r w:rsidRPr="001558A5">
        <w:rPr>
          <w:lang w:val="en-US"/>
        </w:rPr>
        <w:t xml:space="preserve"> </w:t>
      </w:r>
      <w:r w:rsidR="00BA7C6E" w:rsidRPr="001558A5">
        <w:rPr>
          <w:lang w:val="en-US"/>
        </w:rPr>
        <w:t>April 6,</w:t>
      </w:r>
      <w:r w:rsidRPr="001558A5">
        <w:rPr>
          <w:lang w:val="en-US"/>
        </w:rPr>
        <w:t xml:space="preserve"> 2006. </w:t>
      </w:r>
      <w:r w:rsidR="00B43A52" w:rsidRPr="001558A5">
        <w:rPr>
          <w:lang w:val="en-US"/>
        </w:rPr>
        <w:t xml:space="preserve">Series </w:t>
      </w:r>
      <w:r w:rsidRPr="001558A5">
        <w:rPr>
          <w:lang w:val="en-US"/>
        </w:rPr>
        <w:t xml:space="preserve">C No. 147, </w:t>
      </w:r>
      <w:r w:rsidR="00B43A52" w:rsidRPr="001558A5">
        <w:rPr>
          <w:lang w:val="en-US"/>
        </w:rPr>
        <w:t>para.</w:t>
      </w:r>
      <w:r w:rsidRPr="001558A5">
        <w:rPr>
          <w:lang w:val="en-US"/>
        </w:rPr>
        <w:t xml:space="preserve"> 97,</w:t>
      </w:r>
      <w:r w:rsidR="00DD4354" w:rsidRPr="001558A5">
        <w:rPr>
          <w:lang w:val="en-US"/>
        </w:rPr>
        <w:t xml:space="preserve"> and </w:t>
      </w:r>
      <w:r w:rsidR="00871E19" w:rsidRPr="001558A5">
        <w:rPr>
          <w:i/>
          <w:iCs/>
          <w:lang w:val="en-US"/>
        </w:rPr>
        <w:t>Case of</w:t>
      </w:r>
      <w:r w:rsidRPr="001558A5">
        <w:rPr>
          <w:i/>
          <w:iCs/>
          <w:lang w:val="en-US"/>
        </w:rPr>
        <w:t xml:space="preserve"> Carvajal</w:t>
      </w:r>
      <w:r w:rsidR="00DD4354" w:rsidRPr="001558A5">
        <w:rPr>
          <w:i/>
          <w:iCs/>
          <w:lang w:val="en-US"/>
        </w:rPr>
        <w:t xml:space="preserve"> </w:t>
      </w:r>
      <w:proofErr w:type="spellStart"/>
      <w:r w:rsidR="00833BAB" w:rsidRPr="001558A5">
        <w:rPr>
          <w:i/>
          <w:iCs/>
          <w:lang w:val="en-US"/>
        </w:rPr>
        <w:t>Caravajal</w:t>
      </w:r>
      <w:proofErr w:type="spellEnd"/>
      <w:r w:rsidR="00833BAB" w:rsidRPr="001558A5">
        <w:rPr>
          <w:i/>
          <w:iCs/>
          <w:lang w:val="en-US"/>
        </w:rPr>
        <w:t xml:space="preserve"> </w:t>
      </w:r>
      <w:r w:rsidR="004F4F9C" w:rsidRPr="001558A5">
        <w:rPr>
          <w:i/>
          <w:iCs/>
          <w:lang w:val="en-US"/>
        </w:rPr>
        <w:t>et al. v.</w:t>
      </w:r>
      <w:r w:rsidRPr="001558A5">
        <w:rPr>
          <w:i/>
          <w:iCs/>
          <w:lang w:val="en-US"/>
        </w:rPr>
        <w:t xml:space="preserve"> Colombia. </w:t>
      </w:r>
      <w:r w:rsidR="00B43A52" w:rsidRPr="001558A5">
        <w:rPr>
          <w:i/>
          <w:iCs/>
          <w:lang w:val="en-US"/>
        </w:rPr>
        <w:t>Merits, reparations and costs</w:t>
      </w:r>
      <w:r w:rsidRPr="001558A5">
        <w:rPr>
          <w:lang w:val="en-US"/>
        </w:rPr>
        <w:t xml:space="preserve">. </w:t>
      </w:r>
      <w:r w:rsidR="00871E19" w:rsidRPr="001558A5">
        <w:rPr>
          <w:lang w:val="en-US"/>
        </w:rPr>
        <w:t>Judgment of</w:t>
      </w:r>
      <w:r w:rsidRPr="001558A5">
        <w:rPr>
          <w:lang w:val="en-US"/>
        </w:rPr>
        <w:t xml:space="preserve"> </w:t>
      </w:r>
      <w:r w:rsidR="00BA7C6E" w:rsidRPr="001558A5">
        <w:rPr>
          <w:lang w:val="en-US"/>
        </w:rPr>
        <w:t xml:space="preserve">March </w:t>
      </w:r>
      <w:r w:rsidRPr="001558A5">
        <w:rPr>
          <w:lang w:val="en-US"/>
        </w:rPr>
        <w:t>13</w:t>
      </w:r>
      <w:r w:rsidR="00BA7C6E" w:rsidRPr="001558A5">
        <w:rPr>
          <w:lang w:val="en-US"/>
        </w:rPr>
        <w:t>,</w:t>
      </w:r>
      <w:r w:rsidRPr="001558A5">
        <w:rPr>
          <w:lang w:val="en-US"/>
        </w:rPr>
        <w:t xml:space="preserve"> 2018. </w:t>
      </w:r>
      <w:r w:rsidR="00B43A52" w:rsidRPr="001558A5">
        <w:rPr>
          <w:lang w:val="en-US"/>
        </w:rPr>
        <w:t xml:space="preserve">Series </w:t>
      </w:r>
      <w:r w:rsidRPr="001558A5">
        <w:rPr>
          <w:lang w:val="en-US"/>
        </w:rPr>
        <w:t xml:space="preserve">C No. 352, </w:t>
      </w:r>
      <w:r w:rsidR="00B43A52" w:rsidRPr="001558A5">
        <w:rPr>
          <w:lang w:val="en-US"/>
        </w:rPr>
        <w:t>para.</w:t>
      </w:r>
      <w:r w:rsidRPr="001558A5">
        <w:rPr>
          <w:lang w:val="en-US"/>
        </w:rPr>
        <w:t xml:space="preserve"> 164.</w:t>
      </w:r>
    </w:p>
  </w:footnote>
  <w:footnote w:id="126">
    <w:p w14:paraId="649ABEAC" w14:textId="37D87B11"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lang w:val="en-US"/>
        </w:rPr>
        <w:t>Cf.</w:t>
      </w:r>
      <w:r w:rsidRPr="001558A5">
        <w:rPr>
          <w:lang w:val="en-US"/>
        </w:rPr>
        <w:t xml:space="preserve"> </w:t>
      </w:r>
      <w:r w:rsidR="00871E19" w:rsidRPr="001558A5">
        <w:rPr>
          <w:i/>
          <w:iCs/>
          <w:lang w:val="en-US"/>
        </w:rPr>
        <w:t>Case of</w:t>
      </w:r>
      <w:r w:rsidRPr="001558A5">
        <w:rPr>
          <w:i/>
          <w:iCs/>
          <w:lang w:val="en-US"/>
        </w:rPr>
        <w:t xml:space="preserve"> </w:t>
      </w:r>
      <w:proofErr w:type="spellStart"/>
      <w:r w:rsidRPr="001558A5">
        <w:rPr>
          <w:i/>
          <w:iCs/>
          <w:lang w:val="en-US"/>
        </w:rPr>
        <w:t>Anzualdo</w:t>
      </w:r>
      <w:proofErr w:type="spellEnd"/>
      <w:r w:rsidRPr="001558A5">
        <w:rPr>
          <w:i/>
          <w:iCs/>
          <w:lang w:val="en-US"/>
        </w:rPr>
        <w:t xml:space="preserve"> Castro </w:t>
      </w:r>
      <w:r w:rsidR="00871E19" w:rsidRPr="001558A5">
        <w:rPr>
          <w:i/>
          <w:iCs/>
          <w:lang w:val="en-US"/>
        </w:rPr>
        <w:t>v.</w:t>
      </w:r>
      <w:r w:rsidRPr="001558A5">
        <w:rPr>
          <w:i/>
          <w:iCs/>
          <w:lang w:val="en-US"/>
        </w:rPr>
        <w:t xml:space="preserve"> </w:t>
      </w:r>
      <w:r w:rsidR="00D11908" w:rsidRPr="001558A5">
        <w:rPr>
          <w:i/>
          <w:iCs/>
          <w:lang w:val="en-US"/>
        </w:rPr>
        <w:t>Peru</w:t>
      </w:r>
      <w:r w:rsidRPr="001558A5">
        <w:rPr>
          <w:i/>
          <w:iCs/>
          <w:lang w:val="en-US"/>
        </w:rPr>
        <w:t xml:space="preserve">. </w:t>
      </w:r>
      <w:r w:rsidR="00B43A52" w:rsidRPr="001558A5">
        <w:rPr>
          <w:i/>
          <w:iCs/>
          <w:lang w:val="en-US"/>
        </w:rPr>
        <w:t>Preliminary objection, merits, reparations and costs</w:t>
      </w:r>
      <w:r w:rsidRPr="001558A5">
        <w:rPr>
          <w:lang w:val="en-US"/>
        </w:rPr>
        <w:t xml:space="preserve">. </w:t>
      </w:r>
      <w:r w:rsidR="00871E19" w:rsidRPr="001558A5">
        <w:rPr>
          <w:lang w:val="en-US"/>
        </w:rPr>
        <w:t>Judgment of</w:t>
      </w:r>
      <w:r w:rsidRPr="001558A5">
        <w:rPr>
          <w:lang w:val="en-US"/>
        </w:rPr>
        <w:t xml:space="preserve"> </w:t>
      </w:r>
      <w:r w:rsidR="00BA7C6E" w:rsidRPr="001558A5">
        <w:rPr>
          <w:lang w:val="en-US"/>
        </w:rPr>
        <w:t>September 22,</w:t>
      </w:r>
      <w:r w:rsidRPr="001558A5">
        <w:rPr>
          <w:lang w:val="en-US"/>
        </w:rPr>
        <w:t xml:space="preserve"> 2009. </w:t>
      </w:r>
      <w:r w:rsidR="00B43A52" w:rsidRPr="001558A5">
        <w:rPr>
          <w:lang w:val="en-US"/>
        </w:rPr>
        <w:t xml:space="preserve">Series </w:t>
      </w:r>
      <w:r w:rsidRPr="001558A5">
        <w:rPr>
          <w:lang w:val="en-US"/>
        </w:rPr>
        <w:t xml:space="preserve">C No. 202, </w:t>
      </w:r>
      <w:r w:rsidR="00B43A52" w:rsidRPr="001558A5">
        <w:rPr>
          <w:lang w:val="en-US"/>
        </w:rPr>
        <w:t>para.</w:t>
      </w:r>
      <w:r w:rsidRPr="001558A5">
        <w:rPr>
          <w:lang w:val="en-US"/>
        </w:rPr>
        <w:t xml:space="preserve"> 179</w:t>
      </w:r>
      <w:r w:rsidR="00DD4354" w:rsidRPr="001558A5">
        <w:rPr>
          <w:lang w:val="en-US"/>
        </w:rPr>
        <w:t xml:space="preserve"> and </w:t>
      </w:r>
      <w:r w:rsidR="00871E19" w:rsidRPr="001558A5">
        <w:rPr>
          <w:i/>
          <w:iCs/>
          <w:lang w:val="en-US"/>
        </w:rPr>
        <w:t>Case of</w:t>
      </w:r>
      <w:r w:rsidRPr="001558A5">
        <w:rPr>
          <w:i/>
          <w:iCs/>
          <w:lang w:val="en-US"/>
        </w:rPr>
        <w:t xml:space="preserve"> Carvajal </w:t>
      </w:r>
      <w:proofErr w:type="spellStart"/>
      <w:r w:rsidRPr="001558A5">
        <w:rPr>
          <w:i/>
          <w:iCs/>
          <w:lang w:val="en-US"/>
        </w:rPr>
        <w:t>Carvajal</w:t>
      </w:r>
      <w:proofErr w:type="spellEnd"/>
      <w:r w:rsidR="00DD4354" w:rsidRPr="001558A5">
        <w:rPr>
          <w:i/>
          <w:iCs/>
          <w:lang w:val="en-US"/>
        </w:rPr>
        <w:t xml:space="preserve"> </w:t>
      </w:r>
      <w:r w:rsidR="004F4F9C" w:rsidRPr="001558A5">
        <w:rPr>
          <w:i/>
          <w:iCs/>
          <w:lang w:val="en-US"/>
        </w:rPr>
        <w:t>et al. v.</w:t>
      </w:r>
      <w:r w:rsidRPr="001558A5">
        <w:rPr>
          <w:i/>
          <w:iCs/>
          <w:lang w:val="en-US"/>
        </w:rPr>
        <w:t xml:space="preserve"> Colombia</w:t>
      </w:r>
      <w:r w:rsidRPr="001558A5">
        <w:rPr>
          <w:lang w:val="en-US"/>
        </w:rPr>
        <w:t xml:space="preserve">, </w:t>
      </w:r>
      <w:r w:rsidRPr="001558A5">
        <w:rPr>
          <w:i/>
          <w:iCs/>
          <w:lang w:val="en-US"/>
        </w:rPr>
        <w:t>supra</w:t>
      </w:r>
      <w:r w:rsidRPr="001558A5">
        <w:rPr>
          <w:lang w:val="en-US"/>
        </w:rPr>
        <w:t xml:space="preserve">, </w:t>
      </w:r>
      <w:r w:rsidR="00B43A52" w:rsidRPr="001558A5">
        <w:rPr>
          <w:lang w:val="en-US"/>
        </w:rPr>
        <w:t>para.</w:t>
      </w:r>
      <w:r w:rsidRPr="001558A5">
        <w:rPr>
          <w:lang w:val="en-US"/>
        </w:rPr>
        <w:t xml:space="preserve"> 164.</w:t>
      </w:r>
    </w:p>
  </w:footnote>
  <w:footnote w:id="127">
    <w:p w14:paraId="4EF63721" w14:textId="56231AD5" w:rsidR="005977F6" w:rsidRPr="001558A5" w:rsidRDefault="005977F6"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szCs w:val="16"/>
          <w:lang w:val="en-US"/>
        </w:rPr>
        <w:t>Cf.</w:t>
      </w:r>
      <w:r w:rsidRPr="001558A5">
        <w:rPr>
          <w:i/>
          <w:szCs w:val="16"/>
          <w:lang w:val="en-US"/>
        </w:rPr>
        <w:t xml:space="preserve"> </w:t>
      </w:r>
      <w:r w:rsidR="00871E19" w:rsidRPr="001558A5">
        <w:rPr>
          <w:i/>
          <w:szCs w:val="16"/>
          <w:lang w:val="en-US"/>
        </w:rPr>
        <w:t>Case of</w:t>
      </w:r>
      <w:r w:rsidRPr="001558A5">
        <w:rPr>
          <w:i/>
          <w:szCs w:val="16"/>
          <w:lang w:val="en-US"/>
        </w:rPr>
        <w:t xml:space="preserve"> </w:t>
      </w:r>
      <w:r w:rsidR="00BA7C6E" w:rsidRPr="001558A5">
        <w:rPr>
          <w:i/>
          <w:szCs w:val="16"/>
          <w:lang w:val="en-US"/>
        </w:rPr>
        <w:t xml:space="preserve">the Human Rights Defender </w:t>
      </w:r>
      <w:r w:rsidR="004F4F9C" w:rsidRPr="001558A5">
        <w:rPr>
          <w:i/>
          <w:szCs w:val="16"/>
          <w:lang w:val="en-US"/>
        </w:rPr>
        <w:t>et al. v.</w:t>
      </w:r>
      <w:r w:rsidRPr="001558A5">
        <w:rPr>
          <w:i/>
          <w:szCs w:val="16"/>
          <w:lang w:val="en-US"/>
        </w:rPr>
        <w:t xml:space="preserve"> Guatemala. </w:t>
      </w:r>
      <w:r w:rsidR="00B43A52" w:rsidRPr="001558A5">
        <w:rPr>
          <w:i/>
          <w:szCs w:val="16"/>
          <w:lang w:val="en-US"/>
        </w:rPr>
        <w:t>Preliminary objections, merits, reparations and costs</w:t>
      </w:r>
      <w:r w:rsidRPr="001558A5">
        <w:rPr>
          <w:i/>
          <w:szCs w:val="16"/>
          <w:lang w:val="en-US"/>
        </w:rPr>
        <w:t xml:space="preserve">. </w:t>
      </w:r>
      <w:r w:rsidR="00871E19" w:rsidRPr="001558A5">
        <w:rPr>
          <w:iCs/>
          <w:szCs w:val="16"/>
          <w:lang w:val="en-US"/>
        </w:rPr>
        <w:t>Judgment of</w:t>
      </w:r>
      <w:r w:rsidRPr="001558A5">
        <w:rPr>
          <w:iCs/>
          <w:szCs w:val="16"/>
          <w:lang w:val="en-US"/>
        </w:rPr>
        <w:t xml:space="preserve"> </w:t>
      </w:r>
      <w:r w:rsidR="00BA7C6E" w:rsidRPr="001558A5">
        <w:rPr>
          <w:iCs/>
          <w:szCs w:val="16"/>
          <w:lang w:val="en-US"/>
        </w:rPr>
        <w:t>August 28,</w:t>
      </w:r>
      <w:r w:rsidRPr="001558A5">
        <w:rPr>
          <w:iCs/>
          <w:szCs w:val="16"/>
          <w:lang w:val="en-US"/>
        </w:rPr>
        <w:t xml:space="preserve"> 2014. </w:t>
      </w:r>
      <w:r w:rsidR="00B43A52" w:rsidRPr="001558A5">
        <w:rPr>
          <w:iCs/>
          <w:szCs w:val="16"/>
          <w:lang w:val="en-US"/>
        </w:rPr>
        <w:t xml:space="preserve">Series </w:t>
      </w:r>
      <w:r w:rsidRPr="001558A5">
        <w:rPr>
          <w:iCs/>
          <w:szCs w:val="16"/>
          <w:lang w:val="en-US"/>
        </w:rPr>
        <w:t>C No. 283</w:t>
      </w:r>
      <w:r w:rsidRPr="001558A5">
        <w:rPr>
          <w:szCs w:val="16"/>
          <w:lang w:val="en-US"/>
        </w:rPr>
        <w:t xml:space="preserve">, </w:t>
      </w:r>
      <w:r w:rsidR="00B43A52" w:rsidRPr="001558A5">
        <w:rPr>
          <w:szCs w:val="16"/>
          <w:lang w:val="en-US"/>
        </w:rPr>
        <w:t>para.</w:t>
      </w:r>
      <w:r w:rsidRPr="001558A5">
        <w:rPr>
          <w:szCs w:val="16"/>
          <w:lang w:val="en-US"/>
        </w:rPr>
        <w:t xml:space="preserve"> 142,</w:t>
      </w:r>
      <w:r w:rsidR="00DD4354" w:rsidRPr="001558A5">
        <w:rPr>
          <w:szCs w:val="16"/>
          <w:lang w:val="en-US"/>
        </w:rPr>
        <w:t xml:space="preserve"> and </w:t>
      </w:r>
      <w:r w:rsidR="00871E19" w:rsidRPr="001558A5">
        <w:rPr>
          <w:i/>
          <w:szCs w:val="16"/>
          <w:lang w:val="en-US"/>
        </w:rPr>
        <w:t>Case of</w:t>
      </w:r>
      <w:r w:rsidRPr="001558A5">
        <w:rPr>
          <w:i/>
          <w:szCs w:val="16"/>
          <w:lang w:val="en-US"/>
        </w:rPr>
        <w:t xml:space="preserve"> </w:t>
      </w:r>
      <w:proofErr w:type="spellStart"/>
      <w:r w:rsidRPr="001558A5">
        <w:rPr>
          <w:i/>
          <w:szCs w:val="16"/>
          <w:lang w:val="en-US"/>
        </w:rPr>
        <w:t>Escaleras</w:t>
      </w:r>
      <w:proofErr w:type="spellEnd"/>
      <w:r w:rsidRPr="001558A5">
        <w:rPr>
          <w:i/>
          <w:szCs w:val="16"/>
          <w:lang w:val="en-US"/>
        </w:rPr>
        <w:t xml:space="preserve"> </w:t>
      </w:r>
      <w:proofErr w:type="spellStart"/>
      <w:r w:rsidRPr="001558A5">
        <w:rPr>
          <w:i/>
          <w:szCs w:val="16"/>
          <w:lang w:val="en-US"/>
        </w:rPr>
        <w:t>Mejía</w:t>
      </w:r>
      <w:proofErr w:type="spellEnd"/>
      <w:r w:rsidR="00DD4354" w:rsidRPr="001558A5">
        <w:rPr>
          <w:i/>
          <w:szCs w:val="16"/>
          <w:lang w:val="en-US"/>
        </w:rPr>
        <w:t xml:space="preserve"> </w:t>
      </w:r>
      <w:r w:rsidR="004F4F9C" w:rsidRPr="001558A5">
        <w:rPr>
          <w:i/>
          <w:szCs w:val="16"/>
          <w:lang w:val="en-US"/>
        </w:rPr>
        <w:t>et al. v.</w:t>
      </w:r>
      <w:r w:rsidRPr="001558A5">
        <w:rPr>
          <w:i/>
          <w:szCs w:val="16"/>
          <w:lang w:val="en-US"/>
        </w:rPr>
        <w:t xml:space="preserve"> Honduras. </w:t>
      </w:r>
      <w:r w:rsidR="00871E19" w:rsidRPr="001558A5">
        <w:rPr>
          <w:iCs/>
          <w:szCs w:val="16"/>
          <w:lang w:val="en-US"/>
        </w:rPr>
        <w:t>Judgment of</w:t>
      </w:r>
      <w:r w:rsidRPr="001558A5">
        <w:rPr>
          <w:iCs/>
          <w:szCs w:val="16"/>
          <w:lang w:val="en-US"/>
        </w:rPr>
        <w:t xml:space="preserve"> </w:t>
      </w:r>
      <w:r w:rsidR="00BA7C6E" w:rsidRPr="001558A5">
        <w:rPr>
          <w:iCs/>
          <w:szCs w:val="16"/>
          <w:lang w:val="en-US"/>
        </w:rPr>
        <w:t>September 26,</w:t>
      </w:r>
      <w:r w:rsidRPr="001558A5">
        <w:rPr>
          <w:iCs/>
          <w:szCs w:val="16"/>
          <w:lang w:val="en-US"/>
        </w:rPr>
        <w:t xml:space="preserve"> 2018. </w:t>
      </w:r>
      <w:r w:rsidR="00B43A52" w:rsidRPr="001558A5">
        <w:rPr>
          <w:iCs/>
          <w:szCs w:val="16"/>
          <w:lang w:val="en-US"/>
        </w:rPr>
        <w:t xml:space="preserve">Series </w:t>
      </w:r>
      <w:r w:rsidRPr="001558A5">
        <w:rPr>
          <w:iCs/>
          <w:szCs w:val="16"/>
          <w:lang w:val="en-US"/>
        </w:rPr>
        <w:t>C No. 361</w:t>
      </w:r>
      <w:r w:rsidRPr="001558A5">
        <w:rPr>
          <w:bCs/>
          <w:szCs w:val="16"/>
          <w:lang w:val="en-US"/>
        </w:rPr>
        <w:t xml:space="preserve">, </w:t>
      </w:r>
      <w:r w:rsidR="00B43A52" w:rsidRPr="001558A5">
        <w:rPr>
          <w:bCs/>
          <w:szCs w:val="16"/>
          <w:lang w:val="en-US"/>
        </w:rPr>
        <w:t>para.</w:t>
      </w:r>
      <w:r w:rsidRPr="001558A5">
        <w:rPr>
          <w:bCs/>
          <w:szCs w:val="16"/>
          <w:lang w:val="en-US"/>
        </w:rPr>
        <w:t xml:space="preserve"> 54</w:t>
      </w:r>
      <w:r w:rsidRPr="001558A5">
        <w:rPr>
          <w:szCs w:val="16"/>
          <w:lang w:val="en-US"/>
        </w:rPr>
        <w:t xml:space="preserve">. </w:t>
      </w:r>
    </w:p>
  </w:footnote>
  <w:footnote w:id="128">
    <w:p w14:paraId="7DABA82E" w14:textId="6871968C" w:rsidR="005977F6" w:rsidRPr="001558A5" w:rsidRDefault="005977F6" w:rsidP="000B2BB5">
      <w:pPr>
        <w:pStyle w:val="Textonotapie"/>
        <w:tabs>
          <w:tab w:val="left" w:pos="360"/>
        </w:tabs>
        <w:spacing w:before="60" w:after="60"/>
        <w:rPr>
          <w:szCs w:val="16"/>
          <w:lang w:val="es-CR"/>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szCs w:val="16"/>
          <w:lang w:val="en-US"/>
        </w:rPr>
        <w:t>Cf.</w:t>
      </w:r>
      <w:r w:rsidRPr="001558A5">
        <w:rPr>
          <w:szCs w:val="16"/>
          <w:lang w:val="en-US"/>
        </w:rPr>
        <w:t xml:space="preserve"> </w:t>
      </w:r>
      <w:r w:rsidR="00871E19" w:rsidRPr="001558A5">
        <w:rPr>
          <w:i/>
          <w:szCs w:val="16"/>
          <w:lang w:val="en-US"/>
        </w:rPr>
        <w:t>Case of</w:t>
      </w:r>
      <w:r w:rsidRPr="001558A5">
        <w:rPr>
          <w:i/>
          <w:szCs w:val="16"/>
          <w:lang w:val="en-US"/>
        </w:rPr>
        <w:t xml:space="preserve"> </w:t>
      </w:r>
      <w:r w:rsidR="009C0B29" w:rsidRPr="001558A5">
        <w:rPr>
          <w:i/>
          <w:szCs w:val="16"/>
          <w:lang w:val="en-US"/>
        </w:rPr>
        <w:t>the</w:t>
      </w:r>
      <w:r w:rsidRPr="001558A5">
        <w:rPr>
          <w:i/>
          <w:szCs w:val="16"/>
          <w:lang w:val="en-US"/>
        </w:rPr>
        <w:t xml:space="preserve"> “</w:t>
      </w:r>
      <w:proofErr w:type="spellStart"/>
      <w:r w:rsidRPr="001558A5">
        <w:rPr>
          <w:i/>
          <w:szCs w:val="16"/>
          <w:lang w:val="en-US"/>
        </w:rPr>
        <w:t>Mapiripán</w:t>
      </w:r>
      <w:proofErr w:type="spellEnd"/>
      <w:r w:rsidR="009C0B29" w:rsidRPr="001558A5">
        <w:rPr>
          <w:i/>
          <w:szCs w:val="16"/>
          <w:lang w:val="en-US"/>
        </w:rPr>
        <w:t xml:space="preserve"> Massacre</w:t>
      </w:r>
      <w:r w:rsidRPr="001558A5">
        <w:rPr>
          <w:i/>
          <w:szCs w:val="16"/>
          <w:lang w:val="en-US"/>
        </w:rPr>
        <w:t xml:space="preserve">” </w:t>
      </w:r>
      <w:r w:rsidR="00871E19" w:rsidRPr="001558A5">
        <w:rPr>
          <w:i/>
          <w:szCs w:val="16"/>
          <w:lang w:val="en-US"/>
        </w:rPr>
        <w:t>v.</w:t>
      </w:r>
      <w:r w:rsidRPr="001558A5">
        <w:rPr>
          <w:i/>
          <w:szCs w:val="16"/>
          <w:lang w:val="en-US"/>
        </w:rPr>
        <w:t xml:space="preserve"> Colombia. </w:t>
      </w:r>
      <w:r w:rsidR="00B43A52" w:rsidRPr="001558A5">
        <w:rPr>
          <w:i/>
          <w:szCs w:val="16"/>
          <w:lang w:val="en-US"/>
        </w:rPr>
        <w:t>Merits, reparations and costs</w:t>
      </w:r>
      <w:r w:rsidRPr="001558A5">
        <w:rPr>
          <w:szCs w:val="16"/>
          <w:lang w:val="en-US"/>
        </w:rPr>
        <w:t xml:space="preserve">. </w:t>
      </w:r>
      <w:r w:rsidR="00871E19" w:rsidRPr="001558A5">
        <w:rPr>
          <w:szCs w:val="16"/>
          <w:lang w:val="en-US"/>
        </w:rPr>
        <w:t>Judgment of</w:t>
      </w:r>
      <w:r w:rsidRPr="001558A5">
        <w:rPr>
          <w:szCs w:val="16"/>
          <w:lang w:val="en-US"/>
        </w:rPr>
        <w:t xml:space="preserve"> </w:t>
      </w:r>
      <w:r w:rsidR="009C0B29" w:rsidRPr="001558A5">
        <w:rPr>
          <w:szCs w:val="16"/>
          <w:lang w:val="en-US"/>
        </w:rPr>
        <w:t>September 15,</w:t>
      </w:r>
      <w:r w:rsidRPr="001558A5">
        <w:rPr>
          <w:szCs w:val="16"/>
          <w:lang w:val="en-US"/>
        </w:rPr>
        <w:t xml:space="preserve"> 2005. </w:t>
      </w:r>
      <w:r w:rsidR="00B43A52" w:rsidRPr="001558A5">
        <w:rPr>
          <w:szCs w:val="16"/>
          <w:lang w:val="en-US"/>
        </w:rPr>
        <w:t xml:space="preserve">Series </w:t>
      </w:r>
      <w:r w:rsidRPr="001558A5">
        <w:rPr>
          <w:szCs w:val="16"/>
          <w:lang w:val="en-US"/>
        </w:rPr>
        <w:t xml:space="preserve">C No. 134, </w:t>
      </w:r>
      <w:r w:rsidR="00B43A52" w:rsidRPr="001558A5">
        <w:rPr>
          <w:szCs w:val="16"/>
          <w:lang w:val="en-US"/>
        </w:rPr>
        <w:t>para.</w:t>
      </w:r>
      <w:r w:rsidRPr="001558A5">
        <w:rPr>
          <w:szCs w:val="16"/>
          <w:lang w:val="en-US"/>
        </w:rPr>
        <w:t xml:space="preserve"> 113,</w:t>
      </w:r>
      <w:r w:rsidR="00DD4354" w:rsidRPr="001558A5">
        <w:rPr>
          <w:szCs w:val="16"/>
          <w:lang w:val="en-US"/>
        </w:rPr>
        <w:t xml:space="preserve"> and </w:t>
      </w:r>
      <w:r w:rsidR="00871E19" w:rsidRPr="001558A5">
        <w:rPr>
          <w:i/>
          <w:iCs/>
          <w:szCs w:val="16"/>
          <w:lang w:val="en-US"/>
        </w:rPr>
        <w:t>Case of</w:t>
      </w:r>
      <w:r w:rsidRPr="001558A5">
        <w:rPr>
          <w:i/>
          <w:iCs/>
          <w:szCs w:val="16"/>
          <w:lang w:val="en-US"/>
        </w:rPr>
        <w:t xml:space="preserve"> </w:t>
      </w:r>
      <w:proofErr w:type="spellStart"/>
      <w:r w:rsidRPr="001558A5">
        <w:rPr>
          <w:i/>
          <w:iCs/>
          <w:szCs w:val="16"/>
          <w:lang w:val="en-US"/>
        </w:rPr>
        <w:t>Díaz</w:t>
      </w:r>
      <w:proofErr w:type="spellEnd"/>
      <w:r w:rsidRPr="001558A5">
        <w:rPr>
          <w:i/>
          <w:iCs/>
          <w:szCs w:val="16"/>
          <w:lang w:val="en-US"/>
        </w:rPr>
        <w:t xml:space="preserve"> Loreto</w:t>
      </w:r>
      <w:r w:rsidR="00DD4354" w:rsidRPr="001558A5">
        <w:rPr>
          <w:i/>
          <w:iCs/>
          <w:szCs w:val="16"/>
          <w:lang w:val="en-US"/>
        </w:rPr>
        <w:t xml:space="preserve"> </w:t>
      </w:r>
      <w:r w:rsidR="004F4F9C" w:rsidRPr="001558A5">
        <w:rPr>
          <w:i/>
          <w:iCs/>
          <w:szCs w:val="16"/>
          <w:lang w:val="en-US"/>
        </w:rPr>
        <w:t>et al. v.</w:t>
      </w:r>
      <w:r w:rsidRPr="001558A5">
        <w:rPr>
          <w:i/>
          <w:iCs/>
          <w:szCs w:val="16"/>
          <w:lang w:val="en-US"/>
        </w:rPr>
        <w:t xml:space="preserve"> Venezuela. </w:t>
      </w:r>
      <w:r w:rsidR="00B43A52" w:rsidRPr="001558A5">
        <w:rPr>
          <w:i/>
          <w:iCs/>
          <w:szCs w:val="16"/>
          <w:lang w:val="en-US"/>
        </w:rPr>
        <w:t>Preliminary objections, merits, reparations and costs</w:t>
      </w:r>
      <w:r w:rsidRPr="001558A5">
        <w:rPr>
          <w:i/>
          <w:iCs/>
          <w:szCs w:val="16"/>
          <w:lang w:val="en-US"/>
        </w:rPr>
        <w:t xml:space="preserve">. </w:t>
      </w:r>
      <w:proofErr w:type="spellStart"/>
      <w:r w:rsidR="00871E19" w:rsidRPr="001558A5">
        <w:rPr>
          <w:szCs w:val="16"/>
          <w:lang w:val="es-CR"/>
        </w:rPr>
        <w:t>Judgment</w:t>
      </w:r>
      <w:proofErr w:type="spellEnd"/>
      <w:r w:rsidR="00871E19" w:rsidRPr="001558A5">
        <w:rPr>
          <w:szCs w:val="16"/>
          <w:lang w:val="es-CR"/>
        </w:rPr>
        <w:t xml:space="preserve"> of</w:t>
      </w:r>
      <w:r w:rsidRPr="001558A5">
        <w:rPr>
          <w:szCs w:val="16"/>
          <w:lang w:val="es-CR"/>
        </w:rPr>
        <w:t xml:space="preserve"> </w:t>
      </w:r>
      <w:proofErr w:type="spellStart"/>
      <w:r w:rsidR="009C0B29" w:rsidRPr="001558A5">
        <w:rPr>
          <w:szCs w:val="16"/>
          <w:lang w:val="es-CR"/>
        </w:rPr>
        <w:t>November</w:t>
      </w:r>
      <w:proofErr w:type="spellEnd"/>
      <w:r w:rsidR="009C0B29" w:rsidRPr="001558A5">
        <w:rPr>
          <w:szCs w:val="16"/>
          <w:lang w:val="es-CR"/>
        </w:rPr>
        <w:t xml:space="preserve"> 19,</w:t>
      </w:r>
      <w:r w:rsidRPr="001558A5">
        <w:rPr>
          <w:szCs w:val="16"/>
          <w:lang w:val="es-CR"/>
        </w:rPr>
        <w:t xml:space="preserve"> 2019. </w:t>
      </w:r>
      <w:r w:rsidR="00B43A52" w:rsidRPr="001558A5">
        <w:rPr>
          <w:szCs w:val="16"/>
          <w:lang w:val="es-CR"/>
        </w:rPr>
        <w:t xml:space="preserve">Series </w:t>
      </w:r>
      <w:r w:rsidRPr="001558A5">
        <w:rPr>
          <w:szCs w:val="16"/>
          <w:lang w:val="es-CR"/>
        </w:rPr>
        <w:t xml:space="preserve">C No. 392, </w:t>
      </w:r>
      <w:r w:rsidR="00B43A52" w:rsidRPr="001558A5">
        <w:rPr>
          <w:szCs w:val="16"/>
          <w:lang w:val="es-CR"/>
        </w:rPr>
        <w:t>para.</w:t>
      </w:r>
      <w:r w:rsidRPr="001558A5">
        <w:rPr>
          <w:szCs w:val="16"/>
          <w:lang w:val="es-CR"/>
        </w:rPr>
        <w:t xml:space="preserve"> 68.</w:t>
      </w:r>
    </w:p>
  </w:footnote>
  <w:footnote w:id="129">
    <w:p w14:paraId="3D5FEA97" w14:textId="3922A55A" w:rsidR="005977F6" w:rsidRPr="001558A5" w:rsidRDefault="005977F6" w:rsidP="000B2BB5">
      <w:pPr>
        <w:pStyle w:val="Textonotapie"/>
        <w:tabs>
          <w:tab w:val="left" w:pos="360"/>
        </w:tabs>
        <w:spacing w:before="60" w:after="60"/>
        <w:rPr>
          <w:i/>
          <w:szCs w:val="16"/>
          <w:lang w:val="en-US"/>
        </w:rPr>
      </w:pPr>
      <w:r w:rsidRPr="001558A5">
        <w:rPr>
          <w:rStyle w:val="Refdenotaalpie"/>
          <w:szCs w:val="16"/>
          <w:lang w:val="en-US"/>
        </w:rPr>
        <w:footnoteRef/>
      </w:r>
      <w:r w:rsidRPr="001558A5">
        <w:rPr>
          <w:szCs w:val="16"/>
          <w:lang w:val="es-CR"/>
        </w:rPr>
        <w:t xml:space="preserve"> </w:t>
      </w:r>
      <w:r w:rsidRPr="001558A5">
        <w:rPr>
          <w:szCs w:val="16"/>
          <w:lang w:val="es-CR"/>
        </w:rPr>
        <w:tab/>
      </w:r>
      <w:r w:rsidR="00871E19" w:rsidRPr="001558A5">
        <w:rPr>
          <w:i/>
          <w:color w:val="000000"/>
          <w:szCs w:val="16"/>
          <w:lang w:val="es-CR"/>
        </w:rPr>
        <w:t>Cf.</w:t>
      </w:r>
      <w:r w:rsidRPr="001558A5">
        <w:rPr>
          <w:i/>
          <w:color w:val="000000"/>
          <w:szCs w:val="16"/>
          <w:lang w:val="es-CR"/>
        </w:rPr>
        <w:t xml:space="preserve"> </w:t>
      </w:r>
      <w:r w:rsidR="00871E19" w:rsidRPr="001558A5">
        <w:rPr>
          <w:i/>
          <w:szCs w:val="16"/>
          <w:lang w:val="es-CR"/>
        </w:rPr>
        <w:t>Case of</w:t>
      </w:r>
      <w:r w:rsidRPr="001558A5">
        <w:rPr>
          <w:i/>
          <w:szCs w:val="16"/>
          <w:lang w:val="es-CR"/>
        </w:rPr>
        <w:t xml:space="preserve"> Velásquez Rodríguez </w:t>
      </w:r>
      <w:r w:rsidR="00871E19" w:rsidRPr="001558A5">
        <w:rPr>
          <w:i/>
          <w:szCs w:val="16"/>
          <w:lang w:val="es-CR"/>
        </w:rPr>
        <w:t>v.</w:t>
      </w:r>
      <w:r w:rsidRPr="001558A5">
        <w:rPr>
          <w:i/>
          <w:szCs w:val="16"/>
          <w:lang w:val="es-CR"/>
        </w:rPr>
        <w:t xml:space="preserve"> Honduras. </w:t>
      </w:r>
      <w:proofErr w:type="spellStart"/>
      <w:r w:rsidR="00B93FA6" w:rsidRPr="001558A5">
        <w:rPr>
          <w:i/>
          <w:szCs w:val="16"/>
          <w:lang w:val="es-CR"/>
        </w:rPr>
        <w:t>Merits</w:t>
      </w:r>
      <w:proofErr w:type="spellEnd"/>
      <w:r w:rsidRPr="001558A5">
        <w:rPr>
          <w:iCs/>
          <w:szCs w:val="16"/>
          <w:lang w:val="es-CR"/>
        </w:rPr>
        <w:t xml:space="preserve">, </w:t>
      </w:r>
      <w:r w:rsidRPr="001558A5">
        <w:rPr>
          <w:i/>
          <w:szCs w:val="16"/>
          <w:lang w:val="es-CR"/>
        </w:rPr>
        <w:t>supra</w:t>
      </w:r>
      <w:r w:rsidRPr="001558A5">
        <w:rPr>
          <w:iCs/>
          <w:szCs w:val="16"/>
          <w:lang w:val="es-CR"/>
        </w:rPr>
        <w:t>,</w:t>
      </w:r>
      <w:r w:rsidRPr="001558A5">
        <w:rPr>
          <w:i/>
          <w:szCs w:val="16"/>
          <w:lang w:val="es-CR"/>
        </w:rPr>
        <w:t xml:space="preserve"> </w:t>
      </w:r>
      <w:r w:rsidR="00B43A52" w:rsidRPr="001558A5">
        <w:rPr>
          <w:szCs w:val="16"/>
          <w:lang w:val="es-CR"/>
        </w:rPr>
        <w:t>para.</w:t>
      </w:r>
      <w:r w:rsidRPr="001558A5">
        <w:rPr>
          <w:szCs w:val="16"/>
          <w:lang w:val="es-CR"/>
        </w:rPr>
        <w:t xml:space="preserve"> 130,</w:t>
      </w:r>
      <w:r w:rsidR="00DD4354" w:rsidRPr="001558A5">
        <w:rPr>
          <w:szCs w:val="16"/>
          <w:lang w:val="es-CR"/>
        </w:rPr>
        <w:t xml:space="preserve"> and </w:t>
      </w:r>
      <w:r w:rsidR="00871E19" w:rsidRPr="001558A5">
        <w:rPr>
          <w:i/>
          <w:szCs w:val="16"/>
          <w:lang w:val="es-CR"/>
        </w:rPr>
        <w:t>Case of</w:t>
      </w:r>
      <w:r w:rsidRPr="001558A5">
        <w:rPr>
          <w:i/>
          <w:szCs w:val="16"/>
          <w:lang w:val="es-CR"/>
        </w:rPr>
        <w:t xml:space="preserve"> Díaz Loreto</w:t>
      </w:r>
      <w:r w:rsidR="00DD4354" w:rsidRPr="001558A5">
        <w:rPr>
          <w:i/>
          <w:szCs w:val="16"/>
          <w:lang w:val="es-CR"/>
        </w:rPr>
        <w:t xml:space="preserve"> </w:t>
      </w:r>
      <w:r w:rsidR="004F4F9C" w:rsidRPr="001558A5">
        <w:rPr>
          <w:i/>
          <w:szCs w:val="16"/>
          <w:lang w:val="es-CR"/>
        </w:rPr>
        <w:t>et al. v.</w:t>
      </w:r>
      <w:r w:rsidRPr="001558A5">
        <w:rPr>
          <w:i/>
          <w:szCs w:val="16"/>
          <w:lang w:val="es-CR"/>
        </w:rPr>
        <w:t xml:space="preserve"> Venezuel</w:t>
      </w:r>
      <w:r w:rsidR="00CD5EA5" w:rsidRPr="001558A5">
        <w:rPr>
          <w:i/>
          <w:szCs w:val="16"/>
          <w:lang w:val="es-CR"/>
        </w:rPr>
        <w:t>a, supra</w:t>
      </w:r>
      <w:r w:rsidRPr="001558A5">
        <w:rPr>
          <w:lang w:val="es-CR"/>
        </w:rPr>
        <w:t xml:space="preserve">, </w:t>
      </w:r>
      <w:r w:rsidR="00B43A52" w:rsidRPr="001558A5">
        <w:rPr>
          <w:lang w:val="es-CR"/>
        </w:rPr>
        <w:t>para.</w:t>
      </w:r>
      <w:r w:rsidRPr="001558A5">
        <w:rPr>
          <w:lang w:val="es-CR"/>
        </w:rPr>
        <w:t xml:space="preserve"> </w:t>
      </w:r>
      <w:r w:rsidRPr="001558A5">
        <w:rPr>
          <w:lang w:val="en-US"/>
        </w:rPr>
        <w:t>68.</w:t>
      </w:r>
    </w:p>
  </w:footnote>
  <w:footnote w:id="130">
    <w:p w14:paraId="0F01FE1F" w14:textId="1BA05961" w:rsidR="00805988" w:rsidRPr="001558A5" w:rsidRDefault="00805988"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9C0B29" w:rsidRPr="001558A5">
        <w:rPr>
          <w:lang w:val="en-US"/>
        </w:rPr>
        <w:t>As mentioned previous, a</w:t>
      </w:r>
      <w:r w:rsidR="00CD5EA5" w:rsidRPr="001558A5">
        <w:rPr>
          <w:lang w:val="en-US"/>
        </w:rPr>
        <w:t xml:space="preserve"> condom that had</w:t>
      </w:r>
      <w:r w:rsidR="009C0B29" w:rsidRPr="001558A5">
        <w:rPr>
          <w:lang w:val="en-US"/>
        </w:rPr>
        <w:t xml:space="preserve"> apparently </w:t>
      </w:r>
      <w:r w:rsidR="00CD5EA5" w:rsidRPr="001558A5">
        <w:rPr>
          <w:lang w:val="en-US"/>
        </w:rPr>
        <w:t xml:space="preserve">been </w:t>
      </w:r>
      <w:r w:rsidR="009C0B29" w:rsidRPr="001558A5">
        <w:rPr>
          <w:lang w:val="en-US"/>
        </w:rPr>
        <w:t xml:space="preserve">used was found beside Vicky’s body, which </w:t>
      </w:r>
      <w:r w:rsidR="00CD5EA5" w:rsidRPr="001558A5">
        <w:rPr>
          <w:lang w:val="en-US"/>
        </w:rPr>
        <w:t>c</w:t>
      </w:r>
      <w:r w:rsidR="009C0B29" w:rsidRPr="001558A5">
        <w:rPr>
          <w:lang w:val="en-US"/>
        </w:rPr>
        <w:t xml:space="preserve">ould be evidence of possible sexual intercourse before or after her death </w:t>
      </w:r>
      <w:r w:rsidRPr="001558A5">
        <w:rPr>
          <w:rFonts w:cs="Times New Roman"/>
          <w:lang w:val="en-US"/>
        </w:rPr>
        <w:t>(</w:t>
      </w:r>
      <w:r w:rsidRPr="001558A5">
        <w:rPr>
          <w:rFonts w:cs="Times New Roman"/>
          <w:i/>
          <w:iCs/>
          <w:lang w:val="en-US"/>
        </w:rPr>
        <w:t>supra</w:t>
      </w:r>
      <w:r w:rsidRPr="001558A5">
        <w:rPr>
          <w:rFonts w:cs="Times New Roman"/>
          <w:lang w:val="en-US"/>
        </w:rPr>
        <w:t xml:space="preserve"> </w:t>
      </w:r>
      <w:r w:rsidR="00B43A52" w:rsidRPr="001558A5">
        <w:rPr>
          <w:rFonts w:cs="Times New Roman"/>
          <w:lang w:val="en-US"/>
        </w:rPr>
        <w:t>para.</w:t>
      </w:r>
      <w:r w:rsidRPr="001558A5">
        <w:rPr>
          <w:rFonts w:cs="Times New Roman"/>
          <w:lang w:val="en-US"/>
        </w:rPr>
        <w:t xml:space="preserve"> 45).</w:t>
      </w:r>
    </w:p>
  </w:footnote>
  <w:footnote w:id="131">
    <w:p w14:paraId="2C812BBE" w14:textId="116A7947" w:rsidR="005977F6" w:rsidRPr="001558A5" w:rsidRDefault="005977F6" w:rsidP="000B2BB5">
      <w:pPr>
        <w:pStyle w:val="Textonotapie"/>
        <w:tabs>
          <w:tab w:val="left" w:pos="360"/>
        </w:tabs>
        <w:rPr>
          <w:szCs w:val="16"/>
          <w:lang w:val="es-CR"/>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iCs/>
          <w:szCs w:val="16"/>
          <w:lang w:val="en-US"/>
        </w:rPr>
        <w:t>Cf.</w:t>
      </w:r>
      <w:r w:rsidRPr="001558A5">
        <w:rPr>
          <w:i/>
          <w:iCs/>
          <w:szCs w:val="16"/>
          <w:lang w:val="en-US"/>
        </w:rPr>
        <w:t xml:space="preserve"> </w:t>
      </w:r>
      <w:r w:rsidR="00871E19" w:rsidRPr="001558A5">
        <w:rPr>
          <w:i/>
          <w:iCs/>
          <w:szCs w:val="16"/>
          <w:lang w:val="en-US"/>
        </w:rPr>
        <w:t>Case of</w:t>
      </w:r>
      <w:r w:rsidRPr="001558A5">
        <w:rPr>
          <w:i/>
          <w:iCs/>
          <w:szCs w:val="16"/>
          <w:lang w:val="en-US"/>
        </w:rPr>
        <w:t xml:space="preserve"> </w:t>
      </w:r>
      <w:proofErr w:type="spellStart"/>
      <w:r w:rsidRPr="001558A5">
        <w:rPr>
          <w:i/>
          <w:iCs/>
          <w:szCs w:val="16"/>
          <w:lang w:val="en-US"/>
        </w:rPr>
        <w:t>Velásquez</w:t>
      </w:r>
      <w:proofErr w:type="spellEnd"/>
      <w:r w:rsidRPr="001558A5">
        <w:rPr>
          <w:i/>
          <w:iCs/>
          <w:szCs w:val="16"/>
          <w:lang w:val="en-US"/>
        </w:rPr>
        <w:t xml:space="preserve"> Rodríguez </w:t>
      </w:r>
      <w:r w:rsidR="00871E19" w:rsidRPr="001558A5">
        <w:rPr>
          <w:i/>
          <w:iCs/>
          <w:szCs w:val="16"/>
          <w:lang w:val="en-US"/>
        </w:rPr>
        <w:t>v.</w:t>
      </w:r>
      <w:r w:rsidRPr="001558A5">
        <w:rPr>
          <w:i/>
          <w:iCs/>
          <w:szCs w:val="16"/>
          <w:lang w:val="en-US"/>
        </w:rPr>
        <w:t xml:space="preserve"> Honduras. Preliminar</w:t>
      </w:r>
      <w:r w:rsidR="007112C1" w:rsidRPr="001558A5">
        <w:rPr>
          <w:i/>
          <w:iCs/>
          <w:szCs w:val="16"/>
          <w:lang w:val="en-US"/>
        </w:rPr>
        <w:t>y objections</w:t>
      </w:r>
      <w:r w:rsidRPr="001558A5">
        <w:rPr>
          <w:i/>
          <w:iCs/>
          <w:szCs w:val="16"/>
          <w:lang w:val="en-US"/>
        </w:rPr>
        <w:t xml:space="preserve">. </w:t>
      </w:r>
      <w:r w:rsidR="00871E19" w:rsidRPr="001558A5">
        <w:rPr>
          <w:iCs/>
          <w:szCs w:val="16"/>
          <w:lang w:val="en-US"/>
        </w:rPr>
        <w:t>Judgment of</w:t>
      </w:r>
      <w:r w:rsidRPr="001558A5">
        <w:rPr>
          <w:iCs/>
          <w:szCs w:val="16"/>
          <w:lang w:val="en-US"/>
        </w:rPr>
        <w:t xml:space="preserve"> </w:t>
      </w:r>
      <w:r w:rsidR="007112C1" w:rsidRPr="001558A5">
        <w:rPr>
          <w:iCs/>
          <w:szCs w:val="16"/>
          <w:lang w:val="en-US"/>
        </w:rPr>
        <w:t>June 26,</w:t>
      </w:r>
      <w:r w:rsidRPr="001558A5">
        <w:rPr>
          <w:iCs/>
          <w:szCs w:val="16"/>
          <w:lang w:val="en-US"/>
        </w:rPr>
        <w:t xml:space="preserve"> 1987. </w:t>
      </w:r>
      <w:r w:rsidR="00B43A52" w:rsidRPr="001558A5">
        <w:rPr>
          <w:iCs/>
          <w:szCs w:val="16"/>
          <w:lang w:val="en-US"/>
        </w:rPr>
        <w:t xml:space="preserve">Series </w:t>
      </w:r>
      <w:r w:rsidRPr="001558A5">
        <w:rPr>
          <w:iCs/>
          <w:szCs w:val="16"/>
          <w:lang w:val="en-US"/>
        </w:rPr>
        <w:t xml:space="preserve">C No. 1, </w:t>
      </w:r>
      <w:r w:rsidR="00B43A52" w:rsidRPr="001558A5">
        <w:rPr>
          <w:iCs/>
          <w:szCs w:val="16"/>
          <w:lang w:val="en-US"/>
        </w:rPr>
        <w:t>para.</w:t>
      </w:r>
      <w:r w:rsidRPr="001558A5">
        <w:rPr>
          <w:iCs/>
          <w:szCs w:val="16"/>
          <w:lang w:val="en-US"/>
        </w:rPr>
        <w:t xml:space="preserve"> 91; </w:t>
      </w:r>
      <w:r w:rsidR="00871E19" w:rsidRPr="001558A5">
        <w:rPr>
          <w:i/>
          <w:szCs w:val="16"/>
          <w:lang w:val="en-US"/>
        </w:rPr>
        <w:t>Case of</w:t>
      </w:r>
      <w:r w:rsidRPr="001558A5">
        <w:rPr>
          <w:i/>
          <w:szCs w:val="16"/>
          <w:lang w:val="en-US"/>
        </w:rPr>
        <w:t xml:space="preserve"> </w:t>
      </w:r>
      <w:proofErr w:type="spellStart"/>
      <w:r w:rsidRPr="001558A5">
        <w:rPr>
          <w:i/>
          <w:szCs w:val="16"/>
          <w:lang w:val="en-US"/>
        </w:rPr>
        <w:t>Bulacio</w:t>
      </w:r>
      <w:proofErr w:type="spellEnd"/>
      <w:r w:rsidRPr="001558A5">
        <w:rPr>
          <w:i/>
          <w:szCs w:val="16"/>
          <w:lang w:val="en-US"/>
        </w:rPr>
        <w:t xml:space="preserve"> </w:t>
      </w:r>
      <w:r w:rsidR="00871E19" w:rsidRPr="001558A5">
        <w:rPr>
          <w:i/>
          <w:szCs w:val="16"/>
          <w:lang w:val="en-US"/>
        </w:rPr>
        <w:t>v.</w:t>
      </w:r>
      <w:r w:rsidRPr="001558A5">
        <w:rPr>
          <w:i/>
          <w:szCs w:val="16"/>
          <w:lang w:val="en-US"/>
        </w:rPr>
        <w:t xml:space="preserve"> Argentina. </w:t>
      </w:r>
      <w:r w:rsidR="00B43A52" w:rsidRPr="001558A5">
        <w:rPr>
          <w:i/>
          <w:szCs w:val="16"/>
          <w:lang w:val="en-US"/>
        </w:rPr>
        <w:t>Merits, reparations and costs</w:t>
      </w:r>
      <w:r w:rsidRPr="001558A5">
        <w:rPr>
          <w:iCs/>
          <w:szCs w:val="16"/>
          <w:lang w:val="en-US"/>
        </w:rPr>
        <w:t xml:space="preserve">. </w:t>
      </w:r>
      <w:r w:rsidR="00871E19" w:rsidRPr="001558A5">
        <w:rPr>
          <w:iCs/>
          <w:szCs w:val="16"/>
          <w:lang w:val="en-US"/>
        </w:rPr>
        <w:t>Judgment of</w:t>
      </w:r>
      <w:r w:rsidRPr="001558A5">
        <w:rPr>
          <w:iCs/>
          <w:szCs w:val="16"/>
          <w:lang w:val="en-US"/>
        </w:rPr>
        <w:t xml:space="preserve"> </w:t>
      </w:r>
      <w:r w:rsidR="007112C1" w:rsidRPr="001558A5">
        <w:rPr>
          <w:iCs/>
          <w:szCs w:val="16"/>
          <w:lang w:val="en-US"/>
        </w:rPr>
        <w:t>September 18,</w:t>
      </w:r>
      <w:r w:rsidRPr="001558A5">
        <w:rPr>
          <w:iCs/>
          <w:szCs w:val="16"/>
          <w:lang w:val="en-US"/>
        </w:rPr>
        <w:t xml:space="preserve"> 2003. </w:t>
      </w:r>
      <w:r w:rsidR="00B43A52" w:rsidRPr="001558A5">
        <w:rPr>
          <w:iCs/>
          <w:szCs w:val="16"/>
          <w:lang w:val="en-US"/>
        </w:rPr>
        <w:t xml:space="preserve">Series </w:t>
      </w:r>
      <w:r w:rsidRPr="001558A5">
        <w:rPr>
          <w:iCs/>
          <w:szCs w:val="16"/>
          <w:lang w:val="en-US"/>
        </w:rPr>
        <w:t>C No. 100</w:t>
      </w:r>
      <w:r w:rsidRPr="001558A5">
        <w:rPr>
          <w:szCs w:val="16"/>
          <w:lang w:val="en-US"/>
        </w:rPr>
        <w:t xml:space="preserve">, </w:t>
      </w:r>
      <w:r w:rsidR="00B43A52" w:rsidRPr="001558A5">
        <w:rPr>
          <w:szCs w:val="16"/>
          <w:lang w:val="en-US"/>
        </w:rPr>
        <w:t>para.</w:t>
      </w:r>
      <w:r w:rsidRPr="001558A5">
        <w:rPr>
          <w:szCs w:val="16"/>
          <w:lang w:val="en-US"/>
        </w:rPr>
        <w:t xml:space="preserve"> 114,</w:t>
      </w:r>
      <w:r w:rsidR="00DD4354" w:rsidRPr="001558A5">
        <w:rPr>
          <w:szCs w:val="16"/>
          <w:lang w:val="en-US"/>
        </w:rPr>
        <w:t xml:space="preserve"> and </w:t>
      </w:r>
      <w:r w:rsidR="00C43A37" w:rsidRPr="001558A5">
        <w:rPr>
          <w:i/>
          <w:szCs w:val="16"/>
          <w:lang w:val="en-US"/>
        </w:rPr>
        <w:t xml:space="preserve">Case of the Workers of the Fireworks Factory of Santo </w:t>
      </w:r>
      <w:proofErr w:type="spellStart"/>
      <w:r w:rsidR="00C43A37" w:rsidRPr="001558A5">
        <w:rPr>
          <w:i/>
          <w:szCs w:val="16"/>
          <w:lang w:val="en-US"/>
        </w:rPr>
        <w:t>Antônio</w:t>
      </w:r>
      <w:proofErr w:type="spellEnd"/>
      <w:r w:rsidR="00C43A37" w:rsidRPr="001558A5">
        <w:rPr>
          <w:i/>
          <w:szCs w:val="16"/>
          <w:lang w:val="en-US"/>
        </w:rPr>
        <w:t xml:space="preserve"> de Jesus v. Brazil</w:t>
      </w:r>
      <w:r w:rsidRPr="001558A5">
        <w:rPr>
          <w:szCs w:val="16"/>
          <w:lang w:val="en-US"/>
        </w:rPr>
        <w:t xml:space="preserve">, </w:t>
      </w:r>
      <w:r w:rsidRPr="001558A5">
        <w:rPr>
          <w:i/>
          <w:iCs/>
          <w:szCs w:val="16"/>
          <w:lang w:val="en-US"/>
        </w:rPr>
        <w:t>supra</w:t>
      </w:r>
      <w:r w:rsidRPr="001558A5">
        <w:rPr>
          <w:szCs w:val="16"/>
          <w:lang w:val="en-US"/>
        </w:rPr>
        <w:t xml:space="preserve">, </w:t>
      </w:r>
      <w:r w:rsidR="00B43A52" w:rsidRPr="001558A5">
        <w:rPr>
          <w:szCs w:val="16"/>
          <w:lang w:val="en-US"/>
        </w:rPr>
        <w:t>para.</w:t>
      </w:r>
      <w:r w:rsidRPr="001558A5">
        <w:rPr>
          <w:szCs w:val="16"/>
          <w:lang w:val="en-US"/>
        </w:rPr>
        <w:t xml:space="preserve"> </w:t>
      </w:r>
      <w:r w:rsidRPr="001558A5">
        <w:rPr>
          <w:szCs w:val="16"/>
          <w:lang w:val="es-CR"/>
        </w:rPr>
        <w:t>217.</w:t>
      </w:r>
    </w:p>
  </w:footnote>
  <w:footnote w:id="132">
    <w:p w14:paraId="7C7E345D" w14:textId="2C7A2759" w:rsidR="005977F6" w:rsidRPr="001558A5" w:rsidRDefault="005977F6" w:rsidP="000B2BB5">
      <w:pPr>
        <w:pStyle w:val="Textonotapie"/>
        <w:tabs>
          <w:tab w:val="left" w:pos="360"/>
        </w:tabs>
        <w:rPr>
          <w:spacing w:val="-2"/>
          <w:szCs w:val="16"/>
          <w:lang w:val="en-US"/>
        </w:rPr>
      </w:pPr>
      <w:r w:rsidRPr="001558A5">
        <w:rPr>
          <w:rStyle w:val="Refdenotaalpie"/>
          <w:szCs w:val="16"/>
          <w:lang w:val="en-US"/>
        </w:rPr>
        <w:footnoteRef/>
      </w:r>
      <w:r w:rsidRPr="001558A5">
        <w:rPr>
          <w:szCs w:val="16"/>
          <w:lang w:val="es-CR"/>
        </w:rPr>
        <w:t xml:space="preserve"> </w:t>
      </w:r>
      <w:r w:rsidRPr="001558A5">
        <w:rPr>
          <w:szCs w:val="16"/>
          <w:lang w:val="es-CR"/>
        </w:rPr>
        <w:tab/>
      </w:r>
      <w:r w:rsidR="00871E19" w:rsidRPr="001558A5">
        <w:rPr>
          <w:i/>
          <w:spacing w:val="-4"/>
          <w:szCs w:val="16"/>
          <w:lang w:val="es-CR"/>
        </w:rPr>
        <w:t>Cf.</w:t>
      </w:r>
      <w:r w:rsidRPr="001558A5">
        <w:rPr>
          <w:i/>
          <w:spacing w:val="-4"/>
          <w:szCs w:val="16"/>
          <w:lang w:val="es-CR"/>
        </w:rPr>
        <w:t xml:space="preserve"> </w:t>
      </w:r>
      <w:r w:rsidR="00871E19" w:rsidRPr="001558A5">
        <w:rPr>
          <w:rFonts w:cstheme="minorBidi"/>
          <w:i/>
          <w:szCs w:val="16"/>
          <w:lang w:val="es-CR"/>
        </w:rPr>
        <w:t>Case of</w:t>
      </w:r>
      <w:r w:rsidRPr="001558A5">
        <w:rPr>
          <w:rFonts w:cs="Arial"/>
          <w:spacing w:val="-4"/>
          <w:szCs w:val="16"/>
          <w:lang w:val="es-CR"/>
        </w:rPr>
        <w:t xml:space="preserve"> </w:t>
      </w:r>
      <w:r w:rsidRPr="001558A5">
        <w:rPr>
          <w:rFonts w:cs="Arial"/>
          <w:i/>
          <w:spacing w:val="-4"/>
          <w:szCs w:val="16"/>
          <w:lang w:val="es-CR"/>
        </w:rPr>
        <w:t xml:space="preserve">Velásquez Rodríguez </w:t>
      </w:r>
      <w:r w:rsidR="00871E19" w:rsidRPr="001558A5">
        <w:rPr>
          <w:rFonts w:cs="Arial"/>
          <w:i/>
          <w:spacing w:val="-4"/>
          <w:szCs w:val="16"/>
          <w:lang w:val="es-CR"/>
        </w:rPr>
        <w:t>v.</w:t>
      </w:r>
      <w:r w:rsidRPr="001558A5">
        <w:rPr>
          <w:rFonts w:cs="Arial"/>
          <w:i/>
          <w:spacing w:val="-4"/>
          <w:szCs w:val="16"/>
          <w:lang w:val="es-CR"/>
        </w:rPr>
        <w:t xml:space="preserve"> </w:t>
      </w:r>
      <w:r w:rsidRPr="001558A5">
        <w:rPr>
          <w:i/>
          <w:iCs/>
          <w:lang w:val="es-CR"/>
        </w:rPr>
        <w:t>Honduras</w:t>
      </w:r>
      <w:r w:rsidRPr="001558A5">
        <w:rPr>
          <w:rFonts w:cs="Arial"/>
          <w:i/>
          <w:spacing w:val="-4"/>
          <w:szCs w:val="16"/>
          <w:lang w:val="es-CR"/>
        </w:rPr>
        <w:t xml:space="preserve">. </w:t>
      </w:r>
      <w:proofErr w:type="spellStart"/>
      <w:r w:rsidR="00B93FA6" w:rsidRPr="001558A5">
        <w:rPr>
          <w:rFonts w:cs="Arial"/>
          <w:i/>
          <w:spacing w:val="-4"/>
          <w:szCs w:val="16"/>
          <w:lang w:val="es-CR"/>
        </w:rPr>
        <w:t>Merits</w:t>
      </w:r>
      <w:proofErr w:type="spellEnd"/>
      <w:r w:rsidRPr="001558A5">
        <w:rPr>
          <w:rFonts w:cs="Arial"/>
          <w:iCs/>
          <w:spacing w:val="-4"/>
          <w:szCs w:val="16"/>
          <w:lang w:val="es-CR"/>
        </w:rPr>
        <w:t xml:space="preserve">, </w:t>
      </w:r>
      <w:r w:rsidRPr="001558A5">
        <w:rPr>
          <w:rFonts w:cs="Arial"/>
          <w:i/>
          <w:spacing w:val="-4"/>
          <w:szCs w:val="16"/>
          <w:lang w:val="es-CR"/>
        </w:rPr>
        <w:t>supra</w:t>
      </w:r>
      <w:r w:rsidRPr="001558A5">
        <w:rPr>
          <w:rFonts w:cs="Arial"/>
          <w:iCs/>
          <w:spacing w:val="-4"/>
          <w:szCs w:val="16"/>
          <w:lang w:val="es-CR"/>
        </w:rPr>
        <w:t>,</w:t>
      </w:r>
      <w:r w:rsidRPr="001558A5">
        <w:rPr>
          <w:rFonts w:cs="Arial"/>
          <w:i/>
          <w:spacing w:val="-4"/>
          <w:szCs w:val="16"/>
          <w:lang w:val="es-CR"/>
        </w:rPr>
        <w:t xml:space="preserve"> </w:t>
      </w:r>
      <w:r w:rsidR="00B43A52" w:rsidRPr="001558A5">
        <w:rPr>
          <w:rFonts w:cs="Verdana"/>
          <w:spacing w:val="-4"/>
          <w:szCs w:val="16"/>
          <w:lang w:val="es-CR"/>
        </w:rPr>
        <w:t>para.</w:t>
      </w:r>
      <w:r w:rsidRPr="001558A5">
        <w:rPr>
          <w:rFonts w:cs="Verdana"/>
          <w:spacing w:val="-4"/>
          <w:szCs w:val="16"/>
          <w:lang w:val="es-CR"/>
        </w:rPr>
        <w:t xml:space="preserve"> </w:t>
      </w:r>
      <w:r w:rsidRPr="001558A5">
        <w:rPr>
          <w:rFonts w:cs="Verdana"/>
          <w:spacing w:val="-4"/>
          <w:szCs w:val="16"/>
          <w:lang w:val="en-US"/>
        </w:rPr>
        <w:t>177</w:t>
      </w:r>
      <w:r w:rsidRPr="001558A5">
        <w:rPr>
          <w:spacing w:val="-2"/>
          <w:szCs w:val="16"/>
          <w:lang w:val="en-US"/>
        </w:rPr>
        <w:t xml:space="preserve">, </w:t>
      </w:r>
      <w:r w:rsidR="00871E19" w:rsidRPr="001558A5">
        <w:rPr>
          <w:i/>
          <w:spacing w:val="-2"/>
          <w:szCs w:val="16"/>
          <w:lang w:val="en-US"/>
        </w:rPr>
        <w:t>Case of</w:t>
      </w:r>
      <w:r w:rsidRPr="001558A5">
        <w:rPr>
          <w:i/>
          <w:spacing w:val="-2"/>
          <w:szCs w:val="16"/>
          <w:lang w:val="en-US"/>
        </w:rPr>
        <w:t xml:space="preserve"> </w:t>
      </w:r>
      <w:r w:rsidR="007112C1" w:rsidRPr="001558A5">
        <w:rPr>
          <w:i/>
          <w:spacing w:val="-2"/>
          <w:szCs w:val="16"/>
          <w:lang w:val="en-US"/>
        </w:rPr>
        <w:t>the</w:t>
      </w:r>
      <w:r w:rsidRPr="001558A5">
        <w:rPr>
          <w:i/>
          <w:spacing w:val="-2"/>
          <w:szCs w:val="16"/>
          <w:lang w:val="en-US"/>
        </w:rPr>
        <w:t xml:space="preserve"> Serrano Cruz</w:t>
      </w:r>
      <w:r w:rsidR="007112C1" w:rsidRPr="001558A5">
        <w:rPr>
          <w:i/>
          <w:spacing w:val="-2"/>
          <w:szCs w:val="16"/>
          <w:lang w:val="en-US"/>
        </w:rPr>
        <w:t xml:space="preserve"> Sisters</w:t>
      </w:r>
      <w:r w:rsidRPr="001558A5">
        <w:rPr>
          <w:i/>
          <w:spacing w:val="-2"/>
          <w:szCs w:val="16"/>
          <w:lang w:val="en-US"/>
        </w:rPr>
        <w:t xml:space="preserve"> </w:t>
      </w:r>
      <w:r w:rsidR="00871E19" w:rsidRPr="001558A5">
        <w:rPr>
          <w:i/>
          <w:spacing w:val="-2"/>
          <w:szCs w:val="16"/>
          <w:lang w:val="en-US"/>
        </w:rPr>
        <w:t>v.</w:t>
      </w:r>
      <w:r w:rsidRPr="001558A5">
        <w:rPr>
          <w:i/>
          <w:spacing w:val="-2"/>
          <w:szCs w:val="16"/>
          <w:lang w:val="en-US"/>
        </w:rPr>
        <w:t xml:space="preserve"> El Salvador. </w:t>
      </w:r>
      <w:r w:rsidR="00B43A52" w:rsidRPr="001558A5">
        <w:rPr>
          <w:i/>
          <w:spacing w:val="-2"/>
          <w:szCs w:val="16"/>
          <w:lang w:val="en-US"/>
        </w:rPr>
        <w:t>Merits, reparations and costs</w:t>
      </w:r>
      <w:r w:rsidRPr="001558A5">
        <w:rPr>
          <w:i/>
          <w:spacing w:val="-2"/>
          <w:szCs w:val="16"/>
          <w:lang w:val="en-US"/>
        </w:rPr>
        <w:t>.</w:t>
      </w:r>
      <w:r w:rsidRPr="001558A5">
        <w:rPr>
          <w:spacing w:val="-2"/>
          <w:szCs w:val="16"/>
          <w:lang w:val="en-US"/>
        </w:rPr>
        <w:t xml:space="preserve"> </w:t>
      </w:r>
      <w:r w:rsidR="00871E19" w:rsidRPr="001558A5">
        <w:rPr>
          <w:spacing w:val="-2"/>
          <w:szCs w:val="16"/>
          <w:lang w:val="en-US"/>
        </w:rPr>
        <w:t>Judgment of</w:t>
      </w:r>
      <w:r w:rsidRPr="001558A5">
        <w:rPr>
          <w:spacing w:val="-2"/>
          <w:szCs w:val="16"/>
          <w:lang w:val="en-US"/>
        </w:rPr>
        <w:t xml:space="preserve"> </w:t>
      </w:r>
      <w:r w:rsidR="007112C1" w:rsidRPr="001558A5">
        <w:rPr>
          <w:spacing w:val="-2"/>
          <w:szCs w:val="16"/>
          <w:lang w:val="en-US"/>
        </w:rPr>
        <w:t>March 1,</w:t>
      </w:r>
      <w:r w:rsidRPr="001558A5">
        <w:rPr>
          <w:spacing w:val="-2"/>
          <w:szCs w:val="16"/>
          <w:lang w:val="en-US"/>
        </w:rPr>
        <w:t xml:space="preserve"> 2005. </w:t>
      </w:r>
      <w:r w:rsidR="00B43A52" w:rsidRPr="001558A5">
        <w:rPr>
          <w:spacing w:val="-2"/>
          <w:szCs w:val="16"/>
          <w:lang w:val="en-US"/>
        </w:rPr>
        <w:t xml:space="preserve">Series </w:t>
      </w:r>
      <w:r w:rsidRPr="001558A5">
        <w:rPr>
          <w:spacing w:val="-2"/>
          <w:szCs w:val="16"/>
          <w:lang w:val="en-US"/>
        </w:rPr>
        <w:t xml:space="preserve">C No. 120, </w:t>
      </w:r>
      <w:r w:rsidR="00B43A52" w:rsidRPr="001558A5">
        <w:rPr>
          <w:spacing w:val="-2"/>
          <w:szCs w:val="16"/>
          <w:lang w:val="en-US"/>
        </w:rPr>
        <w:t>para.</w:t>
      </w:r>
      <w:r w:rsidRPr="001558A5">
        <w:rPr>
          <w:spacing w:val="-2"/>
          <w:szCs w:val="16"/>
          <w:lang w:val="en-US"/>
        </w:rPr>
        <w:t xml:space="preserve"> 83,</w:t>
      </w:r>
      <w:r w:rsidR="00DD4354" w:rsidRPr="001558A5">
        <w:rPr>
          <w:spacing w:val="-2"/>
          <w:szCs w:val="16"/>
          <w:lang w:val="en-US"/>
        </w:rPr>
        <w:t xml:space="preserve"> and </w:t>
      </w:r>
      <w:r w:rsidR="00871E19" w:rsidRPr="001558A5">
        <w:rPr>
          <w:i/>
          <w:iCs/>
          <w:szCs w:val="16"/>
          <w:lang w:val="en-US"/>
        </w:rPr>
        <w:t>Case of</w:t>
      </w:r>
      <w:r w:rsidRPr="001558A5">
        <w:rPr>
          <w:i/>
          <w:iCs/>
          <w:szCs w:val="16"/>
          <w:lang w:val="en-US"/>
        </w:rPr>
        <w:t xml:space="preserve"> Olivares Muñoz</w:t>
      </w:r>
      <w:r w:rsidR="00DD4354" w:rsidRPr="001558A5">
        <w:rPr>
          <w:i/>
          <w:iCs/>
          <w:szCs w:val="16"/>
          <w:lang w:val="en-US"/>
        </w:rPr>
        <w:t xml:space="preserve"> </w:t>
      </w:r>
      <w:r w:rsidR="004F4F9C" w:rsidRPr="001558A5">
        <w:rPr>
          <w:i/>
          <w:iCs/>
          <w:szCs w:val="16"/>
          <w:lang w:val="en-US"/>
        </w:rPr>
        <w:t>et al. v.</w:t>
      </w:r>
      <w:r w:rsidRPr="001558A5">
        <w:rPr>
          <w:i/>
          <w:iCs/>
          <w:szCs w:val="16"/>
          <w:lang w:val="en-US"/>
        </w:rPr>
        <w:t xml:space="preserve"> Vene</w:t>
      </w:r>
      <w:r w:rsidRPr="001558A5">
        <w:rPr>
          <w:szCs w:val="16"/>
          <w:lang w:val="en-US"/>
        </w:rPr>
        <w:t xml:space="preserve">zuela, </w:t>
      </w:r>
      <w:r w:rsidRPr="001558A5">
        <w:rPr>
          <w:i/>
          <w:iCs/>
          <w:szCs w:val="16"/>
          <w:lang w:val="en-US"/>
        </w:rPr>
        <w:t>supra</w:t>
      </w:r>
      <w:r w:rsidRPr="001558A5">
        <w:rPr>
          <w:szCs w:val="16"/>
          <w:lang w:val="en-US"/>
        </w:rPr>
        <w:t xml:space="preserve">, </w:t>
      </w:r>
      <w:r w:rsidR="00B43A52" w:rsidRPr="001558A5">
        <w:rPr>
          <w:szCs w:val="16"/>
          <w:lang w:val="en-US"/>
        </w:rPr>
        <w:t>para.</w:t>
      </w:r>
      <w:r w:rsidRPr="001558A5">
        <w:rPr>
          <w:szCs w:val="16"/>
          <w:lang w:val="en-US"/>
        </w:rPr>
        <w:t xml:space="preserve"> 120.</w:t>
      </w:r>
    </w:p>
  </w:footnote>
  <w:footnote w:id="133">
    <w:p w14:paraId="4C9ACE14" w14:textId="685A6033"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871E19" w:rsidRPr="001558A5">
        <w:rPr>
          <w:i/>
          <w:iCs/>
          <w:lang w:val="en-US"/>
        </w:rPr>
        <w:t>Case of</w:t>
      </w:r>
      <w:r w:rsidRPr="001558A5">
        <w:rPr>
          <w:i/>
          <w:iCs/>
          <w:lang w:val="en-US"/>
        </w:rPr>
        <w:t xml:space="preserve"> </w:t>
      </w:r>
      <w:r w:rsidR="007112C1" w:rsidRPr="001558A5">
        <w:rPr>
          <w:i/>
          <w:iCs/>
          <w:lang w:val="en-US"/>
        </w:rPr>
        <w:t>the</w:t>
      </w:r>
      <w:r w:rsidRPr="001558A5">
        <w:rPr>
          <w:i/>
          <w:iCs/>
          <w:lang w:val="en-US"/>
        </w:rPr>
        <w:t xml:space="preserve"> Serrano Cruz </w:t>
      </w:r>
      <w:r w:rsidR="007112C1" w:rsidRPr="001558A5">
        <w:rPr>
          <w:i/>
          <w:iCs/>
          <w:lang w:val="en-US"/>
        </w:rPr>
        <w:t xml:space="preserve">Sisters </w:t>
      </w:r>
      <w:r w:rsidR="00871E19" w:rsidRPr="001558A5">
        <w:rPr>
          <w:i/>
          <w:iCs/>
          <w:lang w:val="en-US"/>
        </w:rPr>
        <w:t>v.</w:t>
      </w:r>
      <w:r w:rsidRPr="001558A5">
        <w:rPr>
          <w:i/>
          <w:iCs/>
          <w:lang w:val="en-US"/>
        </w:rPr>
        <w:t xml:space="preserve"> El Salvador. </w:t>
      </w:r>
      <w:r w:rsidR="00B43A52" w:rsidRPr="001558A5">
        <w:rPr>
          <w:i/>
          <w:iCs/>
          <w:lang w:val="en-US"/>
        </w:rPr>
        <w:t>Merits, reparations and costs</w:t>
      </w:r>
      <w:r w:rsidRPr="001558A5">
        <w:rPr>
          <w:lang w:val="en-US"/>
        </w:rPr>
        <w:t xml:space="preserve">. </w:t>
      </w:r>
      <w:r w:rsidR="00871E19" w:rsidRPr="001558A5">
        <w:rPr>
          <w:lang w:val="en-US"/>
        </w:rPr>
        <w:t>Judgment of</w:t>
      </w:r>
      <w:r w:rsidRPr="001558A5">
        <w:rPr>
          <w:lang w:val="en-US"/>
        </w:rPr>
        <w:t xml:space="preserve"> </w:t>
      </w:r>
      <w:r w:rsidR="007112C1" w:rsidRPr="001558A5">
        <w:rPr>
          <w:lang w:val="en-US"/>
        </w:rPr>
        <w:t xml:space="preserve">March 1, </w:t>
      </w:r>
      <w:r w:rsidRPr="001558A5">
        <w:rPr>
          <w:lang w:val="en-US"/>
        </w:rPr>
        <w:t xml:space="preserve">2005. </w:t>
      </w:r>
      <w:r w:rsidR="00B43A52" w:rsidRPr="001558A5">
        <w:rPr>
          <w:lang w:val="en-US"/>
        </w:rPr>
        <w:t xml:space="preserve">Series </w:t>
      </w:r>
      <w:r w:rsidRPr="001558A5">
        <w:rPr>
          <w:lang w:val="en-US"/>
        </w:rPr>
        <w:t xml:space="preserve">C No. 120, </w:t>
      </w:r>
      <w:r w:rsidR="00675A99" w:rsidRPr="001558A5">
        <w:rPr>
          <w:lang w:val="en-US"/>
        </w:rPr>
        <w:t>paras.</w:t>
      </w:r>
      <w:r w:rsidRPr="001558A5">
        <w:rPr>
          <w:lang w:val="en-US"/>
        </w:rPr>
        <w:t xml:space="preserve"> 88</w:t>
      </w:r>
      <w:r w:rsidR="00DD4354" w:rsidRPr="001558A5">
        <w:rPr>
          <w:lang w:val="en-US"/>
        </w:rPr>
        <w:t xml:space="preserve"> and </w:t>
      </w:r>
      <w:r w:rsidRPr="001558A5">
        <w:rPr>
          <w:lang w:val="en-US"/>
        </w:rPr>
        <w:t>105,</w:t>
      </w:r>
      <w:r w:rsidR="00DD4354" w:rsidRPr="001558A5">
        <w:rPr>
          <w:lang w:val="en-US"/>
        </w:rPr>
        <w:t xml:space="preserve"> and </w:t>
      </w:r>
      <w:r w:rsidR="00871E19" w:rsidRPr="001558A5">
        <w:rPr>
          <w:i/>
          <w:iCs/>
          <w:lang w:val="en-US"/>
        </w:rPr>
        <w:t>Case of</w:t>
      </w:r>
      <w:r w:rsidRPr="001558A5">
        <w:rPr>
          <w:lang w:val="en-US"/>
        </w:rPr>
        <w:t xml:space="preserve"> </w:t>
      </w:r>
      <w:r w:rsidRPr="001558A5">
        <w:rPr>
          <w:i/>
          <w:iCs/>
          <w:lang w:val="en-US"/>
        </w:rPr>
        <w:t xml:space="preserve">Azul Rojas </w:t>
      </w:r>
      <w:proofErr w:type="spellStart"/>
      <w:r w:rsidR="00C909B4" w:rsidRPr="001558A5">
        <w:rPr>
          <w:i/>
          <w:iCs/>
          <w:lang w:val="en-US"/>
        </w:rPr>
        <w:t>Marín</w:t>
      </w:r>
      <w:proofErr w:type="spellEnd"/>
      <w:r w:rsidR="00C909B4" w:rsidRPr="001558A5">
        <w:rPr>
          <w:i/>
          <w:iCs/>
          <w:lang w:val="en-US"/>
        </w:rPr>
        <w:t xml:space="preserve"> et al.</w:t>
      </w:r>
      <w:r w:rsidRPr="001558A5">
        <w:rPr>
          <w:i/>
          <w:iCs/>
          <w:lang w:val="en-US"/>
        </w:rPr>
        <w:t xml:space="preserve"> </w:t>
      </w:r>
      <w:r w:rsidR="00871E19" w:rsidRPr="001558A5">
        <w:rPr>
          <w:i/>
          <w:iCs/>
          <w:lang w:val="en-US"/>
        </w:rPr>
        <w:t>v.</w:t>
      </w:r>
      <w:r w:rsidRPr="001558A5">
        <w:rPr>
          <w:i/>
          <w:iCs/>
          <w:lang w:val="en-US"/>
        </w:rPr>
        <w:t xml:space="preserve"> </w:t>
      </w:r>
      <w:r w:rsidR="00D11908" w:rsidRPr="001558A5">
        <w:rPr>
          <w:i/>
          <w:iCs/>
          <w:lang w:val="en-US"/>
        </w:rPr>
        <w:t>Peru</w:t>
      </w:r>
      <w:r w:rsidRPr="001558A5">
        <w:rPr>
          <w:lang w:val="en-US"/>
        </w:rPr>
        <w:t>,</w:t>
      </w:r>
      <w:r w:rsidRPr="001558A5">
        <w:rPr>
          <w:i/>
          <w:iCs/>
          <w:lang w:val="en-US"/>
        </w:rPr>
        <w:t xml:space="preserve"> supra</w:t>
      </w:r>
      <w:r w:rsidRPr="001558A5">
        <w:rPr>
          <w:lang w:val="en-US"/>
        </w:rPr>
        <w:t>,</w:t>
      </w:r>
      <w:r w:rsidRPr="001558A5">
        <w:rPr>
          <w:i/>
          <w:iCs/>
          <w:lang w:val="en-US"/>
        </w:rPr>
        <w:t xml:space="preserve"> </w:t>
      </w:r>
      <w:r w:rsidR="00B43A52" w:rsidRPr="001558A5">
        <w:rPr>
          <w:lang w:val="en-US"/>
        </w:rPr>
        <w:t>para.</w:t>
      </w:r>
      <w:r w:rsidRPr="001558A5">
        <w:rPr>
          <w:lang w:val="en-US"/>
        </w:rPr>
        <w:t xml:space="preserve"> 194.</w:t>
      </w:r>
    </w:p>
  </w:footnote>
  <w:footnote w:id="134">
    <w:p w14:paraId="69E0C01C" w14:textId="3E98E438" w:rsidR="005977F6" w:rsidRPr="001558A5" w:rsidRDefault="005977F6" w:rsidP="000B2BB5">
      <w:pPr>
        <w:pStyle w:val="Textonotapie"/>
        <w:tabs>
          <w:tab w:val="left" w:pos="360"/>
        </w:tabs>
        <w:rPr>
          <w:lang w:val="es-CR"/>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871E19" w:rsidRPr="001558A5">
        <w:rPr>
          <w:i/>
          <w:iCs/>
          <w:lang w:val="en-US"/>
        </w:rPr>
        <w:t>Case of</w:t>
      </w:r>
      <w:r w:rsidRPr="001558A5">
        <w:rPr>
          <w:i/>
          <w:iCs/>
          <w:lang w:val="en-US"/>
        </w:rPr>
        <w:t xml:space="preserve"> Juan Humberto Sánchez </w:t>
      </w:r>
      <w:r w:rsidR="00871E19" w:rsidRPr="001558A5">
        <w:rPr>
          <w:i/>
          <w:iCs/>
          <w:lang w:val="en-US"/>
        </w:rPr>
        <w:t>v.</w:t>
      </w:r>
      <w:r w:rsidRPr="001558A5">
        <w:rPr>
          <w:i/>
          <w:iCs/>
          <w:lang w:val="en-US"/>
        </w:rPr>
        <w:t xml:space="preserve"> Honduras. </w:t>
      </w:r>
      <w:r w:rsidR="00B43A52" w:rsidRPr="001558A5">
        <w:rPr>
          <w:i/>
          <w:iCs/>
          <w:lang w:val="en-US"/>
        </w:rPr>
        <w:t>Preliminary objection, merits, reparations and costs</w:t>
      </w:r>
      <w:r w:rsidRPr="001558A5">
        <w:rPr>
          <w:i/>
          <w:iCs/>
          <w:lang w:val="en-US"/>
        </w:rPr>
        <w:t xml:space="preserve">, </w:t>
      </w:r>
      <w:r w:rsidR="00B43A52" w:rsidRPr="001558A5">
        <w:rPr>
          <w:lang w:val="en-US"/>
        </w:rPr>
        <w:t>para.</w:t>
      </w:r>
      <w:r w:rsidRPr="001558A5">
        <w:rPr>
          <w:lang w:val="en-US"/>
        </w:rPr>
        <w:t xml:space="preserve"> </w:t>
      </w:r>
      <w:r w:rsidRPr="001558A5">
        <w:rPr>
          <w:lang w:val="es-CR"/>
        </w:rPr>
        <w:t>128,</w:t>
      </w:r>
      <w:r w:rsidR="00DD4354" w:rsidRPr="001558A5">
        <w:rPr>
          <w:lang w:val="es-CR"/>
        </w:rPr>
        <w:t xml:space="preserve"> and </w:t>
      </w:r>
      <w:r w:rsidR="00871E19" w:rsidRPr="001558A5">
        <w:rPr>
          <w:i/>
          <w:iCs/>
          <w:lang w:val="es-CR"/>
        </w:rPr>
        <w:t>Case of</w:t>
      </w:r>
      <w:r w:rsidRPr="001558A5">
        <w:rPr>
          <w:lang w:val="es-CR"/>
        </w:rPr>
        <w:t xml:space="preserve"> </w:t>
      </w:r>
      <w:r w:rsidRPr="001558A5">
        <w:rPr>
          <w:i/>
          <w:iCs/>
          <w:lang w:val="es-CR"/>
        </w:rPr>
        <w:t xml:space="preserve">Azul Rojas </w:t>
      </w:r>
      <w:r w:rsidR="00C909B4" w:rsidRPr="001558A5">
        <w:rPr>
          <w:i/>
          <w:iCs/>
          <w:lang w:val="es-CR"/>
        </w:rPr>
        <w:t>Marín et al.</w:t>
      </w:r>
      <w:r w:rsidRPr="001558A5">
        <w:rPr>
          <w:i/>
          <w:iCs/>
          <w:lang w:val="es-CR"/>
        </w:rPr>
        <w:t xml:space="preserve"> </w:t>
      </w:r>
      <w:r w:rsidR="00871E19" w:rsidRPr="001558A5">
        <w:rPr>
          <w:i/>
          <w:iCs/>
          <w:lang w:val="es-CR"/>
        </w:rPr>
        <w:t>v.</w:t>
      </w:r>
      <w:r w:rsidRPr="001558A5">
        <w:rPr>
          <w:i/>
          <w:iCs/>
          <w:lang w:val="es-CR"/>
        </w:rPr>
        <w:t xml:space="preserve"> </w:t>
      </w:r>
      <w:proofErr w:type="spellStart"/>
      <w:r w:rsidR="00D11908" w:rsidRPr="001558A5">
        <w:rPr>
          <w:i/>
          <w:iCs/>
          <w:lang w:val="es-CR"/>
        </w:rPr>
        <w:t>Peru</w:t>
      </w:r>
      <w:proofErr w:type="spellEnd"/>
      <w:r w:rsidRPr="001558A5">
        <w:rPr>
          <w:lang w:val="es-CR"/>
        </w:rPr>
        <w:t>,</w:t>
      </w:r>
      <w:r w:rsidRPr="001558A5">
        <w:rPr>
          <w:i/>
          <w:iCs/>
          <w:lang w:val="es-CR"/>
        </w:rPr>
        <w:t xml:space="preserve"> supra</w:t>
      </w:r>
      <w:r w:rsidRPr="001558A5">
        <w:rPr>
          <w:lang w:val="es-CR"/>
        </w:rPr>
        <w:t>,</w:t>
      </w:r>
      <w:r w:rsidRPr="001558A5">
        <w:rPr>
          <w:i/>
          <w:iCs/>
          <w:lang w:val="es-CR"/>
        </w:rPr>
        <w:t xml:space="preserve"> </w:t>
      </w:r>
      <w:r w:rsidR="00B43A52" w:rsidRPr="001558A5">
        <w:rPr>
          <w:lang w:val="es-CR"/>
        </w:rPr>
        <w:t>para.</w:t>
      </w:r>
      <w:r w:rsidRPr="001558A5">
        <w:rPr>
          <w:lang w:val="es-CR"/>
        </w:rPr>
        <w:t xml:space="preserve"> 194.</w:t>
      </w:r>
    </w:p>
  </w:footnote>
  <w:footnote w:id="135">
    <w:p w14:paraId="1C3AA27E" w14:textId="059DFBB5" w:rsidR="005977F6" w:rsidRPr="001558A5" w:rsidRDefault="005977F6" w:rsidP="000B2BB5">
      <w:pPr>
        <w:pStyle w:val="Textonotapie"/>
        <w:tabs>
          <w:tab w:val="left" w:pos="360"/>
        </w:tabs>
        <w:rPr>
          <w:lang w:val="es-CR"/>
        </w:rPr>
      </w:pPr>
      <w:r w:rsidRPr="001558A5">
        <w:rPr>
          <w:rStyle w:val="Refdenotaalpie"/>
          <w:lang w:val="en-US"/>
        </w:rPr>
        <w:footnoteRef/>
      </w:r>
      <w:r w:rsidRPr="001558A5">
        <w:rPr>
          <w:lang w:val="es-CR"/>
        </w:rPr>
        <w:t xml:space="preserve"> </w:t>
      </w:r>
      <w:r w:rsidRPr="001558A5">
        <w:rPr>
          <w:lang w:val="es-CR"/>
        </w:rPr>
        <w:tab/>
      </w:r>
      <w:r w:rsidR="00871E19" w:rsidRPr="001558A5">
        <w:rPr>
          <w:i/>
          <w:iCs/>
          <w:lang w:val="es-CR"/>
        </w:rPr>
        <w:t>Cf.</w:t>
      </w:r>
      <w:r w:rsidRPr="001558A5">
        <w:rPr>
          <w:i/>
          <w:iCs/>
          <w:lang w:val="es-CR"/>
        </w:rPr>
        <w:t xml:space="preserve"> </w:t>
      </w:r>
      <w:r w:rsidR="00871E19" w:rsidRPr="001558A5">
        <w:rPr>
          <w:i/>
          <w:iCs/>
          <w:lang w:val="es-CR"/>
        </w:rPr>
        <w:t>Case of</w:t>
      </w:r>
      <w:r w:rsidRPr="001558A5">
        <w:rPr>
          <w:lang w:val="es-CR"/>
        </w:rPr>
        <w:t xml:space="preserve"> </w:t>
      </w:r>
      <w:r w:rsidRPr="001558A5">
        <w:rPr>
          <w:i/>
          <w:iCs/>
          <w:lang w:val="es-CR"/>
        </w:rPr>
        <w:t xml:space="preserve">Azul Rojas </w:t>
      </w:r>
      <w:r w:rsidR="00C909B4" w:rsidRPr="001558A5">
        <w:rPr>
          <w:i/>
          <w:iCs/>
          <w:lang w:val="es-CR"/>
        </w:rPr>
        <w:t>Marín et al.</w:t>
      </w:r>
      <w:r w:rsidRPr="001558A5">
        <w:rPr>
          <w:i/>
          <w:iCs/>
          <w:lang w:val="es-CR"/>
        </w:rPr>
        <w:t xml:space="preserve"> </w:t>
      </w:r>
      <w:r w:rsidR="00871E19" w:rsidRPr="001558A5">
        <w:rPr>
          <w:i/>
          <w:iCs/>
          <w:lang w:val="es-CR"/>
        </w:rPr>
        <w:t>v.</w:t>
      </w:r>
      <w:r w:rsidRPr="001558A5">
        <w:rPr>
          <w:i/>
          <w:iCs/>
          <w:lang w:val="es-CR"/>
        </w:rPr>
        <w:t xml:space="preserve"> </w:t>
      </w:r>
      <w:proofErr w:type="spellStart"/>
      <w:r w:rsidR="00D11908" w:rsidRPr="001558A5">
        <w:rPr>
          <w:i/>
          <w:iCs/>
          <w:lang w:val="es-CR"/>
        </w:rPr>
        <w:t>Peru</w:t>
      </w:r>
      <w:proofErr w:type="spellEnd"/>
      <w:r w:rsidRPr="001558A5">
        <w:rPr>
          <w:lang w:val="es-CR"/>
        </w:rPr>
        <w:t>,</w:t>
      </w:r>
      <w:r w:rsidRPr="001558A5">
        <w:rPr>
          <w:i/>
          <w:iCs/>
          <w:lang w:val="es-CR"/>
        </w:rPr>
        <w:t xml:space="preserve"> supra</w:t>
      </w:r>
      <w:r w:rsidRPr="001558A5">
        <w:rPr>
          <w:lang w:val="es-CR"/>
        </w:rPr>
        <w:t xml:space="preserve">, </w:t>
      </w:r>
      <w:r w:rsidR="00B43A52" w:rsidRPr="001558A5">
        <w:rPr>
          <w:lang w:val="es-CR"/>
        </w:rPr>
        <w:t>para.</w:t>
      </w:r>
      <w:r w:rsidRPr="001558A5">
        <w:rPr>
          <w:lang w:val="es-CR"/>
        </w:rPr>
        <w:t xml:space="preserve"> </w:t>
      </w:r>
      <w:r w:rsidRPr="001558A5">
        <w:rPr>
          <w:lang w:val="en-US"/>
        </w:rPr>
        <w:t xml:space="preserve">196. </w:t>
      </w:r>
      <w:r w:rsidR="009C1D76" w:rsidRPr="001558A5">
        <w:rPr>
          <w:lang w:val="en-US"/>
        </w:rPr>
        <w:t>See, similarly</w:t>
      </w:r>
      <w:r w:rsidRPr="001558A5">
        <w:rPr>
          <w:lang w:val="en-US"/>
        </w:rPr>
        <w:t>,</w:t>
      </w:r>
      <w:r w:rsidRPr="001558A5">
        <w:rPr>
          <w:i/>
          <w:iCs/>
          <w:lang w:val="en-US"/>
        </w:rPr>
        <w:t xml:space="preserve"> </w:t>
      </w:r>
      <w:r w:rsidR="00871E19" w:rsidRPr="001558A5">
        <w:rPr>
          <w:i/>
          <w:iCs/>
          <w:lang w:val="en-US"/>
        </w:rPr>
        <w:t>Case of</w:t>
      </w:r>
      <w:r w:rsidRPr="001558A5">
        <w:rPr>
          <w:i/>
          <w:iCs/>
          <w:lang w:val="en-US"/>
        </w:rPr>
        <w:t xml:space="preserve"> </w:t>
      </w:r>
      <w:proofErr w:type="spellStart"/>
      <w:r w:rsidRPr="001558A5">
        <w:rPr>
          <w:i/>
          <w:iCs/>
          <w:lang w:val="en-US"/>
        </w:rPr>
        <w:t>Véliz</w:t>
      </w:r>
      <w:proofErr w:type="spellEnd"/>
      <w:r w:rsidRPr="001558A5">
        <w:rPr>
          <w:i/>
          <w:iCs/>
          <w:lang w:val="en-US"/>
        </w:rPr>
        <w:t xml:space="preserve"> Franco</w:t>
      </w:r>
      <w:r w:rsidR="00DD4354" w:rsidRPr="001558A5">
        <w:rPr>
          <w:i/>
          <w:iCs/>
          <w:lang w:val="en-US"/>
        </w:rPr>
        <w:t xml:space="preserve"> </w:t>
      </w:r>
      <w:r w:rsidR="004F4F9C" w:rsidRPr="001558A5">
        <w:rPr>
          <w:i/>
          <w:iCs/>
          <w:lang w:val="en-US"/>
        </w:rPr>
        <w:t>et al. v.</w:t>
      </w:r>
      <w:r w:rsidRPr="001558A5">
        <w:rPr>
          <w:i/>
          <w:iCs/>
          <w:lang w:val="en-US"/>
        </w:rPr>
        <w:t xml:space="preserve"> Guatemala. </w:t>
      </w:r>
      <w:r w:rsidR="00B43A52" w:rsidRPr="001558A5">
        <w:rPr>
          <w:i/>
          <w:iCs/>
          <w:lang w:val="en-US"/>
        </w:rPr>
        <w:t>Preliminary objections, merits, reparations and costs</w:t>
      </w:r>
      <w:r w:rsidRPr="001558A5">
        <w:rPr>
          <w:lang w:val="en-US"/>
        </w:rPr>
        <w:t xml:space="preserve">. </w:t>
      </w:r>
      <w:r w:rsidR="00871E19" w:rsidRPr="001558A5">
        <w:rPr>
          <w:lang w:val="en-US"/>
        </w:rPr>
        <w:t>Judgment of</w:t>
      </w:r>
      <w:r w:rsidRPr="001558A5">
        <w:rPr>
          <w:lang w:val="en-US"/>
        </w:rPr>
        <w:t xml:space="preserve"> </w:t>
      </w:r>
      <w:r w:rsidR="009C1D76" w:rsidRPr="001558A5">
        <w:rPr>
          <w:lang w:val="en-US"/>
        </w:rPr>
        <w:t>May 19,</w:t>
      </w:r>
      <w:r w:rsidRPr="001558A5">
        <w:rPr>
          <w:lang w:val="en-US"/>
        </w:rPr>
        <w:t xml:space="preserve"> 2014. </w:t>
      </w:r>
      <w:r w:rsidR="00B43A52" w:rsidRPr="001558A5">
        <w:rPr>
          <w:lang w:val="en-US"/>
        </w:rPr>
        <w:t xml:space="preserve">Series </w:t>
      </w:r>
      <w:r w:rsidRPr="001558A5">
        <w:rPr>
          <w:lang w:val="en-US"/>
        </w:rPr>
        <w:t xml:space="preserve">C No. 277, </w:t>
      </w:r>
      <w:r w:rsidR="00B43A52" w:rsidRPr="001558A5">
        <w:rPr>
          <w:lang w:val="en-US"/>
        </w:rPr>
        <w:t>para.</w:t>
      </w:r>
      <w:r w:rsidRPr="001558A5">
        <w:rPr>
          <w:lang w:val="en-US"/>
        </w:rPr>
        <w:t xml:space="preserve"> </w:t>
      </w:r>
      <w:r w:rsidRPr="001558A5">
        <w:rPr>
          <w:lang w:val="es-CR"/>
        </w:rPr>
        <w:t>208.</w:t>
      </w:r>
    </w:p>
  </w:footnote>
  <w:footnote w:id="136">
    <w:p w14:paraId="10786CDB" w14:textId="0A423725" w:rsidR="005977F6" w:rsidRPr="001558A5" w:rsidRDefault="005977F6" w:rsidP="000B2BB5">
      <w:pPr>
        <w:pStyle w:val="Textonotapie"/>
        <w:tabs>
          <w:tab w:val="left" w:pos="360"/>
        </w:tabs>
        <w:rPr>
          <w:lang w:val="es-CR"/>
        </w:rPr>
      </w:pPr>
      <w:r w:rsidRPr="001558A5">
        <w:rPr>
          <w:rStyle w:val="Refdenotaalpie"/>
          <w:lang w:val="en-US"/>
        </w:rPr>
        <w:footnoteRef/>
      </w:r>
      <w:r w:rsidRPr="001558A5">
        <w:rPr>
          <w:lang w:val="es-CR"/>
        </w:rPr>
        <w:t xml:space="preserve"> </w:t>
      </w:r>
      <w:r w:rsidRPr="001558A5">
        <w:rPr>
          <w:lang w:val="es-CR"/>
        </w:rPr>
        <w:tab/>
      </w:r>
      <w:r w:rsidR="00871E19" w:rsidRPr="001558A5">
        <w:rPr>
          <w:i/>
          <w:iCs/>
          <w:lang w:val="es-CR"/>
        </w:rPr>
        <w:t>Cf.</w:t>
      </w:r>
      <w:r w:rsidRPr="001558A5">
        <w:rPr>
          <w:i/>
          <w:iCs/>
          <w:lang w:val="es-CR"/>
        </w:rPr>
        <w:t xml:space="preserve"> </w:t>
      </w:r>
      <w:r w:rsidR="00871E19" w:rsidRPr="001558A5">
        <w:rPr>
          <w:i/>
          <w:iCs/>
          <w:lang w:val="es-CR"/>
        </w:rPr>
        <w:t>Case of</w:t>
      </w:r>
      <w:r w:rsidRPr="001558A5">
        <w:rPr>
          <w:lang w:val="es-CR"/>
        </w:rPr>
        <w:t xml:space="preserve"> </w:t>
      </w:r>
      <w:r w:rsidRPr="001558A5">
        <w:rPr>
          <w:i/>
          <w:iCs/>
          <w:lang w:val="es-CR"/>
        </w:rPr>
        <w:t xml:space="preserve">Azul Rojas </w:t>
      </w:r>
      <w:r w:rsidR="00C909B4" w:rsidRPr="001558A5">
        <w:rPr>
          <w:i/>
          <w:iCs/>
          <w:lang w:val="es-CR"/>
        </w:rPr>
        <w:t>Marín et al.</w:t>
      </w:r>
      <w:r w:rsidRPr="001558A5">
        <w:rPr>
          <w:i/>
          <w:iCs/>
          <w:lang w:val="es-CR"/>
        </w:rPr>
        <w:t xml:space="preserve"> </w:t>
      </w:r>
      <w:r w:rsidR="00871E19" w:rsidRPr="001558A5">
        <w:rPr>
          <w:i/>
          <w:iCs/>
          <w:lang w:val="es-CR"/>
        </w:rPr>
        <w:t>v.</w:t>
      </w:r>
      <w:r w:rsidRPr="001558A5">
        <w:rPr>
          <w:i/>
          <w:iCs/>
          <w:lang w:val="es-CR"/>
        </w:rPr>
        <w:t xml:space="preserve"> </w:t>
      </w:r>
      <w:proofErr w:type="spellStart"/>
      <w:r w:rsidR="00D11908" w:rsidRPr="001558A5">
        <w:rPr>
          <w:i/>
          <w:iCs/>
          <w:lang w:val="es-CR"/>
        </w:rPr>
        <w:t>Peru</w:t>
      </w:r>
      <w:proofErr w:type="spellEnd"/>
      <w:r w:rsidRPr="001558A5">
        <w:rPr>
          <w:lang w:val="es-CR"/>
        </w:rPr>
        <w:t>,</w:t>
      </w:r>
      <w:r w:rsidRPr="001558A5">
        <w:rPr>
          <w:i/>
          <w:iCs/>
          <w:lang w:val="es-CR"/>
        </w:rPr>
        <w:t xml:space="preserve"> supra</w:t>
      </w:r>
      <w:r w:rsidRPr="001558A5">
        <w:rPr>
          <w:lang w:val="es-CR"/>
        </w:rPr>
        <w:t xml:space="preserve">, </w:t>
      </w:r>
      <w:r w:rsidR="00B43A52" w:rsidRPr="001558A5">
        <w:rPr>
          <w:lang w:val="es-CR"/>
        </w:rPr>
        <w:t>para.</w:t>
      </w:r>
      <w:r w:rsidRPr="001558A5">
        <w:rPr>
          <w:lang w:val="es-CR"/>
        </w:rPr>
        <w:t xml:space="preserve"> </w:t>
      </w:r>
      <w:r w:rsidRPr="001558A5">
        <w:rPr>
          <w:lang w:val="en-US"/>
        </w:rPr>
        <w:t xml:space="preserve">196. </w:t>
      </w:r>
      <w:r w:rsidR="009C1D76" w:rsidRPr="001558A5">
        <w:rPr>
          <w:lang w:val="en-US"/>
        </w:rPr>
        <w:t>See, similarly,</w:t>
      </w:r>
      <w:r w:rsidR="009C1D76" w:rsidRPr="001558A5">
        <w:rPr>
          <w:i/>
          <w:iCs/>
          <w:lang w:val="en-US"/>
        </w:rPr>
        <w:t xml:space="preserve"> </w:t>
      </w:r>
      <w:r w:rsidR="00871E19" w:rsidRPr="001558A5">
        <w:rPr>
          <w:i/>
          <w:lang w:val="en-US"/>
        </w:rPr>
        <w:t>Case of</w:t>
      </w:r>
      <w:r w:rsidRPr="001558A5">
        <w:rPr>
          <w:i/>
          <w:lang w:val="en-US"/>
        </w:rPr>
        <w:t xml:space="preserve"> </w:t>
      </w:r>
      <w:proofErr w:type="spellStart"/>
      <w:r w:rsidRPr="001558A5">
        <w:rPr>
          <w:i/>
          <w:lang w:val="en-US"/>
        </w:rPr>
        <w:t>López</w:t>
      </w:r>
      <w:proofErr w:type="spellEnd"/>
      <w:r w:rsidRPr="001558A5">
        <w:rPr>
          <w:i/>
          <w:lang w:val="en-US"/>
        </w:rPr>
        <w:t xml:space="preserve"> Soto</w:t>
      </w:r>
      <w:r w:rsidR="00DD4354" w:rsidRPr="001558A5">
        <w:rPr>
          <w:i/>
          <w:lang w:val="en-US"/>
        </w:rPr>
        <w:t xml:space="preserve"> </w:t>
      </w:r>
      <w:r w:rsidR="004F4F9C" w:rsidRPr="001558A5">
        <w:rPr>
          <w:i/>
          <w:lang w:val="en-US"/>
        </w:rPr>
        <w:t>et al. v.</w:t>
      </w:r>
      <w:r w:rsidRPr="001558A5">
        <w:rPr>
          <w:i/>
          <w:lang w:val="en-US"/>
        </w:rPr>
        <w:t xml:space="preserve"> Venezuela. </w:t>
      </w:r>
      <w:r w:rsidR="00B43A52" w:rsidRPr="001558A5">
        <w:rPr>
          <w:i/>
          <w:lang w:val="en-US"/>
        </w:rPr>
        <w:t>Merits, reparations and costs</w:t>
      </w:r>
      <w:r w:rsidRPr="001558A5">
        <w:rPr>
          <w:lang w:val="en-US"/>
        </w:rPr>
        <w:t xml:space="preserve">. </w:t>
      </w:r>
      <w:r w:rsidR="00871E19" w:rsidRPr="001558A5">
        <w:rPr>
          <w:lang w:val="en-US"/>
        </w:rPr>
        <w:t>Judgment of</w:t>
      </w:r>
      <w:r w:rsidRPr="001558A5">
        <w:rPr>
          <w:lang w:val="en-US"/>
        </w:rPr>
        <w:t xml:space="preserve"> </w:t>
      </w:r>
      <w:r w:rsidR="009C1D76" w:rsidRPr="001558A5">
        <w:rPr>
          <w:lang w:val="en-US"/>
        </w:rPr>
        <w:t>September 26,</w:t>
      </w:r>
      <w:r w:rsidRPr="001558A5">
        <w:rPr>
          <w:lang w:val="en-US"/>
        </w:rPr>
        <w:t xml:space="preserve"> 2018. </w:t>
      </w:r>
      <w:r w:rsidR="00B43A52" w:rsidRPr="001558A5">
        <w:rPr>
          <w:lang w:val="en-US"/>
        </w:rPr>
        <w:t xml:space="preserve">Series </w:t>
      </w:r>
      <w:r w:rsidRPr="001558A5">
        <w:rPr>
          <w:lang w:val="en-US"/>
        </w:rPr>
        <w:t>C No. 362,</w:t>
      </w:r>
      <w:r w:rsidRPr="001558A5">
        <w:rPr>
          <w:i/>
          <w:iCs/>
          <w:lang w:val="en-US"/>
        </w:rPr>
        <w:t xml:space="preserve"> </w:t>
      </w:r>
      <w:r w:rsidR="00B43A52" w:rsidRPr="001558A5">
        <w:rPr>
          <w:lang w:val="en-US"/>
        </w:rPr>
        <w:t>para.</w:t>
      </w:r>
      <w:r w:rsidRPr="001558A5">
        <w:rPr>
          <w:lang w:val="en-US"/>
        </w:rPr>
        <w:t xml:space="preserve"> </w:t>
      </w:r>
      <w:r w:rsidRPr="001558A5">
        <w:rPr>
          <w:lang w:val="es-CR"/>
        </w:rPr>
        <w:t>223.</w:t>
      </w:r>
    </w:p>
  </w:footnote>
  <w:footnote w:id="137">
    <w:p w14:paraId="6D4B07F0" w14:textId="163FB163"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s-CR"/>
        </w:rPr>
        <w:t xml:space="preserve"> </w:t>
      </w:r>
      <w:r w:rsidRPr="001558A5">
        <w:rPr>
          <w:lang w:val="es-CR"/>
        </w:rPr>
        <w:tab/>
      </w:r>
      <w:r w:rsidR="00871E19" w:rsidRPr="001558A5">
        <w:rPr>
          <w:i/>
          <w:lang w:val="es-CR"/>
        </w:rPr>
        <w:t>Cf.</w:t>
      </w:r>
      <w:r w:rsidRPr="001558A5">
        <w:rPr>
          <w:i/>
          <w:lang w:val="es-CR"/>
        </w:rPr>
        <w:t xml:space="preserve"> </w:t>
      </w:r>
      <w:r w:rsidR="00871E19" w:rsidRPr="001558A5">
        <w:rPr>
          <w:i/>
          <w:iCs/>
          <w:lang w:val="es-CR"/>
        </w:rPr>
        <w:t>Case of</w:t>
      </w:r>
      <w:r w:rsidRPr="001558A5">
        <w:rPr>
          <w:lang w:val="es-CR"/>
        </w:rPr>
        <w:t xml:space="preserve"> </w:t>
      </w:r>
      <w:r w:rsidRPr="001558A5">
        <w:rPr>
          <w:i/>
          <w:iCs/>
          <w:lang w:val="es-CR"/>
        </w:rPr>
        <w:t xml:space="preserve">Azul Rojas </w:t>
      </w:r>
      <w:r w:rsidR="00C909B4" w:rsidRPr="001558A5">
        <w:rPr>
          <w:i/>
          <w:iCs/>
          <w:lang w:val="es-CR"/>
        </w:rPr>
        <w:t>Marín et al.</w:t>
      </w:r>
      <w:r w:rsidRPr="001558A5">
        <w:rPr>
          <w:i/>
          <w:iCs/>
          <w:lang w:val="es-CR"/>
        </w:rPr>
        <w:t xml:space="preserve"> </w:t>
      </w:r>
      <w:r w:rsidR="00871E19" w:rsidRPr="001558A5">
        <w:rPr>
          <w:i/>
          <w:iCs/>
          <w:lang w:val="es-CR"/>
        </w:rPr>
        <w:t>v.</w:t>
      </w:r>
      <w:r w:rsidRPr="001558A5">
        <w:rPr>
          <w:i/>
          <w:iCs/>
          <w:lang w:val="es-CR"/>
        </w:rPr>
        <w:t xml:space="preserve"> </w:t>
      </w:r>
      <w:proofErr w:type="spellStart"/>
      <w:r w:rsidR="00D11908" w:rsidRPr="001558A5">
        <w:rPr>
          <w:i/>
          <w:iCs/>
          <w:lang w:val="es-CR"/>
        </w:rPr>
        <w:t>Peru</w:t>
      </w:r>
      <w:proofErr w:type="spellEnd"/>
      <w:r w:rsidRPr="001558A5">
        <w:rPr>
          <w:i/>
          <w:iCs/>
          <w:szCs w:val="16"/>
          <w:lang w:val="es-CR"/>
        </w:rPr>
        <w:t xml:space="preserve">, supra, </w:t>
      </w:r>
      <w:r w:rsidR="00B43A52" w:rsidRPr="001558A5">
        <w:rPr>
          <w:i/>
          <w:iCs/>
          <w:szCs w:val="16"/>
          <w:lang w:val="es-CR"/>
        </w:rPr>
        <w:t>para.</w:t>
      </w:r>
      <w:r w:rsidRPr="001558A5">
        <w:rPr>
          <w:i/>
          <w:iCs/>
          <w:szCs w:val="16"/>
          <w:lang w:val="es-CR"/>
        </w:rPr>
        <w:t xml:space="preserve"> </w:t>
      </w:r>
      <w:r w:rsidRPr="001558A5">
        <w:rPr>
          <w:i/>
          <w:iCs/>
          <w:szCs w:val="16"/>
          <w:lang w:val="en-US"/>
        </w:rPr>
        <w:t>199</w:t>
      </w:r>
      <w:r w:rsidRPr="001558A5">
        <w:rPr>
          <w:lang w:val="en-US"/>
        </w:rPr>
        <w:t xml:space="preserve">. </w:t>
      </w:r>
      <w:r w:rsidR="00366177" w:rsidRPr="001558A5">
        <w:rPr>
          <w:lang w:val="en-US"/>
        </w:rPr>
        <w:t>See also,</w:t>
      </w:r>
      <w:r w:rsidRPr="001558A5">
        <w:rPr>
          <w:lang w:val="en-US"/>
        </w:rPr>
        <w:t xml:space="preserve"> </w:t>
      </w:r>
      <w:r w:rsidRPr="001558A5">
        <w:rPr>
          <w:i/>
          <w:iCs/>
          <w:szCs w:val="16"/>
          <w:lang w:val="en-US"/>
        </w:rPr>
        <w:t>Gutiérrez Hernández</w:t>
      </w:r>
      <w:r w:rsidR="00DD4354" w:rsidRPr="001558A5">
        <w:rPr>
          <w:i/>
          <w:iCs/>
          <w:szCs w:val="16"/>
          <w:lang w:val="en-US"/>
        </w:rPr>
        <w:t xml:space="preserve"> </w:t>
      </w:r>
      <w:r w:rsidR="004F4F9C" w:rsidRPr="001558A5">
        <w:rPr>
          <w:i/>
          <w:iCs/>
          <w:szCs w:val="16"/>
          <w:lang w:val="en-US"/>
        </w:rPr>
        <w:t>et al. v.</w:t>
      </w:r>
      <w:r w:rsidRPr="001558A5">
        <w:rPr>
          <w:i/>
          <w:iCs/>
          <w:szCs w:val="16"/>
          <w:lang w:val="en-US"/>
        </w:rPr>
        <w:t xml:space="preserve"> Guatemala. </w:t>
      </w:r>
      <w:r w:rsidR="00B43A52" w:rsidRPr="001558A5">
        <w:rPr>
          <w:i/>
          <w:iCs/>
          <w:szCs w:val="16"/>
          <w:lang w:val="en-US"/>
        </w:rPr>
        <w:t>Preliminary objections, merits, reparations and costs</w:t>
      </w:r>
      <w:r w:rsidRPr="001558A5">
        <w:rPr>
          <w:szCs w:val="16"/>
          <w:lang w:val="en-US"/>
        </w:rPr>
        <w:t xml:space="preserve">. </w:t>
      </w:r>
      <w:r w:rsidR="00871E19" w:rsidRPr="001558A5">
        <w:rPr>
          <w:szCs w:val="16"/>
          <w:lang w:val="en-US"/>
        </w:rPr>
        <w:t>Judgment of</w:t>
      </w:r>
      <w:r w:rsidRPr="001558A5">
        <w:rPr>
          <w:szCs w:val="16"/>
          <w:lang w:val="en-US"/>
        </w:rPr>
        <w:t xml:space="preserve"> </w:t>
      </w:r>
      <w:r w:rsidR="00366177" w:rsidRPr="001558A5">
        <w:rPr>
          <w:szCs w:val="16"/>
          <w:lang w:val="en-US"/>
        </w:rPr>
        <w:t>August 24,</w:t>
      </w:r>
      <w:r w:rsidRPr="001558A5">
        <w:rPr>
          <w:szCs w:val="16"/>
          <w:lang w:val="en-US"/>
        </w:rPr>
        <w:t xml:space="preserve"> 2017. </w:t>
      </w:r>
      <w:r w:rsidR="00B43A52" w:rsidRPr="001558A5">
        <w:rPr>
          <w:szCs w:val="16"/>
          <w:lang w:val="en-US"/>
        </w:rPr>
        <w:t xml:space="preserve">Series </w:t>
      </w:r>
      <w:r w:rsidRPr="001558A5">
        <w:rPr>
          <w:szCs w:val="16"/>
          <w:lang w:val="en-US"/>
        </w:rPr>
        <w:t xml:space="preserve">C No. 339, </w:t>
      </w:r>
      <w:r w:rsidR="00B43A52" w:rsidRPr="001558A5">
        <w:rPr>
          <w:szCs w:val="16"/>
          <w:lang w:val="en-US"/>
        </w:rPr>
        <w:t>para.</w:t>
      </w:r>
      <w:r w:rsidRPr="001558A5">
        <w:rPr>
          <w:szCs w:val="16"/>
          <w:lang w:val="en-US"/>
        </w:rPr>
        <w:t xml:space="preserve"> 173,</w:t>
      </w:r>
      <w:r w:rsidR="00DD4354" w:rsidRPr="001558A5">
        <w:rPr>
          <w:szCs w:val="16"/>
          <w:lang w:val="en-US"/>
        </w:rPr>
        <w:t xml:space="preserve"> and </w:t>
      </w:r>
      <w:r w:rsidR="00871E19" w:rsidRPr="001558A5">
        <w:rPr>
          <w:i/>
          <w:iCs/>
          <w:szCs w:val="16"/>
          <w:lang w:val="en-US"/>
        </w:rPr>
        <w:t>Case of</w:t>
      </w:r>
      <w:r w:rsidRPr="001558A5">
        <w:rPr>
          <w:i/>
          <w:iCs/>
          <w:szCs w:val="16"/>
          <w:lang w:val="en-US"/>
        </w:rPr>
        <w:t xml:space="preserve"> </w:t>
      </w:r>
      <w:proofErr w:type="spellStart"/>
      <w:r w:rsidRPr="001558A5">
        <w:rPr>
          <w:i/>
          <w:iCs/>
          <w:szCs w:val="16"/>
          <w:lang w:val="en-US"/>
        </w:rPr>
        <w:t>López</w:t>
      </w:r>
      <w:proofErr w:type="spellEnd"/>
      <w:r w:rsidRPr="001558A5">
        <w:rPr>
          <w:i/>
          <w:iCs/>
          <w:szCs w:val="16"/>
          <w:lang w:val="en-US"/>
        </w:rPr>
        <w:t xml:space="preserve"> Soto</w:t>
      </w:r>
      <w:r w:rsidR="00DD4354" w:rsidRPr="001558A5">
        <w:rPr>
          <w:i/>
          <w:iCs/>
          <w:szCs w:val="16"/>
          <w:lang w:val="en-US"/>
        </w:rPr>
        <w:t xml:space="preserve"> </w:t>
      </w:r>
      <w:r w:rsidR="004F4F9C" w:rsidRPr="001558A5">
        <w:rPr>
          <w:i/>
          <w:iCs/>
          <w:szCs w:val="16"/>
          <w:lang w:val="en-US"/>
        </w:rPr>
        <w:t>et al. v.</w:t>
      </w:r>
      <w:r w:rsidRPr="001558A5">
        <w:rPr>
          <w:i/>
          <w:iCs/>
          <w:szCs w:val="16"/>
          <w:lang w:val="en-US"/>
        </w:rPr>
        <w:t xml:space="preserve"> Venezuela</w:t>
      </w:r>
      <w:r w:rsidRPr="001558A5">
        <w:rPr>
          <w:szCs w:val="16"/>
          <w:lang w:val="en-US"/>
        </w:rPr>
        <w:t xml:space="preserve">, </w:t>
      </w:r>
      <w:r w:rsidRPr="001558A5">
        <w:rPr>
          <w:i/>
          <w:iCs/>
          <w:szCs w:val="16"/>
          <w:lang w:val="en-US"/>
        </w:rPr>
        <w:t>supra</w:t>
      </w:r>
      <w:r w:rsidRPr="001558A5">
        <w:rPr>
          <w:szCs w:val="16"/>
          <w:lang w:val="en-US"/>
        </w:rPr>
        <w:t>,</w:t>
      </w:r>
      <w:r w:rsidRPr="001558A5">
        <w:rPr>
          <w:i/>
          <w:iCs/>
          <w:szCs w:val="16"/>
          <w:lang w:val="en-US"/>
        </w:rPr>
        <w:t xml:space="preserve"> </w:t>
      </w:r>
      <w:r w:rsidR="00B43A52" w:rsidRPr="001558A5">
        <w:rPr>
          <w:szCs w:val="16"/>
          <w:lang w:val="en-US"/>
        </w:rPr>
        <w:t>para.</w:t>
      </w:r>
      <w:r w:rsidRPr="001558A5">
        <w:rPr>
          <w:szCs w:val="16"/>
          <w:lang w:val="en-US"/>
        </w:rPr>
        <w:t xml:space="preserve"> 326.</w:t>
      </w:r>
    </w:p>
  </w:footnote>
  <w:footnote w:id="138">
    <w:p w14:paraId="721BEC02" w14:textId="0BD67DCE"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lang w:val="en-US"/>
        </w:rPr>
        <w:t xml:space="preserve"> </w:t>
      </w:r>
      <w:r w:rsidR="00C43A37" w:rsidRPr="001558A5">
        <w:rPr>
          <w:lang w:val="en-US"/>
        </w:rPr>
        <w:t>Advisory Opinion</w:t>
      </w:r>
      <w:r w:rsidRPr="001558A5">
        <w:rPr>
          <w:lang w:val="en-US"/>
        </w:rPr>
        <w:t xml:space="preserve"> OC-24/17, </w:t>
      </w:r>
      <w:r w:rsidRPr="001558A5">
        <w:rPr>
          <w:i/>
          <w:iCs/>
          <w:lang w:val="en-US"/>
        </w:rPr>
        <w:t>supra</w:t>
      </w:r>
      <w:r w:rsidRPr="001558A5">
        <w:rPr>
          <w:lang w:val="en-US"/>
        </w:rPr>
        <w:t xml:space="preserve">, </w:t>
      </w:r>
      <w:r w:rsidR="00B43A52" w:rsidRPr="001558A5">
        <w:rPr>
          <w:lang w:val="en-US"/>
        </w:rPr>
        <w:t>para.</w:t>
      </w:r>
      <w:r w:rsidRPr="001558A5">
        <w:rPr>
          <w:lang w:val="en-US"/>
        </w:rPr>
        <w:t xml:space="preserve"> 115.</w:t>
      </w:r>
    </w:p>
  </w:footnote>
  <w:footnote w:id="139">
    <w:p w14:paraId="185EE802" w14:textId="5A35DEA3"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lang w:val="en-US"/>
        </w:rPr>
        <w:t xml:space="preserve"> </w:t>
      </w:r>
      <w:r w:rsidR="00C43A37" w:rsidRPr="001558A5">
        <w:rPr>
          <w:lang w:val="en-US"/>
        </w:rPr>
        <w:t>Advisory Opinion</w:t>
      </w:r>
      <w:r w:rsidRPr="001558A5">
        <w:rPr>
          <w:lang w:val="en-US"/>
        </w:rPr>
        <w:t xml:space="preserve"> OC-24/17, </w:t>
      </w:r>
      <w:r w:rsidRPr="001558A5">
        <w:rPr>
          <w:i/>
          <w:iCs/>
          <w:lang w:val="en-US"/>
        </w:rPr>
        <w:t>supra</w:t>
      </w:r>
      <w:r w:rsidRPr="001558A5">
        <w:rPr>
          <w:lang w:val="en-US"/>
        </w:rPr>
        <w:t xml:space="preserve">, </w:t>
      </w:r>
      <w:r w:rsidR="00B43A52" w:rsidRPr="001558A5">
        <w:rPr>
          <w:lang w:val="en-US"/>
        </w:rPr>
        <w:t>para.</w:t>
      </w:r>
      <w:r w:rsidRPr="001558A5">
        <w:rPr>
          <w:lang w:val="en-US"/>
        </w:rPr>
        <w:t xml:space="preserve"> 101.</w:t>
      </w:r>
    </w:p>
  </w:footnote>
  <w:footnote w:id="140">
    <w:p w14:paraId="2756AECA" w14:textId="3F9672BE"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lang w:val="en-US"/>
        </w:rPr>
        <w:t xml:space="preserve"> </w:t>
      </w:r>
      <w:r w:rsidR="00C43A37" w:rsidRPr="001558A5">
        <w:rPr>
          <w:lang w:val="en-US"/>
        </w:rPr>
        <w:t>Advisory Opinion</w:t>
      </w:r>
      <w:r w:rsidRPr="001558A5">
        <w:rPr>
          <w:lang w:val="en-US"/>
        </w:rPr>
        <w:t xml:space="preserve"> OC-24/17, </w:t>
      </w:r>
      <w:r w:rsidRPr="001558A5">
        <w:rPr>
          <w:i/>
          <w:iCs/>
          <w:lang w:val="en-US"/>
        </w:rPr>
        <w:t>supra</w:t>
      </w:r>
      <w:r w:rsidRPr="001558A5">
        <w:rPr>
          <w:lang w:val="en-US"/>
        </w:rPr>
        <w:t xml:space="preserve">, </w:t>
      </w:r>
      <w:r w:rsidR="00675A99" w:rsidRPr="001558A5">
        <w:rPr>
          <w:lang w:val="en-US"/>
        </w:rPr>
        <w:t>paras.</w:t>
      </w:r>
      <w:r w:rsidRPr="001558A5">
        <w:rPr>
          <w:lang w:val="en-US"/>
        </w:rPr>
        <w:t xml:space="preserve"> 91, 96</w:t>
      </w:r>
      <w:r w:rsidR="00DD4354" w:rsidRPr="001558A5">
        <w:rPr>
          <w:lang w:val="en-US"/>
        </w:rPr>
        <w:t xml:space="preserve"> and </w:t>
      </w:r>
      <w:r w:rsidRPr="001558A5">
        <w:rPr>
          <w:lang w:val="en-US"/>
        </w:rPr>
        <w:t>101.</w:t>
      </w:r>
    </w:p>
  </w:footnote>
  <w:footnote w:id="141">
    <w:p w14:paraId="03E304EE" w14:textId="2A3B89B9"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lang w:val="en-US"/>
        </w:rPr>
        <w:t xml:space="preserve"> </w:t>
      </w:r>
      <w:r w:rsidR="00C43A37" w:rsidRPr="001558A5">
        <w:rPr>
          <w:iCs/>
          <w:lang w:val="en-US"/>
        </w:rPr>
        <w:t>Advisory Opinion</w:t>
      </w:r>
      <w:r w:rsidRPr="001558A5">
        <w:rPr>
          <w:iCs/>
          <w:lang w:val="en-US"/>
        </w:rPr>
        <w:t xml:space="preserve"> OC-24/17</w:t>
      </w:r>
      <w:r w:rsidRPr="001558A5">
        <w:rPr>
          <w:lang w:val="en-US"/>
        </w:rPr>
        <w:t xml:space="preserve">, </w:t>
      </w:r>
      <w:r w:rsidRPr="001558A5">
        <w:rPr>
          <w:i/>
          <w:iCs/>
          <w:lang w:val="en-US"/>
        </w:rPr>
        <w:t>supra</w:t>
      </w:r>
      <w:r w:rsidRPr="001558A5">
        <w:rPr>
          <w:lang w:val="en-US"/>
        </w:rPr>
        <w:t xml:space="preserve">, </w:t>
      </w:r>
      <w:r w:rsidR="00675A99" w:rsidRPr="001558A5">
        <w:rPr>
          <w:lang w:val="en-US"/>
        </w:rPr>
        <w:t>paras.</w:t>
      </w:r>
      <w:r w:rsidRPr="001558A5">
        <w:rPr>
          <w:lang w:val="en-US"/>
        </w:rPr>
        <w:t xml:space="preserve"> 91, 96, 101</w:t>
      </w:r>
      <w:r w:rsidR="00DD4354" w:rsidRPr="001558A5">
        <w:rPr>
          <w:lang w:val="en-US"/>
        </w:rPr>
        <w:t xml:space="preserve"> and </w:t>
      </w:r>
      <w:r w:rsidRPr="001558A5">
        <w:rPr>
          <w:lang w:val="en-US"/>
        </w:rPr>
        <w:t>104.</w:t>
      </w:r>
    </w:p>
  </w:footnote>
  <w:footnote w:id="142">
    <w:p w14:paraId="437C4F74" w14:textId="5198C082" w:rsidR="005977F6" w:rsidRPr="001558A5" w:rsidRDefault="005977F6" w:rsidP="000B2BB5">
      <w:pPr>
        <w:pStyle w:val="Textonotapie"/>
        <w:tabs>
          <w:tab w:val="left" w:pos="360"/>
          <w:tab w:val="left" w:pos="709"/>
        </w:tabs>
        <w:rPr>
          <w:b/>
          <w:lang w:val="en-US"/>
        </w:rPr>
      </w:pPr>
      <w:r w:rsidRPr="001558A5">
        <w:rPr>
          <w:rStyle w:val="Refdenotaalpie"/>
          <w:lang w:val="en-US"/>
        </w:rPr>
        <w:footnoteRef/>
      </w:r>
      <w:r w:rsidRPr="001558A5">
        <w:rPr>
          <w:lang w:val="en-US"/>
        </w:rPr>
        <w:tab/>
      </w:r>
      <w:r w:rsidR="00871E19" w:rsidRPr="001558A5">
        <w:rPr>
          <w:i/>
          <w:iCs/>
          <w:lang w:val="en-US"/>
        </w:rPr>
        <w:t>Cf.</w:t>
      </w:r>
      <w:r w:rsidRPr="001558A5">
        <w:rPr>
          <w:i/>
          <w:iCs/>
          <w:lang w:val="en-US"/>
        </w:rPr>
        <w:t xml:space="preserve"> </w:t>
      </w:r>
      <w:r w:rsidR="00C43A37" w:rsidRPr="001558A5">
        <w:rPr>
          <w:lang w:val="en-US"/>
        </w:rPr>
        <w:t>Advisory Opinion</w:t>
      </w:r>
      <w:r w:rsidRPr="001558A5">
        <w:rPr>
          <w:lang w:val="en-US"/>
        </w:rPr>
        <w:t xml:space="preserve"> OC-18/03, </w:t>
      </w:r>
      <w:r w:rsidRPr="001558A5">
        <w:rPr>
          <w:i/>
          <w:iCs/>
          <w:lang w:val="en-US"/>
        </w:rPr>
        <w:t>supra</w:t>
      </w:r>
      <w:r w:rsidRPr="001558A5">
        <w:rPr>
          <w:lang w:val="en-US"/>
        </w:rPr>
        <w:t xml:space="preserve">, </w:t>
      </w:r>
      <w:r w:rsidR="00B43A52" w:rsidRPr="001558A5">
        <w:rPr>
          <w:lang w:val="en-US"/>
        </w:rPr>
        <w:t>para.</w:t>
      </w:r>
      <w:r w:rsidRPr="001558A5">
        <w:rPr>
          <w:lang w:val="en-US"/>
        </w:rPr>
        <w:t xml:space="preserve"> </w:t>
      </w:r>
      <w:r w:rsidRPr="001558A5">
        <w:rPr>
          <w:lang w:val="es-CR"/>
        </w:rPr>
        <w:t>104,</w:t>
      </w:r>
      <w:r w:rsidR="00DD4354" w:rsidRPr="001558A5">
        <w:rPr>
          <w:lang w:val="es-CR"/>
        </w:rPr>
        <w:t xml:space="preserve"> and </w:t>
      </w:r>
      <w:r w:rsidR="00871E19" w:rsidRPr="001558A5">
        <w:rPr>
          <w:i/>
          <w:iCs/>
          <w:lang w:val="es-CR"/>
        </w:rPr>
        <w:t>Case of</w:t>
      </w:r>
      <w:r w:rsidRPr="001558A5">
        <w:rPr>
          <w:lang w:val="es-CR"/>
        </w:rPr>
        <w:t xml:space="preserve"> </w:t>
      </w:r>
      <w:r w:rsidRPr="001558A5">
        <w:rPr>
          <w:i/>
          <w:iCs/>
          <w:lang w:val="es-CR"/>
        </w:rPr>
        <w:t xml:space="preserve">Azul Rojas </w:t>
      </w:r>
      <w:r w:rsidR="00C909B4" w:rsidRPr="001558A5">
        <w:rPr>
          <w:i/>
          <w:iCs/>
          <w:lang w:val="es-CR"/>
        </w:rPr>
        <w:t>Marín et al.</w:t>
      </w:r>
      <w:r w:rsidRPr="001558A5">
        <w:rPr>
          <w:i/>
          <w:iCs/>
          <w:lang w:val="es-CR"/>
        </w:rPr>
        <w:t xml:space="preserve"> </w:t>
      </w:r>
      <w:r w:rsidR="00871E19" w:rsidRPr="001558A5">
        <w:rPr>
          <w:i/>
          <w:iCs/>
          <w:lang w:val="es-CR"/>
        </w:rPr>
        <w:t>v.</w:t>
      </w:r>
      <w:r w:rsidRPr="001558A5">
        <w:rPr>
          <w:i/>
          <w:iCs/>
          <w:lang w:val="es-CR"/>
        </w:rPr>
        <w:t xml:space="preserve"> </w:t>
      </w:r>
      <w:proofErr w:type="spellStart"/>
      <w:r w:rsidR="00D11908" w:rsidRPr="001558A5">
        <w:rPr>
          <w:i/>
          <w:iCs/>
          <w:lang w:val="es-CR"/>
        </w:rPr>
        <w:t>Peru</w:t>
      </w:r>
      <w:proofErr w:type="spellEnd"/>
      <w:r w:rsidRPr="001558A5">
        <w:rPr>
          <w:i/>
          <w:iCs/>
          <w:lang w:val="es-CR"/>
        </w:rPr>
        <w:t>, supra</w:t>
      </w:r>
      <w:r w:rsidRPr="001558A5">
        <w:rPr>
          <w:lang w:val="es-CR"/>
        </w:rPr>
        <w:t xml:space="preserve">, </w:t>
      </w:r>
      <w:r w:rsidR="00B43A52" w:rsidRPr="001558A5">
        <w:rPr>
          <w:lang w:val="es-CR"/>
        </w:rPr>
        <w:t>para.</w:t>
      </w:r>
      <w:r w:rsidRPr="001558A5">
        <w:rPr>
          <w:lang w:val="es-CR"/>
        </w:rPr>
        <w:t xml:space="preserve"> </w:t>
      </w:r>
      <w:r w:rsidRPr="001558A5">
        <w:rPr>
          <w:lang w:val="en-US"/>
        </w:rPr>
        <w:t>89.</w:t>
      </w:r>
    </w:p>
  </w:footnote>
  <w:footnote w:id="143">
    <w:p w14:paraId="052818AA" w14:textId="5751F369"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lang w:val="en-US"/>
        </w:rPr>
        <w:t xml:space="preserve"> </w:t>
      </w:r>
      <w:r w:rsidR="00C43A37" w:rsidRPr="001558A5">
        <w:rPr>
          <w:iCs/>
          <w:lang w:val="en-US"/>
        </w:rPr>
        <w:t>Advisory Opinion</w:t>
      </w:r>
      <w:r w:rsidRPr="001558A5">
        <w:rPr>
          <w:iCs/>
          <w:lang w:val="en-US"/>
        </w:rPr>
        <w:t xml:space="preserve"> OC-24/17,</w:t>
      </w:r>
      <w:r w:rsidRPr="001558A5">
        <w:rPr>
          <w:lang w:val="en-US"/>
        </w:rPr>
        <w:t xml:space="preserve"> </w:t>
      </w:r>
      <w:r w:rsidRPr="001558A5">
        <w:rPr>
          <w:i/>
          <w:iCs/>
          <w:lang w:val="en-US"/>
        </w:rPr>
        <w:t>supra</w:t>
      </w:r>
      <w:r w:rsidRPr="001558A5">
        <w:rPr>
          <w:lang w:val="en-US"/>
        </w:rPr>
        <w:t xml:space="preserve">, </w:t>
      </w:r>
      <w:r w:rsidR="00675A99" w:rsidRPr="001558A5">
        <w:rPr>
          <w:lang w:val="en-US"/>
        </w:rPr>
        <w:t>paras.</w:t>
      </w:r>
      <w:r w:rsidRPr="001558A5">
        <w:rPr>
          <w:lang w:val="en-US"/>
        </w:rPr>
        <w:t xml:space="preserve"> 113</w:t>
      </w:r>
      <w:r w:rsidR="00DD4354" w:rsidRPr="001558A5">
        <w:rPr>
          <w:lang w:val="en-US"/>
        </w:rPr>
        <w:t xml:space="preserve"> and </w:t>
      </w:r>
      <w:r w:rsidRPr="001558A5">
        <w:rPr>
          <w:lang w:val="en-US"/>
        </w:rPr>
        <w:t>114.</w:t>
      </w:r>
    </w:p>
  </w:footnote>
  <w:footnote w:id="144">
    <w:p w14:paraId="62177118" w14:textId="0FD8FC91"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C43A37" w:rsidRPr="001558A5">
        <w:rPr>
          <w:i/>
          <w:iCs/>
          <w:lang w:val="en-US"/>
        </w:rPr>
        <w:t>Advisory Opinion</w:t>
      </w:r>
      <w:r w:rsidRPr="001558A5">
        <w:rPr>
          <w:i/>
          <w:iCs/>
          <w:lang w:val="en-US"/>
        </w:rPr>
        <w:t xml:space="preserve"> OC-24/17</w:t>
      </w:r>
      <w:r w:rsidRPr="001558A5">
        <w:rPr>
          <w:lang w:val="en-US"/>
        </w:rPr>
        <w:t xml:space="preserve">, </w:t>
      </w:r>
      <w:r w:rsidRPr="001558A5">
        <w:rPr>
          <w:i/>
          <w:iCs/>
          <w:lang w:val="en-US"/>
        </w:rPr>
        <w:t>supra</w:t>
      </w:r>
      <w:r w:rsidRPr="001558A5">
        <w:rPr>
          <w:lang w:val="en-US"/>
        </w:rPr>
        <w:t xml:space="preserve">, </w:t>
      </w:r>
      <w:r w:rsidR="00B43A52" w:rsidRPr="001558A5">
        <w:rPr>
          <w:lang w:val="en-US"/>
        </w:rPr>
        <w:t>para.</w:t>
      </w:r>
      <w:r w:rsidRPr="001558A5">
        <w:rPr>
          <w:lang w:val="en-US"/>
        </w:rPr>
        <w:t xml:space="preserve"> 115.</w:t>
      </w:r>
    </w:p>
  </w:footnote>
  <w:footnote w:id="145">
    <w:p w14:paraId="0AED8817" w14:textId="7DD881F2"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lang w:val="en-US"/>
        </w:rPr>
        <w:t>Case of</w:t>
      </w:r>
      <w:r w:rsidRPr="001558A5">
        <w:rPr>
          <w:i/>
          <w:lang w:val="en-US"/>
        </w:rPr>
        <w:t xml:space="preserve"> </w:t>
      </w:r>
      <w:r w:rsidR="00A75BCF" w:rsidRPr="001558A5">
        <w:rPr>
          <w:i/>
          <w:lang w:val="en-US"/>
        </w:rPr>
        <w:t>the</w:t>
      </w:r>
      <w:r w:rsidRPr="001558A5">
        <w:rPr>
          <w:i/>
          <w:lang w:val="en-US"/>
        </w:rPr>
        <w:t xml:space="preserve"> Miguel Castro </w:t>
      </w:r>
      <w:proofErr w:type="spellStart"/>
      <w:r w:rsidRPr="001558A5">
        <w:rPr>
          <w:i/>
          <w:lang w:val="en-US"/>
        </w:rPr>
        <w:t>Castro</w:t>
      </w:r>
      <w:proofErr w:type="spellEnd"/>
      <w:r w:rsidR="00A75BCF" w:rsidRPr="001558A5">
        <w:rPr>
          <w:i/>
          <w:lang w:val="en-US"/>
        </w:rPr>
        <w:t xml:space="preserve"> Prison</w:t>
      </w:r>
      <w:r w:rsidRPr="001558A5">
        <w:rPr>
          <w:i/>
          <w:lang w:val="en-US"/>
        </w:rPr>
        <w:t xml:space="preserve"> </w:t>
      </w:r>
      <w:r w:rsidR="00871E19" w:rsidRPr="001558A5">
        <w:rPr>
          <w:i/>
          <w:lang w:val="en-US"/>
        </w:rPr>
        <w:t>v.</w:t>
      </w:r>
      <w:r w:rsidRPr="001558A5">
        <w:rPr>
          <w:i/>
          <w:lang w:val="en-US"/>
        </w:rPr>
        <w:t xml:space="preserve"> </w:t>
      </w:r>
      <w:r w:rsidR="00D11908" w:rsidRPr="001558A5">
        <w:rPr>
          <w:i/>
          <w:lang w:val="en-US"/>
        </w:rPr>
        <w:t>Peru</w:t>
      </w:r>
      <w:r w:rsidRPr="001558A5">
        <w:rPr>
          <w:i/>
          <w:lang w:val="en-US"/>
        </w:rPr>
        <w:t xml:space="preserve">. </w:t>
      </w:r>
      <w:r w:rsidR="00B43A52" w:rsidRPr="001558A5">
        <w:rPr>
          <w:lang w:val="en-US"/>
        </w:rPr>
        <w:t>Merits, reparations and costs</w:t>
      </w:r>
      <w:r w:rsidRPr="001558A5">
        <w:rPr>
          <w:lang w:val="en-US"/>
        </w:rPr>
        <w:t xml:space="preserve">. </w:t>
      </w:r>
      <w:r w:rsidR="00871E19" w:rsidRPr="001558A5">
        <w:rPr>
          <w:lang w:val="en-US"/>
        </w:rPr>
        <w:t>Judgment of</w:t>
      </w:r>
      <w:r w:rsidRPr="001558A5">
        <w:rPr>
          <w:lang w:val="en-US"/>
        </w:rPr>
        <w:t xml:space="preserve"> </w:t>
      </w:r>
      <w:r w:rsidR="00A75BCF" w:rsidRPr="001558A5">
        <w:rPr>
          <w:lang w:val="en-US"/>
        </w:rPr>
        <w:t>November 25,</w:t>
      </w:r>
      <w:r w:rsidRPr="001558A5">
        <w:rPr>
          <w:lang w:val="en-US"/>
        </w:rPr>
        <w:t xml:space="preserve"> 2006. </w:t>
      </w:r>
      <w:r w:rsidR="00B43A52" w:rsidRPr="001558A5">
        <w:rPr>
          <w:lang w:val="en-US"/>
        </w:rPr>
        <w:t xml:space="preserve">Series </w:t>
      </w:r>
      <w:r w:rsidRPr="001558A5">
        <w:rPr>
          <w:lang w:val="en-US"/>
        </w:rPr>
        <w:t xml:space="preserve">C No. 160, </w:t>
      </w:r>
      <w:r w:rsidR="00B43A52" w:rsidRPr="001558A5">
        <w:rPr>
          <w:lang w:val="en-US"/>
        </w:rPr>
        <w:t>para.</w:t>
      </w:r>
      <w:r w:rsidRPr="001558A5">
        <w:rPr>
          <w:lang w:val="en-US"/>
        </w:rPr>
        <w:t xml:space="preserve"> 303; </w:t>
      </w:r>
      <w:r w:rsidR="00871E19" w:rsidRPr="001558A5">
        <w:rPr>
          <w:i/>
          <w:lang w:val="en-US"/>
        </w:rPr>
        <w:t>Case of</w:t>
      </w:r>
      <w:r w:rsidRPr="001558A5">
        <w:rPr>
          <w:i/>
          <w:lang w:val="en-US"/>
        </w:rPr>
        <w:t xml:space="preserve"> González</w:t>
      </w:r>
      <w:r w:rsidR="00DD4354" w:rsidRPr="001558A5">
        <w:rPr>
          <w:i/>
          <w:lang w:val="en-US"/>
        </w:rPr>
        <w:t xml:space="preserve"> </w:t>
      </w:r>
      <w:r w:rsidR="00A75BCF" w:rsidRPr="001558A5">
        <w:rPr>
          <w:i/>
          <w:lang w:val="en-US"/>
        </w:rPr>
        <w:t>et al.</w:t>
      </w:r>
      <w:r w:rsidRPr="001558A5">
        <w:rPr>
          <w:i/>
          <w:lang w:val="en-US"/>
        </w:rPr>
        <w:t xml:space="preserve"> (“</w:t>
      </w:r>
      <w:r w:rsidR="00A75BCF" w:rsidRPr="001558A5">
        <w:rPr>
          <w:i/>
          <w:lang w:val="en-US"/>
        </w:rPr>
        <w:t>Cotton Field</w:t>
      </w:r>
      <w:r w:rsidRPr="001558A5">
        <w:rPr>
          <w:i/>
          <w:lang w:val="en-US"/>
        </w:rPr>
        <w:t xml:space="preserve">”) </w:t>
      </w:r>
      <w:r w:rsidR="00871E19" w:rsidRPr="001558A5">
        <w:rPr>
          <w:i/>
          <w:lang w:val="en-US"/>
        </w:rPr>
        <w:t>v.</w:t>
      </w:r>
      <w:r w:rsidRPr="001558A5">
        <w:rPr>
          <w:i/>
          <w:lang w:val="en-US"/>
        </w:rPr>
        <w:t xml:space="preserve"> </w:t>
      </w:r>
      <w:r w:rsidR="0026713C" w:rsidRPr="001558A5">
        <w:rPr>
          <w:i/>
          <w:lang w:val="en-US"/>
        </w:rPr>
        <w:t>Mexico</w:t>
      </w:r>
      <w:r w:rsidRPr="001558A5">
        <w:rPr>
          <w:i/>
          <w:lang w:val="en-US"/>
        </w:rPr>
        <w:t xml:space="preserve">. </w:t>
      </w:r>
      <w:r w:rsidR="00B43A52" w:rsidRPr="001558A5">
        <w:rPr>
          <w:lang w:val="en-US"/>
        </w:rPr>
        <w:t>Preliminary objection, merits, reparations and costs</w:t>
      </w:r>
      <w:r w:rsidRPr="001558A5">
        <w:rPr>
          <w:lang w:val="en-US"/>
        </w:rPr>
        <w:t xml:space="preserve">. </w:t>
      </w:r>
      <w:r w:rsidR="00871E19" w:rsidRPr="001558A5">
        <w:rPr>
          <w:lang w:val="en-US"/>
        </w:rPr>
        <w:t>Judgment of</w:t>
      </w:r>
      <w:r w:rsidRPr="001558A5">
        <w:rPr>
          <w:lang w:val="en-US"/>
        </w:rPr>
        <w:t xml:space="preserve"> </w:t>
      </w:r>
      <w:r w:rsidR="00A75BCF" w:rsidRPr="001558A5">
        <w:rPr>
          <w:lang w:val="en-US"/>
        </w:rPr>
        <w:t>November 16,</w:t>
      </w:r>
      <w:r w:rsidRPr="001558A5">
        <w:rPr>
          <w:lang w:val="en-US"/>
        </w:rPr>
        <w:t xml:space="preserve"> 2009. </w:t>
      </w:r>
      <w:r w:rsidR="00B43A52" w:rsidRPr="001558A5">
        <w:rPr>
          <w:lang w:val="en-US"/>
        </w:rPr>
        <w:t xml:space="preserve">Series </w:t>
      </w:r>
      <w:r w:rsidRPr="001558A5">
        <w:rPr>
          <w:lang w:val="en-US"/>
        </w:rPr>
        <w:t xml:space="preserve">C No. 205, </w:t>
      </w:r>
      <w:r w:rsidR="00B43A52" w:rsidRPr="001558A5">
        <w:rPr>
          <w:lang w:val="en-US"/>
        </w:rPr>
        <w:t>para.</w:t>
      </w:r>
      <w:r w:rsidRPr="001558A5">
        <w:rPr>
          <w:lang w:val="en-US"/>
        </w:rPr>
        <w:t xml:space="preserve"> 397</w:t>
      </w:r>
      <w:r w:rsidR="00DD4354" w:rsidRPr="001558A5">
        <w:rPr>
          <w:lang w:val="en-US"/>
        </w:rPr>
        <w:t xml:space="preserve"> and </w:t>
      </w:r>
      <w:r w:rsidR="00871E19" w:rsidRPr="001558A5">
        <w:rPr>
          <w:i/>
          <w:lang w:val="en-US"/>
        </w:rPr>
        <w:t>Case of</w:t>
      </w:r>
      <w:r w:rsidRPr="001558A5">
        <w:rPr>
          <w:i/>
          <w:lang w:val="en-US"/>
        </w:rPr>
        <w:t xml:space="preserve"> </w:t>
      </w:r>
      <w:proofErr w:type="spellStart"/>
      <w:r w:rsidRPr="001558A5">
        <w:rPr>
          <w:i/>
          <w:lang w:val="en-US"/>
        </w:rPr>
        <w:t>Guzmán</w:t>
      </w:r>
      <w:proofErr w:type="spellEnd"/>
      <w:r w:rsidRPr="001558A5">
        <w:rPr>
          <w:i/>
          <w:lang w:val="en-US"/>
        </w:rPr>
        <w:t xml:space="preserve"> </w:t>
      </w:r>
      <w:proofErr w:type="spellStart"/>
      <w:r w:rsidRPr="001558A5">
        <w:rPr>
          <w:i/>
          <w:lang w:val="en-US"/>
        </w:rPr>
        <w:t>Albarracín</w:t>
      </w:r>
      <w:proofErr w:type="spellEnd"/>
      <w:r w:rsidR="00DD4354" w:rsidRPr="001558A5">
        <w:rPr>
          <w:i/>
          <w:lang w:val="en-US"/>
        </w:rPr>
        <w:t xml:space="preserve"> </w:t>
      </w:r>
      <w:r w:rsidR="00A75BCF" w:rsidRPr="001558A5">
        <w:rPr>
          <w:i/>
          <w:lang w:val="en-US"/>
        </w:rPr>
        <w:t>et al. v.</w:t>
      </w:r>
      <w:r w:rsidRPr="001558A5">
        <w:rPr>
          <w:i/>
          <w:lang w:val="en-US"/>
        </w:rPr>
        <w:t xml:space="preserve"> Ecuador. </w:t>
      </w:r>
      <w:r w:rsidR="00B43A52" w:rsidRPr="001558A5">
        <w:rPr>
          <w:lang w:val="en-US"/>
        </w:rPr>
        <w:t>Merits, reparations and costs</w:t>
      </w:r>
      <w:r w:rsidRPr="001558A5">
        <w:rPr>
          <w:lang w:val="en-US"/>
        </w:rPr>
        <w:t xml:space="preserve">. </w:t>
      </w:r>
      <w:r w:rsidR="00871E19" w:rsidRPr="001558A5">
        <w:rPr>
          <w:lang w:val="en-US"/>
        </w:rPr>
        <w:t>Judgment of</w:t>
      </w:r>
      <w:r w:rsidRPr="001558A5">
        <w:rPr>
          <w:lang w:val="en-US"/>
        </w:rPr>
        <w:t xml:space="preserve"> </w:t>
      </w:r>
      <w:r w:rsidR="00A75BCF" w:rsidRPr="001558A5">
        <w:rPr>
          <w:lang w:val="en-US"/>
        </w:rPr>
        <w:t>June 24,</w:t>
      </w:r>
      <w:r w:rsidRPr="001558A5">
        <w:rPr>
          <w:lang w:val="en-US"/>
        </w:rPr>
        <w:t xml:space="preserve"> 2020. </w:t>
      </w:r>
      <w:r w:rsidR="00B43A52" w:rsidRPr="001558A5">
        <w:rPr>
          <w:lang w:val="en-US"/>
        </w:rPr>
        <w:t xml:space="preserve">Series </w:t>
      </w:r>
      <w:r w:rsidRPr="001558A5">
        <w:rPr>
          <w:lang w:val="en-US"/>
        </w:rPr>
        <w:t xml:space="preserve">C No. 405, </w:t>
      </w:r>
      <w:r w:rsidR="00B43A52" w:rsidRPr="001558A5">
        <w:rPr>
          <w:lang w:val="en-US"/>
        </w:rPr>
        <w:t>para.</w:t>
      </w:r>
      <w:r w:rsidRPr="001558A5">
        <w:rPr>
          <w:lang w:val="en-US"/>
        </w:rPr>
        <w:t xml:space="preserve"> 113.</w:t>
      </w:r>
    </w:p>
  </w:footnote>
  <w:footnote w:id="146">
    <w:p w14:paraId="558A8D15" w14:textId="3B0A7390"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C43A37" w:rsidRPr="001558A5">
        <w:rPr>
          <w:i/>
          <w:iCs/>
          <w:lang w:val="en-US"/>
        </w:rPr>
        <w:t>Advisory Opinion</w:t>
      </w:r>
      <w:r w:rsidRPr="001558A5">
        <w:rPr>
          <w:i/>
          <w:iCs/>
          <w:lang w:val="en-US"/>
        </w:rPr>
        <w:t xml:space="preserve"> OC-24/17</w:t>
      </w:r>
      <w:r w:rsidRPr="001558A5">
        <w:rPr>
          <w:lang w:val="en-US"/>
        </w:rPr>
        <w:t xml:space="preserve">, </w:t>
      </w:r>
      <w:r w:rsidRPr="001558A5">
        <w:rPr>
          <w:i/>
          <w:iCs/>
          <w:lang w:val="en-US"/>
        </w:rPr>
        <w:t>supra</w:t>
      </w:r>
      <w:r w:rsidRPr="001558A5">
        <w:rPr>
          <w:lang w:val="en-US"/>
        </w:rPr>
        <w:t xml:space="preserve">, </w:t>
      </w:r>
      <w:r w:rsidR="00B43A52" w:rsidRPr="001558A5">
        <w:rPr>
          <w:lang w:val="en-US"/>
        </w:rPr>
        <w:t>para.</w:t>
      </w:r>
      <w:r w:rsidRPr="001558A5">
        <w:rPr>
          <w:lang w:val="en-US"/>
        </w:rPr>
        <w:t xml:space="preserve"> 32.</w:t>
      </w:r>
    </w:p>
  </w:footnote>
  <w:footnote w:id="147">
    <w:p w14:paraId="3F533758" w14:textId="2C62161B"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443040" w:rsidRPr="001558A5">
        <w:rPr>
          <w:lang w:val="en-US"/>
        </w:rPr>
        <w:t>United Nations High Commissioner for Human Rights</w:t>
      </w:r>
      <w:r w:rsidRPr="001558A5">
        <w:rPr>
          <w:lang w:val="en-US"/>
        </w:rPr>
        <w:t>.</w:t>
      </w:r>
      <w:r w:rsidR="00A75BCF" w:rsidRPr="001558A5">
        <w:rPr>
          <w:lang w:val="en-US"/>
        </w:rPr>
        <w:t xml:space="preserve"> </w:t>
      </w:r>
      <w:r w:rsidR="00A75BCF" w:rsidRPr="001558A5">
        <w:rPr>
          <w:i/>
          <w:iCs/>
          <w:lang w:val="en-US"/>
        </w:rPr>
        <w:t>Discriminatory laws and practices and acts of violence against individuals based on their sexual orientation and gender identity</w:t>
      </w:r>
      <w:r w:rsidR="00A75BCF" w:rsidRPr="001558A5">
        <w:rPr>
          <w:lang w:val="en-US"/>
        </w:rPr>
        <w:t xml:space="preserve">, </w:t>
      </w:r>
      <w:r w:rsidR="0086098E" w:rsidRPr="001558A5">
        <w:rPr>
          <w:lang w:val="en-US"/>
        </w:rPr>
        <w:t xml:space="preserve">Un Doc </w:t>
      </w:r>
      <w:r w:rsidR="00A75BCF" w:rsidRPr="001558A5">
        <w:rPr>
          <w:lang w:val="en-US"/>
        </w:rPr>
        <w:t>A/HRC/19/41, November 17, 2011</w:t>
      </w:r>
      <w:r w:rsidRPr="001558A5">
        <w:rPr>
          <w:lang w:val="en-US"/>
        </w:rPr>
        <w:t>.</w:t>
      </w:r>
    </w:p>
  </w:footnote>
  <w:footnote w:id="148">
    <w:p w14:paraId="767F0734" w14:textId="01A23360"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lang w:val="en-US"/>
        </w:rPr>
        <w:t>Cf.</w:t>
      </w:r>
      <w:r w:rsidRPr="001558A5">
        <w:rPr>
          <w:i/>
          <w:lang w:val="en-US"/>
        </w:rPr>
        <w:t xml:space="preserve"> </w:t>
      </w:r>
      <w:r w:rsidR="00871E19" w:rsidRPr="001558A5">
        <w:rPr>
          <w:i/>
          <w:lang w:val="en-US"/>
        </w:rPr>
        <w:t>Case of</w:t>
      </w:r>
      <w:r w:rsidRPr="001558A5">
        <w:rPr>
          <w:i/>
          <w:lang w:val="en-US"/>
        </w:rPr>
        <w:t xml:space="preserve"> </w:t>
      </w:r>
      <w:proofErr w:type="spellStart"/>
      <w:r w:rsidRPr="001558A5">
        <w:rPr>
          <w:i/>
          <w:lang w:val="en-US"/>
        </w:rPr>
        <w:t>Atala</w:t>
      </w:r>
      <w:proofErr w:type="spellEnd"/>
      <w:r w:rsidRPr="001558A5">
        <w:rPr>
          <w:i/>
          <w:lang w:val="en-US"/>
        </w:rPr>
        <w:t xml:space="preserve"> </w:t>
      </w:r>
      <w:proofErr w:type="spellStart"/>
      <w:r w:rsidR="00C43A37" w:rsidRPr="001558A5">
        <w:rPr>
          <w:i/>
          <w:lang w:val="en-US"/>
        </w:rPr>
        <w:t>Riffo</w:t>
      </w:r>
      <w:proofErr w:type="spellEnd"/>
      <w:r w:rsidR="00C43A37" w:rsidRPr="001558A5">
        <w:rPr>
          <w:i/>
          <w:lang w:val="en-US"/>
        </w:rPr>
        <w:t xml:space="preserve"> and daughters</w:t>
      </w:r>
      <w:r w:rsidRPr="001558A5">
        <w:rPr>
          <w:i/>
          <w:lang w:val="en-US"/>
        </w:rPr>
        <w:t xml:space="preserve"> </w:t>
      </w:r>
      <w:r w:rsidR="00871E19" w:rsidRPr="001558A5">
        <w:rPr>
          <w:i/>
          <w:lang w:val="en-US"/>
        </w:rPr>
        <w:t>v.</w:t>
      </w:r>
      <w:r w:rsidRPr="001558A5">
        <w:rPr>
          <w:i/>
          <w:lang w:val="en-US"/>
        </w:rPr>
        <w:t xml:space="preserve"> Chile</w:t>
      </w:r>
      <w:r w:rsidRPr="001558A5">
        <w:rPr>
          <w:lang w:val="en-US"/>
        </w:rPr>
        <w:t xml:space="preserve">, </w:t>
      </w:r>
      <w:r w:rsidRPr="001558A5">
        <w:rPr>
          <w:i/>
          <w:iCs/>
          <w:lang w:val="en-US"/>
        </w:rPr>
        <w:t>supra</w:t>
      </w:r>
      <w:r w:rsidRPr="001558A5">
        <w:rPr>
          <w:lang w:val="en-US"/>
        </w:rPr>
        <w:t xml:space="preserve">, </w:t>
      </w:r>
      <w:r w:rsidR="00B43A52" w:rsidRPr="001558A5">
        <w:rPr>
          <w:lang w:val="en-US"/>
        </w:rPr>
        <w:t>para.</w:t>
      </w:r>
      <w:r w:rsidRPr="001558A5">
        <w:rPr>
          <w:lang w:val="en-US"/>
        </w:rPr>
        <w:t xml:space="preserve"> 91</w:t>
      </w:r>
      <w:r w:rsidR="00DD4354" w:rsidRPr="001558A5">
        <w:rPr>
          <w:lang w:val="en-US"/>
        </w:rPr>
        <w:t xml:space="preserve"> and </w:t>
      </w:r>
      <w:r w:rsidR="00C43A37" w:rsidRPr="001558A5">
        <w:rPr>
          <w:i/>
          <w:iCs/>
          <w:lang w:val="en-US"/>
        </w:rPr>
        <w:t>Advisory Opinion</w:t>
      </w:r>
      <w:r w:rsidRPr="001558A5">
        <w:rPr>
          <w:i/>
          <w:iCs/>
          <w:lang w:val="en-US"/>
        </w:rPr>
        <w:t xml:space="preserve"> OC-24/17</w:t>
      </w:r>
      <w:r w:rsidRPr="001558A5">
        <w:rPr>
          <w:lang w:val="en-US"/>
        </w:rPr>
        <w:t xml:space="preserve">, </w:t>
      </w:r>
      <w:r w:rsidRPr="001558A5">
        <w:rPr>
          <w:i/>
          <w:iCs/>
          <w:lang w:val="en-US"/>
        </w:rPr>
        <w:t>supra</w:t>
      </w:r>
      <w:r w:rsidRPr="001558A5">
        <w:rPr>
          <w:lang w:val="en-US"/>
        </w:rPr>
        <w:t xml:space="preserve">, </w:t>
      </w:r>
      <w:r w:rsidR="00B43A52" w:rsidRPr="001558A5">
        <w:rPr>
          <w:lang w:val="en-US"/>
        </w:rPr>
        <w:t>para.</w:t>
      </w:r>
      <w:r w:rsidRPr="001558A5">
        <w:rPr>
          <w:lang w:val="en-US"/>
        </w:rPr>
        <w:t xml:space="preserve"> 68.</w:t>
      </w:r>
    </w:p>
  </w:footnote>
  <w:footnote w:id="149">
    <w:p w14:paraId="024446BD" w14:textId="6923E932"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C43A37" w:rsidRPr="001558A5">
        <w:rPr>
          <w:i/>
          <w:iCs/>
          <w:lang w:val="en-US"/>
        </w:rPr>
        <w:t>Advisory Opinion</w:t>
      </w:r>
      <w:r w:rsidRPr="001558A5">
        <w:rPr>
          <w:i/>
          <w:iCs/>
          <w:lang w:val="en-US"/>
        </w:rPr>
        <w:t xml:space="preserve"> OC-24/17</w:t>
      </w:r>
      <w:r w:rsidRPr="001558A5">
        <w:rPr>
          <w:lang w:val="en-US"/>
        </w:rPr>
        <w:t xml:space="preserve">, </w:t>
      </w:r>
      <w:r w:rsidRPr="001558A5">
        <w:rPr>
          <w:i/>
          <w:iCs/>
          <w:lang w:val="en-US"/>
        </w:rPr>
        <w:t>supra</w:t>
      </w:r>
      <w:r w:rsidRPr="001558A5">
        <w:rPr>
          <w:lang w:val="en-US"/>
        </w:rPr>
        <w:t xml:space="preserve">, </w:t>
      </w:r>
      <w:r w:rsidR="00B43A52" w:rsidRPr="001558A5">
        <w:rPr>
          <w:lang w:val="en-US"/>
        </w:rPr>
        <w:t>para.</w:t>
      </w:r>
      <w:r w:rsidRPr="001558A5">
        <w:rPr>
          <w:lang w:val="en-US"/>
        </w:rPr>
        <w:t xml:space="preserve"> 94.</w:t>
      </w:r>
    </w:p>
  </w:footnote>
  <w:footnote w:id="150">
    <w:p w14:paraId="105A630E" w14:textId="0BABD948" w:rsidR="005977F6" w:rsidRPr="001558A5" w:rsidRDefault="005977F6" w:rsidP="000B2BB5">
      <w:pPr>
        <w:pStyle w:val="Textonotapie"/>
        <w:tabs>
          <w:tab w:val="left" w:pos="360"/>
        </w:tabs>
        <w:rPr>
          <w:i/>
          <w:lang w:val="en-US"/>
        </w:rPr>
      </w:pPr>
      <w:r w:rsidRPr="001558A5">
        <w:rPr>
          <w:rStyle w:val="Refdenotaalpie"/>
          <w:lang w:val="en-US"/>
        </w:rPr>
        <w:footnoteRef/>
      </w:r>
      <w:r w:rsidRPr="001558A5">
        <w:rPr>
          <w:lang w:val="en-US"/>
        </w:rPr>
        <w:t xml:space="preserve"> </w:t>
      </w:r>
      <w:r w:rsidRPr="001558A5">
        <w:rPr>
          <w:lang w:val="en-US"/>
        </w:rPr>
        <w:tab/>
      </w:r>
      <w:r w:rsidR="00A75BCF" w:rsidRPr="001558A5">
        <w:rPr>
          <w:lang w:val="en-US"/>
        </w:rPr>
        <w:t>Inter-American Commission on Human Rights.</w:t>
      </w:r>
      <w:r w:rsidRPr="001558A5">
        <w:rPr>
          <w:lang w:val="en-US"/>
        </w:rPr>
        <w:t xml:space="preserve"> </w:t>
      </w:r>
      <w:r w:rsidRPr="001558A5">
        <w:rPr>
          <w:i/>
          <w:lang w:val="en-US"/>
        </w:rPr>
        <w:t>Violenc</w:t>
      </w:r>
      <w:r w:rsidR="00A75BCF" w:rsidRPr="001558A5">
        <w:rPr>
          <w:i/>
          <w:lang w:val="en-US"/>
        </w:rPr>
        <w:t>e agains</w:t>
      </w:r>
      <w:r w:rsidR="00264F2F" w:rsidRPr="001558A5">
        <w:rPr>
          <w:i/>
          <w:lang w:val="en-US"/>
        </w:rPr>
        <w:t>t</w:t>
      </w:r>
      <w:r w:rsidR="00A75BCF" w:rsidRPr="001558A5">
        <w:rPr>
          <w:i/>
          <w:lang w:val="en-US"/>
        </w:rPr>
        <w:t xml:space="preserve"> Lesbians, Gay, Bisexual, </w:t>
      </w:r>
      <w:r w:rsidRPr="001558A5">
        <w:rPr>
          <w:i/>
          <w:lang w:val="en-US"/>
        </w:rPr>
        <w:t xml:space="preserve">Trans </w:t>
      </w:r>
      <w:r w:rsidR="00A75BCF" w:rsidRPr="001558A5">
        <w:rPr>
          <w:i/>
          <w:lang w:val="en-US"/>
        </w:rPr>
        <w:t>and</w:t>
      </w:r>
      <w:r w:rsidRPr="001558A5">
        <w:rPr>
          <w:i/>
          <w:lang w:val="en-US"/>
        </w:rPr>
        <w:t xml:space="preserve"> Intersex </w:t>
      </w:r>
      <w:r w:rsidR="00A75BCF" w:rsidRPr="001558A5">
        <w:rPr>
          <w:i/>
          <w:lang w:val="en-US"/>
        </w:rPr>
        <w:t>Persons in the Americas</w:t>
      </w:r>
      <w:r w:rsidRPr="001558A5">
        <w:rPr>
          <w:i/>
          <w:lang w:val="en-US"/>
        </w:rPr>
        <w:t xml:space="preserve">, </w:t>
      </w:r>
      <w:r w:rsidR="00A75BCF" w:rsidRPr="001558A5">
        <w:rPr>
          <w:lang w:val="en-US"/>
        </w:rPr>
        <w:t>November 12,</w:t>
      </w:r>
      <w:r w:rsidRPr="001558A5">
        <w:rPr>
          <w:lang w:val="en-US"/>
        </w:rPr>
        <w:t xml:space="preserve"> 2015. OAS/</w:t>
      </w:r>
      <w:proofErr w:type="spellStart"/>
      <w:r w:rsidRPr="001558A5">
        <w:rPr>
          <w:lang w:val="en-US"/>
        </w:rPr>
        <w:t>Ser.L</w:t>
      </w:r>
      <w:proofErr w:type="spellEnd"/>
      <w:r w:rsidRPr="001558A5">
        <w:rPr>
          <w:lang w:val="en-US"/>
        </w:rPr>
        <w:t>/V/II.re</w:t>
      </w:r>
      <w:r w:rsidR="00CD1B05" w:rsidRPr="001558A5">
        <w:rPr>
          <w:lang w:val="en-US"/>
        </w:rPr>
        <w:t>v</w:t>
      </w:r>
      <w:r w:rsidRPr="001558A5">
        <w:rPr>
          <w:lang w:val="en-US"/>
        </w:rPr>
        <w:t>.</w:t>
      </w:r>
      <w:r w:rsidR="00CD1B05" w:rsidRPr="001558A5">
        <w:rPr>
          <w:lang w:val="en-US"/>
        </w:rPr>
        <w:t>1</w:t>
      </w:r>
      <w:r w:rsidRPr="001558A5">
        <w:rPr>
          <w:lang w:val="en-US"/>
        </w:rPr>
        <w:t xml:space="preserve"> Doc 36, </w:t>
      </w:r>
      <w:r w:rsidR="00B43A52" w:rsidRPr="001558A5">
        <w:rPr>
          <w:lang w:val="en-US"/>
        </w:rPr>
        <w:t>para.</w:t>
      </w:r>
      <w:r w:rsidRPr="001558A5">
        <w:rPr>
          <w:lang w:val="en-US"/>
        </w:rPr>
        <w:t xml:space="preserve"> 52.</w:t>
      </w:r>
    </w:p>
  </w:footnote>
  <w:footnote w:id="151">
    <w:p w14:paraId="7696D1DF" w14:textId="44D4896C"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264F2F" w:rsidRPr="001558A5">
        <w:rPr>
          <w:rFonts w:cstheme="minorHAnsi"/>
          <w:lang w:val="en-US"/>
        </w:rPr>
        <w:t xml:space="preserve">Committee on the Elimination of Discrimination against Women. </w:t>
      </w:r>
      <w:r w:rsidR="00264F2F" w:rsidRPr="001558A5">
        <w:rPr>
          <w:rFonts w:cstheme="minorHAnsi"/>
          <w:i/>
          <w:iCs/>
          <w:lang w:val="en-US"/>
        </w:rPr>
        <w:t>General Recommendation No. 28 on the</w:t>
      </w:r>
      <w:r w:rsidR="00264F2F" w:rsidRPr="001558A5">
        <w:rPr>
          <w:rFonts w:cstheme="minorHAnsi"/>
          <w:lang w:val="en-US"/>
        </w:rPr>
        <w:t xml:space="preserve"> </w:t>
      </w:r>
      <w:r w:rsidR="00264F2F" w:rsidRPr="001558A5">
        <w:rPr>
          <w:rFonts w:cstheme="minorHAnsi"/>
          <w:i/>
          <w:iCs/>
          <w:lang w:val="en-US"/>
        </w:rPr>
        <w:t>core obligations of States parties under article 2</w:t>
      </w:r>
      <w:r w:rsidR="00264F2F" w:rsidRPr="001558A5">
        <w:rPr>
          <w:rFonts w:cstheme="minorHAnsi"/>
          <w:lang w:val="en-US"/>
        </w:rPr>
        <w:t xml:space="preserve"> of </w:t>
      </w:r>
      <w:r w:rsidR="00264F2F" w:rsidRPr="001558A5">
        <w:rPr>
          <w:i/>
          <w:lang w:val="en-US"/>
        </w:rPr>
        <w:t xml:space="preserve">the </w:t>
      </w:r>
      <w:r w:rsidR="00871E19" w:rsidRPr="001558A5">
        <w:rPr>
          <w:i/>
          <w:lang w:val="en-US"/>
        </w:rPr>
        <w:t>Convention</w:t>
      </w:r>
      <w:r w:rsidRPr="001558A5">
        <w:rPr>
          <w:i/>
          <w:lang w:val="en-US"/>
        </w:rPr>
        <w:t xml:space="preserve"> </w:t>
      </w:r>
      <w:r w:rsidR="00264F2F" w:rsidRPr="001558A5">
        <w:rPr>
          <w:i/>
          <w:lang w:val="en-US"/>
        </w:rPr>
        <w:t>on the Elimination of All Forms of Discrimination against Women</w:t>
      </w:r>
      <w:r w:rsidRPr="001558A5">
        <w:rPr>
          <w:iCs/>
          <w:lang w:val="en-US"/>
        </w:rPr>
        <w:t>,</w:t>
      </w:r>
      <w:r w:rsidRPr="001558A5">
        <w:rPr>
          <w:i/>
          <w:lang w:val="en-US"/>
        </w:rPr>
        <w:t xml:space="preserve"> </w:t>
      </w:r>
      <w:r w:rsidR="003D2C5D" w:rsidRPr="001558A5">
        <w:rPr>
          <w:lang w:val="en-US"/>
        </w:rPr>
        <w:t xml:space="preserve">December 16, 2010, </w:t>
      </w:r>
      <w:r w:rsidRPr="001558A5">
        <w:rPr>
          <w:lang w:val="en-US"/>
        </w:rPr>
        <w:t xml:space="preserve">CEDAW/C/GC728, </w:t>
      </w:r>
      <w:proofErr w:type="gramStart"/>
      <w:r w:rsidR="00B43A52" w:rsidRPr="001558A5">
        <w:rPr>
          <w:lang w:val="en-US"/>
        </w:rPr>
        <w:t>para</w:t>
      </w:r>
      <w:proofErr w:type="gramEnd"/>
      <w:r w:rsidR="00B43A52" w:rsidRPr="001558A5">
        <w:rPr>
          <w:lang w:val="en-US"/>
        </w:rPr>
        <w:t>.</w:t>
      </w:r>
      <w:r w:rsidRPr="001558A5">
        <w:rPr>
          <w:lang w:val="en-US"/>
        </w:rPr>
        <w:t xml:space="preserve"> 5.</w:t>
      </w:r>
    </w:p>
  </w:footnote>
  <w:footnote w:id="152">
    <w:p w14:paraId="12FE5B4A" w14:textId="4A6196DC"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264F2F" w:rsidRPr="001558A5">
        <w:rPr>
          <w:rFonts w:cstheme="minorHAnsi"/>
          <w:lang w:val="en-US"/>
        </w:rPr>
        <w:t>Committee on the Elimination of Discrimination against Women</w:t>
      </w:r>
      <w:r w:rsidRPr="001558A5">
        <w:rPr>
          <w:lang w:val="en-US"/>
        </w:rPr>
        <w:t xml:space="preserve">. </w:t>
      </w:r>
      <w:r w:rsidR="00264F2F" w:rsidRPr="001558A5">
        <w:rPr>
          <w:rFonts w:cstheme="minorHAnsi"/>
          <w:i/>
          <w:iCs/>
          <w:lang w:val="en-US"/>
        </w:rPr>
        <w:t>General Recommendation No. 35</w:t>
      </w:r>
      <w:r w:rsidR="004C7BBE" w:rsidRPr="001558A5">
        <w:rPr>
          <w:rFonts w:cstheme="minorHAnsi"/>
          <w:i/>
          <w:iCs/>
          <w:lang w:val="en-US"/>
        </w:rPr>
        <w:t xml:space="preserve"> on gender-based violence against women, updating general recommendation No. 19</w:t>
      </w:r>
      <w:r w:rsidRPr="001558A5">
        <w:rPr>
          <w:iCs/>
          <w:lang w:val="en-US"/>
        </w:rPr>
        <w:t>,</w:t>
      </w:r>
      <w:r w:rsidRPr="001558A5">
        <w:rPr>
          <w:i/>
          <w:lang w:val="en-US"/>
        </w:rPr>
        <w:t xml:space="preserve"> </w:t>
      </w:r>
      <w:r w:rsidR="004C7BBE" w:rsidRPr="001558A5">
        <w:rPr>
          <w:lang w:val="en-US"/>
        </w:rPr>
        <w:t>July 26,</w:t>
      </w:r>
      <w:r w:rsidRPr="001558A5">
        <w:rPr>
          <w:lang w:val="en-US"/>
        </w:rPr>
        <w:t xml:space="preserve"> 2017, CEDAW/C/GC/35, </w:t>
      </w:r>
      <w:r w:rsidR="00675A99" w:rsidRPr="001558A5">
        <w:rPr>
          <w:lang w:val="en-US"/>
        </w:rPr>
        <w:t>paras.</w:t>
      </w:r>
      <w:r w:rsidRPr="001558A5">
        <w:rPr>
          <w:lang w:val="en-US"/>
        </w:rPr>
        <w:t xml:space="preserve"> 9</w:t>
      </w:r>
      <w:r w:rsidR="00DD4354" w:rsidRPr="001558A5">
        <w:rPr>
          <w:lang w:val="en-US"/>
        </w:rPr>
        <w:t xml:space="preserve"> and </w:t>
      </w:r>
      <w:r w:rsidRPr="001558A5">
        <w:rPr>
          <w:lang w:val="en-US"/>
        </w:rPr>
        <w:t>12.</w:t>
      </w:r>
    </w:p>
  </w:footnote>
  <w:footnote w:id="153">
    <w:p w14:paraId="4300E25A" w14:textId="1FC3CEC2"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lang w:val="en-US"/>
        </w:rPr>
        <w:t>Cf.</w:t>
      </w:r>
      <w:r w:rsidRPr="001558A5">
        <w:rPr>
          <w:i/>
          <w:lang w:val="en-US"/>
        </w:rPr>
        <w:t xml:space="preserve"> </w:t>
      </w:r>
      <w:r w:rsidRPr="001558A5">
        <w:rPr>
          <w:lang w:val="en-US"/>
        </w:rPr>
        <w:t xml:space="preserve">MESECVI. </w:t>
      </w:r>
      <w:r w:rsidR="002258F5" w:rsidRPr="001558A5">
        <w:rPr>
          <w:rFonts w:cstheme="minorHAnsi"/>
          <w:i/>
          <w:iCs/>
          <w:lang w:val="en-US"/>
        </w:rPr>
        <w:t>Practical Guide to the System of Progress Indicators for Measuring the Implementation of the</w:t>
      </w:r>
      <w:r w:rsidR="00B74256" w:rsidRPr="001558A5">
        <w:rPr>
          <w:i/>
          <w:lang w:val="en-US"/>
        </w:rPr>
        <w:t xml:space="preserve"> </w:t>
      </w:r>
      <w:proofErr w:type="spellStart"/>
      <w:r w:rsidR="00B74256" w:rsidRPr="001558A5">
        <w:rPr>
          <w:i/>
          <w:lang w:val="en-US"/>
        </w:rPr>
        <w:t>Belém</w:t>
      </w:r>
      <w:proofErr w:type="spellEnd"/>
      <w:r w:rsidRPr="001558A5">
        <w:rPr>
          <w:i/>
          <w:lang w:val="en-US"/>
        </w:rPr>
        <w:t xml:space="preserve"> do </w:t>
      </w:r>
      <w:proofErr w:type="spellStart"/>
      <w:r w:rsidRPr="001558A5">
        <w:rPr>
          <w:i/>
          <w:lang w:val="en-US"/>
        </w:rPr>
        <w:t>Pará</w:t>
      </w:r>
      <w:proofErr w:type="spellEnd"/>
      <w:r w:rsidR="002258F5" w:rsidRPr="001558A5">
        <w:rPr>
          <w:i/>
          <w:lang w:val="en-US"/>
        </w:rPr>
        <w:t xml:space="preserve"> </w:t>
      </w:r>
      <w:r w:rsidR="002258F5" w:rsidRPr="001558A5">
        <w:rPr>
          <w:rFonts w:cstheme="minorHAnsi"/>
          <w:i/>
          <w:iCs/>
          <w:lang w:val="en-US"/>
        </w:rPr>
        <w:t>Convention</w:t>
      </w:r>
      <w:r w:rsidRPr="001558A5">
        <w:rPr>
          <w:i/>
          <w:lang w:val="en-US"/>
        </w:rPr>
        <w:t xml:space="preserve">. </w:t>
      </w:r>
      <w:r w:rsidRPr="001558A5">
        <w:rPr>
          <w:lang w:val="en-US"/>
        </w:rPr>
        <w:t>Febr</w:t>
      </w:r>
      <w:r w:rsidR="002258F5" w:rsidRPr="001558A5">
        <w:rPr>
          <w:lang w:val="en-US"/>
        </w:rPr>
        <w:t>uary</w:t>
      </w:r>
      <w:r w:rsidRPr="001558A5">
        <w:rPr>
          <w:lang w:val="en-US"/>
        </w:rPr>
        <w:t xml:space="preserve"> 2015. </w:t>
      </w:r>
      <w:r w:rsidR="002258F5" w:rsidRPr="001558A5">
        <w:rPr>
          <w:lang w:val="en-US"/>
        </w:rPr>
        <w:t>Module 5, p</w:t>
      </w:r>
      <w:r w:rsidR="004A3747" w:rsidRPr="001558A5">
        <w:rPr>
          <w:lang w:val="en-US"/>
        </w:rPr>
        <w:t>.</w:t>
      </w:r>
      <w:r w:rsidR="002258F5" w:rsidRPr="001558A5">
        <w:rPr>
          <w:lang w:val="en-US"/>
        </w:rPr>
        <w:t xml:space="preserve"> 75 of the Guide.</w:t>
      </w:r>
    </w:p>
  </w:footnote>
  <w:footnote w:id="154">
    <w:p w14:paraId="13F86094" w14:textId="109AFBEC" w:rsidR="005977F6" w:rsidRPr="001558A5" w:rsidRDefault="005977F6" w:rsidP="000B2BB5">
      <w:pPr>
        <w:pStyle w:val="Textonotapie"/>
        <w:tabs>
          <w:tab w:val="left" w:pos="360"/>
        </w:tabs>
        <w:rPr>
          <w:lang w:val="es-CR"/>
        </w:rPr>
      </w:pPr>
      <w:r w:rsidRPr="001558A5">
        <w:rPr>
          <w:rStyle w:val="Refdenotaalpie"/>
          <w:lang w:val="en-US"/>
        </w:rPr>
        <w:footnoteRef/>
      </w:r>
      <w:r w:rsidRPr="001558A5">
        <w:rPr>
          <w:lang w:val="en-US"/>
        </w:rPr>
        <w:t xml:space="preserve"> </w:t>
      </w:r>
      <w:r w:rsidRPr="001558A5">
        <w:rPr>
          <w:lang w:val="en-US"/>
        </w:rPr>
        <w:tab/>
      </w:r>
      <w:bookmarkStart w:id="102" w:name="_Hlk515969584"/>
      <w:r w:rsidR="004A3747" w:rsidRPr="001558A5">
        <w:rPr>
          <w:rFonts w:eastAsia="Times New Roman" w:cs="Times New Roman"/>
          <w:i/>
          <w:szCs w:val="16"/>
          <w:lang w:val="en-US"/>
        </w:rPr>
        <w:fldChar w:fldCharType="begin"/>
      </w:r>
      <w:r w:rsidR="004A3747" w:rsidRPr="001558A5">
        <w:rPr>
          <w:rFonts w:eastAsia="Times New Roman" w:cs="Times New Roman"/>
          <w:i/>
          <w:szCs w:val="16"/>
          <w:lang w:val="en-US"/>
        </w:rPr>
        <w:instrText xml:space="preserve"> HYPERLINK "http://hrlibrary.umn.edu/iachr/A/OC-16ingles-sinfirmas.html" </w:instrText>
      </w:r>
      <w:r w:rsidR="004A3747" w:rsidRPr="001558A5">
        <w:rPr>
          <w:rFonts w:eastAsia="Times New Roman" w:cs="Times New Roman"/>
          <w:i/>
          <w:szCs w:val="16"/>
          <w:lang w:val="en-US"/>
        </w:rPr>
        <w:fldChar w:fldCharType="separate"/>
      </w:r>
      <w:r w:rsidR="004A3747" w:rsidRPr="001558A5">
        <w:rPr>
          <w:rFonts w:eastAsia="Times New Roman" w:cs="Times New Roman"/>
          <w:i/>
          <w:szCs w:val="16"/>
          <w:lang w:val="en-US"/>
        </w:rPr>
        <w:t>The Right to Information on Consular Assistance in the Framework of the Guarantees of the Due Process of Law</w:t>
      </w:r>
      <w:r w:rsidR="004A3747" w:rsidRPr="001558A5">
        <w:rPr>
          <w:rFonts w:eastAsia="Times New Roman" w:cs="Times New Roman"/>
          <w:i/>
          <w:szCs w:val="16"/>
          <w:lang w:val="en-US"/>
        </w:rPr>
        <w:fldChar w:fldCharType="end"/>
      </w:r>
      <w:bookmarkEnd w:id="102"/>
      <w:r w:rsidR="004A3747" w:rsidRPr="001558A5">
        <w:rPr>
          <w:rFonts w:eastAsia="Times New Roman" w:cs="Times New Roman"/>
          <w:i/>
          <w:szCs w:val="16"/>
          <w:lang w:val="en-US"/>
        </w:rPr>
        <w:t xml:space="preserve">, </w:t>
      </w:r>
      <w:r w:rsidR="004A3747" w:rsidRPr="001558A5">
        <w:rPr>
          <w:rFonts w:eastAsia="Times New Roman" w:cs="Times New Roman"/>
          <w:szCs w:val="16"/>
          <w:lang w:val="en-US"/>
        </w:rPr>
        <w:t>Advisory Opinion OC-16/99, October 1, 1999</w:t>
      </w:r>
      <w:r w:rsidRPr="001558A5">
        <w:rPr>
          <w:lang w:val="en-US"/>
        </w:rPr>
        <w:t xml:space="preserve">. </w:t>
      </w:r>
      <w:r w:rsidR="00B43A52" w:rsidRPr="001558A5">
        <w:rPr>
          <w:lang w:val="es-CR"/>
        </w:rPr>
        <w:t xml:space="preserve">Series </w:t>
      </w:r>
      <w:r w:rsidRPr="001558A5">
        <w:rPr>
          <w:lang w:val="es-CR"/>
        </w:rPr>
        <w:t xml:space="preserve">A No. 16, </w:t>
      </w:r>
      <w:r w:rsidR="00B43A52" w:rsidRPr="001558A5">
        <w:rPr>
          <w:lang w:val="es-CR"/>
        </w:rPr>
        <w:t>para.</w:t>
      </w:r>
      <w:r w:rsidRPr="001558A5">
        <w:rPr>
          <w:lang w:val="es-CR"/>
        </w:rPr>
        <w:t xml:space="preserve"> 114.</w:t>
      </w:r>
    </w:p>
  </w:footnote>
  <w:footnote w:id="155">
    <w:p w14:paraId="3A9DC4FD" w14:textId="09AD47F9"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s-CR"/>
        </w:rPr>
        <w:t xml:space="preserve"> </w:t>
      </w:r>
      <w:r w:rsidRPr="001558A5">
        <w:rPr>
          <w:lang w:val="es-CR"/>
        </w:rPr>
        <w:tab/>
      </w:r>
      <w:r w:rsidR="00871E19" w:rsidRPr="001558A5">
        <w:rPr>
          <w:i/>
          <w:iCs/>
          <w:lang w:val="es-CR"/>
        </w:rPr>
        <w:t>Cf.</w:t>
      </w:r>
      <w:r w:rsidRPr="001558A5">
        <w:rPr>
          <w:i/>
          <w:iCs/>
          <w:lang w:val="es-CR"/>
        </w:rPr>
        <w:t xml:space="preserve"> </w:t>
      </w:r>
      <w:r w:rsidR="00871E19" w:rsidRPr="001558A5">
        <w:rPr>
          <w:i/>
          <w:lang w:val="es-CR"/>
        </w:rPr>
        <w:t>Case of</w:t>
      </w:r>
      <w:r w:rsidRPr="001558A5">
        <w:rPr>
          <w:i/>
          <w:lang w:val="es-CR"/>
        </w:rPr>
        <w:t xml:space="preserve"> López Soto</w:t>
      </w:r>
      <w:r w:rsidR="00DD4354" w:rsidRPr="001558A5">
        <w:rPr>
          <w:i/>
          <w:lang w:val="es-CR"/>
        </w:rPr>
        <w:t xml:space="preserve"> </w:t>
      </w:r>
      <w:r w:rsidR="004F4F9C" w:rsidRPr="001558A5">
        <w:rPr>
          <w:i/>
          <w:lang w:val="es-CR"/>
        </w:rPr>
        <w:t>et al. v.</w:t>
      </w:r>
      <w:r w:rsidRPr="001558A5">
        <w:rPr>
          <w:i/>
          <w:lang w:val="es-CR"/>
        </w:rPr>
        <w:t xml:space="preserve"> Venezuela</w:t>
      </w:r>
      <w:r w:rsidRPr="001558A5">
        <w:rPr>
          <w:lang w:val="es-CR"/>
        </w:rPr>
        <w:t xml:space="preserve">, </w:t>
      </w:r>
      <w:r w:rsidRPr="001558A5">
        <w:rPr>
          <w:i/>
          <w:iCs/>
          <w:lang w:val="es-CR"/>
        </w:rPr>
        <w:t>supra</w:t>
      </w:r>
      <w:r w:rsidRPr="001558A5">
        <w:rPr>
          <w:lang w:val="es-CR"/>
        </w:rPr>
        <w:t xml:space="preserve">, </w:t>
      </w:r>
      <w:r w:rsidR="00675A99" w:rsidRPr="001558A5">
        <w:rPr>
          <w:lang w:val="es-CR"/>
        </w:rPr>
        <w:t>paras.</w:t>
      </w:r>
      <w:r w:rsidRPr="001558A5">
        <w:rPr>
          <w:lang w:val="es-CR"/>
        </w:rPr>
        <w:t xml:space="preserve"> </w:t>
      </w:r>
      <w:r w:rsidRPr="001558A5">
        <w:rPr>
          <w:lang w:val="en-US"/>
        </w:rPr>
        <w:t>131, 136</w:t>
      </w:r>
      <w:r w:rsidR="00DD4354" w:rsidRPr="001558A5">
        <w:rPr>
          <w:lang w:val="en-US"/>
        </w:rPr>
        <w:t xml:space="preserve"> and </w:t>
      </w:r>
      <w:r w:rsidRPr="001558A5">
        <w:rPr>
          <w:lang w:val="en-US"/>
        </w:rPr>
        <w:t>141.</w:t>
      </w:r>
    </w:p>
  </w:footnote>
  <w:footnote w:id="156">
    <w:p w14:paraId="095ECD9C" w14:textId="5F0999C0"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lang w:val="en-US"/>
        </w:rPr>
        <w:t>Article</w:t>
      </w:r>
      <w:r w:rsidRPr="001558A5">
        <w:rPr>
          <w:lang w:val="en-US"/>
        </w:rPr>
        <w:t xml:space="preserve"> 25</w:t>
      </w:r>
      <w:r w:rsidR="00DD4354" w:rsidRPr="001558A5">
        <w:rPr>
          <w:lang w:val="en-US"/>
        </w:rPr>
        <w:t xml:space="preserve"> of the </w:t>
      </w:r>
      <w:r w:rsidR="00871E19" w:rsidRPr="001558A5">
        <w:rPr>
          <w:lang w:val="en-US"/>
        </w:rPr>
        <w:t>American Convention</w:t>
      </w:r>
      <w:r w:rsidRPr="001558A5">
        <w:rPr>
          <w:lang w:val="en-US"/>
        </w:rPr>
        <w:t>.</w:t>
      </w:r>
    </w:p>
  </w:footnote>
  <w:footnote w:id="157">
    <w:p w14:paraId="09B61AAB" w14:textId="7FE3D0B6"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B85E6D" w:rsidRPr="001558A5">
        <w:rPr>
          <w:lang w:val="en-US"/>
        </w:rPr>
        <w:t>Affidavits made by</w:t>
      </w:r>
      <w:r w:rsidRPr="001558A5">
        <w:rPr>
          <w:lang w:val="en-US"/>
        </w:rPr>
        <w:t xml:space="preserve"> </w:t>
      </w:r>
      <w:r w:rsidR="00B85E6D" w:rsidRPr="001558A5">
        <w:rPr>
          <w:lang w:val="en-US"/>
        </w:rPr>
        <w:t xml:space="preserve">members of </w:t>
      </w:r>
      <w:r w:rsidRPr="001558A5">
        <w:rPr>
          <w:lang w:val="en-US"/>
        </w:rPr>
        <w:t>Vicky Hernández</w:t>
      </w:r>
      <w:r w:rsidR="00B85E6D" w:rsidRPr="001558A5">
        <w:rPr>
          <w:lang w:val="en-US"/>
        </w:rPr>
        <w:t>’s family</w:t>
      </w:r>
      <w:r w:rsidRPr="001558A5">
        <w:rPr>
          <w:lang w:val="en-US"/>
        </w:rPr>
        <w:t xml:space="preserve">: </w:t>
      </w:r>
      <w:proofErr w:type="spellStart"/>
      <w:r w:rsidRPr="001558A5">
        <w:rPr>
          <w:lang w:val="en-US"/>
        </w:rPr>
        <w:t>Merelin</w:t>
      </w:r>
      <w:proofErr w:type="spellEnd"/>
      <w:r w:rsidRPr="001558A5">
        <w:rPr>
          <w:lang w:val="en-US"/>
        </w:rPr>
        <w:t xml:space="preserve"> Tatiana </w:t>
      </w:r>
      <w:proofErr w:type="spellStart"/>
      <w:r w:rsidRPr="001558A5">
        <w:rPr>
          <w:lang w:val="en-US"/>
        </w:rPr>
        <w:t>Rápalo</w:t>
      </w:r>
      <w:proofErr w:type="spellEnd"/>
      <w:r w:rsidRPr="001558A5">
        <w:rPr>
          <w:lang w:val="en-US"/>
        </w:rPr>
        <w:t xml:space="preserve"> Hernández, Vicky Hernández</w:t>
      </w:r>
      <w:r w:rsidR="00B85E6D" w:rsidRPr="001558A5">
        <w:rPr>
          <w:lang w:val="en-US"/>
        </w:rPr>
        <w:t>’s sister,</w:t>
      </w:r>
      <w:r w:rsidR="00DD4354" w:rsidRPr="001558A5">
        <w:rPr>
          <w:lang w:val="en-US"/>
        </w:rPr>
        <w:t xml:space="preserve"> and </w:t>
      </w:r>
      <w:r w:rsidRPr="001558A5">
        <w:rPr>
          <w:lang w:val="en-US"/>
        </w:rPr>
        <w:t xml:space="preserve">Rosa </w:t>
      </w:r>
      <w:proofErr w:type="spellStart"/>
      <w:r w:rsidRPr="001558A5">
        <w:rPr>
          <w:lang w:val="en-US"/>
        </w:rPr>
        <w:t>Argelia</w:t>
      </w:r>
      <w:proofErr w:type="spellEnd"/>
      <w:r w:rsidRPr="001558A5">
        <w:rPr>
          <w:lang w:val="en-US"/>
        </w:rPr>
        <w:t xml:space="preserve"> Hernández </w:t>
      </w:r>
      <w:proofErr w:type="spellStart"/>
      <w:r w:rsidRPr="001558A5">
        <w:rPr>
          <w:lang w:val="en-US"/>
        </w:rPr>
        <w:t>Martínez</w:t>
      </w:r>
      <w:proofErr w:type="spellEnd"/>
      <w:r w:rsidRPr="001558A5">
        <w:rPr>
          <w:lang w:val="en-US"/>
        </w:rPr>
        <w:t>, Vicky Hernández</w:t>
      </w:r>
      <w:r w:rsidR="00B85E6D" w:rsidRPr="001558A5">
        <w:rPr>
          <w:lang w:val="en-US"/>
        </w:rPr>
        <w:t>’s mother</w:t>
      </w:r>
      <w:r w:rsidRPr="001558A5">
        <w:rPr>
          <w:lang w:val="en-US"/>
        </w:rPr>
        <w:t xml:space="preserve"> (</w:t>
      </w:r>
      <w:r w:rsidR="00D11908" w:rsidRPr="001558A5">
        <w:rPr>
          <w:lang w:val="en-US"/>
        </w:rPr>
        <w:t>evidence file</w:t>
      </w:r>
      <w:r w:rsidRPr="001558A5">
        <w:rPr>
          <w:lang w:val="en-US"/>
        </w:rPr>
        <w:t xml:space="preserve">, folios 1515 </w:t>
      </w:r>
      <w:r w:rsidR="00B85E6D" w:rsidRPr="001558A5">
        <w:rPr>
          <w:lang w:val="en-US"/>
        </w:rPr>
        <w:t>to</w:t>
      </w:r>
      <w:r w:rsidRPr="001558A5">
        <w:rPr>
          <w:lang w:val="en-US"/>
        </w:rPr>
        <w:t xml:space="preserve"> 1528).</w:t>
      </w:r>
    </w:p>
  </w:footnote>
  <w:footnote w:id="158">
    <w:p w14:paraId="44DE3A73" w14:textId="370620F8"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DE7CAC" w:rsidRPr="001558A5">
        <w:rPr>
          <w:lang w:val="en-US"/>
        </w:rPr>
        <w:t>Socio-economic report</w:t>
      </w:r>
      <w:r w:rsidRPr="001558A5">
        <w:rPr>
          <w:lang w:val="en-US"/>
        </w:rPr>
        <w:t xml:space="preserve">, </w:t>
      </w:r>
      <w:proofErr w:type="spellStart"/>
      <w:r w:rsidRPr="001558A5">
        <w:rPr>
          <w:lang w:val="en-US"/>
        </w:rPr>
        <w:t>Cattrachas</w:t>
      </w:r>
      <w:proofErr w:type="spellEnd"/>
      <w:r w:rsidRPr="001558A5">
        <w:rPr>
          <w:lang w:val="en-US"/>
        </w:rPr>
        <w:t xml:space="preserve">, </w:t>
      </w:r>
      <w:r w:rsidR="00B85E6D" w:rsidRPr="001558A5">
        <w:rPr>
          <w:lang w:val="en-US"/>
        </w:rPr>
        <w:t>March 2,</w:t>
      </w:r>
      <w:r w:rsidRPr="001558A5">
        <w:rPr>
          <w:lang w:val="en-US"/>
        </w:rPr>
        <w:t xml:space="preserve"> 2017 (</w:t>
      </w:r>
      <w:r w:rsidR="00D11908" w:rsidRPr="001558A5">
        <w:rPr>
          <w:lang w:val="en-US"/>
        </w:rPr>
        <w:t>evidence file</w:t>
      </w:r>
      <w:r w:rsidRPr="001558A5">
        <w:rPr>
          <w:lang w:val="en-US"/>
        </w:rPr>
        <w:t xml:space="preserve">, folios 5 </w:t>
      </w:r>
      <w:r w:rsidR="00B85E6D" w:rsidRPr="001558A5">
        <w:rPr>
          <w:lang w:val="en-US"/>
        </w:rPr>
        <w:t xml:space="preserve">to </w:t>
      </w:r>
      <w:r w:rsidRPr="001558A5">
        <w:rPr>
          <w:lang w:val="en-US"/>
        </w:rPr>
        <w:t>13).</w:t>
      </w:r>
    </w:p>
  </w:footnote>
  <w:footnote w:id="159">
    <w:p w14:paraId="1A91D6CA" w14:textId="2D57078E"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B85E6D" w:rsidRPr="001558A5">
        <w:rPr>
          <w:lang w:val="en-US"/>
        </w:rPr>
        <w:t>Affidavit made by</w:t>
      </w:r>
      <w:r w:rsidRPr="001558A5">
        <w:rPr>
          <w:lang w:val="en-US"/>
        </w:rPr>
        <w:t xml:space="preserve"> Rosa </w:t>
      </w:r>
      <w:proofErr w:type="spellStart"/>
      <w:r w:rsidRPr="001558A5">
        <w:rPr>
          <w:lang w:val="en-US"/>
        </w:rPr>
        <w:t>Argelia</w:t>
      </w:r>
      <w:proofErr w:type="spellEnd"/>
      <w:r w:rsidRPr="001558A5">
        <w:rPr>
          <w:lang w:val="en-US"/>
        </w:rPr>
        <w:t xml:space="preserve"> Hernández </w:t>
      </w:r>
      <w:proofErr w:type="spellStart"/>
      <w:r w:rsidRPr="001558A5">
        <w:rPr>
          <w:lang w:val="en-US"/>
        </w:rPr>
        <w:t>Martínez</w:t>
      </w:r>
      <w:proofErr w:type="spellEnd"/>
      <w:r w:rsidRPr="001558A5">
        <w:rPr>
          <w:lang w:val="en-US"/>
        </w:rPr>
        <w:t xml:space="preserve"> (</w:t>
      </w:r>
      <w:r w:rsidR="00D11908" w:rsidRPr="001558A5">
        <w:rPr>
          <w:lang w:val="en-US"/>
        </w:rPr>
        <w:t>evidence file</w:t>
      </w:r>
      <w:r w:rsidRPr="001558A5">
        <w:rPr>
          <w:lang w:val="en-US"/>
        </w:rPr>
        <w:t>, folio 1520).</w:t>
      </w:r>
    </w:p>
  </w:footnote>
  <w:footnote w:id="160">
    <w:p w14:paraId="0DAC4B31" w14:textId="53D30AA4"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640F05" w:rsidRPr="001558A5">
        <w:rPr>
          <w:lang w:val="en-US"/>
        </w:rPr>
        <w:t>Affidavit made by</w:t>
      </w:r>
      <w:r w:rsidRPr="001558A5">
        <w:rPr>
          <w:lang w:val="en-US"/>
        </w:rPr>
        <w:t xml:space="preserve"> </w:t>
      </w:r>
      <w:proofErr w:type="spellStart"/>
      <w:r w:rsidRPr="001558A5">
        <w:rPr>
          <w:lang w:val="en-US"/>
        </w:rPr>
        <w:t>Merelin</w:t>
      </w:r>
      <w:proofErr w:type="spellEnd"/>
      <w:r w:rsidRPr="001558A5">
        <w:rPr>
          <w:lang w:val="en-US"/>
        </w:rPr>
        <w:t xml:space="preserve"> Tatiana </w:t>
      </w:r>
      <w:proofErr w:type="spellStart"/>
      <w:r w:rsidRPr="001558A5">
        <w:rPr>
          <w:lang w:val="en-US"/>
        </w:rPr>
        <w:t>Rápalo</w:t>
      </w:r>
      <w:proofErr w:type="spellEnd"/>
      <w:r w:rsidRPr="001558A5">
        <w:rPr>
          <w:lang w:val="en-US"/>
        </w:rPr>
        <w:t xml:space="preserve"> Hernández (</w:t>
      </w:r>
      <w:r w:rsidR="00D11908" w:rsidRPr="001558A5">
        <w:rPr>
          <w:lang w:val="en-US"/>
        </w:rPr>
        <w:t>evidence file</w:t>
      </w:r>
      <w:r w:rsidRPr="001558A5">
        <w:rPr>
          <w:lang w:val="en-US"/>
        </w:rPr>
        <w:t>, folio 1526).</w:t>
      </w:r>
    </w:p>
  </w:footnote>
  <w:footnote w:id="161">
    <w:p w14:paraId="17686803" w14:textId="1A1442CB"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640F05" w:rsidRPr="001558A5">
        <w:rPr>
          <w:lang w:val="en-US"/>
        </w:rPr>
        <w:t xml:space="preserve">Affidavit made by </w:t>
      </w:r>
      <w:r w:rsidRPr="001558A5">
        <w:rPr>
          <w:lang w:val="en-US"/>
        </w:rPr>
        <w:t xml:space="preserve">Rosa </w:t>
      </w:r>
      <w:proofErr w:type="spellStart"/>
      <w:r w:rsidRPr="001558A5">
        <w:rPr>
          <w:lang w:val="en-US"/>
        </w:rPr>
        <w:t>Argelia</w:t>
      </w:r>
      <w:proofErr w:type="spellEnd"/>
      <w:r w:rsidRPr="001558A5">
        <w:rPr>
          <w:lang w:val="en-US"/>
        </w:rPr>
        <w:t xml:space="preserve"> Hernández </w:t>
      </w:r>
      <w:proofErr w:type="spellStart"/>
      <w:r w:rsidRPr="001558A5">
        <w:rPr>
          <w:lang w:val="en-US"/>
        </w:rPr>
        <w:t>Martínez</w:t>
      </w:r>
      <w:proofErr w:type="spellEnd"/>
      <w:r w:rsidRPr="001558A5">
        <w:rPr>
          <w:lang w:val="en-US"/>
        </w:rPr>
        <w:t xml:space="preserve"> (</w:t>
      </w:r>
      <w:r w:rsidR="00D11908" w:rsidRPr="001558A5">
        <w:rPr>
          <w:lang w:val="en-US"/>
        </w:rPr>
        <w:t>evidence file</w:t>
      </w:r>
      <w:r w:rsidRPr="001558A5">
        <w:rPr>
          <w:lang w:val="en-US"/>
        </w:rPr>
        <w:t>, folio 1518).</w:t>
      </w:r>
    </w:p>
  </w:footnote>
  <w:footnote w:id="162">
    <w:p w14:paraId="7BECB54D" w14:textId="110C0291"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640F05" w:rsidRPr="001558A5">
        <w:rPr>
          <w:lang w:val="en-US"/>
        </w:rPr>
        <w:t xml:space="preserve">Affidavit made by </w:t>
      </w:r>
      <w:proofErr w:type="spellStart"/>
      <w:r w:rsidRPr="001558A5">
        <w:rPr>
          <w:lang w:val="en-US"/>
        </w:rPr>
        <w:t>Merelin</w:t>
      </w:r>
      <w:proofErr w:type="spellEnd"/>
      <w:r w:rsidRPr="001558A5">
        <w:rPr>
          <w:lang w:val="en-US"/>
        </w:rPr>
        <w:t xml:space="preserve"> Tatiana </w:t>
      </w:r>
      <w:proofErr w:type="spellStart"/>
      <w:r w:rsidRPr="001558A5">
        <w:rPr>
          <w:lang w:val="en-US"/>
        </w:rPr>
        <w:t>Rápalo</w:t>
      </w:r>
      <w:proofErr w:type="spellEnd"/>
      <w:r w:rsidRPr="001558A5">
        <w:rPr>
          <w:lang w:val="en-US"/>
        </w:rPr>
        <w:t xml:space="preserve"> Hernández (</w:t>
      </w:r>
      <w:r w:rsidR="00D11908" w:rsidRPr="001558A5">
        <w:rPr>
          <w:lang w:val="en-US"/>
        </w:rPr>
        <w:t>evidence file</w:t>
      </w:r>
      <w:r w:rsidRPr="001558A5">
        <w:rPr>
          <w:lang w:val="en-US"/>
        </w:rPr>
        <w:t>, folio 1526).</w:t>
      </w:r>
    </w:p>
  </w:footnote>
  <w:footnote w:id="163">
    <w:p w14:paraId="28B865BF" w14:textId="4003210B" w:rsidR="005977F6" w:rsidRPr="001558A5" w:rsidRDefault="005977F6"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120416" w:rsidRPr="001558A5">
        <w:rPr>
          <w:szCs w:val="16"/>
          <w:lang w:val="en-US"/>
        </w:rPr>
        <w:t>These persons are identified in footnote #1</w:t>
      </w:r>
      <w:r w:rsidRPr="001558A5">
        <w:rPr>
          <w:szCs w:val="16"/>
          <w:lang w:val="en-US"/>
        </w:rPr>
        <w:t>.</w:t>
      </w:r>
    </w:p>
  </w:footnote>
  <w:footnote w:id="164">
    <w:p w14:paraId="2E735B63" w14:textId="2DD4BF2C"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t>Ap</w:t>
      </w:r>
      <w:r w:rsidR="00640F05" w:rsidRPr="001558A5">
        <w:rPr>
          <w:lang w:val="en-US"/>
        </w:rPr>
        <w:t>plication</w:t>
      </w:r>
      <w:r w:rsidRPr="001558A5">
        <w:rPr>
          <w:lang w:val="en-US"/>
        </w:rPr>
        <w:t xml:space="preserve"> </w:t>
      </w:r>
      <w:r w:rsidR="00B74256" w:rsidRPr="001558A5">
        <w:rPr>
          <w:lang w:val="en-US"/>
        </w:rPr>
        <w:t>of Article</w:t>
      </w:r>
      <w:r w:rsidRPr="001558A5">
        <w:rPr>
          <w:lang w:val="en-US"/>
        </w:rPr>
        <w:t xml:space="preserve"> 63</w:t>
      </w:r>
      <w:r w:rsidR="00640F05" w:rsidRPr="001558A5">
        <w:rPr>
          <w:lang w:val="en-US"/>
        </w:rPr>
        <w:t>(</w:t>
      </w:r>
      <w:r w:rsidRPr="001558A5">
        <w:rPr>
          <w:lang w:val="en-US"/>
        </w:rPr>
        <w:t>1</w:t>
      </w:r>
      <w:r w:rsidR="00640F05" w:rsidRPr="001558A5">
        <w:rPr>
          <w:lang w:val="en-US"/>
        </w:rPr>
        <w:t>)</w:t>
      </w:r>
      <w:r w:rsidR="00DD4354" w:rsidRPr="001558A5">
        <w:rPr>
          <w:lang w:val="en-US"/>
        </w:rPr>
        <w:t xml:space="preserve"> of the </w:t>
      </w:r>
      <w:r w:rsidR="00871E19" w:rsidRPr="001558A5">
        <w:rPr>
          <w:lang w:val="en-US"/>
        </w:rPr>
        <w:t>American Convention</w:t>
      </w:r>
      <w:r w:rsidRPr="001558A5">
        <w:rPr>
          <w:lang w:val="en-US"/>
        </w:rPr>
        <w:t>.</w:t>
      </w:r>
    </w:p>
  </w:footnote>
  <w:footnote w:id="165">
    <w:p w14:paraId="13112ED1" w14:textId="09054542" w:rsidR="005977F6" w:rsidRPr="001558A5" w:rsidRDefault="005977F6" w:rsidP="000B2BB5">
      <w:pPr>
        <w:pStyle w:val="Textonotapie"/>
        <w:tabs>
          <w:tab w:val="left" w:pos="360"/>
        </w:tabs>
        <w:rPr>
          <w:lang w:val="en-US"/>
        </w:rPr>
      </w:pPr>
      <w:r w:rsidRPr="001558A5">
        <w:rPr>
          <w:rStyle w:val="Refdenotaalpie"/>
          <w:rFonts w:cstheme="minorBidi"/>
          <w:lang w:val="en-US"/>
        </w:rPr>
        <w:footnoteRef/>
      </w:r>
      <w:r w:rsidRPr="001558A5">
        <w:rPr>
          <w:lang w:val="es-CR"/>
        </w:rPr>
        <w:t xml:space="preserve"> </w:t>
      </w:r>
      <w:r w:rsidRPr="001558A5">
        <w:rPr>
          <w:lang w:val="es-CR"/>
        </w:rPr>
        <w:tab/>
      </w:r>
      <w:r w:rsidR="00871E19" w:rsidRPr="001558A5">
        <w:rPr>
          <w:i/>
          <w:iCs/>
          <w:lang w:val="es-CR"/>
        </w:rPr>
        <w:t>Cf.</w:t>
      </w:r>
      <w:r w:rsidRPr="001558A5">
        <w:rPr>
          <w:i/>
          <w:iCs/>
          <w:lang w:val="es-CR"/>
        </w:rPr>
        <w:t xml:space="preserve"> </w:t>
      </w:r>
      <w:r w:rsidR="00871E19" w:rsidRPr="001558A5">
        <w:rPr>
          <w:i/>
          <w:iCs/>
          <w:lang w:val="es-CR"/>
        </w:rPr>
        <w:t>Case of</w:t>
      </w:r>
      <w:r w:rsidRPr="001558A5">
        <w:rPr>
          <w:i/>
          <w:iCs/>
          <w:lang w:val="es-CR"/>
        </w:rPr>
        <w:t xml:space="preserve"> Velásquez Rodríguez </w:t>
      </w:r>
      <w:r w:rsidR="00871E19" w:rsidRPr="001558A5">
        <w:rPr>
          <w:i/>
          <w:iCs/>
          <w:lang w:val="es-CR"/>
        </w:rPr>
        <w:t>v.</w:t>
      </w:r>
      <w:r w:rsidRPr="001558A5">
        <w:rPr>
          <w:i/>
          <w:iCs/>
          <w:lang w:val="es-CR"/>
        </w:rPr>
        <w:t xml:space="preserve"> Honduras. </w:t>
      </w:r>
      <w:r w:rsidR="00B43A52" w:rsidRPr="001558A5">
        <w:rPr>
          <w:i/>
          <w:iCs/>
          <w:lang w:val="en-US"/>
        </w:rPr>
        <w:t>Reparations and costs</w:t>
      </w:r>
      <w:r w:rsidRPr="001558A5">
        <w:rPr>
          <w:lang w:val="en-US"/>
        </w:rPr>
        <w:t xml:space="preserve">. </w:t>
      </w:r>
      <w:r w:rsidR="00871E19" w:rsidRPr="001558A5">
        <w:rPr>
          <w:lang w:val="en-US"/>
        </w:rPr>
        <w:t>Judgment of</w:t>
      </w:r>
      <w:r w:rsidRPr="001558A5">
        <w:rPr>
          <w:lang w:val="en-US"/>
        </w:rPr>
        <w:t xml:space="preserve"> </w:t>
      </w:r>
      <w:r w:rsidR="00640F05" w:rsidRPr="001558A5">
        <w:rPr>
          <w:lang w:val="en-US"/>
        </w:rPr>
        <w:t>July 21,</w:t>
      </w:r>
      <w:r w:rsidRPr="001558A5">
        <w:rPr>
          <w:lang w:val="en-US"/>
        </w:rPr>
        <w:t xml:space="preserve"> 1989. </w:t>
      </w:r>
      <w:r w:rsidR="00B43A52" w:rsidRPr="001558A5">
        <w:rPr>
          <w:lang w:val="en-US"/>
        </w:rPr>
        <w:t xml:space="preserve">Series </w:t>
      </w:r>
      <w:r w:rsidRPr="001558A5">
        <w:rPr>
          <w:lang w:val="en-US"/>
        </w:rPr>
        <w:t xml:space="preserve">C No. 7, </w:t>
      </w:r>
      <w:r w:rsidR="00675A99" w:rsidRPr="001558A5">
        <w:rPr>
          <w:lang w:val="en-US"/>
        </w:rPr>
        <w:t>paras.</w:t>
      </w:r>
      <w:r w:rsidRPr="001558A5">
        <w:rPr>
          <w:lang w:val="en-US"/>
        </w:rPr>
        <w:t xml:space="preserve"> 24</w:t>
      </w:r>
      <w:r w:rsidR="00DD4354" w:rsidRPr="001558A5">
        <w:rPr>
          <w:lang w:val="en-US"/>
        </w:rPr>
        <w:t xml:space="preserve"> and </w:t>
      </w:r>
      <w:r w:rsidRPr="001558A5">
        <w:rPr>
          <w:lang w:val="en-US"/>
        </w:rPr>
        <w:t>25,</w:t>
      </w:r>
      <w:r w:rsidR="00DD4354" w:rsidRPr="001558A5">
        <w:rPr>
          <w:lang w:val="en-US"/>
        </w:rPr>
        <w:t xml:space="preserve"> and </w:t>
      </w:r>
      <w:r w:rsidR="00871E19" w:rsidRPr="001558A5">
        <w:rPr>
          <w:i/>
          <w:iCs/>
          <w:lang w:val="en-US"/>
        </w:rPr>
        <w:t>Case of</w:t>
      </w:r>
      <w:r w:rsidRPr="001558A5">
        <w:rPr>
          <w:i/>
          <w:iCs/>
          <w:lang w:val="en-US"/>
        </w:rPr>
        <w:t xml:space="preserve"> Casa Nina </w:t>
      </w:r>
      <w:r w:rsidR="00871E19" w:rsidRPr="001558A5">
        <w:rPr>
          <w:i/>
          <w:iCs/>
          <w:lang w:val="en-US"/>
        </w:rPr>
        <w:t>v.</w:t>
      </w:r>
      <w:r w:rsidRPr="001558A5">
        <w:rPr>
          <w:i/>
          <w:iCs/>
          <w:lang w:val="en-US"/>
        </w:rPr>
        <w:t xml:space="preserve"> </w:t>
      </w:r>
      <w:r w:rsidR="00D11908" w:rsidRPr="001558A5">
        <w:rPr>
          <w:i/>
          <w:iCs/>
          <w:lang w:val="en-US"/>
        </w:rPr>
        <w:t>Peru</w:t>
      </w:r>
      <w:r w:rsidRPr="001558A5">
        <w:rPr>
          <w:i/>
          <w:iCs/>
          <w:lang w:val="en-US"/>
        </w:rPr>
        <w:t xml:space="preserve">. </w:t>
      </w:r>
      <w:r w:rsidR="00B43A52" w:rsidRPr="001558A5">
        <w:rPr>
          <w:i/>
          <w:iCs/>
          <w:lang w:val="en-US"/>
        </w:rPr>
        <w:t>Preliminary objections, merits, reparations and costs</w:t>
      </w:r>
      <w:r w:rsidRPr="001558A5">
        <w:rPr>
          <w:i/>
          <w:iCs/>
          <w:lang w:val="en-US"/>
        </w:rPr>
        <w:t xml:space="preserve">. </w:t>
      </w:r>
      <w:r w:rsidR="00871E19" w:rsidRPr="001558A5">
        <w:rPr>
          <w:lang w:val="en-US"/>
        </w:rPr>
        <w:t>Judgment of</w:t>
      </w:r>
      <w:r w:rsidRPr="001558A5">
        <w:rPr>
          <w:lang w:val="en-US"/>
        </w:rPr>
        <w:t xml:space="preserve"> </w:t>
      </w:r>
      <w:r w:rsidR="00640F05" w:rsidRPr="001558A5">
        <w:rPr>
          <w:lang w:val="en-US"/>
        </w:rPr>
        <w:t>November 24,</w:t>
      </w:r>
      <w:r w:rsidRPr="001558A5">
        <w:rPr>
          <w:lang w:val="en-US"/>
        </w:rPr>
        <w:t xml:space="preserve"> 2020. </w:t>
      </w:r>
      <w:r w:rsidR="00B43A52" w:rsidRPr="001558A5">
        <w:rPr>
          <w:lang w:val="en-US"/>
        </w:rPr>
        <w:t xml:space="preserve">Series </w:t>
      </w:r>
      <w:r w:rsidRPr="001558A5">
        <w:rPr>
          <w:lang w:val="en-US"/>
        </w:rPr>
        <w:t>C No. 419</w:t>
      </w:r>
      <w:r w:rsidRPr="001558A5">
        <w:rPr>
          <w:i/>
          <w:iCs/>
          <w:lang w:val="en-US"/>
        </w:rPr>
        <w:t xml:space="preserve">, </w:t>
      </w:r>
      <w:r w:rsidR="00B43A52" w:rsidRPr="001558A5">
        <w:rPr>
          <w:lang w:val="en-US"/>
        </w:rPr>
        <w:t>para.</w:t>
      </w:r>
      <w:r w:rsidRPr="001558A5">
        <w:rPr>
          <w:lang w:val="en-US"/>
        </w:rPr>
        <w:t xml:space="preserve"> 126.</w:t>
      </w:r>
    </w:p>
  </w:footnote>
  <w:footnote w:id="166">
    <w:p w14:paraId="64954CD7" w14:textId="7B718557"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t xml:space="preserve"> </w:t>
      </w:r>
      <w:r w:rsidR="00871E19" w:rsidRPr="001558A5">
        <w:rPr>
          <w:i/>
          <w:iCs/>
          <w:lang w:val="en-US"/>
        </w:rPr>
        <w:t>Cf.</w:t>
      </w:r>
      <w:r w:rsidRPr="001558A5">
        <w:rPr>
          <w:i/>
          <w:iCs/>
          <w:lang w:val="en-US"/>
        </w:rPr>
        <w:t xml:space="preserve"> </w:t>
      </w:r>
      <w:r w:rsidR="00871E19" w:rsidRPr="001558A5">
        <w:rPr>
          <w:i/>
          <w:iCs/>
          <w:lang w:val="en-US"/>
        </w:rPr>
        <w:t>Case of</w:t>
      </w:r>
      <w:r w:rsidRPr="001558A5">
        <w:rPr>
          <w:i/>
          <w:iCs/>
          <w:lang w:val="en-US"/>
        </w:rPr>
        <w:t xml:space="preserve"> </w:t>
      </w:r>
      <w:proofErr w:type="spellStart"/>
      <w:r w:rsidRPr="001558A5">
        <w:rPr>
          <w:i/>
          <w:iCs/>
          <w:lang w:val="en-US"/>
        </w:rPr>
        <w:t>Velásquez</w:t>
      </w:r>
      <w:proofErr w:type="spellEnd"/>
      <w:r w:rsidRPr="001558A5">
        <w:rPr>
          <w:i/>
          <w:iCs/>
          <w:lang w:val="en-US"/>
        </w:rPr>
        <w:t xml:space="preserve"> Rodríguez </w:t>
      </w:r>
      <w:r w:rsidR="00871E19" w:rsidRPr="001558A5">
        <w:rPr>
          <w:i/>
          <w:iCs/>
          <w:lang w:val="en-US"/>
        </w:rPr>
        <w:t>v.</w:t>
      </w:r>
      <w:r w:rsidRPr="001558A5">
        <w:rPr>
          <w:i/>
          <w:iCs/>
          <w:lang w:val="en-US"/>
        </w:rPr>
        <w:t xml:space="preserve"> Honduras. </w:t>
      </w:r>
      <w:r w:rsidR="00B43A52" w:rsidRPr="001558A5">
        <w:rPr>
          <w:i/>
          <w:iCs/>
          <w:lang w:val="en-US"/>
        </w:rPr>
        <w:t>Reparations and costs</w:t>
      </w:r>
      <w:r w:rsidRPr="001558A5">
        <w:rPr>
          <w:lang w:val="en-US"/>
        </w:rPr>
        <w:t xml:space="preserve">, </w:t>
      </w:r>
      <w:r w:rsidRPr="001558A5">
        <w:rPr>
          <w:i/>
          <w:iCs/>
          <w:lang w:val="en-US"/>
        </w:rPr>
        <w:t>supra</w:t>
      </w:r>
      <w:r w:rsidRPr="001558A5">
        <w:rPr>
          <w:lang w:val="en-US"/>
        </w:rPr>
        <w:t xml:space="preserve">, </w:t>
      </w:r>
      <w:r w:rsidR="00B43A52" w:rsidRPr="001558A5">
        <w:rPr>
          <w:lang w:val="en-US"/>
        </w:rPr>
        <w:t>para.</w:t>
      </w:r>
      <w:r w:rsidRPr="001558A5">
        <w:rPr>
          <w:lang w:val="en-US"/>
        </w:rPr>
        <w:t xml:space="preserve"> 24,</w:t>
      </w:r>
      <w:r w:rsidR="00DD4354" w:rsidRPr="001558A5">
        <w:rPr>
          <w:lang w:val="en-US"/>
        </w:rPr>
        <w:t xml:space="preserve"> and </w:t>
      </w:r>
      <w:r w:rsidR="00871E19" w:rsidRPr="001558A5">
        <w:rPr>
          <w:i/>
          <w:iCs/>
          <w:lang w:val="en-US"/>
        </w:rPr>
        <w:t>Case of</w:t>
      </w:r>
      <w:r w:rsidRPr="001558A5">
        <w:rPr>
          <w:i/>
          <w:iCs/>
          <w:lang w:val="en-US"/>
        </w:rPr>
        <w:t xml:space="preserve"> </w:t>
      </w:r>
      <w:proofErr w:type="spellStart"/>
      <w:r w:rsidRPr="001558A5">
        <w:rPr>
          <w:i/>
          <w:iCs/>
          <w:lang w:val="en-US"/>
        </w:rPr>
        <w:t>Mota</w:t>
      </w:r>
      <w:proofErr w:type="spellEnd"/>
      <w:r w:rsidRPr="001558A5">
        <w:rPr>
          <w:i/>
          <w:iCs/>
          <w:lang w:val="en-US"/>
        </w:rPr>
        <w:t xml:space="preserve"> </w:t>
      </w:r>
      <w:proofErr w:type="spellStart"/>
      <w:r w:rsidRPr="001558A5">
        <w:rPr>
          <w:i/>
          <w:iCs/>
          <w:lang w:val="en-US"/>
        </w:rPr>
        <w:t>Abarullo</w:t>
      </w:r>
      <w:proofErr w:type="spellEnd"/>
      <w:r w:rsidR="00DD4354" w:rsidRPr="001558A5">
        <w:rPr>
          <w:i/>
          <w:iCs/>
          <w:lang w:val="en-US"/>
        </w:rPr>
        <w:t xml:space="preserve"> </w:t>
      </w:r>
      <w:r w:rsidR="004F4F9C" w:rsidRPr="001558A5">
        <w:rPr>
          <w:i/>
          <w:iCs/>
          <w:lang w:val="en-US"/>
        </w:rPr>
        <w:t>et al. v.</w:t>
      </w:r>
      <w:r w:rsidRPr="001558A5">
        <w:rPr>
          <w:i/>
          <w:iCs/>
          <w:lang w:val="en-US"/>
        </w:rPr>
        <w:t xml:space="preserve"> Venezuela. </w:t>
      </w:r>
      <w:r w:rsidR="00B43A52" w:rsidRPr="001558A5">
        <w:rPr>
          <w:i/>
          <w:iCs/>
          <w:lang w:val="en-US"/>
        </w:rPr>
        <w:t>Merits, reparations and costs</w:t>
      </w:r>
      <w:r w:rsidRPr="001558A5">
        <w:rPr>
          <w:i/>
          <w:iCs/>
          <w:lang w:val="en-US"/>
        </w:rPr>
        <w:t xml:space="preserve">. </w:t>
      </w:r>
      <w:r w:rsidR="00871E19" w:rsidRPr="001558A5">
        <w:rPr>
          <w:i/>
          <w:iCs/>
          <w:lang w:val="en-US"/>
        </w:rPr>
        <w:t>Judgment of</w:t>
      </w:r>
      <w:r w:rsidRPr="001558A5">
        <w:rPr>
          <w:lang w:val="en-US"/>
        </w:rPr>
        <w:t xml:space="preserve"> </w:t>
      </w:r>
      <w:r w:rsidR="007111B6" w:rsidRPr="001558A5">
        <w:rPr>
          <w:lang w:val="en-US"/>
        </w:rPr>
        <w:t>November 18,</w:t>
      </w:r>
      <w:r w:rsidRPr="001558A5">
        <w:rPr>
          <w:lang w:val="en-US"/>
        </w:rPr>
        <w:t xml:space="preserve"> 2020. </w:t>
      </w:r>
      <w:r w:rsidR="00B43A52" w:rsidRPr="001558A5">
        <w:rPr>
          <w:lang w:val="en-US"/>
        </w:rPr>
        <w:t xml:space="preserve">Series </w:t>
      </w:r>
      <w:r w:rsidRPr="001558A5">
        <w:rPr>
          <w:lang w:val="en-US"/>
        </w:rPr>
        <w:t>C No. 417</w:t>
      </w:r>
      <w:r w:rsidRPr="001558A5">
        <w:rPr>
          <w:i/>
          <w:iCs/>
          <w:lang w:val="en-US"/>
        </w:rPr>
        <w:t xml:space="preserve">, </w:t>
      </w:r>
      <w:r w:rsidR="00B43A52" w:rsidRPr="001558A5">
        <w:rPr>
          <w:iCs/>
          <w:lang w:val="en-US"/>
        </w:rPr>
        <w:t>para.</w:t>
      </w:r>
      <w:r w:rsidRPr="001558A5">
        <w:rPr>
          <w:iCs/>
          <w:lang w:val="en-US"/>
        </w:rPr>
        <w:t xml:space="preserve"> 135.</w:t>
      </w:r>
    </w:p>
  </w:footnote>
  <w:footnote w:id="167">
    <w:p w14:paraId="4EB1AFAB" w14:textId="7B009A60"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lang w:val="en-US"/>
        </w:rPr>
        <w:t>Cf.</w:t>
      </w:r>
      <w:r w:rsidRPr="001558A5">
        <w:rPr>
          <w:i/>
          <w:lang w:val="en-US"/>
        </w:rPr>
        <w:t xml:space="preserve"> </w:t>
      </w:r>
      <w:r w:rsidR="00871E19" w:rsidRPr="001558A5">
        <w:rPr>
          <w:i/>
          <w:lang w:val="en-US"/>
        </w:rPr>
        <w:t>Case of</w:t>
      </w:r>
      <w:r w:rsidRPr="001558A5">
        <w:rPr>
          <w:i/>
          <w:lang w:val="en-US"/>
        </w:rPr>
        <w:t xml:space="preserve"> </w:t>
      </w:r>
      <w:r w:rsidR="007111B6" w:rsidRPr="001558A5">
        <w:rPr>
          <w:i/>
          <w:lang w:val="en-US"/>
        </w:rPr>
        <w:t>the</w:t>
      </w:r>
      <w:r w:rsidRPr="001558A5">
        <w:rPr>
          <w:i/>
          <w:lang w:val="en-US"/>
        </w:rPr>
        <w:t xml:space="preserve"> Dos </w:t>
      </w:r>
      <w:proofErr w:type="spellStart"/>
      <w:r w:rsidRPr="001558A5">
        <w:rPr>
          <w:i/>
          <w:lang w:val="en-US"/>
        </w:rPr>
        <w:t>Erres</w:t>
      </w:r>
      <w:proofErr w:type="spellEnd"/>
      <w:r w:rsidR="007111B6" w:rsidRPr="001558A5">
        <w:rPr>
          <w:i/>
          <w:lang w:val="en-US"/>
        </w:rPr>
        <w:t xml:space="preserve"> Massacre</w:t>
      </w:r>
      <w:r w:rsidRPr="001558A5">
        <w:rPr>
          <w:i/>
          <w:lang w:val="en-US"/>
        </w:rPr>
        <w:t xml:space="preserve"> </w:t>
      </w:r>
      <w:r w:rsidR="00871E19" w:rsidRPr="001558A5">
        <w:rPr>
          <w:i/>
          <w:lang w:val="en-US"/>
        </w:rPr>
        <w:t>v.</w:t>
      </w:r>
      <w:r w:rsidRPr="001558A5">
        <w:rPr>
          <w:i/>
          <w:lang w:val="en-US"/>
        </w:rPr>
        <w:t xml:space="preserve"> Guatemala. </w:t>
      </w:r>
      <w:r w:rsidR="00B43A52" w:rsidRPr="001558A5">
        <w:rPr>
          <w:i/>
          <w:lang w:val="en-US"/>
        </w:rPr>
        <w:t>Preliminary objection, merits, reparations and costs</w:t>
      </w:r>
      <w:r w:rsidRPr="001558A5">
        <w:rPr>
          <w:i/>
          <w:lang w:val="en-US"/>
        </w:rPr>
        <w:t xml:space="preserve">. </w:t>
      </w:r>
      <w:r w:rsidR="00871E19" w:rsidRPr="001558A5">
        <w:rPr>
          <w:lang w:val="en-US"/>
        </w:rPr>
        <w:t>Judgment of</w:t>
      </w:r>
      <w:r w:rsidRPr="001558A5">
        <w:rPr>
          <w:lang w:val="en-US"/>
        </w:rPr>
        <w:t xml:space="preserve"> </w:t>
      </w:r>
      <w:r w:rsidR="007111B6" w:rsidRPr="001558A5">
        <w:rPr>
          <w:lang w:val="en-US"/>
        </w:rPr>
        <w:t>November 24,</w:t>
      </w:r>
      <w:r w:rsidRPr="001558A5">
        <w:rPr>
          <w:lang w:val="en-US"/>
        </w:rPr>
        <w:t xml:space="preserve"> 2009. </w:t>
      </w:r>
      <w:r w:rsidR="00B43A52" w:rsidRPr="001558A5">
        <w:rPr>
          <w:lang w:val="en-US"/>
        </w:rPr>
        <w:t xml:space="preserve">Series </w:t>
      </w:r>
      <w:r w:rsidRPr="001558A5">
        <w:rPr>
          <w:lang w:val="en-US"/>
        </w:rPr>
        <w:t xml:space="preserve">C No. 211, </w:t>
      </w:r>
      <w:r w:rsidR="00B43A52" w:rsidRPr="001558A5">
        <w:rPr>
          <w:lang w:val="en-US"/>
        </w:rPr>
        <w:t>para.</w:t>
      </w:r>
      <w:r w:rsidRPr="001558A5">
        <w:rPr>
          <w:lang w:val="en-US"/>
        </w:rPr>
        <w:t xml:space="preserve"> 226,</w:t>
      </w:r>
      <w:r w:rsidR="00DD4354" w:rsidRPr="001558A5">
        <w:rPr>
          <w:lang w:val="en-US"/>
        </w:rPr>
        <w:t xml:space="preserve"> and </w:t>
      </w:r>
      <w:r w:rsidR="00871E19" w:rsidRPr="001558A5">
        <w:rPr>
          <w:i/>
          <w:iCs/>
          <w:lang w:val="en-US"/>
        </w:rPr>
        <w:t>Case of</w:t>
      </w:r>
      <w:r w:rsidRPr="001558A5">
        <w:rPr>
          <w:i/>
          <w:iCs/>
          <w:lang w:val="en-US"/>
        </w:rPr>
        <w:t xml:space="preserve"> </w:t>
      </w:r>
      <w:proofErr w:type="spellStart"/>
      <w:r w:rsidRPr="001558A5">
        <w:rPr>
          <w:i/>
          <w:iCs/>
          <w:lang w:val="en-US"/>
        </w:rPr>
        <w:t>Mota</w:t>
      </w:r>
      <w:proofErr w:type="spellEnd"/>
      <w:r w:rsidRPr="001558A5">
        <w:rPr>
          <w:i/>
          <w:iCs/>
          <w:lang w:val="en-US"/>
        </w:rPr>
        <w:t xml:space="preserve"> </w:t>
      </w:r>
      <w:proofErr w:type="spellStart"/>
      <w:r w:rsidRPr="001558A5">
        <w:rPr>
          <w:i/>
          <w:iCs/>
          <w:lang w:val="en-US"/>
        </w:rPr>
        <w:t>Abarullo</w:t>
      </w:r>
      <w:proofErr w:type="spellEnd"/>
      <w:r w:rsidR="00DD4354" w:rsidRPr="001558A5">
        <w:rPr>
          <w:i/>
          <w:iCs/>
          <w:lang w:val="en-US"/>
        </w:rPr>
        <w:t xml:space="preserve"> </w:t>
      </w:r>
      <w:r w:rsidR="004F4F9C" w:rsidRPr="001558A5">
        <w:rPr>
          <w:i/>
          <w:iCs/>
          <w:lang w:val="en-US"/>
        </w:rPr>
        <w:t>et al. v.</w:t>
      </w:r>
      <w:r w:rsidRPr="001558A5">
        <w:rPr>
          <w:i/>
          <w:iCs/>
          <w:lang w:val="en-US"/>
        </w:rPr>
        <w:t xml:space="preserve"> Venezuela, supra</w:t>
      </w:r>
      <w:r w:rsidRPr="001558A5">
        <w:rPr>
          <w:lang w:val="en-US"/>
        </w:rPr>
        <w:t xml:space="preserve">, </w:t>
      </w:r>
      <w:r w:rsidR="00B43A52" w:rsidRPr="001558A5">
        <w:rPr>
          <w:iCs/>
          <w:lang w:val="en-US"/>
        </w:rPr>
        <w:t>para.</w:t>
      </w:r>
      <w:r w:rsidRPr="001558A5">
        <w:rPr>
          <w:iCs/>
          <w:lang w:val="en-US"/>
        </w:rPr>
        <w:t xml:space="preserve"> 135.</w:t>
      </w:r>
    </w:p>
  </w:footnote>
  <w:footnote w:id="168">
    <w:p w14:paraId="153DC765" w14:textId="0A1FD19F" w:rsidR="005977F6" w:rsidRPr="001558A5" w:rsidRDefault="005977F6" w:rsidP="000B2BB5">
      <w:pPr>
        <w:pStyle w:val="Textonotapie"/>
        <w:tabs>
          <w:tab w:val="left" w:pos="360"/>
        </w:tabs>
        <w:rPr>
          <w:lang w:val="en-US"/>
        </w:rPr>
      </w:pPr>
      <w:r w:rsidRPr="001558A5">
        <w:rPr>
          <w:rStyle w:val="Refdenotaalpie"/>
          <w:rFonts w:cstheme="minorBidi"/>
          <w:lang w:val="en-US"/>
        </w:rPr>
        <w:footnoteRef/>
      </w:r>
      <w:r w:rsidRPr="001558A5">
        <w:rPr>
          <w:vertAlign w:val="superscript"/>
          <w:lang w:val="en-US"/>
        </w:rPr>
        <w:t xml:space="preserve"> </w:t>
      </w:r>
      <w:r w:rsidRPr="001558A5">
        <w:rPr>
          <w:lang w:val="en-US"/>
        </w:rPr>
        <w:tab/>
      </w:r>
      <w:r w:rsidR="00871E19" w:rsidRPr="001558A5">
        <w:rPr>
          <w:i/>
          <w:iCs/>
          <w:lang w:val="en-US"/>
        </w:rPr>
        <w:t>Cf.</w:t>
      </w:r>
      <w:r w:rsidRPr="001558A5">
        <w:rPr>
          <w:i/>
          <w:iCs/>
          <w:lang w:val="en-US"/>
        </w:rPr>
        <w:t xml:space="preserve"> </w:t>
      </w:r>
      <w:r w:rsidR="00871E19" w:rsidRPr="001558A5">
        <w:rPr>
          <w:i/>
          <w:iCs/>
          <w:lang w:val="en-US"/>
        </w:rPr>
        <w:t>Case of</w:t>
      </w:r>
      <w:r w:rsidRPr="001558A5">
        <w:rPr>
          <w:i/>
          <w:iCs/>
          <w:lang w:val="en-US"/>
        </w:rPr>
        <w:t xml:space="preserve"> </w:t>
      </w:r>
      <w:proofErr w:type="spellStart"/>
      <w:r w:rsidRPr="001558A5">
        <w:rPr>
          <w:i/>
          <w:iCs/>
          <w:lang w:val="en-US"/>
        </w:rPr>
        <w:t>Ticona</w:t>
      </w:r>
      <w:proofErr w:type="spellEnd"/>
      <w:r w:rsidRPr="001558A5">
        <w:rPr>
          <w:i/>
          <w:iCs/>
          <w:lang w:val="en-US"/>
        </w:rPr>
        <w:t xml:space="preserve"> Estrada</w:t>
      </w:r>
      <w:r w:rsidR="00DD4354" w:rsidRPr="001558A5">
        <w:rPr>
          <w:i/>
          <w:iCs/>
          <w:lang w:val="en-US"/>
        </w:rPr>
        <w:t xml:space="preserve"> </w:t>
      </w:r>
      <w:r w:rsidR="004F4F9C" w:rsidRPr="001558A5">
        <w:rPr>
          <w:i/>
          <w:iCs/>
          <w:lang w:val="en-US"/>
        </w:rPr>
        <w:t>et al. v.</w:t>
      </w:r>
      <w:r w:rsidRPr="001558A5">
        <w:rPr>
          <w:i/>
          <w:iCs/>
          <w:lang w:val="en-US"/>
        </w:rPr>
        <w:t xml:space="preserve"> Bolivia. </w:t>
      </w:r>
      <w:r w:rsidR="00B43A52" w:rsidRPr="001558A5">
        <w:rPr>
          <w:i/>
          <w:iCs/>
          <w:lang w:val="en-US"/>
        </w:rPr>
        <w:t>Merits, reparations and costs</w:t>
      </w:r>
      <w:r w:rsidRPr="001558A5">
        <w:rPr>
          <w:i/>
          <w:iCs/>
          <w:lang w:val="en-US"/>
        </w:rPr>
        <w:t>.</w:t>
      </w:r>
      <w:r w:rsidRPr="001558A5">
        <w:rPr>
          <w:lang w:val="en-US"/>
        </w:rPr>
        <w:t xml:space="preserve"> </w:t>
      </w:r>
      <w:r w:rsidR="00871E19" w:rsidRPr="001558A5">
        <w:rPr>
          <w:lang w:val="en-US"/>
        </w:rPr>
        <w:t>Judgment of</w:t>
      </w:r>
      <w:r w:rsidRPr="001558A5">
        <w:rPr>
          <w:lang w:val="en-US"/>
        </w:rPr>
        <w:t xml:space="preserve"> </w:t>
      </w:r>
      <w:r w:rsidR="007111B6" w:rsidRPr="001558A5">
        <w:rPr>
          <w:lang w:val="en-US"/>
        </w:rPr>
        <w:t>November 27,</w:t>
      </w:r>
      <w:r w:rsidRPr="001558A5">
        <w:rPr>
          <w:lang w:val="en-US"/>
        </w:rPr>
        <w:t xml:space="preserve"> 2008. </w:t>
      </w:r>
      <w:r w:rsidR="00B43A52" w:rsidRPr="001558A5">
        <w:rPr>
          <w:lang w:val="es-CR"/>
        </w:rPr>
        <w:t xml:space="preserve">Series </w:t>
      </w:r>
      <w:r w:rsidRPr="001558A5">
        <w:rPr>
          <w:lang w:val="es-CR"/>
        </w:rPr>
        <w:t xml:space="preserve">C No. 191, </w:t>
      </w:r>
      <w:r w:rsidR="00B43A52" w:rsidRPr="001558A5">
        <w:rPr>
          <w:lang w:val="es-CR"/>
        </w:rPr>
        <w:t>para.</w:t>
      </w:r>
      <w:r w:rsidRPr="001558A5">
        <w:rPr>
          <w:lang w:val="es-CR"/>
        </w:rPr>
        <w:t xml:space="preserve"> 110,</w:t>
      </w:r>
      <w:r w:rsidR="00DD4354" w:rsidRPr="001558A5">
        <w:rPr>
          <w:lang w:val="es-CR"/>
        </w:rPr>
        <w:t xml:space="preserve"> and </w:t>
      </w:r>
      <w:r w:rsidR="00871E19" w:rsidRPr="001558A5">
        <w:rPr>
          <w:i/>
          <w:iCs/>
          <w:lang w:val="es-CR"/>
        </w:rPr>
        <w:t>Case of</w:t>
      </w:r>
      <w:r w:rsidRPr="001558A5">
        <w:rPr>
          <w:i/>
          <w:iCs/>
          <w:lang w:val="es-CR"/>
        </w:rPr>
        <w:t xml:space="preserve"> Mota </w:t>
      </w:r>
      <w:proofErr w:type="spellStart"/>
      <w:r w:rsidRPr="001558A5">
        <w:rPr>
          <w:i/>
          <w:iCs/>
          <w:lang w:val="es-CR"/>
        </w:rPr>
        <w:t>Abarullo</w:t>
      </w:r>
      <w:proofErr w:type="spellEnd"/>
      <w:r w:rsidR="00DD4354" w:rsidRPr="001558A5">
        <w:rPr>
          <w:i/>
          <w:iCs/>
          <w:lang w:val="es-CR"/>
        </w:rPr>
        <w:t xml:space="preserve"> </w:t>
      </w:r>
      <w:r w:rsidR="004F4F9C" w:rsidRPr="001558A5">
        <w:rPr>
          <w:i/>
          <w:iCs/>
          <w:lang w:val="es-CR"/>
        </w:rPr>
        <w:t>et al. v.</w:t>
      </w:r>
      <w:r w:rsidRPr="001558A5">
        <w:rPr>
          <w:i/>
          <w:iCs/>
          <w:lang w:val="es-CR"/>
        </w:rPr>
        <w:t xml:space="preserve"> Venezuela, </w:t>
      </w:r>
      <w:r w:rsidRPr="001558A5">
        <w:rPr>
          <w:lang w:val="es-CR"/>
        </w:rPr>
        <w:t>supra</w:t>
      </w:r>
      <w:r w:rsidRPr="001558A5">
        <w:rPr>
          <w:i/>
          <w:iCs/>
          <w:lang w:val="es-CR"/>
        </w:rPr>
        <w:t xml:space="preserve">, </w:t>
      </w:r>
      <w:r w:rsidR="00B43A52" w:rsidRPr="001558A5">
        <w:rPr>
          <w:iCs/>
          <w:lang w:val="es-CR"/>
        </w:rPr>
        <w:t>para.</w:t>
      </w:r>
      <w:r w:rsidRPr="001558A5">
        <w:rPr>
          <w:iCs/>
          <w:lang w:val="es-CR"/>
        </w:rPr>
        <w:t xml:space="preserve"> </w:t>
      </w:r>
      <w:r w:rsidRPr="001558A5">
        <w:rPr>
          <w:iCs/>
          <w:lang w:val="en-US"/>
        </w:rPr>
        <w:t>135</w:t>
      </w:r>
      <w:r w:rsidRPr="001558A5">
        <w:rPr>
          <w:lang w:val="en-US"/>
        </w:rPr>
        <w:t>.</w:t>
      </w:r>
    </w:p>
  </w:footnote>
  <w:footnote w:id="169">
    <w:p w14:paraId="7E171B65" w14:textId="19E96407" w:rsidR="005977F6" w:rsidRPr="001558A5" w:rsidRDefault="005977F6" w:rsidP="000B2BB5">
      <w:pPr>
        <w:pStyle w:val="Textonotapie"/>
        <w:tabs>
          <w:tab w:val="left" w:pos="360"/>
        </w:tabs>
        <w:rPr>
          <w:lang w:val="es-CR"/>
        </w:rPr>
      </w:pPr>
      <w:r w:rsidRPr="001558A5">
        <w:rPr>
          <w:rStyle w:val="Refdenotaalpie"/>
          <w:rFonts w:cstheme="minorBidi"/>
          <w:lang w:val="en-US"/>
        </w:rPr>
        <w:footnoteRef/>
      </w:r>
      <w:r w:rsidRPr="001558A5">
        <w:rPr>
          <w:vertAlign w:val="superscript"/>
          <w:lang w:val="en-US"/>
        </w:rPr>
        <w:t xml:space="preserve"> </w:t>
      </w:r>
      <w:r w:rsidRPr="001558A5">
        <w:rPr>
          <w:lang w:val="en-US"/>
        </w:rPr>
        <w:tab/>
      </w:r>
      <w:r w:rsidR="00871E19" w:rsidRPr="001558A5">
        <w:rPr>
          <w:i/>
          <w:iCs/>
          <w:lang w:val="en-US"/>
        </w:rPr>
        <w:t>Cf.</w:t>
      </w:r>
      <w:r w:rsidRPr="001558A5">
        <w:rPr>
          <w:i/>
          <w:iCs/>
          <w:lang w:val="en-US"/>
        </w:rPr>
        <w:t xml:space="preserve"> </w:t>
      </w:r>
      <w:r w:rsidR="00871E19" w:rsidRPr="001558A5">
        <w:rPr>
          <w:i/>
          <w:iCs/>
          <w:lang w:val="en-US"/>
        </w:rPr>
        <w:t>Case of</w:t>
      </w:r>
      <w:r w:rsidRPr="001558A5">
        <w:rPr>
          <w:i/>
          <w:iCs/>
          <w:lang w:val="en-US"/>
        </w:rPr>
        <w:t xml:space="preserve"> </w:t>
      </w:r>
      <w:proofErr w:type="spellStart"/>
      <w:r w:rsidRPr="001558A5">
        <w:rPr>
          <w:i/>
          <w:iCs/>
          <w:lang w:val="en-US"/>
        </w:rPr>
        <w:t>Velásquez</w:t>
      </w:r>
      <w:proofErr w:type="spellEnd"/>
      <w:r w:rsidRPr="001558A5">
        <w:rPr>
          <w:i/>
          <w:iCs/>
          <w:lang w:val="en-US"/>
        </w:rPr>
        <w:t xml:space="preserve"> Rodríguez </w:t>
      </w:r>
      <w:r w:rsidR="00871E19" w:rsidRPr="001558A5">
        <w:rPr>
          <w:i/>
          <w:iCs/>
          <w:lang w:val="en-US"/>
        </w:rPr>
        <w:t>v.</w:t>
      </w:r>
      <w:r w:rsidRPr="001558A5">
        <w:rPr>
          <w:i/>
          <w:iCs/>
          <w:lang w:val="en-US"/>
        </w:rPr>
        <w:t xml:space="preserve"> Honduras. </w:t>
      </w:r>
      <w:r w:rsidR="00B43A52" w:rsidRPr="001558A5">
        <w:rPr>
          <w:i/>
          <w:iCs/>
          <w:lang w:val="en-US"/>
        </w:rPr>
        <w:t>Reparations and costs</w:t>
      </w:r>
      <w:r w:rsidRPr="001558A5">
        <w:rPr>
          <w:i/>
          <w:iCs/>
          <w:lang w:val="en-US"/>
        </w:rPr>
        <w:t xml:space="preserve">, supra, </w:t>
      </w:r>
      <w:r w:rsidR="00675A99" w:rsidRPr="001558A5">
        <w:rPr>
          <w:lang w:val="en-US"/>
        </w:rPr>
        <w:t>paras.</w:t>
      </w:r>
      <w:r w:rsidRPr="001558A5">
        <w:rPr>
          <w:lang w:val="en-US"/>
        </w:rPr>
        <w:t xml:space="preserve"> 25</w:t>
      </w:r>
      <w:r w:rsidR="00DD4354" w:rsidRPr="001558A5">
        <w:rPr>
          <w:lang w:val="en-US"/>
        </w:rPr>
        <w:t xml:space="preserve"> and </w:t>
      </w:r>
      <w:r w:rsidRPr="001558A5">
        <w:rPr>
          <w:lang w:val="en-US"/>
        </w:rPr>
        <w:t>26,</w:t>
      </w:r>
      <w:r w:rsidR="00DD4354" w:rsidRPr="001558A5">
        <w:rPr>
          <w:lang w:val="en-US"/>
        </w:rPr>
        <w:t xml:space="preserve"> and </w:t>
      </w:r>
      <w:r w:rsidR="00871E19" w:rsidRPr="001558A5">
        <w:rPr>
          <w:i/>
          <w:iCs/>
          <w:lang w:val="en-US"/>
        </w:rPr>
        <w:t>Case of</w:t>
      </w:r>
      <w:r w:rsidRPr="001558A5">
        <w:rPr>
          <w:i/>
          <w:iCs/>
          <w:lang w:val="en-US"/>
        </w:rPr>
        <w:t xml:space="preserve"> Almeida </w:t>
      </w:r>
      <w:r w:rsidR="00871E19" w:rsidRPr="001558A5">
        <w:rPr>
          <w:i/>
          <w:iCs/>
          <w:lang w:val="en-US"/>
        </w:rPr>
        <w:t>v.</w:t>
      </w:r>
      <w:r w:rsidRPr="001558A5">
        <w:rPr>
          <w:i/>
          <w:iCs/>
          <w:lang w:val="en-US"/>
        </w:rPr>
        <w:t xml:space="preserve"> Argentina. </w:t>
      </w:r>
      <w:r w:rsidR="00B43A52" w:rsidRPr="001558A5">
        <w:rPr>
          <w:i/>
          <w:iCs/>
          <w:lang w:val="en-US"/>
        </w:rPr>
        <w:t>Merits, reparations and costs</w:t>
      </w:r>
      <w:r w:rsidRPr="001558A5">
        <w:rPr>
          <w:lang w:val="en-US"/>
        </w:rPr>
        <w:t xml:space="preserve">. </w:t>
      </w:r>
      <w:r w:rsidR="00871E19" w:rsidRPr="001558A5">
        <w:rPr>
          <w:lang w:val="en-US"/>
        </w:rPr>
        <w:t>Judgment of</w:t>
      </w:r>
      <w:r w:rsidRPr="001558A5">
        <w:rPr>
          <w:lang w:val="en-US"/>
        </w:rPr>
        <w:t xml:space="preserve"> </w:t>
      </w:r>
      <w:r w:rsidR="007111B6" w:rsidRPr="001558A5">
        <w:rPr>
          <w:lang w:val="en-US"/>
        </w:rPr>
        <w:t>November 17,</w:t>
      </w:r>
      <w:r w:rsidRPr="001558A5">
        <w:rPr>
          <w:lang w:val="en-US"/>
        </w:rPr>
        <w:t xml:space="preserve"> 2020. </w:t>
      </w:r>
      <w:r w:rsidR="00B43A52" w:rsidRPr="001558A5">
        <w:rPr>
          <w:lang w:val="en-US"/>
        </w:rPr>
        <w:t xml:space="preserve">Series </w:t>
      </w:r>
      <w:r w:rsidRPr="001558A5">
        <w:rPr>
          <w:lang w:val="en-US"/>
        </w:rPr>
        <w:t>C No. 416</w:t>
      </w:r>
      <w:r w:rsidRPr="001558A5">
        <w:rPr>
          <w:i/>
          <w:iCs/>
          <w:lang w:val="en-US"/>
        </w:rPr>
        <w:t xml:space="preserve">, </w:t>
      </w:r>
      <w:r w:rsidR="00B43A52" w:rsidRPr="001558A5">
        <w:rPr>
          <w:lang w:val="en-US"/>
        </w:rPr>
        <w:t>para.</w:t>
      </w:r>
      <w:r w:rsidRPr="001558A5">
        <w:rPr>
          <w:lang w:val="en-US"/>
        </w:rPr>
        <w:t xml:space="preserve"> </w:t>
      </w:r>
      <w:r w:rsidRPr="001558A5">
        <w:rPr>
          <w:lang w:val="es-CR"/>
        </w:rPr>
        <w:t>57.</w:t>
      </w:r>
    </w:p>
  </w:footnote>
  <w:footnote w:id="170">
    <w:p w14:paraId="5327CCB2" w14:textId="3D09A28B"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s-CR"/>
        </w:rPr>
        <w:t xml:space="preserve"> </w:t>
      </w:r>
      <w:r w:rsidRPr="001558A5">
        <w:rPr>
          <w:lang w:val="es-CR"/>
        </w:rPr>
        <w:tab/>
      </w:r>
      <w:r w:rsidR="00871E19" w:rsidRPr="001558A5">
        <w:rPr>
          <w:i/>
          <w:iCs/>
          <w:lang w:val="es-CR"/>
        </w:rPr>
        <w:t>Cf.</w:t>
      </w:r>
      <w:r w:rsidRPr="001558A5">
        <w:rPr>
          <w:i/>
          <w:iCs/>
          <w:lang w:val="es-CR"/>
        </w:rPr>
        <w:t xml:space="preserve"> </w:t>
      </w:r>
      <w:r w:rsidR="00871E19" w:rsidRPr="001558A5">
        <w:rPr>
          <w:i/>
          <w:iCs/>
          <w:lang w:val="es-CR"/>
        </w:rPr>
        <w:t>Case of</w:t>
      </w:r>
      <w:r w:rsidRPr="001558A5">
        <w:rPr>
          <w:i/>
          <w:iCs/>
          <w:lang w:val="es-CR"/>
        </w:rPr>
        <w:t xml:space="preserve"> López Soto</w:t>
      </w:r>
      <w:r w:rsidR="00DD4354" w:rsidRPr="001558A5">
        <w:rPr>
          <w:i/>
          <w:iCs/>
          <w:lang w:val="es-CR"/>
        </w:rPr>
        <w:t xml:space="preserve"> </w:t>
      </w:r>
      <w:r w:rsidR="004F4F9C" w:rsidRPr="001558A5">
        <w:rPr>
          <w:i/>
          <w:iCs/>
          <w:lang w:val="es-CR"/>
        </w:rPr>
        <w:t>et al. v.</w:t>
      </w:r>
      <w:r w:rsidRPr="001558A5">
        <w:rPr>
          <w:i/>
          <w:iCs/>
          <w:lang w:val="es-CR"/>
        </w:rPr>
        <w:t xml:space="preserve"> Venezuela</w:t>
      </w:r>
      <w:r w:rsidRPr="001558A5">
        <w:rPr>
          <w:lang w:val="es-CR"/>
        </w:rPr>
        <w:t>,</w:t>
      </w:r>
      <w:r w:rsidRPr="001558A5">
        <w:rPr>
          <w:i/>
          <w:iCs/>
          <w:lang w:val="es-CR"/>
        </w:rPr>
        <w:t xml:space="preserve"> supra</w:t>
      </w:r>
      <w:r w:rsidRPr="001558A5">
        <w:rPr>
          <w:lang w:val="es-CR"/>
        </w:rPr>
        <w:t>,</w:t>
      </w:r>
      <w:r w:rsidRPr="001558A5">
        <w:rPr>
          <w:i/>
          <w:iCs/>
          <w:lang w:val="es-CR"/>
        </w:rPr>
        <w:t xml:space="preserve"> </w:t>
      </w:r>
      <w:r w:rsidR="00B43A52" w:rsidRPr="001558A5">
        <w:rPr>
          <w:lang w:val="es-CR"/>
        </w:rPr>
        <w:t>para.</w:t>
      </w:r>
      <w:r w:rsidRPr="001558A5">
        <w:rPr>
          <w:lang w:val="es-CR"/>
        </w:rPr>
        <w:t xml:space="preserve"> </w:t>
      </w:r>
      <w:r w:rsidRPr="001558A5">
        <w:rPr>
          <w:lang w:val="en-US"/>
        </w:rPr>
        <w:t>278,</w:t>
      </w:r>
      <w:r w:rsidR="00DD4354" w:rsidRPr="001558A5">
        <w:rPr>
          <w:lang w:val="en-US"/>
        </w:rPr>
        <w:t xml:space="preserve"> and </w:t>
      </w:r>
      <w:r w:rsidR="00871E19" w:rsidRPr="001558A5">
        <w:rPr>
          <w:i/>
          <w:iCs/>
          <w:lang w:val="en-US"/>
        </w:rPr>
        <w:t>Case of</w:t>
      </w:r>
      <w:r w:rsidRPr="001558A5">
        <w:rPr>
          <w:i/>
          <w:iCs/>
          <w:lang w:val="en-US"/>
        </w:rPr>
        <w:t xml:space="preserve"> </w:t>
      </w:r>
      <w:r w:rsidR="003E1222" w:rsidRPr="001558A5">
        <w:rPr>
          <w:i/>
          <w:iCs/>
          <w:lang w:val="en-US"/>
        </w:rPr>
        <w:t xml:space="preserve">Women Victims of Sexual Torture in </w:t>
      </w:r>
      <w:proofErr w:type="spellStart"/>
      <w:r w:rsidRPr="001558A5">
        <w:rPr>
          <w:i/>
          <w:iCs/>
          <w:lang w:val="en-US"/>
        </w:rPr>
        <w:t>Atenco</w:t>
      </w:r>
      <w:proofErr w:type="spellEnd"/>
      <w:r w:rsidRPr="001558A5">
        <w:rPr>
          <w:i/>
          <w:iCs/>
          <w:lang w:val="en-US"/>
        </w:rPr>
        <w:t xml:space="preserve"> </w:t>
      </w:r>
      <w:r w:rsidR="00871E19" w:rsidRPr="001558A5">
        <w:rPr>
          <w:i/>
          <w:iCs/>
          <w:lang w:val="en-US"/>
        </w:rPr>
        <w:t>v.</w:t>
      </w:r>
      <w:r w:rsidRPr="001558A5">
        <w:rPr>
          <w:i/>
          <w:iCs/>
          <w:lang w:val="en-US"/>
        </w:rPr>
        <w:t xml:space="preserve"> M</w:t>
      </w:r>
      <w:r w:rsidR="003E1222" w:rsidRPr="001558A5">
        <w:rPr>
          <w:i/>
          <w:iCs/>
          <w:lang w:val="en-US"/>
        </w:rPr>
        <w:t>e</w:t>
      </w:r>
      <w:r w:rsidRPr="001558A5">
        <w:rPr>
          <w:i/>
          <w:iCs/>
          <w:lang w:val="en-US"/>
        </w:rPr>
        <w:t xml:space="preserve">xico. </w:t>
      </w:r>
      <w:r w:rsidR="00B43A52" w:rsidRPr="001558A5">
        <w:rPr>
          <w:i/>
          <w:iCs/>
          <w:lang w:val="en-US"/>
        </w:rPr>
        <w:t>Preliminary objection, merits, reparations and costs</w:t>
      </w:r>
      <w:r w:rsidRPr="001558A5">
        <w:rPr>
          <w:lang w:val="en-US"/>
        </w:rPr>
        <w:t xml:space="preserve">. </w:t>
      </w:r>
      <w:r w:rsidR="00871E19" w:rsidRPr="001558A5">
        <w:rPr>
          <w:lang w:val="en-US"/>
        </w:rPr>
        <w:t>Judgment of</w:t>
      </w:r>
      <w:r w:rsidRPr="001558A5">
        <w:rPr>
          <w:lang w:val="en-US"/>
        </w:rPr>
        <w:t xml:space="preserve"> </w:t>
      </w:r>
      <w:r w:rsidR="003E1222" w:rsidRPr="001558A5">
        <w:rPr>
          <w:lang w:val="en-US"/>
        </w:rPr>
        <w:t>November 28,</w:t>
      </w:r>
      <w:r w:rsidRPr="001558A5">
        <w:rPr>
          <w:lang w:val="en-US"/>
        </w:rPr>
        <w:t xml:space="preserve"> 2018. </w:t>
      </w:r>
      <w:r w:rsidR="00B43A52" w:rsidRPr="001558A5">
        <w:rPr>
          <w:lang w:val="en-US"/>
        </w:rPr>
        <w:t xml:space="preserve">Series </w:t>
      </w:r>
      <w:r w:rsidRPr="001558A5">
        <w:rPr>
          <w:lang w:val="en-US"/>
        </w:rPr>
        <w:t>C No. 371</w:t>
      </w:r>
      <w:r w:rsidRPr="001558A5">
        <w:rPr>
          <w:i/>
          <w:iCs/>
          <w:lang w:val="en-US"/>
        </w:rPr>
        <w:t xml:space="preserve">, </w:t>
      </w:r>
      <w:r w:rsidR="00B43A52" w:rsidRPr="001558A5">
        <w:rPr>
          <w:lang w:val="en-US"/>
        </w:rPr>
        <w:t>para.</w:t>
      </w:r>
      <w:r w:rsidRPr="001558A5">
        <w:rPr>
          <w:lang w:val="en-US"/>
        </w:rPr>
        <w:t xml:space="preserve"> 338.</w:t>
      </w:r>
    </w:p>
  </w:footnote>
  <w:footnote w:id="171">
    <w:p w14:paraId="3D529A1B" w14:textId="5D765E3D"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lang w:val="en-US"/>
        </w:rPr>
        <w:t>Cf.</w:t>
      </w:r>
      <w:r w:rsidRPr="001558A5">
        <w:rPr>
          <w:i/>
          <w:lang w:val="en-US"/>
        </w:rPr>
        <w:t xml:space="preserve"> </w:t>
      </w:r>
      <w:r w:rsidR="00871E19" w:rsidRPr="001558A5">
        <w:rPr>
          <w:i/>
          <w:lang w:val="en-US"/>
        </w:rPr>
        <w:t>Case of</w:t>
      </w:r>
      <w:r w:rsidRPr="001558A5">
        <w:rPr>
          <w:i/>
          <w:lang w:val="en-US"/>
        </w:rPr>
        <w:t xml:space="preserve"> </w:t>
      </w:r>
      <w:proofErr w:type="spellStart"/>
      <w:r w:rsidRPr="001558A5">
        <w:rPr>
          <w:i/>
          <w:lang w:val="en-US"/>
        </w:rPr>
        <w:t>Tarazona</w:t>
      </w:r>
      <w:proofErr w:type="spellEnd"/>
      <w:r w:rsidRPr="001558A5">
        <w:rPr>
          <w:i/>
          <w:lang w:val="en-US"/>
        </w:rPr>
        <w:t xml:space="preserve"> </w:t>
      </w:r>
      <w:proofErr w:type="spellStart"/>
      <w:r w:rsidRPr="001558A5">
        <w:rPr>
          <w:i/>
          <w:lang w:val="en-US"/>
        </w:rPr>
        <w:t>Arrieta</w:t>
      </w:r>
      <w:proofErr w:type="spellEnd"/>
      <w:r w:rsidR="00DD4354" w:rsidRPr="001558A5">
        <w:rPr>
          <w:i/>
          <w:lang w:val="en-US"/>
        </w:rPr>
        <w:t xml:space="preserve"> </w:t>
      </w:r>
      <w:r w:rsidR="004F4F9C" w:rsidRPr="001558A5">
        <w:rPr>
          <w:i/>
          <w:lang w:val="en-US"/>
        </w:rPr>
        <w:t>et al. v.</w:t>
      </w:r>
      <w:r w:rsidRPr="001558A5">
        <w:rPr>
          <w:i/>
          <w:lang w:val="en-US"/>
        </w:rPr>
        <w:t xml:space="preserve"> </w:t>
      </w:r>
      <w:r w:rsidR="007B4D4B" w:rsidRPr="001558A5">
        <w:rPr>
          <w:i/>
          <w:lang w:val="en-US"/>
        </w:rPr>
        <w:t>Peru</w:t>
      </w:r>
      <w:r w:rsidRPr="001558A5">
        <w:rPr>
          <w:lang w:val="en-US"/>
        </w:rPr>
        <w:t xml:space="preserve">. </w:t>
      </w:r>
      <w:r w:rsidR="00B43A52" w:rsidRPr="001558A5">
        <w:rPr>
          <w:i/>
          <w:lang w:val="en-US"/>
        </w:rPr>
        <w:t>Preliminary objection, merits, reparations and costs</w:t>
      </w:r>
      <w:r w:rsidRPr="001558A5">
        <w:rPr>
          <w:i/>
          <w:lang w:val="en-US"/>
        </w:rPr>
        <w:t xml:space="preserve">. </w:t>
      </w:r>
      <w:r w:rsidR="00871E19" w:rsidRPr="001558A5">
        <w:rPr>
          <w:lang w:val="en-US"/>
        </w:rPr>
        <w:t>Judgment of</w:t>
      </w:r>
      <w:r w:rsidRPr="001558A5">
        <w:rPr>
          <w:lang w:val="en-US"/>
        </w:rPr>
        <w:t xml:space="preserve"> </w:t>
      </w:r>
      <w:r w:rsidR="003E1222" w:rsidRPr="001558A5">
        <w:rPr>
          <w:lang w:val="en-US"/>
        </w:rPr>
        <w:t>October 15,</w:t>
      </w:r>
      <w:r w:rsidRPr="001558A5">
        <w:rPr>
          <w:lang w:val="en-US"/>
        </w:rPr>
        <w:t xml:space="preserve"> 2014. </w:t>
      </w:r>
      <w:r w:rsidR="00B43A52" w:rsidRPr="001558A5">
        <w:rPr>
          <w:lang w:val="en-US"/>
        </w:rPr>
        <w:t xml:space="preserve">Series </w:t>
      </w:r>
      <w:r w:rsidRPr="001558A5">
        <w:rPr>
          <w:lang w:val="en-US"/>
        </w:rPr>
        <w:t>C No. 286, pa</w:t>
      </w:r>
      <w:r w:rsidR="003E1222" w:rsidRPr="001558A5">
        <w:rPr>
          <w:lang w:val="en-US"/>
        </w:rPr>
        <w:t>ra</w:t>
      </w:r>
      <w:r w:rsidRPr="001558A5">
        <w:rPr>
          <w:lang w:val="en-US"/>
        </w:rPr>
        <w:t>. 137,</w:t>
      </w:r>
      <w:r w:rsidR="00DD4354" w:rsidRPr="001558A5">
        <w:rPr>
          <w:lang w:val="en-US"/>
        </w:rPr>
        <w:t xml:space="preserve"> and </w:t>
      </w:r>
      <w:r w:rsidR="00871E19" w:rsidRPr="001558A5">
        <w:rPr>
          <w:i/>
          <w:lang w:val="en-US"/>
        </w:rPr>
        <w:t>Case of</w:t>
      </w:r>
      <w:r w:rsidRPr="001558A5">
        <w:rPr>
          <w:lang w:val="en-US"/>
        </w:rPr>
        <w:t xml:space="preserve"> </w:t>
      </w:r>
      <w:proofErr w:type="spellStart"/>
      <w:r w:rsidRPr="001558A5">
        <w:rPr>
          <w:i/>
          <w:lang w:val="en-US"/>
        </w:rPr>
        <w:t>Martínez</w:t>
      </w:r>
      <w:proofErr w:type="spellEnd"/>
      <w:r w:rsidRPr="001558A5">
        <w:rPr>
          <w:i/>
          <w:lang w:val="en-US"/>
        </w:rPr>
        <w:t xml:space="preserve"> </w:t>
      </w:r>
      <w:proofErr w:type="spellStart"/>
      <w:r w:rsidRPr="001558A5">
        <w:rPr>
          <w:i/>
          <w:lang w:val="en-US"/>
        </w:rPr>
        <w:t>Esquivia</w:t>
      </w:r>
      <w:proofErr w:type="spellEnd"/>
      <w:r w:rsidRPr="001558A5">
        <w:rPr>
          <w:i/>
          <w:lang w:val="en-US"/>
        </w:rPr>
        <w:t xml:space="preserve"> </w:t>
      </w:r>
      <w:r w:rsidR="00871E19" w:rsidRPr="001558A5">
        <w:rPr>
          <w:i/>
          <w:lang w:val="en-US"/>
        </w:rPr>
        <w:t>v.</w:t>
      </w:r>
      <w:r w:rsidRPr="001558A5">
        <w:rPr>
          <w:i/>
          <w:lang w:val="en-US"/>
        </w:rPr>
        <w:t xml:space="preserve"> Colombia. </w:t>
      </w:r>
      <w:r w:rsidR="007B4D4B" w:rsidRPr="001558A5">
        <w:rPr>
          <w:i/>
          <w:lang w:val="en-US"/>
        </w:rPr>
        <w:t>Preliminary objections,</w:t>
      </w:r>
      <w:r w:rsidRPr="001558A5">
        <w:rPr>
          <w:i/>
          <w:lang w:val="en-US"/>
        </w:rPr>
        <w:t xml:space="preserve"> </w:t>
      </w:r>
      <w:r w:rsidR="007B4D4B" w:rsidRPr="001558A5">
        <w:rPr>
          <w:i/>
          <w:lang w:val="en-US"/>
        </w:rPr>
        <w:t>m</w:t>
      </w:r>
      <w:r w:rsidR="00B43A52" w:rsidRPr="001558A5">
        <w:rPr>
          <w:i/>
          <w:lang w:val="en-US"/>
        </w:rPr>
        <w:t>erits and reparations</w:t>
      </w:r>
      <w:r w:rsidRPr="001558A5">
        <w:rPr>
          <w:i/>
          <w:lang w:val="en-US"/>
        </w:rPr>
        <w:t xml:space="preserve">. </w:t>
      </w:r>
      <w:r w:rsidR="00871E19" w:rsidRPr="001558A5">
        <w:rPr>
          <w:lang w:val="en-US"/>
        </w:rPr>
        <w:t>Judgment of</w:t>
      </w:r>
      <w:r w:rsidRPr="001558A5">
        <w:rPr>
          <w:lang w:val="en-US"/>
        </w:rPr>
        <w:t xml:space="preserve"> </w:t>
      </w:r>
      <w:r w:rsidR="007B4D4B" w:rsidRPr="001558A5">
        <w:rPr>
          <w:lang w:val="en-US"/>
        </w:rPr>
        <w:t xml:space="preserve">October 6, </w:t>
      </w:r>
      <w:r w:rsidRPr="001558A5">
        <w:rPr>
          <w:lang w:val="en-US"/>
        </w:rPr>
        <w:t xml:space="preserve">2020. </w:t>
      </w:r>
      <w:r w:rsidR="00B43A52" w:rsidRPr="001558A5">
        <w:rPr>
          <w:lang w:val="en-US"/>
        </w:rPr>
        <w:t xml:space="preserve">Series </w:t>
      </w:r>
      <w:r w:rsidRPr="001558A5">
        <w:rPr>
          <w:lang w:val="en-US"/>
        </w:rPr>
        <w:t xml:space="preserve">C No. 412, </w:t>
      </w:r>
      <w:r w:rsidR="00B43A52" w:rsidRPr="001558A5">
        <w:rPr>
          <w:lang w:val="en-US"/>
        </w:rPr>
        <w:t>para.</w:t>
      </w:r>
      <w:r w:rsidRPr="001558A5">
        <w:rPr>
          <w:lang w:val="en-US"/>
        </w:rPr>
        <w:t xml:space="preserve"> 167. </w:t>
      </w:r>
    </w:p>
  </w:footnote>
  <w:footnote w:id="172">
    <w:p w14:paraId="24EEC4C5" w14:textId="2E4049F7"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lang w:val="en-US"/>
        </w:rPr>
        <w:t>Cf.</w:t>
      </w:r>
      <w:r w:rsidRPr="001558A5">
        <w:rPr>
          <w:i/>
          <w:lang w:val="en-US"/>
        </w:rPr>
        <w:t xml:space="preserve"> </w:t>
      </w:r>
      <w:r w:rsidR="00871E19" w:rsidRPr="001558A5">
        <w:rPr>
          <w:i/>
          <w:lang w:val="en-US"/>
        </w:rPr>
        <w:t>Case of</w:t>
      </w:r>
      <w:r w:rsidRPr="001558A5">
        <w:rPr>
          <w:i/>
          <w:lang w:val="en-US"/>
        </w:rPr>
        <w:t xml:space="preserve"> Acevedo Jaramillo</w:t>
      </w:r>
      <w:r w:rsidR="00DD4354" w:rsidRPr="001558A5">
        <w:rPr>
          <w:i/>
          <w:lang w:val="en-US"/>
        </w:rPr>
        <w:t xml:space="preserve"> </w:t>
      </w:r>
      <w:r w:rsidR="004F4F9C" w:rsidRPr="001558A5">
        <w:rPr>
          <w:i/>
          <w:lang w:val="en-US"/>
        </w:rPr>
        <w:t>et al. v.</w:t>
      </w:r>
      <w:r w:rsidRPr="001558A5">
        <w:rPr>
          <w:i/>
          <w:lang w:val="en-US"/>
        </w:rPr>
        <w:t xml:space="preserve"> </w:t>
      </w:r>
      <w:r w:rsidR="007B4D4B" w:rsidRPr="001558A5">
        <w:rPr>
          <w:i/>
          <w:lang w:val="en-US"/>
        </w:rPr>
        <w:t>Peru</w:t>
      </w:r>
      <w:r w:rsidRPr="001558A5">
        <w:rPr>
          <w:i/>
          <w:lang w:val="en-US"/>
        </w:rPr>
        <w:t>. Interpret</w:t>
      </w:r>
      <w:r w:rsidR="007B4D4B" w:rsidRPr="001558A5">
        <w:rPr>
          <w:i/>
          <w:lang w:val="en-US"/>
        </w:rPr>
        <w:t>ation of the judgment on p</w:t>
      </w:r>
      <w:r w:rsidR="00B43A52" w:rsidRPr="001558A5">
        <w:rPr>
          <w:i/>
          <w:lang w:val="en-US"/>
        </w:rPr>
        <w:t>reliminary objections, merits, reparations and costs</w:t>
      </w:r>
      <w:r w:rsidRPr="001558A5">
        <w:rPr>
          <w:i/>
          <w:lang w:val="en-US"/>
        </w:rPr>
        <w:t xml:space="preserve">. </w:t>
      </w:r>
      <w:r w:rsidR="00871E19" w:rsidRPr="001558A5">
        <w:rPr>
          <w:lang w:val="en-US"/>
        </w:rPr>
        <w:t>Judgment of</w:t>
      </w:r>
      <w:r w:rsidRPr="001558A5">
        <w:rPr>
          <w:lang w:val="en-US"/>
        </w:rPr>
        <w:t xml:space="preserve"> </w:t>
      </w:r>
      <w:r w:rsidR="007B4D4B" w:rsidRPr="001558A5">
        <w:rPr>
          <w:lang w:val="en-US"/>
        </w:rPr>
        <w:t>November 24,</w:t>
      </w:r>
      <w:r w:rsidRPr="001558A5">
        <w:rPr>
          <w:lang w:val="en-US"/>
        </w:rPr>
        <w:t xml:space="preserve"> 2006. </w:t>
      </w:r>
      <w:r w:rsidR="00B43A52" w:rsidRPr="001558A5">
        <w:rPr>
          <w:lang w:val="en-US"/>
        </w:rPr>
        <w:t xml:space="preserve">Series </w:t>
      </w:r>
      <w:r w:rsidRPr="001558A5">
        <w:rPr>
          <w:lang w:val="en-US"/>
        </w:rPr>
        <w:t>C No. 157, p</w:t>
      </w:r>
      <w:r w:rsidR="007B4D4B" w:rsidRPr="001558A5">
        <w:rPr>
          <w:lang w:val="en-US"/>
        </w:rPr>
        <w:t>ara</w:t>
      </w:r>
      <w:r w:rsidRPr="001558A5">
        <w:rPr>
          <w:lang w:val="en-US"/>
        </w:rPr>
        <w:t>. 66,</w:t>
      </w:r>
      <w:r w:rsidR="00DD4354" w:rsidRPr="001558A5">
        <w:rPr>
          <w:lang w:val="en-US"/>
        </w:rPr>
        <w:t xml:space="preserve"> and </w:t>
      </w:r>
      <w:r w:rsidR="00871E19" w:rsidRPr="001558A5">
        <w:rPr>
          <w:i/>
          <w:lang w:val="en-US"/>
        </w:rPr>
        <w:t>Case of</w:t>
      </w:r>
      <w:r w:rsidRPr="001558A5">
        <w:rPr>
          <w:i/>
          <w:lang w:val="en-US"/>
        </w:rPr>
        <w:t xml:space="preserve"> </w:t>
      </w:r>
      <w:proofErr w:type="spellStart"/>
      <w:r w:rsidRPr="001558A5">
        <w:rPr>
          <w:i/>
          <w:lang w:val="en-US"/>
        </w:rPr>
        <w:t>Martínez</w:t>
      </w:r>
      <w:proofErr w:type="spellEnd"/>
      <w:r w:rsidRPr="001558A5">
        <w:rPr>
          <w:i/>
          <w:lang w:val="en-US"/>
        </w:rPr>
        <w:t xml:space="preserve"> </w:t>
      </w:r>
      <w:proofErr w:type="spellStart"/>
      <w:r w:rsidRPr="001558A5">
        <w:rPr>
          <w:i/>
          <w:lang w:val="en-US"/>
        </w:rPr>
        <w:t>Esquivia</w:t>
      </w:r>
      <w:proofErr w:type="spellEnd"/>
      <w:r w:rsidRPr="001558A5">
        <w:rPr>
          <w:i/>
          <w:lang w:val="en-US"/>
        </w:rPr>
        <w:t xml:space="preserve"> </w:t>
      </w:r>
      <w:r w:rsidR="00871E19" w:rsidRPr="001558A5">
        <w:rPr>
          <w:i/>
          <w:lang w:val="en-US"/>
        </w:rPr>
        <w:t>v.</w:t>
      </w:r>
      <w:r w:rsidRPr="001558A5">
        <w:rPr>
          <w:i/>
          <w:lang w:val="en-US"/>
        </w:rPr>
        <w:t xml:space="preserve"> Colombia, supra, </w:t>
      </w:r>
      <w:r w:rsidR="00B43A52" w:rsidRPr="001558A5">
        <w:rPr>
          <w:lang w:val="en-US"/>
        </w:rPr>
        <w:t>para.</w:t>
      </w:r>
      <w:r w:rsidRPr="001558A5">
        <w:rPr>
          <w:lang w:val="en-US"/>
        </w:rPr>
        <w:t xml:space="preserve"> 167.</w:t>
      </w:r>
    </w:p>
  </w:footnote>
  <w:footnote w:id="173">
    <w:p w14:paraId="76FF6D90" w14:textId="5122C110"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lang w:val="en-US"/>
        </w:rPr>
        <w:t>Cf.</w:t>
      </w:r>
      <w:r w:rsidRPr="001558A5">
        <w:rPr>
          <w:i/>
          <w:lang w:val="en-US"/>
        </w:rPr>
        <w:t xml:space="preserve"> </w:t>
      </w:r>
      <w:r w:rsidR="00871E19" w:rsidRPr="001558A5">
        <w:rPr>
          <w:i/>
          <w:lang w:val="en-US"/>
        </w:rPr>
        <w:t>Case of</w:t>
      </w:r>
      <w:r w:rsidRPr="001558A5">
        <w:rPr>
          <w:i/>
          <w:lang w:val="en-US"/>
        </w:rPr>
        <w:t xml:space="preserve"> Andrade </w:t>
      </w:r>
      <w:proofErr w:type="spellStart"/>
      <w:r w:rsidRPr="001558A5">
        <w:rPr>
          <w:i/>
          <w:lang w:val="en-US"/>
        </w:rPr>
        <w:t>Salmón</w:t>
      </w:r>
      <w:proofErr w:type="spellEnd"/>
      <w:r w:rsidRPr="001558A5">
        <w:rPr>
          <w:i/>
          <w:lang w:val="en-US"/>
        </w:rPr>
        <w:t xml:space="preserve"> </w:t>
      </w:r>
      <w:r w:rsidR="00871E19" w:rsidRPr="001558A5">
        <w:rPr>
          <w:i/>
          <w:lang w:val="en-US"/>
        </w:rPr>
        <w:t>v.</w:t>
      </w:r>
      <w:r w:rsidRPr="001558A5">
        <w:rPr>
          <w:i/>
          <w:lang w:val="en-US"/>
        </w:rPr>
        <w:t xml:space="preserve"> Bolivia. </w:t>
      </w:r>
      <w:r w:rsidR="00B43A52" w:rsidRPr="001558A5">
        <w:rPr>
          <w:i/>
          <w:lang w:val="en-US"/>
        </w:rPr>
        <w:t>Merits, reparations and costs</w:t>
      </w:r>
      <w:r w:rsidRPr="001558A5">
        <w:rPr>
          <w:i/>
          <w:lang w:val="en-US"/>
        </w:rPr>
        <w:t xml:space="preserve">. </w:t>
      </w:r>
      <w:r w:rsidR="00871E19" w:rsidRPr="001558A5">
        <w:rPr>
          <w:lang w:val="en-US"/>
        </w:rPr>
        <w:t>Judgment of</w:t>
      </w:r>
      <w:r w:rsidRPr="001558A5">
        <w:rPr>
          <w:lang w:val="en-US"/>
        </w:rPr>
        <w:t xml:space="preserve"> </w:t>
      </w:r>
      <w:r w:rsidR="007B4D4B" w:rsidRPr="001558A5">
        <w:rPr>
          <w:lang w:val="en-US"/>
        </w:rPr>
        <w:t>December 1,</w:t>
      </w:r>
      <w:r w:rsidRPr="001558A5">
        <w:rPr>
          <w:lang w:val="en-US"/>
        </w:rPr>
        <w:t xml:space="preserve"> 2016. </w:t>
      </w:r>
      <w:r w:rsidR="00B43A52" w:rsidRPr="001558A5">
        <w:rPr>
          <w:lang w:val="es-CR"/>
        </w:rPr>
        <w:t xml:space="preserve">Series </w:t>
      </w:r>
      <w:r w:rsidRPr="001558A5">
        <w:rPr>
          <w:lang w:val="es-CR"/>
        </w:rPr>
        <w:t xml:space="preserve">C. No 330, </w:t>
      </w:r>
      <w:r w:rsidR="00B43A52" w:rsidRPr="001558A5">
        <w:rPr>
          <w:lang w:val="es-CR"/>
        </w:rPr>
        <w:t>para.</w:t>
      </w:r>
      <w:r w:rsidRPr="001558A5">
        <w:rPr>
          <w:lang w:val="es-CR"/>
        </w:rPr>
        <w:t xml:space="preserve"> 92,</w:t>
      </w:r>
      <w:r w:rsidR="00DD4354" w:rsidRPr="001558A5">
        <w:rPr>
          <w:lang w:val="es-CR"/>
        </w:rPr>
        <w:t xml:space="preserve"> and </w:t>
      </w:r>
      <w:r w:rsidR="00871E19" w:rsidRPr="001558A5">
        <w:rPr>
          <w:i/>
          <w:lang w:val="es-CR"/>
        </w:rPr>
        <w:t>Case of</w:t>
      </w:r>
      <w:r w:rsidRPr="001558A5">
        <w:rPr>
          <w:i/>
          <w:lang w:val="es-CR"/>
        </w:rPr>
        <w:t xml:space="preserve"> </w:t>
      </w:r>
      <w:proofErr w:type="spellStart"/>
      <w:r w:rsidRPr="001558A5">
        <w:rPr>
          <w:i/>
          <w:lang w:val="es-CR"/>
        </w:rPr>
        <w:t>Petro</w:t>
      </w:r>
      <w:proofErr w:type="spellEnd"/>
      <w:r w:rsidRPr="001558A5">
        <w:rPr>
          <w:i/>
          <w:lang w:val="es-CR"/>
        </w:rPr>
        <w:t xml:space="preserve"> Urrego </w:t>
      </w:r>
      <w:r w:rsidR="00871E19" w:rsidRPr="001558A5">
        <w:rPr>
          <w:i/>
          <w:lang w:val="es-CR"/>
        </w:rPr>
        <w:t>v.</w:t>
      </w:r>
      <w:r w:rsidRPr="001558A5">
        <w:rPr>
          <w:i/>
          <w:lang w:val="es-CR"/>
        </w:rPr>
        <w:t xml:space="preserve"> Colombia, supra</w:t>
      </w:r>
      <w:r w:rsidRPr="001558A5">
        <w:rPr>
          <w:lang w:val="es-CR"/>
        </w:rPr>
        <w:t xml:space="preserve">, </w:t>
      </w:r>
      <w:r w:rsidR="00B43A52" w:rsidRPr="001558A5">
        <w:rPr>
          <w:lang w:val="es-CR"/>
        </w:rPr>
        <w:t>para.</w:t>
      </w:r>
      <w:r w:rsidRPr="001558A5">
        <w:rPr>
          <w:lang w:val="es-CR"/>
        </w:rPr>
        <w:t xml:space="preserve"> </w:t>
      </w:r>
      <w:r w:rsidRPr="001558A5">
        <w:rPr>
          <w:lang w:val="en-US"/>
        </w:rPr>
        <w:t>102.</w:t>
      </w:r>
    </w:p>
  </w:footnote>
  <w:footnote w:id="174">
    <w:p w14:paraId="401B2FC3" w14:textId="1AB0EDD0"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lang w:val="en-US"/>
        </w:rPr>
        <w:t>Cf.</w:t>
      </w:r>
      <w:r w:rsidRPr="001558A5">
        <w:rPr>
          <w:i/>
          <w:lang w:val="en-US"/>
        </w:rPr>
        <w:t xml:space="preserve"> </w:t>
      </w:r>
      <w:r w:rsidR="00871E19" w:rsidRPr="001558A5">
        <w:rPr>
          <w:i/>
          <w:lang w:val="en-US"/>
        </w:rPr>
        <w:t>Case of</w:t>
      </w:r>
      <w:r w:rsidRPr="001558A5">
        <w:rPr>
          <w:i/>
          <w:lang w:val="en-US"/>
        </w:rPr>
        <w:t xml:space="preserve"> Bueno Alves </w:t>
      </w:r>
      <w:r w:rsidR="00871E19" w:rsidRPr="001558A5">
        <w:rPr>
          <w:i/>
          <w:lang w:val="en-US"/>
        </w:rPr>
        <w:t>v.</w:t>
      </w:r>
      <w:r w:rsidRPr="001558A5">
        <w:rPr>
          <w:i/>
          <w:lang w:val="en-US"/>
        </w:rPr>
        <w:t xml:space="preserve"> Argentina. </w:t>
      </w:r>
      <w:r w:rsidR="007B4D4B" w:rsidRPr="001558A5">
        <w:rPr>
          <w:i/>
          <w:lang w:val="en-US"/>
        </w:rPr>
        <w:t>Monitoring compliance with judgment</w:t>
      </w:r>
      <w:r w:rsidRPr="001558A5">
        <w:rPr>
          <w:i/>
          <w:lang w:val="en-US"/>
        </w:rPr>
        <w:t>.</w:t>
      </w:r>
      <w:r w:rsidRPr="001558A5">
        <w:rPr>
          <w:lang w:val="en-US"/>
        </w:rPr>
        <w:t xml:space="preserve"> </w:t>
      </w:r>
      <w:r w:rsidR="007B4D4B" w:rsidRPr="001558A5">
        <w:rPr>
          <w:lang w:val="en-US"/>
        </w:rPr>
        <w:t>Order</w:t>
      </w:r>
      <w:r w:rsidR="00DD4354" w:rsidRPr="001558A5">
        <w:rPr>
          <w:lang w:val="en-US"/>
        </w:rPr>
        <w:t xml:space="preserve"> of the </w:t>
      </w:r>
      <w:r w:rsidR="00871E19" w:rsidRPr="001558A5">
        <w:rPr>
          <w:lang w:val="en-US"/>
        </w:rPr>
        <w:t>Inter-American Court of Human Rights</w:t>
      </w:r>
      <w:r w:rsidRPr="001558A5">
        <w:rPr>
          <w:lang w:val="en-US"/>
        </w:rPr>
        <w:t xml:space="preserve"> </w:t>
      </w:r>
      <w:r w:rsidR="007B4D4B" w:rsidRPr="001558A5">
        <w:rPr>
          <w:lang w:val="en-US"/>
        </w:rPr>
        <w:t>of July 5,</w:t>
      </w:r>
      <w:r w:rsidRPr="001558A5">
        <w:rPr>
          <w:lang w:val="en-US"/>
        </w:rPr>
        <w:t xml:space="preserve"> 2011, </w:t>
      </w:r>
      <w:proofErr w:type="spellStart"/>
      <w:r w:rsidR="007B4D4B" w:rsidRPr="001558A5">
        <w:rPr>
          <w:i/>
          <w:iCs/>
          <w:lang w:val="en-US"/>
        </w:rPr>
        <w:t>c</w:t>
      </w:r>
      <w:r w:rsidRPr="001558A5">
        <w:rPr>
          <w:i/>
          <w:iCs/>
          <w:lang w:val="en-US"/>
        </w:rPr>
        <w:t>onsiderand</w:t>
      </w:r>
      <w:r w:rsidR="007B4D4B" w:rsidRPr="001558A5">
        <w:rPr>
          <w:i/>
          <w:iCs/>
          <w:lang w:val="en-US"/>
        </w:rPr>
        <w:t>um</w:t>
      </w:r>
      <w:proofErr w:type="spellEnd"/>
      <w:r w:rsidRPr="001558A5">
        <w:rPr>
          <w:lang w:val="en-US"/>
        </w:rPr>
        <w:t xml:space="preserve"> 44,</w:t>
      </w:r>
      <w:r w:rsidR="00DD4354" w:rsidRPr="001558A5">
        <w:rPr>
          <w:lang w:val="en-US"/>
        </w:rPr>
        <w:t xml:space="preserve"> and </w:t>
      </w:r>
      <w:r w:rsidR="00871E19" w:rsidRPr="001558A5">
        <w:rPr>
          <w:i/>
          <w:lang w:val="en-US"/>
        </w:rPr>
        <w:t>Case of</w:t>
      </w:r>
      <w:r w:rsidRPr="001558A5">
        <w:rPr>
          <w:i/>
          <w:lang w:val="en-US"/>
        </w:rPr>
        <w:t xml:space="preserve"> Torres </w:t>
      </w:r>
      <w:proofErr w:type="spellStart"/>
      <w:r w:rsidRPr="001558A5">
        <w:rPr>
          <w:i/>
          <w:lang w:val="en-US"/>
        </w:rPr>
        <w:t>Millacura</w:t>
      </w:r>
      <w:proofErr w:type="spellEnd"/>
      <w:r w:rsidRPr="001558A5">
        <w:rPr>
          <w:i/>
          <w:lang w:val="en-US"/>
        </w:rPr>
        <w:t xml:space="preserve"> </w:t>
      </w:r>
      <w:r w:rsidR="00871E19" w:rsidRPr="001558A5">
        <w:rPr>
          <w:i/>
          <w:lang w:val="en-US"/>
        </w:rPr>
        <w:t>v.</w:t>
      </w:r>
      <w:r w:rsidRPr="001558A5">
        <w:rPr>
          <w:i/>
          <w:lang w:val="en-US"/>
        </w:rPr>
        <w:t xml:space="preserve"> Argentina. </w:t>
      </w:r>
      <w:r w:rsidR="007B4D4B" w:rsidRPr="001558A5">
        <w:rPr>
          <w:i/>
          <w:lang w:val="en-US"/>
        </w:rPr>
        <w:t xml:space="preserve">Monitoring compliance with judgment and reimbursement of the Victims’ Legal Assistance Fund. </w:t>
      </w:r>
      <w:r w:rsidR="007B4D4B" w:rsidRPr="001558A5">
        <w:rPr>
          <w:lang w:val="en-US"/>
        </w:rPr>
        <w:t xml:space="preserve">Order </w:t>
      </w:r>
      <w:r w:rsidR="00DD4354" w:rsidRPr="001558A5">
        <w:rPr>
          <w:lang w:val="en-US"/>
        </w:rPr>
        <w:t xml:space="preserve">of the </w:t>
      </w:r>
      <w:r w:rsidR="00871E19" w:rsidRPr="001558A5">
        <w:rPr>
          <w:lang w:val="en-US"/>
        </w:rPr>
        <w:t>Inter-American Court of Human Rights</w:t>
      </w:r>
      <w:r w:rsidRPr="001558A5">
        <w:rPr>
          <w:lang w:val="en-US"/>
        </w:rPr>
        <w:t xml:space="preserve"> </w:t>
      </w:r>
      <w:r w:rsidR="007B4D4B" w:rsidRPr="001558A5">
        <w:rPr>
          <w:lang w:val="en-US"/>
        </w:rPr>
        <w:t>of July 21,</w:t>
      </w:r>
      <w:r w:rsidRPr="001558A5">
        <w:rPr>
          <w:lang w:val="en-US"/>
        </w:rPr>
        <w:t xml:space="preserve"> 2020, </w:t>
      </w:r>
      <w:proofErr w:type="spellStart"/>
      <w:r w:rsidR="007B4D4B" w:rsidRPr="001558A5">
        <w:rPr>
          <w:i/>
          <w:iCs/>
          <w:lang w:val="en-US"/>
        </w:rPr>
        <w:t>considerandum</w:t>
      </w:r>
      <w:proofErr w:type="spellEnd"/>
      <w:r w:rsidRPr="001558A5">
        <w:rPr>
          <w:lang w:val="en-US"/>
        </w:rPr>
        <w:t xml:space="preserve"> 45. </w:t>
      </w:r>
    </w:p>
  </w:footnote>
  <w:footnote w:id="175">
    <w:p w14:paraId="38E49A1D" w14:textId="1B5FEF91" w:rsidR="005977F6" w:rsidRPr="001558A5" w:rsidRDefault="005977F6" w:rsidP="000B2BB5">
      <w:pPr>
        <w:pStyle w:val="Textonotapie"/>
        <w:tabs>
          <w:tab w:val="left" w:pos="360"/>
        </w:tabs>
        <w:rPr>
          <w:rFonts w:eastAsia="Times New Roman"/>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871E19" w:rsidRPr="001558A5">
        <w:rPr>
          <w:i/>
          <w:iCs/>
          <w:lang w:val="en-US"/>
        </w:rPr>
        <w:t>Case of</w:t>
      </w:r>
      <w:r w:rsidRPr="001558A5">
        <w:rPr>
          <w:i/>
          <w:iCs/>
          <w:lang w:val="en-US"/>
        </w:rPr>
        <w:t xml:space="preserve"> </w:t>
      </w:r>
      <w:proofErr w:type="spellStart"/>
      <w:r w:rsidRPr="001558A5">
        <w:rPr>
          <w:i/>
          <w:iCs/>
          <w:lang w:val="en-US"/>
        </w:rPr>
        <w:t>Cantoral</w:t>
      </w:r>
      <w:proofErr w:type="spellEnd"/>
      <w:r w:rsidRPr="001558A5">
        <w:rPr>
          <w:i/>
          <w:iCs/>
          <w:lang w:val="en-US"/>
        </w:rPr>
        <w:t xml:space="preserve"> Benavides </w:t>
      </w:r>
      <w:r w:rsidR="00871E19" w:rsidRPr="001558A5">
        <w:rPr>
          <w:i/>
          <w:iCs/>
          <w:lang w:val="en-US"/>
        </w:rPr>
        <w:t>v.</w:t>
      </w:r>
      <w:r w:rsidRPr="001558A5">
        <w:rPr>
          <w:i/>
          <w:iCs/>
          <w:lang w:val="en-US"/>
        </w:rPr>
        <w:t xml:space="preserve"> </w:t>
      </w:r>
      <w:r w:rsidR="00D11908" w:rsidRPr="001558A5">
        <w:rPr>
          <w:i/>
          <w:iCs/>
          <w:lang w:val="en-US"/>
        </w:rPr>
        <w:t>Peru</w:t>
      </w:r>
      <w:r w:rsidRPr="001558A5">
        <w:rPr>
          <w:i/>
          <w:iCs/>
          <w:lang w:val="en-US"/>
        </w:rPr>
        <w:t xml:space="preserve">. </w:t>
      </w:r>
      <w:r w:rsidR="00B43A52" w:rsidRPr="001558A5">
        <w:rPr>
          <w:i/>
          <w:iCs/>
          <w:lang w:val="en-US"/>
        </w:rPr>
        <w:t>Reparations and costs</w:t>
      </w:r>
      <w:r w:rsidRPr="001558A5">
        <w:rPr>
          <w:lang w:val="en-US"/>
        </w:rPr>
        <w:t xml:space="preserve">. </w:t>
      </w:r>
      <w:r w:rsidR="00871E19" w:rsidRPr="001558A5">
        <w:rPr>
          <w:lang w:val="en-US"/>
        </w:rPr>
        <w:t>Judgment of</w:t>
      </w:r>
      <w:r w:rsidRPr="001558A5">
        <w:rPr>
          <w:lang w:val="en-US"/>
        </w:rPr>
        <w:t xml:space="preserve"> </w:t>
      </w:r>
      <w:r w:rsidR="007B4D4B" w:rsidRPr="001558A5">
        <w:rPr>
          <w:lang w:val="en-US"/>
        </w:rPr>
        <w:t>December 3,</w:t>
      </w:r>
      <w:r w:rsidRPr="001558A5">
        <w:rPr>
          <w:lang w:val="en-US"/>
        </w:rPr>
        <w:t xml:space="preserve"> 2001. </w:t>
      </w:r>
      <w:r w:rsidR="00B43A52" w:rsidRPr="001558A5">
        <w:rPr>
          <w:lang w:val="es-CR"/>
        </w:rPr>
        <w:t xml:space="preserve">Series </w:t>
      </w:r>
      <w:r w:rsidRPr="001558A5">
        <w:rPr>
          <w:lang w:val="es-CR"/>
        </w:rPr>
        <w:t>C No. 88</w:t>
      </w:r>
      <w:r w:rsidRPr="001558A5">
        <w:rPr>
          <w:i/>
          <w:iCs/>
          <w:lang w:val="es-CR"/>
        </w:rPr>
        <w:t xml:space="preserve">, </w:t>
      </w:r>
      <w:r w:rsidR="00B43A52" w:rsidRPr="001558A5">
        <w:rPr>
          <w:lang w:val="es-CR"/>
        </w:rPr>
        <w:t>para.</w:t>
      </w:r>
      <w:r w:rsidRPr="001558A5">
        <w:rPr>
          <w:lang w:val="es-CR"/>
        </w:rPr>
        <w:t xml:space="preserve"> 79,</w:t>
      </w:r>
      <w:r w:rsidR="00DD4354" w:rsidRPr="001558A5">
        <w:rPr>
          <w:lang w:val="es-CR"/>
        </w:rPr>
        <w:t xml:space="preserve"> and </w:t>
      </w:r>
      <w:r w:rsidR="00871E19" w:rsidRPr="001558A5">
        <w:rPr>
          <w:i/>
          <w:iCs/>
          <w:lang w:val="es-CR"/>
        </w:rPr>
        <w:t>Case of</w:t>
      </w:r>
      <w:r w:rsidRPr="001558A5">
        <w:rPr>
          <w:i/>
          <w:iCs/>
          <w:lang w:val="es-CR"/>
        </w:rPr>
        <w:t xml:space="preserve"> Montesinos Mejía </w:t>
      </w:r>
      <w:r w:rsidR="00871E19" w:rsidRPr="001558A5">
        <w:rPr>
          <w:i/>
          <w:iCs/>
          <w:lang w:val="es-CR"/>
        </w:rPr>
        <w:t>v.</w:t>
      </w:r>
      <w:r w:rsidRPr="001558A5">
        <w:rPr>
          <w:i/>
          <w:iCs/>
          <w:lang w:val="es-CR"/>
        </w:rPr>
        <w:t xml:space="preserve"> Ecuador</w:t>
      </w:r>
      <w:r w:rsidRPr="001558A5">
        <w:rPr>
          <w:lang w:val="es-CR"/>
        </w:rPr>
        <w:t xml:space="preserve">, </w:t>
      </w:r>
      <w:r w:rsidRPr="001558A5">
        <w:rPr>
          <w:i/>
          <w:iCs/>
          <w:lang w:val="es-CR"/>
        </w:rPr>
        <w:t>supra</w:t>
      </w:r>
      <w:r w:rsidRPr="001558A5">
        <w:rPr>
          <w:lang w:val="es-CR"/>
        </w:rPr>
        <w:t xml:space="preserve">, </w:t>
      </w:r>
      <w:r w:rsidR="00B43A52" w:rsidRPr="001558A5">
        <w:rPr>
          <w:lang w:val="es-CR"/>
        </w:rPr>
        <w:t>para.</w:t>
      </w:r>
      <w:r w:rsidRPr="001558A5">
        <w:rPr>
          <w:lang w:val="es-CR"/>
        </w:rPr>
        <w:t xml:space="preserve"> </w:t>
      </w:r>
      <w:r w:rsidRPr="001558A5">
        <w:rPr>
          <w:lang w:val="en-US"/>
        </w:rPr>
        <w:t>226.</w:t>
      </w:r>
    </w:p>
  </w:footnote>
  <w:footnote w:id="176">
    <w:p w14:paraId="34F90F05" w14:textId="6B6778F4" w:rsidR="005977F6" w:rsidRPr="001558A5" w:rsidRDefault="005977F6" w:rsidP="000B2BB5">
      <w:pPr>
        <w:tabs>
          <w:tab w:val="left" w:pos="360"/>
        </w:tabs>
        <w:spacing w:before="120" w:after="120"/>
        <w:rPr>
          <w:rFonts w:eastAsiaTheme="minorHAnsi"/>
          <w:b/>
          <w:sz w:val="16"/>
          <w:szCs w:val="16"/>
          <w:lang w:val="en-US"/>
        </w:rPr>
      </w:pPr>
      <w:r w:rsidRPr="001558A5">
        <w:rPr>
          <w:rStyle w:val="Refdenotaalpie"/>
          <w:sz w:val="16"/>
          <w:szCs w:val="16"/>
          <w:lang w:val="en-US"/>
        </w:rPr>
        <w:footnoteRef/>
      </w:r>
      <w:r w:rsidRPr="001558A5">
        <w:rPr>
          <w:sz w:val="16"/>
          <w:szCs w:val="16"/>
          <w:lang w:val="en-US"/>
        </w:rPr>
        <w:t xml:space="preserve">  </w:t>
      </w:r>
      <w:r w:rsidRPr="001558A5">
        <w:rPr>
          <w:sz w:val="16"/>
          <w:szCs w:val="16"/>
          <w:lang w:val="en-US"/>
        </w:rPr>
        <w:tab/>
      </w:r>
      <w:r w:rsidR="00871E19" w:rsidRPr="001558A5">
        <w:rPr>
          <w:i/>
          <w:sz w:val="16"/>
          <w:szCs w:val="16"/>
          <w:lang w:val="en-US"/>
        </w:rPr>
        <w:t>Cf.</w:t>
      </w:r>
      <w:r w:rsidRPr="001558A5">
        <w:rPr>
          <w:i/>
          <w:sz w:val="16"/>
          <w:szCs w:val="16"/>
          <w:lang w:val="en-US"/>
        </w:rPr>
        <w:t xml:space="preserve"> </w:t>
      </w:r>
      <w:r w:rsidR="00871E19" w:rsidRPr="001558A5">
        <w:rPr>
          <w:i/>
          <w:sz w:val="16"/>
          <w:szCs w:val="16"/>
          <w:lang w:val="en-US"/>
        </w:rPr>
        <w:t>Case of</w:t>
      </w:r>
      <w:r w:rsidRPr="001558A5">
        <w:rPr>
          <w:i/>
          <w:sz w:val="16"/>
          <w:szCs w:val="16"/>
          <w:lang w:val="en-US"/>
        </w:rPr>
        <w:t xml:space="preserve"> </w:t>
      </w:r>
      <w:proofErr w:type="spellStart"/>
      <w:r w:rsidRPr="001558A5">
        <w:rPr>
          <w:i/>
          <w:sz w:val="16"/>
          <w:szCs w:val="16"/>
          <w:lang w:val="en-US"/>
        </w:rPr>
        <w:t>Cantoral</w:t>
      </w:r>
      <w:proofErr w:type="spellEnd"/>
      <w:r w:rsidRPr="001558A5">
        <w:rPr>
          <w:i/>
          <w:sz w:val="16"/>
          <w:szCs w:val="16"/>
          <w:lang w:val="en-US"/>
        </w:rPr>
        <w:t xml:space="preserve"> Benavides </w:t>
      </w:r>
      <w:r w:rsidR="00871E19" w:rsidRPr="001558A5">
        <w:rPr>
          <w:i/>
          <w:sz w:val="16"/>
          <w:szCs w:val="16"/>
          <w:lang w:val="en-US"/>
        </w:rPr>
        <w:t>v.</w:t>
      </w:r>
      <w:r w:rsidRPr="001558A5">
        <w:rPr>
          <w:i/>
          <w:sz w:val="16"/>
          <w:szCs w:val="16"/>
          <w:lang w:val="en-US"/>
        </w:rPr>
        <w:t xml:space="preserve"> </w:t>
      </w:r>
      <w:r w:rsidR="00D11908" w:rsidRPr="001558A5">
        <w:rPr>
          <w:i/>
          <w:sz w:val="16"/>
          <w:szCs w:val="16"/>
          <w:lang w:val="en-US"/>
        </w:rPr>
        <w:t>Peru</w:t>
      </w:r>
      <w:r w:rsidRPr="001558A5">
        <w:rPr>
          <w:i/>
          <w:sz w:val="16"/>
          <w:szCs w:val="16"/>
          <w:lang w:val="en-US"/>
        </w:rPr>
        <w:t xml:space="preserve">. </w:t>
      </w:r>
      <w:r w:rsidR="00B43A52" w:rsidRPr="001558A5">
        <w:rPr>
          <w:i/>
          <w:sz w:val="16"/>
          <w:szCs w:val="16"/>
          <w:lang w:val="en-US"/>
        </w:rPr>
        <w:t>Reparations and costs</w:t>
      </w:r>
      <w:r w:rsidRPr="001558A5">
        <w:rPr>
          <w:i/>
          <w:sz w:val="16"/>
          <w:szCs w:val="16"/>
          <w:lang w:val="en-US"/>
        </w:rPr>
        <w:t xml:space="preserve">, </w:t>
      </w:r>
      <w:r w:rsidRPr="001558A5">
        <w:rPr>
          <w:iCs/>
          <w:sz w:val="16"/>
          <w:szCs w:val="16"/>
          <w:lang w:val="en-US"/>
        </w:rPr>
        <w:t>supra</w:t>
      </w:r>
      <w:r w:rsidRPr="001558A5">
        <w:rPr>
          <w:i/>
          <w:sz w:val="16"/>
          <w:szCs w:val="16"/>
          <w:lang w:val="en-US"/>
        </w:rPr>
        <w:t xml:space="preserve">, </w:t>
      </w:r>
      <w:r w:rsidR="00B43A52" w:rsidRPr="001558A5">
        <w:rPr>
          <w:iCs/>
          <w:sz w:val="16"/>
          <w:szCs w:val="16"/>
          <w:lang w:val="en-US"/>
        </w:rPr>
        <w:t>para.</w:t>
      </w:r>
      <w:r w:rsidRPr="001558A5">
        <w:rPr>
          <w:iCs/>
          <w:sz w:val="16"/>
          <w:szCs w:val="16"/>
          <w:lang w:val="en-US"/>
        </w:rPr>
        <w:t xml:space="preserve"> 81,</w:t>
      </w:r>
      <w:r w:rsidR="00DD4354" w:rsidRPr="001558A5">
        <w:rPr>
          <w:iCs/>
          <w:sz w:val="16"/>
          <w:szCs w:val="16"/>
          <w:lang w:val="en-US"/>
        </w:rPr>
        <w:t xml:space="preserve"> and </w:t>
      </w:r>
      <w:r w:rsidR="00871E19" w:rsidRPr="001558A5">
        <w:rPr>
          <w:i/>
          <w:sz w:val="16"/>
          <w:szCs w:val="16"/>
          <w:lang w:val="en-US"/>
        </w:rPr>
        <w:t>Case of</w:t>
      </w:r>
      <w:r w:rsidR="0026713C" w:rsidRPr="001558A5">
        <w:rPr>
          <w:i/>
          <w:sz w:val="16"/>
          <w:szCs w:val="16"/>
          <w:lang w:val="en-US"/>
        </w:rPr>
        <w:t xml:space="preserve"> Women Victims of Sexual Torture in</w:t>
      </w:r>
      <w:r w:rsidRPr="001558A5">
        <w:rPr>
          <w:i/>
          <w:sz w:val="16"/>
          <w:szCs w:val="16"/>
          <w:lang w:val="en-US"/>
        </w:rPr>
        <w:t xml:space="preserve"> </w:t>
      </w:r>
      <w:proofErr w:type="spellStart"/>
      <w:r w:rsidRPr="001558A5">
        <w:rPr>
          <w:i/>
          <w:sz w:val="16"/>
          <w:szCs w:val="16"/>
          <w:lang w:val="en-US"/>
        </w:rPr>
        <w:t>Atenco</w:t>
      </w:r>
      <w:proofErr w:type="spellEnd"/>
      <w:r w:rsidRPr="001558A5">
        <w:rPr>
          <w:i/>
          <w:sz w:val="16"/>
          <w:szCs w:val="16"/>
          <w:lang w:val="en-US"/>
        </w:rPr>
        <w:t xml:space="preserve"> </w:t>
      </w:r>
      <w:r w:rsidR="00871E19" w:rsidRPr="001558A5">
        <w:rPr>
          <w:i/>
          <w:sz w:val="16"/>
          <w:szCs w:val="16"/>
          <w:lang w:val="en-US"/>
        </w:rPr>
        <w:t>v.</w:t>
      </w:r>
      <w:r w:rsidRPr="001558A5">
        <w:rPr>
          <w:i/>
          <w:sz w:val="16"/>
          <w:szCs w:val="16"/>
          <w:lang w:val="en-US"/>
        </w:rPr>
        <w:t xml:space="preserve"> </w:t>
      </w:r>
      <w:r w:rsidR="0026713C" w:rsidRPr="001558A5">
        <w:rPr>
          <w:i/>
          <w:sz w:val="16"/>
          <w:szCs w:val="16"/>
          <w:lang w:val="en-US"/>
        </w:rPr>
        <w:t>Mexico</w:t>
      </w:r>
      <w:r w:rsidRPr="001558A5">
        <w:rPr>
          <w:i/>
          <w:sz w:val="16"/>
          <w:szCs w:val="16"/>
          <w:lang w:val="en-US"/>
        </w:rPr>
        <w:t xml:space="preserve">, supra, </w:t>
      </w:r>
      <w:r w:rsidR="00B43A52" w:rsidRPr="001558A5">
        <w:rPr>
          <w:iCs/>
          <w:sz w:val="16"/>
          <w:szCs w:val="16"/>
          <w:lang w:val="en-US"/>
        </w:rPr>
        <w:t>para.</w:t>
      </w:r>
      <w:r w:rsidRPr="001558A5">
        <w:rPr>
          <w:iCs/>
          <w:sz w:val="16"/>
          <w:szCs w:val="16"/>
          <w:lang w:val="en-US"/>
        </w:rPr>
        <w:t xml:space="preserve"> 347.</w:t>
      </w:r>
    </w:p>
  </w:footnote>
  <w:footnote w:id="177">
    <w:p w14:paraId="51C20D67" w14:textId="19C0E61F"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lang w:val="en-US"/>
        </w:rPr>
        <w:t>Cf.</w:t>
      </w:r>
      <w:r w:rsidRPr="001558A5">
        <w:rPr>
          <w:i/>
          <w:lang w:val="en-US"/>
        </w:rPr>
        <w:t xml:space="preserve"> </w:t>
      </w:r>
      <w:r w:rsidR="00871E19" w:rsidRPr="001558A5">
        <w:rPr>
          <w:i/>
          <w:lang w:val="en-US"/>
        </w:rPr>
        <w:t>Case of</w:t>
      </w:r>
      <w:r w:rsidRPr="001558A5">
        <w:rPr>
          <w:i/>
          <w:lang w:val="en-US"/>
        </w:rPr>
        <w:t xml:space="preserve"> </w:t>
      </w:r>
      <w:proofErr w:type="spellStart"/>
      <w:r w:rsidRPr="001558A5">
        <w:rPr>
          <w:i/>
          <w:lang w:val="en-US"/>
        </w:rPr>
        <w:t>Radilla</w:t>
      </w:r>
      <w:proofErr w:type="spellEnd"/>
      <w:r w:rsidRPr="001558A5">
        <w:rPr>
          <w:i/>
          <w:lang w:val="en-US"/>
        </w:rPr>
        <w:t xml:space="preserve"> Pacheco </w:t>
      </w:r>
      <w:r w:rsidR="00871E19" w:rsidRPr="001558A5">
        <w:rPr>
          <w:i/>
          <w:lang w:val="en-US"/>
        </w:rPr>
        <w:t>v.</w:t>
      </w:r>
      <w:r w:rsidRPr="001558A5">
        <w:rPr>
          <w:i/>
          <w:lang w:val="en-US"/>
        </w:rPr>
        <w:t xml:space="preserve"> </w:t>
      </w:r>
      <w:r w:rsidR="0026713C" w:rsidRPr="001558A5">
        <w:rPr>
          <w:i/>
          <w:lang w:val="en-US"/>
        </w:rPr>
        <w:t>Mexico</w:t>
      </w:r>
      <w:r w:rsidRPr="001558A5">
        <w:rPr>
          <w:i/>
          <w:lang w:val="en-US"/>
        </w:rPr>
        <w:t xml:space="preserve">. </w:t>
      </w:r>
      <w:r w:rsidR="00B43A52" w:rsidRPr="001558A5">
        <w:rPr>
          <w:i/>
          <w:lang w:val="en-US"/>
        </w:rPr>
        <w:t>Preliminary objections, merits, reparations and costs</w:t>
      </w:r>
      <w:r w:rsidRPr="001558A5">
        <w:rPr>
          <w:i/>
          <w:lang w:val="en-US"/>
        </w:rPr>
        <w:t xml:space="preserve">. </w:t>
      </w:r>
      <w:r w:rsidR="00871E19" w:rsidRPr="001558A5">
        <w:rPr>
          <w:iCs/>
          <w:lang w:val="en-US"/>
        </w:rPr>
        <w:t>Judgment of</w:t>
      </w:r>
      <w:r w:rsidR="0026713C" w:rsidRPr="001558A5">
        <w:rPr>
          <w:iCs/>
          <w:lang w:val="en-US"/>
        </w:rPr>
        <w:t xml:space="preserve"> November</w:t>
      </w:r>
      <w:r w:rsidRPr="001558A5">
        <w:rPr>
          <w:iCs/>
          <w:lang w:val="en-US"/>
        </w:rPr>
        <w:t xml:space="preserve"> 23</w:t>
      </w:r>
      <w:r w:rsidR="0026713C" w:rsidRPr="001558A5">
        <w:rPr>
          <w:i/>
          <w:lang w:val="en-US"/>
        </w:rPr>
        <w:t xml:space="preserve">, </w:t>
      </w:r>
      <w:r w:rsidRPr="001558A5">
        <w:rPr>
          <w:iCs/>
          <w:lang w:val="en-US"/>
        </w:rPr>
        <w:t xml:space="preserve">2009. </w:t>
      </w:r>
      <w:r w:rsidR="00B43A52" w:rsidRPr="001558A5">
        <w:rPr>
          <w:iCs/>
          <w:lang w:val="en-US"/>
        </w:rPr>
        <w:t xml:space="preserve">Series </w:t>
      </w:r>
      <w:r w:rsidRPr="001558A5">
        <w:rPr>
          <w:iCs/>
          <w:lang w:val="en-US"/>
        </w:rPr>
        <w:t>C No. 209,</w:t>
      </w:r>
      <w:r w:rsidRPr="001558A5">
        <w:rPr>
          <w:i/>
          <w:lang w:val="en-US"/>
        </w:rPr>
        <w:t xml:space="preserve"> </w:t>
      </w:r>
      <w:r w:rsidR="00B43A52" w:rsidRPr="001558A5">
        <w:rPr>
          <w:iCs/>
          <w:lang w:val="en-US"/>
        </w:rPr>
        <w:t>para.</w:t>
      </w:r>
      <w:r w:rsidRPr="001558A5">
        <w:rPr>
          <w:iCs/>
          <w:lang w:val="en-US"/>
        </w:rPr>
        <w:t xml:space="preserve"> 353,</w:t>
      </w:r>
      <w:r w:rsidR="00DD4354" w:rsidRPr="001558A5">
        <w:rPr>
          <w:iCs/>
          <w:lang w:val="en-US"/>
        </w:rPr>
        <w:t xml:space="preserve"> and </w:t>
      </w:r>
      <w:r w:rsidR="00871E19" w:rsidRPr="001558A5">
        <w:rPr>
          <w:i/>
          <w:lang w:val="en-US"/>
        </w:rPr>
        <w:t>Case of</w:t>
      </w:r>
      <w:r w:rsidRPr="001558A5">
        <w:rPr>
          <w:i/>
          <w:lang w:val="en-US"/>
        </w:rPr>
        <w:t xml:space="preserve"> </w:t>
      </w:r>
      <w:r w:rsidR="0026713C" w:rsidRPr="001558A5">
        <w:rPr>
          <w:i/>
          <w:lang w:val="en-US"/>
        </w:rPr>
        <w:t>Women Victims of Sexual Torture in</w:t>
      </w:r>
      <w:r w:rsidRPr="001558A5">
        <w:rPr>
          <w:i/>
          <w:lang w:val="en-US"/>
        </w:rPr>
        <w:t xml:space="preserve"> </w:t>
      </w:r>
      <w:proofErr w:type="spellStart"/>
      <w:r w:rsidRPr="001558A5">
        <w:rPr>
          <w:i/>
          <w:lang w:val="en-US"/>
        </w:rPr>
        <w:t>Atenco</w:t>
      </w:r>
      <w:proofErr w:type="spellEnd"/>
      <w:r w:rsidRPr="001558A5">
        <w:rPr>
          <w:i/>
          <w:lang w:val="en-US"/>
        </w:rPr>
        <w:t xml:space="preserve"> </w:t>
      </w:r>
      <w:r w:rsidR="00871E19" w:rsidRPr="001558A5">
        <w:rPr>
          <w:i/>
          <w:lang w:val="en-US"/>
        </w:rPr>
        <w:t>v.</w:t>
      </w:r>
      <w:r w:rsidRPr="001558A5">
        <w:rPr>
          <w:i/>
          <w:lang w:val="en-US"/>
        </w:rPr>
        <w:t xml:space="preserve"> </w:t>
      </w:r>
      <w:r w:rsidR="0026713C" w:rsidRPr="001558A5">
        <w:rPr>
          <w:i/>
          <w:lang w:val="en-US"/>
        </w:rPr>
        <w:t>Mexico</w:t>
      </w:r>
      <w:r w:rsidRPr="001558A5">
        <w:rPr>
          <w:i/>
          <w:lang w:val="en-US"/>
        </w:rPr>
        <w:t xml:space="preserve">, supra, </w:t>
      </w:r>
      <w:r w:rsidR="00B43A52" w:rsidRPr="001558A5">
        <w:rPr>
          <w:iCs/>
          <w:lang w:val="en-US"/>
        </w:rPr>
        <w:t>para.</w:t>
      </w:r>
      <w:r w:rsidRPr="001558A5">
        <w:rPr>
          <w:iCs/>
          <w:lang w:val="en-US"/>
        </w:rPr>
        <w:t xml:space="preserve"> 348</w:t>
      </w:r>
      <w:r w:rsidRPr="001558A5">
        <w:rPr>
          <w:i/>
          <w:lang w:val="en-US"/>
        </w:rPr>
        <w:t>.</w:t>
      </w:r>
    </w:p>
  </w:footnote>
  <w:footnote w:id="178">
    <w:p w14:paraId="1C89196A" w14:textId="214E5D5F"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26713C" w:rsidRPr="001558A5">
        <w:rPr>
          <w:iCs/>
          <w:lang w:val="en-US"/>
        </w:rPr>
        <w:t>See, for example</w:t>
      </w:r>
      <w:r w:rsidRPr="001558A5">
        <w:rPr>
          <w:iCs/>
          <w:lang w:val="en-US"/>
        </w:rPr>
        <w:t>,</w:t>
      </w:r>
      <w:r w:rsidRPr="001558A5">
        <w:rPr>
          <w:i/>
          <w:lang w:val="en-US"/>
        </w:rPr>
        <w:t xml:space="preserve"> </w:t>
      </w:r>
      <w:r w:rsidR="00871E19" w:rsidRPr="001558A5">
        <w:rPr>
          <w:i/>
          <w:lang w:val="en-US"/>
        </w:rPr>
        <w:t>Case of</w:t>
      </w:r>
      <w:r w:rsidRPr="001558A5">
        <w:rPr>
          <w:i/>
          <w:lang w:val="en-US"/>
        </w:rPr>
        <w:t xml:space="preserve"> </w:t>
      </w:r>
      <w:r w:rsidR="0026713C" w:rsidRPr="001558A5">
        <w:rPr>
          <w:i/>
          <w:lang w:val="en-US"/>
        </w:rPr>
        <w:t>the</w:t>
      </w:r>
      <w:r w:rsidRPr="001558A5">
        <w:rPr>
          <w:i/>
          <w:lang w:val="en-US"/>
        </w:rPr>
        <w:t xml:space="preserve"> Miguel Castro </w:t>
      </w:r>
      <w:proofErr w:type="spellStart"/>
      <w:r w:rsidRPr="001558A5">
        <w:rPr>
          <w:i/>
          <w:lang w:val="en-US"/>
        </w:rPr>
        <w:t>Castro</w:t>
      </w:r>
      <w:proofErr w:type="spellEnd"/>
      <w:r w:rsidR="0026713C" w:rsidRPr="001558A5">
        <w:rPr>
          <w:i/>
          <w:lang w:val="en-US"/>
        </w:rPr>
        <w:t xml:space="preserve"> Prison</w:t>
      </w:r>
      <w:r w:rsidRPr="001558A5">
        <w:rPr>
          <w:i/>
          <w:lang w:val="en-US"/>
        </w:rPr>
        <w:t xml:space="preserve"> </w:t>
      </w:r>
      <w:r w:rsidR="00871E19" w:rsidRPr="001558A5">
        <w:rPr>
          <w:i/>
          <w:lang w:val="en-US"/>
        </w:rPr>
        <w:t>v.</w:t>
      </w:r>
      <w:r w:rsidRPr="001558A5">
        <w:rPr>
          <w:i/>
          <w:lang w:val="en-US"/>
        </w:rPr>
        <w:t xml:space="preserve"> </w:t>
      </w:r>
      <w:r w:rsidR="00D11908" w:rsidRPr="001558A5">
        <w:rPr>
          <w:i/>
          <w:lang w:val="en-US"/>
        </w:rPr>
        <w:t>Peru</w:t>
      </w:r>
      <w:r w:rsidRPr="001558A5">
        <w:rPr>
          <w:i/>
          <w:lang w:val="en-US"/>
        </w:rPr>
        <w:t xml:space="preserve">, supra, </w:t>
      </w:r>
      <w:r w:rsidR="00B43A52" w:rsidRPr="001558A5">
        <w:rPr>
          <w:iCs/>
          <w:lang w:val="en-US"/>
        </w:rPr>
        <w:t>para.</w:t>
      </w:r>
      <w:r w:rsidRPr="001558A5">
        <w:rPr>
          <w:iCs/>
          <w:lang w:val="en-US"/>
        </w:rPr>
        <w:t xml:space="preserve"> 445</w:t>
      </w:r>
      <w:r w:rsidRPr="001558A5">
        <w:rPr>
          <w:i/>
          <w:lang w:val="en-US"/>
        </w:rPr>
        <w:t>,</w:t>
      </w:r>
      <w:r w:rsidR="00DD4354" w:rsidRPr="001558A5">
        <w:rPr>
          <w:i/>
          <w:lang w:val="en-US"/>
        </w:rPr>
        <w:t xml:space="preserve"> and </w:t>
      </w:r>
      <w:r w:rsidR="00871E19" w:rsidRPr="001558A5">
        <w:rPr>
          <w:i/>
          <w:lang w:val="en-US"/>
        </w:rPr>
        <w:t>Case of</w:t>
      </w:r>
      <w:r w:rsidRPr="001558A5">
        <w:rPr>
          <w:i/>
          <w:lang w:val="en-US"/>
        </w:rPr>
        <w:t xml:space="preserve"> </w:t>
      </w:r>
      <w:r w:rsidR="0026713C" w:rsidRPr="001558A5">
        <w:rPr>
          <w:i/>
          <w:lang w:val="en-US"/>
        </w:rPr>
        <w:t>Women Victims of Sexual Torture in</w:t>
      </w:r>
      <w:r w:rsidRPr="001558A5">
        <w:rPr>
          <w:i/>
          <w:lang w:val="en-US"/>
        </w:rPr>
        <w:t xml:space="preserve"> </w:t>
      </w:r>
      <w:proofErr w:type="spellStart"/>
      <w:r w:rsidRPr="001558A5">
        <w:rPr>
          <w:i/>
          <w:lang w:val="en-US"/>
        </w:rPr>
        <w:t>Atenco</w:t>
      </w:r>
      <w:proofErr w:type="spellEnd"/>
      <w:r w:rsidRPr="001558A5">
        <w:rPr>
          <w:i/>
          <w:lang w:val="en-US"/>
        </w:rPr>
        <w:t xml:space="preserve"> </w:t>
      </w:r>
      <w:r w:rsidR="00871E19" w:rsidRPr="001558A5">
        <w:rPr>
          <w:i/>
          <w:lang w:val="en-US"/>
        </w:rPr>
        <w:t>v.</w:t>
      </w:r>
      <w:r w:rsidRPr="001558A5">
        <w:rPr>
          <w:i/>
          <w:lang w:val="en-US"/>
        </w:rPr>
        <w:t xml:space="preserve"> </w:t>
      </w:r>
      <w:r w:rsidR="0026713C" w:rsidRPr="001558A5">
        <w:rPr>
          <w:i/>
          <w:lang w:val="en-US"/>
        </w:rPr>
        <w:t>Mexico</w:t>
      </w:r>
      <w:r w:rsidRPr="001558A5">
        <w:rPr>
          <w:i/>
          <w:lang w:val="en-US"/>
        </w:rPr>
        <w:t xml:space="preserve">. </w:t>
      </w:r>
      <w:proofErr w:type="gramStart"/>
      <w:r w:rsidRPr="001558A5">
        <w:rPr>
          <w:i/>
          <w:lang w:val="en-US"/>
        </w:rPr>
        <w:t>supra</w:t>
      </w:r>
      <w:proofErr w:type="gramEnd"/>
      <w:r w:rsidRPr="001558A5">
        <w:rPr>
          <w:i/>
          <w:lang w:val="en-US"/>
        </w:rPr>
        <w:t xml:space="preserve">, </w:t>
      </w:r>
      <w:r w:rsidR="00B43A52" w:rsidRPr="001558A5">
        <w:rPr>
          <w:iCs/>
          <w:lang w:val="en-US"/>
        </w:rPr>
        <w:t>para.</w:t>
      </w:r>
      <w:r w:rsidRPr="001558A5">
        <w:rPr>
          <w:iCs/>
          <w:lang w:val="en-US"/>
        </w:rPr>
        <w:t xml:space="preserve"> 348.</w:t>
      </w:r>
    </w:p>
  </w:footnote>
  <w:footnote w:id="179">
    <w:p w14:paraId="52174F01" w14:textId="08FCB7C0"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26713C" w:rsidRPr="001558A5">
        <w:rPr>
          <w:lang w:val="en-US"/>
        </w:rPr>
        <w:t>Affidavits of</w:t>
      </w:r>
      <w:r w:rsidRPr="001558A5">
        <w:rPr>
          <w:lang w:val="en-US"/>
        </w:rPr>
        <w:t xml:space="preserve"> Rosa </w:t>
      </w:r>
      <w:proofErr w:type="spellStart"/>
      <w:r w:rsidRPr="001558A5">
        <w:rPr>
          <w:lang w:val="en-US"/>
        </w:rPr>
        <w:t>Argelia</w:t>
      </w:r>
      <w:proofErr w:type="spellEnd"/>
      <w:r w:rsidRPr="001558A5">
        <w:rPr>
          <w:lang w:val="en-US"/>
        </w:rPr>
        <w:t xml:space="preserve"> Hernández </w:t>
      </w:r>
      <w:proofErr w:type="spellStart"/>
      <w:r w:rsidRPr="001558A5">
        <w:rPr>
          <w:lang w:val="en-US"/>
        </w:rPr>
        <w:t>Martínez</w:t>
      </w:r>
      <w:proofErr w:type="spellEnd"/>
      <w:r w:rsidR="00DD4354" w:rsidRPr="001558A5">
        <w:rPr>
          <w:lang w:val="en-US"/>
        </w:rPr>
        <w:t xml:space="preserve"> and </w:t>
      </w:r>
      <w:proofErr w:type="spellStart"/>
      <w:r w:rsidRPr="001558A5">
        <w:rPr>
          <w:lang w:val="en-US"/>
        </w:rPr>
        <w:t>Merelin</w:t>
      </w:r>
      <w:proofErr w:type="spellEnd"/>
      <w:r w:rsidRPr="001558A5">
        <w:rPr>
          <w:lang w:val="en-US"/>
        </w:rPr>
        <w:t xml:space="preserve"> Tatiana </w:t>
      </w:r>
      <w:proofErr w:type="spellStart"/>
      <w:r w:rsidRPr="001558A5">
        <w:rPr>
          <w:lang w:val="en-US"/>
        </w:rPr>
        <w:t>Rápalo</w:t>
      </w:r>
      <w:proofErr w:type="spellEnd"/>
      <w:r w:rsidRPr="001558A5">
        <w:rPr>
          <w:lang w:val="en-US"/>
        </w:rPr>
        <w:t xml:space="preserve"> Hernández (</w:t>
      </w:r>
      <w:r w:rsidR="00D11908" w:rsidRPr="001558A5">
        <w:rPr>
          <w:lang w:val="en-US"/>
        </w:rPr>
        <w:t>evidence file</w:t>
      </w:r>
      <w:r w:rsidRPr="001558A5">
        <w:rPr>
          <w:lang w:val="en-US"/>
        </w:rPr>
        <w:t>, folios 1520</w:t>
      </w:r>
      <w:r w:rsidR="00DD4354" w:rsidRPr="001558A5">
        <w:rPr>
          <w:lang w:val="en-US"/>
        </w:rPr>
        <w:t xml:space="preserve"> and </w:t>
      </w:r>
      <w:r w:rsidRPr="001558A5">
        <w:rPr>
          <w:lang w:val="en-US"/>
        </w:rPr>
        <w:t>1525).</w:t>
      </w:r>
    </w:p>
  </w:footnote>
  <w:footnote w:id="180">
    <w:p w14:paraId="11143BDD" w14:textId="11DB2B8D"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871E19" w:rsidRPr="001558A5">
        <w:rPr>
          <w:i/>
          <w:iCs/>
          <w:lang w:val="en-US"/>
        </w:rPr>
        <w:t>Case of</w:t>
      </w:r>
      <w:r w:rsidRPr="001558A5">
        <w:rPr>
          <w:i/>
          <w:iCs/>
          <w:lang w:val="en-US"/>
        </w:rPr>
        <w:t xml:space="preserve"> </w:t>
      </w:r>
      <w:proofErr w:type="spellStart"/>
      <w:r w:rsidRPr="001558A5">
        <w:rPr>
          <w:i/>
          <w:iCs/>
          <w:lang w:val="en-US"/>
        </w:rPr>
        <w:t>Cepeda</w:t>
      </w:r>
      <w:proofErr w:type="spellEnd"/>
      <w:r w:rsidRPr="001558A5">
        <w:rPr>
          <w:i/>
          <w:iCs/>
          <w:lang w:val="en-US"/>
        </w:rPr>
        <w:t xml:space="preserve"> Vargas </w:t>
      </w:r>
      <w:r w:rsidR="00871E19" w:rsidRPr="001558A5">
        <w:rPr>
          <w:i/>
          <w:iCs/>
          <w:lang w:val="en-US"/>
        </w:rPr>
        <w:t>v.</w:t>
      </w:r>
      <w:r w:rsidRPr="001558A5">
        <w:rPr>
          <w:i/>
          <w:iCs/>
          <w:lang w:val="en-US"/>
        </w:rPr>
        <w:t xml:space="preserve"> Colombia. </w:t>
      </w:r>
      <w:r w:rsidR="00B43A52" w:rsidRPr="001558A5">
        <w:rPr>
          <w:i/>
          <w:iCs/>
          <w:lang w:val="en-US"/>
        </w:rPr>
        <w:t>Preliminary objections, merits, reparations and costs</w:t>
      </w:r>
      <w:r w:rsidRPr="001558A5">
        <w:rPr>
          <w:lang w:val="en-US"/>
        </w:rPr>
        <w:t xml:space="preserve">. </w:t>
      </w:r>
      <w:r w:rsidR="00871E19" w:rsidRPr="001558A5">
        <w:rPr>
          <w:lang w:val="en-US"/>
        </w:rPr>
        <w:t>Judgment of</w:t>
      </w:r>
      <w:r w:rsidRPr="001558A5">
        <w:rPr>
          <w:lang w:val="en-US"/>
        </w:rPr>
        <w:t xml:space="preserve"> </w:t>
      </w:r>
      <w:r w:rsidR="00F30DB9" w:rsidRPr="001558A5">
        <w:rPr>
          <w:lang w:val="en-US"/>
        </w:rPr>
        <w:t>May 26,</w:t>
      </w:r>
      <w:r w:rsidRPr="001558A5">
        <w:rPr>
          <w:lang w:val="en-US"/>
        </w:rPr>
        <w:t xml:space="preserve"> 2010. </w:t>
      </w:r>
      <w:r w:rsidR="00B43A52" w:rsidRPr="001558A5">
        <w:rPr>
          <w:lang w:val="en-US"/>
        </w:rPr>
        <w:t xml:space="preserve">Series </w:t>
      </w:r>
      <w:r w:rsidRPr="001558A5">
        <w:rPr>
          <w:lang w:val="en-US"/>
        </w:rPr>
        <w:t xml:space="preserve">C No. 213, </w:t>
      </w:r>
      <w:r w:rsidR="00675A99" w:rsidRPr="001558A5">
        <w:rPr>
          <w:lang w:val="en-US"/>
        </w:rPr>
        <w:t>paras.</w:t>
      </w:r>
      <w:r w:rsidRPr="001558A5">
        <w:rPr>
          <w:lang w:val="en-US"/>
        </w:rPr>
        <w:t xml:space="preserve"> 228 </w:t>
      </w:r>
      <w:r w:rsidR="00F30DB9" w:rsidRPr="001558A5">
        <w:rPr>
          <w:lang w:val="en-US"/>
        </w:rPr>
        <w:t>to</w:t>
      </w:r>
      <w:r w:rsidRPr="001558A5">
        <w:rPr>
          <w:lang w:val="en-US"/>
        </w:rPr>
        <w:t xml:space="preserve"> 230,</w:t>
      </w:r>
      <w:r w:rsidR="00DD4354" w:rsidRPr="001558A5">
        <w:rPr>
          <w:lang w:val="en-US"/>
        </w:rPr>
        <w:t xml:space="preserve"> and </w:t>
      </w:r>
      <w:r w:rsidR="00871E19" w:rsidRPr="001558A5">
        <w:rPr>
          <w:i/>
          <w:iCs/>
          <w:lang w:val="en-US"/>
        </w:rPr>
        <w:t>Case of</w:t>
      </w:r>
      <w:r w:rsidRPr="001558A5">
        <w:rPr>
          <w:i/>
          <w:iCs/>
          <w:lang w:val="en-US"/>
        </w:rPr>
        <w:t xml:space="preserve"> </w:t>
      </w:r>
      <w:r w:rsidR="00F30DB9" w:rsidRPr="001558A5">
        <w:rPr>
          <w:i/>
          <w:iCs/>
          <w:lang w:val="en-US"/>
        </w:rPr>
        <w:t>the Massacres of</w:t>
      </w:r>
      <w:r w:rsidRPr="001558A5">
        <w:rPr>
          <w:i/>
          <w:iCs/>
          <w:lang w:val="en-US"/>
        </w:rPr>
        <w:t xml:space="preserve"> El </w:t>
      </w:r>
      <w:proofErr w:type="spellStart"/>
      <w:r w:rsidRPr="001558A5">
        <w:rPr>
          <w:i/>
          <w:iCs/>
          <w:lang w:val="en-US"/>
        </w:rPr>
        <w:t>Mozote</w:t>
      </w:r>
      <w:proofErr w:type="spellEnd"/>
      <w:r w:rsidR="00DD4354" w:rsidRPr="001558A5">
        <w:rPr>
          <w:i/>
          <w:iCs/>
          <w:lang w:val="en-US"/>
        </w:rPr>
        <w:t xml:space="preserve"> and </w:t>
      </w:r>
      <w:r w:rsidR="00F30DB9" w:rsidRPr="001558A5">
        <w:rPr>
          <w:i/>
          <w:iCs/>
          <w:lang w:val="en-US"/>
        </w:rPr>
        <w:t>neighboring places</w:t>
      </w:r>
      <w:r w:rsidRPr="001558A5">
        <w:rPr>
          <w:i/>
          <w:iCs/>
          <w:lang w:val="en-US"/>
        </w:rPr>
        <w:t xml:space="preserve"> </w:t>
      </w:r>
      <w:r w:rsidR="00871E19" w:rsidRPr="001558A5">
        <w:rPr>
          <w:i/>
          <w:iCs/>
          <w:lang w:val="en-US"/>
        </w:rPr>
        <w:t>v.</w:t>
      </w:r>
      <w:r w:rsidRPr="001558A5">
        <w:rPr>
          <w:i/>
          <w:iCs/>
          <w:lang w:val="en-US"/>
        </w:rPr>
        <w:t xml:space="preserve"> El Salvador. </w:t>
      </w:r>
      <w:r w:rsidR="00B43A52" w:rsidRPr="001558A5">
        <w:rPr>
          <w:i/>
          <w:iCs/>
          <w:lang w:val="en-US"/>
        </w:rPr>
        <w:t>Merits, reparations and costs</w:t>
      </w:r>
      <w:r w:rsidRPr="001558A5">
        <w:rPr>
          <w:lang w:val="en-US"/>
        </w:rPr>
        <w:t xml:space="preserve">. </w:t>
      </w:r>
      <w:r w:rsidR="00871E19" w:rsidRPr="001558A5">
        <w:rPr>
          <w:lang w:val="en-US"/>
        </w:rPr>
        <w:t>Judgment of</w:t>
      </w:r>
      <w:r w:rsidRPr="001558A5">
        <w:rPr>
          <w:lang w:val="en-US"/>
        </w:rPr>
        <w:t xml:space="preserve"> </w:t>
      </w:r>
      <w:r w:rsidR="00F30DB9" w:rsidRPr="001558A5">
        <w:rPr>
          <w:lang w:val="en-US"/>
        </w:rPr>
        <w:t>October 25,</w:t>
      </w:r>
      <w:r w:rsidRPr="001558A5">
        <w:rPr>
          <w:lang w:val="en-US"/>
        </w:rPr>
        <w:t xml:space="preserve"> 2012. </w:t>
      </w:r>
      <w:r w:rsidR="00B43A52" w:rsidRPr="001558A5">
        <w:rPr>
          <w:lang w:val="en-US"/>
        </w:rPr>
        <w:t xml:space="preserve">Series </w:t>
      </w:r>
      <w:r w:rsidRPr="001558A5">
        <w:rPr>
          <w:lang w:val="en-US"/>
        </w:rPr>
        <w:t xml:space="preserve">C No. 252, </w:t>
      </w:r>
      <w:r w:rsidR="00B43A52" w:rsidRPr="001558A5">
        <w:rPr>
          <w:lang w:val="en-US"/>
        </w:rPr>
        <w:t>para.</w:t>
      </w:r>
      <w:r w:rsidRPr="001558A5">
        <w:rPr>
          <w:lang w:val="en-US"/>
        </w:rPr>
        <w:t xml:space="preserve"> 365.</w:t>
      </w:r>
    </w:p>
  </w:footnote>
  <w:footnote w:id="181">
    <w:p w14:paraId="5F1CF31D" w14:textId="29A345F6"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F30DB9" w:rsidRPr="001558A5">
        <w:rPr>
          <w:lang w:val="en-US"/>
        </w:rPr>
        <w:t>See, for example</w:t>
      </w:r>
      <w:r w:rsidRPr="001558A5">
        <w:rPr>
          <w:lang w:val="en-US"/>
        </w:rPr>
        <w:t>,</w:t>
      </w:r>
      <w:r w:rsidRPr="001558A5">
        <w:rPr>
          <w:i/>
          <w:iCs/>
          <w:lang w:val="en-US"/>
        </w:rPr>
        <w:t xml:space="preserve"> </w:t>
      </w:r>
      <w:r w:rsidR="00871E19" w:rsidRPr="001558A5">
        <w:rPr>
          <w:i/>
          <w:iCs/>
          <w:lang w:val="en-US"/>
        </w:rPr>
        <w:t>Case of</w:t>
      </w:r>
      <w:r w:rsidRPr="001558A5">
        <w:rPr>
          <w:i/>
          <w:iCs/>
          <w:lang w:val="en-US"/>
        </w:rPr>
        <w:t xml:space="preserve"> </w:t>
      </w:r>
      <w:proofErr w:type="spellStart"/>
      <w:r w:rsidRPr="001558A5">
        <w:rPr>
          <w:i/>
          <w:iCs/>
          <w:lang w:val="en-US"/>
        </w:rPr>
        <w:t>Cepeda</w:t>
      </w:r>
      <w:proofErr w:type="spellEnd"/>
      <w:r w:rsidRPr="001558A5">
        <w:rPr>
          <w:i/>
          <w:iCs/>
          <w:lang w:val="en-US"/>
        </w:rPr>
        <w:t xml:space="preserve"> Vargas </w:t>
      </w:r>
      <w:r w:rsidR="00871E19" w:rsidRPr="001558A5">
        <w:rPr>
          <w:i/>
          <w:iCs/>
          <w:lang w:val="en-US"/>
        </w:rPr>
        <w:t>v.</w:t>
      </w:r>
      <w:r w:rsidRPr="001558A5">
        <w:rPr>
          <w:i/>
          <w:iCs/>
          <w:lang w:val="en-US"/>
        </w:rPr>
        <w:t xml:space="preserve"> Colombia</w:t>
      </w:r>
      <w:r w:rsidRPr="001558A5">
        <w:rPr>
          <w:lang w:val="en-US"/>
        </w:rPr>
        <w:t xml:space="preserve">, </w:t>
      </w:r>
      <w:r w:rsidRPr="001558A5">
        <w:rPr>
          <w:i/>
          <w:iCs/>
          <w:lang w:val="en-US"/>
        </w:rPr>
        <w:t>supra</w:t>
      </w:r>
      <w:r w:rsidRPr="001558A5">
        <w:rPr>
          <w:lang w:val="en-US"/>
        </w:rPr>
        <w:t xml:space="preserve">, </w:t>
      </w:r>
      <w:r w:rsidR="00675A99" w:rsidRPr="001558A5">
        <w:rPr>
          <w:lang w:val="en-US"/>
        </w:rPr>
        <w:t>para.</w:t>
      </w:r>
      <w:r w:rsidRPr="001558A5">
        <w:rPr>
          <w:lang w:val="en-US"/>
        </w:rPr>
        <w:t xml:space="preserve"> 233.</w:t>
      </w:r>
    </w:p>
  </w:footnote>
  <w:footnote w:id="182">
    <w:p w14:paraId="52A0A7B0" w14:textId="703DDABD" w:rsidR="005977F6" w:rsidRPr="001558A5" w:rsidRDefault="005977F6" w:rsidP="000B2BB5">
      <w:pPr>
        <w:tabs>
          <w:tab w:val="left" w:pos="360"/>
        </w:tabs>
        <w:spacing w:before="120" w:after="120"/>
        <w:rPr>
          <w:rFonts w:eastAsia="Times New Roman"/>
          <w:sz w:val="16"/>
          <w:szCs w:val="16"/>
          <w:lang w:val="en-US"/>
        </w:rPr>
      </w:pPr>
      <w:r w:rsidRPr="001558A5">
        <w:rPr>
          <w:rStyle w:val="Refdenotaalpie"/>
          <w:sz w:val="16"/>
          <w:szCs w:val="16"/>
          <w:lang w:val="en-US"/>
        </w:rPr>
        <w:footnoteRef/>
      </w:r>
      <w:r w:rsidRPr="001558A5">
        <w:rPr>
          <w:sz w:val="16"/>
          <w:szCs w:val="16"/>
          <w:lang w:val="en-US"/>
        </w:rPr>
        <w:tab/>
      </w:r>
      <w:r w:rsidR="00871E19" w:rsidRPr="001558A5">
        <w:rPr>
          <w:i/>
          <w:iCs/>
          <w:sz w:val="16"/>
          <w:szCs w:val="16"/>
          <w:lang w:val="en-US"/>
        </w:rPr>
        <w:t>Cf.</w:t>
      </w:r>
      <w:r w:rsidRPr="001558A5">
        <w:rPr>
          <w:i/>
          <w:iCs/>
          <w:sz w:val="16"/>
          <w:szCs w:val="16"/>
          <w:lang w:val="en-US"/>
        </w:rPr>
        <w:t xml:space="preserve"> </w:t>
      </w:r>
      <w:r w:rsidR="00871E19" w:rsidRPr="001558A5">
        <w:rPr>
          <w:i/>
          <w:iCs/>
          <w:sz w:val="16"/>
          <w:szCs w:val="16"/>
          <w:lang w:val="en-US"/>
        </w:rPr>
        <w:t>Case of</w:t>
      </w:r>
      <w:r w:rsidRPr="001558A5">
        <w:rPr>
          <w:i/>
          <w:iCs/>
          <w:sz w:val="16"/>
          <w:szCs w:val="16"/>
          <w:lang w:val="en-US"/>
        </w:rPr>
        <w:t xml:space="preserve"> Barrios Altos </w:t>
      </w:r>
      <w:r w:rsidR="00871E19" w:rsidRPr="001558A5">
        <w:rPr>
          <w:i/>
          <w:iCs/>
          <w:sz w:val="16"/>
          <w:szCs w:val="16"/>
          <w:lang w:val="en-US"/>
        </w:rPr>
        <w:t>v.</w:t>
      </w:r>
      <w:r w:rsidRPr="001558A5">
        <w:rPr>
          <w:i/>
          <w:iCs/>
          <w:sz w:val="16"/>
          <w:szCs w:val="16"/>
          <w:lang w:val="en-US"/>
        </w:rPr>
        <w:t xml:space="preserve"> </w:t>
      </w:r>
      <w:r w:rsidR="00D11908" w:rsidRPr="001558A5">
        <w:rPr>
          <w:i/>
          <w:iCs/>
          <w:sz w:val="16"/>
          <w:szCs w:val="16"/>
          <w:lang w:val="en-US"/>
        </w:rPr>
        <w:t>Peru</w:t>
      </w:r>
      <w:r w:rsidRPr="001558A5">
        <w:rPr>
          <w:i/>
          <w:iCs/>
          <w:sz w:val="16"/>
          <w:szCs w:val="16"/>
          <w:lang w:val="en-US"/>
        </w:rPr>
        <w:t xml:space="preserve">. </w:t>
      </w:r>
      <w:r w:rsidR="00B43A52" w:rsidRPr="001558A5">
        <w:rPr>
          <w:i/>
          <w:iCs/>
          <w:sz w:val="16"/>
          <w:szCs w:val="16"/>
          <w:lang w:val="en-US"/>
        </w:rPr>
        <w:t>Reparations and costs</w:t>
      </w:r>
      <w:r w:rsidRPr="001558A5">
        <w:rPr>
          <w:i/>
          <w:iCs/>
          <w:sz w:val="16"/>
          <w:szCs w:val="16"/>
          <w:lang w:val="en-US"/>
        </w:rPr>
        <w:t>, supra</w:t>
      </w:r>
      <w:r w:rsidRPr="001558A5">
        <w:rPr>
          <w:sz w:val="16"/>
          <w:szCs w:val="16"/>
          <w:lang w:val="en-US"/>
        </w:rPr>
        <w:t xml:space="preserve">, </w:t>
      </w:r>
      <w:r w:rsidR="00B43A52" w:rsidRPr="001558A5">
        <w:rPr>
          <w:sz w:val="16"/>
          <w:szCs w:val="16"/>
          <w:lang w:val="en-US"/>
        </w:rPr>
        <w:t>para.</w:t>
      </w:r>
      <w:r w:rsidRPr="001558A5">
        <w:rPr>
          <w:sz w:val="16"/>
          <w:szCs w:val="16"/>
          <w:lang w:val="en-US"/>
        </w:rPr>
        <w:t xml:space="preserve"> 42</w:t>
      </w:r>
      <w:r w:rsidR="00DD4354" w:rsidRPr="001558A5">
        <w:rPr>
          <w:sz w:val="16"/>
          <w:szCs w:val="16"/>
          <w:lang w:val="en-US"/>
        </w:rPr>
        <w:t xml:space="preserve"> and </w:t>
      </w:r>
      <w:r w:rsidRPr="001558A5">
        <w:rPr>
          <w:sz w:val="16"/>
          <w:szCs w:val="16"/>
          <w:lang w:val="en-US"/>
        </w:rPr>
        <w:t>45,</w:t>
      </w:r>
      <w:r w:rsidR="00DD4354" w:rsidRPr="001558A5">
        <w:rPr>
          <w:sz w:val="16"/>
          <w:szCs w:val="16"/>
          <w:lang w:val="en-US"/>
        </w:rPr>
        <w:t xml:space="preserve"> and </w:t>
      </w:r>
      <w:r w:rsidR="00871E19" w:rsidRPr="001558A5">
        <w:rPr>
          <w:i/>
          <w:iCs/>
          <w:sz w:val="16"/>
          <w:szCs w:val="16"/>
          <w:lang w:val="en-US"/>
        </w:rPr>
        <w:t>Case of</w:t>
      </w:r>
      <w:r w:rsidRPr="001558A5">
        <w:rPr>
          <w:i/>
          <w:iCs/>
          <w:sz w:val="16"/>
          <w:szCs w:val="16"/>
          <w:lang w:val="en-US"/>
        </w:rPr>
        <w:t xml:space="preserve"> Olivares Muñoz</w:t>
      </w:r>
      <w:r w:rsidR="00DD4354" w:rsidRPr="001558A5">
        <w:rPr>
          <w:i/>
          <w:iCs/>
          <w:sz w:val="16"/>
          <w:szCs w:val="16"/>
          <w:lang w:val="en-US"/>
        </w:rPr>
        <w:t xml:space="preserve"> </w:t>
      </w:r>
      <w:r w:rsidR="004F4F9C" w:rsidRPr="001558A5">
        <w:rPr>
          <w:i/>
          <w:iCs/>
          <w:sz w:val="16"/>
          <w:szCs w:val="16"/>
          <w:lang w:val="en-US"/>
        </w:rPr>
        <w:t>et al. v.</w:t>
      </w:r>
      <w:r w:rsidRPr="001558A5">
        <w:rPr>
          <w:i/>
          <w:iCs/>
          <w:sz w:val="16"/>
          <w:szCs w:val="16"/>
          <w:lang w:val="en-US"/>
        </w:rPr>
        <w:t xml:space="preserve"> Venezuela, supra</w:t>
      </w:r>
      <w:r w:rsidRPr="001558A5">
        <w:rPr>
          <w:sz w:val="16"/>
          <w:szCs w:val="16"/>
          <w:lang w:val="en-US"/>
        </w:rPr>
        <w:t xml:space="preserve">, </w:t>
      </w:r>
      <w:r w:rsidR="00B43A52" w:rsidRPr="001558A5">
        <w:rPr>
          <w:sz w:val="16"/>
          <w:szCs w:val="16"/>
          <w:lang w:val="en-US"/>
        </w:rPr>
        <w:t>para.</w:t>
      </w:r>
      <w:r w:rsidRPr="001558A5">
        <w:rPr>
          <w:sz w:val="16"/>
          <w:szCs w:val="16"/>
          <w:lang w:val="en-US"/>
        </w:rPr>
        <w:t xml:space="preserve"> 156.</w:t>
      </w:r>
    </w:p>
  </w:footnote>
  <w:footnote w:id="183">
    <w:p w14:paraId="1356E350" w14:textId="7C099783"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C43A37" w:rsidRPr="001558A5">
        <w:rPr>
          <w:i/>
          <w:iCs/>
          <w:lang w:val="en-US"/>
        </w:rPr>
        <w:t>Advisory Opinion</w:t>
      </w:r>
      <w:r w:rsidRPr="001558A5">
        <w:rPr>
          <w:i/>
          <w:iCs/>
          <w:lang w:val="en-US"/>
        </w:rPr>
        <w:t xml:space="preserve"> OC-24/17</w:t>
      </w:r>
      <w:r w:rsidRPr="001558A5">
        <w:rPr>
          <w:lang w:val="en-US"/>
        </w:rPr>
        <w:t xml:space="preserve">, </w:t>
      </w:r>
      <w:r w:rsidRPr="001558A5">
        <w:rPr>
          <w:i/>
          <w:iCs/>
          <w:lang w:val="en-US"/>
        </w:rPr>
        <w:t>supra</w:t>
      </w:r>
      <w:r w:rsidRPr="001558A5">
        <w:rPr>
          <w:lang w:val="en-US"/>
        </w:rPr>
        <w:t xml:space="preserve">, </w:t>
      </w:r>
      <w:r w:rsidR="00675A99" w:rsidRPr="001558A5">
        <w:rPr>
          <w:lang w:val="en-US"/>
        </w:rPr>
        <w:t>paras.</w:t>
      </w:r>
      <w:r w:rsidRPr="001558A5">
        <w:rPr>
          <w:lang w:val="en-US"/>
        </w:rPr>
        <w:t xml:space="preserve"> 160</w:t>
      </w:r>
      <w:r w:rsidR="00DD4354" w:rsidRPr="001558A5">
        <w:rPr>
          <w:lang w:val="en-US"/>
        </w:rPr>
        <w:t xml:space="preserve"> and </w:t>
      </w:r>
      <w:r w:rsidRPr="001558A5">
        <w:rPr>
          <w:lang w:val="en-US"/>
        </w:rPr>
        <w:t xml:space="preserve">161. </w:t>
      </w:r>
    </w:p>
  </w:footnote>
  <w:footnote w:id="184">
    <w:p w14:paraId="2A848E07" w14:textId="06ABF973"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iCs/>
          <w:lang w:val="en-US"/>
        </w:rPr>
        <w:t>Cf.</w:t>
      </w:r>
      <w:r w:rsidRPr="001558A5">
        <w:rPr>
          <w:i/>
          <w:iCs/>
          <w:lang w:val="en-US"/>
        </w:rPr>
        <w:t xml:space="preserve"> </w:t>
      </w:r>
      <w:r w:rsidR="00871E19" w:rsidRPr="001558A5">
        <w:rPr>
          <w:i/>
          <w:iCs/>
          <w:lang w:val="en-US"/>
        </w:rPr>
        <w:t>Case of</w:t>
      </w:r>
      <w:r w:rsidRPr="001558A5">
        <w:rPr>
          <w:i/>
          <w:iCs/>
          <w:lang w:val="en-US"/>
        </w:rPr>
        <w:t xml:space="preserve"> Azul Rojas </w:t>
      </w:r>
      <w:proofErr w:type="spellStart"/>
      <w:r w:rsidR="00C909B4" w:rsidRPr="001558A5">
        <w:rPr>
          <w:i/>
          <w:iCs/>
          <w:lang w:val="en-US"/>
        </w:rPr>
        <w:t>Marín</w:t>
      </w:r>
      <w:proofErr w:type="spellEnd"/>
      <w:r w:rsidR="00C909B4" w:rsidRPr="001558A5">
        <w:rPr>
          <w:i/>
          <w:iCs/>
          <w:lang w:val="en-US"/>
        </w:rPr>
        <w:t xml:space="preserve"> et al.</w:t>
      </w:r>
      <w:r w:rsidRPr="001558A5">
        <w:rPr>
          <w:i/>
          <w:iCs/>
          <w:lang w:val="en-US"/>
        </w:rPr>
        <w:t xml:space="preserve"> </w:t>
      </w:r>
      <w:r w:rsidR="00871E19" w:rsidRPr="001558A5">
        <w:rPr>
          <w:i/>
          <w:iCs/>
          <w:lang w:val="en-US"/>
        </w:rPr>
        <w:t>v.</w:t>
      </w:r>
      <w:r w:rsidRPr="001558A5">
        <w:rPr>
          <w:i/>
          <w:iCs/>
          <w:lang w:val="en-US"/>
        </w:rPr>
        <w:t xml:space="preserve"> </w:t>
      </w:r>
      <w:r w:rsidR="00D11908" w:rsidRPr="001558A5">
        <w:rPr>
          <w:i/>
          <w:iCs/>
          <w:lang w:val="en-US"/>
        </w:rPr>
        <w:t>Peru</w:t>
      </w:r>
      <w:r w:rsidRPr="001558A5">
        <w:rPr>
          <w:lang w:val="en-US"/>
        </w:rPr>
        <w:t xml:space="preserve">, </w:t>
      </w:r>
      <w:r w:rsidRPr="001558A5">
        <w:rPr>
          <w:i/>
          <w:iCs/>
          <w:lang w:val="en-US"/>
        </w:rPr>
        <w:t>supra</w:t>
      </w:r>
      <w:r w:rsidRPr="001558A5">
        <w:rPr>
          <w:lang w:val="en-US"/>
        </w:rPr>
        <w:t xml:space="preserve">, </w:t>
      </w:r>
      <w:r w:rsidR="00B43A52" w:rsidRPr="001558A5">
        <w:rPr>
          <w:lang w:val="en-US"/>
        </w:rPr>
        <w:t>para.</w:t>
      </w:r>
      <w:r w:rsidRPr="001558A5">
        <w:rPr>
          <w:lang w:val="en-US"/>
        </w:rPr>
        <w:t xml:space="preserve"> 252.</w:t>
      </w:r>
    </w:p>
  </w:footnote>
  <w:footnote w:id="185">
    <w:p w14:paraId="3C9A24F4" w14:textId="7B9F780D"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2E2F18" w:rsidRPr="001558A5">
        <w:rPr>
          <w:lang w:val="en-US"/>
        </w:rPr>
        <w:t>They indicated that in view of the lack of response of judicial a</w:t>
      </w:r>
      <w:r w:rsidR="00651B7F" w:rsidRPr="001558A5">
        <w:rPr>
          <w:lang w:val="en-US"/>
        </w:rPr>
        <w:t>uthoritie</w:t>
      </w:r>
      <w:r w:rsidR="002E2F18" w:rsidRPr="001558A5">
        <w:rPr>
          <w:lang w:val="en-US"/>
        </w:rPr>
        <w:t>s and prosecutors to the human rights violations experienced by LGBTI persons</w:t>
      </w:r>
      <w:r w:rsidR="00651B7F" w:rsidRPr="001558A5">
        <w:rPr>
          <w:lang w:val="en-US"/>
        </w:rPr>
        <w:t xml:space="preserve"> it was necessary for the Court to order the State to </w:t>
      </w:r>
      <w:r w:rsidR="009A506F" w:rsidRPr="001558A5">
        <w:rPr>
          <w:lang w:val="en-US"/>
        </w:rPr>
        <w:t>educate</w:t>
      </w:r>
      <w:r w:rsidR="00651B7F" w:rsidRPr="001558A5">
        <w:rPr>
          <w:lang w:val="en-US"/>
        </w:rPr>
        <w:t xml:space="preserve"> judicial authorities and prosecutors on the </w:t>
      </w:r>
      <w:r w:rsidR="009A506F" w:rsidRPr="001558A5">
        <w:rPr>
          <w:lang w:val="en-US"/>
        </w:rPr>
        <w:t>content of</w:t>
      </w:r>
      <w:r w:rsidR="00651B7F" w:rsidRPr="001558A5">
        <w:rPr>
          <w:lang w:val="en-US"/>
        </w:rPr>
        <w:t xml:space="preserve"> crimes based on sexual orientation, gender identity and gender expression, especially those involving public incitement of discrimination, so that the perpetrators, including political or religious leaders, </w:t>
      </w:r>
      <w:r w:rsidR="009A506F" w:rsidRPr="001558A5">
        <w:rPr>
          <w:lang w:val="en-US"/>
        </w:rPr>
        <w:t>could be</w:t>
      </w:r>
      <w:r w:rsidR="00651B7F" w:rsidRPr="001558A5">
        <w:rPr>
          <w:lang w:val="en-US"/>
        </w:rPr>
        <w:t xml:space="preserve"> prosecuted and convicted, and that the sentences imposed </w:t>
      </w:r>
      <w:r w:rsidR="009A506F" w:rsidRPr="001558A5">
        <w:rPr>
          <w:lang w:val="en-US"/>
        </w:rPr>
        <w:t>we</w:t>
      </w:r>
      <w:r w:rsidR="00651B7F" w:rsidRPr="001558A5">
        <w:rPr>
          <w:lang w:val="en-US"/>
        </w:rPr>
        <w:t>re effectively executed.</w:t>
      </w:r>
    </w:p>
  </w:footnote>
  <w:footnote w:id="186">
    <w:p w14:paraId="2616F72A" w14:textId="3B5A2F5E"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BB15A2" w:rsidRPr="001558A5">
        <w:rPr>
          <w:lang w:val="en-US"/>
        </w:rPr>
        <w:t xml:space="preserve">They indicated that Legislative Decree </w:t>
      </w:r>
      <w:r w:rsidRPr="001558A5">
        <w:rPr>
          <w:lang w:val="en-US"/>
        </w:rPr>
        <w:t xml:space="preserve">No. 2-2010 </w:t>
      </w:r>
      <w:r w:rsidR="00BB15A2" w:rsidRPr="001558A5">
        <w:rPr>
          <w:lang w:val="en-US"/>
        </w:rPr>
        <w:t>published on February 2,</w:t>
      </w:r>
      <w:r w:rsidRPr="001558A5">
        <w:rPr>
          <w:lang w:val="en-US"/>
        </w:rPr>
        <w:t xml:space="preserve"> 2010</w:t>
      </w:r>
      <w:r w:rsidR="00BB15A2" w:rsidRPr="001558A5">
        <w:rPr>
          <w:lang w:val="en-US"/>
        </w:rPr>
        <w:t xml:space="preserve">, had permitted </w:t>
      </w:r>
      <w:r w:rsidR="005F48CF" w:rsidRPr="001558A5">
        <w:rPr>
          <w:lang w:val="en-US"/>
        </w:rPr>
        <w:t>numerous</w:t>
      </w:r>
      <w:r w:rsidR="00BB15A2" w:rsidRPr="001558A5">
        <w:rPr>
          <w:lang w:val="en-US"/>
        </w:rPr>
        <w:t xml:space="preserve"> human rights violations committed in the context </w:t>
      </w:r>
      <w:r w:rsidR="00B74256" w:rsidRPr="001558A5">
        <w:rPr>
          <w:lang w:val="en-US"/>
        </w:rPr>
        <w:t>of the coup d’état</w:t>
      </w:r>
      <w:r w:rsidRPr="001558A5">
        <w:rPr>
          <w:lang w:val="en-US"/>
        </w:rPr>
        <w:t xml:space="preserve"> </w:t>
      </w:r>
      <w:r w:rsidR="00215FEF" w:rsidRPr="001558A5">
        <w:rPr>
          <w:lang w:val="en-US"/>
        </w:rPr>
        <w:t>in Honduras</w:t>
      </w:r>
      <w:r w:rsidRPr="001558A5">
        <w:rPr>
          <w:lang w:val="en-US"/>
        </w:rPr>
        <w:t xml:space="preserve"> </w:t>
      </w:r>
      <w:r w:rsidR="00BB15A2" w:rsidRPr="001558A5">
        <w:rPr>
          <w:lang w:val="en-US"/>
        </w:rPr>
        <w:t xml:space="preserve">to remain in impunity, in complete disregard </w:t>
      </w:r>
      <w:r w:rsidR="002A7F80" w:rsidRPr="001558A5">
        <w:rPr>
          <w:lang w:val="en-US"/>
        </w:rPr>
        <w:t>of</w:t>
      </w:r>
      <w:r w:rsidR="00BB15A2" w:rsidRPr="001558A5">
        <w:rPr>
          <w:lang w:val="en-US"/>
        </w:rPr>
        <w:t xml:space="preserve"> the international obligations derived from </w:t>
      </w:r>
      <w:r w:rsidR="00DD4354" w:rsidRPr="001558A5">
        <w:rPr>
          <w:lang w:val="en-US"/>
        </w:rPr>
        <w:t xml:space="preserve">the </w:t>
      </w:r>
      <w:r w:rsidR="00871E19" w:rsidRPr="001558A5">
        <w:rPr>
          <w:lang w:val="en-US"/>
        </w:rPr>
        <w:t>American Convention</w:t>
      </w:r>
      <w:r w:rsidR="00DD4354" w:rsidRPr="001558A5">
        <w:rPr>
          <w:lang w:val="en-US"/>
        </w:rPr>
        <w:t xml:space="preserve"> and</w:t>
      </w:r>
      <w:r w:rsidR="00BB15A2" w:rsidRPr="001558A5">
        <w:rPr>
          <w:lang w:val="en-US"/>
        </w:rPr>
        <w:t xml:space="preserve"> other instruments to which</w:t>
      </w:r>
      <w:r w:rsidR="00DD4354" w:rsidRPr="001558A5">
        <w:rPr>
          <w:lang w:val="en-US"/>
        </w:rPr>
        <w:t xml:space="preserve"> the </w:t>
      </w:r>
      <w:r w:rsidR="00DE0C4B" w:rsidRPr="001558A5">
        <w:rPr>
          <w:lang w:val="en-US"/>
        </w:rPr>
        <w:t>Honduran State</w:t>
      </w:r>
      <w:r w:rsidR="00BB15A2" w:rsidRPr="001558A5">
        <w:rPr>
          <w:lang w:val="en-US"/>
        </w:rPr>
        <w:t xml:space="preserve"> is a party</w:t>
      </w:r>
      <w:r w:rsidRPr="001558A5">
        <w:rPr>
          <w:lang w:val="en-US"/>
        </w:rPr>
        <w:t>.</w:t>
      </w:r>
    </w:p>
  </w:footnote>
  <w:footnote w:id="187">
    <w:p w14:paraId="78E81CAE" w14:textId="70AF9623"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lang w:val="en-US"/>
        </w:rPr>
        <w:t>Cf.</w:t>
      </w:r>
      <w:r w:rsidRPr="001558A5">
        <w:rPr>
          <w:i/>
          <w:lang w:val="en-US"/>
        </w:rPr>
        <w:t xml:space="preserve"> </w:t>
      </w:r>
      <w:r w:rsidR="00871E19" w:rsidRPr="001558A5">
        <w:rPr>
          <w:i/>
          <w:lang w:val="en-US"/>
        </w:rPr>
        <w:t>Case of</w:t>
      </w:r>
      <w:r w:rsidRPr="001558A5">
        <w:rPr>
          <w:i/>
          <w:lang w:val="en-US"/>
        </w:rPr>
        <w:t xml:space="preserve"> </w:t>
      </w:r>
      <w:proofErr w:type="spellStart"/>
      <w:r w:rsidRPr="001558A5">
        <w:rPr>
          <w:i/>
          <w:lang w:val="en-US"/>
        </w:rPr>
        <w:t>Bámaca</w:t>
      </w:r>
      <w:proofErr w:type="spellEnd"/>
      <w:r w:rsidRPr="001558A5">
        <w:rPr>
          <w:i/>
          <w:lang w:val="en-US"/>
        </w:rPr>
        <w:t xml:space="preserve"> </w:t>
      </w:r>
      <w:proofErr w:type="spellStart"/>
      <w:r w:rsidRPr="001558A5">
        <w:rPr>
          <w:i/>
          <w:lang w:val="en-US"/>
        </w:rPr>
        <w:t>Velásquez</w:t>
      </w:r>
      <w:proofErr w:type="spellEnd"/>
      <w:r w:rsidRPr="001558A5">
        <w:rPr>
          <w:i/>
          <w:lang w:val="en-US"/>
        </w:rPr>
        <w:t xml:space="preserve"> </w:t>
      </w:r>
      <w:r w:rsidR="00871E19" w:rsidRPr="001558A5">
        <w:rPr>
          <w:i/>
          <w:lang w:val="en-US"/>
        </w:rPr>
        <w:t>v.</w:t>
      </w:r>
      <w:r w:rsidRPr="001558A5">
        <w:rPr>
          <w:i/>
          <w:lang w:val="en-US"/>
        </w:rPr>
        <w:t xml:space="preserve"> Guatemala. </w:t>
      </w:r>
      <w:r w:rsidR="00B43A52" w:rsidRPr="001558A5">
        <w:rPr>
          <w:i/>
          <w:lang w:val="en-US"/>
        </w:rPr>
        <w:t>Reparations and costs</w:t>
      </w:r>
      <w:r w:rsidRPr="001558A5">
        <w:rPr>
          <w:iCs/>
          <w:lang w:val="en-US"/>
        </w:rPr>
        <w:t xml:space="preserve">. </w:t>
      </w:r>
      <w:r w:rsidR="00871E19" w:rsidRPr="001558A5">
        <w:rPr>
          <w:iCs/>
          <w:lang w:val="en-US"/>
        </w:rPr>
        <w:t>Judgment of</w:t>
      </w:r>
      <w:r w:rsidRPr="001558A5">
        <w:rPr>
          <w:iCs/>
          <w:lang w:val="en-US"/>
        </w:rPr>
        <w:t xml:space="preserve"> </w:t>
      </w:r>
      <w:r w:rsidR="005B28C9" w:rsidRPr="001558A5">
        <w:rPr>
          <w:iCs/>
          <w:lang w:val="en-US"/>
        </w:rPr>
        <w:t>February 22,</w:t>
      </w:r>
      <w:r w:rsidRPr="001558A5">
        <w:rPr>
          <w:iCs/>
          <w:lang w:val="en-US"/>
        </w:rPr>
        <w:t xml:space="preserve"> 2002. </w:t>
      </w:r>
      <w:r w:rsidR="00B43A52" w:rsidRPr="001558A5">
        <w:rPr>
          <w:iCs/>
          <w:lang w:val="es-CR"/>
        </w:rPr>
        <w:t xml:space="preserve">Series </w:t>
      </w:r>
      <w:r w:rsidRPr="001558A5">
        <w:rPr>
          <w:iCs/>
          <w:lang w:val="es-CR"/>
        </w:rPr>
        <w:t xml:space="preserve">C No. 91, </w:t>
      </w:r>
      <w:r w:rsidR="00B43A52" w:rsidRPr="001558A5">
        <w:rPr>
          <w:iCs/>
          <w:lang w:val="es-CR"/>
        </w:rPr>
        <w:t>para.</w:t>
      </w:r>
      <w:r w:rsidRPr="001558A5">
        <w:rPr>
          <w:iCs/>
          <w:lang w:val="es-CR"/>
        </w:rPr>
        <w:t xml:space="preserve"> 43,</w:t>
      </w:r>
      <w:r w:rsidR="00DD4354" w:rsidRPr="001558A5">
        <w:rPr>
          <w:iCs/>
          <w:lang w:val="es-CR"/>
        </w:rPr>
        <w:t xml:space="preserve"> and </w:t>
      </w:r>
      <w:r w:rsidR="00871E19" w:rsidRPr="001558A5">
        <w:rPr>
          <w:i/>
          <w:lang w:val="es-CR"/>
        </w:rPr>
        <w:t>Case of</w:t>
      </w:r>
      <w:r w:rsidRPr="001558A5">
        <w:rPr>
          <w:i/>
          <w:lang w:val="es-CR"/>
        </w:rPr>
        <w:t xml:space="preserve"> Casa Nina </w:t>
      </w:r>
      <w:r w:rsidR="00871E19" w:rsidRPr="001558A5">
        <w:rPr>
          <w:i/>
          <w:lang w:val="es-CR"/>
        </w:rPr>
        <w:t>v.</w:t>
      </w:r>
      <w:r w:rsidRPr="001558A5">
        <w:rPr>
          <w:i/>
          <w:lang w:val="es-CR"/>
        </w:rPr>
        <w:t xml:space="preserve"> </w:t>
      </w:r>
      <w:proofErr w:type="spellStart"/>
      <w:r w:rsidR="00D11908" w:rsidRPr="001558A5">
        <w:rPr>
          <w:i/>
          <w:lang w:val="es-CR"/>
        </w:rPr>
        <w:t>Peru</w:t>
      </w:r>
      <w:proofErr w:type="spellEnd"/>
      <w:r w:rsidRPr="001558A5">
        <w:rPr>
          <w:iCs/>
          <w:lang w:val="es-CR"/>
        </w:rPr>
        <w:t>,</w:t>
      </w:r>
      <w:r w:rsidRPr="001558A5">
        <w:rPr>
          <w:i/>
          <w:lang w:val="es-CR"/>
        </w:rPr>
        <w:t xml:space="preserve"> supra</w:t>
      </w:r>
      <w:r w:rsidRPr="001558A5">
        <w:rPr>
          <w:iCs/>
          <w:lang w:val="es-CR"/>
        </w:rPr>
        <w:t>,</w:t>
      </w:r>
      <w:r w:rsidRPr="001558A5">
        <w:rPr>
          <w:i/>
          <w:lang w:val="es-CR"/>
        </w:rPr>
        <w:t xml:space="preserve"> </w:t>
      </w:r>
      <w:r w:rsidR="00B43A52" w:rsidRPr="001558A5">
        <w:rPr>
          <w:iCs/>
          <w:lang w:val="es-CR"/>
        </w:rPr>
        <w:t>para.</w:t>
      </w:r>
      <w:r w:rsidRPr="001558A5">
        <w:rPr>
          <w:iCs/>
          <w:lang w:val="es-CR"/>
        </w:rPr>
        <w:t xml:space="preserve"> </w:t>
      </w:r>
      <w:r w:rsidRPr="001558A5">
        <w:rPr>
          <w:iCs/>
          <w:lang w:val="en-US"/>
        </w:rPr>
        <w:t>143.</w:t>
      </w:r>
    </w:p>
  </w:footnote>
  <w:footnote w:id="188">
    <w:p w14:paraId="228FC8CB" w14:textId="3A17C14F" w:rsidR="005977F6" w:rsidRPr="001558A5" w:rsidRDefault="005977F6" w:rsidP="000B2BB5">
      <w:pPr>
        <w:pStyle w:val="Textonotapie"/>
        <w:tabs>
          <w:tab w:val="left" w:pos="360"/>
        </w:tabs>
        <w:rPr>
          <w:b/>
          <w:spacing w:val="-4"/>
          <w:lang w:val="en-US"/>
        </w:rPr>
      </w:pPr>
      <w:r w:rsidRPr="001558A5">
        <w:rPr>
          <w:rStyle w:val="Refdenotaalpie"/>
          <w:spacing w:val="-4"/>
          <w:lang w:val="en-US"/>
        </w:rPr>
        <w:footnoteRef/>
      </w:r>
      <w:r w:rsidRPr="001558A5">
        <w:rPr>
          <w:spacing w:val="-4"/>
          <w:lang w:val="en-US"/>
        </w:rPr>
        <w:t xml:space="preserve"> </w:t>
      </w:r>
      <w:r w:rsidRPr="001558A5">
        <w:rPr>
          <w:spacing w:val="-4"/>
          <w:lang w:val="en-US"/>
        </w:rPr>
        <w:tab/>
      </w:r>
      <w:r w:rsidRPr="001558A5">
        <w:rPr>
          <w:spacing w:val="-4"/>
          <w:lang w:val="en-US"/>
        </w:rPr>
        <w:tab/>
      </w:r>
      <w:r w:rsidR="00871E19" w:rsidRPr="001558A5">
        <w:rPr>
          <w:i/>
          <w:spacing w:val="-4"/>
          <w:lang w:val="en-US"/>
        </w:rPr>
        <w:t>Cf.</w:t>
      </w:r>
      <w:r w:rsidRPr="001558A5">
        <w:rPr>
          <w:i/>
          <w:spacing w:val="-4"/>
          <w:lang w:val="en-US"/>
        </w:rPr>
        <w:t xml:space="preserve"> </w:t>
      </w:r>
      <w:r w:rsidR="00871E19" w:rsidRPr="001558A5">
        <w:rPr>
          <w:i/>
          <w:spacing w:val="-4"/>
          <w:lang w:val="en-US"/>
        </w:rPr>
        <w:t>Case of</w:t>
      </w:r>
      <w:r w:rsidRPr="001558A5">
        <w:rPr>
          <w:i/>
          <w:spacing w:val="-4"/>
          <w:lang w:val="en-US"/>
        </w:rPr>
        <w:t xml:space="preserve"> </w:t>
      </w:r>
      <w:r w:rsidR="005B28C9" w:rsidRPr="001558A5">
        <w:rPr>
          <w:i/>
          <w:spacing w:val="-4"/>
          <w:lang w:val="en-US"/>
        </w:rPr>
        <w:t>the</w:t>
      </w:r>
      <w:r w:rsidRPr="001558A5">
        <w:rPr>
          <w:i/>
          <w:spacing w:val="-4"/>
          <w:lang w:val="en-US"/>
        </w:rPr>
        <w:t xml:space="preserve"> “</w:t>
      </w:r>
      <w:r w:rsidR="00BD57C1" w:rsidRPr="001558A5">
        <w:rPr>
          <w:i/>
          <w:spacing w:val="-4"/>
          <w:lang w:val="en-US"/>
        </w:rPr>
        <w:t>Street Children</w:t>
      </w:r>
      <w:r w:rsidRPr="001558A5">
        <w:rPr>
          <w:i/>
          <w:spacing w:val="-4"/>
          <w:lang w:val="en-US"/>
        </w:rPr>
        <w:t>” (</w:t>
      </w:r>
      <w:proofErr w:type="spellStart"/>
      <w:r w:rsidRPr="001558A5">
        <w:rPr>
          <w:i/>
          <w:spacing w:val="-4"/>
          <w:lang w:val="en-US"/>
        </w:rPr>
        <w:t>Villagrán</w:t>
      </w:r>
      <w:proofErr w:type="spellEnd"/>
      <w:r w:rsidRPr="001558A5">
        <w:rPr>
          <w:i/>
          <w:spacing w:val="-4"/>
          <w:lang w:val="en-US"/>
        </w:rPr>
        <w:t xml:space="preserve"> </w:t>
      </w:r>
      <w:r w:rsidR="00BD57C1" w:rsidRPr="001558A5">
        <w:rPr>
          <w:i/>
          <w:spacing w:val="-4"/>
          <w:lang w:val="en-US"/>
        </w:rPr>
        <w:t>Morales et al.</w:t>
      </w:r>
      <w:r w:rsidRPr="001558A5">
        <w:rPr>
          <w:i/>
          <w:spacing w:val="-4"/>
          <w:lang w:val="en-US"/>
        </w:rPr>
        <w:t xml:space="preserve">) </w:t>
      </w:r>
      <w:r w:rsidR="00871E19" w:rsidRPr="001558A5">
        <w:rPr>
          <w:i/>
          <w:spacing w:val="-4"/>
          <w:lang w:val="en-US"/>
        </w:rPr>
        <w:t>v.</w:t>
      </w:r>
      <w:r w:rsidRPr="001558A5">
        <w:rPr>
          <w:i/>
          <w:spacing w:val="-4"/>
          <w:lang w:val="en-US"/>
        </w:rPr>
        <w:t xml:space="preserve"> Guatemala. </w:t>
      </w:r>
      <w:r w:rsidR="00B43A52" w:rsidRPr="001558A5">
        <w:rPr>
          <w:i/>
          <w:spacing w:val="-4"/>
          <w:lang w:val="en-US"/>
        </w:rPr>
        <w:t>Reparations and costs</w:t>
      </w:r>
      <w:r w:rsidRPr="001558A5">
        <w:rPr>
          <w:i/>
          <w:spacing w:val="-4"/>
          <w:lang w:val="en-US"/>
        </w:rPr>
        <w:t xml:space="preserve">. </w:t>
      </w:r>
      <w:r w:rsidR="00871E19" w:rsidRPr="001558A5">
        <w:rPr>
          <w:i/>
          <w:spacing w:val="-4"/>
          <w:lang w:val="en-US"/>
        </w:rPr>
        <w:t>Judgment of</w:t>
      </w:r>
      <w:r w:rsidRPr="001558A5">
        <w:rPr>
          <w:i/>
          <w:spacing w:val="-4"/>
          <w:lang w:val="en-US"/>
        </w:rPr>
        <w:t xml:space="preserve"> </w:t>
      </w:r>
      <w:r w:rsidR="005B28C9" w:rsidRPr="001558A5">
        <w:rPr>
          <w:i/>
          <w:spacing w:val="-4"/>
          <w:lang w:val="en-US"/>
        </w:rPr>
        <w:t xml:space="preserve">May </w:t>
      </w:r>
      <w:r w:rsidRPr="001558A5">
        <w:rPr>
          <w:i/>
          <w:spacing w:val="-4"/>
          <w:lang w:val="en-US"/>
        </w:rPr>
        <w:t>26</w:t>
      </w:r>
      <w:r w:rsidR="005B28C9" w:rsidRPr="001558A5">
        <w:rPr>
          <w:i/>
          <w:spacing w:val="-4"/>
          <w:lang w:val="en-US"/>
        </w:rPr>
        <w:t xml:space="preserve">, </w:t>
      </w:r>
      <w:r w:rsidRPr="001558A5">
        <w:rPr>
          <w:i/>
          <w:spacing w:val="-4"/>
          <w:lang w:val="en-US"/>
        </w:rPr>
        <w:t xml:space="preserve">2001. </w:t>
      </w:r>
      <w:r w:rsidR="00B43A52" w:rsidRPr="001558A5">
        <w:rPr>
          <w:iCs/>
          <w:spacing w:val="-4"/>
          <w:lang w:val="en-US"/>
        </w:rPr>
        <w:t xml:space="preserve">Series </w:t>
      </w:r>
      <w:r w:rsidRPr="001558A5">
        <w:rPr>
          <w:iCs/>
          <w:spacing w:val="-4"/>
          <w:lang w:val="en-US"/>
        </w:rPr>
        <w:t xml:space="preserve">C No. 77, </w:t>
      </w:r>
      <w:r w:rsidR="00B43A52" w:rsidRPr="001558A5">
        <w:rPr>
          <w:iCs/>
          <w:spacing w:val="-4"/>
          <w:lang w:val="en-US"/>
        </w:rPr>
        <w:t>para.</w:t>
      </w:r>
      <w:r w:rsidRPr="001558A5">
        <w:rPr>
          <w:iCs/>
          <w:spacing w:val="-4"/>
          <w:lang w:val="en-US"/>
        </w:rPr>
        <w:t xml:space="preserve"> 84,</w:t>
      </w:r>
      <w:r w:rsidR="00DD4354" w:rsidRPr="001558A5">
        <w:rPr>
          <w:iCs/>
          <w:spacing w:val="-4"/>
          <w:lang w:val="en-US"/>
        </w:rPr>
        <w:t xml:space="preserve"> and </w:t>
      </w:r>
      <w:r w:rsidR="00871E19" w:rsidRPr="001558A5">
        <w:rPr>
          <w:i/>
          <w:lang w:val="en-US"/>
        </w:rPr>
        <w:t>Case of</w:t>
      </w:r>
      <w:r w:rsidRPr="001558A5">
        <w:rPr>
          <w:i/>
          <w:lang w:val="en-US"/>
        </w:rPr>
        <w:t xml:space="preserve"> Casa Nina </w:t>
      </w:r>
      <w:r w:rsidR="00871E19" w:rsidRPr="001558A5">
        <w:rPr>
          <w:i/>
          <w:lang w:val="en-US"/>
        </w:rPr>
        <w:t>v.</w:t>
      </w:r>
      <w:r w:rsidRPr="001558A5">
        <w:rPr>
          <w:i/>
          <w:lang w:val="en-US"/>
        </w:rPr>
        <w:t xml:space="preserve"> </w:t>
      </w:r>
      <w:r w:rsidR="00D11908" w:rsidRPr="001558A5">
        <w:rPr>
          <w:i/>
          <w:lang w:val="en-US"/>
        </w:rPr>
        <w:t>Peru</w:t>
      </w:r>
      <w:r w:rsidRPr="001558A5">
        <w:rPr>
          <w:iCs/>
          <w:lang w:val="en-US"/>
        </w:rPr>
        <w:t>,</w:t>
      </w:r>
      <w:r w:rsidRPr="001558A5">
        <w:rPr>
          <w:i/>
          <w:lang w:val="en-US"/>
        </w:rPr>
        <w:t xml:space="preserve"> supra</w:t>
      </w:r>
      <w:r w:rsidRPr="001558A5">
        <w:rPr>
          <w:iCs/>
          <w:lang w:val="en-US"/>
        </w:rPr>
        <w:t>,</w:t>
      </w:r>
      <w:r w:rsidRPr="001558A5">
        <w:rPr>
          <w:i/>
          <w:lang w:val="en-US"/>
        </w:rPr>
        <w:t xml:space="preserve"> </w:t>
      </w:r>
      <w:r w:rsidR="00B43A52" w:rsidRPr="001558A5">
        <w:rPr>
          <w:iCs/>
          <w:lang w:val="en-US"/>
        </w:rPr>
        <w:t>para.</w:t>
      </w:r>
      <w:r w:rsidRPr="001558A5">
        <w:rPr>
          <w:iCs/>
          <w:lang w:val="en-US"/>
        </w:rPr>
        <w:t xml:space="preserve"> 151</w:t>
      </w:r>
      <w:r w:rsidRPr="001558A5">
        <w:rPr>
          <w:iCs/>
          <w:spacing w:val="-4"/>
          <w:lang w:val="en-US"/>
        </w:rPr>
        <w:t>.</w:t>
      </w:r>
    </w:p>
  </w:footnote>
  <w:footnote w:id="189">
    <w:p w14:paraId="4D8EF79A" w14:textId="0B14C73F" w:rsidR="005977F6" w:rsidRPr="001558A5" w:rsidRDefault="005977F6"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CE689C" w:rsidRPr="001558A5">
        <w:rPr>
          <w:szCs w:val="16"/>
          <w:lang w:val="en-US"/>
        </w:rPr>
        <w:t>Th</w:t>
      </w:r>
      <w:r w:rsidR="009F0931" w:rsidRPr="001558A5">
        <w:rPr>
          <w:szCs w:val="16"/>
          <w:lang w:val="en-US"/>
        </w:rPr>
        <w:t>ey indicated that the</w:t>
      </w:r>
      <w:r w:rsidRPr="001558A5">
        <w:rPr>
          <w:szCs w:val="16"/>
          <w:lang w:val="en-US"/>
        </w:rPr>
        <w:t xml:space="preserve"> Red </w:t>
      </w:r>
      <w:proofErr w:type="spellStart"/>
      <w:r w:rsidRPr="001558A5">
        <w:rPr>
          <w:szCs w:val="16"/>
          <w:lang w:val="en-US"/>
        </w:rPr>
        <w:t>Lésbica</w:t>
      </w:r>
      <w:proofErr w:type="spellEnd"/>
      <w:r w:rsidRPr="001558A5">
        <w:rPr>
          <w:szCs w:val="16"/>
          <w:lang w:val="en-US"/>
        </w:rPr>
        <w:t xml:space="preserve"> “</w:t>
      </w:r>
      <w:proofErr w:type="spellStart"/>
      <w:r w:rsidRPr="001558A5">
        <w:rPr>
          <w:szCs w:val="16"/>
          <w:lang w:val="en-US"/>
        </w:rPr>
        <w:t>Cattrachas</w:t>
      </w:r>
      <w:proofErr w:type="spellEnd"/>
      <w:r w:rsidRPr="001558A5">
        <w:rPr>
          <w:szCs w:val="16"/>
          <w:lang w:val="en-US"/>
        </w:rPr>
        <w:t>” ha</w:t>
      </w:r>
      <w:r w:rsidR="009F0931" w:rsidRPr="001558A5">
        <w:rPr>
          <w:szCs w:val="16"/>
          <w:lang w:val="en-US"/>
        </w:rPr>
        <w:t xml:space="preserve">d acted as the representative of the victims since the start of the processing of the case before </w:t>
      </w:r>
      <w:r w:rsidR="00871E19" w:rsidRPr="001558A5">
        <w:rPr>
          <w:szCs w:val="16"/>
          <w:lang w:val="en-US"/>
        </w:rPr>
        <w:t>the Inter-American Commission</w:t>
      </w:r>
      <w:r w:rsidRPr="001558A5">
        <w:rPr>
          <w:szCs w:val="16"/>
          <w:lang w:val="en-US"/>
        </w:rPr>
        <w:t xml:space="preserve"> </w:t>
      </w:r>
      <w:r w:rsidR="00F54702" w:rsidRPr="001558A5">
        <w:rPr>
          <w:szCs w:val="16"/>
          <w:lang w:val="en-US"/>
        </w:rPr>
        <w:t>on December 23,</w:t>
      </w:r>
      <w:r w:rsidRPr="001558A5">
        <w:rPr>
          <w:szCs w:val="16"/>
          <w:lang w:val="en-US"/>
        </w:rPr>
        <w:t xml:space="preserve"> 2012. </w:t>
      </w:r>
      <w:r w:rsidR="00F54702" w:rsidRPr="001558A5">
        <w:rPr>
          <w:szCs w:val="16"/>
          <w:lang w:val="en-US"/>
        </w:rPr>
        <w:t xml:space="preserve">Since then it had conducted the litigation of the case during the international proceedings, incurring expenses that included travel from </w:t>
      </w:r>
      <w:r w:rsidRPr="001558A5">
        <w:rPr>
          <w:szCs w:val="16"/>
          <w:lang w:val="en-US"/>
        </w:rPr>
        <w:t xml:space="preserve">Tegucigalpa </w:t>
      </w:r>
      <w:r w:rsidR="00F54702" w:rsidRPr="001558A5">
        <w:rPr>
          <w:szCs w:val="16"/>
          <w:lang w:val="en-US"/>
        </w:rPr>
        <w:t>to</w:t>
      </w:r>
      <w:r w:rsidRPr="001558A5">
        <w:rPr>
          <w:szCs w:val="16"/>
          <w:lang w:val="en-US"/>
        </w:rPr>
        <w:t xml:space="preserve"> San Pedro Sula</w:t>
      </w:r>
      <w:r w:rsidR="00282CEE" w:rsidRPr="001558A5">
        <w:rPr>
          <w:szCs w:val="16"/>
          <w:lang w:val="en-US"/>
        </w:rPr>
        <w:t xml:space="preserve"> and</w:t>
      </w:r>
      <w:r w:rsidRPr="001558A5">
        <w:rPr>
          <w:szCs w:val="16"/>
          <w:lang w:val="en-US"/>
        </w:rPr>
        <w:t xml:space="preserve"> </w:t>
      </w:r>
      <w:r w:rsidR="00F54702" w:rsidRPr="001558A5">
        <w:rPr>
          <w:szCs w:val="16"/>
          <w:lang w:val="en-US"/>
        </w:rPr>
        <w:t xml:space="preserve">accommodation, </w:t>
      </w:r>
      <w:r w:rsidR="00282CEE" w:rsidRPr="001558A5">
        <w:rPr>
          <w:szCs w:val="16"/>
          <w:lang w:val="en-US"/>
        </w:rPr>
        <w:t xml:space="preserve">and </w:t>
      </w:r>
      <w:r w:rsidR="00F54702" w:rsidRPr="001558A5">
        <w:rPr>
          <w:szCs w:val="16"/>
          <w:lang w:val="en-US"/>
        </w:rPr>
        <w:t>expenses related to communications, stationery and the mailing of document</w:t>
      </w:r>
      <w:r w:rsidR="00282CEE" w:rsidRPr="001558A5">
        <w:rPr>
          <w:szCs w:val="16"/>
          <w:lang w:val="en-US"/>
        </w:rPr>
        <w:t>s</w:t>
      </w:r>
      <w:r w:rsidR="00F54702" w:rsidRPr="001558A5">
        <w:rPr>
          <w:szCs w:val="16"/>
          <w:lang w:val="en-US"/>
        </w:rPr>
        <w:t xml:space="preserve">. They also mentioned that they had incurred expenses corresponding to the work of research, compilation and presentation of evidence, preparation of briefs and legal analysis, which had entailed trips to </w:t>
      </w:r>
      <w:r w:rsidRPr="001558A5">
        <w:rPr>
          <w:szCs w:val="16"/>
          <w:lang w:val="en-US"/>
        </w:rPr>
        <w:t xml:space="preserve">Washington D.C. </w:t>
      </w:r>
      <w:r w:rsidR="00F54702" w:rsidRPr="001558A5">
        <w:rPr>
          <w:szCs w:val="16"/>
          <w:lang w:val="en-US"/>
        </w:rPr>
        <w:t>from</w:t>
      </w:r>
      <w:r w:rsidRPr="001558A5">
        <w:rPr>
          <w:szCs w:val="16"/>
          <w:lang w:val="en-US"/>
        </w:rPr>
        <w:t xml:space="preserve"> Tegucigalpa </w:t>
      </w:r>
      <w:r w:rsidR="00F54702" w:rsidRPr="001558A5">
        <w:rPr>
          <w:szCs w:val="16"/>
          <w:lang w:val="en-US"/>
        </w:rPr>
        <w:t xml:space="preserve">on two occasions. They indicated that these disbursements amounted to a total of </w:t>
      </w:r>
      <w:r w:rsidR="005B28C9" w:rsidRPr="001558A5">
        <w:rPr>
          <w:szCs w:val="16"/>
          <w:lang w:val="en-US"/>
        </w:rPr>
        <w:t>US$</w:t>
      </w:r>
      <w:r w:rsidRPr="001558A5">
        <w:rPr>
          <w:szCs w:val="16"/>
          <w:lang w:val="en-US"/>
        </w:rPr>
        <w:t xml:space="preserve">47,814.57. </w:t>
      </w:r>
    </w:p>
  </w:footnote>
  <w:footnote w:id="190">
    <w:p w14:paraId="00BDBB39" w14:textId="3C955FFE" w:rsidR="005977F6" w:rsidRPr="001558A5" w:rsidRDefault="005977F6"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F54702" w:rsidRPr="001558A5">
        <w:rPr>
          <w:szCs w:val="16"/>
          <w:lang w:val="en-US"/>
        </w:rPr>
        <w:t xml:space="preserve">They indicated that </w:t>
      </w:r>
      <w:r w:rsidRPr="001558A5">
        <w:rPr>
          <w:szCs w:val="16"/>
          <w:lang w:val="en-US"/>
        </w:rPr>
        <w:t>Robert F. Kennedy Human Rights</w:t>
      </w:r>
      <w:r w:rsidR="00F54702" w:rsidRPr="001558A5">
        <w:rPr>
          <w:szCs w:val="16"/>
          <w:lang w:val="en-US"/>
        </w:rPr>
        <w:t xml:space="preserve"> joined the legal representation of the victims in this case on September 22, 2015. They added that, in this capacity, the organization’s legal team and, in particular, three of its lawyers, had made a substantial contribution to the preparation of the legal briefs related to the processing of the case starting with the admissibility stage before the Inter-American Commission, including the preparation of observations on the merits and the actual brief. Based on its legal contributions since it joined the case, they asked the Court to establish, in equity, the sum that the State should pay </w:t>
      </w:r>
      <w:r w:rsidR="00282CEE" w:rsidRPr="001558A5">
        <w:rPr>
          <w:szCs w:val="16"/>
          <w:lang w:val="en-US"/>
        </w:rPr>
        <w:t>for</w:t>
      </w:r>
      <w:r w:rsidR="00F54702" w:rsidRPr="001558A5">
        <w:rPr>
          <w:szCs w:val="16"/>
          <w:lang w:val="en-US"/>
        </w:rPr>
        <w:t xml:space="preserve"> this concept and that this amount be </w:t>
      </w:r>
      <w:r w:rsidR="00120416" w:rsidRPr="001558A5">
        <w:rPr>
          <w:szCs w:val="16"/>
          <w:lang w:val="en-US"/>
        </w:rPr>
        <w:t>reimbursed</w:t>
      </w:r>
      <w:r w:rsidR="00F54702" w:rsidRPr="001558A5">
        <w:rPr>
          <w:szCs w:val="16"/>
          <w:lang w:val="en-US"/>
        </w:rPr>
        <w:t xml:space="preserve"> directly to </w:t>
      </w:r>
      <w:r w:rsidRPr="001558A5">
        <w:rPr>
          <w:szCs w:val="16"/>
          <w:lang w:val="en-US"/>
        </w:rPr>
        <w:t>Robert F. Kennedy Human Rights.</w:t>
      </w:r>
    </w:p>
  </w:footnote>
  <w:footnote w:id="191">
    <w:p w14:paraId="13CAFD3C" w14:textId="23C9EF96"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lang w:val="en-US"/>
        </w:rPr>
        <w:t>Cf.</w:t>
      </w:r>
      <w:r w:rsidRPr="001558A5">
        <w:rPr>
          <w:i/>
          <w:lang w:val="en-US"/>
        </w:rPr>
        <w:t xml:space="preserve"> </w:t>
      </w:r>
      <w:r w:rsidR="00871E19" w:rsidRPr="001558A5">
        <w:rPr>
          <w:i/>
          <w:lang w:val="en-US"/>
        </w:rPr>
        <w:t>Case of</w:t>
      </w:r>
      <w:r w:rsidRPr="001558A5">
        <w:rPr>
          <w:i/>
          <w:lang w:val="en-US"/>
        </w:rPr>
        <w:t xml:space="preserve"> </w:t>
      </w:r>
      <w:proofErr w:type="spellStart"/>
      <w:r w:rsidRPr="001558A5">
        <w:rPr>
          <w:i/>
          <w:lang w:val="en-US"/>
        </w:rPr>
        <w:t>Garrido</w:t>
      </w:r>
      <w:proofErr w:type="spellEnd"/>
      <w:r w:rsidR="00DD4354" w:rsidRPr="001558A5">
        <w:rPr>
          <w:i/>
          <w:lang w:val="en-US"/>
        </w:rPr>
        <w:t xml:space="preserve"> and </w:t>
      </w:r>
      <w:proofErr w:type="spellStart"/>
      <w:r w:rsidRPr="001558A5">
        <w:rPr>
          <w:i/>
          <w:lang w:val="en-US"/>
        </w:rPr>
        <w:t>Baigorria</w:t>
      </w:r>
      <w:proofErr w:type="spellEnd"/>
      <w:r w:rsidRPr="001558A5">
        <w:rPr>
          <w:i/>
          <w:lang w:val="en-US"/>
        </w:rPr>
        <w:t xml:space="preserve"> </w:t>
      </w:r>
      <w:r w:rsidR="00871E19" w:rsidRPr="001558A5">
        <w:rPr>
          <w:i/>
          <w:lang w:val="en-US"/>
        </w:rPr>
        <w:t>v.</w:t>
      </w:r>
      <w:r w:rsidRPr="001558A5">
        <w:rPr>
          <w:i/>
          <w:lang w:val="en-US"/>
        </w:rPr>
        <w:t xml:space="preserve"> Argentina. </w:t>
      </w:r>
      <w:r w:rsidR="00B43A52" w:rsidRPr="001558A5">
        <w:rPr>
          <w:i/>
          <w:lang w:val="en-US"/>
        </w:rPr>
        <w:t>Reparations and costs</w:t>
      </w:r>
      <w:r w:rsidRPr="001558A5">
        <w:rPr>
          <w:i/>
          <w:lang w:val="en-US"/>
        </w:rPr>
        <w:t xml:space="preserve">. </w:t>
      </w:r>
      <w:r w:rsidR="00871E19" w:rsidRPr="001558A5">
        <w:rPr>
          <w:iCs/>
          <w:lang w:val="en-US"/>
        </w:rPr>
        <w:t>Judgment of</w:t>
      </w:r>
      <w:r w:rsidRPr="001558A5">
        <w:rPr>
          <w:iCs/>
          <w:lang w:val="en-US"/>
        </w:rPr>
        <w:t xml:space="preserve"> </w:t>
      </w:r>
      <w:r w:rsidR="00F54702" w:rsidRPr="001558A5">
        <w:rPr>
          <w:iCs/>
          <w:lang w:val="en-US"/>
        </w:rPr>
        <w:t>August 27,</w:t>
      </w:r>
      <w:r w:rsidRPr="001558A5">
        <w:rPr>
          <w:iCs/>
          <w:lang w:val="en-US"/>
        </w:rPr>
        <w:t xml:space="preserve"> 1998. </w:t>
      </w:r>
      <w:r w:rsidR="00B43A52" w:rsidRPr="001558A5">
        <w:rPr>
          <w:iCs/>
          <w:lang w:val="en-US"/>
        </w:rPr>
        <w:t xml:space="preserve">Series </w:t>
      </w:r>
      <w:r w:rsidRPr="001558A5">
        <w:rPr>
          <w:iCs/>
          <w:lang w:val="en-US"/>
        </w:rPr>
        <w:t xml:space="preserve">C No. 39, </w:t>
      </w:r>
      <w:r w:rsidR="00675A99" w:rsidRPr="001558A5">
        <w:rPr>
          <w:iCs/>
          <w:lang w:val="en-US"/>
        </w:rPr>
        <w:t>paras.</w:t>
      </w:r>
      <w:r w:rsidRPr="001558A5">
        <w:rPr>
          <w:iCs/>
          <w:lang w:val="en-US"/>
        </w:rPr>
        <w:t xml:space="preserve"> 82,</w:t>
      </w:r>
      <w:r w:rsidR="00DD4354" w:rsidRPr="001558A5">
        <w:rPr>
          <w:iCs/>
          <w:lang w:val="en-US"/>
        </w:rPr>
        <w:t xml:space="preserve"> and </w:t>
      </w:r>
      <w:r w:rsidRPr="001558A5">
        <w:rPr>
          <w:iCs/>
          <w:lang w:val="en-US"/>
        </w:rPr>
        <w:t>244,</w:t>
      </w:r>
      <w:r w:rsidR="00DD4354" w:rsidRPr="001558A5">
        <w:rPr>
          <w:iCs/>
          <w:lang w:val="en-US"/>
        </w:rPr>
        <w:t xml:space="preserve"> and </w:t>
      </w:r>
      <w:r w:rsidR="00871E19" w:rsidRPr="001558A5">
        <w:rPr>
          <w:i/>
          <w:lang w:val="en-US"/>
        </w:rPr>
        <w:t>Case of</w:t>
      </w:r>
      <w:r w:rsidRPr="001558A5">
        <w:rPr>
          <w:i/>
          <w:lang w:val="en-US"/>
        </w:rPr>
        <w:t xml:space="preserve"> Casa Nina </w:t>
      </w:r>
      <w:r w:rsidR="00871E19" w:rsidRPr="001558A5">
        <w:rPr>
          <w:i/>
          <w:lang w:val="en-US"/>
        </w:rPr>
        <w:t>v.</w:t>
      </w:r>
      <w:r w:rsidRPr="001558A5">
        <w:rPr>
          <w:i/>
          <w:lang w:val="en-US"/>
        </w:rPr>
        <w:t xml:space="preserve"> </w:t>
      </w:r>
      <w:r w:rsidR="00D11908" w:rsidRPr="001558A5">
        <w:rPr>
          <w:i/>
          <w:lang w:val="en-US"/>
        </w:rPr>
        <w:t>Peru</w:t>
      </w:r>
      <w:r w:rsidRPr="001558A5">
        <w:rPr>
          <w:iCs/>
          <w:lang w:val="en-US"/>
        </w:rPr>
        <w:t>,</w:t>
      </w:r>
      <w:r w:rsidRPr="001558A5">
        <w:rPr>
          <w:i/>
          <w:lang w:val="en-US"/>
        </w:rPr>
        <w:t xml:space="preserve"> supra</w:t>
      </w:r>
      <w:r w:rsidRPr="001558A5">
        <w:rPr>
          <w:iCs/>
          <w:lang w:val="en-US"/>
        </w:rPr>
        <w:t>,</w:t>
      </w:r>
      <w:r w:rsidRPr="001558A5">
        <w:rPr>
          <w:i/>
          <w:lang w:val="en-US"/>
        </w:rPr>
        <w:t xml:space="preserve"> </w:t>
      </w:r>
      <w:r w:rsidR="00B43A52" w:rsidRPr="001558A5">
        <w:rPr>
          <w:iCs/>
          <w:lang w:val="en-US"/>
        </w:rPr>
        <w:t>para.</w:t>
      </w:r>
      <w:r w:rsidRPr="001558A5">
        <w:rPr>
          <w:iCs/>
          <w:lang w:val="en-US"/>
        </w:rPr>
        <w:t xml:space="preserve"> 157</w:t>
      </w:r>
      <w:r w:rsidRPr="001558A5">
        <w:rPr>
          <w:bCs/>
          <w:iCs/>
          <w:lang w:val="en-US"/>
        </w:rPr>
        <w:t>.</w:t>
      </w:r>
    </w:p>
  </w:footnote>
  <w:footnote w:id="192">
    <w:p w14:paraId="2D9D60CF" w14:textId="007C1192" w:rsidR="005977F6" w:rsidRPr="001558A5" w:rsidRDefault="005977F6" w:rsidP="000B2BB5">
      <w:pPr>
        <w:pStyle w:val="Textonotapie"/>
        <w:tabs>
          <w:tab w:val="left" w:pos="360"/>
          <w:tab w:val="left" w:pos="426"/>
        </w:tabs>
        <w:rPr>
          <w:lang w:val="en-US" w:bidi="en-US"/>
        </w:rPr>
      </w:pPr>
      <w:r w:rsidRPr="001558A5">
        <w:rPr>
          <w:rStyle w:val="Refdenotaalpie"/>
          <w:lang w:val="en-US"/>
        </w:rPr>
        <w:footnoteRef/>
      </w:r>
      <w:r w:rsidRPr="001558A5">
        <w:rPr>
          <w:lang w:val="en-US"/>
        </w:rPr>
        <w:tab/>
      </w:r>
      <w:r w:rsidRPr="001558A5">
        <w:rPr>
          <w:lang w:val="en-US"/>
        </w:rPr>
        <w:tab/>
      </w:r>
      <w:r w:rsidR="00871E19" w:rsidRPr="001558A5">
        <w:rPr>
          <w:i/>
          <w:lang w:val="en-US"/>
        </w:rPr>
        <w:t>Cf.</w:t>
      </w:r>
      <w:r w:rsidRPr="001558A5">
        <w:rPr>
          <w:i/>
          <w:lang w:val="en-US"/>
        </w:rPr>
        <w:t xml:space="preserve"> </w:t>
      </w:r>
      <w:r w:rsidR="00871E19" w:rsidRPr="001558A5">
        <w:rPr>
          <w:i/>
          <w:lang w:val="en-US"/>
        </w:rPr>
        <w:t>Case of</w:t>
      </w:r>
      <w:r w:rsidRPr="001558A5">
        <w:rPr>
          <w:i/>
          <w:lang w:val="en-US"/>
        </w:rPr>
        <w:t xml:space="preserve"> </w:t>
      </w:r>
      <w:proofErr w:type="spellStart"/>
      <w:r w:rsidRPr="001558A5">
        <w:rPr>
          <w:i/>
          <w:lang w:val="en-US"/>
        </w:rPr>
        <w:t>Garrido</w:t>
      </w:r>
      <w:proofErr w:type="spellEnd"/>
      <w:r w:rsidR="00DD4354" w:rsidRPr="001558A5">
        <w:rPr>
          <w:i/>
          <w:lang w:val="en-US"/>
        </w:rPr>
        <w:t xml:space="preserve"> and </w:t>
      </w:r>
      <w:proofErr w:type="spellStart"/>
      <w:r w:rsidRPr="001558A5">
        <w:rPr>
          <w:i/>
          <w:lang w:val="en-US"/>
        </w:rPr>
        <w:t>Baigorria</w:t>
      </w:r>
      <w:proofErr w:type="spellEnd"/>
      <w:r w:rsidRPr="001558A5">
        <w:rPr>
          <w:i/>
          <w:lang w:val="en-US"/>
        </w:rPr>
        <w:t xml:space="preserve"> </w:t>
      </w:r>
      <w:r w:rsidR="00871E19" w:rsidRPr="001558A5">
        <w:rPr>
          <w:i/>
          <w:lang w:val="en-US"/>
        </w:rPr>
        <w:t>v.</w:t>
      </w:r>
      <w:r w:rsidRPr="001558A5">
        <w:rPr>
          <w:i/>
          <w:lang w:val="en-US"/>
        </w:rPr>
        <w:t xml:space="preserve"> Argentina. </w:t>
      </w:r>
      <w:r w:rsidR="00B43A52" w:rsidRPr="001558A5">
        <w:rPr>
          <w:i/>
          <w:lang w:val="en-US"/>
        </w:rPr>
        <w:t>Reparations and costs</w:t>
      </w:r>
      <w:r w:rsidRPr="001558A5">
        <w:rPr>
          <w:i/>
          <w:lang w:val="en-US"/>
        </w:rPr>
        <w:t xml:space="preserve">, supra, </w:t>
      </w:r>
      <w:r w:rsidR="00B43A52" w:rsidRPr="001558A5">
        <w:rPr>
          <w:iCs/>
          <w:lang w:val="en-US"/>
        </w:rPr>
        <w:t>para.</w:t>
      </w:r>
      <w:r w:rsidRPr="001558A5">
        <w:rPr>
          <w:iCs/>
          <w:lang w:val="en-US"/>
        </w:rPr>
        <w:t xml:space="preserve"> </w:t>
      </w:r>
      <w:r w:rsidRPr="001558A5">
        <w:rPr>
          <w:iCs/>
          <w:lang w:val="es-CR"/>
        </w:rPr>
        <w:t>79,</w:t>
      </w:r>
      <w:r w:rsidR="00DD4354" w:rsidRPr="001558A5">
        <w:rPr>
          <w:iCs/>
          <w:lang w:val="es-CR"/>
        </w:rPr>
        <w:t xml:space="preserve"> and </w:t>
      </w:r>
      <w:r w:rsidR="00871E19" w:rsidRPr="001558A5">
        <w:rPr>
          <w:i/>
          <w:iCs/>
          <w:szCs w:val="16"/>
          <w:lang w:val="es-CR"/>
        </w:rPr>
        <w:t>Case of</w:t>
      </w:r>
      <w:r w:rsidRPr="001558A5">
        <w:rPr>
          <w:i/>
          <w:iCs/>
          <w:szCs w:val="16"/>
          <w:lang w:val="es-CR"/>
        </w:rPr>
        <w:t xml:space="preserve"> Olivares Muñoz</w:t>
      </w:r>
      <w:r w:rsidR="00DD4354" w:rsidRPr="001558A5">
        <w:rPr>
          <w:i/>
          <w:iCs/>
          <w:szCs w:val="16"/>
          <w:lang w:val="es-CR"/>
        </w:rPr>
        <w:t xml:space="preserve"> </w:t>
      </w:r>
      <w:r w:rsidR="004F4F9C" w:rsidRPr="001558A5">
        <w:rPr>
          <w:i/>
          <w:iCs/>
          <w:szCs w:val="16"/>
          <w:lang w:val="es-CR"/>
        </w:rPr>
        <w:t>et al. v.</w:t>
      </w:r>
      <w:r w:rsidRPr="001558A5">
        <w:rPr>
          <w:i/>
          <w:iCs/>
          <w:szCs w:val="16"/>
          <w:lang w:val="es-CR"/>
        </w:rPr>
        <w:t xml:space="preserve"> Vene</w:t>
      </w:r>
      <w:r w:rsidRPr="001558A5">
        <w:rPr>
          <w:szCs w:val="16"/>
          <w:lang w:val="es-CR"/>
        </w:rPr>
        <w:t xml:space="preserve">zuela, </w:t>
      </w:r>
      <w:r w:rsidRPr="001558A5">
        <w:rPr>
          <w:i/>
          <w:iCs/>
          <w:szCs w:val="16"/>
          <w:lang w:val="es-CR"/>
        </w:rPr>
        <w:t>supra</w:t>
      </w:r>
      <w:r w:rsidRPr="001558A5">
        <w:rPr>
          <w:szCs w:val="16"/>
          <w:lang w:val="es-CR"/>
        </w:rPr>
        <w:t xml:space="preserve">, </w:t>
      </w:r>
      <w:r w:rsidR="00B43A52" w:rsidRPr="001558A5">
        <w:rPr>
          <w:szCs w:val="16"/>
          <w:lang w:val="es-CR"/>
        </w:rPr>
        <w:t>para.</w:t>
      </w:r>
      <w:r w:rsidRPr="001558A5">
        <w:rPr>
          <w:szCs w:val="16"/>
          <w:lang w:val="es-CR"/>
        </w:rPr>
        <w:t xml:space="preserve"> </w:t>
      </w:r>
      <w:r w:rsidRPr="001558A5">
        <w:rPr>
          <w:szCs w:val="16"/>
          <w:lang w:val="en-US"/>
        </w:rPr>
        <w:t>193</w:t>
      </w:r>
      <w:r w:rsidRPr="001558A5">
        <w:rPr>
          <w:iCs/>
          <w:lang w:val="en-US"/>
        </w:rPr>
        <w:t>.</w:t>
      </w:r>
    </w:p>
  </w:footnote>
  <w:footnote w:id="193">
    <w:p w14:paraId="0997BE4B" w14:textId="33359C07" w:rsidR="005977F6" w:rsidRPr="001558A5" w:rsidRDefault="005977F6" w:rsidP="000B2BB5">
      <w:pPr>
        <w:pStyle w:val="Textonotapie"/>
        <w:tabs>
          <w:tab w:val="left" w:pos="360"/>
          <w:tab w:val="left" w:pos="426"/>
        </w:tabs>
        <w:rPr>
          <w:lang w:val="en-US"/>
        </w:rPr>
      </w:pPr>
      <w:r w:rsidRPr="001558A5">
        <w:rPr>
          <w:rStyle w:val="Refdenotaalpie"/>
          <w:lang w:val="en-US"/>
        </w:rPr>
        <w:footnoteRef/>
      </w:r>
      <w:r w:rsidRPr="001558A5">
        <w:rPr>
          <w:lang w:val="en-US"/>
        </w:rPr>
        <w:t xml:space="preserve"> </w:t>
      </w:r>
      <w:r w:rsidRPr="001558A5">
        <w:rPr>
          <w:lang w:val="en-US"/>
        </w:rPr>
        <w:tab/>
      </w:r>
      <w:r w:rsidRPr="001558A5">
        <w:rPr>
          <w:lang w:val="en-US"/>
        </w:rPr>
        <w:tab/>
      </w:r>
      <w:r w:rsidR="00871E19" w:rsidRPr="001558A5">
        <w:rPr>
          <w:i/>
          <w:lang w:val="en-US"/>
        </w:rPr>
        <w:t>Cf.</w:t>
      </w:r>
      <w:r w:rsidRPr="001558A5">
        <w:rPr>
          <w:i/>
          <w:lang w:val="en-US"/>
        </w:rPr>
        <w:t xml:space="preserve"> </w:t>
      </w:r>
      <w:r w:rsidR="00871E19" w:rsidRPr="001558A5">
        <w:rPr>
          <w:i/>
          <w:lang w:val="en-US"/>
        </w:rPr>
        <w:t>Case of</w:t>
      </w:r>
      <w:r w:rsidRPr="001558A5">
        <w:rPr>
          <w:i/>
          <w:lang w:val="en-US"/>
        </w:rPr>
        <w:t xml:space="preserve"> </w:t>
      </w:r>
      <w:proofErr w:type="spellStart"/>
      <w:r w:rsidRPr="001558A5">
        <w:rPr>
          <w:i/>
          <w:lang w:val="en-US"/>
        </w:rPr>
        <w:t>Chaparro</w:t>
      </w:r>
      <w:proofErr w:type="spellEnd"/>
      <w:r w:rsidRPr="001558A5">
        <w:rPr>
          <w:i/>
          <w:lang w:val="en-US"/>
        </w:rPr>
        <w:t xml:space="preserve"> </w:t>
      </w:r>
      <w:proofErr w:type="spellStart"/>
      <w:r w:rsidRPr="001558A5">
        <w:rPr>
          <w:i/>
          <w:lang w:val="en-US"/>
        </w:rPr>
        <w:t>Álvarez</w:t>
      </w:r>
      <w:proofErr w:type="spellEnd"/>
      <w:r w:rsidR="00DD4354" w:rsidRPr="001558A5">
        <w:rPr>
          <w:i/>
          <w:lang w:val="en-US"/>
        </w:rPr>
        <w:t xml:space="preserve"> and </w:t>
      </w:r>
      <w:proofErr w:type="spellStart"/>
      <w:r w:rsidRPr="001558A5">
        <w:rPr>
          <w:i/>
          <w:lang w:val="en-US"/>
        </w:rPr>
        <w:t>Lapo</w:t>
      </w:r>
      <w:proofErr w:type="spellEnd"/>
      <w:r w:rsidRPr="001558A5">
        <w:rPr>
          <w:i/>
          <w:lang w:val="en-US"/>
        </w:rPr>
        <w:t xml:space="preserve"> </w:t>
      </w:r>
      <w:proofErr w:type="spellStart"/>
      <w:r w:rsidRPr="001558A5">
        <w:rPr>
          <w:i/>
          <w:lang w:val="en-US"/>
        </w:rPr>
        <w:t>Íñiguez</w:t>
      </w:r>
      <w:proofErr w:type="spellEnd"/>
      <w:r w:rsidRPr="001558A5">
        <w:rPr>
          <w:i/>
          <w:lang w:val="en-US"/>
        </w:rPr>
        <w:t xml:space="preserve"> </w:t>
      </w:r>
      <w:r w:rsidR="00871E19" w:rsidRPr="001558A5">
        <w:rPr>
          <w:i/>
          <w:lang w:val="en-US"/>
        </w:rPr>
        <w:t>v.</w:t>
      </w:r>
      <w:r w:rsidRPr="001558A5">
        <w:rPr>
          <w:i/>
          <w:lang w:val="en-US"/>
        </w:rPr>
        <w:t xml:space="preserve"> Ecuador. </w:t>
      </w:r>
      <w:r w:rsidR="00B43A52" w:rsidRPr="001558A5">
        <w:rPr>
          <w:i/>
          <w:lang w:val="en-US"/>
        </w:rPr>
        <w:t>Preliminary objections, merits, reparations and costs</w:t>
      </w:r>
      <w:r w:rsidRPr="001558A5">
        <w:rPr>
          <w:i/>
          <w:lang w:val="en-US"/>
        </w:rPr>
        <w:t xml:space="preserve">, </w:t>
      </w:r>
      <w:r w:rsidR="00B43A52" w:rsidRPr="001558A5">
        <w:rPr>
          <w:iCs/>
          <w:lang w:val="en-US"/>
        </w:rPr>
        <w:t>para.</w:t>
      </w:r>
      <w:r w:rsidRPr="001558A5">
        <w:rPr>
          <w:iCs/>
          <w:lang w:val="en-US"/>
        </w:rPr>
        <w:t xml:space="preserve"> </w:t>
      </w:r>
      <w:r w:rsidRPr="001558A5">
        <w:rPr>
          <w:iCs/>
          <w:lang w:val="es-CR"/>
        </w:rPr>
        <w:t>277,</w:t>
      </w:r>
      <w:r w:rsidR="00DD4354" w:rsidRPr="001558A5">
        <w:rPr>
          <w:iCs/>
          <w:lang w:val="es-CR"/>
        </w:rPr>
        <w:t xml:space="preserve"> and </w:t>
      </w:r>
      <w:r w:rsidR="00871E19" w:rsidRPr="001558A5">
        <w:rPr>
          <w:i/>
          <w:iCs/>
          <w:szCs w:val="16"/>
          <w:lang w:val="es-CR"/>
        </w:rPr>
        <w:t>Case of</w:t>
      </w:r>
      <w:r w:rsidRPr="001558A5">
        <w:rPr>
          <w:i/>
          <w:iCs/>
          <w:szCs w:val="16"/>
          <w:lang w:val="es-CR"/>
        </w:rPr>
        <w:t xml:space="preserve"> Olivares Muñoz</w:t>
      </w:r>
      <w:r w:rsidR="00DD4354" w:rsidRPr="001558A5">
        <w:rPr>
          <w:i/>
          <w:iCs/>
          <w:szCs w:val="16"/>
          <w:lang w:val="es-CR"/>
        </w:rPr>
        <w:t xml:space="preserve"> </w:t>
      </w:r>
      <w:r w:rsidR="004F4F9C" w:rsidRPr="001558A5">
        <w:rPr>
          <w:i/>
          <w:iCs/>
          <w:szCs w:val="16"/>
          <w:lang w:val="es-CR"/>
        </w:rPr>
        <w:t>et al. v.</w:t>
      </w:r>
      <w:r w:rsidRPr="001558A5">
        <w:rPr>
          <w:i/>
          <w:iCs/>
          <w:szCs w:val="16"/>
          <w:lang w:val="es-CR"/>
        </w:rPr>
        <w:t xml:space="preserve"> Vene</w:t>
      </w:r>
      <w:r w:rsidRPr="001558A5">
        <w:rPr>
          <w:szCs w:val="16"/>
          <w:lang w:val="es-CR"/>
        </w:rPr>
        <w:t xml:space="preserve">zuela, </w:t>
      </w:r>
      <w:r w:rsidRPr="001558A5">
        <w:rPr>
          <w:i/>
          <w:iCs/>
          <w:szCs w:val="16"/>
          <w:lang w:val="es-CR"/>
        </w:rPr>
        <w:t>supra</w:t>
      </w:r>
      <w:r w:rsidRPr="001558A5">
        <w:rPr>
          <w:szCs w:val="16"/>
          <w:lang w:val="es-CR"/>
        </w:rPr>
        <w:t xml:space="preserve">, </w:t>
      </w:r>
      <w:r w:rsidR="00B43A52" w:rsidRPr="001558A5">
        <w:rPr>
          <w:szCs w:val="16"/>
          <w:lang w:val="es-CR"/>
        </w:rPr>
        <w:t>para.</w:t>
      </w:r>
      <w:r w:rsidRPr="001558A5">
        <w:rPr>
          <w:szCs w:val="16"/>
          <w:lang w:val="es-CR"/>
        </w:rPr>
        <w:t xml:space="preserve"> </w:t>
      </w:r>
      <w:r w:rsidRPr="001558A5">
        <w:rPr>
          <w:szCs w:val="16"/>
          <w:lang w:val="en-US"/>
        </w:rPr>
        <w:t>193</w:t>
      </w:r>
      <w:r w:rsidRPr="001558A5">
        <w:rPr>
          <w:iCs/>
          <w:lang w:val="en-US"/>
        </w:rPr>
        <w:t>.</w:t>
      </w:r>
    </w:p>
  </w:footnote>
  <w:footnote w:id="194">
    <w:p w14:paraId="1D6BF59A" w14:textId="4D3BDC38" w:rsidR="005977F6" w:rsidRPr="001558A5" w:rsidRDefault="005977F6" w:rsidP="000B2BB5">
      <w:pPr>
        <w:pStyle w:val="Textonotapie"/>
        <w:tabs>
          <w:tab w:val="left" w:pos="360"/>
        </w:tabs>
        <w:rPr>
          <w:lang w:val="en-US"/>
        </w:rPr>
      </w:pPr>
      <w:r w:rsidRPr="001558A5">
        <w:rPr>
          <w:rStyle w:val="Refdenotaalpie"/>
          <w:lang w:val="en-US"/>
        </w:rPr>
        <w:footnoteRef/>
      </w:r>
      <w:r w:rsidRPr="001558A5">
        <w:rPr>
          <w:lang w:val="en-US"/>
        </w:rPr>
        <w:t xml:space="preserve"> </w:t>
      </w:r>
      <w:r w:rsidRPr="001558A5">
        <w:rPr>
          <w:lang w:val="en-US"/>
        </w:rPr>
        <w:tab/>
      </w:r>
      <w:r w:rsidR="00871E19" w:rsidRPr="001558A5">
        <w:rPr>
          <w:i/>
          <w:lang w:val="en-US"/>
        </w:rPr>
        <w:t>Cf.</w:t>
      </w:r>
      <w:r w:rsidRPr="001558A5">
        <w:rPr>
          <w:i/>
          <w:lang w:val="en-US"/>
        </w:rPr>
        <w:t xml:space="preserve"> </w:t>
      </w:r>
      <w:r w:rsidR="00871E19" w:rsidRPr="001558A5">
        <w:rPr>
          <w:i/>
          <w:lang w:val="en-US"/>
        </w:rPr>
        <w:t>Case of</w:t>
      </w:r>
      <w:r w:rsidRPr="001558A5">
        <w:rPr>
          <w:i/>
          <w:lang w:val="en-US"/>
        </w:rPr>
        <w:t xml:space="preserve"> Ibsen Cárdenas </w:t>
      </w:r>
      <w:r w:rsidR="00E82E47" w:rsidRPr="001558A5">
        <w:rPr>
          <w:i/>
          <w:lang w:val="en-US"/>
        </w:rPr>
        <w:t>and</w:t>
      </w:r>
      <w:r w:rsidRPr="001558A5">
        <w:rPr>
          <w:i/>
          <w:lang w:val="en-US"/>
        </w:rPr>
        <w:t xml:space="preserve"> Ibsen Peña </w:t>
      </w:r>
      <w:r w:rsidR="00871E19" w:rsidRPr="001558A5">
        <w:rPr>
          <w:i/>
          <w:lang w:val="en-US"/>
        </w:rPr>
        <w:t>v.</w:t>
      </w:r>
      <w:r w:rsidRPr="001558A5">
        <w:rPr>
          <w:i/>
          <w:lang w:val="en-US"/>
        </w:rPr>
        <w:t xml:space="preserve"> Bolivia. </w:t>
      </w:r>
      <w:r w:rsidR="00B43A52" w:rsidRPr="001558A5">
        <w:rPr>
          <w:i/>
          <w:lang w:val="en-US"/>
        </w:rPr>
        <w:t>Merits, reparations and costs</w:t>
      </w:r>
      <w:r w:rsidRPr="001558A5">
        <w:rPr>
          <w:i/>
          <w:lang w:val="en-US"/>
        </w:rPr>
        <w:t xml:space="preserve">. </w:t>
      </w:r>
      <w:r w:rsidR="00871E19" w:rsidRPr="001558A5">
        <w:rPr>
          <w:iCs/>
          <w:lang w:val="en-US"/>
        </w:rPr>
        <w:t>Judgment of</w:t>
      </w:r>
      <w:r w:rsidRPr="001558A5">
        <w:rPr>
          <w:iCs/>
          <w:lang w:val="en-US"/>
        </w:rPr>
        <w:t xml:space="preserve"> </w:t>
      </w:r>
      <w:r w:rsidR="00E82E47" w:rsidRPr="001558A5">
        <w:rPr>
          <w:iCs/>
          <w:lang w:val="en-US"/>
        </w:rPr>
        <w:t xml:space="preserve">September </w:t>
      </w:r>
      <w:r w:rsidRPr="001558A5">
        <w:rPr>
          <w:iCs/>
          <w:lang w:val="en-US"/>
        </w:rPr>
        <w:t>1</w:t>
      </w:r>
      <w:r w:rsidR="00E82E47" w:rsidRPr="001558A5">
        <w:rPr>
          <w:iCs/>
          <w:lang w:val="en-US"/>
        </w:rPr>
        <w:t xml:space="preserve">, </w:t>
      </w:r>
      <w:r w:rsidRPr="001558A5">
        <w:rPr>
          <w:iCs/>
          <w:lang w:val="en-US"/>
        </w:rPr>
        <w:t xml:space="preserve">2010. </w:t>
      </w:r>
      <w:r w:rsidR="00B43A52" w:rsidRPr="001558A5">
        <w:rPr>
          <w:iCs/>
          <w:lang w:val="es-CR"/>
        </w:rPr>
        <w:t xml:space="preserve">Series </w:t>
      </w:r>
      <w:r w:rsidRPr="001558A5">
        <w:rPr>
          <w:iCs/>
          <w:lang w:val="es-CR"/>
        </w:rPr>
        <w:t xml:space="preserve">C No. 217, </w:t>
      </w:r>
      <w:r w:rsidR="00B43A52" w:rsidRPr="001558A5">
        <w:rPr>
          <w:iCs/>
          <w:lang w:val="es-CR"/>
        </w:rPr>
        <w:t>para.</w:t>
      </w:r>
      <w:r w:rsidRPr="001558A5">
        <w:rPr>
          <w:iCs/>
          <w:lang w:val="es-CR"/>
        </w:rPr>
        <w:t xml:space="preserve"> 29,</w:t>
      </w:r>
      <w:r w:rsidR="00DD4354" w:rsidRPr="001558A5">
        <w:rPr>
          <w:iCs/>
          <w:lang w:val="es-CR"/>
        </w:rPr>
        <w:t xml:space="preserve"> and </w:t>
      </w:r>
      <w:r w:rsidR="00871E19" w:rsidRPr="001558A5">
        <w:rPr>
          <w:i/>
          <w:lang w:val="es-CR"/>
        </w:rPr>
        <w:t>Case of</w:t>
      </w:r>
      <w:r w:rsidRPr="001558A5">
        <w:rPr>
          <w:i/>
          <w:lang w:val="es-CR"/>
        </w:rPr>
        <w:t xml:space="preserve"> Casa Nina </w:t>
      </w:r>
      <w:r w:rsidR="00871E19" w:rsidRPr="001558A5">
        <w:rPr>
          <w:i/>
          <w:lang w:val="es-CR"/>
        </w:rPr>
        <w:t>v.</w:t>
      </w:r>
      <w:r w:rsidRPr="001558A5">
        <w:rPr>
          <w:i/>
          <w:lang w:val="es-CR"/>
        </w:rPr>
        <w:t xml:space="preserve"> </w:t>
      </w:r>
      <w:proofErr w:type="spellStart"/>
      <w:r w:rsidR="00D11908" w:rsidRPr="001558A5">
        <w:rPr>
          <w:i/>
          <w:lang w:val="es-CR"/>
        </w:rPr>
        <w:t>Peru</w:t>
      </w:r>
      <w:proofErr w:type="spellEnd"/>
      <w:r w:rsidRPr="001558A5">
        <w:rPr>
          <w:iCs/>
          <w:lang w:val="es-CR"/>
        </w:rPr>
        <w:t>,</w:t>
      </w:r>
      <w:r w:rsidRPr="001558A5">
        <w:rPr>
          <w:i/>
          <w:lang w:val="es-CR"/>
        </w:rPr>
        <w:t xml:space="preserve"> supra</w:t>
      </w:r>
      <w:r w:rsidRPr="001558A5">
        <w:rPr>
          <w:iCs/>
          <w:lang w:val="es-CR"/>
        </w:rPr>
        <w:t>,</w:t>
      </w:r>
      <w:r w:rsidRPr="001558A5">
        <w:rPr>
          <w:i/>
          <w:lang w:val="es-CR"/>
        </w:rPr>
        <w:t xml:space="preserve"> </w:t>
      </w:r>
      <w:r w:rsidR="00B43A52" w:rsidRPr="001558A5">
        <w:rPr>
          <w:iCs/>
          <w:lang w:val="es-CR"/>
        </w:rPr>
        <w:t>para.</w:t>
      </w:r>
      <w:r w:rsidRPr="001558A5">
        <w:rPr>
          <w:iCs/>
          <w:lang w:val="es-CR"/>
        </w:rPr>
        <w:t xml:space="preserve"> </w:t>
      </w:r>
      <w:r w:rsidRPr="001558A5">
        <w:rPr>
          <w:iCs/>
          <w:lang w:val="en-US"/>
        </w:rPr>
        <w:t>158.</w:t>
      </w:r>
    </w:p>
  </w:footnote>
  <w:footnote w:id="195">
    <w:p w14:paraId="19EAEB3C" w14:textId="014D843E" w:rsidR="0076236C" w:rsidRPr="001558A5" w:rsidRDefault="0076236C" w:rsidP="000B2BB5">
      <w:pPr>
        <w:pStyle w:val="Textonotapie"/>
        <w:tabs>
          <w:tab w:val="left" w:pos="360"/>
        </w:tabs>
        <w:spacing w:before="20" w:after="20"/>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szCs w:val="16"/>
          <w:lang w:val="en-US"/>
        </w:rPr>
        <w:t>Cf.</w:t>
      </w:r>
      <w:r w:rsidRPr="001558A5">
        <w:rPr>
          <w:i/>
          <w:szCs w:val="16"/>
          <w:lang w:val="en-US"/>
        </w:rPr>
        <w:t xml:space="preserve"> </w:t>
      </w:r>
      <w:r w:rsidR="00871E19" w:rsidRPr="001558A5">
        <w:rPr>
          <w:i/>
          <w:szCs w:val="16"/>
          <w:lang w:val="en-US"/>
        </w:rPr>
        <w:t>Case of</w:t>
      </w:r>
      <w:r w:rsidRPr="001558A5">
        <w:rPr>
          <w:i/>
          <w:szCs w:val="16"/>
          <w:lang w:val="en-US"/>
        </w:rPr>
        <w:t xml:space="preserve"> Vicky </w:t>
      </w:r>
      <w:r w:rsidR="00871E19" w:rsidRPr="001558A5">
        <w:rPr>
          <w:i/>
          <w:szCs w:val="16"/>
          <w:lang w:val="en-US"/>
        </w:rPr>
        <w:t>Hernández et al.</w:t>
      </w:r>
      <w:r w:rsidRPr="001558A5">
        <w:rPr>
          <w:i/>
          <w:szCs w:val="16"/>
          <w:lang w:val="en-US"/>
        </w:rPr>
        <w:t xml:space="preserve"> </w:t>
      </w:r>
      <w:r w:rsidR="00871E19" w:rsidRPr="001558A5">
        <w:rPr>
          <w:i/>
          <w:szCs w:val="16"/>
          <w:lang w:val="en-US"/>
        </w:rPr>
        <w:t>v.</w:t>
      </w:r>
      <w:r w:rsidRPr="001558A5">
        <w:rPr>
          <w:i/>
          <w:szCs w:val="16"/>
          <w:lang w:val="en-US"/>
        </w:rPr>
        <w:t xml:space="preserve"> Honduras</w:t>
      </w:r>
      <w:r w:rsidRPr="001558A5">
        <w:rPr>
          <w:szCs w:val="16"/>
          <w:lang w:val="en-US"/>
        </w:rPr>
        <w:t xml:space="preserve">. </w:t>
      </w:r>
      <w:r w:rsidR="00B43A52" w:rsidRPr="001558A5">
        <w:rPr>
          <w:i/>
          <w:szCs w:val="16"/>
          <w:lang w:val="en-US"/>
        </w:rPr>
        <w:t>Merits, reparations and costs</w:t>
      </w:r>
      <w:r w:rsidRPr="001558A5">
        <w:rPr>
          <w:szCs w:val="16"/>
          <w:lang w:val="en-US"/>
        </w:rPr>
        <w:t xml:space="preserve">. </w:t>
      </w:r>
      <w:r w:rsidR="00871E19" w:rsidRPr="001558A5">
        <w:rPr>
          <w:szCs w:val="16"/>
          <w:lang w:val="en-US"/>
        </w:rPr>
        <w:t>Judgment of</w:t>
      </w:r>
      <w:r w:rsidRPr="001558A5">
        <w:rPr>
          <w:szCs w:val="16"/>
          <w:lang w:val="en-US"/>
        </w:rPr>
        <w:t xml:space="preserve"> </w:t>
      </w:r>
      <w:r w:rsidR="00905EF9" w:rsidRPr="001558A5">
        <w:rPr>
          <w:szCs w:val="16"/>
          <w:lang w:val="en-US"/>
        </w:rPr>
        <w:t>March 26,</w:t>
      </w:r>
      <w:r w:rsidRPr="001558A5">
        <w:rPr>
          <w:szCs w:val="16"/>
          <w:lang w:val="en-US"/>
        </w:rPr>
        <w:t xml:space="preserve"> 2021</w:t>
      </w:r>
      <w:r w:rsidRPr="001558A5">
        <w:rPr>
          <w:rStyle w:val="Textoennegrita"/>
          <w:b w:val="0"/>
          <w:szCs w:val="16"/>
          <w:lang w:val="en-US"/>
        </w:rPr>
        <w:t xml:space="preserve">. </w:t>
      </w:r>
    </w:p>
  </w:footnote>
  <w:footnote w:id="196">
    <w:p w14:paraId="644F209B" w14:textId="49999DEE" w:rsidR="0076236C" w:rsidRPr="001558A5" w:rsidRDefault="0076236C" w:rsidP="000B2BB5">
      <w:pPr>
        <w:pStyle w:val="Textonotapie"/>
        <w:tabs>
          <w:tab w:val="left" w:pos="360"/>
        </w:tabs>
        <w:spacing w:before="20" w:after="20"/>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905EF9" w:rsidRPr="001558A5">
        <w:rPr>
          <w:szCs w:val="16"/>
          <w:lang w:val="en-US"/>
        </w:rPr>
        <w:t xml:space="preserve">See, </w:t>
      </w:r>
      <w:r w:rsidR="00483294" w:rsidRPr="001558A5">
        <w:rPr>
          <w:szCs w:val="16"/>
          <w:lang w:val="en-US"/>
        </w:rPr>
        <w:t>in particular,</w:t>
      </w:r>
      <w:r w:rsidR="00905EF9" w:rsidRPr="001558A5">
        <w:rPr>
          <w:szCs w:val="16"/>
          <w:lang w:val="en-US"/>
        </w:rPr>
        <w:t xml:space="preserve"> paragraphs </w:t>
      </w:r>
      <w:r w:rsidRPr="001558A5">
        <w:rPr>
          <w:szCs w:val="16"/>
          <w:lang w:val="en-US"/>
        </w:rPr>
        <w:t xml:space="preserve">30 </w:t>
      </w:r>
      <w:r w:rsidR="00905EF9" w:rsidRPr="001558A5">
        <w:rPr>
          <w:szCs w:val="16"/>
          <w:lang w:val="en-US"/>
        </w:rPr>
        <w:t>to</w:t>
      </w:r>
      <w:r w:rsidRPr="001558A5">
        <w:rPr>
          <w:szCs w:val="16"/>
          <w:lang w:val="en-US"/>
        </w:rPr>
        <w:t xml:space="preserve"> 35 </w:t>
      </w:r>
      <w:r w:rsidR="00905EF9" w:rsidRPr="001558A5">
        <w:rPr>
          <w:szCs w:val="16"/>
          <w:lang w:val="en-US"/>
        </w:rPr>
        <w:t>of the judgment.</w:t>
      </w:r>
    </w:p>
  </w:footnote>
  <w:footnote w:id="197">
    <w:p w14:paraId="4AA2C2E8" w14:textId="0E0D457C" w:rsidR="0076236C" w:rsidRPr="001558A5" w:rsidRDefault="0076236C" w:rsidP="000B2BB5">
      <w:pPr>
        <w:pStyle w:val="Textonotapie"/>
        <w:tabs>
          <w:tab w:val="left" w:pos="360"/>
        </w:tabs>
        <w:spacing w:before="20" w:after="20"/>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szCs w:val="16"/>
          <w:lang w:val="en-US"/>
        </w:rPr>
        <w:t>Cf.</w:t>
      </w:r>
      <w:r w:rsidRPr="001558A5">
        <w:rPr>
          <w:szCs w:val="16"/>
          <w:lang w:val="en-US"/>
        </w:rPr>
        <w:t xml:space="preserve"> </w:t>
      </w:r>
      <w:r w:rsidR="00905EF9" w:rsidRPr="001558A5">
        <w:rPr>
          <w:rFonts w:eastAsia="Times New Roman" w:cs="Times New Roman"/>
          <w:bCs/>
          <w:i/>
          <w:szCs w:val="16"/>
          <w:lang w:val="en-US"/>
        </w:rPr>
        <w:t xml:space="preserve">Gender Identity, and Equality and Non-Discrimination with regard to Same-Sex Couples. State Obligations in relation to Change of Name, Gender Identity, and Rights deriving from a relationship between Same-Sex Couples (Interpretation and scope of Articles 1(1), 3, 7, 11(2), 13, 17, 18 and 24, in relation to Article 1, of the American Convention on Human Rights). </w:t>
      </w:r>
      <w:r w:rsidR="00905EF9" w:rsidRPr="001558A5">
        <w:rPr>
          <w:rFonts w:eastAsia="Times New Roman" w:cs="Times New Roman"/>
          <w:bCs/>
          <w:szCs w:val="16"/>
          <w:lang w:val="en-US"/>
        </w:rPr>
        <w:t xml:space="preserve">Advisory Opinion OC-24/17 of November 24, 2017. Series </w:t>
      </w:r>
      <w:proofErr w:type="gramStart"/>
      <w:r w:rsidR="00905EF9" w:rsidRPr="001558A5">
        <w:rPr>
          <w:rFonts w:eastAsia="Times New Roman" w:cs="Times New Roman"/>
          <w:bCs/>
          <w:szCs w:val="16"/>
          <w:lang w:val="en-US"/>
        </w:rPr>
        <w:t>A</w:t>
      </w:r>
      <w:proofErr w:type="gramEnd"/>
      <w:r w:rsidR="00905EF9" w:rsidRPr="001558A5">
        <w:rPr>
          <w:rFonts w:eastAsia="Times New Roman" w:cs="Times New Roman"/>
          <w:bCs/>
          <w:szCs w:val="16"/>
          <w:lang w:val="en-US"/>
        </w:rPr>
        <w:t xml:space="preserve"> No. 24, </w:t>
      </w:r>
      <w:r w:rsidR="00B43A52" w:rsidRPr="001558A5">
        <w:rPr>
          <w:rFonts w:cs="Arial"/>
          <w:szCs w:val="16"/>
          <w:shd w:val="clear" w:color="auto" w:fill="FFFFFF"/>
          <w:lang w:val="en-US"/>
        </w:rPr>
        <w:t>para.</w:t>
      </w:r>
      <w:r w:rsidRPr="001558A5">
        <w:rPr>
          <w:rFonts w:cs="Arial"/>
          <w:szCs w:val="16"/>
          <w:shd w:val="clear" w:color="auto" w:fill="FFFFFF"/>
          <w:lang w:val="en-US"/>
        </w:rPr>
        <w:t xml:space="preserve"> 32.</w:t>
      </w:r>
    </w:p>
  </w:footnote>
  <w:footnote w:id="198">
    <w:p w14:paraId="611C2DFF" w14:textId="4C694AC4" w:rsidR="0076236C" w:rsidRPr="001558A5" w:rsidRDefault="0076236C" w:rsidP="000B2BB5">
      <w:pPr>
        <w:pStyle w:val="Textonotapie"/>
        <w:tabs>
          <w:tab w:val="left" w:pos="360"/>
        </w:tabs>
        <w:spacing w:before="20" w:after="20"/>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777208" w:rsidRPr="001558A5">
        <w:rPr>
          <w:i/>
          <w:szCs w:val="16"/>
          <w:lang w:val="en-US"/>
        </w:rPr>
        <w:t>Idem</w:t>
      </w:r>
      <w:r w:rsidRPr="001558A5">
        <w:rPr>
          <w:szCs w:val="16"/>
          <w:lang w:val="en-US"/>
        </w:rPr>
        <w:t>.</w:t>
      </w:r>
    </w:p>
  </w:footnote>
  <w:footnote w:id="199">
    <w:p w14:paraId="111D892C" w14:textId="2E872267" w:rsidR="0076236C" w:rsidRPr="001558A5" w:rsidRDefault="0076236C" w:rsidP="000B2BB5">
      <w:pPr>
        <w:pStyle w:val="Textonotapie"/>
        <w:tabs>
          <w:tab w:val="left" w:pos="360"/>
        </w:tabs>
        <w:spacing w:before="20" w:after="20"/>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777208" w:rsidRPr="001558A5">
        <w:rPr>
          <w:i/>
          <w:szCs w:val="16"/>
          <w:lang w:val="en-US"/>
        </w:rPr>
        <w:t>Idem</w:t>
      </w:r>
      <w:r w:rsidRPr="001558A5">
        <w:rPr>
          <w:rFonts w:cs="Arial"/>
          <w:szCs w:val="16"/>
          <w:shd w:val="clear" w:color="auto" w:fill="FFFFFF"/>
          <w:lang w:val="en-US"/>
        </w:rPr>
        <w:t>.</w:t>
      </w:r>
    </w:p>
  </w:footnote>
  <w:footnote w:id="200">
    <w:p w14:paraId="3524284A" w14:textId="331C44AC" w:rsidR="0076236C" w:rsidRPr="001558A5" w:rsidRDefault="0076236C" w:rsidP="000B2BB5">
      <w:pPr>
        <w:pStyle w:val="Textonotapie"/>
        <w:tabs>
          <w:tab w:val="left" w:pos="360"/>
        </w:tabs>
        <w:spacing w:before="20" w:after="20"/>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FF575B" w:rsidRPr="001558A5">
        <w:rPr>
          <w:szCs w:val="16"/>
          <w:lang w:val="en-US"/>
        </w:rPr>
        <w:t xml:space="preserve">Even today and, in my opinion, in a way that is totally </w:t>
      </w:r>
      <w:proofErr w:type="spellStart"/>
      <w:r w:rsidR="00FF575B" w:rsidRPr="001558A5">
        <w:rPr>
          <w:szCs w:val="16"/>
          <w:lang w:val="en-US"/>
        </w:rPr>
        <w:t>anachronic</w:t>
      </w:r>
      <w:proofErr w:type="spellEnd"/>
      <w:r w:rsidR="00FF575B" w:rsidRPr="001558A5">
        <w:rPr>
          <w:szCs w:val="16"/>
          <w:lang w:val="en-US"/>
        </w:rPr>
        <w:t>, the</w:t>
      </w:r>
      <w:r w:rsidRPr="001558A5">
        <w:rPr>
          <w:szCs w:val="16"/>
          <w:lang w:val="en-US"/>
        </w:rPr>
        <w:t xml:space="preserve"> </w:t>
      </w:r>
      <w:r w:rsidRPr="001558A5">
        <w:rPr>
          <w:i/>
          <w:iCs/>
          <w:szCs w:val="16"/>
          <w:lang w:val="en-US"/>
        </w:rPr>
        <w:t xml:space="preserve">Real Academia de la </w:t>
      </w:r>
      <w:proofErr w:type="spellStart"/>
      <w:r w:rsidRPr="001558A5">
        <w:rPr>
          <w:i/>
          <w:iCs/>
          <w:szCs w:val="16"/>
          <w:lang w:val="en-US"/>
        </w:rPr>
        <w:t>Lengua</w:t>
      </w:r>
      <w:proofErr w:type="spellEnd"/>
      <w:r w:rsidRPr="001558A5">
        <w:rPr>
          <w:i/>
          <w:iCs/>
          <w:szCs w:val="16"/>
          <w:lang w:val="en-US"/>
        </w:rPr>
        <w:t xml:space="preserve"> Española</w:t>
      </w:r>
      <w:r w:rsidRPr="001558A5">
        <w:rPr>
          <w:szCs w:val="16"/>
          <w:lang w:val="en-US"/>
        </w:rPr>
        <w:t xml:space="preserve"> </w:t>
      </w:r>
      <w:r w:rsidR="00FF575B" w:rsidRPr="001558A5">
        <w:rPr>
          <w:szCs w:val="16"/>
          <w:lang w:val="en-US"/>
        </w:rPr>
        <w:t>defines women as a whole</w:t>
      </w:r>
      <w:r w:rsidRPr="001558A5">
        <w:rPr>
          <w:szCs w:val="16"/>
          <w:lang w:val="en-US"/>
        </w:rPr>
        <w:t xml:space="preserve"> </w:t>
      </w:r>
      <w:r w:rsidR="00FF575B" w:rsidRPr="001558A5">
        <w:rPr>
          <w:szCs w:val="16"/>
          <w:lang w:val="en-US"/>
        </w:rPr>
        <w:t>(</w:t>
      </w:r>
      <w:r w:rsidRPr="001558A5">
        <w:rPr>
          <w:szCs w:val="16"/>
          <w:lang w:val="en-US"/>
        </w:rPr>
        <w:t>“</w:t>
      </w:r>
      <w:r w:rsidR="00FF575B" w:rsidRPr="001558A5">
        <w:rPr>
          <w:i/>
          <w:iCs/>
          <w:szCs w:val="16"/>
          <w:lang w:val="en-US"/>
        </w:rPr>
        <w:t xml:space="preserve">el </w:t>
      </w:r>
      <w:proofErr w:type="spellStart"/>
      <w:r w:rsidRPr="001558A5">
        <w:rPr>
          <w:i/>
          <w:iCs/>
          <w:szCs w:val="16"/>
          <w:lang w:val="en-US"/>
        </w:rPr>
        <w:t>conjunto</w:t>
      </w:r>
      <w:proofErr w:type="spellEnd"/>
      <w:r w:rsidRPr="001558A5">
        <w:rPr>
          <w:i/>
          <w:iCs/>
          <w:szCs w:val="16"/>
          <w:lang w:val="en-US"/>
        </w:rPr>
        <w:t xml:space="preserve"> de </w:t>
      </w:r>
      <w:proofErr w:type="spellStart"/>
      <w:r w:rsidRPr="001558A5">
        <w:rPr>
          <w:i/>
          <w:iCs/>
          <w:szCs w:val="16"/>
          <w:lang w:val="en-US"/>
        </w:rPr>
        <w:t>mujeres</w:t>
      </w:r>
      <w:proofErr w:type="spellEnd"/>
      <w:r w:rsidRPr="001558A5">
        <w:rPr>
          <w:szCs w:val="16"/>
          <w:lang w:val="en-US"/>
        </w:rPr>
        <w:t>”</w:t>
      </w:r>
      <w:r w:rsidR="00FF575B" w:rsidRPr="001558A5">
        <w:rPr>
          <w:szCs w:val="16"/>
          <w:lang w:val="en-US"/>
        </w:rPr>
        <w:t>)</w:t>
      </w:r>
      <w:r w:rsidRPr="001558A5">
        <w:rPr>
          <w:szCs w:val="16"/>
          <w:lang w:val="en-US"/>
        </w:rPr>
        <w:t xml:space="preserve"> </w:t>
      </w:r>
      <w:r w:rsidR="00FF575B" w:rsidRPr="001558A5">
        <w:rPr>
          <w:szCs w:val="16"/>
          <w:lang w:val="en-US"/>
        </w:rPr>
        <w:t>as the “weak sex”(</w:t>
      </w:r>
      <w:r w:rsidR="00E32F16" w:rsidRPr="001558A5">
        <w:rPr>
          <w:szCs w:val="16"/>
          <w:lang w:val="en-US"/>
        </w:rPr>
        <w:t xml:space="preserve">el </w:t>
      </w:r>
      <w:r w:rsidRPr="001558A5">
        <w:rPr>
          <w:szCs w:val="16"/>
          <w:lang w:val="en-US"/>
        </w:rPr>
        <w:t>“</w:t>
      </w:r>
      <w:proofErr w:type="spellStart"/>
      <w:r w:rsidRPr="001558A5">
        <w:rPr>
          <w:i/>
          <w:iCs/>
          <w:szCs w:val="16"/>
          <w:lang w:val="en-US"/>
        </w:rPr>
        <w:t>sexo</w:t>
      </w:r>
      <w:proofErr w:type="spellEnd"/>
      <w:r w:rsidRPr="001558A5">
        <w:rPr>
          <w:i/>
          <w:iCs/>
          <w:szCs w:val="16"/>
          <w:lang w:val="en-US"/>
        </w:rPr>
        <w:t xml:space="preserve"> </w:t>
      </w:r>
      <w:proofErr w:type="spellStart"/>
      <w:r w:rsidRPr="001558A5">
        <w:rPr>
          <w:i/>
          <w:iCs/>
          <w:szCs w:val="16"/>
          <w:lang w:val="en-US"/>
        </w:rPr>
        <w:t>débil</w:t>
      </w:r>
      <w:proofErr w:type="spellEnd"/>
      <w:r w:rsidRPr="001558A5">
        <w:rPr>
          <w:szCs w:val="16"/>
          <w:lang w:val="en-US"/>
        </w:rPr>
        <w:t>”</w:t>
      </w:r>
      <w:r w:rsidR="00FF575B" w:rsidRPr="001558A5">
        <w:rPr>
          <w:szCs w:val="16"/>
          <w:lang w:val="en-US"/>
        </w:rPr>
        <w:t>)</w:t>
      </w:r>
      <w:r w:rsidRPr="001558A5">
        <w:rPr>
          <w:szCs w:val="16"/>
          <w:lang w:val="en-US"/>
        </w:rPr>
        <w:t>.</w:t>
      </w:r>
    </w:p>
  </w:footnote>
  <w:footnote w:id="201">
    <w:p w14:paraId="16E04FFC" w14:textId="43CA687F" w:rsidR="0076236C" w:rsidRPr="001558A5" w:rsidRDefault="0076236C"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F86AB5" w:rsidRPr="001558A5">
        <w:rPr>
          <w:szCs w:val="16"/>
          <w:lang w:val="en-US"/>
        </w:rPr>
        <w:t>Expert opinion provided by</w:t>
      </w:r>
      <w:r w:rsidRPr="001558A5">
        <w:rPr>
          <w:szCs w:val="16"/>
          <w:lang w:val="en-US"/>
        </w:rPr>
        <w:t xml:space="preserve"> Marlene </w:t>
      </w:r>
      <w:proofErr w:type="spellStart"/>
      <w:r w:rsidRPr="001558A5">
        <w:rPr>
          <w:szCs w:val="16"/>
          <w:lang w:val="en-US"/>
        </w:rPr>
        <w:t>Wayar</w:t>
      </w:r>
      <w:proofErr w:type="spellEnd"/>
      <w:r w:rsidRPr="001558A5">
        <w:rPr>
          <w:szCs w:val="16"/>
          <w:lang w:val="en-US"/>
        </w:rPr>
        <w:t xml:space="preserve"> </w:t>
      </w:r>
      <w:r w:rsidR="00DE7CAC" w:rsidRPr="001558A5">
        <w:rPr>
          <w:szCs w:val="16"/>
          <w:lang w:val="en-US"/>
        </w:rPr>
        <w:t>during the public hearing in this case</w:t>
      </w:r>
      <w:r w:rsidRPr="001558A5">
        <w:rPr>
          <w:szCs w:val="16"/>
          <w:lang w:val="en-US"/>
        </w:rPr>
        <w:t xml:space="preserve"> </w:t>
      </w:r>
      <w:r w:rsidR="00DE7CAC" w:rsidRPr="001558A5">
        <w:rPr>
          <w:szCs w:val="16"/>
          <w:lang w:val="en-US"/>
        </w:rPr>
        <w:t>on November 11,</w:t>
      </w:r>
      <w:r w:rsidRPr="001558A5">
        <w:rPr>
          <w:szCs w:val="16"/>
          <w:lang w:val="en-US"/>
        </w:rPr>
        <w:t xml:space="preserve"> 2020.</w:t>
      </w:r>
    </w:p>
  </w:footnote>
  <w:footnote w:id="202">
    <w:p w14:paraId="36693E41" w14:textId="25B976C3" w:rsidR="0076236C" w:rsidRPr="001558A5" w:rsidRDefault="0076236C"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Pr="001558A5">
        <w:rPr>
          <w:color w:val="000000"/>
          <w:szCs w:val="16"/>
          <w:shd w:val="clear" w:color="auto" w:fill="FFFFFF"/>
          <w:lang w:val="en-US"/>
        </w:rPr>
        <w:t>Arendt, Hannah, </w:t>
      </w:r>
      <w:r w:rsidRPr="001558A5">
        <w:rPr>
          <w:rStyle w:val="nfasis"/>
          <w:color w:val="000000"/>
          <w:szCs w:val="16"/>
          <w:shd w:val="clear" w:color="auto" w:fill="FFFFFF"/>
          <w:lang w:val="en-US"/>
        </w:rPr>
        <w:t>The Origins of Totalitarianism</w:t>
      </w:r>
      <w:r w:rsidRPr="001558A5">
        <w:rPr>
          <w:color w:val="000000"/>
          <w:szCs w:val="16"/>
          <w:shd w:val="clear" w:color="auto" w:fill="FFFFFF"/>
          <w:lang w:val="en-US"/>
        </w:rPr>
        <w:t>, N</w:t>
      </w:r>
      <w:r w:rsidR="00F86AB5" w:rsidRPr="001558A5">
        <w:rPr>
          <w:color w:val="000000"/>
          <w:szCs w:val="16"/>
          <w:shd w:val="clear" w:color="auto" w:fill="FFFFFF"/>
          <w:lang w:val="en-US"/>
        </w:rPr>
        <w:t>ew</w:t>
      </w:r>
      <w:r w:rsidRPr="001558A5">
        <w:rPr>
          <w:color w:val="000000"/>
          <w:szCs w:val="16"/>
          <w:shd w:val="clear" w:color="auto" w:fill="FFFFFF"/>
          <w:lang w:val="en-US"/>
        </w:rPr>
        <w:t xml:space="preserve"> York, Harcourt, 1968, p. 290</w:t>
      </w:r>
    </w:p>
  </w:footnote>
  <w:footnote w:id="203">
    <w:p w14:paraId="7E8616EE" w14:textId="099BB41C" w:rsidR="0076236C" w:rsidRPr="001558A5" w:rsidRDefault="0076236C"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0B29D2" w:rsidRPr="001558A5">
        <w:rPr>
          <w:szCs w:val="16"/>
          <w:lang w:val="en-US"/>
        </w:rPr>
        <w:t>In 1896, t</w:t>
      </w:r>
      <w:r w:rsidR="00871E19" w:rsidRPr="001558A5">
        <w:rPr>
          <w:szCs w:val="16"/>
          <w:lang w:val="en-US"/>
        </w:rPr>
        <w:t xml:space="preserve">he </w:t>
      </w:r>
      <w:r w:rsidR="000B29D2" w:rsidRPr="001558A5">
        <w:rPr>
          <w:szCs w:val="16"/>
          <w:lang w:val="en-US"/>
        </w:rPr>
        <w:t xml:space="preserve">United State Supreme Court delivered judgment in the case of Plessy </w:t>
      </w:r>
      <w:r w:rsidR="000B29D2" w:rsidRPr="001558A5">
        <w:rPr>
          <w:i/>
          <w:iCs/>
          <w:szCs w:val="16"/>
          <w:lang w:val="en-US"/>
        </w:rPr>
        <w:t>v.</w:t>
      </w:r>
      <w:r w:rsidR="000B29D2" w:rsidRPr="001558A5">
        <w:rPr>
          <w:szCs w:val="16"/>
          <w:lang w:val="en-US"/>
        </w:rPr>
        <w:t xml:space="preserve"> Fergusson, in which it considered that racial segregation in public spaces was constitutional, </w:t>
      </w:r>
      <w:r w:rsidR="000B435D" w:rsidRPr="001558A5">
        <w:rPr>
          <w:szCs w:val="16"/>
          <w:lang w:val="en-US"/>
        </w:rPr>
        <w:t xml:space="preserve">“so long as the facilities were equal.” This aberrant doctrine was only reversed in 1954 with the case of Brown </w:t>
      </w:r>
      <w:r w:rsidR="000B435D" w:rsidRPr="001558A5">
        <w:rPr>
          <w:i/>
          <w:iCs/>
          <w:szCs w:val="16"/>
          <w:lang w:val="en-US"/>
        </w:rPr>
        <w:t>v.</w:t>
      </w:r>
      <w:r w:rsidR="000B435D" w:rsidRPr="001558A5">
        <w:rPr>
          <w:szCs w:val="16"/>
          <w:lang w:val="en-US"/>
        </w:rPr>
        <w:t xml:space="preserve"> Board of Education, which declared that the state laws</w:t>
      </w:r>
      <w:r w:rsidR="0070391E" w:rsidRPr="001558A5">
        <w:rPr>
          <w:szCs w:val="16"/>
          <w:lang w:val="en-US"/>
        </w:rPr>
        <w:t xml:space="preserve"> </w:t>
      </w:r>
      <w:r w:rsidR="000B435D" w:rsidRPr="001558A5">
        <w:rPr>
          <w:szCs w:val="16"/>
          <w:lang w:val="en-US"/>
        </w:rPr>
        <w:t>establish</w:t>
      </w:r>
      <w:r w:rsidR="0070391E" w:rsidRPr="001558A5">
        <w:rPr>
          <w:szCs w:val="16"/>
          <w:lang w:val="en-US"/>
        </w:rPr>
        <w:t>ing</w:t>
      </w:r>
      <w:r w:rsidR="000B435D" w:rsidRPr="001558A5">
        <w:rPr>
          <w:szCs w:val="16"/>
          <w:lang w:val="en-US"/>
        </w:rPr>
        <w:t xml:space="preserve"> separate schools for African Americans and white students denied equal educational opportunities. It was only after this that racial segregation became considered a violation “of the equal protection of the laws guaranteed by the 14</w:t>
      </w:r>
      <w:r w:rsidR="000B435D" w:rsidRPr="001558A5">
        <w:rPr>
          <w:szCs w:val="16"/>
          <w:vertAlign w:val="superscript"/>
          <w:lang w:val="en-US"/>
        </w:rPr>
        <w:t>th</w:t>
      </w:r>
      <w:r w:rsidR="000B435D" w:rsidRPr="001558A5">
        <w:rPr>
          <w:szCs w:val="16"/>
          <w:lang w:val="en-US"/>
        </w:rPr>
        <w:t xml:space="preserve"> Amendment” of the United States Constitution.</w:t>
      </w:r>
    </w:p>
  </w:footnote>
  <w:footnote w:id="204">
    <w:p w14:paraId="792AA810" w14:textId="62F2F643" w:rsidR="0076236C" w:rsidRPr="001558A5" w:rsidRDefault="0076236C"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3F1F3D" w:rsidRPr="001558A5">
        <w:rPr>
          <w:i/>
          <w:iCs/>
          <w:szCs w:val="16"/>
          <w:lang w:val="en-US"/>
        </w:rPr>
        <w:t xml:space="preserve">The Obligations in Matters of Human Rights of a State that has denounced the American Convention on Human Rights and the Charter of the Organization of American States </w:t>
      </w:r>
      <w:r w:rsidR="000B435D" w:rsidRPr="001558A5">
        <w:rPr>
          <w:i/>
          <w:iCs/>
          <w:szCs w:val="16"/>
          <w:lang w:val="en-US"/>
        </w:rPr>
        <w:t>(Interpretation and scope of Articles 1, 2, 27, 29, 30, 31, 32, 33 to 65 and 78 of the American Convention on Human Rights and 3(l), 17, 45, 53, 106 and 143 of the Charter of the Organization of American States</w:t>
      </w:r>
      <w:r w:rsidR="000B435D" w:rsidRPr="001558A5">
        <w:rPr>
          <w:szCs w:val="16"/>
          <w:lang w:val="en-US"/>
        </w:rPr>
        <w:t xml:space="preserve">). Advisory Opinion OC-26/20 of November 9, 2020. Series </w:t>
      </w:r>
      <w:proofErr w:type="gramStart"/>
      <w:r w:rsidR="000B435D" w:rsidRPr="001558A5">
        <w:rPr>
          <w:szCs w:val="16"/>
          <w:lang w:val="en-US"/>
        </w:rPr>
        <w:t>A</w:t>
      </w:r>
      <w:proofErr w:type="gramEnd"/>
      <w:r w:rsidR="000B435D" w:rsidRPr="001558A5">
        <w:rPr>
          <w:szCs w:val="16"/>
          <w:lang w:val="en-US"/>
        </w:rPr>
        <w:t xml:space="preserve"> No. 26</w:t>
      </w:r>
      <w:r w:rsidRPr="001558A5">
        <w:rPr>
          <w:szCs w:val="16"/>
          <w:lang w:val="en-US"/>
        </w:rPr>
        <w:t xml:space="preserve">, </w:t>
      </w:r>
      <w:r w:rsidR="00B43A52" w:rsidRPr="001558A5">
        <w:rPr>
          <w:szCs w:val="16"/>
          <w:lang w:val="en-US"/>
        </w:rPr>
        <w:t>para.</w:t>
      </w:r>
      <w:r w:rsidRPr="001558A5">
        <w:rPr>
          <w:szCs w:val="16"/>
          <w:lang w:val="en-US"/>
        </w:rPr>
        <w:t xml:space="preserve"> 54</w:t>
      </w:r>
    </w:p>
  </w:footnote>
  <w:footnote w:id="205">
    <w:p w14:paraId="747E5489" w14:textId="5BB8CCB0" w:rsidR="0076236C" w:rsidRPr="001558A5" w:rsidRDefault="0076236C"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443040" w:rsidRPr="001558A5">
        <w:rPr>
          <w:szCs w:val="16"/>
          <w:lang w:val="en-US"/>
        </w:rPr>
        <w:t>United Nations High Commissioner for Human Rights</w:t>
      </w:r>
      <w:r w:rsidRPr="001558A5">
        <w:rPr>
          <w:szCs w:val="16"/>
          <w:lang w:val="en-US"/>
        </w:rPr>
        <w:t xml:space="preserve">. </w:t>
      </w:r>
      <w:r w:rsidRPr="001558A5">
        <w:rPr>
          <w:i/>
          <w:iCs/>
          <w:szCs w:val="16"/>
          <w:lang w:val="en-US"/>
        </w:rPr>
        <w:t>Discrimina</w:t>
      </w:r>
      <w:r w:rsidR="003F1F3D" w:rsidRPr="001558A5">
        <w:rPr>
          <w:i/>
          <w:iCs/>
          <w:szCs w:val="16"/>
          <w:lang w:val="en-US"/>
        </w:rPr>
        <w:t xml:space="preserve">tion and violence against individuals </w:t>
      </w:r>
      <w:r w:rsidR="00F053EE" w:rsidRPr="001558A5">
        <w:rPr>
          <w:i/>
          <w:iCs/>
          <w:szCs w:val="16"/>
          <w:lang w:val="en-US"/>
        </w:rPr>
        <w:t>based on</w:t>
      </w:r>
      <w:r w:rsidR="003F1F3D" w:rsidRPr="001558A5">
        <w:rPr>
          <w:i/>
          <w:iCs/>
          <w:szCs w:val="16"/>
          <w:lang w:val="en-US"/>
        </w:rPr>
        <w:t xml:space="preserve"> their sexual orientation and gender identity</w:t>
      </w:r>
      <w:r w:rsidRPr="001558A5">
        <w:rPr>
          <w:i/>
          <w:iCs/>
          <w:szCs w:val="16"/>
          <w:lang w:val="en-US"/>
        </w:rPr>
        <w:t xml:space="preserve">. </w:t>
      </w:r>
      <w:r w:rsidRPr="001558A5">
        <w:rPr>
          <w:szCs w:val="16"/>
          <w:lang w:val="en-US"/>
        </w:rPr>
        <w:t xml:space="preserve">A/HRC/29/23, </w:t>
      </w:r>
      <w:r w:rsidR="003F1F3D" w:rsidRPr="001558A5">
        <w:rPr>
          <w:szCs w:val="16"/>
          <w:lang w:val="en-US"/>
        </w:rPr>
        <w:t xml:space="preserve">May 4, </w:t>
      </w:r>
      <w:r w:rsidRPr="001558A5">
        <w:rPr>
          <w:szCs w:val="16"/>
          <w:lang w:val="en-US"/>
        </w:rPr>
        <w:t xml:space="preserve">2015, </w:t>
      </w:r>
      <w:r w:rsidR="00675A99" w:rsidRPr="001558A5">
        <w:rPr>
          <w:szCs w:val="16"/>
          <w:lang w:val="en-US"/>
        </w:rPr>
        <w:t>paras.</w:t>
      </w:r>
      <w:r w:rsidRPr="001558A5">
        <w:rPr>
          <w:szCs w:val="16"/>
          <w:lang w:val="en-US"/>
        </w:rPr>
        <w:t xml:space="preserve"> 20</w:t>
      </w:r>
      <w:r w:rsidR="003F1F3D" w:rsidRPr="001558A5">
        <w:rPr>
          <w:szCs w:val="16"/>
          <w:lang w:val="en-US"/>
        </w:rPr>
        <w:t xml:space="preserve"> to </w:t>
      </w:r>
      <w:r w:rsidRPr="001558A5">
        <w:rPr>
          <w:szCs w:val="16"/>
          <w:lang w:val="en-US"/>
        </w:rPr>
        <w:t xml:space="preserve">38; </w:t>
      </w:r>
      <w:r w:rsidR="00443040" w:rsidRPr="001558A5">
        <w:rPr>
          <w:szCs w:val="16"/>
          <w:lang w:val="en-US"/>
        </w:rPr>
        <w:t>United Nations High Commissioner for Human Rights</w:t>
      </w:r>
      <w:r w:rsidRPr="001558A5">
        <w:rPr>
          <w:szCs w:val="16"/>
          <w:lang w:val="en-US"/>
        </w:rPr>
        <w:t xml:space="preserve">. </w:t>
      </w:r>
      <w:r w:rsidR="00A75BCF" w:rsidRPr="001558A5">
        <w:rPr>
          <w:i/>
          <w:iCs/>
          <w:lang w:val="en-US"/>
        </w:rPr>
        <w:t>Discriminatory laws and practices and acts of violence against individuals based on their sexual orientation and gender identity,</w:t>
      </w:r>
      <w:r w:rsidR="00A75BCF" w:rsidRPr="001558A5">
        <w:rPr>
          <w:lang w:val="en-US"/>
        </w:rPr>
        <w:t xml:space="preserve"> A/HRC/19/41, November 17, 2011</w:t>
      </w:r>
      <w:r w:rsidRPr="001558A5">
        <w:rPr>
          <w:szCs w:val="16"/>
          <w:lang w:val="en-US"/>
        </w:rPr>
        <w:t xml:space="preserve">, </w:t>
      </w:r>
      <w:r w:rsidR="00675A99" w:rsidRPr="001558A5">
        <w:rPr>
          <w:szCs w:val="16"/>
          <w:lang w:val="en-US"/>
        </w:rPr>
        <w:t>paras.</w:t>
      </w:r>
      <w:r w:rsidRPr="001558A5">
        <w:rPr>
          <w:szCs w:val="16"/>
          <w:lang w:val="en-US"/>
        </w:rPr>
        <w:t xml:space="preserve"> 20</w:t>
      </w:r>
      <w:r w:rsidR="003F1F3D" w:rsidRPr="001558A5">
        <w:rPr>
          <w:szCs w:val="16"/>
          <w:lang w:val="en-US"/>
        </w:rPr>
        <w:t xml:space="preserve"> to </w:t>
      </w:r>
      <w:r w:rsidRPr="001558A5">
        <w:rPr>
          <w:szCs w:val="16"/>
          <w:lang w:val="en-US"/>
        </w:rPr>
        <w:t xml:space="preserve">37. </w:t>
      </w:r>
      <w:r w:rsidR="003F1F3D" w:rsidRPr="001558A5">
        <w:rPr>
          <w:szCs w:val="16"/>
          <w:lang w:val="en-US"/>
        </w:rPr>
        <w:t>The IACHR has indicated that “most trans women who are murdered are under 35 years of age and are particularly vulnerable to violence by the State’s law enforcement personnel.”</w:t>
      </w:r>
    </w:p>
  </w:footnote>
  <w:footnote w:id="206">
    <w:p w14:paraId="2D7E0D2C" w14:textId="4F599CA1" w:rsidR="0076236C" w:rsidRPr="001558A5" w:rsidRDefault="0076236C" w:rsidP="000B2BB5">
      <w:pPr>
        <w:pStyle w:val="Textonotapie"/>
        <w:tabs>
          <w:tab w:val="left" w:pos="360"/>
        </w:tabs>
        <w:rPr>
          <w:szCs w:val="16"/>
          <w:lang w:val="en-US"/>
        </w:rPr>
      </w:pPr>
      <w:r w:rsidRPr="001558A5">
        <w:rPr>
          <w:rStyle w:val="Refdenotaalpie"/>
          <w:szCs w:val="16"/>
          <w:lang w:val="en-US"/>
        </w:rPr>
        <w:footnoteRef/>
      </w:r>
      <w:r w:rsidRPr="001558A5">
        <w:rPr>
          <w:szCs w:val="16"/>
          <w:lang w:val="es-CR"/>
        </w:rPr>
        <w:t xml:space="preserve"> </w:t>
      </w:r>
      <w:r w:rsidRPr="001558A5">
        <w:rPr>
          <w:szCs w:val="16"/>
          <w:lang w:val="es-CR"/>
        </w:rPr>
        <w:tab/>
        <w:t xml:space="preserve">Cumes, Aura Estela; </w:t>
      </w:r>
      <w:r w:rsidRPr="001558A5">
        <w:rPr>
          <w:i/>
          <w:iCs/>
          <w:szCs w:val="16"/>
          <w:lang w:val="es-CR"/>
        </w:rPr>
        <w:t>Mujeres Indígenas, Patriarcado</w:t>
      </w:r>
      <w:r w:rsidR="00DD4354" w:rsidRPr="001558A5">
        <w:rPr>
          <w:i/>
          <w:iCs/>
          <w:szCs w:val="16"/>
          <w:lang w:val="es-CR"/>
        </w:rPr>
        <w:t xml:space="preserve"> </w:t>
      </w:r>
      <w:r w:rsidR="003F1F3D" w:rsidRPr="001558A5">
        <w:rPr>
          <w:i/>
          <w:iCs/>
          <w:szCs w:val="16"/>
          <w:lang w:val="es-CR"/>
        </w:rPr>
        <w:t>y</w:t>
      </w:r>
      <w:r w:rsidR="00DD4354" w:rsidRPr="001558A5">
        <w:rPr>
          <w:i/>
          <w:iCs/>
          <w:szCs w:val="16"/>
          <w:lang w:val="es-CR"/>
        </w:rPr>
        <w:t xml:space="preserve"> </w:t>
      </w:r>
      <w:r w:rsidRPr="001558A5">
        <w:rPr>
          <w:i/>
          <w:iCs/>
          <w:szCs w:val="16"/>
          <w:lang w:val="es-CR"/>
        </w:rPr>
        <w:t>Colonialismo: un desafío a la segregación comprensiva de las formas de dominio</w:t>
      </w:r>
      <w:r w:rsidRPr="001558A5">
        <w:rPr>
          <w:szCs w:val="16"/>
          <w:lang w:val="es-CR"/>
        </w:rPr>
        <w:t xml:space="preserve">, Anuario Hojas de </w:t>
      </w:r>
      <w:proofErr w:type="spellStart"/>
      <w:r w:rsidRPr="001558A5">
        <w:rPr>
          <w:szCs w:val="16"/>
          <w:lang w:val="es-CR"/>
        </w:rPr>
        <w:t>Warmi</w:t>
      </w:r>
      <w:proofErr w:type="spellEnd"/>
      <w:r w:rsidRPr="001558A5">
        <w:rPr>
          <w:i/>
          <w:iCs/>
          <w:szCs w:val="16"/>
          <w:lang w:val="es-CR"/>
        </w:rPr>
        <w:t xml:space="preserve">. </w:t>
      </w:r>
      <w:r w:rsidRPr="001558A5">
        <w:rPr>
          <w:szCs w:val="16"/>
          <w:lang w:val="en-US"/>
        </w:rPr>
        <w:t xml:space="preserve">2012, </w:t>
      </w:r>
      <w:r w:rsidR="003F1F3D" w:rsidRPr="001558A5">
        <w:rPr>
          <w:szCs w:val="16"/>
          <w:lang w:val="en-US"/>
        </w:rPr>
        <w:t>No.</w:t>
      </w:r>
      <w:r w:rsidRPr="001558A5">
        <w:rPr>
          <w:szCs w:val="16"/>
          <w:lang w:val="en-US"/>
        </w:rPr>
        <w:t xml:space="preserve"> 17</w:t>
      </w:r>
      <w:r w:rsidR="003F1F3D" w:rsidRPr="001558A5">
        <w:rPr>
          <w:szCs w:val="16"/>
          <w:lang w:val="en-US"/>
        </w:rPr>
        <w:t>.</w:t>
      </w:r>
    </w:p>
  </w:footnote>
  <w:footnote w:id="207">
    <w:p w14:paraId="57CC1F22" w14:textId="37F70D2C" w:rsidR="0076236C" w:rsidRPr="001558A5" w:rsidRDefault="0076236C"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F16442" w:rsidRPr="001558A5">
        <w:rPr>
          <w:szCs w:val="16"/>
          <w:lang w:val="en-US"/>
        </w:rPr>
        <w:t>Separate and partially dissenting opinion of</w:t>
      </w:r>
      <w:r w:rsidRPr="001558A5">
        <w:rPr>
          <w:szCs w:val="16"/>
          <w:lang w:val="en-US"/>
        </w:rPr>
        <w:t xml:space="preserve"> </w:t>
      </w:r>
      <w:r w:rsidR="00871E19" w:rsidRPr="001558A5">
        <w:rPr>
          <w:szCs w:val="16"/>
          <w:lang w:val="en-US"/>
        </w:rPr>
        <w:t>Judge</w:t>
      </w:r>
      <w:r w:rsidRPr="001558A5">
        <w:rPr>
          <w:szCs w:val="16"/>
          <w:lang w:val="en-US"/>
        </w:rPr>
        <w:t xml:space="preserve"> L. Patricio </w:t>
      </w:r>
      <w:proofErr w:type="spellStart"/>
      <w:r w:rsidRPr="001558A5">
        <w:rPr>
          <w:szCs w:val="16"/>
          <w:lang w:val="en-US"/>
        </w:rPr>
        <w:t>Pazmiño</w:t>
      </w:r>
      <w:proofErr w:type="spellEnd"/>
      <w:r w:rsidRPr="001558A5">
        <w:rPr>
          <w:szCs w:val="16"/>
          <w:lang w:val="en-US"/>
        </w:rPr>
        <w:t xml:space="preserve"> Freire </w:t>
      </w:r>
      <w:r w:rsidR="00F16442" w:rsidRPr="001558A5">
        <w:rPr>
          <w:szCs w:val="16"/>
          <w:lang w:val="en-US"/>
        </w:rPr>
        <w:t>to</w:t>
      </w:r>
      <w:r w:rsidRPr="001558A5">
        <w:rPr>
          <w:szCs w:val="16"/>
          <w:lang w:val="en-US"/>
        </w:rPr>
        <w:t xml:space="preserve"> </w:t>
      </w:r>
      <w:r w:rsidR="00C43A37" w:rsidRPr="001558A5">
        <w:rPr>
          <w:szCs w:val="16"/>
          <w:lang w:val="en-US"/>
        </w:rPr>
        <w:t>Advisory Opinion</w:t>
      </w:r>
      <w:r w:rsidRPr="001558A5">
        <w:rPr>
          <w:szCs w:val="16"/>
          <w:lang w:val="en-US"/>
        </w:rPr>
        <w:t xml:space="preserve"> OC-26/20 </w:t>
      </w:r>
      <w:r w:rsidR="00F16442" w:rsidRPr="001558A5">
        <w:rPr>
          <w:szCs w:val="16"/>
          <w:lang w:val="en-US"/>
        </w:rPr>
        <w:t xml:space="preserve">on </w:t>
      </w:r>
      <w:r w:rsidR="00F16442" w:rsidRPr="001558A5">
        <w:rPr>
          <w:i/>
          <w:iCs/>
          <w:szCs w:val="16"/>
          <w:lang w:val="en-US"/>
        </w:rPr>
        <w:t>The Obligations in Matters of Human Rights of a State that has denounced the American Convention on Human Rights and the Charter of the Organization of American States</w:t>
      </w:r>
      <w:r w:rsidRPr="001558A5">
        <w:rPr>
          <w:szCs w:val="16"/>
          <w:lang w:val="en-US"/>
        </w:rPr>
        <w:t xml:space="preserve">, </w:t>
      </w:r>
      <w:r w:rsidR="00F16442" w:rsidRPr="001558A5">
        <w:rPr>
          <w:szCs w:val="16"/>
          <w:lang w:val="en-US"/>
        </w:rPr>
        <w:t>of November 9,</w:t>
      </w:r>
      <w:r w:rsidRPr="001558A5">
        <w:rPr>
          <w:szCs w:val="16"/>
          <w:lang w:val="en-US"/>
        </w:rPr>
        <w:t xml:space="preserve"> 2020, </w:t>
      </w:r>
      <w:r w:rsidR="00B43A52" w:rsidRPr="001558A5">
        <w:rPr>
          <w:szCs w:val="16"/>
          <w:lang w:val="en-US"/>
        </w:rPr>
        <w:t>para.</w:t>
      </w:r>
      <w:r w:rsidRPr="001558A5">
        <w:rPr>
          <w:szCs w:val="16"/>
          <w:lang w:val="en-US"/>
        </w:rPr>
        <w:t xml:space="preserve"> 5</w:t>
      </w:r>
    </w:p>
  </w:footnote>
  <w:footnote w:id="208">
    <w:p w14:paraId="4CD34680" w14:textId="42DD4581" w:rsidR="0076236C" w:rsidRPr="001558A5" w:rsidRDefault="0076236C" w:rsidP="000B2BB5">
      <w:pPr>
        <w:tabs>
          <w:tab w:val="left" w:pos="360"/>
        </w:tabs>
        <w:autoSpaceDE w:val="0"/>
        <w:autoSpaceDN w:val="0"/>
        <w:adjustRightInd w:val="0"/>
        <w:rPr>
          <w:rFonts w:cs="Verdana"/>
          <w:bCs/>
          <w:sz w:val="16"/>
          <w:szCs w:val="16"/>
          <w:lang w:val="en-US"/>
        </w:rPr>
      </w:pPr>
      <w:r w:rsidRPr="001558A5">
        <w:rPr>
          <w:rStyle w:val="Refdenotaalpie"/>
          <w:sz w:val="16"/>
          <w:szCs w:val="16"/>
          <w:lang w:val="en-US"/>
        </w:rPr>
        <w:footnoteRef/>
      </w:r>
      <w:r w:rsidRPr="001558A5">
        <w:rPr>
          <w:sz w:val="16"/>
          <w:szCs w:val="16"/>
          <w:lang w:val="en-US"/>
        </w:rPr>
        <w:t xml:space="preserve"> </w:t>
      </w:r>
      <w:r w:rsidRPr="001558A5">
        <w:rPr>
          <w:sz w:val="16"/>
          <w:szCs w:val="16"/>
          <w:lang w:val="en-US"/>
        </w:rPr>
        <w:tab/>
      </w:r>
      <w:r w:rsidR="00F16442" w:rsidRPr="001558A5">
        <w:rPr>
          <w:rFonts w:cs="Verdana"/>
          <w:bCs/>
          <w:sz w:val="16"/>
          <w:szCs w:val="16"/>
          <w:lang w:val="en-US"/>
        </w:rPr>
        <w:t>Dissenting opinion of</w:t>
      </w:r>
      <w:r w:rsidRPr="001558A5">
        <w:rPr>
          <w:rFonts w:cs="Verdana"/>
          <w:bCs/>
          <w:sz w:val="16"/>
          <w:szCs w:val="16"/>
          <w:lang w:val="en-US"/>
        </w:rPr>
        <w:t xml:space="preserve"> </w:t>
      </w:r>
      <w:r w:rsidR="00871E19" w:rsidRPr="001558A5">
        <w:rPr>
          <w:rFonts w:cs="Verdana"/>
          <w:bCs/>
          <w:sz w:val="16"/>
          <w:szCs w:val="16"/>
          <w:lang w:val="en-US"/>
        </w:rPr>
        <w:t>Judge</w:t>
      </w:r>
      <w:r w:rsidRPr="001558A5">
        <w:rPr>
          <w:rFonts w:cs="Verdana"/>
          <w:bCs/>
          <w:sz w:val="16"/>
          <w:szCs w:val="16"/>
          <w:lang w:val="en-US"/>
        </w:rPr>
        <w:t xml:space="preserve"> L. Patricio </w:t>
      </w:r>
      <w:proofErr w:type="spellStart"/>
      <w:r w:rsidRPr="001558A5">
        <w:rPr>
          <w:rFonts w:cs="Verdana"/>
          <w:bCs/>
          <w:sz w:val="16"/>
          <w:szCs w:val="16"/>
          <w:lang w:val="en-US"/>
        </w:rPr>
        <w:t>Pazmiño</w:t>
      </w:r>
      <w:proofErr w:type="spellEnd"/>
      <w:r w:rsidRPr="001558A5">
        <w:rPr>
          <w:rFonts w:cs="Verdana"/>
          <w:bCs/>
          <w:sz w:val="16"/>
          <w:szCs w:val="16"/>
          <w:lang w:val="en-US"/>
        </w:rPr>
        <w:t xml:space="preserve"> </w:t>
      </w:r>
      <w:r w:rsidR="00F16442" w:rsidRPr="001558A5">
        <w:rPr>
          <w:rFonts w:cs="Verdana"/>
          <w:bCs/>
          <w:sz w:val="16"/>
          <w:szCs w:val="16"/>
          <w:lang w:val="en-US"/>
        </w:rPr>
        <w:t>to the order of May 29,</w:t>
      </w:r>
      <w:r w:rsidRPr="001558A5">
        <w:rPr>
          <w:rFonts w:cs="Verdana"/>
          <w:bCs/>
          <w:sz w:val="16"/>
          <w:szCs w:val="16"/>
          <w:lang w:val="en-US"/>
        </w:rPr>
        <w:t xml:space="preserve"> 2018</w:t>
      </w:r>
      <w:r w:rsidR="00F16442" w:rsidRPr="001558A5">
        <w:rPr>
          <w:rFonts w:cs="Verdana"/>
          <w:bCs/>
          <w:sz w:val="16"/>
          <w:szCs w:val="16"/>
          <w:lang w:val="en-US"/>
        </w:rPr>
        <w:t>,</w:t>
      </w:r>
      <w:r w:rsidR="00DD4354" w:rsidRPr="001558A5">
        <w:rPr>
          <w:rFonts w:cs="Verdana"/>
          <w:bCs/>
          <w:sz w:val="16"/>
          <w:szCs w:val="16"/>
          <w:lang w:val="en-US"/>
        </w:rPr>
        <w:t xml:space="preserve"> of the </w:t>
      </w:r>
      <w:r w:rsidR="00871E19" w:rsidRPr="001558A5">
        <w:rPr>
          <w:rFonts w:cs="Verdana"/>
          <w:bCs/>
          <w:sz w:val="16"/>
          <w:szCs w:val="16"/>
          <w:lang w:val="en-US"/>
        </w:rPr>
        <w:t>Inter-American Court of Human Rights</w:t>
      </w:r>
      <w:r w:rsidRPr="001558A5">
        <w:rPr>
          <w:rFonts w:cs="Verdana"/>
          <w:bCs/>
          <w:sz w:val="16"/>
          <w:szCs w:val="16"/>
          <w:lang w:val="en-US"/>
        </w:rPr>
        <w:t xml:space="preserve">, </w:t>
      </w:r>
      <w:r w:rsidR="00B43A52" w:rsidRPr="001558A5">
        <w:rPr>
          <w:rFonts w:cs="Verdana"/>
          <w:bCs/>
          <w:sz w:val="16"/>
          <w:szCs w:val="16"/>
          <w:lang w:val="en-US"/>
        </w:rPr>
        <w:t>para.</w:t>
      </w:r>
      <w:r w:rsidRPr="001558A5">
        <w:rPr>
          <w:rFonts w:cs="Verdana"/>
          <w:bCs/>
          <w:sz w:val="16"/>
          <w:szCs w:val="16"/>
          <w:lang w:val="en-US"/>
        </w:rPr>
        <w:t xml:space="preserve"> 4.</w:t>
      </w:r>
    </w:p>
  </w:footnote>
  <w:footnote w:id="209">
    <w:p w14:paraId="60446C99" w14:textId="5F16778E" w:rsidR="0076236C" w:rsidRPr="001558A5" w:rsidRDefault="0076236C"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iCs/>
          <w:szCs w:val="16"/>
          <w:lang w:val="en-US"/>
        </w:rPr>
        <w:t>Case of</w:t>
      </w:r>
      <w:r w:rsidRPr="001558A5">
        <w:rPr>
          <w:i/>
          <w:iCs/>
          <w:szCs w:val="16"/>
          <w:lang w:val="en-US"/>
        </w:rPr>
        <w:t xml:space="preserve"> </w:t>
      </w:r>
      <w:proofErr w:type="spellStart"/>
      <w:r w:rsidRPr="001558A5">
        <w:rPr>
          <w:i/>
          <w:iCs/>
          <w:szCs w:val="16"/>
          <w:lang w:val="en-US"/>
        </w:rPr>
        <w:t>Atala</w:t>
      </w:r>
      <w:proofErr w:type="spellEnd"/>
      <w:r w:rsidRPr="001558A5">
        <w:rPr>
          <w:i/>
          <w:iCs/>
          <w:szCs w:val="16"/>
          <w:lang w:val="en-US"/>
        </w:rPr>
        <w:t xml:space="preserve"> </w:t>
      </w:r>
      <w:proofErr w:type="spellStart"/>
      <w:r w:rsidR="00C43A37" w:rsidRPr="001558A5">
        <w:rPr>
          <w:i/>
          <w:iCs/>
          <w:szCs w:val="16"/>
          <w:lang w:val="en-US"/>
        </w:rPr>
        <w:t>Riffo</w:t>
      </w:r>
      <w:proofErr w:type="spellEnd"/>
      <w:r w:rsidR="00C43A37" w:rsidRPr="001558A5">
        <w:rPr>
          <w:i/>
          <w:iCs/>
          <w:szCs w:val="16"/>
          <w:lang w:val="en-US"/>
        </w:rPr>
        <w:t xml:space="preserve"> and daughters</w:t>
      </w:r>
      <w:r w:rsidRPr="001558A5">
        <w:rPr>
          <w:i/>
          <w:iCs/>
          <w:szCs w:val="16"/>
          <w:lang w:val="en-US"/>
        </w:rPr>
        <w:t xml:space="preserve"> </w:t>
      </w:r>
      <w:r w:rsidR="00871E19" w:rsidRPr="001558A5">
        <w:rPr>
          <w:i/>
          <w:iCs/>
          <w:szCs w:val="16"/>
          <w:lang w:val="en-US"/>
        </w:rPr>
        <w:t>v.</w:t>
      </w:r>
      <w:r w:rsidRPr="001558A5">
        <w:rPr>
          <w:i/>
          <w:iCs/>
          <w:szCs w:val="16"/>
          <w:lang w:val="en-US"/>
        </w:rPr>
        <w:t xml:space="preserve"> Chile. </w:t>
      </w:r>
      <w:r w:rsidR="00B43A52" w:rsidRPr="001558A5">
        <w:rPr>
          <w:i/>
          <w:iCs/>
          <w:szCs w:val="16"/>
          <w:lang w:val="en-US"/>
        </w:rPr>
        <w:t>Merits, reparations and costs</w:t>
      </w:r>
      <w:r w:rsidRPr="001558A5">
        <w:rPr>
          <w:szCs w:val="16"/>
          <w:lang w:val="en-US"/>
        </w:rPr>
        <w:t xml:space="preserve">. </w:t>
      </w:r>
      <w:r w:rsidR="00871E19" w:rsidRPr="001558A5">
        <w:rPr>
          <w:szCs w:val="16"/>
          <w:lang w:val="en-US"/>
        </w:rPr>
        <w:t>Judgment of</w:t>
      </w:r>
      <w:r w:rsidRPr="001558A5">
        <w:rPr>
          <w:szCs w:val="16"/>
          <w:lang w:val="en-US"/>
        </w:rPr>
        <w:t xml:space="preserve"> </w:t>
      </w:r>
      <w:r w:rsidR="00F16442" w:rsidRPr="001558A5">
        <w:rPr>
          <w:szCs w:val="16"/>
          <w:lang w:val="en-US"/>
        </w:rPr>
        <w:t>February 24,</w:t>
      </w:r>
      <w:r w:rsidRPr="001558A5">
        <w:rPr>
          <w:szCs w:val="16"/>
          <w:lang w:val="en-US"/>
        </w:rPr>
        <w:t xml:space="preserve"> 2012. </w:t>
      </w:r>
      <w:r w:rsidR="00B43A52" w:rsidRPr="001558A5">
        <w:rPr>
          <w:szCs w:val="16"/>
          <w:lang w:val="en-US"/>
        </w:rPr>
        <w:t xml:space="preserve">Series </w:t>
      </w:r>
      <w:r w:rsidRPr="001558A5">
        <w:rPr>
          <w:szCs w:val="16"/>
          <w:lang w:val="en-US"/>
        </w:rPr>
        <w:t xml:space="preserve">C No. 239, </w:t>
      </w:r>
      <w:r w:rsidR="00B43A52" w:rsidRPr="001558A5">
        <w:rPr>
          <w:szCs w:val="16"/>
          <w:lang w:val="en-US"/>
        </w:rPr>
        <w:t>para.</w:t>
      </w:r>
      <w:r w:rsidRPr="001558A5">
        <w:rPr>
          <w:szCs w:val="16"/>
          <w:lang w:val="en-US"/>
        </w:rPr>
        <w:t xml:space="preserve"> 83</w:t>
      </w:r>
    </w:p>
  </w:footnote>
  <w:footnote w:id="210">
    <w:p w14:paraId="3C070A17" w14:textId="32477C8E" w:rsidR="0076236C" w:rsidRPr="001558A5" w:rsidRDefault="0076236C"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szCs w:val="16"/>
          <w:lang w:val="en-US"/>
        </w:rPr>
        <w:t>Case of</w:t>
      </w:r>
      <w:r w:rsidRPr="001558A5">
        <w:rPr>
          <w:i/>
          <w:szCs w:val="16"/>
          <w:lang w:val="en-US"/>
        </w:rPr>
        <w:t xml:space="preserve"> </w:t>
      </w:r>
      <w:r w:rsidR="00F16442" w:rsidRPr="001558A5">
        <w:rPr>
          <w:i/>
          <w:szCs w:val="16"/>
          <w:lang w:val="en-US"/>
        </w:rPr>
        <w:t>the</w:t>
      </w:r>
      <w:r w:rsidRPr="001558A5">
        <w:rPr>
          <w:i/>
          <w:szCs w:val="16"/>
          <w:lang w:val="en-US"/>
        </w:rPr>
        <w:t xml:space="preserve"> Miguel Castro </w:t>
      </w:r>
      <w:proofErr w:type="spellStart"/>
      <w:r w:rsidRPr="001558A5">
        <w:rPr>
          <w:i/>
          <w:szCs w:val="16"/>
          <w:lang w:val="en-US"/>
        </w:rPr>
        <w:t>Castro</w:t>
      </w:r>
      <w:proofErr w:type="spellEnd"/>
      <w:r w:rsidR="00F16442" w:rsidRPr="001558A5">
        <w:rPr>
          <w:i/>
          <w:szCs w:val="16"/>
          <w:lang w:val="en-US"/>
        </w:rPr>
        <w:t xml:space="preserve"> Prison</w:t>
      </w:r>
      <w:r w:rsidRPr="001558A5">
        <w:rPr>
          <w:i/>
          <w:szCs w:val="16"/>
          <w:lang w:val="en-US"/>
        </w:rPr>
        <w:t xml:space="preserve"> </w:t>
      </w:r>
      <w:r w:rsidR="00871E19" w:rsidRPr="001558A5">
        <w:rPr>
          <w:i/>
          <w:szCs w:val="16"/>
          <w:lang w:val="en-US"/>
        </w:rPr>
        <w:t>v.</w:t>
      </w:r>
      <w:r w:rsidRPr="001558A5">
        <w:rPr>
          <w:i/>
          <w:szCs w:val="16"/>
          <w:lang w:val="en-US"/>
        </w:rPr>
        <w:t xml:space="preserve"> </w:t>
      </w:r>
      <w:r w:rsidR="00D11908" w:rsidRPr="001558A5">
        <w:rPr>
          <w:i/>
          <w:szCs w:val="16"/>
          <w:lang w:val="en-US"/>
        </w:rPr>
        <w:t>Peru</w:t>
      </w:r>
      <w:r w:rsidRPr="001558A5">
        <w:rPr>
          <w:i/>
          <w:szCs w:val="16"/>
          <w:lang w:val="en-US"/>
        </w:rPr>
        <w:t xml:space="preserve">. </w:t>
      </w:r>
      <w:r w:rsidR="00B43A52" w:rsidRPr="001558A5">
        <w:rPr>
          <w:i/>
          <w:iCs/>
          <w:szCs w:val="16"/>
          <w:lang w:val="en-US"/>
        </w:rPr>
        <w:t>Merits, reparations and costs</w:t>
      </w:r>
      <w:r w:rsidRPr="001558A5">
        <w:rPr>
          <w:szCs w:val="16"/>
          <w:lang w:val="en-US"/>
        </w:rPr>
        <w:t xml:space="preserve">. </w:t>
      </w:r>
      <w:r w:rsidR="00871E19" w:rsidRPr="001558A5">
        <w:rPr>
          <w:szCs w:val="16"/>
          <w:lang w:val="en-US"/>
        </w:rPr>
        <w:t>Judgment of</w:t>
      </w:r>
      <w:r w:rsidRPr="001558A5">
        <w:rPr>
          <w:szCs w:val="16"/>
          <w:lang w:val="en-US"/>
        </w:rPr>
        <w:t xml:space="preserve"> </w:t>
      </w:r>
      <w:r w:rsidR="00F16442" w:rsidRPr="001558A5">
        <w:rPr>
          <w:szCs w:val="16"/>
          <w:lang w:val="en-US"/>
        </w:rPr>
        <w:t>November 25,</w:t>
      </w:r>
      <w:r w:rsidRPr="001558A5">
        <w:rPr>
          <w:szCs w:val="16"/>
          <w:lang w:val="en-US"/>
        </w:rPr>
        <w:t xml:space="preserve"> 2006. </w:t>
      </w:r>
      <w:r w:rsidR="00B43A52" w:rsidRPr="001558A5">
        <w:rPr>
          <w:szCs w:val="16"/>
          <w:lang w:val="en-US"/>
        </w:rPr>
        <w:t xml:space="preserve">Series </w:t>
      </w:r>
      <w:r w:rsidRPr="001558A5">
        <w:rPr>
          <w:szCs w:val="16"/>
          <w:lang w:val="en-US"/>
        </w:rPr>
        <w:t xml:space="preserve">C No. 160, </w:t>
      </w:r>
      <w:r w:rsidR="00B43A52" w:rsidRPr="001558A5">
        <w:rPr>
          <w:szCs w:val="16"/>
          <w:lang w:val="en-US"/>
        </w:rPr>
        <w:t>para.</w:t>
      </w:r>
      <w:r w:rsidRPr="001558A5">
        <w:rPr>
          <w:szCs w:val="16"/>
          <w:lang w:val="en-US"/>
        </w:rPr>
        <w:t xml:space="preserve"> 303; </w:t>
      </w:r>
      <w:r w:rsidR="00871E19" w:rsidRPr="001558A5">
        <w:rPr>
          <w:i/>
          <w:szCs w:val="16"/>
          <w:lang w:val="en-US"/>
        </w:rPr>
        <w:t>Case of</w:t>
      </w:r>
      <w:r w:rsidRPr="001558A5">
        <w:rPr>
          <w:i/>
          <w:szCs w:val="16"/>
          <w:lang w:val="en-US"/>
        </w:rPr>
        <w:t xml:space="preserve"> González</w:t>
      </w:r>
      <w:r w:rsidR="00DD4354" w:rsidRPr="001558A5">
        <w:rPr>
          <w:i/>
          <w:szCs w:val="16"/>
          <w:lang w:val="en-US"/>
        </w:rPr>
        <w:t xml:space="preserve"> </w:t>
      </w:r>
      <w:r w:rsidR="00F16442" w:rsidRPr="001558A5">
        <w:rPr>
          <w:i/>
          <w:szCs w:val="16"/>
          <w:lang w:val="en-US"/>
        </w:rPr>
        <w:t>et al.</w:t>
      </w:r>
      <w:r w:rsidRPr="001558A5">
        <w:rPr>
          <w:i/>
          <w:szCs w:val="16"/>
          <w:lang w:val="en-US"/>
        </w:rPr>
        <w:t xml:space="preserve"> (“</w:t>
      </w:r>
      <w:r w:rsidR="00F16442" w:rsidRPr="001558A5">
        <w:rPr>
          <w:i/>
          <w:szCs w:val="16"/>
          <w:lang w:val="en-US"/>
        </w:rPr>
        <w:t>Cotton Field</w:t>
      </w:r>
      <w:r w:rsidRPr="001558A5">
        <w:rPr>
          <w:i/>
          <w:szCs w:val="16"/>
          <w:lang w:val="en-US"/>
        </w:rPr>
        <w:t xml:space="preserve">”) </w:t>
      </w:r>
      <w:r w:rsidR="00871E19" w:rsidRPr="001558A5">
        <w:rPr>
          <w:i/>
          <w:szCs w:val="16"/>
          <w:lang w:val="en-US"/>
        </w:rPr>
        <w:t>v.</w:t>
      </w:r>
      <w:r w:rsidRPr="001558A5">
        <w:rPr>
          <w:i/>
          <w:szCs w:val="16"/>
          <w:lang w:val="en-US"/>
        </w:rPr>
        <w:t xml:space="preserve"> </w:t>
      </w:r>
      <w:r w:rsidR="0026713C" w:rsidRPr="001558A5">
        <w:rPr>
          <w:i/>
          <w:szCs w:val="16"/>
          <w:lang w:val="en-US"/>
        </w:rPr>
        <w:t>Mexico</w:t>
      </w:r>
      <w:r w:rsidRPr="001558A5">
        <w:rPr>
          <w:iCs/>
          <w:szCs w:val="16"/>
          <w:lang w:val="en-US"/>
        </w:rPr>
        <w:t xml:space="preserve">. </w:t>
      </w:r>
      <w:r w:rsidR="00B43A52" w:rsidRPr="001558A5">
        <w:rPr>
          <w:iCs/>
          <w:szCs w:val="16"/>
          <w:lang w:val="en-US"/>
        </w:rPr>
        <w:t>Preliminary objection, merits, reparations and costs</w:t>
      </w:r>
      <w:r w:rsidRPr="001558A5">
        <w:rPr>
          <w:szCs w:val="16"/>
          <w:lang w:val="en-US"/>
        </w:rPr>
        <w:t xml:space="preserve">. </w:t>
      </w:r>
      <w:r w:rsidR="00871E19" w:rsidRPr="001558A5">
        <w:rPr>
          <w:szCs w:val="16"/>
          <w:lang w:val="en-US"/>
        </w:rPr>
        <w:t>Judgment of</w:t>
      </w:r>
      <w:r w:rsidRPr="001558A5">
        <w:rPr>
          <w:szCs w:val="16"/>
          <w:lang w:val="en-US"/>
        </w:rPr>
        <w:t xml:space="preserve"> </w:t>
      </w:r>
      <w:r w:rsidR="00F16442" w:rsidRPr="001558A5">
        <w:rPr>
          <w:szCs w:val="16"/>
          <w:lang w:val="en-US"/>
        </w:rPr>
        <w:t>November 26,</w:t>
      </w:r>
      <w:r w:rsidRPr="001558A5">
        <w:rPr>
          <w:szCs w:val="16"/>
          <w:lang w:val="en-US"/>
        </w:rPr>
        <w:t xml:space="preserve"> 2009. </w:t>
      </w:r>
      <w:r w:rsidR="00B43A52" w:rsidRPr="001558A5">
        <w:rPr>
          <w:szCs w:val="16"/>
          <w:lang w:val="en-US"/>
        </w:rPr>
        <w:t xml:space="preserve">Series </w:t>
      </w:r>
      <w:r w:rsidRPr="001558A5">
        <w:rPr>
          <w:szCs w:val="16"/>
          <w:lang w:val="en-US"/>
        </w:rPr>
        <w:t xml:space="preserve">C No. 205, </w:t>
      </w:r>
      <w:r w:rsidR="00B43A52" w:rsidRPr="001558A5">
        <w:rPr>
          <w:szCs w:val="16"/>
          <w:lang w:val="en-US"/>
        </w:rPr>
        <w:t>para.</w:t>
      </w:r>
      <w:r w:rsidRPr="001558A5">
        <w:rPr>
          <w:szCs w:val="16"/>
          <w:lang w:val="en-US"/>
        </w:rPr>
        <w:t xml:space="preserve"> 397</w:t>
      </w:r>
      <w:r w:rsidR="00F16442" w:rsidRPr="001558A5">
        <w:rPr>
          <w:szCs w:val="16"/>
          <w:lang w:val="en-US"/>
        </w:rPr>
        <w:t>,</w:t>
      </w:r>
      <w:r w:rsidR="00DD4354" w:rsidRPr="001558A5">
        <w:rPr>
          <w:szCs w:val="16"/>
          <w:lang w:val="en-US"/>
        </w:rPr>
        <w:t xml:space="preserve"> and </w:t>
      </w:r>
      <w:r w:rsidR="00871E19" w:rsidRPr="001558A5">
        <w:rPr>
          <w:i/>
          <w:szCs w:val="16"/>
          <w:lang w:val="en-US"/>
        </w:rPr>
        <w:t>Case of</w:t>
      </w:r>
      <w:r w:rsidRPr="001558A5">
        <w:rPr>
          <w:i/>
          <w:szCs w:val="16"/>
          <w:lang w:val="en-US"/>
        </w:rPr>
        <w:t xml:space="preserve"> </w:t>
      </w:r>
      <w:proofErr w:type="spellStart"/>
      <w:r w:rsidRPr="001558A5">
        <w:rPr>
          <w:i/>
          <w:szCs w:val="16"/>
          <w:lang w:val="en-US"/>
        </w:rPr>
        <w:t>Guzmán</w:t>
      </w:r>
      <w:proofErr w:type="spellEnd"/>
      <w:r w:rsidRPr="001558A5">
        <w:rPr>
          <w:i/>
          <w:szCs w:val="16"/>
          <w:lang w:val="en-US"/>
        </w:rPr>
        <w:t xml:space="preserve"> </w:t>
      </w:r>
      <w:proofErr w:type="spellStart"/>
      <w:r w:rsidRPr="001558A5">
        <w:rPr>
          <w:i/>
          <w:szCs w:val="16"/>
          <w:lang w:val="en-US"/>
        </w:rPr>
        <w:t>Albarracín</w:t>
      </w:r>
      <w:proofErr w:type="spellEnd"/>
      <w:r w:rsidR="00DD4354" w:rsidRPr="001558A5">
        <w:rPr>
          <w:i/>
          <w:szCs w:val="16"/>
          <w:lang w:val="en-US"/>
        </w:rPr>
        <w:t xml:space="preserve"> </w:t>
      </w:r>
      <w:r w:rsidR="00F16442" w:rsidRPr="001558A5">
        <w:rPr>
          <w:i/>
          <w:szCs w:val="16"/>
          <w:lang w:val="en-US"/>
        </w:rPr>
        <w:t>et al. v</w:t>
      </w:r>
      <w:r w:rsidRPr="001558A5">
        <w:rPr>
          <w:i/>
          <w:szCs w:val="16"/>
          <w:lang w:val="en-US"/>
        </w:rPr>
        <w:t xml:space="preserve">. Ecuador. </w:t>
      </w:r>
      <w:r w:rsidR="00B43A52" w:rsidRPr="001558A5">
        <w:rPr>
          <w:i/>
          <w:iCs/>
          <w:szCs w:val="16"/>
          <w:lang w:val="en-US"/>
        </w:rPr>
        <w:t>Merits, reparations and costs</w:t>
      </w:r>
      <w:r w:rsidRPr="001558A5">
        <w:rPr>
          <w:i/>
          <w:iCs/>
          <w:szCs w:val="16"/>
          <w:lang w:val="en-US"/>
        </w:rPr>
        <w:t>.</w:t>
      </w:r>
      <w:r w:rsidRPr="001558A5">
        <w:rPr>
          <w:szCs w:val="16"/>
          <w:lang w:val="en-US"/>
        </w:rPr>
        <w:t xml:space="preserve"> </w:t>
      </w:r>
      <w:r w:rsidR="00871E19" w:rsidRPr="001558A5">
        <w:rPr>
          <w:szCs w:val="16"/>
          <w:lang w:val="en-US"/>
        </w:rPr>
        <w:t>Judgment of</w:t>
      </w:r>
      <w:r w:rsidRPr="001558A5">
        <w:rPr>
          <w:szCs w:val="16"/>
          <w:lang w:val="en-US"/>
        </w:rPr>
        <w:t xml:space="preserve"> </w:t>
      </w:r>
      <w:r w:rsidR="00F16442" w:rsidRPr="001558A5">
        <w:rPr>
          <w:szCs w:val="16"/>
          <w:lang w:val="en-US"/>
        </w:rPr>
        <w:t>June 24,</w:t>
      </w:r>
      <w:r w:rsidRPr="001558A5">
        <w:rPr>
          <w:szCs w:val="16"/>
          <w:lang w:val="en-US"/>
        </w:rPr>
        <w:t xml:space="preserve"> 2020. </w:t>
      </w:r>
      <w:r w:rsidR="00B43A52" w:rsidRPr="001558A5">
        <w:rPr>
          <w:szCs w:val="16"/>
          <w:lang w:val="en-US"/>
        </w:rPr>
        <w:t xml:space="preserve">Series </w:t>
      </w:r>
      <w:r w:rsidRPr="001558A5">
        <w:rPr>
          <w:szCs w:val="16"/>
          <w:lang w:val="en-US"/>
        </w:rPr>
        <w:t xml:space="preserve">C No. 405, </w:t>
      </w:r>
      <w:r w:rsidR="00B43A52" w:rsidRPr="001558A5">
        <w:rPr>
          <w:szCs w:val="16"/>
          <w:lang w:val="en-US"/>
        </w:rPr>
        <w:t>para.</w:t>
      </w:r>
      <w:r w:rsidRPr="001558A5">
        <w:rPr>
          <w:szCs w:val="16"/>
          <w:lang w:val="en-US"/>
        </w:rPr>
        <w:t xml:space="preserve"> 113.</w:t>
      </w:r>
    </w:p>
  </w:footnote>
  <w:footnote w:id="211">
    <w:p w14:paraId="751AEC65" w14:textId="103E9892" w:rsidR="0076236C" w:rsidRPr="001558A5" w:rsidRDefault="0076236C"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871E19" w:rsidRPr="001558A5">
        <w:rPr>
          <w:i/>
          <w:iCs/>
          <w:szCs w:val="16"/>
          <w:lang w:val="en-US"/>
        </w:rPr>
        <w:t>Cf.</w:t>
      </w:r>
      <w:r w:rsidRPr="001558A5">
        <w:rPr>
          <w:i/>
          <w:iCs/>
          <w:szCs w:val="16"/>
          <w:lang w:val="en-US"/>
        </w:rPr>
        <w:t xml:space="preserve"> </w:t>
      </w:r>
      <w:r w:rsidR="00F16442" w:rsidRPr="001558A5">
        <w:rPr>
          <w:rFonts w:eastAsia="Times New Roman" w:cs="Times New Roman"/>
          <w:bCs/>
          <w:i/>
          <w:szCs w:val="16"/>
          <w:lang w:val="en-US"/>
        </w:rPr>
        <w:t>Gender Identity, and Equality and Non-Discrimination with regard to Same-Sex Couples</w:t>
      </w:r>
      <w:r w:rsidRPr="001558A5">
        <w:rPr>
          <w:i/>
          <w:iCs/>
          <w:szCs w:val="16"/>
          <w:lang w:val="en-US"/>
        </w:rPr>
        <w:t xml:space="preserve">. </w:t>
      </w:r>
      <w:r w:rsidR="00C43A37" w:rsidRPr="001558A5">
        <w:rPr>
          <w:szCs w:val="16"/>
          <w:lang w:val="en-US"/>
        </w:rPr>
        <w:t>Advisory Opinion</w:t>
      </w:r>
      <w:r w:rsidRPr="001558A5">
        <w:rPr>
          <w:szCs w:val="16"/>
          <w:lang w:val="en-US"/>
        </w:rPr>
        <w:t xml:space="preserve"> OC-24/17 </w:t>
      </w:r>
      <w:r w:rsidR="00F16442" w:rsidRPr="001558A5">
        <w:rPr>
          <w:szCs w:val="16"/>
          <w:lang w:val="en-US"/>
        </w:rPr>
        <w:t>of November 24,</w:t>
      </w:r>
      <w:r w:rsidRPr="001558A5">
        <w:rPr>
          <w:szCs w:val="16"/>
          <w:lang w:val="en-US"/>
        </w:rPr>
        <w:t xml:space="preserve"> 2017. </w:t>
      </w:r>
      <w:r w:rsidR="00B43A52" w:rsidRPr="001558A5">
        <w:rPr>
          <w:szCs w:val="16"/>
          <w:lang w:val="en-US"/>
        </w:rPr>
        <w:t xml:space="preserve">Series </w:t>
      </w:r>
      <w:proofErr w:type="gramStart"/>
      <w:r w:rsidRPr="001558A5">
        <w:rPr>
          <w:szCs w:val="16"/>
          <w:lang w:val="en-US"/>
        </w:rPr>
        <w:t>A</w:t>
      </w:r>
      <w:proofErr w:type="gramEnd"/>
      <w:r w:rsidRPr="001558A5">
        <w:rPr>
          <w:szCs w:val="16"/>
          <w:lang w:val="en-US"/>
        </w:rPr>
        <w:t xml:space="preserve"> No. 24, </w:t>
      </w:r>
      <w:r w:rsidR="00B43A52" w:rsidRPr="001558A5">
        <w:rPr>
          <w:szCs w:val="16"/>
          <w:lang w:val="en-US"/>
        </w:rPr>
        <w:t>para.</w:t>
      </w:r>
      <w:r w:rsidRPr="001558A5">
        <w:rPr>
          <w:szCs w:val="16"/>
          <w:lang w:val="en-US"/>
        </w:rPr>
        <w:t xml:space="preserve"> 32.</w:t>
      </w:r>
    </w:p>
  </w:footnote>
  <w:footnote w:id="212">
    <w:p w14:paraId="24EBC8F1" w14:textId="06E5C1DB" w:rsidR="0076236C" w:rsidRPr="001558A5" w:rsidRDefault="0076236C"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F16442" w:rsidRPr="001558A5">
        <w:rPr>
          <w:rFonts w:eastAsia="Times New Roman" w:cs="Times New Roman"/>
          <w:bCs/>
          <w:i/>
          <w:szCs w:val="16"/>
          <w:lang w:val="en-US"/>
        </w:rPr>
        <w:t>Gender Identity, and Equality and Non-Discrimination with regard to Same-Sex Couples</w:t>
      </w:r>
      <w:r w:rsidR="00F16442" w:rsidRPr="001558A5">
        <w:rPr>
          <w:szCs w:val="16"/>
          <w:lang w:val="en-US"/>
        </w:rPr>
        <w:t xml:space="preserve">. </w:t>
      </w:r>
      <w:r w:rsidR="00C43A37" w:rsidRPr="001558A5">
        <w:rPr>
          <w:szCs w:val="16"/>
          <w:lang w:val="en-US"/>
        </w:rPr>
        <w:t>Advisory Opinion</w:t>
      </w:r>
      <w:r w:rsidRPr="001558A5">
        <w:rPr>
          <w:szCs w:val="16"/>
          <w:lang w:val="en-US"/>
        </w:rPr>
        <w:t xml:space="preserve"> OC-24/17 </w:t>
      </w:r>
      <w:r w:rsidR="00F16442" w:rsidRPr="001558A5">
        <w:rPr>
          <w:szCs w:val="16"/>
          <w:lang w:val="en-US"/>
        </w:rPr>
        <w:t>of November 24,</w:t>
      </w:r>
      <w:r w:rsidRPr="001558A5">
        <w:rPr>
          <w:szCs w:val="16"/>
          <w:lang w:val="en-US"/>
        </w:rPr>
        <w:t xml:space="preserve"> 2017. </w:t>
      </w:r>
      <w:r w:rsidR="00B43A52" w:rsidRPr="001558A5">
        <w:rPr>
          <w:szCs w:val="16"/>
          <w:lang w:val="en-US"/>
        </w:rPr>
        <w:t xml:space="preserve">Series </w:t>
      </w:r>
      <w:proofErr w:type="gramStart"/>
      <w:r w:rsidRPr="001558A5">
        <w:rPr>
          <w:szCs w:val="16"/>
          <w:lang w:val="en-US"/>
        </w:rPr>
        <w:t>A</w:t>
      </w:r>
      <w:proofErr w:type="gramEnd"/>
      <w:r w:rsidRPr="001558A5">
        <w:rPr>
          <w:szCs w:val="16"/>
          <w:lang w:val="en-US"/>
        </w:rPr>
        <w:t xml:space="preserve"> No. 24, </w:t>
      </w:r>
      <w:r w:rsidR="00B43A52" w:rsidRPr="001558A5">
        <w:rPr>
          <w:szCs w:val="16"/>
          <w:lang w:val="en-US"/>
        </w:rPr>
        <w:t>para.</w:t>
      </w:r>
      <w:r w:rsidRPr="001558A5">
        <w:rPr>
          <w:szCs w:val="16"/>
          <w:lang w:val="en-US"/>
        </w:rPr>
        <w:t xml:space="preserve"> 94</w:t>
      </w:r>
    </w:p>
  </w:footnote>
  <w:footnote w:id="213">
    <w:p w14:paraId="04888EE9" w14:textId="428E6C79" w:rsidR="0076236C" w:rsidRPr="001558A5" w:rsidRDefault="0076236C"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F16442" w:rsidRPr="001558A5">
        <w:rPr>
          <w:i/>
          <w:iCs/>
          <w:szCs w:val="16"/>
          <w:lang w:val="en-US"/>
        </w:rPr>
        <w:t>Gender Identity, and Equality and Non-Discrimination with regard to Same-Sex Couples</w:t>
      </w:r>
      <w:r w:rsidRPr="001558A5">
        <w:rPr>
          <w:i/>
          <w:iCs/>
          <w:szCs w:val="16"/>
          <w:lang w:val="en-US"/>
        </w:rPr>
        <w:t xml:space="preserve">. </w:t>
      </w:r>
      <w:r w:rsidR="00C43A37" w:rsidRPr="001558A5">
        <w:rPr>
          <w:szCs w:val="16"/>
          <w:lang w:val="en-US"/>
        </w:rPr>
        <w:t>Advisory Opinion</w:t>
      </w:r>
      <w:r w:rsidRPr="001558A5">
        <w:rPr>
          <w:szCs w:val="16"/>
          <w:lang w:val="en-US"/>
        </w:rPr>
        <w:t xml:space="preserve"> OC-24/17 </w:t>
      </w:r>
      <w:r w:rsidR="00F16442" w:rsidRPr="001558A5">
        <w:rPr>
          <w:szCs w:val="16"/>
          <w:lang w:val="en-US"/>
        </w:rPr>
        <w:t>of November 24,</w:t>
      </w:r>
      <w:r w:rsidRPr="001558A5">
        <w:rPr>
          <w:szCs w:val="16"/>
          <w:lang w:val="en-US"/>
        </w:rPr>
        <w:t xml:space="preserve"> 2017. </w:t>
      </w:r>
      <w:r w:rsidR="00B43A52" w:rsidRPr="001558A5">
        <w:rPr>
          <w:szCs w:val="16"/>
          <w:lang w:val="en-US"/>
        </w:rPr>
        <w:t xml:space="preserve">Series </w:t>
      </w:r>
      <w:proofErr w:type="gramStart"/>
      <w:r w:rsidRPr="001558A5">
        <w:rPr>
          <w:szCs w:val="16"/>
          <w:lang w:val="en-US"/>
        </w:rPr>
        <w:t>A</w:t>
      </w:r>
      <w:proofErr w:type="gramEnd"/>
      <w:r w:rsidRPr="001558A5">
        <w:rPr>
          <w:szCs w:val="16"/>
          <w:lang w:val="en-US"/>
        </w:rPr>
        <w:t xml:space="preserve"> No. 24, </w:t>
      </w:r>
      <w:r w:rsidR="00B43A52" w:rsidRPr="001558A5">
        <w:rPr>
          <w:szCs w:val="16"/>
          <w:lang w:val="en-US"/>
        </w:rPr>
        <w:t>para.</w:t>
      </w:r>
      <w:r w:rsidRPr="001558A5">
        <w:rPr>
          <w:szCs w:val="16"/>
          <w:lang w:val="en-US"/>
        </w:rPr>
        <w:t xml:space="preserve"> 95</w:t>
      </w:r>
    </w:p>
  </w:footnote>
  <w:footnote w:id="214">
    <w:p w14:paraId="05DF2D75" w14:textId="4D13E854" w:rsidR="0076236C" w:rsidRPr="001558A5" w:rsidRDefault="0076236C"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F16442" w:rsidRPr="001558A5">
        <w:rPr>
          <w:rFonts w:eastAsia="Times New Roman" w:cs="Times New Roman"/>
          <w:bCs/>
          <w:i/>
          <w:szCs w:val="16"/>
          <w:lang w:val="en-US"/>
        </w:rPr>
        <w:t xml:space="preserve">Gender Identity, and Equality and Non-Discrimination with regard to Same-Sex Couples. State Obligations in relation to Change of Name, Gender Identity, and Rights deriving from a relationship between Same-Sex Couples (Interpretation and scope of Articles 1(1), 3, 7, 11(2), 13, 17, 18 and 24, in relation to Article 1, of the American Convention on Human Rights). </w:t>
      </w:r>
      <w:r w:rsidR="00F16442" w:rsidRPr="001558A5">
        <w:rPr>
          <w:rFonts w:eastAsia="Times New Roman" w:cs="Times New Roman"/>
          <w:bCs/>
          <w:szCs w:val="16"/>
          <w:lang w:val="en-US"/>
        </w:rPr>
        <w:t xml:space="preserve">Advisory Opinion OC-24/17 of November 24, 2017. Series </w:t>
      </w:r>
      <w:proofErr w:type="gramStart"/>
      <w:r w:rsidR="00F16442" w:rsidRPr="001558A5">
        <w:rPr>
          <w:rFonts w:eastAsia="Times New Roman" w:cs="Times New Roman"/>
          <w:bCs/>
          <w:szCs w:val="16"/>
          <w:lang w:val="en-US"/>
        </w:rPr>
        <w:t>A</w:t>
      </w:r>
      <w:proofErr w:type="gramEnd"/>
      <w:r w:rsidR="00F16442" w:rsidRPr="001558A5">
        <w:rPr>
          <w:rFonts w:eastAsia="Times New Roman" w:cs="Times New Roman"/>
          <w:bCs/>
          <w:szCs w:val="16"/>
          <w:lang w:val="en-US"/>
        </w:rPr>
        <w:t xml:space="preserve"> No. 24</w:t>
      </w:r>
      <w:r w:rsidRPr="001558A5">
        <w:rPr>
          <w:szCs w:val="16"/>
          <w:lang w:val="en-US"/>
        </w:rPr>
        <w:t xml:space="preserve">, </w:t>
      </w:r>
      <w:r w:rsidR="00B43A52" w:rsidRPr="001558A5">
        <w:rPr>
          <w:szCs w:val="16"/>
          <w:lang w:val="en-US"/>
        </w:rPr>
        <w:t>para.</w:t>
      </w:r>
      <w:r w:rsidRPr="001558A5">
        <w:rPr>
          <w:szCs w:val="16"/>
          <w:lang w:val="en-US"/>
        </w:rPr>
        <w:t xml:space="preserve"> 32</w:t>
      </w:r>
    </w:p>
  </w:footnote>
  <w:footnote w:id="215">
    <w:p w14:paraId="5DDF8671" w14:textId="610653DF" w:rsidR="0076236C" w:rsidRPr="001558A5" w:rsidRDefault="0076236C"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F16442" w:rsidRPr="001558A5">
        <w:rPr>
          <w:szCs w:val="16"/>
          <w:lang w:val="en-US"/>
        </w:rPr>
        <w:t>Expert opinion provided by</w:t>
      </w:r>
      <w:r w:rsidRPr="001558A5">
        <w:rPr>
          <w:szCs w:val="16"/>
          <w:lang w:val="en-US"/>
        </w:rPr>
        <w:t xml:space="preserve"> Carlos </w:t>
      </w:r>
      <w:proofErr w:type="spellStart"/>
      <w:r w:rsidRPr="001558A5">
        <w:rPr>
          <w:szCs w:val="16"/>
          <w:lang w:val="en-US"/>
        </w:rPr>
        <w:t>Zelada</w:t>
      </w:r>
      <w:proofErr w:type="spellEnd"/>
      <w:r w:rsidRPr="001558A5">
        <w:rPr>
          <w:szCs w:val="16"/>
          <w:lang w:val="en-US"/>
        </w:rPr>
        <w:t xml:space="preserve"> </w:t>
      </w:r>
      <w:r w:rsidR="00DE7CAC" w:rsidRPr="001558A5">
        <w:rPr>
          <w:szCs w:val="16"/>
          <w:lang w:val="en-US"/>
        </w:rPr>
        <w:t>during the public hearing in this case</w:t>
      </w:r>
      <w:r w:rsidRPr="001558A5">
        <w:rPr>
          <w:szCs w:val="16"/>
          <w:lang w:val="en-US"/>
        </w:rPr>
        <w:t xml:space="preserve"> </w:t>
      </w:r>
      <w:r w:rsidR="00DE7CAC" w:rsidRPr="001558A5">
        <w:rPr>
          <w:szCs w:val="16"/>
          <w:lang w:val="en-US"/>
        </w:rPr>
        <w:t>on November 11,</w:t>
      </w:r>
      <w:r w:rsidRPr="001558A5">
        <w:rPr>
          <w:szCs w:val="16"/>
          <w:lang w:val="en-US"/>
        </w:rPr>
        <w:t xml:space="preserve"> 2020</w:t>
      </w:r>
      <w:r w:rsidR="00F16442" w:rsidRPr="001558A5">
        <w:rPr>
          <w:szCs w:val="16"/>
          <w:lang w:val="en-US"/>
        </w:rPr>
        <w:t>,</w:t>
      </w:r>
      <w:r w:rsidR="00DD4354" w:rsidRPr="001558A5">
        <w:rPr>
          <w:szCs w:val="16"/>
          <w:lang w:val="en-US"/>
        </w:rPr>
        <w:t xml:space="preserve"> and </w:t>
      </w:r>
      <w:r w:rsidRPr="001558A5">
        <w:rPr>
          <w:szCs w:val="16"/>
          <w:lang w:val="en-US"/>
        </w:rPr>
        <w:t>document</w:t>
      </w:r>
      <w:r w:rsidR="00F16442" w:rsidRPr="001558A5">
        <w:rPr>
          <w:szCs w:val="16"/>
          <w:lang w:val="en-US"/>
        </w:rPr>
        <w:t xml:space="preserve"> attached to his opinion </w:t>
      </w:r>
      <w:r w:rsidRPr="001558A5">
        <w:rPr>
          <w:szCs w:val="16"/>
          <w:lang w:val="en-US"/>
        </w:rPr>
        <w:t>(</w:t>
      </w:r>
      <w:r w:rsidR="00D11908" w:rsidRPr="001558A5">
        <w:rPr>
          <w:szCs w:val="16"/>
          <w:lang w:val="en-US"/>
        </w:rPr>
        <w:t>evidence file</w:t>
      </w:r>
      <w:r w:rsidRPr="001558A5">
        <w:rPr>
          <w:szCs w:val="16"/>
          <w:lang w:val="en-US"/>
        </w:rPr>
        <w:t xml:space="preserve">, folio 1574 </w:t>
      </w:r>
      <w:proofErr w:type="spellStart"/>
      <w:r w:rsidRPr="001558A5">
        <w:rPr>
          <w:szCs w:val="16"/>
          <w:lang w:val="en-US"/>
        </w:rPr>
        <w:t>bis</w:t>
      </w:r>
      <w:proofErr w:type="spellEnd"/>
      <w:r w:rsidRPr="001558A5">
        <w:rPr>
          <w:szCs w:val="16"/>
          <w:lang w:val="en-US"/>
        </w:rPr>
        <w:t>).</w:t>
      </w:r>
    </w:p>
  </w:footnote>
  <w:footnote w:id="216">
    <w:p w14:paraId="1846962A" w14:textId="428C6DAA" w:rsidR="0076236C" w:rsidRPr="001558A5" w:rsidRDefault="0076236C"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F16442" w:rsidRPr="001558A5">
        <w:rPr>
          <w:szCs w:val="16"/>
          <w:lang w:val="en-US"/>
        </w:rPr>
        <w:t>Independent Expert</w:t>
      </w:r>
      <w:r w:rsidR="00B0536A" w:rsidRPr="001558A5">
        <w:rPr>
          <w:lang w:val="en-US"/>
        </w:rPr>
        <w:t xml:space="preserve"> on protection against violence and discrimination based on sexual orientation and gender identity</w:t>
      </w:r>
      <w:r w:rsidRPr="001558A5">
        <w:rPr>
          <w:szCs w:val="16"/>
          <w:lang w:val="en-US"/>
        </w:rPr>
        <w:t xml:space="preserve">. </w:t>
      </w:r>
      <w:r w:rsidR="002C5B2A" w:rsidRPr="001558A5">
        <w:rPr>
          <w:szCs w:val="16"/>
          <w:lang w:val="en-US"/>
        </w:rPr>
        <w:t xml:space="preserve">Data collection and management as a means to create heightened awareness of violence and discrimination based on </w:t>
      </w:r>
      <w:r w:rsidR="00675A99" w:rsidRPr="001558A5">
        <w:rPr>
          <w:szCs w:val="16"/>
          <w:lang w:val="en-US"/>
        </w:rPr>
        <w:t>sexual orientation</w:t>
      </w:r>
      <w:r w:rsidRPr="001558A5">
        <w:rPr>
          <w:szCs w:val="16"/>
          <w:lang w:val="en-US"/>
        </w:rPr>
        <w:t xml:space="preserve"> </w:t>
      </w:r>
      <w:r w:rsidR="002C5B2A" w:rsidRPr="001558A5">
        <w:rPr>
          <w:szCs w:val="16"/>
          <w:lang w:val="en-US"/>
        </w:rPr>
        <w:t>and</w:t>
      </w:r>
      <w:r w:rsidRPr="001558A5">
        <w:rPr>
          <w:szCs w:val="16"/>
          <w:lang w:val="en-US"/>
        </w:rPr>
        <w:t xml:space="preserve"> </w:t>
      </w:r>
      <w:r w:rsidR="00DF7573" w:rsidRPr="001558A5">
        <w:rPr>
          <w:szCs w:val="16"/>
          <w:lang w:val="en-US"/>
        </w:rPr>
        <w:t>gender identity</w:t>
      </w:r>
      <w:r w:rsidRPr="001558A5">
        <w:rPr>
          <w:szCs w:val="16"/>
          <w:lang w:val="en-US"/>
        </w:rPr>
        <w:t xml:space="preserve">. A/HRC/41/45, </w:t>
      </w:r>
      <w:r w:rsidR="00B0536A" w:rsidRPr="001558A5">
        <w:rPr>
          <w:szCs w:val="16"/>
          <w:lang w:val="en-US"/>
        </w:rPr>
        <w:t>May 14,</w:t>
      </w:r>
      <w:r w:rsidRPr="001558A5">
        <w:rPr>
          <w:szCs w:val="16"/>
          <w:lang w:val="en-US"/>
        </w:rPr>
        <w:t xml:space="preserve"> 2019</w:t>
      </w:r>
      <w:r w:rsidR="002C5B2A" w:rsidRPr="001558A5">
        <w:rPr>
          <w:szCs w:val="16"/>
          <w:lang w:val="en-US"/>
        </w:rPr>
        <w:t>.</w:t>
      </w:r>
    </w:p>
  </w:footnote>
  <w:footnote w:id="217">
    <w:p w14:paraId="66FB752A" w14:textId="54F8F410" w:rsidR="0076236C" w:rsidRPr="001558A5" w:rsidRDefault="0076236C"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B0536A" w:rsidRPr="001558A5">
        <w:rPr>
          <w:szCs w:val="16"/>
          <w:lang w:val="en-US"/>
        </w:rPr>
        <w:t>IACHR</w:t>
      </w:r>
      <w:r w:rsidRPr="001558A5">
        <w:rPr>
          <w:szCs w:val="16"/>
          <w:lang w:val="en-US"/>
        </w:rPr>
        <w:t xml:space="preserve">. </w:t>
      </w:r>
      <w:r w:rsidR="00B0536A" w:rsidRPr="001558A5">
        <w:rPr>
          <w:i/>
          <w:iCs/>
          <w:szCs w:val="16"/>
          <w:lang w:val="en-US"/>
        </w:rPr>
        <w:t>Violence against</w:t>
      </w:r>
      <w:r w:rsidRPr="001558A5">
        <w:rPr>
          <w:i/>
          <w:iCs/>
          <w:szCs w:val="16"/>
          <w:lang w:val="en-US"/>
        </w:rPr>
        <w:t xml:space="preserve"> Lesbian, Gay, Bisexual, Trans </w:t>
      </w:r>
      <w:r w:rsidR="00B0536A" w:rsidRPr="001558A5">
        <w:rPr>
          <w:i/>
          <w:iCs/>
          <w:szCs w:val="16"/>
          <w:lang w:val="en-US"/>
        </w:rPr>
        <w:t>and</w:t>
      </w:r>
      <w:r w:rsidRPr="001558A5">
        <w:rPr>
          <w:i/>
          <w:iCs/>
          <w:szCs w:val="16"/>
          <w:lang w:val="en-US"/>
        </w:rPr>
        <w:t xml:space="preserve"> Intersex </w:t>
      </w:r>
      <w:r w:rsidR="00B0536A" w:rsidRPr="001558A5">
        <w:rPr>
          <w:i/>
          <w:iCs/>
          <w:szCs w:val="16"/>
          <w:lang w:val="en-US"/>
        </w:rPr>
        <w:t xml:space="preserve">Persons in the Americas, </w:t>
      </w:r>
      <w:r w:rsidRPr="001558A5">
        <w:rPr>
          <w:szCs w:val="16"/>
          <w:lang w:val="en-US"/>
        </w:rPr>
        <w:t>OAS/</w:t>
      </w:r>
      <w:proofErr w:type="spellStart"/>
      <w:r w:rsidRPr="001558A5">
        <w:rPr>
          <w:szCs w:val="16"/>
          <w:lang w:val="en-US"/>
        </w:rPr>
        <w:t>Ser.L</w:t>
      </w:r>
      <w:proofErr w:type="spellEnd"/>
      <w:r w:rsidRPr="001558A5">
        <w:rPr>
          <w:szCs w:val="16"/>
          <w:lang w:val="en-US"/>
        </w:rPr>
        <w:t xml:space="preserve">/V/II rev.2 Doc. 36, </w:t>
      </w:r>
      <w:r w:rsidR="00B0536A" w:rsidRPr="001558A5">
        <w:rPr>
          <w:szCs w:val="16"/>
          <w:lang w:val="en-US"/>
        </w:rPr>
        <w:t>November 12,</w:t>
      </w:r>
      <w:r w:rsidRPr="001558A5">
        <w:rPr>
          <w:szCs w:val="16"/>
          <w:lang w:val="en-US"/>
        </w:rPr>
        <w:t xml:space="preserve"> 2015, </w:t>
      </w:r>
      <w:r w:rsidR="00B43A52" w:rsidRPr="001558A5">
        <w:rPr>
          <w:szCs w:val="16"/>
          <w:lang w:val="en-US"/>
        </w:rPr>
        <w:t>para.</w:t>
      </w:r>
      <w:r w:rsidRPr="001558A5">
        <w:rPr>
          <w:szCs w:val="16"/>
          <w:lang w:val="en-US"/>
        </w:rPr>
        <w:t xml:space="preserve"> 280</w:t>
      </w:r>
    </w:p>
  </w:footnote>
  <w:footnote w:id="218">
    <w:p w14:paraId="57CAB708" w14:textId="7C2C46FD" w:rsidR="0076236C" w:rsidRPr="001558A5" w:rsidRDefault="0076236C" w:rsidP="000B2BB5">
      <w:pPr>
        <w:pStyle w:val="Textonotapie"/>
        <w:tabs>
          <w:tab w:val="left" w:pos="360"/>
        </w:tabs>
        <w:rPr>
          <w:szCs w:val="16"/>
          <w:lang w:val="en-US"/>
        </w:rPr>
      </w:pPr>
      <w:r w:rsidRPr="001558A5">
        <w:rPr>
          <w:rStyle w:val="Refdenotaalpie"/>
          <w:szCs w:val="16"/>
          <w:lang w:val="en-US"/>
        </w:rPr>
        <w:footnoteRef/>
      </w:r>
      <w:r w:rsidRPr="001558A5">
        <w:rPr>
          <w:szCs w:val="16"/>
          <w:lang w:val="en-US"/>
        </w:rPr>
        <w:t xml:space="preserve"> </w:t>
      </w:r>
      <w:r w:rsidRPr="001558A5">
        <w:rPr>
          <w:szCs w:val="16"/>
          <w:lang w:val="en-US"/>
        </w:rPr>
        <w:tab/>
      </w:r>
      <w:r w:rsidR="00B0536A" w:rsidRPr="001558A5">
        <w:rPr>
          <w:szCs w:val="16"/>
          <w:lang w:val="en-US"/>
        </w:rPr>
        <w:t xml:space="preserve">For example, the measures of reparation corresponding to guarantees of non-repetition in the judgment in the </w:t>
      </w:r>
      <w:r w:rsidR="00B0536A" w:rsidRPr="001558A5">
        <w:rPr>
          <w:i/>
          <w:iCs/>
          <w:szCs w:val="16"/>
          <w:lang w:val="en-US"/>
        </w:rPr>
        <w:t xml:space="preserve">Case of the Indigenous Communities of the </w:t>
      </w:r>
      <w:proofErr w:type="spellStart"/>
      <w:r w:rsidR="00B0536A" w:rsidRPr="001558A5">
        <w:rPr>
          <w:i/>
          <w:iCs/>
          <w:szCs w:val="16"/>
          <w:lang w:val="en-US"/>
        </w:rPr>
        <w:t>Lhaka</w:t>
      </w:r>
      <w:proofErr w:type="spellEnd"/>
      <w:r w:rsidR="00B0536A" w:rsidRPr="001558A5">
        <w:rPr>
          <w:i/>
          <w:iCs/>
          <w:szCs w:val="16"/>
          <w:lang w:val="en-US"/>
        </w:rPr>
        <w:t xml:space="preserve"> </w:t>
      </w:r>
      <w:proofErr w:type="spellStart"/>
      <w:r w:rsidR="00B0536A" w:rsidRPr="001558A5">
        <w:rPr>
          <w:i/>
          <w:iCs/>
          <w:szCs w:val="16"/>
          <w:lang w:val="en-US"/>
        </w:rPr>
        <w:t>Honhat</w:t>
      </w:r>
      <w:proofErr w:type="spellEnd"/>
      <w:r w:rsidR="00B0536A" w:rsidRPr="001558A5">
        <w:rPr>
          <w:i/>
          <w:iCs/>
          <w:szCs w:val="16"/>
          <w:lang w:val="en-US"/>
        </w:rPr>
        <w:t xml:space="preserve"> (Our Land) Association </w:t>
      </w:r>
      <w:r w:rsidR="00871E19" w:rsidRPr="001558A5">
        <w:rPr>
          <w:i/>
          <w:iCs/>
          <w:szCs w:val="16"/>
          <w:lang w:val="en-US"/>
        </w:rPr>
        <w:t>v.</w:t>
      </w:r>
      <w:r w:rsidRPr="001558A5">
        <w:rPr>
          <w:i/>
          <w:iCs/>
          <w:szCs w:val="16"/>
          <w:lang w:val="en-US"/>
        </w:rPr>
        <w:t xml:space="preserve"> Argentina. </w:t>
      </w:r>
      <w:r w:rsidR="00B43A52" w:rsidRPr="001558A5">
        <w:rPr>
          <w:i/>
          <w:iCs/>
          <w:szCs w:val="16"/>
          <w:lang w:val="en-US"/>
        </w:rPr>
        <w:t>Merits, reparations and costs</w:t>
      </w:r>
      <w:r w:rsidRPr="001558A5">
        <w:rPr>
          <w:i/>
          <w:iCs/>
          <w:szCs w:val="16"/>
          <w:lang w:val="en-US"/>
        </w:rPr>
        <w:t>.</w:t>
      </w:r>
      <w:r w:rsidRPr="001558A5">
        <w:rPr>
          <w:szCs w:val="16"/>
          <w:lang w:val="en-US"/>
        </w:rPr>
        <w:t xml:space="preserve"> </w:t>
      </w:r>
      <w:r w:rsidR="00871E19" w:rsidRPr="001558A5">
        <w:rPr>
          <w:szCs w:val="16"/>
          <w:lang w:val="en-US"/>
        </w:rPr>
        <w:t>Judgment of</w:t>
      </w:r>
      <w:r w:rsidRPr="001558A5">
        <w:rPr>
          <w:szCs w:val="16"/>
          <w:lang w:val="en-US"/>
        </w:rPr>
        <w:t xml:space="preserve"> </w:t>
      </w:r>
      <w:r w:rsidR="00B0536A" w:rsidRPr="001558A5">
        <w:rPr>
          <w:szCs w:val="16"/>
          <w:lang w:val="en-US"/>
        </w:rPr>
        <w:t>February 6,</w:t>
      </w:r>
      <w:r w:rsidRPr="001558A5">
        <w:rPr>
          <w:szCs w:val="16"/>
          <w:lang w:val="en-US"/>
        </w:rPr>
        <w:t xml:space="preserve"> 2020. </w:t>
      </w:r>
      <w:r w:rsidR="00B43A52" w:rsidRPr="001558A5">
        <w:rPr>
          <w:szCs w:val="16"/>
          <w:lang w:val="en-US"/>
        </w:rPr>
        <w:t xml:space="preserve">Series </w:t>
      </w:r>
      <w:r w:rsidRPr="001558A5">
        <w:rPr>
          <w:szCs w:val="16"/>
          <w:lang w:val="en-US"/>
        </w:rPr>
        <w:t>C No. 400.</w:t>
      </w:r>
    </w:p>
  </w:footnote>
  <w:footnote w:id="219">
    <w:p w14:paraId="4DD2AC17" w14:textId="77777777" w:rsidR="009A44A0" w:rsidRPr="001558A5" w:rsidRDefault="009A44A0" w:rsidP="00387004">
      <w:pPr>
        <w:pStyle w:val="Textonotapie"/>
        <w:tabs>
          <w:tab w:val="left" w:pos="360"/>
        </w:tabs>
        <w:spacing w:before="0" w:after="60"/>
        <w:rPr>
          <w:szCs w:val="16"/>
          <w:lang w:val="en-US"/>
        </w:rPr>
      </w:pPr>
      <w:r w:rsidRPr="001558A5">
        <w:rPr>
          <w:rStyle w:val="Refdenotaalpie"/>
          <w:szCs w:val="16"/>
          <w:lang w:val="en-US"/>
        </w:rPr>
        <w:footnoteRef/>
      </w:r>
      <w:r w:rsidRPr="001558A5">
        <w:rPr>
          <w:szCs w:val="16"/>
          <w:lang w:val="en-US"/>
        </w:rPr>
        <w:t xml:space="preserve"> Hereinafter, the judgment.</w:t>
      </w:r>
    </w:p>
  </w:footnote>
  <w:footnote w:id="220">
    <w:p w14:paraId="2620CD11" w14:textId="2CCD168A" w:rsidR="009A44A0" w:rsidRPr="001558A5" w:rsidRDefault="009A44A0" w:rsidP="00387004">
      <w:pPr>
        <w:pStyle w:val="Prrafodelista"/>
        <w:tabs>
          <w:tab w:val="left" w:pos="360"/>
        </w:tabs>
        <w:spacing w:after="60"/>
        <w:ind w:left="0" w:right="48"/>
        <w:contextualSpacing w:val="0"/>
        <w:rPr>
          <w:lang w:val="en-US"/>
        </w:rPr>
      </w:pPr>
      <w:r w:rsidRPr="001558A5">
        <w:rPr>
          <w:rStyle w:val="Refdenotaalpie"/>
          <w:sz w:val="16"/>
          <w:szCs w:val="16"/>
          <w:lang w:val="en-US"/>
        </w:rPr>
        <w:footnoteRef/>
      </w:r>
      <w:r w:rsidRPr="001558A5">
        <w:rPr>
          <w:sz w:val="16"/>
          <w:szCs w:val="16"/>
          <w:lang w:val="en-US"/>
        </w:rPr>
        <w:t xml:space="preserve"> “</w:t>
      </w:r>
      <w:r w:rsidR="00F053EE" w:rsidRPr="001558A5">
        <w:rPr>
          <w:sz w:val="16"/>
          <w:szCs w:val="16"/>
          <w:lang w:val="en-US"/>
        </w:rPr>
        <w:t xml:space="preserve">The State is responsible for failure to comply with the obligations established in Article 7(a) of the Inter-American Convention for the Prevention, Punishment and Eradication of Violence against Women to the detriment of Vicky Hernández, and Article 7(b) of this instrument, to the detriment of Rosa </w:t>
      </w:r>
      <w:proofErr w:type="spellStart"/>
      <w:r w:rsidR="00F053EE" w:rsidRPr="001558A5">
        <w:rPr>
          <w:sz w:val="16"/>
          <w:szCs w:val="16"/>
          <w:lang w:val="en-US"/>
        </w:rPr>
        <w:t>Argelia</w:t>
      </w:r>
      <w:proofErr w:type="spellEnd"/>
      <w:r w:rsidR="00F053EE" w:rsidRPr="001558A5">
        <w:rPr>
          <w:sz w:val="16"/>
          <w:szCs w:val="16"/>
          <w:lang w:val="en-US"/>
        </w:rPr>
        <w:t xml:space="preserve"> Hernández </w:t>
      </w:r>
      <w:proofErr w:type="spellStart"/>
      <w:r w:rsidR="00F053EE" w:rsidRPr="001558A5">
        <w:rPr>
          <w:sz w:val="16"/>
          <w:szCs w:val="16"/>
          <w:lang w:val="en-US"/>
        </w:rPr>
        <w:t>Martínez</w:t>
      </w:r>
      <w:proofErr w:type="spellEnd"/>
      <w:r w:rsidR="00F053EE" w:rsidRPr="001558A5">
        <w:rPr>
          <w:sz w:val="16"/>
          <w:szCs w:val="16"/>
          <w:lang w:val="en-US"/>
        </w:rPr>
        <w:t xml:space="preserve">, </w:t>
      </w:r>
      <w:proofErr w:type="spellStart"/>
      <w:r w:rsidR="00F053EE" w:rsidRPr="001558A5">
        <w:rPr>
          <w:sz w:val="16"/>
          <w:szCs w:val="16"/>
          <w:lang w:val="en-US"/>
        </w:rPr>
        <w:t>Merelin</w:t>
      </w:r>
      <w:proofErr w:type="spellEnd"/>
      <w:r w:rsidR="00F053EE" w:rsidRPr="001558A5">
        <w:rPr>
          <w:sz w:val="16"/>
          <w:szCs w:val="16"/>
          <w:lang w:val="en-US"/>
        </w:rPr>
        <w:t xml:space="preserve"> Tatiana </w:t>
      </w:r>
      <w:proofErr w:type="spellStart"/>
      <w:r w:rsidR="00F053EE" w:rsidRPr="001558A5">
        <w:rPr>
          <w:sz w:val="16"/>
          <w:szCs w:val="16"/>
          <w:lang w:val="en-US"/>
        </w:rPr>
        <w:t>Rápalo</w:t>
      </w:r>
      <w:proofErr w:type="spellEnd"/>
      <w:r w:rsidR="00F053EE" w:rsidRPr="001558A5">
        <w:rPr>
          <w:sz w:val="16"/>
          <w:szCs w:val="16"/>
          <w:lang w:val="en-US"/>
        </w:rPr>
        <w:t xml:space="preserve"> Hernández, and </w:t>
      </w:r>
      <w:proofErr w:type="spellStart"/>
      <w:r w:rsidR="00F053EE" w:rsidRPr="001558A5">
        <w:rPr>
          <w:sz w:val="16"/>
          <w:szCs w:val="16"/>
          <w:lang w:val="en-US"/>
        </w:rPr>
        <w:t>Argelia</w:t>
      </w:r>
      <w:proofErr w:type="spellEnd"/>
      <w:r w:rsidR="00F053EE" w:rsidRPr="001558A5">
        <w:rPr>
          <w:sz w:val="16"/>
          <w:szCs w:val="16"/>
          <w:lang w:val="en-US"/>
        </w:rPr>
        <w:t xml:space="preserve"> Johana Reyes Ríos, pursuant to paragraphs 126 to 136 of this judgment.”</w:t>
      </w:r>
    </w:p>
  </w:footnote>
  <w:footnote w:id="221">
    <w:p w14:paraId="5367CF6E" w14:textId="77777777" w:rsidR="009A44A0" w:rsidRPr="001558A5" w:rsidRDefault="009A44A0" w:rsidP="00387004">
      <w:pPr>
        <w:pStyle w:val="Textonotapie"/>
        <w:tabs>
          <w:tab w:val="left" w:pos="360"/>
        </w:tabs>
        <w:spacing w:before="0" w:after="60"/>
        <w:rPr>
          <w:szCs w:val="16"/>
          <w:lang w:val="en-US"/>
        </w:rPr>
      </w:pPr>
      <w:r w:rsidRPr="001558A5">
        <w:rPr>
          <w:rStyle w:val="Refdenotaalpie"/>
          <w:szCs w:val="16"/>
          <w:lang w:val="en-US"/>
        </w:rPr>
        <w:footnoteRef/>
      </w:r>
      <w:r w:rsidRPr="001558A5">
        <w:rPr>
          <w:szCs w:val="16"/>
          <w:lang w:val="en-US"/>
        </w:rPr>
        <w:t xml:space="preserve"> Hereinafter the State.</w:t>
      </w:r>
    </w:p>
  </w:footnote>
  <w:footnote w:id="222">
    <w:p w14:paraId="508D8906" w14:textId="77777777" w:rsidR="009A44A0" w:rsidRPr="001558A5" w:rsidRDefault="009A44A0" w:rsidP="00387004">
      <w:pPr>
        <w:pStyle w:val="Textonotapie"/>
        <w:tabs>
          <w:tab w:val="left" w:pos="360"/>
        </w:tabs>
        <w:spacing w:before="0" w:after="60"/>
        <w:rPr>
          <w:szCs w:val="16"/>
          <w:lang w:val="en-US"/>
        </w:rPr>
      </w:pPr>
      <w:r w:rsidRPr="001558A5">
        <w:rPr>
          <w:rStyle w:val="Refdenotaalpie"/>
          <w:szCs w:val="16"/>
          <w:lang w:val="en-US"/>
        </w:rPr>
        <w:footnoteRef/>
      </w:r>
      <w:r w:rsidRPr="001558A5">
        <w:rPr>
          <w:szCs w:val="16"/>
          <w:lang w:val="en-US"/>
        </w:rPr>
        <w:t xml:space="preserve"> Hereinafter, Convention of Belem do </w:t>
      </w:r>
      <w:proofErr w:type="spellStart"/>
      <w:r w:rsidRPr="001558A5">
        <w:rPr>
          <w:szCs w:val="16"/>
          <w:lang w:val="en-US"/>
        </w:rPr>
        <w:t>Pará</w:t>
      </w:r>
      <w:proofErr w:type="spellEnd"/>
      <w:r w:rsidRPr="001558A5">
        <w:rPr>
          <w:szCs w:val="16"/>
          <w:lang w:val="en-US"/>
        </w:rPr>
        <w:t>.</w:t>
      </w:r>
    </w:p>
  </w:footnote>
  <w:footnote w:id="223">
    <w:p w14:paraId="60CE91C1" w14:textId="77777777" w:rsidR="009A44A0" w:rsidRPr="001558A5" w:rsidRDefault="009A44A0" w:rsidP="00387004">
      <w:pPr>
        <w:pStyle w:val="Textonotapie"/>
        <w:tabs>
          <w:tab w:val="left" w:pos="360"/>
        </w:tabs>
        <w:spacing w:before="0" w:after="60"/>
        <w:rPr>
          <w:szCs w:val="16"/>
          <w:lang w:val="en-US"/>
        </w:rPr>
      </w:pPr>
      <w:r w:rsidRPr="001558A5">
        <w:rPr>
          <w:rStyle w:val="Refdenotaalpie"/>
          <w:szCs w:val="16"/>
          <w:lang w:val="en-US"/>
        </w:rPr>
        <w:footnoteRef/>
      </w:r>
      <w:r w:rsidRPr="001558A5">
        <w:rPr>
          <w:szCs w:val="16"/>
          <w:lang w:val="en-US"/>
        </w:rPr>
        <w:t xml:space="preserve"> Hereinafter, the Vienna Convention.</w:t>
      </w:r>
    </w:p>
  </w:footnote>
  <w:footnote w:id="224">
    <w:p w14:paraId="4A8E5E3C" w14:textId="56AD4AEA" w:rsidR="00D76729" w:rsidRPr="001558A5" w:rsidRDefault="00D76729" w:rsidP="00387004">
      <w:pPr>
        <w:pStyle w:val="Textonotapie"/>
        <w:tabs>
          <w:tab w:val="left" w:pos="360"/>
        </w:tabs>
        <w:spacing w:before="0" w:after="60"/>
        <w:rPr>
          <w:i/>
          <w:iCs/>
          <w:szCs w:val="16"/>
          <w:lang w:val="en-US"/>
        </w:rPr>
      </w:pPr>
      <w:r w:rsidRPr="001558A5">
        <w:rPr>
          <w:rStyle w:val="Refdenotaalpie"/>
          <w:szCs w:val="16"/>
          <w:lang w:val="en-US"/>
        </w:rPr>
        <w:footnoteRef/>
      </w:r>
      <w:r w:rsidRPr="001558A5">
        <w:rPr>
          <w:szCs w:val="16"/>
          <w:lang w:val="en-US"/>
        </w:rPr>
        <w:t xml:space="preserve"> Art. 26 of the Vienna Convention: </w:t>
      </w:r>
      <w:r w:rsidRPr="001558A5">
        <w:rPr>
          <w:i/>
          <w:iCs/>
          <w:szCs w:val="16"/>
          <w:lang w:val="en-US"/>
        </w:rPr>
        <w:t>"</w:t>
      </w:r>
      <w:proofErr w:type="spellStart"/>
      <w:r w:rsidRPr="001558A5">
        <w:rPr>
          <w:i/>
          <w:iCs/>
          <w:szCs w:val="16"/>
          <w:lang w:val="en-US"/>
        </w:rPr>
        <w:t>Pacta</w:t>
      </w:r>
      <w:proofErr w:type="spellEnd"/>
      <w:r w:rsidRPr="001558A5">
        <w:rPr>
          <w:i/>
          <w:iCs/>
          <w:szCs w:val="16"/>
          <w:lang w:val="en-US"/>
        </w:rPr>
        <w:t xml:space="preserve"> </w:t>
      </w:r>
      <w:proofErr w:type="spellStart"/>
      <w:r w:rsidRPr="001558A5">
        <w:rPr>
          <w:i/>
          <w:iCs/>
          <w:szCs w:val="16"/>
          <w:lang w:val="en-US"/>
        </w:rPr>
        <w:t>sunt</w:t>
      </w:r>
      <w:proofErr w:type="spellEnd"/>
      <w:r w:rsidRPr="001558A5">
        <w:rPr>
          <w:i/>
          <w:iCs/>
          <w:szCs w:val="16"/>
          <w:lang w:val="en-US"/>
        </w:rPr>
        <w:t xml:space="preserve"> </w:t>
      </w:r>
      <w:proofErr w:type="spellStart"/>
      <w:r w:rsidRPr="001558A5">
        <w:rPr>
          <w:i/>
          <w:iCs/>
          <w:szCs w:val="16"/>
          <w:lang w:val="en-US"/>
        </w:rPr>
        <w:t>servanda</w:t>
      </w:r>
      <w:proofErr w:type="spellEnd"/>
      <w:r w:rsidR="00042EFE" w:rsidRPr="001558A5">
        <w:rPr>
          <w:i/>
          <w:iCs/>
          <w:szCs w:val="16"/>
          <w:lang w:val="en-US"/>
        </w:rPr>
        <w:t>.</w:t>
      </w:r>
      <w:r w:rsidRPr="001558A5">
        <w:rPr>
          <w:i/>
          <w:iCs/>
          <w:szCs w:val="16"/>
          <w:lang w:val="en-US"/>
        </w:rPr>
        <w:t xml:space="preserve">" </w:t>
      </w:r>
      <w:r w:rsidR="00042EFE" w:rsidRPr="001558A5">
        <w:rPr>
          <w:szCs w:val="16"/>
          <w:lang w:val="en-US"/>
        </w:rPr>
        <w:t>Every treaty in force is binding upon the parties to it and must be performed by them in good faith.</w:t>
      </w:r>
    </w:p>
  </w:footnote>
  <w:footnote w:id="225">
    <w:p w14:paraId="3FFDDB73" w14:textId="6D58EB7C" w:rsidR="004B16E8" w:rsidRPr="001558A5" w:rsidRDefault="004B16E8" w:rsidP="00387004">
      <w:pPr>
        <w:tabs>
          <w:tab w:val="left" w:pos="360"/>
        </w:tabs>
        <w:spacing w:after="60"/>
        <w:rPr>
          <w:sz w:val="16"/>
          <w:szCs w:val="16"/>
          <w:lang w:val="en-US"/>
        </w:rPr>
      </w:pPr>
      <w:r w:rsidRPr="001558A5">
        <w:rPr>
          <w:rStyle w:val="Refdenotaalpie"/>
          <w:sz w:val="16"/>
          <w:szCs w:val="16"/>
          <w:lang w:val="en-US"/>
        </w:rPr>
        <w:footnoteRef/>
      </w:r>
      <w:r w:rsidRPr="001558A5">
        <w:rPr>
          <w:sz w:val="16"/>
          <w:szCs w:val="16"/>
          <w:lang w:val="en-US"/>
        </w:rPr>
        <w:t xml:space="preserve"> Art.</w:t>
      </w:r>
      <w:r w:rsidR="00042EFE" w:rsidRPr="001558A5">
        <w:rPr>
          <w:sz w:val="16"/>
          <w:szCs w:val="16"/>
          <w:lang w:val="en-US"/>
        </w:rPr>
        <w:t xml:space="preserve"> </w:t>
      </w:r>
      <w:r w:rsidRPr="001558A5">
        <w:rPr>
          <w:sz w:val="16"/>
          <w:szCs w:val="16"/>
          <w:lang w:val="en-US"/>
        </w:rPr>
        <w:t xml:space="preserve">31(4) of the Vienna Convention: </w:t>
      </w:r>
      <w:r w:rsidRPr="001558A5">
        <w:rPr>
          <w:i/>
          <w:iCs/>
          <w:sz w:val="16"/>
          <w:szCs w:val="16"/>
          <w:lang w:val="en-US"/>
        </w:rPr>
        <w:t>“</w:t>
      </w:r>
      <w:r w:rsidR="00042EFE" w:rsidRPr="001558A5">
        <w:rPr>
          <w:sz w:val="16"/>
          <w:szCs w:val="16"/>
          <w:lang w:val="en-US"/>
        </w:rPr>
        <w:t>A special meaning shall be given to a term if it is established that the parties so intended</w:t>
      </w:r>
      <w:r w:rsidRPr="001558A5">
        <w:rPr>
          <w:i/>
          <w:iCs/>
          <w:sz w:val="16"/>
          <w:szCs w:val="16"/>
          <w:lang w:val="en-US"/>
        </w:rPr>
        <w:t>.”</w:t>
      </w:r>
    </w:p>
  </w:footnote>
  <w:footnote w:id="226">
    <w:p w14:paraId="21EDFF3F" w14:textId="3C979FCC" w:rsidR="009A44A0" w:rsidRPr="001558A5" w:rsidRDefault="009A44A0" w:rsidP="00387004">
      <w:pPr>
        <w:pStyle w:val="Textonotapie"/>
        <w:tabs>
          <w:tab w:val="left" w:pos="360"/>
        </w:tabs>
        <w:spacing w:before="0" w:after="60"/>
        <w:rPr>
          <w:szCs w:val="16"/>
          <w:lang w:val="es-CR"/>
        </w:rPr>
      </w:pPr>
      <w:r w:rsidRPr="001558A5">
        <w:rPr>
          <w:rStyle w:val="Refdenotaalpie"/>
          <w:szCs w:val="16"/>
          <w:lang w:val="en-US"/>
        </w:rPr>
        <w:footnoteRef/>
      </w:r>
      <w:r w:rsidRPr="001558A5">
        <w:rPr>
          <w:szCs w:val="16"/>
          <w:lang w:val="es-CR"/>
        </w:rPr>
        <w:t xml:space="preserve"> Diccionario de la Lengua Española, Real Academia Española</w:t>
      </w:r>
      <w:r w:rsidR="00042EFE" w:rsidRPr="001558A5">
        <w:rPr>
          <w:szCs w:val="16"/>
          <w:lang w:val="es-CR"/>
        </w:rPr>
        <w:t xml:space="preserve"> [</w:t>
      </w:r>
      <w:r w:rsidR="00686C80" w:rsidRPr="001558A5">
        <w:rPr>
          <w:szCs w:val="16"/>
          <w:lang w:val="es-CR"/>
        </w:rPr>
        <w:t xml:space="preserve">Note: </w:t>
      </w:r>
      <w:r w:rsidR="007B5AB3" w:rsidRPr="001558A5">
        <w:rPr>
          <w:szCs w:val="16"/>
          <w:lang w:val="es-CR"/>
        </w:rPr>
        <w:t xml:space="preserve">literal </w:t>
      </w:r>
      <w:proofErr w:type="spellStart"/>
      <w:r w:rsidR="007B5AB3" w:rsidRPr="001558A5">
        <w:rPr>
          <w:szCs w:val="16"/>
          <w:lang w:val="es-CR"/>
        </w:rPr>
        <w:t>translation</w:t>
      </w:r>
      <w:proofErr w:type="spellEnd"/>
      <w:r w:rsidR="007B5AB3" w:rsidRPr="001558A5">
        <w:rPr>
          <w:szCs w:val="16"/>
          <w:lang w:val="es-CR"/>
        </w:rPr>
        <w:t xml:space="preserve"> of </w:t>
      </w:r>
      <w:proofErr w:type="spellStart"/>
      <w:r w:rsidR="007B5AB3" w:rsidRPr="001558A5">
        <w:rPr>
          <w:szCs w:val="16"/>
          <w:lang w:val="es-CR"/>
        </w:rPr>
        <w:t>the</w:t>
      </w:r>
      <w:proofErr w:type="spellEnd"/>
      <w:r w:rsidR="007B5AB3" w:rsidRPr="001558A5">
        <w:rPr>
          <w:szCs w:val="16"/>
          <w:lang w:val="es-CR"/>
        </w:rPr>
        <w:t xml:space="preserve"> </w:t>
      </w:r>
      <w:proofErr w:type="spellStart"/>
      <w:r w:rsidR="00042EFE" w:rsidRPr="001558A5">
        <w:rPr>
          <w:szCs w:val="16"/>
          <w:lang w:val="es-CR"/>
        </w:rPr>
        <w:t>Spanish</w:t>
      </w:r>
      <w:proofErr w:type="spellEnd"/>
      <w:r w:rsidR="00042EFE" w:rsidRPr="001558A5">
        <w:rPr>
          <w:szCs w:val="16"/>
          <w:lang w:val="es-CR"/>
        </w:rPr>
        <w:t xml:space="preserve"> </w:t>
      </w:r>
      <w:proofErr w:type="spellStart"/>
      <w:r w:rsidR="00042EFE" w:rsidRPr="001558A5">
        <w:rPr>
          <w:szCs w:val="16"/>
          <w:lang w:val="es-CR"/>
        </w:rPr>
        <w:t>definitions</w:t>
      </w:r>
      <w:proofErr w:type="spellEnd"/>
      <w:r w:rsidR="00042EFE" w:rsidRPr="001558A5">
        <w:rPr>
          <w:szCs w:val="16"/>
          <w:lang w:val="es-CR"/>
        </w:rPr>
        <w:t>].</w:t>
      </w:r>
    </w:p>
  </w:footnote>
  <w:footnote w:id="227">
    <w:p w14:paraId="4265CF61" w14:textId="77777777" w:rsidR="009A44A0" w:rsidRPr="001558A5" w:rsidRDefault="009A44A0" w:rsidP="00387004">
      <w:pPr>
        <w:tabs>
          <w:tab w:val="left" w:pos="360"/>
          <w:tab w:val="left" w:pos="567"/>
        </w:tabs>
        <w:spacing w:after="60"/>
        <w:rPr>
          <w:rFonts w:eastAsia="Times New Roman" w:cs="Times New Roman"/>
          <w:i/>
          <w:sz w:val="16"/>
          <w:szCs w:val="16"/>
          <w:lang w:val="en-US"/>
        </w:rPr>
      </w:pPr>
      <w:r w:rsidRPr="001558A5">
        <w:rPr>
          <w:rStyle w:val="Refdenotaalpie"/>
          <w:sz w:val="16"/>
          <w:szCs w:val="16"/>
          <w:lang w:val="en-US"/>
        </w:rPr>
        <w:footnoteRef/>
      </w:r>
      <w:r w:rsidRPr="001558A5">
        <w:rPr>
          <w:sz w:val="16"/>
          <w:szCs w:val="16"/>
          <w:lang w:val="en-US"/>
        </w:rPr>
        <w:t xml:space="preserve"> </w:t>
      </w:r>
      <w:r w:rsidRPr="001558A5">
        <w:rPr>
          <w:rFonts w:eastAsia="Times New Roman" w:cs="Times New Roman"/>
          <w:bCs/>
          <w:i/>
          <w:sz w:val="16"/>
          <w:szCs w:val="16"/>
          <w:lang w:val="en-US"/>
        </w:rPr>
        <w:t xml:space="preserve">Gender Identity, and Equality and Non-Discrimination with regard to Same-Sex Couples. State Obligations in relation to Change of Name, Gender Identity, and Rights deriving from a relationship between Same-Sex Couples (Interpretation and scope of Articles 1(1), 3, 7, 11(2), 13, 17, 18 and 24, in relation to Article 1, of the American Convention on Human Rights). </w:t>
      </w:r>
      <w:r w:rsidRPr="001558A5">
        <w:rPr>
          <w:rFonts w:eastAsia="Times New Roman" w:cs="Times New Roman"/>
          <w:bCs/>
          <w:sz w:val="16"/>
          <w:szCs w:val="16"/>
          <w:lang w:val="en-US"/>
        </w:rPr>
        <w:t xml:space="preserve">Advisory Opinion OC-24/17 of November 24, 2017. Series </w:t>
      </w:r>
      <w:proofErr w:type="gramStart"/>
      <w:r w:rsidRPr="001558A5">
        <w:rPr>
          <w:rFonts w:eastAsia="Times New Roman" w:cs="Times New Roman"/>
          <w:bCs/>
          <w:sz w:val="16"/>
          <w:szCs w:val="16"/>
          <w:lang w:val="en-US"/>
        </w:rPr>
        <w:t>A</w:t>
      </w:r>
      <w:proofErr w:type="gramEnd"/>
      <w:r w:rsidRPr="001558A5">
        <w:rPr>
          <w:rFonts w:eastAsia="Times New Roman" w:cs="Times New Roman"/>
          <w:bCs/>
          <w:sz w:val="16"/>
          <w:szCs w:val="16"/>
          <w:lang w:val="en-US"/>
        </w:rPr>
        <w:t xml:space="preserve"> No. 24.</w:t>
      </w:r>
      <w:r w:rsidRPr="001558A5">
        <w:rPr>
          <w:rFonts w:eastAsia="Times New Roman" w:cs="Times New Roman"/>
          <w:i/>
          <w:sz w:val="16"/>
          <w:szCs w:val="16"/>
          <w:lang w:val="en-US"/>
        </w:rPr>
        <w:t xml:space="preserve"> </w:t>
      </w:r>
      <w:proofErr w:type="gramStart"/>
      <w:r w:rsidRPr="001558A5">
        <w:rPr>
          <w:rFonts w:cs="Arial"/>
          <w:i/>
          <w:iCs/>
          <w:sz w:val="16"/>
          <w:szCs w:val="16"/>
          <w:shd w:val="clear" w:color="auto" w:fill="FFFFFF"/>
          <w:lang w:val="en-US"/>
        </w:rPr>
        <w:t>para</w:t>
      </w:r>
      <w:proofErr w:type="gramEnd"/>
      <w:r w:rsidRPr="001558A5">
        <w:rPr>
          <w:rFonts w:cs="Arial"/>
          <w:i/>
          <w:iCs/>
          <w:sz w:val="16"/>
          <w:szCs w:val="16"/>
          <w:shd w:val="clear" w:color="auto" w:fill="FFFFFF"/>
          <w:lang w:val="en-US"/>
        </w:rPr>
        <w:t>. 32(a).</w:t>
      </w:r>
    </w:p>
  </w:footnote>
  <w:footnote w:id="228">
    <w:p w14:paraId="56D19E9E" w14:textId="77777777" w:rsidR="009A44A0" w:rsidRPr="001558A5" w:rsidRDefault="009A44A0" w:rsidP="00387004">
      <w:pPr>
        <w:pStyle w:val="Textonotapie"/>
        <w:tabs>
          <w:tab w:val="left" w:pos="360"/>
        </w:tabs>
        <w:spacing w:before="0" w:after="60"/>
        <w:rPr>
          <w:szCs w:val="16"/>
          <w:lang w:val="es-CR"/>
        </w:rPr>
      </w:pPr>
      <w:r w:rsidRPr="001558A5">
        <w:rPr>
          <w:rStyle w:val="Refdenotaalpie"/>
          <w:szCs w:val="16"/>
          <w:lang w:val="en-US"/>
        </w:rPr>
        <w:footnoteRef/>
      </w:r>
      <w:r w:rsidRPr="001558A5">
        <w:rPr>
          <w:szCs w:val="16"/>
          <w:lang w:val="es-CR"/>
        </w:rPr>
        <w:t xml:space="preserve"> </w:t>
      </w:r>
      <w:proofErr w:type="spellStart"/>
      <w:r w:rsidRPr="001558A5">
        <w:rPr>
          <w:i/>
          <w:iCs/>
          <w:szCs w:val="16"/>
          <w:lang w:val="es-CR"/>
        </w:rPr>
        <w:t>Idem</w:t>
      </w:r>
      <w:proofErr w:type="spellEnd"/>
      <w:r w:rsidRPr="001558A5">
        <w:rPr>
          <w:szCs w:val="16"/>
          <w:lang w:val="es-CR"/>
        </w:rPr>
        <w:t>, para. 32(e).</w:t>
      </w:r>
    </w:p>
  </w:footnote>
  <w:footnote w:id="229">
    <w:p w14:paraId="42BF0032" w14:textId="69AE843A" w:rsidR="009A44A0" w:rsidRPr="001558A5" w:rsidRDefault="009A44A0" w:rsidP="00387004">
      <w:pPr>
        <w:pStyle w:val="Textonotapie"/>
        <w:tabs>
          <w:tab w:val="left" w:pos="360"/>
        </w:tabs>
        <w:spacing w:before="0" w:after="60"/>
        <w:rPr>
          <w:szCs w:val="16"/>
          <w:lang w:val="es-CR"/>
        </w:rPr>
      </w:pPr>
      <w:r w:rsidRPr="001558A5">
        <w:rPr>
          <w:rStyle w:val="Refdenotaalpie"/>
          <w:szCs w:val="16"/>
          <w:lang w:val="en-US"/>
        </w:rPr>
        <w:footnoteRef/>
      </w:r>
      <w:r w:rsidRPr="001558A5">
        <w:rPr>
          <w:szCs w:val="16"/>
          <w:lang w:val="es-CR"/>
        </w:rPr>
        <w:t xml:space="preserve"> </w:t>
      </w:r>
      <w:proofErr w:type="spellStart"/>
      <w:r w:rsidRPr="001558A5">
        <w:rPr>
          <w:i/>
          <w:iCs/>
          <w:szCs w:val="16"/>
          <w:lang w:val="es-CR"/>
        </w:rPr>
        <w:t>Idem</w:t>
      </w:r>
      <w:proofErr w:type="spellEnd"/>
      <w:r w:rsidRPr="001558A5">
        <w:rPr>
          <w:szCs w:val="16"/>
          <w:lang w:val="es-CR"/>
        </w:rPr>
        <w:t>, para.</w:t>
      </w:r>
      <w:r w:rsidR="007D1649" w:rsidRPr="001558A5">
        <w:rPr>
          <w:szCs w:val="16"/>
          <w:lang w:val="es-CR"/>
        </w:rPr>
        <w:t xml:space="preserve"> </w:t>
      </w:r>
      <w:r w:rsidRPr="001558A5">
        <w:rPr>
          <w:szCs w:val="16"/>
          <w:lang w:val="es-CR"/>
        </w:rPr>
        <w:t>32(f).</w:t>
      </w:r>
    </w:p>
  </w:footnote>
  <w:footnote w:id="230">
    <w:p w14:paraId="34774E1D" w14:textId="67138F9E" w:rsidR="009A44A0" w:rsidRPr="001558A5" w:rsidRDefault="009A44A0" w:rsidP="00387004">
      <w:pPr>
        <w:pStyle w:val="Textonotapie"/>
        <w:tabs>
          <w:tab w:val="left" w:pos="360"/>
        </w:tabs>
        <w:spacing w:before="0" w:after="60"/>
        <w:rPr>
          <w:szCs w:val="16"/>
          <w:lang w:val="es-CR"/>
        </w:rPr>
      </w:pPr>
      <w:r w:rsidRPr="001558A5">
        <w:rPr>
          <w:rStyle w:val="Refdenotaalpie"/>
          <w:szCs w:val="16"/>
          <w:lang w:val="en-US"/>
        </w:rPr>
        <w:footnoteRef/>
      </w:r>
      <w:r w:rsidRPr="001558A5">
        <w:rPr>
          <w:szCs w:val="16"/>
          <w:lang w:val="es-CR"/>
        </w:rPr>
        <w:t xml:space="preserve"> </w:t>
      </w:r>
      <w:proofErr w:type="spellStart"/>
      <w:r w:rsidRPr="001558A5">
        <w:rPr>
          <w:i/>
          <w:iCs/>
          <w:szCs w:val="16"/>
          <w:lang w:val="es-CR"/>
        </w:rPr>
        <w:t>Idem</w:t>
      </w:r>
      <w:proofErr w:type="spellEnd"/>
      <w:r w:rsidRPr="001558A5">
        <w:rPr>
          <w:szCs w:val="16"/>
          <w:lang w:val="es-CR"/>
        </w:rPr>
        <w:t>, para.</w:t>
      </w:r>
      <w:r w:rsidR="007D1649" w:rsidRPr="001558A5">
        <w:rPr>
          <w:szCs w:val="16"/>
          <w:lang w:val="es-CR"/>
        </w:rPr>
        <w:t xml:space="preserve"> </w:t>
      </w:r>
      <w:r w:rsidRPr="001558A5">
        <w:rPr>
          <w:szCs w:val="16"/>
          <w:lang w:val="es-CR"/>
        </w:rPr>
        <w:t>32(h).</w:t>
      </w:r>
    </w:p>
  </w:footnote>
  <w:footnote w:id="231">
    <w:p w14:paraId="42ECA5C3" w14:textId="275A2AD7" w:rsidR="00E25721" w:rsidRPr="001558A5" w:rsidRDefault="00E25721" w:rsidP="00387004">
      <w:pPr>
        <w:pStyle w:val="Textonotapie"/>
        <w:tabs>
          <w:tab w:val="left" w:pos="360"/>
        </w:tabs>
        <w:spacing w:before="0" w:after="60"/>
        <w:rPr>
          <w:szCs w:val="16"/>
          <w:lang w:val="es-CR"/>
        </w:rPr>
      </w:pPr>
      <w:r w:rsidRPr="001558A5">
        <w:rPr>
          <w:rStyle w:val="Refdenotaalpie"/>
          <w:szCs w:val="16"/>
          <w:lang w:val="en-US"/>
        </w:rPr>
        <w:footnoteRef/>
      </w:r>
      <w:r w:rsidRPr="001558A5">
        <w:rPr>
          <w:szCs w:val="16"/>
          <w:lang w:val="es-CR"/>
        </w:rPr>
        <w:t xml:space="preserve"> Para.</w:t>
      </w:r>
      <w:r w:rsidR="00C846AB" w:rsidRPr="001558A5">
        <w:rPr>
          <w:szCs w:val="16"/>
          <w:lang w:val="es-CR"/>
        </w:rPr>
        <w:t xml:space="preserve"> </w:t>
      </w:r>
      <w:r w:rsidRPr="001558A5">
        <w:rPr>
          <w:szCs w:val="16"/>
          <w:lang w:val="es-CR"/>
        </w:rPr>
        <w:t>133.</w:t>
      </w:r>
    </w:p>
  </w:footnote>
  <w:footnote w:id="232">
    <w:p w14:paraId="74F1C917" w14:textId="492A3C91" w:rsidR="009A44A0" w:rsidRPr="001558A5" w:rsidRDefault="009A44A0" w:rsidP="00387004">
      <w:pPr>
        <w:pStyle w:val="Textonotapie"/>
        <w:tabs>
          <w:tab w:val="left" w:pos="360"/>
        </w:tabs>
        <w:spacing w:before="0" w:after="60"/>
        <w:rPr>
          <w:szCs w:val="16"/>
          <w:lang w:val="en-US"/>
        </w:rPr>
      </w:pPr>
      <w:r w:rsidRPr="001558A5">
        <w:rPr>
          <w:rStyle w:val="Refdenotaalpie"/>
          <w:szCs w:val="16"/>
          <w:lang w:val="en-US"/>
        </w:rPr>
        <w:footnoteRef/>
      </w:r>
      <w:r w:rsidRPr="001558A5">
        <w:rPr>
          <w:szCs w:val="16"/>
          <w:lang w:val="en-US"/>
        </w:rPr>
        <w:t xml:space="preserve"> Para.</w:t>
      </w:r>
      <w:r w:rsidR="00C846AB" w:rsidRPr="001558A5">
        <w:rPr>
          <w:szCs w:val="16"/>
          <w:lang w:val="en-US"/>
        </w:rPr>
        <w:t xml:space="preserve"> </w:t>
      </w:r>
      <w:r w:rsidRPr="001558A5">
        <w:rPr>
          <w:szCs w:val="16"/>
          <w:lang w:val="en-US"/>
        </w:rPr>
        <w:t>131.</w:t>
      </w:r>
    </w:p>
  </w:footnote>
  <w:footnote w:id="233">
    <w:p w14:paraId="7ABC60DA" w14:textId="77777777" w:rsidR="009A44A0" w:rsidRPr="001558A5" w:rsidRDefault="009A44A0" w:rsidP="00387004">
      <w:pPr>
        <w:pStyle w:val="Default"/>
        <w:tabs>
          <w:tab w:val="left" w:pos="360"/>
        </w:tabs>
        <w:spacing w:before="0" w:after="60"/>
        <w:jc w:val="both"/>
        <w:rPr>
          <w:rFonts w:ascii="Verdana" w:eastAsiaTheme="minorHAnsi" w:hAnsi="Verdana"/>
          <w:sz w:val="16"/>
          <w:szCs w:val="16"/>
        </w:rPr>
      </w:pPr>
      <w:r w:rsidRPr="001558A5">
        <w:rPr>
          <w:rStyle w:val="Refdenotaalpie"/>
          <w:rFonts w:ascii="Verdana" w:hAnsi="Verdana"/>
          <w:sz w:val="16"/>
          <w:szCs w:val="16"/>
        </w:rPr>
        <w:footnoteRef/>
      </w:r>
      <w:r w:rsidRPr="001558A5">
        <w:rPr>
          <w:rFonts w:ascii="Verdana" w:hAnsi="Verdana"/>
          <w:sz w:val="16"/>
          <w:szCs w:val="16"/>
        </w:rPr>
        <w:t xml:space="preserve"> Article 38 of the Statute of the International Court of Justice: “1. The Court, whose function is to decide in  </w:t>
      </w:r>
      <w:r w:rsidRPr="001558A5">
        <w:rPr>
          <w:rFonts w:ascii="Verdana" w:eastAsiaTheme="minorHAnsi" w:hAnsi="Verdana"/>
          <w:sz w:val="16"/>
          <w:szCs w:val="16"/>
        </w:rPr>
        <w:t xml:space="preserve">accordance with international law such disputes as are submitted to it, shall apply: (a) international conventions, whether general or particular, establishing rules expressly recognized by the contesting states; (b) international custom, as evidence of a general practice accepted as law; (c) the general principles of law recognized by civilized nations; (d) subject to the provisions of Article 59, judicial decisions and the teachings of the most highly qualified publicists of the various nations, as subsidiary means for the determination of rules of law. </w:t>
      </w:r>
    </w:p>
    <w:p w14:paraId="27DC81CF" w14:textId="77777777" w:rsidR="009A44A0" w:rsidRPr="001558A5" w:rsidRDefault="009A44A0" w:rsidP="00387004">
      <w:pPr>
        <w:pStyle w:val="Textonotapie"/>
        <w:tabs>
          <w:tab w:val="left" w:pos="360"/>
        </w:tabs>
        <w:spacing w:before="0" w:after="60"/>
        <w:rPr>
          <w:szCs w:val="16"/>
          <w:lang w:val="en-US"/>
        </w:rPr>
      </w:pPr>
      <w:r w:rsidRPr="001558A5">
        <w:rPr>
          <w:rFonts w:cs="Verdana"/>
          <w:color w:val="000000"/>
          <w:szCs w:val="16"/>
          <w:lang w:val="en-US"/>
        </w:rPr>
        <w:t xml:space="preserve">2. This provision shall not prejudice the power of the Court to decide a case </w:t>
      </w:r>
      <w:r w:rsidRPr="001558A5">
        <w:rPr>
          <w:rFonts w:cs="Verdana"/>
          <w:i/>
          <w:iCs/>
          <w:color w:val="000000"/>
          <w:szCs w:val="16"/>
          <w:lang w:val="en-US"/>
        </w:rPr>
        <w:t xml:space="preserve">ex </w:t>
      </w:r>
      <w:proofErr w:type="spellStart"/>
      <w:r w:rsidRPr="001558A5">
        <w:rPr>
          <w:rFonts w:cs="Verdana"/>
          <w:i/>
          <w:iCs/>
          <w:color w:val="000000"/>
          <w:szCs w:val="16"/>
          <w:lang w:val="en-US"/>
        </w:rPr>
        <w:t>aequo</w:t>
      </w:r>
      <w:proofErr w:type="spellEnd"/>
      <w:r w:rsidRPr="001558A5">
        <w:rPr>
          <w:rFonts w:cs="Verdana"/>
          <w:i/>
          <w:iCs/>
          <w:color w:val="000000"/>
          <w:szCs w:val="16"/>
          <w:lang w:val="en-US"/>
        </w:rPr>
        <w:t xml:space="preserve"> </w:t>
      </w:r>
      <w:r w:rsidRPr="001558A5">
        <w:rPr>
          <w:rFonts w:cs="Verdana"/>
          <w:color w:val="000000"/>
          <w:szCs w:val="16"/>
          <w:lang w:val="en-US"/>
        </w:rPr>
        <w:t>if the parties agree thereto.”</w:t>
      </w:r>
    </w:p>
  </w:footnote>
  <w:footnote w:id="234">
    <w:p w14:paraId="516CAA5B" w14:textId="7CAA2100" w:rsidR="009A44A0" w:rsidRPr="001558A5" w:rsidRDefault="009A44A0" w:rsidP="00387004">
      <w:pPr>
        <w:pStyle w:val="Textonotapie"/>
        <w:tabs>
          <w:tab w:val="left" w:pos="360"/>
        </w:tabs>
        <w:spacing w:before="0" w:after="60"/>
        <w:rPr>
          <w:szCs w:val="16"/>
          <w:lang w:val="en-US"/>
        </w:rPr>
      </w:pPr>
      <w:r w:rsidRPr="001558A5">
        <w:rPr>
          <w:rStyle w:val="Refdenotaalpie"/>
          <w:szCs w:val="16"/>
          <w:lang w:val="en-US"/>
        </w:rPr>
        <w:footnoteRef/>
      </w:r>
      <w:r w:rsidRPr="001558A5">
        <w:rPr>
          <w:szCs w:val="16"/>
          <w:lang w:val="en-US"/>
        </w:rPr>
        <w:t xml:space="preserve"> Para.</w:t>
      </w:r>
      <w:r w:rsidR="00D4051B" w:rsidRPr="001558A5">
        <w:rPr>
          <w:szCs w:val="16"/>
          <w:lang w:val="en-US"/>
        </w:rPr>
        <w:t xml:space="preserve"> </w:t>
      </w:r>
      <w:r w:rsidRPr="001558A5">
        <w:rPr>
          <w:szCs w:val="16"/>
          <w:lang w:val="en-US"/>
        </w:rPr>
        <w:t xml:space="preserve">132. </w:t>
      </w:r>
    </w:p>
  </w:footnote>
  <w:footnote w:id="235">
    <w:p w14:paraId="50D03BD3" w14:textId="25C105E5" w:rsidR="009A44A0" w:rsidRPr="001558A5" w:rsidRDefault="009A44A0" w:rsidP="00387004">
      <w:pPr>
        <w:pStyle w:val="Textonotapie"/>
        <w:tabs>
          <w:tab w:val="left" w:pos="360"/>
        </w:tabs>
        <w:spacing w:before="0" w:after="60"/>
        <w:rPr>
          <w:szCs w:val="16"/>
          <w:lang w:val="en-US"/>
        </w:rPr>
      </w:pPr>
      <w:r w:rsidRPr="001558A5">
        <w:rPr>
          <w:rStyle w:val="Refdenotaalpie"/>
          <w:szCs w:val="16"/>
          <w:lang w:val="en-US"/>
        </w:rPr>
        <w:footnoteRef/>
      </w:r>
      <w:r w:rsidRPr="001558A5">
        <w:rPr>
          <w:szCs w:val="16"/>
          <w:lang w:val="en-US"/>
        </w:rPr>
        <w:t xml:space="preserve"> Para.</w:t>
      </w:r>
      <w:r w:rsidR="00D4051B" w:rsidRPr="001558A5">
        <w:rPr>
          <w:szCs w:val="16"/>
          <w:lang w:val="en-US"/>
        </w:rPr>
        <w:t xml:space="preserve"> </w:t>
      </w:r>
      <w:r w:rsidRPr="001558A5">
        <w:rPr>
          <w:szCs w:val="16"/>
          <w:lang w:val="en-US"/>
        </w:rPr>
        <w:t>130.</w:t>
      </w:r>
    </w:p>
  </w:footnote>
  <w:footnote w:id="236">
    <w:p w14:paraId="5F93F487" w14:textId="170DEB90" w:rsidR="009A44A0" w:rsidRPr="001558A5" w:rsidRDefault="009A44A0" w:rsidP="00387004">
      <w:pPr>
        <w:tabs>
          <w:tab w:val="left" w:pos="360"/>
        </w:tabs>
        <w:autoSpaceDE w:val="0"/>
        <w:autoSpaceDN w:val="0"/>
        <w:adjustRightInd w:val="0"/>
        <w:spacing w:after="60"/>
        <w:rPr>
          <w:rFonts w:cs="Verdana"/>
          <w:color w:val="000000"/>
          <w:sz w:val="16"/>
          <w:szCs w:val="16"/>
          <w:lang w:val="en-US"/>
        </w:rPr>
      </w:pPr>
      <w:r w:rsidRPr="001558A5">
        <w:rPr>
          <w:rStyle w:val="Refdenotaalpie"/>
          <w:sz w:val="16"/>
          <w:szCs w:val="16"/>
          <w:lang w:val="en-US"/>
        </w:rPr>
        <w:footnoteRef/>
      </w:r>
      <w:r w:rsidRPr="001558A5">
        <w:rPr>
          <w:sz w:val="16"/>
          <w:szCs w:val="16"/>
          <w:lang w:val="en-US"/>
        </w:rPr>
        <w:t xml:space="preserve"> </w:t>
      </w:r>
      <w:r w:rsidRPr="001558A5">
        <w:rPr>
          <w:iCs/>
          <w:sz w:val="16"/>
          <w:szCs w:val="16"/>
          <w:lang w:val="en-US"/>
        </w:rPr>
        <w:t>Art. 33:</w:t>
      </w:r>
      <w:r w:rsidRPr="001558A5">
        <w:rPr>
          <w:rFonts w:cs="Verdana"/>
          <w:color w:val="000000"/>
          <w:sz w:val="16"/>
          <w:szCs w:val="16"/>
          <w:lang w:val="en-US"/>
        </w:rPr>
        <w:t xml:space="preserve"> “The following organs shall have competence with respect to matters relating to the fulfillment of the commitments made by the States Parties to this Convention: </w:t>
      </w:r>
    </w:p>
    <w:p w14:paraId="4A18C7F1" w14:textId="77777777" w:rsidR="009A44A0" w:rsidRPr="001558A5" w:rsidRDefault="009A44A0" w:rsidP="00387004">
      <w:pPr>
        <w:tabs>
          <w:tab w:val="left" w:pos="360"/>
        </w:tabs>
        <w:autoSpaceDE w:val="0"/>
        <w:autoSpaceDN w:val="0"/>
        <w:adjustRightInd w:val="0"/>
        <w:spacing w:after="60"/>
        <w:rPr>
          <w:rFonts w:cs="Verdana"/>
          <w:color w:val="000000"/>
          <w:sz w:val="16"/>
          <w:szCs w:val="16"/>
          <w:lang w:val="en-US"/>
        </w:rPr>
      </w:pPr>
      <w:r w:rsidRPr="001558A5">
        <w:rPr>
          <w:rFonts w:cs="Verdana"/>
          <w:color w:val="000000"/>
          <w:sz w:val="16"/>
          <w:szCs w:val="16"/>
          <w:lang w:val="en-US"/>
        </w:rPr>
        <w:t xml:space="preserve">a. the Inter-American Commission on Human Rights, referred to as “The Commission;” and </w:t>
      </w:r>
    </w:p>
    <w:p w14:paraId="33BB4DC8" w14:textId="77777777" w:rsidR="009A44A0" w:rsidRPr="001558A5" w:rsidRDefault="009A44A0" w:rsidP="00387004">
      <w:pPr>
        <w:pStyle w:val="NormalWeb"/>
        <w:tabs>
          <w:tab w:val="left" w:pos="360"/>
        </w:tabs>
        <w:spacing w:before="0" w:beforeAutospacing="0" w:after="60" w:afterAutospacing="0" w:line="240" w:lineRule="auto"/>
        <w:jc w:val="both"/>
        <w:rPr>
          <w:rFonts w:ascii="Verdana" w:hAnsi="Verdana" w:cs="Tahoma"/>
          <w:i/>
          <w:iCs/>
        </w:rPr>
      </w:pPr>
      <w:proofErr w:type="gramStart"/>
      <w:r w:rsidRPr="001558A5">
        <w:rPr>
          <w:rFonts w:ascii="Verdana" w:hAnsi="Verdana" w:cs="Verdana"/>
          <w:color w:val="000000"/>
        </w:rPr>
        <w:t>b</w:t>
      </w:r>
      <w:proofErr w:type="gramEnd"/>
      <w:r w:rsidRPr="001558A5">
        <w:rPr>
          <w:rFonts w:ascii="Verdana" w:hAnsi="Verdana" w:cs="Verdana"/>
          <w:color w:val="000000"/>
        </w:rPr>
        <w:t>. the Inter-American Court of Human Rights, referred to as “The Court.”</w:t>
      </w:r>
    </w:p>
  </w:footnote>
  <w:footnote w:id="237">
    <w:p w14:paraId="33A3B458" w14:textId="707B77A5" w:rsidR="009A44A0" w:rsidRPr="001558A5" w:rsidRDefault="009A44A0" w:rsidP="00387004">
      <w:pPr>
        <w:pStyle w:val="NormalWeb"/>
        <w:tabs>
          <w:tab w:val="left" w:pos="360"/>
        </w:tabs>
        <w:spacing w:before="0" w:beforeAutospacing="0" w:after="60" w:afterAutospacing="0" w:line="240" w:lineRule="auto"/>
        <w:jc w:val="both"/>
        <w:rPr>
          <w:rFonts w:ascii="Verdana" w:eastAsiaTheme="minorHAnsi" w:hAnsi="Verdana"/>
        </w:rPr>
      </w:pPr>
      <w:r w:rsidRPr="001558A5">
        <w:rPr>
          <w:rStyle w:val="Refdenotaalpie"/>
          <w:rFonts w:ascii="Verdana" w:eastAsia="Batang" w:hAnsi="Verdana"/>
          <w:szCs w:val="16"/>
        </w:rPr>
        <w:footnoteRef/>
      </w:r>
      <w:r w:rsidRPr="001558A5">
        <w:rPr>
          <w:rFonts w:ascii="Verdana" w:hAnsi="Verdana"/>
        </w:rPr>
        <w:t xml:space="preserve">  Art.</w:t>
      </w:r>
      <w:r w:rsidR="003C3D43" w:rsidRPr="001558A5">
        <w:rPr>
          <w:rFonts w:ascii="Verdana" w:hAnsi="Verdana"/>
        </w:rPr>
        <w:t xml:space="preserve"> </w:t>
      </w:r>
      <w:r w:rsidRPr="001558A5">
        <w:rPr>
          <w:rFonts w:ascii="Verdana" w:hAnsi="Verdana"/>
        </w:rPr>
        <w:t>41: “</w:t>
      </w:r>
      <w:r w:rsidRPr="001558A5">
        <w:rPr>
          <w:rFonts w:ascii="Verdana" w:eastAsiaTheme="minorHAnsi" w:hAnsi="Verdana"/>
        </w:rPr>
        <w:t xml:space="preserve">“The main function of the Commission shall be to promote respect for and defense of human rights. In the exercise of its mandate, it shall have the following functions and powers: </w:t>
      </w:r>
    </w:p>
    <w:p w14:paraId="2A4A60C6" w14:textId="77777777" w:rsidR="009A44A0" w:rsidRPr="001558A5" w:rsidRDefault="009A44A0" w:rsidP="00387004">
      <w:pPr>
        <w:pStyle w:val="NormalWeb"/>
        <w:tabs>
          <w:tab w:val="left" w:pos="360"/>
        </w:tabs>
        <w:spacing w:before="0" w:beforeAutospacing="0" w:after="60" w:afterAutospacing="0" w:line="240" w:lineRule="auto"/>
        <w:jc w:val="both"/>
        <w:rPr>
          <w:rFonts w:ascii="Verdana" w:eastAsiaTheme="minorHAnsi" w:hAnsi="Verdana"/>
        </w:rPr>
      </w:pPr>
      <w:r w:rsidRPr="001558A5">
        <w:rPr>
          <w:rFonts w:ascii="Verdana" w:hAnsi="Verdana"/>
        </w:rPr>
        <w:t>(</w:t>
      </w:r>
      <w:r w:rsidRPr="001558A5">
        <w:rPr>
          <w:rFonts w:ascii="Verdana" w:eastAsiaTheme="minorHAnsi" w:hAnsi="Verdana"/>
        </w:rPr>
        <w:t xml:space="preserve">a) to develop an awareness of human rights among the peoples of America; </w:t>
      </w:r>
    </w:p>
    <w:p w14:paraId="026F4661" w14:textId="77777777" w:rsidR="009A44A0" w:rsidRPr="001558A5" w:rsidRDefault="009A44A0" w:rsidP="00387004">
      <w:pPr>
        <w:pStyle w:val="NormalWeb"/>
        <w:tabs>
          <w:tab w:val="left" w:pos="360"/>
        </w:tabs>
        <w:spacing w:before="0" w:beforeAutospacing="0" w:after="60" w:afterAutospacing="0" w:line="240" w:lineRule="auto"/>
        <w:jc w:val="both"/>
        <w:rPr>
          <w:rFonts w:ascii="Verdana" w:eastAsiaTheme="minorHAnsi" w:hAnsi="Verdana"/>
        </w:rPr>
      </w:pPr>
      <w:r w:rsidRPr="001558A5">
        <w:rPr>
          <w:rFonts w:ascii="Verdana" w:eastAsiaTheme="minorHAnsi" w:hAnsi="Verdana"/>
        </w:rPr>
        <w:t xml:space="preserve">(b) to make recommendations to the governments of the member states, when it considers such action advisable, for the adoption of progressive measures in favor of human rights within the framework of their domestic law and constitutional provisions as well as appropriate measures to further the observance of those rights; </w:t>
      </w:r>
    </w:p>
    <w:p w14:paraId="01EB9E6E" w14:textId="77777777" w:rsidR="009A44A0" w:rsidRPr="001558A5" w:rsidRDefault="009A44A0" w:rsidP="00387004">
      <w:pPr>
        <w:pStyle w:val="NormalWeb"/>
        <w:tabs>
          <w:tab w:val="left" w:pos="360"/>
        </w:tabs>
        <w:spacing w:before="0" w:beforeAutospacing="0" w:after="60" w:afterAutospacing="0" w:line="240" w:lineRule="auto"/>
        <w:jc w:val="both"/>
        <w:rPr>
          <w:rFonts w:ascii="Verdana" w:eastAsiaTheme="minorHAnsi" w:hAnsi="Verdana"/>
        </w:rPr>
      </w:pPr>
      <w:r w:rsidRPr="001558A5">
        <w:rPr>
          <w:rFonts w:ascii="Verdana" w:eastAsiaTheme="minorHAnsi" w:hAnsi="Verdana"/>
        </w:rPr>
        <w:t xml:space="preserve">(c) to prepare such studies or reports as it considers advisable in the performance of its duties; </w:t>
      </w:r>
    </w:p>
    <w:p w14:paraId="4729955D" w14:textId="77777777" w:rsidR="009A44A0" w:rsidRPr="001558A5" w:rsidRDefault="009A44A0" w:rsidP="00387004">
      <w:pPr>
        <w:pStyle w:val="NormalWeb"/>
        <w:tabs>
          <w:tab w:val="left" w:pos="360"/>
        </w:tabs>
        <w:spacing w:before="0" w:beforeAutospacing="0" w:after="60" w:afterAutospacing="0" w:line="240" w:lineRule="auto"/>
        <w:jc w:val="both"/>
        <w:rPr>
          <w:rFonts w:ascii="Verdana" w:eastAsiaTheme="minorHAnsi" w:hAnsi="Verdana"/>
        </w:rPr>
      </w:pPr>
      <w:r w:rsidRPr="001558A5">
        <w:rPr>
          <w:rFonts w:ascii="Verdana" w:eastAsiaTheme="minorHAnsi" w:hAnsi="Verdana"/>
        </w:rPr>
        <w:t xml:space="preserve">(d) to request the governments of the member states to supply it with information on the measures adopted by them in matters of human rights; </w:t>
      </w:r>
    </w:p>
    <w:p w14:paraId="2153F27D" w14:textId="77777777" w:rsidR="009A44A0" w:rsidRPr="001558A5" w:rsidRDefault="009A44A0" w:rsidP="00387004">
      <w:pPr>
        <w:pStyle w:val="NormalWeb"/>
        <w:tabs>
          <w:tab w:val="left" w:pos="360"/>
        </w:tabs>
        <w:spacing w:before="0" w:beforeAutospacing="0" w:after="60" w:afterAutospacing="0" w:line="240" w:lineRule="auto"/>
        <w:jc w:val="both"/>
        <w:rPr>
          <w:rFonts w:ascii="Verdana" w:eastAsiaTheme="minorHAnsi" w:hAnsi="Verdana"/>
        </w:rPr>
      </w:pPr>
      <w:r w:rsidRPr="001558A5">
        <w:rPr>
          <w:rFonts w:ascii="Verdana" w:eastAsiaTheme="minorHAnsi" w:hAnsi="Verdana"/>
        </w:rPr>
        <w:t xml:space="preserve">(e) to respond, through the General Secretariat of the Organization of American States, to inquiries made by the member states on matters related to human rights and, within the limits of its possibilities, to provide those states with the advisory services they request; </w:t>
      </w:r>
    </w:p>
    <w:p w14:paraId="2C8A7237" w14:textId="77777777" w:rsidR="009A44A0" w:rsidRPr="001558A5" w:rsidRDefault="009A44A0" w:rsidP="00387004">
      <w:pPr>
        <w:pStyle w:val="NormalWeb"/>
        <w:tabs>
          <w:tab w:val="left" w:pos="360"/>
        </w:tabs>
        <w:spacing w:before="0" w:beforeAutospacing="0" w:after="60" w:afterAutospacing="0" w:line="240" w:lineRule="auto"/>
        <w:jc w:val="both"/>
        <w:rPr>
          <w:rFonts w:ascii="Verdana" w:eastAsiaTheme="minorHAnsi" w:hAnsi="Verdana"/>
        </w:rPr>
      </w:pPr>
      <w:r w:rsidRPr="001558A5">
        <w:rPr>
          <w:rFonts w:ascii="Verdana" w:eastAsiaTheme="minorHAnsi" w:hAnsi="Verdana"/>
        </w:rPr>
        <w:t xml:space="preserve">(f) to take action on petitions and other communications pursuant to its authority under the provisions of Articles 44 through 51 of this Convention; and </w:t>
      </w:r>
    </w:p>
    <w:p w14:paraId="564C626C" w14:textId="77777777" w:rsidR="009A44A0" w:rsidRPr="001558A5" w:rsidRDefault="009A44A0" w:rsidP="00387004">
      <w:pPr>
        <w:pStyle w:val="NormalWeb"/>
        <w:tabs>
          <w:tab w:val="left" w:pos="360"/>
        </w:tabs>
        <w:spacing w:before="0" w:beforeAutospacing="0" w:after="60" w:afterAutospacing="0" w:line="240" w:lineRule="auto"/>
        <w:jc w:val="both"/>
        <w:rPr>
          <w:rFonts w:ascii="Verdana" w:hAnsi="Verdana" w:cs="Tahoma"/>
        </w:rPr>
      </w:pPr>
      <w:r w:rsidRPr="001558A5">
        <w:rPr>
          <w:rFonts w:ascii="Verdana" w:eastAsiaTheme="minorHAnsi" w:hAnsi="Verdana"/>
        </w:rPr>
        <w:t>(</w:t>
      </w:r>
      <w:r w:rsidRPr="001558A5">
        <w:rPr>
          <w:rFonts w:ascii="Verdana" w:hAnsi="Verdana"/>
        </w:rPr>
        <w:t xml:space="preserve">g) </w:t>
      </w:r>
      <w:proofErr w:type="gramStart"/>
      <w:r w:rsidRPr="001558A5">
        <w:rPr>
          <w:rFonts w:ascii="Verdana" w:hAnsi="Verdana"/>
        </w:rPr>
        <w:t>to</w:t>
      </w:r>
      <w:proofErr w:type="gramEnd"/>
      <w:r w:rsidRPr="001558A5">
        <w:rPr>
          <w:rFonts w:ascii="Verdana" w:hAnsi="Verdana"/>
        </w:rPr>
        <w:t xml:space="preserve"> submit an annual report to the General Assembly of the Organization of American States.</w:t>
      </w:r>
      <w:r w:rsidRPr="001558A5">
        <w:rPr>
          <w:rFonts w:ascii="Verdana" w:hAnsi="Verdana" w:cs="Tahoma"/>
        </w:rPr>
        <w:t>”</w:t>
      </w:r>
    </w:p>
  </w:footnote>
  <w:footnote w:id="238">
    <w:p w14:paraId="4B68BD26" w14:textId="77777777" w:rsidR="009A44A0" w:rsidRPr="001558A5" w:rsidRDefault="009A44A0" w:rsidP="00387004">
      <w:pPr>
        <w:pStyle w:val="NormalWeb"/>
        <w:tabs>
          <w:tab w:val="left" w:pos="360"/>
        </w:tabs>
        <w:spacing w:before="0" w:beforeAutospacing="0" w:after="60" w:afterAutospacing="0" w:line="240" w:lineRule="auto"/>
        <w:jc w:val="both"/>
        <w:rPr>
          <w:rFonts w:ascii="Verdana" w:hAnsi="Verdana"/>
          <w:spacing w:val="-3"/>
        </w:rPr>
      </w:pPr>
      <w:r w:rsidRPr="001558A5">
        <w:rPr>
          <w:rStyle w:val="Refdenotaalpie"/>
          <w:rFonts w:ascii="Verdana" w:eastAsia="Batang" w:hAnsi="Verdana"/>
          <w:szCs w:val="16"/>
        </w:rPr>
        <w:footnoteRef/>
      </w:r>
      <w:r w:rsidRPr="001558A5">
        <w:rPr>
          <w:rFonts w:ascii="Verdana" w:hAnsi="Verdana"/>
        </w:rPr>
        <w:t xml:space="preserve"> </w:t>
      </w:r>
      <w:r w:rsidRPr="001558A5">
        <w:rPr>
          <w:rFonts w:ascii="Verdana" w:hAnsi="Verdana" w:cs="Tahoma"/>
          <w:lang w:eastAsia="es-CR"/>
        </w:rPr>
        <w:t xml:space="preserve"> 1. </w:t>
      </w:r>
      <w:r w:rsidRPr="001558A5">
        <w:rPr>
          <w:rFonts w:ascii="Verdana" w:hAnsi="Verdana"/>
          <w:spacing w:val="-3"/>
        </w:rPr>
        <w:t xml:space="preserve">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 </w:t>
      </w:r>
    </w:p>
    <w:p w14:paraId="0C2D3493" w14:textId="161B3E26" w:rsidR="009A44A0" w:rsidRPr="001558A5" w:rsidRDefault="009A44A0" w:rsidP="00387004">
      <w:pPr>
        <w:pStyle w:val="NormalWeb"/>
        <w:tabs>
          <w:tab w:val="left" w:pos="360"/>
        </w:tabs>
        <w:spacing w:before="0" w:beforeAutospacing="0" w:after="60" w:afterAutospacing="0" w:line="240" w:lineRule="auto"/>
        <w:jc w:val="both"/>
        <w:rPr>
          <w:rFonts w:ascii="Verdana" w:hAnsi="Verdana"/>
          <w:spacing w:val="-3"/>
        </w:rPr>
      </w:pPr>
      <w:r w:rsidRPr="001558A5">
        <w:rPr>
          <w:rFonts w:ascii="Verdana" w:hAnsi="Verdana"/>
          <w:spacing w:val="-3"/>
        </w:rPr>
        <w:t>2. For the purposes of this Convention</w:t>
      </w:r>
      <w:r w:rsidR="003174C2" w:rsidRPr="001558A5">
        <w:rPr>
          <w:rFonts w:ascii="Verdana" w:hAnsi="Verdana"/>
          <w:spacing w:val="-3"/>
        </w:rPr>
        <w:t>, “person" means every human being.”</w:t>
      </w:r>
    </w:p>
  </w:footnote>
  <w:footnote w:id="239">
    <w:p w14:paraId="3D468FBE" w14:textId="13D39077" w:rsidR="009A44A0" w:rsidRPr="001558A5" w:rsidRDefault="009A44A0" w:rsidP="00387004">
      <w:pPr>
        <w:pStyle w:val="Textonotapie"/>
        <w:tabs>
          <w:tab w:val="left" w:pos="360"/>
        </w:tabs>
        <w:spacing w:before="0" w:after="60"/>
        <w:rPr>
          <w:rFonts w:cs="Tahoma"/>
          <w:szCs w:val="16"/>
          <w:lang w:val="en-US"/>
        </w:rPr>
      </w:pPr>
      <w:r w:rsidRPr="001558A5">
        <w:rPr>
          <w:rStyle w:val="Refdenotaalpie"/>
          <w:szCs w:val="16"/>
          <w:lang w:val="en-US"/>
        </w:rPr>
        <w:footnoteRef/>
      </w:r>
      <w:r w:rsidRPr="001558A5">
        <w:rPr>
          <w:szCs w:val="16"/>
          <w:lang w:val="en-US"/>
        </w:rPr>
        <w:t xml:space="preserve"> “</w:t>
      </w:r>
      <w:r w:rsidR="003174C2" w:rsidRPr="001558A5">
        <w:rPr>
          <w:spacing w:val="-3"/>
          <w:szCs w:val="16"/>
          <w:lang w:val="en-US"/>
        </w:rPr>
        <w:t>Every person has the right to have his physical, mental, and moral integrity respected.”</w:t>
      </w:r>
    </w:p>
  </w:footnote>
  <w:footnote w:id="240">
    <w:p w14:paraId="00E2DAA0" w14:textId="4EDC364E" w:rsidR="009A44A0" w:rsidRPr="001558A5" w:rsidRDefault="009A44A0" w:rsidP="00387004">
      <w:pPr>
        <w:pStyle w:val="NormalWeb"/>
        <w:tabs>
          <w:tab w:val="left" w:pos="360"/>
        </w:tabs>
        <w:spacing w:before="0" w:beforeAutospacing="0" w:after="60" w:afterAutospacing="0" w:line="240" w:lineRule="auto"/>
        <w:jc w:val="both"/>
        <w:rPr>
          <w:rFonts w:ascii="Verdana" w:hAnsi="Verdana" w:cs="Tahoma"/>
          <w:i/>
          <w:iCs/>
          <w:lang w:eastAsia="es-CR"/>
        </w:rPr>
      </w:pPr>
      <w:r w:rsidRPr="001558A5">
        <w:rPr>
          <w:rStyle w:val="Refdenotaalpie"/>
          <w:rFonts w:ascii="Verdana" w:eastAsia="Batang" w:hAnsi="Verdana"/>
          <w:szCs w:val="16"/>
        </w:rPr>
        <w:footnoteRef/>
      </w:r>
      <w:r w:rsidRPr="001558A5">
        <w:rPr>
          <w:rFonts w:ascii="Verdana" w:hAnsi="Verdana"/>
        </w:rPr>
        <w:t xml:space="preserve"> </w:t>
      </w:r>
      <w:r w:rsidRPr="001558A5">
        <w:rPr>
          <w:rFonts w:ascii="Verdana" w:hAnsi="Verdana" w:cs="Tahoma"/>
          <w:lang w:eastAsia="es-CR"/>
        </w:rPr>
        <w:t>Article 31. </w:t>
      </w:r>
      <w:r w:rsidR="003174C2" w:rsidRPr="001558A5">
        <w:rPr>
          <w:rFonts w:ascii="Verdana" w:hAnsi="Verdana" w:cs="Tahoma"/>
          <w:lang w:eastAsia="es-CR"/>
        </w:rPr>
        <w:t xml:space="preserve">Recognition of Other Rights. </w:t>
      </w:r>
      <w:r w:rsidR="003174C2" w:rsidRPr="001558A5">
        <w:rPr>
          <w:rFonts w:ascii="Verdana" w:hAnsi="Verdana"/>
          <w:spacing w:val="-3"/>
        </w:rPr>
        <w:t>Other rights and freedoms recognized in accordance with the procedures established in Articles 76 and 77 may be included in the system of protection of this Convention.</w:t>
      </w:r>
    </w:p>
    <w:p w14:paraId="19E9D50A" w14:textId="0283EE34" w:rsidR="009A44A0" w:rsidRPr="001558A5" w:rsidRDefault="003174C2" w:rsidP="00387004">
      <w:pPr>
        <w:tabs>
          <w:tab w:val="left" w:pos="360"/>
        </w:tabs>
        <w:spacing w:after="60"/>
        <w:rPr>
          <w:rFonts w:cs="Verdana"/>
          <w:color w:val="000000"/>
          <w:sz w:val="16"/>
          <w:szCs w:val="16"/>
          <w:lang w:val="en-US"/>
        </w:rPr>
      </w:pPr>
      <w:r w:rsidRPr="001558A5">
        <w:rPr>
          <w:rFonts w:eastAsia="Times New Roman" w:cs="Tahoma"/>
          <w:sz w:val="16"/>
          <w:szCs w:val="16"/>
          <w:lang w:val="en-US" w:eastAsia="es-CR"/>
        </w:rPr>
        <w:t>Art. 76</w:t>
      </w:r>
      <w:r w:rsidRPr="001558A5">
        <w:rPr>
          <w:rFonts w:eastAsia="Times New Roman" w:cs="Tahoma"/>
          <w:i/>
          <w:iCs/>
          <w:sz w:val="16"/>
          <w:szCs w:val="16"/>
          <w:lang w:val="en-US" w:eastAsia="es-CR"/>
        </w:rPr>
        <w:t>.</w:t>
      </w:r>
      <w:r w:rsidR="001558A5">
        <w:rPr>
          <w:rFonts w:cs="Verdana"/>
          <w:color w:val="000000"/>
          <w:sz w:val="16"/>
          <w:szCs w:val="16"/>
          <w:lang w:val="en-US"/>
        </w:rPr>
        <w:t xml:space="preserve"> “1</w:t>
      </w:r>
      <w:r w:rsidR="009A44A0" w:rsidRPr="001558A5">
        <w:rPr>
          <w:rFonts w:cs="Verdana"/>
          <w:color w:val="000000"/>
          <w:sz w:val="16"/>
          <w:szCs w:val="16"/>
          <w:lang w:val="en-US"/>
        </w:rPr>
        <w:t xml:space="preserve">. Proposals to amend this Convention may be submitted to the General Assembly for the action it deems appropriate by any State Party directly, and by the Commission or the Court through the Secretary General. </w:t>
      </w:r>
    </w:p>
    <w:p w14:paraId="3A9E9ADB" w14:textId="4DE05A4C" w:rsidR="009A44A0" w:rsidRPr="001558A5" w:rsidRDefault="009A44A0" w:rsidP="00387004">
      <w:pPr>
        <w:tabs>
          <w:tab w:val="left" w:pos="360"/>
        </w:tabs>
        <w:spacing w:after="60"/>
        <w:rPr>
          <w:rFonts w:cs="Verdana"/>
          <w:color w:val="000000"/>
          <w:sz w:val="16"/>
          <w:szCs w:val="16"/>
          <w:lang w:val="en-US"/>
        </w:rPr>
      </w:pPr>
      <w:r w:rsidRPr="001558A5">
        <w:rPr>
          <w:rFonts w:cs="Verdana"/>
          <w:color w:val="000000"/>
          <w:sz w:val="16"/>
          <w:szCs w:val="16"/>
          <w:lang w:val="en-US"/>
        </w:rPr>
        <w:t xml:space="preserve">2. </w:t>
      </w:r>
      <w:r w:rsidRPr="001558A5">
        <w:rPr>
          <w:spacing w:val="-3"/>
          <w:sz w:val="16"/>
          <w:szCs w:val="16"/>
          <w:lang w:val="en-US"/>
        </w:rPr>
        <w:t>Amendments shall enter into force for the States ratifying them on the date when two</w:t>
      </w:r>
      <w:r w:rsidRPr="001558A5">
        <w:rPr>
          <w:spacing w:val="-3"/>
          <w:sz w:val="16"/>
          <w:szCs w:val="16"/>
          <w:lang w:val="en-US"/>
        </w:rPr>
        <w:noBreakHyphen/>
        <w:t>thirds of the States Parties to this Convention have deposited their respective instruments of ratification. With respect to the other States Parties, the amendments shall enter into force on the dates on which they deposit their respective instruments of ratification.”</w:t>
      </w:r>
      <w:r w:rsidRPr="001558A5">
        <w:rPr>
          <w:rFonts w:cs="Verdana"/>
          <w:color w:val="000000"/>
          <w:sz w:val="16"/>
          <w:szCs w:val="16"/>
          <w:lang w:val="en-US"/>
        </w:rPr>
        <w:t xml:space="preserve"> </w:t>
      </w:r>
    </w:p>
    <w:p w14:paraId="71A787B4" w14:textId="77777777" w:rsidR="009A44A0" w:rsidRPr="001558A5" w:rsidRDefault="009A44A0" w:rsidP="00387004">
      <w:pPr>
        <w:tabs>
          <w:tab w:val="left" w:pos="360"/>
        </w:tabs>
        <w:spacing w:after="60"/>
        <w:rPr>
          <w:rFonts w:cs="Verdana"/>
          <w:color w:val="000000"/>
          <w:sz w:val="16"/>
          <w:szCs w:val="16"/>
          <w:lang w:val="en-US"/>
        </w:rPr>
      </w:pPr>
      <w:r w:rsidRPr="001558A5">
        <w:rPr>
          <w:rFonts w:cs="Verdana"/>
          <w:color w:val="000000"/>
          <w:sz w:val="16"/>
          <w:szCs w:val="16"/>
          <w:lang w:val="en-US"/>
        </w:rPr>
        <w:t xml:space="preserve">Art. 77: “1. In accordance with Article 31, any State Party and the Commission may submit proposed protocols to this Convention for consideration by the States Parties at the General Assembly with a view to gradually including other rights and freedoms within its system of protection. </w:t>
      </w:r>
    </w:p>
    <w:p w14:paraId="430DF921" w14:textId="77777777" w:rsidR="009A44A0" w:rsidRPr="001558A5" w:rsidRDefault="009A44A0" w:rsidP="00387004">
      <w:pPr>
        <w:tabs>
          <w:tab w:val="left" w:pos="360"/>
        </w:tabs>
        <w:spacing w:after="60"/>
        <w:rPr>
          <w:rFonts w:eastAsia="Times New Roman" w:cs="Tahoma"/>
          <w:i/>
          <w:iCs/>
          <w:sz w:val="16"/>
          <w:szCs w:val="16"/>
          <w:lang w:val="en-US" w:eastAsia="es-CR"/>
        </w:rPr>
      </w:pPr>
      <w:r w:rsidRPr="001558A5">
        <w:rPr>
          <w:rFonts w:cs="Verdana"/>
          <w:color w:val="000000"/>
          <w:sz w:val="16"/>
          <w:szCs w:val="16"/>
          <w:lang w:val="en-US"/>
        </w:rPr>
        <w:t xml:space="preserve">2. </w:t>
      </w:r>
      <w:r w:rsidRPr="001558A5">
        <w:rPr>
          <w:spacing w:val="-3"/>
          <w:sz w:val="16"/>
          <w:szCs w:val="16"/>
          <w:lang w:val="en-US"/>
        </w:rPr>
        <w:t>Each protocol shall determine the manner of its entry into force and shall be applied only among the States Parties to it.”</w:t>
      </w:r>
    </w:p>
  </w:footnote>
  <w:footnote w:id="241">
    <w:p w14:paraId="0A1B40D5" w14:textId="7A56D6CD" w:rsidR="009A44A0" w:rsidRPr="001558A5" w:rsidRDefault="009A44A0" w:rsidP="00387004">
      <w:pPr>
        <w:pStyle w:val="Default"/>
        <w:tabs>
          <w:tab w:val="left" w:pos="360"/>
        </w:tabs>
        <w:spacing w:before="0" w:after="60"/>
        <w:jc w:val="both"/>
        <w:rPr>
          <w:rFonts w:ascii="Verdana" w:hAnsi="Verdana"/>
          <w:sz w:val="16"/>
          <w:szCs w:val="16"/>
        </w:rPr>
      </w:pPr>
      <w:r w:rsidRPr="001558A5">
        <w:rPr>
          <w:rStyle w:val="Refdenotaalpie"/>
          <w:rFonts w:ascii="Verdana" w:eastAsia="Batang" w:hAnsi="Verdana"/>
          <w:sz w:val="16"/>
          <w:szCs w:val="16"/>
        </w:rPr>
        <w:footnoteRef/>
      </w:r>
      <w:r w:rsidRPr="001558A5">
        <w:rPr>
          <w:rFonts w:ascii="Verdana" w:hAnsi="Verdana"/>
          <w:sz w:val="16"/>
          <w:szCs w:val="16"/>
        </w:rPr>
        <w:t xml:space="preserve"> </w:t>
      </w:r>
      <w:r w:rsidRPr="001558A5">
        <w:rPr>
          <w:rFonts w:ascii="Verdana" w:hAnsi="Verdana" w:cs="Tahoma"/>
          <w:sz w:val="16"/>
          <w:szCs w:val="16"/>
        </w:rPr>
        <w:t>Art.</w:t>
      </w:r>
      <w:r w:rsidR="003C3D43" w:rsidRPr="001558A5">
        <w:rPr>
          <w:rFonts w:ascii="Verdana" w:hAnsi="Verdana" w:cs="Tahoma"/>
          <w:sz w:val="16"/>
          <w:szCs w:val="16"/>
        </w:rPr>
        <w:t xml:space="preserve"> </w:t>
      </w:r>
      <w:r w:rsidRPr="001558A5">
        <w:rPr>
          <w:rFonts w:ascii="Verdana" w:hAnsi="Verdana" w:cs="Tahoma"/>
          <w:sz w:val="16"/>
          <w:szCs w:val="16"/>
        </w:rPr>
        <w:t xml:space="preserve">19: </w:t>
      </w:r>
      <w:r w:rsidRPr="001558A5">
        <w:rPr>
          <w:rFonts w:ascii="Verdana" w:hAnsi="Verdana" w:cs="Tahoma"/>
          <w:i/>
          <w:iCs/>
          <w:sz w:val="16"/>
          <w:szCs w:val="16"/>
        </w:rPr>
        <w:t>“</w:t>
      </w:r>
      <w:r w:rsidRPr="001558A5">
        <w:rPr>
          <w:rFonts w:ascii="Verdana" w:hAnsi="Verdana"/>
          <w:sz w:val="16"/>
          <w:szCs w:val="16"/>
        </w:rPr>
        <w:t xml:space="preserve">Any State Party may submit to the General Assembly, through the Inter-American Commission of Women, proposals for the amendment of this Convention. </w:t>
      </w:r>
    </w:p>
    <w:p w14:paraId="5292D6B0" w14:textId="77777777" w:rsidR="009A44A0" w:rsidRPr="001558A5" w:rsidRDefault="009A44A0" w:rsidP="00387004">
      <w:pPr>
        <w:pStyle w:val="NormalWeb"/>
        <w:tabs>
          <w:tab w:val="left" w:pos="360"/>
        </w:tabs>
        <w:spacing w:before="0" w:beforeAutospacing="0" w:after="60" w:afterAutospacing="0" w:line="240" w:lineRule="auto"/>
        <w:jc w:val="both"/>
        <w:rPr>
          <w:rFonts w:ascii="Verdana" w:hAnsi="Verdana"/>
        </w:rPr>
      </w:pPr>
      <w:r w:rsidRPr="001558A5">
        <w:rPr>
          <w:rFonts w:ascii="Verdana" w:hAnsi="Verdana"/>
        </w:rPr>
        <w:t>Amendments shall enter into force for the states ratifying them on the date when two-thirds of the States Parties to this Convention have deposited their respective instruments of ratification. With respect to the other States Parties, the amendments shall enter into force on the dates on which they deposit their respective instruments of ratification.”</w:t>
      </w:r>
    </w:p>
  </w:footnote>
  <w:footnote w:id="242">
    <w:p w14:paraId="6642F753" w14:textId="77777777" w:rsidR="009A44A0" w:rsidRPr="001558A5" w:rsidRDefault="009A44A0" w:rsidP="00387004">
      <w:pPr>
        <w:pStyle w:val="Textonotapie"/>
        <w:tabs>
          <w:tab w:val="left" w:pos="360"/>
        </w:tabs>
        <w:spacing w:before="0" w:after="60"/>
        <w:rPr>
          <w:szCs w:val="16"/>
          <w:lang w:val="en-US"/>
        </w:rPr>
      </w:pPr>
      <w:r w:rsidRPr="001558A5">
        <w:rPr>
          <w:rStyle w:val="Refdenotaalpie"/>
          <w:szCs w:val="16"/>
          <w:lang w:val="en-US"/>
        </w:rPr>
        <w:footnoteRef/>
      </w:r>
      <w:r w:rsidRPr="001558A5">
        <w:rPr>
          <w:szCs w:val="16"/>
          <w:lang w:val="en-US"/>
        </w:rPr>
        <w:t xml:space="preserve"> </w:t>
      </w:r>
      <w:r w:rsidRPr="001558A5">
        <w:rPr>
          <w:i/>
          <w:iCs/>
          <w:szCs w:val="16"/>
          <w:lang w:val="en-US"/>
        </w:rPr>
        <w:t>Idem</w:t>
      </w:r>
      <w:r w:rsidRPr="001558A5">
        <w:rPr>
          <w:szCs w:val="16"/>
          <w:lang w:val="en-US"/>
        </w:rPr>
        <w:t>.</w:t>
      </w:r>
    </w:p>
  </w:footnote>
  <w:footnote w:id="243">
    <w:p w14:paraId="3C2987C7" w14:textId="315ED5C2" w:rsidR="009A44A0" w:rsidRPr="009F36EF" w:rsidRDefault="009A44A0" w:rsidP="00387004">
      <w:pPr>
        <w:pStyle w:val="NormalWeb"/>
        <w:tabs>
          <w:tab w:val="left" w:pos="360"/>
        </w:tabs>
        <w:spacing w:before="0" w:beforeAutospacing="0" w:after="60" w:afterAutospacing="0" w:line="240" w:lineRule="auto"/>
        <w:jc w:val="both"/>
        <w:rPr>
          <w:rFonts w:ascii="Verdana" w:hAnsi="Verdana" w:cs="Tahoma"/>
          <w:lang w:eastAsia="es-CR"/>
        </w:rPr>
      </w:pPr>
      <w:r w:rsidRPr="001558A5">
        <w:rPr>
          <w:rStyle w:val="Refdenotaalpie"/>
          <w:rFonts w:ascii="Verdana" w:eastAsia="Batang" w:hAnsi="Verdana"/>
          <w:szCs w:val="16"/>
        </w:rPr>
        <w:footnoteRef/>
      </w:r>
      <w:r w:rsidRPr="001558A5">
        <w:rPr>
          <w:rFonts w:ascii="Verdana" w:hAnsi="Verdana"/>
        </w:rPr>
        <w:t xml:space="preserve"> Art. 62(3)</w:t>
      </w:r>
      <w:r w:rsidRPr="001558A5">
        <w:rPr>
          <w:rFonts w:ascii="Verdana" w:hAnsi="Verdana"/>
          <w:i/>
          <w:iCs/>
        </w:rPr>
        <w:t xml:space="preserve">: </w:t>
      </w:r>
      <w:r w:rsidRPr="001558A5">
        <w:rPr>
          <w:rFonts w:ascii="Verdana" w:hAnsi="Verdana"/>
        </w:rPr>
        <w:t>“</w:t>
      </w:r>
      <w:r w:rsidRPr="001558A5">
        <w:rPr>
          <w:rFonts w:ascii="Verdana" w:hAnsi="Verdana"/>
          <w:spacing w:val="-3"/>
        </w:rPr>
        <w:t>The jurisdiction of the Court shall comprise all cases concerning the interpretation and application of the provisions of this Convention that are submitted to it, provided that the States Parties to the case recognize or have recognized such jurisdiction, whether by special declaration pursuant to the preceding paragraphs, or by a special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26A37" w14:textId="3D7FB641" w:rsidR="005977F6" w:rsidRPr="004F6877" w:rsidRDefault="005977F6" w:rsidP="004F6877">
    <w:pPr>
      <w:pStyle w:val="Encabezado"/>
      <w:jc w:val="right"/>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CBA372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3F6B66"/>
    <w:multiLevelType w:val="hybridMultilevel"/>
    <w:tmpl w:val="01567B82"/>
    <w:lvl w:ilvl="0" w:tplc="4E2A0C4C">
      <w:start w:val="1"/>
      <w:numFmt w:val="decimal"/>
      <w:lvlText w:val="%1."/>
      <w:lvlJc w:val="left"/>
      <w:pPr>
        <w:ind w:left="513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9A2ACDCA">
      <w:start w:val="1"/>
      <w:numFmt w:val="decimal"/>
      <w:lvlText w:val="%4."/>
      <w:lvlJc w:val="left"/>
      <w:pPr>
        <w:ind w:left="2880" w:hanging="360"/>
      </w:pPr>
      <w:rPr>
        <w:b w:val="0"/>
        <w:bCs/>
      </w:r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05757E47"/>
    <w:multiLevelType w:val="hybridMultilevel"/>
    <w:tmpl w:val="D730EB0C"/>
    <w:lvl w:ilvl="0" w:tplc="CF325398">
      <w:start w:val="1"/>
      <w:numFmt w:val="decimal"/>
      <w:pStyle w:val="Titre1"/>
      <w:lvlText w:val="%1."/>
      <w:lvlJc w:val="left"/>
      <w:pPr>
        <w:tabs>
          <w:tab w:val="num" w:pos="720"/>
        </w:tabs>
        <w:ind w:firstLine="720"/>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77C654AA">
      <w:start w:val="1"/>
      <w:numFmt w:val="decimal"/>
      <w:lvlText w:val="%3."/>
      <w:lvlJc w:val="left"/>
      <w:pPr>
        <w:tabs>
          <w:tab w:val="num" w:pos="2340"/>
        </w:tabs>
        <w:ind w:left="2340" w:hanging="360"/>
      </w:pPr>
      <w:rPr>
        <w:rFonts w:hint="default"/>
        <w:b/>
        <w:i w:val="0"/>
        <w:sz w:val="22"/>
      </w:rPr>
    </w:lvl>
    <w:lvl w:ilvl="3" w:tplc="00170409">
      <w:start w:val="1"/>
      <w:numFmt w:val="lowerLetter"/>
      <w:lvlText w:val="%4)"/>
      <w:lvlJc w:val="left"/>
      <w:pPr>
        <w:tabs>
          <w:tab w:val="num" w:pos="2880"/>
        </w:tabs>
        <w:ind w:left="2880" w:hanging="360"/>
      </w:pPr>
      <w:rPr>
        <w:rFont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E0A06"/>
    <w:multiLevelType w:val="hybridMultilevel"/>
    <w:tmpl w:val="429CD686"/>
    <w:lvl w:ilvl="0" w:tplc="11FEBB56">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85A13BB"/>
    <w:multiLevelType w:val="hybridMultilevel"/>
    <w:tmpl w:val="0180F3E6"/>
    <w:lvl w:ilvl="0" w:tplc="4E78CB8E">
      <w:start w:val="1"/>
      <w:numFmt w:val="upperRoman"/>
      <w:lvlText w:val="%1."/>
      <w:lvlJc w:val="left"/>
      <w:pPr>
        <w:ind w:left="153" w:hanging="720"/>
      </w:pPr>
      <w:rPr>
        <w:rFonts w:hint="default"/>
        <w:b/>
        <w:bCs/>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5" w15:restartNumberingAfterBreak="0">
    <w:nsid w:val="0D906E14"/>
    <w:multiLevelType w:val="hybridMultilevel"/>
    <w:tmpl w:val="67DA83A6"/>
    <w:lvl w:ilvl="0" w:tplc="FF9ED9DA">
      <w:start w:val="1"/>
      <w:numFmt w:val="decimal"/>
      <w:lvlText w:val="%1."/>
      <w:lvlJc w:val="left"/>
      <w:pPr>
        <w:ind w:left="720" w:hanging="360"/>
      </w:pPr>
      <w:rPr>
        <w:rFonts w:ascii="Verdana" w:hAnsi="Verdan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BD08F0"/>
    <w:multiLevelType w:val="hybridMultilevel"/>
    <w:tmpl w:val="65AAAB00"/>
    <w:lvl w:ilvl="0" w:tplc="E4BA4460">
      <w:start w:val="1"/>
      <w:numFmt w:val="decimal"/>
      <w:lvlText w:val="%1."/>
      <w:lvlJc w:val="left"/>
      <w:pPr>
        <w:ind w:left="1211" w:hanging="360"/>
      </w:pPr>
      <w:rPr>
        <w:rFonts w:ascii="Verdana" w:hAnsi="Verdana" w:hint="default"/>
        <w:b w:val="0"/>
        <w:i w:val="0"/>
        <w:strike w:val="0"/>
        <w:color w:val="auto"/>
        <w:sz w:val="20"/>
        <w:szCs w:val="20"/>
      </w:rPr>
    </w:lvl>
    <w:lvl w:ilvl="1" w:tplc="CD862E20">
      <w:start w:val="1"/>
      <w:numFmt w:val="lowerLetter"/>
      <w:lvlText w:val="%2)"/>
      <w:lvlJc w:val="left"/>
      <w:pPr>
        <w:ind w:left="1440" w:hanging="360"/>
      </w:pPr>
      <w:rPr>
        <w:rFonts w:hint="default"/>
        <w:b w:val="0"/>
        <w:i/>
      </w:rPr>
    </w:lvl>
    <w:lvl w:ilvl="2" w:tplc="0409001B">
      <w:start w:val="1"/>
      <w:numFmt w:val="lowerRoman"/>
      <w:lvlText w:val="%3."/>
      <w:lvlJc w:val="right"/>
      <w:pPr>
        <w:ind w:left="2160" w:hanging="180"/>
      </w:pPr>
    </w:lvl>
    <w:lvl w:ilvl="3" w:tplc="99C8344C">
      <w:start w:val="1"/>
      <w:numFmt w:val="upp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72D8B"/>
    <w:multiLevelType w:val="hybridMultilevel"/>
    <w:tmpl w:val="429CD686"/>
    <w:lvl w:ilvl="0" w:tplc="11FEBB56">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136F2E83"/>
    <w:multiLevelType w:val="hybridMultilevel"/>
    <w:tmpl w:val="30467760"/>
    <w:lvl w:ilvl="0" w:tplc="FEAE2600">
      <w:start w:val="1"/>
      <w:numFmt w:val="decimal"/>
      <w:pStyle w:val="Estilo4"/>
      <w:lvlText w:val="%1."/>
      <w:lvlJc w:val="left"/>
      <w:pPr>
        <w:ind w:left="3763" w:hanging="360"/>
      </w:pPr>
      <w:rPr>
        <w:rFonts w:hint="default"/>
        <w:sz w:val="2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15:restartNumberingAfterBreak="0">
    <w:nsid w:val="17350959"/>
    <w:multiLevelType w:val="hybridMultilevel"/>
    <w:tmpl w:val="429CD686"/>
    <w:lvl w:ilvl="0" w:tplc="11FEBB56">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18606361"/>
    <w:multiLevelType w:val="hybridMultilevel"/>
    <w:tmpl w:val="1E142FCE"/>
    <w:lvl w:ilvl="0" w:tplc="3A04FE80">
      <w:start w:val="1"/>
      <w:numFmt w:val="upperLetter"/>
      <w:lvlText w:val="%1."/>
      <w:lvlJc w:val="left"/>
      <w:pPr>
        <w:ind w:left="720" w:hanging="360"/>
      </w:pPr>
      <w:rPr>
        <w:rFonts w:ascii="Verdana" w:hAnsi="Verdana" w:hint="default"/>
        <w:b/>
        <w:i/>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A9B6CE7"/>
    <w:multiLevelType w:val="multilevel"/>
    <w:tmpl w:val="D2A46D70"/>
    <w:lvl w:ilvl="0">
      <w:start w:val="1"/>
      <w:numFmt w:val="decimal"/>
      <w:lvlText w:val="%1."/>
      <w:lvlJc w:val="left"/>
      <w:pPr>
        <w:tabs>
          <w:tab w:val="num" w:pos="680"/>
        </w:tabs>
        <w:ind w:left="0" w:firstLine="0"/>
      </w:pPr>
      <w:rPr>
        <w:rFonts w:hint="default"/>
        <w:b w:val="0"/>
        <w:i w:val="0"/>
        <w:strike w:val="0"/>
        <w:sz w:val="20"/>
      </w:rPr>
    </w:lvl>
    <w:lvl w:ilvl="1">
      <w:start w:val="1"/>
      <w:numFmt w:val="decimal"/>
      <w:lvlText w:val="%2."/>
      <w:lvlJc w:val="left"/>
      <w:pPr>
        <w:tabs>
          <w:tab w:val="num" w:pos="567"/>
        </w:tabs>
        <w:ind w:left="0" w:firstLine="0"/>
      </w:pPr>
      <w:rPr>
        <w:rFonts w:hint="default"/>
        <w:b w:val="0"/>
        <w:i w:val="0"/>
        <w:strike w:val="0"/>
        <w:sz w:val="20"/>
      </w:rPr>
    </w:lvl>
    <w:lvl w:ilvl="2">
      <w:start w:val="1"/>
      <w:numFmt w:val="bullet"/>
      <w:lvlText w:val="-"/>
      <w:lvlJc w:val="left"/>
      <w:pPr>
        <w:tabs>
          <w:tab w:val="num" w:pos="2340"/>
        </w:tabs>
        <w:ind w:left="2340" w:hanging="360"/>
      </w:pPr>
      <w:rPr>
        <w:rFonts w:ascii="Verdana" w:eastAsia="Batang" w:hAnsi="Verdana"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034252C"/>
    <w:multiLevelType w:val="hybridMultilevel"/>
    <w:tmpl w:val="652817C6"/>
    <w:lvl w:ilvl="0" w:tplc="3A04FE80">
      <w:start w:val="1"/>
      <w:numFmt w:val="upperLetter"/>
      <w:lvlText w:val="%1."/>
      <w:lvlJc w:val="left"/>
      <w:pPr>
        <w:ind w:left="720" w:hanging="360"/>
      </w:pPr>
      <w:rPr>
        <w:rFonts w:ascii="Verdana" w:hAnsi="Verdana" w:hint="default"/>
        <w:b/>
        <w:i/>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8AF7283"/>
    <w:multiLevelType w:val="hybridMultilevel"/>
    <w:tmpl w:val="C9380D86"/>
    <w:lvl w:ilvl="0" w:tplc="ADB22D8E">
      <w:start w:val="1"/>
      <w:numFmt w:val="decimal"/>
      <w:lvlText w:val="%1."/>
      <w:lvlJc w:val="left"/>
      <w:pPr>
        <w:ind w:left="720" w:hanging="360"/>
      </w:pPr>
      <w:rPr>
        <w:rFonts w:hint="default"/>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C6144C9"/>
    <w:multiLevelType w:val="hybridMultilevel"/>
    <w:tmpl w:val="CFF0C922"/>
    <w:lvl w:ilvl="0" w:tplc="AAD2F022">
      <w:start w:val="1"/>
      <w:numFmt w:val="decimal"/>
      <w:lvlText w:val="%1."/>
      <w:lvlJc w:val="left"/>
      <w:pPr>
        <w:tabs>
          <w:tab w:val="num" w:pos="12305"/>
        </w:tabs>
        <w:ind w:left="0" w:firstLine="0"/>
      </w:pPr>
      <w:rPr>
        <w:rFonts w:ascii="Verdana" w:eastAsia="Times New Roman" w:hAnsi="Verdana"/>
        <w:b w:val="0"/>
        <w:bCs w:val="0"/>
        <w:i w:val="0"/>
        <w:iCs w:val="0"/>
        <w:strike w:val="0"/>
        <w:dstrike w:val="0"/>
        <w:color w:val="auto"/>
        <w:sz w:val="20"/>
        <w:szCs w:val="20"/>
        <w:u w:val="none"/>
        <w:effect w:val="none"/>
        <w:lang w:val="es-CO"/>
      </w:rPr>
    </w:lvl>
    <w:lvl w:ilvl="1" w:tplc="D8688752">
      <w:start w:val="1"/>
      <w:numFmt w:val="decimal"/>
      <w:lvlText w:val="%2."/>
      <w:lvlJc w:val="left"/>
      <w:pPr>
        <w:tabs>
          <w:tab w:val="num" w:pos="1080"/>
        </w:tabs>
        <w:ind w:left="1080" w:hanging="360"/>
      </w:pPr>
      <w:rPr>
        <w:b/>
        <w:bCs w:val="0"/>
        <w:i w:val="0"/>
        <w:iCs w:val="0"/>
        <w:color w:val="FF0000"/>
        <w:sz w:val="20"/>
        <w:szCs w:val="20"/>
      </w:rPr>
    </w:lvl>
    <w:lvl w:ilvl="2" w:tplc="0409001B">
      <w:start w:val="1"/>
      <w:numFmt w:val="lowerRoman"/>
      <w:lvlText w:val="%3."/>
      <w:lvlJc w:val="right"/>
      <w:pPr>
        <w:tabs>
          <w:tab w:val="num" w:pos="1530"/>
        </w:tabs>
        <w:ind w:left="1530" w:hanging="180"/>
      </w:pPr>
      <w:rPr>
        <w:b w:val="0"/>
        <w:strike w:val="0"/>
        <w:dstrike w:val="0"/>
        <w:u w:val="none"/>
        <w:effect w:val="none"/>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5EC5C34"/>
    <w:multiLevelType w:val="hybridMultilevel"/>
    <w:tmpl w:val="9962BE40"/>
    <w:lvl w:ilvl="0" w:tplc="ABF8E334">
      <w:start w:val="1"/>
      <w:numFmt w:val="decimal"/>
      <w:lvlText w:val="%1."/>
      <w:lvlJc w:val="left"/>
      <w:pPr>
        <w:ind w:left="928" w:hanging="360"/>
      </w:pPr>
      <w:rPr>
        <w:rFonts w:ascii="Verdana" w:hAnsi="Verdana" w:hint="default"/>
        <w:b w:val="0"/>
        <w:i w:val="0"/>
        <w:color w:val="auto"/>
      </w:rPr>
    </w:lvl>
    <w:lvl w:ilvl="1" w:tplc="C23AC0AA">
      <w:start w:val="1"/>
      <w:numFmt w:val="lowerLetter"/>
      <w:lvlText w:val="%2)"/>
      <w:lvlJc w:val="left"/>
      <w:pPr>
        <w:ind w:left="1080" w:hanging="360"/>
      </w:pPr>
      <w:rPr>
        <w:rFonts w:hint="default"/>
        <w:i/>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FB78E7"/>
    <w:multiLevelType w:val="hybridMultilevel"/>
    <w:tmpl w:val="1E142FCE"/>
    <w:lvl w:ilvl="0" w:tplc="3A04FE80">
      <w:start w:val="1"/>
      <w:numFmt w:val="upperLetter"/>
      <w:lvlText w:val="%1."/>
      <w:lvlJc w:val="left"/>
      <w:pPr>
        <w:ind w:left="720" w:hanging="360"/>
      </w:pPr>
      <w:rPr>
        <w:rFonts w:ascii="Verdana" w:hAnsi="Verdana" w:hint="default"/>
        <w:b/>
        <w:i/>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7156C0A"/>
    <w:multiLevelType w:val="hybridMultilevel"/>
    <w:tmpl w:val="1DCA3EEE"/>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71F5C1A"/>
    <w:multiLevelType w:val="hybridMultilevel"/>
    <w:tmpl w:val="91E0E35C"/>
    <w:lvl w:ilvl="0" w:tplc="B3E6F204">
      <w:start w:val="1"/>
      <w:numFmt w:val="decimal"/>
      <w:lvlText w:val="%1."/>
      <w:lvlJc w:val="left"/>
      <w:pPr>
        <w:ind w:left="1495" w:hanging="360"/>
      </w:pPr>
      <w:rPr>
        <w:rFonts w:ascii="Verdana" w:eastAsia="Batang" w:hAnsi="Verdana" w:cs="Times"/>
        <w:b w:val="0"/>
        <w:i w:val="0"/>
        <w:color w:val="auto"/>
        <w:sz w:val="20"/>
        <w:szCs w:val="20"/>
        <w:lang w:val="es-ES_tradnl"/>
      </w:rPr>
    </w:lvl>
    <w:lvl w:ilvl="1" w:tplc="62A25344">
      <w:start w:val="1"/>
      <w:numFmt w:val="lowerLetter"/>
      <w:lvlText w:val="%2)"/>
      <w:lvlJc w:val="left"/>
      <w:pPr>
        <w:ind w:left="1647" w:hanging="360"/>
      </w:pPr>
      <w:rPr>
        <w:rFonts w:ascii="Verdana" w:eastAsia="Batang" w:hAnsi="Verdana" w:cs="Times"/>
      </w:rPr>
    </w:lvl>
    <w:lvl w:ilvl="2" w:tplc="140A001B">
      <w:start w:val="1"/>
      <w:numFmt w:val="lowerRoman"/>
      <w:lvlText w:val="%3."/>
      <w:lvlJc w:val="right"/>
      <w:pPr>
        <w:ind w:left="2547" w:hanging="360"/>
      </w:pPr>
      <w:rPr>
        <w:rFonts w:hint="default"/>
      </w:rPr>
    </w:lvl>
    <w:lvl w:ilvl="3" w:tplc="F50C6474">
      <w:start w:val="1"/>
      <w:numFmt w:val="lowerLetter"/>
      <w:lvlText w:val="%4)"/>
      <w:lvlJc w:val="left"/>
      <w:pPr>
        <w:ind w:left="3087" w:hanging="360"/>
      </w:pPr>
      <w:rPr>
        <w:rFonts w:hint="default"/>
      </w:rPr>
    </w:lvl>
    <w:lvl w:ilvl="4" w:tplc="86144CC8">
      <w:start w:val="7"/>
      <w:numFmt w:val="decimal"/>
      <w:lvlText w:val="%5"/>
      <w:lvlJc w:val="left"/>
      <w:pPr>
        <w:ind w:left="3807" w:hanging="360"/>
      </w:pPr>
      <w:rPr>
        <w:rFonts w:hint="default"/>
        <w:i/>
      </w:r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9" w15:restartNumberingAfterBreak="0">
    <w:nsid w:val="37E80248"/>
    <w:multiLevelType w:val="hybridMultilevel"/>
    <w:tmpl w:val="647EAF28"/>
    <w:lvl w:ilvl="0" w:tplc="F9BC4110">
      <w:start w:val="79"/>
      <w:numFmt w:val="decimal"/>
      <w:lvlText w:val="%1."/>
      <w:lvlJc w:val="left"/>
      <w:pPr>
        <w:ind w:left="1387" w:hanging="825"/>
      </w:pPr>
      <w:rPr>
        <w:rFonts w:ascii="Verdana" w:eastAsia="Verdana" w:hAnsi="Verdana" w:cs="Verdana" w:hint="default"/>
        <w:b w:val="0"/>
        <w:i w:val="0"/>
        <w:strike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729445E"/>
    <w:multiLevelType w:val="hybridMultilevel"/>
    <w:tmpl w:val="1E142FCE"/>
    <w:lvl w:ilvl="0" w:tplc="3A04FE80">
      <w:start w:val="1"/>
      <w:numFmt w:val="upperLetter"/>
      <w:lvlText w:val="%1."/>
      <w:lvlJc w:val="left"/>
      <w:pPr>
        <w:ind w:left="720" w:hanging="360"/>
      </w:pPr>
      <w:rPr>
        <w:rFonts w:ascii="Verdana" w:hAnsi="Verdana" w:hint="default"/>
        <w:b/>
        <w:i/>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9C3087D"/>
    <w:multiLevelType w:val="hybridMultilevel"/>
    <w:tmpl w:val="00983C4E"/>
    <w:lvl w:ilvl="0" w:tplc="CF8CC29A">
      <w:start w:val="35"/>
      <w:numFmt w:val="decimal"/>
      <w:lvlText w:val="%1."/>
      <w:lvlJc w:val="left"/>
      <w:pPr>
        <w:ind w:left="360" w:hanging="360"/>
      </w:pPr>
      <w:rPr>
        <w:rFonts w:ascii="Verdana" w:hAnsi="Verdana" w:hint="default"/>
        <w:b w:val="0"/>
        <w:strike w:val="0"/>
        <w:color w:val="auto"/>
        <w:sz w:val="20"/>
        <w:szCs w:val="2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2" w15:restartNumberingAfterBreak="0">
    <w:nsid w:val="4CCD1B5F"/>
    <w:multiLevelType w:val="hybridMultilevel"/>
    <w:tmpl w:val="74649CB8"/>
    <w:lvl w:ilvl="0" w:tplc="BA10ACBA">
      <w:start w:val="1"/>
      <w:numFmt w:val="decimal"/>
      <w:lvlText w:val="%1."/>
      <w:lvlJc w:val="left"/>
      <w:pPr>
        <w:ind w:left="1495" w:hanging="360"/>
      </w:pPr>
      <w:rPr>
        <w:rFonts w:ascii="Verdana" w:eastAsia="Batang" w:hAnsi="Verdana" w:cs="Times"/>
        <w:b w:val="0"/>
        <w:i w:val="0"/>
        <w:color w:val="auto"/>
        <w:sz w:val="20"/>
        <w:szCs w:val="20"/>
        <w:lang w:val="en-US"/>
      </w:rPr>
    </w:lvl>
    <w:lvl w:ilvl="1" w:tplc="62A25344">
      <w:start w:val="1"/>
      <w:numFmt w:val="lowerLetter"/>
      <w:lvlText w:val="%2)"/>
      <w:lvlJc w:val="left"/>
      <w:pPr>
        <w:ind w:left="1647" w:hanging="360"/>
      </w:pPr>
      <w:rPr>
        <w:rFonts w:ascii="Verdana" w:eastAsia="Batang" w:hAnsi="Verdana" w:cs="Times"/>
      </w:rPr>
    </w:lvl>
    <w:lvl w:ilvl="2" w:tplc="140A001B">
      <w:start w:val="1"/>
      <w:numFmt w:val="lowerRoman"/>
      <w:lvlText w:val="%3."/>
      <w:lvlJc w:val="right"/>
      <w:pPr>
        <w:ind w:left="2547" w:hanging="360"/>
      </w:pPr>
      <w:rPr>
        <w:rFonts w:hint="default"/>
      </w:rPr>
    </w:lvl>
    <w:lvl w:ilvl="3" w:tplc="F50C6474">
      <w:start w:val="1"/>
      <w:numFmt w:val="lowerLetter"/>
      <w:lvlText w:val="%4)"/>
      <w:lvlJc w:val="left"/>
      <w:pPr>
        <w:ind w:left="3087" w:hanging="360"/>
      </w:pPr>
      <w:rPr>
        <w:rFonts w:hint="default"/>
      </w:rPr>
    </w:lvl>
    <w:lvl w:ilvl="4" w:tplc="86144CC8">
      <w:start w:val="7"/>
      <w:numFmt w:val="decimal"/>
      <w:lvlText w:val="%5"/>
      <w:lvlJc w:val="left"/>
      <w:pPr>
        <w:ind w:left="3807" w:hanging="360"/>
      </w:pPr>
      <w:rPr>
        <w:rFonts w:hint="default"/>
        <w:i/>
      </w:r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3" w15:restartNumberingAfterBreak="0">
    <w:nsid w:val="4EAF44EF"/>
    <w:multiLevelType w:val="hybridMultilevel"/>
    <w:tmpl w:val="00AE6338"/>
    <w:lvl w:ilvl="0" w:tplc="E8A22E84">
      <w:start w:val="1"/>
      <w:numFmt w:val="decimal"/>
      <w:lvlText w:val="%1."/>
      <w:lvlJc w:val="left"/>
      <w:pPr>
        <w:ind w:left="502" w:hanging="360"/>
      </w:pPr>
      <w:rPr>
        <w:rFonts w:hint="default"/>
        <w:b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256AC822">
      <w:start w:val="2"/>
      <w:numFmt w:val="decimal"/>
      <w:lvlText w:val="%4."/>
      <w:lvlJc w:val="left"/>
      <w:pPr>
        <w:ind w:left="2880" w:hanging="360"/>
      </w:pPr>
      <w:rPr>
        <w:rFonts w:hint="default"/>
      </w:rPr>
    </w:lvl>
    <w:lvl w:ilvl="4" w:tplc="140A0019">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3E06E32"/>
    <w:multiLevelType w:val="hybridMultilevel"/>
    <w:tmpl w:val="FABE0216"/>
    <w:lvl w:ilvl="0" w:tplc="6F323408">
      <w:start w:val="1"/>
      <w:numFmt w:val="decimal"/>
      <w:lvlText w:val="%1."/>
      <w:lvlJc w:val="left"/>
      <w:pPr>
        <w:tabs>
          <w:tab w:val="num" w:pos="5057"/>
        </w:tabs>
      </w:pPr>
      <w:rPr>
        <w:rFonts w:ascii="Verdana" w:eastAsia="Times New Roman" w:hAnsi="Verdana" w:cs="Times New Roman" w:hint="default"/>
        <w:b w:val="0"/>
        <w:i w:val="0"/>
        <w:strike w:val="0"/>
        <w:color w:val="auto"/>
        <w:sz w:val="20"/>
        <w:lang w:val="es-ES"/>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5" w15:restartNumberingAfterBreak="0">
    <w:nsid w:val="547D101D"/>
    <w:multiLevelType w:val="hybridMultilevel"/>
    <w:tmpl w:val="1E142FCE"/>
    <w:lvl w:ilvl="0" w:tplc="3A04FE80">
      <w:start w:val="1"/>
      <w:numFmt w:val="upperLetter"/>
      <w:lvlText w:val="%1."/>
      <w:lvlJc w:val="left"/>
      <w:pPr>
        <w:ind w:left="720" w:hanging="360"/>
      </w:pPr>
      <w:rPr>
        <w:rFonts w:ascii="Verdana" w:hAnsi="Verdana" w:hint="default"/>
        <w:b/>
        <w:i/>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5C93AC8"/>
    <w:multiLevelType w:val="hybridMultilevel"/>
    <w:tmpl w:val="3766AE78"/>
    <w:lvl w:ilvl="0" w:tplc="D5ACD098">
      <w:start w:val="1"/>
      <w:numFmt w:val="decimal"/>
      <w:lvlText w:val="%1."/>
      <w:lvlJc w:val="left"/>
      <w:pPr>
        <w:ind w:left="5811" w:hanging="708"/>
      </w:pPr>
      <w:rPr>
        <w:rFonts w:ascii="Verdana" w:hAnsi="Verdana" w:hint="default"/>
        <w:b w:val="0"/>
        <w:i w:val="0"/>
        <w:strike w:val="0"/>
        <w:color w:val="auto"/>
        <w:sz w:val="20"/>
        <w:szCs w:val="20"/>
        <w:vertAlign w:val="baseline"/>
      </w:rPr>
    </w:lvl>
    <w:lvl w:ilvl="1" w:tplc="140A0019">
      <w:start w:val="1"/>
      <w:numFmt w:val="lowerLetter"/>
      <w:lvlText w:val="%2."/>
      <w:lvlJc w:val="left"/>
      <w:pPr>
        <w:ind w:left="371" w:hanging="360"/>
      </w:pPr>
    </w:lvl>
    <w:lvl w:ilvl="2" w:tplc="140A001B" w:tentative="1">
      <w:start w:val="1"/>
      <w:numFmt w:val="lowerRoman"/>
      <w:lvlText w:val="%3."/>
      <w:lvlJc w:val="right"/>
      <w:pPr>
        <w:ind w:left="1091" w:hanging="180"/>
      </w:pPr>
    </w:lvl>
    <w:lvl w:ilvl="3" w:tplc="140A000F" w:tentative="1">
      <w:start w:val="1"/>
      <w:numFmt w:val="decimal"/>
      <w:lvlText w:val="%4."/>
      <w:lvlJc w:val="left"/>
      <w:pPr>
        <w:ind w:left="1811" w:hanging="360"/>
      </w:pPr>
    </w:lvl>
    <w:lvl w:ilvl="4" w:tplc="140A0019" w:tentative="1">
      <w:start w:val="1"/>
      <w:numFmt w:val="lowerLetter"/>
      <w:lvlText w:val="%5."/>
      <w:lvlJc w:val="left"/>
      <w:pPr>
        <w:ind w:left="2531" w:hanging="360"/>
      </w:pPr>
    </w:lvl>
    <w:lvl w:ilvl="5" w:tplc="140A001B" w:tentative="1">
      <w:start w:val="1"/>
      <w:numFmt w:val="lowerRoman"/>
      <w:lvlText w:val="%6."/>
      <w:lvlJc w:val="right"/>
      <w:pPr>
        <w:ind w:left="3251" w:hanging="180"/>
      </w:pPr>
    </w:lvl>
    <w:lvl w:ilvl="6" w:tplc="140A000F" w:tentative="1">
      <w:start w:val="1"/>
      <w:numFmt w:val="decimal"/>
      <w:lvlText w:val="%7."/>
      <w:lvlJc w:val="left"/>
      <w:pPr>
        <w:ind w:left="3971" w:hanging="360"/>
      </w:pPr>
    </w:lvl>
    <w:lvl w:ilvl="7" w:tplc="140A0019" w:tentative="1">
      <w:start w:val="1"/>
      <w:numFmt w:val="lowerLetter"/>
      <w:lvlText w:val="%8."/>
      <w:lvlJc w:val="left"/>
      <w:pPr>
        <w:ind w:left="4691" w:hanging="360"/>
      </w:pPr>
    </w:lvl>
    <w:lvl w:ilvl="8" w:tplc="140A001B" w:tentative="1">
      <w:start w:val="1"/>
      <w:numFmt w:val="lowerRoman"/>
      <w:lvlText w:val="%9."/>
      <w:lvlJc w:val="right"/>
      <w:pPr>
        <w:ind w:left="5411" w:hanging="180"/>
      </w:pPr>
    </w:lvl>
  </w:abstractNum>
  <w:abstractNum w:abstractNumId="27" w15:restartNumberingAfterBreak="0">
    <w:nsid w:val="565D6460"/>
    <w:multiLevelType w:val="hybridMultilevel"/>
    <w:tmpl w:val="1E142FCE"/>
    <w:lvl w:ilvl="0" w:tplc="3A04FE80">
      <w:start w:val="1"/>
      <w:numFmt w:val="upperLetter"/>
      <w:lvlText w:val="%1."/>
      <w:lvlJc w:val="left"/>
      <w:pPr>
        <w:ind w:left="720" w:hanging="360"/>
      </w:pPr>
      <w:rPr>
        <w:rFonts w:ascii="Verdana" w:hAnsi="Verdana" w:hint="default"/>
        <w:b/>
        <w:i/>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E66C55"/>
    <w:multiLevelType w:val="hybridMultilevel"/>
    <w:tmpl w:val="84401B34"/>
    <w:lvl w:ilvl="0" w:tplc="4DE0F700">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0" w15:restartNumberingAfterBreak="0">
    <w:nsid w:val="5CF611ED"/>
    <w:multiLevelType w:val="hybridMultilevel"/>
    <w:tmpl w:val="1E142FCE"/>
    <w:lvl w:ilvl="0" w:tplc="3A04FE80">
      <w:start w:val="1"/>
      <w:numFmt w:val="upperLetter"/>
      <w:lvlText w:val="%1."/>
      <w:lvlJc w:val="left"/>
      <w:pPr>
        <w:ind w:left="720" w:hanging="360"/>
      </w:pPr>
      <w:rPr>
        <w:rFonts w:ascii="Verdana" w:hAnsi="Verdana" w:hint="default"/>
        <w:b/>
        <w:i/>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4AD1FE9"/>
    <w:multiLevelType w:val="hybridMultilevel"/>
    <w:tmpl w:val="429CD686"/>
    <w:lvl w:ilvl="0" w:tplc="11FEBB56">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15:restartNumberingAfterBreak="0">
    <w:nsid w:val="697A4C22"/>
    <w:multiLevelType w:val="hybridMultilevel"/>
    <w:tmpl w:val="E33E83B2"/>
    <w:lvl w:ilvl="0" w:tplc="6290B50A">
      <w:start w:val="2"/>
      <w:numFmt w:val="decimal"/>
      <w:lvlText w:val="%1."/>
      <w:lvlJc w:val="left"/>
      <w:pPr>
        <w:ind w:left="6840" w:hanging="360"/>
      </w:pPr>
      <w:rPr>
        <w:rFonts w:ascii="Verdana" w:hAnsi="Verdana" w:hint="default"/>
        <w:b w:val="0"/>
        <w:i w:val="0"/>
        <w:strike w:val="0"/>
        <w:dstrike w:val="0"/>
        <w:color w:val="auto"/>
        <w:sz w:val="20"/>
        <w:szCs w:val="20"/>
        <w:u w:val="none"/>
        <w:effect w:val="none"/>
        <w:vertAlign w:val="baseline"/>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3" w15:restartNumberingAfterBreak="0">
    <w:nsid w:val="697B59BD"/>
    <w:multiLevelType w:val="hybridMultilevel"/>
    <w:tmpl w:val="F866F500"/>
    <w:lvl w:ilvl="0" w:tplc="955A2732">
      <w:start w:val="1"/>
      <w:numFmt w:val="decimal"/>
      <w:lvlText w:val="%1."/>
      <w:lvlJc w:val="left"/>
      <w:pPr>
        <w:ind w:left="720" w:hanging="360"/>
      </w:pPr>
      <w:rPr>
        <w:rFonts w:ascii="Verdana" w:hAnsi="Verdana" w:hint="default"/>
        <w:b w:val="0"/>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4" w15:restartNumberingAfterBreak="0">
    <w:nsid w:val="6BF55E8C"/>
    <w:multiLevelType w:val="hybridMultilevel"/>
    <w:tmpl w:val="652817C6"/>
    <w:lvl w:ilvl="0" w:tplc="3A04FE80">
      <w:start w:val="1"/>
      <w:numFmt w:val="upperLetter"/>
      <w:lvlText w:val="%1."/>
      <w:lvlJc w:val="left"/>
      <w:pPr>
        <w:ind w:left="720" w:hanging="360"/>
      </w:pPr>
      <w:rPr>
        <w:rFonts w:ascii="Verdana" w:hAnsi="Verdana" w:hint="default"/>
        <w:b/>
        <w:i/>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D994840"/>
    <w:multiLevelType w:val="hybridMultilevel"/>
    <w:tmpl w:val="0A747678"/>
    <w:lvl w:ilvl="0" w:tplc="11FEBB56">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15:restartNumberingAfterBreak="0">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155076D"/>
    <w:multiLevelType w:val="hybridMultilevel"/>
    <w:tmpl w:val="0A747678"/>
    <w:lvl w:ilvl="0" w:tplc="11FEBB56">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15:restartNumberingAfterBreak="0">
    <w:nsid w:val="76753A80"/>
    <w:multiLevelType w:val="hybridMultilevel"/>
    <w:tmpl w:val="33B63498"/>
    <w:lvl w:ilvl="0" w:tplc="16D40AFE">
      <w:start w:val="1"/>
      <w:numFmt w:val="decimal"/>
      <w:lvlText w:val="%1."/>
      <w:lvlJc w:val="left"/>
      <w:pPr>
        <w:ind w:left="0" w:firstLine="0"/>
      </w:pPr>
      <w:rPr>
        <w:rFonts w:ascii="Verdana" w:hAnsi="Verdana" w:hint="default"/>
        <w:b w:val="0"/>
        <w:i w:val="0"/>
        <w:strike w:val="0"/>
        <w:color w:val="auto"/>
        <w:sz w:val="20"/>
        <w:szCs w:val="20"/>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A89E6920">
      <w:start w:val="2"/>
      <w:numFmt w:val="lowerLetter"/>
      <w:lvlText w:val="%6)"/>
      <w:lvlJc w:val="left"/>
      <w:pPr>
        <w:ind w:left="4358" w:hanging="360"/>
      </w:pPr>
      <w:rPr>
        <w:rFonts w:hint="default"/>
      </w:rPr>
    </w:lvl>
    <w:lvl w:ilvl="6" w:tplc="3CE21120">
      <w:start w:val="30"/>
      <w:numFmt w:val="upperRoman"/>
      <w:lvlText w:val="%7."/>
      <w:lvlJc w:val="left"/>
      <w:pPr>
        <w:ind w:left="5258" w:hanging="720"/>
      </w:pPr>
      <w:rPr>
        <w:rFonts w:hint="default"/>
      </w:r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39" w15:restartNumberingAfterBreak="0">
    <w:nsid w:val="778A4935"/>
    <w:multiLevelType w:val="hybridMultilevel"/>
    <w:tmpl w:val="1E142FCE"/>
    <w:lvl w:ilvl="0" w:tplc="3A04FE80">
      <w:start w:val="1"/>
      <w:numFmt w:val="upperLetter"/>
      <w:lvlText w:val="%1."/>
      <w:lvlJc w:val="left"/>
      <w:pPr>
        <w:ind w:left="720" w:hanging="360"/>
      </w:pPr>
      <w:rPr>
        <w:rFonts w:ascii="Verdana" w:hAnsi="Verdana" w:hint="default"/>
        <w:b/>
        <w:i/>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B6D6772"/>
    <w:multiLevelType w:val="hybridMultilevel"/>
    <w:tmpl w:val="94E222C2"/>
    <w:lvl w:ilvl="0" w:tplc="B3E6F204">
      <w:start w:val="1"/>
      <w:numFmt w:val="decimal"/>
      <w:lvlText w:val="%1."/>
      <w:lvlJc w:val="left"/>
      <w:pPr>
        <w:ind w:left="1495" w:hanging="360"/>
      </w:pPr>
      <w:rPr>
        <w:rFonts w:ascii="Verdana" w:eastAsia="Batang" w:hAnsi="Verdana" w:cs="Times"/>
        <w:b w:val="0"/>
        <w:i w:val="0"/>
        <w:color w:val="auto"/>
        <w:sz w:val="20"/>
        <w:szCs w:val="20"/>
        <w:lang w:val="es-ES_tradnl"/>
      </w:rPr>
    </w:lvl>
    <w:lvl w:ilvl="1" w:tplc="62A25344">
      <w:start w:val="1"/>
      <w:numFmt w:val="lowerLetter"/>
      <w:lvlText w:val="%2)"/>
      <w:lvlJc w:val="left"/>
      <w:pPr>
        <w:ind w:left="1647" w:hanging="360"/>
      </w:pPr>
      <w:rPr>
        <w:rFonts w:ascii="Verdana" w:eastAsia="Batang" w:hAnsi="Verdana" w:cs="Times"/>
      </w:rPr>
    </w:lvl>
    <w:lvl w:ilvl="2" w:tplc="140A001B">
      <w:start w:val="1"/>
      <w:numFmt w:val="lowerRoman"/>
      <w:lvlText w:val="%3."/>
      <w:lvlJc w:val="right"/>
      <w:pPr>
        <w:ind w:left="2547" w:hanging="360"/>
      </w:pPr>
      <w:rPr>
        <w:rFonts w:hint="default"/>
      </w:rPr>
    </w:lvl>
    <w:lvl w:ilvl="3" w:tplc="F50C6474">
      <w:start w:val="1"/>
      <w:numFmt w:val="lowerLetter"/>
      <w:lvlText w:val="%4)"/>
      <w:lvlJc w:val="left"/>
      <w:pPr>
        <w:ind w:left="3087" w:hanging="360"/>
      </w:pPr>
      <w:rPr>
        <w:rFonts w:hint="default"/>
      </w:rPr>
    </w:lvl>
    <w:lvl w:ilvl="4" w:tplc="86144CC8">
      <w:start w:val="7"/>
      <w:numFmt w:val="decimal"/>
      <w:lvlText w:val="%5"/>
      <w:lvlJc w:val="left"/>
      <w:pPr>
        <w:ind w:left="3807" w:hanging="360"/>
      </w:pPr>
      <w:rPr>
        <w:rFonts w:hint="default"/>
        <w:i/>
      </w:r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1" w15:restartNumberingAfterBreak="0">
    <w:nsid w:val="7CE64D32"/>
    <w:multiLevelType w:val="hybridMultilevel"/>
    <w:tmpl w:val="E9AAC004"/>
    <w:lvl w:ilvl="0" w:tplc="84C60B70">
      <w:start w:val="1"/>
      <w:numFmt w:val="decimal"/>
      <w:lvlText w:val="%1."/>
      <w:lvlJc w:val="left"/>
      <w:pPr>
        <w:tabs>
          <w:tab w:val="num" w:pos="11028"/>
        </w:tabs>
      </w:pPr>
      <w:rPr>
        <w:rFonts w:ascii="Verdana" w:eastAsia="Times New Roman" w:hAnsi="Verdana"/>
        <w:b w:val="0"/>
        <w:bCs w:val="0"/>
        <w:i w:val="0"/>
        <w:iCs w:val="0"/>
        <w:strike w:val="0"/>
        <w:color w:val="auto"/>
        <w:sz w:val="20"/>
        <w:szCs w:val="20"/>
        <w:lang w:val="es-ES_tradnl"/>
      </w:rPr>
    </w:lvl>
    <w:lvl w:ilvl="1" w:tplc="140A0019">
      <w:start w:val="1"/>
      <w:numFmt w:val="lowerLetter"/>
      <w:lvlText w:val="%2)"/>
      <w:lvlJc w:val="left"/>
      <w:pPr>
        <w:tabs>
          <w:tab w:val="num" w:pos="1080"/>
        </w:tabs>
        <w:ind w:left="1080" w:hanging="360"/>
      </w:pPr>
      <w:rPr>
        <w:rFonts w:hint="default"/>
        <w:b w:val="0"/>
        <w:bCs w:val="0"/>
        <w:i w:val="0"/>
        <w:iCs w:val="0"/>
        <w:sz w:val="20"/>
        <w:szCs w:val="20"/>
      </w:rPr>
    </w:lvl>
    <w:lvl w:ilvl="2" w:tplc="140A001B">
      <w:start w:val="1"/>
      <w:numFmt w:val="lowerRoman"/>
      <w:lvlText w:val="%3."/>
      <w:lvlJc w:val="right"/>
      <w:pPr>
        <w:tabs>
          <w:tab w:val="num" w:pos="1530"/>
        </w:tabs>
        <w:ind w:left="1530" w:hanging="180"/>
      </w:pPr>
      <w:rPr>
        <w:b w:val="0"/>
        <w:strike w:val="0"/>
      </w:rPr>
    </w:lvl>
    <w:lvl w:ilvl="3" w:tplc="140A000F">
      <w:start w:val="1"/>
      <w:numFmt w:val="decimal"/>
      <w:lvlText w:val="%4."/>
      <w:lvlJc w:val="left"/>
      <w:pPr>
        <w:tabs>
          <w:tab w:val="num" w:pos="2880"/>
        </w:tabs>
        <w:ind w:left="2880" w:hanging="360"/>
      </w:pPr>
    </w:lvl>
    <w:lvl w:ilvl="4" w:tplc="140A0019">
      <w:start w:val="1"/>
      <w:numFmt w:val="lowerLetter"/>
      <w:pStyle w:val="Ttulo6"/>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abstractNum w:abstractNumId="42" w15:restartNumberingAfterBreak="0">
    <w:nsid w:val="7E0D7A0B"/>
    <w:multiLevelType w:val="hybridMultilevel"/>
    <w:tmpl w:val="67408F7A"/>
    <w:lvl w:ilvl="0" w:tplc="BD6C5964">
      <w:start w:val="1"/>
      <w:numFmt w:val="lowerLetter"/>
      <w:lvlText w:val="%1."/>
      <w:lvlJc w:val="left"/>
      <w:pPr>
        <w:ind w:left="54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8"/>
  </w:num>
  <w:num w:numId="2">
    <w:abstractNumId w:val="22"/>
  </w:num>
  <w:num w:numId="3">
    <w:abstractNumId w:val="41"/>
  </w:num>
  <w:num w:numId="4">
    <w:abstractNumId w:val="0"/>
  </w:num>
  <w:num w:numId="5">
    <w:abstractNumId w:val="2"/>
  </w:num>
  <w:num w:numId="6">
    <w:abstractNumId w:val="8"/>
  </w:num>
  <w:num w:numId="7">
    <w:abstractNumId w:val="35"/>
  </w:num>
  <w:num w:numId="8">
    <w:abstractNumId w:val="10"/>
  </w:num>
  <w:num w:numId="9">
    <w:abstractNumId w:val="36"/>
  </w:num>
  <w:num w:numId="10">
    <w:abstractNumId w:val="31"/>
  </w:num>
  <w:num w:numId="11">
    <w:abstractNumId w:val="16"/>
  </w:num>
  <w:num w:numId="12">
    <w:abstractNumId w:val="3"/>
  </w:num>
  <w:num w:numId="13">
    <w:abstractNumId w:val="7"/>
  </w:num>
  <w:num w:numId="14">
    <w:abstractNumId w:val="1"/>
  </w:num>
  <w:num w:numId="15">
    <w:abstractNumId w:val="15"/>
  </w:num>
  <w:num w:numId="16">
    <w:abstractNumId w:val="24"/>
  </w:num>
  <w:num w:numId="17">
    <w:abstractNumId w:val="29"/>
  </w:num>
  <w:num w:numId="18">
    <w:abstractNumId w:val="9"/>
  </w:num>
  <w:num w:numId="19">
    <w:abstractNumId w:val="37"/>
  </w:num>
  <w:num w:numId="20">
    <w:abstractNumId w:val="12"/>
  </w:num>
  <w:num w:numId="21">
    <w:abstractNumId w:val="27"/>
  </w:num>
  <w:num w:numId="22">
    <w:abstractNumId w:val="20"/>
  </w:num>
  <w:num w:numId="23">
    <w:abstractNumId w:val="30"/>
  </w:num>
  <w:num w:numId="24">
    <w:abstractNumId w:val="39"/>
  </w:num>
  <w:num w:numId="25">
    <w:abstractNumId w:val="34"/>
  </w:num>
  <w:num w:numId="26">
    <w:abstractNumId w:val="40"/>
  </w:num>
  <w:num w:numId="27">
    <w:abstractNumId w:val="18"/>
  </w:num>
  <w:num w:numId="28">
    <w:abstractNumId w:val="25"/>
  </w:num>
  <w:num w:numId="29">
    <w:abstractNumId w:val="26"/>
  </w:num>
  <w:num w:numId="30">
    <w:abstractNumId w:val="19"/>
  </w:num>
  <w:num w:numId="31">
    <w:abstractNumId w:val="6"/>
  </w:num>
  <w:num w:numId="32">
    <w:abstractNumId w:val="11"/>
  </w:num>
  <w:num w:numId="33">
    <w:abstractNumId w:val="2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6"/>
  </w:num>
  <w:num w:numId="39">
    <w:abstractNumId w:val="23"/>
  </w:num>
  <w:num w:numId="40">
    <w:abstractNumId w:val="17"/>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42"/>
  </w:num>
  <w:num w:numId="44">
    <w:abstractNumId w:val="4"/>
  </w:num>
  <w:num w:numId="4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6" w:nlCheck="1" w:checkStyle="0"/>
  <w:activeWritingStyle w:appName="MSWord" w:lang="es-ES_tradnl" w:vendorID="64" w:dllVersion="6" w:nlCheck="1" w:checkStyle="0"/>
  <w:activeWritingStyle w:appName="MSWord" w:lang="es-CR" w:vendorID="64" w:dllVersion="6" w:nlCheck="1" w:checkStyle="0"/>
  <w:activeWritingStyle w:appName="MSWord" w:lang="es-ES" w:vendorID="64" w:dllVersion="6" w:nlCheck="1" w:checkStyle="0"/>
  <w:activeWritingStyle w:appName="MSWord" w:lang="es-AR" w:vendorID="64" w:dllVersion="6" w:nlCheck="1" w:checkStyle="0"/>
  <w:activeWritingStyle w:appName="MSWord" w:lang="es-CO" w:vendorID="64" w:dllVersion="6" w:nlCheck="1" w:checkStyle="0"/>
  <w:activeWritingStyle w:appName="MSWord" w:lang="es-MX" w:vendorID="64" w:dllVersion="6" w:nlCheck="1" w:checkStyle="0"/>
  <w:activeWritingStyle w:appName="MSWord" w:lang="es-GT" w:vendorID="64" w:dllVersion="6" w:nlCheck="1" w:checkStyle="0"/>
  <w:activeWritingStyle w:appName="MSWord" w:lang="es-PR" w:vendorID="64" w:dllVersion="6" w:nlCheck="1" w:checkStyle="1"/>
  <w:activeWritingStyle w:appName="MSWord" w:lang="es-EC" w:vendorID="64" w:dllVersion="6" w:nlCheck="1" w:checkStyle="1"/>
  <w:activeWritingStyle w:appName="MSWord" w:lang="en-US" w:vendorID="64" w:dllVersion="6" w:nlCheck="1" w:checkStyle="1"/>
  <w:activeWritingStyle w:appName="MSWord" w:lang="es-PE" w:vendorID="64" w:dllVersion="6" w:nlCheck="1" w:checkStyle="0"/>
  <w:activeWritingStyle w:appName="MSWord" w:lang="es-CL" w:vendorID="64" w:dllVersion="6" w:nlCheck="1" w:checkStyle="0"/>
  <w:activeWritingStyle w:appName="MSWord" w:lang="es-US" w:vendorID="64" w:dllVersion="6" w:nlCheck="1" w:checkStyle="0"/>
  <w:activeWritingStyle w:appName="MSWord" w:lang="es-VE" w:vendorID="64" w:dllVersion="6" w:nlCheck="1" w:checkStyle="0"/>
  <w:activeWritingStyle w:appName="MSWord" w:lang="fr-FR" w:vendorID="64" w:dllVersion="6" w:nlCheck="1" w:checkStyle="1"/>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CR" w:vendorID="64" w:dllVersion="0" w:nlCheck="1" w:checkStyle="0"/>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AR" w:vendorID="64" w:dllVersion="0" w:nlCheck="1" w:checkStyle="0"/>
  <w:activeWritingStyle w:appName="MSWord" w:lang="es-CO" w:vendorID="64" w:dllVersion="0" w:nlCheck="1" w:checkStyle="0"/>
  <w:activeWritingStyle w:appName="MSWord" w:lang="es-GT" w:vendorID="64" w:dllVersion="0" w:nlCheck="1" w:checkStyle="0"/>
  <w:activeWritingStyle w:appName="MSWord" w:lang="es-VE" w:vendorID="64" w:dllVersion="0" w:nlCheck="1" w:checkStyle="0"/>
  <w:activeWritingStyle w:appName="MSWord" w:lang="es-CL" w:vendorID="64" w:dllVersion="0" w:nlCheck="1" w:checkStyle="0"/>
  <w:activeWritingStyle w:appName="MSWord" w:lang="en-US" w:vendorID="64" w:dllVersion="0" w:nlCheck="1" w:checkStyle="0"/>
  <w:activeWritingStyle w:appName="MSWord" w:lang="es-419"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s-CR"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BF"/>
    <w:rsid w:val="00000C5B"/>
    <w:rsid w:val="00000CA3"/>
    <w:rsid w:val="00001CAC"/>
    <w:rsid w:val="00002549"/>
    <w:rsid w:val="000029BF"/>
    <w:rsid w:val="00002A6C"/>
    <w:rsid w:val="00002B7F"/>
    <w:rsid w:val="00002D1A"/>
    <w:rsid w:val="00003400"/>
    <w:rsid w:val="00003416"/>
    <w:rsid w:val="00005409"/>
    <w:rsid w:val="00005558"/>
    <w:rsid w:val="000055D9"/>
    <w:rsid w:val="000058DC"/>
    <w:rsid w:val="00005BD2"/>
    <w:rsid w:val="00005E79"/>
    <w:rsid w:val="0000613A"/>
    <w:rsid w:val="00006467"/>
    <w:rsid w:val="000065F7"/>
    <w:rsid w:val="00006CFF"/>
    <w:rsid w:val="00006D17"/>
    <w:rsid w:val="00006E7D"/>
    <w:rsid w:val="00007A09"/>
    <w:rsid w:val="00010070"/>
    <w:rsid w:val="00010B48"/>
    <w:rsid w:val="00011404"/>
    <w:rsid w:val="000114E0"/>
    <w:rsid w:val="00011691"/>
    <w:rsid w:val="000119DA"/>
    <w:rsid w:val="00011B21"/>
    <w:rsid w:val="00014A31"/>
    <w:rsid w:val="00014C1A"/>
    <w:rsid w:val="00015025"/>
    <w:rsid w:val="00015301"/>
    <w:rsid w:val="00015551"/>
    <w:rsid w:val="00015AF3"/>
    <w:rsid w:val="00015DC0"/>
    <w:rsid w:val="00015F81"/>
    <w:rsid w:val="000165F5"/>
    <w:rsid w:val="00016EAA"/>
    <w:rsid w:val="00016F3D"/>
    <w:rsid w:val="00017129"/>
    <w:rsid w:val="000174DC"/>
    <w:rsid w:val="0001767E"/>
    <w:rsid w:val="00017706"/>
    <w:rsid w:val="00020808"/>
    <w:rsid w:val="00020840"/>
    <w:rsid w:val="00021238"/>
    <w:rsid w:val="000214B1"/>
    <w:rsid w:val="000217A6"/>
    <w:rsid w:val="00021A9D"/>
    <w:rsid w:val="00021F80"/>
    <w:rsid w:val="0002275F"/>
    <w:rsid w:val="00022AEF"/>
    <w:rsid w:val="00022F63"/>
    <w:rsid w:val="0002335A"/>
    <w:rsid w:val="00024184"/>
    <w:rsid w:val="00024A60"/>
    <w:rsid w:val="00024C25"/>
    <w:rsid w:val="00024E42"/>
    <w:rsid w:val="0002535F"/>
    <w:rsid w:val="00025534"/>
    <w:rsid w:val="00025A60"/>
    <w:rsid w:val="00025AA4"/>
    <w:rsid w:val="00025ABA"/>
    <w:rsid w:val="00025DBA"/>
    <w:rsid w:val="00025E94"/>
    <w:rsid w:val="00025F9B"/>
    <w:rsid w:val="000262FA"/>
    <w:rsid w:val="00026703"/>
    <w:rsid w:val="00026AD5"/>
    <w:rsid w:val="00027A6E"/>
    <w:rsid w:val="0003029E"/>
    <w:rsid w:val="0003048A"/>
    <w:rsid w:val="00030707"/>
    <w:rsid w:val="0003229B"/>
    <w:rsid w:val="00032585"/>
    <w:rsid w:val="00032A66"/>
    <w:rsid w:val="00032BBF"/>
    <w:rsid w:val="00032E12"/>
    <w:rsid w:val="00032F38"/>
    <w:rsid w:val="0003407D"/>
    <w:rsid w:val="00034284"/>
    <w:rsid w:val="00034536"/>
    <w:rsid w:val="000354B8"/>
    <w:rsid w:val="00035A91"/>
    <w:rsid w:val="00035C05"/>
    <w:rsid w:val="00036161"/>
    <w:rsid w:val="00037198"/>
    <w:rsid w:val="0003773F"/>
    <w:rsid w:val="00037863"/>
    <w:rsid w:val="0003786A"/>
    <w:rsid w:val="00037882"/>
    <w:rsid w:val="00037C0D"/>
    <w:rsid w:val="00041228"/>
    <w:rsid w:val="0004135A"/>
    <w:rsid w:val="00042B75"/>
    <w:rsid w:val="00042EFE"/>
    <w:rsid w:val="000432AA"/>
    <w:rsid w:val="0004332F"/>
    <w:rsid w:val="00043C2C"/>
    <w:rsid w:val="00044145"/>
    <w:rsid w:val="000442E3"/>
    <w:rsid w:val="0004473F"/>
    <w:rsid w:val="00044959"/>
    <w:rsid w:val="00044989"/>
    <w:rsid w:val="00044EE8"/>
    <w:rsid w:val="00045309"/>
    <w:rsid w:val="0004571C"/>
    <w:rsid w:val="00045CC8"/>
    <w:rsid w:val="000460A5"/>
    <w:rsid w:val="000461EC"/>
    <w:rsid w:val="000465BB"/>
    <w:rsid w:val="00046C7E"/>
    <w:rsid w:val="00047DDC"/>
    <w:rsid w:val="000506A9"/>
    <w:rsid w:val="0005099A"/>
    <w:rsid w:val="00050F96"/>
    <w:rsid w:val="00051000"/>
    <w:rsid w:val="0005101B"/>
    <w:rsid w:val="0005144A"/>
    <w:rsid w:val="00051498"/>
    <w:rsid w:val="00051875"/>
    <w:rsid w:val="000528F3"/>
    <w:rsid w:val="00052927"/>
    <w:rsid w:val="00052CCA"/>
    <w:rsid w:val="000538FF"/>
    <w:rsid w:val="00053D7B"/>
    <w:rsid w:val="00054110"/>
    <w:rsid w:val="0005430C"/>
    <w:rsid w:val="00054512"/>
    <w:rsid w:val="0005488A"/>
    <w:rsid w:val="00055116"/>
    <w:rsid w:val="000557DA"/>
    <w:rsid w:val="000559E2"/>
    <w:rsid w:val="00055FC4"/>
    <w:rsid w:val="000566F6"/>
    <w:rsid w:val="00056BAE"/>
    <w:rsid w:val="00057525"/>
    <w:rsid w:val="000579A0"/>
    <w:rsid w:val="00060529"/>
    <w:rsid w:val="000609F8"/>
    <w:rsid w:val="00061656"/>
    <w:rsid w:val="000616D3"/>
    <w:rsid w:val="0006179B"/>
    <w:rsid w:val="00062951"/>
    <w:rsid w:val="00062B79"/>
    <w:rsid w:val="00062D6C"/>
    <w:rsid w:val="00063480"/>
    <w:rsid w:val="000638FA"/>
    <w:rsid w:val="00063E30"/>
    <w:rsid w:val="000646E2"/>
    <w:rsid w:val="00064859"/>
    <w:rsid w:val="000654F1"/>
    <w:rsid w:val="000655BB"/>
    <w:rsid w:val="00065B84"/>
    <w:rsid w:val="00066738"/>
    <w:rsid w:val="000669AD"/>
    <w:rsid w:val="00066D30"/>
    <w:rsid w:val="00067A0C"/>
    <w:rsid w:val="0007057F"/>
    <w:rsid w:val="000707C0"/>
    <w:rsid w:val="00070CFE"/>
    <w:rsid w:val="00071054"/>
    <w:rsid w:val="000717F4"/>
    <w:rsid w:val="00072094"/>
    <w:rsid w:val="000723FB"/>
    <w:rsid w:val="00072B6B"/>
    <w:rsid w:val="00072E63"/>
    <w:rsid w:val="00073120"/>
    <w:rsid w:val="00073C32"/>
    <w:rsid w:val="000743F8"/>
    <w:rsid w:val="00074414"/>
    <w:rsid w:val="0007465C"/>
    <w:rsid w:val="000746F6"/>
    <w:rsid w:val="0007508D"/>
    <w:rsid w:val="00075271"/>
    <w:rsid w:val="00075C26"/>
    <w:rsid w:val="00075D8A"/>
    <w:rsid w:val="00076548"/>
    <w:rsid w:val="00076871"/>
    <w:rsid w:val="00076D5E"/>
    <w:rsid w:val="0007704F"/>
    <w:rsid w:val="00081990"/>
    <w:rsid w:val="000822C6"/>
    <w:rsid w:val="000835B9"/>
    <w:rsid w:val="00083779"/>
    <w:rsid w:val="00083800"/>
    <w:rsid w:val="00083829"/>
    <w:rsid w:val="00083F3D"/>
    <w:rsid w:val="000850B1"/>
    <w:rsid w:val="000852DC"/>
    <w:rsid w:val="00085881"/>
    <w:rsid w:val="00085CC1"/>
    <w:rsid w:val="00085E71"/>
    <w:rsid w:val="00086C97"/>
    <w:rsid w:val="00086CBA"/>
    <w:rsid w:val="00086D33"/>
    <w:rsid w:val="000900E2"/>
    <w:rsid w:val="000900FE"/>
    <w:rsid w:val="0009075E"/>
    <w:rsid w:val="00091007"/>
    <w:rsid w:val="000914DC"/>
    <w:rsid w:val="00091D56"/>
    <w:rsid w:val="00092439"/>
    <w:rsid w:val="00092583"/>
    <w:rsid w:val="00092CDC"/>
    <w:rsid w:val="000934F5"/>
    <w:rsid w:val="00093ED8"/>
    <w:rsid w:val="00094BFA"/>
    <w:rsid w:val="00094EE7"/>
    <w:rsid w:val="00094FC0"/>
    <w:rsid w:val="00095470"/>
    <w:rsid w:val="000959CA"/>
    <w:rsid w:val="00095DAD"/>
    <w:rsid w:val="0009633C"/>
    <w:rsid w:val="00096441"/>
    <w:rsid w:val="000968EE"/>
    <w:rsid w:val="000A031C"/>
    <w:rsid w:val="000A0339"/>
    <w:rsid w:val="000A05CF"/>
    <w:rsid w:val="000A0D20"/>
    <w:rsid w:val="000A1063"/>
    <w:rsid w:val="000A144D"/>
    <w:rsid w:val="000A1A7D"/>
    <w:rsid w:val="000A2E6F"/>
    <w:rsid w:val="000A33A8"/>
    <w:rsid w:val="000A37A6"/>
    <w:rsid w:val="000A381B"/>
    <w:rsid w:val="000A3CE0"/>
    <w:rsid w:val="000A40E3"/>
    <w:rsid w:val="000A452B"/>
    <w:rsid w:val="000A502B"/>
    <w:rsid w:val="000A5171"/>
    <w:rsid w:val="000A5A9C"/>
    <w:rsid w:val="000A62D7"/>
    <w:rsid w:val="000A65F1"/>
    <w:rsid w:val="000A708F"/>
    <w:rsid w:val="000A70BC"/>
    <w:rsid w:val="000A728D"/>
    <w:rsid w:val="000A73B1"/>
    <w:rsid w:val="000B0192"/>
    <w:rsid w:val="000B02A0"/>
    <w:rsid w:val="000B0323"/>
    <w:rsid w:val="000B04CF"/>
    <w:rsid w:val="000B0607"/>
    <w:rsid w:val="000B163F"/>
    <w:rsid w:val="000B203D"/>
    <w:rsid w:val="000B232E"/>
    <w:rsid w:val="000B29D2"/>
    <w:rsid w:val="000B2B10"/>
    <w:rsid w:val="000B2BB5"/>
    <w:rsid w:val="000B2ED9"/>
    <w:rsid w:val="000B3131"/>
    <w:rsid w:val="000B3391"/>
    <w:rsid w:val="000B3E3D"/>
    <w:rsid w:val="000B40A1"/>
    <w:rsid w:val="000B426C"/>
    <w:rsid w:val="000B435D"/>
    <w:rsid w:val="000B45D3"/>
    <w:rsid w:val="000B486F"/>
    <w:rsid w:val="000B4908"/>
    <w:rsid w:val="000B5099"/>
    <w:rsid w:val="000B534A"/>
    <w:rsid w:val="000B5E84"/>
    <w:rsid w:val="000B5FEF"/>
    <w:rsid w:val="000B60DB"/>
    <w:rsid w:val="000B621A"/>
    <w:rsid w:val="000B6390"/>
    <w:rsid w:val="000B68D1"/>
    <w:rsid w:val="000B6D6F"/>
    <w:rsid w:val="000B7D75"/>
    <w:rsid w:val="000B7E4F"/>
    <w:rsid w:val="000C077B"/>
    <w:rsid w:val="000C140A"/>
    <w:rsid w:val="000C18D7"/>
    <w:rsid w:val="000C2C04"/>
    <w:rsid w:val="000C2DA4"/>
    <w:rsid w:val="000C300B"/>
    <w:rsid w:val="000C3112"/>
    <w:rsid w:val="000C4365"/>
    <w:rsid w:val="000C5C80"/>
    <w:rsid w:val="000C5CCB"/>
    <w:rsid w:val="000C611D"/>
    <w:rsid w:val="000C6470"/>
    <w:rsid w:val="000C6628"/>
    <w:rsid w:val="000C6BBA"/>
    <w:rsid w:val="000C706D"/>
    <w:rsid w:val="000C746D"/>
    <w:rsid w:val="000C759A"/>
    <w:rsid w:val="000C76AC"/>
    <w:rsid w:val="000C770E"/>
    <w:rsid w:val="000C77A3"/>
    <w:rsid w:val="000C78A6"/>
    <w:rsid w:val="000C7ED0"/>
    <w:rsid w:val="000D0377"/>
    <w:rsid w:val="000D0C64"/>
    <w:rsid w:val="000D0F45"/>
    <w:rsid w:val="000D0F74"/>
    <w:rsid w:val="000D12F5"/>
    <w:rsid w:val="000D1356"/>
    <w:rsid w:val="000D17B0"/>
    <w:rsid w:val="000D17E1"/>
    <w:rsid w:val="000D2082"/>
    <w:rsid w:val="000D21B3"/>
    <w:rsid w:val="000D269A"/>
    <w:rsid w:val="000D26DE"/>
    <w:rsid w:val="000D27DA"/>
    <w:rsid w:val="000D32A0"/>
    <w:rsid w:val="000D3594"/>
    <w:rsid w:val="000D3DC5"/>
    <w:rsid w:val="000D4429"/>
    <w:rsid w:val="000D44BA"/>
    <w:rsid w:val="000D464C"/>
    <w:rsid w:val="000D4699"/>
    <w:rsid w:val="000D4B25"/>
    <w:rsid w:val="000D564E"/>
    <w:rsid w:val="000D61A7"/>
    <w:rsid w:val="000D6358"/>
    <w:rsid w:val="000D67D1"/>
    <w:rsid w:val="000D6BB7"/>
    <w:rsid w:val="000D7098"/>
    <w:rsid w:val="000D7253"/>
    <w:rsid w:val="000D72AA"/>
    <w:rsid w:val="000D72B8"/>
    <w:rsid w:val="000D7533"/>
    <w:rsid w:val="000D7AE0"/>
    <w:rsid w:val="000E074A"/>
    <w:rsid w:val="000E0768"/>
    <w:rsid w:val="000E080E"/>
    <w:rsid w:val="000E0A10"/>
    <w:rsid w:val="000E0D82"/>
    <w:rsid w:val="000E0E59"/>
    <w:rsid w:val="000E1091"/>
    <w:rsid w:val="000E168E"/>
    <w:rsid w:val="000E1C44"/>
    <w:rsid w:val="000E225D"/>
    <w:rsid w:val="000E28CF"/>
    <w:rsid w:val="000E2969"/>
    <w:rsid w:val="000E2C86"/>
    <w:rsid w:val="000E2E3D"/>
    <w:rsid w:val="000E3117"/>
    <w:rsid w:val="000E3600"/>
    <w:rsid w:val="000E3CA2"/>
    <w:rsid w:val="000E3F6F"/>
    <w:rsid w:val="000E3F85"/>
    <w:rsid w:val="000E455E"/>
    <w:rsid w:val="000E4B1B"/>
    <w:rsid w:val="000E4BE3"/>
    <w:rsid w:val="000E50D6"/>
    <w:rsid w:val="000E5BA2"/>
    <w:rsid w:val="000E5C3A"/>
    <w:rsid w:val="000E6359"/>
    <w:rsid w:val="000E64FB"/>
    <w:rsid w:val="000E777B"/>
    <w:rsid w:val="000E7C11"/>
    <w:rsid w:val="000F01E2"/>
    <w:rsid w:val="000F0461"/>
    <w:rsid w:val="000F0785"/>
    <w:rsid w:val="000F0C6E"/>
    <w:rsid w:val="000F0CB8"/>
    <w:rsid w:val="000F148C"/>
    <w:rsid w:val="000F15B9"/>
    <w:rsid w:val="000F16AA"/>
    <w:rsid w:val="000F18DB"/>
    <w:rsid w:val="000F1B02"/>
    <w:rsid w:val="000F1F6A"/>
    <w:rsid w:val="000F255C"/>
    <w:rsid w:val="000F28D4"/>
    <w:rsid w:val="000F28ED"/>
    <w:rsid w:val="000F30CA"/>
    <w:rsid w:val="000F3365"/>
    <w:rsid w:val="000F3909"/>
    <w:rsid w:val="000F3ADF"/>
    <w:rsid w:val="000F453A"/>
    <w:rsid w:val="000F4BE4"/>
    <w:rsid w:val="000F508F"/>
    <w:rsid w:val="000F5849"/>
    <w:rsid w:val="000F5CC6"/>
    <w:rsid w:val="000F6214"/>
    <w:rsid w:val="000F6383"/>
    <w:rsid w:val="000F698E"/>
    <w:rsid w:val="000F6CDD"/>
    <w:rsid w:val="000F6EDA"/>
    <w:rsid w:val="000F74E0"/>
    <w:rsid w:val="000F79C5"/>
    <w:rsid w:val="000F7F8E"/>
    <w:rsid w:val="00100947"/>
    <w:rsid w:val="00101134"/>
    <w:rsid w:val="001019D6"/>
    <w:rsid w:val="00101CA3"/>
    <w:rsid w:val="00101F63"/>
    <w:rsid w:val="00101FF8"/>
    <w:rsid w:val="001021B7"/>
    <w:rsid w:val="001021EC"/>
    <w:rsid w:val="0010239D"/>
    <w:rsid w:val="00102673"/>
    <w:rsid w:val="00102750"/>
    <w:rsid w:val="00102A96"/>
    <w:rsid w:val="00102BA2"/>
    <w:rsid w:val="001032C0"/>
    <w:rsid w:val="001038C4"/>
    <w:rsid w:val="001041A4"/>
    <w:rsid w:val="001042E8"/>
    <w:rsid w:val="00104598"/>
    <w:rsid w:val="00104766"/>
    <w:rsid w:val="001047C4"/>
    <w:rsid w:val="0010500E"/>
    <w:rsid w:val="0010527A"/>
    <w:rsid w:val="00105739"/>
    <w:rsid w:val="00106161"/>
    <w:rsid w:val="00106A95"/>
    <w:rsid w:val="00106AB8"/>
    <w:rsid w:val="00106BB1"/>
    <w:rsid w:val="0010744C"/>
    <w:rsid w:val="001077FA"/>
    <w:rsid w:val="001103E1"/>
    <w:rsid w:val="001106A2"/>
    <w:rsid w:val="00110842"/>
    <w:rsid w:val="00110D5F"/>
    <w:rsid w:val="0011132C"/>
    <w:rsid w:val="00111CF6"/>
    <w:rsid w:val="0011203E"/>
    <w:rsid w:val="00112489"/>
    <w:rsid w:val="001129EA"/>
    <w:rsid w:val="001142EB"/>
    <w:rsid w:val="001144ED"/>
    <w:rsid w:val="00114541"/>
    <w:rsid w:val="00114A4C"/>
    <w:rsid w:val="00114AA9"/>
    <w:rsid w:val="00114C59"/>
    <w:rsid w:val="001160D7"/>
    <w:rsid w:val="0011614A"/>
    <w:rsid w:val="001164FE"/>
    <w:rsid w:val="0011693E"/>
    <w:rsid w:val="00116BC1"/>
    <w:rsid w:val="001175CE"/>
    <w:rsid w:val="00117BA9"/>
    <w:rsid w:val="00117E20"/>
    <w:rsid w:val="00120416"/>
    <w:rsid w:val="00120B6A"/>
    <w:rsid w:val="001217F5"/>
    <w:rsid w:val="00121AA8"/>
    <w:rsid w:val="00122A41"/>
    <w:rsid w:val="00122AD8"/>
    <w:rsid w:val="00122B1A"/>
    <w:rsid w:val="0012337A"/>
    <w:rsid w:val="00123AA2"/>
    <w:rsid w:val="00123D88"/>
    <w:rsid w:val="0012431B"/>
    <w:rsid w:val="00124619"/>
    <w:rsid w:val="001246F9"/>
    <w:rsid w:val="00124A5B"/>
    <w:rsid w:val="00125B43"/>
    <w:rsid w:val="001261FC"/>
    <w:rsid w:val="00126804"/>
    <w:rsid w:val="00127786"/>
    <w:rsid w:val="00127A88"/>
    <w:rsid w:val="00127BAC"/>
    <w:rsid w:val="00127EB1"/>
    <w:rsid w:val="00127FD6"/>
    <w:rsid w:val="001303B4"/>
    <w:rsid w:val="00130417"/>
    <w:rsid w:val="001305F6"/>
    <w:rsid w:val="00130891"/>
    <w:rsid w:val="00130D70"/>
    <w:rsid w:val="001315F8"/>
    <w:rsid w:val="001318BE"/>
    <w:rsid w:val="001320AC"/>
    <w:rsid w:val="0013395A"/>
    <w:rsid w:val="00133997"/>
    <w:rsid w:val="00133E80"/>
    <w:rsid w:val="0013453D"/>
    <w:rsid w:val="00134B3E"/>
    <w:rsid w:val="00134F57"/>
    <w:rsid w:val="0013527C"/>
    <w:rsid w:val="001355AC"/>
    <w:rsid w:val="00135DEC"/>
    <w:rsid w:val="00135F70"/>
    <w:rsid w:val="00136196"/>
    <w:rsid w:val="0013655E"/>
    <w:rsid w:val="00137261"/>
    <w:rsid w:val="00137802"/>
    <w:rsid w:val="00137D2D"/>
    <w:rsid w:val="00137EC8"/>
    <w:rsid w:val="00140779"/>
    <w:rsid w:val="00141075"/>
    <w:rsid w:val="00141868"/>
    <w:rsid w:val="0014247D"/>
    <w:rsid w:val="00142C72"/>
    <w:rsid w:val="00142E76"/>
    <w:rsid w:val="00143324"/>
    <w:rsid w:val="00143ECA"/>
    <w:rsid w:val="00143FD8"/>
    <w:rsid w:val="0014438A"/>
    <w:rsid w:val="0014491B"/>
    <w:rsid w:val="00144998"/>
    <w:rsid w:val="00144BE8"/>
    <w:rsid w:val="00144F28"/>
    <w:rsid w:val="00145571"/>
    <w:rsid w:val="0014567B"/>
    <w:rsid w:val="0014574E"/>
    <w:rsid w:val="00146E35"/>
    <w:rsid w:val="00147060"/>
    <w:rsid w:val="001471F8"/>
    <w:rsid w:val="001503A1"/>
    <w:rsid w:val="00150712"/>
    <w:rsid w:val="0015108E"/>
    <w:rsid w:val="00151597"/>
    <w:rsid w:val="00151686"/>
    <w:rsid w:val="00152313"/>
    <w:rsid w:val="001531C7"/>
    <w:rsid w:val="00153266"/>
    <w:rsid w:val="0015348B"/>
    <w:rsid w:val="00153739"/>
    <w:rsid w:val="00153944"/>
    <w:rsid w:val="00153A92"/>
    <w:rsid w:val="00153BDA"/>
    <w:rsid w:val="00153C94"/>
    <w:rsid w:val="00153E57"/>
    <w:rsid w:val="00153F41"/>
    <w:rsid w:val="001545E6"/>
    <w:rsid w:val="001547AD"/>
    <w:rsid w:val="00155098"/>
    <w:rsid w:val="00155888"/>
    <w:rsid w:val="001558A5"/>
    <w:rsid w:val="00155C71"/>
    <w:rsid w:val="00155E1A"/>
    <w:rsid w:val="001563B4"/>
    <w:rsid w:val="00156651"/>
    <w:rsid w:val="00156993"/>
    <w:rsid w:val="00157A1D"/>
    <w:rsid w:val="00157E64"/>
    <w:rsid w:val="00160563"/>
    <w:rsid w:val="00160575"/>
    <w:rsid w:val="0016141E"/>
    <w:rsid w:val="00161452"/>
    <w:rsid w:val="00161F4F"/>
    <w:rsid w:val="001630FB"/>
    <w:rsid w:val="0016357B"/>
    <w:rsid w:val="001638EA"/>
    <w:rsid w:val="00163F0E"/>
    <w:rsid w:val="00164580"/>
    <w:rsid w:val="0016480B"/>
    <w:rsid w:val="0016523C"/>
    <w:rsid w:val="00166035"/>
    <w:rsid w:val="001664A9"/>
    <w:rsid w:val="0016669F"/>
    <w:rsid w:val="00166874"/>
    <w:rsid w:val="00166B52"/>
    <w:rsid w:val="00166BB2"/>
    <w:rsid w:val="00166FD6"/>
    <w:rsid w:val="0016776B"/>
    <w:rsid w:val="00167BCB"/>
    <w:rsid w:val="00167D05"/>
    <w:rsid w:val="00167D25"/>
    <w:rsid w:val="001701AD"/>
    <w:rsid w:val="001702CA"/>
    <w:rsid w:val="00170947"/>
    <w:rsid w:val="00171189"/>
    <w:rsid w:val="00171A08"/>
    <w:rsid w:val="00171A6A"/>
    <w:rsid w:val="00171D28"/>
    <w:rsid w:val="0017218C"/>
    <w:rsid w:val="00172211"/>
    <w:rsid w:val="00172ABB"/>
    <w:rsid w:val="00173497"/>
    <w:rsid w:val="00173E5C"/>
    <w:rsid w:val="00174406"/>
    <w:rsid w:val="001748BB"/>
    <w:rsid w:val="0017498F"/>
    <w:rsid w:val="00174B87"/>
    <w:rsid w:val="0017500C"/>
    <w:rsid w:val="00175553"/>
    <w:rsid w:val="00176F2E"/>
    <w:rsid w:val="00176F56"/>
    <w:rsid w:val="00177282"/>
    <w:rsid w:val="00177421"/>
    <w:rsid w:val="00177E3F"/>
    <w:rsid w:val="00180003"/>
    <w:rsid w:val="00180119"/>
    <w:rsid w:val="00180499"/>
    <w:rsid w:val="001811E7"/>
    <w:rsid w:val="00181902"/>
    <w:rsid w:val="00181BA1"/>
    <w:rsid w:val="0018292E"/>
    <w:rsid w:val="001829AB"/>
    <w:rsid w:val="00182EC6"/>
    <w:rsid w:val="001838FD"/>
    <w:rsid w:val="00183A24"/>
    <w:rsid w:val="00183F1C"/>
    <w:rsid w:val="00184997"/>
    <w:rsid w:val="00184EF0"/>
    <w:rsid w:val="00185438"/>
    <w:rsid w:val="00185538"/>
    <w:rsid w:val="00185C92"/>
    <w:rsid w:val="001866BE"/>
    <w:rsid w:val="001867CB"/>
    <w:rsid w:val="00186A85"/>
    <w:rsid w:val="00186C06"/>
    <w:rsid w:val="00186C0B"/>
    <w:rsid w:val="00186D1C"/>
    <w:rsid w:val="00187095"/>
    <w:rsid w:val="00187623"/>
    <w:rsid w:val="00187704"/>
    <w:rsid w:val="0018791D"/>
    <w:rsid w:val="00187B57"/>
    <w:rsid w:val="00187E00"/>
    <w:rsid w:val="00190386"/>
    <w:rsid w:val="001908EF"/>
    <w:rsid w:val="00190C0F"/>
    <w:rsid w:val="00190E96"/>
    <w:rsid w:val="0019142C"/>
    <w:rsid w:val="001927C2"/>
    <w:rsid w:val="001929C2"/>
    <w:rsid w:val="001929E8"/>
    <w:rsid w:val="00192FE7"/>
    <w:rsid w:val="001934AA"/>
    <w:rsid w:val="001942E5"/>
    <w:rsid w:val="00195585"/>
    <w:rsid w:val="00195A15"/>
    <w:rsid w:val="00195B03"/>
    <w:rsid w:val="001967EC"/>
    <w:rsid w:val="00197156"/>
    <w:rsid w:val="001A0578"/>
    <w:rsid w:val="001A0817"/>
    <w:rsid w:val="001A09F1"/>
    <w:rsid w:val="001A0BA7"/>
    <w:rsid w:val="001A11C1"/>
    <w:rsid w:val="001A16B0"/>
    <w:rsid w:val="001A17DB"/>
    <w:rsid w:val="001A1E2E"/>
    <w:rsid w:val="001A2B24"/>
    <w:rsid w:val="001A343B"/>
    <w:rsid w:val="001A3790"/>
    <w:rsid w:val="001A3EEA"/>
    <w:rsid w:val="001A3F50"/>
    <w:rsid w:val="001A4646"/>
    <w:rsid w:val="001A495B"/>
    <w:rsid w:val="001A51BC"/>
    <w:rsid w:val="001A5AF5"/>
    <w:rsid w:val="001A5CF5"/>
    <w:rsid w:val="001A5E21"/>
    <w:rsid w:val="001A674B"/>
    <w:rsid w:val="001A6A1E"/>
    <w:rsid w:val="001A6AB6"/>
    <w:rsid w:val="001A6E0E"/>
    <w:rsid w:val="001A7822"/>
    <w:rsid w:val="001A7B39"/>
    <w:rsid w:val="001B03C9"/>
    <w:rsid w:val="001B099F"/>
    <w:rsid w:val="001B0B0A"/>
    <w:rsid w:val="001B0BCD"/>
    <w:rsid w:val="001B1795"/>
    <w:rsid w:val="001B1998"/>
    <w:rsid w:val="001B1E9B"/>
    <w:rsid w:val="001B2174"/>
    <w:rsid w:val="001B2E6A"/>
    <w:rsid w:val="001B3AEB"/>
    <w:rsid w:val="001B3E02"/>
    <w:rsid w:val="001B41D9"/>
    <w:rsid w:val="001B447B"/>
    <w:rsid w:val="001B45CE"/>
    <w:rsid w:val="001B5055"/>
    <w:rsid w:val="001B5434"/>
    <w:rsid w:val="001B555D"/>
    <w:rsid w:val="001B589C"/>
    <w:rsid w:val="001B5D04"/>
    <w:rsid w:val="001B620A"/>
    <w:rsid w:val="001B6AF2"/>
    <w:rsid w:val="001B7AFE"/>
    <w:rsid w:val="001C0C1D"/>
    <w:rsid w:val="001C1104"/>
    <w:rsid w:val="001C124C"/>
    <w:rsid w:val="001C1346"/>
    <w:rsid w:val="001C202B"/>
    <w:rsid w:val="001C23BC"/>
    <w:rsid w:val="001C277E"/>
    <w:rsid w:val="001C27DE"/>
    <w:rsid w:val="001C2FD5"/>
    <w:rsid w:val="001C430B"/>
    <w:rsid w:val="001C4470"/>
    <w:rsid w:val="001C45DC"/>
    <w:rsid w:val="001C5A7B"/>
    <w:rsid w:val="001C5C2C"/>
    <w:rsid w:val="001C5DBC"/>
    <w:rsid w:val="001C60B8"/>
    <w:rsid w:val="001C6434"/>
    <w:rsid w:val="001C672D"/>
    <w:rsid w:val="001C7324"/>
    <w:rsid w:val="001C75AC"/>
    <w:rsid w:val="001C7635"/>
    <w:rsid w:val="001C7ADB"/>
    <w:rsid w:val="001D0028"/>
    <w:rsid w:val="001D01A9"/>
    <w:rsid w:val="001D08E2"/>
    <w:rsid w:val="001D0A0A"/>
    <w:rsid w:val="001D1175"/>
    <w:rsid w:val="001D1A62"/>
    <w:rsid w:val="001D1CB3"/>
    <w:rsid w:val="001D1ED2"/>
    <w:rsid w:val="001D1FCC"/>
    <w:rsid w:val="001D26EA"/>
    <w:rsid w:val="001D2782"/>
    <w:rsid w:val="001D3630"/>
    <w:rsid w:val="001D38CD"/>
    <w:rsid w:val="001D3C55"/>
    <w:rsid w:val="001D3D91"/>
    <w:rsid w:val="001D42D2"/>
    <w:rsid w:val="001D457A"/>
    <w:rsid w:val="001D4727"/>
    <w:rsid w:val="001D48D6"/>
    <w:rsid w:val="001D4A2F"/>
    <w:rsid w:val="001D5582"/>
    <w:rsid w:val="001D55FF"/>
    <w:rsid w:val="001D5608"/>
    <w:rsid w:val="001D5743"/>
    <w:rsid w:val="001D5795"/>
    <w:rsid w:val="001D57BA"/>
    <w:rsid w:val="001D5AD2"/>
    <w:rsid w:val="001D5B20"/>
    <w:rsid w:val="001D5CBF"/>
    <w:rsid w:val="001D5DA9"/>
    <w:rsid w:val="001D635F"/>
    <w:rsid w:val="001D69AE"/>
    <w:rsid w:val="001D6A5A"/>
    <w:rsid w:val="001D6BAA"/>
    <w:rsid w:val="001D6ED0"/>
    <w:rsid w:val="001D6F05"/>
    <w:rsid w:val="001D7215"/>
    <w:rsid w:val="001D76AC"/>
    <w:rsid w:val="001E0093"/>
    <w:rsid w:val="001E0114"/>
    <w:rsid w:val="001E02F0"/>
    <w:rsid w:val="001E0667"/>
    <w:rsid w:val="001E1B63"/>
    <w:rsid w:val="001E242E"/>
    <w:rsid w:val="001E333C"/>
    <w:rsid w:val="001E3977"/>
    <w:rsid w:val="001E44D6"/>
    <w:rsid w:val="001E4CEC"/>
    <w:rsid w:val="001E4ED8"/>
    <w:rsid w:val="001E52CB"/>
    <w:rsid w:val="001E5F2A"/>
    <w:rsid w:val="001E5F86"/>
    <w:rsid w:val="001E61E2"/>
    <w:rsid w:val="001E6AFD"/>
    <w:rsid w:val="001E7A2C"/>
    <w:rsid w:val="001E7DDA"/>
    <w:rsid w:val="001F0058"/>
    <w:rsid w:val="001F0396"/>
    <w:rsid w:val="001F03EE"/>
    <w:rsid w:val="001F05C9"/>
    <w:rsid w:val="001F0D9B"/>
    <w:rsid w:val="001F1B3B"/>
    <w:rsid w:val="001F20B9"/>
    <w:rsid w:val="001F278B"/>
    <w:rsid w:val="001F2A03"/>
    <w:rsid w:val="001F2CB5"/>
    <w:rsid w:val="001F2E1A"/>
    <w:rsid w:val="001F2F8B"/>
    <w:rsid w:val="001F33E0"/>
    <w:rsid w:val="001F3543"/>
    <w:rsid w:val="001F3811"/>
    <w:rsid w:val="001F3F30"/>
    <w:rsid w:val="001F3F38"/>
    <w:rsid w:val="001F510A"/>
    <w:rsid w:val="001F563E"/>
    <w:rsid w:val="001F60C5"/>
    <w:rsid w:val="001F68EB"/>
    <w:rsid w:val="001F6B1C"/>
    <w:rsid w:val="001F6BFC"/>
    <w:rsid w:val="001F75EB"/>
    <w:rsid w:val="001F7992"/>
    <w:rsid w:val="002006AA"/>
    <w:rsid w:val="00200F33"/>
    <w:rsid w:val="00201033"/>
    <w:rsid w:val="00201038"/>
    <w:rsid w:val="0020112A"/>
    <w:rsid w:val="00201533"/>
    <w:rsid w:val="002015E0"/>
    <w:rsid w:val="002018A0"/>
    <w:rsid w:val="00202608"/>
    <w:rsid w:val="002029A0"/>
    <w:rsid w:val="00202C52"/>
    <w:rsid w:val="00202D88"/>
    <w:rsid w:val="002031B6"/>
    <w:rsid w:val="002040C8"/>
    <w:rsid w:val="002041E9"/>
    <w:rsid w:val="00204FE9"/>
    <w:rsid w:val="00205184"/>
    <w:rsid w:val="002056FE"/>
    <w:rsid w:val="00205B2A"/>
    <w:rsid w:val="00205FA1"/>
    <w:rsid w:val="002065A6"/>
    <w:rsid w:val="00206883"/>
    <w:rsid w:val="00206B83"/>
    <w:rsid w:val="00206CEA"/>
    <w:rsid w:val="00206ED9"/>
    <w:rsid w:val="00206EDC"/>
    <w:rsid w:val="00207DF7"/>
    <w:rsid w:val="00211098"/>
    <w:rsid w:val="00211534"/>
    <w:rsid w:val="002124CA"/>
    <w:rsid w:val="00212A57"/>
    <w:rsid w:val="00213183"/>
    <w:rsid w:val="00213908"/>
    <w:rsid w:val="00213BB1"/>
    <w:rsid w:val="00213E33"/>
    <w:rsid w:val="00214B32"/>
    <w:rsid w:val="00214B7C"/>
    <w:rsid w:val="00214BD2"/>
    <w:rsid w:val="0021535D"/>
    <w:rsid w:val="0021562A"/>
    <w:rsid w:val="00215942"/>
    <w:rsid w:val="0021594D"/>
    <w:rsid w:val="00215A18"/>
    <w:rsid w:val="00215FEF"/>
    <w:rsid w:val="002169B4"/>
    <w:rsid w:val="00216D85"/>
    <w:rsid w:val="002171D3"/>
    <w:rsid w:val="002172EA"/>
    <w:rsid w:val="0021731F"/>
    <w:rsid w:val="002175B1"/>
    <w:rsid w:val="0021773A"/>
    <w:rsid w:val="002177D7"/>
    <w:rsid w:val="002179C2"/>
    <w:rsid w:val="00217A5B"/>
    <w:rsid w:val="0022009B"/>
    <w:rsid w:val="00220AD9"/>
    <w:rsid w:val="00220B04"/>
    <w:rsid w:val="00220C79"/>
    <w:rsid w:val="00220DA8"/>
    <w:rsid w:val="00220FBD"/>
    <w:rsid w:val="00221395"/>
    <w:rsid w:val="002213CC"/>
    <w:rsid w:val="00221F9E"/>
    <w:rsid w:val="002226C5"/>
    <w:rsid w:val="002229F9"/>
    <w:rsid w:val="00222B2F"/>
    <w:rsid w:val="00222C0C"/>
    <w:rsid w:val="002231B3"/>
    <w:rsid w:val="0022337F"/>
    <w:rsid w:val="002236C6"/>
    <w:rsid w:val="002236DE"/>
    <w:rsid w:val="00223989"/>
    <w:rsid w:val="0022444E"/>
    <w:rsid w:val="0022482D"/>
    <w:rsid w:val="00224FA0"/>
    <w:rsid w:val="0022514F"/>
    <w:rsid w:val="002252EC"/>
    <w:rsid w:val="002258F5"/>
    <w:rsid w:val="00225C46"/>
    <w:rsid w:val="00226843"/>
    <w:rsid w:val="00226CAC"/>
    <w:rsid w:val="00226F76"/>
    <w:rsid w:val="002275B4"/>
    <w:rsid w:val="0022773E"/>
    <w:rsid w:val="00227D6B"/>
    <w:rsid w:val="00230011"/>
    <w:rsid w:val="00230985"/>
    <w:rsid w:val="00230E08"/>
    <w:rsid w:val="0023107E"/>
    <w:rsid w:val="002317CB"/>
    <w:rsid w:val="00231F21"/>
    <w:rsid w:val="00232229"/>
    <w:rsid w:val="0023267B"/>
    <w:rsid w:val="00232F75"/>
    <w:rsid w:val="002334E2"/>
    <w:rsid w:val="00233800"/>
    <w:rsid w:val="0023388E"/>
    <w:rsid w:val="00233DE9"/>
    <w:rsid w:val="002349D4"/>
    <w:rsid w:val="00234A22"/>
    <w:rsid w:val="00234AD4"/>
    <w:rsid w:val="00234CA8"/>
    <w:rsid w:val="002351C0"/>
    <w:rsid w:val="0023522F"/>
    <w:rsid w:val="00235895"/>
    <w:rsid w:val="00235F99"/>
    <w:rsid w:val="00235FB5"/>
    <w:rsid w:val="0023621E"/>
    <w:rsid w:val="0023691A"/>
    <w:rsid w:val="00236D16"/>
    <w:rsid w:val="00236EED"/>
    <w:rsid w:val="00237041"/>
    <w:rsid w:val="00240236"/>
    <w:rsid w:val="0024161D"/>
    <w:rsid w:val="002416E0"/>
    <w:rsid w:val="002418B2"/>
    <w:rsid w:val="0024196E"/>
    <w:rsid w:val="00242C7C"/>
    <w:rsid w:val="00242E2A"/>
    <w:rsid w:val="00243764"/>
    <w:rsid w:val="00243F3D"/>
    <w:rsid w:val="002450A9"/>
    <w:rsid w:val="00245417"/>
    <w:rsid w:val="00245ADE"/>
    <w:rsid w:val="00245ED6"/>
    <w:rsid w:val="0024715B"/>
    <w:rsid w:val="002478D5"/>
    <w:rsid w:val="00247B8C"/>
    <w:rsid w:val="002503FB"/>
    <w:rsid w:val="00250469"/>
    <w:rsid w:val="00250639"/>
    <w:rsid w:val="0025076D"/>
    <w:rsid w:val="00250AE3"/>
    <w:rsid w:val="0025121B"/>
    <w:rsid w:val="0025138E"/>
    <w:rsid w:val="0025161B"/>
    <w:rsid w:val="00251BB8"/>
    <w:rsid w:val="002520BC"/>
    <w:rsid w:val="002522C9"/>
    <w:rsid w:val="00252E5D"/>
    <w:rsid w:val="0025379B"/>
    <w:rsid w:val="00253FA0"/>
    <w:rsid w:val="0025481A"/>
    <w:rsid w:val="00254D25"/>
    <w:rsid w:val="00254D5B"/>
    <w:rsid w:val="00255612"/>
    <w:rsid w:val="00255683"/>
    <w:rsid w:val="0025585C"/>
    <w:rsid w:val="0025585D"/>
    <w:rsid w:val="00255865"/>
    <w:rsid w:val="00255B0E"/>
    <w:rsid w:val="00255BCB"/>
    <w:rsid w:val="0025642A"/>
    <w:rsid w:val="00256F5A"/>
    <w:rsid w:val="002578AC"/>
    <w:rsid w:val="0025796A"/>
    <w:rsid w:val="00257AC8"/>
    <w:rsid w:val="00260081"/>
    <w:rsid w:val="00260584"/>
    <w:rsid w:val="00260624"/>
    <w:rsid w:val="00260E6D"/>
    <w:rsid w:val="002618FF"/>
    <w:rsid w:val="00261B6F"/>
    <w:rsid w:val="00261CDD"/>
    <w:rsid w:val="00262148"/>
    <w:rsid w:val="002621CE"/>
    <w:rsid w:val="00262575"/>
    <w:rsid w:val="002626FF"/>
    <w:rsid w:val="002627FE"/>
    <w:rsid w:val="00262A14"/>
    <w:rsid w:val="00262BA1"/>
    <w:rsid w:val="00262EE4"/>
    <w:rsid w:val="002632BE"/>
    <w:rsid w:val="002632F6"/>
    <w:rsid w:val="002634C9"/>
    <w:rsid w:val="00263858"/>
    <w:rsid w:val="002638AB"/>
    <w:rsid w:val="00263F0A"/>
    <w:rsid w:val="00263FC9"/>
    <w:rsid w:val="002645B0"/>
    <w:rsid w:val="00264ED1"/>
    <w:rsid w:val="00264F2F"/>
    <w:rsid w:val="00265764"/>
    <w:rsid w:val="00265AEB"/>
    <w:rsid w:val="002666DF"/>
    <w:rsid w:val="0026673C"/>
    <w:rsid w:val="002669F4"/>
    <w:rsid w:val="00266A6C"/>
    <w:rsid w:val="00266E68"/>
    <w:rsid w:val="00266E7E"/>
    <w:rsid w:val="00266F4B"/>
    <w:rsid w:val="0026713C"/>
    <w:rsid w:val="00267324"/>
    <w:rsid w:val="00267B76"/>
    <w:rsid w:val="0027025C"/>
    <w:rsid w:val="002702FB"/>
    <w:rsid w:val="002704B0"/>
    <w:rsid w:val="0027106F"/>
    <w:rsid w:val="002711BC"/>
    <w:rsid w:val="00272654"/>
    <w:rsid w:val="00272D79"/>
    <w:rsid w:val="00272FA4"/>
    <w:rsid w:val="0027316F"/>
    <w:rsid w:val="00273207"/>
    <w:rsid w:val="00273437"/>
    <w:rsid w:val="00273ED1"/>
    <w:rsid w:val="00274CB2"/>
    <w:rsid w:val="0027569C"/>
    <w:rsid w:val="00275AA9"/>
    <w:rsid w:val="00275F35"/>
    <w:rsid w:val="00276025"/>
    <w:rsid w:val="00276D92"/>
    <w:rsid w:val="00280524"/>
    <w:rsid w:val="00281731"/>
    <w:rsid w:val="00282945"/>
    <w:rsid w:val="00282CEE"/>
    <w:rsid w:val="002836D5"/>
    <w:rsid w:val="0028414D"/>
    <w:rsid w:val="002859F7"/>
    <w:rsid w:val="00285D7C"/>
    <w:rsid w:val="00286449"/>
    <w:rsid w:val="0028686F"/>
    <w:rsid w:val="00286DC5"/>
    <w:rsid w:val="002875DF"/>
    <w:rsid w:val="00287A59"/>
    <w:rsid w:val="00287B55"/>
    <w:rsid w:val="002902BF"/>
    <w:rsid w:val="002903EB"/>
    <w:rsid w:val="0029096B"/>
    <w:rsid w:val="00290B06"/>
    <w:rsid w:val="00290B08"/>
    <w:rsid w:val="00290E65"/>
    <w:rsid w:val="00291205"/>
    <w:rsid w:val="0029127A"/>
    <w:rsid w:val="00291961"/>
    <w:rsid w:val="0029267C"/>
    <w:rsid w:val="0029366E"/>
    <w:rsid w:val="00293957"/>
    <w:rsid w:val="002939F8"/>
    <w:rsid w:val="002942B0"/>
    <w:rsid w:val="002945FA"/>
    <w:rsid w:val="00294FCC"/>
    <w:rsid w:val="002959A4"/>
    <w:rsid w:val="00295EB2"/>
    <w:rsid w:val="00295FB2"/>
    <w:rsid w:val="002969C5"/>
    <w:rsid w:val="00296A1F"/>
    <w:rsid w:val="002971E2"/>
    <w:rsid w:val="002974BB"/>
    <w:rsid w:val="00297E2F"/>
    <w:rsid w:val="002A0236"/>
    <w:rsid w:val="002A0BE3"/>
    <w:rsid w:val="002A193D"/>
    <w:rsid w:val="002A1A9B"/>
    <w:rsid w:val="002A1DCA"/>
    <w:rsid w:val="002A224A"/>
    <w:rsid w:val="002A31DA"/>
    <w:rsid w:val="002A3A9C"/>
    <w:rsid w:val="002A3B4A"/>
    <w:rsid w:val="002A3CD2"/>
    <w:rsid w:val="002A4269"/>
    <w:rsid w:val="002A43A1"/>
    <w:rsid w:val="002A4BA6"/>
    <w:rsid w:val="002A4BCD"/>
    <w:rsid w:val="002A509F"/>
    <w:rsid w:val="002A52B6"/>
    <w:rsid w:val="002A548F"/>
    <w:rsid w:val="002A57E8"/>
    <w:rsid w:val="002A5A90"/>
    <w:rsid w:val="002A5C82"/>
    <w:rsid w:val="002A72E4"/>
    <w:rsid w:val="002A73E7"/>
    <w:rsid w:val="002A7F80"/>
    <w:rsid w:val="002B0033"/>
    <w:rsid w:val="002B0420"/>
    <w:rsid w:val="002B0DF3"/>
    <w:rsid w:val="002B2192"/>
    <w:rsid w:val="002B250E"/>
    <w:rsid w:val="002B275E"/>
    <w:rsid w:val="002B2C66"/>
    <w:rsid w:val="002B40DB"/>
    <w:rsid w:val="002B4346"/>
    <w:rsid w:val="002B4BAC"/>
    <w:rsid w:val="002B4D5A"/>
    <w:rsid w:val="002B59EE"/>
    <w:rsid w:val="002B5F4D"/>
    <w:rsid w:val="002B6382"/>
    <w:rsid w:val="002B6AB0"/>
    <w:rsid w:val="002B70FC"/>
    <w:rsid w:val="002B76E6"/>
    <w:rsid w:val="002C0165"/>
    <w:rsid w:val="002C04BB"/>
    <w:rsid w:val="002C0547"/>
    <w:rsid w:val="002C0C15"/>
    <w:rsid w:val="002C0DF3"/>
    <w:rsid w:val="002C18C5"/>
    <w:rsid w:val="002C1909"/>
    <w:rsid w:val="002C2207"/>
    <w:rsid w:val="002C248A"/>
    <w:rsid w:val="002C249E"/>
    <w:rsid w:val="002C359F"/>
    <w:rsid w:val="002C3901"/>
    <w:rsid w:val="002C3D1D"/>
    <w:rsid w:val="002C3FFF"/>
    <w:rsid w:val="002C40FE"/>
    <w:rsid w:val="002C4351"/>
    <w:rsid w:val="002C43BF"/>
    <w:rsid w:val="002C4427"/>
    <w:rsid w:val="002C44DF"/>
    <w:rsid w:val="002C475B"/>
    <w:rsid w:val="002C4D5C"/>
    <w:rsid w:val="002C5314"/>
    <w:rsid w:val="002C5430"/>
    <w:rsid w:val="002C55E4"/>
    <w:rsid w:val="002C55EC"/>
    <w:rsid w:val="002C589E"/>
    <w:rsid w:val="002C5B2A"/>
    <w:rsid w:val="002C5EA6"/>
    <w:rsid w:val="002C6508"/>
    <w:rsid w:val="002C6822"/>
    <w:rsid w:val="002C7037"/>
    <w:rsid w:val="002C72A7"/>
    <w:rsid w:val="002C79AB"/>
    <w:rsid w:val="002C7EF8"/>
    <w:rsid w:val="002C7F22"/>
    <w:rsid w:val="002D0341"/>
    <w:rsid w:val="002D0C3F"/>
    <w:rsid w:val="002D1733"/>
    <w:rsid w:val="002D1FB8"/>
    <w:rsid w:val="002D28D5"/>
    <w:rsid w:val="002D2DC7"/>
    <w:rsid w:val="002D2E34"/>
    <w:rsid w:val="002D2FFD"/>
    <w:rsid w:val="002D3424"/>
    <w:rsid w:val="002D49C8"/>
    <w:rsid w:val="002D4BC5"/>
    <w:rsid w:val="002D4DCF"/>
    <w:rsid w:val="002D4E80"/>
    <w:rsid w:val="002D5450"/>
    <w:rsid w:val="002D61D9"/>
    <w:rsid w:val="002D637B"/>
    <w:rsid w:val="002D63C9"/>
    <w:rsid w:val="002D66B7"/>
    <w:rsid w:val="002D6AEE"/>
    <w:rsid w:val="002D6E2F"/>
    <w:rsid w:val="002D7687"/>
    <w:rsid w:val="002E02CD"/>
    <w:rsid w:val="002E047A"/>
    <w:rsid w:val="002E13EB"/>
    <w:rsid w:val="002E17B2"/>
    <w:rsid w:val="002E17F3"/>
    <w:rsid w:val="002E2208"/>
    <w:rsid w:val="002E256A"/>
    <w:rsid w:val="002E2571"/>
    <w:rsid w:val="002E25E3"/>
    <w:rsid w:val="002E2F18"/>
    <w:rsid w:val="002E3371"/>
    <w:rsid w:val="002E3628"/>
    <w:rsid w:val="002E3827"/>
    <w:rsid w:val="002E3C28"/>
    <w:rsid w:val="002E41E9"/>
    <w:rsid w:val="002E5062"/>
    <w:rsid w:val="002E58E5"/>
    <w:rsid w:val="002E5E3D"/>
    <w:rsid w:val="002E6E39"/>
    <w:rsid w:val="002E71FA"/>
    <w:rsid w:val="002E7320"/>
    <w:rsid w:val="002F030F"/>
    <w:rsid w:val="002F07C5"/>
    <w:rsid w:val="002F152E"/>
    <w:rsid w:val="002F16BB"/>
    <w:rsid w:val="002F181D"/>
    <w:rsid w:val="002F1891"/>
    <w:rsid w:val="002F19D8"/>
    <w:rsid w:val="002F1DB5"/>
    <w:rsid w:val="002F2A9F"/>
    <w:rsid w:val="002F3158"/>
    <w:rsid w:val="002F3353"/>
    <w:rsid w:val="002F35F5"/>
    <w:rsid w:val="002F47C9"/>
    <w:rsid w:val="002F4AED"/>
    <w:rsid w:val="002F4F23"/>
    <w:rsid w:val="002F508D"/>
    <w:rsid w:val="002F50F0"/>
    <w:rsid w:val="002F54A6"/>
    <w:rsid w:val="002F6438"/>
    <w:rsid w:val="002F662C"/>
    <w:rsid w:val="002F68FF"/>
    <w:rsid w:val="002F6CC1"/>
    <w:rsid w:val="002F6EE9"/>
    <w:rsid w:val="002F6F21"/>
    <w:rsid w:val="002F7463"/>
    <w:rsid w:val="002F78D5"/>
    <w:rsid w:val="002F7D0F"/>
    <w:rsid w:val="00300143"/>
    <w:rsid w:val="003002C3"/>
    <w:rsid w:val="0030035E"/>
    <w:rsid w:val="003003C1"/>
    <w:rsid w:val="00300935"/>
    <w:rsid w:val="003009DD"/>
    <w:rsid w:val="0030117B"/>
    <w:rsid w:val="0030297A"/>
    <w:rsid w:val="00302E0E"/>
    <w:rsid w:val="00302E84"/>
    <w:rsid w:val="00303A2B"/>
    <w:rsid w:val="00303CAA"/>
    <w:rsid w:val="00303FDE"/>
    <w:rsid w:val="0030400D"/>
    <w:rsid w:val="003043B6"/>
    <w:rsid w:val="00304B38"/>
    <w:rsid w:val="003051F9"/>
    <w:rsid w:val="00306751"/>
    <w:rsid w:val="00306C73"/>
    <w:rsid w:val="00306F9D"/>
    <w:rsid w:val="00307251"/>
    <w:rsid w:val="00307675"/>
    <w:rsid w:val="0030781B"/>
    <w:rsid w:val="00307A02"/>
    <w:rsid w:val="00307A77"/>
    <w:rsid w:val="00310B16"/>
    <w:rsid w:val="00311437"/>
    <w:rsid w:val="003114F4"/>
    <w:rsid w:val="00311800"/>
    <w:rsid w:val="00312B61"/>
    <w:rsid w:val="0031385D"/>
    <w:rsid w:val="00313876"/>
    <w:rsid w:val="00314009"/>
    <w:rsid w:val="00315667"/>
    <w:rsid w:val="00315D70"/>
    <w:rsid w:val="00315E3F"/>
    <w:rsid w:val="00316125"/>
    <w:rsid w:val="00316789"/>
    <w:rsid w:val="0031685B"/>
    <w:rsid w:val="00316B61"/>
    <w:rsid w:val="00316FB6"/>
    <w:rsid w:val="00317095"/>
    <w:rsid w:val="003174C2"/>
    <w:rsid w:val="003178DD"/>
    <w:rsid w:val="0032022A"/>
    <w:rsid w:val="00321CB6"/>
    <w:rsid w:val="0032283E"/>
    <w:rsid w:val="00322E57"/>
    <w:rsid w:val="00322E93"/>
    <w:rsid w:val="003232C2"/>
    <w:rsid w:val="00323AB5"/>
    <w:rsid w:val="0032421F"/>
    <w:rsid w:val="00324557"/>
    <w:rsid w:val="00324559"/>
    <w:rsid w:val="00324570"/>
    <w:rsid w:val="00324883"/>
    <w:rsid w:val="0032493B"/>
    <w:rsid w:val="00324DE7"/>
    <w:rsid w:val="00325063"/>
    <w:rsid w:val="00325165"/>
    <w:rsid w:val="00325496"/>
    <w:rsid w:val="00325E3D"/>
    <w:rsid w:val="00326248"/>
    <w:rsid w:val="003264FD"/>
    <w:rsid w:val="003269CA"/>
    <w:rsid w:val="00326C2F"/>
    <w:rsid w:val="00327673"/>
    <w:rsid w:val="003279F3"/>
    <w:rsid w:val="003302E9"/>
    <w:rsid w:val="003304AA"/>
    <w:rsid w:val="003308F3"/>
    <w:rsid w:val="0033094D"/>
    <w:rsid w:val="003311E3"/>
    <w:rsid w:val="003312C0"/>
    <w:rsid w:val="003313FA"/>
    <w:rsid w:val="003316E7"/>
    <w:rsid w:val="00331AC0"/>
    <w:rsid w:val="00331B90"/>
    <w:rsid w:val="00331D8D"/>
    <w:rsid w:val="00332209"/>
    <w:rsid w:val="00332A17"/>
    <w:rsid w:val="003343E3"/>
    <w:rsid w:val="003344BA"/>
    <w:rsid w:val="00334678"/>
    <w:rsid w:val="00334851"/>
    <w:rsid w:val="00334B2B"/>
    <w:rsid w:val="00334CFD"/>
    <w:rsid w:val="003356E6"/>
    <w:rsid w:val="00335923"/>
    <w:rsid w:val="00335E3E"/>
    <w:rsid w:val="00336067"/>
    <w:rsid w:val="0033657E"/>
    <w:rsid w:val="00336791"/>
    <w:rsid w:val="00336C77"/>
    <w:rsid w:val="00336E0E"/>
    <w:rsid w:val="00337010"/>
    <w:rsid w:val="00337078"/>
    <w:rsid w:val="00337975"/>
    <w:rsid w:val="00337A75"/>
    <w:rsid w:val="00340740"/>
    <w:rsid w:val="00340B95"/>
    <w:rsid w:val="003415F6"/>
    <w:rsid w:val="00341B59"/>
    <w:rsid w:val="00341BB0"/>
    <w:rsid w:val="00341D58"/>
    <w:rsid w:val="003423BE"/>
    <w:rsid w:val="003425D2"/>
    <w:rsid w:val="003427BB"/>
    <w:rsid w:val="003429AD"/>
    <w:rsid w:val="00342C65"/>
    <w:rsid w:val="00343B30"/>
    <w:rsid w:val="00343C6E"/>
    <w:rsid w:val="00344004"/>
    <w:rsid w:val="0034463D"/>
    <w:rsid w:val="00344B03"/>
    <w:rsid w:val="00344CCC"/>
    <w:rsid w:val="00344D60"/>
    <w:rsid w:val="00345132"/>
    <w:rsid w:val="00345625"/>
    <w:rsid w:val="00345A24"/>
    <w:rsid w:val="00345B0F"/>
    <w:rsid w:val="00345C40"/>
    <w:rsid w:val="003462C0"/>
    <w:rsid w:val="00346396"/>
    <w:rsid w:val="00346596"/>
    <w:rsid w:val="003468CF"/>
    <w:rsid w:val="00346E4E"/>
    <w:rsid w:val="00347350"/>
    <w:rsid w:val="003476D0"/>
    <w:rsid w:val="0035053C"/>
    <w:rsid w:val="00350625"/>
    <w:rsid w:val="0035066F"/>
    <w:rsid w:val="003508E4"/>
    <w:rsid w:val="00350B6B"/>
    <w:rsid w:val="00350D1A"/>
    <w:rsid w:val="00350F25"/>
    <w:rsid w:val="00351515"/>
    <w:rsid w:val="00351911"/>
    <w:rsid w:val="00351CA6"/>
    <w:rsid w:val="00351F4D"/>
    <w:rsid w:val="00351FD4"/>
    <w:rsid w:val="0035242D"/>
    <w:rsid w:val="00352906"/>
    <w:rsid w:val="00352908"/>
    <w:rsid w:val="00352DDF"/>
    <w:rsid w:val="00352FB8"/>
    <w:rsid w:val="00353168"/>
    <w:rsid w:val="00353628"/>
    <w:rsid w:val="00353CD2"/>
    <w:rsid w:val="0035402D"/>
    <w:rsid w:val="003540B9"/>
    <w:rsid w:val="0035472C"/>
    <w:rsid w:val="00355008"/>
    <w:rsid w:val="0035601C"/>
    <w:rsid w:val="00356312"/>
    <w:rsid w:val="0035660B"/>
    <w:rsid w:val="003578F5"/>
    <w:rsid w:val="00357AB3"/>
    <w:rsid w:val="00357D5E"/>
    <w:rsid w:val="00357DC4"/>
    <w:rsid w:val="003604BF"/>
    <w:rsid w:val="00360534"/>
    <w:rsid w:val="003614DA"/>
    <w:rsid w:val="00361B7B"/>
    <w:rsid w:val="003621C1"/>
    <w:rsid w:val="00362215"/>
    <w:rsid w:val="00362275"/>
    <w:rsid w:val="00362D14"/>
    <w:rsid w:val="00363128"/>
    <w:rsid w:val="0036406A"/>
    <w:rsid w:val="00364495"/>
    <w:rsid w:val="003645B4"/>
    <w:rsid w:val="00364730"/>
    <w:rsid w:val="00364DDB"/>
    <w:rsid w:val="00364F2A"/>
    <w:rsid w:val="00364F37"/>
    <w:rsid w:val="003650F4"/>
    <w:rsid w:val="00365131"/>
    <w:rsid w:val="003659DF"/>
    <w:rsid w:val="00365B84"/>
    <w:rsid w:val="00365E4B"/>
    <w:rsid w:val="00366177"/>
    <w:rsid w:val="00366333"/>
    <w:rsid w:val="00366AC7"/>
    <w:rsid w:val="003674FB"/>
    <w:rsid w:val="0036773B"/>
    <w:rsid w:val="0037036C"/>
    <w:rsid w:val="003705A9"/>
    <w:rsid w:val="00371405"/>
    <w:rsid w:val="003721FE"/>
    <w:rsid w:val="003723D1"/>
    <w:rsid w:val="00372DED"/>
    <w:rsid w:val="00373114"/>
    <w:rsid w:val="003731FA"/>
    <w:rsid w:val="00373544"/>
    <w:rsid w:val="00373AA6"/>
    <w:rsid w:val="0037441F"/>
    <w:rsid w:val="00374C4A"/>
    <w:rsid w:val="00375147"/>
    <w:rsid w:val="00375DA4"/>
    <w:rsid w:val="0037614C"/>
    <w:rsid w:val="00376EE1"/>
    <w:rsid w:val="0037775C"/>
    <w:rsid w:val="0038073B"/>
    <w:rsid w:val="00381706"/>
    <w:rsid w:val="003817A9"/>
    <w:rsid w:val="00381AC0"/>
    <w:rsid w:val="00381E22"/>
    <w:rsid w:val="00381F22"/>
    <w:rsid w:val="00381F87"/>
    <w:rsid w:val="00381FFD"/>
    <w:rsid w:val="00382402"/>
    <w:rsid w:val="00383028"/>
    <w:rsid w:val="0038358A"/>
    <w:rsid w:val="00383DC8"/>
    <w:rsid w:val="00383FBE"/>
    <w:rsid w:val="00385E6A"/>
    <w:rsid w:val="00386733"/>
    <w:rsid w:val="00386808"/>
    <w:rsid w:val="00386891"/>
    <w:rsid w:val="00387004"/>
    <w:rsid w:val="00387553"/>
    <w:rsid w:val="00392074"/>
    <w:rsid w:val="00392182"/>
    <w:rsid w:val="0039222B"/>
    <w:rsid w:val="003927AA"/>
    <w:rsid w:val="0039288A"/>
    <w:rsid w:val="00392BFE"/>
    <w:rsid w:val="00393700"/>
    <w:rsid w:val="003939C3"/>
    <w:rsid w:val="0039497C"/>
    <w:rsid w:val="00394C62"/>
    <w:rsid w:val="00394C9E"/>
    <w:rsid w:val="00395885"/>
    <w:rsid w:val="00395B8A"/>
    <w:rsid w:val="0039616F"/>
    <w:rsid w:val="00396F2A"/>
    <w:rsid w:val="003970AB"/>
    <w:rsid w:val="003A01B5"/>
    <w:rsid w:val="003A020A"/>
    <w:rsid w:val="003A07E3"/>
    <w:rsid w:val="003A0AE2"/>
    <w:rsid w:val="003A12F3"/>
    <w:rsid w:val="003A1BDF"/>
    <w:rsid w:val="003A20CC"/>
    <w:rsid w:val="003A3069"/>
    <w:rsid w:val="003A31D3"/>
    <w:rsid w:val="003A3662"/>
    <w:rsid w:val="003A39F7"/>
    <w:rsid w:val="003A3A42"/>
    <w:rsid w:val="003A3F1B"/>
    <w:rsid w:val="003A40F6"/>
    <w:rsid w:val="003A4D0E"/>
    <w:rsid w:val="003A4D40"/>
    <w:rsid w:val="003A5596"/>
    <w:rsid w:val="003A5704"/>
    <w:rsid w:val="003A5A26"/>
    <w:rsid w:val="003A5C4A"/>
    <w:rsid w:val="003A5F48"/>
    <w:rsid w:val="003A5F74"/>
    <w:rsid w:val="003A63E5"/>
    <w:rsid w:val="003A6B9A"/>
    <w:rsid w:val="003A7144"/>
    <w:rsid w:val="003A72C7"/>
    <w:rsid w:val="003B02CB"/>
    <w:rsid w:val="003B06C9"/>
    <w:rsid w:val="003B0FA3"/>
    <w:rsid w:val="003B1093"/>
    <w:rsid w:val="003B12A3"/>
    <w:rsid w:val="003B12CD"/>
    <w:rsid w:val="003B15FF"/>
    <w:rsid w:val="003B1B97"/>
    <w:rsid w:val="003B2FF4"/>
    <w:rsid w:val="003B3512"/>
    <w:rsid w:val="003B376F"/>
    <w:rsid w:val="003B4478"/>
    <w:rsid w:val="003B462F"/>
    <w:rsid w:val="003B52E4"/>
    <w:rsid w:val="003B5F72"/>
    <w:rsid w:val="003B701D"/>
    <w:rsid w:val="003B7F91"/>
    <w:rsid w:val="003C01A5"/>
    <w:rsid w:val="003C0DB4"/>
    <w:rsid w:val="003C0DF9"/>
    <w:rsid w:val="003C108D"/>
    <w:rsid w:val="003C165B"/>
    <w:rsid w:val="003C1A7B"/>
    <w:rsid w:val="003C21EA"/>
    <w:rsid w:val="003C2788"/>
    <w:rsid w:val="003C2EC6"/>
    <w:rsid w:val="003C30A5"/>
    <w:rsid w:val="003C3D43"/>
    <w:rsid w:val="003C487E"/>
    <w:rsid w:val="003C4913"/>
    <w:rsid w:val="003C5216"/>
    <w:rsid w:val="003C5339"/>
    <w:rsid w:val="003C5834"/>
    <w:rsid w:val="003C614A"/>
    <w:rsid w:val="003C61A7"/>
    <w:rsid w:val="003C6652"/>
    <w:rsid w:val="003C677C"/>
    <w:rsid w:val="003C7060"/>
    <w:rsid w:val="003C7E48"/>
    <w:rsid w:val="003C7EF0"/>
    <w:rsid w:val="003D00FA"/>
    <w:rsid w:val="003D039C"/>
    <w:rsid w:val="003D04D8"/>
    <w:rsid w:val="003D064A"/>
    <w:rsid w:val="003D081D"/>
    <w:rsid w:val="003D17A9"/>
    <w:rsid w:val="003D238C"/>
    <w:rsid w:val="003D245A"/>
    <w:rsid w:val="003D2A7C"/>
    <w:rsid w:val="003D2C5D"/>
    <w:rsid w:val="003D2E08"/>
    <w:rsid w:val="003D2FC1"/>
    <w:rsid w:val="003D499A"/>
    <w:rsid w:val="003D49A8"/>
    <w:rsid w:val="003D5558"/>
    <w:rsid w:val="003D5967"/>
    <w:rsid w:val="003D6E6A"/>
    <w:rsid w:val="003E0964"/>
    <w:rsid w:val="003E0A56"/>
    <w:rsid w:val="003E1168"/>
    <w:rsid w:val="003E1222"/>
    <w:rsid w:val="003E1296"/>
    <w:rsid w:val="003E14EC"/>
    <w:rsid w:val="003E164A"/>
    <w:rsid w:val="003E260B"/>
    <w:rsid w:val="003E26D1"/>
    <w:rsid w:val="003E3523"/>
    <w:rsid w:val="003E36F6"/>
    <w:rsid w:val="003E40B7"/>
    <w:rsid w:val="003E40CC"/>
    <w:rsid w:val="003E41B2"/>
    <w:rsid w:val="003E4733"/>
    <w:rsid w:val="003E49F4"/>
    <w:rsid w:val="003E4C00"/>
    <w:rsid w:val="003E5DF0"/>
    <w:rsid w:val="003E60F3"/>
    <w:rsid w:val="003E6431"/>
    <w:rsid w:val="003E6437"/>
    <w:rsid w:val="003E658B"/>
    <w:rsid w:val="003E67ED"/>
    <w:rsid w:val="003E6C75"/>
    <w:rsid w:val="003E71B0"/>
    <w:rsid w:val="003E7BBB"/>
    <w:rsid w:val="003E7D1D"/>
    <w:rsid w:val="003E7FCC"/>
    <w:rsid w:val="003F0068"/>
    <w:rsid w:val="003F01F4"/>
    <w:rsid w:val="003F0598"/>
    <w:rsid w:val="003F0D33"/>
    <w:rsid w:val="003F1170"/>
    <w:rsid w:val="003F17C8"/>
    <w:rsid w:val="003F1A22"/>
    <w:rsid w:val="003F1ABF"/>
    <w:rsid w:val="003F1BD8"/>
    <w:rsid w:val="003F1F3D"/>
    <w:rsid w:val="003F2188"/>
    <w:rsid w:val="003F23F1"/>
    <w:rsid w:val="003F483A"/>
    <w:rsid w:val="003F4BE9"/>
    <w:rsid w:val="003F4CC7"/>
    <w:rsid w:val="003F5628"/>
    <w:rsid w:val="003F5677"/>
    <w:rsid w:val="003F5C12"/>
    <w:rsid w:val="003F5C64"/>
    <w:rsid w:val="003F6B4E"/>
    <w:rsid w:val="003F730B"/>
    <w:rsid w:val="003F73C2"/>
    <w:rsid w:val="003F76C6"/>
    <w:rsid w:val="003F7D85"/>
    <w:rsid w:val="004003A0"/>
    <w:rsid w:val="00400409"/>
    <w:rsid w:val="00400413"/>
    <w:rsid w:val="004006A6"/>
    <w:rsid w:val="004008EC"/>
    <w:rsid w:val="00400E9D"/>
    <w:rsid w:val="00400EF0"/>
    <w:rsid w:val="0040127C"/>
    <w:rsid w:val="0040140A"/>
    <w:rsid w:val="0040183C"/>
    <w:rsid w:val="00401DAA"/>
    <w:rsid w:val="004020B6"/>
    <w:rsid w:val="004020C7"/>
    <w:rsid w:val="004021FB"/>
    <w:rsid w:val="00402213"/>
    <w:rsid w:val="00402FDC"/>
    <w:rsid w:val="0040358D"/>
    <w:rsid w:val="00403CFD"/>
    <w:rsid w:val="00404B12"/>
    <w:rsid w:val="00404C23"/>
    <w:rsid w:val="00404E65"/>
    <w:rsid w:val="00405F94"/>
    <w:rsid w:val="0040607E"/>
    <w:rsid w:val="0040685C"/>
    <w:rsid w:val="00406C23"/>
    <w:rsid w:val="0040776A"/>
    <w:rsid w:val="00407B3C"/>
    <w:rsid w:val="00407B5B"/>
    <w:rsid w:val="00410091"/>
    <w:rsid w:val="0041038F"/>
    <w:rsid w:val="00410443"/>
    <w:rsid w:val="00410A54"/>
    <w:rsid w:val="00410CAB"/>
    <w:rsid w:val="00410CED"/>
    <w:rsid w:val="00410D5F"/>
    <w:rsid w:val="0041146E"/>
    <w:rsid w:val="00411766"/>
    <w:rsid w:val="00411982"/>
    <w:rsid w:val="004119AE"/>
    <w:rsid w:val="00411B29"/>
    <w:rsid w:val="00411B4F"/>
    <w:rsid w:val="00411BDD"/>
    <w:rsid w:val="00412221"/>
    <w:rsid w:val="0041309B"/>
    <w:rsid w:val="004142EB"/>
    <w:rsid w:val="004145FD"/>
    <w:rsid w:val="004148A8"/>
    <w:rsid w:val="00414BEB"/>
    <w:rsid w:val="00416128"/>
    <w:rsid w:val="004161BE"/>
    <w:rsid w:val="004168D1"/>
    <w:rsid w:val="00416996"/>
    <w:rsid w:val="00416CCB"/>
    <w:rsid w:val="0041724F"/>
    <w:rsid w:val="00417D3F"/>
    <w:rsid w:val="00417E24"/>
    <w:rsid w:val="00420896"/>
    <w:rsid w:val="004209B6"/>
    <w:rsid w:val="0042122B"/>
    <w:rsid w:val="00422251"/>
    <w:rsid w:val="00422325"/>
    <w:rsid w:val="00422368"/>
    <w:rsid w:val="00422510"/>
    <w:rsid w:val="00422A5F"/>
    <w:rsid w:val="00422E86"/>
    <w:rsid w:val="00423435"/>
    <w:rsid w:val="00423944"/>
    <w:rsid w:val="004243F9"/>
    <w:rsid w:val="00424C57"/>
    <w:rsid w:val="00424CA3"/>
    <w:rsid w:val="00425550"/>
    <w:rsid w:val="00425590"/>
    <w:rsid w:val="0042579A"/>
    <w:rsid w:val="00426036"/>
    <w:rsid w:val="00426282"/>
    <w:rsid w:val="004264B9"/>
    <w:rsid w:val="00426782"/>
    <w:rsid w:val="00426F84"/>
    <w:rsid w:val="004275AF"/>
    <w:rsid w:val="0042762F"/>
    <w:rsid w:val="00427AAE"/>
    <w:rsid w:val="00427D77"/>
    <w:rsid w:val="004309E7"/>
    <w:rsid w:val="00431049"/>
    <w:rsid w:val="0043189F"/>
    <w:rsid w:val="00431C9F"/>
    <w:rsid w:val="004321CC"/>
    <w:rsid w:val="0043311D"/>
    <w:rsid w:val="00433423"/>
    <w:rsid w:val="00433534"/>
    <w:rsid w:val="00433B75"/>
    <w:rsid w:val="0043415C"/>
    <w:rsid w:val="00434308"/>
    <w:rsid w:val="00434377"/>
    <w:rsid w:val="0043576A"/>
    <w:rsid w:val="00435827"/>
    <w:rsid w:val="00435896"/>
    <w:rsid w:val="00435DFC"/>
    <w:rsid w:val="004360AA"/>
    <w:rsid w:val="00436262"/>
    <w:rsid w:val="00436BA0"/>
    <w:rsid w:val="00436F52"/>
    <w:rsid w:val="004370B5"/>
    <w:rsid w:val="0043724F"/>
    <w:rsid w:val="00437683"/>
    <w:rsid w:val="00437874"/>
    <w:rsid w:val="004405BE"/>
    <w:rsid w:val="00440C74"/>
    <w:rsid w:val="00441782"/>
    <w:rsid w:val="00441B2D"/>
    <w:rsid w:val="00441C7D"/>
    <w:rsid w:val="00443040"/>
    <w:rsid w:val="00443295"/>
    <w:rsid w:val="00443504"/>
    <w:rsid w:val="0044359F"/>
    <w:rsid w:val="00443A0A"/>
    <w:rsid w:val="00443B19"/>
    <w:rsid w:val="00443BF5"/>
    <w:rsid w:val="00443E0A"/>
    <w:rsid w:val="00444346"/>
    <w:rsid w:val="00444905"/>
    <w:rsid w:val="0044536F"/>
    <w:rsid w:val="004454B4"/>
    <w:rsid w:val="00445952"/>
    <w:rsid w:val="00446004"/>
    <w:rsid w:val="0044698E"/>
    <w:rsid w:val="00446F29"/>
    <w:rsid w:val="0044708A"/>
    <w:rsid w:val="0044754C"/>
    <w:rsid w:val="00447720"/>
    <w:rsid w:val="00447923"/>
    <w:rsid w:val="0045002C"/>
    <w:rsid w:val="0045082E"/>
    <w:rsid w:val="00451AA2"/>
    <w:rsid w:val="00451B28"/>
    <w:rsid w:val="00451ED0"/>
    <w:rsid w:val="0045271A"/>
    <w:rsid w:val="00452CF3"/>
    <w:rsid w:val="00452E4C"/>
    <w:rsid w:val="00452FEB"/>
    <w:rsid w:val="0045321A"/>
    <w:rsid w:val="00453465"/>
    <w:rsid w:val="004549EF"/>
    <w:rsid w:val="00454CC1"/>
    <w:rsid w:val="0045577A"/>
    <w:rsid w:val="00455886"/>
    <w:rsid w:val="00455E9E"/>
    <w:rsid w:val="00456234"/>
    <w:rsid w:val="00456907"/>
    <w:rsid w:val="00457174"/>
    <w:rsid w:val="004576FA"/>
    <w:rsid w:val="00457B52"/>
    <w:rsid w:val="004608B0"/>
    <w:rsid w:val="00460927"/>
    <w:rsid w:val="00460933"/>
    <w:rsid w:val="00460FC9"/>
    <w:rsid w:val="00461110"/>
    <w:rsid w:val="00461118"/>
    <w:rsid w:val="00461480"/>
    <w:rsid w:val="00462422"/>
    <w:rsid w:val="004636D4"/>
    <w:rsid w:val="00463963"/>
    <w:rsid w:val="00463A49"/>
    <w:rsid w:val="00463CD2"/>
    <w:rsid w:val="004642A2"/>
    <w:rsid w:val="004642A5"/>
    <w:rsid w:val="004644CB"/>
    <w:rsid w:val="00464D5A"/>
    <w:rsid w:val="00465071"/>
    <w:rsid w:val="0046594A"/>
    <w:rsid w:val="00465C30"/>
    <w:rsid w:val="00465F04"/>
    <w:rsid w:val="00465F6A"/>
    <w:rsid w:val="00465FFB"/>
    <w:rsid w:val="004662A3"/>
    <w:rsid w:val="0046634D"/>
    <w:rsid w:val="00466370"/>
    <w:rsid w:val="00466531"/>
    <w:rsid w:val="00466787"/>
    <w:rsid w:val="0046679E"/>
    <w:rsid w:val="00466966"/>
    <w:rsid w:val="0046696A"/>
    <w:rsid w:val="00466D0A"/>
    <w:rsid w:val="00466FD1"/>
    <w:rsid w:val="00467896"/>
    <w:rsid w:val="004678B5"/>
    <w:rsid w:val="00467FAC"/>
    <w:rsid w:val="0047024B"/>
    <w:rsid w:val="0047025E"/>
    <w:rsid w:val="00470312"/>
    <w:rsid w:val="0047098D"/>
    <w:rsid w:val="004710A0"/>
    <w:rsid w:val="004711A5"/>
    <w:rsid w:val="004715BE"/>
    <w:rsid w:val="00471906"/>
    <w:rsid w:val="00471B7B"/>
    <w:rsid w:val="0047239E"/>
    <w:rsid w:val="004727CB"/>
    <w:rsid w:val="004734E5"/>
    <w:rsid w:val="0047365C"/>
    <w:rsid w:val="00473A82"/>
    <w:rsid w:val="00473CAE"/>
    <w:rsid w:val="00474012"/>
    <w:rsid w:val="004746F7"/>
    <w:rsid w:val="0047486E"/>
    <w:rsid w:val="004749E6"/>
    <w:rsid w:val="004751A6"/>
    <w:rsid w:val="00475826"/>
    <w:rsid w:val="00475B3F"/>
    <w:rsid w:val="00476C00"/>
    <w:rsid w:val="00477E28"/>
    <w:rsid w:val="00477FE3"/>
    <w:rsid w:val="00480289"/>
    <w:rsid w:val="0048121C"/>
    <w:rsid w:val="00481611"/>
    <w:rsid w:val="0048174C"/>
    <w:rsid w:val="00481D39"/>
    <w:rsid w:val="00481D4F"/>
    <w:rsid w:val="0048278E"/>
    <w:rsid w:val="00482889"/>
    <w:rsid w:val="004830E4"/>
    <w:rsid w:val="0048321F"/>
    <w:rsid w:val="00483294"/>
    <w:rsid w:val="0048477A"/>
    <w:rsid w:val="00484B2F"/>
    <w:rsid w:val="00484B35"/>
    <w:rsid w:val="004856A3"/>
    <w:rsid w:val="004859CB"/>
    <w:rsid w:val="004861F6"/>
    <w:rsid w:val="00486817"/>
    <w:rsid w:val="004871ED"/>
    <w:rsid w:val="00487204"/>
    <w:rsid w:val="00487876"/>
    <w:rsid w:val="00490068"/>
    <w:rsid w:val="00490261"/>
    <w:rsid w:val="004904C9"/>
    <w:rsid w:val="00490C4F"/>
    <w:rsid w:val="00490D1B"/>
    <w:rsid w:val="004914ED"/>
    <w:rsid w:val="004918B3"/>
    <w:rsid w:val="00491B00"/>
    <w:rsid w:val="00492F24"/>
    <w:rsid w:val="00492F67"/>
    <w:rsid w:val="004946F2"/>
    <w:rsid w:val="004947E5"/>
    <w:rsid w:val="00494BD6"/>
    <w:rsid w:val="00495109"/>
    <w:rsid w:val="00495749"/>
    <w:rsid w:val="00496272"/>
    <w:rsid w:val="00496C02"/>
    <w:rsid w:val="00497175"/>
    <w:rsid w:val="0049717E"/>
    <w:rsid w:val="00497462"/>
    <w:rsid w:val="00497906"/>
    <w:rsid w:val="004A06FA"/>
    <w:rsid w:val="004A071C"/>
    <w:rsid w:val="004A0D26"/>
    <w:rsid w:val="004A0EE0"/>
    <w:rsid w:val="004A10E5"/>
    <w:rsid w:val="004A1234"/>
    <w:rsid w:val="004A12B3"/>
    <w:rsid w:val="004A223E"/>
    <w:rsid w:val="004A290A"/>
    <w:rsid w:val="004A31FD"/>
    <w:rsid w:val="004A345B"/>
    <w:rsid w:val="004A34B2"/>
    <w:rsid w:val="004A369E"/>
    <w:rsid w:val="004A3747"/>
    <w:rsid w:val="004A3DA9"/>
    <w:rsid w:val="004A4A04"/>
    <w:rsid w:val="004A4A92"/>
    <w:rsid w:val="004A4AEE"/>
    <w:rsid w:val="004A50C1"/>
    <w:rsid w:val="004A5AA0"/>
    <w:rsid w:val="004A60F1"/>
    <w:rsid w:val="004A799D"/>
    <w:rsid w:val="004A7F08"/>
    <w:rsid w:val="004B0114"/>
    <w:rsid w:val="004B0E70"/>
    <w:rsid w:val="004B16E8"/>
    <w:rsid w:val="004B2040"/>
    <w:rsid w:val="004B2880"/>
    <w:rsid w:val="004B2955"/>
    <w:rsid w:val="004B29AA"/>
    <w:rsid w:val="004B2B2E"/>
    <w:rsid w:val="004B2F84"/>
    <w:rsid w:val="004B341E"/>
    <w:rsid w:val="004B351C"/>
    <w:rsid w:val="004B4E4F"/>
    <w:rsid w:val="004B50D0"/>
    <w:rsid w:val="004B5127"/>
    <w:rsid w:val="004B54F9"/>
    <w:rsid w:val="004B5E52"/>
    <w:rsid w:val="004B605F"/>
    <w:rsid w:val="004B6127"/>
    <w:rsid w:val="004B6C9E"/>
    <w:rsid w:val="004B7735"/>
    <w:rsid w:val="004B77A7"/>
    <w:rsid w:val="004C14B0"/>
    <w:rsid w:val="004C154C"/>
    <w:rsid w:val="004C1750"/>
    <w:rsid w:val="004C18B2"/>
    <w:rsid w:val="004C1C13"/>
    <w:rsid w:val="004C1C25"/>
    <w:rsid w:val="004C2111"/>
    <w:rsid w:val="004C23A8"/>
    <w:rsid w:val="004C2A82"/>
    <w:rsid w:val="004C2C23"/>
    <w:rsid w:val="004C3571"/>
    <w:rsid w:val="004C3668"/>
    <w:rsid w:val="004C3CC9"/>
    <w:rsid w:val="004C460D"/>
    <w:rsid w:val="004C4C36"/>
    <w:rsid w:val="004C51DF"/>
    <w:rsid w:val="004C5649"/>
    <w:rsid w:val="004C569B"/>
    <w:rsid w:val="004C5A17"/>
    <w:rsid w:val="004C5C59"/>
    <w:rsid w:val="004C6305"/>
    <w:rsid w:val="004C6958"/>
    <w:rsid w:val="004C6A5C"/>
    <w:rsid w:val="004C6BE7"/>
    <w:rsid w:val="004C6D00"/>
    <w:rsid w:val="004C6F25"/>
    <w:rsid w:val="004C7108"/>
    <w:rsid w:val="004C7AFA"/>
    <w:rsid w:val="004C7BBE"/>
    <w:rsid w:val="004C7FED"/>
    <w:rsid w:val="004D043E"/>
    <w:rsid w:val="004D051D"/>
    <w:rsid w:val="004D05A8"/>
    <w:rsid w:val="004D05E1"/>
    <w:rsid w:val="004D12CD"/>
    <w:rsid w:val="004D1713"/>
    <w:rsid w:val="004D198D"/>
    <w:rsid w:val="004D1D7D"/>
    <w:rsid w:val="004D26A7"/>
    <w:rsid w:val="004D2888"/>
    <w:rsid w:val="004D3088"/>
    <w:rsid w:val="004D3638"/>
    <w:rsid w:val="004D3EE7"/>
    <w:rsid w:val="004D44B3"/>
    <w:rsid w:val="004D4720"/>
    <w:rsid w:val="004D4C07"/>
    <w:rsid w:val="004D50A4"/>
    <w:rsid w:val="004D556B"/>
    <w:rsid w:val="004D56EA"/>
    <w:rsid w:val="004D57ED"/>
    <w:rsid w:val="004D66CA"/>
    <w:rsid w:val="004D6867"/>
    <w:rsid w:val="004D6C40"/>
    <w:rsid w:val="004D6D21"/>
    <w:rsid w:val="004D7D6C"/>
    <w:rsid w:val="004D7D88"/>
    <w:rsid w:val="004D7F9B"/>
    <w:rsid w:val="004E0161"/>
    <w:rsid w:val="004E0634"/>
    <w:rsid w:val="004E0C71"/>
    <w:rsid w:val="004E0E64"/>
    <w:rsid w:val="004E108F"/>
    <w:rsid w:val="004E160A"/>
    <w:rsid w:val="004E1C17"/>
    <w:rsid w:val="004E1F38"/>
    <w:rsid w:val="004E21C9"/>
    <w:rsid w:val="004E21FA"/>
    <w:rsid w:val="004E2945"/>
    <w:rsid w:val="004E2D09"/>
    <w:rsid w:val="004E2FA1"/>
    <w:rsid w:val="004E301D"/>
    <w:rsid w:val="004E316B"/>
    <w:rsid w:val="004E3AC3"/>
    <w:rsid w:val="004E3F82"/>
    <w:rsid w:val="004E406A"/>
    <w:rsid w:val="004E4879"/>
    <w:rsid w:val="004E4942"/>
    <w:rsid w:val="004E4F0A"/>
    <w:rsid w:val="004E5118"/>
    <w:rsid w:val="004E5383"/>
    <w:rsid w:val="004E55E0"/>
    <w:rsid w:val="004E5774"/>
    <w:rsid w:val="004E59BA"/>
    <w:rsid w:val="004E5BB0"/>
    <w:rsid w:val="004E5BCF"/>
    <w:rsid w:val="004E5C83"/>
    <w:rsid w:val="004E5E53"/>
    <w:rsid w:val="004E6679"/>
    <w:rsid w:val="004E71AC"/>
    <w:rsid w:val="004E71F3"/>
    <w:rsid w:val="004E7B22"/>
    <w:rsid w:val="004E7E1F"/>
    <w:rsid w:val="004F01DE"/>
    <w:rsid w:val="004F0554"/>
    <w:rsid w:val="004F1523"/>
    <w:rsid w:val="004F177C"/>
    <w:rsid w:val="004F17D2"/>
    <w:rsid w:val="004F2B10"/>
    <w:rsid w:val="004F2D81"/>
    <w:rsid w:val="004F2F44"/>
    <w:rsid w:val="004F3632"/>
    <w:rsid w:val="004F3C29"/>
    <w:rsid w:val="004F412A"/>
    <w:rsid w:val="004F43B9"/>
    <w:rsid w:val="004F4DC9"/>
    <w:rsid w:val="004F4F9C"/>
    <w:rsid w:val="004F542D"/>
    <w:rsid w:val="004F61DA"/>
    <w:rsid w:val="004F6700"/>
    <w:rsid w:val="004F6877"/>
    <w:rsid w:val="004F708D"/>
    <w:rsid w:val="004F7680"/>
    <w:rsid w:val="004F7813"/>
    <w:rsid w:val="004F78EF"/>
    <w:rsid w:val="004F7E19"/>
    <w:rsid w:val="004F7F75"/>
    <w:rsid w:val="004F7FE5"/>
    <w:rsid w:val="0050005B"/>
    <w:rsid w:val="00500209"/>
    <w:rsid w:val="005005DA"/>
    <w:rsid w:val="00500859"/>
    <w:rsid w:val="00500C8A"/>
    <w:rsid w:val="005010A7"/>
    <w:rsid w:val="00502EFE"/>
    <w:rsid w:val="00503005"/>
    <w:rsid w:val="0050360E"/>
    <w:rsid w:val="0050394C"/>
    <w:rsid w:val="00503F25"/>
    <w:rsid w:val="0050475E"/>
    <w:rsid w:val="00504832"/>
    <w:rsid w:val="00504AC4"/>
    <w:rsid w:val="00504AF0"/>
    <w:rsid w:val="00504B85"/>
    <w:rsid w:val="00505289"/>
    <w:rsid w:val="00505CC2"/>
    <w:rsid w:val="00505EE7"/>
    <w:rsid w:val="005060A7"/>
    <w:rsid w:val="00506221"/>
    <w:rsid w:val="005063ED"/>
    <w:rsid w:val="0050686C"/>
    <w:rsid w:val="00506A17"/>
    <w:rsid w:val="00506BC6"/>
    <w:rsid w:val="00506DD8"/>
    <w:rsid w:val="00507014"/>
    <w:rsid w:val="00507128"/>
    <w:rsid w:val="00507348"/>
    <w:rsid w:val="00507EE3"/>
    <w:rsid w:val="00511415"/>
    <w:rsid w:val="005117D3"/>
    <w:rsid w:val="00511B7B"/>
    <w:rsid w:val="00512928"/>
    <w:rsid w:val="0051297D"/>
    <w:rsid w:val="00512AE2"/>
    <w:rsid w:val="00512C6A"/>
    <w:rsid w:val="00513552"/>
    <w:rsid w:val="0051357F"/>
    <w:rsid w:val="005137C7"/>
    <w:rsid w:val="00513F63"/>
    <w:rsid w:val="00514BE4"/>
    <w:rsid w:val="005160CB"/>
    <w:rsid w:val="005161F1"/>
    <w:rsid w:val="00516771"/>
    <w:rsid w:val="00516832"/>
    <w:rsid w:val="00516B75"/>
    <w:rsid w:val="00516DC6"/>
    <w:rsid w:val="0051714B"/>
    <w:rsid w:val="00517667"/>
    <w:rsid w:val="005177CC"/>
    <w:rsid w:val="00517D8D"/>
    <w:rsid w:val="0052001A"/>
    <w:rsid w:val="00520736"/>
    <w:rsid w:val="005211E4"/>
    <w:rsid w:val="005217A1"/>
    <w:rsid w:val="005225BA"/>
    <w:rsid w:val="00522FC6"/>
    <w:rsid w:val="005237DB"/>
    <w:rsid w:val="00523852"/>
    <w:rsid w:val="00523BA5"/>
    <w:rsid w:val="00524394"/>
    <w:rsid w:val="005244A0"/>
    <w:rsid w:val="00524995"/>
    <w:rsid w:val="00524DC9"/>
    <w:rsid w:val="005256CC"/>
    <w:rsid w:val="005259EE"/>
    <w:rsid w:val="00525E20"/>
    <w:rsid w:val="00526FDD"/>
    <w:rsid w:val="0052705D"/>
    <w:rsid w:val="005274FF"/>
    <w:rsid w:val="00530022"/>
    <w:rsid w:val="0053025F"/>
    <w:rsid w:val="00530356"/>
    <w:rsid w:val="00530722"/>
    <w:rsid w:val="00530811"/>
    <w:rsid w:val="0053197B"/>
    <w:rsid w:val="00531A4E"/>
    <w:rsid w:val="00531C22"/>
    <w:rsid w:val="00532796"/>
    <w:rsid w:val="0053292C"/>
    <w:rsid w:val="00532FE7"/>
    <w:rsid w:val="005336D8"/>
    <w:rsid w:val="005341D1"/>
    <w:rsid w:val="0053557D"/>
    <w:rsid w:val="0053568D"/>
    <w:rsid w:val="00536041"/>
    <w:rsid w:val="00536292"/>
    <w:rsid w:val="0053692C"/>
    <w:rsid w:val="0053694C"/>
    <w:rsid w:val="00536CA7"/>
    <w:rsid w:val="00536D98"/>
    <w:rsid w:val="0053722B"/>
    <w:rsid w:val="005376A3"/>
    <w:rsid w:val="005377C1"/>
    <w:rsid w:val="00540117"/>
    <w:rsid w:val="00540588"/>
    <w:rsid w:val="00540E34"/>
    <w:rsid w:val="0054124A"/>
    <w:rsid w:val="00542578"/>
    <w:rsid w:val="005427F3"/>
    <w:rsid w:val="00542BCE"/>
    <w:rsid w:val="00543C30"/>
    <w:rsid w:val="00543E36"/>
    <w:rsid w:val="00544695"/>
    <w:rsid w:val="00544882"/>
    <w:rsid w:val="005452B9"/>
    <w:rsid w:val="00545746"/>
    <w:rsid w:val="00545A4F"/>
    <w:rsid w:val="00545B97"/>
    <w:rsid w:val="00545BC8"/>
    <w:rsid w:val="005461D2"/>
    <w:rsid w:val="005463A8"/>
    <w:rsid w:val="0054657D"/>
    <w:rsid w:val="00546873"/>
    <w:rsid w:val="00546BA2"/>
    <w:rsid w:val="00546FE3"/>
    <w:rsid w:val="00547324"/>
    <w:rsid w:val="005474D7"/>
    <w:rsid w:val="00547BDC"/>
    <w:rsid w:val="00547EEE"/>
    <w:rsid w:val="00550592"/>
    <w:rsid w:val="0055195A"/>
    <w:rsid w:val="00552D02"/>
    <w:rsid w:val="005535D1"/>
    <w:rsid w:val="005542C0"/>
    <w:rsid w:val="005547F2"/>
    <w:rsid w:val="00554A78"/>
    <w:rsid w:val="00554D62"/>
    <w:rsid w:val="0055507B"/>
    <w:rsid w:val="005550E2"/>
    <w:rsid w:val="00555B55"/>
    <w:rsid w:val="00555D51"/>
    <w:rsid w:val="00555F3E"/>
    <w:rsid w:val="00556D91"/>
    <w:rsid w:val="0055713D"/>
    <w:rsid w:val="00557DCA"/>
    <w:rsid w:val="00557ED3"/>
    <w:rsid w:val="005601AF"/>
    <w:rsid w:val="00560655"/>
    <w:rsid w:val="00560831"/>
    <w:rsid w:val="00560896"/>
    <w:rsid w:val="00560938"/>
    <w:rsid w:val="00561033"/>
    <w:rsid w:val="005613F8"/>
    <w:rsid w:val="00561EE3"/>
    <w:rsid w:val="00562A32"/>
    <w:rsid w:val="00563253"/>
    <w:rsid w:val="00563C01"/>
    <w:rsid w:val="00563DCD"/>
    <w:rsid w:val="00563DDF"/>
    <w:rsid w:val="00564CC1"/>
    <w:rsid w:val="00565708"/>
    <w:rsid w:val="00565BE2"/>
    <w:rsid w:val="00565E76"/>
    <w:rsid w:val="005662A1"/>
    <w:rsid w:val="00566754"/>
    <w:rsid w:val="0056675E"/>
    <w:rsid w:val="00566C61"/>
    <w:rsid w:val="005671AB"/>
    <w:rsid w:val="00567323"/>
    <w:rsid w:val="00567984"/>
    <w:rsid w:val="00567BF9"/>
    <w:rsid w:val="00567D7E"/>
    <w:rsid w:val="00567F43"/>
    <w:rsid w:val="005701B9"/>
    <w:rsid w:val="0057032F"/>
    <w:rsid w:val="00570409"/>
    <w:rsid w:val="00570B28"/>
    <w:rsid w:val="00571CE2"/>
    <w:rsid w:val="00572450"/>
    <w:rsid w:val="005728DC"/>
    <w:rsid w:val="00572BB3"/>
    <w:rsid w:val="005732BF"/>
    <w:rsid w:val="00573498"/>
    <w:rsid w:val="00573E2C"/>
    <w:rsid w:val="00573E38"/>
    <w:rsid w:val="00573F1E"/>
    <w:rsid w:val="005741A5"/>
    <w:rsid w:val="005755F5"/>
    <w:rsid w:val="0057582B"/>
    <w:rsid w:val="00575CD7"/>
    <w:rsid w:val="00575EB6"/>
    <w:rsid w:val="0057654A"/>
    <w:rsid w:val="005765FC"/>
    <w:rsid w:val="00576A07"/>
    <w:rsid w:val="00576EF3"/>
    <w:rsid w:val="0057707E"/>
    <w:rsid w:val="00577169"/>
    <w:rsid w:val="00577335"/>
    <w:rsid w:val="0057759D"/>
    <w:rsid w:val="00577749"/>
    <w:rsid w:val="005778A0"/>
    <w:rsid w:val="00580897"/>
    <w:rsid w:val="00581EA9"/>
    <w:rsid w:val="0058221D"/>
    <w:rsid w:val="0058234A"/>
    <w:rsid w:val="00582642"/>
    <w:rsid w:val="00583134"/>
    <w:rsid w:val="005833E3"/>
    <w:rsid w:val="0058386B"/>
    <w:rsid w:val="00583C89"/>
    <w:rsid w:val="00583FD3"/>
    <w:rsid w:val="00584035"/>
    <w:rsid w:val="005840AC"/>
    <w:rsid w:val="0058460F"/>
    <w:rsid w:val="0058495E"/>
    <w:rsid w:val="00584BF5"/>
    <w:rsid w:val="00585356"/>
    <w:rsid w:val="00585372"/>
    <w:rsid w:val="00585B42"/>
    <w:rsid w:val="005866AF"/>
    <w:rsid w:val="00586C44"/>
    <w:rsid w:val="00586FE5"/>
    <w:rsid w:val="00587200"/>
    <w:rsid w:val="0058787A"/>
    <w:rsid w:val="00587921"/>
    <w:rsid w:val="00590931"/>
    <w:rsid w:val="00591040"/>
    <w:rsid w:val="005916E7"/>
    <w:rsid w:val="00591FE6"/>
    <w:rsid w:val="0059248A"/>
    <w:rsid w:val="00592636"/>
    <w:rsid w:val="00592820"/>
    <w:rsid w:val="0059285C"/>
    <w:rsid w:val="00592D96"/>
    <w:rsid w:val="0059366D"/>
    <w:rsid w:val="005936DA"/>
    <w:rsid w:val="00593A2F"/>
    <w:rsid w:val="00594088"/>
    <w:rsid w:val="005947BB"/>
    <w:rsid w:val="005951D9"/>
    <w:rsid w:val="00595353"/>
    <w:rsid w:val="005961F1"/>
    <w:rsid w:val="005962F6"/>
    <w:rsid w:val="00596571"/>
    <w:rsid w:val="0059699F"/>
    <w:rsid w:val="005977F6"/>
    <w:rsid w:val="00597C54"/>
    <w:rsid w:val="00597D92"/>
    <w:rsid w:val="005A0BBA"/>
    <w:rsid w:val="005A0D46"/>
    <w:rsid w:val="005A10C6"/>
    <w:rsid w:val="005A124E"/>
    <w:rsid w:val="005A172F"/>
    <w:rsid w:val="005A1CA0"/>
    <w:rsid w:val="005A1DF2"/>
    <w:rsid w:val="005A265B"/>
    <w:rsid w:val="005A286C"/>
    <w:rsid w:val="005A28CC"/>
    <w:rsid w:val="005A2CEC"/>
    <w:rsid w:val="005A2ED7"/>
    <w:rsid w:val="005A2F4C"/>
    <w:rsid w:val="005A3912"/>
    <w:rsid w:val="005A47BA"/>
    <w:rsid w:val="005A4AC8"/>
    <w:rsid w:val="005A5F27"/>
    <w:rsid w:val="005A6198"/>
    <w:rsid w:val="005A62BB"/>
    <w:rsid w:val="005A6B67"/>
    <w:rsid w:val="005A6D2D"/>
    <w:rsid w:val="005A6F4E"/>
    <w:rsid w:val="005A70CB"/>
    <w:rsid w:val="005A7A72"/>
    <w:rsid w:val="005A7DB8"/>
    <w:rsid w:val="005B0561"/>
    <w:rsid w:val="005B1092"/>
    <w:rsid w:val="005B1711"/>
    <w:rsid w:val="005B1812"/>
    <w:rsid w:val="005B1A35"/>
    <w:rsid w:val="005B22BD"/>
    <w:rsid w:val="005B2309"/>
    <w:rsid w:val="005B2426"/>
    <w:rsid w:val="005B28C9"/>
    <w:rsid w:val="005B28E9"/>
    <w:rsid w:val="005B31F1"/>
    <w:rsid w:val="005B45D3"/>
    <w:rsid w:val="005B49F2"/>
    <w:rsid w:val="005B4B1F"/>
    <w:rsid w:val="005B4EA6"/>
    <w:rsid w:val="005B5EAD"/>
    <w:rsid w:val="005B635D"/>
    <w:rsid w:val="005B63D7"/>
    <w:rsid w:val="005B6AE8"/>
    <w:rsid w:val="005B6D12"/>
    <w:rsid w:val="005B739D"/>
    <w:rsid w:val="005C07F8"/>
    <w:rsid w:val="005C0935"/>
    <w:rsid w:val="005C18B8"/>
    <w:rsid w:val="005C1AAA"/>
    <w:rsid w:val="005C1FAB"/>
    <w:rsid w:val="005C3465"/>
    <w:rsid w:val="005C34F3"/>
    <w:rsid w:val="005C3D74"/>
    <w:rsid w:val="005C41A8"/>
    <w:rsid w:val="005C4287"/>
    <w:rsid w:val="005C4365"/>
    <w:rsid w:val="005C4DDB"/>
    <w:rsid w:val="005C50C8"/>
    <w:rsid w:val="005C5105"/>
    <w:rsid w:val="005C51E6"/>
    <w:rsid w:val="005C5415"/>
    <w:rsid w:val="005C5C63"/>
    <w:rsid w:val="005C5D34"/>
    <w:rsid w:val="005C653E"/>
    <w:rsid w:val="005C6D78"/>
    <w:rsid w:val="005C726C"/>
    <w:rsid w:val="005C7C83"/>
    <w:rsid w:val="005D048D"/>
    <w:rsid w:val="005D04D6"/>
    <w:rsid w:val="005D081E"/>
    <w:rsid w:val="005D1D2B"/>
    <w:rsid w:val="005D1D68"/>
    <w:rsid w:val="005D1FA1"/>
    <w:rsid w:val="005D20AF"/>
    <w:rsid w:val="005D2712"/>
    <w:rsid w:val="005D2B64"/>
    <w:rsid w:val="005D3941"/>
    <w:rsid w:val="005D3C19"/>
    <w:rsid w:val="005D4498"/>
    <w:rsid w:val="005D48FB"/>
    <w:rsid w:val="005D4BA7"/>
    <w:rsid w:val="005D4F0B"/>
    <w:rsid w:val="005D5132"/>
    <w:rsid w:val="005D5143"/>
    <w:rsid w:val="005D565E"/>
    <w:rsid w:val="005D5F99"/>
    <w:rsid w:val="005D646C"/>
    <w:rsid w:val="005D6540"/>
    <w:rsid w:val="005D6894"/>
    <w:rsid w:val="005D6CDD"/>
    <w:rsid w:val="005D7A49"/>
    <w:rsid w:val="005E01D1"/>
    <w:rsid w:val="005E03DF"/>
    <w:rsid w:val="005E08B1"/>
    <w:rsid w:val="005E137D"/>
    <w:rsid w:val="005E1A5C"/>
    <w:rsid w:val="005E1AD3"/>
    <w:rsid w:val="005E262E"/>
    <w:rsid w:val="005E2FC3"/>
    <w:rsid w:val="005E2FEF"/>
    <w:rsid w:val="005E3097"/>
    <w:rsid w:val="005E33A8"/>
    <w:rsid w:val="005E3770"/>
    <w:rsid w:val="005E39C9"/>
    <w:rsid w:val="005E410E"/>
    <w:rsid w:val="005E41DA"/>
    <w:rsid w:val="005E46F2"/>
    <w:rsid w:val="005E4FA7"/>
    <w:rsid w:val="005E5158"/>
    <w:rsid w:val="005E52DB"/>
    <w:rsid w:val="005E56DE"/>
    <w:rsid w:val="005E7184"/>
    <w:rsid w:val="005E74BE"/>
    <w:rsid w:val="005E78D9"/>
    <w:rsid w:val="005F00BA"/>
    <w:rsid w:val="005F04F5"/>
    <w:rsid w:val="005F09D5"/>
    <w:rsid w:val="005F0BF4"/>
    <w:rsid w:val="005F14D0"/>
    <w:rsid w:val="005F156C"/>
    <w:rsid w:val="005F1640"/>
    <w:rsid w:val="005F1A10"/>
    <w:rsid w:val="005F1F8D"/>
    <w:rsid w:val="005F1FEE"/>
    <w:rsid w:val="005F2B13"/>
    <w:rsid w:val="005F2E22"/>
    <w:rsid w:val="005F2FDE"/>
    <w:rsid w:val="005F30E1"/>
    <w:rsid w:val="005F3B5C"/>
    <w:rsid w:val="005F40E6"/>
    <w:rsid w:val="005F48CF"/>
    <w:rsid w:val="005F4AE3"/>
    <w:rsid w:val="005F5265"/>
    <w:rsid w:val="005F558E"/>
    <w:rsid w:val="005F587B"/>
    <w:rsid w:val="005F62B2"/>
    <w:rsid w:val="005F6454"/>
    <w:rsid w:val="005F6D05"/>
    <w:rsid w:val="005F6E92"/>
    <w:rsid w:val="005F7748"/>
    <w:rsid w:val="005F79DF"/>
    <w:rsid w:val="005F7A26"/>
    <w:rsid w:val="00600DAE"/>
    <w:rsid w:val="00601111"/>
    <w:rsid w:val="006015F7"/>
    <w:rsid w:val="00601E1A"/>
    <w:rsid w:val="0060215F"/>
    <w:rsid w:val="00602550"/>
    <w:rsid w:val="00602910"/>
    <w:rsid w:val="00602C4A"/>
    <w:rsid w:val="00603435"/>
    <w:rsid w:val="00603920"/>
    <w:rsid w:val="006041A0"/>
    <w:rsid w:val="006048A6"/>
    <w:rsid w:val="00604D73"/>
    <w:rsid w:val="00604EBA"/>
    <w:rsid w:val="00605E3C"/>
    <w:rsid w:val="006061B5"/>
    <w:rsid w:val="006064F9"/>
    <w:rsid w:val="006065EA"/>
    <w:rsid w:val="006069AF"/>
    <w:rsid w:val="00606C63"/>
    <w:rsid w:val="0060720C"/>
    <w:rsid w:val="0060794D"/>
    <w:rsid w:val="00607ADE"/>
    <w:rsid w:val="00607C44"/>
    <w:rsid w:val="00607C6A"/>
    <w:rsid w:val="006100E1"/>
    <w:rsid w:val="00610169"/>
    <w:rsid w:val="00610878"/>
    <w:rsid w:val="0061088A"/>
    <w:rsid w:val="00611F62"/>
    <w:rsid w:val="006121DC"/>
    <w:rsid w:val="006125B3"/>
    <w:rsid w:val="0061300D"/>
    <w:rsid w:val="0061310A"/>
    <w:rsid w:val="006135FF"/>
    <w:rsid w:val="006138A6"/>
    <w:rsid w:val="00613AEF"/>
    <w:rsid w:val="006143E7"/>
    <w:rsid w:val="00614B19"/>
    <w:rsid w:val="0061553A"/>
    <w:rsid w:val="00615773"/>
    <w:rsid w:val="00615AA2"/>
    <w:rsid w:val="00615B1D"/>
    <w:rsid w:val="00616996"/>
    <w:rsid w:val="00616B72"/>
    <w:rsid w:val="00617420"/>
    <w:rsid w:val="00617D7C"/>
    <w:rsid w:val="0062004A"/>
    <w:rsid w:val="00620601"/>
    <w:rsid w:val="006206E5"/>
    <w:rsid w:val="00620B33"/>
    <w:rsid w:val="00621830"/>
    <w:rsid w:val="0062184D"/>
    <w:rsid w:val="0062186C"/>
    <w:rsid w:val="00621B7E"/>
    <w:rsid w:val="00621C08"/>
    <w:rsid w:val="006224FD"/>
    <w:rsid w:val="0062270F"/>
    <w:rsid w:val="00622756"/>
    <w:rsid w:val="00622807"/>
    <w:rsid w:val="00623134"/>
    <w:rsid w:val="006232C9"/>
    <w:rsid w:val="006243DD"/>
    <w:rsid w:val="006243ED"/>
    <w:rsid w:val="006252B7"/>
    <w:rsid w:val="0062587D"/>
    <w:rsid w:val="00626539"/>
    <w:rsid w:val="006266CF"/>
    <w:rsid w:val="00627598"/>
    <w:rsid w:val="00627C38"/>
    <w:rsid w:val="00627F83"/>
    <w:rsid w:val="0063040A"/>
    <w:rsid w:val="00630600"/>
    <w:rsid w:val="00631188"/>
    <w:rsid w:val="006314C4"/>
    <w:rsid w:val="006315E4"/>
    <w:rsid w:val="00632FC6"/>
    <w:rsid w:val="0063357D"/>
    <w:rsid w:val="0063375F"/>
    <w:rsid w:val="00633BBF"/>
    <w:rsid w:val="00633E30"/>
    <w:rsid w:val="0063401F"/>
    <w:rsid w:val="00634092"/>
    <w:rsid w:val="0063497F"/>
    <w:rsid w:val="00634A1D"/>
    <w:rsid w:val="00635148"/>
    <w:rsid w:val="006358C8"/>
    <w:rsid w:val="00635AA1"/>
    <w:rsid w:val="006362C5"/>
    <w:rsid w:val="00636A81"/>
    <w:rsid w:val="00636B43"/>
    <w:rsid w:val="00637BED"/>
    <w:rsid w:val="00637E45"/>
    <w:rsid w:val="00640B10"/>
    <w:rsid w:val="00640F05"/>
    <w:rsid w:val="006410DA"/>
    <w:rsid w:val="006414F7"/>
    <w:rsid w:val="006420AF"/>
    <w:rsid w:val="006428E3"/>
    <w:rsid w:val="00642B49"/>
    <w:rsid w:val="00642D7C"/>
    <w:rsid w:val="00642EA7"/>
    <w:rsid w:val="0064347D"/>
    <w:rsid w:val="00643836"/>
    <w:rsid w:val="00643CB5"/>
    <w:rsid w:val="00644118"/>
    <w:rsid w:val="006445BC"/>
    <w:rsid w:val="00644D3B"/>
    <w:rsid w:val="006450B9"/>
    <w:rsid w:val="006455FC"/>
    <w:rsid w:val="006457C9"/>
    <w:rsid w:val="00645EEA"/>
    <w:rsid w:val="00646B5B"/>
    <w:rsid w:val="0064718F"/>
    <w:rsid w:val="00647E17"/>
    <w:rsid w:val="00650B0B"/>
    <w:rsid w:val="00651220"/>
    <w:rsid w:val="00651316"/>
    <w:rsid w:val="006517DB"/>
    <w:rsid w:val="0065182C"/>
    <w:rsid w:val="00651B7F"/>
    <w:rsid w:val="00652AE0"/>
    <w:rsid w:val="00652C7B"/>
    <w:rsid w:val="00653516"/>
    <w:rsid w:val="0065389D"/>
    <w:rsid w:val="00653DF8"/>
    <w:rsid w:val="006545F9"/>
    <w:rsid w:val="00654CB2"/>
    <w:rsid w:val="00654CCF"/>
    <w:rsid w:val="006554AD"/>
    <w:rsid w:val="006555F4"/>
    <w:rsid w:val="0065583B"/>
    <w:rsid w:val="006558F5"/>
    <w:rsid w:val="00655B06"/>
    <w:rsid w:val="00655E1F"/>
    <w:rsid w:val="00655F7F"/>
    <w:rsid w:val="00656AD3"/>
    <w:rsid w:val="00656F2B"/>
    <w:rsid w:val="006571F9"/>
    <w:rsid w:val="00657250"/>
    <w:rsid w:val="0065729E"/>
    <w:rsid w:val="00657871"/>
    <w:rsid w:val="00657FC6"/>
    <w:rsid w:val="0066024F"/>
    <w:rsid w:val="0066054D"/>
    <w:rsid w:val="0066071A"/>
    <w:rsid w:val="0066114A"/>
    <w:rsid w:val="006619F6"/>
    <w:rsid w:val="00661FC4"/>
    <w:rsid w:val="00662284"/>
    <w:rsid w:val="00662819"/>
    <w:rsid w:val="00663263"/>
    <w:rsid w:val="0066396F"/>
    <w:rsid w:val="00663D31"/>
    <w:rsid w:val="00663DD7"/>
    <w:rsid w:val="006641F8"/>
    <w:rsid w:val="00664574"/>
    <w:rsid w:val="00664B98"/>
    <w:rsid w:val="0066506E"/>
    <w:rsid w:val="0066570A"/>
    <w:rsid w:val="006657AE"/>
    <w:rsid w:val="00665CAF"/>
    <w:rsid w:val="00665E81"/>
    <w:rsid w:val="00666258"/>
    <w:rsid w:val="006663D0"/>
    <w:rsid w:val="00667179"/>
    <w:rsid w:val="00667609"/>
    <w:rsid w:val="00667658"/>
    <w:rsid w:val="006705C0"/>
    <w:rsid w:val="00670F5C"/>
    <w:rsid w:val="00671330"/>
    <w:rsid w:val="006719F1"/>
    <w:rsid w:val="00671ADF"/>
    <w:rsid w:val="00671E51"/>
    <w:rsid w:val="0067232B"/>
    <w:rsid w:val="00672872"/>
    <w:rsid w:val="00672A21"/>
    <w:rsid w:val="00672F8E"/>
    <w:rsid w:val="00673AE4"/>
    <w:rsid w:val="00674748"/>
    <w:rsid w:val="006749AB"/>
    <w:rsid w:val="00674E2D"/>
    <w:rsid w:val="00675726"/>
    <w:rsid w:val="00675765"/>
    <w:rsid w:val="006757CD"/>
    <w:rsid w:val="00675A99"/>
    <w:rsid w:val="00675F79"/>
    <w:rsid w:val="006764EB"/>
    <w:rsid w:val="0067684A"/>
    <w:rsid w:val="006768FC"/>
    <w:rsid w:val="00676CDB"/>
    <w:rsid w:val="00677005"/>
    <w:rsid w:val="006773AA"/>
    <w:rsid w:val="00677D89"/>
    <w:rsid w:val="0068019F"/>
    <w:rsid w:val="00680370"/>
    <w:rsid w:val="0068147E"/>
    <w:rsid w:val="006816AC"/>
    <w:rsid w:val="00681800"/>
    <w:rsid w:val="00681BC7"/>
    <w:rsid w:val="00681D83"/>
    <w:rsid w:val="006822D2"/>
    <w:rsid w:val="006828D0"/>
    <w:rsid w:val="006828FF"/>
    <w:rsid w:val="00683775"/>
    <w:rsid w:val="0068382D"/>
    <w:rsid w:val="006838DD"/>
    <w:rsid w:val="00684079"/>
    <w:rsid w:val="00684435"/>
    <w:rsid w:val="00685490"/>
    <w:rsid w:val="006855A6"/>
    <w:rsid w:val="0068565E"/>
    <w:rsid w:val="0068581F"/>
    <w:rsid w:val="00685EFD"/>
    <w:rsid w:val="00686507"/>
    <w:rsid w:val="00686693"/>
    <w:rsid w:val="00686ADA"/>
    <w:rsid w:val="00686B5B"/>
    <w:rsid w:val="00686C80"/>
    <w:rsid w:val="00686EA4"/>
    <w:rsid w:val="00686F75"/>
    <w:rsid w:val="00687A38"/>
    <w:rsid w:val="0069043B"/>
    <w:rsid w:val="0069068B"/>
    <w:rsid w:val="00690739"/>
    <w:rsid w:val="006913B7"/>
    <w:rsid w:val="006915DC"/>
    <w:rsid w:val="00691600"/>
    <w:rsid w:val="006918BB"/>
    <w:rsid w:val="0069210D"/>
    <w:rsid w:val="0069389B"/>
    <w:rsid w:val="006938E3"/>
    <w:rsid w:val="00693AB5"/>
    <w:rsid w:val="00693CF4"/>
    <w:rsid w:val="0069461A"/>
    <w:rsid w:val="00694AFC"/>
    <w:rsid w:val="00694D32"/>
    <w:rsid w:val="00695BC6"/>
    <w:rsid w:val="00695DD3"/>
    <w:rsid w:val="00695E0E"/>
    <w:rsid w:val="00695EE3"/>
    <w:rsid w:val="006963D4"/>
    <w:rsid w:val="006968AF"/>
    <w:rsid w:val="00696B4C"/>
    <w:rsid w:val="0069747D"/>
    <w:rsid w:val="006978C0"/>
    <w:rsid w:val="00697919"/>
    <w:rsid w:val="00697C03"/>
    <w:rsid w:val="00697ED4"/>
    <w:rsid w:val="006A02F6"/>
    <w:rsid w:val="006A041E"/>
    <w:rsid w:val="006A0555"/>
    <w:rsid w:val="006A1364"/>
    <w:rsid w:val="006A180E"/>
    <w:rsid w:val="006A1A8A"/>
    <w:rsid w:val="006A1D3B"/>
    <w:rsid w:val="006A1DE3"/>
    <w:rsid w:val="006A1E6B"/>
    <w:rsid w:val="006A2384"/>
    <w:rsid w:val="006A25CB"/>
    <w:rsid w:val="006A2B05"/>
    <w:rsid w:val="006A30B5"/>
    <w:rsid w:val="006A3D0D"/>
    <w:rsid w:val="006A3EC7"/>
    <w:rsid w:val="006A40ED"/>
    <w:rsid w:val="006A421F"/>
    <w:rsid w:val="006A4553"/>
    <w:rsid w:val="006A65D8"/>
    <w:rsid w:val="006A6F6A"/>
    <w:rsid w:val="006A6FEA"/>
    <w:rsid w:val="006A78E3"/>
    <w:rsid w:val="006A7EA3"/>
    <w:rsid w:val="006B0343"/>
    <w:rsid w:val="006B0D02"/>
    <w:rsid w:val="006B0FA2"/>
    <w:rsid w:val="006B1380"/>
    <w:rsid w:val="006B14AD"/>
    <w:rsid w:val="006B1801"/>
    <w:rsid w:val="006B1B6A"/>
    <w:rsid w:val="006B295B"/>
    <w:rsid w:val="006B2974"/>
    <w:rsid w:val="006B309F"/>
    <w:rsid w:val="006B3101"/>
    <w:rsid w:val="006B3B46"/>
    <w:rsid w:val="006B3ED1"/>
    <w:rsid w:val="006B4433"/>
    <w:rsid w:val="006B446B"/>
    <w:rsid w:val="006B44E7"/>
    <w:rsid w:val="006B45C3"/>
    <w:rsid w:val="006B45FC"/>
    <w:rsid w:val="006B4FC0"/>
    <w:rsid w:val="006B5501"/>
    <w:rsid w:val="006B5554"/>
    <w:rsid w:val="006B564A"/>
    <w:rsid w:val="006B60F8"/>
    <w:rsid w:val="006B637B"/>
    <w:rsid w:val="006B6574"/>
    <w:rsid w:val="006B68A1"/>
    <w:rsid w:val="006B7ACA"/>
    <w:rsid w:val="006B7D6C"/>
    <w:rsid w:val="006C04A5"/>
    <w:rsid w:val="006C0E0D"/>
    <w:rsid w:val="006C10D4"/>
    <w:rsid w:val="006C188B"/>
    <w:rsid w:val="006C1FB9"/>
    <w:rsid w:val="006C4DA6"/>
    <w:rsid w:val="006C4FD7"/>
    <w:rsid w:val="006C5042"/>
    <w:rsid w:val="006C5A96"/>
    <w:rsid w:val="006C5C3A"/>
    <w:rsid w:val="006C5E59"/>
    <w:rsid w:val="006C6CCE"/>
    <w:rsid w:val="006C6EBD"/>
    <w:rsid w:val="006C757A"/>
    <w:rsid w:val="006C7D40"/>
    <w:rsid w:val="006C7EFD"/>
    <w:rsid w:val="006D0154"/>
    <w:rsid w:val="006D0A20"/>
    <w:rsid w:val="006D0DF1"/>
    <w:rsid w:val="006D115D"/>
    <w:rsid w:val="006D11A0"/>
    <w:rsid w:val="006D122D"/>
    <w:rsid w:val="006D15CF"/>
    <w:rsid w:val="006D2759"/>
    <w:rsid w:val="006D2981"/>
    <w:rsid w:val="006D2D4B"/>
    <w:rsid w:val="006D30DB"/>
    <w:rsid w:val="006D343E"/>
    <w:rsid w:val="006D3476"/>
    <w:rsid w:val="006D3F98"/>
    <w:rsid w:val="006D5324"/>
    <w:rsid w:val="006D5C82"/>
    <w:rsid w:val="006D5D02"/>
    <w:rsid w:val="006D708A"/>
    <w:rsid w:val="006D71B1"/>
    <w:rsid w:val="006E038C"/>
    <w:rsid w:val="006E0975"/>
    <w:rsid w:val="006E0A46"/>
    <w:rsid w:val="006E0F9A"/>
    <w:rsid w:val="006E186E"/>
    <w:rsid w:val="006E1D3E"/>
    <w:rsid w:val="006E1F1E"/>
    <w:rsid w:val="006E2382"/>
    <w:rsid w:val="006E2475"/>
    <w:rsid w:val="006E2637"/>
    <w:rsid w:val="006E305F"/>
    <w:rsid w:val="006E3A0F"/>
    <w:rsid w:val="006E3D10"/>
    <w:rsid w:val="006E4E79"/>
    <w:rsid w:val="006E5124"/>
    <w:rsid w:val="006E541D"/>
    <w:rsid w:val="006E5438"/>
    <w:rsid w:val="006E5712"/>
    <w:rsid w:val="006E5A27"/>
    <w:rsid w:val="006E5AE0"/>
    <w:rsid w:val="006E7202"/>
    <w:rsid w:val="006E7309"/>
    <w:rsid w:val="006E77AD"/>
    <w:rsid w:val="006F0637"/>
    <w:rsid w:val="006F0655"/>
    <w:rsid w:val="006F113C"/>
    <w:rsid w:val="006F11DA"/>
    <w:rsid w:val="006F132E"/>
    <w:rsid w:val="006F158A"/>
    <w:rsid w:val="006F17D0"/>
    <w:rsid w:val="006F2462"/>
    <w:rsid w:val="006F2B6F"/>
    <w:rsid w:val="006F2E54"/>
    <w:rsid w:val="006F3076"/>
    <w:rsid w:val="006F31B7"/>
    <w:rsid w:val="006F3A4C"/>
    <w:rsid w:val="006F3CCF"/>
    <w:rsid w:val="006F3EB1"/>
    <w:rsid w:val="006F4696"/>
    <w:rsid w:val="006F583F"/>
    <w:rsid w:val="006F5C6B"/>
    <w:rsid w:val="006F678F"/>
    <w:rsid w:val="006F6836"/>
    <w:rsid w:val="006F7BF8"/>
    <w:rsid w:val="00700250"/>
    <w:rsid w:val="00700798"/>
    <w:rsid w:val="0070129F"/>
    <w:rsid w:val="00701962"/>
    <w:rsid w:val="00701CCD"/>
    <w:rsid w:val="00701DEB"/>
    <w:rsid w:val="007021A8"/>
    <w:rsid w:val="00702F0F"/>
    <w:rsid w:val="0070391E"/>
    <w:rsid w:val="00703DE5"/>
    <w:rsid w:val="0070451B"/>
    <w:rsid w:val="0070500D"/>
    <w:rsid w:val="007059EA"/>
    <w:rsid w:val="007063F5"/>
    <w:rsid w:val="00706638"/>
    <w:rsid w:val="00707790"/>
    <w:rsid w:val="007078AE"/>
    <w:rsid w:val="00707B13"/>
    <w:rsid w:val="007100F9"/>
    <w:rsid w:val="00710D61"/>
    <w:rsid w:val="00710F0A"/>
    <w:rsid w:val="00710FD7"/>
    <w:rsid w:val="0071109B"/>
    <w:rsid w:val="007111B6"/>
    <w:rsid w:val="007112C1"/>
    <w:rsid w:val="00711491"/>
    <w:rsid w:val="00711849"/>
    <w:rsid w:val="0071196B"/>
    <w:rsid w:val="00711D34"/>
    <w:rsid w:val="00711F1A"/>
    <w:rsid w:val="007120A1"/>
    <w:rsid w:val="00712BBD"/>
    <w:rsid w:val="00712E98"/>
    <w:rsid w:val="00713782"/>
    <w:rsid w:val="007137C8"/>
    <w:rsid w:val="00713D38"/>
    <w:rsid w:val="007141A3"/>
    <w:rsid w:val="007147A5"/>
    <w:rsid w:val="00714C25"/>
    <w:rsid w:val="00714C62"/>
    <w:rsid w:val="007152BB"/>
    <w:rsid w:val="007153E9"/>
    <w:rsid w:val="00715466"/>
    <w:rsid w:val="00715614"/>
    <w:rsid w:val="0071648F"/>
    <w:rsid w:val="0071773B"/>
    <w:rsid w:val="0072020C"/>
    <w:rsid w:val="0072025E"/>
    <w:rsid w:val="00720AC8"/>
    <w:rsid w:val="007213BC"/>
    <w:rsid w:val="0072143C"/>
    <w:rsid w:val="00721F21"/>
    <w:rsid w:val="00722B6E"/>
    <w:rsid w:val="00723710"/>
    <w:rsid w:val="00723890"/>
    <w:rsid w:val="00723B27"/>
    <w:rsid w:val="007247CA"/>
    <w:rsid w:val="00724EFB"/>
    <w:rsid w:val="00725AA3"/>
    <w:rsid w:val="00725B71"/>
    <w:rsid w:val="00725BEC"/>
    <w:rsid w:val="00725E5D"/>
    <w:rsid w:val="00725ECF"/>
    <w:rsid w:val="00725FF3"/>
    <w:rsid w:val="00726169"/>
    <w:rsid w:val="007264F1"/>
    <w:rsid w:val="00726950"/>
    <w:rsid w:val="00726B7A"/>
    <w:rsid w:val="00726E60"/>
    <w:rsid w:val="00727991"/>
    <w:rsid w:val="00727A2A"/>
    <w:rsid w:val="00727ECF"/>
    <w:rsid w:val="00730170"/>
    <w:rsid w:val="00730B2B"/>
    <w:rsid w:val="007323D5"/>
    <w:rsid w:val="0073242E"/>
    <w:rsid w:val="007325A9"/>
    <w:rsid w:val="00732814"/>
    <w:rsid w:val="00732E2E"/>
    <w:rsid w:val="00732FB3"/>
    <w:rsid w:val="007334C2"/>
    <w:rsid w:val="00733938"/>
    <w:rsid w:val="00733DD5"/>
    <w:rsid w:val="00733FD0"/>
    <w:rsid w:val="00734442"/>
    <w:rsid w:val="007344C8"/>
    <w:rsid w:val="00734600"/>
    <w:rsid w:val="007346BF"/>
    <w:rsid w:val="0073473D"/>
    <w:rsid w:val="00734CC8"/>
    <w:rsid w:val="00734CFC"/>
    <w:rsid w:val="00735155"/>
    <w:rsid w:val="007351A5"/>
    <w:rsid w:val="0073568C"/>
    <w:rsid w:val="00735BC0"/>
    <w:rsid w:val="00736271"/>
    <w:rsid w:val="00736908"/>
    <w:rsid w:val="00736B13"/>
    <w:rsid w:val="0073737C"/>
    <w:rsid w:val="00737392"/>
    <w:rsid w:val="00737A77"/>
    <w:rsid w:val="007405EF"/>
    <w:rsid w:val="007408C7"/>
    <w:rsid w:val="007409C6"/>
    <w:rsid w:val="00740D7B"/>
    <w:rsid w:val="00740E32"/>
    <w:rsid w:val="0074178C"/>
    <w:rsid w:val="00741B97"/>
    <w:rsid w:val="007423B6"/>
    <w:rsid w:val="007427DB"/>
    <w:rsid w:val="007429F1"/>
    <w:rsid w:val="0074314B"/>
    <w:rsid w:val="007438AD"/>
    <w:rsid w:val="00743D54"/>
    <w:rsid w:val="00743D5F"/>
    <w:rsid w:val="00743E8C"/>
    <w:rsid w:val="00744153"/>
    <w:rsid w:val="00744681"/>
    <w:rsid w:val="00744934"/>
    <w:rsid w:val="00744D89"/>
    <w:rsid w:val="00745626"/>
    <w:rsid w:val="007460F0"/>
    <w:rsid w:val="00746ACC"/>
    <w:rsid w:val="00746E5F"/>
    <w:rsid w:val="00747DF4"/>
    <w:rsid w:val="007501D5"/>
    <w:rsid w:val="0075091C"/>
    <w:rsid w:val="00750A0B"/>
    <w:rsid w:val="0075135F"/>
    <w:rsid w:val="0075197F"/>
    <w:rsid w:val="007528A2"/>
    <w:rsid w:val="00752978"/>
    <w:rsid w:val="00752D8A"/>
    <w:rsid w:val="007536FC"/>
    <w:rsid w:val="0075399D"/>
    <w:rsid w:val="00753CC3"/>
    <w:rsid w:val="00754040"/>
    <w:rsid w:val="00754076"/>
    <w:rsid w:val="00754E6B"/>
    <w:rsid w:val="0075526D"/>
    <w:rsid w:val="00755FEB"/>
    <w:rsid w:val="0075672C"/>
    <w:rsid w:val="00756B47"/>
    <w:rsid w:val="00756DF5"/>
    <w:rsid w:val="007571A7"/>
    <w:rsid w:val="007572E5"/>
    <w:rsid w:val="00757789"/>
    <w:rsid w:val="00757F98"/>
    <w:rsid w:val="00757F99"/>
    <w:rsid w:val="00760094"/>
    <w:rsid w:val="0076124A"/>
    <w:rsid w:val="00761A31"/>
    <w:rsid w:val="00761A50"/>
    <w:rsid w:val="00761EC1"/>
    <w:rsid w:val="0076223C"/>
    <w:rsid w:val="00762275"/>
    <w:rsid w:val="007622D5"/>
    <w:rsid w:val="0076236C"/>
    <w:rsid w:val="00762615"/>
    <w:rsid w:val="0076303F"/>
    <w:rsid w:val="007631D4"/>
    <w:rsid w:val="00763956"/>
    <w:rsid w:val="00764244"/>
    <w:rsid w:val="0076442C"/>
    <w:rsid w:val="007650CB"/>
    <w:rsid w:val="00765788"/>
    <w:rsid w:val="00765825"/>
    <w:rsid w:val="00765AFE"/>
    <w:rsid w:val="00765C2A"/>
    <w:rsid w:val="00765CCF"/>
    <w:rsid w:val="007662AC"/>
    <w:rsid w:val="007663B6"/>
    <w:rsid w:val="00766517"/>
    <w:rsid w:val="00766BF5"/>
    <w:rsid w:val="0076710C"/>
    <w:rsid w:val="007673C6"/>
    <w:rsid w:val="007676BD"/>
    <w:rsid w:val="00767DD2"/>
    <w:rsid w:val="007701AD"/>
    <w:rsid w:val="00770291"/>
    <w:rsid w:val="00770468"/>
    <w:rsid w:val="007709A8"/>
    <w:rsid w:val="00771218"/>
    <w:rsid w:val="0077164F"/>
    <w:rsid w:val="00771F61"/>
    <w:rsid w:val="007720CB"/>
    <w:rsid w:val="007721B7"/>
    <w:rsid w:val="00772269"/>
    <w:rsid w:val="00772276"/>
    <w:rsid w:val="007722EF"/>
    <w:rsid w:val="00772329"/>
    <w:rsid w:val="00772754"/>
    <w:rsid w:val="00773012"/>
    <w:rsid w:val="0077355E"/>
    <w:rsid w:val="00773C78"/>
    <w:rsid w:val="00774543"/>
    <w:rsid w:val="0077486D"/>
    <w:rsid w:val="00774B5E"/>
    <w:rsid w:val="00774F69"/>
    <w:rsid w:val="00774FAD"/>
    <w:rsid w:val="00776423"/>
    <w:rsid w:val="0077667F"/>
    <w:rsid w:val="00776E93"/>
    <w:rsid w:val="00776FCE"/>
    <w:rsid w:val="00777208"/>
    <w:rsid w:val="0077746C"/>
    <w:rsid w:val="007776C5"/>
    <w:rsid w:val="00777942"/>
    <w:rsid w:val="00780026"/>
    <w:rsid w:val="0078010D"/>
    <w:rsid w:val="00780280"/>
    <w:rsid w:val="007803D2"/>
    <w:rsid w:val="00780A2F"/>
    <w:rsid w:val="00780B4E"/>
    <w:rsid w:val="00780F6C"/>
    <w:rsid w:val="00781101"/>
    <w:rsid w:val="00781844"/>
    <w:rsid w:val="00781D26"/>
    <w:rsid w:val="0078200C"/>
    <w:rsid w:val="0078211F"/>
    <w:rsid w:val="007822CD"/>
    <w:rsid w:val="0078269F"/>
    <w:rsid w:val="00782A7C"/>
    <w:rsid w:val="007834A0"/>
    <w:rsid w:val="0078353A"/>
    <w:rsid w:val="00783A62"/>
    <w:rsid w:val="00783BC4"/>
    <w:rsid w:val="00783C11"/>
    <w:rsid w:val="00783CC9"/>
    <w:rsid w:val="00784CCE"/>
    <w:rsid w:val="00784F55"/>
    <w:rsid w:val="007850C3"/>
    <w:rsid w:val="00785526"/>
    <w:rsid w:val="00785A29"/>
    <w:rsid w:val="00785AE5"/>
    <w:rsid w:val="00785DAC"/>
    <w:rsid w:val="007862A2"/>
    <w:rsid w:val="007863E1"/>
    <w:rsid w:val="0078652A"/>
    <w:rsid w:val="00786FC2"/>
    <w:rsid w:val="0078746F"/>
    <w:rsid w:val="0078750B"/>
    <w:rsid w:val="00787796"/>
    <w:rsid w:val="007909AA"/>
    <w:rsid w:val="007910ED"/>
    <w:rsid w:val="007914C4"/>
    <w:rsid w:val="00791A15"/>
    <w:rsid w:val="00791AA4"/>
    <w:rsid w:val="00791B3D"/>
    <w:rsid w:val="00791BC0"/>
    <w:rsid w:val="00791E93"/>
    <w:rsid w:val="007920D8"/>
    <w:rsid w:val="007922FA"/>
    <w:rsid w:val="00792418"/>
    <w:rsid w:val="007926BC"/>
    <w:rsid w:val="00792C55"/>
    <w:rsid w:val="007933CB"/>
    <w:rsid w:val="007935EC"/>
    <w:rsid w:val="00793FBD"/>
    <w:rsid w:val="00794456"/>
    <w:rsid w:val="007946E1"/>
    <w:rsid w:val="00794711"/>
    <w:rsid w:val="0079497F"/>
    <w:rsid w:val="00794EB1"/>
    <w:rsid w:val="00795A4A"/>
    <w:rsid w:val="00795E42"/>
    <w:rsid w:val="00795E7D"/>
    <w:rsid w:val="007965E0"/>
    <w:rsid w:val="00796841"/>
    <w:rsid w:val="0079700D"/>
    <w:rsid w:val="007978F9"/>
    <w:rsid w:val="00797D93"/>
    <w:rsid w:val="00797EDA"/>
    <w:rsid w:val="007A0995"/>
    <w:rsid w:val="007A0A19"/>
    <w:rsid w:val="007A0D94"/>
    <w:rsid w:val="007A14C2"/>
    <w:rsid w:val="007A171C"/>
    <w:rsid w:val="007A1F06"/>
    <w:rsid w:val="007A20FE"/>
    <w:rsid w:val="007A2C1B"/>
    <w:rsid w:val="007A2F02"/>
    <w:rsid w:val="007A3425"/>
    <w:rsid w:val="007A357D"/>
    <w:rsid w:val="007A39C4"/>
    <w:rsid w:val="007A3DBA"/>
    <w:rsid w:val="007A40F0"/>
    <w:rsid w:val="007A4269"/>
    <w:rsid w:val="007A4AD0"/>
    <w:rsid w:val="007A4AD3"/>
    <w:rsid w:val="007A4F23"/>
    <w:rsid w:val="007A58B6"/>
    <w:rsid w:val="007A598D"/>
    <w:rsid w:val="007A5990"/>
    <w:rsid w:val="007A6306"/>
    <w:rsid w:val="007A6433"/>
    <w:rsid w:val="007A666F"/>
    <w:rsid w:val="007A6F13"/>
    <w:rsid w:val="007A7584"/>
    <w:rsid w:val="007B06E2"/>
    <w:rsid w:val="007B0914"/>
    <w:rsid w:val="007B0F38"/>
    <w:rsid w:val="007B1A7D"/>
    <w:rsid w:val="007B22E5"/>
    <w:rsid w:val="007B2AEB"/>
    <w:rsid w:val="007B3344"/>
    <w:rsid w:val="007B342C"/>
    <w:rsid w:val="007B35F2"/>
    <w:rsid w:val="007B3F79"/>
    <w:rsid w:val="007B4D4B"/>
    <w:rsid w:val="007B5382"/>
    <w:rsid w:val="007B5866"/>
    <w:rsid w:val="007B5AB3"/>
    <w:rsid w:val="007B6BE2"/>
    <w:rsid w:val="007B6C30"/>
    <w:rsid w:val="007B6E25"/>
    <w:rsid w:val="007B73FA"/>
    <w:rsid w:val="007B74CC"/>
    <w:rsid w:val="007C024F"/>
    <w:rsid w:val="007C1400"/>
    <w:rsid w:val="007C2360"/>
    <w:rsid w:val="007C256D"/>
    <w:rsid w:val="007C2598"/>
    <w:rsid w:val="007C3361"/>
    <w:rsid w:val="007C56CC"/>
    <w:rsid w:val="007C7656"/>
    <w:rsid w:val="007D016B"/>
    <w:rsid w:val="007D05E6"/>
    <w:rsid w:val="007D1432"/>
    <w:rsid w:val="007D1649"/>
    <w:rsid w:val="007D19F9"/>
    <w:rsid w:val="007D1E48"/>
    <w:rsid w:val="007D2481"/>
    <w:rsid w:val="007D275B"/>
    <w:rsid w:val="007D27E5"/>
    <w:rsid w:val="007D29EB"/>
    <w:rsid w:val="007D2A19"/>
    <w:rsid w:val="007D2ABA"/>
    <w:rsid w:val="007D2B47"/>
    <w:rsid w:val="007D3AE6"/>
    <w:rsid w:val="007D4A8F"/>
    <w:rsid w:val="007D50CF"/>
    <w:rsid w:val="007D6440"/>
    <w:rsid w:val="007D669C"/>
    <w:rsid w:val="007D69EE"/>
    <w:rsid w:val="007D6CEF"/>
    <w:rsid w:val="007D74F9"/>
    <w:rsid w:val="007D776E"/>
    <w:rsid w:val="007D7C61"/>
    <w:rsid w:val="007E0311"/>
    <w:rsid w:val="007E036F"/>
    <w:rsid w:val="007E0423"/>
    <w:rsid w:val="007E0501"/>
    <w:rsid w:val="007E0545"/>
    <w:rsid w:val="007E093E"/>
    <w:rsid w:val="007E0971"/>
    <w:rsid w:val="007E0EAB"/>
    <w:rsid w:val="007E106D"/>
    <w:rsid w:val="007E1115"/>
    <w:rsid w:val="007E118F"/>
    <w:rsid w:val="007E12F7"/>
    <w:rsid w:val="007E1469"/>
    <w:rsid w:val="007E18B0"/>
    <w:rsid w:val="007E2327"/>
    <w:rsid w:val="007E2364"/>
    <w:rsid w:val="007E2633"/>
    <w:rsid w:val="007E2738"/>
    <w:rsid w:val="007E2F26"/>
    <w:rsid w:val="007E36E5"/>
    <w:rsid w:val="007E3CEA"/>
    <w:rsid w:val="007E408A"/>
    <w:rsid w:val="007E4334"/>
    <w:rsid w:val="007E5186"/>
    <w:rsid w:val="007E5271"/>
    <w:rsid w:val="007E5363"/>
    <w:rsid w:val="007E5367"/>
    <w:rsid w:val="007E5461"/>
    <w:rsid w:val="007E59A7"/>
    <w:rsid w:val="007E6173"/>
    <w:rsid w:val="007E61B0"/>
    <w:rsid w:val="007E65C6"/>
    <w:rsid w:val="007E6650"/>
    <w:rsid w:val="007E6CB0"/>
    <w:rsid w:val="007E702A"/>
    <w:rsid w:val="007E7727"/>
    <w:rsid w:val="007E7B6E"/>
    <w:rsid w:val="007E7E0D"/>
    <w:rsid w:val="007E7F4B"/>
    <w:rsid w:val="007F10D0"/>
    <w:rsid w:val="007F17D6"/>
    <w:rsid w:val="007F1C06"/>
    <w:rsid w:val="007F1FB1"/>
    <w:rsid w:val="007F2490"/>
    <w:rsid w:val="007F24E3"/>
    <w:rsid w:val="007F2668"/>
    <w:rsid w:val="007F29E4"/>
    <w:rsid w:val="007F31CA"/>
    <w:rsid w:val="007F34E5"/>
    <w:rsid w:val="007F3AC9"/>
    <w:rsid w:val="007F3CE4"/>
    <w:rsid w:val="007F48FC"/>
    <w:rsid w:val="007F494A"/>
    <w:rsid w:val="007F4FD7"/>
    <w:rsid w:val="007F52B3"/>
    <w:rsid w:val="007F564D"/>
    <w:rsid w:val="007F56D8"/>
    <w:rsid w:val="007F5BC4"/>
    <w:rsid w:val="007F670C"/>
    <w:rsid w:val="007F6BA1"/>
    <w:rsid w:val="007F76C3"/>
    <w:rsid w:val="007F7AF9"/>
    <w:rsid w:val="007F7CBD"/>
    <w:rsid w:val="008003BA"/>
    <w:rsid w:val="00800656"/>
    <w:rsid w:val="00800664"/>
    <w:rsid w:val="00800754"/>
    <w:rsid w:val="00800B26"/>
    <w:rsid w:val="00800C51"/>
    <w:rsid w:val="008014B3"/>
    <w:rsid w:val="00801797"/>
    <w:rsid w:val="008019FD"/>
    <w:rsid w:val="00801B45"/>
    <w:rsid w:val="00802063"/>
    <w:rsid w:val="008023D1"/>
    <w:rsid w:val="00802D3A"/>
    <w:rsid w:val="0080328E"/>
    <w:rsid w:val="0080361E"/>
    <w:rsid w:val="008036B2"/>
    <w:rsid w:val="00805333"/>
    <w:rsid w:val="00805988"/>
    <w:rsid w:val="00805AA0"/>
    <w:rsid w:val="00805AB3"/>
    <w:rsid w:val="008063A7"/>
    <w:rsid w:val="00806422"/>
    <w:rsid w:val="00806675"/>
    <w:rsid w:val="0080681B"/>
    <w:rsid w:val="008070ED"/>
    <w:rsid w:val="00807606"/>
    <w:rsid w:val="008077F0"/>
    <w:rsid w:val="00807EC8"/>
    <w:rsid w:val="008107B5"/>
    <w:rsid w:val="008107E0"/>
    <w:rsid w:val="00810BAA"/>
    <w:rsid w:val="00810C10"/>
    <w:rsid w:val="008111AD"/>
    <w:rsid w:val="00811B13"/>
    <w:rsid w:val="00811D8C"/>
    <w:rsid w:val="00811F5D"/>
    <w:rsid w:val="008129C1"/>
    <w:rsid w:val="00812E14"/>
    <w:rsid w:val="008131D4"/>
    <w:rsid w:val="0081361E"/>
    <w:rsid w:val="00813D79"/>
    <w:rsid w:val="00813E8A"/>
    <w:rsid w:val="00814537"/>
    <w:rsid w:val="0081484D"/>
    <w:rsid w:val="00814935"/>
    <w:rsid w:val="00814950"/>
    <w:rsid w:val="00814EE3"/>
    <w:rsid w:val="00814FF0"/>
    <w:rsid w:val="00815419"/>
    <w:rsid w:val="00815ABE"/>
    <w:rsid w:val="008160C6"/>
    <w:rsid w:val="008164F2"/>
    <w:rsid w:val="008167C0"/>
    <w:rsid w:val="0081682F"/>
    <w:rsid w:val="008170AB"/>
    <w:rsid w:val="00817A9C"/>
    <w:rsid w:val="00817E8E"/>
    <w:rsid w:val="00817F42"/>
    <w:rsid w:val="008205A3"/>
    <w:rsid w:val="00820630"/>
    <w:rsid w:val="008206B2"/>
    <w:rsid w:val="008206D3"/>
    <w:rsid w:val="00820B0C"/>
    <w:rsid w:val="00820DAC"/>
    <w:rsid w:val="008214F8"/>
    <w:rsid w:val="008215F2"/>
    <w:rsid w:val="008217ED"/>
    <w:rsid w:val="00821BC5"/>
    <w:rsid w:val="00821FAD"/>
    <w:rsid w:val="008225CE"/>
    <w:rsid w:val="0082264A"/>
    <w:rsid w:val="008230C9"/>
    <w:rsid w:val="008238CB"/>
    <w:rsid w:val="00823E50"/>
    <w:rsid w:val="00823FCA"/>
    <w:rsid w:val="00824276"/>
    <w:rsid w:val="0082443A"/>
    <w:rsid w:val="008247C2"/>
    <w:rsid w:val="0082480C"/>
    <w:rsid w:val="00824E1F"/>
    <w:rsid w:val="00825D18"/>
    <w:rsid w:val="00826F02"/>
    <w:rsid w:val="008270B1"/>
    <w:rsid w:val="00827357"/>
    <w:rsid w:val="0082750E"/>
    <w:rsid w:val="0082753B"/>
    <w:rsid w:val="00827850"/>
    <w:rsid w:val="00827CB9"/>
    <w:rsid w:val="00827FBC"/>
    <w:rsid w:val="00830193"/>
    <w:rsid w:val="00830314"/>
    <w:rsid w:val="008307D6"/>
    <w:rsid w:val="00830837"/>
    <w:rsid w:val="00830CB1"/>
    <w:rsid w:val="00830E39"/>
    <w:rsid w:val="00830F89"/>
    <w:rsid w:val="00830FBD"/>
    <w:rsid w:val="008312FD"/>
    <w:rsid w:val="00831777"/>
    <w:rsid w:val="00831AB6"/>
    <w:rsid w:val="00831C09"/>
    <w:rsid w:val="00831C43"/>
    <w:rsid w:val="00831C6F"/>
    <w:rsid w:val="00831D13"/>
    <w:rsid w:val="00831F22"/>
    <w:rsid w:val="00831FA1"/>
    <w:rsid w:val="00832CD7"/>
    <w:rsid w:val="0083339F"/>
    <w:rsid w:val="008334A5"/>
    <w:rsid w:val="00833BAB"/>
    <w:rsid w:val="008346D4"/>
    <w:rsid w:val="00834813"/>
    <w:rsid w:val="00834B63"/>
    <w:rsid w:val="00835362"/>
    <w:rsid w:val="00835377"/>
    <w:rsid w:val="00835701"/>
    <w:rsid w:val="00835B48"/>
    <w:rsid w:val="00835BFF"/>
    <w:rsid w:val="00835E91"/>
    <w:rsid w:val="00835F05"/>
    <w:rsid w:val="008363C0"/>
    <w:rsid w:val="00836AD4"/>
    <w:rsid w:val="00836C25"/>
    <w:rsid w:val="00837B9E"/>
    <w:rsid w:val="00837D64"/>
    <w:rsid w:val="00840DC3"/>
    <w:rsid w:val="008411DC"/>
    <w:rsid w:val="0084148F"/>
    <w:rsid w:val="008414AB"/>
    <w:rsid w:val="008419DB"/>
    <w:rsid w:val="00841EA9"/>
    <w:rsid w:val="00841EEA"/>
    <w:rsid w:val="008426FC"/>
    <w:rsid w:val="0084288C"/>
    <w:rsid w:val="00842EBE"/>
    <w:rsid w:val="0084310D"/>
    <w:rsid w:val="0084366E"/>
    <w:rsid w:val="0084415F"/>
    <w:rsid w:val="0084476E"/>
    <w:rsid w:val="00844C8D"/>
    <w:rsid w:val="00844D23"/>
    <w:rsid w:val="008450B4"/>
    <w:rsid w:val="00845176"/>
    <w:rsid w:val="008452C3"/>
    <w:rsid w:val="00845312"/>
    <w:rsid w:val="0084567B"/>
    <w:rsid w:val="00845AA0"/>
    <w:rsid w:val="00845C9C"/>
    <w:rsid w:val="008462E8"/>
    <w:rsid w:val="008465ED"/>
    <w:rsid w:val="008465FC"/>
    <w:rsid w:val="0084664C"/>
    <w:rsid w:val="008468A3"/>
    <w:rsid w:val="0084697E"/>
    <w:rsid w:val="008479C0"/>
    <w:rsid w:val="0085085B"/>
    <w:rsid w:val="0085094F"/>
    <w:rsid w:val="00850E9A"/>
    <w:rsid w:val="00851006"/>
    <w:rsid w:val="00851ADD"/>
    <w:rsid w:val="00851CFE"/>
    <w:rsid w:val="00852089"/>
    <w:rsid w:val="008529DF"/>
    <w:rsid w:val="00852F41"/>
    <w:rsid w:val="008540AF"/>
    <w:rsid w:val="00854BF8"/>
    <w:rsid w:val="00854E07"/>
    <w:rsid w:val="008552C5"/>
    <w:rsid w:val="008557C6"/>
    <w:rsid w:val="00855DBD"/>
    <w:rsid w:val="00855EA1"/>
    <w:rsid w:val="0085608E"/>
    <w:rsid w:val="00856327"/>
    <w:rsid w:val="008563C2"/>
    <w:rsid w:val="00856590"/>
    <w:rsid w:val="008565D8"/>
    <w:rsid w:val="00856855"/>
    <w:rsid w:val="00856B30"/>
    <w:rsid w:val="00857C2F"/>
    <w:rsid w:val="00857E5D"/>
    <w:rsid w:val="00860897"/>
    <w:rsid w:val="0086098E"/>
    <w:rsid w:val="00860D46"/>
    <w:rsid w:val="00861DC1"/>
    <w:rsid w:val="00861E5D"/>
    <w:rsid w:val="00862616"/>
    <w:rsid w:val="00863C24"/>
    <w:rsid w:val="00863C93"/>
    <w:rsid w:val="00864175"/>
    <w:rsid w:val="008647FA"/>
    <w:rsid w:val="00864A5B"/>
    <w:rsid w:val="00864A82"/>
    <w:rsid w:val="00864EE7"/>
    <w:rsid w:val="00865156"/>
    <w:rsid w:val="00865571"/>
    <w:rsid w:val="00865B52"/>
    <w:rsid w:val="00866555"/>
    <w:rsid w:val="0086684D"/>
    <w:rsid w:val="00866E85"/>
    <w:rsid w:val="00866F2E"/>
    <w:rsid w:val="00867177"/>
    <w:rsid w:val="008671F8"/>
    <w:rsid w:val="008672B0"/>
    <w:rsid w:val="008672DC"/>
    <w:rsid w:val="008701A1"/>
    <w:rsid w:val="00870216"/>
    <w:rsid w:val="00870486"/>
    <w:rsid w:val="00870CDB"/>
    <w:rsid w:val="00870CEA"/>
    <w:rsid w:val="0087165A"/>
    <w:rsid w:val="00871B8F"/>
    <w:rsid w:val="00871DAF"/>
    <w:rsid w:val="00871E19"/>
    <w:rsid w:val="0087269F"/>
    <w:rsid w:val="00872B8B"/>
    <w:rsid w:val="00873CA3"/>
    <w:rsid w:val="00873F3C"/>
    <w:rsid w:val="00873FAA"/>
    <w:rsid w:val="0087408F"/>
    <w:rsid w:val="0087428D"/>
    <w:rsid w:val="00875194"/>
    <w:rsid w:val="008754E7"/>
    <w:rsid w:val="00875F81"/>
    <w:rsid w:val="00876722"/>
    <w:rsid w:val="0087693E"/>
    <w:rsid w:val="00876C34"/>
    <w:rsid w:val="008770C8"/>
    <w:rsid w:val="00877590"/>
    <w:rsid w:val="00880592"/>
    <w:rsid w:val="008809FB"/>
    <w:rsid w:val="00880C45"/>
    <w:rsid w:val="00881616"/>
    <w:rsid w:val="008819E8"/>
    <w:rsid w:val="00881E12"/>
    <w:rsid w:val="00881FFE"/>
    <w:rsid w:val="008822D3"/>
    <w:rsid w:val="008827EF"/>
    <w:rsid w:val="00882AB2"/>
    <w:rsid w:val="00882E74"/>
    <w:rsid w:val="008837F6"/>
    <w:rsid w:val="00883910"/>
    <w:rsid w:val="008839C8"/>
    <w:rsid w:val="008839EF"/>
    <w:rsid w:val="00884038"/>
    <w:rsid w:val="00884045"/>
    <w:rsid w:val="00884C3E"/>
    <w:rsid w:val="00885118"/>
    <w:rsid w:val="00885212"/>
    <w:rsid w:val="008852FE"/>
    <w:rsid w:val="008856AA"/>
    <w:rsid w:val="00885740"/>
    <w:rsid w:val="00885D2E"/>
    <w:rsid w:val="00885FCA"/>
    <w:rsid w:val="00886391"/>
    <w:rsid w:val="00886421"/>
    <w:rsid w:val="00886A46"/>
    <w:rsid w:val="00887845"/>
    <w:rsid w:val="008900CE"/>
    <w:rsid w:val="008903C9"/>
    <w:rsid w:val="00890D76"/>
    <w:rsid w:val="00891461"/>
    <w:rsid w:val="0089174E"/>
    <w:rsid w:val="00891FAA"/>
    <w:rsid w:val="0089209C"/>
    <w:rsid w:val="00892A56"/>
    <w:rsid w:val="008932D8"/>
    <w:rsid w:val="00893BCD"/>
    <w:rsid w:val="00894823"/>
    <w:rsid w:val="00895540"/>
    <w:rsid w:val="0089558F"/>
    <w:rsid w:val="008955F0"/>
    <w:rsid w:val="0089653A"/>
    <w:rsid w:val="0089696C"/>
    <w:rsid w:val="008970B9"/>
    <w:rsid w:val="00897372"/>
    <w:rsid w:val="0089757B"/>
    <w:rsid w:val="008975B2"/>
    <w:rsid w:val="00897694"/>
    <w:rsid w:val="0089777F"/>
    <w:rsid w:val="00897B40"/>
    <w:rsid w:val="00897E7A"/>
    <w:rsid w:val="008A036A"/>
    <w:rsid w:val="008A0760"/>
    <w:rsid w:val="008A087E"/>
    <w:rsid w:val="008A119C"/>
    <w:rsid w:val="008A1B2B"/>
    <w:rsid w:val="008A391B"/>
    <w:rsid w:val="008A3FDA"/>
    <w:rsid w:val="008A474B"/>
    <w:rsid w:val="008A484E"/>
    <w:rsid w:val="008A5223"/>
    <w:rsid w:val="008A6374"/>
    <w:rsid w:val="008A661C"/>
    <w:rsid w:val="008A6A52"/>
    <w:rsid w:val="008A6BDA"/>
    <w:rsid w:val="008A6CE5"/>
    <w:rsid w:val="008A75F0"/>
    <w:rsid w:val="008A7675"/>
    <w:rsid w:val="008A77B9"/>
    <w:rsid w:val="008A7D5C"/>
    <w:rsid w:val="008B027D"/>
    <w:rsid w:val="008B042C"/>
    <w:rsid w:val="008B0763"/>
    <w:rsid w:val="008B09F5"/>
    <w:rsid w:val="008B0BCC"/>
    <w:rsid w:val="008B1C7C"/>
    <w:rsid w:val="008B1D41"/>
    <w:rsid w:val="008B20A9"/>
    <w:rsid w:val="008B21C1"/>
    <w:rsid w:val="008B24FC"/>
    <w:rsid w:val="008B25ED"/>
    <w:rsid w:val="008B2D17"/>
    <w:rsid w:val="008B2F41"/>
    <w:rsid w:val="008B2F5D"/>
    <w:rsid w:val="008B3B95"/>
    <w:rsid w:val="008B402A"/>
    <w:rsid w:val="008B4204"/>
    <w:rsid w:val="008B45F7"/>
    <w:rsid w:val="008B58EB"/>
    <w:rsid w:val="008B59DE"/>
    <w:rsid w:val="008B5B60"/>
    <w:rsid w:val="008B5F6D"/>
    <w:rsid w:val="008B5F93"/>
    <w:rsid w:val="008B6210"/>
    <w:rsid w:val="008B68A5"/>
    <w:rsid w:val="008B6E5B"/>
    <w:rsid w:val="008B75C4"/>
    <w:rsid w:val="008B7C6C"/>
    <w:rsid w:val="008C02AD"/>
    <w:rsid w:val="008C0A65"/>
    <w:rsid w:val="008C0BCA"/>
    <w:rsid w:val="008C0BCF"/>
    <w:rsid w:val="008C0D0C"/>
    <w:rsid w:val="008C0FBB"/>
    <w:rsid w:val="008C114B"/>
    <w:rsid w:val="008C150B"/>
    <w:rsid w:val="008C1536"/>
    <w:rsid w:val="008C1787"/>
    <w:rsid w:val="008C1E40"/>
    <w:rsid w:val="008C2119"/>
    <w:rsid w:val="008C2F33"/>
    <w:rsid w:val="008C34AC"/>
    <w:rsid w:val="008C3C94"/>
    <w:rsid w:val="008C3DBD"/>
    <w:rsid w:val="008C3E17"/>
    <w:rsid w:val="008C4033"/>
    <w:rsid w:val="008C4344"/>
    <w:rsid w:val="008C5106"/>
    <w:rsid w:val="008C53D1"/>
    <w:rsid w:val="008C5C6A"/>
    <w:rsid w:val="008C60E6"/>
    <w:rsid w:val="008C66A5"/>
    <w:rsid w:val="008C68F3"/>
    <w:rsid w:val="008C7662"/>
    <w:rsid w:val="008D13FC"/>
    <w:rsid w:val="008D153B"/>
    <w:rsid w:val="008D1B90"/>
    <w:rsid w:val="008D2123"/>
    <w:rsid w:val="008D21BE"/>
    <w:rsid w:val="008D2524"/>
    <w:rsid w:val="008D253D"/>
    <w:rsid w:val="008D28D8"/>
    <w:rsid w:val="008D2F20"/>
    <w:rsid w:val="008D39AE"/>
    <w:rsid w:val="008D4299"/>
    <w:rsid w:val="008D42D1"/>
    <w:rsid w:val="008D42D7"/>
    <w:rsid w:val="008D45D6"/>
    <w:rsid w:val="008D4809"/>
    <w:rsid w:val="008D4D12"/>
    <w:rsid w:val="008D4DF5"/>
    <w:rsid w:val="008D505D"/>
    <w:rsid w:val="008D510F"/>
    <w:rsid w:val="008D574A"/>
    <w:rsid w:val="008D5CC5"/>
    <w:rsid w:val="008D5D17"/>
    <w:rsid w:val="008D5E65"/>
    <w:rsid w:val="008D6424"/>
    <w:rsid w:val="008D65DA"/>
    <w:rsid w:val="008D70F5"/>
    <w:rsid w:val="008D7111"/>
    <w:rsid w:val="008D7BB8"/>
    <w:rsid w:val="008D7CE1"/>
    <w:rsid w:val="008D7CFB"/>
    <w:rsid w:val="008D7D39"/>
    <w:rsid w:val="008E0115"/>
    <w:rsid w:val="008E0233"/>
    <w:rsid w:val="008E0C5E"/>
    <w:rsid w:val="008E16B9"/>
    <w:rsid w:val="008E257F"/>
    <w:rsid w:val="008E28E3"/>
    <w:rsid w:val="008E2A4C"/>
    <w:rsid w:val="008E340A"/>
    <w:rsid w:val="008E3A56"/>
    <w:rsid w:val="008E41C0"/>
    <w:rsid w:val="008E44FA"/>
    <w:rsid w:val="008E45A0"/>
    <w:rsid w:val="008E47D7"/>
    <w:rsid w:val="008E4AB6"/>
    <w:rsid w:val="008E4AE5"/>
    <w:rsid w:val="008E4FC4"/>
    <w:rsid w:val="008E5606"/>
    <w:rsid w:val="008E568F"/>
    <w:rsid w:val="008E5BBB"/>
    <w:rsid w:val="008E697E"/>
    <w:rsid w:val="008E6CA7"/>
    <w:rsid w:val="008E6DE4"/>
    <w:rsid w:val="008E70E1"/>
    <w:rsid w:val="008E7315"/>
    <w:rsid w:val="008E742F"/>
    <w:rsid w:val="008F0438"/>
    <w:rsid w:val="008F05AF"/>
    <w:rsid w:val="008F0956"/>
    <w:rsid w:val="008F1392"/>
    <w:rsid w:val="008F1678"/>
    <w:rsid w:val="008F1981"/>
    <w:rsid w:val="008F1EC1"/>
    <w:rsid w:val="008F2076"/>
    <w:rsid w:val="008F2240"/>
    <w:rsid w:val="008F2C81"/>
    <w:rsid w:val="008F36FA"/>
    <w:rsid w:val="008F3B79"/>
    <w:rsid w:val="008F3CBA"/>
    <w:rsid w:val="008F489D"/>
    <w:rsid w:val="008F49A9"/>
    <w:rsid w:val="008F5D56"/>
    <w:rsid w:val="008F6417"/>
    <w:rsid w:val="008F649D"/>
    <w:rsid w:val="008F6AB3"/>
    <w:rsid w:val="008F6E7D"/>
    <w:rsid w:val="008F6F14"/>
    <w:rsid w:val="008F74BF"/>
    <w:rsid w:val="008F76D0"/>
    <w:rsid w:val="008F7AA2"/>
    <w:rsid w:val="008F7F25"/>
    <w:rsid w:val="00900174"/>
    <w:rsid w:val="009006BB"/>
    <w:rsid w:val="009008A1"/>
    <w:rsid w:val="00900AD2"/>
    <w:rsid w:val="00900C73"/>
    <w:rsid w:val="00900C81"/>
    <w:rsid w:val="00900CF5"/>
    <w:rsid w:val="00900CF6"/>
    <w:rsid w:val="009017A5"/>
    <w:rsid w:val="0090202A"/>
    <w:rsid w:val="0090282B"/>
    <w:rsid w:val="00902CC0"/>
    <w:rsid w:val="00902F88"/>
    <w:rsid w:val="0090314F"/>
    <w:rsid w:val="00903798"/>
    <w:rsid w:val="00903B40"/>
    <w:rsid w:val="00903E1A"/>
    <w:rsid w:val="00904409"/>
    <w:rsid w:val="00904612"/>
    <w:rsid w:val="0090464D"/>
    <w:rsid w:val="00904655"/>
    <w:rsid w:val="00904707"/>
    <w:rsid w:val="009047C8"/>
    <w:rsid w:val="009047EF"/>
    <w:rsid w:val="0090486A"/>
    <w:rsid w:val="00904EF0"/>
    <w:rsid w:val="00905EF9"/>
    <w:rsid w:val="00907277"/>
    <w:rsid w:val="00907543"/>
    <w:rsid w:val="00907CEC"/>
    <w:rsid w:val="00907D9A"/>
    <w:rsid w:val="00907FBD"/>
    <w:rsid w:val="0091023B"/>
    <w:rsid w:val="00910281"/>
    <w:rsid w:val="00910FB8"/>
    <w:rsid w:val="0091152E"/>
    <w:rsid w:val="00911675"/>
    <w:rsid w:val="00912346"/>
    <w:rsid w:val="00912666"/>
    <w:rsid w:val="0091271B"/>
    <w:rsid w:val="00913F86"/>
    <w:rsid w:val="00914427"/>
    <w:rsid w:val="00914441"/>
    <w:rsid w:val="00914615"/>
    <w:rsid w:val="00914618"/>
    <w:rsid w:val="00914795"/>
    <w:rsid w:val="0091486F"/>
    <w:rsid w:val="009149C8"/>
    <w:rsid w:val="00914C2D"/>
    <w:rsid w:val="00914D30"/>
    <w:rsid w:val="00914E86"/>
    <w:rsid w:val="0091515E"/>
    <w:rsid w:val="00915E10"/>
    <w:rsid w:val="00915E4B"/>
    <w:rsid w:val="009169A4"/>
    <w:rsid w:val="00916D19"/>
    <w:rsid w:val="009175ED"/>
    <w:rsid w:val="00920D7C"/>
    <w:rsid w:val="00920DEA"/>
    <w:rsid w:val="009216BB"/>
    <w:rsid w:val="00921733"/>
    <w:rsid w:val="009217B7"/>
    <w:rsid w:val="009220B0"/>
    <w:rsid w:val="00923049"/>
    <w:rsid w:val="009236AF"/>
    <w:rsid w:val="00923CE9"/>
    <w:rsid w:val="00924104"/>
    <w:rsid w:val="009241D7"/>
    <w:rsid w:val="00924239"/>
    <w:rsid w:val="009242BB"/>
    <w:rsid w:val="00924AA1"/>
    <w:rsid w:val="00924BE3"/>
    <w:rsid w:val="00924E4F"/>
    <w:rsid w:val="00925062"/>
    <w:rsid w:val="0092567B"/>
    <w:rsid w:val="009258EE"/>
    <w:rsid w:val="00925E44"/>
    <w:rsid w:val="00925E9D"/>
    <w:rsid w:val="00926B19"/>
    <w:rsid w:val="0092718D"/>
    <w:rsid w:val="00927B11"/>
    <w:rsid w:val="00927F62"/>
    <w:rsid w:val="00930C30"/>
    <w:rsid w:val="00930C4F"/>
    <w:rsid w:val="0093107F"/>
    <w:rsid w:val="009313B8"/>
    <w:rsid w:val="00931833"/>
    <w:rsid w:val="00931936"/>
    <w:rsid w:val="00931CA2"/>
    <w:rsid w:val="00932446"/>
    <w:rsid w:val="0093247F"/>
    <w:rsid w:val="00932630"/>
    <w:rsid w:val="00932698"/>
    <w:rsid w:val="00932A35"/>
    <w:rsid w:val="00932DBC"/>
    <w:rsid w:val="00932E45"/>
    <w:rsid w:val="00933036"/>
    <w:rsid w:val="009344E0"/>
    <w:rsid w:val="00934C7C"/>
    <w:rsid w:val="00935D2A"/>
    <w:rsid w:val="00935FD2"/>
    <w:rsid w:val="00936231"/>
    <w:rsid w:val="00937ABD"/>
    <w:rsid w:val="009403BF"/>
    <w:rsid w:val="00940B5C"/>
    <w:rsid w:val="00941087"/>
    <w:rsid w:val="00941517"/>
    <w:rsid w:val="00941859"/>
    <w:rsid w:val="00941E2D"/>
    <w:rsid w:val="00941F04"/>
    <w:rsid w:val="009427E0"/>
    <w:rsid w:val="00942A69"/>
    <w:rsid w:val="00942E1B"/>
    <w:rsid w:val="0094305B"/>
    <w:rsid w:val="00943747"/>
    <w:rsid w:val="009437BE"/>
    <w:rsid w:val="0094395F"/>
    <w:rsid w:val="00943CA3"/>
    <w:rsid w:val="00944274"/>
    <w:rsid w:val="009446B4"/>
    <w:rsid w:val="009447B6"/>
    <w:rsid w:val="00944CC3"/>
    <w:rsid w:val="00944E00"/>
    <w:rsid w:val="00944FF0"/>
    <w:rsid w:val="009458AE"/>
    <w:rsid w:val="00945B5E"/>
    <w:rsid w:val="00945CE2"/>
    <w:rsid w:val="009460CA"/>
    <w:rsid w:val="009471E0"/>
    <w:rsid w:val="009474DC"/>
    <w:rsid w:val="009509DE"/>
    <w:rsid w:val="00950A1B"/>
    <w:rsid w:val="009514E4"/>
    <w:rsid w:val="00951AC3"/>
    <w:rsid w:val="0095261D"/>
    <w:rsid w:val="00952AFE"/>
    <w:rsid w:val="00952BF8"/>
    <w:rsid w:val="00953110"/>
    <w:rsid w:val="009533B7"/>
    <w:rsid w:val="009539B0"/>
    <w:rsid w:val="00953DF6"/>
    <w:rsid w:val="00953EBA"/>
    <w:rsid w:val="0095424C"/>
    <w:rsid w:val="009545CC"/>
    <w:rsid w:val="00954750"/>
    <w:rsid w:val="00954D0D"/>
    <w:rsid w:val="00956037"/>
    <w:rsid w:val="009561FB"/>
    <w:rsid w:val="00956316"/>
    <w:rsid w:val="00956565"/>
    <w:rsid w:val="009566CE"/>
    <w:rsid w:val="009567D5"/>
    <w:rsid w:val="009569E6"/>
    <w:rsid w:val="00957115"/>
    <w:rsid w:val="009576C5"/>
    <w:rsid w:val="009577CE"/>
    <w:rsid w:val="0095790B"/>
    <w:rsid w:val="00957DF6"/>
    <w:rsid w:val="00960764"/>
    <w:rsid w:val="00960CD8"/>
    <w:rsid w:val="009614C0"/>
    <w:rsid w:val="00961CFA"/>
    <w:rsid w:val="00961D89"/>
    <w:rsid w:val="00961ED2"/>
    <w:rsid w:val="00961F31"/>
    <w:rsid w:val="00962267"/>
    <w:rsid w:val="009623B8"/>
    <w:rsid w:val="0096267E"/>
    <w:rsid w:val="00962DDD"/>
    <w:rsid w:val="0096307A"/>
    <w:rsid w:val="00963180"/>
    <w:rsid w:val="0096326F"/>
    <w:rsid w:val="00963761"/>
    <w:rsid w:val="009640D7"/>
    <w:rsid w:val="00964D8B"/>
    <w:rsid w:val="00964E18"/>
    <w:rsid w:val="00965393"/>
    <w:rsid w:val="00965751"/>
    <w:rsid w:val="00965AEF"/>
    <w:rsid w:val="00966B0D"/>
    <w:rsid w:val="00966BF2"/>
    <w:rsid w:val="00967256"/>
    <w:rsid w:val="0096740E"/>
    <w:rsid w:val="00970BD6"/>
    <w:rsid w:val="00970C49"/>
    <w:rsid w:val="00970D4B"/>
    <w:rsid w:val="00970D7B"/>
    <w:rsid w:val="00970DDD"/>
    <w:rsid w:val="00971598"/>
    <w:rsid w:val="00971F0C"/>
    <w:rsid w:val="009724B3"/>
    <w:rsid w:val="0097250A"/>
    <w:rsid w:val="00972E9E"/>
    <w:rsid w:val="0097352E"/>
    <w:rsid w:val="00973854"/>
    <w:rsid w:val="0097390F"/>
    <w:rsid w:val="00973C4B"/>
    <w:rsid w:val="00973D19"/>
    <w:rsid w:val="00975001"/>
    <w:rsid w:val="009752F1"/>
    <w:rsid w:val="009756E4"/>
    <w:rsid w:val="0097609E"/>
    <w:rsid w:val="009761AF"/>
    <w:rsid w:val="00976230"/>
    <w:rsid w:val="00976659"/>
    <w:rsid w:val="00977168"/>
    <w:rsid w:val="00977687"/>
    <w:rsid w:val="009779A1"/>
    <w:rsid w:val="00977EDE"/>
    <w:rsid w:val="00980095"/>
    <w:rsid w:val="0098027E"/>
    <w:rsid w:val="00980885"/>
    <w:rsid w:val="00980F43"/>
    <w:rsid w:val="009816B0"/>
    <w:rsid w:val="00981A1B"/>
    <w:rsid w:val="00981E9B"/>
    <w:rsid w:val="00982A23"/>
    <w:rsid w:val="00983C94"/>
    <w:rsid w:val="00984879"/>
    <w:rsid w:val="00984A8B"/>
    <w:rsid w:val="0098508C"/>
    <w:rsid w:val="009851EE"/>
    <w:rsid w:val="0098533B"/>
    <w:rsid w:val="0098577E"/>
    <w:rsid w:val="0098649A"/>
    <w:rsid w:val="00990454"/>
    <w:rsid w:val="00990565"/>
    <w:rsid w:val="00990D15"/>
    <w:rsid w:val="009914A3"/>
    <w:rsid w:val="0099161B"/>
    <w:rsid w:val="00991912"/>
    <w:rsid w:val="00991BAB"/>
    <w:rsid w:val="00991CC4"/>
    <w:rsid w:val="009928FE"/>
    <w:rsid w:val="00992B4A"/>
    <w:rsid w:val="00992DBF"/>
    <w:rsid w:val="00993191"/>
    <w:rsid w:val="00995273"/>
    <w:rsid w:val="00995ACC"/>
    <w:rsid w:val="00995B18"/>
    <w:rsid w:val="00996647"/>
    <w:rsid w:val="00996E61"/>
    <w:rsid w:val="009970B7"/>
    <w:rsid w:val="00997CD8"/>
    <w:rsid w:val="00997EAE"/>
    <w:rsid w:val="00997ED7"/>
    <w:rsid w:val="009A0A0A"/>
    <w:rsid w:val="009A0B07"/>
    <w:rsid w:val="009A0C75"/>
    <w:rsid w:val="009A0CF3"/>
    <w:rsid w:val="009A0FAD"/>
    <w:rsid w:val="009A1158"/>
    <w:rsid w:val="009A1228"/>
    <w:rsid w:val="009A15ED"/>
    <w:rsid w:val="009A1641"/>
    <w:rsid w:val="009A2F04"/>
    <w:rsid w:val="009A3115"/>
    <w:rsid w:val="009A330A"/>
    <w:rsid w:val="009A385E"/>
    <w:rsid w:val="009A41EF"/>
    <w:rsid w:val="009A4331"/>
    <w:rsid w:val="009A438B"/>
    <w:rsid w:val="009A44A0"/>
    <w:rsid w:val="009A506F"/>
    <w:rsid w:val="009A55E0"/>
    <w:rsid w:val="009A55E3"/>
    <w:rsid w:val="009A5C71"/>
    <w:rsid w:val="009A5F74"/>
    <w:rsid w:val="009A66A9"/>
    <w:rsid w:val="009A6E2F"/>
    <w:rsid w:val="009A75C1"/>
    <w:rsid w:val="009A79F0"/>
    <w:rsid w:val="009A7B2F"/>
    <w:rsid w:val="009B0207"/>
    <w:rsid w:val="009B0E6D"/>
    <w:rsid w:val="009B0FBA"/>
    <w:rsid w:val="009B1623"/>
    <w:rsid w:val="009B187B"/>
    <w:rsid w:val="009B1AA4"/>
    <w:rsid w:val="009B1C32"/>
    <w:rsid w:val="009B2166"/>
    <w:rsid w:val="009B2596"/>
    <w:rsid w:val="009B292B"/>
    <w:rsid w:val="009B2AEB"/>
    <w:rsid w:val="009B31C0"/>
    <w:rsid w:val="009B36F3"/>
    <w:rsid w:val="009B3C6E"/>
    <w:rsid w:val="009B4064"/>
    <w:rsid w:val="009B4098"/>
    <w:rsid w:val="009B4A33"/>
    <w:rsid w:val="009B4BC5"/>
    <w:rsid w:val="009B4C3A"/>
    <w:rsid w:val="009B4D05"/>
    <w:rsid w:val="009B52DC"/>
    <w:rsid w:val="009B54F7"/>
    <w:rsid w:val="009B5709"/>
    <w:rsid w:val="009B57D2"/>
    <w:rsid w:val="009B5A96"/>
    <w:rsid w:val="009B5F14"/>
    <w:rsid w:val="009B69FA"/>
    <w:rsid w:val="009B73CB"/>
    <w:rsid w:val="009B7E01"/>
    <w:rsid w:val="009C0157"/>
    <w:rsid w:val="009C0322"/>
    <w:rsid w:val="009C07B4"/>
    <w:rsid w:val="009C0B29"/>
    <w:rsid w:val="009C0B5E"/>
    <w:rsid w:val="009C0D27"/>
    <w:rsid w:val="009C0D61"/>
    <w:rsid w:val="009C1695"/>
    <w:rsid w:val="009C1A95"/>
    <w:rsid w:val="009C1BFC"/>
    <w:rsid w:val="009C1D76"/>
    <w:rsid w:val="009C27A1"/>
    <w:rsid w:val="009C3B43"/>
    <w:rsid w:val="009C3B4E"/>
    <w:rsid w:val="009C498F"/>
    <w:rsid w:val="009C4C70"/>
    <w:rsid w:val="009C5F07"/>
    <w:rsid w:val="009C5FF1"/>
    <w:rsid w:val="009C681F"/>
    <w:rsid w:val="009C6B02"/>
    <w:rsid w:val="009C74A3"/>
    <w:rsid w:val="009D0245"/>
    <w:rsid w:val="009D07A7"/>
    <w:rsid w:val="009D0B9B"/>
    <w:rsid w:val="009D0E51"/>
    <w:rsid w:val="009D1197"/>
    <w:rsid w:val="009D1367"/>
    <w:rsid w:val="009D18B6"/>
    <w:rsid w:val="009D23FE"/>
    <w:rsid w:val="009D2785"/>
    <w:rsid w:val="009D280A"/>
    <w:rsid w:val="009D3A47"/>
    <w:rsid w:val="009D3B31"/>
    <w:rsid w:val="009D4020"/>
    <w:rsid w:val="009D41FA"/>
    <w:rsid w:val="009D4509"/>
    <w:rsid w:val="009D4895"/>
    <w:rsid w:val="009D4D4F"/>
    <w:rsid w:val="009D5EB1"/>
    <w:rsid w:val="009D70EC"/>
    <w:rsid w:val="009D7D13"/>
    <w:rsid w:val="009D7DC8"/>
    <w:rsid w:val="009E0EC0"/>
    <w:rsid w:val="009E11DF"/>
    <w:rsid w:val="009E12B5"/>
    <w:rsid w:val="009E1454"/>
    <w:rsid w:val="009E21F3"/>
    <w:rsid w:val="009E2329"/>
    <w:rsid w:val="009E24B8"/>
    <w:rsid w:val="009E292D"/>
    <w:rsid w:val="009E299C"/>
    <w:rsid w:val="009E33C9"/>
    <w:rsid w:val="009E37CF"/>
    <w:rsid w:val="009E3A41"/>
    <w:rsid w:val="009E3B65"/>
    <w:rsid w:val="009E43E8"/>
    <w:rsid w:val="009E4505"/>
    <w:rsid w:val="009E4A62"/>
    <w:rsid w:val="009E4B49"/>
    <w:rsid w:val="009E5140"/>
    <w:rsid w:val="009E54E9"/>
    <w:rsid w:val="009E58C6"/>
    <w:rsid w:val="009E669B"/>
    <w:rsid w:val="009E6AF4"/>
    <w:rsid w:val="009E71BE"/>
    <w:rsid w:val="009E74A7"/>
    <w:rsid w:val="009E7EE6"/>
    <w:rsid w:val="009E7F59"/>
    <w:rsid w:val="009F0191"/>
    <w:rsid w:val="009F0931"/>
    <w:rsid w:val="009F102A"/>
    <w:rsid w:val="009F1188"/>
    <w:rsid w:val="009F16D4"/>
    <w:rsid w:val="009F1B7F"/>
    <w:rsid w:val="009F21BF"/>
    <w:rsid w:val="009F23A1"/>
    <w:rsid w:val="009F2EB7"/>
    <w:rsid w:val="009F36EF"/>
    <w:rsid w:val="009F3A51"/>
    <w:rsid w:val="009F3F97"/>
    <w:rsid w:val="009F3F9F"/>
    <w:rsid w:val="009F49D8"/>
    <w:rsid w:val="009F4E6C"/>
    <w:rsid w:val="009F59AA"/>
    <w:rsid w:val="009F6447"/>
    <w:rsid w:val="009F652B"/>
    <w:rsid w:val="009F6599"/>
    <w:rsid w:val="009F66D6"/>
    <w:rsid w:val="009F6797"/>
    <w:rsid w:val="009F71DC"/>
    <w:rsid w:val="009F753B"/>
    <w:rsid w:val="009F75C6"/>
    <w:rsid w:val="009F76EA"/>
    <w:rsid w:val="00A0009C"/>
    <w:rsid w:val="00A008F9"/>
    <w:rsid w:val="00A00AC0"/>
    <w:rsid w:val="00A018DC"/>
    <w:rsid w:val="00A01D67"/>
    <w:rsid w:val="00A01E26"/>
    <w:rsid w:val="00A0260B"/>
    <w:rsid w:val="00A02989"/>
    <w:rsid w:val="00A030DF"/>
    <w:rsid w:val="00A03433"/>
    <w:rsid w:val="00A0383B"/>
    <w:rsid w:val="00A0395D"/>
    <w:rsid w:val="00A03E73"/>
    <w:rsid w:val="00A04391"/>
    <w:rsid w:val="00A04999"/>
    <w:rsid w:val="00A05179"/>
    <w:rsid w:val="00A054D7"/>
    <w:rsid w:val="00A05744"/>
    <w:rsid w:val="00A05854"/>
    <w:rsid w:val="00A059D9"/>
    <w:rsid w:val="00A05A28"/>
    <w:rsid w:val="00A061F4"/>
    <w:rsid w:val="00A069ED"/>
    <w:rsid w:val="00A069F5"/>
    <w:rsid w:val="00A07550"/>
    <w:rsid w:val="00A1023D"/>
    <w:rsid w:val="00A10989"/>
    <w:rsid w:val="00A10D0B"/>
    <w:rsid w:val="00A11D73"/>
    <w:rsid w:val="00A12084"/>
    <w:rsid w:val="00A120F4"/>
    <w:rsid w:val="00A12991"/>
    <w:rsid w:val="00A1322B"/>
    <w:rsid w:val="00A1328D"/>
    <w:rsid w:val="00A134B4"/>
    <w:rsid w:val="00A1396A"/>
    <w:rsid w:val="00A13ED0"/>
    <w:rsid w:val="00A1411C"/>
    <w:rsid w:val="00A14CAF"/>
    <w:rsid w:val="00A15A61"/>
    <w:rsid w:val="00A15B09"/>
    <w:rsid w:val="00A15E02"/>
    <w:rsid w:val="00A15F0F"/>
    <w:rsid w:val="00A161BD"/>
    <w:rsid w:val="00A1634F"/>
    <w:rsid w:val="00A16914"/>
    <w:rsid w:val="00A1694B"/>
    <w:rsid w:val="00A16DD9"/>
    <w:rsid w:val="00A17244"/>
    <w:rsid w:val="00A1728A"/>
    <w:rsid w:val="00A17C4C"/>
    <w:rsid w:val="00A20189"/>
    <w:rsid w:val="00A2051D"/>
    <w:rsid w:val="00A205C4"/>
    <w:rsid w:val="00A20C8A"/>
    <w:rsid w:val="00A20FEF"/>
    <w:rsid w:val="00A21C57"/>
    <w:rsid w:val="00A21FB0"/>
    <w:rsid w:val="00A22B44"/>
    <w:rsid w:val="00A22C2B"/>
    <w:rsid w:val="00A22D19"/>
    <w:rsid w:val="00A22E92"/>
    <w:rsid w:val="00A23935"/>
    <w:rsid w:val="00A23EDF"/>
    <w:rsid w:val="00A24BD7"/>
    <w:rsid w:val="00A24EFE"/>
    <w:rsid w:val="00A24FC0"/>
    <w:rsid w:val="00A25473"/>
    <w:rsid w:val="00A25495"/>
    <w:rsid w:val="00A256C6"/>
    <w:rsid w:val="00A2586F"/>
    <w:rsid w:val="00A25AC5"/>
    <w:rsid w:val="00A25F45"/>
    <w:rsid w:val="00A264B6"/>
    <w:rsid w:val="00A2655D"/>
    <w:rsid w:val="00A26C25"/>
    <w:rsid w:val="00A270B1"/>
    <w:rsid w:val="00A274C6"/>
    <w:rsid w:val="00A274E7"/>
    <w:rsid w:val="00A27715"/>
    <w:rsid w:val="00A27841"/>
    <w:rsid w:val="00A27C7D"/>
    <w:rsid w:val="00A30748"/>
    <w:rsid w:val="00A30F82"/>
    <w:rsid w:val="00A31193"/>
    <w:rsid w:val="00A315A7"/>
    <w:rsid w:val="00A31AF5"/>
    <w:rsid w:val="00A31B83"/>
    <w:rsid w:val="00A31CC7"/>
    <w:rsid w:val="00A32460"/>
    <w:rsid w:val="00A32F02"/>
    <w:rsid w:val="00A3327D"/>
    <w:rsid w:val="00A33295"/>
    <w:rsid w:val="00A33426"/>
    <w:rsid w:val="00A33AE4"/>
    <w:rsid w:val="00A33D1B"/>
    <w:rsid w:val="00A33F28"/>
    <w:rsid w:val="00A340C5"/>
    <w:rsid w:val="00A346F9"/>
    <w:rsid w:val="00A34E0E"/>
    <w:rsid w:val="00A35235"/>
    <w:rsid w:val="00A355DA"/>
    <w:rsid w:val="00A36DD6"/>
    <w:rsid w:val="00A372C8"/>
    <w:rsid w:val="00A3734A"/>
    <w:rsid w:val="00A37A26"/>
    <w:rsid w:val="00A4017F"/>
    <w:rsid w:val="00A402DA"/>
    <w:rsid w:val="00A40456"/>
    <w:rsid w:val="00A40868"/>
    <w:rsid w:val="00A419D9"/>
    <w:rsid w:val="00A41AE7"/>
    <w:rsid w:val="00A41B1F"/>
    <w:rsid w:val="00A41B92"/>
    <w:rsid w:val="00A41CAA"/>
    <w:rsid w:val="00A41DF3"/>
    <w:rsid w:val="00A41E3A"/>
    <w:rsid w:val="00A42023"/>
    <w:rsid w:val="00A43290"/>
    <w:rsid w:val="00A435BA"/>
    <w:rsid w:val="00A44202"/>
    <w:rsid w:val="00A4468D"/>
    <w:rsid w:val="00A500B9"/>
    <w:rsid w:val="00A502C5"/>
    <w:rsid w:val="00A5052A"/>
    <w:rsid w:val="00A50900"/>
    <w:rsid w:val="00A509A8"/>
    <w:rsid w:val="00A5192E"/>
    <w:rsid w:val="00A51A31"/>
    <w:rsid w:val="00A525FB"/>
    <w:rsid w:val="00A53512"/>
    <w:rsid w:val="00A54677"/>
    <w:rsid w:val="00A546F4"/>
    <w:rsid w:val="00A54BAD"/>
    <w:rsid w:val="00A55148"/>
    <w:rsid w:val="00A5523A"/>
    <w:rsid w:val="00A55507"/>
    <w:rsid w:val="00A555F4"/>
    <w:rsid w:val="00A55915"/>
    <w:rsid w:val="00A55E99"/>
    <w:rsid w:val="00A55FFD"/>
    <w:rsid w:val="00A56307"/>
    <w:rsid w:val="00A56793"/>
    <w:rsid w:val="00A56D9C"/>
    <w:rsid w:val="00A56FFB"/>
    <w:rsid w:val="00A5715F"/>
    <w:rsid w:val="00A57594"/>
    <w:rsid w:val="00A575D8"/>
    <w:rsid w:val="00A57B8C"/>
    <w:rsid w:val="00A60BFD"/>
    <w:rsid w:val="00A61243"/>
    <w:rsid w:val="00A62821"/>
    <w:rsid w:val="00A6283B"/>
    <w:rsid w:val="00A62C0A"/>
    <w:rsid w:val="00A62F7D"/>
    <w:rsid w:val="00A63F00"/>
    <w:rsid w:val="00A63F8D"/>
    <w:rsid w:val="00A6473D"/>
    <w:rsid w:val="00A6482A"/>
    <w:rsid w:val="00A649BE"/>
    <w:rsid w:val="00A64FAF"/>
    <w:rsid w:val="00A6521C"/>
    <w:rsid w:val="00A65B94"/>
    <w:rsid w:val="00A6625F"/>
    <w:rsid w:val="00A6685A"/>
    <w:rsid w:val="00A6724F"/>
    <w:rsid w:val="00A67656"/>
    <w:rsid w:val="00A67730"/>
    <w:rsid w:val="00A678EE"/>
    <w:rsid w:val="00A67C9A"/>
    <w:rsid w:val="00A67FAD"/>
    <w:rsid w:val="00A7013C"/>
    <w:rsid w:val="00A7032F"/>
    <w:rsid w:val="00A70C17"/>
    <w:rsid w:val="00A710C7"/>
    <w:rsid w:val="00A713E1"/>
    <w:rsid w:val="00A71FA7"/>
    <w:rsid w:val="00A72013"/>
    <w:rsid w:val="00A72474"/>
    <w:rsid w:val="00A7265F"/>
    <w:rsid w:val="00A7270F"/>
    <w:rsid w:val="00A729D4"/>
    <w:rsid w:val="00A72A16"/>
    <w:rsid w:val="00A72DFE"/>
    <w:rsid w:val="00A752A2"/>
    <w:rsid w:val="00A75BCF"/>
    <w:rsid w:val="00A75DB7"/>
    <w:rsid w:val="00A76155"/>
    <w:rsid w:val="00A76386"/>
    <w:rsid w:val="00A76B45"/>
    <w:rsid w:val="00A77582"/>
    <w:rsid w:val="00A77A7B"/>
    <w:rsid w:val="00A80121"/>
    <w:rsid w:val="00A8020A"/>
    <w:rsid w:val="00A80243"/>
    <w:rsid w:val="00A80777"/>
    <w:rsid w:val="00A808D4"/>
    <w:rsid w:val="00A8096C"/>
    <w:rsid w:val="00A80BC2"/>
    <w:rsid w:val="00A80BF6"/>
    <w:rsid w:val="00A80D02"/>
    <w:rsid w:val="00A80D56"/>
    <w:rsid w:val="00A816A5"/>
    <w:rsid w:val="00A81964"/>
    <w:rsid w:val="00A81C52"/>
    <w:rsid w:val="00A82B73"/>
    <w:rsid w:val="00A82EBF"/>
    <w:rsid w:val="00A83440"/>
    <w:rsid w:val="00A83A24"/>
    <w:rsid w:val="00A83A31"/>
    <w:rsid w:val="00A8433A"/>
    <w:rsid w:val="00A84770"/>
    <w:rsid w:val="00A84D2A"/>
    <w:rsid w:val="00A84DEE"/>
    <w:rsid w:val="00A85262"/>
    <w:rsid w:val="00A85466"/>
    <w:rsid w:val="00A85A38"/>
    <w:rsid w:val="00A86DF9"/>
    <w:rsid w:val="00A86F7A"/>
    <w:rsid w:val="00A871F5"/>
    <w:rsid w:val="00A8721F"/>
    <w:rsid w:val="00A87E04"/>
    <w:rsid w:val="00A87F00"/>
    <w:rsid w:val="00A9101C"/>
    <w:rsid w:val="00A913F7"/>
    <w:rsid w:val="00A927AA"/>
    <w:rsid w:val="00A92A2A"/>
    <w:rsid w:val="00A92D4C"/>
    <w:rsid w:val="00A92EA3"/>
    <w:rsid w:val="00A932C6"/>
    <w:rsid w:val="00A939EF"/>
    <w:rsid w:val="00A93EE6"/>
    <w:rsid w:val="00A93F2B"/>
    <w:rsid w:val="00A93F44"/>
    <w:rsid w:val="00A93FA7"/>
    <w:rsid w:val="00A94135"/>
    <w:rsid w:val="00A94711"/>
    <w:rsid w:val="00A947B4"/>
    <w:rsid w:val="00A94CB7"/>
    <w:rsid w:val="00A94FA3"/>
    <w:rsid w:val="00A960C0"/>
    <w:rsid w:val="00A967CE"/>
    <w:rsid w:val="00A97558"/>
    <w:rsid w:val="00A97644"/>
    <w:rsid w:val="00A97B47"/>
    <w:rsid w:val="00A97CCF"/>
    <w:rsid w:val="00A97F43"/>
    <w:rsid w:val="00AA08DF"/>
    <w:rsid w:val="00AA0921"/>
    <w:rsid w:val="00AA0F20"/>
    <w:rsid w:val="00AA1414"/>
    <w:rsid w:val="00AA1763"/>
    <w:rsid w:val="00AA1E05"/>
    <w:rsid w:val="00AA2037"/>
    <w:rsid w:val="00AA2085"/>
    <w:rsid w:val="00AA2307"/>
    <w:rsid w:val="00AA259A"/>
    <w:rsid w:val="00AA2F16"/>
    <w:rsid w:val="00AA36C6"/>
    <w:rsid w:val="00AA372D"/>
    <w:rsid w:val="00AA41CA"/>
    <w:rsid w:val="00AA42C9"/>
    <w:rsid w:val="00AA4593"/>
    <w:rsid w:val="00AA4805"/>
    <w:rsid w:val="00AA4AA6"/>
    <w:rsid w:val="00AA4CCF"/>
    <w:rsid w:val="00AA580C"/>
    <w:rsid w:val="00AA5B96"/>
    <w:rsid w:val="00AA5E61"/>
    <w:rsid w:val="00AA61AD"/>
    <w:rsid w:val="00AA66B6"/>
    <w:rsid w:val="00AA6FFC"/>
    <w:rsid w:val="00AA72D1"/>
    <w:rsid w:val="00AA73E6"/>
    <w:rsid w:val="00AA7E51"/>
    <w:rsid w:val="00AB03A6"/>
    <w:rsid w:val="00AB08A6"/>
    <w:rsid w:val="00AB0F69"/>
    <w:rsid w:val="00AB1D37"/>
    <w:rsid w:val="00AB21FD"/>
    <w:rsid w:val="00AB2AAA"/>
    <w:rsid w:val="00AB368C"/>
    <w:rsid w:val="00AB388D"/>
    <w:rsid w:val="00AB43C3"/>
    <w:rsid w:val="00AB4873"/>
    <w:rsid w:val="00AB66AF"/>
    <w:rsid w:val="00AB7964"/>
    <w:rsid w:val="00AB7ECA"/>
    <w:rsid w:val="00AC025D"/>
    <w:rsid w:val="00AC0649"/>
    <w:rsid w:val="00AC07DD"/>
    <w:rsid w:val="00AC0F7D"/>
    <w:rsid w:val="00AC11B0"/>
    <w:rsid w:val="00AC2516"/>
    <w:rsid w:val="00AC2A7C"/>
    <w:rsid w:val="00AC2BCB"/>
    <w:rsid w:val="00AC3731"/>
    <w:rsid w:val="00AC396E"/>
    <w:rsid w:val="00AC3ADE"/>
    <w:rsid w:val="00AC3DB3"/>
    <w:rsid w:val="00AC3F4C"/>
    <w:rsid w:val="00AC3F70"/>
    <w:rsid w:val="00AC447A"/>
    <w:rsid w:val="00AC4B64"/>
    <w:rsid w:val="00AC4E4D"/>
    <w:rsid w:val="00AC6544"/>
    <w:rsid w:val="00AC65B5"/>
    <w:rsid w:val="00AC68FB"/>
    <w:rsid w:val="00AC6F0B"/>
    <w:rsid w:val="00AC7083"/>
    <w:rsid w:val="00AC7447"/>
    <w:rsid w:val="00AC7619"/>
    <w:rsid w:val="00AD0221"/>
    <w:rsid w:val="00AD0A04"/>
    <w:rsid w:val="00AD12A6"/>
    <w:rsid w:val="00AD151E"/>
    <w:rsid w:val="00AD180F"/>
    <w:rsid w:val="00AD1C15"/>
    <w:rsid w:val="00AD1F3E"/>
    <w:rsid w:val="00AD1F41"/>
    <w:rsid w:val="00AD214D"/>
    <w:rsid w:val="00AD217B"/>
    <w:rsid w:val="00AD21BB"/>
    <w:rsid w:val="00AD240D"/>
    <w:rsid w:val="00AD2616"/>
    <w:rsid w:val="00AD26FD"/>
    <w:rsid w:val="00AD2743"/>
    <w:rsid w:val="00AD2D21"/>
    <w:rsid w:val="00AD3728"/>
    <w:rsid w:val="00AD3959"/>
    <w:rsid w:val="00AD3A71"/>
    <w:rsid w:val="00AD3C68"/>
    <w:rsid w:val="00AD3D79"/>
    <w:rsid w:val="00AD3F94"/>
    <w:rsid w:val="00AD48C8"/>
    <w:rsid w:val="00AD4A77"/>
    <w:rsid w:val="00AD4D41"/>
    <w:rsid w:val="00AD4D6C"/>
    <w:rsid w:val="00AD50B4"/>
    <w:rsid w:val="00AD516C"/>
    <w:rsid w:val="00AD53FF"/>
    <w:rsid w:val="00AD55D9"/>
    <w:rsid w:val="00AD5650"/>
    <w:rsid w:val="00AD57BC"/>
    <w:rsid w:val="00AD59A2"/>
    <w:rsid w:val="00AD6339"/>
    <w:rsid w:val="00AD6ABF"/>
    <w:rsid w:val="00AD7380"/>
    <w:rsid w:val="00AD76B8"/>
    <w:rsid w:val="00AE02B1"/>
    <w:rsid w:val="00AE09E5"/>
    <w:rsid w:val="00AE0D74"/>
    <w:rsid w:val="00AE152B"/>
    <w:rsid w:val="00AE161C"/>
    <w:rsid w:val="00AE1BB9"/>
    <w:rsid w:val="00AE1FDA"/>
    <w:rsid w:val="00AE2099"/>
    <w:rsid w:val="00AE229C"/>
    <w:rsid w:val="00AE22EB"/>
    <w:rsid w:val="00AE2363"/>
    <w:rsid w:val="00AE2464"/>
    <w:rsid w:val="00AE25F9"/>
    <w:rsid w:val="00AE3051"/>
    <w:rsid w:val="00AE31F5"/>
    <w:rsid w:val="00AE33FF"/>
    <w:rsid w:val="00AE3817"/>
    <w:rsid w:val="00AE4428"/>
    <w:rsid w:val="00AE4A32"/>
    <w:rsid w:val="00AE5D1E"/>
    <w:rsid w:val="00AE613F"/>
    <w:rsid w:val="00AE66B0"/>
    <w:rsid w:val="00AE6891"/>
    <w:rsid w:val="00AE6AEA"/>
    <w:rsid w:val="00AE6BB6"/>
    <w:rsid w:val="00AE75CC"/>
    <w:rsid w:val="00AE7650"/>
    <w:rsid w:val="00AF038F"/>
    <w:rsid w:val="00AF0671"/>
    <w:rsid w:val="00AF18ED"/>
    <w:rsid w:val="00AF1A28"/>
    <w:rsid w:val="00AF26B8"/>
    <w:rsid w:val="00AF27D4"/>
    <w:rsid w:val="00AF2B1B"/>
    <w:rsid w:val="00AF3308"/>
    <w:rsid w:val="00AF3740"/>
    <w:rsid w:val="00AF397D"/>
    <w:rsid w:val="00AF39AC"/>
    <w:rsid w:val="00AF40D5"/>
    <w:rsid w:val="00AF41D1"/>
    <w:rsid w:val="00AF4870"/>
    <w:rsid w:val="00AF4902"/>
    <w:rsid w:val="00AF4969"/>
    <w:rsid w:val="00AF4D41"/>
    <w:rsid w:val="00AF569F"/>
    <w:rsid w:val="00AF5893"/>
    <w:rsid w:val="00AF5A26"/>
    <w:rsid w:val="00AF69FE"/>
    <w:rsid w:val="00AF7123"/>
    <w:rsid w:val="00AF744E"/>
    <w:rsid w:val="00AF7D79"/>
    <w:rsid w:val="00B00099"/>
    <w:rsid w:val="00B0017D"/>
    <w:rsid w:val="00B004D1"/>
    <w:rsid w:val="00B00F49"/>
    <w:rsid w:val="00B015F6"/>
    <w:rsid w:val="00B01BA1"/>
    <w:rsid w:val="00B02237"/>
    <w:rsid w:val="00B026C6"/>
    <w:rsid w:val="00B02E7C"/>
    <w:rsid w:val="00B03442"/>
    <w:rsid w:val="00B03516"/>
    <w:rsid w:val="00B038C6"/>
    <w:rsid w:val="00B03DA1"/>
    <w:rsid w:val="00B0412F"/>
    <w:rsid w:val="00B043B8"/>
    <w:rsid w:val="00B04B13"/>
    <w:rsid w:val="00B04FFA"/>
    <w:rsid w:val="00B0536A"/>
    <w:rsid w:val="00B056D2"/>
    <w:rsid w:val="00B063E0"/>
    <w:rsid w:val="00B068D9"/>
    <w:rsid w:val="00B068FD"/>
    <w:rsid w:val="00B06E9B"/>
    <w:rsid w:val="00B07617"/>
    <w:rsid w:val="00B079DE"/>
    <w:rsid w:val="00B07BC0"/>
    <w:rsid w:val="00B07BD5"/>
    <w:rsid w:val="00B07C3C"/>
    <w:rsid w:val="00B10214"/>
    <w:rsid w:val="00B104B5"/>
    <w:rsid w:val="00B10905"/>
    <w:rsid w:val="00B10A7F"/>
    <w:rsid w:val="00B10CFC"/>
    <w:rsid w:val="00B10D57"/>
    <w:rsid w:val="00B10EA3"/>
    <w:rsid w:val="00B10F46"/>
    <w:rsid w:val="00B127F0"/>
    <w:rsid w:val="00B1286D"/>
    <w:rsid w:val="00B131B2"/>
    <w:rsid w:val="00B13E5D"/>
    <w:rsid w:val="00B143E2"/>
    <w:rsid w:val="00B144E1"/>
    <w:rsid w:val="00B1491E"/>
    <w:rsid w:val="00B14B78"/>
    <w:rsid w:val="00B14C81"/>
    <w:rsid w:val="00B169F1"/>
    <w:rsid w:val="00B16E46"/>
    <w:rsid w:val="00B16F66"/>
    <w:rsid w:val="00B176AF"/>
    <w:rsid w:val="00B2100D"/>
    <w:rsid w:val="00B2149C"/>
    <w:rsid w:val="00B2223F"/>
    <w:rsid w:val="00B226B8"/>
    <w:rsid w:val="00B22B89"/>
    <w:rsid w:val="00B22F6F"/>
    <w:rsid w:val="00B2344C"/>
    <w:rsid w:val="00B23936"/>
    <w:rsid w:val="00B23E2E"/>
    <w:rsid w:val="00B24359"/>
    <w:rsid w:val="00B24849"/>
    <w:rsid w:val="00B2492D"/>
    <w:rsid w:val="00B25384"/>
    <w:rsid w:val="00B25839"/>
    <w:rsid w:val="00B25B2F"/>
    <w:rsid w:val="00B26270"/>
    <w:rsid w:val="00B263DA"/>
    <w:rsid w:val="00B264E2"/>
    <w:rsid w:val="00B266F0"/>
    <w:rsid w:val="00B26797"/>
    <w:rsid w:val="00B271C0"/>
    <w:rsid w:val="00B27C31"/>
    <w:rsid w:val="00B311F4"/>
    <w:rsid w:val="00B31404"/>
    <w:rsid w:val="00B3193B"/>
    <w:rsid w:val="00B31F59"/>
    <w:rsid w:val="00B32679"/>
    <w:rsid w:val="00B32BC9"/>
    <w:rsid w:val="00B32EE2"/>
    <w:rsid w:val="00B3320F"/>
    <w:rsid w:val="00B3332D"/>
    <w:rsid w:val="00B333C4"/>
    <w:rsid w:val="00B33F0D"/>
    <w:rsid w:val="00B343EF"/>
    <w:rsid w:val="00B34434"/>
    <w:rsid w:val="00B34634"/>
    <w:rsid w:val="00B34A80"/>
    <w:rsid w:val="00B34D41"/>
    <w:rsid w:val="00B3511C"/>
    <w:rsid w:val="00B354CA"/>
    <w:rsid w:val="00B3559B"/>
    <w:rsid w:val="00B35A9F"/>
    <w:rsid w:val="00B35B29"/>
    <w:rsid w:val="00B35DE5"/>
    <w:rsid w:val="00B35EB2"/>
    <w:rsid w:val="00B36295"/>
    <w:rsid w:val="00B36568"/>
    <w:rsid w:val="00B367D1"/>
    <w:rsid w:val="00B3736E"/>
    <w:rsid w:val="00B404B1"/>
    <w:rsid w:val="00B404E8"/>
    <w:rsid w:val="00B40BCE"/>
    <w:rsid w:val="00B4186A"/>
    <w:rsid w:val="00B418B7"/>
    <w:rsid w:val="00B42190"/>
    <w:rsid w:val="00B42396"/>
    <w:rsid w:val="00B42595"/>
    <w:rsid w:val="00B42616"/>
    <w:rsid w:val="00B431FE"/>
    <w:rsid w:val="00B434D3"/>
    <w:rsid w:val="00B43572"/>
    <w:rsid w:val="00B4377B"/>
    <w:rsid w:val="00B43A52"/>
    <w:rsid w:val="00B43DC3"/>
    <w:rsid w:val="00B4415F"/>
    <w:rsid w:val="00B4443E"/>
    <w:rsid w:val="00B44783"/>
    <w:rsid w:val="00B447A4"/>
    <w:rsid w:val="00B44BB0"/>
    <w:rsid w:val="00B44BBC"/>
    <w:rsid w:val="00B44BEA"/>
    <w:rsid w:val="00B44D26"/>
    <w:rsid w:val="00B44D36"/>
    <w:rsid w:val="00B44D91"/>
    <w:rsid w:val="00B45182"/>
    <w:rsid w:val="00B456F4"/>
    <w:rsid w:val="00B4593A"/>
    <w:rsid w:val="00B45C5C"/>
    <w:rsid w:val="00B45DCC"/>
    <w:rsid w:val="00B45F6A"/>
    <w:rsid w:val="00B4622E"/>
    <w:rsid w:val="00B46E4F"/>
    <w:rsid w:val="00B506F8"/>
    <w:rsid w:val="00B50F03"/>
    <w:rsid w:val="00B5103F"/>
    <w:rsid w:val="00B511DC"/>
    <w:rsid w:val="00B5129A"/>
    <w:rsid w:val="00B518EF"/>
    <w:rsid w:val="00B51E48"/>
    <w:rsid w:val="00B52049"/>
    <w:rsid w:val="00B52999"/>
    <w:rsid w:val="00B52E1F"/>
    <w:rsid w:val="00B531D1"/>
    <w:rsid w:val="00B53987"/>
    <w:rsid w:val="00B548B8"/>
    <w:rsid w:val="00B54970"/>
    <w:rsid w:val="00B54BB6"/>
    <w:rsid w:val="00B54EAF"/>
    <w:rsid w:val="00B55393"/>
    <w:rsid w:val="00B559AE"/>
    <w:rsid w:val="00B55A42"/>
    <w:rsid w:val="00B569E4"/>
    <w:rsid w:val="00B56A8B"/>
    <w:rsid w:val="00B56DF4"/>
    <w:rsid w:val="00B572B4"/>
    <w:rsid w:val="00B57D72"/>
    <w:rsid w:val="00B60065"/>
    <w:rsid w:val="00B60491"/>
    <w:rsid w:val="00B60779"/>
    <w:rsid w:val="00B60ACE"/>
    <w:rsid w:val="00B612A4"/>
    <w:rsid w:val="00B6130F"/>
    <w:rsid w:val="00B61324"/>
    <w:rsid w:val="00B618AB"/>
    <w:rsid w:val="00B62A55"/>
    <w:rsid w:val="00B63DA4"/>
    <w:rsid w:val="00B63F10"/>
    <w:rsid w:val="00B642C2"/>
    <w:rsid w:val="00B643A1"/>
    <w:rsid w:val="00B644AF"/>
    <w:rsid w:val="00B64936"/>
    <w:rsid w:val="00B6574C"/>
    <w:rsid w:val="00B66264"/>
    <w:rsid w:val="00B66B39"/>
    <w:rsid w:val="00B67880"/>
    <w:rsid w:val="00B70948"/>
    <w:rsid w:val="00B70FE3"/>
    <w:rsid w:val="00B711CB"/>
    <w:rsid w:val="00B714F9"/>
    <w:rsid w:val="00B71A96"/>
    <w:rsid w:val="00B71DDA"/>
    <w:rsid w:val="00B722DD"/>
    <w:rsid w:val="00B725C0"/>
    <w:rsid w:val="00B726FA"/>
    <w:rsid w:val="00B72A63"/>
    <w:rsid w:val="00B72AEC"/>
    <w:rsid w:val="00B72C1C"/>
    <w:rsid w:val="00B72D5C"/>
    <w:rsid w:val="00B72D8B"/>
    <w:rsid w:val="00B73142"/>
    <w:rsid w:val="00B732DD"/>
    <w:rsid w:val="00B73443"/>
    <w:rsid w:val="00B74256"/>
    <w:rsid w:val="00B7432F"/>
    <w:rsid w:val="00B74725"/>
    <w:rsid w:val="00B7480A"/>
    <w:rsid w:val="00B75397"/>
    <w:rsid w:val="00B7568E"/>
    <w:rsid w:val="00B75762"/>
    <w:rsid w:val="00B7595A"/>
    <w:rsid w:val="00B76C94"/>
    <w:rsid w:val="00B76E13"/>
    <w:rsid w:val="00B76E47"/>
    <w:rsid w:val="00B7742D"/>
    <w:rsid w:val="00B77AF2"/>
    <w:rsid w:val="00B8081D"/>
    <w:rsid w:val="00B80CB0"/>
    <w:rsid w:val="00B80D45"/>
    <w:rsid w:val="00B812A8"/>
    <w:rsid w:val="00B82697"/>
    <w:rsid w:val="00B828DF"/>
    <w:rsid w:val="00B82F5A"/>
    <w:rsid w:val="00B8323A"/>
    <w:rsid w:val="00B83360"/>
    <w:rsid w:val="00B83A6E"/>
    <w:rsid w:val="00B8415A"/>
    <w:rsid w:val="00B84B02"/>
    <w:rsid w:val="00B84E86"/>
    <w:rsid w:val="00B8554B"/>
    <w:rsid w:val="00B85E6D"/>
    <w:rsid w:val="00B85F45"/>
    <w:rsid w:val="00B85F66"/>
    <w:rsid w:val="00B8605D"/>
    <w:rsid w:val="00B862A1"/>
    <w:rsid w:val="00B86810"/>
    <w:rsid w:val="00B86865"/>
    <w:rsid w:val="00B872FB"/>
    <w:rsid w:val="00B87305"/>
    <w:rsid w:val="00B8748E"/>
    <w:rsid w:val="00B878BA"/>
    <w:rsid w:val="00B87B80"/>
    <w:rsid w:val="00B87CD5"/>
    <w:rsid w:val="00B91432"/>
    <w:rsid w:val="00B91A13"/>
    <w:rsid w:val="00B920A7"/>
    <w:rsid w:val="00B923C0"/>
    <w:rsid w:val="00B92685"/>
    <w:rsid w:val="00B92880"/>
    <w:rsid w:val="00B93302"/>
    <w:rsid w:val="00B93C07"/>
    <w:rsid w:val="00B93FA6"/>
    <w:rsid w:val="00B9411F"/>
    <w:rsid w:val="00B94E61"/>
    <w:rsid w:val="00B9508B"/>
    <w:rsid w:val="00B95B36"/>
    <w:rsid w:val="00B95B8B"/>
    <w:rsid w:val="00B95C6D"/>
    <w:rsid w:val="00B96063"/>
    <w:rsid w:val="00B9628B"/>
    <w:rsid w:val="00B96431"/>
    <w:rsid w:val="00B96480"/>
    <w:rsid w:val="00B96667"/>
    <w:rsid w:val="00B969BD"/>
    <w:rsid w:val="00B96A80"/>
    <w:rsid w:val="00B96BC2"/>
    <w:rsid w:val="00B96D59"/>
    <w:rsid w:val="00BA0979"/>
    <w:rsid w:val="00BA0B2E"/>
    <w:rsid w:val="00BA0CA0"/>
    <w:rsid w:val="00BA1386"/>
    <w:rsid w:val="00BA2139"/>
    <w:rsid w:val="00BA3BF0"/>
    <w:rsid w:val="00BA427C"/>
    <w:rsid w:val="00BA4BBD"/>
    <w:rsid w:val="00BA4BD4"/>
    <w:rsid w:val="00BA50D1"/>
    <w:rsid w:val="00BA5224"/>
    <w:rsid w:val="00BA5B37"/>
    <w:rsid w:val="00BA607D"/>
    <w:rsid w:val="00BA6103"/>
    <w:rsid w:val="00BA634C"/>
    <w:rsid w:val="00BA6F3B"/>
    <w:rsid w:val="00BA7155"/>
    <w:rsid w:val="00BA7358"/>
    <w:rsid w:val="00BA7C6E"/>
    <w:rsid w:val="00BA7DB6"/>
    <w:rsid w:val="00BB05CB"/>
    <w:rsid w:val="00BB083C"/>
    <w:rsid w:val="00BB0881"/>
    <w:rsid w:val="00BB11E6"/>
    <w:rsid w:val="00BB1284"/>
    <w:rsid w:val="00BB134C"/>
    <w:rsid w:val="00BB15A2"/>
    <w:rsid w:val="00BB1953"/>
    <w:rsid w:val="00BB1D6F"/>
    <w:rsid w:val="00BB20DE"/>
    <w:rsid w:val="00BB3113"/>
    <w:rsid w:val="00BB3B3F"/>
    <w:rsid w:val="00BB47D2"/>
    <w:rsid w:val="00BB5125"/>
    <w:rsid w:val="00BB5276"/>
    <w:rsid w:val="00BB54E3"/>
    <w:rsid w:val="00BB5C75"/>
    <w:rsid w:val="00BB5D68"/>
    <w:rsid w:val="00BB5FBD"/>
    <w:rsid w:val="00BB60E3"/>
    <w:rsid w:val="00BB78E1"/>
    <w:rsid w:val="00BB7E9F"/>
    <w:rsid w:val="00BC0078"/>
    <w:rsid w:val="00BC0D0D"/>
    <w:rsid w:val="00BC120B"/>
    <w:rsid w:val="00BC1502"/>
    <w:rsid w:val="00BC193E"/>
    <w:rsid w:val="00BC1BB4"/>
    <w:rsid w:val="00BC2517"/>
    <w:rsid w:val="00BC25C8"/>
    <w:rsid w:val="00BC271D"/>
    <w:rsid w:val="00BC2A5A"/>
    <w:rsid w:val="00BC3236"/>
    <w:rsid w:val="00BC4052"/>
    <w:rsid w:val="00BC42F4"/>
    <w:rsid w:val="00BC4BBC"/>
    <w:rsid w:val="00BC4C75"/>
    <w:rsid w:val="00BC56BD"/>
    <w:rsid w:val="00BC5C0E"/>
    <w:rsid w:val="00BC64AE"/>
    <w:rsid w:val="00BC6552"/>
    <w:rsid w:val="00BC6853"/>
    <w:rsid w:val="00BC6AD6"/>
    <w:rsid w:val="00BC6C9D"/>
    <w:rsid w:val="00BC6F27"/>
    <w:rsid w:val="00BC7545"/>
    <w:rsid w:val="00BC7613"/>
    <w:rsid w:val="00BC7682"/>
    <w:rsid w:val="00BC7772"/>
    <w:rsid w:val="00BC7947"/>
    <w:rsid w:val="00BC7E5B"/>
    <w:rsid w:val="00BD0635"/>
    <w:rsid w:val="00BD17DA"/>
    <w:rsid w:val="00BD2A3C"/>
    <w:rsid w:val="00BD2CAD"/>
    <w:rsid w:val="00BD3462"/>
    <w:rsid w:val="00BD35FC"/>
    <w:rsid w:val="00BD3A54"/>
    <w:rsid w:val="00BD3E22"/>
    <w:rsid w:val="00BD3F16"/>
    <w:rsid w:val="00BD4DA8"/>
    <w:rsid w:val="00BD4F69"/>
    <w:rsid w:val="00BD52D6"/>
    <w:rsid w:val="00BD53D7"/>
    <w:rsid w:val="00BD556B"/>
    <w:rsid w:val="00BD57C1"/>
    <w:rsid w:val="00BD585E"/>
    <w:rsid w:val="00BD5917"/>
    <w:rsid w:val="00BD617C"/>
    <w:rsid w:val="00BD6252"/>
    <w:rsid w:val="00BD65D3"/>
    <w:rsid w:val="00BD678F"/>
    <w:rsid w:val="00BD7212"/>
    <w:rsid w:val="00BD7C1E"/>
    <w:rsid w:val="00BD7D0E"/>
    <w:rsid w:val="00BE028B"/>
    <w:rsid w:val="00BE13D7"/>
    <w:rsid w:val="00BE1AF5"/>
    <w:rsid w:val="00BE280A"/>
    <w:rsid w:val="00BE2C47"/>
    <w:rsid w:val="00BE2EA1"/>
    <w:rsid w:val="00BE39BB"/>
    <w:rsid w:val="00BE3D4B"/>
    <w:rsid w:val="00BE4616"/>
    <w:rsid w:val="00BE4D12"/>
    <w:rsid w:val="00BE55B8"/>
    <w:rsid w:val="00BE5B10"/>
    <w:rsid w:val="00BE6594"/>
    <w:rsid w:val="00BE6BA6"/>
    <w:rsid w:val="00BE6FA2"/>
    <w:rsid w:val="00BE6FF4"/>
    <w:rsid w:val="00BE7044"/>
    <w:rsid w:val="00BE7726"/>
    <w:rsid w:val="00BE77E4"/>
    <w:rsid w:val="00BE78DC"/>
    <w:rsid w:val="00BE7B49"/>
    <w:rsid w:val="00BF00C5"/>
    <w:rsid w:val="00BF0135"/>
    <w:rsid w:val="00BF0642"/>
    <w:rsid w:val="00BF06DC"/>
    <w:rsid w:val="00BF11A6"/>
    <w:rsid w:val="00BF1750"/>
    <w:rsid w:val="00BF17A3"/>
    <w:rsid w:val="00BF1B8C"/>
    <w:rsid w:val="00BF2EBA"/>
    <w:rsid w:val="00BF392A"/>
    <w:rsid w:val="00BF3C0A"/>
    <w:rsid w:val="00BF458F"/>
    <w:rsid w:val="00BF484E"/>
    <w:rsid w:val="00BF5790"/>
    <w:rsid w:val="00BF5F54"/>
    <w:rsid w:val="00BF6360"/>
    <w:rsid w:val="00BF6B41"/>
    <w:rsid w:val="00BF74B9"/>
    <w:rsid w:val="00BF7586"/>
    <w:rsid w:val="00BF76C2"/>
    <w:rsid w:val="00BF7BE6"/>
    <w:rsid w:val="00C0018C"/>
    <w:rsid w:val="00C00695"/>
    <w:rsid w:val="00C007BE"/>
    <w:rsid w:val="00C00A5A"/>
    <w:rsid w:val="00C00AAE"/>
    <w:rsid w:val="00C00E42"/>
    <w:rsid w:val="00C01203"/>
    <w:rsid w:val="00C01361"/>
    <w:rsid w:val="00C015F7"/>
    <w:rsid w:val="00C01EE5"/>
    <w:rsid w:val="00C02388"/>
    <w:rsid w:val="00C02BC8"/>
    <w:rsid w:val="00C03302"/>
    <w:rsid w:val="00C0331F"/>
    <w:rsid w:val="00C042A2"/>
    <w:rsid w:val="00C04649"/>
    <w:rsid w:val="00C04986"/>
    <w:rsid w:val="00C04B38"/>
    <w:rsid w:val="00C04DD2"/>
    <w:rsid w:val="00C04EBD"/>
    <w:rsid w:val="00C05465"/>
    <w:rsid w:val="00C0571A"/>
    <w:rsid w:val="00C06D7B"/>
    <w:rsid w:val="00C06DF0"/>
    <w:rsid w:val="00C075E0"/>
    <w:rsid w:val="00C07820"/>
    <w:rsid w:val="00C07F03"/>
    <w:rsid w:val="00C1084D"/>
    <w:rsid w:val="00C10B98"/>
    <w:rsid w:val="00C11A67"/>
    <w:rsid w:val="00C1247E"/>
    <w:rsid w:val="00C12889"/>
    <w:rsid w:val="00C12AF0"/>
    <w:rsid w:val="00C13342"/>
    <w:rsid w:val="00C13A34"/>
    <w:rsid w:val="00C146D9"/>
    <w:rsid w:val="00C147D4"/>
    <w:rsid w:val="00C14EE6"/>
    <w:rsid w:val="00C15606"/>
    <w:rsid w:val="00C158DC"/>
    <w:rsid w:val="00C15A89"/>
    <w:rsid w:val="00C15B93"/>
    <w:rsid w:val="00C165BF"/>
    <w:rsid w:val="00C16635"/>
    <w:rsid w:val="00C16EC3"/>
    <w:rsid w:val="00C17EED"/>
    <w:rsid w:val="00C2003E"/>
    <w:rsid w:val="00C203E6"/>
    <w:rsid w:val="00C20785"/>
    <w:rsid w:val="00C209A5"/>
    <w:rsid w:val="00C213AE"/>
    <w:rsid w:val="00C21C0F"/>
    <w:rsid w:val="00C22553"/>
    <w:rsid w:val="00C22BB7"/>
    <w:rsid w:val="00C22C2D"/>
    <w:rsid w:val="00C22E9B"/>
    <w:rsid w:val="00C22EDA"/>
    <w:rsid w:val="00C232E2"/>
    <w:rsid w:val="00C23B76"/>
    <w:rsid w:val="00C23FF0"/>
    <w:rsid w:val="00C247C5"/>
    <w:rsid w:val="00C249B6"/>
    <w:rsid w:val="00C24C43"/>
    <w:rsid w:val="00C24F50"/>
    <w:rsid w:val="00C25218"/>
    <w:rsid w:val="00C25436"/>
    <w:rsid w:val="00C255D6"/>
    <w:rsid w:val="00C25E8C"/>
    <w:rsid w:val="00C2614A"/>
    <w:rsid w:val="00C265B0"/>
    <w:rsid w:val="00C266A7"/>
    <w:rsid w:val="00C26FAA"/>
    <w:rsid w:val="00C27256"/>
    <w:rsid w:val="00C274B2"/>
    <w:rsid w:val="00C27732"/>
    <w:rsid w:val="00C301A5"/>
    <w:rsid w:val="00C30500"/>
    <w:rsid w:val="00C30609"/>
    <w:rsid w:val="00C3073B"/>
    <w:rsid w:val="00C30793"/>
    <w:rsid w:val="00C30C46"/>
    <w:rsid w:val="00C31495"/>
    <w:rsid w:val="00C31BDC"/>
    <w:rsid w:val="00C31DC2"/>
    <w:rsid w:val="00C31FD0"/>
    <w:rsid w:val="00C320CF"/>
    <w:rsid w:val="00C322DA"/>
    <w:rsid w:val="00C32DA9"/>
    <w:rsid w:val="00C333C7"/>
    <w:rsid w:val="00C3377F"/>
    <w:rsid w:val="00C33D7C"/>
    <w:rsid w:val="00C34102"/>
    <w:rsid w:val="00C341FE"/>
    <w:rsid w:val="00C34295"/>
    <w:rsid w:val="00C34877"/>
    <w:rsid w:val="00C35081"/>
    <w:rsid w:val="00C358E7"/>
    <w:rsid w:val="00C35BE0"/>
    <w:rsid w:val="00C35DE9"/>
    <w:rsid w:val="00C35E9E"/>
    <w:rsid w:val="00C3603B"/>
    <w:rsid w:val="00C369EE"/>
    <w:rsid w:val="00C36C12"/>
    <w:rsid w:val="00C36E29"/>
    <w:rsid w:val="00C373F2"/>
    <w:rsid w:val="00C37628"/>
    <w:rsid w:val="00C37778"/>
    <w:rsid w:val="00C3793F"/>
    <w:rsid w:val="00C37DCD"/>
    <w:rsid w:val="00C401C4"/>
    <w:rsid w:val="00C402A0"/>
    <w:rsid w:val="00C404BA"/>
    <w:rsid w:val="00C405DF"/>
    <w:rsid w:val="00C40BBB"/>
    <w:rsid w:val="00C410F0"/>
    <w:rsid w:val="00C41485"/>
    <w:rsid w:val="00C41609"/>
    <w:rsid w:val="00C41D5C"/>
    <w:rsid w:val="00C41FB7"/>
    <w:rsid w:val="00C4255A"/>
    <w:rsid w:val="00C42B45"/>
    <w:rsid w:val="00C42DC1"/>
    <w:rsid w:val="00C42F48"/>
    <w:rsid w:val="00C42FD8"/>
    <w:rsid w:val="00C43299"/>
    <w:rsid w:val="00C43A37"/>
    <w:rsid w:val="00C43CDD"/>
    <w:rsid w:val="00C43F48"/>
    <w:rsid w:val="00C44038"/>
    <w:rsid w:val="00C44229"/>
    <w:rsid w:val="00C44AF5"/>
    <w:rsid w:val="00C44ED7"/>
    <w:rsid w:val="00C4524C"/>
    <w:rsid w:val="00C4563B"/>
    <w:rsid w:val="00C46001"/>
    <w:rsid w:val="00C461FC"/>
    <w:rsid w:val="00C46E08"/>
    <w:rsid w:val="00C477D3"/>
    <w:rsid w:val="00C4780D"/>
    <w:rsid w:val="00C479E5"/>
    <w:rsid w:val="00C47B49"/>
    <w:rsid w:val="00C47DA9"/>
    <w:rsid w:val="00C47F4E"/>
    <w:rsid w:val="00C50BF9"/>
    <w:rsid w:val="00C50D7B"/>
    <w:rsid w:val="00C50FC2"/>
    <w:rsid w:val="00C5120A"/>
    <w:rsid w:val="00C51291"/>
    <w:rsid w:val="00C5150A"/>
    <w:rsid w:val="00C5225B"/>
    <w:rsid w:val="00C5277E"/>
    <w:rsid w:val="00C52780"/>
    <w:rsid w:val="00C53C8F"/>
    <w:rsid w:val="00C54CB2"/>
    <w:rsid w:val="00C55390"/>
    <w:rsid w:val="00C55585"/>
    <w:rsid w:val="00C55829"/>
    <w:rsid w:val="00C55C9A"/>
    <w:rsid w:val="00C56247"/>
    <w:rsid w:val="00C5627C"/>
    <w:rsid w:val="00C56302"/>
    <w:rsid w:val="00C56A86"/>
    <w:rsid w:val="00C571E0"/>
    <w:rsid w:val="00C57573"/>
    <w:rsid w:val="00C5779D"/>
    <w:rsid w:val="00C578A5"/>
    <w:rsid w:val="00C579CE"/>
    <w:rsid w:val="00C6077C"/>
    <w:rsid w:val="00C6203C"/>
    <w:rsid w:val="00C62506"/>
    <w:rsid w:val="00C625F2"/>
    <w:rsid w:val="00C62828"/>
    <w:rsid w:val="00C62D24"/>
    <w:rsid w:val="00C62F6B"/>
    <w:rsid w:val="00C62FD5"/>
    <w:rsid w:val="00C63B7C"/>
    <w:rsid w:val="00C64260"/>
    <w:rsid w:val="00C64681"/>
    <w:rsid w:val="00C6470E"/>
    <w:rsid w:val="00C64CB5"/>
    <w:rsid w:val="00C653B9"/>
    <w:rsid w:val="00C65474"/>
    <w:rsid w:val="00C65B1F"/>
    <w:rsid w:val="00C65BD3"/>
    <w:rsid w:val="00C65DF1"/>
    <w:rsid w:val="00C66705"/>
    <w:rsid w:val="00C6683F"/>
    <w:rsid w:val="00C66D84"/>
    <w:rsid w:val="00C67BBA"/>
    <w:rsid w:val="00C67C7B"/>
    <w:rsid w:val="00C70148"/>
    <w:rsid w:val="00C703C3"/>
    <w:rsid w:val="00C7051E"/>
    <w:rsid w:val="00C7059F"/>
    <w:rsid w:val="00C70FBD"/>
    <w:rsid w:val="00C71082"/>
    <w:rsid w:val="00C71465"/>
    <w:rsid w:val="00C71C37"/>
    <w:rsid w:val="00C71FA9"/>
    <w:rsid w:val="00C72180"/>
    <w:rsid w:val="00C721CF"/>
    <w:rsid w:val="00C7292C"/>
    <w:rsid w:val="00C72B63"/>
    <w:rsid w:val="00C72CEC"/>
    <w:rsid w:val="00C735B7"/>
    <w:rsid w:val="00C73C33"/>
    <w:rsid w:val="00C73E5D"/>
    <w:rsid w:val="00C74338"/>
    <w:rsid w:val="00C74A05"/>
    <w:rsid w:val="00C75058"/>
    <w:rsid w:val="00C75410"/>
    <w:rsid w:val="00C75A7C"/>
    <w:rsid w:val="00C75BCA"/>
    <w:rsid w:val="00C75CE3"/>
    <w:rsid w:val="00C76329"/>
    <w:rsid w:val="00C76777"/>
    <w:rsid w:val="00C76901"/>
    <w:rsid w:val="00C76969"/>
    <w:rsid w:val="00C7744E"/>
    <w:rsid w:val="00C777E0"/>
    <w:rsid w:val="00C77836"/>
    <w:rsid w:val="00C77C30"/>
    <w:rsid w:val="00C801B8"/>
    <w:rsid w:val="00C80478"/>
    <w:rsid w:val="00C80675"/>
    <w:rsid w:val="00C80696"/>
    <w:rsid w:val="00C8090D"/>
    <w:rsid w:val="00C80C78"/>
    <w:rsid w:val="00C819A7"/>
    <w:rsid w:val="00C81DF9"/>
    <w:rsid w:val="00C8216C"/>
    <w:rsid w:val="00C824B4"/>
    <w:rsid w:val="00C82A6B"/>
    <w:rsid w:val="00C83837"/>
    <w:rsid w:val="00C83BC6"/>
    <w:rsid w:val="00C83CD2"/>
    <w:rsid w:val="00C84154"/>
    <w:rsid w:val="00C846AB"/>
    <w:rsid w:val="00C84837"/>
    <w:rsid w:val="00C84E97"/>
    <w:rsid w:val="00C85589"/>
    <w:rsid w:val="00C857AA"/>
    <w:rsid w:val="00C8599B"/>
    <w:rsid w:val="00C86117"/>
    <w:rsid w:val="00C86182"/>
    <w:rsid w:val="00C8703F"/>
    <w:rsid w:val="00C875F1"/>
    <w:rsid w:val="00C878DB"/>
    <w:rsid w:val="00C87E3A"/>
    <w:rsid w:val="00C87EA0"/>
    <w:rsid w:val="00C90075"/>
    <w:rsid w:val="00C908D5"/>
    <w:rsid w:val="00C909B0"/>
    <w:rsid w:val="00C909B4"/>
    <w:rsid w:val="00C9147A"/>
    <w:rsid w:val="00C91999"/>
    <w:rsid w:val="00C9249E"/>
    <w:rsid w:val="00C92545"/>
    <w:rsid w:val="00C92CD9"/>
    <w:rsid w:val="00C92D6F"/>
    <w:rsid w:val="00C92E0C"/>
    <w:rsid w:val="00C93017"/>
    <w:rsid w:val="00C93052"/>
    <w:rsid w:val="00C930F1"/>
    <w:rsid w:val="00C93327"/>
    <w:rsid w:val="00C93562"/>
    <w:rsid w:val="00C9383B"/>
    <w:rsid w:val="00C939B8"/>
    <w:rsid w:val="00C94F4B"/>
    <w:rsid w:val="00C95518"/>
    <w:rsid w:val="00C95610"/>
    <w:rsid w:val="00C95B06"/>
    <w:rsid w:val="00C95E61"/>
    <w:rsid w:val="00C9685A"/>
    <w:rsid w:val="00C96A2A"/>
    <w:rsid w:val="00C96CC3"/>
    <w:rsid w:val="00CA0058"/>
    <w:rsid w:val="00CA012B"/>
    <w:rsid w:val="00CA023F"/>
    <w:rsid w:val="00CA03A7"/>
    <w:rsid w:val="00CA0426"/>
    <w:rsid w:val="00CA0456"/>
    <w:rsid w:val="00CA0489"/>
    <w:rsid w:val="00CA0943"/>
    <w:rsid w:val="00CA0C64"/>
    <w:rsid w:val="00CA124E"/>
    <w:rsid w:val="00CA12CC"/>
    <w:rsid w:val="00CA12DE"/>
    <w:rsid w:val="00CA23B7"/>
    <w:rsid w:val="00CA2671"/>
    <w:rsid w:val="00CA2987"/>
    <w:rsid w:val="00CA2BC8"/>
    <w:rsid w:val="00CA2F50"/>
    <w:rsid w:val="00CA303A"/>
    <w:rsid w:val="00CA328B"/>
    <w:rsid w:val="00CA3318"/>
    <w:rsid w:val="00CA34A3"/>
    <w:rsid w:val="00CA385D"/>
    <w:rsid w:val="00CA3A2F"/>
    <w:rsid w:val="00CA3EC4"/>
    <w:rsid w:val="00CA4351"/>
    <w:rsid w:val="00CA43BD"/>
    <w:rsid w:val="00CA4574"/>
    <w:rsid w:val="00CA4854"/>
    <w:rsid w:val="00CA48A8"/>
    <w:rsid w:val="00CA4D7A"/>
    <w:rsid w:val="00CA5443"/>
    <w:rsid w:val="00CA54B9"/>
    <w:rsid w:val="00CA55D0"/>
    <w:rsid w:val="00CA56E1"/>
    <w:rsid w:val="00CA5E61"/>
    <w:rsid w:val="00CA663D"/>
    <w:rsid w:val="00CA716C"/>
    <w:rsid w:val="00CA7A56"/>
    <w:rsid w:val="00CB0686"/>
    <w:rsid w:val="00CB069C"/>
    <w:rsid w:val="00CB07BD"/>
    <w:rsid w:val="00CB1133"/>
    <w:rsid w:val="00CB116B"/>
    <w:rsid w:val="00CB1BBC"/>
    <w:rsid w:val="00CB2209"/>
    <w:rsid w:val="00CB2396"/>
    <w:rsid w:val="00CB29F7"/>
    <w:rsid w:val="00CB34A2"/>
    <w:rsid w:val="00CB3C0B"/>
    <w:rsid w:val="00CB3DF5"/>
    <w:rsid w:val="00CB3E6F"/>
    <w:rsid w:val="00CB4844"/>
    <w:rsid w:val="00CB493C"/>
    <w:rsid w:val="00CB4F84"/>
    <w:rsid w:val="00CB5CC1"/>
    <w:rsid w:val="00CB64F9"/>
    <w:rsid w:val="00CB6600"/>
    <w:rsid w:val="00CB672E"/>
    <w:rsid w:val="00CB6858"/>
    <w:rsid w:val="00CB6876"/>
    <w:rsid w:val="00CB6C61"/>
    <w:rsid w:val="00CB6E08"/>
    <w:rsid w:val="00CB6F96"/>
    <w:rsid w:val="00CB711D"/>
    <w:rsid w:val="00CB71D6"/>
    <w:rsid w:val="00CB7A91"/>
    <w:rsid w:val="00CC0CAF"/>
    <w:rsid w:val="00CC1461"/>
    <w:rsid w:val="00CC1A01"/>
    <w:rsid w:val="00CC1BDE"/>
    <w:rsid w:val="00CC1ED2"/>
    <w:rsid w:val="00CC209F"/>
    <w:rsid w:val="00CC2164"/>
    <w:rsid w:val="00CC2519"/>
    <w:rsid w:val="00CC41CE"/>
    <w:rsid w:val="00CC43BA"/>
    <w:rsid w:val="00CC46CB"/>
    <w:rsid w:val="00CC4A73"/>
    <w:rsid w:val="00CC521A"/>
    <w:rsid w:val="00CC52A3"/>
    <w:rsid w:val="00CC5302"/>
    <w:rsid w:val="00CC5477"/>
    <w:rsid w:val="00CC5478"/>
    <w:rsid w:val="00CC54BD"/>
    <w:rsid w:val="00CC582B"/>
    <w:rsid w:val="00CC5ED8"/>
    <w:rsid w:val="00CC6491"/>
    <w:rsid w:val="00CC655B"/>
    <w:rsid w:val="00CC6608"/>
    <w:rsid w:val="00CC76A3"/>
    <w:rsid w:val="00CC7CD2"/>
    <w:rsid w:val="00CC7DE7"/>
    <w:rsid w:val="00CD08C9"/>
    <w:rsid w:val="00CD1314"/>
    <w:rsid w:val="00CD1486"/>
    <w:rsid w:val="00CD1B05"/>
    <w:rsid w:val="00CD1CC2"/>
    <w:rsid w:val="00CD218F"/>
    <w:rsid w:val="00CD3695"/>
    <w:rsid w:val="00CD3998"/>
    <w:rsid w:val="00CD3D4C"/>
    <w:rsid w:val="00CD4619"/>
    <w:rsid w:val="00CD47B2"/>
    <w:rsid w:val="00CD4A4B"/>
    <w:rsid w:val="00CD5612"/>
    <w:rsid w:val="00CD57FF"/>
    <w:rsid w:val="00CD596D"/>
    <w:rsid w:val="00CD5D6C"/>
    <w:rsid w:val="00CD5EA5"/>
    <w:rsid w:val="00CD6479"/>
    <w:rsid w:val="00CD65F6"/>
    <w:rsid w:val="00CD69BA"/>
    <w:rsid w:val="00CD701A"/>
    <w:rsid w:val="00CD71E5"/>
    <w:rsid w:val="00CD7740"/>
    <w:rsid w:val="00CD7A26"/>
    <w:rsid w:val="00CD7A77"/>
    <w:rsid w:val="00CE010B"/>
    <w:rsid w:val="00CE04C5"/>
    <w:rsid w:val="00CE0EEC"/>
    <w:rsid w:val="00CE15D1"/>
    <w:rsid w:val="00CE16DD"/>
    <w:rsid w:val="00CE1A3E"/>
    <w:rsid w:val="00CE1AB5"/>
    <w:rsid w:val="00CE3004"/>
    <w:rsid w:val="00CE326C"/>
    <w:rsid w:val="00CE36D4"/>
    <w:rsid w:val="00CE48CE"/>
    <w:rsid w:val="00CE4D25"/>
    <w:rsid w:val="00CE4FCD"/>
    <w:rsid w:val="00CE5C39"/>
    <w:rsid w:val="00CE63B0"/>
    <w:rsid w:val="00CE689C"/>
    <w:rsid w:val="00CE7269"/>
    <w:rsid w:val="00CE73AB"/>
    <w:rsid w:val="00CE7415"/>
    <w:rsid w:val="00CE7FC4"/>
    <w:rsid w:val="00CF00EC"/>
    <w:rsid w:val="00CF0764"/>
    <w:rsid w:val="00CF0A5C"/>
    <w:rsid w:val="00CF0CF6"/>
    <w:rsid w:val="00CF0D72"/>
    <w:rsid w:val="00CF1880"/>
    <w:rsid w:val="00CF1A56"/>
    <w:rsid w:val="00CF254B"/>
    <w:rsid w:val="00CF31FA"/>
    <w:rsid w:val="00CF3425"/>
    <w:rsid w:val="00CF3711"/>
    <w:rsid w:val="00CF3BBE"/>
    <w:rsid w:val="00CF3F20"/>
    <w:rsid w:val="00CF4769"/>
    <w:rsid w:val="00CF4780"/>
    <w:rsid w:val="00CF4B78"/>
    <w:rsid w:val="00CF4D1E"/>
    <w:rsid w:val="00CF5143"/>
    <w:rsid w:val="00CF55BD"/>
    <w:rsid w:val="00CF5622"/>
    <w:rsid w:val="00CF5B44"/>
    <w:rsid w:val="00CF5BAB"/>
    <w:rsid w:val="00CF5D7A"/>
    <w:rsid w:val="00CF5F4E"/>
    <w:rsid w:val="00CF6BC4"/>
    <w:rsid w:val="00CF73CB"/>
    <w:rsid w:val="00CF7C2F"/>
    <w:rsid w:val="00CF7C48"/>
    <w:rsid w:val="00D00292"/>
    <w:rsid w:val="00D005D2"/>
    <w:rsid w:val="00D007B4"/>
    <w:rsid w:val="00D01077"/>
    <w:rsid w:val="00D011F5"/>
    <w:rsid w:val="00D01638"/>
    <w:rsid w:val="00D01BC8"/>
    <w:rsid w:val="00D01E69"/>
    <w:rsid w:val="00D02259"/>
    <w:rsid w:val="00D027BD"/>
    <w:rsid w:val="00D028AA"/>
    <w:rsid w:val="00D0337B"/>
    <w:rsid w:val="00D035F2"/>
    <w:rsid w:val="00D03671"/>
    <w:rsid w:val="00D03723"/>
    <w:rsid w:val="00D04599"/>
    <w:rsid w:val="00D04E4F"/>
    <w:rsid w:val="00D060DD"/>
    <w:rsid w:val="00D06A55"/>
    <w:rsid w:val="00D06F3D"/>
    <w:rsid w:val="00D07041"/>
    <w:rsid w:val="00D071B2"/>
    <w:rsid w:val="00D07598"/>
    <w:rsid w:val="00D077E9"/>
    <w:rsid w:val="00D10457"/>
    <w:rsid w:val="00D10E6A"/>
    <w:rsid w:val="00D10F92"/>
    <w:rsid w:val="00D112BC"/>
    <w:rsid w:val="00D11908"/>
    <w:rsid w:val="00D12447"/>
    <w:rsid w:val="00D12EF8"/>
    <w:rsid w:val="00D134B2"/>
    <w:rsid w:val="00D135E2"/>
    <w:rsid w:val="00D13882"/>
    <w:rsid w:val="00D14A0E"/>
    <w:rsid w:val="00D14EEB"/>
    <w:rsid w:val="00D14FEB"/>
    <w:rsid w:val="00D16294"/>
    <w:rsid w:val="00D166A0"/>
    <w:rsid w:val="00D169A5"/>
    <w:rsid w:val="00D16BDE"/>
    <w:rsid w:val="00D16C06"/>
    <w:rsid w:val="00D16CC7"/>
    <w:rsid w:val="00D17224"/>
    <w:rsid w:val="00D1768D"/>
    <w:rsid w:val="00D17766"/>
    <w:rsid w:val="00D17847"/>
    <w:rsid w:val="00D17890"/>
    <w:rsid w:val="00D179EF"/>
    <w:rsid w:val="00D2064C"/>
    <w:rsid w:val="00D21132"/>
    <w:rsid w:val="00D213AF"/>
    <w:rsid w:val="00D217F1"/>
    <w:rsid w:val="00D21BC6"/>
    <w:rsid w:val="00D21BEF"/>
    <w:rsid w:val="00D21ECB"/>
    <w:rsid w:val="00D2269C"/>
    <w:rsid w:val="00D2309D"/>
    <w:rsid w:val="00D23E53"/>
    <w:rsid w:val="00D2514F"/>
    <w:rsid w:val="00D25615"/>
    <w:rsid w:val="00D2577D"/>
    <w:rsid w:val="00D26410"/>
    <w:rsid w:val="00D26742"/>
    <w:rsid w:val="00D267B5"/>
    <w:rsid w:val="00D26947"/>
    <w:rsid w:val="00D2715D"/>
    <w:rsid w:val="00D2775F"/>
    <w:rsid w:val="00D27DC1"/>
    <w:rsid w:val="00D27FF5"/>
    <w:rsid w:val="00D3017F"/>
    <w:rsid w:val="00D30D6E"/>
    <w:rsid w:val="00D310B3"/>
    <w:rsid w:val="00D3119F"/>
    <w:rsid w:val="00D3192D"/>
    <w:rsid w:val="00D320D6"/>
    <w:rsid w:val="00D32268"/>
    <w:rsid w:val="00D32961"/>
    <w:rsid w:val="00D32DD0"/>
    <w:rsid w:val="00D32DE9"/>
    <w:rsid w:val="00D32F2B"/>
    <w:rsid w:val="00D32FED"/>
    <w:rsid w:val="00D338E6"/>
    <w:rsid w:val="00D33C20"/>
    <w:rsid w:val="00D33D56"/>
    <w:rsid w:val="00D345C7"/>
    <w:rsid w:val="00D34BAC"/>
    <w:rsid w:val="00D34C91"/>
    <w:rsid w:val="00D3525A"/>
    <w:rsid w:val="00D353CD"/>
    <w:rsid w:val="00D354FF"/>
    <w:rsid w:val="00D3555D"/>
    <w:rsid w:val="00D35997"/>
    <w:rsid w:val="00D36483"/>
    <w:rsid w:val="00D36A44"/>
    <w:rsid w:val="00D36D7F"/>
    <w:rsid w:val="00D36DDA"/>
    <w:rsid w:val="00D36E7B"/>
    <w:rsid w:val="00D3785F"/>
    <w:rsid w:val="00D378A0"/>
    <w:rsid w:val="00D3791F"/>
    <w:rsid w:val="00D401BC"/>
    <w:rsid w:val="00D40303"/>
    <w:rsid w:val="00D404E7"/>
    <w:rsid w:val="00D4051B"/>
    <w:rsid w:val="00D40844"/>
    <w:rsid w:val="00D40860"/>
    <w:rsid w:val="00D40C97"/>
    <w:rsid w:val="00D41B12"/>
    <w:rsid w:val="00D41EFB"/>
    <w:rsid w:val="00D41F14"/>
    <w:rsid w:val="00D42080"/>
    <w:rsid w:val="00D429C2"/>
    <w:rsid w:val="00D42BF2"/>
    <w:rsid w:val="00D43CE5"/>
    <w:rsid w:val="00D44006"/>
    <w:rsid w:val="00D4416C"/>
    <w:rsid w:val="00D44BDA"/>
    <w:rsid w:val="00D44C15"/>
    <w:rsid w:val="00D453C4"/>
    <w:rsid w:val="00D45809"/>
    <w:rsid w:val="00D46766"/>
    <w:rsid w:val="00D46B94"/>
    <w:rsid w:val="00D4706D"/>
    <w:rsid w:val="00D47315"/>
    <w:rsid w:val="00D47E6D"/>
    <w:rsid w:val="00D5000D"/>
    <w:rsid w:val="00D50040"/>
    <w:rsid w:val="00D50159"/>
    <w:rsid w:val="00D503AA"/>
    <w:rsid w:val="00D5141E"/>
    <w:rsid w:val="00D51595"/>
    <w:rsid w:val="00D5184F"/>
    <w:rsid w:val="00D51EC1"/>
    <w:rsid w:val="00D52B8B"/>
    <w:rsid w:val="00D52D24"/>
    <w:rsid w:val="00D5329E"/>
    <w:rsid w:val="00D53393"/>
    <w:rsid w:val="00D53579"/>
    <w:rsid w:val="00D53828"/>
    <w:rsid w:val="00D54DC1"/>
    <w:rsid w:val="00D54E25"/>
    <w:rsid w:val="00D554FA"/>
    <w:rsid w:val="00D555F2"/>
    <w:rsid w:val="00D556AC"/>
    <w:rsid w:val="00D55AC6"/>
    <w:rsid w:val="00D56C19"/>
    <w:rsid w:val="00D56CEF"/>
    <w:rsid w:val="00D57C21"/>
    <w:rsid w:val="00D600B6"/>
    <w:rsid w:val="00D601BF"/>
    <w:rsid w:val="00D60E24"/>
    <w:rsid w:val="00D61855"/>
    <w:rsid w:val="00D61AE5"/>
    <w:rsid w:val="00D6300F"/>
    <w:rsid w:val="00D63451"/>
    <w:rsid w:val="00D63692"/>
    <w:rsid w:val="00D637C1"/>
    <w:rsid w:val="00D63DED"/>
    <w:rsid w:val="00D63DF6"/>
    <w:rsid w:val="00D64052"/>
    <w:rsid w:val="00D6424E"/>
    <w:rsid w:val="00D64401"/>
    <w:rsid w:val="00D65936"/>
    <w:rsid w:val="00D65F98"/>
    <w:rsid w:val="00D6607A"/>
    <w:rsid w:val="00D662DA"/>
    <w:rsid w:val="00D669E0"/>
    <w:rsid w:val="00D66A0B"/>
    <w:rsid w:val="00D66A60"/>
    <w:rsid w:val="00D66FD3"/>
    <w:rsid w:val="00D672D7"/>
    <w:rsid w:val="00D67552"/>
    <w:rsid w:val="00D675AD"/>
    <w:rsid w:val="00D675CC"/>
    <w:rsid w:val="00D675D2"/>
    <w:rsid w:val="00D67A2B"/>
    <w:rsid w:val="00D70628"/>
    <w:rsid w:val="00D70BCC"/>
    <w:rsid w:val="00D7153C"/>
    <w:rsid w:val="00D71834"/>
    <w:rsid w:val="00D71C50"/>
    <w:rsid w:val="00D728DB"/>
    <w:rsid w:val="00D7359A"/>
    <w:rsid w:val="00D73713"/>
    <w:rsid w:val="00D7388E"/>
    <w:rsid w:val="00D73D6D"/>
    <w:rsid w:val="00D73F6D"/>
    <w:rsid w:val="00D7462C"/>
    <w:rsid w:val="00D747F2"/>
    <w:rsid w:val="00D748E6"/>
    <w:rsid w:val="00D75932"/>
    <w:rsid w:val="00D75AF0"/>
    <w:rsid w:val="00D75C6A"/>
    <w:rsid w:val="00D75D7C"/>
    <w:rsid w:val="00D7610E"/>
    <w:rsid w:val="00D766AA"/>
    <w:rsid w:val="00D766D3"/>
    <w:rsid w:val="00D76702"/>
    <w:rsid w:val="00D76729"/>
    <w:rsid w:val="00D767A4"/>
    <w:rsid w:val="00D768E4"/>
    <w:rsid w:val="00D76997"/>
    <w:rsid w:val="00D76B6B"/>
    <w:rsid w:val="00D76DE8"/>
    <w:rsid w:val="00D77002"/>
    <w:rsid w:val="00D77015"/>
    <w:rsid w:val="00D771BD"/>
    <w:rsid w:val="00D775AD"/>
    <w:rsid w:val="00D8109E"/>
    <w:rsid w:val="00D812A8"/>
    <w:rsid w:val="00D812D1"/>
    <w:rsid w:val="00D81B0F"/>
    <w:rsid w:val="00D8220A"/>
    <w:rsid w:val="00D82351"/>
    <w:rsid w:val="00D82AE1"/>
    <w:rsid w:val="00D82E8A"/>
    <w:rsid w:val="00D82F93"/>
    <w:rsid w:val="00D83EE1"/>
    <w:rsid w:val="00D83F42"/>
    <w:rsid w:val="00D84238"/>
    <w:rsid w:val="00D844FA"/>
    <w:rsid w:val="00D84845"/>
    <w:rsid w:val="00D84A30"/>
    <w:rsid w:val="00D84BD6"/>
    <w:rsid w:val="00D853B4"/>
    <w:rsid w:val="00D85551"/>
    <w:rsid w:val="00D865A2"/>
    <w:rsid w:val="00D866DB"/>
    <w:rsid w:val="00D8685E"/>
    <w:rsid w:val="00D86BA6"/>
    <w:rsid w:val="00D87433"/>
    <w:rsid w:val="00D909C3"/>
    <w:rsid w:val="00D90DD4"/>
    <w:rsid w:val="00D9103C"/>
    <w:rsid w:val="00D910D0"/>
    <w:rsid w:val="00D91495"/>
    <w:rsid w:val="00D91513"/>
    <w:rsid w:val="00D9172D"/>
    <w:rsid w:val="00D92075"/>
    <w:rsid w:val="00D92542"/>
    <w:rsid w:val="00D92807"/>
    <w:rsid w:val="00D928F8"/>
    <w:rsid w:val="00D92C2A"/>
    <w:rsid w:val="00D9389E"/>
    <w:rsid w:val="00D94253"/>
    <w:rsid w:val="00D9462F"/>
    <w:rsid w:val="00D9490B"/>
    <w:rsid w:val="00D95881"/>
    <w:rsid w:val="00D95B54"/>
    <w:rsid w:val="00D95E79"/>
    <w:rsid w:val="00D95F5B"/>
    <w:rsid w:val="00D961B8"/>
    <w:rsid w:val="00D96293"/>
    <w:rsid w:val="00D96B4A"/>
    <w:rsid w:val="00D975F9"/>
    <w:rsid w:val="00D97751"/>
    <w:rsid w:val="00D97945"/>
    <w:rsid w:val="00D97DF0"/>
    <w:rsid w:val="00DA0367"/>
    <w:rsid w:val="00DA08ED"/>
    <w:rsid w:val="00DA0E3B"/>
    <w:rsid w:val="00DA12DA"/>
    <w:rsid w:val="00DA1409"/>
    <w:rsid w:val="00DA185B"/>
    <w:rsid w:val="00DA19E7"/>
    <w:rsid w:val="00DA2727"/>
    <w:rsid w:val="00DA2888"/>
    <w:rsid w:val="00DA2FA5"/>
    <w:rsid w:val="00DA317E"/>
    <w:rsid w:val="00DA321F"/>
    <w:rsid w:val="00DA333E"/>
    <w:rsid w:val="00DA34D4"/>
    <w:rsid w:val="00DA35E4"/>
    <w:rsid w:val="00DA3692"/>
    <w:rsid w:val="00DA3A6C"/>
    <w:rsid w:val="00DA4243"/>
    <w:rsid w:val="00DA4646"/>
    <w:rsid w:val="00DA46DC"/>
    <w:rsid w:val="00DA481B"/>
    <w:rsid w:val="00DA4996"/>
    <w:rsid w:val="00DA4C64"/>
    <w:rsid w:val="00DA546D"/>
    <w:rsid w:val="00DA55C5"/>
    <w:rsid w:val="00DA5775"/>
    <w:rsid w:val="00DA58FE"/>
    <w:rsid w:val="00DA5B17"/>
    <w:rsid w:val="00DA5B7B"/>
    <w:rsid w:val="00DA6385"/>
    <w:rsid w:val="00DA63E3"/>
    <w:rsid w:val="00DA6EC3"/>
    <w:rsid w:val="00DA6F9B"/>
    <w:rsid w:val="00DA7366"/>
    <w:rsid w:val="00DA74AF"/>
    <w:rsid w:val="00DA7ED6"/>
    <w:rsid w:val="00DB063D"/>
    <w:rsid w:val="00DB086A"/>
    <w:rsid w:val="00DB0873"/>
    <w:rsid w:val="00DB0C2F"/>
    <w:rsid w:val="00DB18FC"/>
    <w:rsid w:val="00DB1E7B"/>
    <w:rsid w:val="00DB23AA"/>
    <w:rsid w:val="00DB311F"/>
    <w:rsid w:val="00DB3F07"/>
    <w:rsid w:val="00DB3FCC"/>
    <w:rsid w:val="00DB4D2E"/>
    <w:rsid w:val="00DB4EC3"/>
    <w:rsid w:val="00DB53CA"/>
    <w:rsid w:val="00DB5F2B"/>
    <w:rsid w:val="00DB62D7"/>
    <w:rsid w:val="00DB6489"/>
    <w:rsid w:val="00DB6BA6"/>
    <w:rsid w:val="00DB785C"/>
    <w:rsid w:val="00DB7A86"/>
    <w:rsid w:val="00DC062F"/>
    <w:rsid w:val="00DC079E"/>
    <w:rsid w:val="00DC0962"/>
    <w:rsid w:val="00DC0D1E"/>
    <w:rsid w:val="00DC0D9E"/>
    <w:rsid w:val="00DC1CC7"/>
    <w:rsid w:val="00DC25B6"/>
    <w:rsid w:val="00DC2651"/>
    <w:rsid w:val="00DC2B8D"/>
    <w:rsid w:val="00DC2DB6"/>
    <w:rsid w:val="00DC4A4C"/>
    <w:rsid w:val="00DC4B0A"/>
    <w:rsid w:val="00DC4C29"/>
    <w:rsid w:val="00DC516D"/>
    <w:rsid w:val="00DC58EE"/>
    <w:rsid w:val="00DC5D1D"/>
    <w:rsid w:val="00DC6ABA"/>
    <w:rsid w:val="00DC6E17"/>
    <w:rsid w:val="00DC75DA"/>
    <w:rsid w:val="00DC7A6C"/>
    <w:rsid w:val="00DC7F6B"/>
    <w:rsid w:val="00DD017B"/>
    <w:rsid w:val="00DD055D"/>
    <w:rsid w:val="00DD0A34"/>
    <w:rsid w:val="00DD1041"/>
    <w:rsid w:val="00DD11BA"/>
    <w:rsid w:val="00DD13DA"/>
    <w:rsid w:val="00DD143C"/>
    <w:rsid w:val="00DD162A"/>
    <w:rsid w:val="00DD16C0"/>
    <w:rsid w:val="00DD18B5"/>
    <w:rsid w:val="00DD1B04"/>
    <w:rsid w:val="00DD1EF9"/>
    <w:rsid w:val="00DD2141"/>
    <w:rsid w:val="00DD24CF"/>
    <w:rsid w:val="00DD25EB"/>
    <w:rsid w:val="00DD4354"/>
    <w:rsid w:val="00DD464E"/>
    <w:rsid w:val="00DD5C85"/>
    <w:rsid w:val="00DD5D68"/>
    <w:rsid w:val="00DD618D"/>
    <w:rsid w:val="00DD61AE"/>
    <w:rsid w:val="00DD686B"/>
    <w:rsid w:val="00DD6B8C"/>
    <w:rsid w:val="00DD7976"/>
    <w:rsid w:val="00DD7DAB"/>
    <w:rsid w:val="00DE006A"/>
    <w:rsid w:val="00DE030F"/>
    <w:rsid w:val="00DE03C9"/>
    <w:rsid w:val="00DE04EC"/>
    <w:rsid w:val="00DE0553"/>
    <w:rsid w:val="00DE067D"/>
    <w:rsid w:val="00DE0C4B"/>
    <w:rsid w:val="00DE0EB0"/>
    <w:rsid w:val="00DE1184"/>
    <w:rsid w:val="00DE142B"/>
    <w:rsid w:val="00DE153A"/>
    <w:rsid w:val="00DE1B4C"/>
    <w:rsid w:val="00DE1E74"/>
    <w:rsid w:val="00DE23C8"/>
    <w:rsid w:val="00DE413D"/>
    <w:rsid w:val="00DE58AB"/>
    <w:rsid w:val="00DE5AAD"/>
    <w:rsid w:val="00DE5B17"/>
    <w:rsid w:val="00DE6126"/>
    <w:rsid w:val="00DE61C8"/>
    <w:rsid w:val="00DE64B5"/>
    <w:rsid w:val="00DE69F4"/>
    <w:rsid w:val="00DE6ABD"/>
    <w:rsid w:val="00DE6E15"/>
    <w:rsid w:val="00DE7B4D"/>
    <w:rsid w:val="00DE7CAC"/>
    <w:rsid w:val="00DF065C"/>
    <w:rsid w:val="00DF0CBE"/>
    <w:rsid w:val="00DF0E09"/>
    <w:rsid w:val="00DF16F9"/>
    <w:rsid w:val="00DF1818"/>
    <w:rsid w:val="00DF1BB0"/>
    <w:rsid w:val="00DF2169"/>
    <w:rsid w:val="00DF25EB"/>
    <w:rsid w:val="00DF330A"/>
    <w:rsid w:val="00DF33D2"/>
    <w:rsid w:val="00DF3A7C"/>
    <w:rsid w:val="00DF3D85"/>
    <w:rsid w:val="00DF4139"/>
    <w:rsid w:val="00DF4792"/>
    <w:rsid w:val="00DF4E8E"/>
    <w:rsid w:val="00DF4EC7"/>
    <w:rsid w:val="00DF5021"/>
    <w:rsid w:val="00DF5772"/>
    <w:rsid w:val="00DF5D03"/>
    <w:rsid w:val="00DF637B"/>
    <w:rsid w:val="00DF694B"/>
    <w:rsid w:val="00DF711E"/>
    <w:rsid w:val="00DF7573"/>
    <w:rsid w:val="00DF7C47"/>
    <w:rsid w:val="00E00A35"/>
    <w:rsid w:val="00E00E32"/>
    <w:rsid w:val="00E018FD"/>
    <w:rsid w:val="00E023B2"/>
    <w:rsid w:val="00E0264F"/>
    <w:rsid w:val="00E02A73"/>
    <w:rsid w:val="00E02A8E"/>
    <w:rsid w:val="00E03526"/>
    <w:rsid w:val="00E03D9A"/>
    <w:rsid w:val="00E03F3D"/>
    <w:rsid w:val="00E03F80"/>
    <w:rsid w:val="00E0404E"/>
    <w:rsid w:val="00E040C1"/>
    <w:rsid w:val="00E0439E"/>
    <w:rsid w:val="00E043D2"/>
    <w:rsid w:val="00E0490B"/>
    <w:rsid w:val="00E05177"/>
    <w:rsid w:val="00E058C6"/>
    <w:rsid w:val="00E05EA8"/>
    <w:rsid w:val="00E05F1D"/>
    <w:rsid w:val="00E064D2"/>
    <w:rsid w:val="00E065F5"/>
    <w:rsid w:val="00E06DD3"/>
    <w:rsid w:val="00E07F47"/>
    <w:rsid w:val="00E101AE"/>
    <w:rsid w:val="00E10485"/>
    <w:rsid w:val="00E10969"/>
    <w:rsid w:val="00E109B9"/>
    <w:rsid w:val="00E11420"/>
    <w:rsid w:val="00E11444"/>
    <w:rsid w:val="00E11A22"/>
    <w:rsid w:val="00E11BD5"/>
    <w:rsid w:val="00E11C71"/>
    <w:rsid w:val="00E12528"/>
    <w:rsid w:val="00E1277A"/>
    <w:rsid w:val="00E1277D"/>
    <w:rsid w:val="00E12E64"/>
    <w:rsid w:val="00E135CD"/>
    <w:rsid w:val="00E13657"/>
    <w:rsid w:val="00E13775"/>
    <w:rsid w:val="00E137CB"/>
    <w:rsid w:val="00E13858"/>
    <w:rsid w:val="00E138A6"/>
    <w:rsid w:val="00E14192"/>
    <w:rsid w:val="00E150E2"/>
    <w:rsid w:val="00E153A8"/>
    <w:rsid w:val="00E163E3"/>
    <w:rsid w:val="00E16761"/>
    <w:rsid w:val="00E169B1"/>
    <w:rsid w:val="00E17DFF"/>
    <w:rsid w:val="00E20FC7"/>
    <w:rsid w:val="00E21C82"/>
    <w:rsid w:val="00E21EF2"/>
    <w:rsid w:val="00E22090"/>
    <w:rsid w:val="00E22298"/>
    <w:rsid w:val="00E22C11"/>
    <w:rsid w:val="00E23947"/>
    <w:rsid w:val="00E23BF4"/>
    <w:rsid w:val="00E2409F"/>
    <w:rsid w:val="00E2411E"/>
    <w:rsid w:val="00E2413B"/>
    <w:rsid w:val="00E242DD"/>
    <w:rsid w:val="00E24484"/>
    <w:rsid w:val="00E24AD0"/>
    <w:rsid w:val="00E24C0F"/>
    <w:rsid w:val="00E24ECD"/>
    <w:rsid w:val="00E25721"/>
    <w:rsid w:val="00E259C0"/>
    <w:rsid w:val="00E25B6E"/>
    <w:rsid w:val="00E25BF6"/>
    <w:rsid w:val="00E25C17"/>
    <w:rsid w:val="00E25DAE"/>
    <w:rsid w:val="00E26321"/>
    <w:rsid w:val="00E267AF"/>
    <w:rsid w:val="00E27184"/>
    <w:rsid w:val="00E276CE"/>
    <w:rsid w:val="00E30309"/>
    <w:rsid w:val="00E308F1"/>
    <w:rsid w:val="00E30BDF"/>
    <w:rsid w:val="00E30D78"/>
    <w:rsid w:val="00E3112B"/>
    <w:rsid w:val="00E316E4"/>
    <w:rsid w:val="00E31A1E"/>
    <w:rsid w:val="00E31A34"/>
    <w:rsid w:val="00E32831"/>
    <w:rsid w:val="00E32964"/>
    <w:rsid w:val="00E32AC0"/>
    <w:rsid w:val="00E32F16"/>
    <w:rsid w:val="00E330B2"/>
    <w:rsid w:val="00E336B7"/>
    <w:rsid w:val="00E3390E"/>
    <w:rsid w:val="00E33A4F"/>
    <w:rsid w:val="00E33B0A"/>
    <w:rsid w:val="00E33CDF"/>
    <w:rsid w:val="00E33CED"/>
    <w:rsid w:val="00E3407B"/>
    <w:rsid w:val="00E3434A"/>
    <w:rsid w:val="00E34661"/>
    <w:rsid w:val="00E34962"/>
    <w:rsid w:val="00E350A6"/>
    <w:rsid w:val="00E352C8"/>
    <w:rsid w:val="00E35982"/>
    <w:rsid w:val="00E35B26"/>
    <w:rsid w:val="00E35CEB"/>
    <w:rsid w:val="00E3642C"/>
    <w:rsid w:val="00E36AC3"/>
    <w:rsid w:val="00E37899"/>
    <w:rsid w:val="00E4047F"/>
    <w:rsid w:val="00E40FAB"/>
    <w:rsid w:val="00E41BBC"/>
    <w:rsid w:val="00E41E36"/>
    <w:rsid w:val="00E41EA1"/>
    <w:rsid w:val="00E438E2"/>
    <w:rsid w:val="00E44115"/>
    <w:rsid w:val="00E444BC"/>
    <w:rsid w:val="00E44929"/>
    <w:rsid w:val="00E44ED8"/>
    <w:rsid w:val="00E450DA"/>
    <w:rsid w:val="00E4595C"/>
    <w:rsid w:val="00E45B6C"/>
    <w:rsid w:val="00E46027"/>
    <w:rsid w:val="00E46413"/>
    <w:rsid w:val="00E47F39"/>
    <w:rsid w:val="00E50421"/>
    <w:rsid w:val="00E50472"/>
    <w:rsid w:val="00E52335"/>
    <w:rsid w:val="00E52422"/>
    <w:rsid w:val="00E53179"/>
    <w:rsid w:val="00E532A9"/>
    <w:rsid w:val="00E53521"/>
    <w:rsid w:val="00E54311"/>
    <w:rsid w:val="00E54734"/>
    <w:rsid w:val="00E54802"/>
    <w:rsid w:val="00E54D32"/>
    <w:rsid w:val="00E551A7"/>
    <w:rsid w:val="00E5544E"/>
    <w:rsid w:val="00E556C7"/>
    <w:rsid w:val="00E55BDC"/>
    <w:rsid w:val="00E55DD0"/>
    <w:rsid w:val="00E55E3B"/>
    <w:rsid w:val="00E55EBF"/>
    <w:rsid w:val="00E5616C"/>
    <w:rsid w:val="00E56354"/>
    <w:rsid w:val="00E5654D"/>
    <w:rsid w:val="00E56570"/>
    <w:rsid w:val="00E5788A"/>
    <w:rsid w:val="00E5795C"/>
    <w:rsid w:val="00E6119F"/>
    <w:rsid w:val="00E61495"/>
    <w:rsid w:val="00E61BC6"/>
    <w:rsid w:val="00E61D89"/>
    <w:rsid w:val="00E61DCA"/>
    <w:rsid w:val="00E61F7E"/>
    <w:rsid w:val="00E61F8A"/>
    <w:rsid w:val="00E62534"/>
    <w:rsid w:val="00E629AD"/>
    <w:rsid w:val="00E62AF5"/>
    <w:rsid w:val="00E632BE"/>
    <w:rsid w:val="00E634E8"/>
    <w:rsid w:val="00E63AFB"/>
    <w:rsid w:val="00E64A4A"/>
    <w:rsid w:val="00E656E0"/>
    <w:rsid w:val="00E65A38"/>
    <w:rsid w:val="00E65B58"/>
    <w:rsid w:val="00E65BBF"/>
    <w:rsid w:val="00E66163"/>
    <w:rsid w:val="00E66C1F"/>
    <w:rsid w:val="00E66FB2"/>
    <w:rsid w:val="00E66FD1"/>
    <w:rsid w:val="00E67576"/>
    <w:rsid w:val="00E679BA"/>
    <w:rsid w:val="00E67B6C"/>
    <w:rsid w:val="00E67BFD"/>
    <w:rsid w:val="00E67EDA"/>
    <w:rsid w:val="00E70510"/>
    <w:rsid w:val="00E70A32"/>
    <w:rsid w:val="00E70A6C"/>
    <w:rsid w:val="00E70D8D"/>
    <w:rsid w:val="00E70DE6"/>
    <w:rsid w:val="00E710D1"/>
    <w:rsid w:val="00E7158D"/>
    <w:rsid w:val="00E72ACF"/>
    <w:rsid w:val="00E73024"/>
    <w:rsid w:val="00E73C71"/>
    <w:rsid w:val="00E7469B"/>
    <w:rsid w:val="00E74D1E"/>
    <w:rsid w:val="00E75718"/>
    <w:rsid w:val="00E75D3F"/>
    <w:rsid w:val="00E76416"/>
    <w:rsid w:val="00E76DBA"/>
    <w:rsid w:val="00E801DF"/>
    <w:rsid w:val="00E80301"/>
    <w:rsid w:val="00E80987"/>
    <w:rsid w:val="00E81236"/>
    <w:rsid w:val="00E81E90"/>
    <w:rsid w:val="00E822D5"/>
    <w:rsid w:val="00E82561"/>
    <w:rsid w:val="00E828F5"/>
    <w:rsid w:val="00E829F8"/>
    <w:rsid w:val="00E82E47"/>
    <w:rsid w:val="00E8309F"/>
    <w:rsid w:val="00E8317D"/>
    <w:rsid w:val="00E836C2"/>
    <w:rsid w:val="00E8498D"/>
    <w:rsid w:val="00E84F43"/>
    <w:rsid w:val="00E8589B"/>
    <w:rsid w:val="00E865F8"/>
    <w:rsid w:val="00E8755A"/>
    <w:rsid w:val="00E87AD1"/>
    <w:rsid w:val="00E87E39"/>
    <w:rsid w:val="00E90436"/>
    <w:rsid w:val="00E90B98"/>
    <w:rsid w:val="00E91049"/>
    <w:rsid w:val="00E91117"/>
    <w:rsid w:val="00E915F8"/>
    <w:rsid w:val="00E919DD"/>
    <w:rsid w:val="00E91C46"/>
    <w:rsid w:val="00E92027"/>
    <w:rsid w:val="00E927DF"/>
    <w:rsid w:val="00E92C83"/>
    <w:rsid w:val="00E94485"/>
    <w:rsid w:val="00E94626"/>
    <w:rsid w:val="00E94D9D"/>
    <w:rsid w:val="00E95D28"/>
    <w:rsid w:val="00E96181"/>
    <w:rsid w:val="00E961FF"/>
    <w:rsid w:val="00E96245"/>
    <w:rsid w:val="00E96455"/>
    <w:rsid w:val="00E96951"/>
    <w:rsid w:val="00E96D96"/>
    <w:rsid w:val="00E96DAF"/>
    <w:rsid w:val="00E974F3"/>
    <w:rsid w:val="00EA0414"/>
    <w:rsid w:val="00EA054C"/>
    <w:rsid w:val="00EA0564"/>
    <w:rsid w:val="00EA05DE"/>
    <w:rsid w:val="00EA076B"/>
    <w:rsid w:val="00EA139F"/>
    <w:rsid w:val="00EA1508"/>
    <w:rsid w:val="00EA20D0"/>
    <w:rsid w:val="00EA256F"/>
    <w:rsid w:val="00EA2951"/>
    <w:rsid w:val="00EA29B3"/>
    <w:rsid w:val="00EA2F14"/>
    <w:rsid w:val="00EA3246"/>
    <w:rsid w:val="00EA33A6"/>
    <w:rsid w:val="00EA38DF"/>
    <w:rsid w:val="00EA3AC6"/>
    <w:rsid w:val="00EA3EA6"/>
    <w:rsid w:val="00EA4699"/>
    <w:rsid w:val="00EA4803"/>
    <w:rsid w:val="00EA55BC"/>
    <w:rsid w:val="00EA5608"/>
    <w:rsid w:val="00EA56B0"/>
    <w:rsid w:val="00EA58AD"/>
    <w:rsid w:val="00EA679D"/>
    <w:rsid w:val="00EA67FB"/>
    <w:rsid w:val="00EA74A1"/>
    <w:rsid w:val="00EA7AB8"/>
    <w:rsid w:val="00EA7BDA"/>
    <w:rsid w:val="00EA7D61"/>
    <w:rsid w:val="00EA7E02"/>
    <w:rsid w:val="00EB0168"/>
    <w:rsid w:val="00EB0270"/>
    <w:rsid w:val="00EB0404"/>
    <w:rsid w:val="00EB06DD"/>
    <w:rsid w:val="00EB1850"/>
    <w:rsid w:val="00EB2539"/>
    <w:rsid w:val="00EB2D39"/>
    <w:rsid w:val="00EB2DBF"/>
    <w:rsid w:val="00EB32A8"/>
    <w:rsid w:val="00EB38FA"/>
    <w:rsid w:val="00EB397C"/>
    <w:rsid w:val="00EB3B6A"/>
    <w:rsid w:val="00EB3CF3"/>
    <w:rsid w:val="00EB3F25"/>
    <w:rsid w:val="00EB4220"/>
    <w:rsid w:val="00EB434B"/>
    <w:rsid w:val="00EB4B21"/>
    <w:rsid w:val="00EB4EE2"/>
    <w:rsid w:val="00EB56A4"/>
    <w:rsid w:val="00EB5A8E"/>
    <w:rsid w:val="00EB5F99"/>
    <w:rsid w:val="00EB655F"/>
    <w:rsid w:val="00EB6657"/>
    <w:rsid w:val="00EB7513"/>
    <w:rsid w:val="00EB76C3"/>
    <w:rsid w:val="00EC0005"/>
    <w:rsid w:val="00EC03B8"/>
    <w:rsid w:val="00EC0647"/>
    <w:rsid w:val="00EC0A51"/>
    <w:rsid w:val="00EC0B26"/>
    <w:rsid w:val="00EC0FBD"/>
    <w:rsid w:val="00EC12E5"/>
    <w:rsid w:val="00EC1B98"/>
    <w:rsid w:val="00EC1F3C"/>
    <w:rsid w:val="00EC1F44"/>
    <w:rsid w:val="00EC1F6B"/>
    <w:rsid w:val="00EC2CDF"/>
    <w:rsid w:val="00EC31FE"/>
    <w:rsid w:val="00EC340D"/>
    <w:rsid w:val="00EC4235"/>
    <w:rsid w:val="00EC47CE"/>
    <w:rsid w:val="00EC4881"/>
    <w:rsid w:val="00EC4972"/>
    <w:rsid w:val="00EC4B23"/>
    <w:rsid w:val="00EC4C4F"/>
    <w:rsid w:val="00EC4D46"/>
    <w:rsid w:val="00EC4DE6"/>
    <w:rsid w:val="00EC564C"/>
    <w:rsid w:val="00EC5D53"/>
    <w:rsid w:val="00EC6104"/>
    <w:rsid w:val="00EC612C"/>
    <w:rsid w:val="00EC6923"/>
    <w:rsid w:val="00EC6AED"/>
    <w:rsid w:val="00EC6D69"/>
    <w:rsid w:val="00EC70C5"/>
    <w:rsid w:val="00EC7BAC"/>
    <w:rsid w:val="00EC7E5F"/>
    <w:rsid w:val="00EC7F72"/>
    <w:rsid w:val="00ED0B57"/>
    <w:rsid w:val="00ED0FD8"/>
    <w:rsid w:val="00ED140C"/>
    <w:rsid w:val="00ED19E3"/>
    <w:rsid w:val="00ED1EBF"/>
    <w:rsid w:val="00ED2C08"/>
    <w:rsid w:val="00ED2C9E"/>
    <w:rsid w:val="00ED3319"/>
    <w:rsid w:val="00ED343D"/>
    <w:rsid w:val="00ED374E"/>
    <w:rsid w:val="00ED386F"/>
    <w:rsid w:val="00ED40D2"/>
    <w:rsid w:val="00ED417F"/>
    <w:rsid w:val="00ED4AC3"/>
    <w:rsid w:val="00ED4F98"/>
    <w:rsid w:val="00ED5A6B"/>
    <w:rsid w:val="00ED5FEB"/>
    <w:rsid w:val="00ED6382"/>
    <w:rsid w:val="00ED6906"/>
    <w:rsid w:val="00ED6C90"/>
    <w:rsid w:val="00ED7445"/>
    <w:rsid w:val="00EE0220"/>
    <w:rsid w:val="00EE0555"/>
    <w:rsid w:val="00EE0D44"/>
    <w:rsid w:val="00EE13E0"/>
    <w:rsid w:val="00EE1A2F"/>
    <w:rsid w:val="00EE216C"/>
    <w:rsid w:val="00EE2B21"/>
    <w:rsid w:val="00EE2B97"/>
    <w:rsid w:val="00EE2BC2"/>
    <w:rsid w:val="00EE3D14"/>
    <w:rsid w:val="00EE3F0D"/>
    <w:rsid w:val="00EE40BF"/>
    <w:rsid w:val="00EE4184"/>
    <w:rsid w:val="00EE472E"/>
    <w:rsid w:val="00EE5513"/>
    <w:rsid w:val="00EE5750"/>
    <w:rsid w:val="00EE64CA"/>
    <w:rsid w:val="00EE655B"/>
    <w:rsid w:val="00EE719C"/>
    <w:rsid w:val="00EE79AD"/>
    <w:rsid w:val="00EF1FA2"/>
    <w:rsid w:val="00EF2000"/>
    <w:rsid w:val="00EF260A"/>
    <w:rsid w:val="00EF2880"/>
    <w:rsid w:val="00EF28A8"/>
    <w:rsid w:val="00EF343B"/>
    <w:rsid w:val="00EF380B"/>
    <w:rsid w:val="00EF3CCB"/>
    <w:rsid w:val="00EF4918"/>
    <w:rsid w:val="00EF4FEF"/>
    <w:rsid w:val="00EF4FF6"/>
    <w:rsid w:val="00EF502A"/>
    <w:rsid w:val="00EF5430"/>
    <w:rsid w:val="00EF57A0"/>
    <w:rsid w:val="00EF63C4"/>
    <w:rsid w:val="00EF6804"/>
    <w:rsid w:val="00EF6D4F"/>
    <w:rsid w:val="00EF6F69"/>
    <w:rsid w:val="00EF71D1"/>
    <w:rsid w:val="00EF725E"/>
    <w:rsid w:val="00EF726C"/>
    <w:rsid w:val="00EF75F7"/>
    <w:rsid w:val="00EF7E05"/>
    <w:rsid w:val="00F006A8"/>
    <w:rsid w:val="00F00E22"/>
    <w:rsid w:val="00F01095"/>
    <w:rsid w:val="00F015BC"/>
    <w:rsid w:val="00F020F8"/>
    <w:rsid w:val="00F02C40"/>
    <w:rsid w:val="00F02D2C"/>
    <w:rsid w:val="00F02F0D"/>
    <w:rsid w:val="00F033F7"/>
    <w:rsid w:val="00F036DE"/>
    <w:rsid w:val="00F03A48"/>
    <w:rsid w:val="00F042E9"/>
    <w:rsid w:val="00F04461"/>
    <w:rsid w:val="00F047B0"/>
    <w:rsid w:val="00F04847"/>
    <w:rsid w:val="00F049D3"/>
    <w:rsid w:val="00F053EE"/>
    <w:rsid w:val="00F05A11"/>
    <w:rsid w:val="00F05D83"/>
    <w:rsid w:val="00F05E6B"/>
    <w:rsid w:val="00F06323"/>
    <w:rsid w:val="00F067E8"/>
    <w:rsid w:val="00F068EF"/>
    <w:rsid w:val="00F07101"/>
    <w:rsid w:val="00F0740A"/>
    <w:rsid w:val="00F07B1C"/>
    <w:rsid w:val="00F07DF6"/>
    <w:rsid w:val="00F07F89"/>
    <w:rsid w:val="00F1025F"/>
    <w:rsid w:val="00F11244"/>
    <w:rsid w:val="00F114FC"/>
    <w:rsid w:val="00F11821"/>
    <w:rsid w:val="00F120DB"/>
    <w:rsid w:val="00F12A92"/>
    <w:rsid w:val="00F12E61"/>
    <w:rsid w:val="00F13434"/>
    <w:rsid w:val="00F1349D"/>
    <w:rsid w:val="00F14977"/>
    <w:rsid w:val="00F14F4E"/>
    <w:rsid w:val="00F15462"/>
    <w:rsid w:val="00F15A38"/>
    <w:rsid w:val="00F160CD"/>
    <w:rsid w:val="00F161FB"/>
    <w:rsid w:val="00F16442"/>
    <w:rsid w:val="00F16850"/>
    <w:rsid w:val="00F169EF"/>
    <w:rsid w:val="00F17063"/>
    <w:rsid w:val="00F17353"/>
    <w:rsid w:val="00F17521"/>
    <w:rsid w:val="00F17AF2"/>
    <w:rsid w:val="00F17CF9"/>
    <w:rsid w:val="00F20B0A"/>
    <w:rsid w:val="00F20D93"/>
    <w:rsid w:val="00F20E07"/>
    <w:rsid w:val="00F20EAB"/>
    <w:rsid w:val="00F21BDA"/>
    <w:rsid w:val="00F21D0F"/>
    <w:rsid w:val="00F2226C"/>
    <w:rsid w:val="00F22388"/>
    <w:rsid w:val="00F22D88"/>
    <w:rsid w:val="00F2323E"/>
    <w:rsid w:val="00F23369"/>
    <w:rsid w:val="00F238C1"/>
    <w:rsid w:val="00F23AE8"/>
    <w:rsid w:val="00F245AC"/>
    <w:rsid w:val="00F2467F"/>
    <w:rsid w:val="00F250C4"/>
    <w:rsid w:val="00F252FD"/>
    <w:rsid w:val="00F256AD"/>
    <w:rsid w:val="00F2607A"/>
    <w:rsid w:val="00F265B3"/>
    <w:rsid w:val="00F26C1B"/>
    <w:rsid w:val="00F26F52"/>
    <w:rsid w:val="00F27177"/>
    <w:rsid w:val="00F308E8"/>
    <w:rsid w:val="00F30A01"/>
    <w:rsid w:val="00F30DB9"/>
    <w:rsid w:val="00F311E7"/>
    <w:rsid w:val="00F312D1"/>
    <w:rsid w:val="00F31348"/>
    <w:rsid w:val="00F315C2"/>
    <w:rsid w:val="00F31683"/>
    <w:rsid w:val="00F316FF"/>
    <w:rsid w:val="00F317D3"/>
    <w:rsid w:val="00F318EF"/>
    <w:rsid w:val="00F31B94"/>
    <w:rsid w:val="00F31FDA"/>
    <w:rsid w:val="00F32505"/>
    <w:rsid w:val="00F32D8A"/>
    <w:rsid w:val="00F334F6"/>
    <w:rsid w:val="00F33D6C"/>
    <w:rsid w:val="00F34B03"/>
    <w:rsid w:val="00F34DE4"/>
    <w:rsid w:val="00F35439"/>
    <w:rsid w:val="00F36017"/>
    <w:rsid w:val="00F361C5"/>
    <w:rsid w:val="00F36424"/>
    <w:rsid w:val="00F371AC"/>
    <w:rsid w:val="00F400C1"/>
    <w:rsid w:val="00F403C1"/>
    <w:rsid w:val="00F4094A"/>
    <w:rsid w:val="00F40B10"/>
    <w:rsid w:val="00F40F86"/>
    <w:rsid w:val="00F41754"/>
    <w:rsid w:val="00F41F50"/>
    <w:rsid w:val="00F4208A"/>
    <w:rsid w:val="00F4249C"/>
    <w:rsid w:val="00F42D9F"/>
    <w:rsid w:val="00F4307E"/>
    <w:rsid w:val="00F433B3"/>
    <w:rsid w:val="00F43695"/>
    <w:rsid w:val="00F4379B"/>
    <w:rsid w:val="00F4410A"/>
    <w:rsid w:val="00F4447D"/>
    <w:rsid w:val="00F4459F"/>
    <w:rsid w:val="00F4485C"/>
    <w:rsid w:val="00F44D5D"/>
    <w:rsid w:val="00F4501E"/>
    <w:rsid w:val="00F45A02"/>
    <w:rsid w:val="00F4631A"/>
    <w:rsid w:val="00F46A7F"/>
    <w:rsid w:val="00F46B34"/>
    <w:rsid w:val="00F474AF"/>
    <w:rsid w:val="00F4760C"/>
    <w:rsid w:val="00F47F71"/>
    <w:rsid w:val="00F50024"/>
    <w:rsid w:val="00F5082B"/>
    <w:rsid w:val="00F508C6"/>
    <w:rsid w:val="00F5097D"/>
    <w:rsid w:val="00F50F02"/>
    <w:rsid w:val="00F51126"/>
    <w:rsid w:val="00F51804"/>
    <w:rsid w:val="00F51A7A"/>
    <w:rsid w:val="00F52488"/>
    <w:rsid w:val="00F5267B"/>
    <w:rsid w:val="00F5305A"/>
    <w:rsid w:val="00F5433A"/>
    <w:rsid w:val="00F54702"/>
    <w:rsid w:val="00F55091"/>
    <w:rsid w:val="00F55836"/>
    <w:rsid w:val="00F5639D"/>
    <w:rsid w:val="00F56716"/>
    <w:rsid w:val="00F56D9E"/>
    <w:rsid w:val="00F57D4C"/>
    <w:rsid w:val="00F57EDF"/>
    <w:rsid w:val="00F57F63"/>
    <w:rsid w:val="00F60210"/>
    <w:rsid w:val="00F6051B"/>
    <w:rsid w:val="00F60D9F"/>
    <w:rsid w:val="00F610A4"/>
    <w:rsid w:val="00F61951"/>
    <w:rsid w:val="00F62675"/>
    <w:rsid w:val="00F628BC"/>
    <w:rsid w:val="00F62ADB"/>
    <w:rsid w:val="00F631E4"/>
    <w:rsid w:val="00F6342C"/>
    <w:rsid w:val="00F6386F"/>
    <w:rsid w:val="00F63BF1"/>
    <w:rsid w:val="00F64036"/>
    <w:rsid w:val="00F643A3"/>
    <w:rsid w:val="00F6456D"/>
    <w:rsid w:val="00F64A8B"/>
    <w:rsid w:val="00F65982"/>
    <w:rsid w:val="00F65BB5"/>
    <w:rsid w:val="00F65D2C"/>
    <w:rsid w:val="00F66481"/>
    <w:rsid w:val="00F665FF"/>
    <w:rsid w:val="00F666B1"/>
    <w:rsid w:val="00F666E3"/>
    <w:rsid w:val="00F66D59"/>
    <w:rsid w:val="00F67286"/>
    <w:rsid w:val="00F67BB1"/>
    <w:rsid w:val="00F70639"/>
    <w:rsid w:val="00F709C9"/>
    <w:rsid w:val="00F70AF9"/>
    <w:rsid w:val="00F70B56"/>
    <w:rsid w:val="00F70CB0"/>
    <w:rsid w:val="00F71043"/>
    <w:rsid w:val="00F71309"/>
    <w:rsid w:val="00F71440"/>
    <w:rsid w:val="00F71472"/>
    <w:rsid w:val="00F71478"/>
    <w:rsid w:val="00F71867"/>
    <w:rsid w:val="00F71A5E"/>
    <w:rsid w:val="00F71EE0"/>
    <w:rsid w:val="00F71FE0"/>
    <w:rsid w:val="00F7206E"/>
    <w:rsid w:val="00F7226C"/>
    <w:rsid w:val="00F73707"/>
    <w:rsid w:val="00F73A14"/>
    <w:rsid w:val="00F73C8B"/>
    <w:rsid w:val="00F747EC"/>
    <w:rsid w:val="00F74C6B"/>
    <w:rsid w:val="00F7508F"/>
    <w:rsid w:val="00F755F5"/>
    <w:rsid w:val="00F7629C"/>
    <w:rsid w:val="00F76375"/>
    <w:rsid w:val="00F76940"/>
    <w:rsid w:val="00F77529"/>
    <w:rsid w:val="00F77552"/>
    <w:rsid w:val="00F77AFC"/>
    <w:rsid w:val="00F77FE4"/>
    <w:rsid w:val="00F80703"/>
    <w:rsid w:val="00F80752"/>
    <w:rsid w:val="00F808B9"/>
    <w:rsid w:val="00F80973"/>
    <w:rsid w:val="00F80DDB"/>
    <w:rsid w:val="00F810F8"/>
    <w:rsid w:val="00F8191C"/>
    <w:rsid w:val="00F8195A"/>
    <w:rsid w:val="00F82A54"/>
    <w:rsid w:val="00F82B51"/>
    <w:rsid w:val="00F8413C"/>
    <w:rsid w:val="00F843F9"/>
    <w:rsid w:val="00F84979"/>
    <w:rsid w:val="00F8499D"/>
    <w:rsid w:val="00F84B91"/>
    <w:rsid w:val="00F84ED5"/>
    <w:rsid w:val="00F8503A"/>
    <w:rsid w:val="00F85BAC"/>
    <w:rsid w:val="00F85D79"/>
    <w:rsid w:val="00F85E38"/>
    <w:rsid w:val="00F85E69"/>
    <w:rsid w:val="00F867AB"/>
    <w:rsid w:val="00F86AB5"/>
    <w:rsid w:val="00F87575"/>
    <w:rsid w:val="00F87A2D"/>
    <w:rsid w:val="00F87A80"/>
    <w:rsid w:val="00F87F2B"/>
    <w:rsid w:val="00F902D2"/>
    <w:rsid w:val="00F904BD"/>
    <w:rsid w:val="00F91213"/>
    <w:rsid w:val="00F913D0"/>
    <w:rsid w:val="00F91A12"/>
    <w:rsid w:val="00F91ACB"/>
    <w:rsid w:val="00F922CE"/>
    <w:rsid w:val="00F927C6"/>
    <w:rsid w:val="00F927EE"/>
    <w:rsid w:val="00F936AC"/>
    <w:rsid w:val="00F93F8F"/>
    <w:rsid w:val="00F9464E"/>
    <w:rsid w:val="00F94F5F"/>
    <w:rsid w:val="00F958FB"/>
    <w:rsid w:val="00F95A29"/>
    <w:rsid w:val="00F97156"/>
    <w:rsid w:val="00F9772B"/>
    <w:rsid w:val="00F9799D"/>
    <w:rsid w:val="00F97E89"/>
    <w:rsid w:val="00FA00FC"/>
    <w:rsid w:val="00FA0156"/>
    <w:rsid w:val="00FA062F"/>
    <w:rsid w:val="00FA1094"/>
    <w:rsid w:val="00FA156A"/>
    <w:rsid w:val="00FA18CC"/>
    <w:rsid w:val="00FA1EAF"/>
    <w:rsid w:val="00FA26E6"/>
    <w:rsid w:val="00FA274D"/>
    <w:rsid w:val="00FA290E"/>
    <w:rsid w:val="00FA3029"/>
    <w:rsid w:val="00FA4E85"/>
    <w:rsid w:val="00FA5740"/>
    <w:rsid w:val="00FA62C4"/>
    <w:rsid w:val="00FA6484"/>
    <w:rsid w:val="00FA67D6"/>
    <w:rsid w:val="00FA6849"/>
    <w:rsid w:val="00FA7194"/>
    <w:rsid w:val="00FA7227"/>
    <w:rsid w:val="00FA75B7"/>
    <w:rsid w:val="00FA7865"/>
    <w:rsid w:val="00FA7A1C"/>
    <w:rsid w:val="00FB0453"/>
    <w:rsid w:val="00FB04A0"/>
    <w:rsid w:val="00FB0E6E"/>
    <w:rsid w:val="00FB0E85"/>
    <w:rsid w:val="00FB1309"/>
    <w:rsid w:val="00FB139C"/>
    <w:rsid w:val="00FB1CDC"/>
    <w:rsid w:val="00FB1F1B"/>
    <w:rsid w:val="00FB211C"/>
    <w:rsid w:val="00FB2134"/>
    <w:rsid w:val="00FB2625"/>
    <w:rsid w:val="00FB2715"/>
    <w:rsid w:val="00FB29CC"/>
    <w:rsid w:val="00FB2A3C"/>
    <w:rsid w:val="00FB2FEE"/>
    <w:rsid w:val="00FB3184"/>
    <w:rsid w:val="00FB384B"/>
    <w:rsid w:val="00FB46B8"/>
    <w:rsid w:val="00FB479B"/>
    <w:rsid w:val="00FB4F80"/>
    <w:rsid w:val="00FB5872"/>
    <w:rsid w:val="00FB58DA"/>
    <w:rsid w:val="00FB5E17"/>
    <w:rsid w:val="00FB64A7"/>
    <w:rsid w:val="00FB650B"/>
    <w:rsid w:val="00FB659B"/>
    <w:rsid w:val="00FB744A"/>
    <w:rsid w:val="00FC0D82"/>
    <w:rsid w:val="00FC0ED9"/>
    <w:rsid w:val="00FC0EFA"/>
    <w:rsid w:val="00FC1067"/>
    <w:rsid w:val="00FC13DA"/>
    <w:rsid w:val="00FC1402"/>
    <w:rsid w:val="00FC18D6"/>
    <w:rsid w:val="00FC196B"/>
    <w:rsid w:val="00FC2B45"/>
    <w:rsid w:val="00FC2BD9"/>
    <w:rsid w:val="00FC2DA5"/>
    <w:rsid w:val="00FC2EB5"/>
    <w:rsid w:val="00FC3791"/>
    <w:rsid w:val="00FC3B32"/>
    <w:rsid w:val="00FC3FA2"/>
    <w:rsid w:val="00FC4727"/>
    <w:rsid w:val="00FC4C13"/>
    <w:rsid w:val="00FC5D50"/>
    <w:rsid w:val="00FC60B4"/>
    <w:rsid w:val="00FC61C7"/>
    <w:rsid w:val="00FC63DD"/>
    <w:rsid w:val="00FC68D8"/>
    <w:rsid w:val="00FC6CED"/>
    <w:rsid w:val="00FC715B"/>
    <w:rsid w:val="00FC7833"/>
    <w:rsid w:val="00FD048C"/>
    <w:rsid w:val="00FD06F3"/>
    <w:rsid w:val="00FD0A89"/>
    <w:rsid w:val="00FD17D0"/>
    <w:rsid w:val="00FD1869"/>
    <w:rsid w:val="00FD1B00"/>
    <w:rsid w:val="00FD29E3"/>
    <w:rsid w:val="00FD32DB"/>
    <w:rsid w:val="00FD37E2"/>
    <w:rsid w:val="00FD4A24"/>
    <w:rsid w:val="00FD57A5"/>
    <w:rsid w:val="00FD60EF"/>
    <w:rsid w:val="00FD6859"/>
    <w:rsid w:val="00FD6FC7"/>
    <w:rsid w:val="00FD701F"/>
    <w:rsid w:val="00FD71F7"/>
    <w:rsid w:val="00FD77B5"/>
    <w:rsid w:val="00FE0025"/>
    <w:rsid w:val="00FE0B20"/>
    <w:rsid w:val="00FE0B77"/>
    <w:rsid w:val="00FE0C9C"/>
    <w:rsid w:val="00FE0D45"/>
    <w:rsid w:val="00FE109F"/>
    <w:rsid w:val="00FE10A5"/>
    <w:rsid w:val="00FE1142"/>
    <w:rsid w:val="00FE12C6"/>
    <w:rsid w:val="00FE1558"/>
    <w:rsid w:val="00FE23C9"/>
    <w:rsid w:val="00FE2461"/>
    <w:rsid w:val="00FE26F0"/>
    <w:rsid w:val="00FE289B"/>
    <w:rsid w:val="00FE2AA5"/>
    <w:rsid w:val="00FE2C86"/>
    <w:rsid w:val="00FE2C99"/>
    <w:rsid w:val="00FE2F24"/>
    <w:rsid w:val="00FE322F"/>
    <w:rsid w:val="00FE348F"/>
    <w:rsid w:val="00FE4212"/>
    <w:rsid w:val="00FE46ED"/>
    <w:rsid w:val="00FE4879"/>
    <w:rsid w:val="00FE4D56"/>
    <w:rsid w:val="00FE5193"/>
    <w:rsid w:val="00FE5370"/>
    <w:rsid w:val="00FE58CF"/>
    <w:rsid w:val="00FE5EA7"/>
    <w:rsid w:val="00FE63D5"/>
    <w:rsid w:val="00FE6FF5"/>
    <w:rsid w:val="00FE708F"/>
    <w:rsid w:val="00FE70BF"/>
    <w:rsid w:val="00FE71EA"/>
    <w:rsid w:val="00FE72B1"/>
    <w:rsid w:val="00FE768B"/>
    <w:rsid w:val="00FE7F60"/>
    <w:rsid w:val="00FF01CC"/>
    <w:rsid w:val="00FF0370"/>
    <w:rsid w:val="00FF08AB"/>
    <w:rsid w:val="00FF0D5F"/>
    <w:rsid w:val="00FF0FA3"/>
    <w:rsid w:val="00FF1756"/>
    <w:rsid w:val="00FF1B88"/>
    <w:rsid w:val="00FF1D1B"/>
    <w:rsid w:val="00FF21A9"/>
    <w:rsid w:val="00FF269D"/>
    <w:rsid w:val="00FF33C0"/>
    <w:rsid w:val="00FF396F"/>
    <w:rsid w:val="00FF4B7A"/>
    <w:rsid w:val="00FF4CBF"/>
    <w:rsid w:val="00FF4E63"/>
    <w:rsid w:val="00FF4EDC"/>
    <w:rsid w:val="00FF4EDF"/>
    <w:rsid w:val="00FF5690"/>
    <w:rsid w:val="00FF575B"/>
    <w:rsid w:val="00FF5813"/>
    <w:rsid w:val="00FF61DD"/>
    <w:rsid w:val="00FF7183"/>
    <w:rsid w:val="00FF73C6"/>
    <w:rsid w:val="00FF74CA"/>
    <w:rsid w:val="00FF7AC2"/>
    <w:rsid w:val="00FF7B70"/>
    <w:rsid w:val="00FF7BB5"/>
    <w:rsid w:val="00FF7EA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0F6106"/>
  <w15:docId w15:val="{EE77F64B-1B7B-7D4E-A907-184268FB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256"/>
    <w:pPr>
      <w:spacing w:after="0" w:line="240" w:lineRule="auto"/>
      <w:jc w:val="both"/>
    </w:pPr>
    <w:rPr>
      <w:rFonts w:ascii="Verdana" w:eastAsia="Batang" w:hAnsi="Verdana" w:cs="Times"/>
      <w:sz w:val="20"/>
      <w:szCs w:val="24"/>
      <w:lang w:val="es-ES_tradnl"/>
    </w:rPr>
  </w:style>
  <w:style w:type="paragraph" w:styleId="Ttulo1">
    <w:name w:val="heading 1"/>
    <w:basedOn w:val="Normal"/>
    <w:next w:val="Normal"/>
    <w:link w:val="Ttulo1Car"/>
    <w:uiPriority w:val="9"/>
    <w:qFormat/>
    <w:rsid w:val="009569E6"/>
    <w:pPr>
      <w:keepNext/>
      <w:keepLines/>
      <w:spacing w:before="360" w:after="360"/>
      <w:jc w:val="center"/>
      <w:outlineLvl w:val="0"/>
    </w:pPr>
    <w:rPr>
      <w:rFonts w:eastAsia="Times New Roman" w:cs="Verdana"/>
      <w:b/>
      <w:bCs/>
      <w:caps/>
      <w:snapToGrid w:val="0"/>
      <w:szCs w:val="20"/>
      <w:lang w:val="es-CR" w:eastAsia="es-ES"/>
    </w:rPr>
  </w:style>
  <w:style w:type="paragraph" w:styleId="Ttulo2">
    <w:name w:val="heading 2"/>
    <w:basedOn w:val="Normal"/>
    <w:next w:val="Normal"/>
    <w:link w:val="Ttulo2Car"/>
    <w:uiPriority w:val="9"/>
    <w:unhideWhenUsed/>
    <w:qFormat/>
    <w:rsid w:val="00F80D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80DDB"/>
    <w:pPr>
      <w:keepNext/>
      <w:keepLines/>
      <w:spacing w:before="200"/>
      <w:outlineLvl w:val="2"/>
    </w:pPr>
    <w:rPr>
      <w:rFonts w:eastAsiaTheme="majorEastAsia" w:cstheme="majorBidi"/>
      <w:b/>
      <w:bCs/>
      <w:i/>
    </w:rPr>
  </w:style>
  <w:style w:type="paragraph" w:styleId="Ttulo4">
    <w:name w:val="heading 4"/>
    <w:basedOn w:val="Normal"/>
    <w:next w:val="Normal"/>
    <w:link w:val="Ttulo4Car"/>
    <w:uiPriority w:val="99"/>
    <w:unhideWhenUsed/>
    <w:qFormat/>
    <w:rsid w:val="00F80DD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9A2F0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Ttulo5"/>
    <w:next w:val="Normal"/>
    <w:link w:val="Ttulo6Car"/>
    <w:uiPriority w:val="9"/>
    <w:unhideWhenUsed/>
    <w:qFormat/>
    <w:rsid w:val="009A2F04"/>
    <w:pPr>
      <w:keepNext w:val="0"/>
      <w:keepLines w:val="0"/>
      <w:numPr>
        <w:ilvl w:val="4"/>
        <w:numId w:val="3"/>
      </w:numPr>
      <w:spacing w:before="0"/>
      <w:outlineLvl w:val="5"/>
    </w:pPr>
    <w:rPr>
      <w:rFonts w:ascii="Verdana" w:eastAsia="Times New Roman" w:hAnsi="Verdana" w:cs="Times New Roman"/>
      <w:color w:val="auto"/>
      <w:spacing w:val="-2"/>
      <w:szCs w:val="20"/>
      <w:lang w:eastAsia="es-CR"/>
    </w:rPr>
  </w:style>
  <w:style w:type="paragraph" w:styleId="Ttulo7">
    <w:name w:val="heading 7"/>
    <w:basedOn w:val="Normal"/>
    <w:next w:val="Normal"/>
    <w:link w:val="Ttulo7Car"/>
    <w:uiPriority w:val="99"/>
    <w:qFormat/>
    <w:rsid w:val="00BD53D7"/>
    <w:pPr>
      <w:tabs>
        <w:tab w:val="num" w:pos="1296"/>
      </w:tabs>
      <w:spacing w:before="240" w:after="60" w:line="276" w:lineRule="auto"/>
      <w:ind w:left="1296" w:hanging="1296"/>
      <w:jc w:val="left"/>
      <w:outlineLvl w:val="6"/>
    </w:pPr>
    <w:rPr>
      <w:rFonts w:ascii="Times New Roman" w:eastAsia="Times New Roman" w:hAnsi="Times New Roman" w:cs="Times New Roman"/>
      <w:sz w:val="24"/>
      <w:lang w:eastAsia="es-ES"/>
    </w:rPr>
  </w:style>
  <w:style w:type="paragraph" w:styleId="Ttulo8">
    <w:name w:val="heading 8"/>
    <w:basedOn w:val="Normal"/>
    <w:next w:val="Normal"/>
    <w:link w:val="Ttulo8Car"/>
    <w:uiPriority w:val="99"/>
    <w:qFormat/>
    <w:rsid w:val="00BD53D7"/>
    <w:pPr>
      <w:tabs>
        <w:tab w:val="num" w:pos="1440"/>
      </w:tabs>
      <w:spacing w:before="240" w:after="60" w:line="276" w:lineRule="auto"/>
      <w:ind w:left="1440" w:hanging="1440"/>
      <w:jc w:val="left"/>
      <w:outlineLvl w:val="7"/>
    </w:pPr>
    <w:rPr>
      <w:rFonts w:ascii="Times New Roman" w:eastAsia="Times New Roman" w:hAnsi="Times New Roman" w:cs="Times New Roman"/>
      <w:i/>
      <w:iCs/>
      <w:sz w:val="24"/>
      <w:lang w:eastAsia="es-ES"/>
    </w:rPr>
  </w:style>
  <w:style w:type="paragraph" w:styleId="Ttulo9">
    <w:name w:val="heading 9"/>
    <w:basedOn w:val="Normal"/>
    <w:next w:val="Normal"/>
    <w:link w:val="Ttulo9Car"/>
    <w:uiPriority w:val="99"/>
    <w:qFormat/>
    <w:rsid w:val="00BD53D7"/>
    <w:pPr>
      <w:spacing w:before="240" w:after="60" w:line="276" w:lineRule="auto"/>
      <w:jc w:val="left"/>
      <w:outlineLvl w:val="8"/>
    </w:pPr>
    <w:rPr>
      <w:rFonts w:ascii="Arial" w:eastAsia="Times New Roman" w:hAnsi="Arial"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9403BF"/>
    <w:pPr>
      <w:jc w:val="center"/>
    </w:pPr>
    <w:rPr>
      <w:rFonts w:eastAsia="Times New Roman" w:cs="Times New Roman"/>
      <w:b/>
      <w:szCs w:val="20"/>
    </w:rPr>
  </w:style>
  <w:style w:type="character" w:customStyle="1" w:styleId="TtuloCar">
    <w:name w:val="Título Car"/>
    <w:basedOn w:val="Fuentedeprrafopredeter"/>
    <w:link w:val="Ttulo"/>
    <w:rsid w:val="009403BF"/>
    <w:rPr>
      <w:rFonts w:ascii="Verdana" w:eastAsia="Times New Roman" w:hAnsi="Verdana" w:cs="Times New Roman"/>
      <w:b/>
      <w:noProof/>
      <w:sz w:val="20"/>
      <w:szCs w:val="20"/>
      <w:lang w:val="es-ES_tradnl"/>
    </w:rPr>
  </w:style>
  <w:style w:type="paragraph" w:styleId="Subttulo">
    <w:name w:val="Subtitle"/>
    <w:basedOn w:val="Normal"/>
    <w:next w:val="Normal"/>
    <w:link w:val="SubttuloCar"/>
    <w:qFormat/>
    <w:rsid w:val="009403BF"/>
    <w:pPr>
      <w:numPr>
        <w:ilvl w:val="1"/>
      </w:numPr>
      <w:jc w:val="center"/>
    </w:pPr>
    <w:rPr>
      <w:rFonts w:eastAsia="Times New Roman" w:cs="Times New Roman"/>
      <w:b/>
      <w:i/>
      <w:iCs/>
      <w:spacing w:val="15"/>
    </w:rPr>
  </w:style>
  <w:style w:type="character" w:customStyle="1" w:styleId="SubttuloCar">
    <w:name w:val="Subtítulo Car"/>
    <w:basedOn w:val="Fuentedeprrafopredeter"/>
    <w:link w:val="Subttulo"/>
    <w:rsid w:val="009403BF"/>
    <w:rPr>
      <w:rFonts w:ascii="Verdana" w:eastAsia="Times New Roman" w:hAnsi="Verdana" w:cs="Times New Roman"/>
      <w:b/>
      <w:i/>
      <w:iCs/>
      <w:noProof/>
      <w:spacing w:val="15"/>
      <w:sz w:val="20"/>
      <w:szCs w:val="24"/>
      <w:lang w:val="es-ES_tradnl"/>
    </w:rPr>
  </w:style>
  <w:style w:type="paragraph" w:customStyle="1" w:styleId="citaindirecta">
    <w:name w:val="cita indirecta"/>
    <w:basedOn w:val="Normal"/>
    <w:uiPriority w:val="99"/>
    <w:rsid w:val="009403BF"/>
    <w:pPr>
      <w:ind w:left="708"/>
    </w:pPr>
    <w:rPr>
      <w:rFonts w:eastAsia="Times New Roman" w:cs="Times New Roman"/>
      <w:szCs w:val="20"/>
    </w:rPr>
  </w:style>
  <w:style w:type="paragraph" w:styleId="Encabezado">
    <w:name w:val="header"/>
    <w:aliases w:val="encabezado"/>
    <w:basedOn w:val="Normal"/>
    <w:link w:val="EncabezadoCar"/>
    <w:uiPriority w:val="99"/>
    <w:unhideWhenUsed/>
    <w:rsid w:val="009403BF"/>
    <w:pPr>
      <w:tabs>
        <w:tab w:val="center" w:pos="4252"/>
        <w:tab w:val="right" w:pos="8504"/>
      </w:tabs>
    </w:pPr>
  </w:style>
  <w:style w:type="character" w:customStyle="1" w:styleId="EncabezadoCar">
    <w:name w:val="Encabezado Car"/>
    <w:aliases w:val="encabezado Car"/>
    <w:basedOn w:val="Fuentedeprrafopredeter"/>
    <w:link w:val="Encabezado"/>
    <w:uiPriority w:val="99"/>
    <w:rsid w:val="009403BF"/>
    <w:rPr>
      <w:rFonts w:ascii="Verdana" w:eastAsia="Batang" w:hAnsi="Verdana" w:cs="Times"/>
      <w:noProof/>
      <w:sz w:val="20"/>
      <w:szCs w:val="24"/>
      <w:lang w:val="es-ES_tradnl"/>
    </w:rPr>
  </w:style>
  <w:style w:type="paragraph" w:styleId="Piedepgina">
    <w:name w:val="footer"/>
    <w:basedOn w:val="Normal"/>
    <w:link w:val="PiedepginaCar"/>
    <w:uiPriority w:val="99"/>
    <w:unhideWhenUsed/>
    <w:rsid w:val="009403BF"/>
    <w:pPr>
      <w:tabs>
        <w:tab w:val="center" w:pos="4252"/>
        <w:tab w:val="right" w:pos="8504"/>
      </w:tabs>
    </w:pPr>
  </w:style>
  <w:style w:type="character" w:customStyle="1" w:styleId="PiedepginaCar">
    <w:name w:val="Pie de página Car"/>
    <w:basedOn w:val="Fuentedeprrafopredeter"/>
    <w:link w:val="Piedepgina"/>
    <w:uiPriority w:val="99"/>
    <w:rsid w:val="009403BF"/>
    <w:rPr>
      <w:rFonts w:ascii="Verdana" w:eastAsia="Batang" w:hAnsi="Verdana" w:cs="Times"/>
      <w:noProof/>
      <w:sz w:val="20"/>
      <w:szCs w:val="24"/>
      <w:lang w:val="es-ES_tradnl"/>
    </w:rPr>
  </w:style>
  <w:style w:type="character" w:styleId="Hipervnculo">
    <w:name w:val="Hyperlink"/>
    <w:aliases w:val="Heading 3 caso"/>
    <w:basedOn w:val="Fuentedeprrafopredeter"/>
    <w:uiPriority w:val="99"/>
    <w:unhideWhenUsed/>
    <w:rsid w:val="009403BF"/>
    <w:rPr>
      <w:color w:val="0000FF"/>
      <w:u w:val="single"/>
    </w:rPr>
  </w:style>
  <w:style w:type="paragraph" w:styleId="TDC1">
    <w:name w:val="toc 1"/>
    <w:basedOn w:val="Normal"/>
    <w:next w:val="Normal"/>
    <w:autoRedefine/>
    <w:uiPriority w:val="39"/>
    <w:unhideWhenUsed/>
    <w:rsid w:val="003E0964"/>
    <w:pPr>
      <w:tabs>
        <w:tab w:val="left" w:pos="709"/>
        <w:tab w:val="right" w:leader="dot" w:pos="9072"/>
      </w:tabs>
      <w:spacing w:before="60" w:after="60"/>
      <w:ind w:right="237"/>
    </w:pPr>
    <w:rPr>
      <w:b/>
      <w:sz w:val="18"/>
    </w:rPr>
  </w:style>
  <w:style w:type="character" w:customStyle="1" w:styleId="Ttulo1Car">
    <w:name w:val="Título 1 Car"/>
    <w:basedOn w:val="Fuentedeprrafopredeter"/>
    <w:link w:val="Ttulo1"/>
    <w:uiPriority w:val="9"/>
    <w:rsid w:val="009569E6"/>
    <w:rPr>
      <w:rFonts w:ascii="Verdana" w:eastAsia="Times New Roman" w:hAnsi="Verdana" w:cs="Verdana"/>
      <w:b/>
      <w:bCs/>
      <w:caps/>
      <w:noProof/>
      <w:snapToGrid w:val="0"/>
      <w:sz w:val="20"/>
      <w:szCs w:val="20"/>
      <w:lang w:val="es-CR" w:eastAsia="es-ES"/>
    </w:rPr>
  </w:style>
  <w:style w:type="paragraph" w:styleId="Prrafodelista">
    <w:name w:val="List Paragraph"/>
    <w:aliases w:val="Footnote,List Paragraph1,Colorful List - Accent 11,Párrafo de lista1,List Paragraph2,Lista vistosa - Énfasis 11,Subtle Emphasis1,Footnote1,List Paragraph11,Parrafos"/>
    <w:basedOn w:val="Normal"/>
    <w:link w:val="PrrafodelistaCar"/>
    <w:qFormat/>
    <w:rsid w:val="00CA3EC4"/>
    <w:pPr>
      <w:ind w:left="720"/>
      <w:contextualSpacing/>
    </w:p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iPriority w:val="99"/>
    <w:qFormat/>
    <w:rsid w:val="006F5C6B"/>
    <w:rPr>
      <w:rFonts w:cs="Times New Roman"/>
      <w:szCs w:val="20"/>
      <w:vertAlign w:val="superscript"/>
    </w:rPr>
  </w:style>
  <w:style w:type="paragraph" w:styleId="Textonotapie">
    <w:name w:val="footnote text"/>
    <w:aliases w:val="2. Footnote Text,Footnote Tesina,FA Fu,Footnote Text Char Char Char Char Char,Footnote Text Char Char Char Char,Footnote reference,Footnote Text Char Char Char,Footnote Text Cha,FA Fußnotentext,FA Fuﬂnotentext,Ca,C,ft,5,footnote text,Car"/>
    <w:basedOn w:val="Normal"/>
    <w:link w:val="TextonotapieCar1"/>
    <w:uiPriority w:val="99"/>
    <w:unhideWhenUsed/>
    <w:qFormat/>
    <w:rsid w:val="006F5C6B"/>
    <w:pPr>
      <w:spacing w:before="120" w:after="120"/>
    </w:pPr>
    <w:rPr>
      <w:sz w:val="16"/>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qFormat/>
    <w:rsid w:val="006F5C6B"/>
    <w:rPr>
      <w:rFonts w:ascii="Verdana" w:eastAsia="Batang" w:hAnsi="Verdana" w:cs="Times"/>
      <w:noProof/>
      <w:sz w:val="20"/>
      <w:szCs w:val="20"/>
      <w:lang w:val="es-ES_tradnl"/>
    </w:rPr>
  </w:style>
  <w:style w:type="character" w:customStyle="1" w:styleId="TextonotapieCar1">
    <w:name w:val="Texto nota pie Car1"/>
    <w:aliases w:val="2. Footnote Text Car,Footnote Tesina Car,FA Fu Car1,Footnote Text Char Char Char Char Char Car1,Footnote Text Char Char Char Char Car1,Footnote reference Car1,Footnote Text Char Char Char Car1,Footnote Text Cha Car1,Ca Car1,C Car"/>
    <w:basedOn w:val="Fuentedeprrafopredeter"/>
    <w:link w:val="Textonotapie"/>
    <w:uiPriority w:val="99"/>
    <w:qFormat/>
    <w:rsid w:val="006F5C6B"/>
    <w:rPr>
      <w:rFonts w:ascii="Verdana" w:eastAsia="Batang" w:hAnsi="Verdana" w:cs="Times"/>
      <w:noProof/>
      <w:sz w:val="16"/>
      <w:szCs w:val="20"/>
      <w:lang w:val="es-ES_tradnl"/>
    </w:rPr>
  </w:style>
  <w:style w:type="character" w:styleId="Textoennegrita">
    <w:name w:val="Strong"/>
    <w:aliases w:val="Heading 2.1"/>
    <w:basedOn w:val="Fuentedeprrafopredeter"/>
    <w:uiPriority w:val="22"/>
    <w:qFormat/>
    <w:rsid w:val="0003786A"/>
    <w:rPr>
      <w:b/>
      <w:bCs/>
    </w:rPr>
  </w:style>
  <w:style w:type="character" w:customStyle="1" w:styleId="PrrafodelistaCar">
    <w:name w:val="Párrafo de lista Car"/>
    <w:aliases w:val="Footnote Car,List Paragraph1 Car,Colorful List - Accent 11 Car,Párrafo de lista1 Car,List Paragraph2 Car,Lista vistosa - Énfasis 11 Car,Subtle Emphasis1 Car,Footnote1 Car,List Paragraph11 Car1,Parrafos Car"/>
    <w:basedOn w:val="Fuentedeprrafopredeter"/>
    <w:link w:val="Prrafodelista"/>
    <w:locked/>
    <w:rsid w:val="00375DA4"/>
    <w:rPr>
      <w:rFonts w:ascii="Verdana" w:eastAsia="Batang" w:hAnsi="Verdana" w:cs="Times"/>
      <w:noProof/>
      <w:sz w:val="20"/>
      <w:szCs w:val="24"/>
      <w:lang w:val="es-ES_tradnl"/>
    </w:rPr>
  </w:style>
  <w:style w:type="paragraph" w:customStyle="1" w:styleId="Estilo1">
    <w:name w:val="Estilo1"/>
    <w:basedOn w:val="Normal"/>
    <w:link w:val="Estilo1Car"/>
    <w:qFormat/>
    <w:rsid w:val="00375DA4"/>
    <w:pPr>
      <w:spacing w:after="120"/>
      <w:ind w:left="2018" w:right="6" w:hanging="180"/>
    </w:pPr>
    <w:rPr>
      <w:i/>
    </w:rPr>
  </w:style>
  <w:style w:type="character" w:customStyle="1" w:styleId="Estilo1Car">
    <w:name w:val="Estilo1 Car"/>
    <w:basedOn w:val="Fuentedeprrafopredeter"/>
    <w:link w:val="Estilo1"/>
    <w:rsid w:val="00375DA4"/>
    <w:rPr>
      <w:rFonts w:ascii="Verdana" w:eastAsia="Batang" w:hAnsi="Verdana" w:cs="Times"/>
      <w:i/>
      <w:noProof/>
      <w:sz w:val="20"/>
      <w:szCs w:val="24"/>
      <w:lang w:val="es-ES_tradnl"/>
    </w:rPr>
  </w:style>
  <w:style w:type="character" w:customStyle="1" w:styleId="apple-converted-space">
    <w:name w:val="apple-converted-space"/>
    <w:basedOn w:val="Fuentedeprrafopredeter"/>
    <w:rsid w:val="003C30A5"/>
  </w:style>
  <w:style w:type="paragraph" w:styleId="TtuloTDC">
    <w:name w:val="TOC Heading"/>
    <w:basedOn w:val="Ttulo1"/>
    <w:next w:val="Normal"/>
    <w:uiPriority w:val="39"/>
    <w:unhideWhenUsed/>
    <w:qFormat/>
    <w:rsid w:val="00206CEA"/>
    <w:pPr>
      <w:spacing w:before="480" w:after="0" w:line="276" w:lineRule="auto"/>
      <w:jc w:val="left"/>
      <w:outlineLvl w:val="9"/>
    </w:pPr>
    <w:rPr>
      <w:rFonts w:asciiTheme="majorHAnsi" w:eastAsiaTheme="majorEastAsia" w:hAnsiTheme="majorHAnsi" w:cstheme="majorBidi"/>
      <w:caps w:val="0"/>
      <w:snapToGrid/>
      <w:color w:val="365F91" w:themeColor="accent1" w:themeShade="BF"/>
      <w:sz w:val="28"/>
      <w:szCs w:val="28"/>
      <w:lang w:val="en-US" w:eastAsia="ja-JP"/>
    </w:rPr>
  </w:style>
  <w:style w:type="paragraph" w:styleId="Textodeglobo">
    <w:name w:val="Balloon Text"/>
    <w:basedOn w:val="Normal"/>
    <w:link w:val="TextodegloboCar"/>
    <w:unhideWhenUsed/>
    <w:rsid w:val="00206CEA"/>
    <w:rPr>
      <w:rFonts w:ascii="Tahoma" w:hAnsi="Tahoma" w:cs="Tahoma"/>
      <w:sz w:val="16"/>
      <w:szCs w:val="16"/>
    </w:rPr>
  </w:style>
  <w:style w:type="character" w:customStyle="1" w:styleId="TextodegloboCar">
    <w:name w:val="Texto de globo Car"/>
    <w:basedOn w:val="Fuentedeprrafopredeter"/>
    <w:link w:val="Textodeglobo"/>
    <w:rsid w:val="00206CEA"/>
    <w:rPr>
      <w:rFonts w:ascii="Tahoma" w:eastAsia="Batang" w:hAnsi="Tahoma" w:cs="Tahoma"/>
      <w:noProof/>
      <w:sz w:val="16"/>
      <w:szCs w:val="16"/>
      <w:lang w:val="es-ES_tradnl"/>
    </w:rPr>
  </w:style>
  <w:style w:type="table" w:styleId="Tablaconcuadrcula">
    <w:name w:val="Table Grid"/>
    <w:basedOn w:val="Tablanormal"/>
    <w:uiPriority w:val="99"/>
    <w:rsid w:val="007E7F4B"/>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2">
    <w:name w:val="toc 2"/>
    <w:basedOn w:val="Normal"/>
    <w:next w:val="Normal"/>
    <w:autoRedefine/>
    <w:uiPriority w:val="39"/>
    <w:unhideWhenUsed/>
    <w:rsid w:val="003E0964"/>
    <w:pPr>
      <w:tabs>
        <w:tab w:val="left" w:pos="660"/>
        <w:tab w:val="right" w:leader="dot" w:pos="9072"/>
      </w:tabs>
      <w:spacing w:after="60"/>
      <w:ind w:left="198" w:right="237"/>
    </w:pPr>
  </w:style>
  <w:style w:type="character" w:styleId="Refdecomentario">
    <w:name w:val="annotation reference"/>
    <w:basedOn w:val="Fuentedeprrafopredeter"/>
    <w:uiPriority w:val="99"/>
    <w:semiHidden/>
    <w:unhideWhenUsed/>
    <w:rsid w:val="00500859"/>
    <w:rPr>
      <w:sz w:val="16"/>
      <w:szCs w:val="16"/>
    </w:rPr>
  </w:style>
  <w:style w:type="paragraph" w:styleId="Textocomentario">
    <w:name w:val="annotation text"/>
    <w:basedOn w:val="Normal"/>
    <w:link w:val="TextocomentarioCar"/>
    <w:uiPriority w:val="99"/>
    <w:unhideWhenUsed/>
    <w:rsid w:val="00500859"/>
    <w:rPr>
      <w:szCs w:val="20"/>
    </w:rPr>
  </w:style>
  <w:style w:type="character" w:customStyle="1" w:styleId="TextocomentarioCar">
    <w:name w:val="Texto comentario Car"/>
    <w:basedOn w:val="Fuentedeprrafopredeter"/>
    <w:link w:val="Textocomentario"/>
    <w:uiPriority w:val="99"/>
    <w:rsid w:val="00500859"/>
    <w:rPr>
      <w:rFonts w:ascii="Verdana" w:eastAsia="Batang" w:hAnsi="Verdana" w:cs="Times"/>
      <w:noProof/>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00859"/>
    <w:rPr>
      <w:b/>
      <w:bCs/>
    </w:rPr>
  </w:style>
  <w:style w:type="character" w:customStyle="1" w:styleId="AsuntodelcomentarioCar">
    <w:name w:val="Asunto del comentario Car"/>
    <w:basedOn w:val="TextocomentarioCar"/>
    <w:link w:val="Asuntodelcomentario"/>
    <w:uiPriority w:val="99"/>
    <w:semiHidden/>
    <w:rsid w:val="00500859"/>
    <w:rPr>
      <w:rFonts w:ascii="Verdana" w:eastAsia="Batang" w:hAnsi="Verdana" w:cs="Times"/>
      <w:b/>
      <w:bCs/>
      <w:noProof/>
      <w:sz w:val="20"/>
      <w:szCs w:val="20"/>
      <w:lang w:val="es-ES_tradnl"/>
    </w:rPr>
  </w:style>
  <w:style w:type="paragraph" w:customStyle="1" w:styleId="Footnotes">
    <w:name w:val="**. Footnotes"/>
    <w:basedOn w:val="Textonotapie"/>
    <w:link w:val="FootnotesChar"/>
    <w:autoRedefine/>
    <w:qFormat/>
    <w:rsid w:val="00B74725"/>
    <w:pPr>
      <w:spacing w:before="60" w:after="60"/>
      <w:ind w:left="2124" w:hanging="2124"/>
    </w:pPr>
    <w:rPr>
      <w:rFonts w:eastAsia="Times New Roman" w:cs="Palatino-Italic"/>
      <w:iCs/>
      <w:spacing w:val="-4"/>
      <w:szCs w:val="16"/>
      <w:lang w:val="es-ES" w:bidi="en-US"/>
    </w:rPr>
  </w:style>
  <w:style w:type="character" w:customStyle="1" w:styleId="FootnotesChar">
    <w:name w:val="**. Footnotes Char"/>
    <w:basedOn w:val="Fuentedeprrafopredeter"/>
    <w:link w:val="Footnotes"/>
    <w:rsid w:val="00B74725"/>
    <w:rPr>
      <w:rFonts w:ascii="Verdana" w:eastAsia="Times New Roman" w:hAnsi="Verdana" w:cs="Palatino-Italic"/>
      <w:iCs/>
      <w:spacing w:val="-4"/>
      <w:sz w:val="16"/>
      <w:szCs w:val="16"/>
      <w:lang w:bidi="en-US"/>
    </w:rPr>
  </w:style>
  <w:style w:type="character" w:customStyle="1" w:styleId="Ttulo6Car">
    <w:name w:val="Título 6 Car"/>
    <w:basedOn w:val="Fuentedeprrafopredeter"/>
    <w:link w:val="Ttulo6"/>
    <w:uiPriority w:val="9"/>
    <w:rsid w:val="009A2F04"/>
    <w:rPr>
      <w:rFonts w:ascii="Verdana" w:eastAsia="Times New Roman" w:hAnsi="Verdana" w:cs="Times New Roman"/>
      <w:spacing w:val="-2"/>
      <w:sz w:val="20"/>
      <w:szCs w:val="20"/>
      <w:lang w:val="es-ES_tradnl" w:eastAsia="es-CR"/>
    </w:rPr>
  </w:style>
  <w:style w:type="character" w:customStyle="1" w:styleId="Ttulo5Car">
    <w:name w:val="Título 5 Car"/>
    <w:basedOn w:val="Fuentedeprrafopredeter"/>
    <w:link w:val="Ttulo5"/>
    <w:uiPriority w:val="99"/>
    <w:rsid w:val="009A2F04"/>
    <w:rPr>
      <w:rFonts w:asciiTheme="majorHAnsi" w:eastAsiaTheme="majorEastAsia" w:hAnsiTheme="majorHAnsi" w:cstheme="majorBidi"/>
      <w:noProof/>
      <w:color w:val="243F60" w:themeColor="accent1" w:themeShade="7F"/>
      <w:sz w:val="20"/>
      <w:szCs w:val="24"/>
      <w:lang w:val="es-ES_tradnl"/>
    </w:rPr>
  </w:style>
  <w:style w:type="character" w:customStyle="1" w:styleId="Ttulo2Car">
    <w:name w:val="Título 2 Car"/>
    <w:basedOn w:val="Fuentedeprrafopredeter"/>
    <w:link w:val="Ttulo2"/>
    <w:uiPriority w:val="99"/>
    <w:rsid w:val="00F80DDB"/>
    <w:rPr>
      <w:rFonts w:asciiTheme="majorHAnsi" w:eastAsiaTheme="majorEastAsia" w:hAnsiTheme="majorHAnsi" w:cstheme="majorBidi"/>
      <w:b/>
      <w:bCs/>
      <w:noProof/>
      <w:color w:val="4F81BD" w:themeColor="accent1"/>
      <w:sz w:val="26"/>
      <w:szCs w:val="26"/>
      <w:lang w:val="es-ES_tradnl"/>
    </w:rPr>
  </w:style>
  <w:style w:type="character" w:customStyle="1" w:styleId="Ttulo3Car">
    <w:name w:val="Título 3 Car"/>
    <w:basedOn w:val="Fuentedeprrafopredeter"/>
    <w:link w:val="Ttulo3"/>
    <w:uiPriority w:val="9"/>
    <w:rsid w:val="00F80DDB"/>
    <w:rPr>
      <w:rFonts w:ascii="Verdana" w:eastAsiaTheme="majorEastAsia" w:hAnsi="Verdana" w:cstheme="majorBidi"/>
      <w:b/>
      <w:bCs/>
      <w:i/>
      <w:sz w:val="20"/>
      <w:szCs w:val="24"/>
      <w:lang w:val="es-ES_tradnl"/>
    </w:rPr>
  </w:style>
  <w:style w:type="character" w:customStyle="1" w:styleId="Ttulo4Car">
    <w:name w:val="Título 4 Car"/>
    <w:basedOn w:val="Fuentedeprrafopredeter"/>
    <w:link w:val="Ttulo4"/>
    <w:uiPriority w:val="99"/>
    <w:rsid w:val="00F80DDB"/>
    <w:rPr>
      <w:rFonts w:asciiTheme="majorHAnsi" w:eastAsiaTheme="majorEastAsia" w:hAnsiTheme="majorHAnsi" w:cstheme="majorBidi"/>
      <w:b/>
      <w:bCs/>
      <w:i/>
      <w:iCs/>
      <w:color w:val="4F81BD" w:themeColor="accent1"/>
      <w:sz w:val="20"/>
      <w:szCs w:val="24"/>
      <w:lang w:val="es-ES_tradnl"/>
    </w:rPr>
  </w:style>
  <w:style w:type="paragraph" w:customStyle="1" w:styleId="2Footnotes">
    <w:name w:val="2. Footnotes"/>
    <w:basedOn w:val="Textonotapie"/>
    <w:link w:val="2FootnotesChar"/>
    <w:autoRedefine/>
    <w:qFormat/>
    <w:rsid w:val="00F80DDB"/>
    <w:rPr>
      <w:rFonts w:eastAsia="Times New Roman" w:cs="Palatino-Italic"/>
      <w:iCs/>
      <w:szCs w:val="18"/>
      <w:lang w:val="es-ES"/>
    </w:rPr>
  </w:style>
  <w:style w:type="character" w:customStyle="1" w:styleId="2FootnotesChar">
    <w:name w:val="2. Footnotes Char"/>
    <w:link w:val="2Footnotes"/>
    <w:rsid w:val="00F80DDB"/>
    <w:rPr>
      <w:rFonts w:ascii="Verdana" w:eastAsia="Times New Roman" w:hAnsi="Verdana" w:cs="Palatino-Italic"/>
      <w:iCs/>
      <w:sz w:val="16"/>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0DDB"/>
    <w:rPr>
      <w:rFonts w:asciiTheme="minorHAnsi" w:eastAsiaTheme="minorHAnsi" w:hAnsiTheme="minorHAnsi" w:cs="Times New Roman"/>
      <w:sz w:val="22"/>
      <w:szCs w:val="20"/>
      <w:vertAlign w:val="superscript"/>
      <w:lang w:val="es-ES"/>
    </w:rPr>
  </w:style>
  <w:style w:type="character" w:customStyle="1" w:styleId="PrrafodeSentenciaChar">
    <w:name w:val="*. Párrafo de Sentencia Char"/>
    <w:link w:val="PrrafodeSentencia"/>
    <w:locked/>
    <w:rsid w:val="00AD12A6"/>
    <w:rPr>
      <w:rFonts w:ascii="Verdana" w:eastAsia="Batang" w:hAnsi="Verdana" w:cs="Arial"/>
      <w:sz w:val="20"/>
      <w:szCs w:val="20"/>
      <w:lang w:val="es-ES_tradnl" w:eastAsia="es-ES"/>
    </w:rPr>
  </w:style>
  <w:style w:type="paragraph" w:customStyle="1" w:styleId="PrrafodeSentencia">
    <w:name w:val="*. Párrafo de Sentencia"/>
    <w:basedOn w:val="Textonotapie"/>
    <w:link w:val="PrrafodeSentenciaChar"/>
    <w:autoRedefine/>
    <w:qFormat/>
    <w:rsid w:val="00AD12A6"/>
    <w:pPr>
      <w:tabs>
        <w:tab w:val="left" w:pos="720"/>
        <w:tab w:val="left" w:pos="2268"/>
      </w:tabs>
      <w:spacing w:before="240" w:after="240"/>
      <w:ind w:left="567" w:right="899"/>
    </w:pPr>
    <w:rPr>
      <w:rFonts w:cs="Arial"/>
      <w:sz w:val="20"/>
      <w:lang w:eastAsia="es-ES"/>
    </w:rPr>
  </w:style>
  <w:style w:type="character" w:customStyle="1" w:styleId="Smbolodenotaalpie">
    <w:name w:val="Símbolo de nota al pie"/>
    <w:rsid w:val="00577335"/>
    <w:rPr>
      <w:rFonts w:cs="Times New Roman"/>
      <w:szCs w:val="20"/>
      <w:vertAlign w:val="superscript"/>
    </w:rPr>
  </w:style>
  <w:style w:type="character" w:customStyle="1" w:styleId="Ttulo7Car">
    <w:name w:val="Título 7 Car"/>
    <w:basedOn w:val="Fuentedeprrafopredeter"/>
    <w:link w:val="Ttulo7"/>
    <w:uiPriority w:val="99"/>
    <w:rsid w:val="00BD53D7"/>
    <w:rPr>
      <w:rFonts w:ascii="Times New Roman" w:eastAsia="Times New Roman" w:hAnsi="Times New Roman" w:cs="Times New Roman"/>
      <w:sz w:val="24"/>
      <w:szCs w:val="24"/>
      <w:lang w:val="es-ES_tradnl" w:eastAsia="es-ES"/>
    </w:rPr>
  </w:style>
  <w:style w:type="character" w:customStyle="1" w:styleId="Ttulo8Car">
    <w:name w:val="Título 8 Car"/>
    <w:basedOn w:val="Fuentedeprrafopredeter"/>
    <w:link w:val="Ttulo8"/>
    <w:uiPriority w:val="99"/>
    <w:rsid w:val="00BD53D7"/>
    <w:rPr>
      <w:rFonts w:ascii="Times New Roman" w:eastAsia="Times New Roman" w:hAnsi="Times New Roman" w:cs="Times New Roman"/>
      <w:i/>
      <w:iCs/>
      <w:sz w:val="24"/>
      <w:szCs w:val="24"/>
      <w:lang w:val="es-ES_tradnl" w:eastAsia="es-ES"/>
    </w:rPr>
  </w:style>
  <w:style w:type="character" w:customStyle="1" w:styleId="Ttulo9Car">
    <w:name w:val="Título 9 Car"/>
    <w:basedOn w:val="Fuentedeprrafopredeter"/>
    <w:link w:val="Ttulo9"/>
    <w:uiPriority w:val="99"/>
    <w:rsid w:val="00BD53D7"/>
    <w:rPr>
      <w:rFonts w:ascii="Arial" w:eastAsia="Times New Roman" w:hAnsi="Arial" w:cs="Times New Roman"/>
      <w:lang w:val="es-ES_tradnl"/>
    </w:rPr>
  </w:style>
  <w:style w:type="character" w:styleId="Nmerodelnea">
    <w:name w:val="line number"/>
    <w:basedOn w:val="Fuentedeprrafopredeter"/>
    <w:uiPriority w:val="99"/>
    <w:semiHidden/>
    <w:unhideWhenUsed/>
    <w:rsid w:val="00BD53D7"/>
  </w:style>
  <w:style w:type="paragraph" w:styleId="NormalWeb">
    <w:name w:val="Normal (Web)"/>
    <w:aliases w:val="Normal (Web) Char1,Normal (Web) Char Char,Normal (Web) Char1 Char,Normal (Web) Char Char Char"/>
    <w:basedOn w:val="Normal"/>
    <w:uiPriority w:val="99"/>
    <w:rsid w:val="00BD53D7"/>
    <w:pPr>
      <w:spacing w:before="100" w:beforeAutospacing="1" w:after="100" w:afterAutospacing="1" w:line="276" w:lineRule="auto"/>
      <w:jc w:val="left"/>
    </w:pPr>
    <w:rPr>
      <w:rFonts w:ascii="Arial Unicode MS" w:eastAsia="Times New Roman" w:hAnsi="Arial Unicode MS" w:cs="Arial Unicode MS"/>
      <w:sz w:val="16"/>
      <w:szCs w:val="16"/>
      <w:lang w:val="en-US"/>
    </w:rPr>
  </w:style>
  <w:style w:type="paragraph" w:styleId="Textonotaalfinal">
    <w:name w:val="endnote text"/>
    <w:basedOn w:val="Normal"/>
    <w:link w:val="TextonotaalfinalCar"/>
    <w:uiPriority w:val="99"/>
    <w:semiHidden/>
    <w:rsid w:val="00BD53D7"/>
    <w:pPr>
      <w:widowControl w:val="0"/>
      <w:tabs>
        <w:tab w:val="left" w:pos="720"/>
        <w:tab w:val="left" w:pos="1440"/>
        <w:tab w:val="left" w:pos="2160"/>
        <w:tab w:val="left" w:pos="2880"/>
        <w:tab w:val="left" w:pos="3600"/>
        <w:tab w:val="left" w:pos="4320"/>
        <w:tab w:val="left" w:pos="5760"/>
        <w:tab w:val="left" w:pos="6480"/>
        <w:tab w:val="left" w:pos="7200"/>
        <w:tab w:val="left" w:pos="7920"/>
      </w:tabs>
      <w:spacing w:before="60" w:after="60" w:line="276" w:lineRule="auto"/>
    </w:pPr>
    <w:rPr>
      <w:rFonts w:ascii="CG Times" w:eastAsia="Times New Roman" w:hAnsi="CG Times" w:cs="Times New Roman"/>
      <w:sz w:val="22"/>
      <w:szCs w:val="20"/>
      <w:lang w:val="es-ES"/>
    </w:rPr>
  </w:style>
  <w:style w:type="character" w:customStyle="1" w:styleId="TextonotaalfinalCar">
    <w:name w:val="Texto nota al final Car"/>
    <w:basedOn w:val="Fuentedeprrafopredeter"/>
    <w:link w:val="Textonotaalfinal"/>
    <w:uiPriority w:val="99"/>
    <w:semiHidden/>
    <w:rsid w:val="00BD53D7"/>
    <w:rPr>
      <w:rFonts w:ascii="CG Times" w:eastAsia="Times New Roman" w:hAnsi="CG Times" w:cs="Times New Roman"/>
      <w:szCs w:val="20"/>
    </w:rPr>
  </w:style>
  <w:style w:type="character" w:styleId="Nmerodepgina">
    <w:name w:val="page number"/>
    <w:basedOn w:val="Fuentedeprrafopredeter"/>
    <w:uiPriority w:val="99"/>
    <w:rsid w:val="00BD53D7"/>
    <w:rPr>
      <w:rFonts w:cs="Times New Roman"/>
    </w:rPr>
  </w:style>
  <w:style w:type="paragraph" w:styleId="Sangradetextonormal">
    <w:name w:val="Body Text Indent"/>
    <w:basedOn w:val="Normal"/>
    <w:link w:val="SangradetextonormalCar"/>
    <w:uiPriority w:val="99"/>
    <w:rsid w:val="00BD53D7"/>
    <w:pPr>
      <w:spacing w:before="60" w:after="60" w:line="276" w:lineRule="auto"/>
      <w:ind w:left="720"/>
    </w:pPr>
    <w:rPr>
      <w:rFonts w:ascii="Univers" w:eastAsia="Times New Roman" w:hAnsi="Univers" w:cs="Times New Roman"/>
      <w:szCs w:val="20"/>
      <w:lang w:val="es-CL"/>
    </w:rPr>
  </w:style>
  <w:style w:type="character" w:customStyle="1" w:styleId="SangradetextonormalCar">
    <w:name w:val="Sangría de texto normal Car"/>
    <w:basedOn w:val="Fuentedeprrafopredeter"/>
    <w:link w:val="Sangradetextonormal"/>
    <w:uiPriority w:val="99"/>
    <w:rsid w:val="00BD53D7"/>
    <w:rPr>
      <w:rFonts w:ascii="Univers" w:eastAsia="Times New Roman" w:hAnsi="Univers" w:cs="Times New Roman"/>
      <w:sz w:val="20"/>
      <w:szCs w:val="20"/>
      <w:lang w:val="es-CL"/>
    </w:rPr>
  </w:style>
  <w:style w:type="paragraph" w:styleId="Textoindependiente">
    <w:name w:val="Body Text"/>
    <w:basedOn w:val="Normal"/>
    <w:link w:val="TextoindependienteCar"/>
    <w:uiPriority w:val="99"/>
    <w:rsid w:val="00BD53D7"/>
    <w:pPr>
      <w:spacing w:before="60" w:after="60" w:line="276" w:lineRule="auto"/>
    </w:pPr>
    <w:rPr>
      <w:rFonts w:ascii="Univers" w:eastAsia="Times New Roman" w:hAnsi="Univers" w:cs="Times New Roman"/>
      <w:sz w:val="22"/>
      <w:szCs w:val="20"/>
      <w:lang w:val="es-CL"/>
    </w:rPr>
  </w:style>
  <w:style w:type="character" w:customStyle="1" w:styleId="TextoindependienteCar">
    <w:name w:val="Texto independiente Car"/>
    <w:basedOn w:val="Fuentedeprrafopredeter"/>
    <w:link w:val="Textoindependiente"/>
    <w:uiPriority w:val="99"/>
    <w:rsid w:val="00BD53D7"/>
    <w:rPr>
      <w:rFonts w:ascii="Univers" w:eastAsia="Times New Roman" w:hAnsi="Univers" w:cs="Times New Roman"/>
      <w:szCs w:val="20"/>
      <w:lang w:val="es-CL"/>
    </w:rPr>
  </w:style>
  <w:style w:type="paragraph" w:styleId="Textoindependiente2">
    <w:name w:val="Body Text 2"/>
    <w:basedOn w:val="Normal"/>
    <w:link w:val="Textoindependiente2Car"/>
    <w:uiPriority w:val="99"/>
    <w:rsid w:val="00BD53D7"/>
    <w:pPr>
      <w:spacing w:before="60" w:after="120" w:line="480" w:lineRule="auto"/>
      <w:jc w:val="left"/>
    </w:pPr>
    <w:rPr>
      <w:rFonts w:ascii="Times New Roman" w:eastAsia="Times New Roman" w:hAnsi="Times New Roman" w:cs="Times New Roman"/>
      <w:sz w:val="24"/>
    </w:rPr>
  </w:style>
  <w:style w:type="character" w:customStyle="1" w:styleId="Textoindependiente2Car">
    <w:name w:val="Texto independiente 2 Car"/>
    <w:basedOn w:val="Fuentedeprrafopredeter"/>
    <w:link w:val="Textoindependiente2"/>
    <w:uiPriority w:val="99"/>
    <w:rsid w:val="00BD53D7"/>
    <w:rPr>
      <w:rFonts w:ascii="Times New Roman" w:eastAsia="Times New Roman" w:hAnsi="Times New Roman" w:cs="Times New Roman"/>
      <w:sz w:val="24"/>
      <w:szCs w:val="24"/>
      <w:lang w:val="es-ES_tradnl"/>
    </w:rPr>
  </w:style>
  <w:style w:type="paragraph" w:styleId="Sangra2detindependiente">
    <w:name w:val="Body Text Indent 2"/>
    <w:basedOn w:val="Normal"/>
    <w:link w:val="Sangra2detindependienteCar"/>
    <w:uiPriority w:val="99"/>
    <w:rsid w:val="00BD53D7"/>
    <w:pPr>
      <w:spacing w:before="60" w:after="120" w:line="480" w:lineRule="auto"/>
      <w:ind w:left="283"/>
      <w:jc w:val="left"/>
    </w:pPr>
    <w:rPr>
      <w:rFonts w:ascii="Times New Roman" w:eastAsia="Times New Roman" w:hAnsi="Times New Roman" w:cs="Times New Roman"/>
      <w:sz w:val="24"/>
      <w:szCs w:val="20"/>
    </w:rPr>
  </w:style>
  <w:style w:type="character" w:customStyle="1" w:styleId="Sangra2detindependienteCar">
    <w:name w:val="Sangría 2 de t. independiente Car"/>
    <w:basedOn w:val="Fuentedeprrafopredeter"/>
    <w:link w:val="Sangra2detindependiente"/>
    <w:uiPriority w:val="99"/>
    <w:rsid w:val="00BD53D7"/>
    <w:rPr>
      <w:rFonts w:ascii="Times New Roman" w:eastAsia="Times New Roman" w:hAnsi="Times New Roman" w:cs="Times New Roman"/>
      <w:sz w:val="24"/>
      <w:szCs w:val="20"/>
      <w:lang w:val="es-ES_tradnl"/>
    </w:rPr>
  </w:style>
  <w:style w:type="character" w:styleId="nfasis">
    <w:name w:val="Emphasis"/>
    <w:basedOn w:val="Fuentedeprrafopredeter"/>
    <w:uiPriority w:val="20"/>
    <w:qFormat/>
    <w:rsid w:val="00BD53D7"/>
    <w:rPr>
      <w:rFonts w:cs="Times New Roman"/>
      <w:i/>
      <w:iCs/>
    </w:rPr>
  </w:style>
  <w:style w:type="paragraph" w:styleId="Sangra3detindependiente">
    <w:name w:val="Body Text Indent 3"/>
    <w:basedOn w:val="Normal"/>
    <w:link w:val="Sangra3detindependienteCar"/>
    <w:uiPriority w:val="99"/>
    <w:rsid w:val="00BD53D7"/>
    <w:pPr>
      <w:spacing w:before="60" w:after="120" w:line="276" w:lineRule="auto"/>
      <w:ind w:left="283"/>
      <w:jc w:val="left"/>
    </w:pPr>
    <w:rPr>
      <w:rFonts w:ascii="Times New Roman" w:eastAsia="Times New Roman" w:hAnsi="Times New Roman" w:cs="Times New Roman"/>
      <w:sz w:val="16"/>
      <w:szCs w:val="16"/>
      <w:lang w:val="es-ES"/>
    </w:rPr>
  </w:style>
  <w:style w:type="character" w:customStyle="1" w:styleId="Sangra3detindependienteCar">
    <w:name w:val="Sangría 3 de t. independiente Car"/>
    <w:basedOn w:val="Fuentedeprrafopredeter"/>
    <w:link w:val="Sangra3detindependiente"/>
    <w:uiPriority w:val="99"/>
    <w:rsid w:val="00BD53D7"/>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BD53D7"/>
    <w:pPr>
      <w:spacing w:before="60" w:after="120" w:line="276" w:lineRule="auto"/>
      <w:jc w:val="left"/>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uiPriority w:val="99"/>
    <w:rsid w:val="00BD53D7"/>
    <w:rPr>
      <w:rFonts w:ascii="Times New Roman" w:eastAsia="Times New Roman" w:hAnsi="Times New Roman" w:cs="Times New Roman"/>
      <w:sz w:val="16"/>
      <w:szCs w:val="16"/>
    </w:rPr>
  </w:style>
  <w:style w:type="character" w:customStyle="1" w:styleId="Smbolodenotaalpie0">
    <w:name w:val="S√mbolo de nota al pie"/>
    <w:uiPriority w:val="99"/>
    <w:rsid w:val="00BD53D7"/>
    <w:rPr>
      <w:vertAlign w:val="superscript"/>
    </w:rPr>
  </w:style>
  <w:style w:type="character" w:customStyle="1" w:styleId="FootnoteCharacters">
    <w:name w:val="Footnote Characters"/>
    <w:basedOn w:val="Fuentedeprrafopredeter"/>
    <w:uiPriority w:val="99"/>
    <w:rsid w:val="00BD53D7"/>
    <w:rPr>
      <w:rFonts w:cs="Times New Roman"/>
      <w:vertAlign w:val="superscript"/>
    </w:rPr>
  </w:style>
  <w:style w:type="paragraph" w:customStyle="1" w:styleId="negritamayuscula">
    <w:name w:val="negrita mayuscula"/>
    <w:basedOn w:val="Normal"/>
    <w:uiPriority w:val="99"/>
    <w:rsid w:val="00BD53D7"/>
    <w:pPr>
      <w:widowControl w:val="0"/>
      <w:tabs>
        <w:tab w:val="left" w:pos="1120"/>
      </w:tabs>
      <w:spacing w:before="60" w:after="60" w:line="360" w:lineRule="atLeast"/>
    </w:pPr>
    <w:rPr>
      <w:rFonts w:ascii="Garamond" w:eastAsia="Times New Roman" w:hAnsi="Garamond" w:cs="Times New Roman"/>
      <w:sz w:val="24"/>
      <w:szCs w:val="20"/>
    </w:rPr>
  </w:style>
  <w:style w:type="paragraph" w:customStyle="1" w:styleId="Default">
    <w:name w:val="Default"/>
    <w:link w:val="DefaultChar"/>
    <w:rsid w:val="00BD53D7"/>
    <w:pPr>
      <w:autoSpaceDE w:val="0"/>
      <w:autoSpaceDN w:val="0"/>
      <w:adjustRightInd w:val="0"/>
      <w:spacing w:before="60" w:after="0" w:line="240" w:lineRule="auto"/>
    </w:pPr>
    <w:rPr>
      <w:rFonts w:ascii="Arial" w:eastAsia="Times New Roman" w:hAnsi="Arial" w:cs="Arial"/>
      <w:color w:val="000000"/>
      <w:sz w:val="24"/>
      <w:szCs w:val="24"/>
      <w:lang w:val="en-US"/>
    </w:rPr>
  </w:style>
  <w:style w:type="paragraph" w:customStyle="1" w:styleId="newsbody">
    <w:name w:val="news_body"/>
    <w:basedOn w:val="Normal"/>
    <w:uiPriority w:val="99"/>
    <w:rsid w:val="00BD53D7"/>
    <w:pPr>
      <w:spacing w:before="100" w:beforeAutospacing="1" w:after="100" w:afterAutospacing="1" w:line="276" w:lineRule="auto"/>
      <w:jc w:val="left"/>
    </w:pPr>
    <w:rPr>
      <w:rFonts w:eastAsia="Times New Roman" w:cs="Times New Roman"/>
      <w:color w:val="000000"/>
      <w:spacing w:val="3"/>
      <w:sz w:val="18"/>
      <w:szCs w:val="18"/>
      <w:lang w:val="es-ES" w:eastAsia="es-ES"/>
    </w:rPr>
  </w:style>
  <w:style w:type="paragraph" w:customStyle="1" w:styleId="Titre1">
    <w:name w:val="Titre 1"/>
    <w:basedOn w:val="Normal"/>
    <w:uiPriority w:val="99"/>
    <w:rsid w:val="00BD53D7"/>
    <w:pPr>
      <w:numPr>
        <w:numId w:val="5"/>
      </w:numPr>
      <w:tabs>
        <w:tab w:val="num" w:pos="1080"/>
      </w:tabs>
      <w:spacing w:before="60" w:after="60" w:line="276" w:lineRule="auto"/>
      <w:ind w:left="1080" w:hanging="720"/>
      <w:jc w:val="center"/>
    </w:pPr>
    <w:rPr>
      <w:rFonts w:eastAsia="Times New Roman" w:cs="Times New Roman"/>
      <w:b/>
      <w:caps/>
      <w:szCs w:val="20"/>
      <w:lang w:val="es-ES" w:eastAsia="es-ES"/>
    </w:rPr>
  </w:style>
  <w:style w:type="paragraph" w:styleId="Listaconvietas">
    <w:name w:val="List Bullet"/>
    <w:basedOn w:val="Normal"/>
    <w:uiPriority w:val="99"/>
    <w:rsid w:val="00BD53D7"/>
    <w:pPr>
      <w:numPr>
        <w:numId w:val="4"/>
      </w:numPr>
      <w:tabs>
        <w:tab w:val="clear" w:pos="360"/>
        <w:tab w:val="num" w:pos="780"/>
      </w:tabs>
      <w:spacing w:before="60" w:after="60" w:line="276" w:lineRule="auto"/>
      <w:jc w:val="left"/>
    </w:pPr>
    <w:rPr>
      <w:rFonts w:ascii="Times New Roman" w:eastAsia="Times New Roman" w:hAnsi="Times New Roman" w:cs="Times New Roman"/>
      <w:sz w:val="24"/>
      <w:lang w:val="es-ES"/>
    </w:rPr>
  </w:style>
  <w:style w:type="character" w:customStyle="1" w:styleId="CarCar">
    <w:name w:val="Car Car"/>
    <w:basedOn w:val="Fuentedeprrafopredeter"/>
    <w:uiPriority w:val="99"/>
    <w:rsid w:val="00BD53D7"/>
    <w:rPr>
      <w:rFonts w:cs="Times New Roman"/>
      <w:sz w:val="24"/>
      <w:lang w:val="es-ES" w:eastAsia="en-US"/>
    </w:rPr>
  </w:style>
  <w:style w:type="paragraph" w:styleId="Lista2">
    <w:name w:val="List 2"/>
    <w:basedOn w:val="Normal"/>
    <w:uiPriority w:val="99"/>
    <w:rsid w:val="00BD53D7"/>
    <w:pPr>
      <w:spacing w:before="60" w:after="60" w:line="276" w:lineRule="auto"/>
      <w:ind w:left="566" w:hanging="283"/>
      <w:jc w:val="left"/>
    </w:pPr>
    <w:rPr>
      <w:rFonts w:ascii="Times New Roman" w:eastAsia="Times New Roman" w:hAnsi="Times New Roman" w:cs="Times New Roman"/>
      <w:sz w:val="28"/>
      <w:szCs w:val="28"/>
      <w:lang w:val="es-ES" w:eastAsia="es-ES"/>
    </w:rPr>
  </w:style>
  <w:style w:type="paragraph" w:styleId="Textodebloque">
    <w:name w:val="Block Text"/>
    <w:basedOn w:val="Normal"/>
    <w:uiPriority w:val="99"/>
    <w:rsid w:val="00BD53D7"/>
    <w:pPr>
      <w:spacing w:before="60" w:after="60" w:line="360" w:lineRule="auto"/>
      <w:ind w:left="1259" w:right="919"/>
    </w:pPr>
    <w:rPr>
      <w:rFonts w:ascii="Times New Roman" w:eastAsia="Times New Roman" w:hAnsi="Times New Roman" w:cs="Times New Roman"/>
      <w:sz w:val="28"/>
      <w:lang w:val="es-ES" w:eastAsia="es-ES"/>
    </w:rPr>
  </w:style>
  <w:style w:type="paragraph" w:customStyle="1" w:styleId="textoparrafo">
    <w:name w:val="textoparrafo"/>
    <w:basedOn w:val="Normal"/>
    <w:uiPriority w:val="99"/>
    <w:rsid w:val="00BD53D7"/>
    <w:pPr>
      <w:spacing w:before="100" w:beforeAutospacing="1" w:after="100" w:afterAutospacing="1" w:line="276" w:lineRule="auto"/>
      <w:jc w:val="left"/>
    </w:pPr>
    <w:rPr>
      <w:rFonts w:ascii="Times New Roman" w:eastAsia="Times New Roman" w:hAnsi="Times New Roman" w:cs="Times New Roman"/>
      <w:sz w:val="24"/>
      <w:lang w:val="es-ES" w:eastAsia="es-ES"/>
    </w:rPr>
  </w:style>
  <w:style w:type="paragraph" w:customStyle="1" w:styleId="Prrafodelista1">
    <w:name w:val="P∑rrafo de lista1"/>
    <w:basedOn w:val="Normal"/>
    <w:uiPriority w:val="99"/>
    <w:rsid w:val="00BD53D7"/>
    <w:pPr>
      <w:spacing w:before="60" w:after="60" w:line="276" w:lineRule="auto"/>
      <w:ind w:left="720"/>
      <w:contextualSpacing/>
      <w:jc w:val="left"/>
    </w:pPr>
    <w:rPr>
      <w:rFonts w:ascii="Times New Roman" w:eastAsia="Times New Roman" w:hAnsi="Times New Roman" w:cs="Times New Roman"/>
      <w:sz w:val="24"/>
    </w:rPr>
  </w:style>
  <w:style w:type="paragraph" w:customStyle="1" w:styleId="StyleHeading2LatinTimesNewRomanAsianBatang12ptN">
    <w:name w:val="Style Heading 2 + (Latin) Times New Roman (Asian) Batang 12 pt N..."/>
    <w:basedOn w:val="Ttulo2"/>
    <w:next w:val="Normal"/>
    <w:uiPriority w:val="99"/>
    <w:rsid w:val="00BD53D7"/>
    <w:pPr>
      <w:numPr>
        <w:ilvl w:val="1"/>
      </w:numPr>
      <w:tabs>
        <w:tab w:val="num" w:pos="576"/>
      </w:tabs>
      <w:spacing w:before="0" w:line="276" w:lineRule="auto"/>
      <w:ind w:left="576" w:hanging="576"/>
    </w:pPr>
    <w:rPr>
      <w:rFonts w:ascii="Times New Roman" w:eastAsia="Batang" w:hAnsi="Times New Roman" w:cs="Times New Roman"/>
      <w:i/>
      <w:color w:val="365F91"/>
      <w:sz w:val="24"/>
      <w:szCs w:val="20"/>
      <w:lang w:eastAsia="es-ES"/>
    </w:rPr>
  </w:style>
  <w:style w:type="character" w:customStyle="1" w:styleId="documentbody">
    <w:name w:val="documentbody"/>
    <w:basedOn w:val="Fuentedeprrafopredeter"/>
    <w:uiPriority w:val="99"/>
    <w:rsid w:val="00BD53D7"/>
    <w:rPr>
      <w:rFonts w:cs="Times New Roman"/>
    </w:rPr>
  </w:style>
  <w:style w:type="paragraph" w:customStyle="1" w:styleId="JuPara">
    <w:name w:val="Ju_Para"/>
    <w:basedOn w:val="Normal"/>
    <w:uiPriority w:val="99"/>
    <w:rsid w:val="00BD53D7"/>
    <w:pPr>
      <w:suppressAutoHyphens/>
      <w:spacing w:before="240" w:after="240" w:line="276" w:lineRule="auto"/>
      <w:ind w:firstLine="284"/>
    </w:pPr>
    <w:rPr>
      <w:rFonts w:ascii="Times New Roman" w:eastAsia="Times New Roman" w:hAnsi="Times New Roman" w:cs="Times New Roman"/>
      <w:sz w:val="24"/>
      <w:szCs w:val="20"/>
      <w:lang w:val="en-GB"/>
    </w:rPr>
  </w:style>
  <w:style w:type="paragraph" w:customStyle="1" w:styleId="Index91">
    <w:name w:val="Index 91"/>
    <w:basedOn w:val="Normal"/>
    <w:uiPriority w:val="99"/>
    <w:rsid w:val="00BD53D7"/>
    <w:pPr>
      <w:spacing w:before="60" w:after="60" w:line="276" w:lineRule="auto"/>
      <w:jc w:val="center"/>
    </w:pPr>
    <w:rPr>
      <w:rFonts w:ascii="Apple Chancery" w:eastAsia="Times New Roman" w:hAnsi="Apple Chancery" w:cs="Times New Roman"/>
      <w:b/>
      <w:sz w:val="24"/>
      <w:szCs w:val="20"/>
      <w:lang w:eastAsia="es-ES"/>
    </w:rPr>
  </w:style>
  <w:style w:type="paragraph" w:customStyle="1" w:styleId="Textoindependiente21">
    <w:name w:val="Texto independiente 21"/>
    <w:basedOn w:val="Normal"/>
    <w:uiPriority w:val="99"/>
    <w:rsid w:val="00BD53D7"/>
    <w:pPr>
      <w:spacing w:before="60" w:after="60" w:line="360" w:lineRule="atLeast"/>
    </w:pPr>
    <w:rPr>
      <w:rFonts w:eastAsia="Times New Roman" w:cs="Times New Roman"/>
      <w:szCs w:val="20"/>
      <w:lang w:eastAsia="es-ES"/>
    </w:rPr>
  </w:style>
  <w:style w:type="character" w:customStyle="1" w:styleId="Refdenotaalpie7">
    <w:name w:val="Ref. de nota al pie7"/>
    <w:uiPriority w:val="99"/>
    <w:rsid w:val="00BD53D7"/>
    <w:rPr>
      <w:vertAlign w:val="superscript"/>
    </w:rPr>
  </w:style>
  <w:style w:type="paragraph" w:styleId="Sinespaciado">
    <w:name w:val="No Spacing"/>
    <w:uiPriority w:val="1"/>
    <w:qFormat/>
    <w:rsid w:val="00BD53D7"/>
    <w:pPr>
      <w:spacing w:before="60" w:after="0" w:line="240" w:lineRule="auto"/>
    </w:pPr>
    <w:rPr>
      <w:rFonts w:ascii="Calibri" w:eastAsia="Times New Roman" w:hAnsi="Calibri" w:cs="Times New Roman"/>
    </w:rPr>
  </w:style>
  <w:style w:type="paragraph" w:customStyle="1" w:styleId="Normal6">
    <w:name w:val="Normal+6"/>
    <w:basedOn w:val="Normal"/>
    <w:next w:val="Normal"/>
    <w:uiPriority w:val="99"/>
    <w:rsid w:val="00BD53D7"/>
    <w:pPr>
      <w:autoSpaceDE w:val="0"/>
      <w:autoSpaceDN w:val="0"/>
      <w:adjustRightInd w:val="0"/>
      <w:spacing w:before="60" w:after="60" w:line="276" w:lineRule="auto"/>
      <w:jc w:val="left"/>
    </w:pPr>
    <w:rPr>
      <w:rFonts w:ascii="Times New Roman" w:eastAsia="Times New Roman" w:hAnsi="Times New Roman" w:cs="Times New Roman"/>
      <w:sz w:val="24"/>
      <w:lang w:val="es-ES" w:eastAsia="es-ES"/>
    </w:rPr>
  </w:style>
  <w:style w:type="character" w:customStyle="1" w:styleId="googqs-tidbit1">
    <w:name w:val="goog_qs-tidbit1"/>
    <w:basedOn w:val="Fuentedeprrafopredeter"/>
    <w:uiPriority w:val="99"/>
    <w:rsid w:val="00BD53D7"/>
    <w:rPr>
      <w:rFonts w:cs="Times New Roman"/>
    </w:rPr>
  </w:style>
  <w:style w:type="character" w:customStyle="1" w:styleId="apple-style-span">
    <w:name w:val="apple-style-span"/>
    <w:basedOn w:val="Fuentedeprrafopredeter"/>
    <w:rsid w:val="00BD53D7"/>
    <w:rPr>
      <w:rFonts w:cs="Times New Roman"/>
    </w:rPr>
  </w:style>
  <w:style w:type="character" w:customStyle="1" w:styleId="WW8Num5z1">
    <w:name w:val="WW8Num5z1"/>
    <w:uiPriority w:val="99"/>
    <w:rsid w:val="00BD53D7"/>
    <w:rPr>
      <w:rFonts w:ascii="Courier New" w:hAnsi="Courier New"/>
    </w:rPr>
  </w:style>
  <w:style w:type="character" w:customStyle="1" w:styleId="A10">
    <w:name w:val="A10"/>
    <w:uiPriority w:val="99"/>
    <w:rsid w:val="00BD53D7"/>
    <w:rPr>
      <w:color w:val="000000"/>
      <w:sz w:val="11"/>
    </w:rPr>
  </w:style>
  <w:style w:type="paragraph" w:customStyle="1" w:styleId="MacroText1">
    <w:name w:val="Macro Text1"/>
    <w:basedOn w:val="Normal"/>
    <w:uiPriority w:val="99"/>
    <w:rsid w:val="00BD53D7"/>
    <w:pPr>
      <w:suppressAutoHyphens/>
      <w:spacing w:before="60" w:after="60" w:line="276" w:lineRule="auto"/>
      <w:jc w:val="left"/>
    </w:pPr>
    <w:rPr>
      <w:rFonts w:eastAsia="Times New Roman" w:cs="Times New Roman"/>
      <w:sz w:val="24"/>
      <w:szCs w:val="20"/>
      <w:lang w:eastAsia="ar-SA"/>
    </w:rPr>
  </w:style>
  <w:style w:type="paragraph" w:customStyle="1" w:styleId="ju-005fpara-0020char1-0020char-0020char-0020char-0020char-0020char">
    <w:name w:val="ju-005fpara-0020char1-0020char-0020char-0020char-0020char-0020char"/>
    <w:basedOn w:val="Normal"/>
    <w:uiPriority w:val="99"/>
    <w:rsid w:val="00BD53D7"/>
    <w:pPr>
      <w:spacing w:before="100" w:beforeAutospacing="1" w:after="100" w:afterAutospacing="1" w:line="276" w:lineRule="auto"/>
      <w:jc w:val="left"/>
    </w:pPr>
    <w:rPr>
      <w:rFonts w:ascii="Times New Roman" w:eastAsia="Times New Roman" w:hAnsi="Times New Roman" w:cs="Times New Roman"/>
      <w:sz w:val="24"/>
      <w:lang w:val="en-US"/>
    </w:rPr>
  </w:style>
  <w:style w:type="paragraph" w:customStyle="1" w:styleId="ju-005fpara-0020char-0020char-0020char">
    <w:name w:val="ju-005fpara-0020char-0020char-0020char"/>
    <w:basedOn w:val="Normal"/>
    <w:uiPriority w:val="99"/>
    <w:rsid w:val="00BD53D7"/>
    <w:pPr>
      <w:spacing w:before="100" w:beforeAutospacing="1" w:after="100" w:afterAutospacing="1" w:line="276" w:lineRule="auto"/>
      <w:jc w:val="left"/>
    </w:pPr>
    <w:rPr>
      <w:rFonts w:ascii="Times New Roman" w:eastAsia="Times New Roman" w:hAnsi="Times New Roman" w:cs="Times New Roman"/>
      <w:sz w:val="24"/>
      <w:lang w:val="en-US"/>
    </w:rPr>
  </w:style>
  <w:style w:type="character" w:customStyle="1" w:styleId="ju-005fpara-0020char-0020char-0020char--char">
    <w:name w:val="ju-005fpara-0020char-0020char-0020char--char"/>
    <w:basedOn w:val="Fuentedeprrafopredeter"/>
    <w:uiPriority w:val="99"/>
    <w:rsid w:val="00BD53D7"/>
    <w:rPr>
      <w:rFonts w:cs="Times New Roman"/>
    </w:rPr>
  </w:style>
  <w:style w:type="character" w:styleId="Hipervnculovisitado">
    <w:name w:val="FollowedHyperlink"/>
    <w:basedOn w:val="Fuentedeprrafopredeter"/>
    <w:uiPriority w:val="99"/>
    <w:rsid w:val="00BD53D7"/>
    <w:rPr>
      <w:rFonts w:cs="Times New Roman"/>
      <w:color w:val="800080"/>
      <w:u w:val="single"/>
    </w:rPr>
  </w:style>
  <w:style w:type="paragraph" w:customStyle="1" w:styleId="western">
    <w:name w:val="western"/>
    <w:basedOn w:val="Normal"/>
    <w:uiPriority w:val="99"/>
    <w:rsid w:val="00BD53D7"/>
    <w:pPr>
      <w:spacing w:before="100" w:beforeAutospacing="1" w:after="60" w:line="276" w:lineRule="auto"/>
    </w:pPr>
    <w:rPr>
      <w:rFonts w:ascii="Times New Roman" w:eastAsia="Times New Roman" w:hAnsi="Times New Roman" w:cs="Times New Roman"/>
      <w:color w:val="000000"/>
      <w:sz w:val="28"/>
      <w:szCs w:val="28"/>
      <w:lang w:val="en-US"/>
    </w:rPr>
  </w:style>
  <w:style w:type="paragraph" w:customStyle="1" w:styleId="CM124">
    <w:name w:val="CM124"/>
    <w:basedOn w:val="Default"/>
    <w:next w:val="Default"/>
    <w:uiPriority w:val="99"/>
    <w:rsid w:val="00BD53D7"/>
    <w:pPr>
      <w:widowControl w:val="0"/>
    </w:pPr>
    <w:rPr>
      <w:color w:val="auto"/>
    </w:rPr>
  </w:style>
  <w:style w:type="paragraph" w:customStyle="1" w:styleId="CM125">
    <w:name w:val="CM125"/>
    <w:basedOn w:val="Default"/>
    <w:next w:val="Default"/>
    <w:uiPriority w:val="99"/>
    <w:rsid w:val="00BD53D7"/>
    <w:pPr>
      <w:widowControl w:val="0"/>
    </w:pPr>
    <w:rPr>
      <w:color w:val="auto"/>
    </w:rPr>
  </w:style>
  <w:style w:type="paragraph" w:customStyle="1" w:styleId="CM129">
    <w:name w:val="CM129"/>
    <w:basedOn w:val="Default"/>
    <w:next w:val="Default"/>
    <w:uiPriority w:val="99"/>
    <w:rsid w:val="00BD53D7"/>
    <w:pPr>
      <w:widowControl w:val="0"/>
    </w:pPr>
    <w:rPr>
      <w:color w:val="auto"/>
    </w:rPr>
  </w:style>
  <w:style w:type="character" w:styleId="Refdenotaalfinal">
    <w:name w:val="endnote reference"/>
    <w:basedOn w:val="Fuentedeprrafopredeter"/>
    <w:uiPriority w:val="99"/>
    <w:semiHidden/>
    <w:unhideWhenUsed/>
    <w:rsid w:val="00BD53D7"/>
    <w:rPr>
      <w:vertAlign w:val="superscript"/>
    </w:rPr>
  </w:style>
  <w:style w:type="paragraph" w:styleId="Revisin">
    <w:name w:val="Revision"/>
    <w:hidden/>
    <w:uiPriority w:val="99"/>
    <w:semiHidden/>
    <w:rsid w:val="00BD53D7"/>
    <w:pPr>
      <w:spacing w:before="60" w:after="0" w:line="240" w:lineRule="auto"/>
    </w:pPr>
    <w:rPr>
      <w:rFonts w:ascii="Times New Roman" w:eastAsia="Times New Roman" w:hAnsi="Times New Roman" w:cs="Times New Roman"/>
      <w:sz w:val="24"/>
      <w:szCs w:val="24"/>
      <w:lang w:val="es-ES_tradnl"/>
    </w:rPr>
  </w:style>
  <w:style w:type="character" w:styleId="Textodelmarcadordeposicin">
    <w:name w:val="Placeholder Text"/>
    <w:basedOn w:val="Fuentedeprrafopredeter"/>
    <w:uiPriority w:val="99"/>
    <w:semiHidden/>
    <w:rsid w:val="00BD53D7"/>
    <w:rPr>
      <w:color w:val="808080"/>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BD53D7"/>
    <w:rPr>
      <w:rFonts w:ascii="Univers" w:hAnsi="Univers" w:cs="Times New Roman"/>
      <w:lang w:val="en-US" w:eastAsia="en-US" w:bidi="ar-SA"/>
    </w:rPr>
  </w:style>
  <w:style w:type="character" w:customStyle="1" w:styleId="FootnoteAnchor">
    <w:name w:val="Footnote Anchor"/>
    <w:rsid w:val="00BD53D7"/>
    <w:rPr>
      <w:vertAlign w:val="superscript"/>
    </w:rPr>
  </w:style>
  <w:style w:type="paragraph" w:styleId="TDC3">
    <w:name w:val="toc 3"/>
    <w:basedOn w:val="Normal"/>
    <w:next w:val="Normal"/>
    <w:autoRedefine/>
    <w:uiPriority w:val="39"/>
    <w:unhideWhenUsed/>
    <w:rsid w:val="003A3662"/>
    <w:pPr>
      <w:tabs>
        <w:tab w:val="left" w:pos="4320"/>
        <w:tab w:val="right" w:leader="dot" w:pos="9167"/>
      </w:tabs>
      <w:spacing w:after="40"/>
      <w:ind w:left="403" w:right="237"/>
    </w:pPr>
  </w:style>
  <w:style w:type="paragraph" w:customStyle="1" w:styleId="Prrafodelista2">
    <w:name w:val="Párrafo de lista2"/>
    <w:basedOn w:val="Normal"/>
    <w:uiPriority w:val="99"/>
    <w:rsid w:val="006D122D"/>
    <w:pPr>
      <w:ind w:left="720"/>
      <w:jc w:val="left"/>
    </w:pPr>
    <w:rPr>
      <w:rFonts w:eastAsia="MS Mincho" w:cs="Times New Roman"/>
      <w:szCs w:val="20"/>
      <w:lang w:bidi="en-US"/>
    </w:rPr>
  </w:style>
  <w:style w:type="character" w:customStyle="1" w:styleId="FootnoteTextChar">
    <w:name w:val="Footnote Text Char"/>
    <w:aliases w:val="2. Footnote Text Char,Footnote Tesina Char,FA Fu Char,Footnote Text Char Char Char Char Char Char,Footnote Text Char Char Char Char Char1,Footnote reference Char,Footnote Text Char Char Char Char1,Footnote Text Cha Char,Ca Char,C Char"/>
    <w:basedOn w:val="Fuentedeprrafopredeter"/>
    <w:uiPriority w:val="99"/>
    <w:qFormat/>
    <w:locked/>
    <w:rsid w:val="000C140A"/>
    <w:rPr>
      <w:rFonts w:ascii="Verdana" w:hAnsi="Verdana"/>
    </w:rPr>
  </w:style>
  <w:style w:type="paragraph" w:styleId="TDC4">
    <w:name w:val="toc 4"/>
    <w:basedOn w:val="Normal"/>
    <w:next w:val="Normal"/>
    <w:autoRedefine/>
    <w:uiPriority w:val="39"/>
    <w:unhideWhenUsed/>
    <w:rsid w:val="00CD3695"/>
    <w:pPr>
      <w:spacing w:after="100"/>
      <w:ind w:left="600"/>
    </w:pPr>
  </w:style>
  <w:style w:type="paragraph" w:customStyle="1" w:styleId="Estilo4">
    <w:name w:val="Estilo4"/>
    <w:basedOn w:val="Normal"/>
    <w:link w:val="Estilo4Car"/>
    <w:qFormat/>
    <w:rsid w:val="00817F42"/>
    <w:pPr>
      <w:numPr>
        <w:numId w:val="6"/>
      </w:numPr>
      <w:spacing w:after="160" w:line="259" w:lineRule="auto"/>
      <w:ind w:left="0" w:firstLine="0"/>
      <w:jc w:val="left"/>
    </w:pPr>
    <w:rPr>
      <w:rFonts w:ascii="Times New Roman" w:eastAsiaTheme="minorHAnsi" w:hAnsi="Times New Roman" w:cs="Times New Roman"/>
      <w:sz w:val="24"/>
      <w:lang w:val="es-UY"/>
    </w:rPr>
  </w:style>
  <w:style w:type="character" w:customStyle="1" w:styleId="Estilo4Car">
    <w:name w:val="Estilo4 Car"/>
    <w:basedOn w:val="Fuentedeprrafopredeter"/>
    <w:link w:val="Estilo4"/>
    <w:rsid w:val="00817F42"/>
    <w:rPr>
      <w:rFonts w:ascii="Times New Roman" w:hAnsi="Times New Roman" w:cs="Times New Roman"/>
      <w:sz w:val="24"/>
      <w:szCs w:val="24"/>
      <w:lang w:val="es-UY"/>
    </w:rPr>
  </w:style>
  <w:style w:type="paragraph" w:customStyle="1" w:styleId="style11">
    <w:name w:val="style11"/>
    <w:basedOn w:val="Normal"/>
    <w:rsid w:val="00817F42"/>
    <w:pPr>
      <w:spacing w:before="192" w:after="192"/>
      <w:ind w:left="120" w:right="144"/>
    </w:pPr>
    <w:rPr>
      <w:rFonts w:ascii="Times New Roman" w:eastAsia="Times New Roman" w:hAnsi="Times New Roman" w:cs="Times New Roman"/>
      <w:sz w:val="24"/>
      <w:lang w:val="es-CR" w:eastAsia="es-CR"/>
    </w:rPr>
  </w:style>
  <w:style w:type="character" w:styleId="Ttulodellibro">
    <w:name w:val="Book Title"/>
    <w:basedOn w:val="Fuentedeprrafopredeter"/>
    <w:uiPriority w:val="33"/>
    <w:qFormat/>
    <w:rsid w:val="00817F42"/>
    <w:rPr>
      <w:b/>
      <w:bCs/>
      <w:smallCaps/>
      <w:spacing w:val="5"/>
    </w:rPr>
  </w:style>
  <w:style w:type="character" w:customStyle="1" w:styleId="Mencinsinresolver1">
    <w:name w:val="Mención sin resolver1"/>
    <w:basedOn w:val="Fuentedeprrafopredeter"/>
    <w:uiPriority w:val="99"/>
    <w:semiHidden/>
    <w:unhideWhenUsed/>
    <w:rsid w:val="00817F42"/>
    <w:rPr>
      <w:color w:val="808080"/>
      <w:shd w:val="clear" w:color="auto" w:fill="E6E6E6"/>
    </w:rPr>
  </w:style>
  <w:style w:type="paragraph" w:customStyle="1" w:styleId="Normal1">
    <w:name w:val="Normal1"/>
    <w:rsid w:val="00B367D1"/>
    <w:pPr>
      <w:pBdr>
        <w:top w:val="nil"/>
        <w:left w:val="nil"/>
        <w:bottom w:val="nil"/>
        <w:right w:val="nil"/>
        <w:between w:val="nil"/>
      </w:pBdr>
      <w:spacing w:after="0" w:line="240" w:lineRule="auto"/>
    </w:pPr>
    <w:rPr>
      <w:rFonts w:ascii="Cambria" w:eastAsia="Cambria" w:hAnsi="Cambria" w:cs="Cambria"/>
      <w:color w:val="000000"/>
      <w:sz w:val="24"/>
      <w:szCs w:val="24"/>
      <w:lang w:val="en-AU"/>
    </w:rPr>
  </w:style>
  <w:style w:type="character" w:customStyle="1" w:styleId="Estilo1Char">
    <w:name w:val="Estilo1 Char"/>
    <w:rsid w:val="000A708F"/>
    <w:rPr>
      <w:rFonts w:ascii="Verdana" w:eastAsia="Calibri" w:hAnsi="Verdana" w:cs="Times New Roman"/>
      <w:sz w:val="20"/>
      <w:szCs w:val="20"/>
      <w:lang w:val="es-ES"/>
    </w:rPr>
  </w:style>
  <w:style w:type="paragraph" w:customStyle="1" w:styleId="Estilo2">
    <w:name w:val="Estilo2"/>
    <w:basedOn w:val="Normal"/>
    <w:qFormat/>
    <w:rsid w:val="000A708F"/>
    <w:pPr>
      <w:tabs>
        <w:tab w:val="left" w:pos="567"/>
        <w:tab w:val="left" w:pos="1134"/>
        <w:tab w:val="num" w:pos="4767"/>
      </w:tabs>
      <w:spacing w:after="120"/>
      <w:ind w:left="4767" w:hanging="360"/>
    </w:pPr>
    <w:rPr>
      <w:rFonts w:eastAsia="Calibri" w:cs="Times New Roman"/>
      <w:szCs w:val="20"/>
      <w:lang w:val="es-ES"/>
    </w:rPr>
  </w:style>
  <w:style w:type="paragraph" w:styleId="Mapadeldocumento">
    <w:name w:val="Document Map"/>
    <w:basedOn w:val="Normal"/>
    <w:link w:val="MapadeldocumentoCar"/>
    <w:uiPriority w:val="99"/>
    <w:semiHidden/>
    <w:unhideWhenUsed/>
    <w:rsid w:val="009236AF"/>
    <w:rPr>
      <w:rFonts w:ascii="Lucida Grande" w:hAnsi="Lucida Grande" w:cs="Lucida Grande"/>
      <w:sz w:val="24"/>
    </w:rPr>
  </w:style>
  <w:style w:type="character" w:customStyle="1" w:styleId="MapadeldocumentoCar">
    <w:name w:val="Mapa del documento Car"/>
    <w:basedOn w:val="Fuentedeprrafopredeter"/>
    <w:link w:val="Mapadeldocumento"/>
    <w:uiPriority w:val="99"/>
    <w:semiHidden/>
    <w:rsid w:val="009236AF"/>
    <w:rPr>
      <w:rFonts w:ascii="Lucida Grande" w:eastAsia="Batang" w:hAnsi="Lucida Grande" w:cs="Lucida Grande"/>
      <w:sz w:val="24"/>
      <w:szCs w:val="24"/>
      <w:lang w:val="es-ES_tradnl"/>
    </w:rPr>
  </w:style>
  <w:style w:type="character" w:customStyle="1" w:styleId="ListParagraphChar1">
    <w:name w:val="List Paragraph Char1"/>
    <w:aliases w:val="Footnote Char1,List Paragraph2 Char1,Lista vistosa - Énfasis 11 Char1"/>
    <w:basedOn w:val="Fuentedeprrafopredeter"/>
    <w:uiPriority w:val="34"/>
    <w:rsid w:val="006E0A46"/>
  </w:style>
  <w:style w:type="paragraph" w:customStyle="1" w:styleId="Numberedparagraphs">
    <w:name w:val="Numbered paragraphs"/>
    <w:basedOn w:val="Normal"/>
    <w:link w:val="NumberedparagraphsCar"/>
    <w:qFormat/>
    <w:rsid w:val="002B4D5A"/>
    <w:pPr>
      <w:numPr>
        <w:numId w:val="9"/>
      </w:numPr>
    </w:pPr>
    <w:rPr>
      <w:rFonts w:eastAsia="MS Mincho" w:cs="Times New Roman"/>
      <w:color w:val="000000"/>
      <w:szCs w:val="20"/>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B53987"/>
    <w:pPr>
      <w:spacing w:after="160" w:line="240" w:lineRule="exact"/>
      <w:jc w:val="left"/>
    </w:pPr>
    <w:rPr>
      <w:rFonts w:asciiTheme="minorHAnsi" w:eastAsiaTheme="minorHAnsi" w:hAnsiTheme="minorHAnsi" w:cstheme="minorBidi"/>
      <w:sz w:val="22"/>
      <w:szCs w:val="22"/>
      <w:vertAlign w:val="superscript"/>
      <w:lang w:val="es-GT"/>
    </w:rPr>
  </w:style>
  <w:style w:type="character" w:customStyle="1" w:styleId="NumberedparagraphsCar">
    <w:name w:val="Numbered paragraphs Car"/>
    <w:basedOn w:val="Fuentedeprrafopredeter"/>
    <w:link w:val="Numberedparagraphs"/>
    <w:rsid w:val="00142E76"/>
    <w:rPr>
      <w:rFonts w:ascii="Verdana" w:eastAsia="MS Mincho" w:hAnsi="Verdana" w:cs="Times New Roman"/>
      <w:color w:val="000000"/>
      <w:sz w:val="20"/>
      <w:szCs w:val="20"/>
      <w:lang w:val="es-ES_tradnl"/>
    </w:rPr>
  </w:style>
  <w:style w:type="character" w:customStyle="1" w:styleId="PrrafodelistaCar1">
    <w:name w:val="Párrafo de lista Car1"/>
    <w:aliases w:val="List Paragraph1 Car1,Colorful List - Accent 11 Car1,Párrafo de lista1 Car1,List Paragraph2 Car1,Lista vistosa - Énfasis 11 Car1,Subtle Emphasis1 Car1,Footnote1 Car1,List Paragraph11 Car"/>
    <w:basedOn w:val="Fuentedeprrafopredeter"/>
    <w:uiPriority w:val="34"/>
    <w:locked/>
    <w:rsid w:val="00B00F49"/>
    <w:rPr>
      <w:rFonts w:ascii="Verdana" w:eastAsia="MS Mincho" w:hAnsi="Verdana" w:cs="Times New Roman"/>
      <w:sz w:val="20"/>
      <w:szCs w:val="24"/>
    </w:rPr>
  </w:style>
  <w:style w:type="character" w:customStyle="1" w:styleId="sb8d990e2">
    <w:name w:val="sb8d990e2"/>
    <w:basedOn w:val="Fuentedeprrafopredeter"/>
    <w:rsid w:val="00CF4B78"/>
  </w:style>
  <w:style w:type="paragraph" w:customStyle="1" w:styleId="Textonotapie1">
    <w:name w:val="Texto nota pie1"/>
    <w:basedOn w:val="Normal"/>
    <w:qFormat/>
    <w:rsid w:val="00D82351"/>
    <w:pPr>
      <w:jc w:val="left"/>
    </w:pPr>
    <w:rPr>
      <w:rFonts w:ascii="Times New Roman" w:eastAsia="Times New Roman" w:hAnsi="Times New Roman" w:cs="Times New Roman"/>
      <w:szCs w:val="20"/>
      <w:lang w:val="en-US" w:eastAsia="es-ES"/>
    </w:rPr>
  </w:style>
  <w:style w:type="character" w:customStyle="1" w:styleId="markedcontent">
    <w:name w:val="markedcontent"/>
    <w:basedOn w:val="Fuentedeprrafopredeter"/>
    <w:rsid w:val="0017498F"/>
  </w:style>
  <w:style w:type="character" w:customStyle="1" w:styleId="highlight">
    <w:name w:val="highlight"/>
    <w:basedOn w:val="Fuentedeprrafopredeter"/>
    <w:rsid w:val="002258F5"/>
  </w:style>
  <w:style w:type="character" w:customStyle="1" w:styleId="DefaultChar">
    <w:name w:val="Default Char"/>
    <w:link w:val="Default"/>
    <w:rsid w:val="009A44A0"/>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2606">
      <w:bodyDiv w:val="1"/>
      <w:marLeft w:val="0"/>
      <w:marRight w:val="0"/>
      <w:marTop w:val="0"/>
      <w:marBottom w:val="0"/>
      <w:divBdr>
        <w:top w:val="none" w:sz="0" w:space="0" w:color="auto"/>
        <w:left w:val="none" w:sz="0" w:space="0" w:color="auto"/>
        <w:bottom w:val="none" w:sz="0" w:space="0" w:color="auto"/>
        <w:right w:val="none" w:sz="0" w:space="0" w:color="auto"/>
      </w:divBdr>
      <w:divsChild>
        <w:div w:id="1930842922">
          <w:marLeft w:val="0"/>
          <w:marRight w:val="0"/>
          <w:marTop w:val="0"/>
          <w:marBottom w:val="0"/>
          <w:divBdr>
            <w:top w:val="none" w:sz="0" w:space="0" w:color="auto"/>
            <w:left w:val="none" w:sz="0" w:space="0" w:color="auto"/>
            <w:bottom w:val="none" w:sz="0" w:space="0" w:color="auto"/>
            <w:right w:val="none" w:sz="0" w:space="0" w:color="auto"/>
          </w:divBdr>
          <w:divsChild>
            <w:div w:id="2102874341">
              <w:marLeft w:val="0"/>
              <w:marRight w:val="0"/>
              <w:marTop w:val="0"/>
              <w:marBottom w:val="0"/>
              <w:divBdr>
                <w:top w:val="none" w:sz="0" w:space="0" w:color="auto"/>
                <w:left w:val="none" w:sz="0" w:space="0" w:color="auto"/>
                <w:bottom w:val="none" w:sz="0" w:space="0" w:color="auto"/>
                <w:right w:val="none" w:sz="0" w:space="0" w:color="auto"/>
              </w:divBdr>
              <w:divsChild>
                <w:div w:id="1341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8176">
      <w:bodyDiv w:val="1"/>
      <w:marLeft w:val="0"/>
      <w:marRight w:val="0"/>
      <w:marTop w:val="0"/>
      <w:marBottom w:val="0"/>
      <w:divBdr>
        <w:top w:val="none" w:sz="0" w:space="0" w:color="auto"/>
        <w:left w:val="none" w:sz="0" w:space="0" w:color="auto"/>
        <w:bottom w:val="none" w:sz="0" w:space="0" w:color="auto"/>
        <w:right w:val="none" w:sz="0" w:space="0" w:color="auto"/>
      </w:divBdr>
    </w:div>
    <w:div w:id="41373278">
      <w:bodyDiv w:val="1"/>
      <w:marLeft w:val="0"/>
      <w:marRight w:val="0"/>
      <w:marTop w:val="0"/>
      <w:marBottom w:val="0"/>
      <w:divBdr>
        <w:top w:val="none" w:sz="0" w:space="0" w:color="auto"/>
        <w:left w:val="none" w:sz="0" w:space="0" w:color="auto"/>
        <w:bottom w:val="none" w:sz="0" w:space="0" w:color="auto"/>
        <w:right w:val="none" w:sz="0" w:space="0" w:color="auto"/>
      </w:divBdr>
    </w:div>
    <w:div w:id="69623545">
      <w:bodyDiv w:val="1"/>
      <w:marLeft w:val="0"/>
      <w:marRight w:val="0"/>
      <w:marTop w:val="0"/>
      <w:marBottom w:val="0"/>
      <w:divBdr>
        <w:top w:val="none" w:sz="0" w:space="0" w:color="auto"/>
        <w:left w:val="none" w:sz="0" w:space="0" w:color="auto"/>
        <w:bottom w:val="none" w:sz="0" w:space="0" w:color="auto"/>
        <w:right w:val="none" w:sz="0" w:space="0" w:color="auto"/>
      </w:divBdr>
    </w:div>
    <w:div w:id="76681056">
      <w:bodyDiv w:val="1"/>
      <w:marLeft w:val="0"/>
      <w:marRight w:val="0"/>
      <w:marTop w:val="0"/>
      <w:marBottom w:val="0"/>
      <w:divBdr>
        <w:top w:val="none" w:sz="0" w:space="0" w:color="auto"/>
        <w:left w:val="none" w:sz="0" w:space="0" w:color="auto"/>
        <w:bottom w:val="none" w:sz="0" w:space="0" w:color="auto"/>
        <w:right w:val="none" w:sz="0" w:space="0" w:color="auto"/>
      </w:divBdr>
    </w:div>
    <w:div w:id="104228844">
      <w:bodyDiv w:val="1"/>
      <w:marLeft w:val="0"/>
      <w:marRight w:val="0"/>
      <w:marTop w:val="0"/>
      <w:marBottom w:val="0"/>
      <w:divBdr>
        <w:top w:val="none" w:sz="0" w:space="0" w:color="auto"/>
        <w:left w:val="none" w:sz="0" w:space="0" w:color="auto"/>
        <w:bottom w:val="none" w:sz="0" w:space="0" w:color="auto"/>
        <w:right w:val="none" w:sz="0" w:space="0" w:color="auto"/>
      </w:divBdr>
    </w:div>
    <w:div w:id="115417736">
      <w:bodyDiv w:val="1"/>
      <w:marLeft w:val="0"/>
      <w:marRight w:val="0"/>
      <w:marTop w:val="0"/>
      <w:marBottom w:val="0"/>
      <w:divBdr>
        <w:top w:val="none" w:sz="0" w:space="0" w:color="auto"/>
        <w:left w:val="none" w:sz="0" w:space="0" w:color="auto"/>
        <w:bottom w:val="none" w:sz="0" w:space="0" w:color="auto"/>
        <w:right w:val="none" w:sz="0" w:space="0" w:color="auto"/>
      </w:divBdr>
      <w:divsChild>
        <w:div w:id="2082868438">
          <w:marLeft w:val="0"/>
          <w:marRight w:val="0"/>
          <w:marTop w:val="0"/>
          <w:marBottom w:val="0"/>
          <w:divBdr>
            <w:top w:val="none" w:sz="0" w:space="0" w:color="auto"/>
            <w:left w:val="none" w:sz="0" w:space="0" w:color="auto"/>
            <w:bottom w:val="none" w:sz="0" w:space="0" w:color="auto"/>
            <w:right w:val="none" w:sz="0" w:space="0" w:color="auto"/>
          </w:divBdr>
          <w:divsChild>
            <w:div w:id="1233858760">
              <w:marLeft w:val="0"/>
              <w:marRight w:val="0"/>
              <w:marTop w:val="0"/>
              <w:marBottom w:val="0"/>
              <w:divBdr>
                <w:top w:val="none" w:sz="0" w:space="0" w:color="auto"/>
                <w:left w:val="none" w:sz="0" w:space="0" w:color="auto"/>
                <w:bottom w:val="none" w:sz="0" w:space="0" w:color="auto"/>
                <w:right w:val="none" w:sz="0" w:space="0" w:color="auto"/>
              </w:divBdr>
              <w:divsChild>
                <w:div w:id="9987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2604">
      <w:bodyDiv w:val="1"/>
      <w:marLeft w:val="0"/>
      <w:marRight w:val="0"/>
      <w:marTop w:val="0"/>
      <w:marBottom w:val="0"/>
      <w:divBdr>
        <w:top w:val="none" w:sz="0" w:space="0" w:color="auto"/>
        <w:left w:val="none" w:sz="0" w:space="0" w:color="auto"/>
        <w:bottom w:val="none" w:sz="0" w:space="0" w:color="auto"/>
        <w:right w:val="none" w:sz="0" w:space="0" w:color="auto"/>
      </w:divBdr>
      <w:divsChild>
        <w:div w:id="340669177">
          <w:marLeft w:val="0"/>
          <w:marRight w:val="0"/>
          <w:marTop w:val="0"/>
          <w:marBottom w:val="0"/>
          <w:divBdr>
            <w:top w:val="none" w:sz="0" w:space="0" w:color="auto"/>
            <w:left w:val="none" w:sz="0" w:space="0" w:color="auto"/>
            <w:bottom w:val="none" w:sz="0" w:space="0" w:color="auto"/>
            <w:right w:val="none" w:sz="0" w:space="0" w:color="auto"/>
          </w:divBdr>
          <w:divsChild>
            <w:div w:id="101652198">
              <w:marLeft w:val="0"/>
              <w:marRight w:val="0"/>
              <w:marTop w:val="0"/>
              <w:marBottom w:val="0"/>
              <w:divBdr>
                <w:top w:val="none" w:sz="0" w:space="0" w:color="auto"/>
                <w:left w:val="none" w:sz="0" w:space="0" w:color="auto"/>
                <w:bottom w:val="none" w:sz="0" w:space="0" w:color="auto"/>
                <w:right w:val="none" w:sz="0" w:space="0" w:color="auto"/>
              </w:divBdr>
              <w:divsChild>
                <w:div w:id="2125952168">
                  <w:marLeft w:val="0"/>
                  <w:marRight w:val="0"/>
                  <w:marTop w:val="0"/>
                  <w:marBottom w:val="0"/>
                  <w:divBdr>
                    <w:top w:val="none" w:sz="0" w:space="0" w:color="auto"/>
                    <w:left w:val="none" w:sz="0" w:space="0" w:color="auto"/>
                    <w:bottom w:val="none" w:sz="0" w:space="0" w:color="auto"/>
                    <w:right w:val="none" w:sz="0" w:space="0" w:color="auto"/>
                  </w:divBdr>
                  <w:divsChild>
                    <w:div w:id="2247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63076">
      <w:bodyDiv w:val="1"/>
      <w:marLeft w:val="0"/>
      <w:marRight w:val="0"/>
      <w:marTop w:val="0"/>
      <w:marBottom w:val="0"/>
      <w:divBdr>
        <w:top w:val="none" w:sz="0" w:space="0" w:color="auto"/>
        <w:left w:val="none" w:sz="0" w:space="0" w:color="auto"/>
        <w:bottom w:val="none" w:sz="0" w:space="0" w:color="auto"/>
        <w:right w:val="none" w:sz="0" w:space="0" w:color="auto"/>
      </w:divBdr>
    </w:div>
    <w:div w:id="125200965">
      <w:bodyDiv w:val="1"/>
      <w:marLeft w:val="0"/>
      <w:marRight w:val="0"/>
      <w:marTop w:val="0"/>
      <w:marBottom w:val="0"/>
      <w:divBdr>
        <w:top w:val="none" w:sz="0" w:space="0" w:color="auto"/>
        <w:left w:val="none" w:sz="0" w:space="0" w:color="auto"/>
        <w:bottom w:val="none" w:sz="0" w:space="0" w:color="auto"/>
        <w:right w:val="none" w:sz="0" w:space="0" w:color="auto"/>
      </w:divBdr>
    </w:div>
    <w:div w:id="139659215">
      <w:bodyDiv w:val="1"/>
      <w:marLeft w:val="0"/>
      <w:marRight w:val="0"/>
      <w:marTop w:val="0"/>
      <w:marBottom w:val="0"/>
      <w:divBdr>
        <w:top w:val="none" w:sz="0" w:space="0" w:color="auto"/>
        <w:left w:val="none" w:sz="0" w:space="0" w:color="auto"/>
        <w:bottom w:val="none" w:sz="0" w:space="0" w:color="auto"/>
        <w:right w:val="none" w:sz="0" w:space="0" w:color="auto"/>
      </w:divBdr>
    </w:div>
    <w:div w:id="148332107">
      <w:bodyDiv w:val="1"/>
      <w:marLeft w:val="0"/>
      <w:marRight w:val="0"/>
      <w:marTop w:val="0"/>
      <w:marBottom w:val="0"/>
      <w:divBdr>
        <w:top w:val="none" w:sz="0" w:space="0" w:color="auto"/>
        <w:left w:val="none" w:sz="0" w:space="0" w:color="auto"/>
        <w:bottom w:val="none" w:sz="0" w:space="0" w:color="auto"/>
        <w:right w:val="none" w:sz="0" w:space="0" w:color="auto"/>
      </w:divBdr>
    </w:div>
    <w:div w:id="218707413">
      <w:bodyDiv w:val="1"/>
      <w:marLeft w:val="0"/>
      <w:marRight w:val="0"/>
      <w:marTop w:val="0"/>
      <w:marBottom w:val="0"/>
      <w:divBdr>
        <w:top w:val="none" w:sz="0" w:space="0" w:color="auto"/>
        <w:left w:val="none" w:sz="0" w:space="0" w:color="auto"/>
        <w:bottom w:val="none" w:sz="0" w:space="0" w:color="auto"/>
        <w:right w:val="none" w:sz="0" w:space="0" w:color="auto"/>
      </w:divBdr>
    </w:div>
    <w:div w:id="227963299">
      <w:bodyDiv w:val="1"/>
      <w:marLeft w:val="0"/>
      <w:marRight w:val="0"/>
      <w:marTop w:val="0"/>
      <w:marBottom w:val="0"/>
      <w:divBdr>
        <w:top w:val="none" w:sz="0" w:space="0" w:color="auto"/>
        <w:left w:val="none" w:sz="0" w:space="0" w:color="auto"/>
        <w:bottom w:val="none" w:sz="0" w:space="0" w:color="auto"/>
        <w:right w:val="none" w:sz="0" w:space="0" w:color="auto"/>
      </w:divBdr>
      <w:divsChild>
        <w:div w:id="171533503">
          <w:marLeft w:val="0"/>
          <w:marRight w:val="0"/>
          <w:marTop w:val="0"/>
          <w:marBottom w:val="0"/>
          <w:divBdr>
            <w:top w:val="none" w:sz="0" w:space="0" w:color="auto"/>
            <w:left w:val="none" w:sz="0" w:space="0" w:color="auto"/>
            <w:bottom w:val="none" w:sz="0" w:space="0" w:color="auto"/>
            <w:right w:val="none" w:sz="0" w:space="0" w:color="auto"/>
          </w:divBdr>
          <w:divsChild>
            <w:div w:id="1685397209">
              <w:marLeft w:val="0"/>
              <w:marRight w:val="0"/>
              <w:marTop w:val="0"/>
              <w:marBottom w:val="0"/>
              <w:divBdr>
                <w:top w:val="none" w:sz="0" w:space="0" w:color="auto"/>
                <w:left w:val="none" w:sz="0" w:space="0" w:color="auto"/>
                <w:bottom w:val="none" w:sz="0" w:space="0" w:color="auto"/>
                <w:right w:val="none" w:sz="0" w:space="0" w:color="auto"/>
              </w:divBdr>
              <w:divsChild>
                <w:div w:id="1865435624">
                  <w:marLeft w:val="0"/>
                  <w:marRight w:val="0"/>
                  <w:marTop w:val="0"/>
                  <w:marBottom w:val="0"/>
                  <w:divBdr>
                    <w:top w:val="none" w:sz="0" w:space="0" w:color="auto"/>
                    <w:left w:val="none" w:sz="0" w:space="0" w:color="auto"/>
                    <w:bottom w:val="none" w:sz="0" w:space="0" w:color="auto"/>
                    <w:right w:val="none" w:sz="0" w:space="0" w:color="auto"/>
                  </w:divBdr>
                  <w:divsChild>
                    <w:div w:id="12988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31907">
      <w:bodyDiv w:val="1"/>
      <w:marLeft w:val="0"/>
      <w:marRight w:val="0"/>
      <w:marTop w:val="0"/>
      <w:marBottom w:val="0"/>
      <w:divBdr>
        <w:top w:val="none" w:sz="0" w:space="0" w:color="auto"/>
        <w:left w:val="none" w:sz="0" w:space="0" w:color="auto"/>
        <w:bottom w:val="none" w:sz="0" w:space="0" w:color="auto"/>
        <w:right w:val="none" w:sz="0" w:space="0" w:color="auto"/>
      </w:divBdr>
      <w:divsChild>
        <w:div w:id="687565345">
          <w:marLeft w:val="0"/>
          <w:marRight w:val="0"/>
          <w:marTop w:val="0"/>
          <w:marBottom w:val="0"/>
          <w:divBdr>
            <w:top w:val="none" w:sz="0" w:space="0" w:color="auto"/>
            <w:left w:val="none" w:sz="0" w:space="0" w:color="auto"/>
            <w:bottom w:val="none" w:sz="0" w:space="0" w:color="auto"/>
            <w:right w:val="none" w:sz="0" w:space="0" w:color="auto"/>
          </w:divBdr>
          <w:divsChild>
            <w:div w:id="1492451716">
              <w:marLeft w:val="0"/>
              <w:marRight w:val="0"/>
              <w:marTop w:val="0"/>
              <w:marBottom w:val="0"/>
              <w:divBdr>
                <w:top w:val="none" w:sz="0" w:space="0" w:color="auto"/>
                <w:left w:val="none" w:sz="0" w:space="0" w:color="auto"/>
                <w:bottom w:val="none" w:sz="0" w:space="0" w:color="auto"/>
                <w:right w:val="none" w:sz="0" w:space="0" w:color="auto"/>
              </w:divBdr>
              <w:divsChild>
                <w:div w:id="285812894">
                  <w:marLeft w:val="0"/>
                  <w:marRight w:val="0"/>
                  <w:marTop w:val="0"/>
                  <w:marBottom w:val="0"/>
                  <w:divBdr>
                    <w:top w:val="none" w:sz="0" w:space="0" w:color="auto"/>
                    <w:left w:val="none" w:sz="0" w:space="0" w:color="auto"/>
                    <w:bottom w:val="none" w:sz="0" w:space="0" w:color="auto"/>
                    <w:right w:val="none" w:sz="0" w:space="0" w:color="auto"/>
                  </w:divBdr>
                  <w:divsChild>
                    <w:div w:id="2024284623">
                      <w:marLeft w:val="0"/>
                      <w:marRight w:val="0"/>
                      <w:marTop w:val="0"/>
                      <w:marBottom w:val="0"/>
                      <w:divBdr>
                        <w:top w:val="none" w:sz="0" w:space="0" w:color="auto"/>
                        <w:left w:val="none" w:sz="0" w:space="0" w:color="auto"/>
                        <w:bottom w:val="none" w:sz="0" w:space="0" w:color="auto"/>
                        <w:right w:val="none" w:sz="0" w:space="0" w:color="auto"/>
                      </w:divBdr>
                      <w:divsChild>
                        <w:div w:id="1949972474">
                          <w:marLeft w:val="0"/>
                          <w:marRight w:val="0"/>
                          <w:marTop w:val="0"/>
                          <w:marBottom w:val="0"/>
                          <w:divBdr>
                            <w:top w:val="none" w:sz="0" w:space="0" w:color="auto"/>
                            <w:left w:val="none" w:sz="0" w:space="0" w:color="auto"/>
                            <w:bottom w:val="none" w:sz="0" w:space="0" w:color="auto"/>
                            <w:right w:val="none" w:sz="0" w:space="0" w:color="auto"/>
                          </w:divBdr>
                          <w:divsChild>
                            <w:div w:id="1221866149">
                              <w:marLeft w:val="0"/>
                              <w:marRight w:val="0"/>
                              <w:marTop w:val="0"/>
                              <w:marBottom w:val="0"/>
                              <w:divBdr>
                                <w:top w:val="none" w:sz="0" w:space="0" w:color="auto"/>
                                <w:left w:val="none" w:sz="0" w:space="0" w:color="auto"/>
                                <w:bottom w:val="none" w:sz="0" w:space="0" w:color="auto"/>
                                <w:right w:val="none" w:sz="0" w:space="0" w:color="auto"/>
                              </w:divBdr>
                              <w:divsChild>
                                <w:div w:id="1426804143">
                                  <w:marLeft w:val="0"/>
                                  <w:marRight w:val="0"/>
                                  <w:marTop w:val="0"/>
                                  <w:marBottom w:val="0"/>
                                  <w:divBdr>
                                    <w:top w:val="none" w:sz="0" w:space="0" w:color="auto"/>
                                    <w:left w:val="none" w:sz="0" w:space="0" w:color="auto"/>
                                    <w:bottom w:val="none" w:sz="0" w:space="0" w:color="auto"/>
                                    <w:right w:val="none" w:sz="0" w:space="0" w:color="auto"/>
                                  </w:divBdr>
                                  <w:divsChild>
                                    <w:div w:id="1788819138">
                                      <w:marLeft w:val="0"/>
                                      <w:marRight w:val="0"/>
                                      <w:marTop w:val="0"/>
                                      <w:marBottom w:val="0"/>
                                      <w:divBdr>
                                        <w:top w:val="none" w:sz="0" w:space="0" w:color="auto"/>
                                        <w:left w:val="none" w:sz="0" w:space="0" w:color="auto"/>
                                        <w:bottom w:val="none" w:sz="0" w:space="0" w:color="auto"/>
                                        <w:right w:val="none" w:sz="0" w:space="0" w:color="auto"/>
                                      </w:divBdr>
                                      <w:divsChild>
                                        <w:div w:id="1745370125">
                                          <w:marLeft w:val="0"/>
                                          <w:marRight w:val="0"/>
                                          <w:marTop w:val="0"/>
                                          <w:marBottom w:val="0"/>
                                          <w:divBdr>
                                            <w:top w:val="none" w:sz="0" w:space="0" w:color="auto"/>
                                            <w:left w:val="none" w:sz="0" w:space="0" w:color="auto"/>
                                            <w:bottom w:val="none" w:sz="0" w:space="0" w:color="auto"/>
                                            <w:right w:val="none" w:sz="0" w:space="0" w:color="auto"/>
                                          </w:divBdr>
                                          <w:divsChild>
                                            <w:div w:id="339090877">
                                              <w:marLeft w:val="0"/>
                                              <w:marRight w:val="0"/>
                                              <w:marTop w:val="0"/>
                                              <w:marBottom w:val="0"/>
                                              <w:divBdr>
                                                <w:top w:val="none" w:sz="0" w:space="0" w:color="auto"/>
                                                <w:left w:val="none" w:sz="0" w:space="0" w:color="auto"/>
                                                <w:bottom w:val="none" w:sz="0" w:space="0" w:color="auto"/>
                                                <w:right w:val="none" w:sz="0" w:space="0" w:color="auto"/>
                                              </w:divBdr>
                                              <w:divsChild>
                                                <w:div w:id="1770347350">
                                                  <w:marLeft w:val="0"/>
                                                  <w:marRight w:val="0"/>
                                                  <w:marTop w:val="0"/>
                                                  <w:marBottom w:val="0"/>
                                                  <w:divBdr>
                                                    <w:top w:val="none" w:sz="0" w:space="0" w:color="auto"/>
                                                    <w:left w:val="none" w:sz="0" w:space="0" w:color="auto"/>
                                                    <w:bottom w:val="none" w:sz="0" w:space="0" w:color="auto"/>
                                                    <w:right w:val="none" w:sz="0" w:space="0" w:color="auto"/>
                                                  </w:divBdr>
                                                  <w:divsChild>
                                                    <w:div w:id="799420255">
                                                      <w:marLeft w:val="0"/>
                                                      <w:marRight w:val="0"/>
                                                      <w:marTop w:val="0"/>
                                                      <w:marBottom w:val="0"/>
                                                      <w:divBdr>
                                                        <w:top w:val="none" w:sz="0" w:space="0" w:color="auto"/>
                                                        <w:left w:val="none" w:sz="0" w:space="0" w:color="auto"/>
                                                        <w:bottom w:val="none" w:sz="0" w:space="0" w:color="auto"/>
                                                        <w:right w:val="none" w:sz="0" w:space="0" w:color="auto"/>
                                                      </w:divBdr>
                                                      <w:divsChild>
                                                        <w:div w:id="2034719535">
                                                          <w:marLeft w:val="0"/>
                                                          <w:marRight w:val="0"/>
                                                          <w:marTop w:val="0"/>
                                                          <w:marBottom w:val="0"/>
                                                          <w:divBdr>
                                                            <w:top w:val="none" w:sz="0" w:space="0" w:color="auto"/>
                                                            <w:left w:val="none" w:sz="0" w:space="0" w:color="auto"/>
                                                            <w:bottom w:val="none" w:sz="0" w:space="0" w:color="auto"/>
                                                            <w:right w:val="none" w:sz="0" w:space="0" w:color="auto"/>
                                                          </w:divBdr>
                                                          <w:divsChild>
                                                            <w:div w:id="760219051">
                                                              <w:marLeft w:val="0"/>
                                                              <w:marRight w:val="0"/>
                                                              <w:marTop w:val="0"/>
                                                              <w:marBottom w:val="0"/>
                                                              <w:divBdr>
                                                                <w:top w:val="none" w:sz="0" w:space="0" w:color="auto"/>
                                                                <w:left w:val="none" w:sz="0" w:space="0" w:color="auto"/>
                                                                <w:bottom w:val="none" w:sz="0" w:space="0" w:color="auto"/>
                                                                <w:right w:val="none" w:sz="0" w:space="0" w:color="auto"/>
                                                              </w:divBdr>
                                                              <w:divsChild>
                                                                <w:div w:id="594441525">
                                                                  <w:marLeft w:val="0"/>
                                                                  <w:marRight w:val="0"/>
                                                                  <w:marTop w:val="0"/>
                                                                  <w:marBottom w:val="0"/>
                                                                  <w:divBdr>
                                                                    <w:top w:val="none" w:sz="0" w:space="0" w:color="auto"/>
                                                                    <w:left w:val="none" w:sz="0" w:space="0" w:color="auto"/>
                                                                    <w:bottom w:val="none" w:sz="0" w:space="0" w:color="auto"/>
                                                                    <w:right w:val="none" w:sz="0" w:space="0" w:color="auto"/>
                                                                  </w:divBdr>
                                                                  <w:divsChild>
                                                                    <w:div w:id="944338977">
                                                                      <w:marLeft w:val="0"/>
                                                                      <w:marRight w:val="0"/>
                                                                      <w:marTop w:val="0"/>
                                                                      <w:marBottom w:val="0"/>
                                                                      <w:divBdr>
                                                                        <w:top w:val="none" w:sz="0" w:space="0" w:color="auto"/>
                                                                        <w:left w:val="none" w:sz="0" w:space="0" w:color="auto"/>
                                                                        <w:bottom w:val="none" w:sz="0" w:space="0" w:color="auto"/>
                                                                        <w:right w:val="none" w:sz="0" w:space="0" w:color="auto"/>
                                                                      </w:divBdr>
                                                                      <w:divsChild>
                                                                        <w:div w:id="1401488999">
                                                                          <w:marLeft w:val="0"/>
                                                                          <w:marRight w:val="450"/>
                                                                          <w:marTop w:val="0"/>
                                                                          <w:marBottom w:val="0"/>
                                                                          <w:divBdr>
                                                                            <w:top w:val="none" w:sz="0" w:space="0" w:color="auto"/>
                                                                            <w:left w:val="none" w:sz="0" w:space="0" w:color="auto"/>
                                                                            <w:bottom w:val="none" w:sz="0" w:space="0" w:color="auto"/>
                                                                            <w:right w:val="none" w:sz="0" w:space="0" w:color="auto"/>
                                                                          </w:divBdr>
                                                                          <w:divsChild>
                                                                            <w:div w:id="235020993">
                                                                              <w:marLeft w:val="0"/>
                                                                              <w:marRight w:val="0"/>
                                                                              <w:marTop w:val="0"/>
                                                                              <w:marBottom w:val="0"/>
                                                                              <w:divBdr>
                                                                                <w:top w:val="none" w:sz="0" w:space="0" w:color="auto"/>
                                                                                <w:left w:val="none" w:sz="0" w:space="0" w:color="auto"/>
                                                                                <w:bottom w:val="none" w:sz="0" w:space="0" w:color="auto"/>
                                                                                <w:right w:val="none" w:sz="0" w:space="0" w:color="auto"/>
                                                                              </w:divBdr>
                                                                              <w:divsChild>
                                                                                <w:div w:id="2035036327">
                                                                                  <w:marLeft w:val="0"/>
                                                                                  <w:marRight w:val="0"/>
                                                                                  <w:marTop w:val="0"/>
                                                                                  <w:marBottom w:val="0"/>
                                                                                  <w:divBdr>
                                                                                    <w:top w:val="none" w:sz="0" w:space="0" w:color="auto"/>
                                                                                    <w:left w:val="none" w:sz="0" w:space="0" w:color="auto"/>
                                                                                    <w:bottom w:val="none" w:sz="0" w:space="0" w:color="auto"/>
                                                                                    <w:right w:val="none" w:sz="0" w:space="0" w:color="auto"/>
                                                                                  </w:divBdr>
                                                                                  <w:divsChild>
                                                                                    <w:div w:id="2140999017">
                                                                                      <w:marLeft w:val="0"/>
                                                                                      <w:marRight w:val="0"/>
                                                                                      <w:marTop w:val="0"/>
                                                                                      <w:marBottom w:val="0"/>
                                                                                      <w:divBdr>
                                                                                        <w:top w:val="none" w:sz="0" w:space="0" w:color="auto"/>
                                                                                        <w:left w:val="none" w:sz="0" w:space="0" w:color="auto"/>
                                                                                        <w:bottom w:val="none" w:sz="0" w:space="0" w:color="auto"/>
                                                                                        <w:right w:val="none" w:sz="0" w:space="0" w:color="auto"/>
                                                                                      </w:divBdr>
                                                                                      <w:divsChild>
                                                                                        <w:div w:id="910308682">
                                                                                          <w:marLeft w:val="0"/>
                                                                                          <w:marRight w:val="0"/>
                                                                                          <w:marTop w:val="0"/>
                                                                                          <w:marBottom w:val="0"/>
                                                                                          <w:divBdr>
                                                                                            <w:top w:val="none" w:sz="0" w:space="0" w:color="auto"/>
                                                                                            <w:left w:val="none" w:sz="0" w:space="0" w:color="auto"/>
                                                                                            <w:bottom w:val="none" w:sz="0" w:space="0" w:color="auto"/>
                                                                                            <w:right w:val="none" w:sz="0" w:space="0" w:color="auto"/>
                                                                                          </w:divBdr>
                                                                                          <w:divsChild>
                                                                                            <w:div w:id="1495877838">
                                                                                              <w:marLeft w:val="0"/>
                                                                                              <w:marRight w:val="0"/>
                                                                                              <w:marTop w:val="0"/>
                                                                                              <w:marBottom w:val="0"/>
                                                                                              <w:divBdr>
                                                                                                <w:top w:val="single" w:sz="2" w:space="0" w:color="EFEFEF"/>
                                                                                                <w:left w:val="none" w:sz="0" w:space="0" w:color="auto"/>
                                                                                                <w:bottom w:val="none" w:sz="0" w:space="0" w:color="auto"/>
                                                                                                <w:right w:val="none" w:sz="0" w:space="0" w:color="auto"/>
                                                                                              </w:divBdr>
                                                                                              <w:divsChild>
                                                                                                <w:div w:id="871504520">
                                                                                                  <w:marLeft w:val="0"/>
                                                                                                  <w:marRight w:val="0"/>
                                                                                                  <w:marTop w:val="0"/>
                                                                                                  <w:marBottom w:val="0"/>
                                                                                                  <w:divBdr>
                                                                                                    <w:top w:val="single" w:sz="6" w:space="0" w:color="D8D8D8"/>
                                                                                                    <w:left w:val="none" w:sz="0" w:space="0" w:color="auto"/>
                                                                                                    <w:bottom w:val="none" w:sz="0" w:space="0" w:color="D8D8D8"/>
                                                                                                    <w:right w:val="none" w:sz="0" w:space="0" w:color="auto"/>
                                                                                                  </w:divBdr>
                                                                                                  <w:divsChild>
                                                                                                    <w:div w:id="964433616">
                                                                                                      <w:marLeft w:val="0"/>
                                                                                                      <w:marRight w:val="0"/>
                                                                                                      <w:marTop w:val="0"/>
                                                                                                      <w:marBottom w:val="0"/>
                                                                                                      <w:divBdr>
                                                                                                        <w:top w:val="none" w:sz="0" w:space="0" w:color="auto"/>
                                                                                                        <w:left w:val="none" w:sz="0" w:space="0" w:color="auto"/>
                                                                                                        <w:bottom w:val="none" w:sz="0" w:space="0" w:color="auto"/>
                                                                                                        <w:right w:val="none" w:sz="0" w:space="0" w:color="auto"/>
                                                                                                      </w:divBdr>
                                                                                                      <w:divsChild>
                                                                                                        <w:div w:id="236405129">
                                                                                                          <w:marLeft w:val="0"/>
                                                                                                          <w:marRight w:val="0"/>
                                                                                                          <w:marTop w:val="0"/>
                                                                                                          <w:marBottom w:val="0"/>
                                                                                                          <w:divBdr>
                                                                                                            <w:top w:val="none" w:sz="0" w:space="0" w:color="auto"/>
                                                                                                            <w:left w:val="none" w:sz="0" w:space="0" w:color="auto"/>
                                                                                                            <w:bottom w:val="none" w:sz="0" w:space="0" w:color="auto"/>
                                                                                                            <w:right w:val="none" w:sz="0" w:space="0" w:color="auto"/>
                                                                                                          </w:divBdr>
                                                                                                          <w:divsChild>
                                                                                                            <w:div w:id="1155495030">
                                                                                                              <w:marLeft w:val="0"/>
                                                                                                              <w:marRight w:val="0"/>
                                                                                                              <w:marTop w:val="0"/>
                                                                                                              <w:marBottom w:val="0"/>
                                                                                                              <w:divBdr>
                                                                                                                <w:top w:val="none" w:sz="0" w:space="0" w:color="auto"/>
                                                                                                                <w:left w:val="none" w:sz="0" w:space="0" w:color="auto"/>
                                                                                                                <w:bottom w:val="none" w:sz="0" w:space="0" w:color="auto"/>
                                                                                                                <w:right w:val="none" w:sz="0" w:space="0" w:color="auto"/>
                                                                                                              </w:divBdr>
                                                                                                              <w:divsChild>
                                                                                                                <w:div w:id="835026207">
                                                                                                                  <w:marLeft w:val="450"/>
                                                                                                                  <w:marRight w:val="0"/>
                                                                                                                  <w:marTop w:val="0"/>
                                                                                                                  <w:marBottom w:val="0"/>
                                                                                                                  <w:divBdr>
                                                                                                                    <w:top w:val="none" w:sz="0" w:space="0" w:color="auto"/>
                                                                                                                    <w:left w:val="none" w:sz="0" w:space="0" w:color="auto"/>
                                                                                                                    <w:bottom w:val="none" w:sz="0" w:space="0" w:color="auto"/>
                                                                                                                    <w:right w:val="none" w:sz="0" w:space="0" w:color="auto"/>
                                                                                                                  </w:divBdr>
                                                                                                                  <w:divsChild>
                                                                                                                    <w:div w:id="307514768">
                                                                                                                      <w:marLeft w:val="0"/>
                                                                                                                      <w:marRight w:val="225"/>
                                                                                                                      <w:marTop w:val="75"/>
                                                                                                                      <w:marBottom w:val="0"/>
                                                                                                                      <w:divBdr>
                                                                                                                        <w:top w:val="none" w:sz="0" w:space="0" w:color="auto"/>
                                                                                                                        <w:left w:val="none" w:sz="0" w:space="0" w:color="auto"/>
                                                                                                                        <w:bottom w:val="none" w:sz="0" w:space="0" w:color="auto"/>
                                                                                                                        <w:right w:val="none" w:sz="0" w:space="0" w:color="auto"/>
                                                                                                                      </w:divBdr>
                                                                                                                      <w:divsChild>
                                                                                                                        <w:div w:id="2032491350">
                                                                                                                          <w:marLeft w:val="0"/>
                                                                                                                          <w:marRight w:val="0"/>
                                                                                                                          <w:marTop w:val="0"/>
                                                                                                                          <w:marBottom w:val="0"/>
                                                                                                                          <w:divBdr>
                                                                                                                            <w:top w:val="none" w:sz="0" w:space="0" w:color="auto"/>
                                                                                                                            <w:left w:val="none" w:sz="0" w:space="0" w:color="auto"/>
                                                                                                                            <w:bottom w:val="none" w:sz="0" w:space="0" w:color="auto"/>
                                                                                                                            <w:right w:val="none" w:sz="0" w:space="0" w:color="auto"/>
                                                                                                                          </w:divBdr>
                                                                                                                          <w:divsChild>
                                                                                                                            <w:div w:id="354425230">
                                                                                                                              <w:marLeft w:val="0"/>
                                                                                                                              <w:marRight w:val="0"/>
                                                                                                                              <w:marTop w:val="0"/>
                                                                                                                              <w:marBottom w:val="0"/>
                                                                                                                              <w:divBdr>
                                                                                                                                <w:top w:val="none" w:sz="0" w:space="0" w:color="auto"/>
                                                                                                                                <w:left w:val="none" w:sz="0" w:space="0" w:color="auto"/>
                                                                                                                                <w:bottom w:val="none" w:sz="0" w:space="0" w:color="auto"/>
                                                                                                                                <w:right w:val="none" w:sz="0" w:space="0" w:color="auto"/>
                                                                                                                              </w:divBdr>
                                                                                                                              <w:divsChild>
                                                                                                                                <w:div w:id="573904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4903">
                                                                                                                                      <w:marLeft w:val="0"/>
                                                                                                                                      <w:marRight w:val="0"/>
                                                                                                                                      <w:marTop w:val="0"/>
                                                                                                                                      <w:marBottom w:val="0"/>
                                                                                                                                      <w:divBdr>
                                                                                                                                        <w:top w:val="none" w:sz="0" w:space="0" w:color="auto"/>
                                                                                                                                        <w:left w:val="none" w:sz="0" w:space="0" w:color="auto"/>
                                                                                                                                        <w:bottom w:val="none" w:sz="0" w:space="0" w:color="auto"/>
                                                                                                                                        <w:right w:val="none" w:sz="0" w:space="0" w:color="auto"/>
                                                                                                                                      </w:divBdr>
                                                                                                                                      <w:divsChild>
                                                                                                                                        <w:div w:id="4006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841520">
      <w:bodyDiv w:val="1"/>
      <w:marLeft w:val="0"/>
      <w:marRight w:val="0"/>
      <w:marTop w:val="0"/>
      <w:marBottom w:val="0"/>
      <w:divBdr>
        <w:top w:val="none" w:sz="0" w:space="0" w:color="auto"/>
        <w:left w:val="none" w:sz="0" w:space="0" w:color="auto"/>
        <w:bottom w:val="none" w:sz="0" w:space="0" w:color="auto"/>
        <w:right w:val="none" w:sz="0" w:space="0" w:color="auto"/>
      </w:divBdr>
    </w:div>
    <w:div w:id="262493291">
      <w:bodyDiv w:val="1"/>
      <w:marLeft w:val="0"/>
      <w:marRight w:val="0"/>
      <w:marTop w:val="0"/>
      <w:marBottom w:val="0"/>
      <w:divBdr>
        <w:top w:val="none" w:sz="0" w:space="0" w:color="auto"/>
        <w:left w:val="none" w:sz="0" w:space="0" w:color="auto"/>
        <w:bottom w:val="none" w:sz="0" w:space="0" w:color="auto"/>
        <w:right w:val="none" w:sz="0" w:space="0" w:color="auto"/>
      </w:divBdr>
    </w:div>
    <w:div w:id="268898767">
      <w:bodyDiv w:val="1"/>
      <w:marLeft w:val="0"/>
      <w:marRight w:val="0"/>
      <w:marTop w:val="0"/>
      <w:marBottom w:val="0"/>
      <w:divBdr>
        <w:top w:val="none" w:sz="0" w:space="0" w:color="auto"/>
        <w:left w:val="none" w:sz="0" w:space="0" w:color="auto"/>
        <w:bottom w:val="none" w:sz="0" w:space="0" w:color="auto"/>
        <w:right w:val="none" w:sz="0" w:space="0" w:color="auto"/>
      </w:divBdr>
      <w:divsChild>
        <w:div w:id="931819318">
          <w:marLeft w:val="0"/>
          <w:marRight w:val="0"/>
          <w:marTop w:val="0"/>
          <w:marBottom w:val="0"/>
          <w:divBdr>
            <w:top w:val="none" w:sz="0" w:space="0" w:color="auto"/>
            <w:left w:val="none" w:sz="0" w:space="0" w:color="auto"/>
            <w:bottom w:val="none" w:sz="0" w:space="0" w:color="auto"/>
            <w:right w:val="none" w:sz="0" w:space="0" w:color="auto"/>
          </w:divBdr>
          <w:divsChild>
            <w:div w:id="904804694">
              <w:marLeft w:val="0"/>
              <w:marRight w:val="0"/>
              <w:marTop w:val="0"/>
              <w:marBottom w:val="0"/>
              <w:divBdr>
                <w:top w:val="none" w:sz="0" w:space="0" w:color="auto"/>
                <w:left w:val="none" w:sz="0" w:space="0" w:color="auto"/>
                <w:bottom w:val="none" w:sz="0" w:space="0" w:color="auto"/>
                <w:right w:val="none" w:sz="0" w:space="0" w:color="auto"/>
              </w:divBdr>
              <w:divsChild>
                <w:div w:id="15019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15936">
      <w:bodyDiv w:val="1"/>
      <w:marLeft w:val="0"/>
      <w:marRight w:val="0"/>
      <w:marTop w:val="0"/>
      <w:marBottom w:val="0"/>
      <w:divBdr>
        <w:top w:val="none" w:sz="0" w:space="0" w:color="auto"/>
        <w:left w:val="none" w:sz="0" w:space="0" w:color="auto"/>
        <w:bottom w:val="none" w:sz="0" w:space="0" w:color="auto"/>
        <w:right w:val="none" w:sz="0" w:space="0" w:color="auto"/>
      </w:divBdr>
    </w:div>
    <w:div w:id="312417283">
      <w:bodyDiv w:val="1"/>
      <w:marLeft w:val="0"/>
      <w:marRight w:val="0"/>
      <w:marTop w:val="0"/>
      <w:marBottom w:val="0"/>
      <w:divBdr>
        <w:top w:val="none" w:sz="0" w:space="0" w:color="auto"/>
        <w:left w:val="none" w:sz="0" w:space="0" w:color="auto"/>
        <w:bottom w:val="none" w:sz="0" w:space="0" w:color="auto"/>
        <w:right w:val="none" w:sz="0" w:space="0" w:color="auto"/>
      </w:divBdr>
      <w:divsChild>
        <w:div w:id="1802647646">
          <w:marLeft w:val="0"/>
          <w:marRight w:val="0"/>
          <w:marTop w:val="0"/>
          <w:marBottom w:val="0"/>
          <w:divBdr>
            <w:top w:val="none" w:sz="0" w:space="0" w:color="auto"/>
            <w:left w:val="none" w:sz="0" w:space="0" w:color="auto"/>
            <w:bottom w:val="none" w:sz="0" w:space="0" w:color="auto"/>
            <w:right w:val="none" w:sz="0" w:space="0" w:color="auto"/>
          </w:divBdr>
          <w:divsChild>
            <w:div w:id="1822038634">
              <w:marLeft w:val="0"/>
              <w:marRight w:val="0"/>
              <w:marTop w:val="0"/>
              <w:marBottom w:val="0"/>
              <w:divBdr>
                <w:top w:val="none" w:sz="0" w:space="0" w:color="auto"/>
                <w:left w:val="none" w:sz="0" w:space="0" w:color="auto"/>
                <w:bottom w:val="none" w:sz="0" w:space="0" w:color="auto"/>
                <w:right w:val="none" w:sz="0" w:space="0" w:color="auto"/>
              </w:divBdr>
              <w:divsChild>
                <w:div w:id="18717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7950">
      <w:bodyDiv w:val="1"/>
      <w:marLeft w:val="0"/>
      <w:marRight w:val="0"/>
      <w:marTop w:val="0"/>
      <w:marBottom w:val="0"/>
      <w:divBdr>
        <w:top w:val="none" w:sz="0" w:space="0" w:color="auto"/>
        <w:left w:val="none" w:sz="0" w:space="0" w:color="auto"/>
        <w:bottom w:val="none" w:sz="0" w:space="0" w:color="auto"/>
        <w:right w:val="none" w:sz="0" w:space="0" w:color="auto"/>
      </w:divBdr>
    </w:div>
    <w:div w:id="353463586">
      <w:bodyDiv w:val="1"/>
      <w:marLeft w:val="0"/>
      <w:marRight w:val="0"/>
      <w:marTop w:val="0"/>
      <w:marBottom w:val="0"/>
      <w:divBdr>
        <w:top w:val="none" w:sz="0" w:space="0" w:color="auto"/>
        <w:left w:val="none" w:sz="0" w:space="0" w:color="auto"/>
        <w:bottom w:val="none" w:sz="0" w:space="0" w:color="auto"/>
        <w:right w:val="none" w:sz="0" w:space="0" w:color="auto"/>
      </w:divBdr>
      <w:divsChild>
        <w:div w:id="2028409628">
          <w:marLeft w:val="0"/>
          <w:marRight w:val="0"/>
          <w:marTop w:val="0"/>
          <w:marBottom w:val="0"/>
          <w:divBdr>
            <w:top w:val="none" w:sz="0" w:space="0" w:color="auto"/>
            <w:left w:val="none" w:sz="0" w:space="0" w:color="auto"/>
            <w:bottom w:val="none" w:sz="0" w:space="0" w:color="auto"/>
            <w:right w:val="none" w:sz="0" w:space="0" w:color="auto"/>
          </w:divBdr>
          <w:divsChild>
            <w:div w:id="298152831">
              <w:marLeft w:val="0"/>
              <w:marRight w:val="0"/>
              <w:marTop w:val="0"/>
              <w:marBottom w:val="0"/>
              <w:divBdr>
                <w:top w:val="none" w:sz="0" w:space="0" w:color="auto"/>
                <w:left w:val="none" w:sz="0" w:space="0" w:color="auto"/>
                <w:bottom w:val="none" w:sz="0" w:space="0" w:color="auto"/>
                <w:right w:val="none" w:sz="0" w:space="0" w:color="auto"/>
              </w:divBdr>
              <w:divsChild>
                <w:div w:id="6301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04349">
      <w:bodyDiv w:val="1"/>
      <w:marLeft w:val="0"/>
      <w:marRight w:val="0"/>
      <w:marTop w:val="0"/>
      <w:marBottom w:val="0"/>
      <w:divBdr>
        <w:top w:val="none" w:sz="0" w:space="0" w:color="auto"/>
        <w:left w:val="none" w:sz="0" w:space="0" w:color="auto"/>
        <w:bottom w:val="none" w:sz="0" w:space="0" w:color="auto"/>
        <w:right w:val="none" w:sz="0" w:space="0" w:color="auto"/>
      </w:divBdr>
    </w:div>
    <w:div w:id="393621004">
      <w:bodyDiv w:val="1"/>
      <w:marLeft w:val="0"/>
      <w:marRight w:val="0"/>
      <w:marTop w:val="0"/>
      <w:marBottom w:val="0"/>
      <w:divBdr>
        <w:top w:val="none" w:sz="0" w:space="0" w:color="auto"/>
        <w:left w:val="none" w:sz="0" w:space="0" w:color="auto"/>
        <w:bottom w:val="none" w:sz="0" w:space="0" w:color="auto"/>
        <w:right w:val="none" w:sz="0" w:space="0" w:color="auto"/>
      </w:divBdr>
    </w:div>
    <w:div w:id="413741411">
      <w:bodyDiv w:val="1"/>
      <w:marLeft w:val="0"/>
      <w:marRight w:val="0"/>
      <w:marTop w:val="0"/>
      <w:marBottom w:val="0"/>
      <w:divBdr>
        <w:top w:val="none" w:sz="0" w:space="0" w:color="auto"/>
        <w:left w:val="none" w:sz="0" w:space="0" w:color="auto"/>
        <w:bottom w:val="none" w:sz="0" w:space="0" w:color="auto"/>
        <w:right w:val="none" w:sz="0" w:space="0" w:color="auto"/>
      </w:divBdr>
      <w:divsChild>
        <w:div w:id="1103956016">
          <w:marLeft w:val="0"/>
          <w:marRight w:val="0"/>
          <w:marTop w:val="0"/>
          <w:marBottom w:val="0"/>
          <w:divBdr>
            <w:top w:val="none" w:sz="0" w:space="0" w:color="auto"/>
            <w:left w:val="none" w:sz="0" w:space="0" w:color="auto"/>
            <w:bottom w:val="none" w:sz="0" w:space="0" w:color="auto"/>
            <w:right w:val="none" w:sz="0" w:space="0" w:color="auto"/>
          </w:divBdr>
          <w:divsChild>
            <w:div w:id="1158960863">
              <w:marLeft w:val="0"/>
              <w:marRight w:val="0"/>
              <w:marTop w:val="0"/>
              <w:marBottom w:val="0"/>
              <w:divBdr>
                <w:top w:val="none" w:sz="0" w:space="0" w:color="auto"/>
                <w:left w:val="none" w:sz="0" w:space="0" w:color="auto"/>
                <w:bottom w:val="none" w:sz="0" w:space="0" w:color="auto"/>
                <w:right w:val="none" w:sz="0" w:space="0" w:color="auto"/>
              </w:divBdr>
              <w:divsChild>
                <w:div w:id="10269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7555">
      <w:bodyDiv w:val="1"/>
      <w:marLeft w:val="0"/>
      <w:marRight w:val="0"/>
      <w:marTop w:val="0"/>
      <w:marBottom w:val="0"/>
      <w:divBdr>
        <w:top w:val="none" w:sz="0" w:space="0" w:color="auto"/>
        <w:left w:val="none" w:sz="0" w:space="0" w:color="auto"/>
        <w:bottom w:val="none" w:sz="0" w:space="0" w:color="auto"/>
        <w:right w:val="none" w:sz="0" w:space="0" w:color="auto"/>
      </w:divBdr>
    </w:div>
    <w:div w:id="450636189">
      <w:bodyDiv w:val="1"/>
      <w:marLeft w:val="0"/>
      <w:marRight w:val="0"/>
      <w:marTop w:val="0"/>
      <w:marBottom w:val="0"/>
      <w:divBdr>
        <w:top w:val="none" w:sz="0" w:space="0" w:color="auto"/>
        <w:left w:val="none" w:sz="0" w:space="0" w:color="auto"/>
        <w:bottom w:val="none" w:sz="0" w:space="0" w:color="auto"/>
        <w:right w:val="none" w:sz="0" w:space="0" w:color="auto"/>
      </w:divBdr>
      <w:divsChild>
        <w:div w:id="1979800323">
          <w:marLeft w:val="0"/>
          <w:marRight w:val="0"/>
          <w:marTop w:val="0"/>
          <w:marBottom w:val="0"/>
          <w:divBdr>
            <w:top w:val="none" w:sz="0" w:space="0" w:color="auto"/>
            <w:left w:val="none" w:sz="0" w:space="0" w:color="auto"/>
            <w:bottom w:val="none" w:sz="0" w:space="0" w:color="auto"/>
            <w:right w:val="none" w:sz="0" w:space="0" w:color="auto"/>
          </w:divBdr>
          <w:divsChild>
            <w:div w:id="1710954637">
              <w:marLeft w:val="0"/>
              <w:marRight w:val="0"/>
              <w:marTop w:val="0"/>
              <w:marBottom w:val="0"/>
              <w:divBdr>
                <w:top w:val="none" w:sz="0" w:space="0" w:color="auto"/>
                <w:left w:val="none" w:sz="0" w:space="0" w:color="auto"/>
                <w:bottom w:val="none" w:sz="0" w:space="0" w:color="auto"/>
                <w:right w:val="none" w:sz="0" w:space="0" w:color="auto"/>
              </w:divBdr>
              <w:divsChild>
                <w:div w:id="313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29948">
      <w:bodyDiv w:val="1"/>
      <w:marLeft w:val="0"/>
      <w:marRight w:val="0"/>
      <w:marTop w:val="0"/>
      <w:marBottom w:val="0"/>
      <w:divBdr>
        <w:top w:val="none" w:sz="0" w:space="0" w:color="auto"/>
        <w:left w:val="none" w:sz="0" w:space="0" w:color="auto"/>
        <w:bottom w:val="none" w:sz="0" w:space="0" w:color="auto"/>
        <w:right w:val="none" w:sz="0" w:space="0" w:color="auto"/>
      </w:divBdr>
    </w:div>
    <w:div w:id="499197587">
      <w:bodyDiv w:val="1"/>
      <w:marLeft w:val="0"/>
      <w:marRight w:val="0"/>
      <w:marTop w:val="0"/>
      <w:marBottom w:val="0"/>
      <w:divBdr>
        <w:top w:val="none" w:sz="0" w:space="0" w:color="auto"/>
        <w:left w:val="none" w:sz="0" w:space="0" w:color="auto"/>
        <w:bottom w:val="none" w:sz="0" w:space="0" w:color="auto"/>
        <w:right w:val="none" w:sz="0" w:space="0" w:color="auto"/>
      </w:divBdr>
    </w:div>
    <w:div w:id="515460134">
      <w:bodyDiv w:val="1"/>
      <w:marLeft w:val="0"/>
      <w:marRight w:val="0"/>
      <w:marTop w:val="0"/>
      <w:marBottom w:val="0"/>
      <w:divBdr>
        <w:top w:val="none" w:sz="0" w:space="0" w:color="auto"/>
        <w:left w:val="none" w:sz="0" w:space="0" w:color="auto"/>
        <w:bottom w:val="none" w:sz="0" w:space="0" w:color="auto"/>
        <w:right w:val="none" w:sz="0" w:space="0" w:color="auto"/>
      </w:divBdr>
      <w:divsChild>
        <w:div w:id="356079693">
          <w:marLeft w:val="0"/>
          <w:marRight w:val="0"/>
          <w:marTop w:val="0"/>
          <w:marBottom w:val="0"/>
          <w:divBdr>
            <w:top w:val="none" w:sz="0" w:space="0" w:color="auto"/>
            <w:left w:val="none" w:sz="0" w:space="0" w:color="auto"/>
            <w:bottom w:val="none" w:sz="0" w:space="0" w:color="auto"/>
            <w:right w:val="none" w:sz="0" w:space="0" w:color="auto"/>
          </w:divBdr>
          <w:divsChild>
            <w:div w:id="563757565">
              <w:marLeft w:val="0"/>
              <w:marRight w:val="0"/>
              <w:marTop w:val="0"/>
              <w:marBottom w:val="0"/>
              <w:divBdr>
                <w:top w:val="none" w:sz="0" w:space="0" w:color="auto"/>
                <w:left w:val="none" w:sz="0" w:space="0" w:color="auto"/>
                <w:bottom w:val="none" w:sz="0" w:space="0" w:color="auto"/>
                <w:right w:val="none" w:sz="0" w:space="0" w:color="auto"/>
              </w:divBdr>
              <w:divsChild>
                <w:div w:id="7118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58608">
      <w:bodyDiv w:val="1"/>
      <w:marLeft w:val="0"/>
      <w:marRight w:val="0"/>
      <w:marTop w:val="0"/>
      <w:marBottom w:val="0"/>
      <w:divBdr>
        <w:top w:val="none" w:sz="0" w:space="0" w:color="auto"/>
        <w:left w:val="none" w:sz="0" w:space="0" w:color="auto"/>
        <w:bottom w:val="none" w:sz="0" w:space="0" w:color="auto"/>
        <w:right w:val="none" w:sz="0" w:space="0" w:color="auto"/>
      </w:divBdr>
      <w:divsChild>
        <w:div w:id="861209080">
          <w:marLeft w:val="0"/>
          <w:marRight w:val="0"/>
          <w:marTop w:val="0"/>
          <w:marBottom w:val="0"/>
          <w:divBdr>
            <w:top w:val="none" w:sz="0" w:space="0" w:color="auto"/>
            <w:left w:val="none" w:sz="0" w:space="0" w:color="auto"/>
            <w:bottom w:val="none" w:sz="0" w:space="0" w:color="auto"/>
            <w:right w:val="none" w:sz="0" w:space="0" w:color="auto"/>
          </w:divBdr>
          <w:divsChild>
            <w:div w:id="139155847">
              <w:marLeft w:val="0"/>
              <w:marRight w:val="0"/>
              <w:marTop w:val="0"/>
              <w:marBottom w:val="0"/>
              <w:divBdr>
                <w:top w:val="none" w:sz="0" w:space="0" w:color="auto"/>
                <w:left w:val="none" w:sz="0" w:space="0" w:color="auto"/>
                <w:bottom w:val="none" w:sz="0" w:space="0" w:color="auto"/>
                <w:right w:val="none" w:sz="0" w:space="0" w:color="auto"/>
              </w:divBdr>
              <w:divsChild>
                <w:div w:id="12038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47984">
      <w:bodyDiv w:val="1"/>
      <w:marLeft w:val="0"/>
      <w:marRight w:val="0"/>
      <w:marTop w:val="0"/>
      <w:marBottom w:val="0"/>
      <w:divBdr>
        <w:top w:val="none" w:sz="0" w:space="0" w:color="auto"/>
        <w:left w:val="none" w:sz="0" w:space="0" w:color="auto"/>
        <w:bottom w:val="none" w:sz="0" w:space="0" w:color="auto"/>
        <w:right w:val="none" w:sz="0" w:space="0" w:color="auto"/>
      </w:divBdr>
      <w:divsChild>
        <w:div w:id="532110703">
          <w:marLeft w:val="0"/>
          <w:marRight w:val="0"/>
          <w:marTop w:val="0"/>
          <w:marBottom w:val="0"/>
          <w:divBdr>
            <w:top w:val="none" w:sz="0" w:space="0" w:color="auto"/>
            <w:left w:val="none" w:sz="0" w:space="0" w:color="auto"/>
            <w:bottom w:val="none" w:sz="0" w:space="0" w:color="auto"/>
            <w:right w:val="none" w:sz="0" w:space="0" w:color="auto"/>
          </w:divBdr>
          <w:divsChild>
            <w:div w:id="1050424364">
              <w:marLeft w:val="0"/>
              <w:marRight w:val="0"/>
              <w:marTop w:val="0"/>
              <w:marBottom w:val="0"/>
              <w:divBdr>
                <w:top w:val="none" w:sz="0" w:space="0" w:color="auto"/>
                <w:left w:val="none" w:sz="0" w:space="0" w:color="auto"/>
                <w:bottom w:val="none" w:sz="0" w:space="0" w:color="auto"/>
                <w:right w:val="none" w:sz="0" w:space="0" w:color="auto"/>
              </w:divBdr>
              <w:divsChild>
                <w:div w:id="1341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79196">
      <w:bodyDiv w:val="1"/>
      <w:marLeft w:val="0"/>
      <w:marRight w:val="0"/>
      <w:marTop w:val="0"/>
      <w:marBottom w:val="0"/>
      <w:divBdr>
        <w:top w:val="none" w:sz="0" w:space="0" w:color="auto"/>
        <w:left w:val="none" w:sz="0" w:space="0" w:color="auto"/>
        <w:bottom w:val="none" w:sz="0" w:space="0" w:color="auto"/>
        <w:right w:val="none" w:sz="0" w:space="0" w:color="auto"/>
      </w:divBdr>
    </w:div>
    <w:div w:id="584416266">
      <w:bodyDiv w:val="1"/>
      <w:marLeft w:val="0"/>
      <w:marRight w:val="0"/>
      <w:marTop w:val="0"/>
      <w:marBottom w:val="0"/>
      <w:divBdr>
        <w:top w:val="none" w:sz="0" w:space="0" w:color="auto"/>
        <w:left w:val="none" w:sz="0" w:space="0" w:color="auto"/>
        <w:bottom w:val="none" w:sz="0" w:space="0" w:color="auto"/>
        <w:right w:val="none" w:sz="0" w:space="0" w:color="auto"/>
      </w:divBdr>
    </w:div>
    <w:div w:id="609241001">
      <w:bodyDiv w:val="1"/>
      <w:marLeft w:val="0"/>
      <w:marRight w:val="0"/>
      <w:marTop w:val="0"/>
      <w:marBottom w:val="0"/>
      <w:divBdr>
        <w:top w:val="none" w:sz="0" w:space="0" w:color="auto"/>
        <w:left w:val="none" w:sz="0" w:space="0" w:color="auto"/>
        <w:bottom w:val="none" w:sz="0" w:space="0" w:color="auto"/>
        <w:right w:val="none" w:sz="0" w:space="0" w:color="auto"/>
      </w:divBdr>
      <w:divsChild>
        <w:div w:id="411051462">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0"/>
              <w:divBdr>
                <w:top w:val="none" w:sz="0" w:space="0" w:color="auto"/>
                <w:left w:val="none" w:sz="0" w:space="0" w:color="auto"/>
                <w:bottom w:val="none" w:sz="0" w:space="0" w:color="auto"/>
                <w:right w:val="none" w:sz="0" w:space="0" w:color="auto"/>
              </w:divBdr>
              <w:divsChild>
                <w:div w:id="18496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396">
      <w:bodyDiv w:val="1"/>
      <w:marLeft w:val="0"/>
      <w:marRight w:val="0"/>
      <w:marTop w:val="0"/>
      <w:marBottom w:val="0"/>
      <w:divBdr>
        <w:top w:val="none" w:sz="0" w:space="0" w:color="auto"/>
        <w:left w:val="none" w:sz="0" w:space="0" w:color="auto"/>
        <w:bottom w:val="none" w:sz="0" w:space="0" w:color="auto"/>
        <w:right w:val="none" w:sz="0" w:space="0" w:color="auto"/>
      </w:divBdr>
      <w:divsChild>
        <w:div w:id="1235776107">
          <w:marLeft w:val="0"/>
          <w:marRight w:val="0"/>
          <w:marTop w:val="0"/>
          <w:marBottom w:val="0"/>
          <w:divBdr>
            <w:top w:val="none" w:sz="0" w:space="0" w:color="auto"/>
            <w:left w:val="none" w:sz="0" w:space="0" w:color="auto"/>
            <w:bottom w:val="none" w:sz="0" w:space="0" w:color="auto"/>
            <w:right w:val="none" w:sz="0" w:space="0" w:color="auto"/>
          </w:divBdr>
          <w:divsChild>
            <w:div w:id="1560628291">
              <w:marLeft w:val="0"/>
              <w:marRight w:val="0"/>
              <w:marTop w:val="0"/>
              <w:marBottom w:val="0"/>
              <w:divBdr>
                <w:top w:val="none" w:sz="0" w:space="0" w:color="auto"/>
                <w:left w:val="none" w:sz="0" w:space="0" w:color="auto"/>
                <w:bottom w:val="none" w:sz="0" w:space="0" w:color="auto"/>
                <w:right w:val="none" w:sz="0" w:space="0" w:color="auto"/>
              </w:divBdr>
              <w:divsChild>
                <w:div w:id="3086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7546">
      <w:bodyDiv w:val="1"/>
      <w:marLeft w:val="0"/>
      <w:marRight w:val="0"/>
      <w:marTop w:val="0"/>
      <w:marBottom w:val="0"/>
      <w:divBdr>
        <w:top w:val="none" w:sz="0" w:space="0" w:color="auto"/>
        <w:left w:val="none" w:sz="0" w:space="0" w:color="auto"/>
        <w:bottom w:val="none" w:sz="0" w:space="0" w:color="auto"/>
        <w:right w:val="none" w:sz="0" w:space="0" w:color="auto"/>
      </w:divBdr>
      <w:divsChild>
        <w:div w:id="1165558688">
          <w:marLeft w:val="0"/>
          <w:marRight w:val="0"/>
          <w:marTop w:val="0"/>
          <w:marBottom w:val="0"/>
          <w:divBdr>
            <w:top w:val="none" w:sz="0" w:space="0" w:color="auto"/>
            <w:left w:val="none" w:sz="0" w:space="0" w:color="auto"/>
            <w:bottom w:val="none" w:sz="0" w:space="0" w:color="auto"/>
            <w:right w:val="none" w:sz="0" w:space="0" w:color="auto"/>
          </w:divBdr>
          <w:divsChild>
            <w:div w:id="499582544">
              <w:marLeft w:val="0"/>
              <w:marRight w:val="0"/>
              <w:marTop w:val="0"/>
              <w:marBottom w:val="0"/>
              <w:divBdr>
                <w:top w:val="none" w:sz="0" w:space="0" w:color="auto"/>
                <w:left w:val="none" w:sz="0" w:space="0" w:color="auto"/>
                <w:bottom w:val="none" w:sz="0" w:space="0" w:color="auto"/>
                <w:right w:val="none" w:sz="0" w:space="0" w:color="auto"/>
              </w:divBdr>
              <w:divsChild>
                <w:div w:id="20846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81416">
      <w:bodyDiv w:val="1"/>
      <w:marLeft w:val="0"/>
      <w:marRight w:val="0"/>
      <w:marTop w:val="0"/>
      <w:marBottom w:val="0"/>
      <w:divBdr>
        <w:top w:val="none" w:sz="0" w:space="0" w:color="auto"/>
        <w:left w:val="none" w:sz="0" w:space="0" w:color="auto"/>
        <w:bottom w:val="none" w:sz="0" w:space="0" w:color="auto"/>
        <w:right w:val="none" w:sz="0" w:space="0" w:color="auto"/>
      </w:divBdr>
      <w:divsChild>
        <w:div w:id="1030302464">
          <w:marLeft w:val="0"/>
          <w:marRight w:val="0"/>
          <w:marTop w:val="0"/>
          <w:marBottom w:val="0"/>
          <w:divBdr>
            <w:top w:val="none" w:sz="0" w:space="0" w:color="auto"/>
            <w:left w:val="none" w:sz="0" w:space="0" w:color="auto"/>
            <w:bottom w:val="none" w:sz="0" w:space="0" w:color="auto"/>
            <w:right w:val="none" w:sz="0" w:space="0" w:color="auto"/>
          </w:divBdr>
          <w:divsChild>
            <w:div w:id="691758699">
              <w:marLeft w:val="0"/>
              <w:marRight w:val="0"/>
              <w:marTop w:val="0"/>
              <w:marBottom w:val="0"/>
              <w:divBdr>
                <w:top w:val="none" w:sz="0" w:space="0" w:color="auto"/>
                <w:left w:val="none" w:sz="0" w:space="0" w:color="auto"/>
                <w:bottom w:val="none" w:sz="0" w:space="0" w:color="auto"/>
                <w:right w:val="none" w:sz="0" w:space="0" w:color="auto"/>
              </w:divBdr>
              <w:divsChild>
                <w:div w:id="17264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53195">
      <w:bodyDiv w:val="1"/>
      <w:marLeft w:val="0"/>
      <w:marRight w:val="0"/>
      <w:marTop w:val="0"/>
      <w:marBottom w:val="0"/>
      <w:divBdr>
        <w:top w:val="none" w:sz="0" w:space="0" w:color="auto"/>
        <w:left w:val="none" w:sz="0" w:space="0" w:color="auto"/>
        <w:bottom w:val="none" w:sz="0" w:space="0" w:color="auto"/>
        <w:right w:val="none" w:sz="0" w:space="0" w:color="auto"/>
      </w:divBdr>
    </w:div>
    <w:div w:id="803353090">
      <w:bodyDiv w:val="1"/>
      <w:marLeft w:val="0"/>
      <w:marRight w:val="0"/>
      <w:marTop w:val="0"/>
      <w:marBottom w:val="0"/>
      <w:divBdr>
        <w:top w:val="none" w:sz="0" w:space="0" w:color="auto"/>
        <w:left w:val="none" w:sz="0" w:space="0" w:color="auto"/>
        <w:bottom w:val="none" w:sz="0" w:space="0" w:color="auto"/>
        <w:right w:val="none" w:sz="0" w:space="0" w:color="auto"/>
      </w:divBdr>
      <w:divsChild>
        <w:div w:id="357658203">
          <w:marLeft w:val="0"/>
          <w:marRight w:val="0"/>
          <w:marTop w:val="0"/>
          <w:marBottom w:val="0"/>
          <w:divBdr>
            <w:top w:val="none" w:sz="0" w:space="0" w:color="auto"/>
            <w:left w:val="none" w:sz="0" w:space="0" w:color="auto"/>
            <w:bottom w:val="none" w:sz="0" w:space="0" w:color="auto"/>
            <w:right w:val="none" w:sz="0" w:space="0" w:color="auto"/>
          </w:divBdr>
          <w:divsChild>
            <w:div w:id="343677354">
              <w:marLeft w:val="60"/>
              <w:marRight w:val="0"/>
              <w:marTop w:val="0"/>
              <w:marBottom w:val="0"/>
              <w:divBdr>
                <w:top w:val="none" w:sz="0" w:space="0" w:color="auto"/>
                <w:left w:val="none" w:sz="0" w:space="0" w:color="auto"/>
                <w:bottom w:val="none" w:sz="0" w:space="0" w:color="auto"/>
                <w:right w:val="none" w:sz="0" w:space="0" w:color="auto"/>
              </w:divBdr>
              <w:divsChild>
                <w:div w:id="729577608">
                  <w:marLeft w:val="0"/>
                  <w:marRight w:val="0"/>
                  <w:marTop w:val="0"/>
                  <w:marBottom w:val="0"/>
                  <w:divBdr>
                    <w:top w:val="none" w:sz="0" w:space="0" w:color="auto"/>
                    <w:left w:val="none" w:sz="0" w:space="0" w:color="auto"/>
                    <w:bottom w:val="none" w:sz="0" w:space="0" w:color="auto"/>
                    <w:right w:val="none" w:sz="0" w:space="0" w:color="auto"/>
                  </w:divBdr>
                  <w:divsChild>
                    <w:div w:id="390352999">
                      <w:marLeft w:val="0"/>
                      <w:marRight w:val="0"/>
                      <w:marTop w:val="0"/>
                      <w:marBottom w:val="120"/>
                      <w:divBdr>
                        <w:top w:val="single" w:sz="6" w:space="0" w:color="F5F5F5"/>
                        <w:left w:val="single" w:sz="6" w:space="0" w:color="F5F5F5"/>
                        <w:bottom w:val="single" w:sz="6" w:space="0" w:color="F5F5F5"/>
                        <w:right w:val="single" w:sz="6" w:space="0" w:color="F5F5F5"/>
                      </w:divBdr>
                      <w:divsChild>
                        <w:div w:id="974913677">
                          <w:marLeft w:val="0"/>
                          <w:marRight w:val="0"/>
                          <w:marTop w:val="0"/>
                          <w:marBottom w:val="0"/>
                          <w:divBdr>
                            <w:top w:val="none" w:sz="0" w:space="0" w:color="auto"/>
                            <w:left w:val="none" w:sz="0" w:space="0" w:color="auto"/>
                            <w:bottom w:val="none" w:sz="0" w:space="0" w:color="auto"/>
                            <w:right w:val="none" w:sz="0" w:space="0" w:color="auto"/>
                          </w:divBdr>
                          <w:divsChild>
                            <w:div w:id="16725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247213">
          <w:marLeft w:val="0"/>
          <w:marRight w:val="0"/>
          <w:marTop w:val="0"/>
          <w:marBottom w:val="0"/>
          <w:divBdr>
            <w:top w:val="none" w:sz="0" w:space="0" w:color="auto"/>
            <w:left w:val="none" w:sz="0" w:space="0" w:color="auto"/>
            <w:bottom w:val="none" w:sz="0" w:space="0" w:color="auto"/>
            <w:right w:val="none" w:sz="0" w:space="0" w:color="auto"/>
          </w:divBdr>
          <w:divsChild>
            <w:div w:id="1739551413">
              <w:marLeft w:val="0"/>
              <w:marRight w:val="60"/>
              <w:marTop w:val="0"/>
              <w:marBottom w:val="0"/>
              <w:divBdr>
                <w:top w:val="none" w:sz="0" w:space="0" w:color="auto"/>
                <w:left w:val="none" w:sz="0" w:space="0" w:color="auto"/>
                <w:bottom w:val="none" w:sz="0" w:space="0" w:color="auto"/>
                <w:right w:val="none" w:sz="0" w:space="0" w:color="auto"/>
              </w:divBdr>
              <w:divsChild>
                <w:div w:id="1582984909">
                  <w:marLeft w:val="0"/>
                  <w:marRight w:val="0"/>
                  <w:marTop w:val="0"/>
                  <w:marBottom w:val="120"/>
                  <w:divBdr>
                    <w:top w:val="single" w:sz="6" w:space="0" w:color="C0C0C0"/>
                    <w:left w:val="single" w:sz="6" w:space="0" w:color="D9D9D9"/>
                    <w:bottom w:val="single" w:sz="6" w:space="0" w:color="D9D9D9"/>
                    <w:right w:val="single" w:sz="6" w:space="0" w:color="D9D9D9"/>
                  </w:divBdr>
                  <w:divsChild>
                    <w:div w:id="1869639330">
                      <w:marLeft w:val="0"/>
                      <w:marRight w:val="0"/>
                      <w:marTop w:val="0"/>
                      <w:marBottom w:val="0"/>
                      <w:divBdr>
                        <w:top w:val="none" w:sz="0" w:space="0" w:color="auto"/>
                        <w:left w:val="none" w:sz="0" w:space="0" w:color="auto"/>
                        <w:bottom w:val="none" w:sz="0" w:space="0" w:color="auto"/>
                        <w:right w:val="none" w:sz="0" w:space="0" w:color="auto"/>
                      </w:divBdr>
                    </w:div>
                    <w:div w:id="19089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78789">
      <w:bodyDiv w:val="1"/>
      <w:marLeft w:val="0"/>
      <w:marRight w:val="0"/>
      <w:marTop w:val="0"/>
      <w:marBottom w:val="0"/>
      <w:divBdr>
        <w:top w:val="none" w:sz="0" w:space="0" w:color="auto"/>
        <w:left w:val="none" w:sz="0" w:space="0" w:color="auto"/>
        <w:bottom w:val="none" w:sz="0" w:space="0" w:color="auto"/>
        <w:right w:val="none" w:sz="0" w:space="0" w:color="auto"/>
      </w:divBdr>
      <w:divsChild>
        <w:div w:id="608392576">
          <w:marLeft w:val="0"/>
          <w:marRight w:val="0"/>
          <w:marTop w:val="0"/>
          <w:marBottom w:val="0"/>
          <w:divBdr>
            <w:top w:val="none" w:sz="0" w:space="0" w:color="auto"/>
            <w:left w:val="none" w:sz="0" w:space="0" w:color="auto"/>
            <w:bottom w:val="none" w:sz="0" w:space="0" w:color="auto"/>
            <w:right w:val="none" w:sz="0" w:space="0" w:color="auto"/>
          </w:divBdr>
          <w:divsChild>
            <w:div w:id="1316761220">
              <w:marLeft w:val="0"/>
              <w:marRight w:val="0"/>
              <w:marTop w:val="0"/>
              <w:marBottom w:val="0"/>
              <w:divBdr>
                <w:top w:val="none" w:sz="0" w:space="0" w:color="auto"/>
                <w:left w:val="none" w:sz="0" w:space="0" w:color="auto"/>
                <w:bottom w:val="none" w:sz="0" w:space="0" w:color="auto"/>
                <w:right w:val="none" w:sz="0" w:space="0" w:color="auto"/>
              </w:divBdr>
              <w:divsChild>
                <w:div w:id="1125271986">
                  <w:marLeft w:val="0"/>
                  <w:marRight w:val="0"/>
                  <w:marTop w:val="0"/>
                  <w:marBottom w:val="0"/>
                  <w:divBdr>
                    <w:top w:val="none" w:sz="0" w:space="0" w:color="auto"/>
                    <w:left w:val="none" w:sz="0" w:space="0" w:color="auto"/>
                    <w:bottom w:val="none" w:sz="0" w:space="0" w:color="auto"/>
                    <w:right w:val="none" w:sz="0" w:space="0" w:color="auto"/>
                  </w:divBdr>
                  <w:divsChild>
                    <w:div w:id="13446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367051">
      <w:bodyDiv w:val="1"/>
      <w:marLeft w:val="0"/>
      <w:marRight w:val="0"/>
      <w:marTop w:val="0"/>
      <w:marBottom w:val="0"/>
      <w:divBdr>
        <w:top w:val="none" w:sz="0" w:space="0" w:color="auto"/>
        <w:left w:val="none" w:sz="0" w:space="0" w:color="auto"/>
        <w:bottom w:val="none" w:sz="0" w:space="0" w:color="auto"/>
        <w:right w:val="none" w:sz="0" w:space="0" w:color="auto"/>
      </w:divBdr>
    </w:div>
    <w:div w:id="902376195">
      <w:bodyDiv w:val="1"/>
      <w:marLeft w:val="0"/>
      <w:marRight w:val="0"/>
      <w:marTop w:val="0"/>
      <w:marBottom w:val="0"/>
      <w:divBdr>
        <w:top w:val="none" w:sz="0" w:space="0" w:color="auto"/>
        <w:left w:val="none" w:sz="0" w:space="0" w:color="auto"/>
        <w:bottom w:val="none" w:sz="0" w:space="0" w:color="auto"/>
        <w:right w:val="none" w:sz="0" w:space="0" w:color="auto"/>
      </w:divBdr>
    </w:div>
    <w:div w:id="934095499">
      <w:bodyDiv w:val="1"/>
      <w:marLeft w:val="0"/>
      <w:marRight w:val="0"/>
      <w:marTop w:val="0"/>
      <w:marBottom w:val="0"/>
      <w:divBdr>
        <w:top w:val="none" w:sz="0" w:space="0" w:color="auto"/>
        <w:left w:val="none" w:sz="0" w:space="0" w:color="auto"/>
        <w:bottom w:val="none" w:sz="0" w:space="0" w:color="auto"/>
        <w:right w:val="none" w:sz="0" w:space="0" w:color="auto"/>
      </w:divBdr>
    </w:div>
    <w:div w:id="952983900">
      <w:bodyDiv w:val="1"/>
      <w:marLeft w:val="0"/>
      <w:marRight w:val="0"/>
      <w:marTop w:val="0"/>
      <w:marBottom w:val="0"/>
      <w:divBdr>
        <w:top w:val="none" w:sz="0" w:space="0" w:color="auto"/>
        <w:left w:val="none" w:sz="0" w:space="0" w:color="auto"/>
        <w:bottom w:val="none" w:sz="0" w:space="0" w:color="auto"/>
        <w:right w:val="none" w:sz="0" w:space="0" w:color="auto"/>
      </w:divBdr>
      <w:divsChild>
        <w:div w:id="248276187">
          <w:marLeft w:val="0"/>
          <w:marRight w:val="0"/>
          <w:marTop w:val="0"/>
          <w:marBottom w:val="0"/>
          <w:divBdr>
            <w:top w:val="none" w:sz="0" w:space="0" w:color="auto"/>
            <w:left w:val="none" w:sz="0" w:space="0" w:color="auto"/>
            <w:bottom w:val="none" w:sz="0" w:space="0" w:color="auto"/>
            <w:right w:val="none" w:sz="0" w:space="0" w:color="auto"/>
          </w:divBdr>
          <w:divsChild>
            <w:div w:id="1862476913">
              <w:marLeft w:val="0"/>
              <w:marRight w:val="0"/>
              <w:marTop w:val="0"/>
              <w:marBottom w:val="0"/>
              <w:divBdr>
                <w:top w:val="none" w:sz="0" w:space="0" w:color="auto"/>
                <w:left w:val="none" w:sz="0" w:space="0" w:color="auto"/>
                <w:bottom w:val="none" w:sz="0" w:space="0" w:color="auto"/>
                <w:right w:val="none" w:sz="0" w:space="0" w:color="auto"/>
              </w:divBdr>
              <w:divsChild>
                <w:div w:id="3951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76">
      <w:bodyDiv w:val="1"/>
      <w:marLeft w:val="0"/>
      <w:marRight w:val="0"/>
      <w:marTop w:val="0"/>
      <w:marBottom w:val="0"/>
      <w:divBdr>
        <w:top w:val="none" w:sz="0" w:space="0" w:color="auto"/>
        <w:left w:val="none" w:sz="0" w:space="0" w:color="auto"/>
        <w:bottom w:val="none" w:sz="0" w:space="0" w:color="auto"/>
        <w:right w:val="none" w:sz="0" w:space="0" w:color="auto"/>
      </w:divBdr>
    </w:div>
    <w:div w:id="973101845">
      <w:bodyDiv w:val="1"/>
      <w:marLeft w:val="0"/>
      <w:marRight w:val="0"/>
      <w:marTop w:val="0"/>
      <w:marBottom w:val="0"/>
      <w:divBdr>
        <w:top w:val="none" w:sz="0" w:space="0" w:color="auto"/>
        <w:left w:val="none" w:sz="0" w:space="0" w:color="auto"/>
        <w:bottom w:val="none" w:sz="0" w:space="0" w:color="auto"/>
        <w:right w:val="none" w:sz="0" w:space="0" w:color="auto"/>
      </w:divBdr>
    </w:div>
    <w:div w:id="977416057">
      <w:bodyDiv w:val="1"/>
      <w:marLeft w:val="0"/>
      <w:marRight w:val="0"/>
      <w:marTop w:val="0"/>
      <w:marBottom w:val="0"/>
      <w:divBdr>
        <w:top w:val="none" w:sz="0" w:space="0" w:color="auto"/>
        <w:left w:val="none" w:sz="0" w:space="0" w:color="auto"/>
        <w:bottom w:val="none" w:sz="0" w:space="0" w:color="auto"/>
        <w:right w:val="none" w:sz="0" w:space="0" w:color="auto"/>
      </w:divBdr>
    </w:div>
    <w:div w:id="984507294">
      <w:bodyDiv w:val="1"/>
      <w:marLeft w:val="0"/>
      <w:marRight w:val="0"/>
      <w:marTop w:val="0"/>
      <w:marBottom w:val="0"/>
      <w:divBdr>
        <w:top w:val="none" w:sz="0" w:space="0" w:color="auto"/>
        <w:left w:val="none" w:sz="0" w:space="0" w:color="auto"/>
        <w:bottom w:val="none" w:sz="0" w:space="0" w:color="auto"/>
        <w:right w:val="none" w:sz="0" w:space="0" w:color="auto"/>
      </w:divBdr>
      <w:divsChild>
        <w:div w:id="495270544">
          <w:marLeft w:val="0"/>
          <w:marRight w:val="0"/>
          <w:marTop w:val="0"/>
          <w:marBottom w:val="0"/>
          <w:divBdr>
            <w:top w:val="none" w:sz="0" w:space="0" w:color="auto"/>
            <w:left w:val="none" w:sz="0" w:space="0" w:color="auto"/>
            <w:bottom w:val="none" w:sz="0" w:space="0" w:color="auto"/>
            <w:right w:val="none" w:sz="0" w:space="0" w:color="auto"/>
          </w:divBdr>
          <w:divsChild>
            <w:div w:id="1754931907">
              <w:marLeft w:val="0"/>
              <w:marRight w:val="0"/>
              <w:marTop w:val="0"/>
              <w:marBottom w:val="0"/>
              <w:divBdr>
                <w:top w:val="none" w:sz="0" w:space="0" w:color="auto"/>
                <w:left w:val="none" w:sz="0" w:space="0" w:color="auto"/>
                <w:bottom w:val="none" w:sz="0" w:space="0" w:color="auto"/>
                <w:right w:val="none" w:sz="0" w:space="0" w:color="auto"/>
              </w:divBdr>
              <w:divsChild>
                <w:div w:id="6948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7126">
      <w:bodyDiv w:val="1"/>
      <w:marLeft w:val="0"/>
      <w:marRight w:val="0"/>
      <w:marTop w:val="0"/>
      <w:marBottom w:val="0"/>
      <w:divBdr>
        <w:top w:val="none" w:sz="0" w:space="0" w:color="auto"/>
        <w:left w:val="none" w:sz="0" w:space="0" w:color="auto"/>
        <w:bottom w:val="none" w:sz="0" w:space="0" w:color="auto"/>
        <w:right w:val="none" w:sz="0" w:space="0" w:color="auto"/>
      </w:divBdr>
    </w:div>
    <w:div w:id="998657682">
      <w:bodyDiv w:val="1"/>
      <w:marLeft w:val="0"/>
      <w:marRight w:val="0"/>
      <w:marTop w:val="0"/>
      <w:marBottom w:val="0"/>
      <w:divBdr>
        <w:top w:val="none" w:sz="0" w:space="0" w:color="auto"/>
        <w:left w:val="none" w:sz="0" w:space="0" w:color="auto"/>
        <w:bottom w:val="none" w:sz="0" w:space="0" w:color="auto"/>
        <w:right w:val="none" w:sz="0" w:space="0" w:color="auto"/>
      </w:divBdr>
    </w:div>
    <w:div w:id="1000154322">
      <w:bodyDiv w:val="1"/>
      <w:marLeft w:val="0"/>
      <w:marRight w:val="0"/>
      <w:marTop w:val="0"/>
      <w:marBottom w:val="0"/>
      <w:divBdr>
        <w:top w:val="none" w:sz="0" w:space="0" w:color="auto"/>
        <w:left w:val="none" w:sz="0" w:space="0" w:color="auto"/>
        <w:bottom w:val="none" w:sz="0" w:space="0" w:color="auto"/>
        <w:right w:val="none" w:sz="0" w:space="0" w:color="auto"/>
      </w:divBdr>
    </w:div>
    <w:div w:id="1012606982">
      <w:bodyDiv w:val="1"/>
      <w:marLeft w:val="0"/>
      <w:marRight w:val="0"/>
      <w:marTop w:val="0"/>
      <w:marBottom w:val="0"/>
      <w:divBdr>
        <w:top w:val="none" w:sz="0" w:space="0" w:color="auto"/>
        <w:left w:val="none" w:sz="0" w:space="0" w:color="auto"/>
        <w:bottom w:val="none" w:sz="0" w:space="0" w:color="auto"/>
        <w:right w:val="none" w:sz="0" w:space="0" w:color="auto"/>
      </w:divBdr>
    </w:div>
    <w:div w:id="1030186987">
      <w:bodyDiv w:val="1"/>
      <w:marLeft w:val="0"/>
      <w:marRight w:val="0"/>
      <w:marTop w:val="0"/>
      <w:marBottom w:val="0"/>
      <w:divBdr>
        <w:top w:val="none" w:sz="0" w:space="0" w:color="auto"/>
        <w:left w:val="none" w:sz="0" w:space="0" w:color="auto"/>
        <w:bottom w:val="none" w:sz="0" w:space="0" w:color="auto"/>
        <w:right w:val="none" w:sz="0" w:space="0" w:color="auto"/>
      </w:divBdr>
      <w:divsChild>
        <w:div w:id="2111194108">
          <w:marLeft w:val="0"/>
          <w:marRight w:val="0"/>
          <w:marTop w:val="0"/>
          <w:marBottom w:val="0"/>
          <w:divBdr>
            <w:top w:val="none" w:sz="0" w:space="0" w:color="auto"/>
            <w:left w:val="none" w:sz="0" w:space="0" w:color="auto"/>
            <w:bottom w:val="none" w:sz="0" w:space="0" w:color="auto"/>
            <w:right w:val="none" w:sz="0" w:space="0" w:color="auto"/>
          </w:divBdr>
          <w:divsChild>
            <w:div w:id="598835055">
              <w:marLeft w:val="0"/>
              <w:marRight w:val="0"/>
              <w:marTop w:val="0"/>
              <w:marBottom w:val="0"/>
              <w:divBdr>
                <w:top w:val="none" w:sz="0" w:space="0" w:color="auto"/>
                <w:left w:val="none" w:sz="0" w:space="0" w:color="auto"/>
                <w:bottom w:val="none" w:sz="0" w:space="0" w:color="auto"/>
                <w:right w:val="none" w:sz="0" w:space="0" w:color="auto"/>
              </w:divBdr>
              <w:divsChild>
                <w:div w:id="5591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52651">
      <w:bodyDiv w:val="1"/>
      <w:marLeft w:val="0"/>
      <w:marRight w:val="0"/>
      <w:marTop w:val="0"/>
      <w:marBottom w:val="0"/>
      <w:divBdr>
        <w:top w:val="none" w:sz="0" w:space="0" w:color="auto"/>
        <w:left w:val="none" w:sz="0" w:space="0" w:color="auto"/>
        <w:bottom w:val="none" w:sz="0" w:space="0" w:color="auto"/>
        <w:right w:val="none" w:sz="0" w:space="0" w:color="auto"/>
      </w:divBdr>
      <w:divsChild>
        <w:div w:id="1576351886">
          <w:marLeft w:val="0"/>
          <w:marRight w:val="0"/>
          <w:marTop w:val="0"/>
          <w:marBottom w:val="0"/>
          <w:divBdr>
            <w:top w:val="none" w:sz="0" w:space="0" w:color="auto"/>
            <w:left w:val="none" w:sz="0" w:space="0" w:color="auto"/>
            <w:bottom w:val="none" w:sz="0" w:space="0" w:color="auto"/>
            <w:right w:val="none" w:sz="0" w:space="0" w:color="auto"/>
          </w:divBdr>
          <w:divsChild>
            <w:div w:id="2013488648">
              <w:marLeft w:val="0"/>
              <w:marRight w:val="0"/>
              <w:marTop w:val="0"/>
              <w:marBottom w:val="0"/>
              <w:divBdr>
                <w:top w:val="none" w:sz="0" w:space="0" w:color="auto"/>
                <w:left w:val="none" w:sz="0" w:space="0" w:color="auto"/>
                <w:bottom w:val="none" w:sz="0" w:space="0" w:color="auto"/>
                <w:right w:val="none" w:sz="0" w:space="0" w:color="auto"/>
              </w:divBdr>
              <w:divsChild>
                <w:div w:id="17890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7732">
      <w:bodyDiv w:val="1"/>
      <w:marLeft w:val="0"/>
      <w:marRight w:val="0"/>
      <w:marTop w:val="0"/>
      <w:marBottom w:val="0"/>
      <w:divBdr>
        <w:top w:val="none" w:sz="0" w:space="0" w:color="auto"/>
        <w:left w:val="none" w:sz="0" w:space="0" w:color="auto"/>
        <w:bottom w:val="none" w:sz="0" w:space="0" w:color="auto"/>
        <w:right w:val="none" w:sz="0" w:space="0" w:color="auto"/>
      </w:divBdr>
    </w:div>
    <w:div w:id="1111700458">
      <w:bodyDiv w:val="1"/>
      <w:marLeft w:val="0"/>
      <w:marRight w:val="0"/>
      <w:marTop w:val="0"/>
      <w:marBottom w:val="0"/>
      <w:divBdr>
        <w:top w:val="none" w:sz="0" w:space="0" w:color="auto"/>
        <w:left w:val="none" w:sz="0" w:space="0" w:color="auto"/>
        <w:bottom w:val="none" w:sz="0" w:space="0" w:color="auto"/>
        <w:right w:val="none" w:sz="0" w:space="0" w:color="auto"/>
      </w:divBdr>
      <w:divsChild>
        <w:div w:id="946348600">
          <w:marLeft w:val="0"/>
          <w:marRight w:val="0"/>
          <w:marTop w:val="0"/>
          <w:marBottom w:val="0"/>
          <w:divBdr>
            <w:top w:val="none" w:sz="0" w:space="0" w:color="auto"/>
            <w:left w:val="none" w:sz="0" w:space="0" w:color="auto"/>
            <w:bottom w:val="none" w:sz="0" w:space="0" w:color="auto"/>
            <w:right w:val="none" w:sz="0" w:space="0" w:color="auto"/>
          </w:divBdr>
          <w:divsChild>
            <w:div w:id="1819760567">
              <w:marLeft w:val="0"/>
              <w:marRight w:val="0"/>
              <w:marTop w:val="0"/>
              <w:marBottom w:val="0"/>
              <w:divBdr>
                <w:top w:val="none" w:sz="0" w:space="0" w:color="auto"/>
                <w:left w:val="none" w:sz="0" w:space="0" w:color="auto"/>
                <w:bottom w:val="none" w:sz="0" w:space="0" w:color="auto"/>
                <w:right w:val="none" w:sz="0" w:space="0" w:color="auto"/>
              </w:divBdr>
              <w:divsChild>
                <w:div w:id="1199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07618">
      <w:bodyDiv w:val="1"/>
      <w:marLeft w:val="0"/>
      <w:marRight w:val="0"/>
      <w:marTop w:val="0"/>
      <w:marBottom w:val="0"/>
      <w:divBdr>
        <w:top w:val="none" w:sz="0" w:space="0" w:color="auto"/>
        <w:left w:val="none" w:sz="0" w:space="0" w:color="auto"/>
        <w:bottom w:val="none" w:sz="0" w:space="0" w:color="auto"/>
        <w:right w:val="none" w:sz="0" w:space="0" w:color="auto"/>
      </w:divBdr>
    </w:div>
    <w:div w:id="1148863742">
      <w:bodyDiv w:val="1"/>
      <w:marLeft w:val="0"/>
      <w:marRight w:val="0"/>
      <w:marTop w:val="0"/>
      <w:marBottom w:val="0"/>
      <w:divBdr>
        <w:top w:val="none" w:sz="0" w:space="0" w:color="auto"/>
        <w:left w:val="none" w:sz="0" w:space="0" w:color="auto"/>
        <w:bottom w:val="none" w:sz="0" w:space="0" w:color="auto"/>
        <w:right w:val="none" w:sz="0" w:space="0" w:color="auto"/>
      </w:divBdr>
    </w:div>
    <w:div w:id="1178544743">
      <w:bodyDiv w:val="1"/>
      <w:marLeft w:val="0"/>
      <w:marRight w:val="0"/>
      <w:marTop w:val="0"/>
      <w:marBottom w:val="0"/>
      <w:divBdr>
        <w:top w:val="none" w:sz="0" w:space="0" w:color="auto"/>
        <w:left w:val="none" w:sz="0" w:space="0" w:color="auto"/>
        <w:bottom w:val="none" w:sz="0" w:space="0" w:color="auto"/>
        <w:right w:val="none" w:sz="0" w:space="0" w:color="auto"/>
      </w:divBdr>
    </w:div>
    <w:div w:id="1255821617">
      <w:bodyDiv w:val="1"/>
      <w:marLeft w:val="0"/>
      <w:marRight w:val="0"/>
      <w:marTop w:val="0"/>
      <w:marBottom w:val="0"/>
      <w:divBdr>
        <w:top w:val="none" w:sz="0" w:space="0" w:color="auto"/>
        <w:left w:val="none" w:sz="0" w:space="0" w:color="auto"/>
        <w:bottom w:val="none" w:sz="0" w:space="0" w:color="auto"/>
        <w:right w:val="none" w:sz="0" w:space="0" w:color="auto"/>
      </w:divBdr>
      <w:divsChild>
        <w:div w:id="1712728829">
          <w:marLeft w:val="0"/>
          <w:marRight w:val="0"/>
          <w:marTop w:val="0"/>
          <w:marBottom w:val="0"/>
          <w:divBdr>
            <w:top w:val="none" w:sz="0" w:space="0" w:color="auto"/>
            <w:left w:val="none" w:sz="0" w:space="0" w:color="auto"/>
            <w:bottom w:val="none" w:sz="0" w:space="0" w:color="auto"/>
            <w:right w:val="none" w:sz="0" w:space="0" w:color="auto"/>
          </w:divBdr>
          <w:divsChild>
            <w:div w:id="2115443633">
              <w:marLeft w:val="0"/>
              <w:marRight w:val="0"/>
              <w:marTop w:val="0"/>
              <w:marBottom w:val="0"/>
              <w:divBdr>
                <w:top w:val="none" w:sz="0" w:space="0" w:color="auto"/>
                <w:left w:val="none" w:sz="0" w:space="0" w:color="auto"/>
                <w:bottom w:val="none" w:sz="0" w:space="0" w:color="auto"/>
                <w:right w:val="none" w:sz="0" w:space="0" w:color="auto"/>
              </w:divBdr>
              <w:divsChild>
                <w:div w:id="931275549">
                  <w:marLeft w:val="0"/>
                  <w:marRight w:val="0"/>
                  <w:marTop w:val="0"/>
                  <w:marBottom w:val="0"/>
                  <w:divBdr>
                    <w:top w:val="none" w:sz="0" w:space="0" w:color="auto"/>
                    <w:left w:val="none" w:sz="0" w:space="0" w:color="auto"/>
                    <w:bottom w:val="none" w:sz="0" w:space="0" w:color="auto"/>
                    <w:right w:val="none" w:sz="0" w:space="0" w:color="auto"/>
                  </w:divBdr>
                  <w:divsChild>
                    <w:div w:id="2137480443">
                      <w:marLeft w:val="0"/>
                      <w:marRight w:val="0"/>
                      <w:marTop w:val="0"/>
                      <w:marBottom w:val="0"/>
                      <w:divBdr>
                        <w:top w:val="none" w:sz="0" w:space="0" w:color="auto"/>
                        <w:left w:val="none" w:sz="0" w:space="0" w:color="auto"/>
                        <w:bottom w:val="none" w:sz="0" w:space="0" w:color="auto"/>
                        <w:right w:val="none" w:sz="0" w:space="0" w:color="auto"/>
                      </w:divBdr>
                    </w:div>
                  </w:divsChild>
                </w:div>
                <w:div w:id="569121410">
                  <w:marLeft w:val="0"/>
                  <w:marRight w:val="0"/>
                  <w:marTop w:val="0"/>
                  <w:marBottom w:val="0"/>
                  <w:divBdr>
                    <w:top w:val="none" w:sz="0" w:space="0" w:color="auto"/>
                    <w:left w:val="none" w:sz="0" w:space="0" w:color="auto"/>
                    <w:bottom w:val="none" w:sz="0" w:space="0" w:color="auto"/>
                    <w:right w:val="none" w:sz="0" w:space="0" w:color="auto"/>
                  </w:divBdr>
                  <w:divsChild>
                    <w:div w:id="875040106">
                      <w:marLeft w:val="0"/>
                      <w:marRight w:val="0"/>
                      <w:marTop w:val="0"/>
                      <w:marBottom w:val="0"/>
                      <w:divBdr>
                        <w:top w:val="none" w:sz="0" w:space="0" w:color="auto"/>
                        <w:left w:val="none" w:sz="0" w:space="0" w:color="auto"/>
                        <w:bottom w:val="none" w:sz="0" w:space="0" w:color="auto"/>
                        <w:right w:val="none" w:sz="0" w:space="0" w:color="auto"/>
                      </w:divBdr>
                    </w:div>
                  </w:divsChild>
                </w:div>
                <w:div w:id="1905019979">
                  <w:marLeft w:val="0"/>
                  <w:marRight w:val="0"/>
                  <w:marTop w:val="0"/>
                  <w:marBottom w:val="0"/>
                  <w:divBdr>
                    <w:top w:val="none" w:sz="0" w:space="0" w:color="auto"/>
                    <w:left w:val="none" w:sz="0" w:space="0" w:color="auto"/>
                    <w:bottom w:val="none" w:sz="0" w:space="0" w:color="auto"/>
                    <w:right w:val="none" w:sz="0" w:space="0" w:color="auto"/>
                  </w:divBdr>
                  <w:divsChild>
                    <w:div w:id="1896309426">
                      <w:marLeft w:val="0"/>
                      <w:marRight w:val="0"/>
                      <w:marTop w:val="0"/>
                      <w:marBottom w:val="0"/>
                      <w:divBdr>
                        <w:top w:val="none" w:sz="0" w:space="0" w:color="auto"/>
                        <w:left w:val="none" w:sz="0" w:space="0" w:color="auto"/>
                        <w:bottom w:val="none" w:sz="0" w:space="0" w:color="auto"/>
                        <w:right w:val="none" w:sz="0" w:space="0" w:color="auto"/>
                      </w:divBdr>
                    </w:div>
                  </w:divsChild>
                </w:div>
                <w:div w:id="755440091">
                  <w:marLeft w:val="0"/>
                  <w:marRight w:val="0"/>
                  <w:marTop w:val="0"/>
                  <w:marBottom w:val="0"/>
                  <w:divBdr>
                    <w:top w:val="none" w:sz="0" w:space="0" w:color="auto"/>
                    <w:left w:val="none" w:sz="0" w:space="0" w:color="auto"/>
                    <w:bottom w:val="none" w:sz="0" w:space="0" w:color="auto"/>
                    <w:right w:val="none" w:sz="0" w:space="0" w:color="auto"/>
                  </w:divBdr>
                  <w:divsChild>
                    <w:div w:id="18172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42002996">
          <w:marLeft w:val="0"/>
          <w:marRight w:val="0"/>
          <w:marTop w:val="0"/>
          <w:marBottom w:val="0"/>
          <w:divBdr>
            <w:top w:val="none" w:sz="0" w:space="0" w:color="auto"/>
            <w:left w:val="none" w:sz="0" w:space="0" w:color="auto"/>
            <w:bottom w:val="none" w:sz="0" w:space="0" w:color="auto"/>
            <w:right w:val="none" w:sz="0" w:space="0" w:color="auto"/>
          </w:divBdr>
          <w:divsChild>
            <w:div w:id="999429318">
              <w:marLeft w:val="0"/>
              <w:marRight w:val="0"/>
              <w:marTop w:val="0"/>
              <w:marBottom w:val="0"/>
              <w:divBdr>
                <w:top w:val="none" w:sz="0" w:space="0" w:color="auto"/>
                <w:left w:val="none" w:sz="0" w:space="0" w:color="auto"/>
                <w:bottom w:val="none" w:sz="0" w:space="0" w:color="auto"/>
                <w:right w:val="none" w:sz="0" w:space="0" w:color="auto"/>
              </w:divBdr>
              <w:divsChild>
                <w:div w:id="15656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99554">
      <w:bodyDiv w:val="1"/>
      <w:marLeft w:val="0"/>
      <w:marRight w:val="0"/>
      <w:marTop w:val="0"/>
      <w:marBottom w:val="0"/>
      <w:divBdr>
        <w:top w:val="none" w:sz="0" w:space="0" w:color="auto"/>
        <w:left w:val="none" w:sz="0" w:space="0" w:color="auto"/>
        <w:bottom w:val="none" w:sz="0" w:space="0" w:color="auto"/>
        <w:right w:val="none" w:sz="0" w:space="0" w:color="auto"/>
      </w:divBdr>
    </w:div>
    <w:div w:id="1273781522">
      <w:bodyDiv w:val="1"/>
      <w:marLeft w:val="0"/>
      <w:marRight w:val="0"/>
      <w:marTop w:val="0"/>
      <w:marBottom w:val="0"/>
      <w:divBdr>
        <w:top w:val="none" w:sz="0" w:space="0" w:color="auto"/>
        <w:left w:val="none" w:sz="0" w:space="0" w:color="auto"/>
        <w:bottom w:val="none" w:sz="0" w:space="0" w:color="auto"/>
        <w:right w:val="none" w:sz="0" w:space="0" w:color="auto"/>
      </w:divBdr>
    </w:div>
    <w:div w:id="1274943042">
      <w:bodyDiv w:val="1"/>
      <w:marLeft w:val="0"/>
      <w:marRight w:val="0"/>
      <w:marTop w:val="0"/>
      <w:marBottom w:val="0"/>
      <w:divBdr>
        <w:top w:val="none" w:sz="0" w:space="0" w:color="auto"/>
        <w:left w:val="none" w:sz="0" w:space="0" w:color="auto"/>
        <w:bottom w:val="none" w:sz="0" w:space="0" w:color="auto"/>
        <w:right w:val="none" w:sz="0" w:space="0" w:color="auto"/>
      </w:divBdr>
    </w:div>
    <w:div w:id="1276449029">
      <w:bodyDiv w:val="1"/>
      <w:marLeft w:val="0"/>
      <w:marRight w:val="0"/>
      <w:marTop w:val="0"/>
      <w:marBottom w:val="0"/>
      <w:divBdr>
        <w:top w:val="none" w:sz="0" w:space="0" w:color="auto"/>
        <w:left w:val="none" w:sz="0" w:space="0" w:color="auto"/>
        <w:bottom w:val="none" w:sz="0" w:space="0" w:color="auto"/>
        <w:right w:val="none" w:sz="0" w:space="0" w:color="auto"/>
      </w:divBdr>
    </w:div>
    <w:div w:id="1278174518">
      <w:bodyDiv w:val="1"/>
      <w:marLeft w:val="0"/>
      <w:marRight w:val="0"/>
      <w:marTop w:val="0"/>
      <w:marBottom w:val="0"/>
      <w:divBdr>
        <w:top w:val="none" w:sz="0" w:space="0" w:color="auto"/>
        <w:left w:val="none" w:sz="0" w:space="0" w:color="auto"/>
        <w:bottom w:val="none" w:sz="0" w:space="0" w:color="auto"/>
        <w:right w:val="none" w:sz="0" w:space="0" w:color="auto"/>
      </w:divBdr>
      <w:divsChild>
        <w:div w:id="270280545">
          <w:marLeft w:val="0"/>
          <w:marRight w:val="0"/>
          <w:marTop w:val="0"/>
          <w:marBottom w:val="0"/>
          <w:divBdr>
            <w:top w:val="none" w:sz="0" w:space="0" w:color="auto"/>
            <w:left w:val="none" w:sz="0" w:space="0" w:color="auto"/>
            <w:bottom w:val="none" w:sz="0" w:space="0" w:color="auto"/>
            <w:right w:val="none" w:sz="0" w:space="0" w:color="auto"/>
          </w:divBdr>
          <w:divsChild>
            <w:div w:id="1167330535">
              <w:marLeft w:val="0"/>
              <w:marRight w:val="0"/>
              <w:marTop w:val="0"/>
              <w:marBottom w:val="0"/>
              <w:divBdr>
                <w:top w:val="none" w:sz="0" w:space="0" w:color="auto"/>
                <w:left w:val="none" w:sz="0" w:space="0" w:color="auto"/>
                <w:bottom w:val="none" w:sz="0" w:space="0" w:color="auto"/>
                <w:right w:val="none" w:sz="0" w:space="0" w:color="auto"/>
              </w:divBdr>
              <w:divsChild>
                <w:div w:id="10449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4228">
      <w:bodyDiv w:val="1"/>
      <w:marLeft w:val="0"/>
      <w:marRight w:val="0"/>
      <w:marTop w:val="0"/>
      <w:marBottom w:val="0"/>
      <w:divBdr>
        <w:top w:val="none" w:sz="0" w:space="0" w:color="auto"/>
        <w:left w:val="none" w:sz="0" w:space="0" w:color="auto"/>
        <w:bottom w:val="none" w:sz="0" w:space="0" w:color="auto"/>
        <w:right w:val="none" w:sz="0" w:space="0" w:color="auto"/>
      </w:divBdr>
    </w:div>
    <w:div w:id="1303971814">
      <w:bodyDiv w:val="1"/>
      <w:marLeft w:val="0"/>
      <w:marRight w:val="0"/>
      <w:marTop w:val="0"/>
      <w:marBottom w:val="0"/>
      <w:divBdr>
        <w:top w:val="none" w:sz="0" w:space="0" w:color="auto"/>
        <w:left w:val="none" w:sz="0" w:space="0" w:color="auto"/>
        <w:bottom w:val="none" w:sz="0" w:space="0" w:color="auto"/>
        <w:right w:val="none" w:sz="0" w:space="0" w:color="auto"/>
      </w:divBdr>
    </w:div>
    <w:div w:id="1338194961">
      <w:bodyDiv w:val="1"/>
      <w:marLeft w:val="0"/>
      <w:marRight w:val="0"/>
      <w:marTop w:val="0"/>
      <w:marBottom w:val="0"/>
      <w:divBdr>
        <w:top w:val="none" w:sz="0" w:space="0" w:color="auto"/>
        <w:left w:val="none" w:sz="0" w:space="0" w:color="auto"/>
        <w:bottom w:val="none" w:sz="0" w:space="0" w:color="auto"/>
        <w:right w:val="none" w:sz="0" w:space="0" w:color="auto"/>
      </w:divBdr>
    </w:div>
    <w:div w:id="1360205396">
      <w:bodyDiv w:val="1"/>
      <w:marLeft w:val="0"/>
      <w:marRight w:val="0"/>
      <w:marTop w:val="0"/>
      <w:marBottom w:val="0"/>
      <w:divBdr>
        <w:top w:val="none" w:sz="0" w:space="0" w:color="auto"/>
        <w:left w:val="none" w:sz="0" w:space="0" w:color="auto"/>
        <w:bottom w:val="none" w:sz="0" w:space="0" w:color="auto"/>
        <w:right w:val="none" w:sz="0" w:space="0" w:color="auto"/>
      </w:divBdr>
    </w:div>
    <w:div w:id="1365057816">
      <w:bodyDiv w:val="1"/>
      <w:marLeft w:val="0"/>
      <w:marRight w:val="0"/>
      <w:marTop w:val="0"/>
      <w:marBottom w:val="0"/>
      <w:divBdr>
        <w:top w:val="none" w:sz="0" w:space="0" w:color="auto"/>
        <w:left w:val="none" w:sz="0" w:space="0" w:color="auto"/>
        <w:bottom w:val="none" w:sz="0" w:space="0" w:color="auto"/>
        <w:right w:val="none" w:sz="0" w:space="0" w:color="auto"/>
      </w:divBdr>
      <w:divsChild>
        <w:div w:id="1781027264">
          <w:marLeft w:val="0"/>
          <w:marRight w:val="0"/>
          <w:marTop w:val="0"/>
          <w:marBottom w:val="0"/>
          <w:divBdr>
            <w:top w:val="none" w:sz="0" w:space="0" w:color="auto"/>
            <w:left w:val="none" w:sz="0" w:space="0" w:color="auto"/>
            <w:bottom w:val="none" w:sz="0" w:space="0" w:color="auto"/>
            <w:right w:val="none" w:sz="0" w:space="0" w:color="auto"/>
          </w:divBdr>
          <w:divsChild>
            <w:div w:id="1799060415">
              <w:marLeft w:val="0"/>
              <w:marRight w:val="0"/>
              <w:marTop w:val="0"/>
              <w:marBottom w:val="0"/>
              <w:divBdr>
                <w:top w:val="none" w:sz="0" w:space="0" w:color="auto"/>
                <w:left w:val="none" w:sz="0" w:space="0" w:color="auto"/>
                <w:bottom w:val="none" w:sz="0" w:space="0" w:color="auto"/>
                <w:right w:val="none" w:sz="0" w:space="0" w:color="auto"/>
              </w:divBdr>
              <w:divsChild>
                <w:div w:id="11694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73290">
      <w:bodyDiv w:val="1"/>
      <w:marLeft w:val="0"/>
      <w:marRight w:val="0"/>
      <w:marTop w:val="0"/>
      <w:marBottom w:val="0"/>
      <w:divBdr>
        <w:top w:val="none" w:sz="0" w:space="0" w:color="auto"/>
        <w:left w:val="none" w:sz="0" w:space="0" w:color="auto"/>
        <w:bottom w:val="none" w:sz="0" w:space="0" w:color="auto"/>
        <w:right w:val="none" w:sz="0" w:space="0" w:color="auto"/>
      </w:divBdr>
    </w:div>
    <w:div w:id="1379165788">
      <w:bodyDiv w:val="1"/>
      <w:marLeft w:val="0"/>
      <w:marRight w:val="0"/>
      <w:marTop w:val="0"/>
      <w:marBottom w:val="0"/>
      <w:divBdr>
        <w:top w:val="none" w:sz="0" w:space="0" w:color="auto"/>
        <w:left w:val="none" w:sz="0" w:space="0" w:color="auto"/>
        <w:bottom w:val="none" w:sz="0" w:space="0" w:color="auto"/>
        <w:right w:val="none" w:sz="0" w:space="0" w:color="auto"/>
      </w:divBdr>
    </w:div>
    <w:div w:id="1417627453">
      <w:bodyDiv w:val="1"/>
      <w:marLeft w:val="0"/>
      <w:marRight w:val="0"/>
      <w:marTop w:val="0"/>
      <w:marBottom w:val="0"/>
      <w:divBdr>
        <w:top w:val="none" w:sz="0" w:space="0" w:color="auto"/>
        <w:left w:val="none" w:sz="0" w:space="0" w:color="auto"/>
        <w:bottom w:val="none" w:sz="0" w:space="0" w:color="auto"/>
        <w:right w:val="none" w:sz="0" w:space="0" w:color="auto"/>
      </w:divBdr>
    </w:div>
    <w:div w:id="1427650699">
      <w:bodyDiv w:val="1"/>
      <w:marLeft w:val="0"/>
      <w:marRight w:val="0"/>
      <w:marTop w:val="0"/>
      <w:marBottom w:val="0"/>
      <w:divBdr>
        <w:top w:val="none" w:sz="0" w:space="0" w:color="auto"/>
        <w:left w:val="none" w:sz="0" w:space="0" w:color="auto"/>
        <w:bottom w:val="none" w:sz="0" w:space="0" w:color="auto"/>
        <w:right w:val="none" w:sz="0" w:space="0" w:color="auto"/>
      </w:divBdr>
    </w:div>
    <w:div w:id="1479763233">
      <w:bodyDiv w:val="1"/>
      <w:marLeft w:val="0"/>
      <w:marRight w:val="0"/>
      <w:marTop w:val="0"/>
      <w:marBottom w:val="0"/>
      <w:divBdr>
        <w:top w:val="none" w:sz="0" w:space="0" w:color="auto"/>
        <w:left w:val="none" w:sz="0" w:space="0" w:color="auto"/>
        <w:bottom w:val="none" w:sz="0" w:space="0" w:color="auto"/>
        <w:right w:val="none" w:sz="0" w:space="0" w:color="auto"/>
      </w:divBdr>
    </w:div>
    <w:div w:id="1495418713">
      <w:bodyDiv w:val="1"/>
      <w:marLeft w:val="0"/>
      <w:marRight w:val="0"/>
      <w:marTop w:val="0"/>
      <w:marBottom w:val="0"/>
      <w:divBdr>
        <w:top w:val="none" w:sz="0" w:space="0" w:color="auto"/>
        <w:left w:val="none" w:sz="0" w:space="0" w:color="auto"/>
        <w:bottom w:val="none" w:sz="0" w:space="0" w:color="auto"/>
        <w:right w:val="none" w:sz="0" w:space="0" w:color="auto"/>
      </w:divBdr>
      <w:divsChild>
        <w:div w:id="1962030366">
          <w:marLeft w:val="0"/>
          <w:marRight w:val="0"/>
          <w:marTop w:val="0"/>
          <w:marBottom w:val="0"/>
          <w:divBdr>
            <w:top w:val="none" w:sz="0" w:space="0" w:color="auto"/>
            <w:left w:val="none" w:sz="0" w:space="0" w:color="auto"/>
            <w:bottom w:val="none" w:sz="0" w:space="0" w:color="auto"/>
            <w:right w:val="none" w:sz="0" w:space="0" w:color="auto"/>
          </w:divBdr>
          <w:divsChild>
            <w:div w:id="180244028">
              <w:marLeft w:val="0"/>
              <w:marRight w:val="0"/>
              <w:marTop w:val="0"/>
              <w:marBottom w:val="0"/>
              <w:divBdr>
                <w:top w:val="none" w:sz="0" w:space="0" w:color="auto"/>
                <w:left w:val="none" w:sz="0" w:space="0" w:color="auto"/>
                <w:bottom w:val="none" w:sz="0" w:space="0" w:color="auto"/>
                <w:right w:val="none" w:sz="0" w:space="0" w:color="auto"/>
              </w:divBdr>
              <w:divsChild>
                <w:div w:id="13948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6276">
      <w:bodyDiv w:val="1"/>
      <w:marLeft w:val="0"/>
      <w:marRight w:val="0"/>
      <w:marTop w:val="0"/>
      <w:marBottom w:val="0"/>
      <w:divBdr>
        <w:top w:val="none" w:sz="0" w:space="0" w:color="auto"/>
        <w:left w:val="none" w:sz="0" w:space="0" w:color="auto"/>
        <w:bottom w:val="none" w:sz="0" w:space="0" w:color="auto"/>
        <w:right w:val="none" w:sz="0" w:space="0" w:color="auto"/>
      </w:divBdr>
      <w:divsChild>
        <w:div w:id="1493447662">
          <w:marLeft w:val="0"/>
          <w:marRight w:val="0"/>
          <w:marTop w:val="0"/>
          <w:marBottom w:val="0"/>
          <w:divBdr>
            <w:top w:val="none" w:sz="0" w:space="0" w:color="auto"/>
            <w:left w:val="none" w:sz="0" w:space="0" w:color="auto"/>
            <w:bottom w:val="none" w:sz="0" w:space="0" w:color="auto"/>
            <w:right w:val="none" w:sz="0" w:space="0" w:color="auto"/>
          </w:divBdr>
          <w:divsChild>
            <w:div w:id="2102334688">
              <w:marLeft w:val="0"/>
              <w:marRight w:val="0"/>
              <w:marTop w:val="0"/>
              <w:marBottom w:val="0"/>
              <w:divBdr>
                <w:top w:val="none" w:sz="0" w:space="0" w:color="auto"/>
                <w:left w:val="none" w:sz="0" w:space="0" w:color="auto"/>
                <w:bottom w:val="none" w:sz="0" w:space="0" w:color="auto"/>
                <w:right w:val="none" w:sz="0" w:space="0" w:color="auto"/>
              </w:divBdr>
              <w:divsChild>
                <w:div w:id="1702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86446">
      <w:bodyDiv w:val="1"/>
      <w:marLeft w:val="0"/>
      <w:marRight w:val="0"/>
      <w:marTop w:val="0"/>
      <w:marBottom w:val="0"/>
      <w:divBdr>
        <w:top w:val="none" w:sz="0" w:space="0" w:color="auto"/>
        <w:left w:val="none" w:sz="0" w:space="0" w:color="auto"/>
        <w:bottom w:val="none" w:sz="0" w:space="0" w:color="auto"/>
        <w:right w:val="none" w:sz="0" w:space="0" w:color="auto"/>
      </w:divBdr>
    </w:div>
    <w:div w:id="1518620867">
      <w:bodyDiv w:val="1"/>
      <w:marLeft w:val="0"/>
      <w:marRight w:val="0"/>
      <w:marTop w:val="0"/>
      <w:marBottom w:val="0"/>
      <w:divBdr>
        <w:top w:val="none" w:sz="0" w:space="0" w:color="auto"/>
        <w:left w:val="none" w:sz="0" w:space="0" w:color="auto"/>
        <w:bottom w:val="none" w:sz="0" w:space="0" w:color="auto"/>
        <w:right w:val="none" w:sz="0" w:space="0" w:color="auto"/>
      </w:divBdr>
      <w:divsChild>
        <w:div w:id="1360004739">
          <w:marLeft w:val="0"/>
          <w:marRight w:val="0"/>
          <w:marTop w:val="0"/>
          <w:marBottom w:val="0"/>
          <w:divBdr>
            <w:top w:val="none" w:sz="0" w:space="0" w:color="auto"/>
            <w:left w:val="none" w:sz="0" w:space="0" w:color="auto"/>
            <w:bottom w:val="none" w:sz="0" w:space="0" w:color="auto"/>
            <w:right w:val="none" w:sz="0" w:space="0" w:color="auto"/>
          </w:divBdr>
          <w:divsChild>
            <w:div w:id="638849781">
              <w:marLeft w:val="0"/>
              <w:marRight w:val="0"/>
              <w:marTop w:val="0"/>
              <w:marBottom w:val="0"/>
              <w:divBdr>
                <w:top w:val="none" w:sz="0" w:space="0" w:color="auto"/>
                <w:left w:val="none" w:sz="0" w:space="0" w:color="auto"/>
                <w:bottom w:val="none" w:sz="0" w:space="0" w:color="auto"/>
                <w:right w:val="none" w:sz="0" w:space="0" w:color="auto"/>
              </w:divBdr>
              <w:divsChild>
                <w:div w:id="8341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69084">
      <w:bodyDiv w:val="1"/>
      <w:marLeft w:val="0"/>
      <w:marRight w:val="0"/>
      <w:marTop w:val="0"/>
      <w:marBottom w:val="0"/>
      <w:divBdr>
        <w:top w:val="none" w:sz="0" w:space="0" w:color="auto"/>
        <w:left w:val="none" w:sz="0" w:space="0" w:color="auto"/>
        <w:bottom w:val="none" w:sz="0" w:space="0" w:color="auto"/>
        <w:right w:val="none" w:sz="0" w:space="0" w:color="auto"/>
      </w:divBdr>
      <w:divsChild>
        <w:div w:id="952053375">
          <w:marLeft w:val="0"/>
          <w:marRight w:val="0"/>
          <w:marTop w:val="0"/>
          <w:marBottom w:val="0"/>
          <w:divBdr>
            <w:top w:val="none" w:sz="0" w:space="0" w:color="auto"/>
            <w:left w:val="none" w:sz="0" w:space="0" w:color="auto"/>
            <w:bottom w:val="none" w:sz="0" w:space="0" w:color="auto"/>
            <w:right w:val="none" w:sz="0" w:space="0" w:color="auto"/>
          </w:divBdr>
          <w:divsChild>
            <w:div w:id="1921057276">
              <w:marLeft w:val="0"/>
              <w:marRight w:val="0"/>
              <w:marTop w:val="0"/>
              <w:marBottom w:val="0"/>
              <w:divBdr>
                <w:top w:val="none" w:sz="0" w:space="0" w:color="auto"/>
                <w:left w:val="none" w:sz="0" w:space="0" w:color="auto"/>
                <w:bottom w:val="none" w:sz="0" w:space="0" w:color="auto"/>
                <w:right w:val="none" w:sz="0" w:space="0" w:color="auto"/>
              </w:divBdr>
              <w:divsChild>
                <w:div w:id="667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45609">
      <w:bodyDiv w:val="1"/>
      <w:marLeft w:val="0"/>
      <w:marRight w:val="0"/>
      <w:marTop w:val="0"/>
      <w:marBottom w:val="0"/>
      <w:divBdr>
        <w:top w:val="none" w:sz="0" w:space="0" w:color="auto"/>
        <w:left w:val="none" w:sz="0" w:space="0" w:color="auto"/>
        <w:bottom w:val="none" w:sz="0" w:space="0" w:color="auto"/>
        <w:right w:val="none" w:sz="0" w:space="0" w:color="auto"/>
      </w:divBdr>
    </w:div>
    <w:div w:id="1590696489">
      <w:bodyDiv w:val="1"/>
      <w:marLeft w:val="0"/>
      <w:marRight w:val="0"/>
      <w:marTop w:val="0"/>
      <w:marBottom w:val="0"/>
      <w:divBdr>
        <w:top w:val="none" w:sz="0" w:space="0" w:color="auto"/>
        <w:left w:val="none" w:sz="0" w:space="0" w:color="auto"/>
        <w:bottom w:val="none" w:sz="0" w:space="0" w:color="auto"/>
        <w:right w:val="none" w:sz="0" w:space="0" w:color="auto"/>
      </w:divBdr>
      <w:divsChild>
        <w:div w:id="1105075468">
          <w:marLeft w:val="0"/>
          <w:marRight w:val="0"/>
          <w:marTop w:val="0"/>
          <w:marBottom w:val="0"/>
          <w:divBdr>
            <w:top w:val="none" w:sz="0" w:space="0" w:color="auto"/>
            <w:left w:val="none" w:sz="0" w:space="0" w:color="auto"/>
            <w:bottom w:val="none" w:sz="0" w:space="0" w:color="auto"/>
            <w:right w:val="none" w:sz="0" w:space="0" w:color="auto"/>
          </w:divBdr>
          <w:divsChild>
            <w:div w:id="107895012">
              <w:marLeft w:val="0"/>
              <w:marRight w:val="0"/>
              <w:marTop w:val="0"/>
              <w:marBottom w:val="0"/>
              <w:divBdr>
                <w:top w:val="none" w:sz="0" w:space="0" w:color="auto"/>
                <w:left w:val="none" w:sz="0" w:space="0" w:color="auto"/>
                <w:bottom w:val="none" w:sz="0" w:space="0" w:color="auto"/>
                <w:right w:val="none" w:sz="0" w:space="0" w:color="auto"/>
              </w:divBdr>
              <w:divsChild>
                <w:div w:id="8836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5269">
      <w:bodyDiv w:val="1"/>
      <w:marLeft w:val="0"/>
      <w:marRight w:val="0"/>
      <w:marTop w:val="0"/>
      <w:marBottom w:val="0"/>
      <w:divBdr>
        <w:top w:val="none" w:sz="0" w:space="0" w:color="auto"/>
        <w:left w:val="none" w:sz="0" w:space="0" w:color="auto"/>
        <w:bottom w:val="none" w:sz="0" w:space="0" w:color="auto"/>
        <w:right w:val="none" w:sz="0" w:space="0" w:color="auto"/>
      </w:divBdr>
    </w:div>
    <w:div w:id="1606886540">
      <w:bodyDiv w:val="1"/>
      <w:marLeft w:val="0"/>
      <w:marRight w:val="0"/>
      <w:marTop w:val="0"/>
      <w:marBottom w:val="0"/>
      <w:divBdr>
        <w:top w:val="none" w:sz="0" w:space="0" w:color="auto"/>
        <w:left w:val="none" w:sz="0" w:space="0" w:color="auto"/>
        <w:bottom w:val="none" w:sz="0" w:space="0" w:color="auto"/>
        <w:right w:val="none" w:sz="0" w:space="0" w:color="auto"/>
      </w:divBdr>
    </w:div>
    <w:div w:id="1625964556">
      <w:bodyDiv w:val="1"/>
      <w:marLeft w:val="0"/>
      <w:marRight w:val="0"/>
      <w:marTop w:val="0"/>
      <w:marBottom w:val="0"/>
      <w:divBdr>
        <w:top w:val="none" w:sz="0" w:space="0" w:color="auto"/>
        <w:left w:val="none" w:sz="0" w:space="0" w:color="auto"/>
        <w:bottom w:val="none" w:sz="0" w:space="0" w:color="auto"/>
        <w:right w:val="none" w:sz="0" w:space="0" w:color="auto"/>
      </w:divBdr>
      <w:divsChild>
        <w:div w:id="387732695">
          <w:marLeft w:val="0"/>
          <w:marRight w:val="0"/>
          <w:marTop w:val="0"/>
          <w:marBottom w:val="0"/>
          <w:divBdr>
            <w:top w:val="none" w:sz="0" w:space="0" w:color="auto"/>
            <w:left w:val="none" w:sz="0" w:space="0" w:color="auto"/>
            <w:bottom w:val="none" w:sz="0" w:space="0" w:color="auto"/>
            <w:right w:val="none" w:sz="0" w:space="0" w:color="auto"/>
          </w:divBdr>
          <w:divsChild>
            <w:div w:id="169607287">
              <w:marLeft w:val="0"/>
              <w:marRight w:val="0"/>
              <w:marTop w:val="0"/>
              <w:marBottom w:val="0"/>
              <w:divBdr>
                <w:top w:val="none" w:sz="0" w:space="0" w:color="auto"/>
                <w:left w:val="none" w:sz="0" w:space="0" w:color="auto"/>
                <w:bottom w:val="none" w:sz="0" w:space="0" w:color="auto"/>
                <w:right w:val="none" w:sz="0" w:space="0" w:color="auto"/>
              </w:divBdr>
              <w:divsChild>
                <w:div w:id="1233736977">
                  <w:marLeft w:val="0"/>
                  <w:marRight w:val="0"/>
                  <w:marTop w:val="0"/>
                  <w:marBottom w:val="0"/>
                  <w:divBdr>
                    <w:top w:val="none" w:sz="0" w:space="0" w:color="auto"/>
                    <w:left w:val="none" w:sz="0" w:space="0" w:color="auto"/>
                    <w:bottom w:val="none" w:sz="0" w:space="0" w:color="auto"/>
                    <w:right w:val="none" w:sz="0" w:space="0" w:color="auto"/>
                  </w:divBdr>
                </w:div>
              </w:divsChild>
            </w:div>
            <w:div w:id="1626960074">
              <w:marLeft w:val="0"/>
              <w:marRight w:val="0"/>
              <w:marTop w:val="0"/>
              <w:marBottom w:val="0"/>
              <w:divBdr>
                <w:top w:val="none" w:sz="0" w:space="0" w:color="auto"/>
                <w:left w:val="none" w:sz="0" w:space="0" w:color="auto"/>
                <w:bottom w:val="none" w:sz="0" w:space="0" w:color="auto"/>
                <w:right w:val="none" w:sz="0" w:space="0" w:color="auto"/>
              </w:divBdr>
              <w:divsChild>
                <w:div w:id="1809933605">
                  <w:marLeft w:val="0"/>
                  <w:marRight w:val="0"/>
                  <w:marTop w:val="0"/>
                  <w:marBottom w:val="0"/>
                  <w:divBdr>
                    <w:top w:val="none" w:sz="0" w:space="0" w:color="auto"/>
                    <w:left w:val="none" w:sz="0" w:space="0" w:color="auto"/>
                    <w:bottom w:val="none" w:sz="0" w:space="0" w:color="auto"/>
                    <w:right w:val="none" w:sz="0" w:space="0" w:color="auto"/>
                  </w:divBdr>
                  <w:divsChild>
                    <w:div w:id="1341471414">
                      <w:marLeft w:val="0"/>
                      <w:marRight w:val="0"/>
                      <w:marTop w:val="0"/>
                      <w:marBottom w:val="0"/>
                      <w:divBdr>
                        <w:top w:val="none" w:sz="0" w:space="0" w:color="auto"/>
                        <w:left w:val="none" w:sz="0" w:space="0" w:color="auto"/>
                        <w:bottom w:val="none" w:sz="0" w:space="0" w:color="auto"/>
                        <w:right w:val="none" w:sz="0" w:space="0" w:color="auto"/>
                      </w:divBdr>
                    </w:div>
                  </w:divsChild>
                </w:div>
                <w:div w:id="586816337">
                  <w:marLeft w:val="0"/>
                  <w:marRight w:val="0"/>
                  <w:marTop w:val="0"/>
                  <w:marBottom w:val="0"/>
                  <w:divBdr>
                    <w:top w:val="none" w:sz="0" w:space="0" w:color="auto"/>
                    <w:left w:val="none" w:sz="0" w:space="0" w:color="auto"/>
                    <w:bottom w:val="none" w:sz="0" w:space="0" w:color="auto"/>
                    <w:right w:val="none" w:sz="0" w:space="0" w:color="auto"/>
                  </w:divBdr>
                  <w:divsChild>
                    <w:div w:id="1876193469">
                      <w:marLeft w:val="0"/>
                      <w:marRight w:val="0"/>
                      <w:marTop w:val="0"/>
                      <w:marBottom w:val="0"/>
                      <w:divBdr>
                        <w:top w:val="none" w:sz="0" w:space="0" w:color="auto"/>
                        <w:left w:val="none" w:sz="0" w:space="0" w:color="auto"/>
                        <w:bottom w:val="none" w:sz="0" w:space="0" w:color="auto"/>
                        <w:right w:val="none" w:sz="0" w:space="0" w:color="auto"/>
                      </w:divBdr>
                    </w:div>
                  </w:divsChild>
                </w:div>
                <w:div w:id="1641493596">
                  <w:marLeft w:val="0"/>
                  <w:marRight w:val="0"/>
                  <w:marTop w:val="0"/>
                  <w:marBottom w:val="0"/>
                  <w:divBdr>
                    <w:top w:val="none" w:sz="0" w:space="0" w:color="auto"/>
                    <w:left w:val="none" w:sz="0" w:space="0" w:color="auto"/>
                    <w:bottom w:val="none" w:sz="0" w:space="0" w:color="auto"/>
                    <w:right w:val="none" w:sz="0" w:space="0" w:color="auto"/>
                  </w:divBdr>
                  <w:divsChild>
                    <w:div w:id="121117660">
                      <w:marLeft w:val="0"/>
                      <w:marRight w:val="0"/>
                      <w:marTop w:val="0"/>
                      <w:marBottom w:val="0"/>
                      <w:divBdr>
                        <w:top w:val="none" w:sz="0" w:space="0" w:color="auto"/>
                        <w:left w:val="none" w:sz="0" w:space="0" w:color="auto"/>
                        <w:bottom w:val="none" w:sz="0" w:space="0" w:color="auto"/>
                        <w:right w:val="none" w:sz="0" w:space="0" w:color="auto"/>
                      </w:divBdr>
                    </w:div>
                  </w:divsChild>
                </w:div>
                <w:div w:id="27873367">
                  <w:marLeft w:val="0"/>
                  <w:marRight w:val="0"/>
                  <w:marTop w:val="0"/>
                  <w:marBottom w:val="0"/>
                  <w:divBdr>
                    <w:top w:val="none" w:sz="0" w:space="0" w:color="auto"/>
                    <w:left w:val="none" w:sz="0" w:space="0" w:color="auto"/>
                    <w:bottom w:val="none" w:sz="0" w:space="0" w:color="auto"/>
                    <w:right w:val="none" w:sz="0" w:space="0" w:color="auto"/>
                  </w:divBdr>
                  <w:divsChild>
                    <w:div w:id="921719267">
                      <w:marLeft w:val="0"/>
                      <w:marRight w:val="0"/>
                      <w:marTop w:val="0"/>
                      <w:marBottom w:val="0"/>
                      <w:divBdr>
                        <w:top w:val="none" w:sz="0" w:space="0" w:color="auto"/>
                        <w:left w:val="none" w:sz="0" w:space="0" w:color="auto"/>
                        <w:bottom w:val="none" w:sz="0" w:space="0" w:color="auto"/>
                        <w:right w:val="none" w:sz="0" w:space="0" w:color="auto"/>
                      </w:divBdr>
                    </w:div>
                  </w:divsChild>
                </w:div>
                <w:div w:id="45107595">
                  <w:marLeft w:val="0"/>
                  <w:marRight w:val="0"/>
                  <w:marTop w:val="0"/>
                  <w:marBottom w:val="0"/>
                  <w:divBdr>
                    <w:top w:val="none" w:sz="0" w:space="0" w:color="auto"/>
                    <w:left w:val="none" w:sz="0" w:space="0" w:color="auto"/>
                    <w:bottom w:val="none" w:sz="0" w:space="0" w:color="auto"/>
                    <w:right w:val="none" w:sz="0" w:space="0" w:color="auto"/>
                  </w:divBdr>
                  <w:divsChild>
                    <w:div w:id="1082023849">
                      <w:marLeft w:val="0"/>
                      <w:marRight w:val="0"/>
                      <w:marTop w:val="0"/>
                      <w:marBottom w:val="0"/>
                      <w:divBdr>
                        <w:top w:val="none" w:sz="0" w:space="0" w:color="auto"/>
                        <w:left w:val="none" w:sz="0" w:space="0" w:color="auto"/>
                        <w:bottom w:val="none" w:sz="0" w:space="0" w:color="auto"/>
                        <w:right w:val="none" w:sz="0" w:space="0" w:color="auto"/>
                      </w:divBdr>
                    </w:div>
                  </w:divsChild>
                </w:div>
                <w:div w:id="318927363">
                  <w:marLeft w:val="0"/>
                  <w:marRight w:val="0"/>
                  <w:marTop w:val="0"/>
                  <w:marBottom w:val="0"/>
                  <w:divBdr>
                    <w:top w:val="none" w:sz="0" w:space="0" w:color="auto"/>
                    <w:left w:val="none" w:sz="0" w:space="0" w:color="auto"/>
                    <w:bottom w:val="none" w:sz="0" w:space="0" w:color="auto"/>
                    <w:right w:val="none" w:sz="0" w:space="0" w:color="auto"/>
                  </w:divBdr>
                  <w:divsChild>
                    <w:div w:id="61876671">
                      <w:marLeft w:val="0"/>
                      <w:marRight w:val="0"/>
                      <w:marTop w:val="0"/>
                      <w:marBottom w:val="0"/>
                      <w:divBdr>
                        <w:top w:val="none" w:sz="0" w:space="0" w:color="auto"/>
                        <w:left w:val="none" w:sz="0" w:space="0" w:color="auto"/>
                        <w:bottom w:val="none" w:sz="0" w:space="0" w:color="auto"/>
                        <w:right w:val="none" w:sz="0" w:space="0" w:color="auto"/>
                      </w:divBdr>
                    </w:div>
                  </w:divsChild>
                </w:div>
                <w:div w:id="1211461517">
                  <w:marLeft w:val="0"/>
                  <w:marRight w:val="0"/>
                  <w:marTop w:val="0"/>
                  <w:marBottom w:val="0"/>
                  <w:divBdr>
                    <w:top w:val="none" w:sz="0" w:space="0" w:color="auto"/>
                    <w:left w:val="none" w:sz="0" w:space="0" w:color="auto"/>
                    <w:bottom w:val="none" w:sz="0" w:space="0" w:color="auto"/>
                    <w:right w:val="none" w:sz="0" w:space="0" w:color="auto"/>
                  </w:divBdr>
                  <w:divsChild>
                    <w:div w:id="2028285563">
                      <w:marLeft w:val="0"/>
                      <w:marRight w:val="0"/>
                      <w:marTop w:val="0"/>
                      <w:marBottom w:val="0"/>
                      <w:divBdr>
                        <w:top w:val="none" w:sz="0" w:space="0" w:color="auto"/>
                        <w:left w:val="none" w:sz="0" w:space="0" w:color="auto"/>
                        <w:bottom w:val="none" w:sz="0" w:space="0" w:color="auto"/>
                        <w:right w:val="none" w:sz="0" w:space="0" w:color="auto"/>
                      </w:divBdr>
                    </w:div>
                  </w:divsChild>
                </w:div>
                <w:div w:id="1560089554">
                  <w:marLeft w:val="0"/>
                  <w:marRight w:val="0"/>
                  <w:marTop w:val="0"/>
                  <w:marBottom w:val="0"/>
                  <w:divBdr>
                    <w:top w:val="none" w:sz="0" w:space="0" w:color="auto"/>
                    <w:left w:val="none" w:sz="0" w:space="0" w:color="auto"/>
                    <w:bottom w:val="none" w:sz="0" w:space="0" w:color="auto"/>
                    <w:right w:val="none" w:sz="0" w:space="0" w:color="auto"/>
                  </w:divBdr>
                  <w:divsChild>
                    <w:div w:id="425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5970">
      <w:bodyDiv w:val="1"/>
      <w:marLeft w:val="0"/>
      <w:marRight w:val="0"/>
      <w:marTop w:val="0"/>
      <w:marBottom w:val="0"/>
      <w:divBdr>
        <w:top w:val="none" w:sz="0" w:space="0" w:color="auto"/>
        <w:left w:val="none" w:sz="0" w:space="0" w:color="auto"/>
        <w:bottom w:val="none" w:sz="0" w:space="0" w:color="auto"/>
        <w:right w:val="none" w:sz="0" w:space="0" w:color="auto"/>
      </w:divBdr>
      <w:divsChild>
        <w:div w:id="466440167">
          <w:marLeft w:val="0"/>
          <w:marRight w:val="0"/>
          <w:marTop w:val="0"/>
          <w:marBottom w:val="0"/>
          <w:divBdr>
            <w:top w:val="none" w:sz="0" w:space="0" w:color="auto"/>
            <w:left w:val="none" w:sz="0" w:space="0" w:color="auto"/>
            <w:bottom w:val="none" w:sz="0" w:space="0" w:color="auto"/>
            <w:right w:val="none" w:sz="0" w:space="0" w:color="auto"/>
          </w:divBdr>
          <w:divsChild>
            <w:div w:id="702170006">
              <w:marLeft w:val="0"/>
              <w:marRight w:val="0"/>
              <w:marTop w:val="0"/>
              <w:marBottom w:val="0"/>
              <w:divBdr>
                <w:top w:val="none" w:sz="0" w:space="0" w:color="auto"/>
                <w:left w:val="none" w:sz="0" w:space="0" w:color="auto"/>
                <w:bottom w:val="none" w:sz="0" w:space="0" w:color="auto"/>
                <w:right w:val="none" w:sz="0" w:space="0" w:color="auto"/>
              </w:divBdr>
              <w:divsChild>
                <w:div w:id="560143927">
                  <w:marLeft w:val="0"/>
                  <w:marRight w:val="0"/>
                  <w:marTop w:val="0"/>
                  <w:marBottom w:val="0"/>
                  <w:divBdr>
                    <w:top w:val="none" w:sz="0" w:space="0" w:color="auto"/>
                    <w:left w:val="none" w:sz="0" w:space="0" w:color="auto"/>
                    <w:bottom w:val="none" w:sz="0" w:space="0" w:color="auto"/>
                    <w:right w:val="none" w:sz="0" w:space="0" w:color="auto"/>
                  </w:divBdr>
                </w:div>
              </w:divsChild>
            </w:div>
            <w:div w:id="1794132221">
              <w:marLeft w:val="0"/>
              <w:marRight w:val="0"/>
              <w:marTop w:val="0"/>
              <w:marBottom w:val="0"/>
              <w:divBdr>
                <w:top w:val="none" w:sz="0" w:space="0" w:color="auto"/>
                <w:left w:val="none" w:sz="0" w:space="0" w:color="auto"/>
                <w:bottom w:val="none" w:sz="0" w:space="0" w:color="auto"/>
                <w:right w:val="none" w:sz="0" w:space="0" w:color="auto"/>
              </w:divBdr>
              <w:divsChild>
                <w:div w:id="1355378210">
                  <w:marLeft w:val="0"/>
                  <w:marRight w:val="0"/>
                  <w:marTop w:val="0"/>
                  <w:marBottom w:val="0"/>
                  <w:divBdr>
                    <w:top w:val="none" w:sz="0" w:space="0" w:color="auto"/>
                    <w:left w:val="none" w:sz="0" w:space="0" w:color="auto"/>
                    <w:bottom w:val="none" w:sz="0" w:space="0" w:color="auto"/>
                    <w:right w:val="none" w:sz="0" w:space="0" w:color="auto"/>
                  </w:divBdr>
                  <w:divsChild>
                    <w:div w:id="1894583566">
                      <w:marLeft w:val="0"/>
                      <w:marRight w:val="0"/>
                      <w:marTop w:val="0"/>
                      <w:marBottom w:val="0"/>
                      <w:divBdr>
                        <w:top w:val="none" w:sz="0" w:space="0" w:color="auto"/>
                        <w:left w:val="none" w:sz="0" w:space="0" w:color="auto"/>
                        <w:bottom w:val="none" w:sz="0" w:space="0" w:color="auto"/>
                        <w:right w:val="none" w:sz="0" w:space="0" w:color="auto"/>
                      </w:divBdr>
                    </w:div>
                  </w:divsChild>
                </w:div>
                <w:div w:id="447092362">
                  <w:marLeft w:val="0"/>
                  <w:marRight w:val="0"/>
                  <w:marTop w:val="0"/>
                  <w:marBottom w:val="0"/>
                  <w:divBdr>
                    <w:top w:val="none" w:sz="0" w:space="0" w:color="auto"/>
                    <w:left w:val="none" w:sz="0" w:space="0" w:color="auto"/>
                    <w:bottom w:val="none" w:sz="0" w:space="0" w:color="auto"/>
                    <w:right w:val="none" w:sz="0" w:space="0" w:color="auto"/>
                  </w:divBdr>
                  <w:divsChild>
                    <w:div w:id="1186481000">
                      <w:marLeft w:val="0"/>
                      <w:marRight w:val="0"/>
                      <w:marTop w:val="0"/>
                      <w:marBottom w:val="0"/>
                      <w:divBdr>
                        <w:top w:val="none" w:sz="0" w:space="0" w:color="auto"/>
                        <w:left w:val="none" w:sz="0" w:space="0" w:color="auto"/>
                        <w:bottom w:val="none" w:sz="0" w:space="0" w:color="auto"/>
                        <w:right w:val="none" w:sz="0" w:space="0" w:color="auto"/>
                      </w:divBdr>
                    </w:div>
                  </w:divsChild>
                </w:div>
                <w:div w:id="1352757585">
                  <w:marLeft w:val="0"/>
                  <w:marRight w:val="0"/>
                  <w:marTop w:val="0"/>
                  <w:marBottom w:val="0"/>
                  <w:divBdr>
                    <w:top w:val="none" w:sz="0" w:space="0" w:color="auto"/>
                    <w:left w:val="none" w:sz="0" w:space="0" w:color="auto"/>
                    <w:bottom w:val="none" w:sz="0" w:space="0" w:color="auto"/>
                    <w:right w:val="none" w:sz="0" w:space="0" w:color="auto"/>
                  </w:divBdr>
                  <w:divsChild>
                    <w:div w:id="1204247434">
                      <w:marLeft w:val="0"/>
                      <w:marRight w:val="0"/>
                      <w:marTop w:val="0"/>
                      <w:marBottom w:val="0"/>
                      <w:divBdr>
                        <w:top w:val="none" w:sz="0" w:space="0" w:color="auto"/>
                        <w:left w:val="none" w:sz="0" w:space="0" w:color="auto"/>
                        <w:bottom w:val="none" w:sz="0" w:space="0" w:color="auto"/>
                        <w:right w:val="none" w:sz="0" w:space="0" w:color="auto"/>
                      </w:divBdr>
                    </w:div>
                  </w:divsChild>
                </w:div>
                <w:div w:id="340160656">
                  <w:marLeft w:val="0"/>
                  <w:marRight w:val="0"/>
                  <w:marTop w:val="0"/>
                  <w:marBottom w:val="0"/>
                  <w:divBdr>
                    <w:top w:val="none" w:sz="0" w:space="0" w:color="auto"/>
                    <w:left w:val="none" w:sz="0" w:space="0" w:color="auto"/>
                    <w:bottom w:val="none" w:sz="0" w:space="0" w:color="auto"/>
                    <w:right w:val="none" w:sz="0" w:space="0" w:color="auto"/>
                  </w:divBdr>
                  <w:divsChild>
                    <w:div w:id="18217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7356">
              <w:marLeft w:val="0"/>
              <w:marRight w:val="0"/>
              <w:marTop w:val="0"/>
              <w:marBottom w:val="0"/>
              <w:divBdr>
                <w:top w:val="none" w:sz="0" w:space="0" w:color="auto"/>
                <w:left w:val="none" w:sz="0" w:space="0" w:color="auto"/>
                <w:bottom w:val="none" w:sz="0" w:space="0" w:color="auto"/>
                <w:right w:val="none" w:sz="0" w:space="0" w:color="auto"/>
              </w:divBdr>
              <w:divsChild>
                <w:div w:id="667908955">
                  <w:marLeft w:val="0"/>
                  <w:marRight w:val="0"/>
                  <w:marTop w:val="0"/>
                  <w:marBottom w:val="0"/>
                  <w:divBdr>
                    <w:top w:val="none" w:sz="0" w:space="0" w:color="auto"/>
                    <w:left w:val="none" w:sz="0" w:space="0" w:color="auto"/>
                    <w:bottom w:val="none" w:sz="0" w:space="0" w:color="auto"/>
                    <w:right w:val="none" w:sz="0" w:space="0" w:color="auto"/>
                  </w:divBdr>
                </w:div>
              </w:divsChild>
            </w:div>
            <w:div w:id="1412040110">
              <w:marLeft w:val="0"/>
              <w:marRight w:val="0"/>
              <w:marTop w:val="0"/>
              <w:marBottom w:val="0"/>
              <w:divBdr>
                <w:top w:val="none" w:sz="0" w:space="0" w:color="auto"/>
                <w:left w:val="none" w:sz="0" w:space="0" w:color="auto"/>
                <w:bottom w:val="none" w:sz="0" w:space="0" w:color="auto"/>
                <w:right w:val="none" w:sz="0" w:space="0" w:color="auto"/>
              </w:divBdr>
              <w:divsChild>
                <w:div w:id="612633503">
                  <w:marLeft w:val="0"/>
                  <w:marRight w:val="0"/>
                  <w:marTop w:val="0"/>
                  <w:marBottom w:val="0"/>
                  <w:divBdr>
                    <w:top w:val="none" w:sz="0" w:space="0" w:color="auto"/>
                    <w:left w:val="none" w:sz="0" w:space="0" w:color="auto"/>
                    <w:bottom w:val="none" w:sz="0" w:space="0" w:color="auto"/>
                    <w:right w:val="none" w:sz="0" w:space="0" w:color="auto"/>
                  </w:divBdr>
                </w:div>
              </w:divsChild>
            </w:div>
            <w:div w:id="1000692117">
              <w:marLeft w:val="0"/>
              <w:marRight w:val="0"/>
              <w:marTop w:val="0"/>
              <w:marBottom w:val="0"/>
              <w:divBdr>
                <w:top w:val="none" w:sz="0" w:space="0" w:color="auto"/>
                <w:left w:val="none" w:sz="0" w:space="0" w:color="auto"/>
                <w:bottom w:val="none" w:sz="0" w:space="0" w:color="auto"/>
                <w:right w:val="none" w:sz="0" w:space="0" w:color="auto"/>
              </w:divBdr>
              <w:divsChild>
                <w:div w:id="1904413228">
                  <w:marLeft w:val="0"/>
                  <w:marRight w:val="0"/>
                  <w:marTop w:val="0"/>
                  <w:marBottom w:val="0"/>
                  <w:divBdr>
                    <w:top w:val="none" w:sz="0" w:space="0" w:color="auto"/>
                    <w:left w:val="none" w:sz="0" w:space="0" w:color="auto"/>
                    <w:bottom w:val="none" w:sz="0" w:space="0" w:color="auto"/>
                    <w:right w:val="none" w:sz="0" w:space="0" w:color="auto"/>
                  </w:divBdr>
                </w:div>
              </w:divsChild>
            </w:div>
            <w:div w:id="380058597">
              <w:marLeft w:val="0"/>
              <w:marRight w:val="0"/>
              <w:marTop w:val="0"/>
              <w:marBottom w:val="0"/>
              <w:divBdr>
                <w:top w:val="none" w:sz="0" w:space="0" w:color="auto"/>
                <w:left w:val="none" w:sz="0" w:space="0" w:color="auto"/>
                <w:bottom w:val="none" w:sz="0" w:space="0" w:color="auto"/>
                <w:right w:val="none" w:sz="0" w:space="0" w:color="auto"/>
              </w:divBdr>
              <w:divsChild>
                <w:div w:id="1376194521">
                  <w:marLeft w:val="0"/>
                  <w:marRight w:val="0"/>
                  <w:marTop w:val="0"/>
                  <w:marBottom w:val="0"/>
                  <w:divBdr>
                    <w:top w:val="none" w:sz="0" w:space="0" w:color="auto"/>
                    <w:left w:val="none" w:sz="0" w:space="0" w:color="auto"/>
                    <w:bottom w:val="none" w:sz="0" w:space="0" w:color="auto"/>
                    <w:right w:val="none" w:sz="0" w:space="0" w:color="auto"/>
                  </w:divBdr>
                </w:div>
              </w:divsChild>
            </w:div>
            <w:div w:id="1452744960">
              <w:marLeft w:val="0"/>
              <w:marRight w:val="0"/>
              <w:marTop w:val="0"/>
              <w:marBottom w:val="0"/>
              <w:divBdr>
                <w:top w:val="none" w:sz="0" w:space="0" w:color="auto"/>
                <w:left w:val="none" w:sz="0" w:space="0" w:color="auto"/>
                <w:bottom w:val="none" w:sz="0" w:space="0" w:color="auto"/>
                <w:right w:val="none" w:sz="0" w:space="0" w:color="auto"/>
              </w:divBdr>
              <w:divsChild>
                <w:div w:id="1951162238">
                  <w:marLeft w:val="0"/>
                  <w:marRight w:val="0"/>
                  <w:marTop w:val="0"/>
                  <w:marBottom w:val="0"/>
                  <w:divBdr>
                    <w:top w:val="none" w:sz="0" w:space="0" w:color="auto"/>
                    <w:left w:val="none" w:sz="0" w:space="0" w:color="auto"/>
                    <w:bottom w:val="none" w:sz="0" w:space="0" w:color="auto"/>
                    <w:right w:val="none" w:sz="0" w:space="0" w:color="auto"/>
                  </w:divBdr>
                  <w:divsChild>
                    <w:div w:id="1537036887">
                      <w:marLeft w:val="0"/>
                      <w:marRight w:val="0"/>
                      <w:marTop w:val="0"/>
                      <w:marBottom w:val="0"/>
                      <w:divBdr>
                        <w:top w:val="none" w:sz="0" w:space="0" w:color="auto"/>
                        <w:left w:val="none" w:sz="0" w:space="0" w:color="auto"/>
                        <w:bottom w:val="none" w:sz="0" w:space="0" w:color="auto"/>
                        <w:right w:val="none" w:sz="0" w:space="0" w:color="auto"/>
                      </w:divBdr>
                    </w:div>
                  </w:divsChild>
                </w:div>
                <w:div w:id="86511075">
                  <w:marLeft w:val="0"/>
                  <w:marRight w:val="0"/>
                  <w:marTop w:val="0"/>
                  <w:marBottom w:val="0"/>
                  <w:divBdr>
                    <w:top w:val="none" w:sz="0" w:space="0" w:color="auto"/>
                    <w:left w:val="none" w:sz="0" w:space="0" w:color="auto"/>
                    <w:bottom w:val="none" w:sz="0" w:space="0" w:color="auto"/>
                    <w:right w:val="none" w:sz="0" w:space="0" w:color="auto"/>
                  </w:divBdr>
                  <w:divsChild>
                    <w:div w:id="182864451">
                      <w:marLeft w:val="0"/>
                      <w:marRight w:val="0"/>
                      <w:marTop w:val="0"/>
                      <w:marBottom w:val="0"/>
                      <w:divBdr>
                        <w:top w:val="none" w:sz="0" w:space="0" w:color="auto"/>
                        <w:left w:val="none" w:sz="0" w:space="0" w:color="auto"/>
                        <w:bottom w:val="none" w:sz="0" w:space="0" w:color="auto"/>
                        <w:right w:val="none" w:sz="0" w:space="0" w:color="auto"/>
                      </w:divBdr>
                    </w:div>
                  </w:divsChild>
                </w:div>
                <w:div w:id="508059534">
                  <w:marLeft w:val="0"/>
                  <w:marRight w:val="0"/>
                  <w:marTop w:val="0"/>
                  <w:marBottom w:val="0"/>
                  <w:divBdr>
                    <w:top w:val="none" w:sz="0" w:space="0" w:color="auto"/>
                    <w:left w:val="none" w:sz="0" w:space="0" w:color="auto"/>
                    <w:bottom w:val="none" w:sz="0" w:space="0" w:color="auto"/>
                    <w:right w:val="none" w:sz="0" w:space="0" w:color="auto"/>
                  </w:divBdr>
                  <w:divsChild>
                    <w:div w:id="1191451517">
                      <w:marLeft w:val="0"/>
                      <w:marRight w:val="0"/>
                      <w:marTop w:val="0"/>
                      <w:marBottom w:val="0"/>
                      <w:divBdr>
                        <w:top w:val="none" w:sz="0" w:space="0" w:color="auto"/>
                        <w:left w:val="none" w:sz="0" w:space="0" w:color="auto"/>
                        <w:bottom w:val="none" w:sz="0" w:space="0" w:color="auto"/>
                        <w:right w:val="none" w:sz="0" w:space="0" w:color="auto"/>
                      </w:divBdr>
                    </w:div>
                  </w:divsChild>
                </w:div>
                <w:div w:id="1553803862">
                  <w:marLeft w:val="0"/>
                  <w:marRight w:val="0"/>
                  <w:marTop w:val="0"/>
                  <w:marBottom w:val="0"/>
                  <w:divBdr>
                    <w:top w:val="none" w:sz="0" w:space="0" w:color="auto"/>
                    <w:left w:val="none" w:sz="0" w:space="0" w:color="auto"/>
                    <w:bottom w:val="none" w:sz="0" w:space="0" w:color="auto"/>
                    <w:right w:val="none" w:sz="0" w:space="0" w:color="auto"/>
                  </w:divBdr>
                  <w:divsChild>
                    <w:div w:id="1593665399">
                      <w:marLeft w:val="0"/>
                      <w:marRight w:val="0"/>
                      <w:marTop w:val="0"/>
                      <w:marBottom w:val="0"/>
                      <w:divBdr>
                        <w:top w:val="none" w:sz="0" w:space="0" w:color="auto"/>
                        <w:left w:val="none" w:sz="0" w:space="0" w:color="auto"/>
                        <w:bottom w:val="none" w:sz="0" w:space="0" w:color="auto"/>
                        <w:right w:val="none" w:sz="0" w:space="0" w:color="auto"/>
                      </w:divBdr>
                    </w:div>
                  </w:divsChild>
                </w:div>
                <w:div w:id="627516356">
                  <w:marLeft w:val="0"/>
                  <w:marRight w:val="0"/>
                  <w:marTop w:val="0"/>
                  <w:marBottom w:val="0"/>
                  <w:divBdr>
                    <w:top w:val="none" w:sz="0" w:space="0" w:color="auto"/>
                    <w:left w:val="none" w:sz="0" w:space="0" w:color="auto"/>
                    <w:bottom w:val="none" w:sz="0" w:space="0" w:color="auto"/>
                    <w:right w:val="none" w:sz="0" w:space="0" w:color="auto"/>
                  </w:divBdr>
                  <w:divsChild>
                    <w:div w:id="1096290306">
                      <w:marLeft w:val="0"/>
                      <w:marRight w:val="0"/>
                      <w:marTop w:val="0"/>
                      <w:marBottom w:val="0"/>
                      <w:divBdr>
                        <w:top w:val="none" w:sz="0" w:space="0" w:color="auto"/>
                        <w:left w:val="none" w:sz="0" w:space="0" w:color="auto"/>
                        <w:bottom w:val="none" w:sz="0" w:space="0" w:color="auto"/>
                        <w:right w:val="none" w:sz="0" w:space="0" w:color="auto"/>
                      </w:divBdr>
                    </w:div>
                  </w:divsChild>
                </w:div>
                <w:div w:id="260071830">
                  <w:marLeft w:val="0"/>
                  <w:marRight w:val="0"/>
                  <w:marTop w:val="0"/>
                  <w:marBottom w:val="0"/>
                  <w:divBdr>
                    <w:top w:val="none" w:sz="0" w:space="0" w:color="auto"/>
                    <w:left w:val="none" w:sz="0" w:space="0" w:color="auto"/>
                    <w:bottom w:val="none" w:sz="0" w:space="0" w:color="auto"/>
                    <w:right w:val="none" w:sz="0" w:space="0" w:color="auto"/>
                  </w:divBdr>
                  <w:divsChild>
                    <w:div w:id="5893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98293">
      <w:bodyDiv w:val="1"/>
      <w:marLeft w:val="0"/>
      <w:marRight w:val="0"/>
      <w:marTop w:val="0"/>
      <w:marBottom w:val="0"/>
      <w:divBdr>
        <w:top w:val="none" w:sz="0" w:space="0" w:color="auto"/>
        <w:left w:val="none" w:sz="0" w:space="0" w:color="auto"/>
        <w:bottom w:val="none" w:sz="0" w:space="0" w:color="auto"/>
        <w:right w:val="none" w:sz="0" w:space="0" w:color="auto"/>
      </w:divBdr>
      <w:divsChild>
        <w:div w:id="16204333">
          <w:marLeft w:val="0"/>
          <w:marRight w:val="0"/>
          <w:marTop w:val="0"/>
          <w:marBottom w:val="0"/>
          <w:divBdr>
            <w:top w:val="none" w:sz="0" w:space="0" w:color="auto"/>
            <w:left w:val="none" w:sz="0" w:space="0" w:color="auto"/>
            <w:bottom w:val="none" w:sz="0" w:space="0" w:color="auto"/>
            <w:right w:val="none" w:sz="0" w:space="0" w:color="auto"/>
          </w:divBdr>
          <w:divsChild>
            <w:div w:id="312949624">
              <w:marLeft w:val="0"/>
              <w:marRight w:val="0"/>
              <w:marTop w:val="0"/>
              <w:marBottom w:val="0"/>
              <w:divBdr>
                <w:top w:val="none" w:sz="0" w:space="0" w:color="auto"/>
                <w:left w:val="none" w:sz="0" w:space="0" w:color="auto"/>
                <w:bottom w:val="none" w:sz="0" w:space="0" w:color="auto"/>
                <w:right w:val="none" w:sz="0" w:space="0" w:color="auto"/>
              </w:divBdr>
              <w:divsChild>
                <w:div w:id="3878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99989">
      <w:bodyDiv w:val="1"/>
      <w:marLeft w:val="0"/>
      <w:marRight w:val="0"/>
      <w:marTop w:val="0"/>
      <w:marBottom w:val="0"/>
      <w:divBdr>
        <w:top w:val="none" w:sz="0" w:space="0" w:color="auto"/>
        <w:left w:val="none" w:sz="0" w:space="0" w:color="auto"/>
        <w:bottom w:val="none" w:sz="0" w:space="0" w:color="auto"/>
        <w:right w:val="none" w:sz="0" w:space="0" w:color="auto"/>
      </w:divBdr>
    </w:div>
    <w:div w:id="1715232117">
      <w:bodyDiv w:val="1"/>
      <w:marLeft w:val="0"/>
      <w:marRight w:val="0"/>
      <w:marTop w:val="0"/>
      <w:marBottom w:val="0"/>
      <w:divBdr>
        <w:top w:val="none" w:sz="0" w:space="0" w:color="auto"/>
        <w:left w:val="none" w:sz="0" w:space="0" w:color="auto"/>
        <w:bottom w:val="none" w:sz="0" w:space="0" w:color="auto"/>
        <w:right w:val="none" w:sz="0" w:space="0" w:color="auto"/>
      </w:divBdr>
    </w:div>
    <w:div w:id="1716926538">
      <w:bodyDiv w:val="1"/>
      <w:marLeft w:val="0"/>
      <w:marRight w:val="0"/>
      <w:marTop w:val="0"/>
      <w:marBottom w:val="0"/>
      <w:divBdr>
        <w:top w:val="none" w:sz="0" w:space="0" w:color="auto"/>
        <w:left w:val="none" w:sz="0" w:space="0" w:color="auto"/>
        <w:bottom w:val="none" w:sz="0" w:space="0" w:color="auto"/>
        <w:right w:val="none" w:sz="0" w:space="0" w:color="auto"/>
      </w:divBdr>
    </w:div>
    <w:div w:id="1746682299">
      <w:bodyDiv w:val="1"/>
      <w:marLeft w:val="0"/>
      <w:marRight w:val="0"/>
      <w:marTop w:val="0"/>
      <w:marBottom w:val="0"/>
      <w:divBdr>
        <w:top w:val="none" w:sz="0" w:space="0" w:color="auto"/>
        <w:left w:val="none" w:sz="0" w:space="0" w:color="auto"/>
        <w:bottom w:val="none" w:sz="0" w:space="0" w:color="auto"/>
        <w:right w:val="none" w:sz="0" w:space="0" w:color="auto"/>
      </w:divBdr>
      <w:divsChild>
        <w:div w:id="147600904">
          <w:marLeft w:val="0"/>
          <w:marRight w:val="0"/>
          <w:marTop w:val="0"/>
          <w:marBottom w:val="0"/>
          <w:divBdr>
            <w:top w:val="none" w:sz="0" w:space="0" w:color="auto"/>
            <w:left w:val="none" w:sz="0" w:space="0" w:color="auto"/>
            <w:bottom w:val="none" w:sz="0" w:space="0" w:color="auto"/>
            <w:right w:val="none" w:sz="0" w:space="0" w:color="auto"/>
          </w:divBdr>
          <w:divsChild>
            <w:div w:id="2071728860">
              <w:marLeft w:val="0"/>
              <w:marRight w:val="0"/>
              <w:marTop w:val="0"/>
              <w:marBottom w:val="0"/>
              <w:divBdr>
                <w:top w:val="none" w:sz="0" w:space="0" w:color="auto"/>
                <w:left w:val="none" w:sz="0" w:space="0" w:color="auto"/>
                <w:bottom w:val="none" w:sz="0" w:space="0" w:color="auto"/>
                <w:right w:val="none" w:sz="0" w:space="0" w:color="auto"/>
              </w:divBdr>
              <w:divsChild>
                <w:div w:id="836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86981">
      <w:bodyDiv w:val="1"/>
      <w:marLeft w:val="0"/>
      <w:marRight w:val="0"/>
      <w:marTop w:val="0"/>
      <w:marBottom w:val="0"/>
      <w:divBdr>
        <w:top w:val="none" w:sz="0" w:space="0" w:color="auto"/>
        <w:left w:val="none" w:sz="0" w:space="0" w:color="auto"/>
        <w:bottom w:val="none" w:sz="0" w:space="0" w:color="auto"/>
        <w:right w:val="none" w:sz="0" w:space="0" w:color="auto"/>
      </w:divBdr>
    </w:div>
    <w:div w:id="1791826200">
      <w:bodyDiv w:val="1"/>
      <w:marLeft w:val="0"/>
      <w:marRight w:val="0"/>
      <w:marTop w:val="0"/>
      <w:marBottom w:val="0"/>
      <w:divBdr>
        <w:top w:val="none" w:sz="0" w:space="0" w:color="auto"/>
        <w:left w:val="none" w:sz="0" w:space="0" w:color="auto"/>
        <w:bottom w:val="none" w:sz="0" w:space="0" w:color="auto"/>
        <w:right w:val="none" w:sz="0" w:space="0" w:color="auto"/>
      </w:divBdr>
      <w:divsChild>
        <w:div w:id="1722823756">
          <w:marLeft w:val="0"/>
          <w:marRight w:val="0"/>
          <w:marTop w:val="0"/>
          <w:marBottom w:val="0"/>
          <w:divBdr>
            <w:top w:val="none" w:sz="0" w:space="0" w:color="auto"/>
            <w:left w:val="none" w:sz="0" w:space="0" w:color="auto"/>
            <w:bottom w:val="none" w:sz="0" w:space="0" w:color="auto"/>
            <w:right w:val="none" w:sz="0" w:space="0" w:color="auto"/>
          </w:divBdr>
          <w:divsChild>
            <w:div w:id="2015766126">
              <w:marLeft w:val="0"/>
              <w:marRight w:val="0"/>
              <w:marTop w:val="0"/>
              <w:marBottom w:val="0"/>
              <w:divBdr>
                <w:top w:val="none" w:sz="0" w:space="0" w:color="auto"/>
                <w:left w:val="none" w:sz="0" w:space="0" w:color="auto"/>
                <w:bottom w:val="none" w:sz="0" w:space="0" w:color="auto"/>
                <w:right w:val="none" w:sz="0" w:space="0" w:color="auto"/>
              </w:divBdr>
              <w:divsChild>
                <w:div w:id="17296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85883">
      <w:bodyDiv w:val="1"/>
      <w:marLeft w:val="0"/>
      <w:marRight w:val="0"/>
      <w:marTop w:val="0"/>
      <w:marBottom w:val="0"/>
      <w:divBdr>
        <w:top w:val="none" w:sz="0" w:space="0" w:color="auto"/>
        <w:left w:val="none" w:sz="0" w:space="0" w:color="auto"/>
        <w:bottom w:val="none" w:sz="0" w:space="0" w:color="auto"/>
        <w:right w:val="none" w:sz="0" w:space="0" w:color="auto"/>
      </w:divBdr>
      <w:divsChild>
        <w:div w:id="519516777">
          <w:marLeft w:val="0"/>
          <w:marRight w:val="0"/>
          <w:marTop w:val="0"/>
          <w:marBottom w:val="0"/>
          <w:divBdr>
            <w:top w:val="none" w:sz="0" w:space="0" w:color="auto"/>
            <w:left w:val="none" w:sz="0" w:space="0" w:color="auto"/>
            <w:bottom w:val="none" w:sz="0" w:space="0" w:color="auto"/>
            <w:right w:val="none" w:sz="0" w:space="0" w:color="auto"/>
          </w:divBdr>
          <w:divsChild>
            <w:div w:id="1877695485">
              <w:marLeft w:val="0"/>
              <w:marRight w:val="0"/>
              <w:marTop w:val="0"/>
              <w:marBottom w:val="0"/>
              <w:divBdr>
                <w:top w:val="none" w:sz="0" w:space="0" w:color="auto"/>
                <w:left w:val="none" w:sz="0" w:space="0" w:color="auto"/>
                <w:bottom w:val="none" w:sz="0" w:space="0" w:color="auto"/>
                <w:right w:val="none" w:sz="0" w:space="0" w:color="auto"/>
              </w:divBdr>
              <w:divsChild>
                <w:div w:id="1134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17453">
      <w:bodyDiv w:val="1"/>
      <w:marLeft w:val="0"/>
      <w:marRight w:val="0"/>
      <w:marTop w:val="0"/>
      <w:marBottom w:val="0"/>
      <w:divBdr>
        <w:top w:val="none" w:sz="0" w:space="0" w:color="auto"/>
        <w:left w:val="none" w:sz="0" w:space="0" w:color="auto"/>
        <w:bottom w:val="none" w:sz="0" w:space="0" w:color="auto"/>
        <w:right w:val="none" w:sz="0" w:space="0" w:color="auto"/>
      </w:divBdr>
    </w:div>
    <w:div w:id="1844130135">
      <w:bodyDiv w:val="1"/>
      <w:marLeft w:val="0"/>
      <w:marRight w:val="0"/>
      <w:marTop w:val="0"/>
      <w:marBottom w:val="0"/>
      <w:divBdr>
        <w:top w:val="none" w:sz="0" w:space="0" w:color="auto"/>
        <w:left w:val="none" w:sz="0" w:space="0" w:color="auto"/>
        <w:bottom w:val="none" w:sz="0" w:space="0" w:color="auto"/>
        <w:right w:val="none" w:sz="0" w:space="0" w:color="auto"/>
      </w:divBdr>
    </w:div>
    <w:div w:id="1870215494">
      <w:bodyDiv w:val="1"/>
      <w:marLeft w:val="0"/>
      <w:marRight w:val="0"/>
      <w:marTop w:val="0"/>
      <w:marBottom w:val="0"/>
      <w:divBdr>
        <w:top w:val="none" w:sz="0" w:space="0" w:color="auto"/>
        <w:left w:val="none" w:sz="0" w:space="0" w:color="auto"/>
        <w:bottom w:val="none" w:sz="0" w:space="0" w:color="auto"/>
        <w:right w:val="none" w:sz="0" w:space="0" w:color="auto"/>
      </w:divBdr>
      <w:divsChild>
        <w:div w:id="581718431">
          <w:marLeft w:val="0"/>
          <w:marRight w:val="0"/>
          <w:marTop w:val="0"/>
          <w:marBottom w:val="0"/>
          <w:divBdr>
            <w:top w:val="none" w:sz="0" w:space="0" w:color="auto"/>
            <w:left w:val="none" w:sz="0" w:space="0" w:color="auto"/>
            <w:bottom w:val="none" w:sz="0" w:space="0" w:color="auto"/>
            <w:right w:val="none" w:sz="0" w:space="0" w:color="auto"/>
          </w:divBdr>
          <w:divsChild>
            <w:div w:id="358900227">
              <w:marLeft w:val="0"/>
              <w:marRight w:val="0"/>
              <w:marTop w:val="0"/>
              <w:marBottom w:val="0"/>
              <w:divBdr>
                <w:top w:val="none" w:sz="0" w:space="0" w:color="auto"/>
                <w:left w:val="none" w:sz="0" w:space="0" w:color="auto"/>
                <w:bottom w:val="none" w:sz="0" w:space="0" w:color="auto"/>
                <w:right w:val="none" w:sz="0" w:space="0" w:color="auto"/>
              </w:divBdr>
              <w:divsChild>
                <w:div w:id="18580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4870">
      <w:bodyDiv w:val="1"/>
      <w:marLeft w:val="0"/>
      <w:marRight w:val="0"/>
      <w:marTop w:val="0"/>
      <w:marBottom w:val="0"/>
      <w:divBdr>
        <w:top w:val="none" w:sz="0" w:space="0" w:color="auto"/>
        <w:left w:val="none" w:sz="0" w:space="0" w:color="auto"/>
        <w:bottom w:val="none" w:sz="0" w:space="0" w:color="auto"/>
        <w:right w:val="none" w:sz="0" w:space="0" w:color="auto"/>
      </w:divBdr>
    </w:div>
    <w:div w:id="1926374266">
      <w:bodyDiv w:val="1"/>
      <w:marLeft w:val="0"/>
      <w:marRight w:val="0"/>
      <w:marTop w:val="0"/>
      <w:marBottom w:val="0"/>
      <w:divBdr>
        <w:top w:val="none" w:sz="0" w:space="0" w:color="auto"/>
        <w:left w:val="none" w:sz="0" w:space="0" w:color="auto"/>
        <w:bottom w:val="none" w:sz="0" w:space="0" w:color="auto"/>
        <w:right w:val="none" w:sz="0" w:space="0" w:color="auto"/>
      </w:divBdr>
    </w:div>
    <w:div w:id="1978417915">
      <w:bodyDiv w:val="1"/>
      <w:marLeft w:val="0"/>
      <w:marRight w:val="0"/>
      <w:marTop w:val="0"/>
      <w:marBottom w:val="0"/>
      <w:divBdr>
        <w:top w:val="none" w:sz="0" w:space="0" w:color="auto"/>
        <w:left w:val="none" w:sz="0" w:space="0" w:color="auto"/>
        <w:bottom w:val="none" w:sz="0" w:space="0" w:color="auto"/>
        <w:right w:val="none" w:sz="0" w:space="0" w:color="auto"/>
      </w:divBdr>
    </w:div>
    <w:div w:id="1983075793">
      <w:bodyDiv w:val="1"/>
      <w:marLeft w:val="0"/>
      <w:marRight w:val="0"/>
      <w:marTop w:val="0"/>
      <w:marBottom w:val="0"/>
      <w:divBdr>
        <w:top w:val="none" w:sz="0" w:space="0" w:color="auto"/>
        <w:left w:val="none" w:sz="0" w:space="0" w:color="auto"/>
        <w:bottom w:val="none" w:sz="0" w:space="0" w:color="auto"/>
        <w:right w:val="none" w:sz="0" w:space="0" w:color="auto"/>
      </w:divBdr>
    </w:div>
    <w:div w:id="1998610002">
      <w:bodyDiv w:val="1"/>
      <w:marLeft w:val="0"/>
      <w:marRight w:val="0"/>
      <w:marTop w:val="0"/>
      <w:marBottom w:val="0"/>
      <w:divBdr>
        <w:top w:val="none" w:sz="0" w:space="0" w:color="auto"/>
        <w:left w:val="none" w:sz="0" w:space="0" w:color="auto"/>
        <w:bottom w:val="none" w:sz="0" w:space="0" w:color="auto"/>
        <w:right w:val="none" w:sz="0" w:space="0" w:color="auto"/>
      </w:divBdr>
      <w:divsChild>
        <w:div w:id="1070885892">
          <w:marLeft w:val="0"/>
          <w:marRight w:val="0"/>
          <w:marTop w:val="0"/>
          <w:marBottom w:val="0"/>
          <w:divBdr>
            <w:top w:val="none" w:sz="0" w:space="0" w:color="auto"/>
            <w:left w:val="none" w:sz="0" w:space="0" w:color="auto"/>
            <w:bottom w:val="none" w:sz="0" w:space="0" w:color="auto"/>
            <w:right w:val="none" w:sz="0" w:space="0" w:color="auto"/>
          </w:divBdr>
          <w:divsChild>
            <w:div w:id="604001377">
              <w:marLeft w:val="0"/>
              <w:marRight w:val="0"/>
              <w:marTop w:val="0"/>
              <w:marBottom w:val="0"/>
              <w:divBdr>
                <w:top w:val="none" w:sz="0" w:space="0" w:color="auto"/>
                <w:left w:val="none" w:sz="0" w:space="0" w:color="auto"/>
                <w:bottom w:val="none" w:sz="0" w:space="0" w:color="auto"/>
                <w:right w:val="none" w:sz="0" w:space="0" w:color="auto"/>
              </w:divBdr>
              <w:divsChild>
                <w:div w:id="20551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25454">
      <w:bodyDiv w:val="1"/>
      <w:marLeft w:val="0"/>
      <w:marRight w:val="0"/>
      <w:marTop w:val="0"/>
      <w:marBottom w:val="0"/>
      <w:divBdr>
        <w:top w:val="none" w:sz="0" w:space="0" w:color="auto"/>
        <w:left w:val="none" w:sz="0" w:space="0" w:color="auto"/>
        <w:bottom w:val="none" w:sz="0" w:space="0" w:color="auto"/>
        <w:right w:val="none" w:sz="0" w:space="0" w:color="auto"/>
      </w:divBdr>
    </w:div>
    <w:div w:id="2045211564">
      <w:bodyDiv w:val="1"/>
      <w:marLeft w:val="0"/>
      <w:marRight w:val="0"/>
      <w:marTop w:val="0"/>
      <w:marBottom w:val="0"/>
      <w:divBdr>
        <w:top w:val="none" w:sz="0" w:space="0" w:color="auto"/>
        <w:left w:val="none" w:sz="0" w:space="0" w:color="auto"/>
        <w:bottom w:val="none" w:sz="0" w:space="0" w:color="auto"/>
        <w:right w:val="none" w:sz="0" w:space="0" w:color="auto"/>
      </w:divBdr>
      <w:divsChild>
        <w:div w:id="1560245593">
          <w:marLeft w:val="0"/>
          <w:marRight w:val="0"/>
          <w:marTop w:val="0"/>
          <w:marBottom w:val="0"/>
          <w:divBdr>
            <w:top w:val="none" w:sz="0" w:space="0" w:color="auto"/>
            <w:left w:val="none" w:sz="0" w:space="0" w:color="auto"/>
            <w:bottom w:val="none" w:sz="0" w:space="0" w:color="auto"/>
            <w:right w:val="none" w:sz="0" w:space="0" w:color="auto"/>
          </w:divBdr>
          <w:divsChild>
            <w:div w:id="741678631">
              <w:marLeft w:val="0"/>
              <w:marRight w:val="0"/>
              <w:marTop w:val="0"/>
              <w:marBottom w:val="0"/>
              <w:divBdr>
                <w:top w:val="none" w:sz="0" w:space="0" w:color="auto"/>
                <w:left w:val="none" w:sz="0" w:space="0" w:color="auto"/>
                <w:bottom w:val="none" w:sz="0" w:space="0" w:color="auto"/>
                <w:right w:val="none" w:sz="0" w:space="0" w:color="auto"/>
              </w:divBdr>
              <w:divsChild>
                <w:div w:id="7619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24663">
      <w:bodyDiv w:val="1"/>
      <w:marLeft w:val="0"/>
      <w:marRight w:val="0"/>
      <w:marTop w:val="0"/>
      <w:marBottom w:val="0"/>
      <w:divBdr>
        <w:top w:val="none" w:sz="0" w:space="0" w:color="auto"/>
        <w:left w:val="none" w:sz="0" w:space="0" w:color="auto"/>
        <w:bottom w:val="none" w:sz="0" w:space="0" w:color="auto"/>
        <w:right w:val="none" w:sz="0" w:space="0" w:color="auto"/>
      </w:divBdr>
      <w:divsChild>
        <w:div w:id="1711567052">
          <w:marLeft w:val="0"/>
          <w:marRight w:val="0"/>
          <w:marTop w:val="0"/>
          <w:marBottom w:val="0"/>
          <w:divBdr>
            <w:top w:val="none" w:sz="0" w:space="0" w:color="auto"/>
            <w:left w:val="none" w:sz="0" w:space="0" w:color="auto"/>
            <w:bottom w:val="none" w:sz="0" w:space="0" w:color="auto"/>
            <w:right w:val="none" w:sz="0" w:space="0" w:color="auto"/>
          </w:divBdr>
          <w:divsChild>
            <w:div w:id="1796949320">
              <w:marLeft w:val="0"/>
              <w:marRight w:val="0"/>
              <w:marTop w:val="0"/>
              <w:marBottom w:val="0"/>
              <w:divBdr>
                <w:top w:val="none" w:sz="0" w:space="0" w:color="auto"/>
                <w:left w:val="none" w:sz="0" w:space="0" w:color="auto"/>
                <w:bottom w:val="none" w:sz="0" w:space="0" w:color="auto"/>
                <w:right w:val="none" w:sz="0" w:space="0" w:color="auto"/>
              </w:divBdr>
              <w:divsChild>
                <w:div w:id="2419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3915">
      <w:bodyDiv w:val="1"/>
      <w:marLeft w:val="0"/>
      <w:marRight w:val="0"/>
      <w:marTop w:val="0"/>
      <w:marBottom w:val="0"/>
      <w:divBdr>
        <w:top w:val="none" w:sz="0" w:space="0" w:color="auto"/>
        <w:left w:val="none" w:sz="0" w:space="0" w:color="auto"/>
        <w:bottom w:val="none" w:sz="0" w:space="0" w:color="auto"/>
        <w:right w:val="none" w:sz="0" w:space="0" w:color="auto"/>
      </w:divBdr>
      <w:divsChild>
        <w:div w:id="1919509401">
          <w:marLeft w:val="0"/>
          <w:marRight w:val="0"/>
          <w:marTop w:val="0"/>
          <w:marBottom w:val="0"/>
          <w:divBdr>
            <w:top w:val="none" w:sz="0" w:space="0" w:color="auto"/>
            <w:left w:val="none" w:sz="0" w:space="0" w:color="auto"/>
            <w:bottom w:val="none" w:sz="0" w:space="0" w:color="auto"/>
            <w:right w:val="none" w:sz="0" w:space="0" w:color="auto"/>
          </w:divBdr>
          <w:divsChild>
            <w:div w:id="1838764768">
              <w:marLeft w:val="0"/>
              <w:marRight w:val="0"/>
              <w:marTop w:val="0"/>
              <w:marBottom w:val="0"/>
              <w:divBdr>
                <w:top w:val="none" w:sz="0" w:space="0" w:color="auto"/>
                <w:left w:val="none" w:sz="0" w:space="0" w:color="auto"/>
                <w:bottom w:val="none" w:sz="0" w:space="0" w:color="auto"/>
                <w:right w:val="none" w:sz="0" w:space="0" w:color="auto"/>
              </w:divBdr>
              <w:divsChild>
                <w:div w:id="20323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9298">
      <w:bodyDiv w:val="1"/>
      <w:marLeft w:val="0"/>
      <w:marRight w:val="0"/>
      <w:marTop w:val="0"/>
      <w:marBottom w:val="0"/>
      <w:divBdr>
        <w:top w:val="none" w:sz="0" w:space="0" w:color="auto"/>
        <w:left w:val="none" w:sz="0" w:space="0" w:color="auto"/>
        <w:bottom w:val="none" w:sz="0" w:space="0" w:color="auto"/>
        <w:right w:val="none" w:sz="0" w:space="0" w:color="auto"/>
      </w:divBdr>
      <w:divsChild>
        <w:div w:id="583104250">
          <w:marLeft w:val="0"/>
          <w:marRight w:val="0"/>
          <w:marTop w:val="0"/>
          <w:marBottom w:val="0"/>
          <w:divBdr>
            <w:top w:val="none" w:sz="0" w:space="0" w:color="auto"/>
            <w:left w:val="none" w:sz="0" w:space="0" w:color="auto"/>
            <w:bottom w:val="none" w:sz="0" w:space="0" w:color="auto"/>
            <w:right w:val="none" w:sz="0" w:space="0" w:color="auto"/>
          </w:divBdr>
          <w:divsChild>
            <w:div w:id="1260943396">
              <w:marLeft w:val="0"/>
              <w:marRight w:val="0"/>
              <w:marTop w:val="0"/>
              <w:marBottom w:val="0"/>
              <w:divBdr>
                <w:top w:val="none" w:sz="0" w:space="0" w:color="auto"/>
                <w:left w:val="none" w:sz="0" w:space="0" w:color="auto"/>
                <w:bottom w:val="none" w:sz="0" w:space="0" w:color="auto"/>
                <w:right w:val="none" w:sz="0" w:space="0" w:color="auto"/>
              </w:divBdr>
              <w:divsChild>
                <w:div w:id="1362167380">
                  <w:marLeft w:val="0"/>
                  <w:marRight w:val="0"/>
                  <w:marTop w:val="0"/>
                  <w:marBottom w:val="0"/>
                  <w:divBdr>
                    <w:top w:val="none" w:sz="0" w:space="0" w:color="auto"/>
                    <w:left w:val="none" w:sz="0" w:space="0" w:color="auto"/>
                    <w:bottom w:val="none" w:sz="0" w:space="0" w:color="auto"/>
                    <w:right w:val="none" w:sz="0" w:space="0" w:color="auto"/>
                  </w:divBdr>
                  <w:divsChild>
                    <w:div w:id="1606574115">
                      <w:marLeft w:val="0"/>
                      <w:marRight w:val="0"/>
                      <w:marTop w:val="0"/>
                      <w:marBottom w:val="0"/>
                      <w:divBdr>
                        <w:top w:val="none" w:sz="0" w:space="0" w:color="auto"/>
                        <w:left w:val="none" w:sz="0" w:space="0" w:color="auto"/>
                        <w:bottom w:val="none" w:sz="0" w:space="0" w:color="auto"/>
                        <w:right w:val="none" w:sz="0" w:space="0" w:color="auto"/>
                      </w:divBdr>
                    </w:div>
                  </w:divsChild>
                </w:div>
                <w:div w:id="1471707916">
                  <w:marLeft w:val="0"/>
                  <w:marRight w:val="0"/>
                  <w:marTop w:val="0"/>
                  <w:marBottom w:val="0"/>
                  <w:divBdr>
                    <w:top w:val="none" w:sz="0" w:space="0" w:color="auto"/>
                    <w:left w:val="none" w:sz="0" w:space="0" w:color="auto"/>
                    <w:bottom w:val="none" w:sz="0" w:space="0" w:color="auto"/>
                    <w:right w:val="none" w:sz="0" w:space="0" w:color="auto"/>
                  </w:divBdr>
                  <w:divsChild>
                    <w:div w:id="1016345062">
                      <w:marLeft w:val="0"/>
                      <w:marRight w:val="0"/>
                      <w:marTop w:val="0"/>
                      <w:marBottom w:val="0"/>
                      <w:divBdr>
                        <w:top w:val="none" w:sz="0" w:space="0" w:color="auto"/>
                        <w:left w:val="none" w:sz="0" w:space="0" w:color="auto"/>
                        <w:bottom w:val="none" w:sz="0" w:space="0" w:color="auto"/>
                        <w:right w:val="none" w:sz="0" w:space="0" w:color="auto"/>
                      </w:divBdr>
                    </w:div>
                  </w:divsChild>
                </w:div>
                <w:div w:id="1619991129">
                  <w:marLeft w:val="0"/>
                  <w:marRight w:val="0"/>
                  <w:marTop w:val="0"/>
                  <w:marBottom w:val="0"/>
                  <w:divBdr>
                    <w:top w:val="none" w:sz="0" w:space="0" w:color="auto"/>
                    <w:left w:val="none" w:sz="0" w:space="0" w:color="auto"/>
                    <w:bottom w:val="none" w:sz="0" w:space="0" w:color="auto"/>
                    <w:right w:val="none" w:sz="0" w:space="0" w:color="auto"/>
                  </w:divBdr>
                  <w:divsChild>
                    <w:div w:id="788471259">
                      <w:marLeft w:val="0"/>
                      <w:marRight w:val="0"/>
                      <w:marTop w:val="0"/>
                      <w:marBottom w:val="0"/>
                      <w:divBdr>
                        <w:top w:val="none" w:sz="0" w:space="0" w:color="auto"/>
                        <w:left w:val="none" w:sz="0" w:space="0" w:color="auto"/>
                        <w:bottom w:val="none" w:sz="0" w:space="0" w:color="auto"/>
                        <w:right w:val="none" w:sz="0" w:space="0" w:color="auto"/>
                      </w:divBdr>
                    </w:div>
                  </w:divsChild>
                </w:div>
                <w:div w:id="1389642972">
                  <w:marLeft w:val="0"/>
                  <w:marRight w:val="0"/>
                  <w:marTop w:val="0"/>
                  <w:marBottom w:val="0"/>
                  <w:divBdr>
                    <w:top w:val="none" w:sz="0" w:space="0" w:color="auto"/>
                    <w:left w:val="none" w:sz="0" w:space="0" w:color="auto"/>
                    <w:bottom w:val="none" w:sz="0" w:space="0" w:color="auto"/>
                    <w:right w:val="none" w:sz="0" w:space="0" w:color="auto"/>
                  </w:divBdr>
                  <w:divsChild>
                    <w:div w:id="17679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87017">
      <w:bodyDiv w:val="1"/>
      <w:marLeft w:val="0"/>
      <w:marRight w:val="0"/>
      <w:marTop w:val="0"/>
      <w:marBottom w:val="0"/>
      <w:divBdr>
        <w:top w:val="none" w:sz="0" w:space="0" w:color="auto"/>
        <w:left w:val="none" w:sz="0" w:space="0" w:color="auto"/>
        <w:bottom w:val="none" w:sz="0" w:space="0" w:color="auto"/>
        <w:right w:val="none" w:sz="0" w:space="0" w:color="auto"/>
      </w:divBdr>
      <w:divsChild>
        <w:div w:id="831019468">
          <w:marLeft w:val="0"/>
          <w:marRight w:val="0"/>
          <w:marTop w:val="0"/>
          <w:marBottom w:val="0"/>
          <w:divBdr>
            <w:top w:val="none" w:sz="0" w:space="0" w:color="auto"/>
            <w:left w:val="none" w:sz="0" w:space="0" w:color="auto"/>
            <w:bottom w:val="none" w:sz="0" w:space="0" w:color="auto"/>
            <w:right w:val="none" w:sz="0" w:space="0" w:color="auto"/>
          </w:divBdr>
          <w:divsChild>
            <w:div w:id="125703614">
              <w:marLeft w:val="0"/>
              <w:marRight w:val="0"/>
              <w:marTop w:val="0"/>
              <w:marBottom w:val="0"/>
              <w:divBdr>
                <w:top w:val="none" w:sz="0" w:space="0" w:color="auto"/>
                <w:left w:val="none" w:sz="0" w:space="0" w:color="auto"/>
                <w:bottom w:val="none" w:sz="0" w:space="0" w:color="auto"/>
                <w:right w:val="none" w:sz="0" w:space="0" w:color="auto"/>
              </w:divBdr>
              <w:divsChild>
                <w:div w:id="9787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75602">
      <w:bodyDiv w:val="1"/>
      <w:marLeft w:val="0"/>
      <w:marRight w:val="0"/>
      <w:marTop w:val="0"/>
      <w:marBottom w:val="0"/>
      <w:divBdr>
        <w:top w:val="none" w:sz="0" w:space="0" w:color="auto"/>
        <w:left w:val="none" w:sz="0" w:space="0" w:color="auto"/>
        <w:bottom w:val="none" w:sz="0" w:space="0" w:color="auto"/>
        <w:right w:val="none" w:sz="0" w:space="0" w:color="auto"/>
      </w:divBdr>
      <w:divsChild>
        <w:div w:id="1679694890">
          <w:marLeft w:val="0"/>
          <w:marRight w:val="0"/>
          <w:marTop w:val="0"/>
          <w:marBottom w:val="0"/>
          <w:divBdr>
            <w:top w:val="none" w:sz="0" w:space="0" w:color="auto"/>
            <w:left w:val="none" w:sz="0" w:space="0" w:color="auto"/>
            <w:bottom w:val="none" w:sz="0" w:space="0" w:color="auto"/>
            <w:right w:val="none" w:sz="0" w:space="0" w:color="auto"/>
          </w:divBdr>
          <w:divsChild>
            <w:div w:id="1775857284">
              <w:marLeft w:val="0"/>
              <w:marRight w:val="0"/>
              <w:marTop w:val="0"/>
              <w:marBottom w:val="0"/>
              <w:divBdr>
                <w:top w:val="none" w:sz="0" w:space="0" w:color="auto"/>
                <w:left w:val="none" w:sz="0" w:space="0" w:color="auto"/>
                <w:bottom w:val="none" w:sz="0" w:space="0" w:color="auto"/>
                <w:right w:val="none" w:sz="0" w:space="0" w:color="auto"/>
              </w:divBdr>
              <w:divsChild>
                <w:div w:id="2615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3257">
      <w:bodyDiv w:val="1"/>
      <w:marLeft w:val="0"/>
      <w:marRight w:val="0"/>
      <w:marTop w:val="0"/>
      <w:marBottom w:val="0"/>
      <w:divBdr>
        <w:top w:val="none" w:sz="0" w:space="0" w:color="auto"/>
        <w:left w:val="none" w:sz="0" w:space="0" w:color="auto"/>
        <w:bottom w:val="none" w:sz="0" w:space="0" w:color="auto"/>
        <w:right w:val="none" w:sz="0" w:space="0" w:color="auto"/>
      </w:divBdr>
      <w:divsChild>
        <w:div w:id="926579490">
          <w:marLeft w:val="0"/>
          <w:marRight w:val="0"/>
          <w:marTop w:val="0"/>
          <w:marBottom w:val="0"/>
          <w:divBdr>
            <w:top w:val="none" w:sz="0" w:space="0" w:color="auto"/>
            <w:left w:val="none" w:sz="0" w:space="0" w:color="auto"/>
            <w:bottom w:val="none" w:sz="0" w:space="0" w:color="auto"/>
            <w:right w:val="none" w:sz="0" w:space="0" w:color="auto"/>
          </w:divBdr>
          <w:divsChild>
            <w:div w:id="1895580481">
              <w:marLeft w:val="0"/>
              <w:marRight w:val="0"/>
              <w:marTop w:val="0"/>
              <w:marBottom w:val="0"/>
              <w:divBdr>
                <w:top w:val="none" w:sz="0" w:space="0" w:color="auto"/>
                <w:left w:val="none" w:sz="0" w:space="0" w:color="auto"/>
                <w:bottom w:val="none" w:sz="0" w:space="0" w:color="auto"/>
                <w:right w:val="none" w:sz="0" w:space="0" w:color="auto"/>
              </w:divBdr>
              <w:divsChild>
                <w:div w:id="20299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hrlibrary.umn.edu/iachr/b_11_4h.htm" TargetMode="External"/><Relationship Id="rId2" Type="http://schemas.openxmlformats.org/officeDocument/2006/relationships/hyperlink" Target="http://hrlibrary.umn.edu/iachr/b_11_4d.htm" TargetMode="External"/><Relationship Id="rId1" Type="http://schemas.openxmlformats.org/officeDocument/2006/relationships/hyperlink" Target="http://hrlibrary.umn.edu/iachr/series_A_OC-1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480B9-9F8F-41E2-B1B9-A7BE81ED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33728</Words>
  <Characters>185509</Characters>
  <Application>Microsoft Office Word</Application>
  <DocSecurity>0</DocSecurity>
  <Lines>1545</Lines>
  <Paragraphs>437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4</cp:revision>
  <cp:lastPrinted>2021-02-24T13:32:00Z</cp:lastPrinted>
  <dcterms:created xsi:type="dcterms:W3CDTF">2021-08-17T16:37:00Z</dcterms:created>
  <dcterms:modified xsi:type="dcterms:W3CDTF">2021-08-17T17:19:00Z</dcterms:modified>
</cp:coreProperties>
</file>